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108"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717"/>
        <w:gridCol w:w="5639"/>
      </w:tblGrid>
      <w:tr w:rsidR="00C12655" w:rsidRPr="005E6358" w14:paraId="72AD2F0C" w14:textId="77777777" w:rsidTr="00E11B3B">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00E102A0" w14:textId="77777777" w:rsidR="00C12655" w:rsidRPr="005E6358" w:rsidRDefault="00C12655" w:rsidP="008210DF">
            <w:pPr>
              <w:spacing w:after="0"/>
              <w:jc w:val="center"/>
              <w:rPr>
                <w:b/>
                <w:color w:val="000000" w:themeColor="text1"/>
                <w:sz w:val="28"/>
                <w:szCs w:val="28"/>
              </w:rPr>
            </w:pPr>
          </w:p>
          <w:p w14:paraId="532E686D" w14:textId="77777777" w:rsidR="00C12655" w:rsidRPr="005E6358" w:rsidRDefault="00C12655" w:rsidP="008210DF">
            <w:pPr>
              <w:spacing w:after="0"/>
              <w:jc w:val="center"/>
              <w:rPr>
                <w:b/>
                <w:color w:val="000000" w:themeColor="text1"/>
                <w:sz w:val="32"/>
                <w:szCs w:val="28"/>
              </w:rPr>
            </w:pPr>
            <w:r w:rsidRPr="005E6358">
              <w:rPr>
                <w:b/>
                <w:color w:val="000000" w:themeColor="text1"/>
                <w:sz w:val="32"/>
                <w:szCs w:val="28"/>
              </w:rPr>
              <w:t>БРОШЮРА ИССЛЕДОВАТЕЛЯ</w:t>
            </w:r>
          </w:p>
          <w:p w14:paraId="3668EF32" w14:textId="77777777" w:rsidR="00C12655" w:rsidRPr="005E6358" w:rsidRDefault="00C12655" w:rsidP="008210DF">
            <w:pPr>
              <w:spacing w:after="0"/>
              <w:jc w:val="center"/>
              <w:rPr>
                <w:b/>
                <w:color w:val="000000" w:themeColor="text1"/>
                <w:sz w:val="28"/>
                <w:szCs w:val="28"/>
              </w:rPr>
            </w:pPr>
          </w:p>
        </w:tc>
      </w:tr>
      <w:tr w:rsidR="00C12655" w:rsidRPr="005E6358" w14:paraId="0D13C5A6" w14:textId="77777777" w:rsidTr="00E11B3B">
        <w:trPr>
          <w:trHeight w:val="177"/>
        </w:trPr>
        <w:tc>
          <w:tcPr>
            <w:tcW w:w="3717" w:type="dxa"/>
            <w:tcBorders>
              <w:top w:val="thinThickSmallGap" w:sz="24" w:space="0" w:color="auto"/>
              <w:left w:val="thinThickSmallGap" w:sz="24" w:space="0" w:color="auto"/>
              <w:bottom w:val="nil"/>
              <w:right w:val="nil"/>
            </w:tcBorders>
          </w:tcPr>
          <w:p w14:paraId="78F2D00C" w14:textId="77777777" w:rsidR="00C12655" w:rsidRPr="00BA2D96" w:rsidRDefault="00C12655" w:rsidP="008210DF">
            <w:pPr>
              <w:spacing w:after="0"/>
              <w:jc w:val="left"/>
              <w:rPr>
                <w:b/>
                <w:color w:val="000000" w:themeColor="text1"/>
                <w:sz w:val="14"/>
                <w:lang w:val="en-US"/>
              </w:rPr>
            </w:pPr>
          </w:p>
        </w:tc>
        <w:tc>
          <w:tcPr>
            <w:tcW w:w="5639" w:type="dxa"/>
            <w:tcBorders>
              <w:top w:val="thinThickSmallGap" w:sz="24" w:space="0" w:color="auto"/>
              <w:left w:val="nil"/>
              <w:bottom w:val="nil"/>
              <w:right w:val="thickThinSmallGap" w:sz="24" w:space="0" w:color="auto"/>
            </w:tcBorders>
          </w:tcPr>
          <w:p w14:paraId="162463C2" w14:textId="77777777" w:rsidR="00C12655" w:rsidRPr="00F8052C" w:rsidRDefault="00C12655" w:rsidP="008210DF">
            <w:pPr>
              <w:spacing w:after="0"/>
              <w:jc w:val="left"/>
              <w:rPr>
                <w:b/>
                <w:color w:val="000000" w:themeColor="text1"/>
                <w:sz w:val="14"/>
                <w:lang w:val="en-US"/>
              </w:rPr>
            </w:pPr>
          </w:p>
        </w:tc>
      </w:tr>
      <w:tr w:rsidR="00C12655" w:rsidRPr="005E6358" w14:paraId="2EDEE3E3" w14:textId="77777777" w:rsidTr="00E11B3B">
        <w:trPr>
          <w:trHeight w:val="439"/>
        </w:trPr>
        <w:tc>
          <w:tcPr>
            <w:tcW w:w="3717" w:type="dxa"/>
            <w:tcBorders>
              <w:top w:val="nil"/>
              <w:left w:val="thinThickSmallGap" w:sz="24" w:space="0" w:color="auto"/>
              <w:bottom w:val="nil"/>
              <w:right w:val="nil"/>
            </w:tcBorders>
          </w:tcPr>
          <w:p w14:paraId="4A921F4F" w14:textId="77777777" w:rsidR="00C12655" w:rsidRPr="00F85178" w:rsidRDefault="00C12655" w:rsidP="002A02F7">
            <w:pPr>
              <w:spacing w:after="0"/>
              <w:ind w:firstLine="0"/>
              <w:jc w:val="left"/>
              <w:rPr>
                <w:color w:val="000000" w:themeColor="text1"/>
                <w:szCs w:val="24"/>
              </w:rPr>
            </w:pPr>
            <w:r w:rsidRPr="00F85178">
              <w:rPr>
                <w:b/>
                <w:color w:val="000000" w:themeColor="text1"/>
                <w:szCs w:val="24"/>
              </w:rPr>
              <w:t>Код продукта:</w:t>
            </w:r>
          </w:p>
        </w:tc>
        <w:sdt>
          <w:sdtPr>
            <w:rPr>
              <w:rFonts w:eastAsia="MS Mincho"/>
              <w:szCs w:val="24"/>
              <w:lang w:val="en-US" w:eastAsia="ru-RU"/>
            </w:rPr>
            <w:id w:val="-2097469446"/>
            <w:placeholder>
              <w:docPart w:val="DefaultPlaceholder_-1854013440"/>
            </w:placeholder>
            <w:dataBinding w:prefixMappings="xmlns:ns0='http://protocoldata@statandocs.com' " w:xpath="/ns0:sdprotocoldata[1]/ns0:SDDrugs[1]/ns0:SDDrug[1]/ns0:DrugATX[1]" w:storeItemID="{FCA95C51-6243-4E94-B45A-ADB0ED17598B}"/>
            <w:text/>
          </w:sdtPr>
          <w:sdtEndPr/>
          <w:sdtContent>
            <w:tc>
              <w:tcPr>
                <w:tcW w:w="5639" w:type="dxa"/>
                <w:tcBorders>
                  <w:top w:val="nil"/>
                  <w:left w:val="nil"/>
                  <w:bottom w:val="nil"/>
                  <w:right w:val="thickThinSmallGap" w:sz="24" w:space="0" w:color="auto"/>
                </w:tcBorders>
              </w:tcPr>
              <w:p w14:paraId="62C807C4" w14:textId="04DD4AD6" w:rsidR="00C12655" w:rsidRPr="00F8052C" w:rsidRDefault="00CE4FA3" w:rsidP="002A02F7">
                <w:pPr>
                  <w:spacing w:after="0"/>
                  <w:ind w:firstLine="0"/>
                  <w:jc w:val="left"/>
                  <w:rPr>
                    <w:color w:val="000000" w:themeColor="text1"/>
                    <w:szCs w:val="24"/>
                    <w:lang w:val="en-GB"/>
                  </w:rPr>
                </w:pPr>
                <w:r w:rsidRPr="00CE4FA3">
                  <w:rPr>
                    <w:rFonts w:eastAsia="MS Mincho"/>
                    <w:szCs w:val="24"/>
                    <w:lang w:val="en-US" w:eastAsia="ru-RU"/>
                  </w:rPr>
                  <w:t>DT-TFC (L041050)</w:t>
                </w:r>
              </w:p>
            </w:tc>
          </w:sdtContent>
        </w:sdt>
      </w:tr>
      <w:tr w:rsidR="00C12655" w:rsidRPr="005E6358" w14:paraId="5C71CDFD" w14:textId="77777777" w:rsidTr="00E11B3B">
        <w:trPr>
          <w:trHeight w:val="388"/>
        </w:trPr>
        <w:tc>
          <w:tcPr>
            <w:tcW w:w="3717" w:type="dxa"/>
            <w:tcBorders>
              <w:top w:val="nil"/>
              <w:left w:val="thinThickSmallGap" w:sz="24" w:space="0" w:color="auto"/>
              <w:bottom w:val="nil"/>
              <w:right w:val="nil"/>
            </w:tcBorders>
          </w:tcPr>
          <w:p w14:paraId="37D954B5" w14:textId="77777777" w:rsidR="00C12655" w:rsidRPr="00F85178" w:rsidRDefault="00C12655" w:rsidP="002A02F7">
            <w:pPr>
              <w:spacing w:after="0"/>
              <w:ind w:firstLine="0"/>
              <w:jc w:val="left"/>
              <w:rPr>
                <w:b/>
                <w:color w:val="000000" w:themeColor="text1"/>
                <w:szCs w:val="24"/>
              </w:rPr>
            </w:pPr>
            <w:r w:rsidRPr="00F85178">
              <w:rPr>
                <w:b/>
                <w:color w:val="000000" w:themeColor="text1"/>
                <w:szCs w:val="24"/>
              </w:rPr>
              <w:t>МНН:</w:t>
            </w:r>
          </w:p>
        </w:tc>
        <w:sdt>
          <w:sdtPr>
            <w:rPr>
              <w:bCs/>
              <w:color w:val="000000" w:themeColor="text1"/>
              <w:szCs w:val="24"/>
            </w:rPr>
            <w:id w:val="327110102"/>
            <w:placeholder>
              <w:docPart w:val="DefaultPlaceholder_-1854013440"/>
            </w:placeholder>
            <w:dataBinding w:prefixMappings="xmlns:ns0='http://protocoldata@statandocs.com' " w:xpath="/ns0:sdprotocoldata[1]/ns0:SDDrugs[1]/ns0:SDDrug[1]/ns0:DrugINN[1]" w:storeItemID="{FCA95C51-6243-4E94-B45A-ADB0ED17598B}"/>
            <w:text/>
          </w:sdtPr>
          <w:sdtEndPr/>
          <w:sdtContent>
            <w:tc>
              <w:tcPr>
                <w:tcW w:w="5639" w:type="dxa"/>
                <w:tcBorders>
                  <w:top w:val="nil"/>
                  <w:left w:val="nil"/>
                  <w:bottom w:val="nil"/>
                  <w:right w:val="thickThinSmallGap" w:sz="24" w:space="0" w:color="auto"/>
                </w:tcBorders>
              </w:tcPr>
              <w:p w14:paraId="2793640B" w14:textId="4420F58E" w:rsidR="00C12655" w:rsidRPr="00F8052C" w:rsidRDefault="00F12BFA" w:rsidP="002A02F7">
                <w:pPr>
                  <w:spacing w:after="0"/>
                  <w:ind w:firstLine="0"/>
                  <w:jc w:val="left"/>
                  <w:rPr>
                    <w:bCs/>
                    <w:color w:val="000000" w:themeColor="text1"/>
                    <w:szCs w:val="24"/>
                  </w:rPr>
                </w:pPr>
                <w:r>
                  <w:rPr>
                    <w:bCs/>
                    <w:color w:val="000000" w:themeColor="text1"/>
                    <w:szCs w:val="24"/>
                  </w:rPr>
                  <w:t>тофацитиниб</w:t>
                </w:r>
              </w:p>
            </w:tc>
          </w:sdtContent>
        </w:sdt>
      </w:tr>
      <w:tr w:rsidR="00C12655" w:rsidRPr="005E6358" w14:paraId="32071EF7" w14:textId="77777777" w:rsidTr="00E11B3B">
        <w:trPr>
          <w:trHeight w:val="394"/>
        </w:trPr>
        <w:tc>
          <w:tcPr>
            <w:tcW w:w="3717" w:type="dxa"/>
            <w:tcBorders>
              <w:top w:val="nil"/>
              <w:left w:val="thinThickSmallGap" w:sz="24" w:space="0" w:color="auto"/>
              <w:bottom w:val="nil"/>
              <w:right w:val="nil"/>
            </w:tcBorders>
          </w:tcPr>
          <w:p w14:paraId="14F85481" w14:textId="77777777" w:rsidR="00C12655" w:rsidRPr="00F85178" w:rsidRDefault="00C12655" w:rsidP="002A02F7">
            <w:pPr>
              <w:spacing w:after="0"/>
              <w:ind w:firstLine="0"/>
              <w:jc w:val="left"/>
              <w:rPr>
                <w:b/>
                <w:color w:val="000000" w:themeColor="text1"/>
                <w:szCs w:val="24"/>
              </w:rPr>
            </w:pPr>
            <w:r w:rsidRPr="00F85178">
              <w:rPr>
                <w:b/>
                <w:color w:val="000000" w:themeColor="text1"/>
                <w:szCs w:val="24"/>
              </w:rPr>
              <w:t>Торговое название</w:t>
            </w:r>
          </w:p>
        </w:tc>
        <w:sdt>
          <w:sdtPr>
            <w:rPr>
              <w:szCs w:val="24"/>
            </w:rPr>
            <w:id w:val="1798103636"/>
            <w:placeholder>
              <w:docPart w:val="DefaultPlaceholder_-1854013440"/>
            </w:placeholder>
            <w:dataBinding w:prefixMappings="xmlns:ns0='http://protocoldata@statandocs.com' " w:xpath="/ns0:sdprotocoldata[1]/ns0:SDDrugs[1]/ns0:SDDrug[1]/ns0:DrugName[1]" w:storeItemID="{FCA95C51-6243-4E94-B45A-ADB0ED17598B}"/>
            <w:text/>
          </w:sdtPr>
          <w:sdtEndPr/>
          <w:sdtContent>
            <w:tc>
              <w:tcPr>
                <w:tcW w:w="5639" w:type="dxa"/>
                <w:tcBorders>
                  <w:top w:val="nil"/>
                  <w:left w:val="nil"/>
                  <w:bottom w:val="nil"/>
                  <w:right w:val="thickThinSmallGap" w:sz="24" w:space="0" w:color="auto"/>
                </w:tcBorders>
              </w:tcPr>
              <w:p w14:paraId="15CE9A6E" w14:textId="28FE413C" w:rsidR="00C12655" w:rsidRPr="00F8052C" w:rsidRDefault="0075128B" w:rsidP="0075128B">
                <w:pPr>
                  <w:spacing w:after="0"/>
                  <w:ind w:firstLine="0"/>
                  <w:rPr>
                    <w:rFonts w:eastAsia="Calibri"/>
                    <w:color w:val="000000" w:themeColor="text1"/>
                    <w:szCs w:val="24"/>
                  </w:rPr>
                </w:pPr>
                <w:r w:rsidRPr="00CE4FA3">
                  <w:rPr>
                    <w:szCs w:val="24"/>
                  </w:rPr>
                  <w:t>ТОФАЦИТИНИБ</w:t>
                </w:r>
              </w:p>
            </w:tc>
          </w:sdtContent>
        </w:sdt>
      </w:tr>
      <w:tr w:rsidR="00C12655" w:rsidRPr="005E6358" w14:paraId="44EA0C19" w14:textId="77777777" w:rsidTr="00E11B3B">
        <w:trPr>
          <w:trHeight w:val="418"/>
        </w:trPr>
        <w:tc>
          <w:tcPr>
            <w:tcW w:w="3717" w:type="dxa"/>
            <w:tcBorders>
              <w:top w:val="nil"/>
              <w:left w:val="thinThickSmallGap" w:sz="24" w:space="0" w:color="auto"/>
              <w:bottom w:val="nil"/>
              <w:right w:val="nil"/>
            </w:tcBorders>
            <w:hideMark/>
          </w:tcPr>
          <w:p w14:paraId="563BBBA0" w14:textId="77777777" w:rsidR="00C12655" w:rsidRPr="00F85178" w:rsidRDefault="00C12655" w:rsidP="002A02F7">
            <w:pPr>
              <w:spacing w:after="0"/>
              <w:ind w:firstLine="0"/>
              <w:jc w:val="left"/>
              <w:rPr>
                <w:b/>
                <w:color w:val="000000" w:themeColor="text1"/>
                <w:szCs w:val="24"/>
              </w:rPr>
            </w:pPr>
            <w:r w:rsidRPr="00F85178">
              <w:rPr>
                <w:b/>
                <w:color w:val="000000" w:themeColor="text1"/>
                <w:szCs w:val="24"/>
              </w:rPr>
              <w:t>Лекарственная форма:</w:t>
            </w:r>
          </w:p>
        </w:tc>
        <w:sdt>
          <w:sdtPr>
            <w:rPr>
              <w:bCs/>
              <w:szCs w:val="24"/>
            </w:rPr>
            <w:id w:val="-207500029"/>
            <w:placeholder>
              <w:docPart w:val="DefaultPlaceholder_-1854013440"/>
            </w:placeholder>
            <w:dataBinding w:prefixMappings="xmlns:ns0='http://protocoldata@statandocs.com' " w:xpath="/ns0:sdprotocoldata[1]/ns0:SDDrugs[1]/ns0:SDDrug[1]/ns0:DrugForm[1]" w:storeItemID="{FCA95C51-6243-4E94-B45A-ADB0ED17598B}"/>
            <w:text/>
          </w:sdtPr>
          <w:sdtEndPr/>
          <w:sdtContent>
            <w:tc>
              <w:tcPr>
                <w:tcW w:w="5639" w:type="dxa"/>
                <w:tcBorders>
                  <w:top w:val="nil"/>
                  <w:left w:val="nil"/>
                  <w:bottom w:val="nil"/>
                  <w:right w:val="thickThinSmallGap" w:sz="24" w:space="0" w:color="auto"/>
                </w:tcBorders>
              </w:tcPr>
              <w:p w14:paraId="4C99D76B" w14:textId="531E026F" w:rsidR="00C12655" w:rsidRPr="00F8052C" w:rsidRDefault="00F12BFA" w:rsidP="002A02F7">
                <w:pPr>
                  <w:spacing w:after="0"/>
                  <w:ind w:firstLine="0"/>
                  <w:rPr>
                    <w:bCs/>
                    <w:szCs w:val="24"/>
                  </w:rPr>
                </w:pPr>
                <w:r>
                  <w:rPr>
                    <w:bCs/>
                    <w:szCs w:val="24"/>
                  </w:rPr>
                  <w:t>таблетки, покрытые пленочной оболочкой</w:t>
                </w:r>
              </w:p>
            </w:tc>
          </w:sdtContent>
        </w:sdt>
      </w:tr>
      <w:tr w:rsidR="00C12655" w:rsidRPr="005E6358" w14:paraId="22D23122" w14:textId="77777777" w:rsidTr="00E11B3B">
        <w:trPr>
          <w:trHeight w:val="1273"/>
        </w:trPr>
        <w:tc>
          <w:tcPr>
            <w:tcW w:w="3717" w:type="dxa"/>
            <w:tcBorders>
              <w:top w:val="nil"/>
              <w:left w:val="thinThickSmallGap" w:sz="24" w:space="0" w:color="auto"/>
              <w:bottom w:val="nil"/>
              <w:right w:val="nil"/>
            </w:tcBorders>
          </w:tcPr>
          <w:p w14:paraId="61DEE7F5" w14:textId="77777777" w:rsidR="00C12655" w:rsidRPr="00F85178" w:rsidRDefault="00C12655" w:rsidP="002A02F7">
            <w:pPr>
              <w:spacing w:after="0"/>
              <w:ind w:firstLine="0"/>
              <w:jc w:val="left"/>
              <w:rPr>
                <w:rFonts w:eastAsia="Times New Roman"/>
                <w:b/>
                <w:color w:val="000000" w:themeColor="text1"/>
                <w:szCs w:val="24"/>
              </w:rPr>
            </w:pPr>
            <w:r w:rsidRPr="00F85178">
              <w:rPr>
                <w:b/>
                <w:color w:val="000000" w:themeColor="text1"/>
                <w:szCs w:val="24"/>
              </w:rPr>
              <w:t>Показание:</w:t>
            </w:r>
          </w:p>
          <w:p w14:paraId="3F7589C8" w14:textId="77777777" w:rsidR="00C12655" w:rsidRPr="00F85178" w:rsidRDefault="00C12655" w:rsidP="002A02F7">
            <w:pPr>
              <w:spacing w:after="0"/>
              <w:ind w:firstLine="0"/>
              <w:jc w:val="left"/>
              <w:rPr>
                <w:color w:val="000000" w:themeColor="text1"/>
                <w:szCs w:val="24"/>
              </w:rPr>
            </w:pPr>
          </w:p>
        </w:tc>
        <w:tc>
          <w:tcPr>
            <w:tcW w:w="5639" w:type="dxa"/>
            <w:tcBorders>
              <w:top w:val="nil"/>
              <w:left w:val="nil"/>
              <w:bottom w:val="nil"/>
              <w:right w:val="thickThinSmallGap" w:sz="24" w:space="0" w:color="auto"/>
            </w:tcBorders>
          </w:tcPr>
          <w:p w14:paraId="1B338717" w14:textId="41DDD9F8" w:rsidR="00C12655" w:rsidRPr="00F8052C" w:rsidRDefault="005C40C4" w:rsidP="00364071">
            <w:pPr>
              <w:spacing w:after="0"/>
              <w:ind w:firstLine="0"/>
              <w:rPr>
                <w:bCs/>
                <w:szCs w:val="24"/>
              </w:rPr>
            </w:pPr>
            <w:sdt>
              <w:sdtPr>
                <w:rPr>
                  <w:bCs/>
                  <w:szCs w:val="24"/>
                </w:rPr>
                <w:id w:val="-1439670505"/>
                <w:placeholder>
                  <w:docPart w:val="DefaultPlaceholder_-1854013440"/>
                </w:placeholder>
                <w:dataBinding w:prefixMappings="xmlns:ns0='http://protocoldata@statandocs.com' " w:xpath="/ns0:sdprotocoldata[1]/ns0:SDDrugs[1]/ns0:SDDrug[1]/ns0:DrugDosage[1]" w:storeItemID="{FCA95C51-6243-4E94-B45A-ADB0ED17598B}"/>
                <w:text/>
              </w:sdtPr>
              <w:sdtEndPr/>
              <w:sdtContent>
                <w:r w:rsidR="00364071" w:rsidRPr="00364071">
                  <w:rPr>
                    <w:bCs/>
                    <w:szCs w:val="24"/>
                  </w:rPr>
                  <w:t>Ревматоидный артрит</w:t>
                </w:r>
                <w:r w:rsidR="00364071">
                  <w:rPr>
                    <w:bCs/>
                    <w:szCs w:val="24"/>
                  </w:rPr>
                  <w:t xml:space="preserve">, </w:t>
                </w:r>
              </w:sdtContent>
            </w:sdt>
            <w:r w:rsidR="00364071">
              <w:t xml:space="preserve"> </w:t>
            </w:r>
            <w:r w:rsidR="00364071">
              <w:rPr>
                <w:bCs/>
                <w:szCs w:val="24"/>
              </w:rPr>
              <w:t>п</w:t>
            </w:r>
            <w:r w:rsidR="00364071" w:rsidRPr="00364071">
              <w:rPr>
                <w:bCs/>
                <w:szCs w:val="24"/>
              </w:rPr>
              <w:t>сориатический артрит</w:t>
            </w:r>
            <w:r w:rsidR="00364071">
              <w:rPr>
                <w:bCs/>
                <w:szCs w:val="24"/>
              </w:rPr>
              <w:t>, а</w:t>
            </w:r>
            <w:r w:rsidR="00364071" w:rsidRPr="00364071">
              <w:rPr>
                <w:bCs/>
                <w:szCs w:val="24"/>
              </w:rPr>
              <w:t>нкилозирующий спондилоартрит</w:t>
            </w:r>
            <w:r w:rsidR="00364071">
              <w:rPr>
                <w:bCs/>
                <w:szCs w:val="24"/>
              </w:rPr>
              <w:t>, б</w:t>
            </w:r>
            <w:r w:rsidR="00364071" w:rsidRPr="00364071">
              <w:rPr>
                <w:bCs/>
                <w:szCs w:val="24"/>
              </w:rPr>
              <w:t>ляшечный псориаз</w:t>
            </w:r>
            <w:r w:rsidR="00364071">
              <w:rPr>
                <w:bCs/>
                <w:szCs w:val="24"/>
              </w:rPr>
              <w:t>, язвенный колит, по</w:t>
            </w:r>
            <w:r w:rsidR="00364071" w:rsidRPr="00364071">
              <w:rPr>
                <w:bCs/>
                <w:szCs w:val="24"/>
              </w:rPr>
              <w:t>лиартикулярный ювенильный идиопатический артрит</w:t>
            </w:r>
          </w:p>
        </w:tc>
      </w:tr>
      <w:tr w:rsidR="00C12655" w:rsidRPr="005E6358" w14:paraId="032ED8A6" w14:textId="77777777" w:rsidTr="00E11B3B">
        <w:trPr>
          <w:trHeight w:val="720"/>
        </w:trPr>
        <w:tc>
          <w:tcPr>
            <w:tcW w:w="3717" w:type="dxa"/>
            <w:tcBorders>
              <w:top w:val="nil"/>
              <w:left w:val="thinThickSmallGap" w:sz="24" w:space="0" w:color="auto"/>
              <w:bottom w:val="nil"/>
              <w:right w:val="nil"/>
            </w:tcBorders>
          </w:tcPr>
          <w:p w14:paraId="74B3AC88" w14:textId="77777777" w:rsidR="00C12655" w:rsidRPr="009945D0" w:rsidRDefault="00C12655" w:rsidP="002A02F7">
            <w:pPr>
              <w:spacing w:after="0"/>
              <w:ind w:firstLine="0"/>
              <w:jc w:val="left"/>
              <w:rPr>
                <w:rFonts w:eastAsia="Calibri"/>
                <w:b/>
                <w:color w:val="000000" w:themeColor="text1"/>
                <w:szCs w:val="24"/>
              </w:rPr>
            </w:pPr>
            <w:r w:rsidRPr="009945D0">
              <w:rPr>
                <w:rFonts w:eastAsia="Calibri"/>
                <w:b/>
                <w:color w:val="000000" w:themeColor="text1"/>
                <w:szCs w:val="24"/>
              </w:rPr>
              <w:t>Идентификационный номер протокола клинического исследования:</w:t>
            </w:r>
          </w:p>
        </w:tc>
        <w:tc>
          <w:tcPr>
            <w:tcW w:w="5639" w:type="dxa"/>
            <w:tcBorders>
              <w:top w:val="nil"/>
              <w:left w:val="nil"/>
              <w:bottom w:val="nil"/>
              <w:right w:val="thickThinSmallGap" w:sz="24" w:space="0" w:color="auto"/>
            </w:tcBorders>
            <w:hideMark/>
          </w:tcPr>
          <w:p w14:paraId="2BEECCAD" w14:textId="5F7561ED" w:rsidR="00C12655" w:rsidRPr="00F8052C" w:rsidRDefault="005C40C4" w:rsidP="002A02F7">
            <w:pPr>
              <w:pStyle w:val="ProtocolID"/>
              <w:ind w:firstLine="0"/>
              <w:rPr>
                <w:rFonts w:eastAsia="Calibri"/>
                <w:color w:val="000000" w:themeColor="text1"/>
                <w:szCs w:val="24"/>
              </w:rPr>
            </w:pPr>
            <w:sdt>
              <w:sdtPr>
                <w:rPr>
                  <w:szCs w:val="24"/>
                </w:rPr>
                <w:id w:val="175393724"/>
                <w:placeholder>
                  <w:docPart w:val="D55F243D22114F918DC01566DA456E4A"/>
                </w:placeholder>
              </w:sdtPr>
              <w:sdtEndPr/>
              <w:sdtContent>
                <w:r w:rsidR="00CE4FA3" w:rsidRPr="00005F66">
                  <w:t>CL041050156</w:t>
                </w:r>
              </w:sdtContent>
            </w:sdt>
          </w:p>
        </w:tc>
      </w:tr>
      <w:tr w:rsidR="00C12655" w:rsidRPr="005E6358" w14:paraId="644F44DE" w14:textId="77777777" w:rsidTr="00E11B3B">
        <w:trPr>
          <w:trHeight w:val="461"/>
        </w:trPr>
        <w:tc>
          <w:tcPr>
            <w:tcW w:w="3717" w:type="dxa"/>
            <w:tcBorders>
              <w:top w:val="nil"/>
              <w:left w:val="thinThickSmallGap" w:sz="24" w:space="0" w:color="auto"/>
              <w:bottom w:val="nil"/>
              <w:right w:val="nil"/>
            </w:tcBorders>
          </w:tcPr>
          <w:p w14:paraId="373A1CF1" w14:textId="77777777" w:rsidR="00C12655" w:rsidRPr="00F85178" w:rsidRDefault="00C12655" w:rsidP="002A02F7">
            <w:pPr>
              <w:spacing w:after="0"/>
              <w:ind w:firstLine="0"/>
              <w:jc w:val="left"/>
              <w:rPr>
                <w:rFonts w:eastAsia="Times New Roman"/>
                <w:b/>
                <w:bCs/>
                <w:iCs/>
                <w:color w:val="000000" w:themeColor="text1"/>
                <w:szCs w:val="24"/>
              </w:rPr>
            </w:pPr>
            <w:r w:rsidRPr="00F85178">
              <w:rPr>
                <w:b/>
                <w:color w:val="000000" w:themeColor="text1"/>
                <w:szCs w:val="24"/>
              </w:rPr>
              <w:t>Номер версии:</w:t>
            </w:r>
          </w:p>
        </w:tc>
        <w:sdt>
          <w:sdtPr>
            <w:rPr>
              <w:iCs/>
              <w:color w:val="000000" w:themeColor="text1"/>
              <w:szCs w:val="24"/>
            </w:rPr>
            <w:id w:val="-689995162"/>
            <w:placeholder>
              <w:docPart w:val="DefaultPlaceholder_-1854013440"/>
            </w:placeholder>
            <w:dataBinding w:prefixMappings="xmlns:ns0='http://protocoldata@statandocs.com' " w:xpath="/ns0:sdprotocoldata[1]/ns0:SDDocProperties[1]/ns0:DocumentVersion[1]" w:storeItemID="{FCA95C51-6243-4E94-B45A-ADB0ED17598B}"/>
            <w:text/>
          </w:sdtPr>
          <w:sdtEndPr/>
          <w:sdtContent>
            <w:tc>
              <w:tcPr>
                <w:tcW w:w="5639" w:type="dxa"/>
                <w:tcBorders>
                  <w:top w:val="nil"/>
                  <w:left w:val="nil"/>
                  <w:bottom w:val="nil"/>
                  <w:right w:val="thickThinSmallGap" w:sz="24" w:space="0" w:color="auto"/>
                </w:tcBorders>
                <w:hideMark/>
              </w:tcPr>
              <w:p w14:paraId="4B750BB7" w14:textId="40AEF863" w:rsidR="00C12655" w:rsidRPr="00F8052C" w:rsidRDefault="00823C2F" w:rsidP="002A02F7">
                <w:pPr>
                  <w:spacing w:after="0"/>
                  <w:ind w:firstLine="0"/>
                  <w:jc w:val="left"/>
                  <w:rPr>
                    <w:iCs/>
                    <w:color w:val="000000" w:themeColor="text1"/>
                    <w:szCs w:val="24"/>
                  </w:rPr>
                </w:pPr>
                <w:r>
                  <w:rPr>
                    <w:iCs/>
                    <w:color w:val="000000" w:themeColor="text1"/>
                    <w:szCs w:val="24"/>
                  </w:rPr>
                  <w:t>1.0</w:t>
                </w:r>
              </w:p>
            </w:tc>
          </w:sdtContent>
        </w:sdt>
      </w:tr>
      <w:tr w:rsidR="00C12655" w:rsidRPr="005E6358" w14:paraId="20ADC4FD" w14:textId="77777777" w:rsidTr="00E11B3B">
        <w:trPr>
          <w:trHeight w:val="573"/>
        </w:trPr>
        <w:tc>
          <w:tcPr>
            <w:tcW w:w="3717" w:type="dxa"/>
            <w:tcBorders>
              <w:top w:val="nil"/>
              <w:left w:val="thinThickSmallGap" w:sz="24" w:space="0" w:color="auto"/>
              <w:bottom w:val="nil"/>
              <w:right w:val="nil"/>
            </w:tcBorders>
            <w:hideMark/>
          </w:tcPr>
          <w:p w14:paraId="5011ED3C" w14:textId="77777777" w:rsidR="00C12655" w:rsidRPr="00F85178" w:rsidRDefault="00C12655" w:rsidP="002A02F7">
            <w:pPr>
              <w:spacing w:after="0"/>
              <w:ind w:firstLine="0"/>
              <w:rPr>
                <w:rFonts w:eastAsia="Calibri"/>
                <w:b/>
                <w:color w:val="000000" w:themeColor="text1"/>
                <w:szCs w:val="24"/>
              </w:rPr>
            </w:pPr>
            <w:r w:rsidRPr="00F85178">
              <w:rPr>
                <w:rFonts w:eastAsia="Calibri"/>
                <w:b/>
                <w:color w:val="000000" w:themeColor="text1"/>
                <w:szCs w:val="24"/>
              </w:rPr>
              <w:t>Дата версии:</w:t>
            </w:r>
          </w:p>
        </w:tc>
        <w:sdt>
          <w:sdtPr>
            <w:rPr>
              <w:rFonts w:eastAsia="Calibri"/>
              <w:color w:val="000000" w:themeColor="text1"/>
              <w:szCs w:val="24"/>
            </w:rPr>
            <w:id w:val="729816760"/>
            <w:placeholder>
              <w:docPart w:val="DefaultPlaceholder_-1854013440"/>
            </w:placeholder>
            <w:dataBinding w:prefixMappings="xmlns:ns0='http://protocoldata@statandocs.com' " w:xpath="/ns0:sdprotocoldata[1]/ns0:SDDocProperties[1]/ns0:DocumentDate[1]" w:storeItemID="{FCA95C51-6243-4E94-B45A-ADB0ED17598B}"/>
            <w:text/>
          </w:sdtPr>
          <w:sdtEndPr/>
          <w:sdtContent>
            <w:tc>
              <w:tcPr>
                <w:tcW w:w="5639" w:type="dxa"/>
                <w:tcBorders>
                  <w:top w:val="nil"/>
                  <w:left w:val="nil"/>
                  <w:bottom w:val="nil"/>
                  <w:right w:val="thickThinSmallGap" w:sz="24" w:space="0" w:color="auto"/>
                </w:tcBorders>
                <w:hideMark/>
              </w:tcPr>
              <w:p w14:paraId="5AC708E9" w14:textId="58D1E23E" w:rsidR="00C12655" w:rsidRPr="00F8052C" w:rsidRDefault="00791E09" w:rsidP="00495A04">
                <w:pPr>
                  <w:pStyle w:val="SDText"/>
                  <w:ind w:firstLine="0"/>
                  <w:rPr>
                    <w:rFonts w:eastAsia="Calibri"/>
                    <w:color w:val="000000" w:themeColor="text1"/>
                    <w:szCs w:val="24"/>
                  </w:rPr>
                </w:pPr>
                <w:r>
                  <w:rPr>
                    <w:rFonts w:eastAsia="Calibri"/>
                    <w:color w:val="000000" w:themeColor="text1"/>
                    <w:szCs w:val="24"/>
                  </w:rPr>
                  <w:t>19 декабря 2022 г</w:t>
                </w:r>
              </w:p>
            </w:tc>
          </w:sdtContent>
        </w:sdt>
      </w:tr>
      <w:tr w:rsidR="0075128B" w:rsidRPr="005E6358" w14:paraId="47AAFFB7" w14:textId="77777777" w:rsidTr="00E11B3B">
        <w:trPr>
          <w:trHeight w:val="425"/>
        </w:trPr>
        <w:tc>
          <w:tcPr>
            <w:tcW w:w="3717" w:type="dxa"/>
            <w:tcBorders>
              <w:top w:val="nil"/>
              <w:left w:val="thinThickSmallGap" w:sz="24" w:space="0" w:color="auto"/>
              <w:bottom w:val="nil"/>
              <w:right w:val="nil"/>
            </w:tcBorders>
          </w:tcPr>
          <w:p w14:paraId="2EF32742" w14:textId="42ED9044" w:rsidR="0075128B" w:rsidRPr="0075128B" w:rsidRDefault="0075128B" w:rsidP="0075128B">
            <w:pPr>
              <w:spacing w:after="0"/>
              <w:ind w:firstLine="0"/>
              <w:rPr>
                <w:rFonts w:eastAsia="Calibri"/>
                <w:b/>
                <w:color w:val="000000" w:themeColor="text1"/>
                <w:szCs w:val="24"/>
              </w:rPr>
            </w:pPr>
            <w:r w:rsidRPr="0075128B">
              <w:rPr>
                <w:rFonts w:eastAsia="Calibri"/>
                <w:b/>
                <w:color w:val="000000" w:themeColor="text1"/>
              </w:rPr>
              <w:t>Дата окончания сбора данных</w:t>
            </w:r>
          </w:p>
        </w:tc>
        <w:tc>
          <w:tcPr>
            <w:tcW w:w="5639" w:type="dxa"/>
            <w:tcBorders>
              <w:top w:val="nil"/>
              <w:left w:val="nil"/>
              <w:bottom w:val="nil"/>
              <w:right w:val="thickThinSmallGap" w:sz="24" w:space="0" w:color="auto"/>
            </w:tcBorders>
          </w:tcPr>
          <w:p w14:paraId="4135CA9F" w14:textId="48516B03" w:rsidR="0075128B" w:rsidRPr="0075128B" w:rsidRDefault="0075128B" w:rsidP="0075128B">
            <w:pPr>
              <w:pStyle w:val="SDText"/>
              <w:ind w:firstLine="0"/>
              <w:rPr>
                <w:rFonts w:eastAsia="Calibri"/>
                <w:color w:val="000000" w:themeColor="text1"/>
                <w:szCs w:val="24"/>
              </w:rPr>
            </w:pPr>
            <w:r w:rsidRPr="0075128B">
              <w:rPr>
                <w:rFonts w:eastAsia="Calibri"/>
                <w:color w:val="000000" w:themeColor="text1"/>
              </w:rPr>
              <w:t>24 ноября 2022 г.</w:t>
            </w:r>
          </w:p>
        </w:tc>
      </w:tr>
      <w:tr w:rsidR="00C12655" w:rsidRPr="005E6358" w14:paraId="5900EC53" w14:textId="77777777" w:rsidTr="00E11B3B">
        <w:trPr>
          <w:trHeight w:val="687"/>
        </w:trPr>
        <w:tc>
          <w:tcPr>
            <w:tcW w:w="3717" w:type="dxa"/>
            <w:tcBorders>
              <w:top w:val="nil"/>
              <w:left w:val="thinThickSmallGap" w:sz="24" w:space="0" w:color="auto"/>
              <w:bottom w:val="nil"/>
              <w:right w:val="nil"/>
            </w:tcBorders>
            <w:hideMark/>
          </w:tcPr>
          <w:p w14:paraId="456AD86E" w14:textId="77777777" w:rsidR="00C12655" w:rsidRPr="00F85178" w:rsidRDefault="00C12655" w:rsidP="002A02F7">
            <w:pPr>
              <w:spacing w:after="0"/>
              <w:ind w:firstLine="0"/>
              <w:jc w:val="left"/>
              <w:rPr>
                <w:b/>
                <w:bCs/>
                <w:iCs/>
                <w:color w:val="000000" w:themeColor="text1"/>
                <w:szCs w:val="24"/>
              </w:rPr>
            </w:pPr>
            <w:r w:rsidRPr="00F85178">
              <w:rPr>
                <w:b/>
                <w:color w:val="000000" w:themeColor="text1"/>
                <w:szCs w:val="24"/>
              </w:rPr>
              <w:t>Заменяет предыдущую версию номер:</w:t>
            </w:r>
          </w:p>
        </w:tc>
        <w:tc>
          <w:tcPr>
            <w:tcW w:w="5639" w:type="dxa"/>
            <w:tcBorders>
              <w:top w:val="nil"/>
              <w:left w:val="nil"/>
              <w:bottom w:val="nil"/>
              <w:right w:val="thickThinSmallGap" w:sz="24" w:space="0" w:color="auto"/>
            </w:tcBorders>
            <w:hideMark/>
          </w:tcPr>
          <w:p w14:paraId="2EFDC87B" w14:textId="0C94F3BF" w:rsidR="00C12655" w:rsidRPr="00F8052C" w:rsidRDefault="005C40C4" w:rsidP="002A02F7">
            <w:pPr>
              <w:spacing w:after="0"/>
              <w:ind w:firstLine="0"/>
              <w:jc w:val="left"/>
              <w:rPr>
                <w:iCs/>
                <w:color w:val="000000" w:themeColor="text1"/>
                <w:szCs w:val="24"/>
              </w:rPr>
            </w:pPr>
            <w:sdt>
              <w:sdtPr>
                <w:rPr>
                  <w:szCs w:val="24"/>
                </w:rPr>
                <w:id w:val="-581530814"/>
                <w:placeholder>
                  <w:docPart w:val="0F231BE2004A4A9F8A6454E50D1F90D2"/>
                </w:placeholder>
              </w:sdtPr>
              <w:sdtEndPr/>
              <w:sdtContent>
                <w:r w:rsidR="0009417D">
                  <w:rPr>
                    <w:szCs w:val="24"/>
                  </w:rPr>
                  <w:t>Не применимо</w:t>
                </w:r>
              </w:sdtContent>
            </w:sdt>
          </w:p>
        </w:tc>
      </w:tr>
      <w:tr w:rsidR="00C12655" w:rsidRPr="005E6358" w14:paraId="1CDB12DD" w14:textId="77777777" w:rsidTr="00E11B3B">
        <w:trPr>
          <w:trHeight w:val="377"/>
        </w:trPr>
        <w:tc>
          <w:tcPr>
            <w:tcW w:w="3717" w:type="dxa"/>
            <w:tcBorders>
              <w:top w:val="nil"/>
              <w:left w:val="thinThickSmallGap" w:sz="24" w:space="0" w:color="auto"/>
              <w:bottom w:val="nil"/>
              <w:right w:val="nil"/>
            </w:tcBorders>
          </w:tcPr>
          <w:p w14:paraId="13771D99" w14:textId="77777777" w:rsidR="00C12655" w:rsidRPr="00F85178" w:rsidRDefault="00C12655" w:rsidP="002A02F7">
            <w:pPr>
              <w:spacing w:after="0"/>
              <w:ind w:firstLine="0"/>
              <w:jc w:val="left"/>
              <w:rPr>
                <w:b/>
                <w:color w:val="000000" w:themeColor="text1"/>
                <w:szCs w:val="24"/>
              </w:rPr>
            </w:pPr>
            <w:r w:rsidRPr="00F85178">
              <w:rPr>
                <w:b/>
                <w:color w:val="000000" w:themeColor="text1"/>
                <w:szCs w:val="24"/>
              </w:rPr>
              <w:t>Дата предыдущей версии:</w:t>
            </w:r>
          </w:p>
        </w:tc>
        <w:tc>
          <w:tcPr>
            <w:tcW w:w="5639" w:type="dxa"/>
            <w:tcBorders>
              <w:top w:val="nil"/>
              <w:left w:val="nil"/>
              <w:bottom w:val="nil"/>
              <w:right w:val="thickThinSmallGap" w:sz="24" w:space="0" w:color="auto"/>
            </w:tcBorders>
          </w:tcPr>
          <w:p w14:paraId="5BB72A35" w14:textId="4E440186" w:rsidR="00C12655" w:rsidRPr="00AA513A" w:rsidRDefault="005C40C4" w:rsidP="002A02F7">
            <w:pPr>
              <w:spacing w:after="0"/>
              <w:ind w:firstLine="0"/>
              <w:jc w:val="left"/>
              <w:rPr>
                <w:color w:val="000000" w:themeColor="text1"/>
                <w:szCs w:val="24"/>
              </w:rPr>
            </w:pPr>
            <w:sdt>
              <w:sdtPr>
                <w:rPr>
                  <w:szCs w:val="24"/>
                </w:rPr>
                <w:id w:val="1169984605"/>
                <w:placeholder>
                  <w:docPart w:val="EB0B02A282CE4281B8EF3C7ACD611376"/>
                </w:placeholder>
                <w:date>
                  <w:dateFormat w:val="dd.MM.yyyy"/>
                  <w:lid w:val="ru-RU"/>
                  <w:storeMappedDataAs w:val="dateTime"/>
                  <w:calendar w:val="gregorian"/>
                </w:date>
              </w:sdtPr>
              <w:sdtEndPr/>
              <w:sdtContent>
                <w:r w:rsidR="00823C2F">
                  <w:rPr>
                    <w:szCs w:val="24"/>
                  </w:rPr>
                  <w:t>Не применимо</w:t>
                </w:r>
              </w:sdtContent>
            </w:sdt>
          </w:p>
        </w:tc>
      </w:tr>
      <w:tr w:rsidR="009604E1" w:rsidRPr="005E6358" w14:paraId="48A9AB74" w14:textId="77777777" w:rsidTr="00E11B3B">
        <w:trPr>
          <w:trHeight w:val="1737"/>
        </w:trPr>
        <w:tc>
          <w:tcPr>
            <w:tcW w:w="3717" w:type="dxa"/>
            <w:tcBorders>
              <w:top w:val="single" w:sz="4" w:space="0" w:color="auto"/>
              <w:left w:val="thinThickSmallGap" w:sz="24" w:space="0" w:color="auto"/>
              <w:bottom w:val="nil"/>
              <w:right w:val="nil"/>
            </w:tcBorders>
            <w:vAlign w:val="center"/>
          </w:tcPr>
          <w:p w14:paraId="656F1F6A" w14:textId="77777777" w:rsidR="009604E1" w:rsidRPr="00DB4906" w:rsidRDefault="009604E1" w:rsidP="009604E1">
            <w:pPr>
              <w:spacing w:before="120" w:after="0"/>
              <w:ind w:firstLine="0"/>
              <w:jc w:val="left"/>
              <w:rPr>
                <w:rFonts w:eastAsia="Calibri"/>
                <w:b/>
                <w:color w:val="000000" w:themeColor="text1"/>
              </w:rPr>
            </w:pPr>
            <w:r w:rsidRPr="00DB4906">
              <w:rPr>
                <w:rFonts w:eastAsia="Calibri"/>
                <w:b/>
                <w:color w:val="000000" w:themeColor="text1"/>
              </w:rPr>
              <w:t>Наименование/имя и адрес спонсора (монитора) клинического исследования:</w:t>
            </w:r>
          </w:p>
          <w:p w14:paraId="1E92664D" w14:textId="77777777" w:rsidR="009604E1" w:rsidRPr="005E6358" w:rsidRDefault="009604E1" w:rsidP="009604E1">
            <w:pPr>
              <w:spacing w:before="120" w:after="0"/>
              <w:ind w:firstLine="0"/>
              <w:jc w:val="left"/>
              <w:rPr>
                <w:rFonts w:eastAsia="Calibri"/>
                <w:color w:val="000000" w:themeColor="text1"/>
              </w:rPr>
            </w:pPr>
          </w:p>
        </w:tc>
        <w:tc>
          <w:tcPr>
            <w:tcW w:w="5639" w:type="dxa"/>
            <w:tcBorders>
              <w:top w:val="single" w:sz="4" w:space="0" w:color="auto"/>
              <w:left w:val="nil"/>
              <w:bottom w:val="nil"/>
              <w:right w:val="thickThinSmallGap" w:sz="24" w:space="0" w:color="auto"/>
            </w:tcBorders>
            <w:vAlign w:val="center"/>
            <w:hideMark/>
          </w:tcPr>
          <w:p w14:paraId="0D0F8BE5" w14:textId="77777777" w:rsidR="009604E1" w:rsidRPr="0017550C" w:rsidRDefault="009604E1" w:rsidP="009604E1">
            <w:pPr>
              <w:spacing w:after="0"/>
              <w:ind w:firstLine="3"/>
              <w:jc w:val="left"/>
              <w:rPr>
                <w:rFonts w:eastAsia="Calibri"/>
              </w:rPr>
            </w:pPr>
            <w:r w:rsidRPr="0017550C">
              <w:rPr>
                <w:rFonts w:eastAsia="Calibri"/>
              </w:rPr>
              <w:t xml:space="preserve">АО «Р-Фарм», Россия </w:t>
            </w:r>
          </w:p>
          <w:p w14:paraId="2876998C" w14:textId="5C72D3C8" w:rsidR="009604E1" w:rsidRPr="0017550C" w:rsidRDefault="009604E1" w:rsidP="009604E1">
            <w:pPr>
              <w:spacing w:after="0"/>
              <w:ind w:firstLine="3"/>
              <w:jc w:val="left"/>
              <w:rPr>
                <w:rFonts w:eastAsia="Calibri"/>
              </w:rPr>
            </w:pPr>
            <w:r w:rsidRPr="0017550C">
              <w:rPr>
                <w:rFonts w:eastAsia="Calibri"/>
              </w:rPr>
              <w:t xml:space="preserve">Юридический адрес: </w:t>
            </w:r>
            <w:r w:rsidRPr="0017550C">
              <w:t>123154, Москва, ул.</w:t>
            </w:r>
            <w:r w:rsidR="00383E6F">
              <w:t xml:space="preserve"> </w:t>
            </w:r>
            <w:r w:rsidRPr="0017550C">
              <w:t>Берзарина, д. 19, корп. 1.</w:t>
            </w:r>
          </w:p>
          <w:p w14:paraId="68ED6307" w14:textId="77777777" w:rsidR="009604E1" w:rsidRPr="0017550C" w:rsidRDefault="009604E1" w:rsidP="009604E1">
            <w:pPr>
              <w:spacing w:after="0"/>
              <w:ind w:firstLine="3"/>
              <w:jc w:val="left"/>
              <w:rPr>
                <w:rFonts w:eastAsia="Calibri"/>
              </w:rPr>
            </w:pPr>
            <w:r w:rsidRPr="0017550C">
              <w:rPr>
                <w:rFonts w:eastAsia="Calibri"/>
              </w:rPr>
              <w:t>Тел.: +7 (495) 956-79-37, факс: +7 (495) 956-79-38.</w:t>
            </w:r>
          </w:p>
          <w:p w14:paraId="6A909B7B" w14:textId="75FCF535" w:rsidR="009604E1" w:rsidRPr="009C3C3E" w:rsidRDefault="009604E1" w:rsidP="009604E1">
            <w:pPr>
              <w:spacing w:after="0"/>
              <w:ind w:firstLine="3"/>
              <w:jc w:val="left"/>
              <w:rPr>
                <w:rFonts w:eastAsia="Calibri"/>
                <w:color w:val="000000" w:themeColor="text1"/>
              </w:rPr>
            </w:pPr>
            <w:r w:rsidRPr="0017550C">
              <w:rPr>
                <w:rFonts w:eastAsia="Calibri"/>
              </w:rPr>
              <w:t xml:space="preserve">Эл. почта: </w:t>
            </w:r>
            <w:r w:rsidRPr="0017550C">
              <w:rPr>
                <w:lang w:val="en-US"/>
              </w:rPr>
              <w:t>info</w:t>
            </w:r>
            <w:r w:rsidRPr="0017550C">
              <w:t>@</w:t>
            </w:r>
            <w:r w:rsidRPr="0017550C">
              <w:rPr>
                <w:lang w:val="en-US"/>
              </w:rPr>
              <w:t>rpharm</w:t>
            </w:r>
            <w:r w:rsidRPr="0017550C">
              <w:t>.</w:t>
            </w:r>
            <w:r w:rsidRPr="0017550C">
              <w:rPr>
                <w:lang w:val="en-US"/>
              </w:rPr>
              <w:t>ru</w:t>
            </w:r>
          </w:p>
        </w:tc>
      </w:tr>
      <w:tr w:rsidR="009604E1" w:rsidRPr="005E6358" w14:paraId="70ABC5DD" w14:textId="77777777" w:rsidTr="00E11B3B">
        <w:trPr>
          <w:trHeight w:val="2116"/>
        </w:trPr>
        <w:tc>
          <w:tcPr>
            <w:tcW w:w="3717" w:type="dxa"/>
            <w:tcBorders>
              <w:top w:val="single" w:sz="4" w:space="0" w:color="auto"/>
              <w:left w:val="thinThickSmallGap" w:sz="24" w:space="0" w:color="auto"/>
              <w:bottom w:val="nil"/>
              <w:right w:val="nil"/>
            </w:tcBorders>
            <w:vAlign w:val="center"/>
          </w:tcPr>
          <w:p w14:paraId="30235EF4" w14:textId="3A65420D" w:rsidR="009604E1" w:rsidRPr="005E6358" w:rsidRDefault="009604E1" w:rsidP="009604E1">
            <w:pPr>
              <w:spacing w:before="120" w:after="0"/>
              <w:ind w:firstLine="0"/>
              <w:jc w:val="left"/>
              <w:rPr>
                <w:rFonts w:eastAsia="Calibri"/>
                <w:color w:val="000000" w:themeColor="text1"/>
              </w:rPr>
            </w:pPr>
            <w:r w:rsidRPr="00DB4906">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639" w:type="dxa"/>
            <w:tcBorders>
              <w:top w:val="single" w:sz="4" w:space="0" w:color="auto"/>
              <w:left w:val="nil"/>
              <w:bottom w:val="nil"/>
              <w:right w:val="thickThinSmallGap" w:sz="24" w:space="0" w:color="auto"/>
            </w:tcBorders>
            <w:vAlign w:val="center"/>
          </w:tcPr>
          <w:p w14:paraId="79E3010B" w14:textId="77777777" w:rsidR="009604E1" w:rsidRPr="00DB4906" w:rsidRDefault="009604E1" w:rsidP="009604E1">
            <w:pPr>
              <w:spacing w:after="0"/>
              <w:ind w:firstLine="0"/>
              <w:jc w:val="left"/>
              <w:rPr>
                <w:rFonts w:eastAsia="Calibri"/>
                <w:b/>
              </w:rPr>
            </w:pPr>
            <w:r w:rsidRPr="00DB4906">
              <w:rPr>
                <w:rFonts w:eastAsia="Calibri"/>
                <w:b/>
              </w:rPr>
              <w:t>Никольская Мария Викторовна</w:t>
            </w:r>
          </w:p>
          <w:p w14:paraId="14ABFCFB" w14:textId="77777777" w:rsidR="009604E1" w:rsidRPr="00904040" w:rsidRDefault="009604E1" w:rsidP="009604E1">
            <w:pPr>
              <w:spacing w:after="0"/>
              <w:ind w:firstLine="0"/>
              <w:jc w:val="left"/>
              <w:rPr>
                <w:rFonts w:eastAsia="Calibri"/>
              </w:rPr>
            </w:pPr>
            <w:r w:rsidRPr="00904040">
              <w:rPr>
                <w:rFonts w:eastAsia="Calibri"/>
              </w:rPr>
              <w:t>Руководитель отдела медицинской документации ДДКР Медицинской дирекции АО «Р-Фарм»</w:t>
            </w:r>
          </w:p>
          <w:p w14:paraId="2514F7EF" w14:textId="77777777" w:rsidR="009604E1" w:rsidRPr="0017550C" w:rsidRDefault="009604E1" w:rsidP="009604E1">
            <w:pPr>
              <w:spacing w:after="0"/>
              <w:ind w:firstLine="0"/>
              <w:jc w:val="left"/>
              <w:rPr>
                <w:rFonts w:eastAsia="Calibri"/>
              </w:rPr>
            </w:pPr>
            <w:r w:rsidRPr="0017550C">
              <w:rPr>
                <w:rFonts w:eastAsia="Calibri"/>
              </w:rPr>
              <w:t xml:space="preserve">Адрес: Россия, 123154, Москва, Ленинский проспект, </w:t>
            </w:r>
            <w:r w:rsidRPr="0017550C">
              <w:rPr>
                <w:rFonts w:eastAsia="Calibri"/>
                <w:lang w:eastAsia="ru-RU"/>
              </w:rPr>
              <w:t>111, к1</w:t>
            </w:r>
            <w:r w:rsidRPr="0017550C">
              <w:rPr>
                <w:rFonts w:eastAsia="Calibri"/>
              </w:rPr>
              <w:t>.</w:t>
            </w:r>
          </w:p>
          <w:p w14:paraId="307861FE" w14:textId="77777777" w:rsidR="009604E1" w:rsidRPr="0017550C" w:rsidRDefault="009604E1" w:rsidP="009604E1">
            <w:pPr>
              <w:spacing w:after="0"/>
              <w:ind w:firstLine="0"/>
              <w:jc w:val="left"/>
              <w:rPr>
                <w:rFonts w:eastAsia="Calibri"/>
              </w:rPr>
            </w:pPr>
            <w:r w:rsidRPr="0017550C">
              <w:rPr>
                <w:rFonts w:eastAsia="Calibri"/>
              </w:rPr>
              <w:t>Тел.: +7 (495) 956-79-37, моб.: +7 (921) 327-35-73.</w:t>
            </w:r>
          </w:p>
          <w:p w14:paraId="5CE5A304" w14:textId="155422C5" w:rsidR="009604E1" w:rsidRPr="003F7EB7" w:rsidRDefault="009604E1" w:rsidP="009604E1">
            <w:pPr>
              <w:spacing w:after="0"/>
              <w:ind w:firstLine="0"/>
              <w:jc w:val="left"/>
              <w:rPr>
                <w:rFonts w:eastAsia="Calibri"/>
                <w:color w:val="000000" w:themeColor="text1"/>
              </w:rPr>
            </w:pPr>
            <w:r w:rsidRPr="0017550C">
              <w:rPr>
                <w:rFonts w:eastAsia="Calibri"/>
              </w:rPr>
              <w:t xml:space="preserve">Эл. почта: </w:t>
            </w:r>
            <w:r w:rsidRPr="0017550C">
              <w:t>mv.nikolskaya@rpharm.ru</w:t>
            </w:r>
            <w:r w:rsidRPr="00DB4906">
              <w:rPr>
                <w:rFonts w:eastAsia="Calibri"/>
                <w:lang w:val="de-DE"/>
              </w:rPr>
              <w:tab/>
            </w:r>
          </w:p>
        </w:tc>
      </w:tr>
      <w:tr w:rsidR="00C12655" w:rsidRPr="005E6358" w14:paraId="1383D8AD" w14:textId="77777777" w:rsidTr="00E11B3B">
        <w:trPr>
          <w:trHeight w:val="1490"/>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08D2A154" w14:textId="77777777" w:rsidR="00C12655" w:rsidRPr="00AB01E2" w:rsidRDefault="00C12655" w:rsidP="008210DF">
            <w:pPr>
              <w:spacing w:after="0"/>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E42E258" w14:textId="403BCBA6" w:rsidR="002E2A87" w:rsidRPr="00375214" w:rsidRDefault="002E2A87" w:rsidP="00375214">
      <w:pPr>
        <w:pStyle w:val="SDText"/>
        <w:tabs>
          <w:tab w:val="left" w:pos="6630"/>
          <w:tab w:val="left" w:pos="8258"/>
        </w:tabs>
        <w:sectPr w:rsidR="002E2A87" w:rsidRPr="00375214" w:rsidSect="00F85178">
          <w:headerReference w:type="default" r:id="rId12"/>
          <w:footerReference w:type="default" r:id="rId13"/>
          <w:headerReference w:type="first" r:id="rId14"/>
          <w:pgSz w:w="11906" w:h="16838"/>
          <w:pgMar w:top="1134" w:right="850" w:bottom="1134" w:left="1701" w:header="708" w:footer="708" w:gutter="0"/>
          <w:cols w:space="708"/>
          <w:docGrid w:linePitch="360"/>
        </w:sectPr>
      </w:pPr>
    </w:p>
    <w:bookmarkStart w:id="0" w:name="_Toc115420994" w:displacedByCustomXml="next"/>
    <w:bookmarkStart w:id="1" w:name="_Toc121592526" w:displacedByCustomXml="next"/>
    <w:sdt>
      <w:sdtPr>
        <w:rPr>
          <w:rFonts w:asciiTheme="minorHAnsi" w:eastAsiaTheme="minorHAnsi" w:hAnsiTheme="minorHAnsi" w:cstheme="minorBidi"/>
          <w:bCs/>
          <w:color w:val="auto"/>
          <w:szCs w:val="24"/>
        </w:rPr>
        <w:id w:val="-731544147"/>
        <w:docPartObj>
          <w:docPartGallery w:val="Table of Contents"/>
          <w:docPartUnique/>
        </w:docPartObj>
      </w:sdtPr>
      <w:sdtEndPr>
        <w:rPr>
          <w:rFonts w:ascii="Times New Roman" w:hAnsi="Times New Roman" w:cs="Times New Roman"/>
          <w:b w:val="0"/>
          <w:noProof/>
        </w:rPr>
      </w:sdtEndPr>
      <w:sdtContent>
        <w:p w14:paraId="473BFDBA" w14:textId="77A3DF9D" w:rsidR="009B3DC5" w:rsidRPr="00791E09" w:rsidRDefault="00DE55ED" w:rsidP="00791E09">
          <w:pPr>
            <w:pStyle w:val="1"/>
            <w:spacing w:before="240" w:after="240"/>
            <w:rPr>
              <w:rFonts w:cs="Times New Roman"/>
              <w:szCs w:val="24"/>
            </w:rPr>
          </w:pPr>
          <w:r w:rsidRPr="00791E09">
            <w:rPr>
              <w:rFonts w:cs="Times New Roman"/>
              <w:szCs w:val="24"/>
            </w:rPr>
            <w:t>СОДЕРЖАНИЕ</w:t>
          </w:r>
          <w:bookmarkEnd w:id="1"/>
          <w:bookmarkEnd w:id="0"/>
        </w:p>
        <w:p w14:paraId="3521FA8C" w14:textId="1BE45804" w:rsidR="007003A8" w:rsidRPr="007003A8" w:rsidRDefault="00157F01"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rPr>
            <w:fldChar w:fldCharType="begin"/>
          </w:r>
          <w:r w:rsidRPr="007003A8">
            <w:rPr>
              <w:rFonts w:cs="Times New Roman"/>
              <w:b w:val="0"/>
            </w:rPr>
            <w:instrText xml:space="preserve"> TOC \o "1-4" </w:instrText>
          </w:r>
          <w:r w:rsidRPr="007003A8">
            <w:rPr>
              <w:rFonts w:cs="Times New Roman"/>
              <w:b w:val="0"/>
            </w:rPr>
            <w:fldChar w:fldCharType="separate"/>
          </w:r>
          <w:r w:rsidR="007003A8" w:rsidRPr="007003A8">
            <w:rPr>
              <w:rFonts w:cs="Times New Roman"/>
              <w:b w:val="0"/>
              <w:noProof/>
            </w:rPr>
            <w:t>СОДЕРЖАНИЕ</w:t>
          </w:r>
          <w:r w:rsidR="007003A8" w:rsidRPr="007003A8">
            <w:rPr>
              <w:rFonts w:cs="Times New Roman"/>
              <w:b w:val="0"/>
              <w:noProof/>
            </w:rPr>
            <w:tab/>
          </w:r>
          <w:r w:rsidR="007003A8" w:rsidRPr="007003A8">
            <w:rPr>
              <w:rFonts w:cs="Times New Roman"/>
              <w:b w:val="0"/>
              <w:noProof/>
            </w:rPr>
            <w:fldChar w:fldCharType="begin"/>
          </w:r>
          <w:r w:rsidR="007003A8" w:rsidRPr="007003A8">
            <w:rPr>
              <w:rFonts w:cs="Times New Roman"/>
              <w:b w:val="0"/>
              <w:noProof/>
            </w:rPr>
            <w:instrText xml:space="preserve"> PAGEREF _Toc121592526 \h </w:instrText>
          </w:r>
          <w:r w:rsidR="007003A8" w:rsidRPr="007003A8">
            <w:rPr>
              <w:rFonts w:cs="Times New Roman"/>
              <w:b w:val="0"/>
              <w:noProof/>
            </w:rPr>
          </w:r>
          <w:r w:rsidR="007003A8" w:rsidRPr="007003A8">
            <w:rPr>
              <w:rFonts w:cs="Times New Roman"/>
              <w:b w:val="0"/>
              <w:noProof/>
            </w:rPr>
            <w:fldChar w:fldCharType="separate"/>
          </w:r>
          <w:r w:rsidR="00791E09">
            <w:rPr>
              <w:rFonts w:cs="Times New Roman"/>
              <w:b w:val="0"/>
              <w:noProof/>
            </w:rPr>
            <w:t>2</w:t>
          </w:r>
          <w:r w:rsidR="007003A8" w:rsidRPr="007003A8">
            <w:rPr>
              <w:rFonts w:cs="Times New Roman"/>
              <w:b w:val="0"/>
              <w:noProof/>
            </w:rPr>
            <w:fldChar w:fldCharType="end"/>
          </w:r>
        </w:p>
        <w:p w14:paraId="7395A26D" w14:textId="0E6E0F07" w:rsidR="007003A8" w:rsidRPr="007003A8" w:rsidRDefault="007003A8"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ЛИСТ СОГЛАСОВАНИЯ</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_Toc121592527 \h </w:instrText>
          </w:r>
          <w:r w:rsidRPr="007003A8">
            <w:rPr>
              <w:rFonts w:cs="Times New Roman"/>
              <w:b w:val="0"/>
              <w:noProof/>
            </w:rPr>
          </w:r>
          <w:r w:rsidRPr="007003A8">
            <w:rPr>
              <w:rFonts w:cs="Times New Roman"/>
              <w:b w:val="0"/>
              <w:noProof/>
            </w:rPr>
            <w:fldChar w:fldCharType="separate"/>
          </w:r>
          <w:r w:rsidR="00791E09">
            <w:rPr>
              <w:rFonts w:cs="Times New Roman"/>
              <w:b w:val="0"/>
              <w:noProof/>
            </w:rPr>
            <w:t>5</w:t>
          </w:r>
          <w:r w:rsidRPr="007003A8">
            <w:rPr>
              <w:rFonts w:cs="Times New Roman"/>
              <w:b w:val="0"/>
              <w:noProof/>
            </w:rPr>
            <w:fldChar w:fldCharType="end"/>
          </w:r>
        </w:p>
        <w:p w14:paraId="4E851A12" w14:textId="42D7B828" w:rsidR="007003A8" w:rsidRPr="007003A8" w:rsidRDefault="007003A8"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СПИСОК СОКРАЩЕНИЙ</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_Toc121592528 \h </w:instrText>
          </w:r>
          <w:r w:rsidRPr="007003A8">
            <w:rPr>
              <w:rFonts w:cs="Times New Roman"/>
              <w:b w:val="0"/>
              <w:noProof/>
            </w:rPr>
          </w:r>
          <w:r w:rsidRPr="007003A8">
            <w:rPr>
              <w:rFonts w:cs="Times New Roman"/>
              <w:b w:val="0"/>
              <w:noProof/>
            </w:rPr>
            <w:fldChar w:fldCharType="separate"/>
          </w:r>
          <w:r w:rsidR="00791E09">
            <w:rPr>
              <w:rFonts w:cs="Times New Roman"/>
              <w:b w:val="0"/>
              <w:noProof/>
            </w:rPr>
            <w:t>6</w:t>
          </w:r>
          <w:r w:rsidRPr="007003A8">
            <w:rPr>
              <w:rFonts w:cs="Times New Roman"/>
              <w:b w:val="0"/>
              <w:noProof/>
            </w:rPr>
            <w:fldChar w:fldCharType="end"/>
          </w:r>
        </w:p>
        <w:p w14:paraId="634602B9" w14:textId="43FE7564" w:rsidR="007003A8" w:rsidRPr="007003A8" w:rsidRDefault="007003A8"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ИСТОРИЯ ДОКУМЕНТА</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_Toc121592529 \h </w:instrText>
          </w:r>
          <w:r w:rsidRPr="007003A8">
            <w:rPr>
              <w:rFonts w:cs="Times New Roman"/>
              <w:b w:val="0"/>
              <w:noProof/>
            </w:rPr>
          </w:r>
          <w:r w:rsidRPr="007003A8">
            <w:rPr>
              <w:rFonts w:cs="Times New Roman"/>
              <w:b w:val="0"/>
              <w:noProof/>
            </w:rPr>
            <w:fldChar w:fldCharType="separate"/>
          </w:r>
          <w:r w:rsidR="00791E09">
            <w:rPr>
              <w:rFonts w:cs="Times New Roman"/>
              <w:b w:val="0"/>
              <w:noProof/>
            </w:rPr>
            <w:t>10</w:t>
          </w:r>
          <w:r w:rsidRPr="007003A8">
            <w:rPr>
              <w:rFonts w:cs="Times New Roman"/>
              <w:b w:val="0"/>
              <w:noProof/>
            </w:rPr>
            <w:fldChar w:fldCharType="end"/>
          </w:r>
        </w:p>
        <w:p w14:paraId="0FE3596A" w14:textId="1E4D333F" w:rsidR="007003A8" w:rsidRPr="007003A8" w:rsidRDefault="007003A8"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РЕЗЮМЕ</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_Toc121592530 \h </w:instrText>
          </w:r>
          <w:r w:rsidRPr="007003A8">
            <w:rPr>
              <w:rFonts w:cs="Times New Roman"/>
              <w:b w:val="0"/>
              <w:noProof/>
            </w:rPr>
          </w:r>
          <w:r w:rsidRPr="007003A8">
            <w:rPr>
              <w:rFonts w:cs="Times New Roman"/>
              <w:b w:val="0"/>
              <w:noProof/>
            </w:rPr>
            <w:fldChar w:fldCharType="separate"/>
          </w:r>
          <w:r w:rsidR="00791E09">
            <w:rPr>
              <w:rFonts w:cs="Times New Roman"/>
              <w:b w:val="0"/>
              <w:noProof/>
            </w:rPr>
            <w:t>11</w:t>
          </w:r>
          <w:r w:rsidRPr="007003A8">
            <w:rPr>
              <w:rFonts w:cs="Times New Roman"/>
              <w:b w:val="0"/>
              <w:noProof/>
            </w:rPr>
            <w:fldChar w:fldCharType="end"/>
          </w:r>
        </w:p>
        <w:p w14:paraId="1FE9E1B2" w14:textId="1400C698" w:rsidR="007003A8" w:rsidRPr="007003A8" w:rsidRDefault="007003A8" w:rsidP="007003A8">
          <w:pPr>
            <w:pStyle w:val="11"/>
            <w:tabs>
              <w:tab w:val="left" w:pos="1134"/>
              <w:tab w:val="right" w:leader="dot" w:pos="9345"/>
            </w:tabs>
            <w:spacing w:before="0"/>
            <w:ind w:firstLine="0"/>
            <w:rPr>
              <w:rFonts w:eastAsiaTheme="minorEastAsia" w:cs="Times New Roman"/>
              <w:b w:val="0"/>
              <w:bCs w:val="0"/>
              <w:noProof/>
              <w:lang w:eastAsia="ru-RU"/>
            </w:rPr>
          </w:pPr>
          <w:r w:rsidRPr="007003A8">
            <w:rPr>
              <w:rFonts w:cs="Times New Roman"/>
              <w:b w:val="0"/>
              <w:noProof/>
            </w:rPr>
            <w:t>1.</w:t>
          </w:r>
          <w:r>
            <w:rPr>
              <w:rFonts w:eastAsiaTheme="minorEastAsia" w:cs="Times New Roman"/>
              <w:b w:val="0"/>
              <w:bCs w:val="0"/>
              <w:noProof/>
              <w:lang w:eastAsia="ru-RU"/>
            </w:rPr>
            <w:t xml:space="preserve"> </w:t>
          </w:r>
          <w:r w:rsidRPr="007003A8">
            <w:rPr>
              <w:rFonts w:cs="Times New Roman"/>
              <w:b w:val="0"/>
              <w:noProof/>
            </w:rPr>
            <w:t>ВВЕДЕНИЕ</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_Toc121592531 \h </w:instrText>
          </w:r>
          <w:r w:rsidRPr="007003A8">
            <w:rPr>
              <w:rFonts w:cs="Times New Roman"/>
              <w:b w:val="0"/>
              <w:noProof/>
            </w:rPr>
          </w:r>
          <w:r w:rsidRPr="007003A8">
            <w:rPr>
              <w:rFonts w:cs="Times New Roman"/>
              <w:b w:val="0"/>
              <w:noProof/>
            </w:rPr>
            <w:fldChar w:fldCharType="separate"/>
          </w:r>
          <w:r w:rsidR="00791E09">
            <w:rPr>
              <w:rFonts w:cs="Times New Roman"/>
              <w:b w:val="0"/>
              <w:noProof/>
            </w:rPr>
            <w:t>13</w:t>
          </w:r>
          <w:r w:rsidRPr="007003A8">
            <w:rPr>
              <w:rFonts w:cs="Times New Roman"/>
              <w:b w:val="0"/>
              <w:noProof/>
            </w:rPr>
            <w:fldChar w:fldCharType="end"/>
          </w:r>
        </w:p>
        <w:p w14:paraId="6A842741" w14:textId="3ED5E4F8"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1.1. Химическое название</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_Toc121592532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13</w:t>
          </w:r>
          <w:r w:rsidRPr="007003A8">
            <w:rPr>
              <w:rFonts w:cs="Times New Roman"/>
              <w:b w:val="0"/>
              <w:noProof/>
              <w:sz w:val="24"/>
              <w:szCs w:val="24"/>
            </w:rPr>
            <w:fldChar w:fldCharType="end"/>
          </w:r>
        </w:p>
        <w:p w14:paraId="6AE2CE4A" w14:textId="45A42B64"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1.2. Международное непатентованное название</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_Toc121592533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13</w:t>
          </w:r>
          <w:r w:rsidRPr="007003A8">
            <w:rPr>
              <w:rFonts w:cs="Times New Roman"/>
              <w:b w:val="0"/>
              <w:noProof/>
              <w:sz w:val="24"/>
              <w:szCs w:val="24"/>
            </w:rPr>
            <w:fldChar w:fldCharType="end"/>
          </w:r>
        </w:p>
        <w:p w14:paraId="1A10D962" w14:textId="0C4E07A9"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1.3. Торговое название</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_Toc121592534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13</w:t>
          </w:r>
          <w:r w:rsidRPr="007003A8">
            <w:rPr>
              <w:rFonts w:cs="Times New Roman"/>
              <w:b w:val="0"/>
              <w:noProof/>
              <w:sz w:val="24"/>
              <w:szCs w:val="24"/>
            </w:rPr>
            <w:fldChar w:fldCharType="end"/>
          </w:r>
        </w:p>
        <w:p w14:paraId="137038AE" w14:textId="190EF82C"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1.4. Активные ингредиенты</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_Toc121592535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13</w:t>
          </w:r>
          <w:r w:rsidRPr="007003A8">
            <w:rPr>
              <w:rFonts w:cs="Times New Roman"/>
              <w:b w:val="0"/>
              <w:noProof/>
              <w:sz w:val="24"/>
              <w:szCs w:val="24"/>
            </w:rPr>
            <w:fldChar w:fldCharType="end"/>
          </w:r>
        </w:p>
        <w:p w14:paraId="533B27E7" w14:textId="10383640"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1.5. Фармакологическая группа</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_Toc121592536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13</w:t>
          </w:r>
          <w:r w:rsidRPr="007003A8">
            <w:rPr>
              <w:rFonts w:cs="Times New Roman"/>
              <w:b w:val="0"/>
              <w:noProof/>
              <w:sz w:val="24"/>
              <w:szCs w:val="24"/>
            </w:rPr>
            <w:fldChar w:fldCharType="end"/>
          </w:r>
        </w:p>
        <w:p w14:paraId="1F76A7B4" w14:textId="46BF7EEF"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1.6. Код по АТХ</w:t>
          </w:r>
          <w:bookmarkStart w:id="2" w:name="_GoBack"/>
          <w:bookmarkEnd w:id="2"/>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_Toc121592537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13</w:t>
          </w:r>
          <w:r w:rsidRPr="007003A8">
            <w:rPr>
              <w:rFonts w:cs="Times New Roman"/>
              <w:b w:val="0"/>
              <w:noProof/>
              <w:sz w:val="24"/>
              <w:szCs w:val="24"/>
            </w:rPr>
            <w:fldChar w:fldCharType="end"/>
          </w:r>
        </w:p>
        <w:p w14:paraId="260C759D" w14:textId="21CC4E50"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1.7. Обоснование для изучения исследуемого препарата</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_Toc121592538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13</w:t>
          </w:r>
          <w:r w:rsidRPr="007003A8">
            <w:rPr>
              <w:rFonts w:cs="Times New Roman"/>
              <w:b w:val="0"/>
              <w:noProof/>
              <w:sz w:val="24"/>
              <w:szCs w:val="24"/>
            </w:rPr>
            <w:fldChar w:fldCharType="end"/>
          </w:r>
        </w:p>
        <w:p w14:paraId="4708DDFA" w14:textId="32158151"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1.7.1. Общие сведения о заболевании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_Toc121592539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13</w:t>
          </w:r>
          <w:r w:rsidRPr="007003A8">
            <w:rPr>
              <w:rFonts w:cs="Times New Roman"/>
              <w:noProof/>
              <w:sz w:val="24"/>
              <w:szCs w:val="24"/>
            </w:rPr>
            <w:fldChar w:fldCharType="end"/>
          </w:r>
        </w:p>
        <w:p w14:paraId="3A38A6C6" w14:textId="1B0BF20D"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1.7.2. Существующие варианты терапии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_Toc121592540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w:t>
          </w:r>
          <w:r w:rsidRPr="007003A8">
            <w:rPr>
              <w:rFonts w:cs="Times New Roman"/>
              <w:noProof/>
              <w:sz w:val="24"/>
              <w:szCs w:val="24"/>
            </w:rPr>
            <w:fldChar w:fldCharType="end"/>
          </w:r>
        </w:p>
        <w:p w14:paraId="2A62C370" w14:textId="38664294"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1.7.3. Вводная информация по исследуемой терапии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_Toc121592541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20</w:t>
          </w:r>
          <w:r w:rsidRPr="007003A8">
            <w:rPr>
              <w:rFonts w:cs="Times New Roman"/>
              <w:noProof/>
              <w:sz w:val="24"/>
              <w:szCs w:val="24"/>
            </w:rPr>
            <w:fldChar w:fldCharType="end"/>
          </w:r>
        </w:p>
        <w:p w14:paraId="29F05A6F" w14:textId="2ECEAA46"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1.8. Ожидаемые показания к применению</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_Toc121592542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22</w:t>
          </w:r>
          <w:r w:rsidRPr="007003A8">
            <w:rPr>
              <w:rFonts w:cs="Times New Roman"/>
              <w:b w:val="0"/>
              <w:noProof/>
              <w:sz w:val="24"/>
              <w:szCs w:val="24"/>
            </w:rPr>
            <w:fldChar w:fldCharType="end"/>
          </w:r>
        </w:p>
        <w:p w14:paraId="04CA1764" w14:textId="139D399A"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Список литературы</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_Toc121592543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22</w:t>
          </w:r>
          <w:r w:rsidRPr="007003A8">
            <w:rPr>
              <w:rFonts w:cs="Times New Roman"/>
              <w:b w:val="0"/>
              <w:noProof/>
              <w:sz w:val="24"/>
              <w:szCs w:val="24"/>
            </w:rPr>
            <w:fldChar w:fldCharType="end"/>
          </w:r>
        </w:p>
        <w:p w14:paraId="57EFFA3E" w14:textId="4A57A870" w:rsidR="007003A8" w:rsidRPr="007003A8" w:rsidRDefault="007003A8"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2. ФИЗИЧЕСКИЕ, ХИМИЧЕСКИЕ, ФАРМАЦЕВТИЧЕСКИЕ СВОЙСТВА И ЛЕКАРСТВЕННАЯ ФОРМА</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_Toc121592544 \h </w:instrText>
          </w:r>
          <w:r w:rsidRPr="007003A8">
            <w:rPr>
              <w:rFonts w:cs="Times New Roman"/>
              <w:b w:val="0"/>
              <w:noProof/>
            </w:rPr>
          </w:r>
          <w:r w:rsidRPr="007003A8">
            <w:rPr>
              <w:rFonts w:cs="Times New Roman"/>
              <w:b w:val="0"/>
              <w:noProof/>
            </w:rPr>
            <w:fldChar w:fldCharType="separate"/>
          </w:r>
          <w:r w:rsidR="00791E09">
            <w:rPr>
              <w:rFonts w:cs="Times New Roman"/>
              <w:b w:val="0"/>
              <w:noProof/>
            </w:rPr>
            <w:t>23</w:t>
          </w:r>
          <w:r w:rsidRPr="007003A8">
            <w:rPr>
              <w:rFonts w:cs="Times New Roman"/>
              <w:b w:val="0"/>
              <w:noProof/>
            </w:rPr>
            <w:fldChar w:fldCharType="end"/>
          </w:r>
        </w:p>
        <w:p w14:paraId="2C600F17" w14:textId="470B62E4"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2.1. Описание свойств исследуемого препарата</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_Toc121592545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23</w:t>
          </w:r>
          <w:r w:rsidRPr="007003A8">
            <w:rPr>
              <w:rFonts w:cs="Times New Roman"/>
              <w:b w:val="0"/>
              <w:noProof/>
              <w:sz w:val="24"/>
              <w:szCs w:val="24"/>
            </w:rPr>
            <w:fldChar w:fldCharType="end"/>
          </w:r>
        </w:p>
        <w:p w14:paraId="7C2FB4C7" w14:textId="41A7289B"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2.1.1. Химическая формула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_Toc121592546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23</w:t>
          </w:r>
          <w:r w:rsidRPr="007003A8">
            <w:rPr>
              <w:rFonts w:cs="Times New Roman"/>
              <w:noProof/>
              <w:sz w:val="24"/>
              <w:szCs w:val="24"/>
            </w:rPr>
            <w:fldChar w:fldCharType="end"/>
          </w:r>
        </w:p>
        <w:p w14:paraId="4D3724D0" w14:textId="1EA73295"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2.1.2. Структурная формула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_Toc121592547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23</w:t>
          </w:r>
          <w:r w:rsidRPr="007003A8">
            <w:rPr>
              <w:rFonts w:cs="Times New Roman"/>
              <w:noProof/>
              <w:sz w:val="24"/>
              <w:szCs w:val="24"/>
            </w:rPr>
            <w:fldChar w:fldCharType="end"/>
          </w:r>
        </w:p>
        <w:p w14:paraId="578C1667" w14:textId="7C597379"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2.1.3. Физико-химические и фармацевтические свойства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_Toc121592548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24</w:t>
          </w:r>
          <w:r w:rsidRPr="007003A8">
            <w:rPr>
              <w:rFonts w:cs="Times New Roman"/>
              <w:noProof/>
              <w:sz w:val="24"/>
              <w:szCs w:val="24"/>
            </w:rPr>
            <w:fldChar w:fldCharType="end"/>
          </w:r>
        </w:p>
        <w:p w14:paraId="34445B44" w14:textId="0C9F2682"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2.2. Лекарственная форма</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_Toc121592549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24</w:t>
          </w:r>
          <w:r w:rsidRPr="007003A8">
            <w:rPr>
              <w:rFonts w:cs="Times New Roman"/>
              <w:b w:val="0"/>
              <w:noProof/>
              <w:sz w:val="24"/>
              <w:szCs w:val="24"/>
            </w:rPr>
            <w:fldChar w:fldCharType="end"/>
          </w:r>
        </w:p>
        <w:p w14:paraId="3D6DFE1E" w14:textId="7FCBEA41"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2.2.1. Название лекарственной формы</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_Toc121592550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24</w:t>
          </w:r>
          <w:r w:rsidRPr="007003A8">
            <w:rPr>
              <w:rFonts w:cs="Times New Roman"/>
              <w:noProof/>
              <w:sz w:val="24"/>
              <w:szCs w:val="24"/>
            </w:rPr>
            <w:fldChar w:fldCharType="end"/>
          </w:r>
        </w:p>
        <w:p w14:paraId="3FBAAA80" w14:textId="4D61CF30"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2.2.2. Описание лекарственной формы</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_Toc121592551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24</w:t>
          </w:r>
          <w:r w:rsidRPr="007003A8">
            <w:rPr>
              <w:rFonts w:cs="Times New Roman"/>
              <w:noProof/>
              <w:sz w:val="24"/>
              <w:szCs w:val="24"/>
            </w:rPr>
            <w:fldChar w:fldCharType="end"/>
          </w:r>
        </w:p>
        <w:p w14:paraId="772BD606" w14:textId="56C1F762"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2.2.3. Состав лекарственной формы</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_Toc121592552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24</w:t>
          </w:r>
          <w:r w:rsidRPr="007003A8">
            <w:rPr>
              <w:rFonts w:cs="Times New Roman"/>
              <w:noProof/>
              <w:sz w:val="24"/>
              <w:szCs w:val="24"/>
            </w:rPr>
            <w:fldChar w:fldCharType="end"/>
          </w:r>
        </w:p>
        <w:p w14:paraId="67BEA91A" w14:textId="25345390"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2.2.4. Форма выпуска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_Toc121592553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27</w:t>
          </w:r>
          <w:r w:rsidRPr="007003A8">
            <w:rPr>
              <w:rFonts w:cs="Times New Roman"/>
              <w:noProof/>
              <w:sz w:val="24"/>
              <w:szCs w:val="24"/>
            </w:rPr>
            <w:fldChar w:fldCharType="end"/>
          </w:r>
        </w:p>
        <w:p w14:paraId="186A2D47" w14:textId="51A4ABA2"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2.3. Правила хранения и обращения</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_Toc121592554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28</w:t>
          </w:r>
          <w:r w:rsidRPr="007003A8">
            <w:rPr>
              <w:rFonts w:cs="Times New Roman"/>
              <w:b w:val="0"/>
              <w:noProof/>
              <w:sz w:val="24"/>
              <w:szCs w:val="24"/>
            </w:rPr>
            <w:fldChar w:fldCharType="end"/>
          </w:r>
        </w:p>
        <w:p w14:paraId="3C57C6AC" w14:textId="3AD0A7C7"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2.3.1. Условия хранения и транспортировки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_Toc121592555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28</w:t>
          </w:r>
          <w:r w:rsidRPr="007003A8">
            <w:rPr>
              <w:rFonts w:cs="Times New Roman"/>
              <w:noProof/>
              <w:sz w:val="24"/>
              <w:szCs w:val="24"/>
            </w:rPr>
            <w:fldChar w:fldCharType="end"/>
          </w:r>
        </w:p>
        <w:p w14:paraId="0E6D9213" w14:textId="1F0DBDFC"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2.3.2. Срок годности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_Toc121592556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28</w:t>
          </w:r>
          <w:r w:rsidRPr="007003A8">
            <w:rPr>
              <w:rFonts w:cs="Times New Roman"/>
              <w:noProof/>
              <w:sz w:val="24"/>
              <w:szCs w:val="24"/>
            </w:rPr>
            <w:fldChar w:fldCharType="end"/>
          </w:r>
        </w:p>
        <w:p w14:paraId="1C89915C" w14:textId="0786E801"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2.3.3. Правила по обращению с препаратом</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_Toc121592557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28</w:t>
          </w:r>
          <w:r w:rsidRPr="007003A8">
            <w:rPr>
              <w:rFonts w:cs="Times New Roman"/>
              <w:noProof/>
              <w:sz w:val="24"/>
              <w:szCs w:val="24"/>
            </w:rPr>
            <w:fldChar w:fldCharType="end"/>
          </w:r>
        </w:p>
        <w:p w14:paraId="649A4193" w14:textId="72A676BD"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Список литературы</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_Toc121592558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28</w:t>
          </w:r>
          <w:r w:rsidRPr="007003A8">
            <w:rPr>
              <w:rFonts w:cs="Times New Roman"/>
              <w:b w:val="0"/>
              <w:noProof/>
              <w:sz w:val="24"/>
              <w:szCs w:val="24"/>
            </w:rPr>
            <w:fldChar w:fldCharType="end"/>
          </w:r>
        </w:p>
        <w:p w14:paraId="0CD2855D" w14:textId="0D44B605" w:rsidR="007003A8" w:rsidRPr="007003A8" w:rsidRDefault="007003A8"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3. РЕЗУЛЬТАТЫ ДОКЛИНИЧЕСКИХ ИССЛЕДОВАНИЙ</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_Toc121592559 \h </w:instrText>
          </w:r>
          <w:r w:rsidRPr="007003A8">
            <w:rPr>
              <w:rFonts w:cs="Times New Roman"/>
              <w:b w:val="0"/>
              <w:noProof/>
            </w:rPr>
          </w:r>
          <w:r w:rsidRPr="007003A8">
            <w:rPr>
              <w:rFonts w:cs="Times New Roman"/>
              <w:b w:val="0"/>
              <w:noProof/>
            </w:rPr>
            <w:fldChar w:fldCharType="separate"/>
          </w:r>
          <w:r w:rsidR="00791E09">
            <w:rPr>
              <w:rFonts w:cs="Times New Roman"/>
              <w:b w:val="0"/>
              <w:noProof/>
            </w:rPr>
            <w:t>28</w:t>
          </w:r>
          <w:r w:rsidRPr="007003A8">
            <w:rPr>
              <w:rFonts w:cs="Times New Roman"/>
              <w:b w:val="0"/>
              <w:noProof/>
            </w:rPr>
            <w:fldChar w:fldCharType="end"/>
          </w:r>
        </w:p>
        <w:p w14:paraId="0352F5EA" w14:textId="5FDBDF35"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Введение и резюме</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_Toc121592560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28</w:t>
          </w:r>
          <w:r w:rsidRPr="007003A8">
            <w:rPr>
              <w:rFonts w:cs="Times New Roman"/>
              <w:b w:val="0"/>
              <w:noProof/>
              <w:sz w:val="24"/>
              <w:szCs w:val="24"/>
            </w:rPr>
            <w:fldChar w:fldCharType="end"/>
          </w:r>
        </w:p>
        <w:p w14:paraId="20B0BD2B" w14:textId="00D43715"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3.1. Доклиническая фармакология</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_Toc121592561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33</w:t>
          </w:r>
          <w:r w:rsidRPr="007003A8">
            <w:rPr>
              <w:rFonts w:cs="Times New Roman"/>
              <w:b w:val="0"/>
              <w:noProof/>
              <w:sz w:val="24"/>
              <w:szCs w:val="24"/>
            </w:rPr>
            <w:fldChar w:fldCharType="end"/>
          </w:r>
        </w:p>
        <w:p w14:paraId="3755E614" w14:textId="27B890AC"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3.1.1. Механизм действия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_Toc121592562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33</w:t>
          </w:r>
          <w:r w:rsidRPr="007003A8">
            <w:rPr>
              <w:rFonts w:cs="Times New Roman"/>
              <w:noProof/>
              <w:sz w:val="24"/>
              <w:szCs w:val="24"/>
            </w:rPr>
            <w:fldChar w:fldCharType="end"/>
          </w:r>
        </w:p>
        <w:p w14:paraId="7568545F" w14:textId="1234FEB4"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3.1.2. Первичная фармакодинамика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_Toc121592563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33</w:t>
          </w:r>
          <w:r w:rsidRPr="007003A8">
            <w:rPr>
              <w:rFonts w:cs="Times New Roman"/>
              <w:noProof/>
              <w:sz w:val="24"/>
              <w:szCs w:val="24"/>
            </w:rPr>
            <w:fldChar w:fldCharType="end"/>
          </w:r>
        </w:p>
        <w:p w14:paraId="3E79A8D0" w14:textId="4AC7EEBB"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 xml:space="preserve">3.1.2.1. Первичная фармакодинамика </w:t>
          </w:r>
          <w:r w:rsidRPr="007003A8">
            <w:rPr>
              <w:rFonts w:cs="Times New Roman"/>
              <w:i/>
              <w:noProof/>
              <w:sz w:val="24"/>
              <w:szCs w:val="24"/>
              <w:lang w:val="en-US"/>
            </w:rPr>
            <w:t>in</w:t>
          </w:r>
          <w:r w:rsidRPr="007003A8">
            <w:rPr>
              <w:rFonts w:cs="Times New Roman"/>
              <w:i/>
              <w:noProof/>
              <w:sz w:val="24"/>
              <w:szCs w:val="24"/>
            </w:rPr>
            <w:t xml:space="preserve"> </w:t>
          </w:r>
          <w:r w:rsidRPr="007003A8">
            <w:rPr>
              <w:rFonts w:cs="Times New Roman"/>
              <w:i/>
              <w:noProof/>
              <w:sz w:val="24"/>
              <w:szCs w:val="24"/>
              <w:lang w:val="en-US"/>
            </w:rPr>
            <w:t>vitro</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_Toc121592564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33</w:t>
          </w:r>
          <w:r w:rsidRPr="007003A8">
            <w:rPr>
              <w:rFonts w:cs="Times New Roman"/>
              <w:noProof/>
              <w:sz w:val="24"/>
              <w:szCs w:val="24"/>
            </w:rPr>
            <w:fldChar w:fldCharType="end"/>
          </w:r>
        </w:p>
        <w:p w14:paraId="5C4E0768" w14:textId="6FFB0582"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 xml:space="preserve">3.1.2.2. Первичная фармакодинамика </w:t>
          </w:r>
          <w:r w:rsidRPr="007003A8">
            <w:rPr>
              <w:rFonts w:cs="Times New Roman"/>
              <w:i/>
              <w:noProof/>
              <w:sz w:val="24"/>
              <w:szCs w:val="24"/>
              <w:lang w:val="en-US"/>
            </w:rPr>
            <w:t>in</w:t>
          </w:r>
          <w:r w:rsidRPr="007003A8">
            <w:rPr>
              <w:rFonts w:cs="Times New Roman"/>
              <w:i/>
              <w:noProof/>
              <w:sz w:val="24"/>
              <w:szCs w:val="24"/>
            </w:rPr>
            <w:t xml:space="preserve"> </w:t>
          </w:r>
          <w:r w:rsidRPr="007003A8">
            <w:rPr>
              <w:rFonts w:cs="Times New Roman"/>
              <w:i/>
              <w:noProof/>
              <w:sz w:val="24"/>
              <w:szCs w:val="24"/>
              <w:lang w:val="en-US"/>
            </w:rPr>
            <w:t>vivo</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_Toc121592565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33</w:t>
          </w:r>
          <w:r w:rsidRPr="007003A8">
            <w:rPr>
              <w:rFonts w:cs="Times New Roman"/>
              <w:noProof/>
              <w:sz w:val="24"/>
              <w:szCs w:val="24"/>
            </w:rPr>
            <w:fldChar w:fldCharType="end"/>
          </w:r>
        </w:p>
        <w:p w14:paraId="387F0470" w14:textId="42CE5FE1"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3.1.3. Вторичная фармакодинамика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_Toc121592566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38</w:t>
          </w:r>
          <w:r w:rsidRPr="007003A8">
            <w:rPr>
              <w:rFonts w:cs="Times New Roman"/>
              <w:noProof/>
              <w:sz w:val="24"/>
              <w:szCs w:val="24"/>
            </w:rPr>
            <w:fldChar w:fldCharType="end"/>
          </w:r>
        </w:p>
        <w:p w14:paraId="7BDA067D" w14:textId="15C7E30D"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3.1.4. Фармакологическая безопасность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_Toc121592567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38</w:t>
          </w:r>
          <w:r w:rsidRPr="007003A8">
            <w:rPr>
              <w:rFonts w:cs="Times New Roman"/>
              <w:noProof/>
              <w:sz w:val="24"/>
              <w:szCs w:val="24"/>
            </w:rPr>
            <w:fldChar w:fldCharType="end"/>
          </w:r>
        </w:p>
        <w:p w14:paraId="7637E663" w14:textId="29674A1B"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3.1.5. Фармакодинамические лекарственные взаимодействия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_Toc121592568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39</w:t>
          </w:r>
          <w:r w:rsidRPr="007003A8">
            <w:rPr>
              <w:rFonts w:cs="Times New Roman"/>
              <w:noProof/>
              <w:sz w:val="24"/>
              <w:szCs w:val="24"/>
            </w:rPr>
            <w:fldChar w:fldCharType="end"/>
          </w:r>
        </w:p>
        <w:p w14:paraId="598E6344" w14:textId="66F4772C"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3.2. Доклиническая фармакокинетика</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_Toc121592569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40</w:t>
          </w:r>
          <w:r w:rsidRPr="007003A8">
            <w:rPr>
              <w:rFonts w:cs="Times New Roman"/>
              <w:b w:val="0"/>
              <w:noProof/>
              <w:sz w:val="24"/>
              <w:szCs w:val="24"/>
            </w:rPr>
            <w:fldChar w:fldCharType="end"/>
          </w:r>
        </w:p>
        <w:p w14:paraId="468318EB" w14:textId="70B1D698"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3.2.1. Всасывание</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40</w:t>
          </w:r>
          <w:r w:rsidRPr="007003A8">
            <w:rPr>
              <w:rFonts w:cs="Times New Roman"/>
              <w:noProof/>
              <w:sz w:val="24"/>
              <w:szCs w:val="24"/>
            </w:rPr>
            <w:fldChar w:fldCharType="end"/>
          </w:r>
        </w:p>
        <w:p w14:paraId="2E5FDAD2" w14:textId="36EF15DD"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lastRenderedPageBreak/>
            <w:t>3.2.2. Распределение</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42</w:t>
          </w:r>
          <w:r w:rsidRPr="007003A8">
            <w:rPr>
              <w:rFonts w:cs="Times New Roman"/>
              <w:noProof/>
              <w:sz w:val="24"/>
              <w:szCs w:val="24"/>
            </w:rPr>
            <w:fldChar w:fldCharType="end"/>
          </w:r>
        </w:p>
        <w:p w14:paraId="2E5A6FE6" w14:textId="19521A64"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3.2.3. Связывание с белками плазмы</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42</w:t>
          </w:r>
          <w:r w:rsidRPr="007003A8">
            <w:rPr>
              <w:rFonts w:cs="Times New Roman"/>
              <w:noProof/>
              <w:sz w:val="24"/>
              <w:szCs w:val="24"/>
            </w:rPr>
            <w:fldChar w:fldCharType="end"/>
          </w:r>
        </w:p>
        <w:p w14:paraId="5E839A94" w14:textId="76861A5D"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3.2.4. Метаболизм</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43</w:t>
          </w:r>
          <w:r w:rsidRPr="007003A8">
            <w:rPr>
              <w:rFonts w:cs="Times New Roman"/>
              <w:noProof/>
              <w:sz w:val="24"/>
              <w:szCs w:val="24"/>
            </w:rPr>
            <w:fldChar w:fldCharType="end"/>
          </w:r>
        </w:p>
        <w:p w14:paraId="79CDF94D" w14:textId="6A7BF272"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3.2.5. Выведение</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_Toc121592574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47</w:t>
          </w:r>
          <w:r w:rsidRPr="007003A8">
            <w:rPr>
              <w:rFonts w:cs="Times New Roman"/>
              <w:noProof/>
              <w:sz w:val="24"/>
              <w:szCs w:val="24"/>
            </w:rPr>
            <w:fldChar w:fldCharType="end"/>
          </w:r>
        </w:p>
        <w:p w14:paraId="6DE2017F" w14:textId="173F412B"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3.2.6. Фармакокинетические лекарственные взаимодействия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48</w:t>
          </w:r>
          <w:r w:rsidRPr="007003A8">
            <w:rPr>
              <w:rFonts w:cs="Times New Roman"/>
              <w:noProof/>
              <w:sz w:val="24"/>
              <w:szCs w:val="24"/>
            </w:rPr>
            <w:fldChar w:fldCharType="end"/>
          </w:r>
        </w:p>
        <w:p w14:paraId="12604F2A" w14:textId="3C85DB1B"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3.3. Токсикологические исследования</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_Toc121592576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50</w:t>
          </w:r>
          <w:r w:rsidRPr="007003A8">
            <w:rPr>
              <w:rFonts w:cs="Times New Roman"/>
              <w:b w:val="0"/>
              <w:noProof/>
              <w:sz w:val="24"/>
              <w:szCs w:val="24"/>
            </w:rPr>
            <w:fldChar w:fldCharType="end"/>
          </w:r>
        </w:p>
        <w:p w14:paraId="13C9B2A3" w14:textId="2F03567F"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3.3.1. Токсичность при однократном введении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50</w:t>
          </w:r>
          <w:r w:rsidRPr="007003A8">
            <w:rPr>
              <w:rFonts w:cs="Times New Roman"/>
              <w:noProof/>
              <w:sz w:val="24"/>
              <w:szCs w:val="24"/>
            </w:rPr>
            <w:fldChar w:fldCharType="end"/>
          </w:r>
        </w:p>
        <w:p w14:paraId="3BD6C96B" w14:textId="37F6B1C6"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3.3.2. Токсичность при многократном введении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51</w:t>
          </w:r>
          <w:r w:rsidRPr="007003A8">
            <w:rPr>
              <w:rFonts w:cs="Times New Roman"/>
              <w:noProof/>
              <w:sz w:val="24"/>
              <w:szCs w:val="24"/>
            </w:rPr>
            <w:fldChar w:fldCharType="end"/>
          </w:r>
        </w:p>
        <w:p w14:paraId="39F9DC2C" w14:textId="687C6F76"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3.3.3. Генотоксичность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_Toc121592579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56</w:t>
          </w:r>
          <w:r w:rsidRPr="007003A8">
            <w:rPr>
              <w:rFonts w:cs="Times New Roman"/>
              <w:noProof/>
              <w:sz w:val="24"/>
              <w:szCs w:val="24"/>
            </w:rPr>
            <w:fldChar w:fldCharType="end"/>
          </w:r>
        </w:p>
        <w:p w14:paraId="418056B5" w14:textId="3AB5CB25"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3.3.4. Канцерогенность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57</w:t>
          </w:r>
          <w:r w:rsidRPr="007003A8">
            <w:rPr>
              <w:rFonts w:cs="Times New Roman"/>
              <w:noProof/>
              <w:sz w:val="24"/>
              <w:szCs w:val="24"/>
            </w:rPr>
            <w:fldChar w:fldCharType="end"/>
          </w:r>
        </w:p>
        <w:p w14:paraId="738B259B" w14:textId="6ED301AC"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3.3.5. Репродуктивная и онтогенетическая токсичность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60</w:t>
          </w:r>
          <w:r w:rsidRPr="007003A8">
            <w:rPr>
              <w:rFonts w:cs="Times New Roman"/>
              <w:noProof/>
              <w:sz w:val="24"/>
              <w:szCs w:val="24"/>
            </w:rPr>
            <w:fldChar w:fldCharType="end"/>
          </w:r>
        </w:p>
        <w:p w14:paraId="3C2EB2EE" w14:textId="42F5F51A"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3.3.5.1. Влияние на фертильность и ранняя эмбриональная токсичность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60</w:t>
          </w:r>
          <w:r w:rsidRPr="007003A8">
            <w:rPr>
              <w:rFonts w:cs="Times New Roman"/>
              <w:noProof/>
              <w:sz w:val="24"/>
              <w:szCs w:val="24"/>
            </w:rPr>
            <w:fldChar w:fldCharType="end"/>
          </w:r>
        </w:p>
        <w:p w14:paraId="6693259B" w14:textId="5D8BC476"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3.3.5.2. Эмбрио-фетальная токсичность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61</w:t>
          </w:r>
          <w:r w:rsidRPr="007003A8">
            <w:rPr>
              <w:rFonts w:cs="Times New Roman"/>
              <w:noProof/>
              <w:sz w:val="24"/>
              <w:szCs w:val="24"/>
            </w:rPr>
            <w:fldChar w:fldCharType="end"/>
          </w:r>
        </w:p>
        <w:p w14:paraId="3616A0A6" w14:textId="5E80DF29"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3.3.5.3. Влияние на пренатальное и постнатальное развитие</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_Toc121592584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63</w:t>
          </w:r>
          <w:r w:rsidRPr="007003A8">
            <w:rPr>
              <w:rFonts w:cs="Times New Roman"/>
              <w:noProof/>
              <w:sz w:val="24"/>
              <w:szCs w:val="24"/>
            </w:rPr>
            <w:fldChar w:fldCharType="end"/>
          </w:r>
        </w:p>
        <w:p w14:paraId="1D1DC504" w14:textId="007AA296"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3.3.5.4. Ювенильная токсичность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63</w:t>
          </w:r>
          <w:r w:rsidRPr="007003A8">
            <w:rPr>
              <w:rFonts w:cs="Times New Roman"/>
              <w:noProof/>
              <w:sz w:val="24"/>
              <w:szCs w:val="24"/>
            </w:rPr>
            <w:fldChar w:fldCharType="end"/>
          </w:r>
        </w:p>
        <w:p w14:paraId="1A1BF396" w14:textId="786ABCAD"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3.3.6. Местная переносимость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66</w:t>
          </w:r>
          <w:r w:rsidRPr="007003A8">
            <w:rPr>
              <w:rFonts w:cs="Times New Roman"/>
              <w:noProof/>
              <w:sz w:val="24"/>
              <w:szCs w:val="24"/>
            </w:rPr>
            <w:fldChar w:fldCharType="end"/>
          </w:r>
        </w:p>
        <w:p w14:paraId="3D5C7FC2" w14:textId="5B763F6B"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3.3.7. Токсикокинетика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66</w:t>
          </w:r>
          <w:r w:rsidRPr="007003A8">
            <w:rPr>
              <w:rFonts w:cs="Times New Roman"/>
              <w:noProof/>
              <w:sz w:val="24"/>
              <w:szCs w:val="24"/>
            </w:rPr>
            <w:fldChar w:fldCharType="end"/>
          </w:r>
        </w:p>
        <w:p w14:paraId="209E0D25" w14:textId="5C30816B"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3.3.8. Прочие исследования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70</w:t>
          </w:r>
          <w:r w:rsidRPr="007003A8">
            <w:rPr>
              <w:rFonts w:cs="Times New Roman"/>
              <w:noProof/>
              <w:sz w:val="24"/>
              <w:szCs w:val="24"/>
            </w:rPr>
            <w:fldChar w:fldCharType="end"/>
          </w:r>
        </w:p>
        <w:p w14:paraId="6A6B0BD9" w14:textId="2DBE23B7"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3.3.8.1. Гемотоксичность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_Toc121592589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70</w:t>
          </w:r>
          <w:r w:rsidRPr="007003A8">
            <w:rPr>
              <w:rFonts w:cs="Times New Roman"/>
              <w:noProof/>
              <w:sz w:val="24"/>
              <w:szCs w:val="24"/>
            </w:rPr>
            <w:fldChar w:fldCharType="end"/>
          </w:r>
        </w:p>
        <w:p w14:paraId="27B261A5" w14:textId="56CC8C2A"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3.3.8.2. Фототоксичность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_Toc121592590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70</w:t>
          </w:r>
          <w:r w:rsidRPr="007003A8">
            <w:rPr>
              <w:rFonts w:cs="Times New Roman"/>
              <w:noProof/>
              <w:sz w:val="24"/>
              <w:szCs w:val="24"/>
            </w:rPr>
            <w:fldChar w:fldCharType="end"/>
          </w:r>
        </w:p>
        <w:p w14:paraId="0158BA4E" w14:textId="664AEFD2"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3.3.8.3. Токсичность примесей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_Toc121592591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70</w:t>
          </w:r>
          <w:r w:rsidRPr="007003A8">
            <w:rPr>
              <w:rFonts w:cs="Times New Roman"/>
              <w:noProof/>
              <w:sz w:val="24"/>
              <w:szCs w:val="24"/>
            </w:rPr>
            <w:fldChar w:fldCharType="end"/>
          </w:r>
        </w:p>
        <w:p w14:paraId="43F00120" w14:textId="06B0D43C"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Список литературы</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_Toc121592592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71</w:t>
          </w:r>
          <w:r w:rsidRPr="007003A8">
            <w:rPr>
              <w:rFonts w:cs="Times New Roman"/>
              <w:b w:val="0"/>
              <w:noProof/>
              <w:sz w:val="24"/>
              <w:szCs w:val="24"/>
            </w:rPr>
            <w:fldChar w:fldCharType="end"/>
          </w:r>
        </w:p>
        <w:p w14:paraId="69680AB5" w14:textId="237691A8" w:rsidR="007003A8" w:rsidRPr="007003A8" w:rsidRDefault="007003A8" w:rsidP="007003A8">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4. ДЕЙСТВИЕ У ЧЕЛОВЕКА</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_Toc121592593 \h </w:instrText>
          </w:r>
          <w:r w:rsidRPr="007003A8">
            <w:rPr>
              <w:rFonts w:cs="Times New Roman"/>
              <w:b w:val="0"/>
              <w:noProof/>
            </w:rPr>
          </w:r>
          <w:r w:rsidRPr="007003A8">
            <w:rPr>
              <w:rFonts w:cs="Times New Roman"/>
              <w:b w:val="0"/>
              <w:noProof/>
            </w:rPr>
            <w:fldChar w:fldCharType="separate"/>
          </w:r>
          <w:r w:rsidR="00791E09">
            <w:rPr>
              <w:rFonts w:cs="Times New Roman"/>
              <w:b w:val="0"/>
              <w:noProof/>
            </w:rPr>
            <w:t>72</w:t>
          </w:r>
          <w:r w:rsidRPr="007003A8">
            <w:rPr>
              <w:rFonts w:cs="Times New Roman"/>
              <w:b w:val="0"/>
              <w:noProof/>
            </w:rPr>
            <w:fldChar w:fldCharType="end"/>
          </w:r>
        </w:p>
        <w:p w14:paraId="576F9E24" w14:textId="28DFB389"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Введение и резюме</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_Toc121592594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72</w:t>
          </w:r>
          <w:r w:rsidRPr="007003A8">
            <w:rPr>
              <w:rFonts w:cs="Times New Roman"/>
              <w:b w:val="0"/>
              <w:noProof/>
              <w:sz w:val="24"/>
              <w:szCs w:val="24"/>
            </w:rPr>
            <w:fldChar w:fldCharType="end"/>
          </w:r>
        </w:p>
        <w:p w14:paraId="7012A37E" w14:textId="34EE0BEF"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4.1. Фармакокинетика у человека</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_Toc121592595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75</w:t>
          </w:r>
          <w:r w:rsidRPr="007003A8">
            <w:rPr>
              <w:rFonts w:cs="Times New Roman"/>
              <w:b w:val="0"/>
              <w:noProof/>
              <w:sz w:val="24"/>
              <w:szCs w:val="24"/>
            </w:rPr>
            <w:fldChar w:fldCharType="end"/>
          </w:r>
        </w:p>
        <w:p w14:paraId="1616FF81" w14:textId="34C58B12"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4.2. Фармакодинамика у человека</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_Toc121592596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86</w:t>
          </w:r>
          <w:r w:rsidRPr="007003A8">
            <w:rPr>
              <w:rFonts w:cs="Times New Roman"/>
              <w:b w:val="0"/>
              <w:noProof/>
              <w:sz w:val="24"/>
              <w:szCs w:val="24"/>
            </w:rPr>
            <w:fldChar w:fldCharType="end"/>
          </w:r>
        </w:p>
        <w:p w14:paraId="0B54AC8B" w14:textId="3AEED227"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4.2.1. Фармакодинамические эффекты</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_Toc121592597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86</w:t>
          </w:r>
          <w:r w:rsidRPr="007003A8">
            <w:rPr>
              <w:rFonts w:cs="Times New Roman"/>
              <w:noProof/>
              <w:sz w:val="24"/>
              <w:szCs w:val="24"/>
            </w:rPr>
            <w:fldChar w:fldCharType="end"/>
          </w:r>
        </w:p>
        <w:p w14:paraId="4A6BF835" w14:textId="793008A8"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4.2.2. Фармакодинамические лекарственные взаимодействия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_Toc121592598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87</w:t>
          </w:r>
          <w:r w:rsidRPr="007003A8">
            <w:rPr>
              <w:rFonts w:cs="Times New Roman"/>
              <w:noProof/>
              <w:sz w:val="24"/>
              <w:szCs w:val="24"/>
            </w:rPr>
            <w:fldChar w:fldCharType="end"/>
          </w:r>
        </w:p>
        <w:p w14:paraId="2B1DED6F" w14:textId="37F86845"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4.3. Безопасность и эффективность</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_Toc121592599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87</w:t>
          </w:r>
          <w:r w:rsidRPr="007003A8">
            <w:rPr>
              <w:rFonts w:cs="Times New Roman"/>
              <w:b w:val="0"/>
              <w:noProof/>
              <w:sz w:val="24"/>
              <w:szCs w:val="24"/>
            </w:rPr>
            <w:fldChar w:fldCharType="end"/>
          </w:r>
        </w:p>
        <w:p w14:paraId="362A8F8B" w14:textId="4E7FFCA4"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4.3.1. Клиническая эффективность</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94</w:t>
          </w:r>
          <w:r w:rsidRPr="007003A8">
            <w:rPr>
              <w:rFonts w:cs="Times New Roman"/>
              <w:noProof/>
              <w:sz w:val="24"/>
              <w:szCs w:val="24"/>
            </w:rPr>
            <w:fldChar w:fldCharType="end"/>
          </w:r>
        </w:p>
        <w:p w14:paraId="19D1A7A2" w14:textId="28163EEF"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4.3.1.1. Ревматоидный артрит</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94</w:t>
          </w:r>
          <w:r w:rsidRPr="007003A8">
            <w:rPr>
              <w:rFonts w:cs="Times New Roman"/>
              <w:noProof/>
              <w:sz w:val="24"/>
              <w:szCs w:val="24"/>
            </w:rPr>
            <w:fldChar w:fldCharType="end"/>
          </w:r>
        </w:p>
        <w:p w14:paraId="1B18A70E" w14:textId="5AFC6A8F"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4.3.1.2. Псориатический артрит</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108</w:t>
          </w:r>
          <w:r w:rsidRPr="007003A8">
            <w:rPr>
              <w:rFonts w:cs="Times New Roman"/>
              <w:noProof/>
              <w:sz w:val="24"/>
              <w:szCs w:val="24"/>
            </w:rPr>
            <w:fldChar w:fldCharType="end"/>
          </w:r>
        </w:p>
        <w:p w14:paraId="1BCD7637" w14:textId="70D03711"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4.3.1.3. Анкилозирующий спондилоартрит</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114</w:t>
          </w:r>
          <w:r w:rsidRPr="007003A8">
            <w:rPr>
              <w:rFonts w:cs="Times New Roman"/>
              <w:noProof/>
              <w:sz w:val="24"/>
              <w:szCs w:val="24"/>
            </w:rPr>
            <w:fldChar w:fldCharType="end"/>
          </w:r>
        </w:p>
        <w:p w14:paraId="343CE350" w14:textId="0F66969D"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4.3.1.4. Бляшечный псориаз</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_Toc121592604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117</w:t>
          </w:r>
          <w:r w:rsidRPr="007003A8">
            <w:rPr>
              <w:rFonts w:cs="Times New Roman"/>
              <w:noProof/>
              <w:sz w:val="24"/>
              <w:szCs w:val="24"/>
            </w:rPr>
            <w:fldChar w:fldCharType="end"/>
          </w:r>
        </w:p>
        <w:p w14:paraId="1EE94AE8" w14:textId="196B2605"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4.3.1.5. Язвенный колит</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118</w:t>
          </w:r>
          <w:r w:rsidRPr="007003A8">
            <w:rPr>
              <w:rFonts w:cs="Times New Roman"/>
              <w:noProof/>
              <w:sz w:val="24"/>
              <w:szCs w:val="24"/>
            </w:rPr>
            <w:fldChar w:fldCharType="end"/>
          </w:r>
        </w:p>
        <w:p w14:paraId="76EB6DC3" w14:textId="588C284C"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4.3.1.6. Ювенильный идиопатический артрит</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128</w:t>
          </w:r>
          <w:r w:rsidRPr="007003A8">
            <w:rPr>
              <w:rFonts w:cs="Times New Roman"/>
              <w:noProof/>
              <w:sz w:val="24"/>
              <w:szCs w:val="24"/>
            </w:rPr>
            <w:fldChar w:fldCharType="end"/>
          </w:r>
        </w:p>
        <w:p w14:paraId="40DEB69E" w14:textId="6370DFBE" w:rsidR="007003A8" w:rsidRPr="007003A8" w:rsidRDefault="00C23B3C" w:rsidP="007003A8">
          <w:pPr>
            <w:pStyle w:val="31"/>
            <w:tabs>
              <w:tab w:val="left" w:pos="1440"/>
            </w:tabs>
            <w:rPr>
              <w:rFonts w:eastAsiaTheme="minorEastAsia" w:cs="Times New Roman"/>
              <w:noProof/>
              <w:sz w:val="24"/>
              <w:szCs w:val="24"/>
              <w:lang w:eastAsia="ru-RU"/>
            </w:rPr>
          </w:pPr>
          <w:r>
            <w:rPr>
              <w:rFonts w:cs="Times New Roman"/>
              <w:noProof/>
              <w:sz w:val="24"/>
              <w:szCs w:val="24"/>
            </w:rPr>
            <w:t>4.3.2.</w:t>
          </w:r>
          <w:r>
            <w:rPr>
              <w:rFonts w:eastAsiaTheme="minorEastAsia" w:cs="Times New Roman"/>
              <w:noProof/>
              <w:sz w:val="24"/>
              <w:szCs w:val="24"/>
              <w:lang w:eastAsia="ru-RU"/>
            </w:rPr>
            <w:t xml:space="preserve"> </w:t>
          </w:r>
          <w:r w:rsidR="007003A8" w:rsidRPr="007003A8">
            <w:rPr>
              <w:rFonts w:cs="Times New Roman"/>
              <w:noProof/>
              <w:sz w:val="24"/>
              <w:szCs w:val="24"/>
            </w:rPr>
            <w:t>Клиническая безопасность</w:t>
          </w:r>
          <w:r w:rsidR="007003A8" w:rsidRPr="007003A8">
            <w:rPr>
              <w:rFonts w:cs="Times New Roman"/>
              <w:noProof/>
              <w:sz w:val="24"/>
              <w:szCs w:val="24"/>
            </w:rPr>
            <w:tab/>
          </w:r>
          <w:r w:rsidR="007003A8" w:rsidRPr="007003A8">
            <w:rPr>
              <w:rFonts w:cs="Times New Roman"/>
              <w:noProof/>
              <w:sz w:val="24"/>
              <w:szCs w:val="24"/>
            </w:rPr>
            <w:fldChar w:fldCharType="begin"/>
          </w:r>
          <w:r w:rsidR="007003A8" w:rsidRPr="007003A8">
            <w:rPr>
              <w:rFonts w:cs="Times New Roman"/>
              <w:noProof/>
              <w:sz w:val="24"/>
              <w:szCs w:val="24"/>
            </w:rPr>
            <w:instrText xml:space="preserve"> PAGEREF _Toc121592607 \h </w:instrText>
          </w:r>
          <w:r w:rsidR="007003A8" w:rsidRPr="007003A8">
            <w:rPr>
              <w:rFonts w:cs="Times New Roman"/>
              <w:noProof/>
              <w:sz w:val="24"/>
              <w:szCs w:val="24"/>
            </w:rPr>
          </w:r>
          <w:r w:rsidR="007003A8" w:rsidRPr="007003A8">
            <w:rPr>
              <w:rFonts w:cs="Times New Roman"/>
              <w:noProof/>
              <w:sz w:val="24"/>
              <w:szCs w:val="24"/>
            </w:rPr>
            <w:fldChar w:fldCharType="separate"/>
          </w:r>
          <w:r w:rsidR="00791E09">
            <w:rPr>
              <w:rFonts w:cs="Times New Roman"/>
              <w:noProof/>
              <w:sz w:val="24"/>
              <w:szCs w:val="24"/>
            </w:rPr>
            <w:t>131</w:t>
          </w:r>
          <w:r w:rsidR="007003A8" w:rsidRPr="007003A8">
            <w:rPr>
              <w:rFonts w:cs="Times New Roman"/>
              <w:noProof/>
              <w:sz w:val="24"/>
              <w:szCs w:val="24"/>
            </w:rPr>
            <w:fldChar w:fldCharType="end"/>
          </w:r>
        </w:p>
        <w:p w14:paraId="3B10B114" w14:textId="64FACCD1"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4.3.2.1. Степень воздействия на пациентов</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131</w:t>
          </w:r>
          <w:r w:rsidRPr="007003A8">
            <w:rPr>
              <w:rFonts w:cs="Times New Roman"/>
              <w:noProof/>
              <w:sz w:val="24"/>
              <w:szCs w:val="24"/>
            </w:rPr>
            <w:fldChar w:fldCharType="end"/>
          </w:r>
        </w:p>
        <w:p w14:paraId="0A661267" w14:textId="314E5726"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4.3.2.2. Нежелательные явления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_Toc121592609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131</w:t>
          </w:r>
          <w:r w:rsidRPr="007003A8">
            <w:rPr>
              <w:rFonts w:cs="Times New Roman"/>
              <w:noProof/>
              <w:sz w:val="24"/>
              <w:szCs w:val="24"/>
            </w:rPr>
            <w:fldChar w:fldCharType="end"/>
          </w:r>
        </w:p>
        <w:p w14:paraId="08DCAD7F" w14:textId="2444BC04"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4.3.2.3. Серьезные нежелательные явления, летальные исходы и явления, представляющие особый интерес</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_Toc121592610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135</w:t>
          </w:r>
          <w:r w:rsidRPr="007003A8">
            <w:rPr>
              <w:rFonts w:cs="Times New Roman"/>
              <w:noProof/>
              <w:sz w:val="24"/>
              <w:szCs w:val="24"/>
            </w:rPr>
            <w:fldChar w:fldCharType="end"/>
          </w:r>
        </w:p>
        <w:p w14:paraId="14F89DD5" w14:textId="684C8EE3"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4.3.2.4. Лабораторные отклонения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_Toc121592611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141</w:t>
          </w:r>
          <w:r w:rsidRPr="007003A8">
            <w:rPr>
              <w:rFonts w:cs="Times New Roman"/>
              <w:noProof/>
              <w:sz w:val="24"/>
              <w:szCs w:val="24"/>
            </w:rPr>
            <w:fldChar w:fldCharType="end"/>
          </w:r>
        </w:p>
        <w:p w14:paraId="20CBACCD" w14:textId="4B552263"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4.3.2.5. Безопасность, связанная с лекарственными взаимодействиями и другими взаимодействиями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_Toc121592612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144</w:t>
          </w:r>
          <w:r w:rsidRPr="007003A8">
            <w:rPr>
              <w:rFonts w:cs="Times New Roman"/>
              <w:noProof/>
              <w:sz w:val="24"/>
              <w:szCs w:val="24"/>
            </w:rPr>
            <w:fldChar w:fldCharType="end"/>
          </w:r>
        </w:p>
        <w:p w14:paraId="40B105B2" w14:textId="6E0936CC"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4.3.2.6. Прерывание терапии в связи с нежелательными явлениями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_Toc121592613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145</w:t>
          </w:r>
          <w:r w:rsidRPr="007003A8">
            <w:rPr>
              <w:rFonts w:cs="Times New Roman"/>
              <w:noProof/>
              <w:sz w:val="24"/>
              <w:szCs w:val="24"/>
            </w:rPr>
            <w:fldChar w:fldCharType="end"/>
          </w:r>
        </w:p>
        <w:p w14:paraId="6234539B" w14:textId="6E0E3AAB" w:rsidR="007003A8" w:rsidRPr="007003A8" w:rsidRDefault="00E11B3B" w:rsidP="007003A8">
          <w:pPr>
            <w:pStyle w:val="31"/>
            <w:tabs>
              <w:tab w:val="left" w:pos="1440"/>
            </w:tabs>
            <w:rPr>
              <w:rFonts w:eastAsiaTheme="minorEastAsia" w:cs="Times New Roman"/>
              <w:noProof/>
              <w:sz w:val="24"/>
              <w:szCs w:val="24"/>
              <w:lang w:eastAsia="ru-RU"/>
            </w:rPr>
          </w:pPr>
          <w:r>
            <w:rPr>
              <w:rFonts w:cs="Times New Roman"/>
              <w:noProof/>
              <w:sz w:val="24"/>
              <w:szCs w:val="24"/>
            </w:rPr>
            <w:t>4.3.3.</w:t>
          </w:r>
          <w:r>
            <w:rPr>
              <w:rFonts w:eastAsiaTheme="minorEastAsia" w:cs="Times New Roman"/>
              <w:noProof/>
              <w:sz w:val="24"/>
              <w:szCs w:val="24"/>
              <w:lang w:eastAsia="ru-RU"/>
            </w:rPr>
            <w:t xml:space="preserve"> </w:t>
          </w:r>
          <w:r w:rsidR="007003A8" w:rsidRPr="007003A8">
            <w:rPr>
              <w:rFonts w:cs="Times New Roman"/>
              <w:noProof/>
              <w:sz w:val="24"/>
              <w:szCs w:val="24"/>
            </w:rPr>
            <w:t>Пострегистрационный опыт применения</w:t>
          </w:r>
          <w:r w:rsidR="007003A8" w:rsidRPr="007003A8">
            <w:rPr>
              <w:rFonts w:cs="Times New Roman"/>
              <w:noProof/>
              <w:sz w:val="24"/>
              <w:szCs w:val="24"/>
            </w:rPr>
            <w:tab/>
          </w:r>
          <w:r w:rsidR="007003A8" w:rsidRPr="007003A8">
            <w:rPr>
              <w:rFonts w:cs="Times New Roman"/>
              <w:noProof/>
              <w:sz w:val="24"/>
              <w:szCs w:val="24"/>
            </w:rPr>
            <w:fldChar w:fldCharType="begin"/>
          </w:r>
          <w:r w:rsidR="007003A8" w:rsidRPr="007003A8">
            <w:rPr>
              <w:rFonts w:cs="Times New Roman"/>
              <w:noProof/>
              <w:sz w:val="24"/>
              <w:szCs w:val="24"/>
            </w:rPr>
            <w:instrText xml:space="preserve"> PAGEREF _Toc121592614 \h </w:instrText>
          </w:r>
          <w:r w:rsidR="007003A8" w:rsidRPr="007003A8">
            <w:rPr>
              <w:rFonts w:cs="Times New Roman"/>
              <w:noProof/>
              <w:sz w:val="24"/>
              <w:szCs w:val="24"/>
            </w:rPr>
          </w:r>
          <w:r w:rsidR="007003A8" w:rsidRPr="007003A8">
            <w:rPr>
              <w:rFonts w:cs="Times New Roman"/>
              <w:noProof/>
              <w:sz w:val="24"/>
              <w:szCs w:val="24"/>
            </w:rPr>
            <w:fldChar w:fldCharType="separate"/>
          </w:r>
          <w:r w:rsidR="00791E09">
            <w:rPr>
              <w:rFonts w:cs="Times New Roman"/>
              <w:noProof/>
              <w:sz w:val="24"/>
              <w:szCs w:val="24"/>
            </w:rPr>
            <w:t>145</w:t>
          </w:r>
          <w:r w:rsidR="007003A8" w:rsidRPr="007003A8">
            <w:rPr>
              <w:rFonts w:cs="Times New Roman"/>
              <w:noProof/>
              <w:sz w:val="24"/>
              <w:szCs w:val="24"/>
            </w:rPr>
            <w:fldChar w:fldCharType="end"/>
          </w:r>
        </w:p>
        <w:p w14:paraId="0C784843" w14:textId="6257FD7C"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4.3.3.1.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_Toc121592615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145</w:t>
          </w:r>
          <w:r w:rsidRPr="007003A8">
            <w:rPr>
              <w:rFonts w:cs="Times New Roman"/>
              <w:noProof/>
              <w:sz w:val="24"/>
              <w:szCs w:val="24"/>
            </w:rPr>
            <w:fldChar w:fldCharType="end"/>
          </w:r>
        </w:p>
        <w:p w14:paraId="7D78FBD7" w14:textId="14475D8A"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lastRenderedPageBreak/>
            <w:t>4.3.3.2.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_Toc121592616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151</w:t>
          </w:r>
          <w:r w:rsidRPr="007003A8">
            <w:rPr>
              <w:rFonts w:cs="Times New Roman"/>
              <w:noProof/>
              <w:sz w:val="24"/>
              <w:szCs w:val="24"/>
            </w:rPr>
            <w:fldChar w:fldCharType="end"/>
          </w:r>
        </w:p>
        <w:p w14:paraId="25626E94" w14:textId="6A164BEF"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Список литературы</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_Toc121592617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152</w:t>
          </w:r>
          <w:r w:rsidRPr="007003A8">
            <w:rPr>
              <w:rFonts w:cs="Times New Roman"/>
              <w:b w:val="0"/>
              <w:noProof/>
              <w:sz w:val="24"/>
              <w:szCs w:val="24"/>
            </w:rPr>
            <w:fldChar w:fldCharType="end"/>
          </w:r>
        </w:p>
        <w:p w14:paraId="4C38E6D3" w14:textId="70B84DD3" w:rsidR="007003A8" w:rsidRPr="007003A8" w:rsidRDefault="007003A8" w:rsidP="007003A8">
          <w:pPr>
            <w:pStyle w:val="11"/>
            <w:tabs>
              <w:tab w:val="right" w:leader="dot" w:pos="9345"/>
            </w:tabs>
            <w:spacing w:before="0"/>
            <w:rPr>
              <w:rFonts w:eastAsiaTheme="minorEastAsia" w:cs="Times New Roman"/>
              <w:b w:val="0"/>
              <w:bCs w:val="0"/>
              <w:noProof/>
              <w:lang w:eastAsia="ru-RU"/>
            </w:rPr>
          </w:pPr>
          <w:r w:rsidRPr="007003A8">
            <w:rPr>
              <w:rFonts w:cs="Times New Roman"/>
              <w:b w:val="0"/>
              <w:noProof/>
            </w:rPr>
            <w:t>5. ОБСУЖДЕНИЕ ДАННЫХ И ИНСТРУКЦИИ ДЛЯ ИССЛЕДОВАТЕЛЯ</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_Toc121592618 \h </w:instrText>
          </w:r>
          <w:r w:rsidRPr="007003A8">
            <w:rPr>
              <w:rFonts w:cs="Times New Roman"/>
              <w:b w:val="0"/>
              <w:noProof/>
            </w:rPr>
          </w:r>
          <w:r w:rsidRPr="007003A8">
            <w:rPr>
              <w:rFonts w:cs="Times New Roman"/>
              <w:b w:val="0"/>
              <w:noProof/>
            </w:rPr>
            <w:fldChar w:fldCharType="separate"/>
          </w:r>
          <w:r w:rsidR="00791E09">
            <w:rPr>
              <w:rFonts w:cs="Times New Roman"/>
              <w:b w:val="0"/>
              <w:noProof/>
            </w:rPr>
            <w:t>154</w:t>
          </w:r>
          <w:r w:rsidRPr="007003A8">
            <w:rPr>
              <w:rFonts w:cs="Times New Roman"/>
              <w:b w:val="0"/>
              <w:noProof/>
            </w:rPr>
            <w:fldChar w:fldCharType="end"/>
          </w:r>
        </w:p>
        <w:p w14:paraId="3DFC1C4C" w14:textId="1C7BD44B"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5.1. Обсуждение данных доклинических исследований</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_Toc121592619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154</w:t>
          </w:r>
          <w:r w:rsidRPr="007003A8">
            <w:rPr>
              <w:rFonts w:cs="Times New Roman"/>
              <w:b w:val="0"/>
              <w:noProof/>
              <w:sz w:val="24"/>
              <w:szCs w:val="24"/>
            </w:rPr>
            <w:fldChar w:fldCharType="end"/>
          </w:r>
        </w:p>
        <w:p w14:paraId="0BD65BD1" w14:textId="77B3724B"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5.2. Обсуждение данных клинических исследований</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_Toc121592620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157</w:t>
          </w:r>
          <w:r w:rsidRPr="007003A8">
            <w:rPr>
              <w:rFonts w:cs="Times New Roman"/>
              <w:b w:val="0"/>
              <w:noProof/>
              <w:sz w:val="24"/>
              <w:szCs w:val="24"/>
            </w:rPr>
            <w:fldChar w:fldCharType="end"/>
          </w:r>
        </w:p>
        <w:p w14:paraId="398D09FD" w14:textId="1275C82E" w:rsidR="007003A8" w:rsidRPr="007003A8" w:rsidRDefault="007003A8" w:rsidP="007003A8">
          <w:pPr>
            <w:pStyle w:val="21"/>
            <w:rPr>
              <w:rFonts w:eastAsiaTheme="minorEastAsia" w:cs="Times New Roman"/>
              <w:b w:val="0"/>
              <w:bCs w:val="0"/>
              <w:noProof/>
              <w:sz w:val="24"/>
              <w:szCs w:val="24"/>
              <w:lang w:eastAsia="ru-RU"/>
            </w:rPr>
          </w:pPr>
          <w:r w:rsidRPr="007003A8">
            <w:rPr>
              <w:rFonts w:cs="Times New Roman"/>
              <w:b w:val="0"/>
              <w:noProof/>
              <w:sz w:val="24"/>
              <w:szCs w:val="24"/>
            </w:rPr>
            <w:t>5.3. Инструкции для исследователя</w:t>
          </w:r>
          <w:r w:rsidRPr="007003A8">
            <w:rPr>
              <w:rFonts w:cs="Times New Roman"/>
              <w:b w:val="0"/>
              <w:noProof/>
              <w:sz w:val="24"/>
              <w:szCs w:val="24"/>
            </w:rPr>
            <w:tab/>
          </w:r>
          <w:r w:rsidRPr="007003A8">
            <w:rPr>
              <w:rFonts w:cs="Times New Roman"/>
              <w:b w:val="0"/>
              <w:noProof/>
              <w:sz w:val="24"/>
              <w:szCs w:val="24"/>
            </w:rPr>
            <w:fldChar w:fldCharType="begin"/>
          </w:r>
          <w:r w:rsidRPr="007003A8">
            <w:rPr>
              <w:rFonts w:cs="Times New Roman"/>
              <w:b w:val="0"/>
              <w:noProof/>
              <w:sz w:val="24"/>
              <w:szCs w:val="24"/>
            </w:rPr>
            <w:instrText xml:space="preserve"> PAGEREF _Toc121592621 \h </w:instrText>
          </w:r>
          <w:r w:rsidRPr="007003A8">
            <w:rPr>
              <w:rFonts w:cs="Times New Roman"/>
              <w:b w:val="0"/>
              <w:noProof/>
              <w:sz w:val="24"/>
              <w:szCs w:val="24"/>
            </w:rPr>
          </w:r>
          <w:r w:rsidRPr="007003A8">
            <w:rPr>
              <w:rFonts w:cs="Times New Roman"/>
              <w:b w:val="0"/>
              <w:noProof/>
              <w:sz w:val="24"/>
              <w:szCs w:val="24"/>
            </w:rPr>
            <w:fldChar w:fldCharType="separate"/>
          </w:r>
          <w:r w:rsidR="00791E09">
            <w:rPr>
              <w:rFonts w:cs="Times New Roman"/>
              <w:b w:val="0"/>
              <w:noProof/>
              <w:sz w:val="24"/>
              <w:szCs w:val="24"/>
            </w:rPr>
            <w:t>162</w:t>
          </w:r>
          <w:r w:rsidRPr="007003A8">
            <w:rPr>
              <w:rFonts w:cs="Times New Roman"/>
              <w:b w:val="0"/>
              <w:noProof/>
              <w:sz w:val="24"/>
              <w:szCs w:val="24"/>
            </w:rPr>
            <w:fldChar w:fldCharType="end"/>
          </w:r>
        </w:p>
        <w:p w14:paraId="72C4F710" w14:textId="0337F662"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5.3.1. Показания к применению</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162</w:t>
          </w:r>
          <w:r w:rsidRPr="007003A8">
            <w:rPr>
              <w:rFonts w:cs="Times New Roman"/>
              <w:noProof/>
              <w:sz w:val="24"/>
              <w:szCs w:val="24"/>
            </w:rPr>
            <w:fldChar w:fldCharType="end"/>
          </w:r>
        </w:p>
        <w:p w14:paraId="09471DF2" w14:textId="663A4E53"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5.3.1.1.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162</w:t>
          </w:r>
          <w:r w:rsidRPr="007003A8">
            <w:rPr>
              <w:rFonts w:cs="Times New Roman"/>
              <w:noProof/>
              <w:sz w:val="24"/>
              <w:szCs w:val="24"/>
            </w:rPr>
            <w:fldChar w:fldCharType="end"/>
          </w:r>
        </w:p>
        <w:p w14:paraId="08548D95" w14:textId="3AD128AE"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5.3.1.2.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_Toc121592624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162</w:t>
          </w:r>
          <w:r w:rsidRPr="007003A8">
            <w:rPr>
              <w:rFonts w:cs="Times New Roman"/>
              <w:noProof/>
              <w:sz w:val="24"/>
              <w:szCs w:val="24"/>
            </w:rPr>
            <w:fldChar w:fldCharType="end"/>
          </w:r>
        </w:p>
        <w:p w14:paraId="2EC8373D" w14:textId="2FB9CA0D"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5.3.2. Противопоказания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163</w:t>
          </w:r>
          <w:r w:rsidRPr="007003A8">
            <w:rPr>
              <w:rFonts w:cs="Times New Roman"/>
              <w:noProof/>
              <w:sz w:val="24"/>
              <w:szCs w:val="24"/>
            </w:rPr>
            <w:fldChar w:fldCharType="end"/>
          </w:r>
        </w:p>
        <w:p w14:paraId="51FBFC25" w14:textId="79F7658D"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5.3.2.1.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163</w:t>
          </w:r>
          <w:r w:rsidRPr="007003A8">
            <w:rPr>
              <w:rFonts w:cs="Times New Roman"/>
              <w:noProof/>
              <w:sz w:val="24"/>
              <w:szCs w:val="24"/>
            </w:rPr>
            <w:fldChar w:fldCharType="end"/>
          </w:r>
        </w:p>
        <w:p w14:paraId="4B05013D" w14:textId="4ADC757C"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5.3.2.2.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164</w:t>
          </w:r>
          <w:r w:rsidRPr="007003A8">
            <w:rPr>
              <w:rFonts w:cs="Times New Roman"/>
              <w:noProof/>
              <w:sz w:val="24"/>
              <w:szCs w:val="24"/>
            </w:rPr>
            <w:fldChar w:fldCharType="end"/>
          </w:r>
        </w:p>
        <w:p w14:paraId="1A0D6D49" w14:textId="7224E321"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5.3.3. Применение при беременности и в период грудного вскармливания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164</w:t>
          </w:r>
          <w:r w:rsidRPr="007003A8">
            <w:rPr>
              <w:rFonts w:cs="Times New Roman"/>
              <w:noProof/>
              <w:sz w:val="24"/>
              <w:szCs w:val="24"/>
            </w:rPr>
            <w:fldChar w:fldCharType="end"/>
          </w:r>
        </w:p>
        <w:p w14:paraId="1026411F" w14:textId="4FA84A47"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5.3.3.1.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_Toc121592629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164</w:t>
          </w:r>
          <w:r w:rsidRPr="007003A8">
            <w:rPr>
              <w:rFonts w:cs="Times New Roman"/>
              <w:noProof/>
              <w:sz w:val="24"/>
              <w:szCs w:val="24"/>
            </w:rPr>
            <w:fldChar w:fldCharType="end"/>
          </w:r>
        </w:p>
        <w:p w14:paraId="269CED33" w14:textId="6F7B35F6"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5.3.3.2.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165</w:t>
          </w:r>
          <w:r w:rsidRPr="007003A8">
            <w:rPr>
              <w:rFonts w:cs="Times New Roman"/>
              <w:noProof/>
              <w:sz w:val="24"/>
              <w:szCs w:val="24"/>
            </w:rPr>
            <w:fldChar w:fldCharType="end"/>
          </w:r>
        </w:p>
        <w:p w14:paraId="6D447413" w14:textId="684B227B"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5.3.4. Способ применения и дозы</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165</w:t>
          </w:r>
          <w:r w:rsidRPr="007003A8">
            <w:rPr>
              <w:rFonts w:cs="Times New Roman"/>
              <w:noProof/>
              <w:sz w:val="24"/>
              <w:szCs w:val="24"/>
            </w:rPr>
            <w:fldChar w:fldCharType="end"/>
          </w:r>
        </w:p>
        <w:p w14:paraId="7625DFBB" w14:textId="5736B2F5"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5.3.4.1.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165</w:t>
          </w:r>
          <w:r w:rsidRPr="007003A8">
            <w:rPr>
              <w:rFonts w:cs="Times New Roman"/>
              <w:noProof/>
              <w:sz w:val="24"/>
              <w:szCs w:val="24"/>
            </w:rPr>
            <w:fldChar w:fldCharType="end"/>
          </w:r>
        </w:p>
        <w:p w14:paraId="2604F941" w14:textId="028B0F64"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5.3.4.2.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171</w:t>
          </w:r>
          <w:r w:rsidRPr="007003A8">
            <w:rPr>
              <w:rFonts w:cs="Times New Roman"/>
              <w:noProof/>
              <w:sz w:val="24"/>
              <w:szCs w:val="24"/>
            </w:rPr>
            <w:fldChar w:fldCharType="end"/>
          </w:r>
        </w:p>
        <w:p w14:paraId="27DAF0E1" w14:textId="6CD48F38"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5.3.5. Побочное действие</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_Toc121592634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175</w:t>
          </w:r>
          <w:r w:rsidRPr="007003A8">
            <w:rPr>
              <w:rFonts w:cs="Times New Roman"/>
              <w:noProof/>
              <w:sz w:val="24"/>
              <w:szCs w:val="24"/>
            </w:rPr>
            <w:fldChar w:fldCharType="end"/>
          </w:r>
        </w:p>
        <w:p w14:paraId="1557BF68" w14:textId="2FC36CC8"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5.3.5.1.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175</w:t>
          </w:r>
          <w:r w:rsidRPr="007003A8">
            <w:rPr>
              <w:rFonts w:cs="Times New Roman"/>
              <w:noProof/>
              <w:sz w:val="24"/>
              <w:szCs w:val="24"/>
            </w:rPr>
            <w:fldChar w:fldCharType="end"/>
          </w:r>
        </w:p>
        <w:p w14:paraId="6256C030" w14:textId="2CF5331E"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5.3.5.2.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179</w:t>
          </w:r>
          <w:r w:rsidRPr="007003A8">
            <w:rPr>
              <w:rFonts w:cs="Times New Roman"/>
              <w:noProof/>
              <w:sz w:val="24"/>
              <w:szCs w:val="24"/>
            </w:rPr>
            <w:fldChar w:fldCharType="end"/>
          </w:r>
        </w:p>
        <w:p w14:paraId="3517CF40" w14:textId="5FC41498"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5.3.6. Передозировка</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_Toc121592637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181</w:t>
          </w:r>
          <w:r w:rsidRPr="007003A8">
            <w:rPr>
              <w:rFonts w:cs="Times New Roman"/>
              <w:noProof/>
              <w:sz w:val="24"/>
              <w:szCs w:val="24"/>
            </w:rPr>
            <w:fldChar w:fldCharType="end"/>
          </w:r>
        </w:p>
        <w:p w14:paraId="6D768D9C" w14:textId="23FC9B53"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5.3.6.1.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_Toc121592638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181</w:t>
          </w:r>
          <w:r w:rsidRPr="007003A8">
            <w:rPr>
              <w:rFonts w:cs="Times New Roman"/>
              <w:noProof/>
              <w:sz w:val="24"/>
              <w:szCs w:val="24"/>
            </w:rPr>
            <w:fldChar w:fldCharType="end"/>
          </w:r>
        </w:p>
        <w:p w14:paraId="78237ED2" w14:textId="179E781D"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5.3.6.2.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_Toc121592639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182</w:t>
          </w:r>
          <w:r w:rsidRPr="007003A8">
            <w:rPr>
              <w:rFonts w:cs="Times New Roman"/>
              <w:noProof/>
              <w:sz w:val="24"/>
              <w:szCs w:val="24"/>
            </w:rPr>
            <w:fldChar w:fldCharType="end"/>
          </w:r>
        </w:p>
        <w:p w14:paraId="04C546E3" w14:textId="09DCDAD6"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5.3.7. Взаимодействие с другими лекарственными препаратами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_Toc121592640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182</w:t>
          </w:r>
          <w:r w:rsidRPr="007003A8">
            <w:rPr>
              <w:rFonts w:cs="Times New Roman"/>
              <w:noProof/>
              <w:sz w:val="24"/>
              <w:szCs w:val="24"/>
            </w:rPr>
            <w:fldChar w:fldCharType="end"/>
          </w:r>
        </w:p>
        <w:p w14:paraId="1F3D2B0A" w14:textId="0F40C46B"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5.3.7.1.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_Toc121592641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182</w:t>
          </w:r>
          <w:r w:rsidRPr="007003A8">
            <w:rPr>
              <w:rFonts w:cs="Times New Roman"/>
              <w:noProof/>
              <w:sz w:val="24"/>
              <w:szCs w:val="24"/>
            </w:rPr>
            <w:fldChar w:fldCharType="end"/>
          </w:r>
        </w:p>
        <w:p w14:paraId="08A8D76F" w14:textId="3F95D147"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5.3.7.2.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_Toc121592642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184</w:t>
          </w:r>
          <w:r w:rsidRPr="007003A8">
            <w:rPr>
              <w:rFonts w:cs="Times New Roman"/>
              <w:noProof/>
              <w:sz w:val="24"/>
              <w:szCs w:val="24"/>
            </w:rPr>
            <w:fldChar w:fldCharType="end"/>
          </w:r>
        </w:p>
        <w:p w14:paraId="505D64A9" w14:textId="6879BFE1"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5.3.8. Особые указания</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_Toc121592643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185</w:t>
          </w:r>
          <w:r w:rsidRPr="007003A8">
            <w:rPr>
              <w:rFonts w:cs="Times New Roman"/>
              <w:noProof/>
              <w:sz w:val="24"/>
              <w:szCs w:val="24"/>
            </w:rPr>
            <w:fldChar w:fldCharType="end"/>
          </w:r>
        </w:p>
        <w:p w14:paraId="29EB8F19" w14:textId="541E6A88"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5.3.8.1. Таблетки,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_Toc121592644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185</w:t>
          </w:r>
          <w:r w:rsidRPr="007003A8">
            <w:rPr>
              <w:rFonts w:cs="Times New Roman"/>
              <w:noProof/>
              <w:sz w:val="24"/>
              <w:szCs w:val="24"/>
            </w:rPr>
            <w:fldChar w:fldCharType="end"/>
          </w:r>
        </w:p>
        <w:p w14:paraId="4CDD748B" w14:textId="7F357BB4" w:rsidR="007003A8" w:rsidRPr="007003A8" w:rsidRDefault="007003A8" w:rsidP="007003A8">
          <w:pPr>
            <w:pStyle w:val="41"/>
            <w:rPr>
              <w:rFonts w:eastAsiaTheme="minorEastAsia" w:cs="Times New Roman"/>
              <w:noProof/>
              <w:sz w:val="24"/>
              <w:szCs w:val="24"/>
              <w:lang w:eastAsia="ru-RU"/>
            </w:rPr>
          </w:pPr>
          <w:r w:rsidRPr="007003A8">
            <w:rPr>
              <w:rFonts w:cs="Times New Roman"/>
              <w:noProof/>
              <w:sz w:val="24"/>
              <w:szCs w:val="24"/>
            </w:rPr>
            <w:t>5.3.8.2. Таблетки с модифицированным высвобождением, покрытые пленочной оболочкой</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_Toc121592645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191</w:t>
          </w:r>
          <w:r w:rsidRPr="007003A8">
            <w:rPr>
              <w:rFonts w:cs="Times New Roman"/>
              <w:noProof/>
              <w:sz w:val="24"/>
              <w:szCs w:val="24"/>
            </w:rPr>
            <w:fldChar w:fldCharType="end"/>
          </w:r>
        </w:p>
        <w:p w14:paraId="66CCD6C1" w14:textId="0AD010EF" w:rsidR="007003A8" w:rsidRPr="007003A8" w:rsidRDefault="007003A8" w:rsidP="007003A8">
          <w:pPr>
            <w:pStyle w:val="31"/>
            <w:rPr>
              <w:rFonts w:eastAsiaTheme="minorEastAsia" w:cs="Times New Roman"/>
              <w:noProof/>
              <w:sz w:val="24"/>
              <w:szCs w:val="24"/>
              <w:lang w:eastAsia="ru-RU"/>
            </w:rPr>
          </w:pPr>
          <w:r w:rsidRPr="007003A8">
            <w:rPr>
              <w:rFonts w:cs="Times New Roman"/>
              <w:noProof/>
              <w:sz w:val="24"/>
              <w:szCs w:val="24"/>
            </w:rPr>
            <w:t>5.3.9. Влияние на способность управлять транспортными средствами и механизмами</w:t>
          </w:r>
          <w:r w:rsidRPr="007003A8">
            <w:rPr>
              <w:rFonts w:cs="Times New Roman"/>
              <w:noProof/>
              <w:sz w:val="24"/>
              <w:szCs w:val="24"/>
            </w:rPr>
            <w:tab/>
          </w:r>
          <w:r w:rsidRPr="007003A8">
            <w:rPr>
              <w:rFonts w:cs="Times New Roman"/>
              <w:noProof/>
              <w:sz w:val="24"/>
              <w:szCs w:val="24"/>
            </w:rPr>
            <w:fldChar w:fldCharType="begin"/>
          </w:r>
          <w:r w:rsidRPr="007003A8">
            <w:rPr>
              <w:rFonts w:cs="Times New Roman"/>
              <w:noProof/>
              <w:sz w:val="24"/>
              <w:szCs w:val="24"/>
            </w:rPr>
            <w:instrText xml:space="preserve"> PAGEREF _Toc121592646 \h </w:instrText>
          </w:r>
          <w:r w:rsidRPr="007003A8">
            <w:rPr>
              <w:rFonts w:cs="Times New Roman"/>
              <w:noProof/>
              <w:sz w:val="24"/>
              <w:szCs w:val="24"/>
            </w:rPr>
          </w:r>
          <w:r w:rsidRPr="007003A8">
            <w:rPr>
              <w:rFonts w:cs="Times New Roman"/>
              <w:noProof/>
              <w:sz w:val="24"/>
              <w:szCs w:val="24"/>
            </w:rPr>
            <w:fldChar w:fldCharType="separate"/>
          </w:r>
          <w:r w:rsidR="00791E09">
            <w:rPr>
              <w:rFonts w:cs="Times New Roman"/>
              <w:noProof/>
              <w:sz w:val="24"/>
              <w:szCs w:val="24"/>
            </w:rPr>
            <w:t>197</w:t>
          </w:r>
          <w:r w:rsidRPr="007003A8">
            <w:rPr>
              <w:rFonts w:cs="Times New Roman"/>
              <w:noProof/>
              <w:sz w:val="24"/>
              <w:szCs w:val="24"/>
            </w:rPr>
            <w:fldChar w:fldCharType="end"/>
          </w:r>
        </w:p>
        <w:p w14:paraId="5B579748" w14:textId="379F899A" w:rsidR="007003A8" w:rsidRPr="007003A8" w:rsidRDefault="007003A8" w:rsidP="00E11B3B">
          <w:pPr>
            <w:pStyle w:val="11"/>
            <w:tabs>
              <w:tab w:val="right" w:leader="dot" w:pos="9345"/>
            </w:tabs>
            <w:spacing w:before="0"/>
            <w:ind w:firstLine="0"/>
            <w:rPr>
              <w:rFonts w:eastAsiaTheme="minorEastAsia" w:cs="Times New Roman"/>
              <w:b w:val="0"/>
              <w:bCs w:val="0"/>
              <w:noProof/>
              <w:lang w:eastAsia="ru-RU"/>
            </w:rPr>
          </w:pPr>
          <w:r w:rsidRPr="007003A8">
            <w:rPr>
              <w:rFonts w:cs="Times New Roman"/>
              <w:b w:val="0"/>
              <w:noProof/>
            </w:rPr>
            <w:t>6. ЗАКЛЮЧЕНИЕ</w:t>
          </w:r>
          <w:r w:rsidRPr="007003A8">
            <w:rPr>
              <w:rFonts w:cs="Times New Roman"/>
              <w:b w:val="0"/>
              <w:noProof/>
            </w:rPr>
            <w:tab/>
          </w:r>
          <w:r w:rsidRPr="007003A8">
            <w:rPr>
              <w:rFonts w:cs="Times New Roman"/>
              <w:b w:val="0"/>
              <w:noProof/>
            </w:rPr>
            <w:fldChar w:fldCharType="begin"/>
          </w:r>
          <w:r w:rsidRPr="007003A8">
            <w:rPr>
              <w:rFonts w:cs="Times New Roman"/>
              <w:b w:val="0"/>
              <w:noProof/>
            </w:rPr>
            <w:instrText xml:space="preserve"> PAGEREF _Toc121592647 \h </w:instrText>
          </w:r>
          <w:r w:rsidRPr="007003A8">
            <w:rPr>
              <w:rFonts w:cs="Times New Roman"/>
              <w:b w:val="0"/>
              <w:noProof/>
            </w:rPr>
          </w:r>
          <w:r w:rsidRPr="007003A8">
            <w:rPr>
              <w:rFonts w:cs="Times New Roman"/>
              <w:b w:val="0"/>
              <w:noProof/>
            </w:rPr>
            <w:fldChar w:fldCharType="separate"/>
          </w:r>
          <w:r w:rsidR="00791E09">
            <w:rPr>
              <w:rFonts w:cs="Times New Roman"/>
              <w:b w:val="0"/>
              <w:noProof/>
            </w:rPr>
            <w:t>197</w:t>
          </w:r>
          <w:r w:rsidRPr="007003A8">
            <w:rPr>
              <w:rFonts w:cs="Times New Roman"/>
              <w:b w:val="0"/>
              <w:noProof/>
            </w:rPr>
            <w:fldChar w:fldCharType="end"/>
          </w:r>
        </w:p>
        <w:p w14:paraId="7E1C806A" w14:textId="460E7EC4" w:rsidR="009B3DC5" w:rsidRPr="00364071" w:rsidRDefault="00157F01" w:rsidP="007003A8">
          <w:pPr>
            <w:pStyle w:val="11"/>
            <w:spacing w:before="0"/>
            <w:ind w:firstLine="0"/>
            <w:contextualSpacing/>
            <w:rPr>
              <w:rFonts w:cs="Times New Roman"/>
              <w:b w:val="0"/>
            </w:rPr>
          </w:pPr>
          <w:r w:rsidRPr="007003A8">
            <w:rPr>
              <w:rFonts w:cs="Times New Roman"/>
              <w:b w:val="0"/>
            </w:rPr>
            <w:fldChar w:fldCharType="end"/>
          </w:r>
        </w:p>
      </w:sdtContent>
    </w:sdt>
    <w:p w14:paraId="26775F1E" w14:textId="77777777" w:rsidR="009A0B62" w:rsidRDefault="009A0B62" w:rsidP="00066F7B"/>
    <w:p w14:paraId="4C88B812" w14:textId="77777777" w:rsidR="009A0B62" w:rsidRDefault="009A0B62" w:rsidP="00066F7B">
      <w:pPr>
        <w:pStyle w:val="SDText"/>
      </w:pPr>
    </w:p>
    <w:p w14:paraId="340A70E4" w14:textId="77777777" w:rsidR="00E05E5D" w:rsidRDefault="00E05E5D" w:rsidP="00066F7B">
      <w:pPr>
        <w:pStyle w:val="SDText"/>
      </w:pPr>
      <w:r>
        <w:br w:type="page"/>
      </w:r>
    </w:p>
    <w:p w14:paraId="6367B2E2" w14:textId="04482853" w:rsidR="00DE55ED" w:rsidRPr="00CE4FA3" w:rsidRDefault="00DE55ED" w:rsidP="00495A04">
      <w:pPr>
        <w:pStyle w:val="1"/>
        <w:ind w:left="432" w:hanging="432"/>
      </w:pPr>
      <w:bookmarkStart w:id="3" w:name="_Toc115420995"/>
      <w:bookmarkStart w:id="4" w:name="_Toc121592527"/>
      <w:r w:rsidRPr="00CE4FA3">
        <w:lastRenderedPageBreak/>
        <w:t>Л</w:t>
      </w:r>
      <w:r w:rsidR="00906F12" w:rsidRPr="00CE4FA3">
        <w:t>ИСТ СОГЛАСОВАНИЯ</w:t>
      </w:r>
      <w:bookmarkEnd w:id="3"/>
      <w:bookmarkEnd w:id="4"/>
      <w:r w:rsidR="00906F12" w:rsidRPr="00CE4FA3">
        <w:t xml:space="preserve"> </w:t>
      </w:r>
    </w:p>
    <w:p w14:paraId="0920FBB2" w14:textId="77777777" w:rsidR="00F12BFA" w:rsidRDefault="00F12BFA" w:rsidP="00CE4FA3">
      <w:pPr>
        <w:spacing w:after="0"/>
        <w:ind w:firstLine="0"/>
        <w:contextualSpacing/>
        <w:rPr>
          <w:szCs w:val="24"/>
        </w:rPr>
      </w:pPr>
    </w:p>
    <w:p w14:paraId="73D397E8" w14:textId="65F510FC" w:rsidR="00722A0E" w:rsidRPr="00CE4FA3" w:rsidRDefault="00722A0E" w:rsidP="00CE4FA3">
      <w:pPr>
        <w:spacing w:after="0"/>
        <w:ind w:firstLine="0"/>
        <w:contextualSpacing/>
        <w:rPr>
          <w:szCs w:val="24"/>
        </w:rPr>
      </w:pPr>
      <w:r w:rsidRPr="00CE4FA3">
        <w:rPr>
          <w:szCs w:val="24"/>
        </w:rPr>
        <w:t xml:space="preserve">к версии № </w:t>
      </w:r>
      <w:sdt>
        <w:sdtPr>
          <w:rPr>
            <w:szCs w:val="24"/>
          </w:rPr>
          <w:id w:val="-187288255"/>
          <w:placeholder>
            <w:docPart w:val="DefaultPlaceholder_-1854013440"/>
          </w:placeholder>
          <w:dataBinding w:prefixMappings="xmlns:ns0='http://protocoldata@statandocs.com' " w:xpath="/ns0:sdprotocoldata[1]/ns0:SDDocProperties[1]/ns0:DocumentVersion[1]" w:storeItemID="{FCA95C51-6243-4E94-B45A-ADB0ED17598B}"/>
          <w:text/>
        </w:sdtPr>
        <w:sdtEndPr/>
        <w:sdtContent>
          <w:r w:rsidR="00823C2F" w:rsidRPr="00CE4FA3">
            <w:rPr>
              <w:szCs w:val="24"/>
            </w:rPr>
            <w:t>1.0</w:t>
          </w:r>
        </w:sdtContent>
      </w:sdt>
      <w:r w:rsidRPr="00CE4FA3">
        <w:rPr>
          <w:szCs w:val="24"/>
        </w:rPr>
        <w:t xml:space="preserve"> от </w:t>
      </w:r>
      <w:sdt>
        <w:sdtPr>
          <w:rPr>
            <w:szCs w:val="24"/>
          </w:rPr>
          <w:id w:val="126127362"/>
          <w:placeholder>
            <w:docPart w:val="DefaultPlaceholder_-1854013440"/>
          </w:placeholder>
          <w:dataBinding w:prefixMappings="xmlns:ns0='http://protocoldata@statandocs.com' " w:xpath="/ns0:sdprotocoldata[1]/ns0:SDDocProperties[1]/ns0:DocumentDate[1]" w:storeItemID="{FCA95C51-6243-4E94-B45A-ADB0ED17598B}"/>
          <w:text/>
        </w:sdtPr>
        <w:sdtEndPr/>
        <w:sdtContent>
          <w:r w:rsidR="00791E09">
            <w:rPr>
              <w:szCs w:val="24"/>
            </w:rPr>
            <w:t>19 декабря 2022 г</w:t>
          </w:r>
        </w:sdtContent>
      </w:sdt>
      <w:r w:rsidR="00977188" w:rsidRPr="00CE4FA3">
        <w:rPr>
          <w:szCs w:val="24"/>
        </w:rPr>
        <w:t>.</w:t>
      </w:r>
      <w:r w:rsidRPr="00CE4FA3">
        <w:rPr>
          <w:szCs w:val="24"/>
        </w:rPr>
        <w:t xml:space="preserve"> Брошюры исследователя по препарату (МНН:</w:t>
      </w:r>
      <w:r w:rsidR="00086F14" w:rsidRPr="00CE4FA3">
        <w:rPr>
          <w:szCs w:val="24"/>
        </w:rPr>
        <w:t xml:space="preserve"> </w:t>
      </w:r>
      <w:sdt>
        <w:sdtPr>
          <w:rPr>
            <w:szCs w:val="24"/>
          </w:rPr>
          <w:id w:val="1044635871"/>
          <w:placeholder>
            <w:docPart w:val="DefaultPlaceholder_-1854013440"/>
          </w:placeholder>
          <w:dataBinding w:prefixMappings="xmlns:ns0='http://protocoldata@statandocs.com' " w:xpath="/ns0:sdprotocoldata[1]/ns0:SDDrugs[1]/ns0:SDDrug[1]/ns0:DrugINN[1]" w:storeItemID="{FCA95C51-6243-4E94-B45A-ADB0ED17598B}"/>
          <w:text/>
        </w:sdtPr>
        <w:sdtEndPr/>
        <w:sdtContent>
          <w:r w:rsidR="00F12BFA">
            <w:rPr>
              <w:szCs w:val="24"/>
            </w:rPr>
            <w:t>т</w:t>
          </w:r>
          <w:r w:rsidR="0075128B">
            <w:rPr>
              <w:szCs w:val="24"/>
            </w:rPr>
            <w:t>офацитиниб</w:t>
          </w:r>
        </w:sdtContent>
      </w:sdt>
      <w:r w:rsidRPr="00CE4FA3">
        <w:rPr>
          <w:szCs w:val="24"/>
        </w:rPr>
        <w:t>),</w:t>
      </w:r>
      <w:r w:rsidR="00A1229B" w:rsidRPr="00CE4FA3">
        <w:rPr>
          <w:szCs w:val="24"/>
        </w:rPr>
        <w:t xml:space="preserve"> </w:t>
      </w:r>
      <w:sdt>
        <w:sdtPr>
          <w:rPr>
            <w:szCs w:val="24"/>
          </w:rPr>
          <w:id w:val="238603710"/>
          <w:placeholder>
            <w:docPart w:val="DefaultPlaceholder_-1854013440"/>
          </w:placeholder>
          <w:dataBinding w:prefixMappings="xmlns:ns0='http://protocoldata@statandocs.com' " w:xpath="/ns0:sdprotocoldata[1]/ns0:SDDrugs[1]/ns0:SDDrug[1]/ns0:DrugForm[1]" w:storeItemID="{FCA95C51-6243-4E94-B45A-ADB0ED17598B}"/>
          <w:text/>
        </w:sdtPr>
        <w:sdtEndPr/>
        <w:sdtContent>
          <w:r w:rsidR="00F12BFA">
            <w:rPr>
              <w:szCs w:val="24"/>
            </w:rPr>
            <w:t>т</w:t>
          </w:r>
          <w:r w:rsidR="0075128B">
            <w:rPr>
              <w:szCs w:val="24"/>
            </w:rPr>
            <w:t>аблетки, покрытые пленочной оболочкой</w:t>
          </w:r>
        </w:sdtContent>
      </w:sdt>
      <w:r w:rsidR="00CE4FA3">
        <w:rPr>
          <w:szCs w:val="24"/>
        </w:rPr>
        <w:t xml:space="preserve">, </w:t>
      </w:r>
      <w:r w:rsidR="00CE4FA3" w:rsidRPr="00CE4FA3">
        <w:rPr>
          <w:szCs w:val="24"/>
        </w:rPr>
        <w:t>5 мг и 10 мг</w:t>
      </w:r>
      <w:r w:rsidR="00A50F6D" w:rsidRPr="00CE4FA3">
        <w:rPr>
          <w:szCs w:val="24"/>
        </w:rPr>
        <w:t xml:space="preserve"> </w:t>
      </w:r>
      <w:r w:rsidR="00A211C2">
        <w:rPr>
          <w:szCs w:val="24"/>
        </w:rPr>
        <w:t>(производитель: АО «ОРТАТ</w:t>
      </w:r>
      <w:r w:rsidRPr="00CE4FA3">
        <w:rPr>
          <w:szCs w:val="24"/>
        </w:rPr>
        <w:t>», Россия), являющегося воспроизведенным препаратом по отношению к оригинальному препарату</w:t>
      </w:r>
      <w:r w:rsidR="00A1229B" w:rsidRPr="00CE4FA3">
        <w:rPr>
          <w:szCs w:val="24"/>
        </w:rPr>
        <w:t xml:space="preserve"> </w:t>
      </w:r>
      <w:sdt>
        <w:sdtPr>
          <w:rPr>
            <w:szCs w:val="24"/>
          </w:rPr>
          <w:id w:val="1480809145"/>
          <w:placeholder>
            <w:docPart w:val="DefaultPlaceholder_-1854013440"/>
          </w:placeholder>
          <w:dataBinding w:prefixMappings="xmlns:ns0='http://protocoldata@statandocs.com' " w:xpath="/ns0:sdprotocoldata[1]/ns0:SDDrugs[1]/ns0:SDDrug[2]/ns0:DrugName[1]" w:storeItemID="{FCA95C51-6243-4E94-B45A-ADB0ED17598B}"/>
          <w:text/>
        </w:sdtPr>
        <w:sdtEndPr/>
        <w:sdtContent>
          <w:r w:rsidR="00823C2F" w:rsidRPr="00CE4FA3">
            <w:rPr>
              <w:szCs w:val="24"/>
            </w:rPr>
            <w:t>Яквинус</w:t>
          </w:r>
        </w:sdtContent>
      </w:sdt>
      <w:r w:rsidR="00F12BFA" w:rsidRPr="00F12BFA">
        <w:rPr>
          <w:szCs w:val="24"/>
          <w:vertAlign w:val="superscript"/>
        </w:rPr>
        <w:t>®</w:t>
      </w:r>
      <w:r w:rsidR="00086F14" w:rsidRPr="00CE4FA3">
        <w:rPr>
          <w:szCs w:val="24"/>
        </w:rPr>
        <w:t xml:space="preserve"> </w:t>
      </w:r>
      <w:r w:rsidRPr="00CE4FA3">
        <w:rPr>
          <w:szCs w:val="24"/>
        </w:rPr>
        <w:t>(МНН</w:t>
      </w:r>
      <w:r w:rsidR="00086F14" w:rsidRPr="00CE4FA3">
        <w:rPr>
          <w:szCs w:val="24"/>
        </w:rPr>
        <w:t xml:space="preserve">: </w:t>
      </w:r>
      <w:sdt>
        <w:sdtPr>
          <w:rPr>
            <w:szCs w:val="24"/>
          </w:rPr>
          <w:id w:val="-1600408313"/>
          <w:placeholder>
            <w:docPart w:val="DefaultPlaceholder_-1854013440"/>
          </w:placeholder>
          <w:dataBinding w:prefixMappings="xmlns:ns0='http://protocoldata@statandocs.com' " w:xpath="/ns0:sdprotocoldata[1]/ns0:SDDrugs[1]/ns0:SDDrug[1]/ns0:DrugINN[1]" w:storeItemID="{FCA95C51-6243-4E94-B45A-ADB0ED17598B}"/>
          <w:text/>
        </w:sdtPr>
        <w:sdtEndPr/>
        <w:sdtContent>
          <w:r w:rsidR="00F12BFA">
            <w:rPr>
              <w:szCs w:val="24"/>
            </w:rPr>
            <w:t>тофацитиниб</w:t>
          </w:r>
        </w:sdtContent>
      </w:sdt>
      <w:r w:rsidRPr="00CE4FA3">
        <w:rPr>
          <w:szCs w:val="24"/>
        </w:rPr>
        <w:t>)</w:t>
      </w:r>
      <w:r w:rsidR="00977188" w:rsidRPr="00CE4FA3">
        <w:rPr>
          <w:szCs w:val="24"/>
        </w:rPr>
        <w:t xml:space="preserve">, </w:t>
      </w:r>
      <w:r w:rsidR="006D1BCA" w:rsidRPr="00CE4FA3">
        <w:rPr>
          <w:szCs w:val="24"/>
        </w:rPr>
        <w:t>таблетки, покрытые пленочной оболочкой, 5 мг и 10 мг</w:t>
      </w:r>
      <w:r w:rsidR="0094604F" w:rsidRPr="00CE4FA3">
        <w:rPr>
          <w:szCs w:val="24"/>
        </w:rPr>
        <w:t xml:space="preserve"> </w:t>
      </w:r>
      <w:r w:rsidR="009950FE" w:rsidRPr="00CE4FA3">
        <w:rPr>
          <w:szCs w:val="24"/>
        </w:rPr>
        <w:t>(</w:t>
      </w:r>
      <w:r w:rsidR="009950FE" w:rsidRPr="00A211C2">
        <w:rPr>
          <w:szCs w:val="24"/>
        </w:rPr>
        <w:t>производитель:</w:t>
      </w:r>
      <w:r w:rsidR="0004789D" w:rsidRPr="00A211C2">
        <w:rPr>
          <w:szCs w:val="24"/>
        </w:rPr>
        <w:t xml:space="preserve"> </w:t>
      </w:r>
      <w:r w:rsidR="00A211C2" w:rsidRPr="00A211C2">
        <w:rPr>
          <w:szCs w:val="24"/>
        </w:rPr>
        <w:t>Пфайзер Мэнюфэкчуринг Дойчленд ГмбХ</w:t>
      </w:r>
      <w:r w:rsidR="0004789D" w:rsidRPr="00A211C2">
        <w:rPr>
          <w:szCs w:val="24"/>
        </w:rPr>
        <w:t xml:space="preserve">, </w:t>
      </w:r>
      <w:r w:rsidR="00117923">
        <w:rPr>
          <w:szCs w:val="24"/>
        </w:rPr>
        <w:t>Германия</w:t>
      </w:r>
      <w:r w:rsidR="0004789D" w:rsidRPr="00CE4FA3">
        <w:rPr>
          <w:szCs w:val="24"/>
        </w:rPr>
        <w:t xml:space="preserve">; владелец РУ: </w:t>
      </w:r>
      <w:r w:rsidR="000F7D93" w:rsidRPr="00CE4FA3">
        <w:rPr>
          <w:szCs w:val="24"/>
        </w:rPr>
        <w:t>Пфайзер Инк, США</w:t>
      </w:r>
      <w:r w:rsidR="0004789D" w:rsidRPr="00CE4FA3">
        <w:rPr>
          <w:szCs w:val="24"/>
        </w:rPr>
        <w:t>).</w:t>
      </w:r>
    </w:p>
    <w:p w14:paraId="177788C8" w14:textId="77777777" w:rsidR="00722A0E" w:rsidRPr="00CE4FA3" w:rsidRDefault="00722A0E" w:rsidP="00CE4FA3">
      <w:pPr>
        <w:spacing w:after="0"/>
        <w:contextualSpacing/>
        <w:rPr>
          <w:b/>
          <w:szCs w:val="24"/>
        </w:rPr>
      </w:pPr>
    </w:p>
    <w:p w14:paraId="602F8B9B" w14:textId="31FF9595" w:rsidR="00CE4FA3" w:rsidRPr="00791E09" w:rsidRDefault="00722A0E" w:rsidP="00CE4FA3">
      <w:pPr>
        <w:spacing w:after="0"/>
        <w:ind w:firstLine="0"/>
        <w:contextualSpacing/>
        <w:rPr>
          <w:b/>
          <w:szCs w:val="24"/>
        </w:rPr>
      </w:pPr>
      <w:r w:rsidRPr="00791E09">
        <w:rPr>
          <w:b/>
          <w:szCs w:val="24"/>
        </w:rPr>
        <w:t>Заявляемые показания:</w:t>
      </w:r>
    </w:p>
    <w:p w14:paraId="1CE51620" w14:textId="77777777" w:rsidR="002D06FA" w:rsidRPr="00791E09" w:rsidRDefault="002D06FA" w:rsidP="00791E09">
      <w:pPr>
        <w:pStyle w:val="aff"/>
        <w:numPr>
          <w:ilvl w:val="0"/>
          <w:numId w:val="44"/>
        </w:numPr>
        <w:spacing w:after="0"/>
        <w:ind w:left="426"/>
        <w:rPr>
          <w:b/>
          <w:i/>
          <w:sz w:val="22"/>
        </w:rPr>
      </w:pPr>
      <w:r w:rsidRPr="00791E09">
        <w:rPr>
          <w:b/>
          <w:i/>
          <w:sz w:val="22"/>
        </w:rPr>
        <w:t>Ревматоидный артрит</w:t>
      </w:r>
    </w:p>
    <w:p w14:paraId="3175AB65" w14:textId="794637A1" w:rsidR="002D06FA" w:rsidRPr="00791E09" w:rsidRDefault="002D06FA" w:rsidP="00791E09">
      <w:pPr>
        <w:pStyle w:val="aff"/>
        <w:spacing w:after="0"/>
        <w:ind w:left="426" w:firstLine="0"/>
        <w:rPr>
          <w:sz w:val="22"/>
        </w:rPr>
      </w:pPr>
      <w:r w:rsidRPr="00791E09">
        <w:rPr>
          <w:sz w:val="22"/>
        </w:rPr>
        <w:t>лечение взрослых пациентов с умеренным или тяжелым активным ревматоидным артритом с неадекватным ответом на один или несколько базисных противовоспалительных препаратов (БПВП)</w:t>
      </w:r>
      <w:r w:rsidR="00D71CE8" w:rsidRPr="00791E09">
        <w:rPr>
          <w:sz w:val="22"/>
        </w:rPr>
        <w:t>.</w:t>
      </w:r>
    </w:p>
    <w:p w14:paraId="3E2506DA" w14:textId="181D42C1" w:rsidR="002D06FA" w:rsidRPr="00791E09" w:rsidRDefault="002D06FA" w:rsidP="00791E09">
      <w:pPr>
        <w:pStyle w:val="aff"/>
        <w:numPr>
          <w:ilvl w:val="0"/>
          <w:numId w:val="44"/>
        </w:numPr>
        <w:spacing w:after="0"/>
        <w:ind w:left="426"/>
        <w:rPr>
          <w:b/>
          <w:i/>
          <w:sz w:val="22"/>
        </w:rPr>
      </w:pPr>
      <w:r w:rsidRPr="00791E09">
        <w:rPr>
          <w:b/>
          <w:i/>
          <w:sz w:val="22"/>
        </w:rPr>
        <w:t>Псориатический артрит</w:t>
      </w:r>
    </w:p>
    <w:p w14:paraId="35969C36" w14:textId="0903C04C" w:rsidR="002D06FA" w:rsidRPr="00791E09" w:rsidRDefault="002D06FA" w:rsidP="00791E09">
      <w:pPr>
        <w:pStyle w:val="aff"/>
        <w:spacing w:after="0"/>
        <w:ind w:left="426" w:firstLine="0"/>
        <w:rPr>
          <w:sz w:val="22"/>
        </w:rPr>
      </w:pPr>
      <w:r w:rsidRPr="00791E09">
        <w:rPr>
          <w:sz w:val="22"/>
        </w:rPr>
        <w:t xml:space="preserve">лечение взрослых пациентов с активным псориатическим </w:t>
      </w:r>
      <w:r w:rsidR="00D71CE8" w:rsidRPr="00791E09">
        <w:rPr>
          <w:sz w:val="22"/>
        </w:rPr>
        <w:t>артритом с неадекватным ответом на один или несколько БПВП.</w:t>
      </w:r>
    </w:p>
    <w:p w14:paraId="30A72D5E" w14:textId="4DDAD8EB" w:rsidR="002D06FA" w:rsidRPr="00791E09" w:rsidRDefault="002D06FA" w:rsidP="00791E09">
      <w:pPr>
        <w:pStyle w:val="aff"/>
        <w:numPr>
          <w:ilvl w:val="0"/>
          <w:numId w:val="44"/>
        </w:numPr>
        <w:spacing w:after="0"/>
        <w:ind w:left="426"/>
        <w:rPr>
          <w:b/>
          <w:i/>
          <w:sz w:val="22"/>
        </w:rPr>
      </w:pPr>
      <w:r w:rsidRPr="00791E09">
        <w:rPr>
          <w:b/>
          <w:i/>
          <w:sz w:val="22"/>
        </w:rPr>
        <w:t>Анкилозирующий спондилоартрит</w:t>
      </w:r>
    </w:p>
    <w:p w14:paraId="5FC094BF" w14:textId="4ACFCA10" w:rsidR="002D06FA" w:rsidRPr="00791E09" w:rsidRDefault="00D71CE8" w:rsidP="00791E09">
      <w:pPr>
        <w:pStyle w:val="aff"/>
        <w:spacing w:after="0"/>
        <w:ind w:left="426" w:firstLine="0"/>
        <w:rPr>
          <w:sz w:val="22"/>
        </w:rPr>
      </w:pPr>
      <w:r w:rsidRPr="00791E09">
        <w:rPr>
          <w:sz w:val="22"/>
        </w:rPr>
        <w:t>лечение взрослых пациентов с активным анкилозирующим спондилоартритом (АС) с неадекватным ответом на традиционную терапию.</w:t>
      </w:r>
    </w:p>
    <w:p w14:paraId="1A38BD92" w14:textId="047F5573" w:rsidR="002D06FA" w:rsidRPr="00791E09" w:rsidRDefault="002D06FA" w:rsidP="00791E09">
      <w:pPr>
        <w:pStyle w:val="aff"/>
        <w:numPr>
          <w:ilvl w:val="0"/>
          <w:numId w:val="44"/>
        </w:numPr>
        <w:spacing w:after="0"/>
        <w:ind w:left="426"/>
        <w:rPr>
          <w:b/>
          <w:i/>
          <w:sz w:val="22"/>
        </w:rPr>
      </w:pPr>
      <w:r w:rsidRPr="00791E09">
        <w:rPr>
          <w:b/>
          <w:i/>
          <w:sz w:val="22"/>
        </w:rPr>
        <w:t>Бляшечный псориаз</w:t>
      </w:r>
    </w:p>
    <w:p w14:paraId="23FDBF52" w14:textId="0DB48C86" w:rsidR="002D06FA" w:rsidRPr="00791E09" w:rsidRDefault="00D71CE8" w:rsidP="00791E09">
      <w:pPr>
        <w:pStyle w:val="aff"/>
        <w:spacing w:after="0"/>
        <w:ind w:left="426" w:firstLine="0"/>
        <w:rPr>
          <w:sz w:val="22"/>
        </w:rPr>
      </w:pPr>
      <w:r w:rsidRPr="00791E09">
        <w:rPr>
          <w:sz w:val="22"/>
        </w:rPr>
        <w:t>лечение взрослых с хроническим бляшечным псориазом умеренной или тяжелой степени выраженности, когда показана системная терапия или фототерапия.</w:t>
      </w:r>
    </w:p>
    <w:p w14:paraId="5C7F49CC" w14:textId="77777777" w:rsidR="002D06FA" w:rsidRPr="00791E09" w:rsidRDefault="002D06FA" w:rsidP="00791E09">
      <w:pPr>
        <w:pStyle w:val="aff"/>
        <w:numPr>
          <w:ilvl w:val="0"/>
          <w:numId w:val="44"/>
        </w:numPr>
        <w:spacing w:after="0"/>
        <w:ind w:left="426"/>
        <w:rPr>
          <w:b/>
          <w:i/>
          <w:sz w:val="22"/>
        </w:rPr>
      </w:pPr>
      <w:r w:rsidRPr="00791E09">
        <w:rPr>
          <w:b/>
          <w:i/>
          <w:sz w:val="22"/>
        </w:rPr>
        <w:t>Язвенный колит</w:t>
      </w:r>
    </w:p>
    <w:p w14:paraId="744ED924" w14:textId="26A05B82" w:rsidR="002D06FA" w:rsidRPr="00791E09" w:rsidRDefault="00D71CE8" w:rsidP="00791E09">
      <w:pPr>
        <w:pStyle w:val="aff"/>
        <w:spacing w:after="0"/>
        <w:ind w:left="426" w:firstLine="0"/>
        <w:rPr>
          <w:sz w:val="22"/>
        </w:rPr>
      </w:pPr>
      <w:r w:rsidRPr="00791E09">
        <w:rPr>
          <w:sz w:val="22"/>
        </w:rPr>
        <w:t>индукционная или поддерживающая терапия взрослых пациентов с умеренным или тяжелым активным язвенным колитом (ЯК) с недостаточным ответом, потерей ответа или непереносимостью кортикостероидов, азатиоприна (АЗТ), 6-меркаптопурина (6-МП) или ингибиторов фактора некроза опухолей (ФНО).</w:t>
      </w:r>
      <w:r w:rsidR="002D06FA" w:rsidRPr="00791E09">
        <w:rPr>
          <w:sz w:val="22"/>
        </w:rPr>
        <w:t xml:space="preserve"> </w:t>
      </w:r>
    </w:p>
    <w:p w14:paraId="351A4827" w14:textId="44EA07FA" w:rsidR="002D06FA" w:rsidRPr="00791E09" w:rsidRDefault="002D06FA" w:rsidP="00791E09">
      <w:pPr>
        <w:pStyle w:val="aff"/>
        <w:numPr>
          <w:ilvl w:val="0"/>
          <w:numId w:val="44"/>
        </w:numPr>
        <w:spacing w:after="0"/>
        <w:ind w:left="426"/>
        <w:rPr>
          <w:b/>
          <w:i/>
          <w:sz w:val="22"/>
        </w:rPr>
      </w:pPr>
      <w:r w:rsidRPr="00791E09">
        <w:rPr>
          <w:b/>
          <w:i/>
          <w:sz w:val="22"/>
        </w:rPr>
        <w:t>Полиартикулярный ювенильный идиопатический артрит</w:t>
      </w:r>
    </w:p>
    <w:p w14:paraId="6140D8BC" w14:textId="2E054F2E" w:rsidR="002D06FA" w:rsidRPr="00791E09" w:rsidRDefault="00D71CE8" w:rsidP="00791E09">
      <w:pPr>
        <w:pStyle w:val="aff"/>
        <w:spacing w:after="0"/>
        <w:ind w:left="426" w:firstLine="0"/>
        <w:rPr>
          <w:sz w:val="22"/>
        </w:rPr>
      </w:pPr>
      <w:r w:rsidRPr="00791E09">
        <w:rPr>
          <w:sz w:val="22"/>
        </w:rPr>
        <w:t>лечение активного полиартикулярного ювенильного идиопатического артрита (пЮИА)</w:t>
      </w:r>
      <w:r w:rsidR="00E53670" w:rsidRPr="00791E09">
        <w:rPr>
          <w:sz w:val="22"/>
        </w:rPr>
        <w:t xml:space="preserve"> </w:t>
      </w:r>
      <w:r w:rsidRPr="00791E09">
        <w:rPr>
          <w:sz w:val="22"/>
        </w:rPr>
        <w:t>у пациентов в возрасте 2 лет и старше.</w:t>
      </w:r>
    </w:p>
    <w:p w14:paraId="1BFD4B96" w14:textId="77777777" w:rsidR="00722A0E" w:rsidRPr="00CE4FA3" w:rsidRDefault="00722A0E" w:rsidP="00CE4FA3">
      <w:pPr>
        <w:spacing w:after="0"/>
        <w:contextualSpacing/>
        <w:rPr>
          <w:szCs w:val="24"/>
          <w:lang w:eastAsia="ru-RU"/>
        </w:rPr>
      </w:pPr>
      <w:r w:rsidRPr="00CE4FA3">
        <w:rPr>
          <w:szCs w:val="24"/>
          <w:lang w:eastAsia="ru-RU"/>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5F497E33" w14:textId="77777777" w:rsidR="00722A0E" w:rsidRPr="00CE4FA3" w:rsidRDefault="00722A0E" w:rsidP="00CE4FA3">
      <w:pPr>
        <w:spacing w:after="0"/>
        <w:contextualSpacing/>
        <w:rPr>
          <w:szCs w:val="24"/>
          <w:lang w:eastAsia="ru-RU"/>
        </w:rPr>
      </w:pPr>
      <w:r w:rsidRPr="00CE4FA3">
        <w:rPr>
          <w:szCs w:val="24"/>
          <w:lang w:eastAsia="ru-RU"/>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217B5A06" w14:textId="77777777" w:rsidR="00722A0E" w:rsidRPr="00347876" w:rsidRDefault="00722A0E" w:rsidP="00722A0E">
      <w:pPr>
        <w:spacing w:after="0"/>
        <w:rPr>
          <w:szCs w:val="20"/>
          <w:lang w:eastAsia="ru-RU"/>
        </w:rPr>
      </w:pPr>
      <w:r w:rsidRPr="00347876">
        <w:rPr>
          <w:szCs w:val="20"/>
          <w:lang w:eastAsia="ru-RU"/>
        </w:rPr>
        <w:t xml:space="preserve"> </w:t>
      </w:r>
    </w:p>
    <w:tbl>
      <w:tblPr>
        <w:tblW w:w="9606" w:type="dxa"/>
        <w:tblLook w:val="04A0" w:firstRow="1" w:lastRow="0" w:firstColumn="1" w:lastColumn="0" w:noHBand="0" w:noVBand="1"/>
      </w:tblPr>
      <w:tblGrid>
        <w:gridCol w:w="4962"/>
        <w:gridCol w:w="4644"/>
      </w:tblGrid>
      <w:tr w:rsidR="00CE4FA3" w:rsidRPr="00C95256" w14:paraId="23374452" w14:textId="77777777" w:rsidTr="002D06FA">
        <w:tc>
          <w:tcPr>
            <w:tcW w:w="4962" w:type="dxa"/>
          </w:tcPr>
          <w:p w14:paraId="6210994D" w14:textId="77777777" w:rsidR="00CE4FA3" w:rsidRDefault="00CE4FA3" w:rsidP="00CE4FA3">
            <w:pPr>
              <w:spacing w:after="0"/>
              <w:ind w:firstLine="0"/>
              <w:rPr>
                <w:b/>
                <w:lang w:eastAsia="ru-RU"/>
              </w:rPr>
            </w:pPr>
            <w:r>
              <w:rPr>
                <w:b/>
                <w:lang w:eastAsia="ru-RU"/>
              </w:rPr>
              <w:t>Представитель Спонсора:</w:t>
            </w:r>
          </w:p>
          <w:p w14:paraId="31D60733" w14:textId="77777777" w:rsidR="00CE4FA3" w:rsidRDefault="00CE4FA3" w:rsidP="00CE4FA3">
            <w:pPr>
              <w:spacing w:after="0"/>
              <w:ind w:firstLine="0"/>
              <w:rPr>
                <w:lang w:eastAsia="ru-RU"/>
              </w:rPr>
            </w:pPr>
            <w:r>
              <w:rPr>
                <w:lang w:eastAsia="ru-RU"/>
              </w:rPr>
              <w:t>Филон Ольга Владимировна</w:t>
            </w:r>
          </w:p>
          <w:p w14:paraId="7ADEFC67" w14:textId="77777777" w:rsidR="00CE4FA3" w:rsidRDefault="00CE4FA3" w:rsidP="00CE4FA3">
            <w:pPr>
              <w:spacing w:after="0"/>
              <w:ind w:firstLine="0"/>
              <w:jc w:val="left"/>
              <w:rPr>
                <w:lang w:eastAsia="ru-RU"/>
              </w:rPr>
            </w:pPr>
            <w:r>
              <w:rPr>
                <w:rFonts w:eastAsia="Calibri"/>
                <w:lang w:eastAsia="ru-RU"/>
              </w:rPr>
              <w:t xml:space="preserve">Директор Департамента доклинической и клинической разработки Медицинской дирекции </w:t>
            </w:r>
            <w:r>
              <w:rPr>
                <w:lang w:eastAsia="ru-RU"/>
              </w:rPr>
              <w:t>АО «Р-Фарм»</w:t>
            </w:r>
          </w:p>
          <w:p w14:paraId="2024522C" w14:textId="77777777" w:rsidR="00CE4FA3" w:rsidRPr="00C95256" w:rsidRDefault="00CE4FA3" w:rsidP="00CE4FA3">
            <w:pPr>
              <w:spacing w:after="0" w:line="254" w:lineRule="auto"/>
              <w:ind w:left="-108" w:firstLine="0"/>
              <w:rPr>
                <w:b/>
                <w:vertAlign w:val="superscript"/>
                <w:lang w:eastAsia="ru-RU"/>
              </w:rPr>
            </w:pPr>
          </w:p>
        </w:tc>
        <w:tc>
          <w:tcPr>
            <w:tcW w:w="4644" w:type="dxa"/>
          </w:tcPr>
          <w:p w14:paraId="4669BEAB" w14:textId="77777777" w:rsidR="00CE4FA3" w:rsidRDefault="00CE4FA3" w:rsidP="00CE4FA3">
            <w:pPr>
              <w:spacing w:after="0"/>
              <w:ind w:firstLine="0"/>
              <w:rPr>
                <w:lang w:eastAsia="ru-RU"/>
              </w:rPr>
            </w:pPr>
          </w:p>
          <w:p w14:paraId="61C4873A" w14:textId="77777777" w:rsidR="00CE4FA3" w:rsidRDefault="00CE4FA3" w:rsidP="00CE4FA3">
            <w:pPr>
              <w:spacing w:after="0"/>
              <w:ind w:firstLine="0"/>
              <w:jc w:val="center"/>
              <w:rPr>
                <w:lang w:eastAsia="ru-RU"/>
              </w:rPr>
            </w:pPr>
          </w:p>
          <w:p w14:paraId="4B84A57E" w14:textId="77777777" w:rsidR="00CE4FA3" w:rsidRDefault="00CE4FA3" w:rsidP="00CE4FA3">
            <w:pPr>
              <w:spacing w:after="0"/>
              <w:ind w:firstLine="0"/>
              <w:jc w:val="center"/>
              <w:rPr>
                <w:lang w:eastAsia="ru-RU"/>
              </w:rPr>
            </w:pPr>
            <w:r>
              <w:rPr>
                <w:lang w:eastAsia="ru-RU"/>
              </w:rPr>
              <w:t>______________________________</w:t>
            </w:r>
          </w:p>
          <w:p w14:paraId="3ACDC26B" w14:textId="77777777" w:rsidR="00CE4FA3" w:rsidRDefault="00CE4FA3" w:rsidP="00CE4FA3">
            <w:pPr>
              <w:spacing w:after="0"/>
              <w:ind w:firstLine="0"/>
              <w:jc w:val="center"/>
              <w:rPr>
                <w:vertAlign w:val="superscript"/>
                <w:lang w:eastAsia="ru-RU"/>
              </w:rPr>
            </w:pPr>
            <w:r>
              <w:rPr>
                <w:vertAlign w:val="superscript"/>
                <w:lang w:eastAsia="ru-RU"/>
              </w:rPr>
              <w:t>Подпись</w:t>
            </w:r>
          </w:p>
          <w:p w14:paraId="02A84F14" w14:textId="77777777" w:rsidR="00CE4FA3" w:rsidRDefault="00CE4FA3" w:rsidP="00CE4FA3">
            <w:pPr>
              <w:spacing w:after="0"/>
              <w:ind w:firstLine="0"/>
              <w:jc w:val="center"/>
              <w:rPr>
                <w:lang w:eastAsia="ru-RU"/>
              </w:rPr>
            </w:pPr>
            <w:r>
              <w:rPr>
                <w:lang w:eastAsia="ru-RU"/>
              </w:rPr>
              <w:t>______________________________</w:t>
            </w:r>
          </w:p>
          <w:p w14:paraId="41603753" w14:textId="0DEE5B54" w:rsidR="00CE4FA3" w:rsidRPr="00C95256" w:rsidRDefault="00CE4FA3" w:rsidP="00CE4FA3">
            <w:pPr>
              <w:spacing w:after="0"/>
              <w:ind w:firstLine="0"/>
              <w:jc w:val="center"/>
              <w:rPr>
                <w:sz w:val="20"/>
                <w:szCs w:val="20"/>
                <w:lang w:eastAsia="ru-RU"/>
              </w:rPr>
            </w:pPr>
            <w:r>
              <w:rPr>
                <w:vertAlign w:val="superscript"/>
                <w:lang w:eastAsia="ru-RU"/>
              </w:rPr>
              <w:t>Дата</w:t>
            </w:r>
          </w:p>
        </w:tc>
      </w:tr>
    </w:tbl>
    <w:p w14:paraId="047B5CD7" w14:textId="2F1C9EC2" w:rsidR="00DE55ED" w:rsidRPr="00DE55ED" w:rsidRDefault="00DE55ED" w:rsidP="00DE55ED">
      <w:pPr>
        <w:pStyle w:val="2"/>
        <w:sectPr w:rsidR="00DE55ED" w:rsidRPr="00DE55ED" w:rsidSect="00F85178">
          <w:headerReference w:type="default" r:id="rId15"/>
          <w:pgSz w:w="11906" w:h="16838"/>
          <w:pgMar w:top="1134" w:right="850" w:bottom="1134" w:left="1701" w:header="708" w:footer="708" w:gutter="0"/>
          <w:cols w:space="708"/>
          <w:docGrid w:linePitch="360"/>
        </w:sectPr>
      </w:pPr>
    </w:p>
    <w:p w14:paraId="0F99B951" w14:textId="764759CD" w:rsidR="009460AA" w:rsidRPr="00CE4FA3" w:rsidRDefault="00977188" w:rsidP="00791E09">
      <w:pPr>
        <w:pStyle w:val="1"/>
        <w:spacing w:before="240" w:after="240"/>
        <w:ind w:left="431" w:hanging="431"/>
      </w:pPr>
      <w:bookmarkStart w:id="5" w:name="_Toc115420996"/>
      <w:bookmarkStart w:id="6" w:name="_Toc121592528"/>
      <w:r w:rsidRPr="00CE4FA3">
        <w:lastRenderedPageBreak/>
        <w:t>СПИСОК СОКРАЩЕНИЙ</w:t>
      </w:r>
      <w:bookmarkEnd w:id="5"/>
      <w:bookmarkEnd w:id="6"/>
    </w:p>
    <w:tbl>
      <w:tblPr>
        <w:tblStyle w:val="a4"/>
        <w:tblW w:w="4855" w:type="pct"/>
        <w:tblInd w:w="136" w:type="dxa"/>
        <w:tblLook w:val="04A0" w:firstRow="1" w:lastRow="0" w:firstColumn="1" w:lastColumn="0" w:noHBand="0" w:noVBand="1"/>
      </w:tblPr>
      <w:tblGrid>
        <w:gridCol w:w="1815"/>
        <w:gridCol w:w="7478"/>
      </w:tblGrid>
      <w:tr w:rsidR="007E5A7B" w14:paraId="5714454C" w14:textId="77777777" w:rsidTr="00791E09">
        <w:tc>
          <w:tcPr>
            <w:tcW w:w="1815" w:type="dxa"/>
            <w:vAlign w:val="center"/>
          </w:tcPr>
          <w:p w14:paraId="000ABEC0" w14:textId="4FF1957F" w:rsidR="007E5A7B" w:rsidRDefault="007E5A7B" w:rsidP="005367CD">
            <w:pPr>
              <w:ind w:firstLine="0"/>
            </w:pPr>
            <w:r>
              <w:t>АГ</w:t>
            </w:r>
          </w:p>
        </w:tc>
        <w:tc>
          <w:tcPr>
            <w:tcW w:w="7478" w:type="dxa"/>
            <w:vAlign w:val="center"/>
          </w:tcPr>
          <w:p w14:paraId="37446CF2" w14:textId="3D024C9B" w:rsidR="007E5A7B" w:rsidRDefault="007E5A7B" w:rsidP="00251FDF">
            <w:pPr>
              <w:ind w:firstLine="0"/>
            </w:pPr>
            <w:r>
              <w:t>Артериальная гипертензия</w:t>
            </w:r>
          </w:p>
        </w:tc>
      </w:tr>
      <w:tr w:rsidR="005D4925" w14:paraId="2159BD4F" w14:textId="77777777" w:rsidTr="00791E09">
        <w:tc>
          <w:tcPr>
            <w:tcW w:w="1815" w:type="dxa"/>
            <w:vAlign w:val="center"/>
          </w:tcPr>
          <w:p w14:paraId="2E60685E" w14:textId="1BB2E76C" w:rsidR="005D4925" w:rsidRPr="005367CD" w:rsidRDefault="005D4925" w:rsidP="005367CD">
            <w:pPr>
              <w:ind w:firstLine="0"/>
            </w:pPr>
            <w:r>
              <w:t>АЛТ</w:t>
            </w:r>
          </w:p>
        </w:tc>
        <w:tc>
          <w:tcPr>
            <w:tcW w:w="7478" w:type="dxa"/>
            <w:vAlign w:val="center"/>
          </w:tcPr>
          <w:p w14:paraId="4390B417" w14:textId="5807AA6D" w:rsidR="005D4925" w:rsidRDefault="0005388A" w:rsidP="00251FDF">
            <w:pPr>
              <w:ind w:firstLine="0"/>
            </w:pPr>
            <w:r>
              <w:t>А</w:t>
            </w:r>
            <w:r w:rsidR="005D4925">
              <w:t>ланинаминотрансфераз</w:t>
            </w:r>
            <w:r>
              <w:t>а</w:t>
            </w:r>
            <w:r w:rsidR="005D4925">
              <w:t xml:space="preserve"> </w:t>
            </w:r>
          </w:p>
        </w:tc>
      </w:tr>
      <w:tr w:rsidR="00823C2F" w14:paraId="1AAC802A" w14:textId="77777777" w:rsidTr="00791E09">
        <w:tc>
          <w:tcPr>
            <w:tcW w:w="1815" w:type="dxa"/>
            <w:vAlign w:val="center"/>
          </w:tcPr>
          <w:p w14:paraId="4CECB719" w14:textId="75B27E04" w:rsidR="008432E2" w:rsidRDefault="008432E2" w:rsidP="005367CD">
            <w:pPr>
              <w:ind w:firstLine="0"/>
            </w:pPr>
            <w:r>
              <w:t>АС</w:t>
            </w:r>
          </w:p>
        </w:tc>
        <w:tc>
          <w:tcPr>
            <w:tcW w:w="7478" w:type="dxa"/>
            <w:vAlign w:val="center"/>
          </w:tcPr>
          <w:p w14:paraId="303920CF" w14:textId="382012AC" w:rsidR="008432E2" w:rsidRDefault="008432E2" w:rsidP="00251FDF">
            <w:pPr>
              <w:ind w:firstLine="0"/>
            </w:pPr>
            <w:r>
              <w:t>Анкилозирующий спондилоартрит</w:t>
            </w:r>
          </w:p>
        </w:tc>
      </w:tr>
      <w:tr w:rsidR="005D4925" w14:paraId="3FD68A2B" w14:textId="77777777" w:rsidTr="00791E09">
        <w:tc>
          <w:tcPr>
            <w:tcW w:w="1815" w:type="dxa"/>
            <w:vAlign w:val="center"/>
          </w:tcPr>
          <w:p w14:paraId="50D34C91" w14:textId="3CDE8DBF" w:rsidR="005D4925" w:rsidRPr="005367CD" w:rsidRDefault="0005388A" w:rsidP="005367CD">
            <w:pPr>
              <w:ind w:firstLine="0"/>
            </w:pPr>
            <w:r>
              <w:t>АСТ</w:t>
            </w:r>
          </w:p>
        </w:tc>
        <w:tc>
          <w:tcPr>
            <w:tcW w:w="7478" w:type="dxa"/>
            <w:vAlign w:val="center"/>
          </w:tcPr>
          <w:p w14:paraId="552D244D" w14:textId="7000C367" w:rsidR="005D4925" w:rsidRDefault="0005388A" w:rsidP="00251FDF">
            <w:pPr>
              <w:ind w:firstLine="0"/>
            </w:pPr>
            <w:r>
              <w:t>Аспартатаминотрансфераза</w:t>
            </w:r>
          </w:p>
        </w:tc>
      </w:tr>
      <w:tr w:rsidR="003A0323" w14:paraId="04810665" w14:textId="77777777" w:rsidTr="00791E09">
        <w:tc>
          <w:tcPr>
            <w:tcW w:w="1815" w:type="dxa"/>
            <w:vAlign w:val="center"/>
          </w:tcPr>
          <w:p w14:paraId="4255C42E" w14:textId="5DB5EF88" w:rsidR="003A0323" w:rsidRDefault="005367CD" w:rsidP="005367CD">
            <w:pPr>
              <w:ind w:firstLine="0"/>
            </w:pPr>
            <w:r w:rsidRPr="005367CD">
              <w:t>АСК</w:t>
            </w:r>
          </w:p>
        </w:tc>
        <w:tc>
          <w:tcPr>
            <w:tcW w:w="7478" w:type="dxa"/>
            <w:vAlign w:val="center"/>
          </w:tcPr>
          <w:p w14:paraId="6F53FF96" w14:textId="49093DC2" w:rsidR="003A0323" w:rsidRDefault="00251FDF" w:rsidP="00251FDF">
            <w:pPr>
              <w:ind w:firstLine="0"/>
            </w:pPr>
            <w:r>
              <w:t>А</w:t>
            </w:r>
            <w:r w:rsidR="005367CD" w:rsidRPr="005367CD">
              <w:t>цетилсалицилов</w:t>
            </w:r>
            <w:r>
              <w:t>ая</w:t>
            </w:r>
            <w:r w:rsidR="005367CD" w:rsidRPr="005367CD">
              <w:t xml:space="preserve"> кислот</w:t>
            </w:r>
            <w:r>
              <w:t>а</w:t>
            </w:r>
            <w:r w:rsidR="005367CD" w:rsidRPr="005367CD">
              <w:t xml:space="preserve"> </w:t>
            </w:r>
          </w:p>
        </w:tc>
      </w:tr>
      <w:tr w:rsidR="006519C1" w14:paraId="1BE67105" w14:textId="77777777" w:rsidTr="00791E09">
        <w:tc>
          <w:tcPr>
            <w:tcW w:w="1815" w:type="dxa"/>
            <w:vAlign w:val="center"/>
          </w:tcPr>
          <w:p w14:paraId="64DF0F8E" w14:textId="2F0AF9D1" w:rsidR="006519C1" w:rsidRPr="006519C1" w:rsidRDefault="0036338A" w:rsidP="0036338A">
            <w:pPr>
              <w:ind w:firstLine="0"/>
            </w:pPr>
            <w:r w:rsidRPr="0036338A">
              <w:t>БМАРП</w:t>
            </w:r>
          </w:p>
        </w:tc>
        <w:tc>
          <w:tcPr>
            <w:tcW w:w="7478" w:type="dxa"/>
            <w:vAlign w:val="center"/>
          </w:tcPr>
          <w:p w14:paraId="5C64A3A2" w14:textId="4DC26362" w:rsidR="006519C1" w:rsidRPr="006519C1" w:rsidRDefault="0036338A" w:rsidP="0036338A">
            <w:pPr>
              <w:ind w:firstLine="0"/>
            </w:pPr>
            <w:r>
              <w:t>Б</w:t>
            </w:r>
            <w:r w:rsidRPr="0036338A">
              <w:t>олезньмодифицирующи</w:t>
            </w:r>
            <w:r>
              <w:t>е</w:t>
            </w:r>
            <w:r w:rsidRPr="0036338A">
              <w:t xml:space="preserve"> антиревматически</w:t>
            </w:r>
            <w:r>
              <w:t>е</w:t>
            </w:r>
            <w:r w:rsidRPr="0036338A">
              <w:t xml:space="preserve"> препарат</w:t>
            </w:r>
            <w:r>
              <w:t>ы</w:t>
            </w:r>
            <w:r w:rsidRPr="0036338A">
              <w:t xml:space="preserve"> </w:t>
            </w:r>
          </w:p>
        </w:tc>
      </w:tr>
      <w:tr w:rsidR="00F819A1" w14:paraId="13C97C6A" w14:textId="77777777" w:rsidTr="00791E09">
        <w:tc>
          <w:tcPr>
            <w:tcW w:w="1815" w:type="dxa"/>
            <w:vAlign w:val="center"/>
          </w:tcPr>
          <w:p w14:paraId="0E012ACB" w14:textId="3517C087" w:rsidR="00F819A1" w:rsidRPr="0036338A" w:rsidRDefault="00F819A1" w:rsidP="0036338A">
            <w:pPr>
              <w:ind w:firstLine="0"/>
            </w:pPr>
            <w:r>
              <w:t>ВАШ</w:t>
            </w:r>
          </w:p>
        </w:tc>
        <w:tc>
          <w:tcPr>
            <w:tcW w:w="7478" w:type="dxa"/>
            <w:vAlign w:val="center"/>
          </w:tcPr>
          <w:p w14:paraId="5DD37201" w14:textId="517A4DD1" w:rsidR="00F819A1" w:rsidRDefault="00F819A1" w:rsidP="0036338A">
            <w:pPr>
              <w:ind w:firstLine="0"/>
            </w:pPr>
            <w:r>
              <w:t>Визуальная аналоговая шкала</w:t>
            </w:r>
          </w:p>
        </w:tc>
      </w:tr>
      <w:tr w:rsidR="0039142C" w14:paraId="416DC56D" w14:textId="77777777" w:rsidTr="00791E09">
        <w:tc>
          <w:tcPr>
            <w:tcW w:w="1815" w:type="dxa"/>
            <w:vAlign w:val="center"/>
          </w:tcPr>
          <w:p w14:paraId="2626A1AB" w14:textId="3D266C77" w:rsidR="0039142C" w:rsidRDefault="0039142C" w:rsidP="0036338A">
            <w:pPr>
              <w:ind w:firstLine="0"/>
            </w:pPr>
            <w:r>
              <w:t>ВГН</w:t>
            </w:r>
          </w:p>
        </w:tc>
        <w:tc>
          <w:tcPr>
            <w:tcW w:w="7478" w:type="dxa"/>
            <w:vAlign w:val="center"/>
          </w:tcPr>
          <w:p w14:paraId="3314D64B" w14:textId="40C880C3" w:rsidR="0039142C" w:rsidRDefault="0039142C" w:rsidP="0036338A">
            <w:pPr>
              <w:ind w:firstLine="0"/>
            </w:pPr>
            <w:r>
              <w:t xml:space="preserve">Верхняя граница нормы </w:t>
            </w:r>
          </w:p>
        </w:tc>
      </w:tr>
      <w:tr w:rsidR="0095498B" w14:paraId="292822A5" w14:textId="77777777" w:rsidTr="00791E09">
        <w:tc>
          <w:tcPr>
            <w:tcW w:w="1815" w:type="dxa"/>
            <w:vAlign w:val="center"/>
          </w:tcPr>
          <w:p w14:paraId="59C0DBCB" w14:textId="48FA26A3" w:rsidR="0095498B" w:rsidRDefault="0095498B" w:rsidP="0036338A">
            <w:pPr>
              <w:ind w:firstLine="0"/>
            </w:pPr>
            <w:r>
              <w:t>ВТЭ</w:t>
            </w:r>
          </w:p>
        </w:tc>
        <w:tc>
          <w:tcPr>
            <w:tcW w:w="7478" w:type="dxa"/>
            <w:vAlign w:val="center"/>
          </w:tcPr>
          <w:p w14:paraId="56BCEEF5" w14:textId="65628F2F" w:rsidR="0095498B" w:rsidRDefault="0095498B" w:rsidP="0036338A">
            <w:pPr>
              <w:ind w:firstLine="0"/>
            </w:pPr>
            <w:r>
              <w:t>Венозная тромбоэмболия</w:t>
            </w:r>
          </w:p>
        </w:tc>
      </w:tr>
      <w:tr w:rsidR="00D51335" w14:paraId="574BF6F2" w14:textId="77777777" w:rsidTr="00791E09">
        <w:tc>
          <w:tcPr>
            <w:tcW w:w="1815" w:type="dxa"/>
            <w:vAlign w:val="center"/>
          </w:tcPr>
          <w:p w14:paraId="0BB8254F" w14:textId="44EE9BF4" w:rsidR="00D51335" w:rsidRDefault="00E10FB4" w:rsidP="00E10FB4">
            <w:pPr>
              <w:ind w:firstLine="0"/>
            </w:pPr>
            <w:r>
              <w:t>ГКС</w:t>
            </w:r>
          </w:p>
        </w:tc>
        <w:tc>
          <w:tcPr>
            <w:tcW w:w="7478" w:type="dxa"/>
            <w:vAlign w:val="center"/>
          </w:tcPr>
          <w:p w14:paraId="327BED50" w14:textId="7B2AE869" w:rsidR="00D51335" w:rsidRDefault="00E10FB4" w:rsidP="00E10FB4">
            <w:pPr>
              <w:ind w:firstLine="0"/>
            </w:pPr>
            <w:r>
              <w:t xml:space="preserve">Глюкокортикостероиды </w:t>
            </w:r>
          </w:p>
        </w:tc>
      </w:tr>
      <w:tr w:rsidR="00AB2F5A" w14:paraId="0AF6342A" w14:textId="77777777" w:rsidTr="00791E09">
        <w:tc>
          <w:tcPr>
            <w:tcW w:w="1815" w:type="dxa"/>
            <w:vAlign w:val="center"/>
          </w:tcPr>
          <w:p w14:paraId="5B252BCD" w14:textId="67189BD4" w:rsidR="00AB2F5A" w:rsidRDefault="00AB2F5A" w:rsidP="00E10FB4">
            <w:pPr>
              <w:ind w:firstLine="0"/>
            </w:pPr>
            <w:r>
              <w:t>ДИ</w:t>
            </w:r>
          </w:p>
        </w:tc>
        <w:tc>
          <w:tcPr>
            <w:tcW w:w="7478" w:type="dxa"/>
            <w:vAlign w:val="center"/>
          </w:tcPr>
          <w:p w14:paraId="3C0E483E" w14:textId="0A3AA2E0" w:rsidR="00AB2F5A" w:rsidRDefault="00AB2F5A" w:rsidP="00E10FB4">
            <w:pPr>
              <w:ind w:firstLine="0"/>
            </w:pPr>
            <w:r>
              <w:t xml:space="preserve">Доверительный интервал </w:t>
            </w:r>
          </w:p>
        </w:tc>
      </w:tr>
      <w:tr w:rsidR="007B2859" w14:paraId="41D57406" w14:textId="77777777" w:rsidTr="00791E09">
        <w:tc>
          <w:tcPr>
            <w:tcW w:w="1815" w:type="dxa"/>
            <w:vAlign w:val="center"/>
          </w:tcPr>
          <w:p w14:paraId="54DF9DE1" w14:textId="15C9DF27" w:rsidR="007B2859" w:rsidRDefault="007B2859" w:rsidP="00E10FB4">
            <w:pPr>
              <w:ind w:firstLine="0"/>
            </w:pPr>
            <w:r>
              <w:t>ДНК</w:t>
            </w:r>
          </w:p>
        </w:tc>
        <w:tc>
          <w:tcPr>
            <w:tcW w:w="7478" w:type="dxa"/>
            <w:vAlign w:val="center"/>
          </w:tcPr>
          <w:p w14:paraId="21B89915" w14:textId="5C44424D" w:rsidR="007B2859" w:rsidRDefault="007B2859" w:rsidP="00E10FB4">
            <w:pPr>
              <w:ind w:firstLine="0"/>
            </w:pPr>
            <w:r>
              <w:t>Дезоксирибонуклеиновая кислота</w:t>
            </w:r>
          </w:p>
        </w:tc>
      </w:tr>
      <w:tr w:rsidR="00D53650" w14:paraId="6375CF77" w14:textId="77777777" w:rsidTr="00791E09">
        <w:tc>
          <w:tcPr>
            <w:tcW w:w="1815" w:type="dxa"/>
            <w:vAlign w:val="center"/>
          </w:tcPr>
          <w:p w14:paraId="18E1BAB7" w14:textId="10DA9B99" w:rsidR="00D53650" w:rsidRDefault="00D53650" w:rsidP="00E10FB4">
            <w:pPr>
              <w:ind w:firstLine="0"/>
            </w:pPr>
            <w:r>
              <w:t>ЕС</w:t>
            </w:r>
          </w:p>
        </w:tc>
        <w:tc>
          <w:tcPr>
            <w:tcW w:w="7478" w:type="dxa"/>
            <w:vAlign w:val="center"/>
          </w:tcPr>
          <w:p w14:paraId="26C4B58E" w14:textId="08B95033" w:rsidR="00D53650" w:rsidRDefault="00D53650" w:rsidP="00E10FB4">
            <w:pPr>
              <w:ind w:firstLine="0"/>
            </w:pPr>
            <w:r>
              <w:t>Европейский Союз</w:t>
            </w:r>
          </w:p>
        </w:tc>
      </w:tr>
      <w:tr w:rsidR="00D537E2" w14:paraId="2D104C28" w14:textId="77777777" w:rsidTr="00791E09">
        <w:tc>
          <w:tcPr>
            <w:tcW w:w="1815" w:type="dxa"/>
            <w:vAlign w:val="center"/>
          </w:tcPr>
          <w:p w14:paraId="0FE3F218" w14:textId="7F587653" w:rsidR="00D537E2" w:rsidRDefault="00D537E2" w:rsidP="00E10FB4">
            <w:pPr>
              <w:ind w:firstLine="0"/>
            </w:pPr>
            <w:r>
              <w:t>ЖКТ</w:t>
            </w:r>
          </w:p>
        </w:tc>
        <w:tc>
          <w:tcPr>
            <w:tcW w:w="7478" w:type="dxa"/>
            <w:vAlign w:val="center"/>
          </w:tcPr>
          <w:p w14:paraId="36CB372B" w14:textId="64B7289B" w:rsidR="00D537E2" w:rsidRDefault="00D537E2" w:rsidP="00E10FB4">
            <w:pPr>
              <w:ind w:firstLine="0"/>
            </w:pPr>
            <w:r>
              <w:t>Желудочно-кишечный тракт</w:t>
            </w:r>
          </w:p>
        </w:tc>
      </w:tr>
      <w:tr w:rsidR="00EE75FB" w14:paraId="0A4E9516" w14:textId="77777777" w:rsidTr="00791E09">
        <w:tc>
          <w:tcPr>
            <w:tcW w:w="1815" w:type="dxa"/>
            <w:vAlign w:val="center"/>
          </w:tcPr>
          <w:p w14:paraId="7ECAEFC8" w14:textId="7FB6685F" w:rsidR="00EE75FB" w:rsidRDefault="00EE75FB" w:rsidP="00E10FB4">
            <w:pPr>
              <w:ind w:firstLine="0"/>
            </w:pPr>
            <w:r>
              <w:t>ЖХ-МС/МС</w:t>
            </w:r>
          </w:p>
        </w:tc>
        <w:tc>
          <w:tcPr>
            <w:tcW w:w="7478" w:type="dxa"/>
            <w:vAlign w:val="center"/>
          </w:tcPr>
          <w:p w14:paraId="4A5DC4AA" w14:textId="1DDBC565" w:rsidR="00EE75FB" w:rsidRDefault="00EE75FB" w:rsidP="00E10FB4">
            <w:pPr>
              <w:ind w:firstLine="0"/>
            </w:pPr>
            <w:r>
              <w:t xml:space="preserve">Жидкостная хроматография с тандемной масс-спектрометрией </w:t>
            </w:r>
          </w:p>
        </w:tc>
      </w:tr>
      <w:tr w:rsidR="006275DB" w14:paraId="26E30445" w14:textId="77777777" w:rsidTr="00791E09">
        <w:tc>
          <w:tcPr>
            <w:tcW w:w="1815" w:type="dxa"/>
            <w:vAlign w:val="center"/>
          </w:tcPr>
          <w:p w14:paraId="74B9EF19" w14:textId="0D5DCD34" w:rsidR="006275DB" w:rsidRDefault="006275DB" w:rsidP="00E10FB4">
            <w:pPr>
              <w:ind w:firstLine="0"/>
            </w:pPr>
            <w:r>
              <w:rPr>
                <w:rFonts w:cs="Times New Roman"/>
              </w:rPr>
              <w:t>ИБС</w:t>
            </w:r>
          </w:p>
        </w:tc>
        <w:tc>
          <w:tcPr>
            <w:tcW w:w="7478" w:type="dxa"/>
            <w:vAlign w:val="center"/>
          </w:tcPr>
          <w:p w14:paraId="1C16846D" w14:textId="0EAEC508" w:rsidR="006275DB" w:rsidRDefault="006275DB" w:rsidP="00E10FB4">
            <w:pPr>
              <w:ind w:firstLine="0"/>
            </w:pPr>
            <w:r>
              <w:t xml:space="preserve">Ишемическая болезнь сердца </w:t>
            </w:r>
          </w:p>
        </w:tc>
      </w:tr>
      <w:tr w:rsidR="0012225E" w14:paraId="36F56BB7" w14:textId="77777777" w:rsidTr="00791E09">
        <w:tc>
          <w:tcPr>
            <w:tcW w:w="1815" w:type="dxa"/>
            <w:vAlign w:val="center"/>
          </w:tcPr>
          <w:p w14:paraId="3B6A2338" w14:textId="16E98FC2" w:rsidR="0012225E" w:rsidRDefault="0012225E" w:rsidP="00E10FB4">
            <w:pPr>
              <w:ind w:firstLine="0"/>
            </w:pPr>
            <w:r>
              <w:t>ИМП</w:t>
            </w:r>
          </w:p>
        </w:tc>
        <w:tc>
          <w:tcPr>
            <w:tcW w:w="7478" w:type="dxa"/>
            <w:vAlign w:val="center"/>
          </w:tcPr>
          <w:p w14:paraId="71D5ED16" w14:textId="450A3785" w:rsidR="00B343AC" w:rsidRDefault="0012225E" w:rsidP="00E10FB4">
            <w:pPr>
              <w:ind w:firstLine="0"/>
            </w:pPr>
            <w:r>
              <w:t>Инструкция по медицинскому применению</w:t>
            </w:r>
          </w:p>
        </w:tc>
      </w:tr>
      <w:tr w:rsidR="009C236F" w14:paraId="7464373E" w14:textId="77777777" w:rsidTr="00791E09">
        <w:tc>
          <w:tcPr>
            <w:tcW w:w="1815" w:type="dxa"/>
            <w:vAlign w:val="center"/>
          </w:tcPr>
          <w:p w14:paraId="5E39D1DF" w14:textId="5A7B9B7B" w:rsidR="009C236F" w:rsidRDefault="009C236F" w:rsidP="00E10FB4">
            <w:pPr>
              <w:ind w:firstLine="0"/>
            </w:pPr>
            <w:r>
              <w:t>ЛПВП</w:t>
            </w:r>
          </w:p>
        </w:tc>
        <w:tc>
          <w:tcPr>
            <w:tcW w:w="7478" w:type="dxa"/>
            <w:vAlign w:val="center"/>
          </w:tcPr>
          <w:p w14:paraId="6B353CA3" w14:textId="177C27FA" w:rsidR="009C236F" w:rsidRDefault="009C236F" w:rsidP="00E10FB4">
            <w:pPr>
              <w:ind w:firstLine="0"/>
            </w:pPr>
            <w:r>
              <w:t xml:space="preserve">Липопротеины высокой плотности </w:t>
            </w:r>
          </w:p>
        </w:tc>
      </w:tr>
      <w:tr w:rsidR="007E03A1" w14:paraId="38CC1784" w14:textId="77777777" w:rsidTr="00791E09">
        <w:tc>
          <w:tcPr>
            <w:tcW w:w="1815" w:type="dxa"/>
            <w:vAlign w:val="center"/>
          </w:tcPr>
          <w:p w14:paraId="375AD0A4" w14:textId="59A11958" w:rsidR="007E03A1" w:rsidRDefault="007E03A1" w:rsidP="00E10FB4">
            <w:pPr>
              <w:ind w:firstLine="0"/>
            </w:pPr>
            <w:r>
              <w:t>ЛПНП</w:t>
            </w:r>
          </w:p>
        </w:tc>
        <w:tc>
          <w:tcPr>
            <w:tcW w:w="7478" w:type="dxa"/>
            <w:vAlign w:val="center"/>
          </w:tcPr>
          <w:p w14:paraId="32030463" w14:textId="5F1AD72C" w:rsidR="007E03A1" w:rsidRDefault="007E03A1" w:rsidP="00E10FB4">
            <w:pPr>
              <w:ind w:firstLine="0"/>
            </w:pPr>
            <w:r>
              <w:t xml:space="preserve">Липопротеины низкой плотности </w:t>
            </w:r>
          </w:p>
        </w:tc>
      </w:tr>
      <w:tr w:rsidR="00F836AB" w14:paraId="45EF3525" w14:textId="77777777" w:rsidTr="00791E09">
        <w:tc>
          <w:tcPr>
            <w:tcW w:w="1815" w:type="dxa"/>
            <w:vAlign w:val="center"/>
          </w:tcPr>
          <w:p w14:paraId="7CEF5014" w14:textId="7A94FD8F" w:rsidR="00F836AB" w:rsidRDefault="00F836AB" w:rsidP="00E10FB4">
            <w:pPr>
              <w:ind w:firstLine="0"/>
            </w:pPr>
            <w:r>
              <w:t>МПД</w:t>
            </w:r>
          </w:p>
        </w:tc>
        <w:tc>
          <w:tcPr>
            <w:tcW w:w="7478" w:type="dxa"/>
            <w:vAlign w:val="center"/>
          </w:tcPr>
          <w:p w14:paraId="03E010C0" w14:textId="1E0665FB" w:rsidR="00F836AB" w:rsidRDefault="00F836AB" w:rsidP="00E10FB4">
            <w:pPr>
              <w:ind w:firstLine="0"/>
            </w:pPr>
            <w:r>
              <w:t xml:space="preserve">Максимально переносимая доза </w:t>
            </w:r>
          </w:p>
        </w:tc>
      </w:tr>
      <w:tr w:rsidR="00747135" w14:paraId="4A4C74AF" w14:textId="77777777" w:rsidTr="00791E09">
        <w:tc>
          <w:tcPr>
            <w:tcW w:w="1815" w:type="dxa"/>
            <w:vAlign w:val="center"/>
          </w:tcPr>
          <w:p w14:paraId="052C2DA6" w14:textId="6242084C" w:rsidR="00747135" w:rsidRDefault="00747135" w:rsidP="00E10FB4">
            <w:pPr>
              <w:ind w:firstLine="0"/>
            </w:pPr>
            <w:r>
              <w:t>мРНК</w:t>
            </w:r>
          </w:p>
        </w:tc>
        <w:tc>
          <w:tcPr>
            <w:tcW w:w="7478" w:type="dxa"/>
            <w:vAlign w:val="center"/>
          </w:tcPr>
          <w:p w14:paraId="0ADFE478" w14:textId="289AB105" w:rsidR="00747135" w:rsidRDefault="00747135" w:rsidP="00E10FB4">
            <w:pPr>
              <w:ind w:firstLine="0"/>
            </w:pPr>
            <w:r>
              <w:t xml:space="preserve">Матричная рибонуклеиновая кислота </w:t>
            </w:r>
          </w:p>
        </w:tc>
      </w:tr>
      <w:tr w:rsidR="0088798D" w14:paraId="53F59EB3" w14:textId="77777777" w:rsidTr="00791E09">
        <w:tc>
          <w:tcPr>
            <w:tcW w:w="1815" w:type="dxa"/>
            <w:vAlign w:val="center"/>
          </w:tcPr>
          <w:p w14:paraId="5F7CB5F0" w14:textId="48A134EE" w:rsidR="0088798D" w:rsidRDefault="0088798D" w:rsidP="00E10FB4">
            <w:pPr>
              <w:ind w:firstLine="0"/>
            </w:pPr>
            <w:r w:rsidRPr="0088798D">
              <w:t>НМРК</w:t>
            </w:r>
          </w:p>
        </w:tc>
        <w:tc>
          <w:tcPr>
            <w:tcW w:w="7478" w:type="dxa"/>
            <w:vAlign w:val="center"/>
          </w:tcPr>
          <w:p w14:paraId="4E5CAA14" w14:textId="13CCDB5A" w:rsidR="0088798D" w:rsidRDefault="0088798D" w:rsidP="00E10FB4">
            <w:pPr>
              <w:ind w:firstLine="0"/>
            </w:pPr>
            <w:r>
              <w:t>Н</w:t>
            </w:r>
            <w:r w:rsidRPr="0088798D">
              <w:t>емеланомн</w:t>
            </w:r>
            <w:r>
              <w:t>ый</w:t>
            </w:r>
            <w:r w:rsidRPr="0088798D">
              <w:t xml:space="preserve"> рак кожи </w:t>
            </w:r>
          </w:p>
        </w:tc>
      </w:tr>
      <w:tr w:rsidR="0040557D" w14:paraId="2A578842" w14:textId="77777777" w:rsidTr="00791E09">
        <w:tc>
          <w:tcPr>
            <w:tcW w:w="1815" w:type="dxa"/>
            <w:vAlign w:val="center"/>
          </w:tcPr>
          <w:p w14:paraId="7A48301F" w14:textId="02AD9B64" w:rsidR="0040557D" w:rsidRPr="0040557D" w:rsidRDefault="00E10FB4" w:rsidP="00E10FB4">
            <w:pPr>
              <w:ind w:firstLine="0"/>
            </w:pPr>
            <w:r>
              <w:t>НПВП</w:t>
            </w:r>
          </w:p>
        </w:tc>
        <w:tc>
          <w:tcPr>
            <w:tcW w:w="7478" w:type="dxa"/>
            <w:vAlign w:val="center"/>
          </w:tcPr>
          <w:p w14:paraId="3E6B02CF" w14:textId="024034AD" w:rsidR="0040557D" w:rsidRDefault="00E10FB4" w:rsidP="00E10FB4">
            <w:pPr>
              <w:ind w:firstLine="0"/>
            </w:pPr>
            <w:r>
              <w:t xml:space="preserve">Нестероидные противовоспалительные препараты </w:t>
            </w:r>
          </w:p>
        </w:tc>
      </w:tr>
      <w:tr w:rsidR="00F54829" w14:paraId="5EFC0D50" w14:textId="77777777" w:rsidTr="00791E09">
        <w:tc>
          <w:tcPr>
            <w:tcW w:w="1815" w:type="dxa"/>
            <w:vAlign w:val="center"/>
          </w:tcPr>
          <w:p w14:paraId="75FF9DDF" w14:textId="3A199A13" w:rsidR="00F54829" w:rsidRDefault="00F54829" w:rsidP="00E10FB4">
            <w:pPr>
              <w:ind w:firstLine="0"/>
            </w:pPr>
            <w:r>
              <w:t>НПКО</w:t>
            </w:r>
          </w:p>
        </w:tc>
        <w:tc>
          <w:tcPr>
            <w:tcW w:w="7478" w:type="dxa"/>
            <w:vAlign w:val="center"/>
          </w:tcPr>
          <w:p w14:paraId="6A5877E2" w14:textId="30022898" w:rsidR="00F54829" w:rsidRDefault="00F54829" w:rsidP="00E10FB4">
            <w:pPr>
              <w:ind w:firstLine="0"/>
            </w:pPr>
            <w:r>
              <w:t xml:space="preserve">Нижний предел количественного определения </w:t>
            </w:r>
          </w:p>
        </w:tc>
      </w:tr>
      <w:tr w:rsidR="00D57157" w14:paraId="0870C96C" w14:textId="77777777" w:rsidTr="00791E09">
        <w:tc>
          <w:tcPr>
            <w:tcW w:w="1815" w:type="dxa"/>
            <w:vAlign w:val="center"/>
          </w:tcPr>
          <w:p w14:paraId="7FE44A2D" w14:textId="19EB1CC0" w:rsidR="00D57157" w:rsidRDefault="00D57157" w:rsidP="00E10FB4">
            <w:pPr>
              <w:ind w:firstLine="0"/>
            </w:pPr>
            <w:r>
              <w:t>НР</w:t>
            </w:r>
          </w:p>
        </w:tc>
        <w:tc>
          <w:tcPr>
            <w:tcW w:w="7478" w:type="dxa"/>
            <w:vAlign w:val="center"/>
          </w:tcPr>
          <w:p w14:paraId="73FE9396" w14:textId="0DBEA150" w:rsidR="00D57157" w:rsidRDefault="00D57157" w:rsidP="00E10FB4">
            <w:pPr>
              <w:ind w:firstLine="0"/>
            </w:pPr>
            <w:r>
              <w:t xml:space="preserve">Нежелательная реакция </w:t>
            </w:r>
          </w:p>
        </w:tc>
      </w:tr>
      <w:tr w:rsidR="006519C1" w14:paraId="51EADB73" w14:textId="77777777" w:rsidTr="00791E09">
        <w:tc>
          <w:tcPr>
            <w:tcW w:w="1815" w:type="dxa"/>
            <w:vAlign w:val="center"/>
          </w:tcPr>
          <w:p w14:paraId="7B130345" w14:textId="12AA79B6" w:rsidR="006519C1" w:rsidRPr="006519C1" w:rsidRDefault="00672D23" w:rsidP="00672D23">
            <w:pPr>
              <w:ind w:firstLine="0"/>
            </w:pPr>
            <w:r>
              <w:t>НЯ</w:t>
            </w:r>
          </w:p>
        </w:tc>
        <w:tc>
          <w:tcPr>
            <w:tcW w:w="7478" w:type="dxa"/>
            <w:vAlign w:val="center"/>
          </w:tcPr>
          <w:p w14:paraId="23717038" w14:textId="2ACE707C" w:rsidR="006519C1" w:rsidRPr="006519C1" w:rsidRDefault="00672D23" w:rsidP="00672D23">
            <w:pPr>
              <w:ind w:firstLine="0"/>
            </w:pPr>
            <w:r>
              <w:t xml:space="preserve">Нежелательное явление </w:t>
            </w:r>
          </w:p>
        </w:tc>
      </w:tr>
      <w:tr w:rsidR="009460AA" w14:paraId="460F47D4" w14:textId="77777777" w:rsidTr="00791E09">
        <w:tc>
          <w:tcPr>
            <w:tcW w:w="1815" w:type="dxa"/>
            <w:vAlign w:val="center"/>
          </w:tcPr>
          <w:p w14:paraId="39F1B314" w14:textId="304EE778" w:rsidR="009460AA" w:rsidRDefault="00F549BC" w:rsidP="00F549BC">
            <w:pPr>
              <w:ind w:firstLine="0"/>
            </w:pPr>
            <w:r>
              <w:t>РА</w:t>
            </w:r>
          </w:p>
        </w:tc>
        <w:tc>
          <w:tcPr>
            <w:tcW w:w="7478" w:type="dxa"/>
            <w:vAlign w:val="center"/>
          </w:tcPr>
          <w:p w14:paraId="086FDA1D" w14:textId="2B0D987D" w:rsidR="009460AA" w:rsidRDefault="00F549BC" w:rsidP="00F549BC">
            <w:pPr>
              <w:ind w:firstLine="0"/>
            </w:pPr>
            <w:r>
              <w:t>Ревматоидный арт</w:t>
            </w:r>
            <w:r w:rsidR="00281DA4">
              <w:t>р</w:t>
            </w:r>
            <w:r>
              <w:t>ит</w:t>
            </w:r>
          </w:p>
        </w:tc>
      </w:tr>
      <w:tr w:rsidR="0045008A" w14:paraId="19972D7C" w14:textId="77777777" w:rsidTr="00791E09">
        <w:tc>
          <w:tcPr>
            <w:tcW w:w="1815" w:type="dxa"/>
            <w:vAlign w:val="center"/>
          </w:tcPr>
          <w:p w14:paraId="1F9E7C99" w14:textId="4FC3C559" w:rsidR="0045008A" w:rsidRDefault="0045008A" w:rsidP="00F549BC">
            <w:pPr>
              <w:ind w:firstLine="0"/>
            </w:pPr>
            <w:r>
              <w:t>РФ</w:t>
            </w:r>
          </w:p>
        </w:tc>
        <w:tc>
          <w:tcPr>
            <w:tcW w:w="7478" w:type="dxa"/>
            <w:vAlign w:val="center"/>
          </w:tcPr>
          <w:p w14:paraId="1E1EAB1D" w14:textId="6FD149E0" w:rsidR="0045008A" w:rsidRDefault="0045008A" w:rsidP="00F549BC">
            <w:pPr>
              <w:ind w:firstLine="0"/>
            </w:pPr>
            <w:r>
              <w:t xml:space="preserve">Ревматоидный фактор </w:t>
            </w:r>
          </w:p>
        </w:tc>
      </w:tr>
      <w:tr w:rsidR="00681FDD" w14:paraId="626C3C19" w14:textId="77777777" w:rsidTr="00791E09">
        <w:tc>
          <w:tcPr>
            <w:tcW w:w="1815" w:type="dxa"/>
            <w:vAlign w:val="center"/>
          </w:tcPr>
          <w:p w14:paraId="53591829" w14:textId="1A4B1938" w:rsidR="00681FDD" w:rsidRDefault="00681FDD" w:rsidP="00681FDD">
            <w:pPr>
              <w:ind w:firstLine="0"/>
            </w:pPr>
            <w:r w:rsidRPr="00304C9E">
              <w:t>сБМАРП</w:t>
            </w:r>
          </w:p>
        </w:tc>
        <w:tc>
          <w:tcPr>
            <w:tcW w:w="7478" w:type="dxa"/>
            <w:vAlign w:val="center"/>
          </w:tcPr>
          <w:p w14:paraId="1C00B6A9" w14:textId="0BF01FC1" w:rsidR="00681FDD" w:rsidRDefault="00681FDD" w:rsidP="00681FDD">
            <w:pPr>
              <w:ind w:firstLine="0"/>
            </w:pPr>
            <w:r>
              <w:t>С</w:t>
            </w:r>
            <w:r w:rsidRPr="00304C9E">
              <w:t xml:space="preserve">интетические болезньмодифицирующие антиревматические препараты </w:t>
            </w:r>
          </w:p>
        </w:tc>
      </w:tr>
      <w:tr w:rsidR="009460AA" w14:paraId="0D71D439" w14:textId="77777777" w:rsidTr="00791E09">
        <w:tc>
          <w:tcPr>
            <w:tcW w:w="1815" w:type="dxa"/>
            <w:vAlign w:val="center"/>
          </w:tcPr>
          <w:p w14:paraId="534359D2" w14:textId="1522E641" w:rsidR="009460AA" w:rsidRDefault="00281DA4" w:rsidP="00281DA4">
            <w:pPr>
              <w:ind w:firstLine="0"/>
            </w:pPr>
            <w:r>
              <w:t>сБПВП</w:t>
            </w:r>
          </w:p>
        </w:tc>
        <w:tc>
          <w:tcPr>
            <w:tcW w:w="7478" w:type="dxa"/>
            <w:vAlign w:val="center"/>
          </w:tcPr>
          <w:p w14:paraId="59D9A3E8" w14:textId="4A388590" w:rsidR="009460AA" w:rsidRDefault="00281DA4" w:rsidP="00281DA4">
            <w:pPr>
              <w:ind w:firstLine="0"/>
            </w:pPr>
            <w:r>
              <w:t xml:space="preserve">Синтетические базисные противовоспалительные препараты </w:t>
            </w:r>
          </w:p>
        </w:tc>
      </w:tr>
      <w:tr w:rsidR="00312C54" w14:paraId="35A4265A" w14:textId="77777777" w:rsidTr="00791E09">
        <w:tc>
          <w:tcPr>
            <w:tcW w:w="1815" w:type="dxa"/>
            <w:vAlign w:val="center"/>
          </w:tcPr>
          <w:p w14:paraId="47474D7D" w14:textId="71A7FDE3" w:rsidR="00312C54" w:rsidRDefault="00312C54" w:rsidP="00281DA4">
            <w:pPr>
              <w:ind w:firstLine="0"/>
            </w:pPr>
            <w:r>
              <w:t>СД</w:t>
            </w:r>
          </w:p>
        </w:tc>
        <w:tc>
          <w:tcPr>
            <w:tcW w:w="7478" w:type="dxa"/>
            <w:vAlign w:val="center"/>
          </w:tcPr>
          <w:p w14:paraId="15749C7D" w14:textId="2EAAC186" w:rsidR="00312C54" w:rsidRDefault="00312C54" w:rsidP="00281DA4">
            <w:pPr>
              <w:ind w:firstLine="0"/>
            </w:pPr>
            <w:r>
              <w:t>Сахарный диабет</w:t>
            </w:r>
          </w:p>
        </w:tc>
      </w:tr>
      <w:tr w:rsidR="006707CF" w14:paraId="0BB79B3C" w14:textId="77777777" w:rsidTr="00791E09">
        <w:tc>
          <w:tcPr>
            <w:tcW w:w="1815" w:type="dxa"/>
            <w:vAlign w:val="center"/>
          </w:tcPr>
          <w:p w14:paraId="64BCF524" w14:textId="65FADF45" w:rsidR="006707CF" w:rsidRDefault="006707CF" w:rsidP="00281DA4">
            <w:pPr>
              <w:ind w:firstLine="0"/>
            </w:pPr>
            <w:r>
              <w:t>СКВ</w:t>
            </w:r>
          </w:p>
        </w:tc>
        <w:tc>
          <w:tcPr>
            <w:tcW w:w="7478" w:type="dxa"/>
            <w:vAlign w:val="center"/>
          </w:tcPr>
          <w:p w14:paraId="401549A8" w14:textId="7BC33373" w:rsidR="006707CF" w:rsidRDefault="006707CF" w:rsidP="00281DA4">
            <w:pPr>
              <w:ind w:firstLine="0"/>
            </w:pPr>
            <w:r>
              <w:t xml:space="preserve">Системная красная волчанка </w:t>
            </w:r>
          </w:p>
        </w:tc>
      </w:tr>
      <w:tr w:rsidR="005171D0" w14:paraId="6243F343" w14:textId="77777777" w:rsidTr="00791E09">
        <w:tc>
          <w:tcPr>
            <w:tcW w:w="1815" w:type="dxa"/>
            <w:vAlign w:val="center"/>
          </w:tcPr>
          <w:p w14:paraId="7B89F7C3" w14:textId="0D71451F" w:rsidR="005171D0" w:rsidRDefault="005171D0" w:rsidP="00281DA4">
            <w:pPr>
              <w:ind w:firstLine="0"/>
            </w:pPr>
            <w:r>
              <w:t>СОЭ</w:t>
            </w:r>
          </w:p>
        </w:tc>
        <w:tc>
          <w:tcPr>
            <w:tcW w:w="7478" w:type="dxa"/>
            <w:vAlign w:val="center"/>
          </w:tcPr>
          <w:p w14:paraId="76F2F8E9" w14:textId="2EF7288B" w:rsidR="005171D0" w:rsidRDefault="005171D0" w:rsidP="00281DA4">
            <w:pPr>
              <w:ind w:firstLine="0"/>
            </w:pPr>
            <w:r>
              <w:t>Скорость оседания эритроцитов</w:t>
            </w:r>
          </w:p>
        </w:tc>
      </w:tr>
      <w:tr w:rsidR="00823C2F" w14:paraId="7B6C1570" w14:textId="77777777" w:rsidTr="00791E09">
        <w:tc>
          <w:tcPr>
            <w:tcW w:w="1815" w:type="dxa"/>
            <w:vAlign w:val="center"/>
          </w:tcPr>
          <w:p w14:paraId="0C946DF0" w14:textId="007B1B18" w:rsidR="003C5B24" w:rsidRDefault="003C5B24" w:rsidP="00281DA4">
            <w:pPr>
              <w:ind w:firstLine="0"/>
            </w:pPr>
            <w:r>
              <w:t>сЮА</w:t>
            </w:r>
          </w:p>
        </w:tc>
        <w:tc>
          <w:tcPr>
            <w:tcW w:w="7478" w:type="dxa"/>
            <w:vAlign w:val="center"/>
          </w:tcPr>
          <w:p w14:paraId="354A38A6" w14:textId="0E36F178" w:rsidR="003C5B24" w:rsidRDefault="003C5B24" w:rsidP="00281DA4">
            <w:pPr>
              <w:ind w:firstLine="0"/>
            </w:pPr>
            <w:r>
              <w:t xml:space="preserve">Системный юношеский артрит </w:t>
            </w:r>
          </w:p>
        </w:tc>
      </w:tr>
      <w:tr w:rsidR="0060626A" w14:paraId="760774A1" w14:textId="77777777" w:rsidTr="00791E09">
        <w:tc>
          <w:tcPr>
            <w:tcW w:w="1815" w:type="dxa"/>
            <w:vAlign w:val="center"/>
          </w:tcPr>
          <w:p w14:paraId="6506D53B" w14:textId="6D4A6D9E" w:rsidR="0060626A" w:rsidRDefault="0060626A" w:rsidP="00281DA4">
            <w:pPr>
              <w:ind w:firstLine="0"/>
            </w:pPr>
            <w:r w:rsidRPr="0060626A">
              <w:t>ТГВ</w:t>
            </w:r>
          </w:p>
        </w:tc>
        <w:tc>
          <w:tcPr>
            <w:tcW w:w="7478" w:type="dxa"/>
            <w:vAlign w:val="center"/>
          </w:tcPr>
          <w:p w14:paraId="522F2767" w14:textId="37F23E0C" w:rsidR="0060626A" w:rsidRDefault="0060626A" w:rsidP="00281DA4">
            <w:pPr>
              <w:ind w:firstLine="0"/>
            </w:pPr>
            <w:r>
              <w:t>Т</w:t>
            </w:r>
            <w:r w:rsidRPr="0060626A">
              <w:t xml:space="preserve">ромбоз глубоких вен </w:t>
            </w:r>
          </w:p>
        </w:tc>
      </w:tr>
      <w:tr w:rsidR="00304C9E" w14:paraId="79363A84" w14:textId="77777777" w:rsidTr="00791E09">
        <w:tc>
          <w:tcPr>
            <w:tcW w:w="1815" w:type="dxa"/>
            <w:vAlign w:val="center"/>
          </w:tcPr>
          <w:p w14:paraId="0D39CFA2" w14:textId="09730FE3" w:rsidR="00304C9E" w:rsidRDefault="00304C9E" w:rsidP="00281DA4">
            <w:pPr>
              <w:ind w:firstLine="0"/>
            </w:pPr>
            <w:r w:rsidRPr="00304C9E">
              <w:t>тсБМАРП</w:t>
            </w:r>
          </w:p>
        </w:tc>
        <w:tc>
          <w:tcPr>
            <w:tcW w:w="7478" w:type="dxa"/>
            <w:vAlign w:val="center"/>
          </w:tcPr>
          <w:p w14:paraId="7DDF43BA" w14:textId="332468F1" w:rsidR="00304C9E" w:rsidRDefault="00681FDD" w:rsidP="00281DA4">
            <w:pPr>
              <w:ind w:firstLine="0"/>
            </w:pPr>
            <w:r>
              <w:t>Т</w:t>
            </w:r>
            <w:r w:rsidR="00304C9E" w:rsidRPr="00304C9E">
              <w:t xml:space="preserve">аргетные синтетические болезньмодифицирующие антиревматические препараты </w:t>
            </w:r>
          </w:p>
        </w:tc>
      </w:tr>
      <w:tr w:rsidR="00A75204" w14:paraId="7CDFDAC5" w14:textId="77777777" w:rsidTr="00791E09">
        <w:tc>
          <w:tcPr>
            <w:tcW w:w="1815" w:type="dxa"/>
            <w:vAlign w:val="center"/>
          </w:tcPr>
          <w:p w14:paraId="62E7597C" w14:textId="782477B6" w:rsidR="00A75204" w:rsidRDefault="00C84113" w:rsidP="00C84113">
            <w:pPr>
              <w:ind w:firstLine="0"/>
            </w:pPr>
            <w:r>
              <w:t>тсБПВП</w:t>
            </w:r>
          </w:p>
        </w:tc>
        <w:tc>
          <w:tcPr>
            <w:tcW w:w="7478" w:type="dxa"/>
            <w:vAlign w:val="center"/>
          </w:tcPr>
          <w:p w14:paraId="6060CE86" w14:textId="7B10FAB4" w:rsidR="00A75204" w:rsidRPr="00BE7650" w:rsidRDefault="00C84113" w:rsidP="00C84113">
            <w:pPr>
              <w:ind w:firstLine="0"/>
            </w:pPr>
            <w:r>
              <w:t xml:space="preserve">Таргетные синтетические базисные противовоспалительные препараты </w:t>
            </w:r>
          </w:p>
        </w:tc>
      </w:tr>
      <w:tr w:rsidR="001A52BB" w14:paraId="4ACB6069" w14:textId="77777777" w:rsidTr="00791E09">
        <w:tc>
          <w:tcPr>
            <w:tcW w:w="1815" w:type="dxa"/>
            <w:vAlign w:val="center"/>
          </w:tcPr>
          <w:p w14:paraId="79CEF615" w14:textId="0FE99F2F" w:rsidR="001A52BB" w:rsidRDefault="001A52BB" w:rsidP="00C84113">
            <w:pPr>
              <w:ind w:firstLine="0"/>
            </w:pPr>
            <w:r>
              <w:t>ТЭЛА</w:t>
            </w:r>
          </w:p>
        </w:tc>
        <w:tc>
          <w:tcPr>
            <w:tcW w:w="7478" w:type="dxa"/>
            <w:vAlign w:val="center"/>
          </w:tcPr>
          <w:p w14:paraId="13C36A22" w14:textId="2E6C6E68" w:rsidR="001A52BB" w:rsidRDefault="00434E81" w:rsidP="00C84113">
            <w:pPr>
              <w:ind w:firstLine="0"/>
            </w:pPr>
            <w:r>
              <w:t>Т</w:t>
            </w:r>
            <w:r w:rsidR="001A52BB">
              <w:t>ромбоэмболи</w:t>
            </w:r>
            <w:r>
              <w:t>я</w:t>
            </w:r>
            <w:r w:rsidR="001A52BB">
              <w:t xml:space="preserve"> легочной артерии </w:t>
            </w:r>
          </w:p>
        </w:tc>
      </w:tr>
      <w:tr w:rsidR="00015FE4" w14:paraId="213EE64B" w14:textId="77777777" w:rsidTr="00791E09">
        <w:tc>
          <w:tcPr>
            <w:tcW w:w="1815" w:type="dxa"/>
            <w:vAlign w:val="center"/>
          </w:tcPr>
          <w:p w14:paraId="32D8AD94" w14:textId="3B8CA37B" w:rsidR="00015FE4" w:rsidRDefault="00954816" w:rsidP="00954816">
            <w:pPr>
              <w:ind w:firstLine="0"/>
            </w:pPr>
            <w:r>
              <w:t>ЦНС</w:t>
            </w:r>
          </w:p>
        </w:tc>
        <w:tc>
          <w:tcPr>
            <w:tcW w:w="7478" w:type="dxa"/>
            <w:vAlign w:val="center"/>
          </w:tcPr>
          <w:p w14:paraId="3D87E3E7" w14:textId="181E8841" w:rsidR="00015FE4" w:rsidRPr="00015FE4" w:rsidRDefault="00954816" w:rsidP="00954816">
            <w:pPr>
              <w:ind w:firstLine="0"/>
            </w:pPr>
            <w:r>
              <w:t xml:space="preserve">Центральная нервная система </w:t>
            </w:r>
          </w:p>
        </w:tc>
      </w:tr>
      <w:tr w:rsidR="00082A5C" w14:paraId="53A8F166" w14:textId="77777777" w:rsidTr="00791E09">
        <w:tc>
          <w:tcPr>
            <w:tcW w:w="1815" w:type="dxa"/>
            <w:vAlign w:val="center"/>
          </w:tcPr>
          <w:p w14:paraId="3A2A3732" w14:textId="0E4FE441" w:rsidR="00082A5C" w:rsidRDefault="00082A5C" w:rsidP="00954816">
            <w:pPr>
              <w:ind w:firstLine="0"/>
            </w:pPr>
            <w:r>
              <w:t>ЧСС</w:t>
            </w:r>
          </w:p>
        </w:tc>
        <w:tc>
          <w:tcPr>
            <w:tcW w:w="7478" w:type="dxa"/>
            <w:vAlign w:val="center"/>
          </w:tcPr>
          <w:p w14:paraId="0094485E" w14:textId="13676120" w:rsidR="00082A5C" w:rsidRDefault="00082A5C" w:rsidP="00954816">
            <w:pPr>
              <w:ind w:firstLine="0"/>
            </w:pPr>
            <w:r>
              <w:t xml:space="preserve">Частота сердечных сокращений </w:t>
            </w:r>
          </w:p>
        </w:tc>
      </w:tr>
      <w:tr w:rsidR="009460AA" w14:paraId="14260E7B" w14:textId="77777777" w:rsidTr="00791E09">
        <w:tc>
          <w:tcPr>
            <w:tcW w:w="1815" w:type="dxa"/>
            <w:vAlign w:val="center"/>
          </w:tcPr>
          <w:p w14:paraId="051588C4" w14:textId="53887280" w:rsidR="009460AA" w:rsidRDefault="004928B6" w:rsidP="004928B6">
            <w:pPr>
              <w:ind w:firstLine="0"/>
            </w:pPr>
            <w:r w:rsidRPr="004928B6">
              <w:t>ЭКГ</w:t>
            </w:r>
          </w:p>
        </w:tc>
        <w:tc>
          <w:tcPr>
            <w:tcW w:w="7478" w:type="dxa"/>
            <w:vAlign w:val="center"/>
          </w:tcPr>
          <w:p w14:paraId="262C7F8D" w14:textId="7F95DA69" w:rsidR="009460AA" w:rsidRDefault="004928B6" w:rsidP="004928B6">
            <w:pPr>
              <w:ind w:firstLine="0"/>
            </w:pPr>
            <w:r>
              <w:t>Э</w:t>
            </w:r>
            <w:r w:rsidRPr="004928B6">
              <w:t>лектрокардиограмм</w:t>
            </w:r>
            <w:r>
              <w:t>а</w:t>
            </w:r>
            <w:r w:rsidRPr="004928B6">
              <w:t xml:space="preserve"> </w:t>
            </w:r>
          </w:p>
        </w:tc>
      </w:tr>
      <w:tr w:rsidR="00F91D5A" w14:paraId="58C8B708" w14:textId="77777777" w:rsidTr="00791E09">
        <w:tc>
          <w:tcPr>
            <w:tcW w:w="1815" w:type="dxa"/>
            <w:vAlign w:val="center"/>
          </w:tcPr>
          <w:p w14:paraId="177DDAB3" w14:textId="10ADA213" w:rsidR="00F91D5A" w:rsidRPr="004928B6" w:rsidRDefault="00F91D5A" w:rsidP="004928B6">
            <w:pPr>
              <w:ind w:firstLine="0"/>
            </w:pPr>
            <w:r>
              <w:rPr>
                <w:rFonts w:eastAsia="MS Mincho" w:cs="Times New Roman"/>
                <w:szCs w:val="24"/>
                <w:lang w:eastAsia="ja-JP"/>
              </w:rPr>
              <w:lastRenderedPageBreak/>
              <w:t>ЮИА</w:t>
            </w:r>
          </w:p>
        </w:tc>
        <w:tc>
          <w:tcPr>
            <w:tcW w:w="7478" w:type="dxa"/>
            <w:vAlign w:val="center"/>
          </w:tcPr>
          <w:p w14:paraId="523BBCD9" w14:textId="7D16071C" w:rsidR="00F91D5A" w:rsidRDefault="00F91D5A" w:rsidP="004928B6">
            <w:pPr>
              <w:ind w:firstLine="0"/>
            </w:pPr>
            <w:r>
              <w:rPr>
                <w:rFonts w:eastAsia="MS Mincho" w:cs="Times New Roman"/>
                <w:szCs w:val="24"/>
                <w:lang w:eastAsia="ja-JP"/>
              </w:rPr>
              <w:t xml:space="preserve">Ювенильный идиопатический артрит </w:t>
            </w:r>
          </w:p>
        </w:tc>
      </w:tr>
      <w:tr w:rsidR="009460AA" w14:paraId="5B9727BC" w14:textId="77777777" w:rsidTr="00791E09">
        <w:tc>
          <w:tcPr>
            <w:tcW w:w="1815" w:type="dxa"/>
            <w:vAlign w:val="center"/>
          </w:tcPr>
          <w:p w14:paraId="13063863" w14:textId="23A99C2F" w:rsidR="009460AA" w:rsidRDefault="0077403B" w:rsidP="0077403B">
            <w:pPr>
              <w:ind w:firstLine="0"/>
            </w:pPr>
            <w:r>
              <w:t>ЯК</w:t>
            </w:r>
          </w:p>
        </w:tc>
        <w:tc>
          <w:tcPr>
            <w:tcW w:w="7478" w:type="dxa"/>
            <w:vAlign w:val="center"/>
          </w:tcPr>
          <w:p w14:paraId="70ADEE2D" w14:textId="1DAD6145" w:rsidR="009460AA" w:rsidRDefault="0077403B" w:rsidP="0077403B">
            <w:pPr>
              <w:ind w:firstLine="0"/>
            </w:pPr>
            <w:r>
              <w:t>Язвенный колит</w:t>
            </w:r>
          </w:p>
        </w:tc>
      </w:tr>
      <w:tr w:rsidR="00E11700" w14:paraId="7111B23A" w14:textId="77777777" w:rsidTr="00791E09">
        <w:tc>
          <w:tcPr>
            <w:tcW w:w="1815" w:type="dxa"/>
            <w:vAlign w:val="center"/>
          </w:tcPr>
          <w:p w14:paraId="46BF26B6" w14:textId="5DA2DA56" w:rsidR="00E11700" w:rsidRDefault="00E11700" w:rsidP="0077403B">
            <w:pPr>
              <w:ind w:firstLine="0"/>
            </w:pPr>
            <w:r>
              <w:rPr>
                <w:lang w:val="en-US"/>
              </w:rPr>
              <w:t>ACR</w:t>
            </w:r>
          </w:p>
        </w:tc>
        <w:tc>
          <w:tcPr>
            <w:tcW w:w="7478" w:type="dxa"/>
            <w:vAlign w:val="center"/>
          </w:tcPr>
          <w:p w14:paraId="2E3CE45E" w14:textId="43D70576" w:rsidR="00E11700" w:rsidRPr="00E11700" w:rsidRDefault="00E11700" w:rsidP="0077403B">
            <w:pPr>
              <w:ind w:firstLine="0"/>
            </w:pPr>
            <w:r>
              <w:t>Американский колледж ревматологии (</w:t>
            </w:r>
            <w:r>
              <w:rPr>
                <w:lang w:val="en-US"/>
              </w:rPr>
              <w:t>American</w:t>
            </w:r>
            <w:r w:rsidRPr="006B2662">
              <w:t xml:space="preserve"> </w:t>
            </w:r>
            <w:r>
              <w:rPr>
                <w:lang w:val="en-US"/>
              </w:rPr>
              <w:t>college</w:t>
            </w:r>
            <w:r w:rsidRPr="006B2662">
              <w:t xml:space="preserve"> </w:t>
            </w:r>
            <w:r>
              <w:rPr>
                <w:lang w:val="en-US"/>
              </w:rPr>
              <w:t>rheumatology</w:t>
            </w:r>
            <w:r>
              <w:t>)</w:t>
            </w:r>
          </w:p>
        </w:tc>
      </w:tr>
      <w:tr w:rsidR="00E11700" w14:paraId="7AA96F0A" w14:textId="77777777" w:rsidTr="00791E09">
        <w:tc>
          <w:tcPr>
            <w:tcW w:w="1815" w:type="dxa"/>
            <w:vAlign w:val="center"/>
          </w:tcPr>
          <w:p w14:paraId="09EDBDEE" w14:textId="14F61214" w:rsidR="00E11700" w:rsidRPr="00E11700" w:rsidRDefault="00E11700" w:rsidP="00E11700">
            <w:pPr>
              <w:ind w:firstLine="0"/>
            </w:pPr>
            <w:r>
              <w:rPr>
                <w:lang w:val="en-US"/>
              </w:rPr>
              <w:t>ACR</w:t>
            </w:r>
            <w:r>
              <w:t>20</w:t>
            </w:r>
          </w:p>
        </w:tc>
        <w:tc>
          <w:tcPr>
            <w:tcW w:w="7478" w:type="dxa"/>
            <w:vAlign w:val="center"/>
          </w:tcPr>
          <w:p w14:paraId="009BF8EE" w14:textId="305B8258" w:rsidR="00E11700" w:rsidRDefault="00E11700" w:rsidP="00E11700">
            <w:pPr>
              <w:ind w:firstLine="0"/>
            </w:pPr>
            <w:r>
              <w:t xml:space="preserve">Достижение </w:t>
            </w:r>
            <w:r w:rsidR="00A45037">
              <w:t>2</w:t>
            </w:r>
            <w:r w:rsidR="00591C59">
              <w:t>0% улучшения в соответствии с критериями А</w:t>
            </w:r>
            <w:r>
              <w:t>мериканск</w:t>
            </w:r>
            <w:r w:rsidR="00591C59">
              <w:t>ого</w:t>
            </w:r>
            <w:r>
              <w:t xml:space="preserve"> колледж</w:t>
            </w:r>
            <w:r w:rsidR="00591C59">
              <w:t>а</w:t>
            </w:r>
            <w:r>
              <w:t xml:space="preserve"> ревматологии (</w:t>
            </w:r>
            <w:r>
              <w:rPr>
                <w:lang w:val="en-US"/>
              </w:rPr>
              <w:t>American</w:t>
            </w:r>
            <w:r w:rsidRPr="006B2662">
              <w:t xml:space="preserve"> </w:t>
            </w:r>
            <w:r>
              <w:rPr>
                <w:lang w:val="en-US"/>
              </w:rPr>
              <w:t>college</w:t>
            </w:r>
            <w:r w:rsidRPr="006B2662">
              <w:t xml:space="preserve"> </w:t>
            </w:r>
            <w:r>
              <w:rPr>
                <w:lang w:val="en-US"/>
              </w:rPr>
              <w:t>rheumatology</w:t>
            </w:r>
            <w:r>
              <w:t>)</w:t>
            </w:r>
          </w:p>
        </w:tc>
      </w:tr>
      <w:tr w:rsidR="003D1528" w14:paraId="432D7409" w14:textId="77777777" w:rsidTr="00791E09">
        <w:tc>
          <w:tcPr>
            <w:tcW w:w="1815" w:type="dxa"/>
            <w:vAlign w:val="center"/>
          </w:tcPr>
          <w:p w14:paraId="1502310C" w14:textId="5803DC62" w:rsidR="003D1528" w:rsidRDefault="003D1528" w:rsidP="003D1528">
            <w:pPr>
              <w:ind w:firstLine="0"/>
              <w:rPr>
                <w:lang w:val="en-US"/>
              </w:rPr>
            </w:pPr>
            <w:r>
              <w:rPr>
                <w:lang w:val="en-US"/>
              </w:rPr>
              <w:t>ACR</w:t>
            </w:r>
            <w:r>
              <w:t>30</w:t>
            </w:r>
          </w:p>
        </w:tc>
        <w:tc>
          <w:tcPr>
            <w:tcW w:w="7478" w:type="dxa"/>
            <w:vAlign w:val="center"/>
          </w:tcPr>
          <w:p w14:paraId="1020536F" w14:textId="23557CCF" w:rsidR="003D1528" w:rsidRDefault="003D1528" w:rsidP="003D1528">
            <w:pPr>
              <w:ind w:firstLine="0"/>
            </w:pPr>
            <w:r>
              <w:t>Достижение 30% улучшения в соответствии с критериями Американского колледжа ревматологии (</w:t>
            </w:r>
            <w:r>
              <w:rPr>
                <w:lang w:val="en-US"/>
              </w:rPr>
              <w:t>American</w:t>
            </w:r>
            <w:r w:rsidRPr="006B2662">
              <w:t xml:space="preserve"> </w:t>
            </w:r>
            <w:r>
              <w:rPr>
                <w:lang w:val="en-US"/>
              </w:rPr>
              <w:t>college</w:t>
            </w:r>
            <w:r w:rsidRPr="006B2662">
              <w:t xml:space="preserve"> </w:t>
            </w:r>
            <w:r>
              <w:rPr>
                <w:lang w:val="en-US"/>
              </w:rPr>
              <w:t>rheumatology</w:t>
            </w:r>
            <w:r>
              <w:t>)</w:t>
            </w:r>
          </w:p>
        </w:tc>
      </w:tr>
      <w:tr w:rsidR="00A45037" w14:paraId="15618C5D" w14:textId="77777777" w:rsidTr="00791E09">
        <w:tc>
          <w:tcPr>
            <w:tcW w:w="1815" w:type="dxa"/>
            <w:vAlign w:val="center"/>
          </w:tcPr>
          <w:p w14:paraId="1CA526B2" w14:textId="6FC36B02" w:rsidR="00A45037" w:rsidRDefault="00A45037" w:rsidP="00A45037">
            <w:pPr>
              <w:ind w:firstLine="0"/>
              <w:rPr>
                <w:lang w:val="en-US"/>
              </w:rPr>
            </w:pPr>
            <w:r>
              <w:rPr>
                <w:lang w:val="en-US"/>
              </w:rPr>
              <w:t>ACR</w:t>
            </w:r>
            <w:r>
              <w:t>50</w:t>
            </w:r>
          </w:p>
        </w:tc>
        <w:tc>
          <w:tcPr>
            <w:tcW w:w="7478" w:type="dxa"/>
            <w:vAlign w:val="center"/>
          </w:tcPr>
          <w:p w14:paraId="06CA2E5E" w14:textId="3B68D9CA" w:rsidR="00A45037" w:rsidRDefault="00A45037" w:rsidP="00A45037">
            <w:pPr>
              <w:ind w:firstLine="0"/>
            </w:pPr>
            <w:r>
              <w:t>Достижение 50% улучшения в соответствии с критериями Американского колледжа ревматологии (</w:t>
            </w:r>
            <w:r>
              <w:rPr>
                <w:lang w:val="en-US"/>
              </w:rPr>
              <w:t>American</w:t>
            </w:r>
            <w:r w:rsidRPr="006B2662">
              <w:t xml:space="preserve"> </w:t>
            </w:r>
            <w:r>
              <w:rPr>
                <w:lang w:val="en-US"/>
              </w:rPr>
              <w:t>college</w:t>
            </w:r>
            <w:r w:rsidRPr="006B2662">
              <w:t xml:space="preserve"> </w:t>
            </w:r>
            <w:r>
              <w:rPr>
                <w:lang w:val="en-US"/>
              </w:rPr>
              <w:t>rheumatology</w:t>
            </w:r>
            <w:r>
              <w:t>)</w:t>
            </w:r>
          </w:p>
        </w:tc>
      </w:tr>
      <w:tr w:rsidR="00A45037" w14:paraId="0C2EC6F4" w14:textId="77777777" w:rsidTr="00791E09">
        <w:tc>
          <w:tcPr>
            <w:tcW w:w="1815" w:type="dxa"/>
            <w:vAlign w:val="center"/>
          </w:tcPr>
          <w:p w14:paraId="2EC738B8" w14:textId="19E41322" w:rsidR="00A45037" w:rsidRDefault="00A45037" w:rsidP="00A45037">
            <w:pPr>
              <w:ind w:firstLine="0"/>
              <w:rPr>
                <w:lang w:val="en-US"/>
              </w:rPr>
            </w:pPr>
            <w:r>
              <w:rPr>
                <w:lang w:val="en-US"/>
              </w:rPr>
              <w:t>ACR</w:t>
            </w:r>
            <w:r>
              <w:t>70</w:t>
            </w:r>
          </w:p>
        </w:tc>
        <w:tc>
          <w:tcPr>
            <w:tcW w:w="7478" w:type="dxa"/>
            <w:vAlign w:val="center"/>
          </w:tcPr>
          <w:p w14:paraId="2BD7ADAE" w14:textId="7B91B5E4" w:rsidR="00A45037" w:rsidRDefault="00A45037" w:rsidP="00A45037">
            <w:pPr>
              <w:ind w:firstLine="0"/>
            </w:pPr>
            <w:r>
              <w:t>Достижение 70% улучшения в соответствии с критериями Американского колледжа ревматологии (</w:t>
            </w:r>
            <w:r>
              <w:rPr>
                <w:lang w:val="en-US"/>
              </w:rPr>
              <w:t>American</w:t>
            </w:r>
            <w:r w:rsidRPr="006B2662">
              <w:t xml:space="preserve"> </w:t>
            </w:r>
            <w:r>
              <w:rPr>
                <w:lang w:val="en-US"/>
              </w:rPr>
              <w:t>college</w:t>
            </w:r>
            <w:r w:rsidRPr="006B2662">
              <w:t xml:space="preserve"> </w:t>
            </w:r>
            <w:r>
              <w:rPr>
                <w:lang w:val="en-US"/>
              </w:rPr>
              <w:t>rheumatology</w:t>
            </w:r>
            <w:r>
              <w:t>)</w:t>
            </w:r>
          </w:p>
        </w:tc>
      </w:tr>
      <w:tr w:rsidR="00E32ED1" w14:paraId="7221DB14" w14:textId="77777777" w:rsidTr="00791E09">
        <w:tc>
          <w:tcPr>
            <w:tcW w:w="1815" w:type="dxa"/>
            <w:vAlign w:val="center"/>
          </w:tcPr>
          <w:p w14:paraId="61E8309B" w14:textId="08EE7356" w:rsidR="00E32ED1" w:rsidRDefault="00E32ED1" w:rsidP="00A45037">
            <w:pPr>
              <w:ind w:firstLine="0"/>
              <w:rPr>
                <w:lang w:val="en-US"/>
              </w:rPr>
            </w:pPr>
            <w:r w:rsidRPr="00E32ED1">
              <w:t>Apo</w:t>
            </w:r>
          </w:p>
        </w:tc>
        <w:tc>
          <w:tcPr>
            <w:tcW w:w="7478" w:type="dxa"/>
            <w:vAlign w:val="center"/>
          </w:tcPr>
          <w:p w14:paraId="239DA724" w14:textId="6E05A173" w:rsidR="00E32ED1" w:rsidRDefault="00E32ED1" w:rsidP="00A45037">
            <w:pPr>
              <w:ind w:firstLine="0"/>
            </w:pPr>
            <w:r>
              <w:t>А</w:t>
            </w:r>
            <w:r w:rsidRPr="00E32ED1">
              <w:t>полипопротеин (apolipoprotein</w:t>
            </w:r>
            <w:r>
              <w:t>)</w:t>
            </w:r>
          </w:p>
        </w:tc>
      </w:tr>
      <w:tr w:rsidR="00823C2F" w14:paraId="77C573BD" w14:textId="77777777" w:rsidTr="00791E09">
        <w:tc>
          <w:tcPr>
            <w:tcW w:w="1815" w:type="dxa"/>
            <w:vAlign w:val="center"/>
          </w:tcPr>
          <w:p w14:paraId="1E2F8A3E" w14:textId="18705660" w:rsidR="00ED7415" w:rsidRPr="00E32ED1" w:rsidRDefault="00ED7415" w:rsidP="00A45037">
            <w:pPr>
              <w:ind w:firstLine="0"/>
            </w:pPr>
            <w:r>
              <w:t>ASAS20</w:t>
            </w:r>
          </w:p>
        </w:tc>
        <w:tc>
          <w:tcPr>
            <w:tcW w:w="7478" w:type="dxa"/>
            <w:vAlign w:val="center"/>
          </w:tcPr>
          <w:p w14:paraId="20D71ECD" w14:textId="2F8E62E5" w:rsidR="00ED7415" w:rsidRDefault="00ED7415" w:rsidP="00A45037">
            <w:pPr>
              <w:ind w:firstLine="0"/>
            </w:pPr>
            <w:r>
              <w:t xml:space="preserve">20% улучшение по </w:t>
            </w:r>
            <w:r w:rsidRPr="00BD0279">
              <w:t>Шкал</w:t>
            </w:r>
            <w:r>
              <w:t>е</w:t>
            </w:r>
            <w:r w:rsidRPr="00BD0279">
              <w:t xml:space="preserve"> оценки Международного общества по изучению спондилоартритов </w:t>
            </w:r>
            <w:r w:rsidRPr="00CD11EE">
              <w:t>(Assessment of Spondyloarthritis International Society</w:t>
            </w:r>
            <w:r>
              <w:t>)</w:t>
            </w:r>
          </w:p>
        </w:tc>
      </w:tr>
      <w:tr w:rsidR="00FF59B8" w14:paraId="7F011878" w14:textId="77777777" w:rsidTr="00791E09">
        <w:tc>
          <w:tcPr>
            <w:tcW w:w="1815" w:type="dxa"/>
            <w:vAlign w:val="center"/>
          </w:tcPr>
          <w:p w14:paraId="6565D2D0" w14:textId="3C6F58C8" w:rsidR="00FF59B8" w:rsidRDefault="00FF59B8" w:rsidP="0077403B">
            <w:pPr>
              <w:ind w:firstLine="0"/>
            </w:pPr>
            <w:r>
              <w:rPr>
                <w:lang w:val="en-US"/>
              </w:rPr>
              <w:t>AUC</w:t>
            </w:r>
          </w:p>
        </w:tc>
        <w:tc>
          <w:tcPr>
            <w:tcW w:w="7478" w:type="dxa"/>
            <w:vAlign w:val="center"/>
          </w:tcPr>
          <w:p w14:paraId="0E5571F2" w14:textId="0E88EC57" w:rsidR="00FF59B8" w:rsidRDefault="00FF59B8" w:rsidP="0077403B">
            <w:pPr>
              <w:ind w:firstLine="0"/>
            </w:pPr>
            <w:r>
              <w:t xml:space="preserve">Площадь под фармакокинетической кривой «концентрация-время» </w:t>
            </w:r>
          </w:p>
        </w:tc>
      </w:tr>
      <w:tr w:rsidR="00C117B2" w14:paraId="1BA0027D" w14:textId="77777777" w:rsidTr="00791E09">
        <w:tc>
          <w:tcPr>
            <w:tcW w:w="1815" w:type="dxa"/>
            <w:vAlign w:val="center"/>
          </w:tcPr>
          <w:p w14:paraId="78B512D9" w14:textId="7F7B68C3" w:rsidR="00C117B2" w:rsidRDefault="00C117B2" w:rsidP="0077403B">
            <w:pPr>
              <w:ind w:firstLine="0"/>
            </w:pPr>
            <w:r w:rsidRPr="00EF34D4">
              <w:t>AUC</w:t>
            </w:r>
            <w:r w:rsidRPr="00EF34D4">
              <w:rPr>
                <w:vertAlign w:val="subscript"/>
              </w:rPr>
              <w:t>(0-24</w:t>
            </w:r>
            <w:r>
              <w:rPr>
                <w:vertAlign w:val="subscript"/>
              </w:rPr>
              <w:t>)</w:t>
            </w:r>
          </w:p>
        </w:tc>
        <w:tc>
          <w:tcPr>
            <w:tcW w:w="7478" w:type="dxa"/>
            <w:vAlign w:val="center"/>
          </w:tcPr>
          <w:p w14:paraId="55A0F9E7" w14:textId="6CB0E760" w:rsidR="00C117B2" w:rsidRDefault="00C117B2" w:rsidP="0077403B">
            <w:pPr>
              <w:ind w:firstLine="0"/>
            </w:pPr>
            <w:r>
              <w:t xml:space="preserve">Площадь под фармакокинетической кривой «концентрация-время» от начального момента времени до 24 ч после введения </w:t>
            </w:r>
          </w:p>
        </w:tc>
      </w:tr>
      <w:tr w:rsidR="002C1D36" w14:paraId="5B585BA0" w14:textId="77777777" w:rsidTr="00791E09">
        <w:tc>
          <w:tcPr>
            <w:tcW w:w="1815" w:type="dxa"/>
            <w:vAlign w:val="center"/>
          </w:tcPr>
          <w:p w14:paraId="72E5C51E" w14:textId="1381DBF5" w:rsidR="002C1D36" w:rsidRPr="00EF34D4" w:rsidRDefault="002C1D36" w:rsidP="0077403B">
            <w:pPr>
              <w:ind w:firstLine="0"/>
            </w:pPr>
            <w:r>
              <w:t>AUC</w:t>
            </w:r>
            <w:r w:rsidRPr="002C1D36">
              <w:rPr>
                <w:vertAlign w:val="subscript"/>
              </w:rPr>
              <w:t>(</w:t>
            </w:r>
            <w:r>
              <w:rPr>
                <w:vertAlign w:val="subscript"/>
              </w:rPr>
              <w:t>0-</w:t>
            </w:r>
            <w:r>
              <w:rPr>
                <w:rFonts w:cs="Times New Roman"/>
                <w:vertAlign w:val="subscript"/>
              </w:rPr>
              <w:t>∞)</w:t>
            </w:r>
          </w:p>
        </w:tc>
        <w:tc>
          <w:tcPr>
            <w:tcW w:w="7478" w:type="dxa"/>
            <w:vAlign w:val="center"/>
          </w:tcPr>
          <w:p w14:paraId="73C80442" w14:textId="0D800AEC" w:rsidR="002C1D36" w:rsidRDefault="002C1D36" w:rsidP="0077403B">
            <w:pPr>
              <w:ind w:firstLine="0"/>
            </w:pPr>
            <w:r>
              <w:t xml:space="preserve">Площадь под фармакокинетической кривой «концентрация-время» от начального момента времени до бесконечности </w:t>
            </w:r>
          </w:p>
        </w:tc>
      </w:tr>
      <w:tr w:rsidR="00DD72A4" w14:paraId="0B707B94" w14:textId="77777777" w:rsidTr="00791E09">
        <w:tc>
          <w:tcPr>
            <w:tcW w:w="1815" w:type="dxa"/>
            <w:vAlign w:val="center"/>
          </w:tcPr>
          <w:p w14:paraId="1B4093DD" w14:textId="0431D0E8" w:rsidR="00DD72A4" w:rsidRDefault="00DD72A4" w:rsidP="0077403B">
            <w:pPr>
              <w:ind w:firstLine="0"/>
            </w:pPr>
            <w:r w:rsidRPr="0056778C">
              <w:t>BCRP</w:t>
            </w:r>
          </w:p>
        </w:tc>
        <w:tc>
          <w:tcPr>
            <w:tcW w:w="7478" w:type="dxa"/>
            <w:vAlign w:val="center"/>
          </w:tcPr>
          <w:p w14:paraId="177555FD" w14:textId="1BC6DA0F" w:rsidR="00DD72A4" w:rsidRDefault="00DD72A4" w:rsidP="0077403B">
            <w:pPr>
              <w:ind w:firstLine="0"/>
            </w:pPr>
            <w:r>
              <w:t>Белок резистентности рака молочной железы (</w:t>
            </w:r>
            <w:r w:rsidRPr="0056778C">
              <w:t>breast cancer resistance protein</w:t>
            </w:r>
            <w:r>
              <w:t>)</w:t>
            </w:r>
          </w:p>
        </w:tc>
      </w:tr>
      <w:tr w:rsidR="00AE3B9C" w14:paraId="35C3D9A8" w14:textId="77777777" w:rsidTr="00791E09">
        <w:tc>
          <w:tcPr>
            <w:tcW w:w="1815" w:type="dxa"/>
            <w:vAlign w:val="center"/>
          </w:tcPr>
          <w:p w14:paraId="6E339CD7" w14:textId="5CCC1BF8" w:rsidR="00AE3B9C" w:rsidRPr="0056778C" w:rsidRDefault="00AE3B9C" w:rsidP="0077403B">
            <w:pPr>
              <w:ind w:firstLine="0"/>
            </w:pPr>
            <w:r w:rsidRPr="00B77C2F">
              <w:rPr>
                <w:lang w:val="en-US"/>
              </w:rPr>
              <w:t>C</w:t>
            </w:r>
            <w:r w:rsidRPr="00B77C2F">
              <w:rPr>
                <w:vertAlign w:val="subscript"/>
                <w:lang w:val="en-US"/>
              </w:rPr>
              <w:t>av</w:t>
            </w:r>
          </w:p>
        </w:tc>
        <w:tc>
          <w:tcPr>
            <w:tcW w:w="7478" w:type="dxa"/>
            <w:vAlign w:val="center"/>
          </w:tcPr>
          <w:p w14:paraId="4D14E5E1" w14:textId="6525EF2E" w:rsidR="00AE3B9C" w:rsidRDefault="00AE3B9C" w:rsidP="0077403B">
            <w:pPr>
              <w:ind w:firstLine="0"/>
            </w:pPr>
            <w:r>
              <w:t xml:space="preserve">Средняя концентрация </w:t>
            </w:r>
          </w:p>
        </w:tc>
      </w:tr>
      <w:tr w:rsidR="00067554" w:rsidRPr="00C13EBE" w14:paraId="6B745B98" w14:textId="77777777" w:rsidTr="00791E09">
        <w:tc>
          <w:tcPr>
            <w:tcW w:w="1815" w:type="dxa"/>
            <w:vAlign w:val="center"/>
          </w:tcPr>
          <w:p w14:paraId="466555F8" w14:textId="18910D63" w:rsidR="00067554" w:rsidRPr="00B77C2F" w:rsidRDefault="00067554" w:rsidP="0077403B">
            <w:pPr>
              <w:ind w:firstLine="0"/>
              <w:rPr>
                <w:lang w:val="en-US"/>
              </w:rPr>
            </w:pPr>
            <w:r w:rsidRPr="00067554">
              <w:rPr>
                <w:lang w:val="en-US"/>
              </w:rPr>
              <w:t xml:space="preserve">CHAQ </w:t>
            </w:r>
          </w:p>
        </w:tc>
        <w:tc>
          <w:tcPr>
            <w:tcW w:w="7478" w:type="dxa"/>
            <w:vAlign w:val="center"/>
          </w:tcPr>
          <w:p w14:paraId="389FF485" w14:textId="224EE86B" w:rsidR="00067554" w:rsidRPr="00067554" w:rsidRDefault="00067554" w:rsidP="0077403B">
            <w:pPr>
              <w:ind w:firstLine="0"/>
              <w:rPr>
                <w:lang w:val="en-US"/>
              </w:rPr>
            </w:pPr>
            <w:r>
              <w:t>О</w:t>
            </w:r>
            <w:r w:rsidRPr="003D1528">
              <w:t>просник</w:t>
            </w:r>
            <w:r w:rsidRPr="00067554">
              <w:rPr>
                <w:lang w:val="en-US"/>
              </w:rPr>
              <w:t xml:space="preserve"> </w:t>
            </w:r>
            <w:r w:rsidRPr="003D1528">
              <w:t>оценки</w:t>
            </w:r>
            <w:r w:rsidRPr="00067554">
              <w:rPr>
                <w:lang w:val="en-US"/>
              </w:rPr>
              <w:t xml:space="preserve"> </w:t>
            </w:r>
            <w:r w:rsidRPr="003D1528">
              <w:t>здоровья</w:t>
            </w:r>
            <w:r w:rsidRPr="00067554">
              <w:rPr>
                <w:lang w:val="en-US"/>
              </w:rPr>
              <w:t xml:space="preserve"> </w:t>
            </w:r>
            <w:r w:rsidRPr="003D1528">
              <w:t>детей</w:t>
            </w:r>
            <w:r w:rsidRPr="00067554">
              <w:rPr>
                <w:lang w:val="en-US"/>
              </w:rPr>
              <w:t xml:space="preserve"> (Children's Health Assessment Questionnaire)</w:t>
            </w:r>
          </w:p>
        </w:tc>
      </w:tr>
      <w:tr w:rsidR="00BD5C69" w14:paraId="617F8BEF" w14:textId="77777777" w:rsidTr="00791E09">
        <w:tc>
          <w:tcPr>
            <w:tcW w:w="1815" w:type="dxa"/>
            <w:vAlign w:val="center"/>
          </w:tcPr>
          <w:p w14:paraId="7F6B945F" w14:textId="629BD023" w:rsidR="00BD5C69" w:rsidRPr="0056778C" w:rsidRDefault="00BD5C69" w:rsidP="0077403B">
            <w:pPr>
              <w:ind w:firstLine="0"/>
            </w:pPr>
            <w:r>
              <w:rPr>
                <w:lang w:val="en-US"/>
              </w:rPr>
              <w:t>C</w:t>
            </w:r>
            <w:r>
              <w:t>РБ</w:t>
            </w:r>
          </w:p>
        </w:tc>
        <w:tc>
          <w:tcPr>
            <w:tcW w:w="7478" w:type="dxa"/>
            <w:vAlign w:val="center"/>
          </w:tcPr>
          <w:p w14:paraId="5D27F8C5" w14:textId="38B780C1" w:rsidR="00BD5C69" w:rsidRDefault="00BD5C69" w:rsidP="0077403B">
            <w:pPr>
              <w:ind w:firstLine="0"/>
            </w:pPr>
            <w:r>
              <w:rPr>
                <w:lang w:val="en-US"/>
              </w:rPr>
              <w:t>C</w:t>
            </w:r>
            <w:r>
              <w:t xml:space="preserve">-реактивный белок </w:t>
            </w:r>
          </w:p>
        </w:tc>
      </w:tr>
      <w:tr w:rsidR="00613AB1" w:rsidRPr="00C13EBE" w14:paraId="424B25CA" w14:textId="77777777" w:rsidTr="00791E09">
        <w:tc>
          <w:tcPr>
            <w:tcW w:w="1815" w:type="dxa"/>
            <w:vAlign w:val="center"/>
          </w:tcPr>
          <w:p w14:paraId="409E36CC" w14:textId="442C5147" w:rsidR="00613AB1" w:rsidRDefault="00613AB1" w:rsidP="0077403B">
            <w:pPr>
              <w:ind w:firstLine="0"/>
            </w:pPr>
            <w:r>
              <w:rPr>
                <w:lang w:val="en-US"/>
              </w:rPr>
              <w:t>CD</w:t>
            </w:r>
          </w:p>
        </w:tc>
        <w:tc>
          <w:tcPr>
            <w:tcW w:w="7478" w:type="dxa"/>
            <w:vAlign w:val="center"/>
          </w:tcPr>
          <w:p w14:paraId="10A919B0" w14:textId="025B4495" w:rsidR="00613AB1" w:rsidRPr="00123A2F" w:rsidRDefault="00613AB1" w:rsidP="0077403B">
            <w:pPr>
              <w:ind w:firstLine="0"/>
              <w:rPr>
                <w:lang w:val="en-US"/>
              </w:rPr>
            </w:pPr>
            <w:r>
              <w:t>Кластер</w:t>
            </w:r>
            <w:r w:rsidRPr="00613AB1">
              <w:rPr>
                <w:lang w:val="en-US"/>
              </w:rPr>
              <w:t xml:space="preserve"> </w:t>
            </w:r>
            <w:r>
              <w:t>дифференцировки</w:t>
            </w:r>
            <w:r w:rsidRPr="00613AB1">
              <w:rPr>
                <w:lang w:val="en-US"/>
              </w:rPr>
              <w:t xml:space="preserve"> (</w:t>
            </w:r>
            <w:r>
              <w:rPr>
                <w:lang w:val="en-US"/>
              </w:rPr>
              <w:t>cluster</w:t>
            </w:r>
            <w:r w:rsidRPr="00613AB1">
              <w:rPr>
                <w:lang w:val="en-US"/>
              </w:rPr>
              <w:t xml:space="preserve"> </w:t>
            </w:r>
            <w:r>
              <w:rPr>
                <w:lang w:val="en-US"/>
              </w:rPr>
              <w:t>of</w:t>
            </w:r>
            <w:r w:rsidRPr="00613AB1">
              <w:rPr>
                <w:lang w:val="en-US"/>
              </w:rPr>
              <w:t xml:space="preserve"> </w:t>
            </w:r>
            <w:r>
              <w:rPr>
                <w:lang w:val="en-US"/>
              </w:rPr>
              <w:t>differentiation</w:t>
            </w:r>
            <w:r w:rsidR="00A42DCC" w:rsidRPr="00123A2F">
              <w:rPr>
                <w:lang w:val="en-US"/>
              </w:rPr>
              <w:t>)</w:t>
            </w:r>
          </w:p>
        </w:tc>
      </w:tr>
      <w:tr w:rsidR="00B84770" w:rsidRPr="00B84770" w14:paraId="5DC08303" w14:textId="77777777" w:rsidTr="00791E09">
        <w:tc>
          <w:tcPr>
            <w:tcW w:w="1815" w:type="dxa"/>
            <w:vAlign w:val="center"/>
          </w:tcPr>
          <w:p w14:paraId="4B0B254F" w14:textId="0B27AF86" w:rsidR="00B84770" w:rsidRDefault="00B84770" w:rsidP="0077403B">
            <w:pPr>
              <w:ind w:firstLine="0"/>
              <w:rPr>
                <w:lang w:val="en-US"/>
              </w:rPr>
            </w:pPr>
            <w:r>
              <w:t>CDAI</w:t>
            </w:r>
          </w:p>
        </w:tc>
        <w:tc>
          <w:tcPr>
            <w:tcW w:w="7478" w:type="dxa"/>
            <w:vAlign w:val="center"/>
          </w:tcPr>
          <w:p w14:paraId="05A31DF2" w14:textId="359102C0" w:rsidR="00B84770" w:rsidRDefault="00B84770" w:rsidP="0077403B">
            <w:pPr>
              <w:ind w:firstLine="0"/>
            </w:pPr>
            <w:r>
              <w:t>Индекс клинической активности заболевания</w:t>
            </w:r>
            <w:r w:rsidRPr="00D52FEC">
              <w:t xml:space="preserve"> </w:t>
            </w:r>
            <w:r>
              <w:t>(clinical disease activity index)</w:t>
            </w:r>
          </w:p>
        </w:tc>
      </w:tr>
      <w:tr w:rsidR="00CB62BD" w:rsidRPr="00C13EBE" w14:paraId="4B113BFB" w14:textId="77777777" w:rsidTr="00791E09">
        <w:tc>
          <w:tcPr>
            <w:tcW w:w="1815" w:type="dxa"/>
            <w:vAlign w:val="center"/>
          </w:tcPr>
          <w:p w14:paraId="0820E4E8" w14:textId="339923DE" w:rsidR="00CB62BD" w:rsidRDefault="00CB62BD" w:rsidP="0077403B">
            <w:pPr>
              <w:ind w:firstLine="0"/>
              <w:rPr>
                <w:lang w:val="en-US"/>
              </w:rPr>
            </w:pPr>
            <w:r w:rsidRPr="00CB62BD">
              <w:rPr>
                <w:lang w:val="en-US"/>
              </w:rPr>
              <w:t>CHO</w:t>
            </w:r>
          </w:p>
        </w:tc>
        <w:tc>
          <w:tcPr>
            <w:tcW w:w="7478" w:type="dxa"/>
            <w:vAlign w:val="center"/>
          </w:tcPr>
          <w:p w14:paraId="70FA3D5E" w14:textId="641451AF" w:rsidR="00CB62BD" w:rsidRPr="00CB62BD" w:rsidRDefault="00CB62BD">
            <w:pPr>
              <w:ind w:firstLine="0"/>
              <w:rPr>
                <w:lang w:val="en-US"/>
              </w:rPr>
            </w:pPr>
            <w:r>
              <w:t>Яичник</w:t>
            </w:r>
            <w:r w:rsidRPr="00CB62BD">
              <w:rPr>
                <w:lang w:val="en-US"/>
              </w:rPr>
              <w:t xml:space="preserve"> </w:t>
            </w:r>
            <w:r>
              <w:t>китайского</w:t>
            </w:r>
            <w:r w:rsidRPr="00CB62BD">
              <w:rPr>
                <w:lang w:val="en-US"/>
              </w:rPr>
              <w:t xml:space="preserve"> </w:t>
            </w:r>
            <w:r>
              <w:t>хомяка</w:t>
            </w:r>
            <w:r w:rsidRPr="00CB62BD">
              <w:rPr>
                <w:lang w:val="en-US"/>
              </w:rPr>
              <w:t xml:space="preserve"> (Chinese Hamster Ovary)</w:t>
            </w:r>
          </w:p>
        </w:tc>
      </w:tr>
      <w:tr w:rsidR="002028DF" w:rsidRPr="00DB238B" w14:paraId="1DC22B70" w14:textId="77777777" w:rsidTr="00791E09">
        <w:tc>
          <w:tcPr>
            <w:tcW w:w="1815" w:type="dxa"/>
            <w:vAlign w:val="center"/>
          </w:tcPr>
          <w:p w14:paraId="6AFE204F" w14:textId="44AFC97D" w:rsidR="002028DF" w:rsidRPr="00CB62BD" w:rsidRDefault="002028DF" w:rsidP="0077403B">
            <w:pPr>
              <w:ind w:firstLine="0"/>
              <w:rPr>
                <w:lang w:val="en-US"/>
              </w:rPr>
            </w:pPr>
            <w:r>
              <w:rPr>
                <w:lang w:val="en-US"/>
              </w:rPr>
              <w:t>CL</w:t>
            </w:r>
          </w:p>
        </w:tc>
        <w:tc>
          <w:tcPr>
            <w:tcW w:w="7478" w:type="dxa"/>
            <w:vAlign w:val="center"/>
          </w:tcPr>
          <w:p w14:paraId="322A59C2" w14:textId="3751A8C5" w:rsidR="002028DF" w:rsidRDefault="002028DF" w:rsidP="0077403B">
            <w:pPr>
              <w:ind w:firstLine="0"/>
            </w:pPr>
            <w:r>
              <w:t xml:space="preserve">Общий плазменный клиренс </w:t>
            </w:r>
          </w:p>
        </w:tc>
      </w:tr>
      <w:tr w:rsidR="00F60BCE" w:rsidRPr="00DB238B" w14:paraId="16D6F2F8" w14:textId="77777777" w:rsidTr="00791E09">
        <w:tc>
          <w:tcPr>
            <w:tcW w:w="1815" w:type="dxa"/>
            <w:vAlign w:val="center"/>
          </w:tcPr>
          <w:p w14:paraId="254DA12E" w14:textId="26ECC729" w:rsidR="00F60BCE" w:rsidRDefault="00F60BCE" w:rsidP="0077403B">
            <w:pPr>
              <w:ind w:firstLine="0"/>
              <w:rPr>
                <w:lang w:val="en-US"/>
              </w:rPr>
            </w:pPr>
            <w:r>
              <w:t>CL</w:t>
            </w:r>
            <w:r w:rsidRPr="006D7078">
              <w:rPr>
                <w:vertAlign w:val="subscript"/>
              </w:rPr>
              <w:t>NR</w:t>
            </w:r>
          </w:p>
        </w:tc>
        <w:tc>
          <w:tcPr>
            <w:tcW w:w="7478" w:type="dxa"/>
            <w:vAlign w:val="center"/>
          </w:tcPr>
          <w:p w14:paraId="2E2D31A9" w14:textId="196181C8" w:rsidR="00F60BCE" w:rsidRDefault="00F60BCE" w:rsidP="0077403B">
            <w:pPr>
              <w:ind w:firstLine="0"/>
            </w:pPr>
            <w:r>
              <w:t>Внепочечный клиренс</w:t>
            </w:r>
          </w:p>
        </w:tc>
      </w:tr>
      <w:tr w:rsidR="007C72D8" w:rsidRPr="00DB238B" w14:paraId="29423511" w14:textId="77777777" w:rsidTr="00791E09">
        <w:tc>
          <w:tcPr>
            <w:tcW w:w="1815" w:type="dxa"/>
            <w:vAlign w:val="center"/>
          </w:tcPr>
          <w:p w14:paraId="05A35CA3" w14:textId="202EC18E" w:rsidR="007C72D8" w:rsidRDefault="007C72D8" w:rsidP="0077403B">
            <w:pPr>
              <w:ind w:firstLine="0"/>
            </w:pPr>
            <w:r>
              <w:rPr>
                <w:lang w:val="en-US"/>
              </w:rPr>
              <w:t>CL</w:t>
            </w:r>
            <w:r>
              <w:rPr>
                <w:vertAlign w:val="subscript"/>
                <w:lang w:val="en-US"/>
              </w:rPr>
              <w:t>R</w:t>
            </w:r>
          </w:p>
        </w:tc>
        <w:tc>
          <w:tcPr>
            <w:tcW w:w="7478" w:type="dxa"/>
            <w:vAlign w:val="center"/>
          </w:tcPr>
          <w:p w14:paraId="67259E99" w14:textId="4D47FEE8" w:rsidR="007C72D8" w:rsidRDefault="007C72D8" w:rsidP="007C72D8">
            <w:pPr>
              <w:tabs>
                <w:tab w:val="left" w:pos="990"/>
              </w:tabs>
              <w:ind w:firstLine="0"/>
            </w:pPr>
            <w:r>
              <w:t xml:space="preserve">Почечный клиренс </w:t>
            </w:r>
          </w:p>
        </w:tc>
      </w:tr>
      <w:tr w:rsidR="002B7594" w:rsidRPr="00C022A5" w14:paraId="72436434" w14:textId="77777777" w:rsidTr="00791E09">
        <w:tc>
          <w:tcPr>
            <w:tcW w:w="1815" w:type="dxa"/>
            <w:vAlign w:val="center"/>
          </w:tcPr>
          <w:p w14:paraId="0C7926E0" w14:textId="646344B7" w:rsidR="002B7594" w:rsidRDefault="002B7594" w:rsidP="0077403B">
            <w:pPr>
              <w:ind w:firstLine="0"/>
              <w:rPr>
                <w:lang w:val="en-US"/>
              </w:rPr>
            </w:pPr>
            <w:r>
              <w:t>C</w:t>
            </w:r>
            <w:r w:rsidRPr="006C6963">
              <w:rPr>
                <w:vertAlign w:val="subscript"/>
              </w:rPr>
              <w:t>max</w:t>
            </w:r>
          </w:p>
        </w:tc>
        <w:tc>
          <w:tcPr>
            <w:tcW w:w="7478" w:type="dxa"/>
            <w:vAlign w:val="center"/>
          </w:tcPr>
          <w:p w14:paraId="1ED526EF" w14:textId="4A129907" w:rsidR="002B7594" w:rsidRDefault="002B7594" w:rsidP="0077403B">
            <w:pPr>
              <w:ind w:firstLine="0"/>
            </w:pPr>
            <w:r>
              <w:t>Максимальная концентрация</w:t>
            </w:r>
          </w:p>
        </w:tc>
      </w:tr>
      <w:tr w:rsidR="00ED4620" w:rsidRPr="00C022A5" w14:paraId="1A054E7F" w14:textId="77777777" w:rsidTr="00791E09">
        <w:tc>
          <w:tcPr>
            <w:tcW w:w="1815" w:type="dxa"/>
            <w:vAlign w:val="center"/>
          </w:tcPr>
          <w:p w14:paraId="3DE9BCD7" w14:textId="5BB9B4EE" w:rsidR="00ED4620" w:rsidRDefault="00ED4620" w:rsidP="0077403B">
            <w:pPr>
              <w:ind w:firstLine="0"/>
            </w:pPr>
            <w:r>
              <w:t>C</w:t>
            </w:r>
            <w:r w:rsidRPr="001F2DAD">
              <w:rPr>
                <w:vertAlign w:val="subscript"/>
              </w:rPr>
              <w:t>min</w:t>
            </w:r>
          </w:p>
        </w:tc>
        <w:tc>
          <w:tcPr>
            <w:tcW w:w="7478" w:type="dxa"/>
            <w:vAlign w:val="center"/>
          </w:tcPr>
          <w:p w14:paraId="4AFE54BA" w14:textId="1F8DAD74" w:rsidR="00ED4620" w:rsidRDefault="00ED4620" w:rsidP="0077403B">
            <w:pPr>
              <w:ind w:firstLine="0"/>
            </w:pPr>
            <w:r>
              <w:t xml:space="preserve">Минимальная концентрация </w:t>
            </w:r>
          </w:p>
        </w:tc>
      </w:tr>
      <w:tr w:rsidR="006E2B86" w:rsidRPr="00C022A5" w14:paraId="3CE9565A" w14:textId="77777777" w:rsidTr="00791E09">
        <w:tc>
          <w:tcPr>
            <w:tcW w:w="1815" w:type="dxa"/>
            <w:vAlign w:val="center"/>
          </w:tcPr>
          <w:p w14:paraId="551DC47F" w14:textId="704E6DD9" w:rsidR="006E2B86" w:rsidRDefault="006E2B86" w:rsidP="0077403B">
            <w:pPr>
              <w:ind w:firstLine="0"/>
            </w:pPr>
            <w:r>
              <w:t>Covid-19</w:t>
            </w:r>
          </w:p>
        </w:tc>
        <w:tc>
          <w:tcPr>
            <w:tcW w:w="7478" w:type="dxa"/>
            <w:vAlign w:val="center"/>
          </w:tcPr>
          <w:p w14:paraId="72082110" w14:textId="58F4E75F" w:rsidR="006E2B86" w:rsidRDefault="006E2B86" w:rsidP="0077403B">
            <w:pPr>
              <w:ind w:firstLine="0"/>
            </w:pPr>
            <w:r>
              <w:t>И</w:t>
            </w:r>
            <w:r w:rsidRPr="00DE462B">
              <w:t>нфекци</w:t>
            </w:r>
            <w:r>
              <w:t>я</w:t>
            </w:r>
            <w:r w:rsidRPr="00DE462B">
              <w:t>, вызванн</w:t>
            </w:r>
            <w:r>
              <w:t>ая</w:t>
            </w:r>
            <w:r w:rsidRPr="00DE462B">
              <w:t xml:space="preserve"> новым коронавирусом SARS-CoV-2 </w:t>
            </w:r>
          </w:p>
        </w:tc>
      </w:tr>
      <w:tr w:rsidR="00677DAF" w:rsidRPr="00C022A5" w14:paraId="514B01AB" w14:textId="77777777" w:rsidTr="00791E09">
        <w:tc>
          <w:tcPr>
            <w:tcW w:w="1815" w:type="dxa"/>
            <w:vAlign w:val="center"/>
          </w:tcPr>
          <w:p w14:paraId="3B1A9DD5" w14:textId="757EAE6F" w:rsidR="00677DAF" w:rsidRDefault="00677DAF" w:rsidP="0077403B">
            <w:pPr>
              <w:ind w:firstLine="0"/>
            </w:pPr>
            <w:r w:rsidRPr="00765262">
              <w:t>CP-690550</w:t>
            </w:r>
          </w:p>
        </w:tc>
        <w:tc>
          <w:tcPr>
            <w:tcW w:w="7478" w:type="dxa"/>
            <w:vAlign w:val="center"/>
          </w:tcPr>
          <w:p w14:paraId="0725D437" w14:textId="7ACF239B" w:rsidR="00677DAF" w:rsidRDefault="00677DAF" w:rsidP="0077403B">
            <w:pPr>
              <w:ind w:firstLine="0"/>
            </w:pPr>
            <w:r>
              <w:t>Лабор</w:t>
            </w:r>
            <w:r w:rsidR="00267362">
              <w:t>аторный шифр тофацитиниба</w:t>
            </w:r>
          </w:p>
        </w:tc>
      </w:tr>
      <w:tr w:rsidR="00A55F5A" w:rsidRPr="00C022A5" w14:paraId="5CD1BFF4" w14:textId="77777777" w:rsidTr="00791E09">
        <w:tc>
          <w:tcPr>
            <w:tcW w:w="1815" w:type="dxa"/>
            <w:vAlign w:val="center"/>
          </w:tcPr>
          <w:p w14:paraId="3303FE5A" w14:textId="7ACBD1B4" w:rsidR="00A55F5A" w:rsidRPr="00765262" w:rsidRDefault="00A55F5A" w:rsidP="0077403B">
            <w:pPr>
              <w:ind w:firstLine="0"/>
            </w:pPr>
            <w:r w:rsidRPr="00BD3F1C">
              <w:t>CP-690550</w:t>
            </w:r>
            <w:r>
              <w:t>-10</w:t>
            </w:r>
          </w:p>
        </w:tc>
        <w:tc>
          <w:tcPr>
            <w:tcW w:w="7478" w:type="dxa"/>
            <w:vAlign w:val="center"/>
          </w:tcPr>
          <w:p w14:paraId="3B418D2D" w14:textId="0760E1BD" w:rsidR="00A55F5A" w:rsidRDefault="00A55F5A">
            <w:pPr>
              <w:ind w:firstLine="0"/>
            </w:pPr>
            <w:r w:rsidRPr="00BD3F1C">
              <w:t>CP-690550</w:t>
            </w:r>
            <w:r>
              <w:t xml:space="preserve"> в форме водной суспензии в носителе, состоящем из 5% метилцеллюлозы и 0,025% Твин-80</w:t>
            </w:r>
          </w:p>
        </w:tc>
      </w:tr>
      <w:tr w:rsidR="00BD547E" w:rsidRPr="00C022A5" w14:paraId="0364B2EE" w14:textId="77777777" w:rsidTr="00791E09">
        <w:tc>
          <w:tcPr>
            <w:tcW w:w="1815" w:type="dxa"/>
            <w:vAlign w:val="center"/>
          </w:tcPr>
          <w:p w14:paraId="4C246AAE" w14:textId="3B444380" w:rsidR="00BD547E" w:rsidRPr="00BD3F1C" w:rsidRDefault="00BD547E" w:rsidP="0077403B">
            <w:pPr>
              <w:ind w:firstLine="0"/>
            </w:pPr>
            <w:r w:rsidRPr="008222A8">
              <w:t>CR</w:t>
            </w:r>
          </w:p>
        </w:tc>
        <w:tc>
          <w:tcPr>
            <w:tcW w:w="7478" w:type="dxa"/>
            <w:vAlign w:val="center"/>
          </w:tcPr>
          <w:p w14:paraId="2C1D842E" w14:textId="1954F719" w:rsidR="00BD547E" w:rsidRPr="00BD3F1C" w:rsidRDefault="00BD547E" w:rsidP="0077403B">
            <w:pPr>
              <w:ind w:firstLine="0"/>
            </w:pPr>
            <w:r>
              <w:t>Контролируемое высвобождение (</w:t>
            </w:r>
            <w:r w:rsidRPr="008222A8">
              <w:t>controlled release</w:t>
            </w:r>
            <w:r>
              <w:t>)</w:t>
            </w:r>
          </w:p>
        </w:tc>
      </w:tr>
      <w:tr w:rsidR="00781EFD" w:rsidRPr="00781EFD" w14:paraId="6DA0A414" w14:textId="77777777" w:rsidTr="00791E09">
        <w:tc>
          <w:tcPr>
            <w:tcW w:w="1815" w:type="dxa"/>
            <w:vAlign w:val="center"/>
          </w:tcPr>
          <w:p w14:paraId="5BD9E6C8" w14:textId="5F8913E9" w:rsidR="00781EFD" w:rsidRDefault="00781EFD" w:rsidP="0077403B">
            <w:pPr>
              <w:ind w:firstLine="0"/>
            </w:pPr>
            <w:r w:rsidRPr="00781EFD">
              <w:rPr>
                <w:lang w:val="en-US"/>
              </w:rPr>
              <w:t>CYP</w:t>
            </w:r>
          </w:p>
        </w:tc>
        <w:tc>
          <w:tcPr>
            <w:tcW w:w="7478" w:type="dxa"/>
            <w:vAlign w:val="center"/>
          </w:tcPr>
          <w:p w14:paraId="51776D15" w14:textId="01A5FD0D" w:rsidR="00781EFD" w:rsidRPr="00781EFD" w:rsidRDefault="00781EFD" w:rsidP="0077403B">
            <w:pPr>
              <w:ind w:firstLine="0"/>
            </w:pPr>
            <w:r>
              <w:t>Ц</w:t>
            </w:r>
            <w:r w:rsidRPr="00781EFD">
              <w:t>итохром</w:t>
            </w:r>
            <w:r w:rsidRPr="00781EFD">
              <w:rPr>
                <w:lang w:val="en-US"/>
              </w:rPr>
              <w:t xml:space="preserve"> P450 (cytochrome P450</w:t>
            </w:r>
            <w:r>
              <w:t>)</w:t>
            </w:r>
          </w:p>
        </w:tc>
      </w:tr>
      <w:tr w:rsidR="00095DDD" w:rsidRPr="00781EFD" w14:paraId="087EDCC1" w14:textId="77777777" w:rsidTr="00791E09">
        <w:tc>
          <w:tcPr>
            <w:tcW w:w="1815" w:type="dxa"/>
            <w:vAlign w:val="center"/>
          </w:tcPr>
          <w:p w14:paraId="1B285E9A" w14:textId="363DCBC1" w:rsidR="00095DDD" w:rsidRDefault="00095DDD" w:rsidP="0077403B">
            <w:pPr>
              <w:ind w:firstLine="0"/>
              <w:rPr>
                <w:rFonts w:cs="Times New Roman"/>
                <w:lang w:val="en-US"/>
              </w:rPr>
            </w:pPr>
            <w:r w:rsidRPr="0013519B">
              <w:t>DAS28-4(</w:t>
            </w:r>
            <w:r>
              <w:t>СОЭ)</w:t>
            </w:r>
          </w:p>
        </w:tc>
        <w:tc>
          <w:tcPr>
            <w:tcW w:w="7478" w:type="dxa"/>
            <w:vAlign w:val="center"/>
          </w:tcPr>
          <w:p w14:paraId="76C1EBC5" w14:textId="2D0FB2A7" w:rsidR="00095DDD" w:rsidRDefault="00095DDD" w:rsidP="0077403B">
            <w:pPr>
              <w:ind w:firstLine="0"/>
              <w:rPr>
                <w:rFonts w:cs="Times New Roman"/>
              </w:rPr>
            </w:pPr>
            <w:r>
              <w:t>Четыре переменные для 28 суставов по ш</w:t>
            </w:r>
            <w:r w:rsidRPr="00095DDD">
              <w:t>кал</w:t>
            </w:r>
            <w:r>
              <w:t>е</w:t>
            </w:r>
            <w:r w:rsidRPr="00095DDD">
              <w:t xml:space="preserve"> активности заболевания</w:t>
            </w:r>
            <w:r w:rsidR="00A20899">
              <w:t xml:space="preserve"> </w:t>
            </w:r>
            <w:r w:rsidR="00A20899">
              <w:rPr>
                <w:rFonts w:cs="Times New Roman"/>
              </w:rPr>
              <w:t>(</w:t>
            </w:r>
            <w:r w:rsidR="00A20899" w:rsidRPr="00601AEF">
              <w:rPr>
                <w:rFonts w:cs="Times New Roman"/>
              </w:rPr>
              <w:t>disease activity score</w:t>
            </w:r>
            <w:r w:rsidR="00A20899">
              <w:rPr>
                <w:rFonts w:cs="Times New Roman"/>
              </w:rPr>
              <w:t>)</w:t>
            </w:r>
            <w:r>
              <w:t>, включая скорость оседания эритроцитов</w:t>
            </w:r>
          </w:p>
        </w:tc>
      </w:tr>
      <w:tr w:rsidR="00841691" w:rsidRPr="00C13EBE" w14:paraId="7C59ECDB" w14:textId="77777777" w:rsidTr="00791E09">
        <w:tc>
          <w:tcPr>
            <w:tcW w:w="1815" w:type="dxa"/>
            <w:vAlign w:val="center"/>
          </w:tcPr>
          <w:p w14:paraId="35902625" w14:textId="4B090EDA" w:rsidR="00841691" w:rsidRPr="0013519B" w:rsidRDefault="00841691" w:rsidP="0077403B">
            <w:pPr>
              <w:ind w:firstLine="0"/>
            </w:pPr>
            <w:r>
              <w:lastRenderedPageBreak/>
              <w:t>EASI</w:t>
            </w:r>
          </w:p>
        </w:tc>
        <w:tc>
          <w:tcPr>
            <w:tcW w:w="7478" w:type="dxa"/>
            <w:vAlign w:val="center"/>
          </w:tcPr>
          <w:p w14:paraId="76141AED" w14:textId="73234E6F" w:rsidR="00841691" w:rsidRPr="00841691" w:rsidRDefault="00841691" w:rsidP="0077403B">
            <w:pPr>
              <w:ind w:firstLine="0"/>
              <w:rPr>
                <w:lang w:val="en-US"/>
              </w:rPr>
            </w:pPr>
            <w:r>
              <w:t>Индекс</w:t>
            </w:r>
            <w:r w:rsidRPr="00841691">
              <w:rPr>
                <w:lang w:val="en-US"/>
              </w:rPr>
              <w:t xml:space="preserve"> </w:t>
            </w:r>
            <w:r>
              <w:t>площади</w:t>
            </w:r>
            <w:r w:rsidRPr="00841691">
              <w:rPr>
                <w:lang w:val="en-US"/>
              </w:rPr>
              <w:t xml:space="preserve"> </w:t>
            </w:r>
            <w:r>
              <w:t>и</w:t>
            </w:r>
            <w:r w:rsidRPr="00841691">
              <w:rPr>
                <w:lang w:val="en-US"/>
              </w:rPr>
              <w:t xml:space="preserve"> </w:t>
            </w:r>
            <w:r>
              <w:t>тяжести</w:t>
            </w:r>
            <w:r w:rsidRPr="00841691">
              <w:rPr>
                <w:lang w:val="en-US"/>
              </w:rPr>
              <w:t xml:space="preserve"> </w:t>
            </w:r>
            <w:r>
              <w:t>экземы</w:t>
            </w:r>
            <w:r w:rsidRPr="00841691">
              <w:rPr>
                <w:lang w:val="en-US"/>
              </w:rPr>
              <w:t xml:space="preserve"> (Eczema Area and Severity Index)</w:t>
            </w:r>
          </w:p>
        </w:tc>
      </w:tr>
      <w:tr w:rsidR="0053247C" w:rsidRPr="00781EFD" w14:paraId="59B8CCA4" w14:textId="77777777" w:rsidTr="00791E09">
        <w:tc>
          <w:tcPr>
            <w:tcW w:w="1815" w:type="dxa"/>
            <w:vAlign w:val="center"/>
          </w:tcPr>
          <w:p w14:paraId="56F5786E" w14:textId="5213767C" w:rsidR="0053247C" w:rsidRPr="0013519B" w:rsidRDefault="0053247C" w:rsidP="0077403B">
            <w:pPr>
              <w:ind w:firstLine="0"/>
            </w:pPr>
            <w:r w:rsidRPr="0089004B">
              <w:rPr>
                <w:rFonts w:cs="Times New Roman"/>
              </w:rPr>
              <w:t>EQ-5D</w:t>
            </w:r>
          </w:p>
        </w:tc>
        <w:tc>
          <w:tcPr>
            <w:tcW w:w="7478" w:type="dxa"/>
            <w:vAlign w:val="center"/>
          </w:tcPr>
          <w:p w14:paraId="2219FAD7" w14:textId="1A93CE4D" w:rsidR="0053247C" w:rsidRDefault="0053247C" w:rsidP="0077403B">
            <w:pPr>
              <w:ind w:firstLine="0"/>
            </w:pPr>
            <w:r>
              <w:rPr>
                <w:rFonts w:cs="Times New Roman"/>
              </w:rPr>
              <w:t>Европейский опросник для оценки качества жизни в 5 категориях (</w:t>
            </w:r>
            <w:r w:rsidRPr="00426B4F">
              <w:rPr>
                <w:rFonts w:cs="Times New Roman"/>
              </w:rPr>
              <w:t>EuroQoL 5-Dimension</w:t>
            </w:r>
            <w:r>
              <w:rPr>
                <w:rFonts w:cs="Times New Roman"/>
              </w:rPr>
              <w:t>)</w:t>
            </w:r>
          </w:p>
        </w:tc>
      </w:tr>
      <w:tr w:rsidR="00CB50B5" w:rsidRPr="00781EFD" w14:paraId="2C023A13" w14:textId="77777777" w:rsidTr="00791E09">
        <w:tc>
          <w:tcPr>
            <w:tcW w:w="1815" w:type="dxa"/>
            <w:vAlign w:val="center"/>
          </w:tcPr>
          <w:p w14:paraId="35C60CDC" w14:textId="464212FC" w:rsidR="00CB50B5" w:rsidRPr="00781EFD" w:rsidRDefault="00CB50B5" w:rsidP="0077403B">
            <w:pPr>
              <w:ind w:firstLine="0"/>
              <w:rPr>
                <w:lang w:val="en-US"/>
              </w:rPr>
            </w:pPr>
            <w:r>
              <w:rPr>
                <w:lang w:val="en-US"/>
              </w:rPr>
              <w:t>F</w:t>
            </w:r>
          </w:p>
        </w:tc>
        <w:tc>
          <w:tcPr>
            <w:tcW w:w="7478" w:type="dxa"/>
            <w:vAlign w:val="center"/>
          </w:tcPr>
          <w:p w14:paraId="09E8333C" w14:textId="56CA0727" w:rsidR="00CB50B5" w:rsidRDefault="00CB50B5" w:rsidP="0077403B">
            <w:pPr>
              <w:ind w:firstLine="0"/>
            </w:pPr>
            <w:r>
              <w:t>Биодоступность</w:t>
            </w:r>
          </w:p>
        </w:tc>
      </w:tr>
      <w:tr w:rsidR="00264A99" w:rsidRPr="00264A99" w14:paraId="5EBDAB4E" w14:textId="77777777" w:rsidTr="00791E09">
        <w:tc>
          <w:tcPr>
            <w:tcW w:w="1815" w:type="dxa"/>
            <w:vAlign w:val="center"/>
          </w:tcPr>
          <w:p w14:paraId="452F4E5D" w14:textId="68169F70" w:rsidR="00264A99" w:rsidRDefault="00264A99" w:rsidP="0077403B">
            <w:pPr>
              <w:ind w:firstLine="0"/>
              <w:rPr>
                <w:lang w:val="en-US"/>
              </w:rPr>
            </w:pPr>
            <w:r w:rsidRPr="00264A99">
              <w:rPr>
                <w:rFonts w:cs="Times New Roman"/>
                <w:lang w:val="en-US"/>
              </w:rPr>
              <w:t>FACIT-F</w:t>
            </w:r>
          </w:p>
        </w:tc>
        <w:tc>
          <w:tcPr>
            <w:tcW w:w="7478" w:type="dxa"/>
            <w:vAlign w:val="center"/>
          </w:tcPr>
          <w:p w14:paraId="42DE21A6" w14:textId="29D73EDC" w:rsidR="00264A99" w:rsidRPr="00264A99" w:rsidRDefault="00264A99" w:rsidP="0077403B">
            <w:pPr>
              <w:ind w:firstLine="0"/>
            </w:pPr>
            <w:r>
              <w:rPr>
                <w:rFonts w:cs="Times New Roman"/>
              </w:rPr>
              <w:t>Опросник</w:t>
            </w:r>
            <w:r w:rsidRPr="00264A99">
              <w:rPr>
                <w:rFonts w:cs="Times New Roman"/>
              </w:rPr>
              <w:t xml:space="preserve"> </w:t>
            </w:r>
            <w:r>
              <w:rPr>
                <w:rFonts w:cs="Times New Roman"/>
              </w:rPr>
              <w:t>для</w:t>
            </w:r>
            <w:r w:rsidRPr="00264A99">
              <w:rPr>
                <w:rFonts w:cs="Times New Roman"/>
              </w:rPr>
              <w:t xml:space="preserve"> </w:t>
            </w:r>
            <w:r>
              <w:rPr>
                <w:rFonts w:cs="Times New Roman"/>
              </w:rPr>
              <w:t>оценки</w:t>
            </w:r>
            <w:r w:rsidRPr="00264A99">
              <w:rPr>
                <w:rFonts w:cs="Times New Roman"/>
              </w:rPr>
              <w:t xml:space="preserve"> </w:t>
            </w:r>
            <w:r>
              <w:rPr>
                <w:rFonts w:cs="Times New Roman"/>
              </w:rPr>
              <w:t>функционального</w:t>
            </w:r>
            <w:r w:rsidRPr="00264A99">
              <w:rPr>
                <w:rFonts w:cs="Times New Roman"/>
              </w:rPr>
              <w:t xml:space="preserve"> </w:t>
            </w:r>
            <w:r>
              <w:rPr>
                <w:rFonts w:cs="Times New Roman"/>
              </w:rPr>
              <w:t>состояния</w:t>
            </w:r>
            <w:r w:rsidRPr="00264A99">
              <w:rPr>
                <w:rFonts w:cs="Times New Roman"/>
              </w:rPr>
              <w:t xml:space="preserve"> </w:t>
            </w:r>
            <w:r>
              <w:rPr>
                <w:rFonts w:cs="Times New Roman"/>
              </w:rPr>
              <w:t>при</w:t>
            </w:r>
            <w:r w:rsidRPr="00264A99">
              <w:rPr>
                <w:rFonts w:cs="Times New Roman"/>
              </w:rPr>
              <w:t xml:space="preserve"> </w:t>
            </w:r>
            <w:r>
              <w:rPr>
                <w:rFonts w:cs="Times New Roman"/>
              </w:rPr>
              <w:t>лечении</w:t>
            </w:r>
            <w:r w:rsidRPr="00264A99">
              <w:rPr>
                <w:rFonts w:cs="Times New Roman"/>
              </w:rPr>
              <w:t xml:space="preserve"> </w:t>
            </w:r>
            <w:r>
              <w:rPr>
                <w:rFonts w:cs="Times New Roman"/>
              </w:rPr>
              <w:t>хронического</w:t>
            </w:r>
            <w:r w:rsidRPr="00264A99">
              <w:rPr>
                <w:rFonts w:cs="Times New Roman"/>
              </w:rPr>
              <w:t xml:space="preserve"> </w:t>
            </w:r>
            <w:r>
              <w:rPr>
                <w:rFonts w:cs="Times New Roman"/>
              </w:rPr>
              <w:t>заболевания</w:t>
            </w:r>
            <w:r w:rsidRPr="00264A99">
              <w:rPr>
                <w:rFonts w:cs="Times New Roman"/>
              </w:rPr>
              <w:t>-</w:t>
            </w:r>
            <w:r>
              <w:rPr>
                <w:rFonts w:cs="Times New Roman"/>
              </w:rPr>
              <w:t>подшкале</w:t>
            </w:r>
            <w:r w:rsidRPr="00264A99">
              <w:rPr>
                <w:rFonts w:cs="Times New Roman"/>
              </w:rPr>
              <w:t xml:space="preserve"> </w:t>
            </w:r>
            <w:r>
              <w:rPr>
                <w:rFonts w:cs="Times New Roman"/>
              </w:rPr>
              <w:t>усталости</w:t>
            </w:r>
            <w:r w:rsidRPr="00264A99">
              <w:rPr>
                <w:rFonts w:cs="Times New Roman"/>
              </w:rPr>
              <w:t xml:space="preserve"> (</w:t>
            </w:r>
            <w:r w:rsidRPr="00264A99">
              <w:rPr>
                <w:rFonts w:cs="Times New Roman"/>
                <w:lang w:val="en-US"/>
              </w:rPr>
              <w:t>Functional</w:t>
            </w:r>
            <w:r w:rsidRPr="00264A99">
              <w:rPr>
                <w:rFonts w:cs="Times New Roman"/>
              </w:rPr>
              <w:t xml:space="preserve"> </w:t>
            </w:r>
            <w:r w:rsidRPr="00264A99">
              <w:rPr>
                <w:rFonts w:cs="Times New Roman"/>
                <w:lang w:val="en-US"/>
              </w:rPr>
              <w:t>Assessment</w:t>
            </w:r>
            <w:r w:rsidRPr="00264A99">
              <w:rPr>
                <w:rFonts w:cs="Times New Roman"/>
              </w:rPr>
              <w:t xml:space="preserve"> </w:t>
            </w:r>
            <w:r w:rsidRPr="00264A99">
              <w:rPr>
                <w:rFonts w:cs="Times New Roman"/>
                <w:lang w:val="en-US"/>
              </w:rPr>
              <w:t>of</w:t>
            </w:r>
            <w:r w:rsidRPr="00264A99">
              <w:rPr>
                <w:rFonts w:cs="Times New Roman"/>
              </w:rPr>
              <w:t xml:space="preserve"> </w:t>
            </w:r>
            <w:r w:rsidRPr="00264A99">
              <w:rPr>
                <w:rFonts w:cs="Times New Roman"/>
                <w:lang w:val="en-US"/>
              </w:rPr>
              <w:t>Chronic</w:t>
            </w:r>
            <w:r w:rsidRPr="00264A99">
              <w:rPr>
                <w:rFonts w:cs="Times New Roman"/>
              </w:rPr>
              <w:t xml:space="preserve"> </w:t>
            </w:r>
            <w:r w:rsidRPr="00264A99">
              <w:rPr>
                <w:rFonts w:cs="Times New Roman"/>
                <w:lang w:val="en-US"/>
              </w:rPr>
              <w:t>Illness</w:t>
            </w:r>
            <w:r w:rsidRPr="00264A99">
              <w:rPr>
                <w:rFonts w:cs="Times New Roman"/>
              </w:rPr>
              <w:t xml:space="preserve"> </w:t>
            </w:r>
            <w:r w:rsidRPr="00264A99">
              <w:rPr>
                <w:rFonts w:cs="Times New Roman"/>
                <w:lang w:val="en-US"/>
              </w:rPr>
              <w:t>Therapy</w:t>
            </w:r>
            <w:r w:rsidRPr="00264A99">
              <w:rPr>
                <w:rFonts w:cs="Times New Roman"/>
              </w:rPr>
              <w:t>-</w:t>
            </w:r>
            <w:r w:rsidRPr="00264A99">
              <w:rPr>
                <w:rFonts w:cs="Times New Roman"/>
                <w:lang w:val="en-US"/>
              </w:rPr>
              <w:t>Fatigue</w:t>
            </w:r>
            <w:r>
              <w:rPr>
                <w:rFonts w:cs="Times New Roman"/>
              </w:rPr>
              <w:t>)</w:t>
            </w:r>
          </w:p>
        </w:tc>
      </w:tr>
      <w:tr w:rsidR="00E86798" w:rsidRPr="00264A99" w14:paraId="3F6FB775" w14:textId="77777777" w:rsidTr="00791E09">
        <w:tc>
          <w:tcPr>
            <w:tcW w:w="1815" w:type="dxa"/>
            <w:vAlign w:val="center"/>
          </w:tcPr>
          <w:p w14:paraId="361D4A47" w14:textId="380A9C3B" w:rsidR="00E86798" w:rsidRPr="00264A99" w:rsidRDefault="00E86798" w:rsidP="0077403B">
            <w:pPr>
              <w:ind w:firstLine="0"/>
              <w:rPr>
                <w:rFonts w:cs="Times New Roman"/>
                <w:lang w:val="en-US"/>
              </w:rPr>
            </w:pPr>
            <w:r>
              <w:rPr>
                <w:lang w:val="en-US"/>
              </w:rPr>
              <w:t>FDA</w:t>
            </w:r>
          </w:p>
        </w:tc>
        <w:tc>
          <w:tcPr>
            <w:tcW w:w="7478" w:type="dxa"/>
            <w:vAlign w:val="center"/>
          </w:tcPr>
          <w:p w14:paraId="1CB74F73" w14:textId="0F5F261C" w:rsidR="00E86798" w:rsidRDefault="00E86798" w:rsidP="0077403B">
            <w:pPr>
              <w:ind w:firstLine="0"/>
              <w:rPr>
                <w:rFonts w:cs="Times New Roman"/>
              </w:rPr>
            </w:pPr>
            <w:r w:rsidRPr="00D177AA">
              <w:t>Управление по санитарному надзору за качеством пищевых продуктов и медикаментов США (Food and Drug Administration</w:t>
            </w:r>
            <w:r>
              <w:t xml:space="preserve">) </w:t>
            </w:r>
          </w:p>
        </w:tc>
      </w:tr>
      <w:tr w:rsidR="00A56A65" w:rsidRPr="00264A99" w14:paraId="0707370E" w14:textId="77777777" w:rsidTr="00791E09">
        <w:tc>
          <w:tcPr>
            <w:tcW w:w="1815" w:type="dxa"/>
            <w:vAlign w:val="center"/>
          </w:tcPr>
          <w:p w14:paraId="57828006" w14:textId="08979824" w:rsidR="00A56A65" w:rsidRDefault="00A56A65" w:rsidP="0077403B">
            <w:pPr>
              <w:ind w:firstLine="0"/>
              <w:rPr>
                <w:lang w:val="en-US"/>
              </w:rPr>
            </w:pPr>
            <w:r w:rsidRPr="00A56A65">
              <w:t>fu</w:t>
            </w:r>
          </w:p>
        </w:tc>
        <w:tc>
          <w:tcPr>
            <w:tcW w:w="7478" w:type="dxa"/>
            <w:vAlign w:val="center"/>
          </w:tcPr>
          <w:p w14:paraId="44763CCC" w14:textId="049019A9" w:rsidR="00A56A65" w:rsidRPr="00D177AA" w:rsidRDefault="00A56A65" w:rsidP="0077403B">
            <w:pPr>
              <w:ind w:firstLine="0"/>
            </w:pPr>
            <w:r w:rsidRPr="00A56A65">
              <w:t xml:space="preserve">Доля </w:t>
            </w:r>
            <w:r>
              <w:t>лекарственного средства</w:t>
            </w:r>
            <w:r w:rsidRPr="00A56A65">
              <w:t>, не</w:t>
            </w:r>
            <w:r>
              <w:t xml:space="preserve"> </w:t>
            </w:r>
            <w:r w:rsidRPr="00A56A65">
              <w:t>связанн</w:t>
            </w:r>
            <w:r>
              <w:t>ая</w:t>
            </w:r>
            <w:r w:rsidRPr="00A56A65">
              <w:t xml:space="preserve"> с белками плазмы</w:t>
            </w:r>
            <w:r w:rsidR="00383E6F">
              <w:t xml:space="preserve"> </w:t>
            </w:r>
          </w:p>
        </w:tc>
      </w:tr>
      <w:tr w:rsidR="00787251" w:rsidRPr="00787251" w14:paraId="44139735" w14:textId="77777777" w:rsidTr="00791E09">
        <w:tc>
          <w:tcPr>
            <w:tcW w:w="1815" w:type="dxa"/>
            <w:vAlign w:val="center"/>
          </w:tcPr>
          <w:p w14:paraId="79BA7E1D" w14:textId="45207E47" w:rsidR="00787251" w:rsidRPr="00781EFD" w:rsidRDefault="00787251" w:rsidP="0077403B">
            <w:pPr>
              <w:ind w:firstLine="0"/>
              <w:rPr>
                <w:lang w:val="en-US"/>
              </w:rPr>
            </w:pPr>
            <w:r>
              <w:rPr>
                <w:lang w:val="en-US"/>
              </w:rPr>
              <w:t>GLP</w:t>
            </w:r>
          </w:p>
        </w:tc>
        <w:tc>
          <w:tcPr>
            <w:tcW w:w="7478" w:type="dxa"/>
            <w:vAlign w:val="center"/>
          </w:tcPr>
          <w:p w14:paraId="028504BE" w14:textId="50CBAC6D" w:rsidR="00787251" w:rsidRPr="00787251" w:rsidRDefault="00787251" w:rsidP="0077403B">
            <w:pPr>
              <w:ind w:firstLine="0"/>
            </w:pPr>
            <w:r>
              <w:t>Надлежащая лабораторная практика (</w:t>
            </w:r>
            <w:r>
              <w:rPr>
                <w:lang w:val="en-US"/>
              </w:rPr>
              <w:t>Good</w:t>
            </w:r>
            <w:r w:rsidRPr="0017066E">
              <w:t xml:space="preserve"> </w:t>
            </w:r>
            <w:r>
              <w:rPr>
                <w:lang w:val="en-US"/>
              </w:rPr>
              <w:t>laboratory</w:t>
            </w:r>
            <w:r w:rsidRPr="0017066E">
              <w:t xml:space="preserve"> </w:t>
            </w:r>
            <w:r>
              <w:rPr>
                <w:lang w:val="en-US"/>
              </w:rPr>
              <w:t>practice</w:t>
            </w:r>
            <w:r>
              <w:t>)</w:t>
            </w:r>
          </w:p>
        </w:tc>
      </w:tr>
      <w:tr w:rsidR="00C61552" w:rsidRPr="00C13EBE" w14:paraId="425837F2" w14:textId="77777777" w:rsidTr="00791E09">
        <w:tc>
          <w:tcPr>
            <w:tcW w:w="1815" w:type="dxa"/>
            <w:vAlign w:val="center"/>
          </w:tcPr>
          <w:p w14:paraId="649A01DE" w14:textId="7F4F3278" w:rsidR="00C61552" w:rsidRDefault="00C61552" w:rsidP="0077403B">
            <w:pPr>
              <w:ind w:firstLine="0"/>
              <w:rPr>
                <w:lang w:val="en-US"/>
              </w:rPr>
            </w:pPr>
            <w:r w:rsidRPr="00C61552">
              <w:rPr>
                <w:rFonts w:cs="Times New Roman"/>
                <w:lang w:val="en-US"/>
              </w:rPr>
              <w:t>HAQ-DI</w:t>
            </w:r>
          </w:p>
        </w:tc>
        <w:tc>
          <w:tcPr>
            <w:tcW w:w="7478" w:type="dxa"/>
            <w:vAlign w:val="center"/>
          </w:tcPr>
          <w:p w14:paraId="03467DE4" w14:textId="53E44CC4" w:rsidR="00C61552" w:rsidRPr="00C61552" w:rsidRDefault="00C61552" w:rsidP="0077403B">
            <w:pPr>
              <w:ind w:firstLine="0"/>
              <w:rPr>
                <w:lang w:val="en-US"/>
              </w:rPr>
            </w:pPr>
            <w:r>
              <w:rPr>
                <w:rFonts w:cs="Times New Roman"/>
              </w:rPr>
              <w:t>Индекс</w:t>
            </w:r>
            <w:r w:rsidRPr="00C61552">
              <w:rPr>
                <w:rFonts w:cs="Times New Roman"/>
                <w:lang w:val="en-US"/>
              </w:rPr>
              <w:t xml:space="preserve"> </w:t>
            </w:r>
            <w:r>
              <w:rPr>
                <w:rFonts w:cs="Times New Roman"/>
              </w:rPr>
              <w:t>инвалидизации</w:t>
            </w:r>
            <w:r w:rsidRPr="00C61552">
              <w:rPr>
                <w:rFonts w:cs="Times New Roman"/>
                <w:lang w:val="en-US"/>
              </w:rPr>
              <w:t xml:space="preserve"> </w:t>
            </w:r>
            <w:r>
              <w:rPr>
                <w:rFonts w:cs="Times New Roman"/>
              </w:rPr>
              <w:t>по</w:t>
            </w:r>
            <w:r w:rsidRPr="00C61552">
              <w:rPr>
                <w:rFonts w:cs="Times New Roman"/>
                <w:lang w:val="en-US"/>
              </w:rPr>
              <w:t xml:space="preserve"> </w:t>
            </w:r>
            <w:r>
              <w:rPr>
                <w:rFonts w:cs="Times New Roman"/>
              </w:rPr>
              <w:t>опроснику</w:t>
            </w:r>
            <w:r w:rsidRPr="00C61552">
              <w:rPr>
                <w:rFonts w:cs="Times New Roman"/>
                <w:lang w:val="en-US"/>
              </w:rPr>
              <w:t xml:space="preserve"> </w:t>
            </w:r>
            <w:r>
              <w:rPr>
                <w:rFonts w:cs="Times New Roman"/>
              </w:rPr>
              <w:t>оценки</w:t>
            </w:r>
            <w:r w:rsidRPr="00C61552">
              <w:rPr>
                <w:rFonts w:cs="Times New Roman"/>
                <w:lang w:val="en-US"/>
              </w:rPr>
              <w:t xml:space="preserve"> </w:t>
            </w:r>
            <w:r>
              <w:rPr>
                <w:rFonts w:cs="Times New Roman"/>
              </w:rPr>
              <w:t>состояния</w:t>
            </w:r>
            <w:r w:rsidRPr="00C61552">
              <w:rPr>
                <w:rFonts w:cs="Times New Roman"/>
                <w:lang w:val="en-US"/>
              </w:rPr>
              <w:t xml:space="preserve"> </w:t>
            </w:r>
            <w:r>
              <w:rPr>
                <w:rFonts w:cs="Times New Roman"/>
              </w:rPr>
              <w:t>здоровья</w:t>
            </w:r>
            <w:r w:rsidRPr="00C61552">
              <w:rPr>
                <w:rFonts w:cs="Times New Roman"/>
                <w:lang w:val="en-US"/>
              </w:rPr>
              <w:t xml:space="preserve"> (Health Assessment Questionnaire-Disability Index)</w:t>
            </w:r>
          </w:p>
        </w:tc>
      </w:tr>
      <w:tr w:rsidR="00F14F59" w:rsidRPr="00C022A5" w14:paraId="6B8770D3" w14:textId="77777777" w:rsidTr="00791E09">
        <w:tc>
          <w:tcPr>
            <w:tcW w:w="1815" w:type="dxa"/>
            <w:vAlign w:val="center"/>
          </w:tcPr>
          <w:p w14:paraId="7F2799C1" w14:textId="445BAC87" w:rsidR="00F14F59" w:rsidRDefault="00F14F59" w:rsidP="0077403B">
            <w:pPr>
              <w:ind w:firstLine="0"/>
            </w:pPr>
            <w:r>
              <w:rPr>
                <w:lang w:val="en-US"/>
              </w:rPr>
              <w:t>HEK</w:t>
            </w:r>
            <w:r w:rsidRPr="0097737C">
              <w:t>293</w:t>
            </w:r>
          </w:p>
        </w:tc>
        <w:tc>
          <w:tcPr>
            <w:tcW w:w="7478" w:type="dxa"/>
            <w:vAlign w:val="center"/>
          </w:tcPr>
          <w:p w14:paraId="2D428224" w14:textId="70A48213" w:rsidR="00F14F59" w:rsidRDefault="00F14F59" w:rsidP="0077403B">
            <w:pPr>
              <w:ind w:firstLine="0"/>
            </w:pPr>
            <w:r>
              <w:t>Клетки почки эмбриона человека 293 (</w:t>
            </w:r>
            <w:r w:rsidRPr="000B1340">
              <w:t>Human embryonic kidney</w:t>
            </w:r>
            <w:r>
              <w:t xml:space="preserve"> 293)</w:t>
            </w:r>
          </w:p>
        </w:tc>
      </w:tr>
      <w:tr w:rsidR="00CB62BD" w:rsidRPr="00CB62BD" w14:paraId="751F6675" w14:textId="77777777" w:rsidTr="00791E09">
        <w:tc>
          <w:tcPr>
            <w:tcW w:w="1815" w:type="dxa"/>
            <w:vAlign w:val="center"/>
          </w:tcPr>
          <w:p w14:paraId="67CED2D3" w14:textId="4FE0AB93" w:rsidR="00CB62BD" w:rsidRDefault="00CB62BD" w:rsidP="0077403B">
            <w:pPr>
              <w:ind w:firstLine="0"/>
              <w:rPr>
                <w:lang w:val="en-US"/>
              </w:rPr>
            </w:pPr>
            <w:r w:rsidRPr="00CB62BD">
              <w:rPr>
                <w:lang w:val="en-US"/>
              </w:rPr>
              <w:t>HGPRT</w:t>
            </w:r>
          </w:p>
        </w:tc>
        <w:tc>
          <w:tcPr>
            <w:tcW w:w="7478" w:type="dxa"/>
            <w:vAlign w:val="center"/>
          </w:tcPr>
          <w:p w14:paraId="047AC68B" w14:textId="232B433E" w:rsidR="00CB62BD" w:rsidRPr="00CB62BD" w:rsidRDefault="00CB62BD" w:rsidP="0077403B">
            <w:pPr>
              <w:ind w:firstLine="0"/>
            </w:pPr>
            <w:r>
              <w:t xml:space="preserve">Гипоксантингуанинфосфорибозилтрансфераза </w:t>
            </w:r>
            <w:r w:rsidRPr="00CB62BD">
              <w:rPr>
                <w:lang w:val="en-US"/>
              </w:rPr>
              <w:t>(hypoxanthineguanine phosphoribosyl transferase</w:t>
            </w:r>
            <w:r>
              <w:t>)</w:t>
            </w:r>
          </w:p>
        </w:tc>
      </w:tr>
      <w:tr w:rsidR="002B0F05" w:rsidRPr="00CB62BD" w14:paraId="4006B43B" w14:textId="77777777" w:rsidTr="00791E09">
        <w:tc>
          <w:tcPr>
            <w:tcW w:w="1815" w:type="dxa"/>
            <w:vAlign w:val="center"/>
          </w:tcPr>
          <w:p w14:paraId="55C861BD" w14:textId="635189B2" w:rsidR="002B0F05" w:rsidRPr="00CB62BD" w:rsidRDefault="002B0F05" w:rsidP="0077403B">
            <w:pPr>
              <w:ind w:firstLine="0"/>
              <w:rPr>
                <w:lang w:val="en-US"/>
              </w:rPr>
            </w:pPr>
            <w:r w:rsidRPr="002B0F05">
              <w:t>HR</w:t>
            </w:r>
          </w:p>
        </w:tc>
        <w:tc>
          <w:tcPr>
            <w:tcW w:w="7478" w:type="dxa"/>
            <w:vAlign w:val="center"/>
          </w:tcPr>
          <w:p w14:paraId="035A7352" w14:textId="25B3D975" w:rsidR="002B0F05" w:rsidRDefault="002B0F05" w:rsidP="0077403B">
            <w:pPr>
              <w:ind w:firstLine="0"/>
            </w:pPr>
            <w:r>
              <w:t>Отношение рисков (</w:t>
            </w:r>
            <w:r w:rsidRPr="002B0F05">
              <w:t>hazard ratio</w:t>
            </w:r>
            <w:r>
              <w:t>)</w:t>
            </w:r>
          </w:p>
        </w:tc>
      </w:tr>
      <w:tr w:rsidR="0053247C" w14:paraId="7CE12C54" w14:textId="77777777" w:rsidTr="00791E09">
        <w:tc>
          <w:tcPr>
            <w:tcW w:w="1815" w:type="dxa"/>
            <w:vAlign w:val="center"/>
          </w:tcPr>
          <w:p w14:paraId="1FE6E071" w14:textId="22E1F6C3" w:rsidR="0053247C" w:rsidRPr="004F6837" w:rsidRDefault="0053247C" w:rsidP="0077403B">
            <w:pPr>
              <w:ind w:firstLine="0"/>
            </w:pPr>
            <w:r w:rsidRPr="00073FB6">
              <w:rPr>
                <w:rFonts w:cs="Times New Roman"/>
              </w:rPr>
              <w:t>IBDQ</w:t>
            </w:r>
          </w:p>
        </w:tc>
        <w:tc>
          <w:tcPr>
            <w:tcW w:w="7478" w:type="dxa"/>
            <w:vAlign w:val="center"/>
          </w:tcPr>
          <w:p w14:paraId="773D11CF" w14:textId="6A95E431" w:rsidR="0053247C" w:rsidRDefault="0053247C" w:rsidP="0077403B">
            <w:pPr>
              <w:ind w:firstLine="0"/>
            </w:pPr>
            <w:r>
              <w:rPr>
                <w:rFonts w:cs="Times New Roman"/>
              </w:rPr>
              <w:t>Опросник для оценки воспалительных заболеваний кишечника (</w:t>
            </w:r>
            <w:r w:rsidRPr="00AF16A2">
              <w:rPr>
                <w:rFonts w:cs="Times New Roman"/>
              </w:rPr>
              <w:t>Inflammatory Bowel Disease Questionnaire</w:t>
            </w:r>
            <w:r>
              <w:rPr>
                <w:rFonts w:cs="Times New Roman"/>
              </w:rPr>
              <w:t>)</w:t>
            </w:r>
          </w:p>
        </w:tc>
      </w:tr>
      <w:tr w:rsidR="00311527" w:rsidRPr="00311527" w14:paraId="4DAD68AA" w14:textId="77777777" w:rsidTr="00791E09">
        <w:tc>
          <w:tcPr>
            <w:tcW w:w="1815" w:type="dxa"/>
            <w:vAlign w:val="center"/>
          </w:tcPr>
          <w:p w14:paraId="4A8585B9" w14:textId="6EB30B80" w:rsidR="00311527" w:rsidRPr="004F6837" w:rsidRDefault="00311527" w:rsidP="0077403B">
            <w:pPr>
              <w:ind w:firstLine="0"/>
            </w:pPr>
            <w:r w:rsidRPr="00F1331B">
              <w:rPr>
                <w:lang w:val="en-US"/>
              </w:rPr>
              <w:t>IC</w:t>
            </w:r>
            <w:r w:rsidRPr="00F1331B">
              <w:rPr>
                <w:vertAlign w:val="subscript"/>
              </w:rPr>
              <w:t>50</w:t>
            </w:r>
          </w:p>
        </w:tc>
        <w:tc>
          <w:tcPr>
            <w:tcW w:w="7478" w:type="dxa"/>
            <w:vAlign w:val="center"/>
          </w:tcPr>
          <w:p w14:paraId="7F67D6EE" w14:textId="5B743F92" w:rsidR="00311527" w:rsidRPr="00311527" w:rsidRDefault="00311527" w:rsidP="0077403B">
            <w:pPr>
              <w:ind w:firstLine="0"/>
            </w:pPr>
            <w:r>
              <w:t>М</w:t>
            </w:r>
            <w:r w:rsidRPr="00F1331B">
              <w:t>едианн</w:t>
            </w:r>
            <w:r>
              <w:t>ая</w:t>
            </w:r>
            <w:r w:rsidRPr="00311527">
              <w:rPr>
                <w:lang w:val="en-US"/>
              </w:rPr>
              <w:t xml:space="preserve"> </w:t>
            </w:r>
            <w:r w:rsidRPr="00F1331B">
              <w:t>ингибирующ</w:t>
            </w:r>
            <w:r>
              <w:t>ая</w:t>
            </w:r>
            <w:r w:rsidRPr="00311527">
              <w:rPr>
                <w:lang w:val="en-US"/>
              </w:rPr>
              <w:t xml:space="preserve"> </w:t>
            </w:r>
            <w:r w:rsidRPr="00F1331B">
              <w:t>концентраци</w:t>
            </w:r>
            <w:r>
              <w:t>я</w:t>
            </w:r>
            <w:r w:rsidRPr="00311527">
              <w:rPr>
                <w:lang w:val="en-US"/>
              </w:rPr>
              <w:t xml:space="preserve"> </w:t>
            </w:r>
            <w:r>
              <w:t>(</w:t>
            </w:r>
            <w:r w:rsidRPr="00F1331B">
              <w:rPr>
                <w:lang w:val="en-US"/>
              </w:rPr>
              <w:t>median</w:t>
            </w:r>
            <w:r w:rsidRPr="00311527">
              <w:rPr>
                <w:lang w:val="en-US"/>
              </w:rPr>
              <w:t xml:space="preserve"> </w:t>
            </w:r>
            <w:r w:rsidRPr="00F1331B">
              <w:rPr>
                <w:lang w:val="en-US"/>
              </w:rPr>
              <w:t>inhibitory</w:t>
            </w:r>
            <w:r w:rsidRPr="00311527">
              <w:rPr>
                <w:lang w:val="en-US"/>
              </w:rPr>
              <w:t xml:space="preserve"> </w:t>
            </w:r>
            <w:r w:rsidRPr="00F1331B">
              <w:rPr>
                <w:lang w:val="en-US"/>
              </w:rPr>
              <w:t>concentration</w:t>
            </w:r>
            <w:r>
              <w:t>)</w:t>
            </w:r>
          </w:p>
        </w:tc>
      </w:tr>
      <w:tr w:rsidR="00FD117F" w:rsidRPr="00311527" w14:paraId="45F7CEBF" w14:textId="77777777" w:rsidTr="00791E09">
        <w:tc>
          <w:tcPr>
            <w:tcW w:w="1815" w:type="dxa"/>
            <w:vAlign w:val="center"/>
          </w:tcPr>
          <w:p w14:paraId="02D19EA0" w14:textId="7E045572" w:rsidR="00FD117F" w:rsidRPr="00F1331B" w:rsidRDefault="00FD117F" w:rsidP="0077403B">
            <w:pPr>
              <w:ind w:firstLine="0"/>
              <w:rPr>
                <w:lang w:val="en-US"/>
              </w:rPr>
            </w:pPr>
            <w:r>
              <w:rPr>
                <w:lang w:val="en-US"/>
              </w:rPr>
              <w:t>IFN</w:t>
            </w:r>
          </w:p>
        </w:tc>
        <w:tc>
          <w:tcPr>
            <w:tcW w:w="7478" w:type="dxa"/>
            <w:vAlign w:val="center"/>
          </w:tcPr>
          <w:p w14:paraId="3EBF24E9" w14:textId="4AFE6394" w:rsidR="00FD117F" w:rsidRPr="00FD117F" w:rsidRDefault="00FD117F" w:rsidP="0077403B">
            <w:pPr>
              <w:ind w:firstLine="0"/>
            </w:pPr>
            <w:r>
              <w:t>Интерферон (</w:t>
            </w:r>
            <w:r>
              <w:rPr>
                <w:lang w:val="en-US"/>
              </w:rPr>
              <w:t>interferon</w:t>
            </w:r>
            <w:r>
              <w:t>)</w:t>
            </w:r>
          </w:p>
        </w:tc>
      </w:tr>
      <w:tr w:rsidR="00C86DF0" w:rsidRPr="00311527" w14:paraId="62A7AD47" w14:textId="77777777" w:rsidTr="00791E09">
        <w:tc>
          <w:tcPr>
            <w:tcW w:w="1815" w:type="dxa"/>
            <w:vAlign w:val="center"/>
          </w:tcPr>
          <w:p w14:paraId="3B816E4C" w14:textId="2FD3AA7B" w:rsidR="00C86DF0" w:rsidRPr="00F1331B" w:rsidRDefault="00C86DF0" w:rsidP="0077403B">
            <w:pPr>
              <w:ind w:firstLine="0"/>
              <w:rPr>
                <w:lang w:val="en-US"/>
              </w:rPr>
            </w:pPr>
            <w:r>
              <w:t>Ig</w:t>
            </w:r>
          </w:p>
        </w:tc>
        <w:tc>
          <w:tcPr>
            <w:tcW w:w="7478" w:type="dxa"/>
            <w:vAlign w:val="center"/>
          </w:tcPr>
          <w:p w14:paraId="6F71250F" w14:textId="67A831A7" w:rsidR="00C86DF0" w:rsidRPr="00C86DF0" w:rsidRDefault="00C86DF0" w:rsidP="0077403B">
            <w:pPr>
              <w:ind w:firstLine="0"/>
            </w:pPr>
            <w:r>
              <w:t xml:space="preserve">Иммуноглобулин </w:t>
            </w:r>
            <w:r w:rsidRPr="00925D56">
              <w:t>(</w:t>
            </w:r>
            <w:r>
              <w:rPr>
                <w:lang w:val="en-US"/>
              </w:rPr>
              <w:t>immunoglobulin</w:t>
            </w:r>
            <w:r>
              <w:t>)</w:t>
            </w:r>
          </w:p>
        </w:tc>
      </w:tr>
      <w:tr w:rsidR="008C1605" w:rsidRPr="00311527" w14:paraId="07088253" w14:textId="77777777" w:rsidTr="00791E09">
        <w:tc>
          <w:tcPr>
            <w:tcW w:w="1815" w:type="dxa"/>
            <w:vAlign w:val="center"/>
          </w:tcPr>
          <w:p w14:paraId="341285AE" w14:textId="2D29FE6E" w:rsidR="008C1605" w:rsidRPr="008C1605" w:rsidRDefault="008C1605" w:rsidP="0077403B">
            <w:pPr>
              <w:ind w:firstLine="0"/>
              <w:rPr>
                <w:lang w:val="en-US"/>
              </w:rPr>
            </w:pPr>
            <w:r>
              <w:rPr>
                <w:lang w:val="en-US"/>
              </w:rPr>
              <w:t>IL</w:t>
            </w:r>
          </w:p>
        </w:tc>
        <w:tc>
          <w:tcPr>
            <w:tcW w:w="7478" w:type="dxa"/>
            <w:vAlign w:val="center"/>
          </w:tcPr>
          <w:p w14:paraId="459F3030" w14:textId="21AF174C" w:rsidR="008C1605" w:rsidRPr="008C1605" w:rsidRDefault="008C1605" w:rsidP="0077403B">
            <w:pPr>
              <w:ind w:firstLine="0"/>
              <w:rPr>
                <w:lang w:val="en-US"/>
              </w:rPr>
            </w:pPr>
            <w:r>
              <w:t>Интерлейкин (</w:t>
            </w:r>
            <w:r>
              <w:rPr>
                <w:lang w:val="en-US"/>
              </w:rPr>
              <w:t>interleukin)</w:t>
            </w:r>
          </w:p>
        </w:tc>
      </w:tr>
      <w:tr w:rsidR="00883634" w:rsidRPr="00311527" w14:paraId="52273F9E" w14:textId="77777777" w:rsidTr="00791E09">
        <w:tc>
          <w:tcPr>
            <w:tcW w:w="1815" w:type="dxa"/>
            <w:vAlign w:val="center"/>
          </w:tcPr>
          <w:p w14:paraId="794578F2" w14:textId="50DDDE58" w:rsidR="00883634" w:rsidRDefault="00883634" w:rsidP="0077403B">
            <w:pPr>
              <w:ind w:firstLine="0"/>
              <w:rPr>
                <w:lang w:val="en-US"/>
              </w:rPr>
            </w:pPr>
            <w:r>
              <w:t>IRR</w:t>
            </w:r>
          </w:p>
        </w:tc>
        <w:tc>
          <w:tcPr>
            <w:tcW w:w="7478" w:type="dxa"/>
            <w:vAlign w:val="center"/>
          </w:tcPr>
          <w:p w14:paraId="793DC7CF" w14:textId="0DF88767" w:rsidR="00883634" w:rsidRDefault="00883634" w:rsidP="0077403B">
            <w:pPr>
              <w:ind w:firstLine="0"/>
            </w:pPr>
            <w:r>
              <w:t>Коэффициент инцидентности (</w:t>
            </w:r>
            <w:r w:rsidRPr="007E2B11">
              <w:t>incident rate ratio</w:t>
            </w:r>
            <w:r>
              <w:t>)</w:t>
            </w:r>
          </w:p>
        </w:tc>
      </w:tr>
      <w:tr w:rsidR="0053247C" w:rsidRPr="00311527" w14:paraId="18028671" w14:textId="77777777" w:rsidTr="00791E09">
        <w:tc>
          <w:tcPr>
            <w:tcW w:w="1815" w:type="dxa"/>
            <w:vAlign w:val="center"/>
          </w:tcPr>
          <w:p w14:paraId="78401BD8" w14:textId="251EBF41" w:rsidR="0053247C" w:rsidRDefault="0053247C" w:rsidP="0053247C">
            <w:pPr>
              <w:ind w:firstLine="0"/>
              <w:rPr>
                <w:lang w:val="en-US"/>
              </w:rPr>
            </w:pPr>
            <w:r w:rsidRPr="004F6837">
              <w:t>JAK</w:t>
            </w:r>
          </w:p>
        </w:tc>
        <w:tc>
          <w:tcPr>
            <w:tcW w:w="7478" w:type="dxa"/>
            <w:vAlign w:val="center"/>
          </w:tcPr>
          <w:p w14:paraId="4E792162" w14:textId="279BE15A" w:rsidR="0053247C" w:rsidRDefault="0053247C" w:rsidP="0053247C">
            <w:pPr>
              <w:ind w:firstLine="0"/>
            </w:pPr>
            <w:r>
              <w:t>Янускиназа (</w:t>
            </w:r>
            <w:r w:rsidRPr="004F6837">
              <w:t>Janus kinase</w:t>
            </w:r>
            <w:r>
              <w:t>)</w:t>
            </w:r>
          </w:p>
        </w:tc>
      </w:tr>
      <w:tr w:rsidR="00886661" w:rsidRPr="00311527" w14:paraId="0EEE38B4" w14:textId="77777777" w:rsidTr="00791E09">
        <w:tc>
          <w:tcPr>
            <w:tcW w:w="1815" w:type="dxa"/>
            <w:vAlign w:val="center"/>
          </w:tcPr>
          <w:p w14:paraId="1CBCC3ED" w14:textId="32E4924F" w:rsidR="00886661" w:rsidRDefault="00886661" w:rsidP="0077403B">
            <w:pPr>
              <w:ind w:firstLine="0"/>
            </w:pPr>
            <w:r>
              <w:rPr>
                <w:lang w:val="en-US"/>
              </w:rPr>
              <w:t>IR</w:t>
            </w:r>
          </w:p>
        </w:tc>
        <w:tc>
          <w:tcPr>
            <w:tcW w:w="7478" w:type="dxa"/>
            <w:vAlign w:val="center"/>
          </w:tcPr>
          <w:p w14:paraId="10B51B8A" w14:textId="7F6B4E66" w:rsidR="00886661" w:rsidRDefault="00886661" w:rsidP="0077403B">
            <w:pPr>
              <w:ind w:firstLine="0"/>
            </w:pPr>
            <w:r>
              <w:t>Немедленное высвобождение (</w:t>
            </w:r>
            <w:r w:rsidRPr="009E04E8">
              <w:t>Immediate Release</w:t>
            </w:r>
            <w:r>
              <w:t>)</w:t>
            </w:r>
          </w:p>
        </w:tc>
      </w:tr>
      <w:tr w:rsidR="002E7CD6" w14:paraId="2AF1B892" w14:textId="77777777" w:rsidTr="00791E09">
        <w:tc>
          <w:tcPr>
            <w:tcW w:w="1815" w:type="dxa"/>
            <w:vAlign w:val="center"/>
          </w:tcPr>
          <w:p w14:paraId="725EF653" w14:textId="0197FA4B" w:rsidR="002E7CD6" w:rsidRPr="004F6837" w:rsidRDefault="002E7CD6" w:rsidP="0077403B">
            <w:pPr>
              <w:ind w:firstLine="0"/>
            </w:pPr>
            <w:r>
              <w:rPr>
                <w:lang w:val="en-US"/>
              </w:rPr>
              <w:t>K</w:t>
            </w:r>
            <w:r w:rsidRPr="00A7464E">
              <w:rPr>
                <w:vertAlign w:val="subscript"/>
                <w:lang w:val="en-US"/>
              </w:rPr>
              <w:t>i</w:t>
            </w:r>
          </w:p>
        </w:tc>
        <w:tc>
          <w:tcPr>
            <w:tcW w:w="7478" w:type="dxa"/>
            <w:vAlign w:val="center"/>
          </w:tcPr>
          <w:p w14:paraId="401CC656" w14:textId="6AD927C5" w:rsidR="002E7CD6" w:rsidRDefault="002E7CD6" w:rsidP="0077403B">
            <w:pPr>
              <w:ind w:firstLine="0"/>
            </w:pPr>
            <w:r>
              <w:t xml:space="preserve">Константа ингибирования </w:t>
            </w:r>
          </w:p>
        </w:tc>
      </w:tr>
      <w:tr w:rsidR="00C91D3E" w:rsidRPr="00C13EBE" w14:paraId="0A55D1B2" w14:textId="77777777" w:rsidTr="00791E09">
        <w:tc>
          <w:tcPr>
            <w:tcW w:w="1815" w:type="dxa"/>
            <w:vAlign w:val="center"/>
          </w:tcPr>
          <w:p w14:paraId="54D1791E" w14:textId="22168A0B" w:rsidR="00C91D3E" w:rsidRDefault="00C91D3E" w:rsidP="0077403B">
            <w:pPr>
              <w:ind w:firstLine="0"/>
              <w:rPr>
                <w:lang w:val="en-US"/>
              </w:rPr>
            </w:pPr>
            <w:r>
              <w:t>KLH</w:t>
            </w:r>
          </w:p>
        </w:tc>
        <w:tc>
          <w:tcPr>
            <w:tcW w:w="7478" w:type="dxa"/>
            <w:vAlign w:val="center"/>
          </w:tcPr>
          <w:p w14:paraId="0320547C" w14:textId="2467A26F" w:rsidR="00C91D3E" w:rsidRPr="00C91D3E" w:rsidRDefault="00C91D3E" w:rsidP="0077403B">
            <w:pPr>
              <w:ind w:firstLine="0"/>
              <w:rPr>
                <w:lang w:val="en-US"/>
              </w:rPr>
            </w:pPr>
            <w:r>
              <w:t>Гемоцианин</w:t>
            </w:r>
            <w:r w:rsidRPr="00C91D3E">
              <w:rPr>
                <w:lang w:val="en-US"/>
              </w:rPr>
              <w:t xml:space="preserve"> </w:t>
            </w:r>
            <w:r>
              <w:t>лимфы</w:t>
            </w:r>
            <w:r w:rsidRPr="00C91D3E">
              <w:rPr>
                <w:lang w:val="en-US"/>
              </w:rPr>
              <w:t xml:space="preserve"> </w:t>
            </w:r>
            <w:r>
              <w:t>улитки</w:t>
            </w:r>
            <w:r w:rsidRPr="00C91D3E">
              <w:rPr>
                <w:lang w:val="en-US"/>
              </w:rPr>
              <w:t xml:space="preserve"> (keyhole limpet hemocyanin)</w:t>
            </w:r>
          </w:p>
        </w:tc>
      </w:tr>
      <w:tr w:rsidR="0038698E" w:rsidRPr="0038698E" w14:paraId="16416D09" w14:textId="77777777" w:rsidTr="00791E09">
        <w:tc>
          <w:tcPr>
            <w:tcW w:w="1815" w:type="dxa"/>
            <w:vAlign w:val="center"/>
          </w:tcPr>
          <w:p w14:paraId="16A7F82A" w14:textId="5A23D35C" w:rsidR="0038698E" w:rsidRDefault="0038698E" w:rsidP="0077403B">
            <w:pPr>
              <w:ind w:firstLine="0"/>
            </w:pPr>
            <w:r>
              <w:t>MACE</w:t>
            </w:r>
          </w:p>
        </w:tc>
        <w:tc>
          <w:tcPr>
            <w:tcW w:w="7478" w:type="dxa"/>
            <w:vAlign w:val="center"/>
          </w:tcPr>
          <w:p w14:paraId="44E81383" w14:textId="5AF31E07" w:rsidR="0038698E" w:rsidRDefault="0038698E" w:rsidP="0077403B">
            <w:pPr>
              <w:ind w:firstLine="0"/>
            </w:pPr>
            <w:r>
              <w:t>Тяжелые нежелательные сердечно-сосудистые явления (</w:t>
            </w:r>
            <w:r w:rsidRPr="006F5551">
              <w:t>major adverse cardiac events</w:t>
            </w:r>
            <w:r>
              <w:t>)</w:t>
            </w:r>
          </w:p>
        </w:tc>
      </w:tr>
      <w:tr w:rsidR="00E90392" w:rsidRPr="00C13EBE" w14:paraId="479F91F3" w14:textId="77777777" w:rsidTr="00791E09">
        <w:tc>
          <w:tcPr>
            <w:tcW w:w="1815" w:type="dxa"/>
            <w:vAlign w:val="center"/>
          </w:tcPr>
          <w:p w14:paraId="43C8A1F4" w14:textId="2DD85BE0" w:rsidR="00E90392" w:rsidRDefault="00E90392" w:rsidP="0077403B">
            <w:pPr>
              <w:ind w:firstLine="0"/>
              <w:rPr>
                <w:lang w:val="en-US"/>
              </w:rPr>
            </w:pPr>
            <w:r w:rsidRPr="00E90392">
              <w:rPr>
                <w:lang w:val="en-US"/>
              </w:rPr>
              <w:t>MDCK</w:t>
            </w:r>
          </w:p>
        </w:tc>
        <w:tc>
          <w:tcPr>
            <w:tcW w:w="7478" w:type="dxa"/>
            <w:vAlign w:val="center"/>
          </w:tcPr>
          <w:p w14:paraId="02F9E3AA" w14:textId="18C77432" w:rsidR="00E90392" w:rsidRPr="0013210A" w:rsidRDefault="00E90392" w:rsidP="0077403B">
            <w:pPr>
              <w:ind w:firstLine="0"/>
              <w:rPr>
                <w:lang w:val="en-US"/>
              </w:rPr>
            </w:pPr>
            <w:r>
              <w:t>Клетки</w:t>
            </w:r>
            <w:r w:rsidRPr="00E90392">
              <w:rPr>
                <w:lang w:val="en-US"/>
              </w:rPr>
              <w:t xml:space="preserve"> </w:t>
            </w:r>
            <w:r>
              <w:t>Мадин</w:t>
            </w:r>
            <w:r w:rsidRPr="00E90392">
              <w:rPr>
                <w:lang w:val="en-US"/>
              </w:rPr>
              <w:t>-</w:t>
            </w:r>
            <w:r>
              <w:t>Дарби</w:t>
            </w:r>
            <w:r w:rsidRPr="00E90392">
              <w:rPr>
                <w:lang w:val="en-US"/>
              </w:rPr>
              <w:t xml:space="preserve"> </w:t>
            </w:r>
            <w:r>
              <w:t>почек</w:t>
            </w:r>
            <w:r w:rsidRPr="00E90392">
              <w:rPr>
                <w:lang w:val="en-US"/>
              </w:rPr>
              <w:t xml:space="preserve"> </w:t>
            </w:r>
            <w:r>
              <w:t>собак</w:t>
            </w:r>
            <w:r w:rsidRPr="00E90392">
              <w:rPr>
                <w:lang w:val="en-US"/>
              </w:rPr>
              <w:t xml:space="preserve"> (Madin-Darby canine kidney</w:t>
            </w:r>
            <w:r w:rsidRPr="0013210A">
              <w:rPr>
                <w:lang w:val="en-US"/>
              </w:rPr>
              <w:t>)</w:t>
            </w:r>
          </w:p>
        </w:tc>
      </w:tr>
      <w:tr w:rsidR="00886661" w:rsidRPr="00886661" w14:paraId="69E3A5CB" w14:textId="77777777" w:rsidTr="00791E09">
        <w:tc>
          <w:tcPr>
            <w:tcW w:w="1815" w:type="dxa"/>
            <w:vAlign w:val="center"/>
          </w:tcPr>
          <w:p w14:paraId="53A36860" w14:textId="790D88E4" w:rsidR="00886661" w:rsidRPr="00E90392" w:rsidRDefault="00886661" w:rsidP="0077403B">
            <w:pPr>
              <w:ind w:firstLine="0"/>
              <w:rPr>
                <w:lang w:val="en-US"/>
              </w:rPr>
            </w:pPr>
            <w:r>
              <w:rPr>
                <w:lang w:val="en-US"/>
              </w:rPr>
              <w:t>MR</w:t>
            </w:r>
          </w:p>
        </w:tc>
        <w:tc>
          <w:tcPr>
            <w:tcW w:w="7478" w:type="dxa"/>
            <w:vAlign w:val="center"/>
          </w:tcPr>
          <w:p w14:paraId="3EE81E6A" w14:textId="6BBA0CF0" w:rsidR="00886661" w:rsidRDefault="00886661" w:rsidP="0077403B">
            <w:pPr>
              <w:ind w:firstLine="0"/>
            </w:pPr>
            <w:r>
              <w:t>Модифицированное высвобождение (Modified</w:t>
            </w:r>
            <w:r w:rsidRPr="009E04E8">
              <w:t xml:space="preserve"> </w:t>
            </w:r>
            <w:r>
              <w:t>Release)</w:t>
            </w:r>
          </w:p>
        </w:tc>
      </w:tr>
      <w:tr w:rsidR="00A27D97" w:rsidRPr="00A27D97" w14:paraId="6B907BF5" w14:textId="77777777" w:rsidTr="00791E09">
        <w:tc>
          <w:tcPr>
            <w:tcW w:w="1815" w:type="dxa"/>
            <w:vAlign w:val="center"/>
          </w:tcPr>
          <w:p w14:paraId="2ABFAF99" w14:textId="5833362A" w:rsidR="00A27D97" w:rsidRPr="00E90392" w:rsidRDefault="00A27D97" w:rsidP="0077403B">
            <w:pPr>
              <w:ind w:firstLine="0"/>
              <w:rPr>
                <w:lang w:val="en-US"/>
              </w:rPr>
            </w:pPr>
            <w:r>
              <w:t>MRT</w:t>
            </w:r>
            <w:r w:rsidRPr="00001EC3">
              <w:rPr>
                <w:vertAlign w:val="subscript"/>
              </w:rPr>
              <w:t>(0-24)</w:t>
            </w:r>
          </w:p>
        </w:tc>
        <w:tc>
          <w:tcPr>
            <w:tcW w:w="7478" w:type="dxa"/>
            <w:vAlign w:val="center"/>
          </w:tcPr>
          <w:p w14:paraId="16C0552E" w14:textId="03C90822" w:rsidR="00A27D97" w:rsidRDefault="00A27D97" w:rsidP="0077403B">
            <w:pPr>
              <w:ind w:firstLine="0"/>
            </w:pPr>
            <w:r>
              <w:t xml:space="preserve">Среднее время удерживания в течение 24 ч </w:t>
            </w:r>
          </w:p>
        </w:tc>
      </w:tr>
      <w:tr w:rsidR="00105465" w:rsidRPr="00A27D97" w14:paraId="37BFE7B7" w14:textId="77777777" w:rsidTr="00791E09">
        <w:tc>
          <w:tcPr>
            <w:tcW w:w="1815" w:type="dxa"/>
            <w:vAlign w:val="center"/>
          </w:tcPr>
          <w:p w14:paraId="1C7C2E9D" w14:textId="326FC28F" w:rsidR="00105465" w:rsidRDefault="00105465" w:rsidP="0077403B">
            <w:pPr>
              <w:ind w:firstLine="0"/>
            </w:pPr>
            <w:r w:rsidRPr="00105465">
              <w:t>mTSS</w:t>
            </w:r>
          </w:p>
        </w:tc>
        <w:tc>
          <w:tcPr>
            <w:tcW w:w="7478" w:type="dxa"/>
            <w:vAlign w:val="center"/>
          </w:tcPr>
          <w:p w14:paraId="63150078" w14:textId="53CEF598" w:rsidR="00105465" w:rsidRDefault="00105465" w:rsidP="0077403B">
            <w:pPr>
              <w:ind w:firstLine="0"/>
            </w:pPr>
            <w:r>
              <w:t>М</w:t>
            </w:r>
            <w:r w:rsidRPr="00105465">
              <w:t>одифицированн</w:t>
            </w:r>
            <w:r>
              <w:t>ый</w:t>
            </w:r>
            <w:r w:rsidRPr="00105465">
              <w:t xml:space="preserve"> счет Шарпа (Total Sharp Score</w:t>
            </w:r>
            <w:r>
              <w:t>)</w:t>
            </w:r>
          </w:p>
        </w:tc>
      </w:tr>
      <w:tr w:rsidR="00BF1E71" w:rsidRPr="00C13EBE" w14:paraId="602DBF94" w14:textId="77777777" w:rsidTr="00791E09">
        <w:tc>
          <w:tcPr>
            <w:tcW w:w="1815" w:type="dxa"/>
            <w:vAlign w:val="center"/>
          </w:tcPr>
          <w:p w14:paraId="78CAE3F6" w14:textId="4537CCE4" w:rsidR="00BF1E71" w:rsidRDefault="00BF1E71" w:rsidP="0077403B">
            <w:pPr>
              <w:ind w:firstLine="0"/>
            </w:pPr>
            <w:r w:rsidRPr="00BF1E71">
              <w:t>NAPSI</w:t>
            </w:r>
          </w:p>
        </w:tc>
        <w:tc>
          <w:tcPr>
            <w:tcW w:w="7478" w:type="dxa"/>
            <w:vAlign w:val="center"/>
          </w:tcPr>
          <w:p w14:paraId="1A984F7A" w14:textId="69AA7138" w:rsidR="00BF1E71" w:rsidRPr="00BF1E71" w:rsidRDefault="00BF1E71" w:rsidP="0077403B">
            <w:pPr>
              <w:ind w:firstLine="0"/>
              <w:rPr>
                <w:lang w:val="en-US"/>
              </w:rPr>
            </w:pPr>
            <w:r>
              <w:t>И</w:t>
            </w:r>
            <w:r w:rsidRPr="00BF1E71">
              <w:t>ндекс</w:t>
            </w:r>
            <w:r w:rsidRPr="00BF1E71">
              <w:rPr>
                <w:lang w:val="en-US"/>
              </w:rPr>
              <w:t xml:space="preserve"> </w:t>
            </w:r>
            <w:r w:rsidRPr="00BF1E71">
              <w:t>тяжести</w:t>
            </w:r>
            <w:r w:rsidRPr="00BF1E71">
              <w:rPr>
                <w:lang w:val="en-US"/>
              </w:rPr>
              <w:t xml:space="preserve"> </w:t>
            </w:r>
            <w:r w:rsidRPr="00BF1E71">
              <w:t>псориаза</w:t>
            </w:r>
            <w:r w:rsidRPr="00BF1E71">
              <w:rPr>
                <w:lang w:val="en-US"/>
              </w:rPr>
              <w:t xml:space="preserve"> </w:t>
            </w:r>
            <w:r w:rsidRPr="00BF1E71">
              <w:t>ногтей</w:t>
            </w:r>
            <w:r w:rsidRPr="00BF1E71">
              <w:rPr>
                <w:lang w:val="en-US"/>
              </w:rPr>
              <w:t xml:space="preserve"> (Nail Psoriasis Severity Index) </w:t>
            </w:r>
          </w:p>
        </w:tc>
      </w:tr>
      <w:tr w:rsidR="00BF1E71" w:rsidRPr="00BF1E71" w14:paraId="1DC0176B" w14:textId="77777777" w:rsidTr="00791E09">
        <w:tc>
          <w:tcPr>
            <w:tcW w:w="1815" w:type="dxa"/>
            <w:vAlign w:val="center"/>
          </w:tcPr>
          <w:p w14:paraId="77D7DD3F" w14:textId="377E8F41" w:rsidR="00BF1E71" w:rsidRPr="00BF1E71" w:rsidRDefault="00BF1E71" w:rsidP="0077403B">
            <w:pPr>
              <w:ind w:firstLine="0"/>
            </w:pPr>
            <w:r w:rsidRPr="00BF1E71">
              <w:t>NAPSI50</w:t>
            </w:r>
          </w:p>
        </w:tc>
        <w:tc>
          <w:tcPr>
            <w:tcW w:w="7478" w:type="dxa"/>
            <w:vAlign w:val="center"/>
          </w:tcPr>
          <w:p w14:paraId="2F4FA6D5" w14:textId="39F13D67" w:rsidR="00BF1E71" w:rsidRDefault="00BF1E71" w:rsidP="0077403B">
            <w:pPr>
              <w:ind w:firstLine="0"/>
            </w:pPr>
            <w:r>
              <w:t>50</w:t>
            </w:r>
            <w:r w:rsidRPr="00BF1E71">
              <w:t xml:space="preserve">% </w:t>
            </w:r>
            <w:r>
              <w:t>улучшение по</w:t>
            </w:r>
            <w:r w:rsidRPr="00BF1E71">
              <w:t xml:space="preserve"> </w:t>
            </w:r>
            <w:r>
              <w:t>И</w:t>
            </w:r>
            <w:r w:rsidRPr="00BF1E71">
              <w:t>ндекс</w:t>
            </w:r>
            <w:r>
              <w:t>у</w:t>
            </w:r>
            <w:r w:rsidRPr="00BF1E71">
              <w:t xml:space="preserve"> тяжести псориаза ногтей (</w:t>
            </w:r>
            <w:r w:rsidRPr="00BF1E71">
              <w:rPr>
                <w:lang w:val="en-US"/>
              </w:rPr>
              <w:t>Nail</w:t>
            </w:r>
            <w:r w:rsidRPr="00BF1E71">
              <w:t xml:space="preserve"> </w:t>
            </w:r>
            <w:r w:rsidRPr="00BF1E71">
              <w:rPr>
                <w:lang w:val="en-US"/>
              </w:rPr>
              <w:t>Psoriasis</w:t>
            </w:r>
            <w:r w:rsidRPr="00BF1E71">
              <w:t xml:space="preserve"> </w:t>
            </w:r>
            <w:r w:rsidRPr="00BF1E71">
              <w:rPr>
                <w:lang w:val="en-US"/>
              </w:rPr>
              <w:t>Severity</w:t>
            </w:r>
            <w:r w:rsidRPr="00BF1E71">
              <w:t xml:space="preserve"> </w:t>
            </w:r>
            <w:r w:rsidRPr="00BF1E71">
              <w:rPr>
                <w:lang w:val="en-US"/>
              </w:rPr>
              <w:t>Index</w:t>
            </w:r>
            <w:r w:rsidRPr="00BF1E71">
              <w:t>)</w:t>
            </w:r>
            <w:r w:rsidR="00383E6F">
              <w:t xml:space="preserve"> </w:t>
            </w:r>
          </w:p>
        </w:tc>
      </w:tr>
      <w:tr w:rsidR="00BF1E71" w:rsidRPr="00BF1E71" w14:paraId="19F48FB2" w14:textId="77777777" w:rsidTr="00791E09">
        <w:tc>
          <w:tcPr>
            <w:tcW w:w="1815" w:type="dxa"/>
            <w:vAlign w:val="center"/>
          </w:tcPr>
          <w:p w14:paraId="08C921A8" w14:textId="308D908E" w:rsidR="00BF1E71" w:rsidRPr="00BF1E71" w:rsidRDefault="00BF1E71" w:rsidP="0077403B">
            <w:pPr>
              <w:ind w:firstLine="0"/>
            </w:pPr>
            <w:r w:rsidRPr="00BF1E71">
              <w:t>NAPSI75</w:t>
            </w:r>
          </w:p>
        </w:tc>
        <w:tc>
          <w:tcPr>
            <w:tcW w:w="7478" w:type="dxa"/>
            <w:vAlign w:val="center"/>
          </w:tcPr>
          <w:p w14:paraId="271CE11B" w14:textId="40F3132D" w:rsidR="00BF1E71" w:rsidRDefault="00BF1E71" w:rsidP="0077403B">
            <w:pPr>
              <w:ind w:firstLine="0"/>
            </w:pPr>
            <w:r>
              <w:t>75</w:t>
            </w:r>
            <w:r w:rsidRPr="00BF1E71">
              <w:t xml:space="preserve">% </w:t>
            </w:r>
            <w:r>
              <w:t>улучшение по</w:t>
            </w:r>
            <w:r w:rsidRPr="00BF1E71">
              <w:t xml:space="preserve"> </w:t>
            </w:r>
            <w:r>
              <w:t>И</w:t>
            </w:r>
            <w:r w:rsidRPr="00BF1E71">
              <w:t>ндекс</w:t>
            </w:r>
            <w:r>
              <w:t>у</w:t>
            </w:r>
            <w:r w:rsidRPr="00BF1E71">
              <w:t xml:space="preserve"> тяжести псориаза ногтей (</w:t>
            </w:r>
            <w:r w:rsidRPr="00BF1E71">
              <w:rPr>
                <w:lang w:val="en-US"/>
              </w:rPr>
              <w:t>Nail</w:t>
            </w:r>
            <w:r w:rsidRPr="00BF1E71">
              <w:t xml:space="preserve"> </w:t>
            </w:r>
            <w:r w:rsidRPr="00BF1E71">
              <w:rPr>
                <w:lang w:val="en-US"/>
              </w:rPr>
              <w:t>Psoriasis</w:t>
            </w:r>
            <w:r w:rsidRPr="00BF1E71">
              <w:t xml:space="preserve"> </w:t>
            </w:r>
            <w:r w:rsidRPr="00BF1E71">
              <w:rPr>
                <w:lang w:val="en-US"/>
              </w:rPr>
              <w:t>Severity</w:t>
            </w:r>
            <w:r w:rsidRPr="00BF1E71">
              <w:t xml:space="preserve"> </w:t>
            </w:r>
            <w:r w:rsidRPr="00BF1E71">
              <w:rPr>
                <w:lang w:val="en-US"/>
              </w:rPr>
              <w:t>Index</w:t>
            </w:r>
            <w:r w:rsidRPr="00BF1E71">
              <w:t>)</w:t>
            </w:r>
            <w:r w:rsidR="00383E6F">
              <w:t xml:space="preserve"> </w:t>
            </w:r>
          </w:p>
        </w:tc>
      </w:tr>
      <w:tr w:rsidR="00BF1E71" w:rsidRPr="00BF1E71" w14:paraId="48300DA1" w14:textId="77777777" w:rsidTr="00791E09">
        <w:tc>
          <w:tcPr>
            <w:tcW w:w="1815" w:type="dxa"/>
            <w:vAlign w:val="center"/>
          </w:tcPr>
          <w:p w14:paraId="1635ED97" w14:textId="293AD28A" w:rsidR="00BF1E71" w:rsidRPr="00BF1E71" w:rsidRDefault="00BF1E71" w:rsidP="0077403B">
            <w:pPr>
              <w:ind w:firstLine="0"/>
            </w:pPr>
            <w:r w:rsidRPr="00BF1E71">
              <w:t>NAPSI100</w:t>
            </w:r>
          </w:p>
        </w:tc>
        <w:tc>
          <w:tcPr>
            <w:tcW w:w="7478" w:type="dxa"/>
            <w:vAlign w:val="center"/>
          </w:tcPr>
          <w:p w14:paraId="2DE869D0" w14:textId="7BD99824" w:rsidR="00BF1E71" w:rsidRDefault="00BF1E71" w:rsidP="0077403B">
            <w:pPr>
              <w:ind w:firstLine="0"/>
            </w:pPr>
            <w:r>
              <w:t>100</w:t>
            </w:r>
            <w:r w:rsidRPr="00BF1E71">
              <w:t xml:space="preserve">% </w:t>
            </w:r>
            <w:r>
              <w:t>улучшение по</w:t>
            </w:r>
            <w:r w:rsidRPr="00BF1E71">
              <w:t xml:space="preserve"> </w:t>
            </w:r>
            <w:r>
              <w:t>И</w:t>
            </w:r>
            <w:r w:rsidRPr="00BF1E71">
              <w:t>ндекс</w:t>
            </w:r>
            <w:r>
              <w:t>у</w:t>
            </w:r>
            <w:r w:rsidRPr="00BF1E71">
              <w:t xml:space="preserve"> тяжести псориаза ногтей (</w:t>
            </w:r>
            <w:r w:rsidRPr="00BF1E71">
              <w:rPr>
                <w:lang w:val="en-US"/>
              </w:rPr>
              <w:t>Nail</w:t>
            </w:r>
            <w:r w:rsidRPr="00BF1E71">
              <w:t xml:space="preserve"> </w:t>
            </w:r>
            <w:r w:rsidRPr="00BF1E71">
              <w:rPr>
                <w:lang w:val="en-US"/>
              </w:rPr>
              <w:t>Psoriasis</w:t>
            </w:r>
            <w:r w:rsidRPr="00BF1E71">
              <w:t xml:space="preserve"> </w:t>
            </w:r>
            <w:r w:rsidRPr="00BF1E71">
              <w:rPr>
                <w:lang w:val="en-US"/>
              </w:rPr>
              <w:t>Severity</w:t>
            </w:r>
            <w:r w:rsidRPr="00BF1E71">
              <w:t xml:space="preserve"> </w:t>
            </w:r>
            <w:r w:rsidRPr="00BF1E71">
              <w:rPr>
                <w:lang w:val="en-US"/>
              </w:rPr>
              <w:t>Index</w:t>
            </w:r>
            <w:r w:rsidRPr="00BF1E71">
              <w:t>)</w:t>
            </w:r>
            <w:r w:rsidR="00383E6F">
              <w:t xml:space="preserve"> </w:t>
            </w:r>
          </w:p>
        </w:tc>
      </w:tr>
      <w:tr w:rsidR="003B2E04" w:rsidRPr="003B2E04" w14:paraId="5CDC25A7" w14:textId="77777777" w:rsidTr="00791E09">
        <w:tc>
          <w:tcPr>
            <w:tcW w:w="1815" w:type="dxa"/>
            <w:vAlign w:val="center"/>
          </w:tcPr>
          <w:p w14:paraId="739672E4" w14:textId="7368A687" w:rsidR="003B2E04" w:rsidRPr="00E90392" w:rsidRDefault="003B2E04" w:rsidP="0077403B">
            <w:pPr>
              <w:ind w:firstLine="0"/>
              <w:rPr>
                <w:lang w:val="en-US"/>
              </w:rPr>
            </w:pPr>
            <w:r>
              <w:t>NK</w:t>
            </w:r>
          </w:p>
        </w:tc>
        <w:tc>
          <w:tcPr>
            <w:tcW w:w="7478" w:type="dxa"/>
            <w:vAlign w:val="center"/>
          </w:tcPr>
          <w:p w14:paraId="6DC29507" w14:textId="7D6ED6CD" w:rsidR="003B2E04" w:rsidRPr="003B2E04" w:rsidRDefault="003B2E04" w:rsidP="0077403B">
            <w:pPr>
              <w:ind w:firstLine="0"/>
            </w:pPr>
            <w:r>
              <w:t>Естественный киллер (</w:t>
            </w:r>
            <w:r>
              <w:rPr>
                <w:lang w:val="en-US"/>
              </w:rPr>
              <w:t>natural</w:t>
            </w:r>
            <w:r w:rsidRPr="003A1A97">
              <w:t xml:space="preserve"> </w:t>
            </w:r>
            <w:r>
              <w:rPr>
                <w:lang w:val="en-US"/>
              </w:rPr>
              <w:t>killer</w:t>
            </w:r>
            <w:r>
              <w:t>)</w:t>
            </w:r>
          </w:p>
        </w:tc>
      </w:tr>
      <w:tr w:rsidR="006717BC" w:rsidRPr="006717BC" w14:paraId="20214903" w14:textId="77777777" w:rsidTr="00791E09">
        <w:tc>
          <w:tcPr>
            <w:tcW w:w="1815" w:type="dxa"/>
            <w:vAlign w:val="center"/>
          </w:tcPr>
          <w:p w14:paraId="258A890F" w14:textId="46705297" w:rsidR="006717BC" w:rsidRPr="00E90392" w:rsidRDefault="006717BC" w:rsidP="0077403B">
            <w:pPr>
              <w:ind w:firstLine="0"/>
              <w:rPr>
                <w:lang w:val="en-US"/>
              </w:rPr>
            </w:pPr>
            <w:r>
              <w:rPr>
                <w:lang w:val="en-US"/>
              </w:rPr>
              <w:t>NOAEL</w:t>
            </w:r>
          </w:p>
        </w:tc>
        <w:tc>
          <w:tcPr>
            <w:tcW w:w="7478" w:type="dxa"/>
            <w:vAlign w:val="center"/>
          </w:tcPr>
          <w:p w14:paraId="4EB8BC6C" w14:textId="33C46463" w:rsidR="006717BC" w:rsidRDefault="006717BC" w:rsidP="0077403B">
            <w:pPr>
              <w:ind w:firstLine="0"/>
            </w:pPr>
            <w:r w:rsidRPr="00BA7782">
              <w:t>Доз</w:t>
            </w:r>
            <w:r>
              <w:t>а</w:t>
            </w:r>
            <w:r w:rsidRPr="00BA7782">
              <w:t>, не оказывающая явного нежелательного действия (no observed adverse effect level</w:t>
            </w:r>
            <w:r>
              <w:t>)</w:t>
            </w:r>
          </w:p>
        </w:tc>
      </w:tr>
      <w:tr w:rsidR="00BF1E71" w:rsidRPr="00C13EBE" w14:paraId="31B4895C" w14:textId="77777777" w:rsidTr="00791E09">
        <w:tc>
          <w:tcPr>
            <w:tcW w:w="1815" w:type="dxa"/>
            <w:vAlign w:val="center"/>
          </w:tcPr>
          <w:p w14:paraId="6A55C43A" w14:textId="3441D64C" w:rsidR="00BF1E71" w:rsidRDefault="00BF1E71" w:rsidP="00BF1E71">
            <w:pPr>
              <w:ind w:firstLine="0"/>
              <w:rPr>
                <w:lang w:val="en-US"/>
              </w:rPr>
            </w:pPr>
            <w:r w:rsidRPr="00997F23">
              <w:t>PASI</w:t>
            </w:r>
          </w:p>
        </w:tc>
        <w:tc>
          <w:tcPr>
            <w:tcW w:w="7478" w:type="dxa"/>
            <w:vAlign w:val="center"/>
          </w:tcPr>
          <w:p w14:paraId="7755CD5E" w14:textId="18158158" w:rsidR="00BF1E71" w:rsidRPr="00BF1E71" w:rsidRDefault="00BF1E71" w:rsidP="00BF1E71">
            <w:pPr>
              <w:ind w:firstLine="0"/>
              <w:rPr>
                <w:lang w:val="en-US"/>
              </w:rPr>
            </w:pPr>
            <w:r>
              <w:t>Улучшение</w:t>
            </w:r>
            <w:r w:rsidRPr="00BF1E71">
              <w:rPr>
                <w:lang w:val="en-US"/>
              </w:rPr>
              <w:t xml:space="preserve"> </w:t>
            </w:r>
            <w:r>
              <w:t>и</w:t>
            </w:r>
            <w:r w:rsidRPr="00997F23">
              <w:t>ндекса</w:t>
            </w:r>
            <w:r w:rsidRPr="00997F23">
              <w:rPr>
                <w:lang w:val="en-US"/>
              </w:rPr>
              <w:t xml:space="preserve"> </w:t>
            </w:r>
            <w:r w:rsidRPr="00997F23">
              <w:t>площади</w:t>
            </w:r>
            <w:r w:rsidRPr="00997F23">
              <w:rPr>
                <w:lang w:val="en-US"/>
              </w:rPr>
              <w:t xml:space="preserve"> </w:t>
            </w:r>
            <w:r w:rsidRPr="00997F23">
              <w:t>и</w:t>
            </w:r>
            <w:r w:rsidRPr="00997F23">
              <w:rPr>
                <w:lang w:val="en-US"/>
              </w:rPr>
              <w:t xml:space="preserve"> </w:t>
            </w:r>
            <w:r w:rsidRPr="00997F23">
              <w:t>тяжести</w:t>
            </w:r>
            <w:r w:rsidRPr="00997F23">
              <w:rPr>
                <w:lang w:val="en-US"/>
              </w:rPr>
              <w:t xml:space="preserve"> </w:t>
            </w:r>
            <w:r w:rsidRPr="00997F23">
              <w:t>псориаза</w:t>
            </w:r>
            <w:r w:rsidRPr="00997F23">
              <w:rPr>
                <w:lang w:val="en-US"/>
              </w:rPr>
              <w:t xml:space="preserve"> (Psoriasis Area and Severity Index)</w:t>
            </w:r>
          </w:p>
        </w:tc>
      </w:tr>
      <w:tr w:rsidR="00997F23" w:rsidRPr="00C13EBE" w14:paraId="31E9FCDC" w14:textId="77777777" w:rsidTr="00791E09">
        <w:tc>
          <w:tcPr>
            <w:tcW w:w="1815" w:type="dxa"/>
            <w:vAlign w:val="center"/>
          </w:tcPr>
          <w:p w14:paraId="3983C208" w14:textId="5AF08323" w:rsidR="00997F23" w:rsidRDefault="00997F23" w:rsidP="0077403B">
            <w:pPr>
              <w:ind w:firstLine="0"/>
              <w:rPr>
                <w:lang w:val="en-US"/>
              </w:rPr>
            </w:pPr>
            <w:r w:rsidRPr="00997F23">
              <w:lastRenderedPageBreak/>
              <w:t>PASI75</w:t>
            </w:r>
          </w:p>
        </w:tc>
        <w:tc>
          <w:tcPr>
            <w:tcW w:w="7478" w:type="dxa"/>
            <w:vAlign w:val="center"/>
          </w:tcPr>
          <w:p w14:paraId="0EB78806" w14:textId="7AF9BEAE" w:rsidR="00997F23" w:rsidRPr="00997F23" w:rsidRDefault="00BF1E71" w:rsidP="0077403B">
            <w:pPr>
              <w:ind w:firstLine="0"/>
              <w:rPr>
                <w:lang w:val="en-US"/>
              </w:rPr>
            </w:pPr>
            <w:r w:rsidRPr="00BF1E71">
              <w:rPr>
                <w:lang w:val="en-US"/>
              </w:rPr>
              <w:t xml:space="preserve">75% </w:t>
            </w:r>
            <w:r>
              <w:t>улучшение</w:t>
            </w:r>
            <w:r w:rsidRPr="00BF1E71">
              <w:rPr>
                <w:lang w:val="en-US"/>
              </w:rPr>
              <w:t xml:space="preserve"> </w:t>
            </w:r>
            <w:r>
              <w:t>и</w:t>
            </w:r>
            <w:r w:rsidR="00997F23" w:rsidRPr="00997F23">
              <w:t>ндекса</w:t>
            </w:r>
            <w:r w:rsidR="00997F23" w:rsidRPr="00997F23">
              <w:rPr>
                <w:lang w:val="en-US"/>
              </w:rPr>
              <w:t xml:space="preserve"> </w:t>
            </w:r>
            <w:r w:rsidR="00997F23" w:rsidRPr="00997F23">
              <w:t>площади</w:t>
            </w:r>
            <w:r w:rsidR="00997F23" w:rsidRPr="00997F23">
              <w:rPr>
                <w:lang w:val="en-US"/>
              </w:rPr>
              <w:t xml:space="preserve"> </w:t>
            </w:r>
            <w:r w:rsidR="00997F23" w:rsidRPr="00997F23">
              <w:t>и</w:t>
            </w:r>
            <w:r w:rsidR="00997F23" w:rsidRPr="00997F23">
              <w:rPr>
                <w:lang w:val="en-US"/>
              </w:rPr>
              <w:t xml:space="preserve"> </w:t>
            </w:r>
            <w:r w:rsidR="00997F23" w:rsidRPr="00997F23">
              <w:t>тяжести</w:t>
            </w:r>
            <w:r w:rsidR="00997F23" w:rsidRPr="00997F23">
              <w:rPr>
                <w:lang w:val="en-US"/>
              </w:rPr>
              <w:t xml:space="preserve"> </w:t>
            </w:r>
            <w:r w:rsidR="00997F23" w:rsidRPr="00997F23">
              <w:t>псориаза</w:t>
            </w:r>
            <w:r w:rsidR="00997F23" w:rsidRPr="00997F23">
              <w:rPr>
                <w:lang w:val="en-US"/>
              </w:rPr>
              <w:t xml:space="preserve"> (Psoriasis Area and Severity Index)</w:t>
            </w:r>
          </w:p>
        </w:tc>
      </w:tr>
      <w:tr w:rsidR="00442C7A" w:rsidRPr="00C13EBE" w14:paraId="7725118D" w14:textId="77777777" w:rsidTr="00791E09">
        <w:tc>
          <w:tcPr>
            <w:tcW w:w="1815" w:type="dxa"/>
            <w:vAlign w:val="center"/>
          </w:tcPr>
          <w:p w14:paraId="375F9407" w14:textId="617DFD05" w:rsidR="00442C7A" w:rsidRDefault="00442C7A" w:rsidP="0077403B">
            <w:pPr>
              <w:ind w:firstLine="0"/>
              <w:rPr>
                <w:lang w:val="en-US"/>
              </w:rPr>
            </w:pPr>
            <w:r w:rsidRPr="00442C7A">
              <w:rPr>
                <w:lang w:val="en-US"/>
              </w:rPr>
              <w:t>PBMC</w:t>
            </w:r>
          </w:p>
        </w:tc>
        <w:tc>
          <w:tcPr>
            <w:tcW w:w="7478" w:type="dxa"/>
            <w:vAlign w:val="center"/>
          </w:tcPr>
          <w:p w14:paraId="68BEB4A5" w14:textId="1B614531" w:rsidR="00442C7A" w:rsidRPr="00442C7A" w:rsidRDefault="00442C7A" w:rsidP="0077403B">
            <w:pPr>
              <w:ind w:firstLine="0"/>
              <w:rPr>
                <w:lang w:val="en-US"/>
              </w:rPr>
            </w:pPr>
            <w:r>
              <w:t>М</w:t>
            </w:r>
            <w:r w:rsidRPr="00442C7A">
              <w:t>ононуклеарны</w:t>
            </w:r>
            <w:r>
              <w:t>е</w:t>
            </w:r>
            <w:r w:rsidRPr="00442C7A">
              <w:rPr>
                <w:lang w:val="en-US"/>
              </w:rPr>
              <w:t xml:space="preserve"> </w:t>
            </w:r>
            <w:r w:rsidRPr="00442C7A">
              <w:t>клет</w:t>
            </w:r>
            <w:r>
              <w:t>ки</w:t>
            </w:r>
            <w:r w:rsidRPr="00442C7A">
              <w:rPr>
                <w:lang w:val="en-US"/>
              </w:rPr>
              <w:t xml:space="preserve"> </w:t>
            </w:r>
            <w:r w:rsidRPr="00442C7A">
              <w:t>периферической</w:t>
            </w:r>
            <w:r w:rsidRPr="00442C7A">
              <w:rPr>
                <w:lang w:val="en-US"/>
              </w:rPr>
              <w:t xml:space="preserve"> </w:t>
            </w:r>
            <w:r w:rsidRPr="00442C7A">
              <w:t>крови</w:t>
            </w:r>
            <w:r w:rsidRPr="00442C7A">
              <w:rPr>
                <w:lang w:val="en-US"/>
              </w:rPr>
              <w:t xml:space="preserve"> (peripheral blood mononuclear cells)</w:t>
            </w:r>
          </w:p>
        </w:tc>
      </w:tr>
      <w:tr w:rsidR="00997F23" w:rsidRPr="00C13EBE" w14:paraId="1983693C" w14:textId="77777777" w:rsidTr="00791E09">
        <w:tc>
          <w:tcPr>
            <w:tcW w:w="1815" w:type="dxa"/>
            <w:vAlign w:val="center"/>
          </w:tcPr>
          <w:p w14:paraId="6A3FDE5B" w14:textId="3E117A16" w:rsidR="00997F23" w:rsidRPr="00442C7A" w:rsidRDefault="00997F23" w:rsidP="0077403B">
            <w:pPr>
              <w:ind w:firstLine="0"/>
              <w:rPr>
                <w:lang w:val="en-US"/>
              </w:rPr>
            </w:pPr>
            <w:r w:rsidRPr="00997F23">
              <w:rPr>
                <w:lang w:val="en-US"/>
              </w:rPr>
              <w:t>PGA</w:t>
            </w:r>
          </w:p>
        </w:tc>
        <w:tc>
          <w:tcPr>
            <w:tcW w:w="7478" w:type="dxa"/>
            <w:vAlign w:val="center"/>
          </w:tcPr>
          <w:p w14:paraId="2F4231F6" w14:textId="5D14BB05" w:rsidR="00997F23" w:rsidRPr="00997F23" w:rsidRDefault="00997F23" w:rsidP="0077403B">
            <w:pPr>
              <w:ind w:firstLine="0"/>
              <w:rPr>
                <w:lang w:val="en-US"/>
              </w:rPr>
            </w:pPr>
            <w:r w:rsidRPr="00997F23">
              <w:t>Общ</w:t>
            </w:r>
            <w:r>
              <w:t>ая</w:t>
            </w:r>
            <w:r w:rsidRPr="00997F23">
              <w:rPr>
                <w:lang w:val="en-US"/>
              </w:rPr>
              <w:t xml:space="preserve"> </w:t>
            </w:r>
            <w:r w:rsidRPr="00997F23">
              <w:t>оценк</w:t>
            </w:r>
            <w:r>
              <w:t>а</w:t>
            </w:r>
            <w:r w:rsidRPr="00997F23">
              <w:rPr>
                <w:lang w:val="en-US"/>
              </w:rPr>
              <w:t xml:space="preserve"> </w:t>
            </w:r>
            <w:r w:rsidRPr="00997F23">
              <w:t>врачом</w:t>
            </w:r>
            <w:r w:rsidRPr="00997F23">
              <w:rPr>
                <w:lang w:val="en-US"/>
              </w:rPr>
              <w:t xml:space="preserve"> (Physician’s Global Assessment)</w:t>
            </w:r>
          </w:p>
        </w:tc>
      </w:tr>
      <w:tr w:rsidR="00B06D6D" w:rsidRPr="007647D9" w14:paraId="11A638DD" w14:textId="77777777" w:rsidTr="00791E09">
        <w:tc>
          <w:tcPr>
            <w:tcW w:w="1815" w:type="dxa"/>
            <w:vAlign w:val="center"/>
          </w:tcPr>
          <w:p w14:paraId="6B5B99B9" w14:textId="65E6A297" w:rsidR="00B06D6D" w:rsidRPr="00442C7A" w:rsidRDefault="00B06D6D" w:rsidP="0077403B">
            <w:pPr>
              <w:ind w:firstLine="0"/>
              <w:rPr>
                <w:lang w:val="en-US"/>
              </w:rPr>
            </w:pPr>
            <w:r w:rsidRPr="003A41F8">
              <w:t>PRL</w:t>
            </w:r>
          </w:p>
        </w:tc>
        <w:tc>
          <w:tcPr>
            <w:tcW w:w="7478" w:type="dxa"/>
            <w:vAlign w:val="center"/>
          </w:tcPr>
          <w:p w14:paraId="34252FC4" w14:textId="332731D4" w:rsidR="00B06D6D" w:rsidRDefault="00B06D6D" w:rsidP="0077403B">
            <w:pPr>
              <w:ind w:firstLine="0"/>
            </w:pPr>
            <w:r>
              <w:t>Пролактин (</w:t>
            </w:r>
            <w:r w:rsidRPr="003A41F8">
              <w:t>prolactin</w:t>
            </w:r>
            <w:r>
              <w:t>)</w:t>
            </w:r>
          </w:p>
        </w:tc>
      </w:tr>
      <w:tr w:rsidR="00AA313D" w:rsidRPr="00264A99" w14:paraId="706132C2" w14:textId="77777777" w:rsidTr="00791E09">
        <w:tc>
          <w:tcPr>
            <w:tcW w:w="1815" w:type="dxa"/>
            <w:vAlign w:val="center"/>
          </w:tcPr>
          <w:p w14:paraId="78198B36" w14:textId="0917BC05" w:rsidR="00AA313D" w:rsidRPr="00264A99" w:rsidRDefault="00AA313D" w:rsidP="0077403B">
            <w:pPr>
              <w:ind w:firstLine="0"/>
              <w:rPr>
                <w:lang w:val="en-US"/>
              </w:rPr>
            </w:pPr>
            <w:r w:rsidRPr="00087720">
              <w:rPr>
                <w:rFonts w:cs="Times New Roman"/>
              </w:rPr>
              <w:t>RR</w:t>
            </w:r>
          </w:p>
        </w:tc>
        <w:tc>
          <w:tcPr>
            <w:tcW w:w="7478" w:type="dxa"/>
            <w:vAlign w:val="center"/>
          </w:tcPr>
          <w:p w14:paraId="06FE99DC" w14:textId="282AA251" w:rsidR="00AA313D" w:rsidRDefault="00AA313D" w:rsidP="0077403B">
            <w:pPr>
              <w:ind w:firstLine="0"/>
            </w:pPr>
            <w:r>
              <w:t>Относительный риск (</w:t>
            </w:r>
            <w:r w:rsidRPr="00087720">
              <w:rPr>
                <w:rFonts w:cs="Times New Roman"/>
              </w:rPr>
              <w:t>relative risk</w:t>
            </w:r>
            <w:r>
              <w:rPr>
                <w:rFonts w:cs="Times New Roman"/>
              </w:rPr>
              <w:t>)</w:t>
            </w:r>
          </w:p>
        </w:tc>
      </w:tr>
      <w:tr w:rsidR="00264A99" w:rsidRPr="00264A99" w14:paraId="440B9074" w14:textId="77777777" w:rsidTr="00791E09">
        <w:tc>
          <w:tcPr>
            <w:tcW w:w="1815" w:type="dxa"/>
            <w:vAlign w:val="center"/>
          </w:tcPr>
          <w:p w14:paraId="52381EB4" w14:textId="316763E0" w:rsidR="00264A99" w:rsidRPr="003A41F8" w:rsidRDefault="00264A99" w:rsidP="0077403B">
            <w:pPr>
              <w:ind w:firstLine="0"/>
            </w:pPr>
            <w:r w:rsidRPr="00264A99">
              <w:rPr>
                <w:lang w:val="en-US"/>
              </w:rPr>
              <w:t>PtGA</w:t>
            </w:r>
          </w:p>
        </w:tc>
        <w:tc>
          <w:tcPr>
            <w:tcW w:w="7478" w:type="dxa"/>
            <w:vAlign w:val="center"/>
          </w:tcPr>
          <w:p w14:paraId="4DFED3AE" w14:textId="6EDA6563" w:rsidR="00264A99" w:rsidRPr="00264A99" w:rsidRDefault="00264A99" w:rsidP="0077403B">
            <w:pPr>
              <w:ind w:firstLine="0"/>
            </w:pPr>
            <w:r>
              <w:t>Шкала</w:t>
            </w:r>
            <w:r w:rsidRPr="00264A99">
              <w:rPr>
                <w:lang w:val="en-US"/>
              </w:rPr>
              <w:t xml:space="preserve"> </w:t>
            </w:r>
            <w:r>
              <w:t>общей</w:t>
            </w:r>
            <w:r w:rsidRPr="00264A99">
              <w:rPr>
                <w:lang w:val="en-US"/>
              </w:rPr>
              <w:t xml:space="preserve"> </w:t>
            </w:r>
            <w:r>
              <w:t>оценки</w:t>
            </w:r>
            <w:r w:rsidRPr="00264A99">
              <w:rPr>
                <w:lang w:val="en-US"/>
              </w:rPr>
              <w:t xml:space="preserve"> </w:t>
            </w:r>
            <w:r>
              <w:t>пациентом</w:t>
            </w:r>
            <w:r w:rsidRPr="00264A99">
              <w:rPr>
                <w:lang w:val="en-US"/>
              </w:rPr>
              <w:t xml:space="preserve"> </w:t>
            </w:r>
            <w:r>
              <w:t>заболевания</w:t>
            </w:r>
            <w:r w:rsidRPr="00264A99">
              <w:rPr>
                <w:lang w:val="en-US"/>
              </w:rPr>
              <w:t xml:space="preserve"> (Patient Global Assessment of disease</w:t>
            </w:r>
            <w:r>
              <w:t>)</w:t>
            </w:r>
          </w:p>
        </w:tc>
      </w:tr>
      <w:tr w:rsidR="00EA4F11" w:rsidRPr="00EA4F11" w14:paraId="2D293E57" w14:textId="77777777" w:rsidTr="00791E09">
        <w:tc>
          <w:tcPr>
            <w:tcW w:w="1815" w:type="dxa"/>
            <w:vAlign w:val="center"/>
          </w:tcPr>
          <w:p w14:paraId="7561BB9B" w14:textId="59BA0299" w:rsidR="00EA4F11" w:rsidRPr="00264A99" w:rsidRDefault="00EA4F11" w:rsidP="0077403B">
            <w:pPr>
              <w:ind w:firstLine="0"/>
              <w:rPr>
                <w:lang w:val="en-US"/>
              </w:rPr>
            </w:pPr>
            <w:r w:rsidRPr="00E31BF9">
              <w:t>SF-36</w:t>
            </w:r>
          </w:p>
        </w:tc>
        <w:tc>
          <w:tcPr>
            <w:tcW w:w="7478" w:type="dxa"/>
            <w:vAlign w:val="center"/>
          </w:tcPr>
          <w:p w14:paraId="416725FD" w14:textId="4E2E8669" w:rsidR="00EA4F11" w:rsidRDefault="00EA4F11" w:rsidP="0077403B">
            <w:pPr>
              <w:ind w:firstLine="0"/>
            </w:pPr>
            <w:r>
              <w:t>Краткая форма шкалы оценки качества жизни, состоящей из 36 пунктов (</w:t>
            </w:r>
            <w:r w:rsidRPr="00E31BF9">
              <w:t>Short Form</w:t>
            </w:r>
            <w:r>
              <w:t xml:space="preserve"> </w:t>
            </w:r>
            <w:r w:rsidRPr="00E31BF9">
              <w:t>36</w:t>
            </w:r>
            <w:r>
              <w:t xml:space="preserve"> </w:t>
            </w:r>
            <w:r>
              <w:rPr>
                <w:lang w:val="en-US"/>
              </w:rPr>
              <w:t>item</w:t>
            </w:r>
            <w:r>
              <w:t>)</w:t>
            </w:r>
          </w:p>
        </w:tc>
      </w:tr>
      <w:tr w:rsidR="00F342A6" w:rsidRPr="00EA4F11" w14:paraId="49E1AF05" w14:textId="77777777" w:rsidTr="00791E09">
        <w:tc>
          <w:tcPr>
            <w:tcW w:w="1815" w:type="dxa"/>
            <w:vAlign w:val="center"/>
          </w:tcPr>
          <w:p w14:paraId="4F0DA457" w14:textId="5BF58239" w:rsidR="00F342A6" w:rsidRPr="00E31BF9" w:rsidRDefault="00F342A6" w:rsidP="0077403B">
            <w:pPr>
              <w:ind w:firstLine="0"/>
            </w:pPr>
            <w:r>
              <w:t>SF-36v2</w:t>
            </w:r>
          </w:p>
        </w:tc>
        <w:tc>
          <w:tcPr>
            <w:tcW w:w="7478" w:type="dxa"/>
            <w:vAlign w:val="center"/>
          </w:tcPr>
          <w:p w14:paraId="59666FF3" w14:textId="2C43B840" w:rsidR="00F342A6" w:rsidRDefault="00F342A6" w:rsidP="0077403B">
            <w:pPr>
              <w:ind w:firstLine="0"/>
            </w:pPr>
            <w:r w:rsidRPr="009626D6">
              <w:t>Кратк</w:t>
            </w:r>
            <w:r>
              <w:t>ая</w:t>
            </w:r>
            <w:r w:rsidRPr="009626D6">
              <w:t xml:space="preserve"> форм</w:t>
            </w:r>
            <w:r>
              <w:t>а</w:t>
            </w:r>
            <w:r w:rsidRPr="009626D6">
              <w:t xml:space="preserve"> шкалы оценки качества жизни, состоящей из 36 пунктов </w:t>
            </w:r>
            <w:r>
              <w:t xml:space="preserve">версия 2 </w:t>
            </w:r>
            <w:r w:rsidRPr="009626D6">
              <w:t>(Short Form item</w:t>
            </w:r>
            <w:r>
              <w:t xml:space="preserve"> </w:t>
            </w:r>
            <w:r w:rsidRPr="009626D6">
              <w:t xml:space="preserve">36 </w:t>
            </w:r>
            <w:r>
              <w:rPr>
                <w:lang w:val="en-US"/>
              </w:rPr>
              <w:t>version</w:t>
            </w:r>
            <w:r w:rsidRPr="00F342A6">
              <w:t xml:space="preserve"> 2</w:t>
            </w:r>
            <w:r>
              <w:t>)</w:t>
            </w:r>
          </w:p>
        </w:tc>
      </w:tr>
      <w:tr w:rsidR="00283B2E" w:rsidRPr="00C13EBE" w14:paraId="0BF4E368" w14:textId="77777777" w:rsidTr="00791E09">
        <w:tc>
          <w:tcPr>
            <w:tcW w:w="1815" w:type="dxa"/>
            <w:vAlign w:val="center"/>
          </w:tcPr>
          <w:p w14:paraId="5A41FCCD" w14:textId="59C3C637" w:rsidR="00283B2E" w:rsidRPr="003A41F8" w:rsidRDefault="00283B2E" w:rsidP="0077403B">
            <w:pPr>
              <w:ind w:firstLine="0"/>
            </w:pPr>
            <w:r w:rsidRPr="007A4889">
              <w:rPr>
                <w:lang w:val="en-US"/>
              </w:rPr>
              <w:t>STAT</w:t>
            </w:r>
          </w:p>
        </w:tc>
        <w:tc>
          <w:tcPr>
            <w:tcW w:w="7478" w:type="dxa"/>
            <w:vAlign w:val="center"/>
          </w:tcPr>
          <w:p w14:paraId="308C285A" w14:textId="0BEAD31B" w:rsidR="00283B2E" w:rsidRPr="00283B2E" w:rsidRDefault="00283B2E" w:rsidP="0077403B">
            <w:pPr>
              <w:ind w:firstLine="0"/>
              <w:rPr>
                <w:lang w:val="en-US"/>
              </w:rPr>
            </w:pPr>
            <w:r>
              <w:t>Передатчик</w:t>
            </w:r>
            <w:r w:rsidRPr="00283B2E">
              <w:rPr>
                <w:lang w:val="en-US"/>
              </w:rPr>
              <w:t xml:space="preserve"> </w:t>
            </w:r>
            <w:r>
              <w:t>сигнала</w:t>
            </w:r>
            <w:r w:rsidRPr="00283B2E">
              <w:rPr>
                <w:lang w:val="en-US"/>
              </w:rPr>
              <w:t xml:space="preserve"> </w:t>
            </w:r>
            <w:r>
              <w:t>и</w:t>
            </w:r>
            <w:r w:rsidRPr="00283B2E">
              <w:rPr>
                <w:lang w:val="en-US"/>
              </w:rPr>
              <w:t xml:space="preserve"> </w:t>
            </w:r>
            <w:r>
              <w:t>активатор</w:t>
            </w:r>
            <w:r w:rsidRPr="00283B2E">
              <w:rPr>
                <w:lang w:val="en-US"/>
              </w:rPr>
              <w:t xml:space="preserve"> </w:t>
            </w:r>
            <w:r>
              <w:t>транскрипции</w:t>
            </w:r>
            <w:r w:rsidRPr="00283B2E">
              <w:rPr>
                <w:lang w:val="en-US"/>
              </w:rPr>
              <w:t xml:space="preserve"> (signal transducers and activators of transcription)</w:t>
            </w:r>
          </w:p>
        </w:tc>
      </w:tr>
      <w:tr w:rsidR="00A67151" w:rsidRPr="00A67151" w14:paraId="466C8A9E" w14:textId="77777777" w:rsidTr="00791E09">
        <w:tc>
          <w:tcPr>
            <w:tcW w:w="1815" w:type="dxa"/>
            <w:vAlign w:val="center"/>
          </w:tcPr>
          <w:p w14:paraId="7538A957" w14:textId="03F3731A" w:rsidR="00A67151" w:rsidRPr="007A4889" w:rsidRDefault="00A67151" w:rsidP="0077403B">
            <w:pPr>
              <w:ind w:firstLine="0"/>
              <w:rPr>
                <w:lang w:val="en-US"/>
              </w:rPr>
            </w:pPr>
            <w:r w:rsidRPr="00A67151">
              <w:rPr>
                <w:lang w:val="en-US"/>
              </w:rPr>
              <w:t>SUCRA</w:t>
            </w:r>
          </w:p>
        </w:tc>
        <w:tc>
          <w:tcPr>
            <w:tcW w:w="7478" w:type="dxa"/>
            <w:vAlign w:val="center"/>
          </w:tcPr>
          <w:p w14:paraId="19C57029" w14:textId="2E2E60CB" w:rsidR="00A67151" w:rsidRPr="00A67151" w:rsidRDefault="00A67151" w:rsidP="0077403B">
            <w:pPr>
              <w:ind w:firstLine="0"/>
            </w:pPr>
            <w:r>
              <w:t>П</w:t>
            </w:r>
            <w:r w:rsidRPr="00A67151">
              <w:t xml:space="preserve">оверхность под кривой совокупного ранжирования </w:t>
            </w:r>
            <w:r>
              <w:t>(</w:t>
            </w:r>
            <w:r w:rsidRPr="00A67151">
              <w:rPr>
                <w:lang w:val="en-US"/>
              </w:rPr>
              <w:t>surface</w:t>
            </w:r>
            <w:r w:rsidRPr="00A67151">
              <w:t xml:space="preserve"> </w:t>
            </w:r>
            <w:r w:rsidRPr="00A67151">
              <w:rPr>
                <w:lang w:val="en-US"/>
              </w:rPr>
              <w:t>under</w:t>
            </w:r>
            <w:r w:rsidRPr="00A67151">
              <w:t xml:space="preserve"> </w:t>
            </w:r>
            <w:r w:rsidRPr="00A67151">
              <w:rPr>
                <w:lang w:val="en-US"/>
              </w:rPr>
              <w:t>the</w:t>
            </w:r>
            <w:r w:rsidRPr="00A67151">
              <w:t xml:space="preserve"> </w:t>
            </w:r>
            <w:r w:rsidRPr="00A67151">
              <w:rPr>
                <w:lang w:val="en-US"/>
              </w:rPr>
              <w:t>cumulative</w:t>
            </w:r>
            <w:r w:rsidRPr="00A67151">
              <w:t xml:space="preserve"> </w:t>
            </w:r>
            <w:r w:rsidRPr="00A67151">
              <w:rPr>
                <w:lang w:val="en-US"/>
              </w:rPr>
              <w:t>ranking</w:t>
            </w:r>
            <w:r>
              <w:t>)</w:t>
            </w:r>
          </w:p>
        </w:tc>
      </w:tr>
      <w:tr w:rsidR="00526B5A" w:rsidRPr="00DB238B" w14:paraId="6215F7F2" w14:textId="77777777" w:rsidTr="00791E09">
        <w:tc>
          <w:tcPr>
            <w:tcW w:w="1815" w:type="dxa"/>
            <w:vAlign w:val="center"/>
          </w:tcPr>
          <w:p w14:paraId="6748BDD2" w14:textId="2B954FDE" w:rsidR="00526B5A" w:rsidRPr="00526B5A" w:rsidRDefault="00F033B3" w:rsidP="0077403B">
            <w:pPr>
              <w:ind w:firstLine="0"/>
              <w:rPr>
                <w:vertAlign w:val="subscript"/>
                <w:lang w:val="en-US"/>
              </w:rPr>
            </w:pPr>
            <w:r>
              <w:rPr>
                <w:lang w:val="en-US"/>
              </w:rPr>
              <w:t>T</w:t>
            </w:r>
            <w:r w:rsidR="00526B5A">
              <w:rPr>
                <w:vertAlign w:val="subscript"/>
                <w:lang w:val="en-US"/>
              </w:rPr>
              <w:t>1/2</w:t>
            </w:r>
          </w:p>
        </w:tc>
        <w:tc>
          <w:tcPr>
            <w:tcW w:w="7478" w:type="dxa"/>
            <w:vAlign w:val="center"/>
          </w:tcPr>
          <w:p w14:paraId="6CA71D25" w14:textId="4916639B" w:rsidR="00526B5A" w:rsidRDefault="00526B5A" w:rsidP="0077403B">
            <w:pPr>
              <w:ind w:firstLine="0"/>
            </w:pPr>
            <w:r>
              <w:t>Период полувыведения</w:t>
            </w:r>
          </w:p>
        </w:tc>
      </w:tr>
      <w:tr w:rsidR="00632F43" w:rsidRPr="00DB238B" w14:paraId="6F971022" w14:textId="77777777" w:rsidTr="00791E09">
        <w:tc>
          <w:tcPr>
            <w:tcW w:w="1815" w:type="dxa"/>
            <w:vAlign w:val="center"/>
          </w:tcPr>
          <w:p w14:paraId="67EA695D" w14:textId="46D46037" w:rsidR="00632F43" w:rsidRDefault="00F033B3" w:rsidP="0077403B">
            <w:pPr>
              <w:ind w:firstLine="0"/>
              <w:rPr>
                <w:lang w:val="en-US"/>
              </w:rPr>
            </w:pPr>
            <w:r>
              <w:rPr>
                <w:lang w:val="en-US"/>
              </w:rPr>
              <w:t>T</w:t>
            </w:r>
            <w:r w:rsidR="00632F43" w:rsidRPr="00A44D59">
              <w:rPr>
                <w:vertAlign w:val="subscript"/>
              </w:rPr>
              <w:t>1/2</w:t>
            </w:r>
            <w:r w:rsidR="00632F43">
              <w:rPr>
                <w:rFonts w:cs="Times New Roman"/>
                <w:vertAlign w:val="subscript"/>
              </w:rPr>
              <w:t>β</w:t>
            </w:r>
            <w:r w:rsidR="00632F43">
              <w:t xml:space="preserve"> </w:t>
            </w:r>
          </w:p>
        </w:tc>
        <w:tc>
          <w:tcPr>
            <w:tcW w:w="7478" w:type="dxa"/>
            <w:vAlign w:val="center"/>
          </w:tcPr>
          <w:p w14:paraId="26D90B66" w14:textId="45514AA1" w:rsidR="00632F43" w:rsidRDefault="00632F43" w:rsidP="0077403B">
            <w:pPr>
              <w:ind w:firstLine="0"/>
            </w:pPr>
            <w:r>
              <w:t>Терминальный период полувыведения</w:t>
            </w:r>
          </w:p>
        </w:tc>
      </w:tr>
      <w:tr w:rsidR="00526B5A" w:rsidRPr="00526B5A" w14:paraId="1886512E" w14:textId="77777777" w:rsidTr="00791E09">
        <w:tc>
          <w:tcPr>
            <w:tcW w:w="1815" w:type="dxa"/>
            <w:vAlign w:val="center"/>
          </w:tcPr>
          <w:p w14:paraId="46A325A7" w14:textId="6B1B2A00" w:rsidR="00526B5A" w:rsidRPr="007A4889" w:rsidRDefault="00F033B3" w:rsidP="0077403B">
            <w:pPr>
              <w:ind w:firstLine="0"/>
              <w:rPr>
                <w:lang w:val="en-US"/>
              </w:rPr>
            </w:pPr>
            <w:r>
              <w:rPr>
                <w:lang w:val="en-US"/>
              </w:rPr>
              <w:t>T</w:t>
            </w:r>
            <w:r w:rsidR="00526B5A" w:rsidRPr="004E76D7">
              <w:rPr>
                <w:vertAlign w:val="subscript"/>
              </w:rPr>
              <w:t>max</w:t>
            </w:r>
          </w:p>
        </w:tc>
        <w:tc>
          <w:tcPr>
            <w:tcW w:w="7478" w:type="dxa"/>
            <w:vAlign w:val="center"/>
          </w:tcPr>
          <w:p w14:paraId="7BE84404" w14:textId="1333B0B1" w:rsidR="00526B5A" w:rsidRDefault="00526B5A" w:rsidP="0077403B">
            <w:pPr>
              <w:ind w:firstLine="0"/>
            </w:pPr>
            <w:r>
              <w:t>Время достижения максимальной концентрации</w:t>
            </w:r>
          </w:p>
        </w:tc>
      </w:tr>
      <w:tr w:rsidR="003D49A9" w:rsidRPr="00526B5A" w14:paraId="62650C7B" w14:textId="77777777" w:rsidTr="00791E09">
        <w:tc>
          <w:tcPr>
            <w:tcW w:w="1815" w:type="dxa"/>
            <w:vAlign w:val="center"/>
          </w:tcPr>
          <w:p w14:paraId="223A21A2" w14:textId="26151323" w:rsidR="003D49A9" w:rsidRDefault="003D49A9" w:rsidP="0077403B">
            <w:pPr>
              <w:ind w:firstLine="0"/>
            </w:pPr>
            <w:r>
              <w:rPr>
                <w:lang w:val="en-US"/>
              </w:rPr>
              <w:t>TNF</w:t>
            </w:r>
            <w:r>
              <w:t>-</w:t>
            </w:r>
            <w:r>
              <w:rPr>
                <w:rFonts w:cs="Times New Roman"/>
              </w:rPr>
              <w:t>α</w:t>
            </w:r>
          </w:p>
        </w:tc>
        <w:tc>
          <w:tcPr>
            <w:tcW w:w="7478" w:type="dxa"/>
            <w:vAlign w:val="center"/>
          </w:tcPr>
          <w:p w14:paraId="2B291706" w14:textId="202BF073" w:rsidR="003D49A9" w:rsidRDefault="003D49A9" w:rsidP="0077403B">
            <w:pPr>
              <w:ind w:firstLine="0"/>
            </w:pPr>
            <w:r>
              <w:t>Фактор некроза опухоли-</w:t>
            </w:r>
            <w:r>
              <w:rPr>
                <w:rFonts w:cs="Times New Roman"/>
              </w:rPr>
              <w:t>α</w:t>
            </w:r>
            <w:r>
              <w:t xml:space="preserve"> (</w:t>
            </w:r>
            <w:r w:rsidR="002A1945">
              <w:rPr>
                <w:lang w:val="en-US"/>
              </w:rPr>
              <w:t>tumour</w:t>
            </w:r>
            <w:r w:rsidR="002A1945" w:rsidRPr="0020101E">
              <w:t xml:space="preserve"> </w:t>
            </w:r>
            <w:r w:rsidR="002A1945">
              <w:rPr>
                <w:lang w:val="en-US"/>
              </w:rPr>
              <w:t>necrosis</w:t>
            </w:r>
            <w:r w:rsidR="002A1945" w:rsidRPr="002A1945">
              <w:t xml:space="preserve"> </w:t>
            </w:r>
            <w:r>
              <w:rPr>
                <w:lang w:val="en-US"/>
              </w:rPr>
              <w:t>factor</w:t>
            </w:r>
            <w:r w:rsidRPr="003D49A9">
              <w:t>-</w:t>
            </w:r>
            <w:r>
              <w:rPr>
                <w:rFonts w:cs="Times New Roman"/>
              </w:rPr>
              <w:t>α)</w:t>
            </w:r>
          </w:p>
        </w:tc>
      </w:tr>
      <w:tr w:rsidR="00E663E4" w:rsidRPr="00DB238B" w14:paraId="738754C9" w14:textId="77777777" w:rsidTr="00791E09">
        <w:tc>
          <w:tcPr>
            <w:tcW w:w="1815" w:type="dxa"/>
            <w:vAlign w:val="center"/>
          </w:tcPr>
          <w:p w14:paraId="1354EA1E" w14:textId="1F0D7424" w:rsidR="00E663E4" w:rsidRPr="007A4889" w:rsidRDefault="00E663E4" w:rsidP="0077403B">
            <w:pPr>
              <w:ind w:firstLine="0"/>
              <w:rPr>
                <w:lang w:val="en-US"/>
              </w:rPr>
            </w:pPr>
            <w:r w:rsidRPr="00E663E4">
              <w:rPr>
                <w:rFonts w:eastAsia="MS Mincho" w:cs="Times New Roman"/>
                <w:szCs w:val="24"/>
              </w:rPr>
              <w:t>TyK2</w:t>
            </w:r>
          </w:p>
        </w:tc>
        <w:tc>
          <w:tcPr>
            <w:tcW w:w="7478" w:type="dxa"/>
            <w:vAlign w:val="center"/>
          </w:tcPr>
          <w:p w14:paraId="3BA63D38" w14:textId="47EC8B92" w:rsidR="00E663E4" w:rsidRDefault="00E663E4" w:rsidP="0077403B">
            <w:pPr>
              <w:ind w:firstLine="0"/>
            </w:pPr>
            <w:r>
              <w:t>Тирозинкиназа 2 (</w:t>
            </w:r>
            <w:r w:rsidRPr="009F70C2">
              <w:t>Tyrosine Kinase</w:t>
            </w:r>
            <w:r>
              <w:t xml:space="preserve"> 2)</w:t>
            </w:r>
          </w:p>
        </w:tc>
      </w:tr>
      <w:tr w:rsidR="002024ED" w:rsidRPr="00DB238B" w14:paraId="239577A4" w14:textId="77777777" w:rsidTr="00791E09">
        <w:tc>
          <w:tcPr>
            <w:tcW w:w="1815" w:type="dxa"/>
            <w:vAlign w:val="center"/>
          </w:tcPr>
          <w:p w14:paraId="4476298F" w14:textId="3D1C4A4C" w:rsidR="002024ED" w:rsidRPr="00E663E4" w:rsidRDefault="002024ED" w:rsidP="0077403B">
            <w:pPr>
              <w:ind w:firstLine="0"/>
              <w:rPr>
                <w:rFonts w:eastAsia="MS Mincho" w:cs="Times New Roman"/>
                <w:szCs w:val="24"/>
              </w:rPr>
            </w:pPr>
            <w:r w:rsidRPr="00F1381C">
              <w:rPr>
                <w:lang w:val="en-US"/>
              </w:rPr>
              <w:t>V</w:t>
            </w:r>
            <w:r w:rsidRPr="00F1381C">
              <w:rPr>
                <w:vertAlign w:val="subscript"/>
                <w:lang w:val="en-US"/>
              </w:rPr>
              <w:t>ss</w:t>
            </w:r>
          </w:p>
        </w:tc>
        <w:tc>
          <w:tcPr>
            <w:tcW w:w="7478" w:type="dxa"/>
            <w:vAlign w:val="center"/>
          </w:tcPr>
          <w:p w14:paraId="04253CAD" w14:textId="643E0A34" w:rsidR="002024ED" w:rsidRDefault="002024ED" w:rsidP="0077403B">
            <w:pPr>
              <w:ind w:firstLine="0"/>
            </w:pPr>
            <w:r>
              <w:t xml:space="preserve">Объем распределения в равновесном состоянии </w:t>
            </w:r>
          </w:p>
        </w:tc>
      </w:tr>
      <w:tr w:rsidR="0053247C" w:rsidRPr="00DB238B" w14:paraId="1C4F4564" w14:textId="77777777" w:rsidTr="00791E09">
        <w:tc>
          <w:tcPr>
            <w:tcW w:w="1815" w:type="dxa"/>
            <w:vAlign w:val="center"/>
          </w:tcPr>
          <w:p w14:paraId="48596B1B" w14:textId="613FAAD7" w:rsidR="0053247C" w:rsidRPr="00E663E4" w:rsidRDefault="0053247C" w:rsidP="0077403B">
            <w:pPr>
              <w:ind w:firstLine="0"/>
              <w:rPr>
                <w:rFonts w:eastAsia="MS Mincho" w:cs="Times New Roman"/>
                <w:szCs w:val="24"/>
              </w:rPr>
            </w:pPr>
            <w:r w:rsidRPr="0053247C">
              <w:rPr>
                <w:rFonts w:cs="Times New Roman"/>
              </w:rPr>
              <w:t>WPAI-UC</w:t>
            </w:r>
          </w:p>
        </w:tc>
        <w:tc>
          <w:tcPr>
            <w:tcW w:w="7478" w:type="dxa"/>
            <w:vAlign w:val="center"/>
          </w:tcPr>
          <w:p w14:paraId="296ED788" w14:textId="39DA38A3" w:rsidR="0053247C" w:rsidRDefault="0053247C" w:rsidP="0077403B">
            <w:pPr>
              <w:ind w:firstLine="0"/>
            </w:pPr>
            <w:r>
              <w:rPr>
                <w:rFonts w:cs="Times New Roman"/>
              </w:rPr>
              <w:t>Опросник нарушения трудоспособности и повседневной деятельности (</w:t>
            </w:r>
            <w:r w:rsidRPr="00466B1F">
              <w:rPr>
                <w:rFonts w:cs="Times New Roman"/>
              </w:rPr>
              <w:t>Work Productivity and Activity Impairment</w:t>
            </w:r>
            <w:r>
              <w:rPr>
                <w:rFonts w:cs="Times New Roman"/>
              </w:rPr>
              <w:t>)</w:t>
            </w:r>
          </w:p>
        </w:tc>
      </w:tr>
    </w:tbl>
    <w:p w14:paraId="50DC4D02" w14:textId="50AF04B4" w:rsidR="004B3061" w:rsidRPr="0053247C" w:rsidRDefault="00E05E5D" w:rsidP="009B3DC5">
      <w:pPr>
        <w:pStyle w:val="SDText"/>
      </w:pPr>
      <w:r w:rsidRPr="0053247C">
        <w:br w:type="page"/>
      </w:r>
    </w:p>
    <w:p w14:paraId="1C69163C" w14:textId="1EA9AE6C" w:rsidR="00734A98" w:rsidRPr="00CE4FA3" w:rsidRDefault="00734A98" w:rsidP="00791E09">
      <w:pPr>
        <w:pStyle w:val="1"/>
        <w:spacing w:before="240" w:after="240"/>
        <w:ind w:left="431" w:hanging="431"/>
      </w:pPr>
      <w:bookmarkStart w:id="7" w:name="_Toc115420997"/>
      <w:bookmarkStart w:id="8" w:name="_Toc121592529"/>
      <w:r w:rsidRPr="00CE4FA3">
        <w:lastRenderedPageBreak/>
        <w:t>ИСТОРИЯ ДОКУМЕНТА</w:t>
      </w:r>
      <w:bookmarkEnd w:id="7"/>
      <w:bookmarkEnd w:id="8"/>
    </w:p>
    <w:tbl>
      <w:tblPr>
        <w:tblStyle w:val="a4"/>
        <w:tblW w:w="0" w:type="auto"/>
        <w:tblInd w:w="108" w:type="dxa"/>
        <w:tblLook w:val="04A0" w:firstRow="1" w:lastRow="0" w:firstColumn="1" w:lastColumn="0" w:noHBand="0" w:noVBand="1"/>
      </w:tblPr>
      <w:tblGrid>
        <w:gridCol w:w="3006"/>
        <w:gridCol w:w="6350"/>
      </w:tblGrid>
      <w:tr w:rsidR="00CE4FA3" w:rsidRPr="0038618C" w14:paraId="2765E111" w14:textId="77777777" w:rsidTr="00D71CE8">
        <w:trPr>
          <w:trHeight w:val="659"/>
        </w:trPr>
        <w:tc>
          <w:tcPr>
            <w:tcW w:w="3006" w:type="dxa"/>
            <w:shd w:val="clear" w:color="auto" w:fill="D9D9D9" w:themeFill="background1" w:themeFillShade="D9"/>
            <w:vAlign w:val="center"/>
          </w:tcPr>
          <w:p w14:paraId="1E2BDD96" w14:textId="77777777" w:rsidR="00CE4FA3" w:rsidRPr="0038618C" w:rsidRDefault="00CE4FA3" w:rsidP="00791E09">
            <w:pPr>
              <w:ind w:firstLine="0"/>
              <w:contextualSpacing/>
              <w:jc w:val="center"/>
              <w:rPr>
                <w:b/>
              </w:rPr>
            </w:pPr>
            <w:r>
              <w:rPr>
                <w:b/>
              </w:rPr>
              <w:t>Версия</w:t>
            </w:r>
          </w:p>
        </w:tc>
        <w:tc>
          <w:tcPr>
            <w:tcW w:w="6350" w:type="dxa"/>
            <w:shd w:val="clear" w:color="auto" w:fill="D9D9D9" w:themeFill="background1" w:themeFillShade="D9"/>
            <w:vAlign w:val="center"/>
          </w:tcPr>
          <w:p w14:paraId="13E08548" w14:textId="77777777" w:rsidR="00CE4FA3" w:rsidRPr="0038618C" w:rsidRDefault="00CE4FA3" w:rsidP="00791E09">
            <w:pPr>
              <w:ind w:firstLine="0"/>
              <w:contextualSpacing/>
              <w:jc w:val="center"/>
              <w:rPr>
                <w:b/>
              </w:rPr>
            </w:pPr>
            <w:r w:rsidRPr="0038618C">
              <w:rPr>
                <w:b/>
              </w:rPr>
              <w:t>Описание изменений</w:t>
            </w:r>
          </w:p>
        </w:tc>
      </w:tr>
      <w:tr w:rsidR="00CE4FA3" w:rsidRPr="000E22E4" w14:paraId="3773E6A5" w14:textId="77777777" w:rsidTr="00D71CE8">
        <w:trPr>
          <w:trHeight w:val="304"/>
        </w:trPr>
        <w:tc>
          <w:tcPr>
            <w:tcW w:w="3006" w:type="dxa"/>
            <w:shd w:val="clear" w:color="auto" w:fill="auto"/>
            <w:vAlign w:val="center"/>
          </w:tcPr>
          <w:p w14:paraId="0A780EB6" w14:textId="3CA8D79B" w:rsidR="00CE4FA3" w:rsidRPr="000E22E4" w:rsidRDefault="00CE4FA3" w:rsidP="00791E09">
            <w:pPr>
              <w:ind w:firstLine="0"/>
              <w:contextualSpacing/>
              <w:jc w:val="center"/>
            </w:pPr>
            <w:r>
              <w:t xml:space="preserve">1.0 от </w:t>
            </w:r>
            <w:r w:rsidR="00791E09">
              <w:t>19-дек-</w:t>
            </w:r>
            <w:r w:rsidRPr="00EC4891">
              <w:t>2022 г.</w:t>
            </w:r>
          </w:p>
        </w:tc>
        <w:tc>
          <w:tcPr>
            <w:tcW w:w="6350" w:type="dxa"/>
            <w:shd w:val="clear" w:color="auto" w:fill="auto"/>
            <w:vAlign w:val="center"/>
          </w:tcPr>
          <w:p w14:paraId="3AD9252C" w14:textId="77777777" w:rsidR="00CE4FA3" w:rsidRPr="000E22E4" w:rsidRDefault="00CE4FA3" w:rsidP="000F582A">
            <w:pPr>
              <w:ind w:firstLine="5"/>
              <w:contextualSpacing/>
            </w:pPr>
            <w:r w:rsidRPr="006D06B7">
              <w:t>Исходная версия.</w:t>
            </w:r>
          </w:p>
        </w:tc>
      </w:tr>
    </w:tbl>
    <w:p w14:paraId="1CC3FBCA" w14:textId="77777777" w:rsidR="00734A98" w:rsidRDefault="00734A98" w:rsidP="00CE4FA3">
      <w:pPr>
        <w:pStyle w:val="SDText"/>
        <w:ind w:firstLine="0"/>
      </w:pPr>
    </w:p>
    <w:p w14:paraId="352F8C1C" w14:textId="77777777" w:rsidR="00734A98" w:rsidRDefault="00734A98" w:rsidP="009B3DC5">
      <w:pPr>
        <w:pStyle w:val="SDText"/>
        <w:sectPr w:rsidR="00734A98" w:rsidSect="00F85178">
          <w:pgSz w:w="11906" w:h="16838"/>
          <w:pgMar w:top="1134" w:right="850" w:bottom="1134" w:left="1701" w:header="708" w:footer="708" w:gutter="0"/>
          <w:cols w:space="708"/>
          <w:docGrid w:linePitch="360"/>
        </w:sectPr>
      </w:pPr>
    </w:p>
    <w:p w14:paraId="3D723B5F" w14:textId="420E22D5" w:rsidR="006E394F" w:rsidRDefault="000F582A" w:rsidP="00495A04">
      <w:pPr>
        <w:pStyle w:val="1"/>
        <w:ind w:left="432" w:hanging="432"/>
      </w:pPr>
      <w:bookmarkStart w:id="9" w:name="_Toc121592530"/>
      <w:bookmarkStart w:id="10" w:name="_Toc459563542"/>
      <w:r>
        <w:lastRenderedPageBreak/>
        <w:t>РЕЗЮМЕ</w:t>
      </w:r>
      <w:bookmarkEnd w:id="9"/>
    </w:p>
    <w:p w14:paraId="335B1062" w14:textId="77777777" w:rsidR="000F582A" w:rsidRPr="00D71CE8" w:rsidRDefault="000F582A" w:rsidP="00EC4891">
      <w:pPr>
        <w:pStyle w:val="OT"/>
      </w:pPr>
    </w:p>
    <w:p w14:paraId="1E25B81E" w14:textId="77777777" w:rsidR="00EC4891" w:rsidRDefault="00EC4891" w:rsidP="00EC4891">
      <w:pPr>
        <w:pStyle w:val="SDText"/>
        <w:contextualSpacing/>
      </w:pPr>
      <w:r w:rsidRPr="00E663E4">
        <w:t xml:space="preserve">Тофацитиниб является первым в своем классе ингибитором </w:t>
      </w:r>
      <w:r w:rsidRPr="00027104">
        <w:rPr>
          <w:lang w:val="en-US"/>
        </w:rPr>
        <w:t>JAK</w:t>
      </w:r>
      <w:r w:rsidRPr="00E663E4">
        <w:t xml:space="preserve">. </w:t>
      </w:r>
      <w:r w:rsidRPr="00027104">
        <w:t xml:space="preserve">Механизм действия </w:t>
      </w:r>
      <w:r>
        <w:t>т</w:t>
      </w:r>
      <w:r w:rsidRPr="00E663E4">
        <w:t>офацитиниб</w:t>
      </w:r>
      <w:r>
        <w:t xml:space="preserve">а </w:t>
      </w:r>
      <w:r w:rsidRPr="00027104">
        <w:t>включает ингибирование JAK1, JAK2 и JAK3 с меньшей ингибирующей активностью в отношении TyK2. Ингибирование этих киназ уменьшает высвобождение воспалительных цитокинов, что, в свою очередь, уменьшает активацию и пролиферацию лимфоцитов</w:t>
      </w:r>
      <w:r>
        <w:t xml:space="preserve">. </w:t>
      </w:r>
      <w:r w:rsidRPr="00423DB9">
        <w:t xml:space="preserve">Первый ингибитор JAK </w:t>
      </w:r>
      <w:r>
        <w:t>тофацитиниб</w:t>
      </w:r>
      <w:r w:rsidRPr="00423DB9">
        <w:t xml:space="preserve"> (Яквинус</w:t>
      </w:r>
      <w:r w:rsidRPr="00423DB9">
        <w:rPr>
          <w:vertAlign w:val="superscript"/>
        </w:rPr>
        <w:t>®</w:t>
      </w:r>
      <w:r w:rsidRPr="00423DB9">
        <w:t xml:space="preserve">) был одобрен </w:t>
      </w:r>
      <w:r>
        <w:rPr>
          <w:lang w:val="en-US"/>
        </w:rPr>
        <w:t>FDA</w:t>
      </w:r>
      <w:r w:rsidRPr="00D177AA">
        <w:t xml:space="preserve"> </w:t>
      </w:r>
      <w:r w:rsidRPr="00423DB9">
        <w:t>в 2012</w:t>
      </w:r>
      <w:r>
        <w:t xml:space="preserve"> г</w:t>
      </w:r>
      <w:r w:rsidRPr="00423DB9">
        <w:t xml:space="preserve">. В России препарат был зарегистрирован в </w:t>
      </w:r>
      <w:r w:rsidRPr="00B26099">
        <w:t xml:space="preserve">2013 </w:t>
      </w:r>
      <w:r>
        <w:t>г.</w:t>
      </w:r>
      <w:r w:rsidRPr="00B26099">
        <w:t xml:space="preserve"> (</w:t>
      </w:r>
      <w:r>
        <w:t>таблетки, покрытые пленочной оболочкой</w:t>
      </w:r>
      <w:r w:rsidRPr="00B26099">
        <w:t xml:space="preserve">) </w:t>
      </w:r>
      <w:r>
        <w:t xml:space="preserve">и в </w:t>
      </w:r>
      <w:r w:rsidRPr="00423DB9">
        <w:t>2021 г</w:t>
      </w:r>
      <w:r>
        <w:t xml:space="preserve">. (таблетки с модифицированным высвобождением, покрытые пленочной оболочкой). </w:t>
      </w:r>
    </w:p>
    <w:p w14:paraId="281529FF" w14:textId="77777777" w:rsidR="00EC4891" w:rsidRDefault="00EC4891" w:rsidP="00EC4891">
      <w:pPr>
        <w:pStyle w:val="SDText"/>
        <w:contextualSpacing/>
      </w:pPr>
      <w:r w:rsidRPr="00B8581C">
        <w:t xml:space="preserve">Для изучения </w:t>
      </w:r>
      <w:r>
        <w:t>тофацитиниба</w:t>
      </w:r>
      <w:r w:rsidRPr="00B8581C">
        <w:t xml:space="preserve"> было проведено большое количество доклинических исследований. Эти исследования включали серию исследований как </w:t>
      </w:r>
      <w:r w:rsidRPr="00B8581C">
        <w:rPr>
          <w:i/>
          <w:iCs/>
        </w:rPr>
        <w:t>in vitro</w:t>
      </w:r>
      <w:r w:rsidRPr="00B8581C">
        <w:t xml:space="preserve">, так и </w:t>
      </w:r>
      <w:r w:rsidRPr="00B8581C">
        <w:rPr>
          <w:i/>
          <w:iCs/>
        </w:rPr>
        <w:t>in vivo</w:t>
      </w:r>
      <w:r w:rsidRPr="00B8581C">
        <w:t xml:space="preserve">, в результате которых были хорошо изучены фармакодинамические, фармакокинетические и токсикологические свойства </w:t>
      </w:r>
      <w:r>
        <w:t>тофацитиниба</w:t>
      </w:r>
      <w:r w:rsidRPr="00B8581C">
        <w:t>.</w:t>
      </w:r>
    </w:p>
    <w:p w14:paraId="4EF8DFF9" w14:textId="229C7B4B" w:rsidR="00EC4891" w:rsidRDefault="00EC4891" w:rsidP="00EC4891">
      <w:pPr>
        <w:pStyle w:val="SDText"/>
        <w:contextualSpacing/>
        <w:rPr>
          <w:rFonts w:eastAsia="MS Mincho" w:cs="Times New Roman"/>
          <w:szCs w:val="24"/>
          <w:lang w:eastAsia="ja-JP"/>
        </w:rPr>
      </w:pPr>
      <w:r w:rsidRPr="00842A5A">
        <w:rPr>
          <w:rFonts w:eastAsia="MS Mincho" w:cs="Times New Roman"/>
          <w:szCs w:val="24"/>
          <w:lang w:eastAsia="ja-JP"/>
        </w:rPr>
        <w:t>В клинических исследованиях было показано, что</w:t>
      </w:r>
      <w:r>
        <w:rPr>
          <w:rFonts w:eastAsia="MS Mincho" w:cs="Times New Roman"/>
          <w:szCs w:val="24"/>
          <w:lang w:eastAsia="ja-JP"/>
        </w:rPr>
        <w:t xml:space="preserve"> абсолютная </w:t>
      </w:r>
      <w:r>
        <w:rPr>
          <w:rFonts w:eastAsia="MS Mincho" w:cs="Times New Roman"/>
          <w:szCs w:val="24"/>
          <w:lang w:val="en-US" w:eastAsia="ja-JP"/>
        </w:rPr>
        <w:t>F</w:t>
      </w:r>
      <w:r w:rsidRPr="000D2488">
        <w:rPr>
          <w:rFonts w:eastAsia="MS Mincho" w:cs="Times New Roman"/>
          <w:szCs w:val="24"/>
          <w:lang w:eastAsia="ja-JP"/>
        </w:rPr>
        <w:t xml:space="preserve"> </w:t>
      </w:r>
      <w:r>
        <w:rPr>
          <w:rFonts w:eastAsia="MS Mincho" w:cs="Times New Roman"/>
          <w:szCs w:val="24"/>
          <w:lang w:eastAsia="ja-JP"/>
        </w:rPr>
        <w:t>тофацитиниба после перорального приема составила около 74%. После перорального приема достижение</w:t>
      </w:r>
      <w:r w:rsidRPr="003D6D40">
        <w:rPr>
          <w:rFonts w:eastAsia="MS Mincho" w:cs="Times New Roman"/>
          <w:szCs w:val="24"/>
          <w:lang w:eastAsia="ja-JP"/>
        </w:rPr>
        <w:t xml:space="preserve"> </w:t>
      </w:r>
      <w:r>
        <w:rPr>
          <w:rFonts w:eastAsia="MS Mincho" w:cs="Times New Roman"/>
          <w:szCs w:val="24"/>
          <w:lang w:val="en-US" w:eastAsia="ja-JP"/>
        </w:rPr>
        <w:t>C</w:t>
      </w:r>
      <w:r>
        <w:rPr>
          <w:rFonts w:eastAsia="MS Mincho" w:cs="Times New Roman"/>
          <w:szCs w:val="24"/>
          <w:vertAlign w:val="subscript"/>
          <w:lang w:val="en-US" w:eastAsia="ja-JP"/>
        </w:rPr>
        <w:t>max</w:t>
      </w:r>
      <w:r w:rsidRPr="003D6D40">
        <w:rPr>
          <w:rFonts w:eastAsia="MS Mincho" w:cs="Times New Roman"/>
          <w:szCs w:val="24"/>
          <w:lang w:eastAsia="ja-JP"/>
        </w:rPr>
        <w:t xml:space="preserve"> </w:t>
      </w:r>
      <w:r>
        <w:rPr>
          <w:rFonts w:eastAsia="MS Mincho" w:cs="Times New Roman"/>
          <w:szCs w:val="24"/>
          <w:lang w:eastAsia="ja-JP"/>
        </w:rPr>
        <w:t>тофацитиниба наблюдали через 0,5–1 ч. Эффекта приема пищи в отношении степени абсорбции (</w:t>
      </w:r>
      <w:r>
        <w:rPr>
          <w:rFonts w:eastAsia="MS Mincho" w:cs="Times New Roman"/>
          <w:szCs w:val="24"/>
          <w:lang w:val="en-US" w:eastAsia="ja-JP"/>
        </w:rPr>
        <w:t>AUC</w:t>
      </w:r>
      <w:r w:rsidRPr="001C7F18">
        <w:rPr>
          <w:rFonts w:eastAsia="MS Mincho" w:cs="Times New Roman"/>
          <w:szCs w:val="24"/>
          <w:lang w:eastAsia="ja-JP"/>
        </w:rPr>
        <w:t xml:space="preserve">) </w:t>
      </w:r>
      <w:r>
        <w:rPr>
          <w:rFonts w:eastAsia="MS Mincho" w:cs="Times New Roman"/>
          <w:szCs w:val="24"/>
          <w:lang w:eastAsia="ja-JP"/>
        </w:rPr>
        <w:t xml:space="preserve">не наблюдали. Тофацитиниб экстенсивно распределяется в ткани. Значение </w:t>
      </w:r>
      <w:r w:rsidR="00F033B3">
        <w:rPr>
          <w:rFonts w:eastAsia="MS Mincho" w:cs="Times New Roman"/>
          <w:szCs w:val="24"/>
          <w:lang w:val="en-US" w:eastAsia="ja-JP"/>
        </w:rPr>
        <w:t>T</w:t>
      </w:r>
      <w:r w:rsidRPr="00520214">
        <w:rPr>
          <w:rFonts w:eastAsia="MS Mincho" w:cs="Times New Roman"/>
          <w:szCs w:val="24"/>
          <w:vertAlign w:val="subscript"/>
          <w:lang w:eastAsia="ja-JP"/>
        </w:rPr>
        <w:t>1/2</w:t>
      </w:r>
      <w:r>
        <w:rPr>
          <w:rFonts w:eastAsia="MS Mincho" w:cs="Times New Roman"/>
          <w:szCs w:val="24"/>
          <w:vertAlign w:val="subscript"/>
          <w:lang w:val="en-US" w:eastAsia="ja-JP"/>
        </w:rPr>
        <w:t>β</w:t>
      </w:r>
      <w:r w:rsidRPr="00520214">
        <w:rPr>
          <w:rFonts w:eastAsia="MS Mincho" w:cs="Times New Roman"/>
          <w:szCs w:val="24"/>
          <w:lang w:eastAsia="ja-JP"/>
        </w:rPr>
        <w:t xml:space="preserve"> </w:t>
      </w:r>
      <w:r>
        <w:rPr>
          <w:rFonts w:eastAsia="MS Mincho" w:cs="Times New Roman"/>
          <w:szCs w:val="24"/>
          <w:lang w:eastAsia="ja-JP"/>
        </w:rPr>
        <w:t xml:space="preserve">составляло около 3 ч. При использовании 2 раза в день равновесное состояние достигалось в течение 24–48 ч с несущественной кумуляцией. Тофацитиниб не ингибирует </w:t>
      </w:r>
      <w:r>
        <w:rPr>
          <w:rFonts w:eastAsia="MS Mincho" w:cs="Times New Roman"/>
          <w:szCs w:val="24"/>
          <w:lang w:val="en-US" w:eastAsia="ja-JP"/>
        </w:rPr>
        <w:t>CYP</w:t>
      </w:r>
      <w:r>
        <w:rPr>
          <w:rFonts w:eastAsia="MS Mincho" w:cs="Times New Roman"/>
          <w:szCs w:val="24"/>
          <w:lang w:eastAsia="ja-JP"/>
        </w:rPr>
        <w:t>1</w:t>
      </w:r>
      <w:r>
        <w:rPr>
          <w:rFonts w:eastAsia="MS Mincho" w:cs="Times New Roman"/>
          <w:szCs w:val="24"/>
          <w:lang w:val="en-US" w:eastAsia="ja-JP"/>
        </w:rPr>
        <w:t>A</w:t>
      </w:r>
      <w:r w:rsidRPr="00600FD5">
        <w:rPr>
          <w:rFonts w:eastAsia="MS Mincho" w:cs="Times New Roman"/>
          <w:szCs w:val="24"/>
          <w:lang w:eastAsia="ja-JP"/>
        </w:rPr>
        <w:t>2, 2</w:t>
      </w:r>
      <w:r>
        <w:rPr>
          <w:rFonts w:eastAsia="MS Mincho" w:cs="Times New Roman"/>
          <w:szCs w:val="24"/>
          <w:lang w:val="en-US" w:eastAsia="ja-JP"/>
        </w:rPr>
        <w:t>B</w:t>
      </w:r>
      <w:r w:rsidRPr="00600FD5">
        <w:rPr>
          <w:rFonts w:eastAsia="MS Mincho" w:cs="Times New Roman"/>
          <w:szCs w:val="24"/>
          <w:lang w:eastAsia="ja-JP"/>
        </w:rPr>
        <w:t>6, 2</w:t>
      </w:r>
      <w:r>
        <w:rPr>
          <w:rFonts w:eastAsia="MS Mincho" w:cs="Times New Roman"/>
          <w:szCs w:val="24"/>
          <w:lang w:val="en-US" w:eastAsia="ja-JP"/>
        </w:rPr>
        <w:t>C</w:t>
      </w:r>
      <w:r w:rsidRPr="00600FD5">
        <w:rPr>
          <w:rFonts w:eastAsia="MS Mincho" w:cs="Times New Roman"/>
          <w:szCs w:val="24"/>
          <w:lang w:eastAsia="ja-JP"/>
        </w:rPr>
        <w:t>8, 2</w:t>
      </w:r>
      <w:r>
        <w:rPr>
          <w:rFonts w:eastAsia="MS Mincho" w:cs="Times New Roman"/>
          <w:szCs w:val="24"/>
          <w:lang w:val="en-US" w:eastAsia="ja-JP"/>
        </w:rPr>
        <w:t>C</w:t>
      </w:r>
      <w:r w:rsidRPr="00600FD5">
        <w:rPr>
          <w:rFonts w:eastAsia="MS Mincho" w:cs="Times New Roman"/>
          <w:szCs w:val="24"/>
          <w:lang w:eastAsia="ja-JP"/>
        </w:rPr>
        <w:t>9, 2</w:t>
      </w:r>
      <w:r>
        <w:rPr>
          <w:rFonts w:eastAsia="MS Mincho" w:cs="Times New Roman"/>
          <w:szCs w:val="24"/>
          <w:lang w:val="en-US" w:eastAsia="ja-JP"/>
        </w:rPr>
        <w:t>C</w:t>
      </w:r>
      <w:r w:rsidRPr="00600FD5">
        <w:rPr>
          <w:rFonts w:eastAsia="MS Mincho" w:cs="Times New Roman"/>
          <w:szCs w:val="24"/>
          <w:lang w:eastAsia="ja-JP"/>
        </w:rPr>
        <w:t xml:space="preserve">19, </w:t>
      </w:r>
      <w:r w:rsidRPr="00D3152F">
        <w:rPr>
          <w:rFonts w:eastAsia="MS Mincho" w:cs="Times New Roman"/>
          <w:szCs w:val="24"/>
          <w:lang w:eastAsia="ja-JP"/>
        </w:rPr>
        <w:t>2</w:t>
      </w:r>
      <w:r>
        <w:rPr>
          <w:rFonts w:eastAsia="MS Mincho" w:cs="Times New Roman"/>
          <w:szCs w:val="24"/>
          <w:lang w:val="en-US" w:eastAsia="ja-JP"/>
        </w:rPr>
        <w:t>D</w:t>
      </w:r>
      <w:r w:rsidRPr="00D3152F">
        <w:rPr>
          <w:rFonts w:eastAsia="MS Mincho" w:cs="Times New Roman"/>
          <w:szCs w:val="24"/>
          <w:lang w:eastAsia="ja-JP"/>
        </w:rPr>
        <w:t xml:space="preserve">6 </w:t>
      </w:r>
      <w:r>
        <w:rPr>
          <w:rFonts w:eastAsia="MS Mincho" w:cs="Times New Roman"/>
          <w:szCs w:val="24"/>
          <w:lang w:eastAsia="ja-JP"/>
        </w:rPr>
        <w:t>и</w:t>
      </w:r>
      <w:r w:rsidRPr="00D3152F">
        <w:rPr>
          <w:rFonts w:eastAsia="MS Mincho" w:cs="Times New Roman"/>
          <w:szCs w:val="24"/>
          <w:lang w:eastAsia="ja-JP"/>
        </w:rPr>
        <w:t xml:space="preserve"> 3</w:t>
      </w:r>
      <w:r>
        <w:rPr>
          <w:rFonts w:eastAsia="MS Mincho" w:cs="Times New Roman"/>
          <w:szCs w:val="24"/>
          <w:lang w:val="en-US" w:eastAsia="ja-JP"/>
        </w:rPr>
        <w:t>A</w:t>
      </w:r>
      <w:r w:rsidRPr="00D3152F">
        <w:rPr>
          <w:rFonts w:eastAsia="MS Mincho" w:cs="Times New Roman"/>
          <w:szCs w:val="24"/>
          <w:lang w:eastAsia="ja-JP"/>
        </w:rPr>
        <w:t>4</w:t>
      </w:r>
      <w:r>
        <w:rPr>
          <w:rFonts w:eastAsia="MS Mincho" w:cs="Times New Roman"/>
          <w:szCs w:val="24"/>
          <w:lang w:eastAsia="ja-JP"/>
        </w:rPr>
        <w:t xml:space="preserve">, обладает низким потенциалом в отношении ингибирования </w:t>
      </w:r>
      <w:r>
        <w:rPr>
          <w:rFonts w:eastAsia="MS Mincho" w:cs="Times New Roman"/>
          <w:szCs w:val="24"/>
          <w:lang w:val="en-US" w:eastAsia="ja-JP"/>
        </w:rPr>
        <w:t>P</w:t>
      </w:r>
      <w:r w:rsidRPr="002E0BE7">
        <w:rPr>
          <w:rFonts w:eastAsia="MS Mincho" w:cs="Times New Roman"/>
          <w:szCs w:val="24"/>
          <w:lang w:eastAsia="ja-JP"/>
        </w:rPr>
        <w:t>-</w:t>
      </w:r>
      <w:r>
        <w:rPr>
          <w:rFonts w:eastAsia="MS Mincho" w:cs="Times New Roman"/>
          <w:szCs w:val="24"/>
          <w:lang w:eastAsia="ja-JP"/>
        </w:rPr>
        <w:t xml:space="preserve">гликопротеина, </w:t>
      </w:r>
      <w:r>
        <w:rPr>
          <w:rFonts w:eastAsia="MS Mincho" w:cs="Times New Roman"/>
          <w:szCs w:val="24"/>
          <w:lang w:val="en-US" w:eastAsia="ja-JP"/>
        </w:rPr>
        <w:t>OCT</w:t>
      </w:r>
      <w:r w:rsidRPr="002E0BE7">
        <w:rPr>
          <w:rFonts w:eastAsia="MS Mincho" w:cs="Times New Roman"/>
          <w:szCs w:val="24"/>
          <w:lang w:eastAsia="ja-JP"/>
        </w:rPr>
        <w:t>-2</w:t>
      </w:r>
      <w:r>
        <w:rPr>
          <w:rFonts w:eastAsia="MS Mincho" w:cs="Times New Roman"/>
          <w:szCs w:val="24"/>
          <w:lang w:eastAsia="ja-JP"/>
        </w:rPr>
        <w:t xml:space="preserve">, </w:t>
      </w:r>
      <w:r>
        <w:rPr>
          <w:rFonts w:eastAsia="MS Mincho" w:cs="Times New Roman"/>
          <w:szCs w:val="24"/>
          <w:lang w:val="en-US" w:eastAsia="ja-JP"/>
        </w:rPr>
        <w:t>OATP</w:t>
      </w:r>
      <w:r w:rsidRPr="005747F7">
        <w:rPr>
          <w:rFonts w:eastAsia="MS Mincho" w:cs="Times New Roman"/>
          <w:szCs w:val="24"/>
          <w:lang w:eastAsia="ja-JP"/>
        </w:rPr>
        <w:t>1</w:t>
      </w:r>
      <w:r>
        <w:rPr>
          <w:rFonts w:eastAsia="MS Mincho" w:cs="Times New Roman"/>
          <w:szCs w:val="24"/>
          <w:lang w:val="en-US" w:eastAsia="ja-JP"/>
        </w:rPr>
        <w:t>B</w:t>
      </w:r>
      <w:r w:rsidRPr="005747F7">
        <w:rPr>
          <w:rFonts w:eastAsia="MS Mincho" w:cs="Times New Roman"/>
          <w:szCs w:val="24"/>
          <w:lang w:eastAsia="ja-JP"/>
        </w:rPr>
        <w:t xml:space="preserve">1 </w:t>
      </w:r>
      <w:r>
        <w:rPr>
          <w:rFonts w:eastAsia="MS Mincho" w:cs="Times New Roman"/>
          <w:szCs w:val="24"/>
          <w:lang w:eastAsia="ja-JP"/>
        </w:rPr>
        <w:t xml:space="preserve">и </w:t>
      </w:r>
      <w:r>
        <w:rPr>
          <w:rFonts w:eastAsia="MS Mincho" w:cs="Times New Roman"/>
          <w:szCs w:val="24"/>
          <w:lang w:val="en-US" w:eastAsia="ja-JP"/>
        </w:rPr>
        <w:t>OATP</w:t>
      </w:r>
      <w:r w:rsidRPr="005747F7">
        <w:rPr>
          <w:rFonts w:eastAsia="MS Mincho" w:cs="Times New Roman"/>
          <w:szCs w:val="24"/>
          <w:lang w:eastAsia="ja-JP"/>
        </w:rPr>
        <w:t>1</w:t>
      </w:r>
      <w:r>
        <w:rPr>
          <w:rFonts w:eastAsia="MS Mincho" w:cs="Times New Roman"/>
          <w:szCs w:val="24"/>
          <w:lang w:val="en-US" w:eastAsia="ja-JP"/>
        </w:rPr>
        <w:t>B</w:t>
      </w:r>
      <w:r>
        <w:rPr>
          <w:rFonts w:eastAsia="MS Mincho" w:cs="Times New Roman"/>
          <w:szCs w:val="24"/>
          <w:lang w:eastAsia="ja-JP"/>
        </w:rPr>
        <w:t xml:space="preserve">3, и не является субстратом </w:t>
      </w:r>
      <w:r>
        <w:rPr>
          <w:rFonts w:eastAsia="MS Mincho" w:cs="Times New Roman"/>
          <w:szCs w:val="24"/>
          <w:lang w:val="en-US" w:eastAsia="ja-JP"/>
        </w:rPr>
        <w:t>BCRP</w:t>
      </w:r>
      <w:r>
        <w:rPr>
          <w:rFonts w:eastAsia="MS Mincho" w:cs="Times New Roman"/>
          <w:szCs w:val="24"/>
          <w:lang w:eastAsia="ja-JP"/>
        </w:rPr>
        <w:t>.</w:t>
      </w:r>
    </w:p>
    <w:p w14:paraId="3CB5201C" w14:textId="77777777" w:rsidR="00EC4891" w:rsidRDefault="00EC4891" w:rsidP="00EC4891">
      <w:pPr>
        <w:pStyle w:val="SDText"/>
        <w:contextualSpacing/>
      </w:pPr>
      <w:r w:rsidRPr="006A491D">
        <w:rPr>
          <w:rFonts w:eastAsia="MS Mincho" w:cs="Times New Roman"/>
          <w:color w:val="000000"/>
          <w:szCs w:val="24"/>
          <w:lang w:eastAsia="ja-JP"/>
        </w:rPr>
        <w:t xml:space="preserve">Клиническая эффективность </w:t>
      </w:r>
      <w:r w:rsidRPr="006A491D">
        <w:rPr>
          <w:rFonts w:eastAsia="MS Mincho" w:cs="Times New Roman"/>
          <w:szCs w:val="24"/>
          <w:lang w:eastAsia="ja-JP"/>
        </w:rPr>
        <w:t>тофацитиниба</w:t>
      </w:r>
      <w:r w:rsidRPr="006A491D">
        <w:rPr>
          <w:rFonts w:eastAsia="MS Mincho" w:cs="Times New Roman"/>
          <w:color w:val="000000"/>
          <w:szCs w:val="24"/>
          <w:lang w:eastAsia="ja-JP"/>
        </w:rPr>
        <w:t xml:space="preserve"> </w:t>
      </w:r>
      <w:r>
        <w:rPr>
          <w:rFonts w:eastAsia="MS Mincho" w:cs="Times New Roman"/>
          <w:color w:val="000000"/>
          <w:szCs w:val="24"/>
          <w:lang w:eastAsia="ja-JP"/>
        </w:rPr>
        <w:t>подтверждена</w:t>
      </w:r>
      <w:r w:rsidRPr="006A491D">
        <w:rPr>
          <w:rFonts w:eastAsia="MS Mincho" w:cs="Times New Roman"/>
          <w:color w:val="000000"/>
          <w:szCs w:val="24"/>
          <w:lang w:eastAsia="ja-JP"/>
        </w:rPr>
        <w:t xml:space="preserve"> в 2 </w:t>
      </w:r>
      <w:r w:rsidRPr="006A491D">
        <w:rPr>
          <w:rFonts w:eastAsia="MS Mincho" w:cs="Times New Roman"/>
          <w:szCs w:val="24"/>
          <w:lang w:eastAsia="ja-JP"/>
        </w:rPr>
        <w:t xml:space="preserve">исследованиях фазы </w:t>
      </w:r>
      <w:r w:rsidRPr="006A491D">
        <w:rPr>
          <w:rFonts w:eastAsia="MS Mincho" w:cs="Times New Roman"/>
          <w:szCs w:val="24"/>
          <w:lang w:val="en-US" w:eastAsia="ja-JP"/>
        </w:rPr>
        <w:t>II</w:t>
      </w:r>
      <w:r w:rsidRPr="006A491D">
        <w:rPr>
          <w:rFonts w:eastAsia="MS Mincho" w:cs="Times New Roman"/>
          <w:szCs w:val="24"/>
          <w:lang w:eastAsia="ja-JP"/>
        </w:rPr>
        <w:t xml:space="preserve"> и 7 исследованиях III и </w:t>
      </w:r>
      <w:r w:rsidRPr="006A491D">
        <w:rPr>
          <w:rFonts w:eastAsia="MS Mincho" w:cs="Times New Roman"/>
          <w:szCs w:val="24"/>
          <w:lang w:val="en-US" w:eastAsia="ja-JP"/>
        </w:rPr>
        <w:t>IIIb</w:t>
      </w:r>
      <w:r w:rsidRPr="006A491D">
        <w:rPr>
          <w:rFonts w:eastAsia="MS Mincho" w:cs="Times New Roman"/>
          <w:szCs w:val="24"/>
          <w:lang w:eastAsia="ja-JP"/>
        </w:rPr>
        <w:t>–</w:t>
      </w:r>
      <w:r w:rsidRPr="006A491D">
        <w:rPr>
          <w:rFonts w:eastAsia="MS Mincho" w:cs="Times New Roman"/>
          <w:szCs w:val="24"/>
          <w:lang w:val="en-US" w:eastAsia="ja-JP"/>
        </w:rPr>
        <w:t>IV</w:t>
      </w:r>
      <w:r w:rsidRPr="006A491D">
        <w:rPr>
          <w:rFonts w:eastAsia="MS Mincho" w:cs="Times New Roman"/>
          <w:szCs w:val="24"/>
          <w:lang w:eastAsia="ja-JP"/>
        </w:rPr>
        <w:t xml:space="preserve"> фаз</w:t>
      </w:r>
      <w:r>
        <w:rPr>
          <w:rFonts w:eastAsia="MS Mincho" w:cs="Times New Roman"/>
          <w:szCs w:val="24"/>
          <w:lang w:eastAsia="ja-JP"/>
        </w:rPr>
        <w:t>,</w:t>
      </w:r>
      <w:r w:rsidRPr="006A491D">
        <w:rPr>
          <w:rFonts w:eastAsia="MS Mincho" w:cs="Times New Roman"/>
          <w:color w:val="000000"/>
          <w:szCs w:val="24"/>
          <w:lang w:eastAsia="ja-JP"/>
        </w:rPr>
        <w:t xml:space="preserve"> </w:t>
      </w:r>
      <w:r>
        <w:rPr>
          <w:rFonts w:eastAsia="MS Mincho" w:cs="Times New Roman"/>
          <w:color w:val="000000"/>
          <w:szCs w:val="24"/>
          <w:lang w:eastAsia="ja-JP"/>
        </w:rPr>
        <w:t xml:space="preserve">и в ходе одного пострегистрационного исследования </w:t>
      </w:r>
      <w:r w:rsidRPr="006A491D">
        <w:rPr>
          <w:rFonts w:eastAsia="MS Mincho" w:cs="Times New Roman"/>
          <w:color w:val="000000"/>
          <w:szCs w:val="24"/>
          <w:lang w:eastAsia="ja-JP"/>
        </w:rPr>
        <w:t>у пациентов с РА</w:t>
      </w:r>
      <w:r w:rsidRPr="006A491D">
        <w:rPr>
          <w:rFonts w:eastAsia="MS Mincho" w:cs="Times New Roman"/>
          <w:szCs w:val="24"/>
          <w:lang w:eastAsia="ja-JP"/>
        </w:rPr>
        <w:t xml:space="preserve">, в 3 исследованиях </w:t>
      </w:r>
      <w:r>
        <w:rPr>
          <w:rFonts w:eastAsia="MS Mincho" w:cs="Times New Roman"/>
          <w:szCs w:val="24"/>
          <w:lang w:val="en-US" w:eastAsia="ja-JP"/>
        </w:rPr>
        <w:t>III</w:t>
      </w:r>
      <w:r w:rsidRPr="00A95441">
        <w:rPr>
          <w:rFonts w:eastAsia="MS Mincho" w:cs="Times New Roman"/>
          <w:szCs w:val="24"/>
          <w:lang w:eastAsia="ja-JP"/>
        </w:rPr>
        <w:t xml:space="preserve"> </w:t>
      </w:r>
      <w:r>
        <w:rPr>
          <w:rFonts w:eastAsia="MS Mincho" w:cs="Times New Roman"/>
          <w:szCs w:val="24"/>
          <w:lang w:eastAsia="ja-JP"/>
        </w:rPr>
        <w:t xml:space="preserve">фазы </w:t>
      </w:r>
      <w:r w:rsidRPr="006A491D">
        <w:rPr>
          <w:rFonts w:eastAsia="MS Mincho" w:cs="Times New Roman"/>
          <w:szCs w:val="24"/>
          <w:lang w:eastAsia="ja-JP"/>
        </w:rPr>
        <w:t>у пациентов с псориатическим артритом</w:t>
      </w:r>
      <w:r>
        <w:rPr>
          <w:rFonts w:eastAsia="MS Mincho" w:cs="Times New Roman"/>
          <w:szCs w:val="24"/>
          <w:lang w:eastAsia="ja-JP"/>
        </w:rPr>
        <w:t>,</w:t>
      </w:r>
      <w:r w:rsidRPr="006A491D">
        <w:rPr>
          <w:rFonts w:eastAsia="MS Mincho" w:cs="Times New Roman"/>
          <w:szCs w:val="24"/>
          <w:lang w:eastAsia="ja-JP"/>
        </w:rPr>
        <w:t xml:space="preserve"> и в 3 исследованиях </w:t>
      </w:r>
      <w:r>
        <w:rPr>
          <w:rFonts w:eastAsia="MS Mincho" w:cs="Times New Roman"/>
          <w:szCs w:val="24"/>
          <w:lang w:val="en-US" w:eastAsia="ja-JP"/>
        </w:rPr>
        <w:t>III</w:t>
      </w:r>
      <w:r w:rsidRPr="00A95441">
        <w:rPr>
          <w:rFonts w:eastAsia="MS Mincho" w:cs="Times New Roman"/>
          <w:szCs w:val="24"/>
          <w:lang w:eastAsia="ja-JP"/>
        </w:rPr>
        <w:t xml:space="preserve"> </w:t>
      </w:r>
      <w:r>
        <w:rPr>
          <w:rFonts w:eastAsia="MS Mincho" w:cs="Times New Roman"/>
          <w:szCs w:val="24"/>
          <w:lang w:eastAsia="ja-JP"/>
        </w:rPr>
        <w:t xml:space="preserve">фазы </w:t>
      </w:r>
      <w:r w:rsidRPr="006A491D">
        <w:rPr>
          <w:rFonts w:eastAsia="MS Mincho" w:cs="Times New Roman"/>
          <w:szCs w:val="24"/>
          <w:lang w:eastAsia="ja-JP"/>
        </w:rPr>
        <w:t xml:space="preserve">у пациентов с ЯК. Исследования являлись рандомизированными двойными слепыми плацебо контролируемыми, в ряде исследований использовали также препарат активного контроля (адалимумаб). </w:t>
      </w:r>
      <w:r>
        <w:t xml:space="preserve">В исследованиях фаз </w:t>
      </w:r>
      <w:r>
        <w:rPr>
          <w:lang w:val="en-US"/>
        </w:rPr>
        <w:t>II</w:t>
      </w:r>
      <w:r w:rsidRPr="001867FD">
        <w:t xml:space="preserve"> </w:t>
      </w:r>
      <w:r>
        <w:t xml:space="preserve">и </w:t>
      </w:r>
      <w:r>
        <w:rPr>
          <w:lang w:val="en-US"/>
        </w:rPr>
        <w:t>III</w:t>
      </w:r>
      <w:r>
        <w:t>, и в открытых неконтролируемых расширенных исследованиях длительностью до 114 мес. приняли участие 4040 пациентов (общая экспозиция 16113 пациенто-лет).</w:t>
      </w:r>
    </w:p>
    <w:p w14:paraId="0B9DA50C" w14:textId="35585861" w:rsidR="00EC4891" w:rsidRDefault="00EC4891" w:rsidP="00EC4891">
      <w:pPr>
        <w:pStyle w:val="SDText"/>
        <w:contextualSpacing/>
      </w:pPr>
      <w:r w:rsidRPr="00FF31EF">
        <w:t xml:space="preserve">Наиболее частыми серьезными </w:t>
      </w:r>
      <w:r>
        <w:t>НР</w:t>
      </w:r>
      <w:r w:rsidRPr="00FF31EF">
        <w:t xml:space="preserve"> </w:t>
      </w:r>
      <w:r>
        <w:t xml:space="preserve">в исследованиях с участием пациентов с РА </w:t>
      </w:r>
      <w:r w:rsidRPr="00FF31EF">
        <w:t>были серьезные инфекции</w:t>
      </w:r>
      <w:r>
        <w:t xml:space="preserve">. Более высокую частоту тяжелых инфекций у пациентов с РА отмечали для таблеток с пролонгированным высвобождением с дозировкой 11 мг, принимаемых один раз в день, чем для таблеток, покрытых пленочной оболочкой, с дозировкой 5 мг, принимаемых 2 раза в день. Для тофацитиниба характерным является увеличение заболеваемости опоясывающим лишаем. У пациентов с РА в возрасте 50 лет и старше, получавших тофацитиниб, наблюдали увеличение частоты риска нефатального инфаркта миокарда, новообразований, исключая НМРК, особенно рака легких и лимфомы, и смертности, которая в основном была связана с сердечно-сосудистыми событиями, инфекциями и злокачественными новообразованиями по сравнению с ингибиторами </w:t>
      </w:r>
      <w:r>
        <w:rPr>
          <w:lang w:val="en-US"/>
        </w:rPr>
        <w:t>TNF</w:t>
      </w:r>
      <w:r w:rsidRPr="002709C8">
        <w:t>-</w:t>
      </w:r>
      <w:r>
        <w:rPr>
          <w:rFonts w:cs="Times New Roman"/>
          <w:lang w:val="en-US"/>
        </w:rPr>
        <w:t>α</w:t>
      </w:r>
      <w:r>
        <w:t>.</w:t>
      </w:r>
    </w:p>
    <w:p w14:paraId="4C1D031F" w14:textId="77777777" w:rsidR="00D710DE" w:rsidRDefault="00EC4891" w:rsidP="00D710DE">
      <w:pPr>
        <w:pStyle w:val="SDText"/>
        <w:contextualSpacing/>
      </w:pPr>
      <w:r>
        <w:t>В ходе пострегистрационных исследований установили, что примерно у трети пациентов с РА можно прекратить прием тофацитиниба без риска обострения. Низкий уровень РФ является прогностическим фактором для возможности сохранения низкой активности заболевания после прекращения приема тофацитиниба.</w:t>
      </w:r>
      <w:r w:rsidRPr="004022CE">
        <w:t xml:space="preserve"> </w:t>
      </w:r>
      <w:r>
        <w:t xml:space="preserve">Однако после достижения ремиссии или низкой активности заболевания стратегия снижения дозы </w:t>
      </w:r>
      <w:r>
        <w:lastRenderedPageBreak/>
        <w:t>предпочтительнее немедленной отмены тофацитиниба. Возобновление исходного режима в случаях обострения может восстановить контроль над РА.</w:t>
      </w:r>
      <w:r w:rsidRPr="00EA3DCB">
        <w:t xml:space="preserve"> </w:t>
      </w:r>
      <w:r>
        <w:t xml:space="preserve">В пострегистрационный период также выявлено положительное влияние применения тофацитиниба у пациентов с другими заболеваниями, среди которых атопический дерматит, СКВ и </w:t>
      </w:r>
      <w:r>
        <w:rPr>
          <w:lang w:val="en-US"/>
        </w:rPr>
        <w:t>COVID</w:t>
      </w:r>
      <w:r w:rsidRPr="00AE6604">
        <w:t>-19</w:t>
      </w:r>
      <w:r>
        <w:t>.</w:t>
      </w:r>
    </w:p>
    <w:p w14:paraId="06EDB9CD" w14:textId="2099F9C4" w:rsidR="00D710DE" w:rsidRDefault="00EC4891" w:rsidP="00D710DE">
      <w:pPr>
        <w:pStyle w:val="SDText"/>
        <w:contextualSpacing/>
        <w:rPr>
          <w:color w:val="000000" w:themeColor="text1"/>
        </w:rPr>
      </w:pPr>
      <w:r w:rsidRPr="00005F66">
        <w:rPr>
          <w:lang w:val="en-US"/>
        </w:rPr>
        <w:t>DT</w:t>
      </w:r>
      <w:r w:rsidRPr="00005F66">
        <w:t>-</w:t>
      </w:r>
      <w:r w:rsidRPr="00005F66">
        <w:rPr>
          <w:lang w:val="en-US"/>
        </w:rPr>
        <w:t>TFC</w:t>
      </w:r>
      <w:r>
        <w:rPr>
          <w:lang w:eastAsia="ja-JP"/>
        </w:rPr>
        <w:t xml:space="preserve">, </w:t>
      </w:r>
      <w:r w:rsidRPr="001D6ABD">
        <w:rPr>
          <w:lang w:eastAsia="ja-JP"/>
        </w:rPr>
        <w:t>таблетки, покрытые пленочной оболочкой, 5 мг</w:t>
      </w:r>
      <w:r w:rsidR="00D71CE8">
        <w:rPr>
          <w:lang w:eastAsia="ja-JP"/>
        </w:rPr>
        <w:t xml:space="preserve"> и</w:t>
      </w:r>
      <w:r w:rsidRPr="001D6ABD">
        <w:rPr>
          <w:lang w:eastAsia="ja-JP"/>
        </w:rPr>
        <w:t xml:space="preserve"> 10 мг</w:t>
      </w:r>
      <w:r>
        <w:rPr>
          <w:lang w:eastAsia="ja-JP"/>
        </w:rPr>
        <w:t xml:space="preserve"> – воспроизведенный препарат тофацитиниба</w:t>
      </w:r>
      <w:r w:rsidRPr="00D71CE8">
        <w:rPr>
          <w:lang w:eastAsia="ja-JP"/>
        </w:rPr>
        <w:t xml:space="preserve">, </w:t>
      </w:r>
      <w:r w:rsidR="00D71CE8" w:rsidRPr="00D71CE8">
        <w:rPr>
          <w:bCs/>
          <w:lang w:eastAsia="ru-RU"/>
        </w:rPr>
        <w:t>разработанный дочерним подразделением ГК «Р-Фарм», Россия – ООО «Технология лекарств», по заказу АО «Р-Фарм»</w:t>
      </w:r>
      <w:r w:rsidRPr="00D71CE8">
        <w:rPr>
          <w:color w:val="000000"/>
          <w:lang w:eastAsia="ja-JP"/>
        </w:rPr>
        <w:t>.</w:t>
      </w:r>
      <w:r w:rsidR="00D710DE">
        <w:rPr>
          <w:color w:val="000000"/>
          <w:lang w:eastAsia="ja-JP"/>
        </w:rPr>
        <w:t xml:space="preserve"> </w:t>
      </w:r>
      <w:r w:rsidR="00D710DE">
        <w:rPr>
          <w:bCs/>
          <w:lang w:eastAsia="ru-RU"/>
        </w:rPr>
        <w:t xml:space="preserve">Он </w:t>
      </w:r>
      <w:r w:rsidR="00D710DE" w:rsidRPr="00A211C2">
        <w:rPr>
          <w:bCs/>
          <w:lang w:eastAsia="ru-RU"/>
        </w:rPr>
        <w:t>п</w:t>
      </w:r>
      <w:r w:rsidR="00D710DE" w:rsidRPr="00A211C2">
        <w:rPr>
          <w:color w:val="000000"/>
        </w:rPr>
        <w:t xml:space="preserve">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 эверолимуса </w:t>
      </w:r>
      <w:r w:rsidR="00D710DE" w:rsidRPr="00A211C2">
        <w:rPr>
          <w:rFonts w:eastAsia="MS Mincho"/>
          <w:szCs w:val="24"/>
          <w:lang w:eastAsia="ru-RU"/>
        </w:rPr>
        <w:t>Яквинус</w:t>
      </w:r>
      <w:r w:rsidR="00D710DE" w:rsidRPr="00A211C2">
        <w:rPr>
          <w:rFonts w:eastAsia="MS Mincho"/>
          <w:szCs w:val="24"/>
          <w:vertAlign w:val="superscript"/>
          <w:lang w:eastAsia="ru-RU"/>
        </w:rPr>
        <w:t>®</w:t>
      </w:r>
      <w:r w:rsidR="00D710DE" w:rsidRPr="00A211C2">
        <w:rPr>
          <w:lang w:eastAsia="ru-RU"/>
        </w:rPr>
        <w:t xml:space="preserve"> (владелец РУ - </w:t>
      </w:r>
      <w:r w:rsidR="00D710DE" w:rsidRPr="00A211C2">
        <w:rPr>
          <w:rFonts w:eastAsia="MS Mincho"/>
          <w:szCs w:val="24"/>
          <w:lang w:eastAsia="ru-RU"/>
        </w:rPr>
        <w:t>Пфайзер Инк, США</w:t>
      </w:r>
      <w:r w:rsidR="00D710DE" w:rsidRPr="00A211C2">
        <w:rPr>
          <w:lang w:eastAsia="ru-RU"/>
        </w:rPr>
        <w:t xml:space="preserve">), </w:t>
      </w:r>
      <w:r w:rsidR="00D710DE" w:rsidRPr="00A211C2">
        <w:rPr>
          <w:color w:val="000000"/>
        </w:rPr>
        <w:t>имея отличия в качественном и количественном составе пленочной оболочки таблетки</w:t>
      </w:r>
      <w:r w:rsidR="00D71CE8">
        <w:rPr>
          <w:color w:val="000000"/>
        </w:rPr>
        <w:t xml:space="preserve"> </w:t>
      </w:r>
      <w:r w:rsidR="00D71CE8">
        <w:rPr>
          <w:color w:val="000000"/>
          <w:szCs w:val="24"/>
        </w:rPr>
        <w:t>и типе целлюлозы микрокристаллической, входящей в состав ядра таблетки</w:t>
      </w:r>
      <w:r w:rsidR="00D710DE" w:rsidRPr="00A211C2">
        <w:rPr>
          <w:lang w:eastAsia="ru-RU"/>
        </w:rPr>
        <w:t>.</w:t>
      </w:r>
      <w:r w:rsidR="00D71CE8">
        <w:rPr>
          <w:lang w:eastAsia="ru-RU"/>
        </w:rPr>
        <w:t xml:space="preserve"> </w:t>
      </w:r>
      <w:r w:rsidR="00D710DE">
        <w:rPr>
          <w:lang w:eastAsia="ru-RU"/>
        </w:rPr>
        <w:t xml:space="preserve">Для оказательства эквивалентности препарата </w:t>
      </w:r>
      <w:r w:rsidR="00D710DE" w:rsidRPr="008F1926">
        <w:rPr>
          <w:lang w:val="en-US" w:eastAsia="ru-RU"/>
        </w:rPr>
        <w:t>D</w:t>
      </w:r>
      <w:r w:rsidR="00D710DE" w:rsidRPr="008F1926">
        <w:rPr>
          <w:lang w:eastAsia="ru-RU"/>
        </w:rPr>
        <w:t>T-</w:t>
      </w:r>
      <w:r w:rsidR="00D710DE">
        <w:rPr>
          <w:rFonts w:eastAsia="MS Mincho"/>
          <w:szCs w:val="24"/>
          <w:lang w:val="en-US" w:eastAsia="ru-RU"/>
        </w:rPr>
        <w:t>TFC</w:t>
      </w:r>
      <w:r w:rsidR="00D710DE">
        <w:rPr>
          <w:rFonts w:eastAsia="MS Mincho"/>
          <w:szCs w:val="24"/>
          <w:lang w:eastAsia="ru-RU"/>
        </w:rPr>
        <w:t xml:space="preserve"> были проведены исследования сравнительной кинетики растворения в сравнении с референтным препаратом </w:t>
      </w:r>
      <w:r w:rsidR="00D710DE" w:rsidRPr="00A211C2">
        <w:rPr>
          <w:rFonts w:eastAsia="MS Mincho"/>
          <w:szCs w:val="24"/>
          <w:lang w:eastAsia="ru-RU"/>
        </w:rPr>
        <w:t>Яквинус</w:t>
      </w:r>
      <w:r w:rsidR="00D710DE" w:rsidRPr="00A211C2">
        <w:rPr>
          <w:rFonts w:eastAsia="MS Mincho"/>
          <w:szCs w:val="24"/>
          <w:vertAlign w:val="superscript"/>
          <w:lang w:eastAsia="ru-RU"/>
        </w:rPr>
        <w:t>®</w:t>
      </w:r>
      <w:r w:rsidR="00D710DE" w:rsidRPr="00A211C2">
        <w:rPr>
          <w:lang w:eastAsia="ru-RU"/>
        </w:rPr>
        <w:t xml:space="preserve"> (владелец РУ - </w:t>
      </w:r>
      <w:r w:rsidR="00D710DE" w:rsidRPr="00A211C2">
        <w:rPr>
          <w:rFonts w:eastAsia="MS Mincho"/>
          <w:szCs w:val="24"/>
          <w:lang w:eastAsia="ru-RU"/>
        </w:rPr>
        <w:t>Пфайзер Инк, США</w:t>
      </w:r>
      <w:r w:rsidR="00D710DE">
        <w:rPr>
          <w:rFonts w:eastAsia="MS Mincho"/>
          <w:szCs w:val="24"/>
          <w:lang w:eastAsia="ru-RU"/>
        </w:rPr>
        <w:t>) в дозировке 10 мг</w:t>
      </w:r>
      <w:r w:rsidR="00D710DE" w:rsidRPr="00294C0B">
        <w:rPr>
          <w:color w:val="000000" w:themeColor="text1"/>
        </w:rPr>
        <w:t xml:space="preserve"> </w:t>
      </w:r>
      <w:r w:rsidR="00D710DE">
        <w:rPr>
          <w:color w:val="000000" w:themeColor="text1"/>
        </w:rPr>
        <w:t>(в 2</w:t>
      </w:r>
      <w:r w:rsidR="00D710DE" w:rsidRPr="00294C0B">
        <w:rPr>
          <w:color w:val="000000" w:themeColor="text1"/>
        </w:rPr>
        <w:t xml:space="preserve">-х </w:t>
      </w:r>
      <w:r w:rsidR="00D710DE">
        <w:rPr>
          <w:color w:val="000000" w:themeColor="text1"/>
        </w:rPr>
        <w:t xml:space="preserve">модельных </w:t>
      </w:r>
      <w:r w:rsidR="00D710DE" w:rsidRPr="00294C0B">
        <w:rPr>
          <w:color w:val="000000" w:themeColor="text1"/>
        </w:rPr>
        <w:t>сред</w:t>
      </w:r>
      <w:r w:rsidR="00D710DE">
        <w:rPr>
          <w:color w:val="000000" w:themeColor="text1"/>
        </w:rPr>
        <w:t>ах</w:t>
      </w:r>
      <w:r w:rsidR="00D710DE" w:rsidRPr="00294C0B">
        <w:rPr>
          <w:color w:val="000000" w:themeColor="text1"/>
        </w:rPr>
        <w:t xml:space="preserve"> </w:t>
      </w:r>
      <w:r w:rsidR="00D710DE">
        <w:t xml:space="preserve">с </w:t>
      </w:r>
      <w:r w:rsidR="00D710DE" w:rsidRPr="008C2C72">
        <w:rPr>
          <w:lang w:val="en-US"/>
        </w:rPr>
        <w:t>pH</w:t>
      </w:r>
      <w:r w:rsidR="00D710DE">
        <w:t xml:space="preserve"> 4,5</w:t>
      </w:r>
      <w:r w:rsidR="00911DDD">
        <w:t xml:space="preserve"> и</w:t>
      </w:r>
      <w:r w:rsidR="00D710DE">
        <w:t xml:space="preserve"> </w:t>
      </w:r>
      <w:r w:rsidR="00D710DE" w:rsidRPr="008C2C72">
        <w:t>6,8</w:t>
      </w:r>
      <w:r w:rsidR="00911DDD">
        <w:t>, а так</w:t>
      </w:r>
      <w:r w:rsidR="00D710DE">
        <w:t xml:space="preserve">же в среде по НД - </w:t>
      </w:r>
      <w:r w:rsidR="00D710DE" w:rsidRPr="008C2C72">
        <w:t>0,1</w:t>
      </w:r>
      <w:r w:rsidR="00911DDD">
        <w:t xml:space="preserve"> </w:t>
      </w:r>
      <w:r w:rsidR="00D710DE" w:rsidRPr="008C2C72">
        <w:t xml:space="preserve">М </w:t>
      </w:r>
      <w:r w:rsidR="00911DDD">
        <w:t xml:space="preserve">раствор </w:t>
      </w:r>
      <w:r w:rsidR="00D710DE" w:rsidRPr="008C2C72">
        <w:t>хлороводородн</w:t>
      </w:r>
      <w:r w:rsidR="00911DDD">
        <w:t>ой</w:t>
      </w:r>
      <w:r w:rsidR="00D710DE" w:rsidRPr="008C2C72">
        <w:t xml:space="preserve"> кислот</w:t>
      </w:r>
      <w:r w:rsidR="00911DDD">
        <w:t>ы</w:t>
      </w:r>
      <w:r w:rsidR="00D710DE">
        <w:t xml:space="preserve">). </w:t>
      </w:r>
      <w:r w:rsidR="00D710DE">
        <w:rPr>
          <w:color w:val="000000"/>
        </w:rPr>
        <w:t xml:space="preserve">Согласно полученным данным, кинетика растворения </w:t>
      </w:r>
      <w:r w:rsidR="00D710DE">
        <w:rPr>
          <w:lang w:val="en-US" w:eastAsia="ru-RU"/>
        </w:rPr>
        <w:t>D</w:t>
      </w:r>
      <w:r w:rsidR="00D710DE">
        <w:rPr>
          <w:lang w:eastAsia="ru-RU"/>
        </w:rPr>
        <w:t>T-</w:t>
      </w:r>
      <w:r w:rsidR="00911DDD">
        <w:rPr>
          <w:lang w:val="en-US" w:eastAsia="ru-RU"/>
        </w:rPr>
        <w:t>TFC</w:t>
      </w:r>
      <w:r w:rsidR="00D710DE">
        <w:rPr>
          <w:color w:val="000000"/>
        </w:rPr>
        <w:t>, таблетки,</w:t>
      </w:r>
      <w:r w:rsidR="00911DDD" w:rsidRPr="00911DDD">
        <w:rPr>
          <w:color w:val="000000"/>
        </w:rPr>
        <w:t xml:space="preserve"> </w:t>
      </w:r>
      <w:r w:rsidR="00911DDD">
        <w:rPr>
          <w:color w:val="000000"/>
        </w:rPr>
        <w:t>покрытые пленочной оболочкой,</w:t>
      </w:r>
      <w:r w:rsidR="00D710DE">
        <w:rPr>
          <w:color w:val="000000"/>
        </w:rPr>
        <w:t xml:space="preserve"> эквивалентна кинетике растворения референтного препарата </w:t>
      </w:r>
      <w:r w:rsidR="00911DDD">
        <w:rPr>
          <w:color w:val="000000"/>
        </w:rPr>
        <w:t>Яквинус</w:t>
      </w:r>
      <w:r w:rsidR="00D710DE">
        <w:rPr>
          <w:color w:val="000000"/>
          <w:vertAlign w:val="superscript"/>
        </w:rPr>
        <w:t>®</w:t>
      </w:r>
      <w:r w:rsidR="00D710DE">
        <w:rPr>
          <w:color w:val="000000"/>
        </w:rPr>
        <w:t>, таблетки,</w:t>
      </w:r>
      <w:r w:rsidR="00911DDD">
        <w:rPr>
          <w:color w:val="000000"/>
        </w:rPr>
        <w:t xml:space="preserve"> покрытые пленочной оболочкой,</w:t>
      </w:r>
      <w:r w:rsidR="00D710DE">
        <w:rPr>
          <w:color w:val="000000"/>
        </w:rPr>
        <w:t xml:space="preserve"> что позволяет предполагать также эквивалентность фармакологических свойств обоих препаратов</w:t>
      </w:r>
      <w:r w:rsidR="00D710DE">
        <w:rPr>
          <w:color w:val="000000" w:themeColor="text1"/>
        </w:rPr>
        <w:t>.</w:t>
      </w:r>
    </w:p>
    <w:p w14:paraId="49349B7C" w14:textId="5A579700" w:rsidR="00D710DE" w:rsidRDefault="00EC4891" w:rsidP="00D710DE">
      <w:pPr>
        <w:pStyle w:val="SDText"/>
        <w:contextualSpacing/>
        <w:rPr>
          <w:szCs w:val="24"/>
        </w:rPr>
      </w:pPr>
      <w:r w:rsidRPr="00BA0F9F">
        <w:rPr>
          <w:bCs/>
          <w:lang w:eastAsia="ru-RU"/>
        </w:rPr>
        <w:t xml:space="preserve">Внедрение в клиническую практику нового воспроизведенного препарата </w:t>
      </w:r>
      <w:r>
        <w:rPr>
          <w:rFonts w:eastAsia="Calibri"/>
          <w:lang w:eastAsia="ar-SA"/>
        </w:rPr>
        <w:t>висмодегиба</w:t>
      </w:r>
      <w:r w:rsidRPr="00BA0F9F">
        <w:rPr>
          <w:bCs/>
          <w:lang w:eastAsia="ru-RU"/>
        </w:rPr>
        <w:t xml:space="preserve"> позволит снизить цену современной </w:t>
      </w:r>
      <w:r>
        <w:rPr>
          <w:bCs/>
          <w:lang w:eastAsia="ru-RU"/>
        </w:rPr>
        <w:t xml:space="preserve">терапии для пациентов с </w:t>
      </w:r>
      <w:r w:rsidR="00D710DE">
        <w:rPr>
          <w:bCs/>
          <w:lang w:eastAsia="ru-RU"/>
        </w:rPr>
        <w:t xml:space="preserve">такими заболеваниями, как </w:t>
      </w:r>
      <w:r w:rsidR="00D710DE">
        <w:rPr>
          <w:szCs w:val="24"/>
        </w:rPr>
        <w:t>р</w:t>
      </w:r>
      <w:r w:rsidR="00D710DE" w:rsidRPr="000F582A">
        <w:rPr>
          <w:szCs w:val="24"/>
        </w:rPr>
        <w:t>евматоидный артрит, псориатический артрит, анкилозирующий спондилоартрит, бляшечный псориаз, язвенный колит, полиартикулярный ювенильный идиопатический артрит</w:t>
      </w:r>
      <w:r w:rsidR="00D710DE">
        <w:rPr>
          <w:szCs w:val="24"/>
        </w:rPr>
        <w:t>.</w:t>
      </w:r>
    </w:p>
    <w:p w14:paraId="3C5996FD" w14:textId="603AC215" w:rsidR="00EC4891" w:rsidRPr="00D710DE" w:rsidRDefault="00EC4891" w:rsidP="00D710DE">
      <w:pPr>
        <w:pStyle w:val="SDText"/>
        <w:contextualSpacing/>
      </w:pPr>
    </w:p>
    <w:p w14:paraId="5B0DD2B7" w14:textId="77777777" w:rsidR="00EC4891" w:rsidRPr="00EC4891" w:rsidRDefault="00EC4891" w:rsidP="00EC4891">
      <w:pPr>
        <w:pStyle w:val="SDText"/>
        <w:contextualSpacing/>
        <w:rPr>
          <w:color w:val="000000"/>
          <w:lang w:eastAsia="ja-JP"/>
        </w:rPr>
      </w:pPr>
    </w:p>
    <w:p w14:paraId="59E1C05B" w14:textId="449D3C60" w:rsidR="000F582A" w:rsidRPr="000F582A" w:rsidRDefault="000F582A" w:rsidP="000F582A">
      <w:pPr>
        <w:ind w:firstLine="0"/>
        <w:jc w:val="left"/>
      </w:pPr>
      <w:r>
        <w:br w:type="page"/>
      </w:r>
    </w:p>
    <w:p w14:paraId="3A449283" w14:textId="5F59D970" w:rsidR="000F582A" w:rsidRDefault="000F582A" w:rsidP="00495A04">
      <w:pPr>
        <w:pStyle w:val="1"/>
        <w:numPr>
          <w:ilvl w:val="0"/>
          <w:numId w:val="1"/>
        </w:numPr>
      </w:pPr>
      <w:bookmarkStart w:id="11" w:name="_Toc115217903"/>
      <w:bookmarkStart w:id="12" w:name="_Toc118124134"/>
      <w:bookmarkStart w:id="13" w:name="_Toc121592531"/>
      <w:bookmarkStart w:id="14" w:name="_Toc115421002"/>
      <w:r w:rsidRPr="00DA4C45">
        <w:lastRenderedPageBreak/>
        <w:t>ВВЕДЕНИЕ</w:t>
      </w:r>
      <w:bookmarkEnd w:id="11"/>
      <w:bookmarkEnd w:id="12"/>
      <w:bookmarkEnd w:id="13"/>
    </w:p>
    <w:p w14:paraId="130DE576" w14:textId="77777777" w:rsidR="00D710DE" w:rsidRPr="00D710DE" w:rsidRDefault="00D710DE" w:rsidP="00D710DE">
      <w:pPr>
        <w:pStyle w:val="OT"/>
      </w:pPr>
    </w:p>
    <w:p w14:paraId="628163B8" w14:textId="283F6C1B" w:rsidR="000F582A" w:rsidRPr="00DA4C45" w:rsidRDefault="00495A04" w:rsidP="00495A04">
      <w:pPr>
        <w:pStyle w:val="2"/>
        <w:numPr>
          <w:ilvl w:val="0"/>
          <w:numId w:val="0"/>
        </w:numPr>
        <w:ind w:left="576" w:hanging="576"/>
      </w:pPr>
      <w:bookmarkStart w:id="15" w:name="_Toc415001066"/>
      <w:bookmarkStart w:id="16" w:name="_Toc115217904"/>
      <w:bookmarkStart w:id="17" w:name="_Toc118124135"/>
      <w:bookmarkStart w:id="18" w:name="_Toc121592532"/>
      <w:bookmarkEnd w:id="14"/>
      <w:r>
        <w:t xml:space="preserve">1.1. </w:t>
      </w:r>
      <w:r w:rsidR="000F582A" w:rsidRPr="00DA4C45">
        <w:t>Химическое название</w:t>
      </w:r>
      <w:bookmarkEnd w:id="15"/>
      <w:bookmarkEnd w:id="16"/>
      <w:bookmarkEnd w:id="17"/>
      <w:bookmarkEnd w:id="18"/>
    </w:p>
    <w:p w14:paraId="41AA3C3E" w14:textId="77777777" w:rsidR="00DE11C7" w:rsidRDefault="00DE11C7" w:rsidP="00DE11C7">
      <w:pPr>
        <w:pStyle w:val="SDText"/>
        <w:contextualSpacing/>
        <w:rPr>
          <w:szCs w:val="24"/>
        </w:rPr>
      </w:pPr>
    </w:p>
    <w:p w14:paraId="33271118" w14:textId="22A5E4D1" w:rsidR="00DE11C7" w:rsidRPr="00911DDD" w:rsidRDefault="00A466A7" w:rsidP="00911DDD">
      <w:pPr>
        <w:pStyle w:val="SDText"/>
        <w:contextualSpacing/>
        <w:rPr>
          <w:szCs w:val="24"/>
        </w:rPr>
      </w:pPr>
      <w:r w:rsidRPr="00DA4C45">
        <w:rPr>
          <w:szCs w:val="24"/>
        </w:rPr>
        <w:t>3-((3R,4R)-4-метил-3-( метил (7H-пирроло[2,3-d]</w:t>
      </w:r>
      <w:r w:rsidR="00142FDA" w:rsidRPr="00DA4C45">
        <w:rPr>
          <w:szCs w:val="24"/>
        </w:rPr>
        <w:t>пиримидин</w:t>
      </w:r>
      <w:r w:rsidRPr="00DA4C45">
        <w:rPr>
          <w:szCs w:val="24"/>
        </w:rPr>
        <w:t>-4-</w:t>
      </w:r>
      <w:r w:rsidR="00142FDA" w:rsidRPr="00DA4C45">
        <w:rPr>
          <w:szCs w:val="24"/>
        </w:rPr>
        <w:t>ил</w:t>
      </w:r>
      <w:r w:rsidRPr="00DA4C45">
        <w:rPr>
          <w:szCs w:val="24"/>
        </w:rPr>
        <w:t>)</w:t>
      </w:r>
      <w:r w:rsidR="00142FDA" w:rsidRPr="00DA4C45">
        <w:rPr>
          <w:szCs w:val="24"/>
        </w:rPr>
        <w:t>амино</w:t>
      </w:r>
      <w:r w:rsidRPr="00DA4C45">
        <w:rPr>
          <w:szCs w:val="24"/>
        </w:rPr>
        <w:t>)</w:t>
      </w:r>
      <w:r w:rsidR="00911DDD">
        <w:rPr>
          <w:szCs w:val="24"/>
        </w:rPr>
        <w:t xml:space="preserve"> </w:t>
      </w:r>
      <w:r w:rsidR="00142FDA" w:rsidRPr="00DA4C45">
        <w:rPr>
          <w:szCs w:val="24"/>
        </w:rPr>
        <w:t>пиперидин</w:t>
      </w:r>
      <w:r w:rsidRPr="00DA4C45">
        <w:rPr>
          <w:szCs w:val="24"/>
        </w:rPr>
        <w:t>-1-</w:t>
      </w:r>
      <w:r w:rsidR="00142FDA" w:rsidRPr="00DA4C45">
        <w:rPr>
          <w:szCs w:val="24"/>
        </w:rPr>
        <w:t>ил</w:t>
      </w:r>
      <w:r w:rsidRPr="00DA4C45">
        <w:rPr>
          <w:szCs w:val="24"/>
        </w:rPr>
        <w:t>)</w:t>
      </w:r>
      <w:r w:rsidR="00911DDD">
        <w:rPr>
          <w:szCs w:val="24"/>
        </w:rPr>
        <w:t xml:space="preserve"> </w:t>
      </w:r>
      <w:r w:rsidRPr="00DA4C45">
        <w:rPr>
          <w:szCs w:val="24"/>
        </w:rPr>
        <w:t>-3-</w:t>
      </w:r>
      <w:r w:rsidR="00142FDA" w:rsidRPr="00DA4C45">
        <w:rPr>
          <w:szCs w:val="24"/>
        </w:rPr>
        <w:t>оксопропаннитрил</w:t>
      </w:r>
      <w:r w:rsidRPr="00DA4C45">
        <w:rPr>
          <w:szCs w:val="24"/>
        </w:rPr>
        <w:t xml:space="preserve"> </w:t>
      </w:r>
      <w:bookmarkStart w:id="19" w:name="_Toc115217905"/>
      <w:bookmarkStart w:id="20" w:name="_Toc118124136"/>
      <w:r w:rsidR="00911DDD" w:rsidRPr="00911DDD">
        <w:rPr>
          <w:szCs w:val="24"/>
        </w:rPr>
        <w:t>[1]</w:t>
      </w:r>
    </w:p>
    <w:p w14:paraId="361A8379" w14:textId="1FA7BA00" w:rsidR="000F582A" w:rsidRPr="00DA4C45" w:rsidRDefault="00495A04" w:rsidP="00495A04">
      <w:pPr>
        <w:pStyle w:val="2"/>
        <w:numPr>
          <w:ilvl w:val="0"/>
          <w:numId w:val="0"/>
        </w:numPr>
        <w:ind w:left="576" w:hanging="576"/>
      </w:pPr>
      <w:bookmarkStart w:id="21" w:name="_Toc121592533"/>
      <w:r>
        <w:t xml:space="preserve">1.2. </w:t>
      </w:r>
      <w:r w:rsidR="000F582A" w:rsidRPr="00DA4C45">
        <w:t>Международное непатентованное название</w:t>
      </w:r>
      <w:bookmarkEnd w:id="19"/>
      <w:bookmarkEnd w:id="20"/>
      <w:bookmarkEnd w:id="21"/>
    </w:p>
    <w:p w14:paraId="3AD5F53C" w14:textId="77777777" w:rsidR="00DE11C7" w:rsidRDefault="00DE11C7" w:rsidP="00DA4C45">
      <w:pPr>
        <w:pStyle w:val="SDText"/>
        <w:contextualSpacing/>
        <w:rPr>
          <w:szCs w:val="24"/>
        </w:rPr>
      </w:pPr>
    </w:p>
    <w:p w14:paraId="01951745" w14:textId="6BBCF2BF" w:rsidR="00DA4C45" w:rsidRPr="00911DDD" w:rsidRDefault="000F582A" w:rsidP="00911DDD">
      <w:pPr>
        <w:pStyle w:val="SDText"/>
        <w:contextualSpacing/>
        <w:rPr>
          <w:szCs w:val="24"/>
        </w:rPr>
      </w:pPr>
      <w:r w:rsidRPr="00DA4C45">
        <w:rPr>
          <w:szCs w:val="24"/>
        </w:rPr>
        <w:t>Т</w:t>
      </w:r>
      <w:r w:rsidR="00F87AB0" w:rsidRPr="00DA4C45">
        <w:rPr>
          <w:szCs w:val="24"/>
        </w:rPr>
        <w:t>офацитиниб</w:t>
      </w:r>
      <w:bookmarkStart w:id="22" w:name="_Toc115217906"/>
      <w:bookmarkStart w:id="23" w:name="_Toc118124137"/>
    </w:p>
    <w:p w14:paraId="588715AB" w14:textId="4E7A5C8E" w:rsidR="000F582A" w:rsidRPr="00DA4C45" w:rsidRDefault="00495A04" w:rsidP="00495A04">
      <w:pPr>
        <w:pStyle w:val="2"/>
        <w:numPr>
          <w:ilvl w:val="0"/>
          <w:numId w:val="0"/>
        </w:numPr>
        <w:ind w:left="576" w:hanging="576"/>
      </w:pPr>
      <w:bookmarkStart w:id="24" w:name="_Toc121592534"/>
      <w:r>
        <w:t xml:space="preserve">1.3. </w:t>
      </w:r>
      <w:r w:rsidR="000F582A" w:rsidRPr="00DA4C45">
        <w:t>Торговое название</w:t>
      </w:r>
      <w:bookmarkEnd w:id="22"/>
      <w:bookmarkEnd w:id="23"/>
      <w:bookmarkEnd w:id="24"/>
    </w:p>
    <w:p w14:paraId="3D2DC90D" w14:textId="77777777" w:rsidR="00DE11C7" w:rsidRDefault="00DE11C7" w:rsidP="00DA4C45">
      <w:pPr>
        <w:pStyle w:val="aff"/>
        <w:spacing w:after="0"/>
        <w:ind w:firstLine="0"/>
        <w:rPr>
          <w:color w:val="000000" w:themeColor="text1"/>
          <w:szCs w:val="24"/>
        </w:rPr>
      </w:pPr>
    </w:p>
    <w:p w14:paraId="4BA86240" w14:textId="5A38E7B0" w:rsidR="000F582A" w:rsidRPr="00DA4C45" w:rsidRDefault="000F582A" w:rsidP="00DA4C45">
      <w:pPr>
        <w:pStyle w:val="aff"/>
        <w:spacing w:after="0"/>
        <w:ind w:firstLine="0"/>
        <w:rPr>
          <w:color w:val="000000" w:themeColor="text1"/>
          <w:szCs w:val="24"/>
        </w:rPr>
      </w:pPr>
      <w:r w:rsidRPr="00DA4C45">
        <w:rPr>
          <w:color w:val="000000" w:themeColor="text1"/>
          <w:szCs w:val="24"/>
        </w:rPr>
        <w:t>Торговое название –</w:t>
      </w:r>
      <w:r w:rsidR="00911DDD">
        <w:rPr>
          <w:color w:val="000000" w:themeColor="text1"/>
          <w:szCs w:val="24"/>
        </w:rPr>
        <w:t xml:space="preserve"> </w:t>
      </w:r>
      <w:r w:rsidRPr="00DA4C45">
        <w:rPr>
          <w:szCs w:val="24"/>
        </w:rPr>
        <w:t>ТОФАЦИТИНИБ</w:t>
      </w:r>
      <w:r w:rsidRPr="00DA4C45">
        <w:rPr>
          <w:color w:val="000000" w:themeColor="text1"/>
          <w:szCs w:val="24"/>
        </w:rPr>
        <w:t>.</w:t>
      </w:r>
    </w:p>
    <w:p w14:paraId="15CE1F8C" w14:textId="5D3A1DF7" w:rsidR="000F582A" w:rsidRPr="00DA4C45" w:rsidRDefault="000F582A" w:rsidP="00DA4C45">
      <w:pPr>
        <w:pStyle w:val="aff"/>
        <w:spacing w:after="0"/>
        <w:ind w:firstLine="0"/>
        <w:rPr>
          <w:color w:val="000000" w:themeColor="text1"/>
          <w:szCs w:val="24"/>
        </w:rPr>
      </w:pPr>
      <w:r w:rsidRPr="00DA4C45">
        <w:rPr>
          <w:color w:val="000000" w:themeColor="text1"/>
          <w:szCs w:val="24"/>
        </w:rPr>
        <w:t xml:space="preserve">Внутреннее название - </w:t>
      </w:r>
      <w:r w:rsidRPr="00DA4C45">
        <w:rPr>
          <w:rFonts w:eastAsia="MS Mincho"/>
          <w:szCs w:val="24"/>
          <w:lang w:val="en-US" w:eastAsia="ru-RU"/>
        </w:rPr>
        <w:t>D</w:t>
      </w:r>
      <w:r w:rsidRPr="00DA4C45">
        <w:rPr>
          <w:rFonts w:eastAsia="MS Mincho"/>
          <w:szCs w:val="24"/>
          <w:lang w:eastAsia="ru-RU"/>
        </w:rPr>
        <w:t>T-</w:t>
      </w:r>
      <w:r w:rsidRPr="00DA4C45">
        <w:rPr>
          <w:rFonts w:eastAsia="MS Mincho"/>
          <w:szCs w:val="24"/>
          <w:lang w:val="en-US" w:eastAsia="ru-RU"/>
        </w:rPr>
        <w:t>TFC</w:t>
      </w:r>
      <w:r w:rsidRPr="00DA4C45">
        <w:rPr>
          <w:color w:val="000000" w:themeColor="text1"/>
          <w:szCs w:val="24"/>
        </w:rPr>
        <w:t>.</w:t>
      </w:r>
    </w:p>
    <w:p w14:paraId="7293C3DD" w14:textId="7669D311" w:rsidR="00187172" w:rsidRDefault="000F582A" w:rsidP="00911DDD">
      <w:pPr>
        <w:pStyle w:val="aff"/>
        <w:spacing w:after="0"/>
        <w:ind w:firstLine="0"/>
        <w:rPr>
          <w:color w:val="000000" w:themeColor="text1"/>
          <w:szCs w:val="24"/>
        </w:rPr>
      </w:pPr>
      <w:r w:rsidRPr="00DA4C45">
        <w:rPr>
          <w:color w:val="000000" w:themeColor="text1"/>
          <w:szCs w:val="24"/>
        </w:rPr>
        <w:t xml:space="preserve">Код продукта - </w:t>
      </w:r>
      <w:r w:rsidRPr="00DA4C45">
        <w:rPr>
          <w:szCs w:val="24"/>
        </w:rPr>
        <w:t>L041050</w:t>
      </w:r>
      <w:r w:rsidR="00911DDD">
        <w:rPr>
          <w:color w:val="000000" w:themeColor="text1"/>
          <w:szCs w:val="24"/>
        </w:rPr>
        <w:t>.</w:t>
      </w:r>
    </w:p>
    <w:p w14:paraId="54D331A7" w14:textId="77777777" w:rsidR="00911DDD" w:rsidRPr="00911DDD" w:rsidRDefault="00911DDD" w:rsidP="00911DDD">
      <w:pPr>
        <w:pStyle w:val="aff"/>
        <w:spacing w:after="0"/>
        <w:ind w:firstLine="0"/>
        <w:rPr>
          <w:color w:val="000000" w:themeColor="text1"/>
          <w:szCs w:val="24"/>
        </w:rPr>
      </w:pPr>
    </w:p>
    <w:p w14:paraId="18CE5D38" w14:textId="20B6A087" w:rsidR="000F582A" w:rsidRPr="00DA4C45" w:rsidRDefault="00495A04" w:rsidP="00495A04">
      <w:pPr>
        <w:pStyle w:val="2"/>
        <w:numPr>
          <w:ilvl w:val="0"/>
          <w:numId w:val="0"/>
        </w:numPr>
        <w:ind w:left="576" w:hanging="576"/>
      </w:pPr>
      <w:bookmarkStart w:id="25" w:name="_Toc115217907"/>
      <w:bookmarkStart w:id="26" w:name="_Toc118124138"/>
      <w:bookmarkStart w:id="27" w:name="_Toc121592535"/>
      <w:r>
        <w:t xml:space="preserve">1.4. </w:t>
      </w:r>
      <w:r w:rsidR="000F582A" w:rsidRPr="00DA4C45">
        <w:t>Активные ингредиенты</w:t>
      </w:r>
      <w:bookmarkEnd w:id="25"/>
      <w:bookmarkEnd w:id="26"/>
      <w:bookmarkEnd w:id="27"/>
    </w:p>
    <w:p w14:paraId="2086D1CA" w14:textId="77777777" w:rsidR="00DE11C7" w:rsidRDefault="00DE11C7" w:rsidP="00DA4C45">
      <w:pPr>
        <w:pStyle w:val="SDText"/>
        <w:contextualSpacing/>
        <w:rPr>
          <w:szCs w:val="24"/>
        </w:rPr>
      </w:pPr>
    </w:p>
    <w:p w14:paraId="4FAA56A1" w14:textId="3AA9DB0A" w:rsidR="00DA4C45" w:rsidRPr="00911DDD" w:rsidRDefault="000F582A" w:rsidP="00911DDD">
      <w:pPr>
        <w:pStyle w:val="SDText"/>
        <w:contextualSpacing/>
        <w:rPr>
          <w:szCs w:val="24"/>
        </w:rPr>
      </w:pPr>
      <w:r w:rsidRPr="00DA4C45">
        <w:rPr>
          <w:szCs w:val="24"/>
        </w:rPr>
        <w:t xml:space="preserve">Действующее вещество – </w:t>
      </w:r>
      <w:r w:rsidR="00BA1181" w:rsidRPr="00DA4C45">
        <w:rPr>
          <w:szCs w:val="24"/>
        </w:rPr>
        <w:t>тофацитиниб</w:t>
      </w:r>
      <w:r w:rsidRPr="00DA4C45">
        <w:rPr>
          <w:szCs w:val="24"/>
        </w:rPr>
        <w:t>.</w:t>
      </w:r>
      <w:bookmarkStart w:id="28" w:name="_Toc415001070"/>
      <w:bookmarkStart w:id="29" w:name="_Toc115217908"/>
      <w:bookmarkStart w:id="30" w:name="_Toc118124139"/>
    </w:p>
    <w:p w14:paraId="42A6F7D5" w14:textId="10552062" w:rsidR="00DA4C45" w:rsidRPr="00DA4C45" w:rsidRDefault="00495A04" w:rsidP="00495A04">
      <w:pPr>
        <w:pStyle w:val="2"/>
        <w:numPr>
          <w:ilvl w:val="0"/>
          <w:numId w:val="0"/>
        </w:numPr>
        <w:ind w:left="576" w:hanging="576"/>
      </w:pPr>
      <w:bookmarkStart w:id="31" w:name="_Toc121592536"/>
      <w:r>
        <w:t xml:space="preserve">1.5. </w:t>
      </w:r>
      <w:r w:rsidR="00DA4C45" w:rsidRPr="00EB2B5F">
        <w:t>Фармакологическая</w:t>
      </w:r>
      <w:r w:rsidR="00DA4C45" w:rsidRPr="00DA4C45">
        <w:t xml:space="preserve"> группа</w:t>
      </w:r>
      <w:bookmarkEnd w:id="28"/>
      <w:bookmarkEnd w:id="29"/>
      <w:bookmarkEnd w:id="30"/>
      <w:bookmarkEnd w:id="31"/>
    </w:p>
    <w:p w14:paraId="6F2AF298" w14:textId="77777777" w:rsidR="00DE11C7" w:rsidRDefault="00DE11C7" w:rsidP="00DA4C45">
      <w:pPr>
        <w:pStyle w:val="SDText"/>
        <w:contextualSpacing/>
        <w:rPr>
          <w:szCs w:val="24"/>
        </w:rPr>
      </w:pPr>
    </w:p>
    <w:p w14:paraId="54CA50E7" w14:textId="2D02C6B2" w:rsidR="00DA4C45" w:rsidRPr="00911DDD" w:rsidRDefault="00F767B9" w:rsidP="00911DDD">
      <w:pPr>
        <w:pStyle w:val="SDText"/>
        <w:contextualSpacing/>
        <w:rPr>
          <w:szCs w:val="24"/>
        </w:rPr>
      </w:pPr>
      <w:r w:rsidRPr="00DA4C45">
        <w:rPr>
          <w:szCs w:val="24"/>
        </w:rPr>
        <w:t>Иммунодепрессанты</w:t>
      </w:r>
      <w:r w:rsidR="00911DDD">
        <w:rPr>
          <w:szCs w:val="24"/>
        </w:rPr>
        <w:t>.</w:t>
      </w:r>
      <w:r w:rsidRPr="00DA4C45">
        <w:rPr>
          <w:szCs w:val="24"/>
        </w:rPr>
        <w:t xml:space="preserve"> </w:t>
      </w:r>
      <w:r w:rsidR="00911DDD">
        <w:rPr>
          <w:szCs w:val="24"/>
        </w:rPr>
        <w:t>С</w:t>
      </w:r>
      <w:r w:rsidRPr="00DA4C45">
        <w:rPr>
          <w:szCs w:val="24"/>
        </w:rPr>
        <w:t>елективные иммунодепрессанты</w:t>
      </w:r>
      <w:r w:rsidR="000F582A" w:rsidRPr="00DA4C45">
        <w:rPr>
          <w:szCs w:val="24"/>
        </w:rPr>
        <w:t>.</w:t>
      </w:r>
    </w:p>
    <w:p w14:paraId="005D694A" w14:textId="31DC4ECA" w:rsidR="00DA4C45" w:rsidRPr="00DA4C45" w:rsidRDefault="00495A04" w:rsidP="00495A04">
      <w:pPr>
        <w:pStyle w:val="2"/>
        <w:numPr>
          <w:ilvl w:val="0"/>
          <w:numId w:val="0"/>
        </w:numPr>
        <w:ind w:left="576" w:hanging="576"/>
      </w:pPr>
      <w:bookmarkStart w:id="32" w:name="_Toc121592537"/>
      <w:r>
        <w:t xml:space="preserve">1.6. </w:t>
      </w:r>
      <w:r w:rsidR="00DA4C45" w:rsidRPr="00DA4C45">
        <w:t xml:space="preserve">Код по </w:t>
      </w:r>
      <w:r w:rsidR="00DA4C45" w:rsidRPr="00EB2B5F">
        <w:t>АТХ</w:t>
      </w:r>
      <w:bookmarkEnd w:id="32"/>
    </w:p>
    <w:p w14:paraId="5DA9A49B" w14:textId="77777777" w:rsidR="00DE11C7" w:rsidRDefault="00DE11C7" w:rsidP="00DA4C45">
      <w:pPr>
        <w:pStyle w:val="SDText"/>
        <w:contextualSpacing/>
        <w:rPr>
          <w:szCs w:val="24"/>
        </w:rPr>
      </w:pPr>
    </w:p>
    <w:p w14:paraId="08B40A86" w14:textId="38C3D455" w:rsidR="00187172" w:rsidRPr="007003A8" w:rsidRDefault="00F767B9" w:rsidP="00DA4C45">
      <w:pPr>
        <w:pStyle w:val="SDText"/>
        <w:contextualSpacing/>
        <w:rPr>
          <w:szCs w:val="24"/>
        </w:rPr>
      </w:pPr>
      <w:r w:rsidRPr="00DA4C45">
        <w:rPr>
          <w:szCs w:val="24"/>
          <w:lang w:val="en-US"/>
        </w:rPr>
        <w:t>L</w:t>
      </w:r>
      <w:r w:rsidRPr="007003A8">
        <w:rPr>
          <w:szCs w:val="24"/>
        </w:rPr>
        <w:t>04</w:t>
      </w:r>
      <w:r w:rsidR="009B1F93" w:rsidRPr="00DA4C45">
        <w:rPr>
          <w:szCs w:val="24"/>
          <w:lang w:val="en-US"/>
        </w:rPr>
        <w:t>AA</w:t>
      </w:r>
      <w:r w:rsidR="009B1F93" w:rsidRPr="007003A8">
        <w:rPr>
          <w:szCs w:val="24"/>
        </w:rPr>
        <w:t>29</w:t>
      </w:r>
    </w:p>
    <w:p w14:paraId="501CC405" w14:textId="67EB1FFA" w:rsidR="00DE11C7" w:rsidRDefault="00495A04" w:rsidP="00495A04">
      <w:pPr>
        <w:pStyle w:val="2"/>
        <w:numPr>
          <w:ilvl w:val="0"/>
          <w:numId w:val="0"/>
        </w:numPr>
        <w:ind w:left="576" w:hanging="576"/>
      </w:pPr>
      <w:bookmarkStart w:id="33" w:name="_Toc115421008"/>
      <w:bookmarkStart w:id="34" w:name="_Toc121592538"/>
      <w:r>
        <w:t xml:space="preserve">1.7. </w:t>
      </w:r>
      <w:r w:rsidR="000555A8" w:rsidRPr="00EB2B5F">
        <w:t>Обоснование</w:t>
      </w:r>
      <w:r w:rsidR="000555A8" w:rsidRPr="00DA4C45">
        <w:t xml:space="preserve"> для изучения исследуемого препарата</w:t>
      </w:r>
      <w:bookmarkEnd w:id="33"/>
      <w:bookmarkEnd w:id="34"/>
    </w:p>
    <w:p w14:paraId="49C80D11" w14:textId="77777777" w:rsidR="00911DDD" w:rsidRPr="00911DDD" w:rsidRDefault="00911DDD" w:rsidP="00911DDD">
      <w:pPr>
        <w:pStyle w:val="SDText"/>
        <w:spacing w:after="0"/>
      </w:pPr>
    </w:p>
    <w:p w14:paraId="4BDE44F2" w14:textId="440B08DF" w:rsidR="000555A8" w:rsidRPr="000F582A" w:rsidRDefault="00495A04" w:rsidP="00495A04">
      <w:pPr>
        <w:pStyle w:val="3"/>
        <w:numPr>
          <w:ilvl w:val="0"/>
          <w:numId w:val="0"/>
        </w:numPr>
        <w:ind w:left="720" w:hanging="720"/>
      </w:pPr>
      <w:bookmarkStart w:id="35" w:name="_Toc115421009"/>
      <w:bookmarkStart w:id="36" w:name="_Toc121592539"/>
      <w:r>
        <w:t xml:space="preserve">1.7.1. </w:t>
      </w:r>
      <w:r w:rsidR="00187172" w:rsidRPr="00DA4C45">
        <w:t>Общие сведения о заболевании</w:t>
      </w:r>
      <w:bookmarkEnd w:id="35"/>
      <w:bookmarkEnd w:id="36"/>
    </w:p>
    <w:p w14:paraId="20F41904" w14:textId="77777777" w:rsidR="00DE11C7" w:rsidRDefault="00DE11C7" w:rsidP="00911DDD">
      <w:pPr>
        <w:pStyle w:val="SDText"/>
        <w:spacing w:after="0"/>
        <w:contextualSpacing/>
        <w:rPr>
          <w:szCs w:val="24"/>
        </w:rPr>
      </w:pPr>
    </w:p>
    <w:p w14:paraId="05002652" w14:textId="35FC3A78" w:rsidR="009B1F93" w:rsidRPr="000F582A" w:rsidRDefault="0069513B" w:rsidP="000F582A">
      <w:pPr>
        <w:pStyle w:val="SDText"/>
        <w:contextualSpacing/>
        <w:rPr>
          <w:szCs w:val="24"/>
        </w:rPr>
      </w:pPr>
      <w:r w:rsidRPr="000F582A">
        <w:rPr>
          <w:szCs w:val="24"/>
        </w:rPr>
        <w:t>Ревматоидный артрит (РА)</w:t>
      </w:r>
      <w:r w:rsidR="00AA2B58" w:rsidRPr="000F582A">
        <w:rPr>
          <w:szCs w:val="24"/>
        </w:rPr>
        <w:t xml:space="preserve"> – </w:t>
      </w:r>
      <w:r w:rsidRPr="000F582A">
        <w:rPr>
          <w:szCs w:val="24"/>
        </w:rPr>
        <w:t>иммуновоспалительное (аутоиммунное) ревматическое заболевание, характеризующееся прогрессирующей деструкцией суставов и поражением внутренних органов, развитие которого определяется сложным взаимодействие</w:t>
      </w:r>
      <w:r w:rsidR="0017429D" w:rsidRPr="000F582A">
        <w:rPr>
          <w:szCs w:val="24"/>
        </w:rPr>
        <w:t>м</w:t>
      </w:r>
      <w:r w:rsidRPr="000F582A">
        <w:rPr>
          <w:szCs w:val="24"/>
        </w:rPr>
        <w:t xml:space="preserve"> факторов внешней среды и генетической предрасположенности, ведущих к глобальным нарушениям в системе гуморального и клеточного иммунитета. Гетерогенность патогенетических механизмов РА находит свое отражение в существовании широкого спектра фенотипов и эндотипов заболевания, что позволяет рассматривать его не как «одну болезнь», а как клинико-иммунологический синдром</w:t>
      </w:r>
      <w:r w:rsidR="00742B14" w:rsidRPr="000F582A">
        <w:rPr>
          <w:szCs w:val="24"/>
        </w:rPr>
        <w:t xml:space="preserve">. </w:t>
      </w:r>
      <w:r w:rsidR="00DC175C" w:rsidRPr="000F582A">
        <w:rPr>
          <w:szCs w:val="24"/>
        </w:rPr>
        <w:t>РА является частым и одним из наиболее тяжелых иммуновоспалительных</w:t>
      </w:r>
      <w:r w:rsidR="002229B2" w:rsidRPr="000F582A">
        <w:rPr>
          <w:szCs w:val="24"/>
        </w:rPr>
        <w:t xml:space="preserve"> </w:t>
      </w:r>
      <w:r w:rsidR="00DC175C" w:rsidRPr="000F582A">
        <w:rPr>
          <w:szCs w:val="24"/>
        </w:rPr>
        <w:t>заболеваний человека, что определяет большое медицинское и социально-экономическое</w:t>
      </w:r>
      <w:r w:rsidR="002229B2" w:rsidRPr="000F582A">
        <w:rPr>
          <w:szCs w:val="24"/>
        </w:rPr>
        <w:t xml:space="preserve"> </w:t>
      </w:r>
      <w:r w:rsidR="00DC175C" w:rsidRPr="000F582A">
        <w:rPr>
          <w:szCs w:val="24"/>
        </w:rPr>
        <w:t>значение этой патологии. Распростран</w:t>
      </w:r>
      <w:r w:rsidR="006F640C" w:rsidRPr="000F582A">
        <w:rPr>
          <w:szCs w:val="24"/>
        </w:rPr>
        <w:t>е</w:t>
      </w:r>
      <w:r w:rsidR="00DC175C" w:rsidRPr="000F582A">
        <w:rPr>
          <w:szCs w:val="24"/>
        </w:rPr>
        <w:t>нность РА среди взрослого населения в разных</w:t>
      </w:r>
      <w:r w:rsidR="002229B2" w:rsidRPr="000F582A">
        <w:rPr>
          <w:szCs w:val="24"/>
        </w:rPr>
        <w:t xml:space="preserve"> </w:t>
      </w:r>
      <w:r w:rsidR="00DC175C" w:rsidRPr="000F582A">
        <w:rPr>
          <w:szCs w:val="24"/>
        </w:rPr>
        <w:t>гео</w:t>
      </w:r>
      <w:r w:rsidR="002229B2" w:rsidRPr="000F582A">
        <w:rPr>
          <w:szCs w:val="24"/>
        </w:rPr>
        <w:t>гр</w:t>
      </w:r>
      <w:r w:rsidR="00DC175C" w:rsidRPr="000F582A">
        <w:rPr>
          <w:szCs w:val="24"/>
        </w:rPr>
        <w:t>афических зонах мира колеблется от 0,5 до 2%. По данным официальной</w:t>
      </w:r>
      <w:r w:rsidR="002229B2" w:rsidRPr="000F582A">
        <w:rPr>
          <w:szCs w:val="24"/>
        </w:rPr>
        <w:t xml:space="preserve"> </w:t>
      </w:r>
      <w:r w:rsidR="00DC175C" w:rsidRPr="000F582A">
        <w:rPr>
          <w:szCs w:val="24"/>
        </w:rPr>
        <w:t>статистики, в 2017 году в России зарегистрировано более 300 тыс</w:t>
      </w:r>
      <w:r w:rsidR="001563B4" w:rsidRPr="000F582A">
        <w:rPr>
          <w:szCs w:val="24"/>
        </w:rPr>
        <w:t>.</w:t>
      </w:r>
      <w:r w:rsidR="00DC175C" w:rsidRPr="000F582A">
        <w:rPr>
          <w:szCs w:val="24"/>
        </w:rPr>
        <w:t xml:space="preserve"> пациентов с РА, в то</w:t>
      </w:r>
      <w:r w:rsidR="002229B2" w:rsidRPr="000F582A">
        <w:rPr>
          <w:szCs w:val="24"/>
        </w:rPr>
        <w:t xml:space="preserve"> </w:t>
      </w:r>
      <w:r w:rsidR="00DC175C" w:rsidRPr="000F582A">
        <w:rPr>
          <w:szCs w:val="24"/>
        </w:rPr>
        <w:t>время как по данным Российского эпидемиологического исследования</w:t>
      </w:r>
      <w:r w:rsidR="0071093C" w:rsidRPr="000F582A">
        <w:rPr>
          <w:szCs w:val="24"/>
        </w:rPr>
        <w:t>,</w:t>
      </w:r>
      <w:r w:rsidR="00DC175C" w:rsidRPr="000F582A">
        <w:rPr>
          <w:szCs w:val="24"/>
        </w:rPr>
        <w:t xml:space="preserve"> РА страдает около</w:t>
      </w:r>
      <w:r w:rsidR="002229B2" w:rsidRPr="000F582A">
        <w:rPr>
          <w:szCs w:val="24"/>
        </w:rPr>
        <w:t xml:space="preserve"> </w:t>
      </w:r>
      <w:r w:rsidR="00DC175C" w:rsidRPr="000F582A">
        <w:rPr>
          <w:szCs w:val="24"/>
        </w:rPr>
        <w:t>0,6% от общей популяции. Соотношение женщин к мужчинам</w:t>
      </w:r>
      <w:r w:rsidR="002229B2" w:rsidRPr="000F582A">
        <w:rPr>
          <w:szCs w:val="24"/>
        </w:rPr>
        <w:t xml:space="preserve"> – </w:t>
      </w:r>
      <w:r w:rsidR="00DC175C" w:rsidRPr="000F582A">
        <w:rPr>
          <w:szCs w:val="24"/>
        </w:rPr>
        <w:t>3:1. Заболевание</w:t>
      </w:r>
      <w:r w:rsidR="002229B2" w:rsidRPr="000F582A">
        <w:rPr>
          <w:szCs w:val="24"/>
        </w:rPr>
        <w:t xml:space="preserve"> </w:t>
      </w:r>
      <w:r w:rsidR="00DC175C" w:rsidRPr="000F582A">
        <w:rPr>
          <w:szCs w:val="24"/>
        </w:rPr>
        <w:t>встречается во всех возрастных группах, но пик заболеваемости приходится на наиболее</w:t>
      </w:r>
      <w:r w:rsidR="002229B2" w:rsidRPr="000F582A">
        <w:rPr>
          <w:szCs w:val="24"/>
        </w:rPr>
        <w:t xml:space="preserve"> </w:t>
      </w:r>
      <w:r w:rsidR="00DC175C" w:rsidRPr="000F582A">
        <w:rPr>
          <w:szCs w:val="24"/>
        </w:rPr>
        <w:t>трудоспособный возраст</w:t>
      </w:r>
      <w:r w:rsidR="002229B2" w:rsidRPr="000F582A">
        <w:rPr>
          <w:szCs w:val="24"/>
        </w:rPr>
        <w:t xml:space="preserve"> – </w:t>
      </w:r>
      <w:r w:rsidR="00DC175C" w:rsidRPr="000F582A">
        <w:rPr>
          <w:szCs w:val="24"/>
        </w:rPr>
        <w:t>40</w:t>
      </w:r>
      <w:r w:rsidR="002229B2" w:rsidRPr="000F582A">
        <w:rPr>
          <w:szCs w:val="24"/>
        </w:rPr>
        <w:t>–</w:t>
      </w:r>
      <w:r w:rsidR="00DC175C" w:rsidRPr="000F582A">
        <w:rPr>
          <w:szCs w:val="24"/>
        </w:rPr>
        <w:t>55 лет. РА вызывает стойкую потерю трудоспособности у</w:t>
      </w:r>
      <w:r w:rsidR="002229B2" w:rsidRPr="000F582A">
        <w:rPr>
          <w:szCs w:val="24"/>
        </w:rPr>
        <w:t xml:space="preserve"> </w:t>
      </w:r>
      <w:r w:rsidR="00DC175C" w:rsidRPr="000F582A">
        <w:rPr>
          <w:szCs w:val="24"/>
        </w:rPr>
        <w:t xml:space="preserve">половины </w:t>
      </w:r>
      <w:r w:rsidR="00DC175C" w:rsidRPr="000F582A">
        <w:rPr>
          <w:szCs w:val="24"/>
        </w:rPr>
        <w:lastRenderedPageBreak/>
        <w:t>пациентов в течение первых 3</w:t>
      </w:r>
      <w:r w:rsidR="002229B2" w:rsidRPr="000F582A">
        <w:rPr>
          <w:szCs w:val="24"/>
        </w:rPr>
        <w:t>–</w:t>
      </w:r>
      <w:r w:rsidR="00DC175C" w:rsidRPr="000F582A">
        <w:rPr>
          <w:szCs w:val="24"/>
        </w:rPr>
        <w:t xml:space="preserve">5 лет от начала болезни и приводит к </w:t>
      </w:r>
      <w:r w:rsidR="001C1AE1" w:rsidRPr="000F582A">
        <w:rPr>
          <w:szCs w:val="24"/>
        </w:rPr>
        <w:t>существенному сокращению продолжительности их жизни, как за счет высокой частоты коморбидных заболеваний, в первую очередь инфекционных осложнений, так и характерных для РА внесуставных (системны</w:t>
      </w:r>
      <w:r w:rsidR="0071093C" w:rsidRPr="000F582A">
        <w:rPr>
          <w:szCs w:val="24"/>
        </w:rPr>
        <w:t>х</w:t>
      </w:r>
      <w:r w:rsidR="001C1AE1" w:rsidRPr="000F582A">
        <w:rPr>
          <w:szCs w:val="24"/>
        </w:rPr>
        <w:t>) проявлений и осложнений, связанных с системным иммуновоспалительным процессом - ревматоидный васкулит,</w:t>
      </w:r>
      <w:r w:rsidR="00C84A87" w:rsidRPr="000F582A">
        <w:rPr>
          <w:szCs w:val="24"/>
        </w:rPr>
        <w:t xml:space="preserve"> </w:t>
      </w:r>
      <w:r w:rsidR="001C1AE1" w:rsidRPr="000F582A">
        <w:rPr>
          <w:szCs w:val="24"/>
        </w:rPr>
        <w:t>амилоидоз и др.</w:t>
      </w:r>
      <w:r w:rsidR="00C84A87" w:rsidRPr="000F582A">
        <w:rPr>
          <w:szCs w:val="24"/>
        </w:rPr>
        <w:t xml:space="preserve"> </w:t>
      </w:r>
      <w:r w:rsidRPr="000F582A">
        <w:rPr>
          <w:szCs w:val="24"/>
        </w:rPr>
        <w:t>При отсутствии эффективной терапии продолжительность жизни у больных РА ниже на 3 года у женщин и на 7 лет у мужчин, в первую очередь за счет высокого риска развития коморбидных заболеваний</w:t>
      </w:r>
      <w:r w:rsidR="00742B14" w:rsidRPr="000F582A">
        <w:rPr>
          <w:szCs w:val="24"/>
        </w:rPr>
        <w:t xml:space="preserve"> – </w:t>
      </w:r>
      <w:r w:rsidRPr="000F582A">
        <w:rPr>
          <w:szCs w:val="24"/>
        </w:rPr>
        <w:t xml:space="preserve">кардиоваскулярной патологии, остеопороза, тяжелых инфекций, интерстициального заболевания легких, онкологических заболеваний. У многих пациентов с РА жизненный прогноз столь же неблагоприятен, как и при лимфогранулематозе, сахарном диабете </w:t>
      </w:r>
      <w:r w:rsidR="00312C54" w:rsidRPr="000F582A">
        <w:rPr>
          <w:szCs w:val="24"/>
        </w:rPr>
        <w:t xml:space="preserve">(СД) </w:t>
      </w:r>
      <w:r w:rsidR="00F549BC" w:rsidRPr="000F582A">
        <w:rPr>
          <w:szCs w:val="24"/>
        </w:rPr>
        <w:t>2</w:t>
      </w:r>
      <w:r w:rsidRPr="000F582A">
        <w:rPr>
          <w:szCs w:val="24"/>
        </w:rPr>
        <w:t xml:space="preserve"> типа, трехсосудистом поражении коронарных артерий и инсульте. РА вызывает стойкую потерю трудоспособности у половины пациентов в течение первых 3–5 лет от начала болезни, а через 20 лет треть пациентов становятся полными инвалидами </w:t>
      </w:r>
      <w:r w:rsidR="005A0AB1" w:rsidRPr="000F582A">
        <w:rPr>
          <w:szCs w:val="24"/>
        </w:rPr>
        <w:fldChar w:fldCharType="begin"/>
      </w:r>
      <w:r w:rsidR="00C434CD" w:rsidRPr="000F582A">
        <w:rPr>
          <w:szCs w:val="24"/>
        </w:rPr>
        <w:instrText xml:space="preserve"> ADDIN ZOTERO_ITEM CSL_CITATION {"citationID":"PxWf6Npt","properties":{"formattedCitation":"[2]","plainCitation":"[2]","noteIndex":0},"citationItems":[{"id":87772,"uris":["http://zotero.org/groups/4742804/items/D6Z4F42H"],"itemData":{"id":87772,"type":"webpage","title":"Ревматоидный артрит. Клинические рекомендации","URL":"https://cr.minzdrav.gov.ru/recomend/250_2","author":[{"family":"Ассоциация ревматологов России","given":""}],"accessed":{"date-parts":[["2022",8,3]]},"issued":{"date-parts":[["2021"]]}}}],"schema":"https://github.com/citation-style-language/schema/raw/master/csl-citation.json"} </w:instrText>
      </w:r>
      <w:r w:rsidR="005A0AB1" w:rsidRPr="000F582A">
        <w:rPr>
          <w:szCs w:val="24"/>
        </w:rPr>
        <w:fldChar w:fldCharType="separate"/>
      </w:r>
      <w:r w:rsidR="00C434CD" w:rsidRPr="000F582A">
        <w:rPr>
          <w:rFonts w:cs="Times New Roman"/>
          <w:szCs w:val="24"/>
        </w:rPr>
        <w:t>[2]</w:t>
      </w:r>
      <w:r w:rsidR="005A0AB1" w:rsidRPr="000F582A">
        <w:rPr>
          <w:szCs w:val="24"/>
        </w:rPr>
        <w:fldChar w:fldCharType="end"/>
      </w:r>
      <w:r w:rsidRPr="000F582A">
        <w:rPr>
          <w:szCs w:val="24"/>
        </w:rPr>
        <w:t>.</w:t>
      </w:r>
    </w:p>
    <w:p w14:paraId="4D89B9B9" w14:textId="4AA90785" w:rsidR="003D284F" w:rsidRPr="000F582A" w:rsidRDefault="00130F36" w:rsidP="000F582A">
      <w:pPr>
        <w:pStyle w:val="SDText"/>
        <w:contextualSpacing/>
        <w:rPr>
          <w:szCs w:val="24"/>
        </w:rPr>
      </w:pPr>
      <w:r w:rsidRPr="000F582A">
        <w:rPr>
          <w:szCs w:val="24"/>
        </w:rPr>
        <w:t>Псориатический артрит (псориаз артопатический) – хроническое воспалительное заболевание суставов, позвоночника и энтезисов, которое может наблюдаться у больных с псориазом. При</w:t>
      </w:r>
      <w:r w:rsidR="00C510BB" w:rsidRPr="000F582A">
        <w:rPr>
          <w:szCs w:val="24"/>
        </w:rPr>
        <w:t xml:space="preserve"> </w:t>
      </w:r>
      <w:r w:rsidRPr="000F582A">
        <w:rPr>
          <w:szCs w:val="24"/>
        </w:rPr>
        <w:t>псориатическом артрите главным образом наблюдается воспаление периферических суставов</w:t>
      </w:r>
      <w:r w:rsidR="00C510BB" w:rsidRPr="000F582A">
        <w:rPr>
          <w:szCs w:val="24"/>
        </w:rPr>
        <w:t xml:space="preserve"> </w:t>
      </w:r>
      <w:r w:rsidRPr="000F582A">
        <w:rPr>
          <w:szCs w:val="24"/>
        </w:rPr>
        <w:t>(артрит), пальцев кистей и стоп (дактилит), энтезисов (энтезит), а также может наблюдаться</w:t>
      </w:r>
      <w:r w:rsidR="00C510BB" w:rsidRPr="000F582A">
        <w:rPr>
          <w:szCs w:val="24"/>
        </w:rPr>
        <w:t xml:space="preserve"> </w:t>
      </w:r>
      <w:r w:rsidRPr="000F582A">
        <w:rPr>
          <w:szCs w:val="24"/>
        </w:rPr>
        <w:t>воспаление в аксиальных структурах – телах позвонков (спондилит) и илиосакральных</w:t>
      </w:r>
      <w:r w:rsidR="00C510BB" w:rsidRPr="000F582A">
        <w:rPr>
          <w:szCs w:val="24"/>
        </w:rPr>
        <w:t xml:space="preserve"> </w:t>
      </w:r>
      <w:r w:rsidRPr="000F582A">
        <w:rPr>
          <w:szCs w:val="24"/>
        </w:rPr>
        <w:t>сочленениях (сакроилиит)</w:t>
      </w:r>
      <w:r w:rsidR="00AA2B58" w:rsidRPr="000F582A">
        <w:rPr>
          <w:szCs w:val="24"/>
        </w:rPr>
        <w:t xml:space="preserve">. Псориатический артрит выявляется у 19,7% больных псориазом и у 24,6% – с умеренной и высокой тяжестью псориаза. Псориатический артрит может развиться в любом возрасте, часто страдает трудоспособная часть населения. У 70% больных псориаз появляется раньше поражения опорно-двигательного аппарата, у 20% – одновременно, у 15–20% больных –псориатический артрит возникает до первых клинических проявлений псориаза. Корреляция между тяжестью псориаза и псориатического артрита отсутствует, однако в когортных наблюдениях отмечена высокая частота случаев псориатического артрита у больных с распространенным псориазом. При псориатическом артрите воспалительный процесс затрагивает не только скелетно-мышечные структуры (суставы, позвоночник, энтезы), но и кожу, ногти (псориаз), желудочно-кишечный тракт </w:t>
      </w:r>
      <w:r w:rsidR="00090E28" w:rsidRPr="000F582A">
        <w:rPr>
          <w:szCs w:val="24"/>
        </w:rPr>
        <w:t xml:space="preserve">(ЖКТ) </w:t>
      </w:r>
      <w:r w:rsidR="00AA2B58" w:rsidRPr="000F582A">
        <w:rPr>
          <w:szCs w:val="24"/>
        </w:rPr>
        <w:t>(воспалительные заболевания кишечника) и</w:t>
      </w:r>
      <w:r w:rsidR="0094407A" w:rsidRPr="000F582A">
        <w:rPr>
          <w:szCs w:val="24"/>
        </w:rPr>
        <w:t xml:space="preserve"> </w:t>
      </w:r>
      <w:r w:rsidR="00AA2B58" w:rsidRPr="000F582A">
        <w:rPr>
          <w:szCs w:val="24"/>
        </w:rPr>
        <w:t>орган зрения (увеит, иридоциклит). В дополнение к этому пациенты с псориатическим артритом</w:t>
      </w:r>
      <w:r w:rsidR="0094407A" w:rsidRPr="000F582A">
        <w:rPr>
          <w:szCs w:val="24"/>
        </w:rPr>
        <w:t xml:space="preserve"> </w:t>
      </w:r>
      <w:r w:rsidR="00AA2B58" w:rsidRPr="000F582A">
        <w:rPr>
          <w:szCs w:val="24"/>
        </w:rPr>
        <w:t>характеризуются более высоким риском развития ожирения, инсулин-резистентности,</w:t>
      </w:r>
      <w:r w:rsidR="0094407A" w:rsidRPr="000F582A">
        <w:rPr>
          <w:szCs w:val="24"/>
        </w:rPr>
        <w:t xml:space="preserve"> </w:t>
      </w:r>
      <w:r w:rsidR="00CF78E1" w:rsidRPr="000F582A">
        <w:rPr>
          <w:szCs w:val="24"/>
        </w:rPr>
        <w:t>СД</w:t>
      </w:r>
      <w:r w:rsidR="00AA2B58" w:rsidRPr="000F582A">
        <w:rPr>
          <w:szCs w:val="24"/>
        </w:rPr>
        <w:t xml:space="preserve"> 2 типа, метаболического синдрома, артериальной гиперт</w:t>
      </w:r>
      <w:r w:rsidR="007E5A7B" w:rsidRPr="000F582A">
        <w:rPr>
          <w:szCs w:val="24"/>
        </w:rPr>
        <w:t>ензии (АГ)</w:t>
      </w:r>
      <w:r w:rsidR="00AA2B58" w:rsidRPr="000F582A">
        <w:rPr>
          <w:szCs w:val="24"/>
        </w:rPr>
        <w:t>,</w:t>
      </w:r>
      <w:r w:rsidR="0094407A" w:rsidRPr="000F582A">
        <w:rPr>
          <w:szCs w:val="24"/>
        </w:rPr>
        <w:t xml:space="preserve"> </w:t>
      </w:r>
      <w:r w:rsidR="00AA2B58" w:rsidRPr="000F582A">
        <w:rPr>
          <w:szCs w:val="24"/>
        </w:rPr>
        <w:t>дислипидемии, сердечно-сосудистых заболеваний, ряда нервно-психических расстройств и</w:t>
      </w:r>
      <w:r w:rsidR="0094407A" w:rsidRPr="000F582A">
        <w:rPr>
          <w:szCs w:val="24"/>
        </w:rPr>
        <w:t xml:space="preserve"> </w:t>
      </w:r>
      <w:r w:rsidR="00AA2B58" w:rsidRPr="000F582A">
        <w:rPr>
          <w:szCs w:val="24"/>
        </w:rPr>
        <w:t>фибромиалгии по сравнению с общей популяцией</w:t>
      </w:r>
      <w:r w:rsidR="00E57C36" w:rsidRPr="000F582A">
        <w:rPr>
          <w:szCs w:val="24"/>
        </w:rPr>
        <w:t xml:space="preserve"> </w:t>
      </w:r>
      <w:r w:rsidR="00E57C36" w:rsidRPr="000F582A">
        <w:rPr>
          <w:szCs w:val="24"/>
        </w:rPr>
        <w:fldChar w:fldCharType="begin"/>
      </w:r>
      <w:r w:rsidR="00C434CD" w:rsidRPr="000F582A">
        <w:rPr>
          <w:szCs w:val="24"/>
        </w:rPr>
        <w:instrText xml:space="preserve"> ADDIN ZOTERO_ITEM CSL_CITATION {"citationID":"FsWJ5KIz","properties":{"unsorted":true,"formattedCitation":"[3]","plainCitation":"[3]","noteIndex":0},"citationItems":[{"id":87770,"uris":["http://zotero.org/groups/4742804/items/TFMRITVY"],"itemData":{"id":87770,"type":"webpage","title":"Псориаз артропатический. Псориатический артрит.  Клинические рекомендации","URL":"https://cr.minzdrav.gov.ru/recomend/562_2","author":[{"family":"Общероссийская общественная организация \"Российское общество дерматовенерологов и косметологов\"","given":""}],"accessed":{"date-parts":[["2022",8,3]]},"issued":{"date-parts":[["2021"]]}}}],"schema":"https://github.com/citation-style-language/schema/raw/master/csl-citation.json"} </w:instrText>
      </w:r>
      <w:r w:rsidR="00E57C36" w:rsidRPr="000F582A">
        <w:rPr>
          <w:szCs w:val="24"/>
        </w:rPr>
        <w:fldChar w:fldCharType="separate"/>
      </w:r>
      <w:r w:rsidR="00C434CD" w:rsidRPr="000F582A">
        <w:rPr>
          <w:rFonts w:cs="Times New Roman"/>
          <w:szCs w:val="24"/>
        </w:rPr>
        <w:t>[3]</w:t>
      </w:r>
      <w:r w:rsidR="00E57C36" w:rsidRPr="000F582A">
        <w:rPr>
          <w:szCs w:val="24"/>
        </w:rPr>
        <w:fldChar w:fldCharType="end"/>
      </w:r>
      <w:r w:rsidR="005B6410" w:rsidRPr="000F582A">
        <w:rPr>
          <w:szCs w:val="24"/>
        </w:rPr>
        <w:t>.</w:t>
      </w:r>
    </w:p>
    <w:p w14:paraId="3628958B" w14:textId="734E0D82" w:rsidR="009B1F93" w:rsidRPr="000F582A" w:rsidRDefault="003D284F" w:rsidP="000F582A">
      <w:pPr>
        <w:pStyle w:val="SDText"/>
        <w:contextualSpacing/>
        <w:rPr>
          <w:szCs w:val="24"/>
        </w:rPr>
      </w:pPr>
      <w:r w:rsidRPr="000F582A">
        <w:rPr>
          <w:szCs w:val="24"/>
        </w:rPr>
        <w:t xml:space="preserve">Анкилозирующий спондилит </w:t>
      </w:r>
      <w:r w:rsidR="00A30823" w:rsidRPr="000F582A">
        <w:rPr>
          <w:szCs w:val="24"/>
        </w:rPr>
        <w:t xml:space="preserve">или спондилоартрит </w:t>
      </w:r>
      <w:r w:rsidRPr="000F582A">
        <w:rPr>
          <w:szCs w:val="24"/>
        </w:rPr>
        <w:t xml:space="preserve">(АС) – </w:t>
      </w:r>
      <w:r w:rsidR="00F92C8D" w:rsidRPr="000F582A">
        <w:rPr>
          <w:szCs w:val="24"/>
        </w:rPr>
        <w:t>хроническое воспалительное заболевание из группы спондилоартритов, характеризующееся обязательным поражением крестцово-подвздошных суставов (КПС) и/или позвоночника с потенциальным исходом их в анкилоз, с частым вовлечением в патологический процесс энтезисов и периферических суставов. Прогрессирование заболевания в первую очередь связано с пролиферацией костной ткани (в противоположность эрозированию при ревматоидном артрите), что проявляется ростом синдесмофитов (и/или энтезофитов) и процессом анкилозирования позвоночника и суставов.</w:t>
      </w:r>
      <w:r w:rsidR="00383E6F">
        <w:rPr>
          <w:szCs w:val="24"/>
        </w:rPr>
        <w:t xml:space="preserve"> </w:t>
      </w:r>
      <w:r w:rsidR="00641ABC" w:rsidRPr="000F582A">
        <w:rPr>
          <w:szCs w:val="24"/>
        </w:rPr>
        <w:t>Распространенность АС зависит в основном от частоты HLA-B27 в конкретной популяции, и составляет среди взрослых от 0,02% до 2,0%. Так, среди жителей экваториальных стран, его распространенность составляет практически 0%, а в приарктических популяциях Скандинавии, Чукотки, Аляски достигает 1,5</w:t>
      </w:r>
      <w:r w:rsidR="00050DB6" w:rsidRPr="000F582A">
        <w:rPr>
          <w:szCs w:val="24"/>
        </w:rPr>
        <w:t>–</w:t>
      </w:r>
      <w:r w:rsidR="00641ABC" w:rsidRPr="000F582A">
        <w:rPr>
          <w:szCs w:val="24"/>
        </w:rPr>
        <w:t>2%.</w:t>
      </w:r>
      <w:r w:rsidR="00050DB6" w:rsidRPr="000F582A">
        <w:rPr>
          <w:szCs w:val="24"/>
        </w:rPr>
        <w:t xml:space="preserve"> </w:t>
      </w:r>
      <w:r w:rsidR="00641ABC" w:rsidRPr="000F582A">
        <w:rPr>
          <w:szCs w:val="24"/>
        </w:rPr>
        <w:t>Среди жителей средних широт и европеоидн</w:t>
      </w:r>
      <w:r w:rsidR="00050DB6" w:rsidRPr="000F582A">
        <w:rPr>
          <w:szCs w:val="24"/>
        </w:rPr>
        <w:t>ой</w:t>
      </w:r>
      <w:r w:rsidR="00641ABC" w:rsidRPr="000F582A">
        <w:rPr>
          <w:szCs w:val="24"/>
        </w:rPr>
        <w:t xml:space="preserve"> рас</w:t>
      </w:r>
      <w:r w:rsidR="00050DB6" w:rsidRPr="000F582A">
        <w:rPr>
          <w:szCs w:val="24"/>
        </w:rPr>
        <w:t>ы</w:t>
      </w:r>
      <w:r w:rsidR="00641ABC" w:rsidRPr="000F582A">
        <w:rPr>
          <w:szCs w:val="24"/>
        </w:rPr>
        <w:t>, распространенность АС колеблется в пределах 0,1</w:t>
      </w:r>
      <w:r w:rsidR="00050DB6" w:rsidRPr="000F582A">
        <w:rPr>
          <w:szCs w:val="24"/>
        </w:rPr>
        <w:t>–</w:t>
      </w:r>
      <w:r w:rsidR="00641ABC" w:rsidRPr="000F582A">
        <w:rPr>
          <w:szCs w:val="24"/>
        </w:rPr>
        <w:t xml:space="preserve">0,3%. По последним </w:t>
      </w:r>
      <w:r w:rsidR="00641ABC" w:rsidRPr="000F582A">
        <w:rPr>
          <w:szCs w:val="24"/>
        </w:rPr>
        <w:lastRenderedPageBreak/>
        <w:t>эпидемиологическим данным в России распространенность болезни составляет 0,1</w:t>
      </w:r>
      <w:r w:rsidR="00050DB6" w:rsidRPr="000F582A">
        <w:rPr>
          <w:szCs w:val="24"/>
        </w:rPr>
        <w:t>–</w:t>
      </w:r>
      <w:r w:rsidR="00641ABC" w:rsidRPr="000F582A">
        <w:rPr>
          <w:szCs w:val="24"/>
        </w:rPr>
        <w:t>0,2%. Эти цифры значительно отличаются от официальных статистических данных, согласно которым в России в 2009</w:t>
      </w:r>
      <w:r w:rsidR="00050DB6" w:rsidRPr="000F582A">
        <w:rPr>
          <w:szCs w:val="24"/>
        </w:rPr>
        <w:t xml:space="preserve"> </w:t>
      </w:r>
      <w:r w:rsidR="00641ABC" w:rsidRPr="000F582A">
        <w:rPr>
          <w:szCs w:val="24"/>
        </w:rPr>
        <w:t>г. было зарегистрировано 39,4 тысяч больных АС (0,034%) при ежегодном выявлении 4</w:t>
      </w:r>
      <w:r w:rsidR="00050DB6" w:rsidRPr="000F582A">
        <w:rPr>
          <w:szCs w:val="24"/>
        </w:rPr>
        <w:t>–</w:t>
      </w:r>
      <w:r w:rsidR="00641ABC" w:rsidRPr="000F582A">
        <w:rPr>
          <w:szCs w:val="24"/>
        </w:rPr>
        <w:t>6 тыс</w:t>
      </w:r>
      <w:r w:rsidR="00050DB6" w:rsidRPr="000F582A">
        <w:rPr>
          <w:szCs w:val="24"/>
        </w:rPr>
        <w:t>.</w:t>
      </w:r>
      <w:r w:rsidR="00641ABC" w:rsidRPr="000F582A">
        <w:rPr>
          <w:szCs w:val="24"/>
        </w:rPr>
        <w:t xml:space="preserve"> новых случаев</w:t>
      </w:r>
      <w:r w:rsidR="00050DB6" w:rsidRPr="000F582A">
        <w:rPr>
          <w:szCs w:val="24"/>
        </w:rPr>
        <w:t xml:space="preserve">. </w:t>
      </w:r>
      <w:r w:rsidR="00641ABC" w:rsidRPr="000F582A">
        <w:rPr>
          <w:szCs w:val="24"/>
        </w:rPr>
        <w:t>Пик заболеваемости АС приходится на возрастной интервал 25</w:t>
      </w:r>
      <w:r w:rsidR="00050DB6" w:rsidRPr="000F582A">
        <w:rPr>
          <w:szCs w:val="24"/>
        </w:rPr>
        <w:t>–</w:t>
      </w:r>
      <w:r w:rsidR="00641ABC" w:rsidRPr="000F582A">
        <w:rPr>
          <w:szCs w:val="24"/>
        </w:rPr>
        <w:t>35 лет. Болезнь дебютирует в 10</w:t>
      </w:r>
      <w:r w:rsidR="00050DB6" w:rsidRPr="000F582A">
        <w:rPr>
          <w:szCs w:val="24"/>
        </w:rPr>
        <w:t>–</w:t>
      </w:r>
      <w:r w:rsidR="00641ABC" w:rsidRPr="000F582A">
        <w:rPr>
          <w:szCs w:val="24"/>
        </w:rPr>
        <w:t xml:space="preserve">20% случаев до 18-летнего возраста, </w:t>
      </w:r>
      <w:r w:rsidR="00050DB6" w:rsidRPr="000F582A">
        <w:rPr>
          <w:szCs w:val="24"/>
        </w:rPr>
        <w:t>в</w:t>
      </w:r>
      <w:r w:rsidR="00641ABC" w:rsidRPr="000F582A">
        <w:rPr>
          <w:szCs w:val="24"/>
        </w:rPr>
        <w:t xml:space="preserve"> возрасте старше 50 лет заболевает не более 5</w:t>
      </w:r>
      <w:r w:rsidR="00050DB6" w:rsidRPr="000F582A">
        <w:rPr>
          <w:szCs w:val="24"/>
        </w:rPr>
        <w:t>–</w:t>
      </w:r>
      <w:r w:rsidR="00641ABC" w:rsidRPr="000F582A">
        <w:rPr>
          <w:szCs w:val="24"/>
        </w:rPr>
        <w:t>7% больных.</w:t>
      </w:r>
      <w:r w:rsidR="00050DB6" w:rsidRPr="000F582A">
        <w:rPr>
          <w:szCs w:val="24"/>
        </w:rPr>
        <w:t xml:space="preserve"> </w:t>
      </w:r>
      <w:r w:rsidR="00641ABC" w:rsidRPr="000F582A">
        <w:rPr>
          <w:szCs w:val="24"/>
        </w:rPr>
        <w:t>Мужчины в 3</w:t>
      </w:r>
      <w:r w:rsidR="00050DB6" w:rsidRPr="000F582A">
        <w:rPr>
          <w:szCs w:val="24"/>
        </w:rPr>
        <w:t>–</w:t>
      </w:r>
      <w:r w:rsidR="00641ABC" w:rsidRPr="000F582A">
        <w:rPr>
          <w:szCs w:val="24"/>
        </w:rPr>
        <w:t>6 раз чаще болеют, чем женщины. Однако в последние годы с развитием учения о спондилоартритах, это соотношение все больше приближается к соотношению 2:1 и даже, при ранних формах - к 1:1.</w:t>
      </w:r>
      <w:r w:rsidR="00E87F61" w:rsidRPr="000F582A">
        <w:rPr>
          <w:szCs w:val="24"/>
        </w:rPr>
        <w:t xml:space="preserve"> </w:t>
      </w:r>
      <w:r w:rsidR="00641ABC" w:rsidRPr="000F582A">
        <w:rPr>
          <w:szCs w:val="24"/>
        </w:rPr>
        <w:t xml:space="preserve">Исходы у больных АС обычно благоприятнее, чем при РА, хотя частота инвалидизации примерно одинаковая. У существенной части пациентов заболевание носит хронический характер и постепенно прогрессирует, приводя к выраженной функциональной недостаточности и инвалидизации вследствие поражения осевого скелета и, не в последнюю очередь, тазобедренных суставов (коксит). Продолжительность жизни пациентов АС практически не отличается от </w:t>
      </w:r>
      <w:r w:rsidR="00E87F61" w:rsidRPr="000F582A">
        <w:rPr>
          <w:szCs w:val="24"/>
        </w:rPr>
        <w:t>продолжительности жизни</w:t>
      </w:r>
      <w:r w:rsidR="00641ABC" w:rsidRPr="000F582A">
        <w:rPr>
          <w:szCs w:val="24"/>
        </w:rPr>
        <w:t xml:space="preserve"> в популяции в целом, за исключением больных, у которых имеется тяжелое течение болезни или развиваются осложнения со стороны внутренних органов </w:t>
      </w:r>
      <w:r w:rsidR="00E87F61" w:rsidRPr="000F582A">
        <w:rPr>
          <w:szCs w:val="24"/>
        </w:rPr>
        <w:t>–</w:t>
      </w:r>
      <w:r w:rsidR="00641ABC" w:rsidRPr="000F582A">
        <w:rPr>
          <w:szCs w:val="24"/>
        </w:rPr>
        <w:t xml:space="preserve"> сердца, почек и другие</w:t>
      </w:r>
      <w:r w:rsidR="00E87F61" w:rsidRPr="000F582A">
        <w:rPr>
          <w:szCs w:val="24"/>
        </w:rPr>
        <w:t xml:space="preserve"> </w:t>
      </w:r>
      <w:r w:rsidR="00E87F61" w:rsidRPr="000F582A">
        <w:rPr>
          <w:szCs w:val="24"/>
        </w:rPr>
        <w:fldChar w:fldCharType="begin"/>
      </w:r>
      <w:r w:rsidR="00E87F61" w:rsidRPr="000F582A">
        <w:rPr>
          <w:szCs w:val="24"/>
        </w:rPr>
        <w:instrText xml:space="preserve"> ADDIN ZOTERO_ITEM CSL_CITATION {"citationID":"6kxXax4G","properties":{"formattedCitation":"[4]","plainCitation":"[4]","noteIndex":0},"citationItems":[{"id":91158,"uris":["http://zotero.org/groups/4742804/items/KKSIWI55"],"itemData":{"id":91158,"type":"webpage","abstract":"Клинические рекомендации","container-title":"medi.ru","language":"ru","title":"Анкилозирующий спондилит. Клинические рекомендации.","URL":"https://medi.ru/klinicheskie-rekomendatsii/ankiloziruyuschij-spondilit_13858/","accessed":{"date-parts":[["2022",10,26]]}}}],"schema":"https://github.com/citation-style-language/schema/raw/master/csl-citation.json"} </w:instrText>
      </w:r>
      <w:r w:rsidR="00E87F61" w:rsidRPr="000F582A">
        <w:rPr>
          <w:szCs w:val="24"/>
        </w:rPr>
        <w:fldChar w:fldCharType="separate"/>
      </w:r>
      <w:r w:rsidR="00E87F61" w:rsidRPr="000F582A">
        <w:rPr>
          <w:rFonts w:cs="Times New Roman"/>
          <w:szCs w:val="24"/>
        </w:rPr>
        <w:t>[4]</w:t>
      </w:r>
      <w:r w:rsidR="00E87F61" w:rsidRPr="000F582A">
        <w:rPr>
          <w:szCs w:val="24"/>
        </w:rPr>
        <w:fldChar w:fldCharType="end"/>
      </w:r>
      <w:r w:rsidR="009E3160" w:rsidRPr="000F582A">
        <w:rPr>
          <w:szCs w:val="24"/>
        </w:rPr>
        <w:t>.</w:t>
      </w:r>
    </w:p>
    <w:p w14:paraId="0BFA716A" w14:textId="0C8CC2BF" w:rsidR="00B6259D" w:rsidRPr="000F582A" w:rsidRDefault="00B6259D" w:rsidP="000F582A">
      <w:pPr>
        <w:pStyle w:val="SDText"/>
        <w:contextualSpacing/>
        <w:rPr>
          <w:szCs w:val="24"/>
        </w:rPr>
      </w:pPr>
      <w:r w:rsidRPr="000F582A">
        <w:rPr>
          <w:szCs w:val="24"/>
        </w:rPr>
        <w:t xml:space="preserve">Псориаз – хроническое заболевание мультифакториальной природы с доминирующим значением в развитии генетических факторов, характеризующееся ускоренной пролиферацией кератиноцитов и нарушением их дифференцировки, дисбалансом между провоспалительными и противовоспалительными цитокинами, с частыми патологическими изменениями опорно-двигательного аппарата. </w:t>
      </w:r>
      <w:r w:rsidR="00A00AB4" w:rsidRPr="000F582A">
        <w:rPr>
          <w:szCs w:val="24"/>
        </w:rPr>
        <w:t>Псориаз относится к числу наиболее распространенных заболеваний кожи и по литературным данным встречается у 1–2% населения стран. По данным официальной государственной статистики в Российской Федерации распространенность псориаза в 2018 году составляет 242,4 случая заболевания на 100 тыс. населения; заболеваемость – 66,5 на 100 тыс. населения.</w:t>
      </w:r>
      <w:r w:rsidR="00F42C9B" w:rsidRPr="000F582A">
        <w:rPr>
          <w:szCs w:val="24"/>
        </w:rPr>
        <w:t xml:space="preserve"> Псориатический артрит (псориаз артропатический) может развиваться одновременно с псориатическими высыпаниями на коже или предшествовать им. В дальнейшем может </w:t>
      </w:r>
      <w:r w:rsidR="0013782E" w:rsidRPr="000F582A">
        <w:rPr>
          <w:szCs w:val="24"/>
        </w:rPr>
        <w:t>наблюдаться синхронность в развитии обострений поражения кожи и суставов. Суставной процесс сопровождается покраснением кожи над пораженными суставами, отечностью, болезненностью, ограничением их подвижности, наличием утренней скованности. Могут наблюдаться деформации суставов, анкилозы, энтезиты (воспаление сухожилий в области их прикрепления к костям), дактилиты, спондилит. Клинико-анатомический вариант поражения суставов устанавливается по преобладанию того или иного симптомокомплекса в клинической картине заболевания.</w:t>
      </w:r>
      <w:r w:rsidR="009155BA" w:rsidRPr="000F582A">
        <w:rPr>
          <w:szCs w:val="24"/>
        </w:rPr>
        <w:t xml:space="preserve"> При псориазе очень часто поражаются ногти. У пациентов с псориазом отмечается повышенный риск развития коморбидных заболеваний: ишемической болезни сердца, болезни Крона, </w:t>
      </w:r>
      <w:r w:rsidR="005B00F0" w:rsidRPr="000F582A">
        <w:rPr>
          <w:szCs w:val="24"/>
        </w:rPr>
        <w:t>СД</w:t>
      </w:r>
      <w:r w:rsidR="009155BA" w:rsidRPr="000F582A">
        <w:rPr>
          <w:szCs w:val="24"/>
        </w:rPr>
        <w:t xml:space="preserve"> 2 типа, депрессии. Также среди пациентов с псориазом умеренного и тяжелого течения наблюдается повышенная распространенность метаболического синдрома, который сочетает висцеральное ожирение, инсулинорезистентость, дислипидемию и </w:t>
      </w:r>
      <w:r w:rsidR="00D2172E" w:rsidRPr="000F582A">
        <w:rPr>
          <w:szCs w:val="24"/>
        </w:rPr>
        <w:t>АГ</w:t>
      </w:r>
      <w:r w:rsidR="009155BA" w:rsidRPr="000F582A">
        <w:rPr>
          <w:szCs w:val="24"/>
        </w:rPr>
        <w:t xml:space="preserve"> </w:t>
      </w:r>
      <w:r w:rsidR="009155BA" w:rsidRPr="000F582A">
        <w:rPr>
          <w:szCs w:val="24"/>
        </w:rPr>
        <w:fldChar w:fldCharType="begin"/>
      </w:r>
      <w:r w:rsidR="009155BA" w:rsidRPr="000F582A">
        <w:rPr>
          <w:szCs w:val="24"/>
        </w:rPr>
        <w:instrText xml:space="preserve"> ADDIN ZOTERO_ITEM CSL_CITATION {"citationID":"lj9d1DFA","properties":{"formattedCitation":"[5]","plainCitation":"[5]","noteIndex":0},"citationItems":[{"id":91159,"uris":["http://zotero.org/groups/4742804/items/M3QZJXBF"],"itemData":{"id":91159,"type":"webpage","title":"Псориаз. Клинические рекомендации","URL":"https://cr.minzdrav.gov.ru/recomend/234_1","issued":{"date-parts":[["2020"]]}}}],"schema":"https://github.com/citation-style-language/schema/raw/master/csl-citation.json"} </w:instrText>
      </w:r>
      <w:r w:rsidR="009155BA" w:rsidRPr="000F582A">
        <w:rPr>
          <w:szCs w:val="24"/>
        </w:rPr>
        <w:fldChar w:fldCharType="separate"/>
      </w:r>
      <w:r w:rsidR="009155BA" w:rsidRPr="000F582A">
        <w:rPr>
          <w:rFonts w:cs="Times New Roman"/>
          <w:szCs w:val="24"/>
        </w:rPr>
        <w:t>[5]</w:t>
      </w:r>
      <w:r w:rsidR="009155BA" w:rsidRPr="000F582A">
        <w:rPr>
          <w:szCs w:val="24"/>
        </w:rPr>
        <w:fldChar w:fldCharType="end"/>
      </w:r>
      <w:r w:rsidR="00D2172E" w:rsidRPr="000F582A">
        <w:rPr>
          <w:szCs w:val="24"/>
        </w:rPr>
        <w:t>.</w:t>
      </w:r>
    </w:p>
    <w:p w14:paraId="78804585" w14:textId="0C89B960" w:rsidR="00267078" w:rsidRPr="000F582A" w:rsidRDefault="00AD5105" w:rsidP="000F582A">
      <w:pPr>
        <w:pStyle w:val="SDText"/>
        <w:contextualSpacing/>
        <w:rPr>
          <w:szCs w:val="24"/>
        </w:rPr>
      </w:pPr>
      <w:r w:rsidRPr="000F582A">
        <w:rPr>
          <w:szCs w:val="24"/>
        </w:rPr>
        <w:t xml:space="preserve">Язвенный колит (ЯК) – хроническое заболевание толстой кишки, характеризующееся иммунным воспалением ее слизистой оболочки. </w:t>
      </w:r>
      <w:r w:rsidR="00A43CF4" w:rsidRPr="000F582A">
        <w:rPr>
          <w:szCs w:val="24"/>
        </w:rPr>
        <w:t xml:space="preserve">Согласно зарубежным данным, заболеваемость ЯК составляет от 0,6 до 24,3 на 100000 человек, распространенность достигает 505 на 100000 человек. Данные о распространенности ЯК в Российской Федерации ограничены. Распространенность ЯК выше в северных широтах и в западных регионах. Заболеваемость и распространенность ЯК в Азии ниже, однако в настоящее время увеличивается. Европеоиды страдают заболеванием чаще, чем представители негроидной и монголоидной рас. Пик заболеваемости отмечается между 20 </w:t>
      </w:r>
      <w:r w:rsidR="00A43CF4" w:rsidRPr="000F582A">
        <w:rPr>
          <w:szCs w:val="24"/>
        </w:rPr>
        <w:lastRenderedPageBreak/>
        <w:t>и 30 годами жизни, а второй пик заболеваемости описан в возрасте 60–70 лет. Заболеваемость приблизительно одинакова у мужчин и женщин</w:t>
      </w:r>
      <w:r w:rsidR="00267078" w:rsidRPr="000F582A">
        <w:rPr>
          <w:szCs w:val="24"/>
        </w:rPr>
        <w:t xml:space="preserve"> </w:t>
      </w:r>
      <w:r w:rsidR="00E57C36" w:rsidRPr="000F582A">
        <w:rPr>
          <w:szCs w:val="24"/>
        </w:rPr>
        <w:fldChar w:fldCharType="begin"/>
      </w:r>
      <w:r w:rsidR="009155BA" w:rsidRPr="000F582A">
        <w:rPr>
          <w:szCs w:val="24"/>
        </w:rPr>
        <w:instrText xml:space="preserve"> ADDIN ZOTERO_ITEM CSL_CITATION {"citationID":"FEnu8ywc","properties":{"formattedCitation":"[6]","plainCitation":"[6]","noteIndex":0},"citationItems":[{"id":87771,"uris":["http://zotero.org/groups/4742804/items/3FYCGAI2"],"itemData":{"id":87771,"type":"webpage","title":"Язвенный колит. Клинические рекомендации","URL":"https://cr.minzdrav.gov.ru/recomend/193_1","author":[{"family":"Российская Гастроэнтерологическая Ассоциация","given":""}],"accessed":{"date-parts":[["2022",8,3]]},"issued":{"date-parts":[["2020"]]}}}],"schema":"https://github.com/citation-style-language/schema/raw/master/csl-citation.json"} </w:instrText>
      </w:r>
      <w:r w:rsidR="00E57C36" w:rsidRPr="000F582A">
        <w:rPr>
          <w:szCs w:val="24"/>
        </w:rPr>
        <w:fldChar w:fldCharType="separate"/>
      </w:r>
      <w:r w:rsidR="009155BA" w:rsidRPr="000F582A">
        <w:rPr>
          <w:rFonts w:cs="Times New Roman"/>
          <w:szCs w:val="24"/>
        </w:rPr>
        <w:t>[6]</w:t>
      </w:r>
      <w:r w:rsidR="00E57C36" w:rsidRPr="000F582A">
        <w:rPr>
          <w:szCs w:val="24"/>
        </w:rPr>
        <w:fldChar w:fldCharType="end"/>
      </w:r>
      <w:r w:rsidR="00267078" w:rsidRPr="000F582A">
        <w:rPr>
          <w:szCs w:val="24"/>
        </w:rPr>
        <w:t>.</w:t>
      </w:r>
    </w:p>
    <w:p w14:paraId="17BAD61D" w14:textId="6141EBEE" w:rsidR="00DA4C45" w:rsidRPr="000F582A" w:rsidRDefault="004448A6" w:rsidP="00911DDD">
      <w:pPr>
        <w:pStyle w:val="SDText"/>
        <w:contextualSpacing/>
        <w:rPr>
          <w:szCs w:val="24"/>
        </w:rPr>
      </w:pPr>
      <w:r w:rsidRPr="000F582A">
        <w:rPr>
          <w:szCs w:val="24"/>
        </w:rPr>
        <w:t xml:space="preserve">Юношеский артрит с системным началом (системный ювенильный идиопатический артрит </w:t>
      </w:r>
      <w:r w:rsidRPr="000F582A">
        <w:rPr>
          <w:rFonts w:cs="Times New Roman"/>
          <w:szCs w:val="24"/>
        </w:rPr>
        <w:t>[</w:t>
      </w:r>
      <w:r w:rsidRPr="000F582A">
        <w:rPr>
          <w:szCs w:val="24"/>
        </w:rPr>
        <w:t>сЮИА</w:t>
      </w:r>
      <w:r w:rsidRPr="000F582A">
        <w:rPr>
          <w:rFonts w:cs="Times New Roman"/>
          <w:szCs w:val="24"/>
        </w:rPr>
        <w:t>]</w:t>
      </w:r>
      <w:r w:rsidRPr="000F582A">
        <w:rPr>
          <w:szCs w:val="24"/>
        </w:rPr>
        <w:t xml:space="preserve">; системный юношеский артрит </w:t>
      </w:r>
      <w:r w:rsidRPr="000F582A">
        <w:rPr>
          <w:rFonts w:cs="Times New Roman"/>
          <w:szCs w:val="24"/>
        </w:rPr>
        <w:t>[</w:t>
      </w:r>
      <w:r w:rsidRPr="000F582A">
        <w:rPr>
          <w:szCs w:val="24"/>
        </w:rPr>
        <w:t>сЮА</w:t>
      </w:r>
      <w:r w:rsidRPr="000F582A">
        <w:rPr>
          <w:rFonts w:cs="Times New Roman"/>
          <w:szCs w:val="24"/>
        </w:rPr>
        <w:t>]</w:t>
      </w:r>
      <w:r w:rsidRPr="000F582A">
        <w:rPr>
          <w:szCs w:val="24"/>
        </w:rPr>
        <w:t>) – это артрит одного и более суставов, который сопровождается (или, которому предшествует) подтвержденной перемежающейся лихорадкой продолжительностью не менее 3 дней в течение минимум 2 недель в сочетании с одним или более из перечисленных признаков: кратковременная (летучая) эритематозная сыпь; генерализованная лимфаденопатия; гепатомегалия и (или) спленомегалия; серозит (перикардит, и/или</w:t>
      </w:r>
      <w:r w:rsidRPr="000F582A">
        <w:rPr>
          <w:rFonts w:cs="Times New Roman"/>
          <w:szCs w:val="24"/>
        </w:rPr>
        <w:t xml:space="preserve"> </w:t>
      </w:r>
      <w:r w:rsidRPr="000F582A">
        <w:rPr>
          <w:szCs w:val="24"/>
        </w:rPr>
        <w:t xml:space="preserve">плеврит, и/или перитонит). </w:t>
      </w:r>
      <w:r w:rsidR="00F93011" w:rsidRPr="000F582A">
        <w:rPr>
          <w:szCs w:val="24"/>
        </w:rPr>
        <w:t>Истинная распространенность сЮА не известна. В Европе она составляет 0,3–0,8 на 100 000 детей в возрасте до 16 лет. Доля сЮА в структуре юношеского артрита составляет от 5% до 15% в Северной Америке и Европе, 50% – в Японии. В Регистре Министерства здравоохранения Российской Федерации зарегистрировано 963 ребенка с сЮА, что составляет 5,5% в структуре юношеского артрита. сЮА развивается у детей в возрасте от 0 до 18 лет. Пик заболеваемости приходится на возраст 1–5 лет. Мальчики и девочки болеют с одинаковой частотой. Сезонность не прослеживается</w:t>
      </w:r>
      <w:r w:rsidR="00044A89" w:rsidRPr="000F582A">
        <w:rPr>
          <w:szCs w:val="24"/>
        </w:rPr>
        <w:t xml:space="preserve"> </w:t>
      </w:r>
      <w:r w:rsidR="00044A89" w:rsidRPr="000F582A">
        <w:rPr>
          <w:szCs w:val="24"/>
        </w:rPr>
        <w:fldChar w:fldCharType="begin"/>
      </w:r>
      <w:r w:rsidR="00044A89" w:rsidRPr="000F582A">
        <w:rPr>
          <w:szCs w:val="24"/>
        </w:rPr>
        <w:instrText xml:space="preserve"> ADDIN ZOTERO_ITEM CSL_CITATION {"citationID":"lpTrNOFn","properties":{"formattedCitation":"[7]","plainCitation":"[7]","noteIndex":0},"citationItems":[{"id":91161,"uris":["http://zotero.org/groups/4742804/items/7VSERANA"],"itemData":{"id":91161,"type":"webpage","title":"Юношеский артрит с системным началом. Клинические рекомендации","URL":"https://aspirre-russia.ru/upload/medialibrary/ddb/%D0%9A%D0%A0%20%D1%81%D0%AE%D0%98%D0%90_%D0%90%D0%94%D0%A0.pdf"}}],"schema":"https://github.com/citation-style-language/schema/raw/master/csl-citation.json"} </w:instrText>
      </w:r>
      <w:r w:rsidR="00044A89" w:rsidRPr="000F582A">
        <w:rPr>
          <w:szCs w:val="24"/>
        </w:rPr>
        <w:fldChar w:fldCharType="separate"/>
      </w:r>
      <w:r w:rsidR="00044A89" w:rsidRPr="000F582A">
        <w:rPr>
          <w:rFonts w:cs="Times New Roman"/>
          <w:szCs w:val="24"/>
        </w:rPr>
        <w:t>[7]</w:t>
      </w:r>
      <w:r w:rsidR="00044A89" w:rsidRPr="000F582A">
        <w:rPr>
          <w:szCs w:val="24"/>
        </w:rPr>
        <w:fldChar w:fldCharType="end"/>
      </w:r>
      <w:r w:rsidR="003C5B24" w:rsidRPr="000F582A">
        <w:rPr>
          <w:szCs w:val="24"/>
        </w:rPr>
        <w:t>.</w:t>
      </w:r>
    </w:p>
    <w:p w14:paraId="084E9B35" w14:textId="78133DBA" w:rsidR="00187172" w:rsidRPr="000F582A" w:rsidRDefault="00495A04" w:rsidP="00495A04">
      <w:pPr>
        <w:pStyle w:val="3"/>
        <w:numPr>
          <w:ilvl w:val="0"/>
          <w:numId w:val="0"/>
        </w:numPr>
        <w:ind w:left="720" w:hanging="720"/>
      </w:pPr>
      <w:bookmarkStart w:id="37" w:name="_Toc115421010"/>
      <w:bookmarkStart w:id="38" w:name="_Toc121592540"/>
      <w:r>
        <w:t xml:space="preserve">1.7.2. </w:t>
      </w:r>
      <w:r w:rsidR="00EE6B16" w:rsidRPr="00EB2B5F">
        <w:t>Существующие</w:t>
      </w:r>
      <w:r w:rsidR="00EE6B16" w:rsidRPr="000F582A">
        <w:t xml:space="preserve"> варианты терапии</w:t>
      </w:r>
      <w:bookmarkEnd w:id="37"/>
      <w:bookmarkEnd w:id="38"/>
    </w:p>
    <w:p w14:paraId="75B4CFC7" w14:textId="77777777" w:rsidR="00DA4C45" w:rsidRDefault="00DA4C45" w:rsidP="000F582A">
      <w:pPr>
        <w:pStyle w:val="SDText"/>
        <w:contextualSpacing/>
        <w:rPr>
          <w:szCs w:val="24"/>
        </w:rPr>
      </w:pPr>
    </w:p>
    <w:p w14:paraId="4734350A" w14:textId="07A73974" w:rsidR="00B71BDF" w:rsidRPr="000F582A" w:rsidRDefault="000F68C7" w:rsidP="000F582A">
      <w:pPr>
        <w:pStyle w:val="SDText"/>
        <w:contextualSpacing/>
        <w:rPr>
          <w:szCs w:val="24"/>
        </w:rPr>
      </w:pPr>
      <w:r w:rsidRPr="000F582A">
        <w:rPr>
          <w:szCs w:val="24"/>
        </w:rPr>
        <w:t>При лечении всех пациентов с РА рекомендуется достигать ремиссии или низкой</w:t>
      </w:r>
      <w:r w:rsidRPr="000F582A">
        <w:rPr>
          <w:b/>
          <w:szCs w:val="24"/>
        </w:rPr>
        <w:t xml:space="preserve"> </w:t>
      </w:r>
      <w:r w:rsidRPr="000F582A">
        <w:rPr>
          <w:szCs w:val="24"/>
        </w:rPr>
        <w:t>активности (альтернативная цель) заболевания (уровень убедительности рекомендаци</w:t>
      </w:r>
      <w:r w:rsidR="00033C5C" w:rsidRPr="000F582A">
        <w:rPr>
          <w:szCs w:val="24"/>
        </w:rPr>
        <w:t>й</w:t>
      </w:r>
      <w:r w:rsidRPr="000F582A">
        <w:rPr>
          <w:szCs w:val="24"/>
        </w:rPr>
        <w:t xml:space="preserve"> </w:t>
      </w:r>
      <w:r w:rsidR="00742B14" w:rsidRPr="000F582A">
        <w:rPr>
          <w:szCs w:val="24"/>
        </w:rPr>
        <w:t xml:space="preserve">– </w:t>
      </w:r>
      <w:r w:rsidRPr="000F582A">
        <w:rPr>
          <w:szCs w:val="24"/>
        </w:rPr>
        <w:t xml:space="preserve">С, уровень достоверности доказательств </w:t>
      </w:r>
      <w:r w:rsidR="00742B14" w:rsidRPr="000F582A">
        <w:rPr>
          <w:szCs w:val="24"/>
        </w:rPr>
        <w:t xml:space="preserve">– </w:t>
      </w:r>
      <w:r w:rsidRPr="000F582A">
        <w:rPr>
          <w:szCs w:val="24"/>
        </w:rPr>
        <w:t>5).</w:t>
      </w:r>
      <w:r w:rsidR="00444074" w:rsidRPr="000F582A">
        <w:rPr>
          <w:szCs w:val="24"/>
        </w:rPr>
        <w:t xml:space="preserve"> Лечение РА рекомендуется основывать на стратегии «Лечения до достижения цели» («</w:t>
      </w:r>
      <w:r w:rsidR="00EA2F91" w:rsidRPr="000F582A">
        <w:rPr>
          <w:szCs w:val="24"/>
          <w:lang w:val="en-US"/>
        </w:rPr>
        <w:t>T</w:t>
      </w:r>
      <w:r w:rsidR="00444074" w:rsidRPr="000F582A">
        <w:rPr>
          <w:szCs w:val="24"/>
          <w:lang w:val="en-US"/>
        </w:rPr>
        <w:t>r</w:t>
      </w:r>
      <w:r w:rsidR="00FC260D" w:rsidRPr="000F582A">
        <w:rPr>
          <w:szCs w:val="24"/>
          <w:lang w:val="en-US"/>
        </w:rPr>
        <w:t>ea</w:t>
      </w:r>
      <w:r w:rsidR="00444074" w:rsidRPr="000F582A">
        <w:rPr>
          <w:szCs w:val="24"/>
          <w:lang w:val="en-US"/>
        </w:rPr>
        <w:t>t</w:t>
      </w:r>
      <w:r w:rsidR="00444074" w:rsidRPr="000F582A">
        <w:rPr>
          <w:szCs w:val="24"/>
        </w:rPr>
        <w:t xml:space="preserve"> </w:t>
      </w:r>
      <w:r w:rsidR="00444074" w:rsidRPr="000F582A">
        <w:rPr>
          <w:szCs w:val="24"/>
          <w:lang w:val="en-US"/>
        </w:rPr>
        <w:t>t</w:t>
      </w:r>
      <w:r w:rsidR="00FC260D" w:rsidRPr="000F582A">
        <w:rPr>
          <w:szCs w:val="24"/>
          <w:lang w:val="en-US"/>
        </w:rPr>
        <w:t>o</w:t>
      </w:r>
      <w:r w:rsidR="00444074" w:rsidRPr="000F582A">
        <w:rPr>
          <w:szCs w:val="24"/>
        </w:rPr>
        <w:t xml:space="preserve"> </w:t>
      </w:r>
      <w:r w:rsidR="00444074" w:rsidRPr="000F582A">
        <w:rPr>
          <w:szCs w:val="24"/>
          <w:lang w:val="en-US"/>
        </w:rPr>
        <w:t>t</w:t>
      </w:r>
      <w:r w:rsidR="00FC260D" w:rsidRPr="000F582A">
        <w:rPr>
          <w:szCs w:val="24"/>
          <w:lang w:val="en-US"/>
        </w:rPr>
        <w:t>a</w:t>
      </w:r>
      <w:r w:rsidR="00444074" w:rsidRPr="000F582A">
        <w:rPr>
          <w:szCs w:val="24"/>
          <w:lang w:val="en-US"/>
        </w:rPr>
        <w:t>rg</w:t>
      </w:r>
      <w:r w:rsidR="00FC260D" w:rsidRPr="000F582A">
        <w:rPr>
          <w:szCs w:val="24"/>
          <w:lang w:val="en-US"/>
        </w:rPr>
        <w:t>e</w:t>
      </w:r>
      <w:r w:rsidR="00444074" w:rsidRPr="000F582A">
        <w:rPr>
          <w:szCs w:val="24"/>
          <w:lang w:val="en-US"/>
        </w:rPr>
        <w:t>t</w:t>
      </w:r>
      <w:r w:rsidR="00444074" w:rsidRPr="000F582A">
        <w:rPr>
          <w:szCs w:val="24"/>
        </w:rPr>
        <w:t xml:space="preserve">»): активное назначение противовоспалительной терапии, включающей </w:t>
      </w:r>
      <w:r w:rsidR="008A7B0D" w:rsidRPr="000F582A">
        <w:rPr>
          <w:szCs w:val="24"/>
        </w:rPr>
        <w:t>синтетические базисные противовоспалительные препараты (</w:t>
      </w:r>
      <w:r w:rsidR="00444074" w:rsidRPr="000F582A">
        <w:rPr>
          <w:szCs w:val="24"/>
        </w:rPr>
        <w:t>сБПВП</w:t>
      </w:r>
      <w:r w:rsidR="008A7B0D" w:rsidRPr="000F582A">
        <w:rPr>
          <w:szCs w:val="24"/>
        </w:rPr>
        <w:t>)</w:t>
      </w:r>
      <w:r w:rsidR="00132C00" w:rsidRPr="000F582A">
        <w:rPr>
          <w:szCs w:val="24"/>
        </w:rPr>
        <w:t xml:space="preserve"> </w:t>
      </w:r>
      <w:r w:rsidR="00D6236C" w:rsidRPr="000F582A">
        <w:rPr>
          <w:szCs w:val="24"/>
        </w:rPr>
        <w:t>(</w:t>
      </w:r>
      <w:r w:rsidR="00F67EE2" w:rsidRPr="000F582A">
        <w:rPr>
          <w:szCs w:val="24"/>
        </w:rPr>
        <w:t xml:space="preserve">синтетические болезньмодифицирующие </w:t>
      </w:r>
      <w:r w:rsidR="00100380" w:rsidRPr="000F582A">
        <w:rPr>
          <w:szCs w:val="24"/>
        </w:rPr>
        <w:t xml:space="preserve">антиревматические препараты </w:t>
      </w:r>
      <w:r w:rsidR="00D6236C" w:rsidRPr="000F582A">
        <w:rPr>
          <w:rFonts w:cs="Times New Roman"/>
          <w:szCs w:val="24"/>
        </w:rPr>
        <w:t>[</w:t>
      </w:r>
      <w:r w:rsidR="00100380" w:rsidRPr="000F582A">
        <w:rPr>
          <w:szCs w:val="24"/>
        </w:rPr>
        <w:t>сБМАРП</w:t>
      </w:r>
      <w:r w:rsidR="00D6236C" w:rsidRPr="000F582A">
        <w:rPr>
          <w:rFonts w:cs="Times New Roman"/>
          <w:szCs w:val="24"/>
        </w:rPr>
        <w:t>]</w:t>
      </w:r>
      <w:r w:rsidR="00100380" w:rsidRPr="000F582A">
        <w:rPr>
          <w:szCs w:val="24"/>
        </w:rPr>
        <w:t>)</w:t>
      </w:r>
      <w:r w:rsidR="00444074" w:rsidRPr="000F582A">
        <w:rPr>
          <w:szCs w:val="24"/>
        </w:rPr>
        <w:t xml:space="preserve">, </w:t>
      </w:r>
      <w:r w:rsidR="0054784D" w:rsidRPr="000F582A">
        <w:rPr>
          <w:szCs w:val="24"/>
        </w:rPr>
        <w:t>генно-инженерные биологические препараты (</w:t>
      </w:r>
      <w:r w:rsidR="00444074" w:rsidRPr="000F582A">
        <w:rPr>
          <w:szCs w:val="24"/>
        </w:rPr>
        <w:t>ГИБП</w:t>
      </w:r>
      <w:r w:rsidR="0054784D" w:rsidRPr="000F582A">
        <w:rPr>
          <w:szCs w:val="24"/>
        </w:rPr>
        <w:t>)</w:t>
      </w:r>
      <w:r w:rsidR="00444074" w:rsidRPr="000F582A">
        <w:rPr>
          <w:szCs w:val="24"/>
        </w:rPr>
        <w:t xml:space="preserve">, </w:t>
      </w:r>
      <w:r w:rsidR="006F79AF" w:rsidRPr="000F582A">
        <w:rPr>
          <w:szCs w:val="24"/>
        </w:rPr>
        <w:t>таргетные синтетические базисные противовоспалительные препараты (</w:t>
      </w:r>
      <w:r w:rsidR="00444074" w:rsidRPr="000F582A">
        <w:rPr>
          <w:szCs w:val="24"/>
        </w:rPr>
        <w:t>тсБПВП</w:t>
      </w:r>
      <w:r w:rsidR="006F79AF" w:rsidRPr="000F582A">
        <w:rPr>
          <w:szCs w:val="24"/>
        </w:rPr>
        <w:t>)</w:t>
      </w:r>
      <w:r w:rsidR="00D6236C" w:rsidRPr="000F582A">
        <w:rPr>
          <w:szCs w:val="24"/>
        </w:rPr>
        <w:t xml:space="preserve"> (</w:t>
      </w:r>
      <w:r w:rsidR="00100380" w:rsidRPr="000F582A">
        <w:rPr>
          <w:szCs w:val="24"/>
        </w:rPr>
        <w:t xml:space="preserve">таргетные </w:t>
      </w:r>
      <w:r w:rsidR="000D059E" w:rsidRPr="000F582A">
        <w:rPr>
          <w:szCs w:val="24"/>
        </w:rPr>
        <w:t xml:space="preserve">синтетические болезньмодифицирующие антиревматические препараты </w:t>
      </w:r>
      <w:r w:rsidR="00D6236C" w:rsidRPr="000F582A">
        <w:rPr>
          <w:rFonts w:cs="Times New Roman"/>
          <w:szCs w:val="24"/>
        </w:rPr>
        <w:t>[</w:t>
      </w:r>
      <w:r w:rsidR="000D059E" w:rsidRPr="000F582A">
        <w:rPr>
          <w:szCs w:val="24"/>
        </w:rPr>
        <w:t>тсБМАРП</w:t>
      </w:r>
      <w:r w:rsidR="00D6236C" w:rsidRPr="000F582A">
        <w:rPr>
          <w:rFonts w:cs="Times New Roman"/>
          <w:szCs w:val="24"/>
        </w:rPr>
        <w:t>]</w:t>
      </w:r>
      <w:r w:rsidR="000D059E" w:rsidRPr="000F582A">
        <w:rPr>
          <w:szCs w:val="24"/>
        </w:rPr>
        <w:t>)</w:t>
      </w:r>
      <w:r w:rsidR="00444074" w:rsidRPr="000F582A">
        <w:rPr>
          <w:szCs w:val="24"/>
        </w:rPr>
        <w:t xml:space="preserve">, </w:t>
      </w:r>
      <w:r w:rsidR="006F79AF" w:rsidRPr="000F582A">
        <w:rPr>
          <w:szCs w:val="24"/>
        </w:rPr>
        <w:t>нестероидные противовоспалительные препараты (</w:t>
      </w:r>
      <w:r w:rsidR="00444074" w:rsidRPr="000F582A">
        <w:rPr>
          <w:szCs w:val="24"/>
        </w:rPr>
        <w:t>НПВП</w:t>
      </w:r>
      <w:r w:rsidR="006F79AF" w:rsidRPr="000F582A">
        <w:rPr>
          <w:szCs w:val="24"/>
        </w:rPr>
        <w:t>)</w:t>
      </w:r>
      <w:r w:rsidR="00444074" w:rsidRPr="000F582A">
        <w:rPr>
          <w:szCs w:val="24"/>
        </w:rPr>
        <w:t xml:space="preserve">, </w:t>
      </w:r>
      <w:r w:rsidR="001A4CD7" w:rsidRPr="000F582A">
        <w:rPr>
          <w:szCs w:val="24"/>
        </w:rPr>
        <w:t>глюкокортикостероиды (</w:t>
      </w:r>
      <w:r w:rsidR="00444074" w:rsidRPr="000F582A">
        <w:rPr>
          <w:szCs w:val="24"/>
        </w:rPr>
        <w:t>ГК</w:t>
      </w:r>
      <w:r w:rsidR="00E10FB4" w:rsidRPr="000F582A">
        <w:rPr>
          <w:szCs w:val="24"/>
        </w:rPr>
        <w:t>С</w:t>
      </w:r>
      <w:r w:rsidR="001A4CD7" w:rsidRPr="000F582A">
        <w:rPr>
          <w:szCs w:val="24"/>
        </w:rPr>
        <w:t>)</w:t>
      </w:r>
      <w:r w:rsidR="00444074" w:rsidRPr="000F582A">
        <w:rPr>
          <w:szCs w:val="24"/>
        </w:rPr>
        <w:t>, контроль над состоянием пациента с момента постановки диагноза частый (каждые 3 мес. до достижения ремиссии, каждые 6 мес. после достижения ремиссии) и объективный (с применением количественных методов), изменение схемы лечения при отсутствии приемлемого эффекта терапии (уровень убедительности рекомендаци</w:t>
      </w:r>
      <w:r w:rsidR="00033C5C" w:rsidRPr="000F582A">
        <w:rPr>
          <w:szCs w:val="24"/>
        </w:rPr>
        <w:t>й</w:t>
      </w:r>
      <w:r w:rsidR="00444074" w:rsidRPr="000F582A">
        <w:rPr>
          <w:szCs w:val="24"/>
        </w:rPr>
        <w:t xml:space="preserve"> С, уровень достоверности доказательств 3)</w:t>
      </w:r>
      <w:r w:rsidR="00BB5416" w:rsidRPr="000F582A">
        <w:rPr>
          <w:szCs w:val="24"/>
        </w:rPr>
        <w:t xml:space="preserve"> </w:t>
      </w:r>
      <w:r w:rsidR="00B71BDF" w:rsidRPr="000F582A">
        <w:rPr>
          <w:szCs w:val="24"/>
        </w:rPr>
        <w:fldChar w:fldCharType="begin"/>
      </w:r>
      <w:r w:rsidR="00C434CD" w:rsidRPr="000F582A">
        <w:rPr>
          <w:szCs w:val="24"/>
        </w:rPr>
        <w:instrText xml:space="preserve"> ADDIN ZOTERO_ITEM CSL_CITATION {"citationID":"hJBDmxoE","properties":{"formattedCitation":"[2]","plainCitation":"[2]","noteIndex":0},"citationItems":[{"id":87772,"uris":["http://zotero.org/groups/4742804/items/D6Z4F42H"],"itemData":{"id":87772,"type":"webpage","title":"Ревматоидный артрит. Клинические рекомендации","URL":"https://cr.minzdrav.gov.ru/recomend/250_2","author":[{"family":"Ассоциация ревматологов России","given":""}],"accessed":{"date-parts":[["2022",8,3]]},"issued":{"date-parts":[["2021"]]}}}],"schema":"https://github.com/citation-style-language/schema/raw/master/csl-citation.json"} </w:instrText>
      </w:r>
      <w:r w:rsidR="00B71BDF" w:rsidRPr="000F582A">
        <w:rPr>
          <w:szCs w:val="24"/>
        </w:rPr>
        <w:fldChar w:fldCharType="separate"/>
      </w:r>
      <w:r w:rsidR="00C434CD" w:rsidRPr="000F582A">
        <w:rPr>
          <w:rFonts w:cs="Times New Roman"/>
          <w:szCs w:val="24"/>
        </w:rPr>
        <w:t>[2]</w:t>
      </w:r>
      <w:r w:rsidR="00B71BDF" w:rsidRPr="000F582A">
        <w:rPr>
          <w:szCs w:val="24"/>
        </w:rPr>
        <w:fldChar w:fldCharType="end"/>
      </w:r>
      <w:r w:rsidR="00B71BDF" w:rsidRPr="000F582A">
        <w:rPr>
          <w:szCs w:val="24"/>
        </w:rPr>
        <w:t>.</w:t>
      </w:r>
    </w:p>
    <w:p w14:paraId="637669F3" w14:textId="1C3E5B31" w:rsidR="00FF54C3" w:rsidRPr="000F582A" w:rsidRDefault="00255F15" w:rsidP="000F582A">
      <w:pPr>
        <w:pStyle w:val="SDText"/>
        <w:contextualSpacing/>
        <w:rPr>
          <w:szCs w:val="24"/>
        </w:rPr>
      </w:pPr>
      <w:r w:rsidRPr="000F582A">
        <w:rPr>
          <w:szCs w:val="24"/>
        </w:rPr>
        <w:t xml:space="preserve">Препараты, относящиеся к </w:t>
      </w:r>
      <w:r w:rsidR="00BB5416" w:rsidRPr="000F582A">
        <w:rPr>
          <w:szCs w:val="24"/>
        </w:rPr>
        <w:t>сБПВП (аналоги фолиевой кислоты, кишечные противовоспалительные препараты</w:t>
      </w:r>
      <w:r w:rsidR="0018782C" w:rsidRPr="000F582A">
        <w:rPr>
          <w:szCs w:val="24"/>
        </w:rPr>
        <w:t xml:space="preserve"> </w:t>
      </w:r>
      <w:r w:rsidR="00BB5416" w:rsidRPr="000F582A">
        <w:rPr>
          <w:szCs w:val="24"/>
        </w:rPr>
        <w:t>аминосалициловая кислота и аналогичные препараты, селективные иммунодепрессанты,</w:t>
      </w:r>
      <w:r w:rsidR="0018782C" w:rsidRPr="000F582A">
        <w:rPr>
          <w:szCs w:val="24"/>
        </w:rPr>
        <w:t xml:space="preserve"> </w:t>
      </w:r>
      <w:r w:rsidR="00BB5416" w:rsidRPr="000F582A">
        <w:rPr>
          <w:szCs w:val="24"/>
        </w:rPr>
        <w:t>противомалярийные препараты) рекомендуется назначать всем пациентам с РА (включая</w:t>
      </w:r>
      <w:r w:rsidR="0018782C" w:rsidRPr="000F582A">
        <w:rPr>
          <w:szCs w:val="24"/>
        </w:rPr>
        <w:t xml:space="preserve"> </w:t>
      </w:r>
      <w:r w:rsidR="00BB5416" w:rsidRPr="000F582A">
        <w:rPr>
          <w:szCs w:val="24"/>
        </w:rPr>
        <w:t xml:space="preserve">пациентов с высокой вероятностью развития РА) с момента постановки диагноза </w:t>
      </w:r>
      <w:r w:rsidR="0018782C" w:rsidRPr="000F582A">
        <w:rPr>
          <w:szCs w:val="24"/>
        </w:rPr>
        <w:t>(у</w:t>
      </w:r>
      <w:r w:rsidR="00BB5416" w:rsidRPr="000F582A">
        <w:rPr>
          <w:szCs w:val="24"/>
        </w:rPr>
        <w:t xml:space="preserve">ровень убедительности рекомендаций </w:t>
      </w:r>
      <w:r w:rsidR="0018782C" w:rsidRPr="000F582A">
        <w:rPr>
          <w:szCs w:val="24"/>
        </w:rPr>
        <w:t>–</w:t>
      </w:r>
      <w:r w:rsidR="00BB5416" w:rsidRPr="000F582A">
        <w:rPr>
          <w:szCs w:val="24"/>
        </w:rPr>
        <w:t xml:space="preserve"> А</w:t>
      </w:r>
      <w:r w:rsidR="0018782C" w:rsidRPr="000F582A">
        <w:rPr>
          <w:szCs w:val="24"/>
        </w:rPr>
        <w:t xml:space="preserve">, </w:t>
      </w:r>
      <w:r w:rsidR="00BB5416" w:rsidRPr="000F582A">
        <w:rPr>
          <w:szCs w:val="24"/>
        </w:rPr>
        <w:t>уровень достоверности доказательств</w:t>
      </w:r>
      <w:r w:rsidR="006E096B" w:rsidRPr="000F582A">
        <w:rPr>
          <w:szCs w:val="24"/>
        </w:rPr>
        <w:t xml:space="preserve"> – </w:t>
      </w:r>
      <w:r w:rsidR="00BB5416" w:rsidRPr="000F582A">
        <w:rPr>
          <w:szCs w:val="24"/>
        </w:rPr>
        <w:t>1)</w:t>
      </w:r>
      <w:r w:rsidR="0018782C" w:rsidRPr="000F582A">
        <w:rPr>
          <w:szCs w:val="24"/>
        </w:rPr>
        <w:t>.</w:t>
      </w:r>
      <w:r w:rsidR="006758BA" w:rsidRPr="000F582A">
        <w:rPr>
          <w:szCs w:val="24"/>
        </w:rPr>
        <w:t xml:space="preserve"> М</w:t>
      </w:r>
      <w:r w:rsidR="0018782C" w:rsidRPr="000F582A">
        <w:rPr>
          <w:szCs w:val="24"/>
        </w:rPr>
        <w:t>етотрексат</w:t>
      </w:r>
      <w:r w:rsidR="006758BA" w:rsidRPr="000F582A">
        <w:rPr>
          <w:szCs w:val="24"/>
        </w:rPr>
        <w:t xml:space="preserve"> рекомендуется всем пациентам с диагнозом РА, как препарат «первой линии»</w:t>
      </w:r>
      <w:r w:rsidR="0018782C" w:rsidRPr="000F582A">
        <w:rPr>
          <w:szCs w:val="24"/>
        </w:rPr>
        <w:t xml:space="preserve"> </w:t>
      </w:r>
      <w:r w:rsidR="006758BA" w:rsidRPr="000F582A">
        <w:rPr>
          <w:szCs w:val="24"/>
        </w:rPr>
        <w:t xml:space="preserve">терапии </w:t>
      </w:r>
      <w:r w:rsidR="0018782C" w:rsidRPr="000F582A">
        <w:rPr>
          <w:szCs w:val="24"/>
        </w:rPr>
        <w:t>(у</w:t>
      </w:r>
      <w:r w:rsidR="006758BA" w:rsidRPr="000F582A">
        <w:rPr>
          <w:szCs w:val="24"/>
        </w:rPr>
        <w:t>ровень убедительности рекомендаций</w:t>
      </w:r>
      <w:r w:rsidR="0018782C" w:rsidRPr="000F582A">
        <w:rPr>
          <w:szCs w:val="24"/>
        </w:rPr>
        <w:t xml:space="preserve"> – </w:t>
      </w:r>
      <w:r w:rsidR="006758BA" w:rsidRPr="000F582A">
        <w:rPr>
          <w:szCs w:val="24"/>
        </w:rPr>
        <w:t>А</w:t>
      </w:r>
      <w:r w:rsidR="0018782C" w:rsidRPr="000F582A">
        <w:rPr>
          <w:szCs w:val="24"/>
        </w:rPr>
        <w:t xml:space="preserve">, </w:t>
      </w:r>
      <w:r w:rsidR="006758BA" w:rsidRPr="000F582A">
        <w:rPr>
          <w:szCs w:val="24"/>
        </w:rPr>
        <w:t xml:space="preserve">уровень достоверности доказательств </w:t>
      </w:r>
      <w:r w:rsidR="0018782C" w:rsidRPr="000F582A">
        <w:rPr>
          <w:szCs w:val="24"/>
        </w:rPr>
        <w:t xml:space="preserve">– </w:t>
      </w:r>
      <w:r w:rsidR="006758BA" w:rsidRPr="000F582A">
        <w:rPr>
          <w:szCs w:val="24"/>
        </w:rPr>
        <w:t>1)</w:t>
      </w:r>
      <w:r w:rsidR="0018782C" w:rsidRPr="000F582A">
        <w:rPr>
          <w:szCs w:val="24"/>
        </w:rPr>
        <w:t xml:space="preserve">. </w:t>
      </w:r>
      <w:r w:rsidR="006E096B" w:rsidRPr="000F582A">
        <w:rPr>
          <w:szCs w:val="24"/>
        </w:rPr>
        <w:t>При отсутствии противопоказаний терапию ГИБП (ингибиторы фактора некроза опухоли</w:t>
      </w:r>
      <w:r w:rsidR="006021B0" w:rsidRPr="000F582A">
        <w:rPr>
          <w:szCs w:val="24"/>
        </w:rPr>
        <w:t>-</w:t>
      </w:r>
      <w:r w:rsidR="006021B0" w:rsidRPr="000F582A">
        <w:rPr>
          <w:rFonts w:cs="Times New Roman"/>
          <w:szCs w:val="24"/>
        </w:rPr>
        <w:t>α</w:t>
      </w:r>
      <w:r w:rsidR="006021B0" w:rsidRPr="000F582A">
        <w:rPr>
          <w:szCs w:val="24"/>
        </w:rPr>
        <w:t xml:space="preserve"> </w:t>
      </w:r>
      <w:r w:rsidR="006021B0" w:rsidRPr="000F582A">
        <w:rPr>
          <w:rFonts w:cs="Times New Roman"/>
          <w:szCs w:val="24"/>
        </w:rPr>
        <w:t>[</w:t>
      </w:r>
      <w:r w:rsidR="003D49A9" w:rsidRPr="000F582A">
        <w:rPr>
          <w:szCs w:val="24"/>
          <w:lang w:val="en-US"/>
        </w:rPr>
        <w:t>factor</w:t>
      </w:r>
      <w:r w:rsidR="003D49A9" w:rsidRPr="000F582A">
        <w:rPr>
          <w:szCs w:val="24"/>
        </w:rPr>
        <w:t xml:space="preserve"> </w:t>
      </w:r>
      <w:r w:rsidR="003D49A9" w:rsidRPr="000F582A">
        <w:rPr>
          <w:szCs w:val="24"/>
          <w:lang w:val="en-US"/>
        </w:rPr>
        <w:t>necrosis</w:t>
      </w:r>
      <w:r w:rsidR="003D49A9" w:rsidRPr="000F582A">
        <w:rPr>
          <w:szCs w:val="24"/>
        </w:rPr>
        <w:t xml:space="preserve"> </w:t>
      </w:r>
      <w:r w:rsidR="003D49A9" w:rsidRPr="000F582A">
        <w:rPr>
          <w:szCs w:val="24"/>
          <w:lang w:val="en-US"/>
        </w:rPr>
        <w:t>tumor</w:t>
      </w:r>
      <w:r w:rsidR="003D49A9" w:rsidRPr="000F582A">
        <w:rPr>
          <w:szCs w:val="24"/>
        </w:rPr>
        <w:t>-</w:t>
      </w:r>
      <w:r w:rsidR="003D49A9" w:rsidRPr="000F582A">
        <w:rPr>
          <w:rFonts w:cs="Times New Roman"/>
          <w:szCs w:val="24"/>
        </w:rPr>
        <w:t>α</w:t>
      </w:r>
      <w:r w:rsidR="003D49A9" w:rsidRPr="000F582A">
        <w:rPr>
          <w:szCs w:val="24"/>
        </w:rPr>
        <w:t xml:space="preserve">, </w:t>
      </w:r>
      <w:r w:rsidR="003D49A9" w:rsidRPr="000F582A">
        <w:rPr>
          <w:szCs w:val="24"/>
          <w:lang w:val="en-US"/>
        </w:rPr>
        <w:t>TNF</w:t>
      </w:r>
      <w:r w:rsidR="006E096B" w:rsidRPr="000F582A">
        <w:rPr>
          <w:szCs w:val="24"/>
        </w:rPr>
        <w:t>-</w:t>
      </w:r>
      <w:r w:rsidR="006E096B" w:rsidRPr="000F582A">
        <w:rPr>
          <w:rFonts w:cs="Times New Roman"/>
          <w:szCs w:val="24"/>
        </w:rPr>
        <w:t>α</w:t>
      </w:r>
      <w:r w:rsidR="006021B0" w:rsidRPr="000F582A">
        <w:rPr>
          <w:rFonts w:cs="Times New Roman"/>
          <w:szCs w:val="24"/>
        </w:rPr>
        <w:t>]</w:t>
      </w:r>
      <w:r w:rsidR="006E096B" w:rsidRPr="000F582A">
        <w:rPr>
          <w:szCs w:val="24"/>
        </w:rPr>
        <w:t xml:space="preserve">, ингибиторы </w:t>
      </w:r>
      <w:r w:rsidR="008C1605" w:rsidRPr="000F582A">
        <w:rPr>
          <w:szCs w:val="24"/>
        </w:rPr>
        <w:t xml:space="preserve">интерлейкина </w:t>
      </w:r>
      <w:r w:rsidR="008C1605" w:rsidRPr="000F582A">
        <w:rPr>
          <w:rFonts w:cs="Times New Roman"/>
          <w:szCs w:val="24"/>
        </w:rPr>
        <w:t>[</w:t>
      </w:r>
      <w:r w:rsidR="008C1605" w:rsidRPr="000F582A">
        <w:rPr>
          <w:szCs w:val="24"/>
        </w:rPr>
        <w:t xml:space="preserve">interleukin, </w:t>
      </w:r>
      <w:r w:rsidR="008C1605" w:rsidRPr="000F582A">
        <w:rPr>
          <w:szCs w:val="24"/>
          <w:lang w:val="en-US"/>
        </w:rPr>
        <w:t>IL</w:t>
      </w:r>
      <w:r w:rsidR="006021B0" w:rsidRPr="000F582A">
        <w:rPr>
          <w:rFonts w:cs="Times New Roman"/>
          <w:szCs w:val="24"/>
        </w:rPr>
        <w:t>]</w:t>
      </w:r>
      <w:r w:rsidR="006E096B" w:rsidRPr="000F582A">
        <w:rPr>
          <w:szCs w:val="24"/>
        </w:rPr>
        <w:t xml:space="preserve">, моноклональные антитела, селективные </w:t>
      </w:r>
      <w:r w:rsidR="00D6701F" w:rsidRPr="000F582A">
        <w:rPr>
          <w:szCs w:val="24"/>
        </w:rPr>
        <w:t>иммунодепрессанты</w:t>
      </w:r>
      <w:r w:rsidR="006E096B" w:rsidRPr="000F582A">
        <w:rPr>
          <w:szCs w:val="24"/>
        </w:rPr>
        <w:t>) или тсБПВП (селективные</w:t>
      </w:r>
      <w:r w:rsidR="006021B0" w:rsidRPr="000F582A">
        <w:rPr>
          <w:szCs w:val="24"/>
        </w:rPr>
        <w:t xml:space="preserve"> </w:t>
      </w:r>
      <w:r w:rsidR="00D6701F" w:rsidRPr="00D6701F">
        <w:rPr>
          <w:szCs w:val="24"/>
        </w:rPr>
        <w:t>иммунодепрессанты</w:t>
      </w:r>
      <w:r w:rsidR="006E096B" w:rsidRPr="000F582A">
        <w:rPr>
          <w:szCs w:val="24"/>
        </w:rPr>
        <w:t xml:space="preserve">: </w:t>
      </w:r>
      <w:r w:rsidR="00FE6CF2" w:rsidRPr="000F582A">
        <w:rPr>
          <w:szCs w:val="24"/>
        </w:rPr>
        <w:t>барицитиниб</w:t>
      </w:r>
      <w:r w:rsidR="006E096B" w:rsidRPr="000F582A">
        <w:rPr>
          <w:szCs w:val="24"/>
        </w:rPr>
        <w:t xml:space="preserve">, </w:t>
      </w:r>
      <w:r w:rsidR="00FE6CF2" w:rsidRPr="000F582A">
        <w:rPr>
          <w:szCs w:val="24"/>
        </w:rPr>
        <w:t>тофацитиниб</w:t>
      </w:r>
      <w:r w:rsidR="006E096B" w:rsidRPr="000F582A">
        <w:rPr>
          <w:szCs w:val="24"/>
        </w:rPr>
        <w:t xml:space="preserve">, </w:t>
      </w:r>
      <w:r w:rsidR="009C11CB" w:rsidRPr="000F582A">
        <w:rPr>
          <w:szCs w:val="24"/>
        </w:rPr>
        <w:t>упадацитиниб</w:t>
      </w:r>
      <w:r w:rsidR="006E096B" w:rsidRPr="000F582A">
        <w:rPr>
          <w:szCs w:val="24"/>
        </w:rPr>
        <w:t>) рекомендуется назначать пациентам с РА</w:t>
      </w:r>
      <w:r w:rsidR="009C11CB" w:rsidRPr="000F582A">
        <w:rPr>
          <w:szCs w:val="24"/>
        </w:rPr>
        <w:t xml:space="preserve"> </w:t>
      </w:r>
      <w:r w:rsidR="006E096B" w:rsidRPr="000F582A">
        <w:rPr>
          <w:szCs w:val="24"/>
        </w:rPr>
        <w:t>при наличии факторов риска неблагоприятного прогноза (раннее развитие эрозий</w:t>
      </w:r>
      <w:r w:rsidR="009C11CB" w:rsidRPr="000F582A">
        <w:rPr>
          <w:szCs w:val="24"/>
        </w:rPr>
        <w:t xml:space="preserve"> </w:t>
      </w:r>
      <w:r w:rsidR="006E096B" w:rsidRPr="000F582A">
        <w:rPr>
          <w:szCs w:val="24"/>
        </w:rPr>
        <w:t xml:space="preserve">суставов, очень высокие титры </w:t>
      </w:r>
      <w:r w:rsidR="00A23C0E" w:rsidRPr="000F582A">
        <w:rPr>
          <w:szCs w:val="24"/>
        </w:rPr>
        <w:t>ревматоидного фактора</w:t>
      </w:r>
      <w:r w:rsidR="006E096B" w:rsidRPr="000F582A">
        <w:rPr>
          <w:szCs w:val="24"/>
        </w:rPr>
        <w:t xml:space="preserve"> </w:t>
      </w:r>
      <w:r w:rsidR="00281DA4" w:rsidRPr="000F582A">
        <w:rPr>
          <w:rFonts w:cs="Times New Roman"/>
          <w:szCs w:val="24"/>
        </w:rPr>
        <w:t>[</w:t>
      </w:r>
      <w:r w:rsidR="00A23C0E" w:rsidRPr="000F582A">
        <w:rPr>
          <w:szCs w:val="24"/>
        </w:rPr>
        <w:t>РФ</w:t>
      </w:r>
      <w:r w:rsidR="00281DA4" w:rsidRPr="000F582A">
        <w:rPr>
          <w:rFonts w:cs="Times New Roman"/>
          <w:szCs w:val="24"/>
        </w:rPr>
        <w:t>]</w:t>
      </w:r>
      <w:r w:rsidR="00A23C0E" w:rsidRPr="000F582A">
        <w:rPr>
          <w:szCs w:val="24"/>
        </w:rPr>
        <w:t xml:space="preserve"> </w:t>
      </w:r>
      <w:r w:rsidR="006E096B" w:rsidRPr="000F582A">
        <w:rPr>
          <w:szCs w:val="24"/>
        </w:rPr>
        <w:t xml:space="preserve">и </w:t>
      </w:r>
      <w:r w:rsidR="00281DA4" w:rsidRPr="000F582A">
        <w:rPr>
          <w:szCs w:val="24"/>
        </w:rPr>
        <w:t xml:space="preserve">антител к циклическому </w:t>
      </w:r>
      <w:r w:rsidR="00281DA4" w:rsidRPr="000F582A">
        <w:rPr>
          <w:szCs w:val="24"/>
        </w:rPr>
        <w:lastRenderedPageBreak/>
        <w:t xml:space="preserve">цитруллинированному пептиду </w:t>
      </w:r>
      <w:r w:rsidR="00281DA4" w:rsidRPr="000F582A">
        <w:rPr>
          <w:rFonts w:cs="Times New Roman"/>
          <w:szCs w:val="24"/>
        </w:rPr>
        <w:t>[</w:t>
      </w:r>
      <w:r w:rsidR="006E096B" w:rsidRPr="000F582A">
        <w:rPr>
          <w:szCs w:val="24"/>
        </w:rPr>
        <w:t>АЦЦП</w:t>
      </w:r>
      <w:r w:rsidR="00281DA4" w:rsidRPr="000F582A">
        <w:rPr>
          <w:rFonts w:cs="Times New Roman"/>
          <w:szCs w:val="24"/>
        </w:rPr>
        <w:t>]</w:t>
      </w:r>
      <w:r w:rsidR="006E096B" w:rsidRPr="000F582A">
        <w:rPr>
          <w:szCs w:val="24"/>
        </w:rPr>
        <w:t>, высокая клиническая и лабораторная</w:t>
      </w:r>
      <w:r w:rsidR="009C11CB" w:rsidRPr="000F582A">
        <w:rPr>
          <w:szCs w:val="24"/>
        </w:rPr>
        <w:t xml:space="preserve"> </w:t>
      </w:r>
      <w:r w:rsidR="006E096B" w:rsidRPr="000F582A">
        <w:rPr>
          <w:szCs w:val="24"/>
        </w:rPr>
        <w:t>активность) и/или недостаточной эффективности (сохранение умеренной/высокой</w:t>
      </w:r>
      <w:r w:rsidR="009C11CB" w:rsidRPr="000F582A">
        <w:rPr>
          <w:szCs w:val="24"/>
        </w:rPr>
        <w:t xml:space="preserve"> </w:t>
      </w:r>
      <w:r w:rsidR="006E096B" w:rsidRPr="000F582A">
        <w:rPr>
          <w:szCs w:val="24"/>
        </w:rPr>
        <w:t>активности в течение не менее 3 мес</w:t>
      </w:r>
      <w:r w:rsidR="00281DA4" w:rsidRPr="000F582A">
        <w:rPr>
          <w:szCs w:val="24"/>
        </w:rPr>
        <w:t>.</w:t>
      </w:r>
      <w:r w:rsidR="006E096B" w:rsidRPr="000F582A">
        <w:rPr>
          <w:szCs w:val="24"/>
        </w:rPr>
        <w:t xml:space="preserve">) и/или плохой переносимости </w:t>
      </w:r>
      <w:r w:rsidR="00281DA4" w:rsidRPr="000F582A">
        <w:rPr>
          <w:szCs w:val="24"/>
        </w:rPr>
        <w:t>метотрексата</w:t>
      </w:r>
      <w:r w:rsidR="006E096B" w:rsidRPr="000F582A">
        <w:rPr>
          <w:szCs w:val="24"/>
        </w:rPr>
        <w:t xml:space="preserve"> (включая</w:t>
      </w:r>
      <w:r w:rsidR="00D36DC9" w:rsidRPr="000F582A">
        <w:rPr>
          <w:szCs w:val="24"/>
        </w:rPr>
        <w:t xml:space="preserve"> </w:t>
      </w:r>
      <w:r w:rsidR="006E096B" w:rsidRPr="000F582A">
        <w:rPr>
          <w:szCs w:val="24"/>
        </w:rPr>
        <w:t xml:space="preserve">подкожную форму препарата) и/или комбинированной терапии </w:t>
      </w:r>
      <w:r w:rsidR="00281DA4" w:rsidRPr="000F582A">
        <w:rPr>
          <w:szCs w:val="24"/>
        </w:rPr>
        <w:t>метотрексатом</w:t>
      </w:r>
      <w:r w:rsidR="006E096B" w:rsidRPr="000F582A">
        <w:rPr>
          <w:szCs w:val="24"/>
        </w:rPr>
        <w:t xml:space="preserve"> с сБПВП </w:t>
      </w:r>
      <w:r w:rsidR="00D36DC9" w:rsidRPr="000F582A">
        <w:rPr>
          <w:szCs w:val="24"/>
        </w:rPr>
        <w:t>(у</w:t>
      </w:r>
      <w:r w:rsidR="006E096B" w:rsidRPr="000F582A">
        <w:rPr>
          <w:szCs w:val="24"/>
        </w:rPr>
        <w:t xml:space="preserve">ровень убедительности рекомендаций </w:t>
      </w:r>
      <w:r w:rsidR="0068029E" w:rsidRPr="000F582A">
        <w:rPr>
          <w:szCs w:val="24"/>
        </w:rPr>
        <w:t>–</w:t>
      </w:r>
      <w:r w:rsidR="006E096B" w:rsidRPr="000F582A">
        <w:rPr>
          <w:szCs w:val="24"/>
        </w:rPr>
        <w:t xml:space="preserve"> А</w:t>
      </w:r>
      <w:r w:rsidR="0068029E" w:rsidRPr="000F582A">
        <w:rPr>
          <w:szCs w:val="24"/>
        </w:rPr>
        <w:t xml:space="preserve">, </w:t>
      </w:r>
      <w:r w:rsidR="006E096B" w:rsidRPr="000F582A">
        <w:rPr>
          <w:szCs w:val="24"/>
        </w:rPr>
        <w:t xml:space="preserve">уровень достоверности доказательств </w:t>
      </w:r>
      <w:r w:rsidR="0068029E" w:rsidRPr="000F582A">
        <w:rPr>
          <w:szCs w:val="24"/>
        </w:rPr>
        <w:t xml:space="preserve">– </w:t>
      </w:r>
      <w:r w:rsidR="006E096B" w:rsidRPr="000F582A">
        <w:rPr>
          <w:szCs w:val="24"/>
        </w:rPr>
        <w:t>1)</w:t>
      </w:r>
      <w:r w:rsidR="000F68C7" w:rsidRPr="000F582A">
        <w:rPr>
          <w:szCs w:val="24"/>
        </w:rPr>
        <w:t xml:space="preserve"> </w:t>
      </w:r>
      <w:r w:rsidR="00F04F20" w:rsidRPr="000F582A">
        <w:rPr>
          <w:szCs w:val="24"/>
        </w:rPr>
        <w:fldChar w:fldCharType="begin"/>
      </w:r>
      <w:r w:rsidR="00C434CD" w:rsidRPr="000F582A">
        <w:rPr>
          <w:szCs w:val="24"/>
        </w:rPr>
        <w:instrText xml:space="preserve"> ADDIN ZOTERO_ITEM CSL_CITATION {"citationID":"gQSgwqnd","properties":{"formattedCitation":"[2]","plainCitation":"[2]","noteIndex":0},"citationItems":[{"id":87772,"uris":["http://zotero.org/groups/4742804/items/D6Z4F42H"],"itemData":{"id":87772,"type":"webpage","title":"Ревматоидный артрит. Клинические рекомендации","URL":"https://cr.minzdrav.gov.ru/recomend/250_2","author":[{"family":"Ассоциация ревматологов России","given":""}],"accessed":{"date-parts":[["2022",8,3]]},"issued":{"date-parts":[["2021"]]}}}],"schema":"https://github.com/citation-style-language/schema/raw/master/csl-citation.json"} </w:instrText>
      </w:r>
      <w:r w:rsidR="00F04F20" w:rsidRPr="000F582A">
        <w:rPr>
          <w:szCs w:val="24"/>
        </w:rPr>
        <w:fldChar w:fldCharType="separate"/>
      </w:r>
      <w:r w:rsidR="00C434CD" w:rsidRPr="000F582A">
        <w:rPr>
          <w:rFonts w:cs="Times New Roman"/>
          <w:szCs w:val="24"/>
        </w:rPr>
        <w:t>[2]</w:t>
      </w:r>
      <w:r w:rsidR="00F04F20" w:rsidRPr="000F582A">
        <w:rPr>
          <w:szCs w:val="24"/>
        </w:rPr>
        <w:fldChar w:fldCharType="end"/>
      </w:r>
      <w:r w:rsidR="00444074" w:rsidRPr="000F582A">
        <w:rPr>
          <w:szCs w:val="24"/>
        </w:rPr>
        <w:t>.</w:t>
      </w:r>
    </w:p>
    <w:p w14:paraId="4F19CD81" w14:textId="2F4D0EFE" w:rsidR="00FB742C" w:rsidRPr="000F582A" w:rsidRDefault="009053E8" w:rsidP="000F582A">
      <w:pPr>
        <w:pStyle w:val="SDText"/>
        <w:contextualSpacing/>
        <w:rPr>
          <w:szCs w:val="24"/>
        </w:rPr>
      </w:pPr>
      <w:r w:rsidRPr="000F582A">
        <w:rPr>
          <w:szCs w:val="24"/>
        </w:rPr>
        <w:t xml:space="preserve">Цель терапии псориатического артрита – достижение ремиссии или уменьшение основных клинических проявлений заболевания до минимальных, замедление или предупреждение рентгенологической прогрессии, увеличение продолжительности и качества жизни пациентов. </w:t>
      </w:r>
      <w:r w:rsidR="00876EB2" w:rsidRPr="000F582A">
        <w:rPr>
          <w:szCs w:val="24"/>
        </w:rPr>
        <w:t xml:space="preserve">Для лечения больных псориатическим артритом применяются НПВП и противоревматические препараты, </w:t>
      </w:r>
      <w:r w:rsidR="00E10FB4" w:rsidRPr="000F582A">
        <w:rPr>
          <w:szCs w:val="24"/>
        </w:rPr>
        <w:t>ГКС</w:t>
      </w:r>
      <w:r w:rsidR="00876EB2" w:rsidRPr="000F582A">
        <w:rPr>
          <w:szCs w:val="24"/>
        </w:rPr>
        <w:t xml:space="preserve"> системного действия</w:t>
      </w:r>
      <w:r w:rsidR="00E10FB4" w:rsidRPr="000F582A">
        <w:rPr>
          <w:szCs w:val="24"/>
        </w:rPr>
        <w:t xml:space="preserve"> </w:t>
      </w:r>
      <w:r w:rsidR="00876EB2" w:rsidRPr="000F582A">
        <w:rPr>
          <w:szCs w:val="24"/>
        </w:rPr>
        <w:t>(вводимые внутрисуставно), антиметаболиты (метотрексат) и иммунодепрессанты</w:t>
      </w:r>
      <w:r w:rsidR="00E10FB4" w:rsidRPr="000F582A">
        <w:rPr>
          <w:szCs w:val="24"/>
        </w:rPr>
        <w:t xml:space="preserve"> </w:t>
      </w:r>
      <w:r w:rsidR="00876EB2" w:rsidRPr="000F582A">
        <w:rPr>
          <w:szCs w:val="24"/>
        </w:rPr>
        <w:t>(сульфасалазин, лефлуномид, циклоспорин</w:t>
      </w:r>
      <w:r w:rsidR="00577A63" w:rsidRPr="000F582A">
        <w:rPr>
          <w:szCs w:val="24"/>
        </w:rPr>
        <w:t>)</w:t>
      </w:r>
      <w:r w:rsidR="00876EB2" w:rsidRPr="000F582A">
        <w:rPr>
          <w:szCs w:val="24"/>
        </w:rPr>
        <w:t>, селективные иммунодепрессанты</w:t>
      </w:r>
      <w:r w:rsidR="00E10FB4" w:rsidRPr="000F582A">
        <w:rPr>
          <w:szCs w:val="24"/>
        </w:rPr>
        <w:t xml:space="preserve"> </w:t>
      </w:r>
      <w:r w:rsidR="00876EB2" w:rsidRPr="000F582A">
        <w:rPr>
          <w:szCs w:val="24"/>
        </w:rPr>
        <w:t xml:space="preserve">(апремиласт, тофацитиниб), </w:t>
      </w:r>
      <w:r w:rsidR="0020101E" w:rsidRPr="000F582A">
        <w:rPr>
          <w:szCs w:val="24"/>
        </w:rPr>
        <w:t xml:space="preserve">ингибиторы </w:t>
      </w:r>
      <w:r w:rsidR="0020101E" w:rsidRPr="000F582A">
        <w:rPr>
          <w:szCs w:val="24"/>
          <w:lang w:val="en-US"/>
        </w:rPr>
        <w:t>TNF</w:t>
      </w:r>
      <w:r w:rsidR="0020101E" w:rsidRPr="000F582A">
        <w:rPr>
          <w:szCs w:val="24"/>
        </w:rPr>
        <w:t>-</w:t>
      </w:r>
      <w:r w:rsidR="0020101E" w:rsidRPr="000F582A">
        <w:rPr>
          <w:rFonts w:cs="Times New Roman"/>
          <w:szCs w:val="24"/>
        </w:rPr>
        <w:t>α</w:t>
      </w:r>
      <w:r w:rsidR="0020101E" w:rsidRPr="000F582A">
        <w:rPr>
          <w:szCs w:val="24"/>
        </w:rPr>
        <w:t xml:space="preserve"> </w:t>
      </w:r>
      <w:r w:rsidR="00E10FB4" w:rsidRPr="000F582A">
        <w:rPr>
          <w:szCs w:val="24"/>
        </w:rPr>
        <w:t>(</w:t>
      </w:r>
      <w:r w:rsidR="00876EB2" w:rsidRPr="000F582A">
        <w:rPr>
          <w:szCs w:val="24"/>
        </w:rPr>
        <w:t>инфликсимаб, адалимумаб, голимумаб, цертолизумаба</w:t>
      </w:r>
      <w:r w:rsidR="00577A63" w:rsidRPr="000F582A">
        <w:rPr>
          <w:szCs w:val="24"/>
        </w:rPr>
        <w:t xml:space="preserve"> </w:t>
      </w:r>
      <w:r w:rsidR="00876EB2" w:rsidRPr="000F582A">
        <w:rPr>
          <w:szCs w:val="24"/>
        </w:rPr>
        <w:t>пэгол, этанерцепт</w:t>
      </w:r>
      <w:r w:rsidR="00175306" w:rsidRPr="000F582A">
        <w:rPr>
          <w:szCs w:val="24"/>
        </w:rPr>
        <w:t>)</w:t>
      </w:r>
      <w:r w:rsidR="00876EB2" w:rsidRPr="000F582A">
        <w:rPr>
          <w:szCs w:val="24"/>
        </w:rPr>
        <w:t xml:space="preserve"> и</w:t>
      </w:r>
      <w:r w:rsidR="00175306" w:rsidRPr="000F582A">
        <w:rPr>
          <w:szCs w:val="24"/>
        </w:rPr>
        <w:t xml:space="preserve"> </w:t>
      </w:r>
      <w:r w:rsidR="00876EB2" w:rsidRPr="000F582A">
        <w:rPr>
          <w:szCs w:val="24"/>
        </w:rPr>
        <w:t xml:space="preserve">ингибиторы </w:t>
      </w:r>
      <w:r w:rsidR="00901B64" w:rsidRPr="000F582A">
        <w:rPr>
          <w:szCs w:val="24"/>
          <w:lang w:val="en-US"/>
        </w:rPr>
        <w:t>IL</w:t>
      </w:r>
      <w:r w:rsidR="00175306" w:rsidRPr="000F582A">
        <w:rPr>
          <w:szCs w:val="24"/>
        </w:rPr>
        <w:t xml:space="preserve"> (</w:t>
      </w:r>
      <w:r w:rsidR="00876EB2" w:rsidRPr="000F582A">
        <w:rPr>
          <w:szCs w:val="24"/>
        </w:rPr>
        <w:t>устекинумаб, секукинумаб,</w:t>
      </w:r>
      <w:r w:rsidR="00175306" w:rsidRPr="000F582A">
        <w:rPr>
          <w:szCs w:val="24"/>
        </w:rPr>
        <w:t xml:space="preserve"> </w:t>
      </w:r>
      <w:r w:rsidR="00876EB2" w:rsidRPr="000F582A">
        <w:rPr>
          <w:szCs w:val="24"/>
        </w:rPr>
        <w:t>иксекизумаб</w:t>
      </w:r>
      <w:r w:rsidR="00175306" w:rsidRPr="000F582A">
        <w:rPr>
          <w:szCs w:val="24"/>
        </w:rPr>
        <w:t>)</w:t>
      </w:r>
      <w:r w:rsidR="00E874A2" w:rsidRPr="000F582A">
        <w:rPr>
          <w:szCs w:val="24"/>
        </w:rPr>
        <w:t xml:space="preserve">. У пациентов с преимущественным поражением энтезисов и/или при наличии спондилита эффект от приема НПВП оценивают через 4–12 недель. При наличии ответа на терапию прием НПВП продолжают, при отсутствии – используют другие лекарственные препараты (селективные иммунодепрессанты или </w:t>
      </w:r>
      <w:r w:rsidR="0020101E" w:rsidRPr="000F582A">
        <w:rPr>
          <w:szCs w:val="24"/>
        </w:rPr>
        <w:t xml:space="preserve">ингибиторы </w:t>
      </w:r>
      <w:r w:rsidR="0020101E" w:rsidRPr="000F582A">
        <w:rPr>
          <w:szCs w:val="24"/>
          <w:lang w:val="en-US"/>
        </w:rPr>
        <w:t>TNF</w:t>
      </w:r>
      <w:r w:rsidR="0020101E" w:rsidRPr="000F582A">
        <w:rPr>
          <w:szCs w:val="24"/>
        </w:rPr>
        <w:t>-</w:t>
      </w:r>
      <w:r w:rsidR="0020101E" w:rsidRPr="000F582A">
        <w:rPr>
          <w:rFonts w:cs="Times New Roman"/>
          <w:szCs w:val="24"/>
        </w:rPr>
        <w:t>α</w:t>
      </w:r>
      <w:r w:rsidR="0020101E" w:rsidRPr="000F582A">
        <w:rPr>
          <w:szCs w:val="24"/>
        </w:rPr>
        <w:t xml:space="preserve"> </w:t>
      </w:r>
      <w:r w:rsidR="00E874A2" w:rsidRPr="000F582A">
        <w:rPr>
          <w:szCs w:val="24"/>
        </w:rPr>
        <w:t xml:space="preserve">или ингибиторы </w:t>
      </w:r>
      <w:r w:rsidR="00901B64" w:rsidRPr="000F582A">
        <w:rPr>
          <w:szCs w:val="24"/>
          <w:lang w:val="en-US"/>
        </w:rPr>
        <w:t>IL</w:t>
      </w:r>
      <w:r w:rsidR="00E874A2" w:rsidRPr="000F582A">
        <w:rPr>
          <w:szCs w:val="24"/>
        </w:rPr>
        <w:t xml:space="preserve"> в соответствии с рекомендациями). Длительное непрерывное использование НПВП обеспечивает лучший контроль симптомов заболевания, чем прием в режиме «по требованию». В комбинации с НПВП и противоревматическими препаратами или без них могут применяться препараты для местного применения при суставной и мышечной боли </w:t>
      </w:r>
      <w:r w:rsidR="00FB742C" w:rsidRPr="000F582A">
        <w:rPr>
          <w:szCs w:val="24"/>
        </w:rPr>
        <w:fldChar w:fldCharType="begin"/>
      </w:r>
      <w:r w:rsidR="00C434CD" w:rsidRPr="000F582A">
        <w:rPr>
          <w:szCs w:val="24"/>
        </w:rPr>
        <w:instrText xml:space="preserve"> ADDIN ZOTERO_ITEM CSL_CITATION {"citationID":"bwGa5LFE","properties":{"unsorted":true,"formattedCitation":"[3]","plainCitation":"[3]","noteIndex":0},"citationItems":[{"id":87770,"uris":["http://zotero.org/groups/4742804/items/TFMRITVY"],"itemData":{"id":87770,"type":"webpage","title":"Псориаз артропатический. Псориатический артрит.  Клинические рекомендации","URL":"https://cr.minzdrav.gov.ru/recomend/562_2","author":[{"family":"Общероссийская общественная организация \"Российское общество дерматовенерологов и косметологов\"","given":""}],"accessed":{"date-parts":[["2022",8,3]]},"issued":{"date-parts":[["2021"]]}}}],"schema":"https://github.com/citation-style-language/schema/raw/master/csl-citation.json"} </w:instrText>
      </w:r>
      <w:r w:rsidR="00FB742C" w:rsidRPr="000F582A">
        <w:rPr>
          <w:szCs w:val="24"/>
        </w:rPr>
        <w:fldChar w:fldCharType="separate"/>
      </w:r>
      <w:r w:rsidR="00C434CD" w:rsidRPr="000F582A">
        <w:rPr>
          <w:rFonts w:cs="Times New Roman"/>
          <w:szCs w:val="24"/>
        </w:rPr>
        <w:t>[3]</w:t>
      </w:r>
      <w:r w:rsidR="00FB742C" w:rsidRPr="000F582A">
        <w:rPr>
          <w:szCs w:val="24"/>
        </w:rPr>
        <w:fldChar w:fldCharType="end"/>
      </w:r>
      <w:r w:rsidR="00FB742C" w:rsidRPr="000F582A">
        <w:rPr>
          <w:szCs w:val="24"/>
        </w:rPr>
        <w:t>.</w:t>
      </w:r>
    </w:p>
    <w:p w14:paraId="1D2A6602" w14:textId="437FA518" w:rsidR="009E3160" w:rsidRPr="000F582A" w:rsidRDefault="00F725B2" w:rsidP="000F582A">
      <w:pPr>
        <w:pStyle w:val="SDText"/>
        <w:contextualSpacing/>
        <w:rPr>
          <w:szCs w:val="24"/>
        </w:rPr>
      </w:pPr>
      <w:r w:rsidRPr="000F582A">
        <w:rPr>
          <w:szCs w:val="24"/>
        </w:rPr>
        <w:t>При прогрессировании псориатического артрита назначаются антиметаболиты (метотрексат) или иммунодепрессанты – лефлуномид, циклоспорин, сульфасалазин, апремиласт, тофацитиниб. Пациентам с псориатическим артритом в случае недостаточной эффективности ранее проводившейся терапии антиметаболитами (метотрексат) или иммунодепрессантами (лефлуномид, сульфасалазин, циклоспорин, апремиласт, тофацитиниб)</w:t>
      </w:r>
      <w:r w:rsidR="00023BE5" w:rsidRPr="000F582A">
        <w:rPr>
          <w:szCs w:val="24"/>
        </w:rPr>
        <w:t>,</w:t>
      </w:r>
      <w:r w:rsidRPr="000F582A">
        <w:rPr>
          <w:szCs w:val="24"/>
        </w:rPr>
        <w:t xml:space="preserve"> в том числе с периферическим артритом (полиартрит или моно/олигоартрит) с факторами неблагоприятного прогноза</w:t>
      </w:r>
      <w:r w:rsidR="00023BE5" w:rsidRPr="000F582A">
        <w:rPr>
          <w:szCs w:val="24"/>
        </w:rPr>
        <w:t>,</w:t>
      </w:r>
      <w:r w:rsidRPr="000F582A">
        <w:rPr>
          <w:szCs w:val="24"/>
        </w:rPr>
        <w:t xml:space="preserve"> таки</w:t>
      </w:r>
      <w:r w:rsidR="00023BE5" w:rsidRPr="000F582A">
        <w:rPr>
          <w:szCs w:val="24"/>
        </w:rPr>
        <w:t>ми</w:t>
      </w:r>
      <w:r w:rsidRPr="000F582A">
        <w:rPr>
          <w:szCs w:val="24"/>
        </w:rPr>
        <w:t xml:space="preserve"> как эрозии, дактилит, повышение скорости оседания эритроцитов (СОЭ)/содержания </w:t>
      </w:r>
      <w:r w:rsidR="00BE33EC" w:rsidRPr="000F582A">
        <w:rPr>
          <w:szCs w:val="24"/>
          <w:lang w:val="en-US"/>
        </w:rPr>
        <w:t>C</w:t>
      </w:r>
      <w:r w:rsidRPr="000F582A">
        <w:rPr>
          <w:szCs w:val="24"/>
        </w:rPr>
        <w:t xml:space="preserve">-реактивного белка </w:t>
      </w:r>
      <w:r w:rsidR="00C40BB0" w:rsidRPr="000F582A">
        <w:rPr>
          <w:szCs w:val="24"/>
        </w:rPr>
        <w:t>(</w:t>
      </w:r>
      <w:r w:rsidR="00C40BB0" w:rsidRPr="000F582A">
        <w:rPr>
          <w:szCs w:val="24"/>
          <w:lang w:val="en-US"/>
        </w:rPr>
        <w:t>C</w:t>
      </w:r>
      <w:r w:rsidR="00C40BB0" w:rsidRPr="000F582A">
        <w:rPr>
          <w:szCs w:val="24"/>
        </w:rPr>
        <w:t xml:space="preserve">РБ) </w:t>
      </w:r>
      <w:r w:rsidRPr="000F582A">
        <w:rPr>
          <w:szCs w:val="24"/>
        </w:rPr>
        <w:t>в крови, в сочетании с функциональными нарушениями; острыми множественными дактилитами (вовлечение 3 пальцев и более) с функциональными нарушениями, не достигших ремиссии или минимальной активности заболевания на фоне лечения метотрексатом или иммунодепрессантами, внутрисуставным введением ГКС системного действия в течение ≥ 3–6 мес.; множественными энтезитами</w:t>
      </w:r>
      <w:r w:rsidR="006C2A05" w:rsidRPr="000F582A">
        <w:rPr>
          <w:szCs w:val="24"/>
        </w:rPr>
        <w:t xml:space="preserve"> </w:t>
      </w:r>
      <w:r w:rsidRPr="000F582A">
        <w:rPr>
          <w:szCs w:val="24"/>
        </w:rPr>
        <w:t xml:space="preserve">с функциональными нарушениями при отсутствии эффекта от </w:t>
      </w:r>
      <w:r w:rsidR="006C2A05" w:rsidRPr="000F582A">
        <w:rPr>
          <w:szCs w:val="24"/>
        </w:rPr>
        <w:t>НПВП</w:t>
      </w:r>
      <w:r w:rsidRPr="000F582A">
        <w:rPr>
          <w:szCs w:val="24"/>
        </w:rPr>
        <w:t xml:space="preserve"> в сочетании с внутрисуставным введением</w:t>
      </w:r>
      <w:r w:rsidR="006C2A05" w:rsidRPr="000F582A">
        <w:rPr>
          <w:szCs w:val="24"/>
        </w:rPr>
        <w:t xml:space="preserve"> ГКС </w:t>
      </w:r>
      <w:r w:rsidRPr="000F582A">
        <w:rPr>
          <w:szCs w:val="24"/>
        </w:rPr>
        <w:t>системного действия в течение 4–12 недель; активным спондилитом с</w:t>
      </w:r>
      <w:r w:rsidR="006C2A05" w:rsidRPr="000F582A">
        <w:rPr>
          <w:szCs w:val="24"/>
        </w:rPr>
        <w:t xml:space="preserve"> </w:t>
      </w:r>
      <w:r w:rsidRPr="000F582A">
        <w:rPr>
          <w:szCs w:val="24"/>
        </w:rPr>
        <w:t xml:space="preserve">функциональными нарушениями, при отсутствии эффекта от </w:t>
      </w:r>
      <w:r w:rsidR="006C2A05" w:rsidRPr="000F582A">
        <w:rPr>
          <w:szCs w:val="24"/>
        </w:rPr>
        <w:t>НПВП</w:t>
      </w:r>
      <w:r w:rsidRPr="000F582A">
        <w:rPr>
          <w:szCs w:val="24"/>
        </w:rPr>
        <w:t xml:space="preserve"> в течение 4–12 недель</w:t>
      </w:r>
      <w:r w:rsidR="006C2A05" w:rsidRPr="000F582A">
        <w:rPr>
          <w:szCs w:val="24"/>
        </w:rPr>
        <w:t xml:space="preserve"> </w:t>
      </w:r>
      <w:r w:rsidRPr="000F582A">
        <w:rPr>
          <w:szCs w:val="24"/>
        </w:rPr>
        <w:t xml:space="preserve">показана терапия </w:t>
      </w:r>
      <w:r w:rsidR="0020101E" w:rsidRPr="000F582A">
        <w:rPr>
          <w:szCs w:val="24"/>
        </w:rPr>
        <w:t xml:space="preserve">ингибиторами </w:t>
      </w:r>
      <w:r w:rsidR="0020101E" w:rsidRPr="000F582A">
        <w:rPr>
          <w:szCs w:val="24"/>
          <w:lang w:val="en-US"/>
        </w:rPr>
        <w:t>TNF</w:t>
      </w:r>
      <w:r w:rsidR="0020101E" w:rsidRPr="000F582A">
        <w:rPr>
          <w:szCs w:val="24"/>
        </w:rPr>
        <w:t>-</w:t>
      </w:r>
      <w:r w:rsidR="0020101E" w:rsidRPr="000F582A">
        <w:rPr>
          <w:rFonts w:cs="Times New Roman"/>
          <w:szCs w:val="24"/>
        </w:rPr>
        <w:t>α</w:t>
      </w:r>
      <w:r w:rsidR="0020101E" w:rsidRPr="000F582A">
        <w:rPr>
          <w:szCs w:val="24"/>
        </w:rPr>
        <w:t xml:space="preserve"> </w:t>
      </w:r>
      <w:r w:rsidRPr="000F582A">
        <w:rPr>
          <w:szCs w:val="24"/>
        </w:rPr>
        <w:t>(инфликсимаб, адалимумаб, этанерцепт,</w:t>
      </w:r>
      <w:r w:rsidR="006C2A05" w:rsidRPr="000F582A">
        <w:rPr>
          <w:szCs w:val="24"/>
        </w:rPr>
        <w:t xml:space="preserve"> </w:t>
      </w:r>
      <w:r w:rsidRPr="000F582A">
        <w:rPr>
          <w:szCs w:val="24"/>
        </w:rPr>
        <w:t xml:space="preserve">голимумаб, цертолизумаба пэгол) или ингибиторами </w:t>
      </w:r>
      <w:r w:rsidR="00901B64" w:rsidRPr="000F582A">
        <w:rPr>
          <w:szCs w:val="24"/>
          <w:lang w:val="en-US"/>
        </w:rPr>
        <w:t>IL</w:t>
      </w:r>
      <w:r w:rsidRPr="000F582A">
        <w:rPr>
          <w:szCs w:val="24"/>
        </w:rPr>
        <w:t xml:space="preserve"> (устекинумаб,</w:t>
      </w:r>
      <w:r w:rsidR="006C2A05" w:rsidRPr="000F582A">
        <w:rPr>
          <w:szCs w:val="24"/>
        </w:rPr>
        <w:t xml:space="preserve"> </w:t>
      </w:r>
      <w:r w:rsidRPr="000F582A">
        <w:rPr>
          <w:szCs w:val="24"/>
        </w:rPr>
        <w:t>секукинумаб, иксекизумаб)</w:t>
      </w:r>
      <w:r w:rsidR="00F04F20" w:rsidRPr="000F582A">
        <w:rPr>
          <w:szCs w:val="24"/>
        </w:rPr>
        <w:t xml:space="preserve"> </w:t>
      </w:r>
      <w:r w:rsidR="00F04F20" w:rsidRPr="000F582A">
        <w:rPr>
          <w:szCs w:val="24"/>
        </w:rPr>
        <w:fldChar w:fldCharType="begin"/>
      </w:r>
      <w:r w:rsidR="00C434CD" w:rsidRPr="000F582A">
        <w:rPr>
          <w:szCs w:val="24"/>
        </w:rPr>
        <w:instrText xml:space="preserve"> ADDIN ZOTERO_ITEM CSL_CITATION {"citationID":"QcgYHJ2X","properties":{"unsorted":true,"formattedCitation":"[3]","plainCitation":"[3]","noteIndex":0},"citationItems":[{"id":87770,"uris":["http://zotero.org/groups/4742804/items/TFMRITVY"],"itemData":{"id":87770,"type":"webpage","title":"Псориаз артропатический. Псориатический артрит.  Клинические рекомендации","URL":"https://cr.minzdrav.gov.ru/recomend/562_2","author":[{"family":"Общероссийская общественная организация \"Российское общество дерматовенерологов и косметологов\"","given":""}],"accessed":{"date-parts":[["2022",8,3]]},"issued":{"date-parts":[["2021"]]}}}],"schema":"https://github.com/citation-style-language/schema/raw/master/csl-citation.json"} </w:instrText>
      </w:r>
      <w:r w:rsidR="00F04F20" w:rsidRPr="000F582A">
        <w:rPr>
          <w:szCs w:val="24"/>
        </w:rPr>
        <w:fldChar w:fldCharType="separate"/>
      </w:r>
      <w:r w:rsidR="00C434CD" w:rsidRPr="000F582A">
        <w:rPr>
          <w:rFonts w:cs="Times New Roman"/>
          <w:szCs w:val="24"/>
        </w:rPr>
        <w:t>[3]</w:t>
      </w:r>
      <w:r w:rsidR="00F04F20" w:rsidRPr="000F582A">
        <w:rPr>
          <w:szCs w:val="24"/>
        </w:rPr>
        <w:fldChar w:fldCharType="end"/>
      </w:r>
      <w:r w:rsidR="00503789" w:rsidRPr="000F582A">
        <w:rPr>
          <w:szCs w:val="24"/>
        </w:rPr>
        <w:t>.</w:t>
      </w:r>
    </w:p>
    <w:p w14:paraId="4D527FC1" w14:textId="2B9BF82A" w:rsidR="00FF54C3" w:rsidRPr="000F582A" w:rsidRDefault="000C31A3" w:rsidP="000F582A">
      <w:pPr>
        <w:pStyle w:val="SDText"/>
        <w:contextualSpacing/>
        <w:rPr>
          <w:szCs w:val="24"/>
        </w:rPr>
      </w:pPr>
      <w:r w:rsidRPr="000F582A">
        <w:rPr>
          <w:szCs w:val="24"/>
        </w:rPr>
        <w:t xml:space="preserve">Основными целями лекарственной терапии </w:t>
      </w:r>
      <w:r w:rsidR="008432E2" w:rsidRPr="000F582A">
        <w:rPr>
          <w:szCs w:val="24"/>
        </w:rPr>
        <w:t xml:space="preserve">АС </w:t>
      </w:r>
      <w:r w:rsidRPr="000F582A">
        <w:rPr>
          <w:szCs w:val="24"/>
        </w:rPr>
        <w:t xml:space="preserve">являются: уменьшение (купирование) воспаления, улучшение самочувствия, увеличение функциональных возможностей и замедление (предотвращение) структурных повреждений. </w:t>
      </w:r>
      <w:r w:rsidR="00202308" w:rsidRPr="000F582A">
        <w:rPr>
          <w:szCs w:val="24"/>
        </w:rPr>
        <w:t>К лекарственным средствам, которые активно используются и рекомендованы при АС относятся: НПВП; анальгетики; ГК</w:t>
      </w:r>
      <w:r w:rsidR="00DE1876" w:rsidRPr="000F582A">
        <w:rPr>
          <w:szCs w:val="24"/>
        </w:rPr>
        <w:t>С</w:t>
      </w:r>
      <w:r w:rsidR="00202308" w:rsidRPr="000F582A">
        <w:rPr>
          <w:szCs w:val="24"/>
        </w:rPr>
        <w:t xml:space="preserve">; сБПВП; </w:t>
      </w:r>
      <w:r w:rsidR="00DE1876" w:rsidRPr="000F582A">
        <w:rPr>
          <w:szCs w:val="24"/>
        </w:rPr>
        <w:t xml:space="preserve">ингибиторы </w:t>
      </w:r>
      <w:r w:rsidR="00DE1876" w:rsidRPr="000F582A">
        <w:rPr>
          <w:szCs w:val="24"/>
          <w:lang w:val="en-US"/>
        </w:rPr>
        <w:t>TNF</w:t>
      </w:r>
      <w:r w:rsidR="00DE1876" w:rsidRPr="000F582A">
        <w:rPr>
          <w:szCs w:val="24"/>
        </w:rPr>
        <w:t>-</w:t>
      </w:r>
      <w:r w:rsidR="00DE1876" w:rsidRPr="000F582A">
        <w:rPr>
          <w:rFonts w:cs="Times New Roman"/>
          <w:szCs w:val="24"/>
        </w:rPr>
        <w:t>α</w:t>
      </w:r>
      <w:r w:rsidR="00DE1876" w:rsidRPr="000F582A">
        <w:rPr>
          <w:szCs w:val="24"/>
        </w:rPr>
        <w:t xml:space="preserve"> или ингибиторы </w:t>
      </w:r>
      <w:r w:rsidR="00DE1876" w:rsidRPr="000F582A">
        <w:rPr>
          <w:szCs w:val="24"/>
          <w:lang w:val="en-US"/>
        </w:rPr>
        <w:t>IL</w:t>
      </w:r>
      <w:r w:rsidR="00DE1876" w:rsidRPr="000F582A">
        <w:rPr>
          <w:szCs w:val="24"/>
        </w:rPr>
        <w:t>-</w:t>
      </w:r>
      <w:r w:rsidR="00202308" w:rsidRPr="000F582A">
        <w:rPr>
          <w:szCs w:val="24"/>
        </w:rPr>
        <w:t>17</w:t>
      </w:r>
      <w:r w:rsidR="00DE1876" w:rsidRPr="000F582A">
        <w:rPr>
          <w:szCs w:val="24"/>
        </w:rPr>
        <w:t xml:space="preserve"> </w:t>
      </w:r>
      <w:r w:rsidR="00DE1876" w:rsidRPr="000F582A">
        <w:rPr>
          <w:szCs w:val="24"/>
        </w:rPr>
        <w:lastRenderedPageBreak/>
        <w:t>(у</w:t>
      </w:r>
      <w:r w:rsidR="00202308" w:rsidRPr="000F582A">
        <w:rPr>
          <w:szCs w:val="24"/>
        </w:rPr>
        <w:t xml:space="preserve">ровень достоверности доказательств </w:t>
      </w:r>
      <w:r w:rsidR="003D1DD9" w:rsidRPr="000F582A">
        <w:rPr>
          <w:szCs w:val="24"/>
        </w:rPr>
        <w:t>–</w:t>
      </w:r>
      <w:r w:rsidR="00202308" w:rsidRPr="000F582A">
        <w:rPr>
          <w:szCs w:val="24"/>
        </w:rPr>
        <w:t xml:space="preserve"> </w:t>
      </w:r>
      <w:r w:rsidR="003D1DD9" w:rsidRPr="000F582A">
        <w:rPr>
          <w:szCs w:val="24"/>
          <w:lang w:val="en-US"/>
        </w:rPr>
        <w:t>A</w:t>
      </w:r>
      <w:r w:rsidR="00202308" w:rsidRPr="000F582A">
        <w:rPr>
          <w:szCs w:val="24"/>
        </w:rPr>
        <w:t>, уровень убедительности рекоме</w:t>
      </w:r>
      <w:r w:rsidR="003D1DD9" w:rsidRPr="000F582A">
        <w:rPr>
          <w:szCs w:val="24"/>
        </w:rPr>
        <w:t>н</w:t>
      </w:r>
      <w:r w:rsidR="00202308" w:rsidRPr="000F582A">
        <w:rPr>
          <w:szCs w:val="24"/>
        </w:rPr>
        <w:t>д</w:t>
      </w:r>
      <w:r w:rsidR="003D1DD9" w:rsidRPr="000F582A">
        <w:rPr>
          <w:szCs w:val="24"/>
        </w:rPr>
        <w:t>а</w:t>
      </w:r>
      <w:r w:rsidR="00202308" w:rsidRPr="000F582A">
        <w:rPr>
          <w:szCs w:val="24"/>
        </w:rPr>
        <w:t>ци</w:t>
      </w:r>
      <w:r w:rsidR="003D1DD9" w:rsidRPr="000F582A">
        <w:rPr>
          <w:szCs w:val="24"/>
        </w:rPr>
        <w:t>й</w:t>
      </w:r>
      <w:r w:rsidR="00202308" w:rsidRPr="000F582A">
        <w:rPr>
          <w:szCs w:val="24"/>
        </w:rPr>
        <w:t xml:space="preserve"> –</w:t>
      </w:r>
      <w:r w:rsidR="003D1DD9" w:rsidRPr="000F582A">
        <w:rPr>
          <w:szCs w:val="24"/>
        </w:rPr>
        <w:t xml:space="preserve"> </w:t>
      </w:r>
      <w:r w:rsidR="00202308" w:rsidRPr="000F582A">
        <w:rPr>
          <w:szCs w:val="24"/>
        </w:rPr>
        <w:t>I a)</w:t>
      </w:r>
      <w:r w:rsidR="00F04F20" w:rsidRPr="000F582A">
        <w:rPr>
          <w:szCs w:val="24"/>
        </w:rPr>
        <w:t xml:space="preserve"> </w:t>
      </w:r>
      <w:r w:rsidR="009E3160" w:rsidRPr="000F582A">
        <w:rPr>
          <w:szCs w:val="24"/>
        </w:rPr>
        <w:fldChar w:fldCharType="begin"/>
      </w:r>
      <w:r w:rsidR="009155BA" w:rsidRPr="000F582A">
        <w:rPr>
          <w:szCs w:val="24"/>
        </w:rPr>
        <w:instrText xml:space="preserve"> ADDIN ZOTERO_ITEM CSL_CITATION {"citationID":"N5y1QvhD","properties":{"formattedCitation":"[4]","plainCitation":"[4]","noteIndex":0},"citationItems":[{"id":91158,"uris":["http://zotero.org/groups/4742804/items/KKSIWI55"],"itemData":{"id":91158,"type":"webpage","abstract":"Клинические рекомендации","container-title":"medi.ru","language":"ru","title":"Анкилозирующий спондилит. Клинические рекомендации.","URL":"https://medi.ru/klinicheskie-rekomendatsii/ankiloziruyuschij-spondilit_13858/","accessed":{"date-parts":[["2022",10,26]]}}}],"schema":"https://github.com/citation-style-language/schema/raw/master/csl-citation.json"} </w:instrText>
      </w:r>
      <w:r w:rsidR="009E3160" w:rsidRPr="000F582A">
        <w:rPr>
          <w:szCs w:val="24"/>
        </w:rPr>
        <w:fldChar w:fldCharType="separate"/>
      </w:r>
      <w:r w:rsidR="009E3160" w:rsidRPr="000F582A">
        <w:rPr>
          <w:rFonts w:cs="Times New Roman"/>
          <w:szCs w:val="24"/>
        </w:rPr>
        <w:t>[4]</w:t>
      </w:r>
      <w:r w:rsidR="009E3160" w:rsidRPr="000F582A">
        <w:rPr>
          <w:szCs w:val="24"/>
        </w:rPr>
        <w:fldChar w:fldCharType="end"/>
      </w:r>
      <w:r w:rsidR="009E3160" w:rsidRPr="000F582A">
        <w:rPr>
          <w:szCs w:val="24"/>
        </w:rPr>
        <w:t>.</w:t>
      </w:r>
    </w:p>
    <w:p w14:paraId="198C360E" w14:textId="37E0D91A" w:rsidR="000C4F0A" w:rsidRPr="000F582A" w:rsidRDefault="00815DC2" w:rsidP="000F582A">
      <w:pPr>
        <w:pStyle w:val="SDText"/>
        <w:contextualSpacing/>
        <w:rPr>
          <w:szCs w:val="24"/>
        </w:rPr>
      </w:pPr>
      <w:r w:rsidRPr="000F582A">
        <w:rPr>
          <w:szCs w:val="24"/>
        </w:rPr>
        <w:t xml:space="preserve">Для лечения ограниченных высыпаний </w:t>
      </w:r>
      <w:r w:rsidR="00414143" w:rsidRPr="000F582A">
        <w:rPr>
          <w:szCs w:val="24"/>
        </w:rPr>
        <w:t xml:space="preserve">рекомендуются </w:t>
      </w:r>
      <w:r w:rsidR="003F7849" w:rsidRPr="000F582A">
        <w:rPr>
          <w:szCs w:val="24"/>
        </w:rPr>
        <w:t>препараты ГКС</w:t>
      </w:r>
      <w:r w:rsidR="00414143" w:rsidRPr="000F582A">
        <w:rPr>
          <w:szCs w:val="24"/>
        </w:rPr>
        <w:t>, применяемые в дерматологии</w:t>
      </w:r>
      <w:r w:rsidR="003F7849" w:rsidRPr="000F582A">
        <w:rPr>
          <w:szCs w:val="24"/>
        </w:rPr>
        <w:t>, содержащие</w:t>
      </w:r>
      <w:r w:rsidR="00414143" w:rsidRPr="000F582A">
        <w:rPr>
          <w:szCs w:val="24"/>
        </w:rPr>
        <w:t xml:space="preserve"> гидрокортизон</w:t>
      </w:r>
      <w:r w:rsidR="003F7849" w:rsidRPr="000F582A">
        <w:rPr>
          <w:szCs w:val="24"/>
        </w:rPr>
        <w:t xml:space="preserve">, </w:t>
      </w:r>
      <w:r w:rsidR="00EC518E" w:rsidRPr="000F582A">
        <w:rPr>
          <w:szCs w:val="24"/>
        </w:rPr>
        <w:t>алклометазон, триамцинолон, мометазон</w:t>
      </w:r>
      <w:r w:rsidR="00942BB4" w:rsidRPr="000F582A">
        <w:rPr>
          <w:szCs w:val="24"/>
        </w:rPr>
        <w:t>,</w:t>
      </w:r>
      <w:r w:rsidR="00EC518E" w:rsidRPr="000F582A">
        <w:rPr>
          <w:szCs w:val="24"/>
        </w:rPr>
        <w:t xml:space="preserve"> </w:t>
      </w:r>
      <w:r w:rsidR="00942BB4" w:rsidRPr="000F582A">
        <w:rPr>
          <w:szCs w:val="24"/>
        </w:rPr>
        <w:t xml:space="preserve">метилпреднизолона ацепонат, бетаметазон, </w:t>
      </w:r>
      <w:r w:rsidR="00C131BD" w:rsidRPr="000F582A">
        <w:rPr>
          <w:szCs w:val="24"/>
        </w:rPr>
        <w:t xml:space="preserve">флуоцинолона ацетонид, флутиказон </w:t>
      </w:r>
      <w:r w:rsidR="00527893" w:rsidRPr="000F582A">
        <w:rPr>
          <w:szCs w:val="24"/>
        </w:rPr>
        <w:t>или клобетазол.</w:t>
      </w:r>
      <w:r w:rsidR="00942BB4" w:rsidRPr="000F582A">
        <w:rPr>
          <w:szCs w:val="24"/>
        </w:rPr>
        <w:t xml:space="preserve"> </w:t>
      </w:r>
      <w:r w:rsidR="00527893" w:rsidRPr="000F582A">
        <w:rPr>
          <w:szCs w:val="24"/>
        </w:rPr>
        <w:t xml:space="preserve">Пациентам с распространенными высыпаниями (псориазом средней и тяжелой степени тяжести) рекомендуется применение других системных методов терапии (включая циклоспорин, ацитретин, метотрексат и ПУВА-терапию </w:t>
      </w:r>
      <w:r w:rsidR="00527893" w:rsidRPr="000F582A">
        <w:rPr>
          <w:rFonts w:cs="Times New Roman"/>
          <w:szCs w:val="24"/>
        </w:rPr>
        <w:t>[</w:t>
      </w:r>
      <w:r w:rsidR="00527893" w:rsidRPr="000F582A">
        <w:rPr>
          <w:szCs w:val="24"/>
        </w:rPr>
        <w:t>облучение ультрафиолетовым излучением длиной волны 320–400 нм с применением фотосенсибилизирующих препаратов: сочетанное применение фотосенсибилизаторов группы фурокумаринов и длинноволнового ультрафиолетового излучения 320–400 нм). П</w:t>
      </w:r>
      <w:r w:rsidR="00D12A86" w:rsidRPr="000F582A">
        <w:rPr>
          <w:szCs w:val="24"/>
        </w:rPr>
        <w:t xml:space="preserve">ри отсутствии клинического эффекта от </w:t>
      </w:r>
      <w:r w:rsidR="00527893" w:rsidRPr="000F582A">
        <w:rPr>
          <w:szCs w:val="24"/>
        </w:rPr>
        <w:t xml:space="preserve">указанной системной терапии </w:t>
      </w:r>
      <w:r w:rsidR="00D12A86" w:rsidRPr="000F582A">
        <w:rPr>
          <w:szCs w:val="24"/>
        </w:rPr>
        <w:t>либо в случаях</w:t>
      </w:r>
      <w:r w:rsidR="009D6CAA" w:rsidRPr="000F582A">
        <w:rPr>
          <w:szCs w:val="24"/>
        </w:rPr>
        <w:t xml:space="preserve"> </w:t>
      </w:r>
      <w:r w:rsidR="00D12A86" w:rsidRPr="000F582A">
        <w:rPr>
          <w:szCs w:val="24"/>
        </w:rPr>
        <w:t xml:space="preserve">непереносимости или наличия противопоказаний к их применению пациентам рекомендуются селективные иммунодепрессанты (ингибитор фосфодиэстеразы-4 апремиласт, блокатор </w:t>
      </w:r>
      <w:r w:rsidR="00D12A86" w:rsidRPr="000F582A">
        <w:rPr>
          <w:szCs w:val="24"/>
          <w:lang w:val="en-US"/>
        </w:rPr>
        <w:t>JAK</w:t>
      </w:r>
      <w:r w:rsidR="00D12A86" w:rsidRPr="000F582A">
        <w:rPr>
          <w:szCs w:val="24"/>
        </w:rPr>
        <w:t xml:space="preserve"> тофацитиниб), а также иммунодепрессанты, являющиеся генно-инженерными биологическими препаратами по способу производства, – ингибиторы </w:t>
      </w:r>
      <w:r w:rsidR="00D12A86" w:rsidRPr="000F582A">
        <w:rPr>
          <w:szCs w:val="24"/>
          <w:lang w:val="en-US"/>
        </w:rPr>
        <w:t>TNF</w:t>
      </w:r>
      <w:r w:rsidR="00D12A86" w:rsidRPr="000F582A">
        <w:rPr>
          <w:szCs w:val="24"/>
        </w:rPr>
        <w:t>-</w:t>
      </w:r>
      <w:r w:rsidR="00D12A86" w:rsidRPr="000F582A">
        <w:rPr>
          <w:rFonts w:cs="Times New Roman"/>
          <w:szCs w:val="24"/>
        </w:rPr>
        <w:t>α</w:t>
      </w:r>
      <w:r w:rsidR="00D12A86" w:rsidRPr="000F582A">
        <w:rPr>
          <w:szCs w:val="24"/>
        </w:rPr>
        <w:t xml:space="preserve">, ингибиторы </w:t>
      </w:r>
      <w:r w:rsidR="00D12A86" w:rsidRPr="000F582A">
        <w:rPr>
          <w:szCs w:val="24"/>
          <w:lang w:val="en-US"/>
        </w:rPr>
        <w:t>IL</w:t>
      </w:r>
      <w:r w:rsidR="00D12A86" w:rsidRPr="000F582A">
        <w:rPr>
          <w:szCs w:val="24"/>
        </w:rPr>
        <w:t xml:space="preserve"> </w:t>
      </w:r>
      <w:r w:rsidR="000C4F0A" w:rsidRPr="000F582A">
        <w:rPr>
          <w:szCs w:val="24"/>
        </w:rPr>
        <w:fldChar w:fldCharType="begin"/>
      </w:r>
      <w:r w:rsidR="00044A89" w:rsidRPr="000F582A">
        <w:rPr>
          <w:szCs w:val="24"/>
        </w:rPr>
        <w:instrText xml:space="preserve"> ADDIN ZOTERO_ITEM CSL_CITATION {"citationID":"Fs56CjYI","properties":{"formattedCitation":"[5]","plainCitation":"[5]","noteIndex":0},"citationItems":[{"id":91159,"uris":["http://zotero.org/groups/4742804/items/M3QZJXBF"],"itemData":{"id":91159,"type":"webpage","title":"Псориаз. Клинические рекомендации","URL":"https://cr.minzdrav.gov.ru/recomend/234_1","issued":{"date-parts":[["2020"]]}}}],"schema":"https://github.com/citation-style-language/schema/raw/master/csl-citation.json"} </w:instrText>
      </w:r>
      <w:r w:rsidR="000C4F0A" w:rsidRPr="000F582A">
        <w:rPr>
          <w:szCs w:val="24"/>
        </w:rPr>
        <w:fldChar w:fldCharType="separate"/>
      </w:r>
      <w:r w:rsidR="000C4F0A" w:rsidRPr="000F582A">
        <w:rPr>
          <w:rFonts w:cs="Times New Roman"/>
          <w:szCs w:val="24"/>
        </w:rPr>
        <w:t>[5]</w:t>
      </w:r>
      <w:r w:rsidR="000C4F0A" w:rsidRPr="000F582A">
        <w:rPr>
          <w:szCs w:val="24"/>
        </w:rPr>
        <w:fldChar w:fldCharType="end"/>
      </w:r>
      <w:r w:rsidR="000C4F0A" w:rsidRPr="000F582A">
        <w:rPr>
          <w:szCs w:val="24"/>
        </w:rPr>
        <w:t>.</w:t>
      </w:r>
    </w:p>
    <w:p w14:paraId="0191BA80" w14:textId="3C76F05F" w:rsidR="00297C9E" w:rsidRPr="000F582A" w:rsidRDefault="0077403B" w:rsidP="000F582A">
      <w:pPr>
        <w:pStyle w:val="SDText"/>
        <w:contextualSpacing/>
        <w:rPr>
          <w:szCs w:val="24"/>
        </w:rPr>
      </w:pPr>
      <w:r w:rsidRPr="000F582A">
        <w:rPr>
          <w:szCs w:val="24"/>
        </w:rPr>
        <w:t>Лечебные мероприятия при ЯК включают в себя назначение лекарственных препаратов, хирургическое лечение, психосоциальную поддержку и диетические рекомендации. Выбор вида консервативного или хирургического лечения определяется тяжестью атаки, протяженностью поражения толстой кишки, наличием внекишечных проявлений, длительностью анамнеза, эффективностью и безопасностью ранее проводившейся терапии, а также риском развития осложнений ЯК. Целью терапии является достижение и поддержание бесстероидной ремиссии (прекращение приема ГКС в течение 12 недель после начала терапии), профилактика осложнений ЯК, предупреждение операции, а при прогрессировании процесса, и/или развитии опасных для жизни осложнений – своевременное назначение хирургического лечения. Поскольку полное излечение пациентов ЯК достигается только путем удаления толстой кишки</w:t>
      </w:r>
      <w:r w:rsidR="00603092" w:rsidRPr="000F582A">
        <w:rPr>
          <w:szCs w:val="24"/>
        </w:rPr>
        <w:t xml:space="preserve"> </w:t>
      </w:r>
      <w:r w:rsidRPr="000F582A">
        <w:rPr>
          <w:szCs w:val="24"/>
        </w:rPr>
        <w:t xml:space="preserve">(колпроктэктомии), при достижении ремиссии неоперированный пациент должен оставаться на постоянной поддерживающей (противорецидивной) терапии. ГКС не могут применяться в качестве поддерживающей терапии </w:t>
      </w:r>
      <w:r w:rsidR="00B71BDF" w:rsidRPr="000F582A">
        <w:rPr>
          <w:szCs w:val="24"/>
        </w:rPr>
        <w:fldChar w:fldCharType="begin"/>
      </w:r>
      <w:r w:rsidR="009155BA" w:rsidRPr="000F582A">
        <w:rPr>
          <w:szCs w:val="24"/>
        </w:rPr>
        <w:instrText xml:space="preserve"> ADDIN ZOTERO_ITEM CSL_CITATION {"citationID":"CzM6PRgl","properties":{"formattedCitation":"[6]","plainCitation":"[6]","noteIndex":0},"citationItems":[{"id":87771,"uris":["http://zotero.org/groups/4742804/items/3FYCGAI2"],"itemData":{"id":87771,"type":"webpage","title":"Язвенный колит. Клинические рекомендации","URL":"https://cr.minzdrav.gov.ru/recomend/193_1","author":[{"family":"Российская Гастроэнтерологическая Ассоциация","given":""}],"accessed":{"date-parts":[["2022",8,3]]},"issued":{"date-parts":[["2020"]]}}}],"schema":"https://github.com/citation-style-language/schema/raw/master/csl-citation.json"} </w:instrText>
      </w:r>
      <w:r w:rsidR="00B71BDF" w:rsidRPr="000F582A">
        <w:rPr>
          <w:szCs w:val="24"/>
        </w:rPr>
        <w:fldChar w:fldCharType="separate"/>
      </w:r>
      <w:r w:rsidR="009155BA" w:rsidRPr="000F582A">
        <w:rPr>
          <w:rFonts w:cs="Times New Roman"/>
          <w:szCs w:val="24"/>
        </w:rPr>
        <w:t>[6]</w:t>
      </w:r>
      <w:r w:rsidR="00B71BDF" w:rsidRPr="000F582A">
        <w:rPr>
          <w:szCs w:val="24"/>
        </w:rPr>
        <w:fldChar w:fldCharType="end"/>
      </w:r>
      <w:r w:rsidR="00B71BDF" w:rsidRPr="000F582A">
        <w:rPr>
          <w:szCs w:val="24"/>
        </w:rPr>
        <w:t>.</w:t>
      </w:r>
    </w:p>
    <w:p w14:paraId="7E5EABBC" w14:textId="53854852" w:rsidR="00FD429F" w:rsidRPr="000F582A" w:rsidRDefault="00AF30CB" w:rsidP="000F582A">
      <w:pPr>
        <w:pStyle w:val="SDText"/>
        <w:contextualSpacing/>
        <w:rPr>
          <w:szCs w:val="24"/>
        </w:rPr>
      </w:pPr>
      <w:r w:rsidRPr="000F582A">
        <w:rPr>
          <w:szCs w:val="24"/>
        </w:rPr>
        <w:t xml:space="preserve">Пациентам с легкой и среднетяжелой атакой проктита </w:t>
      </w:r>
      <w:r w:rsidR="003D5E8B" w:rsidRPr="000F582A">
        <w:rPr>
          <w:szCs w:val="24"/>
        </w:rPr>
        <w:t xml:space="preserve">рекомендовано местное лечение </w:t>
      </w:r>
      <w:r w:rsidR="00B651F9" w:rsidRPr="000F582A">
        <w:rPr>
          <w:szCs w:val="24"/>
        </w:rPr>
        <w:t>(уровень убедительности рекомендаци</w:t>
      </w:r>
      <w:r w:rsidR="00033C5C" w:rsidRPr="000F582A">
        <w:rPr>
          <w:szCs w:val="24"/>
        </w:rPr>
        <w:t>й</w:t>
      </w:r>
      <w:r w:rsidR="00B651F9" w:rsidRPr="000F582A">
        <w:rPr>
          <w:szCs w:val="24"/>
        </w:rPr>
        <w:t xml:space="preserve"> – C, уровень достоверности доказательств – 5) </w:t>
      </w:r>
      <w:r w:rsidR="003D5E8B" w:rsidRPr="000F582A">
        <w:rPr>
          <w:szCs w:val="24"/>
        </w:rPr>
        <w:t xml:space="preserve">месалазином или при неэффективности </w:t>
      </w:r>
      <w:r w:rsidR="007928BD" w:rsidRPr="000F582A">
        <w:rPr>
          <w:szCs w:val="24"/>
        </w:rPr>
        <w:t>–</w:t>
      </w:r>
      <w:r w:rsidR="00033C5C" w:rsidRPr="000F582A">
        <w:rPr>
          <w:szCs w:val="24"/>
        </w:rPr>
        <w:t xml:space="preserve"> </w:t>
      </w:r>
      <w:r w:rsidR="003D5E8B" w:rsidRPr="000F582A">
        <w:rPr>
          <w:szCs w:val="24"/>
        </w:rPr>
        <w:t xml:space="preserve">местное лечение ГКС </w:t>
      </w:r>
      <w:r w:rsidR="00DD4033" w:rsidRPr="000F582A">
        <w:rPr>
          <w:szCs w:val="24"/>
        </w:rPr>
        <w:t>(уровень убедительности рекомендаци</w:t>
      </w:r>
      <w:r w:rsidR="00033C5C" w:rsidRPr="000F582A">
        <w:rPr>
          <w:szCs w:val="24"/>
        </w:rPr>
        <w:t>й</w:t>
      </w:r>
      <w:r w:rsidR="00DD4033" w:rsidRPr="000F582A">
        <w:rPr>
          <w:szCs w:val="24"/>
        </w:rPr>
        <w:t xml:space="preserve"> – C, уровень достоверности доказательств – 2).</w:t>
      </w:r>
      <w:r w:rsidRPr="000F582A">
        <w:rPr>
          <w:szCs w:val="24"/>
        </w:rPr>
        <w:t xml:space="preserve"> </w:t>
      </w:r>
      <w:r w:rsidR="00663E17" w:rsidRPr="000F582A">
        <w:rPr>
          <w:szCs w:val="24"/>
        </w:rPr>
        <w:t>При неэффективности местного лечения рекомендовано подключить пероральные формы месалазина в терапевтической дозе согласно инструкции по применению (ИМП) для достижения ремиссии (уровень убедительности рекомендаци</w:t>
      </w:r>
      <w:r w:rsidR="00033C5C" w:rsidRPr="000F582A">
        <w:rPr>
          <w:szCs w:val="24"/>
        </w:rPr>
        <w:t>й</w:t>
      </w:r>
      <w:r w:rsidR="00663E17" w:rsidRPr="000F582A">
        <w:rPr>
          <w:szCs w:val="24"/>
        </w:rPr>
        <w:t xml:space="preserve"> А, уровень достоверности доказательств – 2). При отсутствии эффекта от пероральных форм месалазина рекомендуется назначение ГКС для достижения ремиссии (уровень убедительности рекомендаци</w:t>
      </w:r>
      <w:r w:rsidR="00033C5C" w:rsidRPr="000F582A">
        <w:rPr>
          <w:szCs w:val="24"/>
        </w:rPr>
        <w:t>й</w:t>
      </w:r>
      <w:r w:rsidR="00663E17" w:rsidRPr="000F582A">
        <w:rPr>
          <w:szCs w:val="24"/>
        </w:rPr>
        <w:t xml:space="preserve"> С, уровень достоверности доказательств – 5).</w:t>
      </w:r>
      <w:r w:rsidR="003F0486" w:rsidRPr="000F582A">
        <w:rPr>
          <w:szCs w:val="24"/>
        </w:rPr>
        <w:t xml:space="preserve"> В случае рецидива, требующего повторного назначения ГКС, рекомендуется комбинация ГКС с азатиоприном или меркаптопурином для достижения ремиссии</w:t>
      </w:r>
      <w:r w:rsidR="00A02F9B" w:rsidRPr="000F582A">
        <w:rPr>
          <w:szCs w:val="24"/>
        </w:rPr>
        <w:t xml:space="preserve"> (уровень убедительности рекомендаци</w:t>
      </w:r>
      <w:r w:rsidR="00033C5C" w:rsidRPr="000F582A">
        <w:rPr>
          <w:szCs w:val="24"/>
        </w:rPr>
        <w:t>й</w:t>
      </w:r>
      <w:r w:rsidR="00A02F9B" w:rsidRPr="000F582A">
        <w:rPr>
          <w:szCs w:val="24"/>
        </w:rPr>
        <w:t xml:space="preserve"> А, уровень достоверности доказательств – 1)</w:t>
      </w:r>
      <w:r w:rsidR="00FD429F" w:rsidRPr="000F582A">
        <w:rPr>
          <w:szCs w:val="24"/>
        </w:rPr>
        <w:t xml:space="preserve">. </w:t>
      </w:r>
      <w:r w:rsidR="006232C0" w:rsidRPr="000F582A">
        <w:rPr>
          <w:szCs w:val="24"/>
        </w:rPr>
        <w:t>При тяжелом язвенном проктите рекомендуется внутривенное введение ГКС в дозе, эквивалентной преднизолону 1-2 мг/кг массы тела в сутки</w:t>
      </w:r>
      <w:r w:rsidR="00033C5C" w:rsidRPr="000F582A">
        <w:rPr>
          <w:szCs w:val="24"/>
        </w:rPr>
        <w:t>,</w:t>
      </w:r>
      <w:r w:rsidR="006232C0" w:rsidRPr="000F582A">
        <w:rPr>
          <w:szCs w:val="24"/>
        </w:rPr>
        <w:t xml:space="preserve"> в комбинации с местной терапией месалазином (суппозитории, ректальная пена) или ГКС (ректальная пена будесонида 2 мг в сутки, суппозитории с преднизолоном 10 мг (</w:t>
      </w:r>
      <w:r w:rsidR="006232C0" w:rsidRPr="000F582A">
        <w:rPr>
          <w:i/>
          <w:iCs/>
          <w:szCs w:val="24"/>
        </w:rPr>
        <w:t>ex tempore</w:t>
      </w:r>
      <w:r w:rsidR="006232C0" w:rsidRPr="000F582A">
        <w:rPr>
          <w:szCs w:val="24"/>
        </w:rPr>
        <w:t xml:space="preserve">) 10 мг 2 раза в сутки) для достижения </w:t>
      </w:r>
      <w:r w:rsidR="006232C0" w:rsidRPr="000F582A">
        <w:rPr>
          <w:szCs w:val="24"/>
        </w:rPr>
        <w:lastRenderedPageBreak/>
        <w:t>ремиссии (уровень убедительности рекомендаци</w:t>
      </w:r>
      <w:r w:rsidR="00033C5C" w:rsidRPr="000F582A">
        <w:rPr>
          <w:szCs w:val="24"/>
        </w:rPr>
        <w:t>й</w:t>
      </w:r>
      <w:r w:rsidR="006232C0" w:rsidRPr="000F582A">
        <w:rPr>
          <w:szCs w:val="24"/>
        </w:rPr>
        <w:t xml:space="preserve"> С, уровень достоверности доказательств – 5) </w:t>
      </w:r>
      <w:r w:rsidR="00FD429F" w:rsidRPr="000F582A">
        <w:rPr>
          <w:szCs w:val="24"/>
        </w:rPr>
        <w:fldChar w:fldCharType="begin"/>
      </w:r>
      <w:r w:rsidR="009155BA" w:rsidRPr="000F582A">
        <w:rPr>
          <w:szCs w:val="24"/>
        </w:rPr>
        <w:instrText xml:space="preserve"> ADDIN ZOTERO_ITEM CSL_CITATION {"citationID":"w0vGqvk9","properties":{"formattedCitation":"[6]","plainCitation":"[6]","noteIndex":0},"citationItems":[{"id":87771,"uris":["http://zotero.org/groups/4742804/items/3FYCGAI2"],"itemData":{"id":87771,"type":"webpage","title":"Язвенный колит. Клинические рекомендации","URL":"https://cr.minzdrav.gov.ru/recomend/193_1","author":[{"family":"Российская Гастроэнтерологическая Ассоциация","given":""}],"accessed":{"date-parts":[["2022",8,3]]},"issued":{"date-parts":[["2020"]]}}}],"schema":"https://github.com/citation-style-language/schema/raw/master/csl-citation.json"} </w:instrText>
      </w:r>
      <w:r w:rsidR="00FD429F" w:rsidRPr="000F582A">
        <w:rPr>
          <w:szCs w:val="24"/>
        </w:rPr>
        <w:fldChar w:fldCharType="separate"/>
      </w:r>
      <w:r w:rsidR="009155BA" w:rsidRPr="000F582A">
        <w:rPr>
          <w:rFonts w:cs="Times New Roman"/>
          <w:szCs w:val="24"/>
        </w:rPr>
        <w:t>[6]</w:t>
      </w:r>
      <w:r w:rsidR="00FD429F" w:rsidRPr="000F582A">
        <w:rPr>
          <w:szCs w:val="24"/>
        </w:rPr>
        <w:fldChar w:fldCharType="end"/>
      </w:r>
      <w:r w:rsidR="00FD429F" w:rsidRPr="000F582A">
        <w:rPr>
          <w:szCs w:val="24"/>
        </w:rPr>
        <w:t>.</w:t>
      </w:r>
    </w:p>
    <w:p w14:paraId="605D793B" w14:textId="62377AC9" w:rsidR="00F04F20" w:rsidRPr="000F582A" w:rsidRDefault="00732636" w:rsidP="00C13EBE">
      <w:pPr>
        <w:pStyle w:val="SDText"/>
        <w:spacing w:after="0"/>
        <w:contextualSpacing/>
        <w:rPr>
          <w:szCs w:val="24"/>
        </w:rPr>
      </w:pPr>
      <w:r w:rsidRPr="000F582A">
        <w:rPr>
          <w:szCs w:val="24"/>
        </w:rPr>
        <w:t xml:space="preserve">При среднетяжелой атаке левостороннего или тотального язвенного колита рекомендуется </w:t>
      </w:r>
      <w:r w:rsidR="001044CC" w:rsidRPr="000F582A">
        <w:rPr>
          <w:szCs w:val="24"/>
        </w:rPr>
        <w:t>назначение перорального месалазина в максимальной терапевтической дозе в соответствии с ИМП в комбинации с месалазином в клизмах 4 г/сут для достижения ремиссии (уровень убедительности рекомендаци</w:t>
      </w:r>
      <w:r w:rsidR="00033C5C" w:rsidRPr="000F582A">
        <w:rPr>
          <w:szCs w:val="24"/>
        </w:rPr>
        <w:t>й</w:t>
      </w:r>
      <w:r w:rsidR="001044CC" w:rsidRPr="000F582A">
        <w:rPr>
          <w:szCs w:val="24"/>
        </w:rPr>
        <w:t xml:space="preserve"> А, уровень достоверности доказательств – 1).</w:t>
      </w:r>
      <w:r w:rsidRPr="000F582A">
        <w:rPr>
          <w:szCs w:val="24"/>
        </w:rPr>
        <w:t xml:space="preserve"> </w:t>
      </w:r>
      <w:r w:rsidR="00D16F44" w:rsidRPr="000F582A">
        <w:rPr>
          <w:szCs w:val="24"/>
        </w:rPr>
        <w:t xml:space="preserve">При неэффективности </w:t>
      </w:r>
      <w:r w:rsidR="00446097" w:rsidRPr="000F582A">
        <w:rPr>
          <w:szCs w:val="24"/>
        </w:rPr>
        <w:t>ацетилсалициловой кислоты (</w:t>
      </w:r>
      <w:r w:rsidR="00D16F44" w:rsidRPr="000F582A">
        <w:rPr>
          <w:szCs w:val="24"/>
        </w:rPr>
        <w:t>АСК</w:t>
      </w:r>
      <w:r w:rsidR="00446097" w:rsidRPr="000F582A">
        <w:rPr>
          <w:szCs w:val="24"/>
        </w:rPr>
        <w:t>)</w:t>
      </w:r>
      <w:r w:rsidR="00D16F44" w:rsidRPr="000F582A">
        <w:rPr>
          <w:szCs w:val="24"/>
        </w:rPr>
        <w:t xml:space="preserve"> и отсутствии системных признаков воспаления рекомендуется назначение топических ГКС (будесонид, таблетки кишечнорастворимые с пролонгированным высвобождением, покрытые пленочной оболочкой) (уровень убедительности рекомендаци</w:t>
      </w:r>
      <w:r w:rsidR="00033C5C" w:rsidRPr="000F582A">
        <w:rPr>
          <w:szCs w:val="24"/>
        </w:rPr>
        <w:t>й</w:t>
      </w:r>
      <w:r w:rsidR="00D16F44" w:rsidRPr="000F582A">
        <w:rPr>
          <w:szCs w:val="24"/>
        </w:rPr>
        <w:t xml:space="preserve"> А, уровень достоверности доказательств – 2). </w:t>
      </w:r>
      <w:r w:rsidR="00324F70" w:rsidRPr="000F582A">
        <w:rPr>
          <w:szCs w:val="24"/>
        </w:rPr>
        <w:t xml:space="preserve">При неэффективности </w:t>
      </w:r>
      <w:r w:rsidR="00446097" w:rsidRPr="000F582A">
        <w:rPr>
          <w:szCs w:val="24"/>
        </w:rPr>
        <w:t>АСК</w:t>
      </w:r>
      <w:r w:rsidR="00324F70" w:rsidRPr="000F582A">
        <w:rPr>
          <w:szCs w:val="24"/>
        </w:rPr>
        <w:t xml:space="preserve"> и при наличии системного воспаления рекомендуется назначение системных ГКС для достижения терапевтического эффекта (уровень убедительности рекомендаци</w:t>
      </w:r>
      <w:r w:rsidR="00033C5C" w:rsidRPr="000F582A">
        <w:rPr>
          <w:szCs w:val="24"/>
        </w:rPr>
        <w:t>й</w:t>
      </w:r>
      <w:r w:rsidR="00324F70" w:rsidRPr="000F582A">
        <w:rPr>
          <w:szCs w:val="24"/>
        </w:rPr>
        <w:t xml:space="preserve"> А, уровень достоверности доказательств – 1)</w:t>
      </w:r>
      <w:r w:rsidR="00FD429F" w:rsidRPr="000F582A">
        <w:rPr>
          <w:szCs w:val="24"/>
        </w:rPr>
        <w:t xml:space="preserve">. </w:t>
      </w:r>
      <w:r w:rsidR="001579E5" w:rsidRPr="000F582A">
        <w:rPr>
          <w:szCs w:val="24"/>
        </w:rPr>
        <w:t>При отсутствии эффекта от ГКС в течение 2 недель рекомендуется проведение биологической терапии для достижения ремиссии (инфликсимаб, адалимумаб, голимумаб, ведолизумаб, тофацитиниб или устекинумаб), начиная с индукционного курса, в дозах, соответствующих инструкции по применению (уровень убедительности рекомендаци</w:t>
      </w:r>
      <w:r w:rsidR="00033C5C" w:rsidRPr="000F582A">
        <w:rPr>
          <w:szCs w:val="24"/>
        </w:rPr>
        <w:t>й</w:t>
      </w:r>
      <w:r w:rsidR="001579E5" w:rsidRPr="000F582A">
        <w:rPr>
          <w:szCs w:val="24"/>
        </w:rPr>
        <w:t xml:space="preserve"> А, уровень достоверности доказательств – 2)</w:t>
      </w:r>
      <w:r w:rsidR="004220A6" w:rsidRPr="000F582A">
        <w:rPr>
          <w:szCs w:val="24"/>
        </w:rPr>
        <w:t xml:space="preserve">. При первичной неэффективности </w:t>
      </w:r>
      <w:r w:rsidR="0020101E" w:rsidRPr="000F582A">
        <w:rPr>
          <w:szCs w:val="24"/>
        </w:rPr>
        <w:t xml:space="preserve">ингибиторов </w:t>
      </w:r>
      <w:r w:rsidR="0020101E" w:rsidRPr="000F582A">
        <w:rPr>
          <w:szCs w:val="24"/>
          <w:lang w:val="en-US"/>
        </w:rPr>
        <w:t>TNF</w:t>
      </w:r>
      <w:r w:rsidR="0020101E" w:rsidRPr="000F582A">
        <w:rPr>
          <w:szCs w:val="24"/>
        </w:rPr>
        <w:t>-</w:t>
      </w:r>
      <w:r w:rsidR="0020101E" w:rsidRPr="000F582A">
        <w:rPr>
          <w:rFonts w:cs="Times New Roman"/>
          <w:szCs w:val="24"/>
        </w:rPr>
        <w:t>α</w:t>
      </w:r>
      <w:r w:rsidR="0020101E" w:rsidRPr="000F582A">
        <w:rPr>
          <w:szCs w:val="24"/>
        </w:rPr>
        <w:t xml:space="preserve"> </w:t>
      </w:r>
      <w:r w:rsidR="004220A6" w:rsidRPr="000F582A">
        <w:rPr>
          <w:szCs w:val="24"/>
        </w:rPr>
        <w:t>смена терапии на ведолизумаб, тофацитиниб или</w:t>
      </w:r>
      <w:r w:rsidR="00DA1E19" w:rsidRPr="000F582A">
        <w:rPr>
          <w:szCs w:val="24"/>
        </w:rPr>
        <w:t xml:space="preserve"> </w:t>
      </w:r>
      <w:r w:rsidR="004220A6" w:rsidRPr="000F582A">
        <w:rPr>
          <w:szCs w:val="24"/>
        </w:rPr>
        <w:t>устекинумаб для достижения ремиссии (уровень убедительности рекомендаци</w:t>
      </w:r>
      <w:r w:rsidR="00033C5C" w:rsidRPr="000F582A">
        <w:rPr>
          <w:szCs w:val="24"/>
        </w:rPr>
        <w:t>й</w:t>
      </w:r>
      <w:r w:rsidR="004220A6" w:rsidRPr="000F582A">
        <w:rPr>
          <w:szCs w:val="24"/>
        </w:rPr>
        <w:t xml:space="preserve"> С</w:t>
      </w:r>
      <w:r w:rsidR="00AF2C56" w:rsidRPr="000F582A">
        <w:rPr>
          <w:szCs w:val="24"/>
        </w:rPr>
        <w:t xml:space="preserve">, </w:t>
      </w:r>
      <w:r w:rsidR="004220A6" w:rsidRPr="000F582A">
        <w:rPr>
          <w:szCs w:val="24"/>
        </w:rPr>
        <w:t>уровень достоверности доказательств – 5)</w:t>
      </w:r>
      <w:r w:rsidR="00AF2C56" w:rsidRPr="000F582A">
        <w:rPr>
          <w:szCs w:val="24"/>
        </w:rPr>
        <w:t xml:space="preserve">. </w:t>
      </w:r>
      <w:r w:rsidR="004559DE" w:rsidRPr="000F582A">
        <w:rPr>
          <w:szCs w:val="24"/>
        </w:rPr>
        <w:t xml:space="preserve">При потере ответа на терапию </w:t>
      </w:r>
      <w:r w:rsidR="0020101E" w:rsidRPr="000F582A">
        <w:rPr>
          <w:szCs w:val="24"/>
        </w:rPr>
        <w:t xml:space="preserve">ингибиторами </w:t>
      </w:r>
      <w:r w:rsidR="0020101E" w:rsidRPr="000F582A">
        <w:rPr>
          <w:szCs w:val="24"/>
          <w:lang w:val="en-US"/>
        </w:rPr>
        <w:t>TNF</w:t>
      </w:r>
      <w:r w:rsidR="0020101E" w:rsidRPr="000F582A">
        <w:rPr>
          <w:szCs w:val="24"/>
        </w:rPr>
        <w:t>-</w:t>
      </w:r>
      <w:r w:rsidR="0020101E" w:rsidRPr="000F582A">
        <w:rPr>
          <w:rFonts w:cs="Times New Roman"/>
          <w:szCs w:val="24"/>
        </w:rPr>
        <w:t>α</w:t>
      </w:r>
      <w:r w:rsidR="0020101E" w:rsidRPr="000F582A">
        <w:rPr>
          <w:szCs w:val="24"/>
        </w:rPr>
        <w:t xml:space="preserve"> </w:t>
      </w:r>
      <w:r w:rsidR="004559DE" w:rsidRPr="000F582A">
        <w:rPr>
          <w:szCs w:val="24"/>
        </w:rPr>
        <w:t>(рецидив ЯК на фоне</w:t>
      </w:r>
      <w:r w:rsidR="0092251B" w:rsidRPr="000F582A">
        <w:rPr>
          <w:szCs w:val="24"/>
        </w:rPr>
        <w:t xml:space="preserve"> </w:t>
      </w:r>
      <w:r w:rsidR="004559DE" w:rsidRPr="000F582A">
        <w:rPr>
          <w:szCs w:val="24"/>
        </w:rPr>
        <w:t>ранее достигнутой ремиссии) оптимизация терапии в виде увеличения дозы препарата (10</w:t>
      </w:r>
      <w:r w:rsidR="0092251B" w:rsidRPr="000F582A">
        <w:rPr>
          <w:szCs w:val="24"/>
        </w:rPr>
        <w:t xml:space="preserve"> </w:t>
      </w:r>
      <w:r w:rsidR="004559DE" w:rsidRPr="000F582A">
        <w:rPr>
          <w:szCs w:val="24"/>
        </w:rPr>
        <w:t>мг/кг инфликсимаба каждые 8 недель, 100 мг голимумаба каждые 4 недели, 80 мг</w:t>
      </w:r>
      <w:r w:rsidR="008C1BE2" w:rsidRPr="000F582A">
        <w:rPr>
          <w:szCs w:val="24"/>
        </w:rPr>
        <w:t xml:space="preserve"> </w:t>
      </w:r>
      <w:r w:rsidR="004559DE" w:rsidRPr="000F582A">
        <w:rPr>
          <w:szCs w:val="24"/>
        </w:rPr>
        <w:t>адалимумаба каждые 2 недели) или сокращения интервалов между введениями</w:t>
      </w:r>
      <w:r w:rsidR="008C1BE2" w:rsidRPr="000F582A">
        <w:rPr>
          <w:szCs w:val="24"/>
        </w:rPr>
        <w:t xml:space="preserve"> </w:t>
      </w:r>
      <w:r w:rsidR="004559DE" w:rsidRPr="000F582A">
        <w:rPr>
          <w:szCs w:val="24"/>
        </w:rPr>
        <w:t>(инфликсимаб до 4-6 недель, адалимумаб каждую неделю)</w:t>
      </w:r>
      <w:r w:rsidR="00DA1E19" w:rsidRPr="000F582A">
        <w:rPr>
          <w:szCs w:val="24"/>
        </w:rPr>
        <w:t>,</w:t>
      </w:r>
      <w:r w:rsidR="004559DE" w:rsidRPr="000F582A">
        <w:rPr>
          <w:szCs w:val="24"/>
        </w:rPr>
        <w:t xml:space="preserve"> или назначение препаратов</w:t>
      </w:r>
      <w:r w:rsidR="008C1BE2" w:rsidRPr="000F582A">
        <w:rPr>
          <w:szCs w:val="24"/>
        </w:rPr>
        <w:t xml:space="preserve"> </w:t>
      </w:r>
      <w:r w:rsidR="004559DE" w:rsidRPr="000F582A">
        <w:rPr>
          <w:szCs w:val="24"/>
        </w:rPr>
        <w:t>другого механизма действия: ведолизумаба, тофацитиниба или устекинумаба для</w:t>
      </w:r>
      <w:r w:rsidR="008C1BE2" w:rsidRPr="000F582A">
        <w:rPr>
          <w:szCs w:val="24"/>
        </w:rPr>
        <w:t xml:space="preserve"> </w:t>
      </w:r>
      <w:r w:rsidR="004559DE" w:rsidRPr="000F582A">
        <w:rPr>
          <w:szCs w:val="24"/>
        </w:rPr>
        <w:t xml:space="preserve">достижения терапевтического эффекта </w:t>
      </w:r>
      <w:r w:rsidR="008C1BE2" w:rsidRPr="000F582A">
        <w:rPr>
          <w:szCs w:val="24"/>
        </w:rPr>
        <w:t>(у</w:t>
      </w:r>
      <w:r w:rsidR="004559DE" w:rsidRPr="000F582A">
        <w:rPr>
          <w:szCs w:val="24"/>
        </w:rPr>
        <w:t>ровень убедительности рекомендаци</w:t>
      </w:r>
      <w:r w:rsidR="00033C5C" w:rsidRPr="000F582A">
        <w:rPr>
          <w:szCs w:val="24"/>
        </w:rPr>
        <w:t>й</w:t>
      </w:r>
      <w:r w:rsidR="004559DE" w:rsidRPr="000F582A">
        <w:rPr>
          <w:szCs w:val="24"/>
        </w:rPr>
        <w:t xml:space="preserve"> А</w:t>
      </w:r>
      <w:r w:rsidR="008C1BE2" w:rsidRPr="000F582A">
        <w:rPr>
          <w:szCs w:val="24"/>
        </w:rPr>
        <w:t xml:space="preserve">, </w:t>
      </w:r>
      <w:r w:rsidR="004559DE" w:rsidRPr="000F582A">
        <w:rPr>
          <w:szCs w:val="24"/>
        </w:rPr>
        <w:t>уровень достоверности доказательств – 2)</w:t>
      </w:r>
      <w:r w:rsidR="004F3F3D" w:rsidRPr="000F582A">
        <w:rPr>
          <w:szCs w:val="24"/>
        </w:rPr>
        <w:t>. При потере ответа на тофацитиниб в стандартной дозе 10 мг в день оптимизация терапии до 20 мг в день</w:t>
      </w:r>
      <w:r w:rsidR="00C41A23" w:rsidRPr="000F582A">
        <w:rPr>
          <w:szCs w:val="24"/>
        </w:rPr>
        <w:t xml:space="preserve"> (уровень убедительности рекомендаци</w:t>
      </w:r>
      <w:r w:rsidR="00033C5C" w:rsidRPr="000F582A">
        <w:rPr>
          <w:szCs w:val="24"/>
        </w:rPr>
        <w:t>й</w:t>
      </w:r>
      <w:r w:rsidR="00C41A23" w:rsidRPr="000F582A">
        <w:rPr>
          <w:szCs w:val="24"/>
        </w:rPr>
        <w:t xml:space="preserve"> С, уровень достоверности доказательств – 4)</w:t>
      </w:r>
      <w:r w:rsidR="00503CFF" w:rsidRPr="000F582A">
        <w:rPr>
          <w:szCs w:val="24"/>
        </w:rPr>
        <w:t>. При рецидиве, возникшем на фоне поддерживающей терапии аналогами пурина, назначение биологической терапии (инфликсимаб, адалимумаб, голимумаб, ведолизумаб или устекинумаб), а также тофацитиниба (с отменой аналогов пурина согласно ИМП) (уровень убедительности рекомендаци</w:t>
      </w:r>
      <w:r w:rsidR="00033C5C" w:rsidRPr="000F582A">
        <w:rPr>
          <w:szCs w:val="24"/>
        </w:rPr>
        <w:t>й</w:t>
      </w:r>
      <w:r w:rsidR="00503CFF" w:rsidRPr="000F582A">
        <w:rPr>
          <w:szCs w:val="24"/>
        </w:rPr>
        <w:t xml:space="preserve"> А, уровень достоверности доказательств – 2)</w:t>
      </w:r>
      <w:r w:rsidR="00D16F44" w:rsidRPr="000F582A">
        <w:rPr>
          <w:szCs w:val="24"/>
        </w:rPr>
        <w:t xml:space="preserve"> </w:t>
      </w:r>
      <w:r w:rsidR="00F04F20" w:rsidRPr="000F582A">
        <w:rPr>
          <w:szCs w:val="24"/>
        </w:rPr>
        <w:fldChar w:fldCharType="begin"/>
      </w:r>
      <w:r w:rsidR="009155BA" w:rsidRPr="000F582A">
        <w:rPr>
          <w:szCs w:val="24"/>
        </w:rPr>
        <w:instrText xml:space="preserve"> ADDIN ZOTERO_ITEM CSL_CITATION {"citationID":"Rgkdyp5c","properties":{"formattedCitation":"[6]","plainCitation":"[6]","noteIndex":0},"citationItems":[{"id":87771,"uris":["http://zotero.org/groups/4742804/items/3FYCGAI2"],"itemData":{"id":87771,"type":"webpage","title":"Язвенный колит. Клинические рекомендации","URL":"https://cr.minzdrav.gov.ru/recomend/193_1","author":[{"family":"Российская Гастроэнтерологическая Ассоциация","given":""}],"accessed":{"date-parts":[["2022",8,3]]},"issued":{"date-parts":[["2020"]]}}}],"schema":"https://github.com/citation-style-language/schema/raw/master/csl-citation.json"} </w:instrText>
      </w:r>
      <w:r w:rsidR="00F04F20" w:rsidRPr="000F582A">
        <w:rPr>
          <w:szCs w:val="24"/>
        </w:rPr>
        <w:fldChar w:fldCharType="separate"/>
      </w:r>
      <w:r w:rsidR="009155BA" w:rsidRPr="000F582A">
        <w:rPr>
          <w:rFonts w:cs="Times New Roman"/>
          <w:szCs w:val="24"/>
        </w:rPr>
        <w:t>[6]</w:t>
      </w:r>
      <w:r w:rsidR="00F04F20" w:rsidRPr="000F582A">
        <w:rPr>
          <w:szCs w:val="24"/>
        </w:rPr>
        <w:fldChar w:fldCharType="end"/>
      </w:r>
      <w:r w:rsidR="001579E5" w:rsidRPr="000F582A">
        <w:rPr>
          <w:szCs w:val="24"/>
        </w:rPr>
        <w:t>.</w:t>
      </w:r>
    </w:p>
    <w:p w14:paraId="58B862C3" w14:textId="758DB0D2" w:rsidR="00FD429F" w:rsidRPr="000F582A" w:rsidRDefault="005F2628" w:rsidP="00C13EBE">
      <w:pPr>
        <w:pStyle w:val="SDText"/>
        <w:spacing w:after="0"/>
        <w:contextualSpacing/>
        <w:rPr>
          <w:szCs w:val="24"/>
        </w:rPr>
      </w:pPr>
      <w:r w:rsidRPr="000F582A">
        <w:rPr>
          <w:szCs w:val="24"/>
        </w:rPr>
        <w:t xml:space="preserve">При тяжелой атаке левостороннего или тотального язвенного колита </w:t>
      </w:r>
      <w:r w:rsidR="00E4115B" w:rsidRPr="000F582A">
        <w:rPr>
          <w:szCs w:val="24"/>
        </w:rPr>
        <w:t>в качестве первой линии терапии рекомендуется внутривенная терапия ГКС для достижения ремиссии (уровень убедительности рекомендаци</w:t>
      </w:r>
      <w:r w:rsidR="00033C5C" w:rsidRPr="000F582A">
        <w:rPr>
          <w:szCs w:val="24"/>
        </w:rPr>
        <w:t>й</w:t>
      </w:r>
      <w:r w:rsidR="00E4115B" w:rsidRPr="000F582A">
        <w:rPr>
          <w:szCs w:val="24"/>
        </w:rPr>
        <w:t xml:space="preserve"> А, уровень достоверности доказательств – 1).</w:t>
      </w:r>
      <w:r w:rsidR="00D635DB" w:rsidRPr="000F582A">
        <w:rPr>
          <w:szCs w:val="24"/>
        </w:rPr>
        <w:t xml:space="preserve"> Если состояние больного в течение </w:t>
      </w:r>
      <w:r w:rsidR="00822FF6" w:rsidRPr="000F582A">
        <w:rPr>
          <w:szCs w:val="24"/>
        </w:rPr>
        <w:t>3</w:t>
      </w:r>
      <w:r w:rsidR="00D635DB" w:rsidRPr="000F582A">
        <w:rPr>
          <w:szCs w:val="24"/>
        </w:rPr>
        <w:t xml:space="preserve"> дней ухудшается</w:t>
      </w:r>
      <w:r w:rsidR="00DA1E19" w:rsidRPr="000F582A">
        <w:rPr>
          <w:szCs w:val="24"/>
        </w:rPr>
        <w:t>,</w:t>
      </w:r>
      <w:r w:rsidR="00D635DB" w:rsidRPr="000F582A">
        <w:rPr>
          <w:szCs w:val="24"/>
        </w:rPr>
        <w:t xml:space="preserve"> ставится вопрос о «терапии спасения» или о</w:t>
      </w:r>
      <w:r w:rsidR="00822FF6" w:rsidRPr="000F582A">
        <w:rPr>
          <w:szCs w:val="24"/>
        </w:rPr>
        <w:t xml:space="preserve"> </w:t>
      </w:r>
      <w:r w:rsidR="00D635DB" w:rsidRPr="000F582A">
        <w:rPr>
          <w:szCs w:val="24"/>
        </w:rPr>
        <w:t>колэктомии.</w:t>
      </w:r>
      <w:r w:rsidR="00822FF6" w:rsidRPr="000F582A">
        <w:rPr>
          <w:szCs w:val="24"/>
        </w:rPr>
        <w:t xml:space="preserve"> «Терапия спасения» проводится двумя основными препаратами на фоне сохраняющегося лечения ГКС: инфликсимабом (в дозе 5 мг/кг в рамках индукционного курса на 0, 2 и 6 неделе) или циклоспорином внутривенно (2–4 мг/кг в течение 7 дней с мониторированием показателей функции почек и определением концентрации препарата в крови). </w:t>
      </w:r>
      <w:r w:rsidR="00846D99" w:rsidRPr="000F582A">
        <w:rPr>
          <w:szCs w:val="24"/>
        </w:rPr>
        <w:t>При невозможности назначения инфликсимаба допустимо назначение тофацитиниба с учетом скорости достижения эффекта в соответствии с инструкцией</w:t>
      </w:r>
      <w:r w:rsidR="0001589C" w:rsidRPr="000F582A">
        <w:rPr>
          <w:szCs w:val="24"/>
        </w:rPr>
        <w:t xml:space="preserve"> </w:t>
      </w:r>
      <w:r w:rsidR="00DA1E19" w:rsidRPr="000F582A">
        <w:rPr>
          <w:szCs w:val="24"/>
        </w:rPr>
        <w:t xml:space="preserve">по </w:t>
      </w:r>
      <w:r w:rsidR="00846D99" w:rsidRPr="000F582A">
        <w:rPr>
          <w:szCs w:val="24"/>
        </w:rPr>
        <w:t>применению</w:t>
      </w:r>
      <w:r w:rsidR="00A67126" w:rsidRPr="000F582A">
        <w:rPr>
          <w:szCs w:val="24"/>
        </w:rPr>
        <w:t xml:space="preserve"> </w:t>
      </w:r>
      <w:r w:rsidR="00A67126" w:rsidRPr="000F582A">
        <w:rPr>
          <w:szCs w:val="24"/>
        </w:rPr>
        <w:fldChar w:fldCharType="begin"/>
      </w:r>
      <w:r w:rsidR="009155BA" w:rsidRPr="000F582A">
        <w:rPr>
          <w:szCs w:val="24"/>
        </w:rPr>
        <w:instrText xml:space="preserve"> ADDIN ZOTERO_ITEM CSL_CITATION {"citationID":"iIJqzSQ7","properties":{"formattedCitation":"[6]","plainCitation":"[6]","noteIndex":0},"citationItems":[{"id":87771,"uris":["http://zotero.org/groups/4742804/items/3FYCGAI2"],"itemData":{"id":87771,"type":"webpage","title":"Язвенный колит. Клинические рекомендации","URL":"https://cr.minzdrav.gov.ru/recomend/193_1","author":[{"family":"Российская Гастроэнтерологическая Ассоциация","given":""}],"accessed":{"date-parts":[["2022",8,3]]},"issued":{"date-parts":[["2020"]]}}}],"schema":"https://github.com/citation-style-language/schema/raw/master/csl-citation.json"} </w:instrText>
      </w:r>
      <w:r w:rsidR="00A67126" w:rsidRPr="000F582A">
        <w:rPr>
          <w:szCs w:val="24"/>
        </w:rPr>
        <w:fldChar w:fldCharType="separate"/>
      </w:r>
      <w:r w:rsidR="009155BA" w:rsidRPr="000F582A">
        <w:rPr>
          <w:rFonts w:cs="Times New Roman"/>
          <w:szCs w:val="24"/>
        </w:rPr>
        <w:t>[6]</w:t>
      </w:r>
      <w:r w:rsidR="00A67126" w:rsidRPr="000F582A">
        <w:rPr>
          <w:szCs w:val="24"/>
        </w:rPr>
        <w:fldChar w:fldCharType="end"/>
      </w:r>
      <w:r w:rsidR="00A67126" w:rsidRPr="000F582A">
        <w:rPr>
          <w:szCs w:val="24"/>
        </w:rPr>
        <w:t>.</w:t>
      </w:r>
    </w:p>
    <w:p w14:paraId="2C5639E3" w14:textId="0FCA29D4" w:rsidR="00DA4C45" w:rsidRPr="000F582A" w:rsidRDefault="00B723CA" w:rsidP="00911DDD">
      <w:pPr>
        <w:pStyle w:val="SDText"/>
        <w:contextualSpacing/>
        <w:rPr>
          <w:szCs w:val="24"/>
        </w:rPr>
      </w:pPr>
      <w:r w:rsidRPr="000F582A">
        <w:rPr>
          <w:szCs w:val="24"/>
        </w:rPr>
        <w:t xml:space="preserve">У пациентов с неустановленным диагнозом сЮА на этапе обследования рекомендуется назначение только НПВП (уровень убедительности рекомендаций С, уровень достоверности доказательств –5). </w:t>
      </w:r>
      <w:r w:rsidR="00C22D60" w:rsidRPr="000F582A">
        <w:rPr>
          <w:szCs w:val="24"/>
        </w:rPr>
        <w:t xml:space="preserve">Рекомендуется назначение ГКС при опасных </w:t>
      </w:r>
      <w:r w:rsidR="00C22D60" w:rsidRPr="000F582A">
        <w:rPr>
          <w:szCs w:val="24"/>
        </w:rPr>
        <w:lastRenderedPageBreak/>
        <w:t xml:space="preserve">для жизни системных проявлениях (стойкая фебрильная или гектическая лихорадка и/или кардит, и /или пневмонит, и/или серозит) (уровень убедительности рекомендаций С (уровень достоверности доказательств – 5). </w:t>
      </w:r>
      <w:r w:rsidR="002E4B4A" w:rsidRPr="000F582A">
        <w:rPr>
          <w:szCs w:val="24"/>
        </w:rPr>
        <w:t xml:space="preserve">Рекомендуется внутрисуставное введение ГКС (при наличии активного моноолигоартрита) в качестве сопутствующей терапии (уровень убедительности рекомендаций В, уровень достоверности доказательств – 2). </w:t>
      </w:r>
      <w:r w:rsidR="004E02E6" w:rsidRPr="000F582A">
        <w:rPr>
          <w:szCs w:val="24"/>
        </w:rPr>
        <w:t>Пациентам с активным артритом рекомендуется назначение метотрексата (уровень убедительности рекомендаций В, уровень достоверности доказательств – 2).</w:t>
      </w:r>
      <w:r w:rsidR="00D546EA" w:rsidRPr="000F582A">
        <w:rPr>
          <w:szCs w:val="24"/>
        </w:rPr>
        <w:t xml:space="preserve"> Рекомендуется переключение на лефлуномид при развитии непереносимости метотрексата на любом этапе лечения</w:t>
      </w:r>
      <w:r w:rsidR="00D27F78" w:rsidRPr="000F582A">
        <w:rPr>
          <w:szCs w:val="24"/>
        </w:rPr>
        <w:t>. Рекомендуется для индукции ремиссии назначение тоцилизумаба</w:t>
      </w:r>
      <w:r w:rsidR="0050508C" w:rsidRPr="000F582A">
        <w:rPr>
          <w:szCs w:val="24"/>
        </w:rPr>
        <w:t xml:space="preserve"> или</w:t>
      </w:r>
      <w:r w:rsidR="00A40F45" w:rsidRPr="000F582A">
        <w:rPr>
          <w:szCs w:val="24"/>
        </w:rPr>
        <w:t xml:space="preserve"> канакинумаба</w:t>
      </w:r>
      <w:r w:rsidR="00D27F78" w:rsidRPr="000F582A">
        <w:rPr>
          <w:szCs w:val="24"/>
        </w:rPr>
        <w:t xml:space="preserve"> (уровень убедительности рекомендаций А, уровень достоверности доказательств – 1). </w:t>
      </w:r>
      <w:r w:rsidR="00890D71" w:rsidRPr="000F582A">
        <w:rPr>
          <w:szCs w:val="24"/>
        </w:rPr>
        <w:t>Рекомендуется для индукции ремиссии при неэффективности монотерапии тоцилизумабом или канакинумабом или в сочетании с метотрексатом или с лефлуномидом переключение на ритуксимаб (уровень убедительности рекомендаций С, уровень достоверности доказательств – 4)</w:t>
      </w:r>
      <w:r w:rsidR="00B57CB6" w:rsidRPr="000F582A">
        <w:rPr>
          <w:szCs w:val="24"/>
        </w:rPr>
        <w:t xml:space="preserve">. Рекомендуется для индукции ремиссии переключение на ингибиторы </w:t>
      </w:r>
      <w:r w:rsidR="00B57CB6" w:rsidRPr="000F582A">
        <w:rPr>
          <w:szCs w:val="24"/>
          <w:lang w:val="en-US"/>
        </w:rPr>
        <w:t>TNF</w:t>
      </w:r>
      <w:r w:rsidR="00B57CB6" w:rsidRPr="000F582A">
        <w:rPr>
          <w:szCs w:val="24"/>
        </w:rPr>
        <w:t>-</w:t>
      </w:r>
      <w:r w:rsidR="00B57CB6" w:rsidRPr="000F582A">
        <w:rPr>
          <w:rFonts w:cs="Times New Roman"/>
          <w:szCs w:val="24"/>
        </w:rPr>
        <w:t>α</w:t>
      </w:r>
      <w:r w:rsidR="00B57CB6" w:rsidRPr="000F582A">
        <w:rPr>
          <w:szCs w:val="24"/>
        </w:rPr>
        <w:t xml:space="preserve"> при парциальной неэффективности тоцилизумаба, канакинумаба, ритуксимаба в сочетании с метотрексатом или лефлуномида (уровень убедительности рекомендаций А, уровень достоверности доказательств – 2)</w:t>
      </w:r>
      <w:r w:rsidR="004E02E6" w:rsidRPr="000F582A">
        <w:rPr>
          <w:szCs w:val="24"/>
        </w:rPr>
        <w:t xml:space="preserve"> </w:t>
      </w:r>
      <w:r w:rsidR="003C5B24" w:rsidRPr="000F582A">
        <w:rPr>
          <w:szCs w:val="24"/>
        </w:rPr>
        <w:fldChar w:fldCharType="begin"/>
      </w:r>
      <w:r w:rsidR="00CB62E9" w:rsidRPr="000F582A">
        <w:rPr>
          <w:szCs w:val="24"/>
        </w:rPr>
        <w:instrText xml:space="preserve"> ADDIN ZOTERO_ITEM CSL_CITATION {"citationID":"eCoO48yI","properties":{"formattedCitation":"[7]","plainCitation":"[7]","noteIndex":0},"citationItems":[{"id":91161,"uris":["http://zotero.org/groups/4742804/items/7VSERANA"],"itemData":{"id":91161,"type":"webpage","title":"Юношеский артрит с системным началом. Клинические рекомендации","URL":"https://aspirre-russia.ru/upload/medialibrary/ddb/%D0%9A%D0%A0%20%D1%81%D0%AE%D0%98%D0%90_%D0%90%D0%94%D0%A0.pdf"}}],"schema":"https://github.com/citation-style-language/schema/raw/master/csl-citation.json"} </w:instrText>
      </w:r>
      <w:r w:rsidR="003C5B24" w:rsidRPr="000F582A">
        <w:rPr>
          <w:szCs w:val="24"/>
        </w:rPr>
        <w:fldChar w:fldCharType="separate"/>
      </w:r>
      <w:r w:rsidR="003C5B24" w:rsidRPr="000F582A">
        <w:rPr>
          <w:rFonts w:cs="Times New Roman"/>
          <w:szCs w:val="24"/>
        </w:rPr>
        <w:t>[7]</w:t>
      </w:r>
      <w:r w:rsidR="003C5B24" w:rsidRPr="000F582A">
        <w:rPr>
          <w:szCs w:val="24"/>
        </w:rPr>
        <w:fldChar w:fldCharType="end"/>
      </w:r>
      <w:r w:rsidR="003C5B24" w:rsidRPr="000F582A">
        <w:rPr>
          <w:szCs w:val="24"/>
        </w:rPr>
        <w:t>.</w:t>
      </w:r>
    </w:p>
    <w:p w14:paraId="2DEC230A" w14:textId="0B5D346E" w:rsidR="00A475DA" w:rsidRPr="000F582A" w:rsidRDefault="00495A04" w:rsidP="00495A04">
      <w:pPr>
        <w:pStyle w:val="3"/>
        <w:numPr>
          <w:ilvl w:val="0"/>
          <w:numId w:val="0"/>
        </w:numPr>
        <w:ind w:left="720" w:hanging="720"/>
      </w:pPr>
      <w:bookmarkStart w:id="39" w:name="_Toc115421011"/>
      <w:bookmarkStart w:id="40" w:name="_Toc121592541"/>
      <w:r>
        <w:t xml:space="preserve">1.7.3. </w:t>
      </w:r>
      <w:r w:rsidR="00A475DA" w:rsidRPr="000F582A">
        <w:t>Вводная информация по исследуемой терапии</w:t>
      </w:r>
      <w:bookmarkEnd w:id="39"/>
      <w:bookmarkEnd w:id="40"/>
    </w:p>
    <w:p w14:paraId="02F78525" w14:textId="77777777" w:rsidR="00DA4C45" w:rsidRDefault="00DA4C45" w:rsidP="000F582A">
      <w:pPr>
        <w:pStyle w:val="SDText"/>
        <w:contextualSpacing/>
        <w:rPr>
          <w:szCs w:val="24"/>
        </w:rPr>
      </w:pPr>
    </w:p>
    <w:p w14:paraId="03B3054D" w14:textId="49D96BDF" w:rsidR="00A20E58" w:rsidRPr="000F582A" w:rsidRDefault="00A73A8D" w:rsidP="000F582A">
      <w:pPr>
        <w:pStyle w:val="SDText"/>
        <w:contextualSpacing/>
        <w:rPr>
          <w:szCs w:val="24"/>
        </w:rPr>
      </w:pPr>
      <w:r w:rsidRPr="000F582A">
        <w:rPr>
          <w:szCs w:val="24"/>
        </w:rPr>
        <w:t xml:space="preserve">Тофацитиниб является мощным селективным ингибитором янускиназы </w:t>
      </w:r>
      <w:r w:rsidR="004F6837" w:rsidRPr="000F582A">
        <w:rPr>
          <w:szCs w:val="24"/>
        </w:rPr>
        <w:t>(Janus kinase, JAK)</w:t>
      </w:r>
      <w:r w:rsidRPr="000F582A">
        <w:rPr>
          <w:szCs w:val="24"/>
        </w:rPr>
        <w:t xml:space="preserve">, который преимущественно ингибирует </w:t>
      </w:r>
      <w:r w:rsidRPr="000F582A">
        <w:rPr>
          <w:szCs w:val="24"/>
          <w:lang w:val="en-US"/>
        </w:rPr>
        <w:t>JAK</w:t>
      </w:r>
      <w:r w:rsidRPr="000F582A">
        <w:rPr>
          <w:szCs w:val="24"/>
        </w:rPr>
        <w:t xml:space="preserve">1 и </w:t>
      </w:r>
      <w:r w:rsidR="004F6837" w:rsidRPr="000F582A">
        <w:rPr>
          <w:szCs w:val="24"/>
          <w:lang w:val="en-US"/>
        </w:rPr>
        <w:t>JAK</w:t>
      </w:r>
      <w:r w:rsidRPr="000F582A">
        <w:rPr>
          <w:szCs w:val="24"/>
        </w:rPr>
        <w:t xml:space="preserve">3. </w:t>
      </w:r>
      <w:r w:rsidR="00A20E58" w:rsidRPr="000F582A">
        <w:rPr>
          <w:szCs w:val="24"/>
        </w:rPr>
        <w:t xml:space="preserve">Первый ингибитор JAK </w:t>
      </w:r>
      <w:r w:rsidR="00114CC7" w:rsidRPr="000F582A">
        <w:rPr>
          <w:szCs w:val="24"/>
        </w:rPr>
        <w:t>тофацитиниб</w:t>
      </w:r>
      <w:r w:rsidR="00A20E58" w:rsidRPr="000F582A">
        <w:rPr>
          <w:szCs w:val="24"/>
        </w:rPr>
        <w:t xml:space="preserve"> (Я</w:t>
      </w:r>
      <w:r w:rsidR="00371C40" w:rsidRPr="000F582A">
        <w:rPr>
          <w:szCs w:val="24"/>
        </w:rPr>
        <w:t>квинус</w:t>
      </w:r>
      <w:r w:rsidR="00A20E58" w:rsidRPr="000F582A">
        <w:rPr>
          <w:szCs w:val="24"/>
          <w:vertAlign w:val="superscript"/>
        </w:rPr>
        <w:t>®</w:t>
      </w:r>
      <w:r w:rsidR="00A20E58" w:rsidRPr="000F582A">
        <w:rPr>
          <w:szCs w:val="24"/>
        </w:rPr>
        <w:t xml:space="preserve">) был одобрен </w:t>
      </w:r>
      <w:r w:rsidR="00D177AA" w:rsidRPr="000F582A">
        <w:rPr>
          <w:szCs w:val="24"/>
        </w:rPr>
        <w:t xml:space="preserve">Управлением по санитарному надзору за качеством пищевых продуктов и медикаментов США (Food and Drug Administration, </w:t>
      </w:r>
      <w:r w:rsidR="00D177AA" w:rsidRPr="000F582A">
        <w:rPr>
          <w:szCs w:val="24"/>
          <w:lang w:val="en-US"/>
        </w:rPr>
        <w:t>FDA</w:t>
      </w:r>
      <w:r w:rsidR="00D177AA" w:rsidRPr="000F582A">
        <w:rPr>
          <w:szCs w:val="24"/>
        </w:rPr>
        <w:t xml:space="preserve">) </w:t>
      </w:r>
      <w:r w:rsidR="00A20E58" w:rsidRPr="000F582A">
        <w:rPr>
          <w:szCs w:val="24"/>
        </w:rPr>
        <w:t>в 20</w:t>
      </w:r>
      <w:r w:rsidR="00423DB9" w:rsidRPr="000F582A">
        <w:rPr>
          <w:szCs w:val="24"/>
        </w:rPr>
        <w:t>12</w:t>
      </w:r>
      <w:r w:rsidR="00A20E58" w:rsidRPr="000F582A">
        <w:rPr>
          <w:szCs w:val="24"/>
        </w:rPr>
        <w:t xml:space="preserve"> г</w:t>
      </w:r>
      <w:r w:rsidR="00DA1E19" w:rsidRPr="000F582A">
        <w:rPr>
          <w:szCs w:val="24"/>
        </w:rPr>
        <w:t>.</w:t>
      </w:r>
      <w:r w:rsidR="00585509" w:rsidRPr="000F582A">
        <w:rPr>
          <w:szCs w:val="24"/>
        </w:rPr>
        <w:t xml:space="preserve"> </w:t>
      </w:r>
      <w:r w:rsidR="00585509" w:rsidRPr="000F582A">
        <w:rPr>
          <w:szCs w:val="24"/>
        </w:rPr>
        <w:fldChar w:fldCharType="begin"/>
      </w:r>
      <w:r w:rsidR="00044A89" w:rsidRPr="000F582A">
        <w:rPr>
          <w:szCs w:val="24"/>
        </w:rPr>
        <w:instrText xml:space="preserve"> ADDIN ZOTERO_ITEM CSL_CITATION {"citationID":"GexY8TCT","properties":{"formattedCitation":"[8]","plainCitation":"[8]","noteIndex":0},"citationItems":[{"id":89987,"uris":["http://zotero.org/groups/4742804/items/N94AM2JG"],"itemData":{"id":89987,"type":"webpage","abstract":"Easy-to-read patient leaflet for Tofacitinib Tablets. Includes indications, proper use, special instructions, precautions, and possible side effects.","container-title":"Drugs.com","language":"en","title":"Tofacitinib Tablets: Indications, Side Effects, Warnings","title-short":"Tofacitinib Tablets","URL":"https://www.drugs.com/cdi/tofacitinib-tablets.html","accessed":{"date-parts":[["2022",9,19]]}}}],"schema":"https://github.com/citation-style-language/schema/raw/master/csl-citation.json"} </w:instrText>
      </w:r>
      <w:r w:rsidR="00585509" w:rsidRPr="000F582A">
        <w:rPr>
          <w:szCs w:val="24"/>
        </w:rPr>
        <w:fldChar w:fldCharType="separate"/>
      </w:r>
      <w:r w:rsidR="00044A89" w:rsidRPr="000F582A">
        <w:rPr>
          <w:rFonts w:cs="Times New Roman"/>
          <w:szCs w:val="24"/>
        </w:rPr>
        <w:t>[8]</w:t>
      </w:r>
      <w:r w:rsidR="00585509" w:rsidRPr="000F582A">
        <w:rPr>
          <w:szCs w:val="24"/>
        </w:rPr>
        <w:fldChar w:fldCharType="end"/>
      </w:r>
      <w:r w:rsidR="00A20E58" w:rsidRPr="000F582A">
        <w:rPr>
          <w:szCs w:val="24"/>
        </w:rPr>
        <w:t xml:space="preserve">. В России препарат был зарегистрирован в </w:t>
      </w:r>
      <w:r w:rsidR="00B26099" w:rsidRPr="000F582A">
        <w:rPr>
          <w:szCs w:val="24"/>
        </w:rPr>
        <w:t>2013 г</w:t>
      </w:r>
      <w:r w:rsidR="00DA1E19" w:rsidRPr="000F582A">
        <w:rPr>
          <w:szCs w:val="24"/>
        </w:rPr>
        <w:t>.</w:t>
      </w:r>
      <w:r w:rsidR="00B26099" w:rsidRPr="000F582A">
        <w:rPr>
          <w:szCs w:val="24"/>
        </w:rPr>
        <w:t xml:space="preserve"> (таблетки, покрытые пленочной оболочкой) и в </w:t>
      </w:r>
      <w:r w:rsidR="00A20E58" w:rsidRPr="000F582A">
        <w:rPr>
          <w:szCs w:val="24"/>
        </w:rPr>
        <w:t>20</w:t>
      </w:r>
      <w:r w:rsidR="00995248" w:rsidRPr="000F582A">
        <w:rPr>
          <w:szCs w:val="24"/>
        </w:rPr>
        <w:t>21</w:t>
      </w:r>
      <w:r w:rsidR="00A20E58" w:rsidRPr="000F582A">
        <w:rPr>
          <w:szCs w:val="24"/>
        </w:rPr>
        <w:t xml:space="preserve"> г</w:t>
      </w:r>
      <w:r w:rsidR="00DA1E19" w:rsidRPr="000F582A">
        <w:rPr>
          <w:szCs w:val="24"/>
        </w:rPr>
        <w:t>.</w:t>
      </w:r>
      <w:r w:rsidR="00B26099" w:rsidRPr="000F582A">
        <w:rPr>
          <w:szCs w:val="24"/>
        </w:rPr>
        <w:t xml:space="preserve"> (таблетки</w:t>
      </w:r>
      <w:r w:rsidR="00486914" w:rsidRPr="000F582A">
        <w:rPr>
          <w:szCs w:val="24"/>
        </w:rPr>
        <w:t xml:space="preserve"> с модифицированным высвобождением, покрытые пленочной оболочкой).</w:t>
      </w:r>
    </w:p>
    <w:p w14:paraId="56648354" w14:textId="2BA8EC50" w:rsidR="00B343AC" w:rsidRPr="000F582A" w:rsidRDefault="00A73A8D" w:rsidP="000F582A">
      <w:pPr>
        <w:pStyle w:val="SDText"/>
        <w:contextualSpacing/>
        <w:rPr>
          <w:szCs w:val="24"/>
        </w:rPr>
      </w:pPr>
      <w:r w:rsidRPr="000F582A">
        <w:rPr>
          <w:szCs w:val="24"/>
        </w:rPr>
        <w:t xml:space="preserve">В </w:t>
      </w:r>
      <w:r w:rsidR="004E5E60" w:rsidRPr="000F582A">
        <w:rPr>
          <w:szCs w:val="24"/>
        </w:rPr>
        <w:t>Европейском Союзе</w:t>
      </w:r>
      <w:r w:rsidRPr="000F582A">
        <w:rPr>
          <w:szCs w:val="24"/>
        </w:rPr>
        <w:t xml:space="preserve"> </w:t>
      </w:r>
      <w:r w:rsidR="00D53650" w:rsidRPr="000F582A">
        <w:rPr>
          <w:szCs w:val="24"/>
        </w:rPr>
        <w:t xml:space="preserve">(ЕС) </w:t>
      </w:r>
      <w:r w:rsidRPr="000F582A">
        <w:rPr>
          <w:szCs w:val="24"/>
        </w:rPr>
        <w:t xml:space="preserve">пероральный </w:t>
      </w:r>
      <w:r w:rsidR="004E5E60" w:rsidRPr="000F582A">
        <w:rPr>
          <w:szCs w:val="24"/>
        </w:rPr>
        <w:t xml:space="preserve">прием </w:t>
      </w:r>
      <w:r w:rsidRPr="000F582A">
        <w:rPr>
          <w:szCs w:val="24"/>
        </w:rPr>
        <w:t>тофацитиниб</w:t>
      </w:r>
      <w:r w:rsidR="004E5E60" w:rsidRPr="000F582A">
        <w:rPr>
          <w:szCs w:val="24"/>
        </w:rPr>
        <w:t>а</w:t>
      </w:r>
      <w:r w:rsidRPr="000F582A">
        <w:rPr>
          <w:szCs w:val="24"/>
        </w:rPr>
        <w:t xml:space="preserve"> в дозе 5 мг </w:t>
      </w:r>
      <w:r w:rsidR="004E5E60" w:rsidRPr="000F582A">
        <w:rPr>
          <w:szCs w:val="24"/>
        </w:rPr>
        <w:t>2</w:t>
      </w:r>
      <w:r w:rsidRPr="000F582A">
        <w:rPr>
          <w:szCs w:val="24"/>
        </w:rPr>
        <w:t xml:space="preserve"> раза в день</w:t>
      </w:r>
      <w:r w:rsidR="004E5E60" w:rsidRPr="000F582A">
        <w:rPr>
          <w:szCs w:val="24"/>
        </w:rPr>
        <w:t xml:space="preserve"> п</w:t>
      </w:r>
      <w:r w:rsidRPr="000F582A">
        <w:rPr>
          <w:szCs w:val="24"/>
        </w:rPr>
        <w:t>оказан для лечения активно</w:t>
      </w:r>
      <w:r w:rsidR="001B20B3" w:rsidRPr="000F582A">
        <w:rPr>
          <w:szCs w:val="24"/>
        </w:rPr>
        <w:t>го</w:t>
      </w:r>
      <w:r w:rsidRPr="000F582A">
        <w:rPr>
          <w:szCs w:val="24"/>
        </w:rPr>
        <w:t xml:space="preserve"> РА</w:t>
      </w:r>
      <w:r w:rsidR="001B20B3" w:rsidRPr="000F582A">
        <w:rPr>
          <w:szCs w:val="24"/>
        </w:rPr>
        <w:t xml:space="preserve"> средней или тяжелой степени тяжести</w:t>
      </w:r>
      <w:r w:rsidRPr="000F582A">
        <w:rPr>
          <w:szCs w:val="24"/>
        </w:rPr>
        <w:t xml:space="preserve"> у взрослых пациентов с неадекватн</w:t>
      </w:r>
      <w:r w:rsidR="00C85E50" w:rsidRPr="000F582A">
        <w:rPr>
          <w:szCs w:val="24"/>
        </w:rPr>
        <w:t>ым ответом</w:t>
      </w:r>
      <w:r w:rsidR="00DA1E19" w:rsidRPr="000F582A">
        <w:rPr>
          <w:szCs w:val="24"/>
        </w:rPr>
        <w:t>,</w:t>
      </w:r>
      <w:r w:rsidR="00C85E50" w:rsidRPr="000F582A">
        <w:rPr>
          <w:szCs w:val="24"/>
        </w:rPr>
        <w:t xml:space="preserve"> </w:t>
      </w:r>
      <w:r w:rsidRPr="000F582A">
        <w:rPr>
          <w:szCs w:val="24"/>
        </w:rPr>
        <w:t xml:space="preserve">или </w:t>
      </w:r>
      <w:r w:rsidR="00C85E50" w:rsidRPr="000F582A">
        <w:rPr>
          <w:szCs w:val="24"/>
        </w:rPr>
        <w:t>непереносимостью</w:t>
      </w:r>
      <w:r w:rsidRPr="000F582A">
        <w:rPr>
          <w:szCs w:val="24"/>
        </w:rPr>
        <w:t xml:space="preserve"> одно</w:t>
      </w:r>
      <w:r w:rsidR="00C85E50" w:rsidRPr="000F582A">
        <w:rPr>
          <w:szCs w:val="24"/>
        </w:rPr>
        <w:t>го</w:t>
      </w:r>
      <w:r w:rsidRPr="000F582A">
        <w:rPr>
          <w:szCs w:val="24"/>
        </w:rPr>
        <w:t xml:space="preserve"> или </w:t>
      </w:r>
      <w:r w:rsidR="005301B4" w:rsidRPr="000F582A">
        <w:rPr>
          <w:szCs w:val="24"/>
        </w:rPr>
        <w:t>нескольких</w:t>
      </w:r>
      <w:r w:rsidRPr="000F582A">
        <w:rPr>
          <w:szCs w:val="24"/>
        </w:rPr>
        <w:t xml:space="preserve"> </w:t>
      </w:r>
      <w:r w:rsidR="009C67D0" w:rsidRPr="000F582A">
        <w:rPr>
          <w:szCs w:val="24"/>
        </w:rPr>
        <w:t>болезньмодифицирующих антиревматических препаратов (</w:t>
      </w:r>
      <w:bookmarkStart w:id="41" w:name="_Hlk113277724"/>
      <w:r w:rsidR="0060257F" w:rsidRPr="000F582A">
        <w:rPr>
          <w:szCs w:val="24"/>
        </w:rPr>
        <w:t>БМАРП</w:t>
      </w:r>
      <w:bookmarkEnd w:id="41"/>
      <w:r w:rsidR="0060257F" w:rsidRPr="000F582A">
        <w:rPr>
          <w:szCs w:val="24"/>
        </w:rPr>
        <w:t>)</w:t>
      </w:r>
      <w:r w:rsidRPr="000F582A">
        <w:rPr>
          <w:szCs w:val="24"/>
        </w:rPr>
        <w:t xml:space="preserve">. </w:t>
      </w:r>
      <w:r w:rsidR="00FB380D" w:rsidRPr="000F582A">
        <w:rPr>
          <w:szCs w:val="24"/>
        </w:rPr>
        <w:t>В н</w:t>
      </w:r>
      <w:r w:rsidRPr="000F582A">
        <w:rPr>
          <w:szCs w:val="24"/>
        </w:rPr>
        <w:t>ескольк</w:t>
      </w:r>
      <w:r w:rsidR="00DA1E19" w:rsidRPr="000F582A">
        <w:rPr>
          <w:szCs w:val="24"/>
        </w:rPr>
        <w:t>их</w:t>
      </w:r>
      <w:r w:rsidRPr="000F582A">
        <w:rPr>
          <w:szCs w:val="24"/>
        </w:rPr>
        <w:t xml:space="preserve"> клинических исследовани</w:t>
      </w:r>
      <w:r w:rsidR="00DA1E19" w:rsidRPr="000F582A">
        <w:rPr>
          <w:szCs w:val="24"/>
        </w:rPr>
        <w:t>ях</w:t>
      </w:r>
      <w:r w:rsidRPr="000F582A">
        <w:rPr>
          <w:szCs w:val="24"/>
        </w:rPr>
        <w:t xml:space="preserve"> </w:t>
      </w:r>
      <w:r w:rsidR="00FB380D" w:rsidRPr="000F582A">
        <w:rPr>
          <w:szCs w:val="24"/>
        </w:rPr>
        <w:t xml:space="preserve">длительностью </w:t>
      </w:r>
      <w:r w:rsidR="00FB380D" w:rsidRPr="000F582A">
        <w:rPr>
          <w:rFonts w:cs="Times New Roman"/>
          <w:szCs w:val="24"/>
        </w:rPr>
        <w:t>≤</w:t>
      </w:r>
      <w:r w:rsidR="00FB380D" w:rsidRPr="000F582A">
        <w:rPr>
          <w:szCs w:val="24"/>
        </w:rPr>
        <w:t xml:space="preserve"> </w:t>
      </w:r>
      <w:r w:rsidRPr="000F582A">
        <w:rPr>
          <w:szCs w:val="24"/>
        </w:rPr>
        <w:t>24 мес</w:t>
      </w:r>
      <w:r w:rsidR="00FB380D" w:rsidRPr="000F582A">
        <w:rPr>
          <w:szCs w:val="24"/>
        </w:rPr>
        <w:t>.</w:t>
      </w:r>
      <w:r w:rsidRPr="000F582A">
        <w:rPr>
          <w:szCs w:val="24"/>
        </w:rPr>
        <w:t xml:space="preserve"> показал</w:t>
      </w:r>
      <w:r w:rsidR="00FB380D" w:rsidRPr="000F582A">
        <w:rPr>
          <w:szCs w:val="24"/>
        </w:rPr>
        <w:t>и</w:t>
      </w:r>
      <w:r w:rsidRPr="000F582A">
        <w:rPr>
          <w:szCs w:val="24"/>
        </w:rPr>
        <w:t xml:space="preserve">, что монотерапия тофацитинибом (в качестве </w:t>
      </w:r>
      <w:r w:rsidR="00FB380D" w:rsidRPr="000F582A">
        <w:rPr>
          <w:szCs w:val="24"/>
        </w:rPr>
        <w:t xml:space="preserve">терапии </w:t>
      </w:r>
      <w:r w:rsidRPr="000F582A">
        <w:rPr>
          <w:szCs w:val="24"/>
        </w:rPr>
        <w:t>первой или второй линии) и комбинированная терапия</w:t>
      </w:r>
      <w:r w:rsidR="0015598E" w:rsidRPr="000F582A">
        <w:rPr>
          <w:szCs w:val="24"/>
        </w:rPr>
        <w:t xml:space="preserve"> с</w:t>
      </w:r>
      <w:r w:rsidRPr="000F582A">
        <w:rPr>
          <w:szCs w:val="24"/>
        </w:rPr>
        <w:t xml:space="preserve"> с</w:t>
      </w:r>
      <w:r w:rsidR="00251428" w:rsidRPr="000F582A">
        <w:rPr>
          <w:szCs w:val="24"/>
        </w:rPr>
        <w:t>БМАРП (</w:t>
      </w:r>
      <w:r w:rsidRPr="000F582A">
        <w:rPr>
          <w:szCs w:val="24"/>
        </w:rPr>
        <w:t xml:space="preserve">в качестве </w:t>
      </w:r>
      <w:r w:rsidR="00251428" w:rsidRPr="000F582A">
        <w:rPr>
          <w:szCs w:val="24"/>
        </w:rPr>
        <w:t xml:space="preserve">терапии </w:t>
      </w:r>
      <w:r w:rsidRPr="000F582A">
        <w:rPr>
          <w:szCs w:val="24"/>
        </w:rPr>
        <w:t>вторично</w:t>
      </w:r>
      <w:r w:rsidR="00251428" w:rsidRPr="000F582A">
        <w:rPr>
          <w:szCs w:val="24"/>
        </w:rPr>
        <w:t>й или</w:t>
      </w:r>
      <w:r w:rsidRPr="000F582A">
        <w:rPr>
          <w:szCs w:val="24"/>
        </w:rPr>
        <w:t xml:space="preserve"> третьей линии) был</w:t>
      </w:r>
      <w:r w:rsidR="0015598E" w:rsidRPr="000F582A">
        <w:rPr>
          <w:szCs w:val="24"/>
        </w:rPr>
        <w:t>а</w:t>
      </w:r>
      <w:r w:rsidRPr="000F582A">
        <w:rPr>
          <w:szCs w:val="24"/>
        </w:rPr>
        <w:t xml:space="preserve"> эффектив</w:t>
      </w:r>
      <w:r w:rsidR="0015598E" w:rsidRPr="000F582A">
        <w:rPr>
          <w:szCs w:val="24"/>
        </w:rPr>
        <w:t>на</w:t>
      </w:r>
      <w:r w:rsidRPr="000F582A">
        <w:rPr>
          <w:szCs w:val="24"/>
        </w:rPr>
        <w:t xml:space="preserve"> в снижении </w:t>
      </w:r>
      <w:r w:rsidR="0015598E" w:rsidRPr="000F582A">
        <w:rPr>
          <w:szCs w:val="24"/>
        </w:rPr>
        <w:t xml:space="preserve">признаков и </w:t>
      </w:r>
      <w:r w:rsidRPr="000F582A">
        <w:rPr>
          <w:szCs w:val="24"/>
        </w:rPr>
        <w:t xml:space="preserve">симптомов </w:t>
      </w:r>
      <w:r w:rsidR="0015598E" w:rsidRPr="000F582A">
        <w:rPr>
          <w:szCs w:val="24"/>
        </w:rPr>
        <w:t>заболевания</w:t>
      </w:r>
      <w:r w:rsidR="00DA1E19" w:rsidRPr="000F582A">
        <w:rPr>
          <w:szCs w:val="24"/>
        </w:rPr>
        <w:t>,</w:t>
      </w:r>
      <w:r w:rsidRPr="000F582A">
        <w:rPr>
          <w:szCs w:val="24"/>
        </w:rPr>
        <w:t xml:space="preserve"> и улучшени</w:t>
      </w:r>
      <w:r w:rsidR="0015598E" w:rsidRPr="000F582A">
        <w:rPr>
          <w:szCs w:val="24"/>
        </w:rPr>
        <w:t>я</w:t>
      </w:r>
      <w:r w:rsidRPr="000F582A">
        <w:rPr>
          <w:szCs w:val="24"/>
        </w:rPr>
        <w:t xml:space="preserve"> качества</w:t>
      </w:r>
      <w:r w:rsidR="0015598E" w:rsidRPr="000F582A">
        <w:rPr>
          <w:szCs w:val="24"/>
        </w:rPr>
        <w:t xml:space="preserve"> жизни</w:t>
      </w:r>
      <w:r w:rsidRPr="000F582A">
        <w:rPr>
          <w:szCs w:val="24"/>
        </w:rPr>
        <w:t>, связанного со здоровьем (</w:t>
      </w:r>
      <w:r w:rsidR="002E27AB" w:rsidRPr="000F582A">
        <w:rPr>
          <w:szCs w:val="24"/>
        </w:rPr>
        <w:t xml:space="preserve">health-related quality of life, </w:t>
      </w:r>
      <w:r w:rsidRPr="000F582A">
        <w:rPr>
          <w:szCs w:val="24"/>
          <w:lang w:val="en-US"/>
        </w:rPr>
        <w:t>HR</w:t>
      </w:r>
      <w:r w:rsidRPr="000F582A">
        <w:rPr>
          <w:szCs w:val="24"/>
        </w:rPr>
        <w:t>-</w:t>
      </w:r>
      <w:r w:rsidRPr="000F582A">
        <w:rPr>
          <w:szCs w:val="24"/>
          <w:lang w:val="en-US"/>
        </w:rPr>
        <w:t>QOL</w:t>
      </w:r>
      <w:r w:rsidRPr="000F582A">
        <w:rPr>
          <w:szCs w:val="24"/>
        </w:rPr>
        <w:t>)</w:t>
      </w:r>
      <w:r w:rsidR="00DA1E19" w:rsidRPr="000F582A">
        <w:rPr>
          <w:szCs w:val="24"/>
        </w:rPr>
        <w:t>,</w:t>
      </w:r>
      <w:r w:rsidRPr="000F582A">
        <w:rPr>
          <w:szCs w:val="24"/>
        </w:rPr>
        <w:t xml:space="preserve"> с преимуществами, сохраняющимися в течение длительно</w:t>
      </w:r>
      <w:r w:rsidR="00EB13B8" w:rsidRPr="000F582A">
        <w:rPr>
          <w:szCs w:val="24"/>
        </w:rPr>
        <w:t>й</w:t>
      </w:r>
      <w:r w:rsidRPr="000F582A">
        <w:rPr>
          <w:szCs w:val="24"/>
        </w:rPr>
        <w:t xml:space="preserve"> терапи</w:t>
      </w:r>
      <w:r w:rsidR="00EB13B8" w:rsidRPr="000F582A">
        <w:rPr>
          <w:szCs w:val="24"/>
        </w:rPr>
        <w:t>и</w:t>
      </w:r>
      <w:r w:rsidRPr="000F582A">
        <w:rPr>
          <w:szCs w:val="24"/>
        </w:rPr>
        <w:t xml:space="preserve"> (</w:t>
      </w:r>
      <w:r w:rsidR="00EB13B8" w:rsidRPr="000F582A">
        <w:rPr>
          <w:rFonts w:cs="Times New Roman"/>
          <w:szCs w:val="24"/>
        </w:rPr>
        <w:t>≤</w:t>
      </w:r>
      <w:r w:rsidR="00EB13B8" w:rsidRPr="000F582A">
        <w:rPr>
          <w:szCs w:val="24"/>
        </w:rPr>
        <w:t xml:space="preserve"> </w:t>
      </w:r>
      <w:r w:rsidRPr="000F582A">
        <w:rPr>
          <w:szCs w:val="24"/>
        </w:rPr>
        <w:t>96 мес).</w:t>
      </w:r>
      <w:r w:rsidR="00884F07" w:rsidRPr="000F582A">
        <w:rPr>
          <w:szCs w:val="24"/>
        </w:rPr>
        <w:t xml:space="preserve"> </w:t>
      </w:r>
      <w:r w:rsidR="0063465C" w:rsidRPr="000F582A">
        <w:rPr>
          <w:szCs w:val="24"/>
        </w:rPr>
        <w:t>Монотерапи</w:t>
      </w:r>
      <w:r w:rsidR="0030441B" w:rsidRPr="000F582A">
        <w:rPr>
          <w:szCs w:val="24"/>
        </w:rPr>
        <w:t>я</w:t>
      </w:r>
      <w:r w:rsidR="0063465C" w:rsidRPr="000F582A">
        <w:rPr>
          <w:szCs w:val="24"/>
        </w:rPr>
        <w:t xml:space="preserve"> тофацитинибом и</w:t>
      </w:r>
      <w:r w:rsidR="00884F07" w:rsidRPr="000F582A">
        <w:rPr>
          <w:szCs w:val="24"/>
        </w:rPr>
        <w:t>нгибирова</w:t>
      </w:r>
      <w:r w:rsidR="0063465C" w:rsidRPr="000F582A">
        <w:rPr>
          <w:szCs w:val="24"/>
        </w:rPr>
        <w:t>ла</w:t>
      </w:r>
      <w:r w:rsidR="00884F07" w:rsidRPr="000F582A">
        <w:rPr>
          <w:szCs w:val="24"/>
        </w:rPr>
        <w:t xml:space="preserve"> прогрессировани</w:t>
      </w:r>
      <w:r w:rsidR="0063465C" w:rsidRPr="000F582A">
        <w:rPr>
          <w:szCs w:val="24"/>
        </w:rPr>
        <w:t>е</w:t>
      </w:r>
      <w:r w:rsidR="00884F07" w:rsidRPr="000F582A">
        <w:rPr>
          <w:szCs w:val="24"/>
        </w:rPr>
        <w:t xml:space="preserve"> структурн</w:t>
      </w:r>
      <w:r w:rsidR="00C035E5" w:rsidRPr="000F582A">
        <w:rPr>
          <w:szCs w:val="24"/>
        </w:rPr>
        <w:t>ых</w:t>
      </w:r>
      <w:r w:rsidR="00884F07" w:rsidRPr="000F582A">
        <w:rPr>
          <w:szCs w:val="24"/>
        </w:rPr>
        <w:t xml:space="preserve"> повреждени</w:t>
      </w:r>
      <w:r w:rsidR="00C035E5" w:rsidRPr="000F582A">
        <w:rPr>
          <w:szCs w:val="24"/>
        </w:rPr>
        <w:t>й</w:t>
      </w:r>
      <w:r w:rsidR="00884F07" w:rsidRPr="000F582A">
        <w:rPr>
          <w:szCs w:val="24"/>
        </w:rPr>
        <w:t xml:space="preserve"> у ранее не получавших метотрексат</w:t>
      </w:r>
      <w:r w:rsidR="00BF33BB" w:rsidRPr="000F582A">
        <w:rPr>
          <w:szCs w:val="24"/>
        </w:rPr>
        <w:t xml:space="preserve"> </w:t>
      </w:r>
      <w:r w:rsidR="00884F07" w:rsidRPr="000F582A">
        <w:rPr>
          <w:szCs w:val="24"/>
        </w:rPr>
        <w:t xml:space="preserve">пациентов в течение </w:t>
      </w:r>
      <w:r w:rsidR="0030441B" w:rsidRPr="000F582A">
        <w:rPr>
          <w:rFonts w:cs="Times New Roman"/>
          <w:szCs w:val="24"/>
        </w:rPr>
        <w:t>≤</w:t>
      </w:r>
      <w:r w:rsidR="0030441B" w:rsidRPr="000F582A">
        <w:rPr>
          <w:szCs w:val="24"/>
        </w:rPr>
        <w:t xml:space="preserve"> </w:t>
      </w:r>
      <w:r w:rsidR="00884F07" w:rsidRPr="000F582A">
        <w:rPr>
          <w:szCs w:val="24"/>
        </w:rPr>
        <w:t>24 мес</w:t>
      </w:r>
      <w:r w:rsidR="0030441B" w:rsidRPr="000F582A">
        <w:rPr>
          <w:szCs w:val="24"/>
        </w:rPr>
        <w:t>. лечения,</w:t>
      </w:r>
      <w:r w:rsidR="00884F07" w:rsidRPr="000F582A">
        <w:rPr>
          <w:szCs w:val="24"/>
        </w:rPr>
        <w:t xml:space="preserve"> благоприятны</w:t>
      </w:r>
      <w:r w:rsidR="007E0E89" w:rsidRPr="000F582A">
        <w:rPr>
          <w:szCs w:val="24"/>
        </w:rPr>
        <w:t>е</w:t>
      </w:r>
      <w:r w:rsidR="00BF33BB" w:rsidRPr="000F582A">
        <w:rPr>
          <w:szCs w:val="24"/>
        </w:rPr>
        <w:t xml:space="preserve"> </w:t>
      </w:r>
      <w:r w:rsidR="00884F07" w:rsidRPr="000F582A">
        <w:rPr>
          <w:szCs w:val="24"/>
        </w:rPr>
        <w:t xml:space="preserve">эффекты также наблюдались у пациентов, получавших </w:t>
      </w:r>
      <w:r w:rsidR="007E0E89" w:rsidRPr="000F582A">
        <w:rPr>
          <w:szCs w:val="24"/>
        </w:rPr>
        <w:t xml:space="preserve">комбинацию </w:t>
      </w:r>
      <w:r w:rsidR="00884F07" w:rsidRPr="000F582A">
        <w:rPr>
          <w:szCs w:val="24"/>
        </w:rPr>
        <w:t>тофацитиниб</w:t>
      </w:r>
      <w:r w:rsidR="007E0E89" w:rsidRPr="000F582A">
        <w:rPr>
          <w:szCs w:val="24"/>
        </w:rPr>
        <w:t>а</w:t>
      </w:r>
      <w:r w:rsidR="00884F07" w:rsidRPr="000F582A">
        <w:rPr>
          <w:szCs w:val="24"/>
        </w:rPr>
        <w:t xml:space="preserve"> </w:t>
      </w:r>
      <w:r w:rsidR="007E0E89" w:rsidRPr="000F582A">
        <w:rPr>
          <w:szCs w:val="24"/>
        </w:rPr>
        <w:t>и</w:t>
      </w:r>
      <w:r w:rsidR="00BF33BB" w:rsidRPr="000F582A">
        <w:rPr>
          <w:szCs w:val="24"/>
        </w:rPr>
        <w:t xml:space="preserve"> </w:t>
      </w:r>
      <w:r w:rsidR="00884F07" w:rsidRPr="000F582A">
        <w:rPr>
          <w:szCs w:val="24"/>
        </w:rPr>
        <w:t>метотрексат</w:t>
      </w:r>
      <w:r w:rsidR="007E0E89" w:rsidRPr="000F582A">
        <w:rPr>
          <w:szCs w:val="24"/>
        </w:rPr>
        <w:t>а</w:t>
      </w:r>
      <w:r w:rsidR="00884F07" w:rsidRPr="000F582A">
        <w:rPr>
          <w:szCs w:val="24"/>
        </w:rPr>
        <w:t xml:space="preserve"> в качестве терапии второй линии в течение 12 мес.</w:t>
      </w:r>
      <w:r w:rsidR="00BF33BB" w:rsidRPr="000F582A">
        <w:rPr>
          <w:szCs w:val="24"/>
        </w:rPr>
        <w:t xml:space="preserve"> </w:t>
      </w:r>
      <w:r w:rsidR="007E0E89" w:rsidRPr="000F582A">
        <w:rPr>
          <w:szCs w:val="24"/>
        </w:rPr>
        <w:t>В целом пациенты хорошо переносили лечение т</w:t>
      </w:r>
      <w:r w:rsidR="00884F07" w:rsidRPr="000F582A">
        <w:rPr>
          <w:szCs w:val="24"/>
        </w:rPr>
        <w:t>офацитиниб</w:t>
      </w:r>
      <w:r w:rsidR="007E0E89" w:rsidRPr="000F582A">
        <w:rPr>
          <w:szCs w:val="24"/>
        </w:rPr>
        <w:t>ом</w:t>
      </w:r>
      <w:r w:rsidR="00B01903" w:rsidRPr="000F582A">
        <w:rPr>
          <w:szCs w:val="24"/>
        </w:rPr>
        <w:t xml:space="preserve"> в течение </w:t>
      </w:r>
      <w:r w:rsidR="00B01903" w:rsidRPr="000F582A">
        <w:rPr>
          <w:rFonts w:cs="Times New Roman"/>
          <w:szCs w:val="24"/>
        </w:rPr>
        <w:t>≤</w:t>
      </w:r>
      <w:r w:rsidR="00B01903" w:rsidRPr="000F582A">
        <w:rPr>
          <w:szCs w:val="24"/>
        </w:rPr>
        <w:t xml:space="preserve"> </w:t>
      </w:r>
      <w:r w:rsidR="00884F07" w:rsidRPr="000F582A">
        <w:rPr>
          <w:szCs w:val="24"/>
        </w:rPr>
        <w:t>114 мес</w:t>
      </w:r>
      <w:r w:rsidR="00B01903" w:rsidRPr="000F582A">
        <w:rPr>
          <w:szCs w:val="24"/>
        </w:rPr>
        <w:t>.</w:t>
      </w:r>
      <w:r w:rsidR="00884F07" w:rsidRPr="000F582A">
        <w:rPr>
          <w:szCs w:val="24"/>
        </w:rPr>
        <w:t xml:space="preserve">, большинство нежелательных явлений </w:t>
      </w:r>
      <w:r w:rsidR="00C035E5" w:rsidRPr="000F582A">
        <w:rPr>
          <w:szCs w:val="24"/>
        </w:rPr>
        <w:t xml:space="preserve">(НЯ) </w:t>
      </w:r>
      <w:r w:rsidR="0068398A" w:rsidRPr="000F582A">
        <w:rPr>
          <w:szCs w:val="24"/>
        </w:rPr>
        <w:t xml:space="preserve">были </w:t>
      </w:r>
      <w:r w:rsidR="00884F07" w:rsidRPr="000F582A">
        <w:rPr>
          <w:szCs w:val="24"/>
        </w:rPr>
        <w:t xml:space="preserve">легкой </w:t>
      </w:r>
      <w:r w:rsidR="0068398A" w:rsidRPr="000F582A">
        <w:rPr>
          <w:szCs w:val="24"/>
        </w:rPr>
        <w:t xml:space="preserve">или средней </w:t>
      </w:r>
      <w:r w:rsidR="00884F07" w:rsidRPr="000F582A">
        <w:rPr>
          <w:szCs w:val="24"/>
        </w:rPr>
        <w:t>степени тяжести. Профиль переносимости тофацитиниба</w:t>
      </w:r>
      <w:r w:rsidR="00BF33BB" w:rsidRPr="000F582A">
        <w:rPr>
          <w:szCs w:val="24"/>
        </w:rPr>
        <w:t xml:space="preserve"> </w:t>
      </w:r>
      <w:r w:rsidR="00884F07" w:rsidRPr="000F582A">
        <w:rPr>
          <w:szCs w:val="24"/>
        </w:rPr>
        <w:t xml:space="preserve">в целом был аналогичен таковому у биологических </w:t>
      </w:r>
      <w:r w:rsidR="0081733E" w:rsidRPr="000F582A">
        <w:rPr>
          <w:szCs w:val="24"/>
        </w:rPr>
        <w:t>БМАРП</w:t>
      </w:r>
      <w:r w:rsidR="00884F07" w:rsidRPr="000F582A">
        <w:rPr>
          <w:szCs w:val="24"/>
        </w:rPr>
        <w:t xml:space="preserve">, </w:t>
      </w:r>
      <w:r w:rsidR="00B14563" w:rsidRPr="000F582A">
        <w:rPr>
          <w:szCs w:val="24"/>
        </w:rPr>
        <w:t xml:space="preserve">у пациентов, получавших </w:t>
      </w:r>
      <w:r w:rsidR="00FD30DD" w:rsidRPr="000F582A">
        <w:rPr>
          <w:szCs w:val="24"/>
        </w:rPr>
        <w:t>тофацитиниб</w:t>
      </w:r>
      <w:r w:rsidR="003611FF" w:rsidRPr="000F582A">
        <w:rPr>
          <w:szCs w:val="24"/>
        </w:rPr>
        <w:t>,</w:t>
      </w:r>
      <w:r w:rsidR="00FD30DD" w:rsidRPr="000F582A">
        <w:rPr>
          <w:szCs w:val="24"/>
        </w:rPr>
        <w:t xml:space="preserve"> </w:t>
      </w:r>
      <w:r w:rsidR="00B14563" w:rsidRPr="000F582A">
        <w:rPr>
          <w:szCs w:val="24"/>
        </w:rPr>
        <w:t xml:space="preserve">наиболее частые </w:t>
      </w:r>
      <w:r w:rsidR="00D30E50" w:rsidRPr="000F582A">
        <w:rPr>
          <w:szCs w:val="24"/>
        </w:rPr>
        <w:t>НЯ относ</w:t>
      </w:r>
      <w:r w:rsidR="00FD30DD" w:rsidRPr="000F582A">
        <w:rPr>
          <w:szCs w:val="24"/>
        </w:rPr>
        <w:t>ились</w:t>
      </w:r>
      <w:r w:rsidR="00D30E50" w:rsidRPr="000F582A">
        <w:rPr>
          <w:szCs w:val="24"/>
        </w:rPr>
        <w:t xml:space="preserve"> к </w:t>
      </w:r>
      <w:r w:rsidR="00884F07" w:rsidRPr="000F582A">
        <w:rPr>
          <w:szCs w:val="24"/>
        </w:rPr>
        <w:t>инфекциям и инвазиям</w:t>
      </w:r>
      <w:r w:rsidR="00672D23" w:rsidRPr="000F582A">
        <w:rPr>
          <w:szCs w:val="24"/>
        </w:rPr>
        <w:t xml:space="preserve">. Однако заболеваемость опоясывающим </w:t>
      </w:r>
      <w:r w:rsidR="00502CCC" w:rsidRPr="000F582A">
        <w:rPr>
          <w:szCs w:val="24"/>
        </w:rPr>
        <w:t>лишаем</w:t>
      </w:r>
      <w:r w:rsidR="00672D23" w:rsidRPr="000F582A">
        <w:rPr>
          <w:szCs w:val="24"/>
        </w:rPr>
        <w:t xml:space="preserve"> была выше </w:t>
      </w:r>
      <w:r w:rsidR="00502CCC" w:rsidRPr="000F582A">
        <w:rPr>
          <w:szCs w:val="24"/>
        </w:rPr>
        <w:t>у па</w:t>
      </w:r>
      <w:r w:rsidR="00FD30DD" w:rsidRPr="000F582A">
        <w:rPr>
          <w:szCs w:val="24"/>
        </w:rPr>
        <w:t>ци</w:t>
      </w:r>
      <w:r w:rsidR="00502CCC" w:rsidRPr="000F582A">
        <w:rPr>
          <w:szCs w:val="24"/>
        </w:rPr>
        <w:t>ентов, получавших</w:t>
      </w:r>
      <w:r w:rsidR="00672D23" w:rsidRPr="000F582A">
        <w:rPr>
          <w:szCs w:val="24"/>
        </w:rPr>
        <w:t xml:space="preserve"> тофацитиниб, чем в общей популяции </w:t>
      </w:r>
      <w:r w:rsidR="00FD30DD" w:rsidRPr="000F582A">
        <w:rPr>
          <w:szCs w:val="24"/>
        </w:rPr>
        <w:t xml:space="preserve">больных </w:t>
      </w:r>
      <w:r w:rsidR="00672D23" w:rsidRPr="000F582A">
        <w:rPr>
          <w:szCs w:val="24"/>
        </w:rPr>
        <w:t xml:space="preserve">РА, хотя инфекции были клинически управляемыми. </w:t>
      </w:r>
      <w:r w:rsidR="00A1107B" w:rsidRPr="000F582A">
        <w:rPr>
          <w:szCs w:val="24"/>
        </w:rPr>
        <w:t>Тофацитиниб, д</w:t>
      </w:r>
      <w:r w:rsidR="00672D23" w:rsidRPr="000F582A">
        <w:rPr>
          <w:szCs w:val="24"/>
        </w:rPr>
        <w:t>обавленный к фоново</w:t>
      </w:r>
      <w:r w:rsidR="00A1107B" w:rsidRPr="000F582A">
        <w:rPr>
          <w:szCs w:val="24"/>
        </w:rPr>
        <w:t>й терапии</w:t>
      </w:r>
      <w:r w:rsidR="00672D23" w:rsidRPr="000F582A">
        <w:rPr>
          <w:szCs w:val="24"/>
        </w:rPr>
        <w:t xml:space="preserve"> метотрексат</w:t>
      </w:r>
      <w:r w:rsidR="00A1107B" w:rsidRPr="000F582A">
        <w:rPr>
          <w:szCs w:val="24"/>
        </w:rPr>
        <w:t>ом</w:t>
      </w:r>
      <w:r w:rsidR="0001758E" w:rsidRPr="000F582A">
        <w:rPr>
          <w:szCs w:val="24"/>
        </w:rPr>
        <w:t>,</w:t>
      </w:r>
      <w:r w:rsidR="00672D23" w:rsidRPr="000F582A">
        <w:rPr>
          <w:szCs w:val="24"/>
        </w:rPr>
        <w:t xml:space="preserve"> не уступал</w:t>
      </w:r>
      <w:r w:rsidR="0001589C" w:rsidRPr="000F582A">
        <w:rPr>
          <w:szCs w:val="24"/>
        </w:rPr>
        <w:t xml:space="preserve"> </w:t>
      </w:r>
      <w:r w:rsidR="00672D23" w:rsidRPr="000F582A">
        <w:rPr>
          <w:szCs w:val="24"/>
        </w:rPr>
        <w:t xml:space="preserve">адалимумабу с точки зрения </w:t>
      </w:r>
      <w:r w:rsidR="00672D23" w:rsidRPr="000F582A">
        <w:rPr>
          <w:szCs w:val="24"/>
        </w:rPr>
        <w:lastRenderedPageBreak/>
        <w:t>эффективности, и обе комбинации имели в целом схо</w:t>
      </w:r>
      <w:r w:rsidR="00E47C8F" w:rsidRPr="000F582A">
        <w:rPr>
          <w:szCs w:val="24"/>
        </w:rPr>
        <w:t>дный профиль</w:t>
      </w:r>
      <w:r w:rsidR="00672D23" w:rsidRPr="000F582A">
        <w:rPr>
          <w:szCs w:val="24"/>
        </w:rPr>
        <w:t xml:space="preserve"> переносимост</w:t>
      </w:r>
      <w:r w:rsidR="00E47C8F" w:rsidRPr="000F582A">
        <w:rPr>
          <w:szCs w:val="24"/>
        </w:rPr>
        <w:t>и</w:t>
      </w:r>
      <w:r w:rsidR="00672D23" w:rsidRPr="000F582A">
        <w:rPr>
          <w:szCs w:val="24"/>
        </w:rPr>
        <w:t xml:space="preserve">. Хотя </w:t>
      </w:r>
      <w:r w:rsidR="00F252EF" w:rsidRPr="000F582A">
        <w:rPr>
          <w:szCs w:val="24"/>
        </w:rPr>
        <w:t>для более определенной оценки положения тофацитиниба относительно биологических БМАРП и других т</w:t>
      </w:r>
      <w:r w:rsidR="00F3271B" w:rsidRPr="000F582A">
        <w:rPr>
          <w:szCs w:val="24"/>
        </w:rPr>
        <w:t>с</w:t>
      </w:r>
      <w:r w:rsidR="00F252EF" w:rsidRPr="000F582A">
        <w:rPr>
          <w:szCs w:val="24"/>
        </w:rPr>
        <w:t xml:space="preserve">БМАРП </w:t>
      </w:r>
      <w:r w:rsidR="00672D23" w:rsidRPr="000F582A">
        <w:rPr>
          <w:szCs w:val="24"/>
        </w:rPr>
        <w:t>необходимы дополнительные сравнительные исследования, современные данные указывают на то, что пероральный</w:t>
      </w:r>
      <w:r w:rsidR="001822A1" w:rsidRPr="000F582A">
        <w:rPr>
          <w:szCs w:val="24"/>
        </w:rPr>
        <w:t xml:space="preserve"> прием</w:t>
      </w:r>
      <w:r w:rsidR="00672D23" w:rsidRPr="000F582A">
        <w:rPr>
          <w:szCs w:val="24"/>
        </w:rPr>
        <w:t xml:space="preserve"> тофацитиниб</w:t>
      </w:r>
      <w:r w:rsidR="00F252EF" w:rsidRPr="000F582A">
        <w:rPr>
          <w:szCs w:val="24"/>
        </w:rPr>
        <w:t>а</w:t>
      </w:r>
      <w:r w:rsidR="00672D23" w:rsidRPr="000F582A">
        <w:rPr>
          <w:szCs w:val="24"/>
        </w:rPr>
        <w:t xml:space="preserve"> является полезным вариантом </w:t>
      </w:r>
      <w:r w:rsidR="00F252EF" w:rsidRPr="000F582A">
        <w:rPr>
          <w:szCs w:val="24"/>
        </w:rPr>
        <w:t xml:space="preserve">в </w:t>
      </w:r>
      <w:r w:rsidR="00672D23" w:rsidRPr="000F582A">
        <w:rPr>
          <w:szCs w:val="24"/>
        </w:rPr>
        <w:t>лечени</w:t>
      </w:r>
      <w:r w:rsidR="00F252EF" w:rsidRPr="000F582A">
        <w:rPr>
          <w:szCs w:val="24"/>
        </w:rPr>
        <w:t>и</w:t>
      </w:r>
      <w:r w:rsidR="00672D23" w:rsidRPr="000F582A">
        <w:rPr>
          <w:szCs w:val="24"/>
        </w:rPr>
        <w:t xml:space="preserve"> больных РА </w:t>
      </w:r>
      <w:r w:rsidR="00AD22B8" w:rsidRPr="000F582A">
        <w:rPr>
          <w:szCs w:val="24"/>
        </w:rPr>
        <w:fldChar w:fldCharType="begin"/>
      </w:r>
      <w:r w:rsidR="00044A89" w:rsidRPr="000F582A">
        <w:rPr>
          <w:szCs w:val="24"/>
        </w:rPr>
        <w:instrText xml:space="preserve"> ADDIN ZOTERO_ITEM CSL_CITATION {"citationID":"G4G4ohTt","properties":{"formattedCitation":"[9]","plainCitation":"[9]","noteIndex":0},"citationItems":[{"id":87793,"uris":["http://zotero.org/groups/4742804/items/3MDKCR48"],"itemData":{"id":87793,"type":"article-journal","abstract":"Tofacitinib (Xeljanz®) is a potent, selective JAK inhibitor that preferentially inhibits Janus kinase (JAK) 1 and JAK3. In the EU, oral tofacitinib 5 mg twice daily is indicated for the treatment of moderate to severe active rheumatoid arthritis (RA) in adult patients who have responded inadequately to, or who are intolerant of, one or more DMARDs. Several clinical studies of ≤ 24 months’ duration showed that tofacitinib monotherapy (as first- or second-line treatment) and combination therapy with a conventional synthetic DMARD (csDMARD; as second- or third-line treatment) was effective in reducing signs and symptoms of disease and improving health-related quality of life (HR-QOL), with benefits sustained during long-term therapy (≤ 96 months). Tofacitinib monotherapy inhibited progression of structural damage in methotrexate-naïve patients during ≤ 24 months’ treatment, with beneficial effects also seen in patients receiving tofacitinib plus methotrexate as second-line therapy for 12 months. Tofacitinib was generally well tolerated during ≤ 114 months’ treatment, with most adverse events of mild or moderate severity. The tolerability profile of tofacitinib was generally similar to that of biological DMARDs (bDMARDs), with infections and infestations the most common adverse events (AEs) in tofacitinib recipients. However, the incidence of herpes zoster (HZ) was higher with tofacitinib than in the general RA population, although infections were clinically manageable. When added to background methotrexate, tofacitinib was noninferior to adalimumab in terms of efficacy, and both combination therapies had generally similar tolerability profiles. Although additional comparative studies are needed to more definitively position tofacitinib relative to bDMARDs and other targeted synthetic DMARDs, current evidence indicates that oral tofacitinib is a useful option for the treatment of patients with RA.","container-title":"Drugs","DOI":"10.1007/s40265-017-0835-9","ISSN":"1179-1950","issue":"18","journalAbbreviation":"Drugs","language":"en","page":"1987-2001","source":"Springer Link","title":"Tofacitinib: A review in rheumatoid arthritis","title-short":"Tofacitinib","volume":"77","author":[{"family":"Dhillon","given":"Sohita"}],"issued":{"date-parts":[["2017",12,1]]}}}],"schema":"https://github.com/citation-style-language/schema/raw/master/csl-citation.json"} </w:instrText>
      </w:r>
      <w:r w:rsidR="00AD22B8" w:rsidRPr="000F582A">
        <w:rPr>
          <w:szCs w:val="24"/>
        </w:rPr>
        <w:fldChar w:fldCharType="separate"/>
      </w:r>
      <w:r w:rsidR="00044A89" w:rsidRPr="000F582A">
        <w:rPr>
          <w:rFonts w:cs="Times New Roman"/>
          <w:szCs w:val="24"/>
        </w:rPr>
        <w:t>[9]</w:t>
      </w:r>
      <w:r w:rsidR="00AD22B8" w:rsidRPr="000F582A">
        <w:rPr>
          <w:szCs w:val="24"/>
        </w:rPr>
        <w:fldChar w:fldCharType="end"/>
      </w:r>
      <w:r w:rsidR="00F252EF" w:rsidRPr="000F582A">
        <w:rPr>
          <w:szCs w:val="24"/>
        </w:rPr>
        <w:t>.</w:t>
      </w:r>
    </w:p>
    <w:p w14:paraId="21D15077" w14:textId="2899D882" w:rsidR="00B343AC" w:rsidRPr="000F582A" w:rsidRDefault="00D53650" w:rsidP="000F582A">
      <w:pPr>
        <w:pStyle w:val="SDText"/>
        <w:contextualSpacing/>
        <w:rPr>
          <w:szCs w:val="24"/>
        </w:rPr>
      </w:pPr>
      <w:r w:rsidRPr="000F582A">
        <w:rPr>
          <w:szCs w:val="24"/>
        </w:rPr>
        <w:t xml:space="preserve">Тофацитиниб является первым ингибитором JAK, одобренным в дозе 5 мг 2 раза в день в ЕС и США для лечения активного псориатического артрита, </w:t>
      </w:r>
      <w:r w:rsidR="00962701" w:rsidRPr="000F582A">
        <w:rPr>
          <w:szCs w:val="24"/>
        </w:rPr>
        <w:t>в этих странах препарат</w:t>
      </w:r>
      <w:r w:rsidRPr="000F582A">
        <w:rPr>
          <w:szCs w:val="24"/>
        </w:rPr>
        <w:t xml:space="preserve"> в комбинации с метотрексатом</w:t>
      </w:r>
      <w:r w:rsidR="00962701" w:rsidRPr="000F582A">
        <w:rPr>
          <w:szCs w:val="24"/>
        </w:rPr>
        <w:t xml:space="preserve"> показан пациентам с</w:t>
      </w:r>
      <w:r w:rsidRPr="000F582A">
        <w:rPr>
          <w:szCs w:val="24"/>
        </w:rPr>
        <w:t xml:space="preserve"> неадекватны</w:t>
      </w:r>
      <w:r w:rsidR="00962701" w:rsidRPr="000F582A">
        <w:rPr>
          <w:szCs w:val="24"/>
        </w:rPr>
        <w:t>м</w:t>
      </w:r>
      <w:r w:rsidRPr="000F582A">
        <w:rPr>
          <w:szCs w:val="24"/>
        </w:rPr>
        <w:t xml:space="preserve"> ответ</w:t>
      </w:r>
      <w:r w:rsidR="00962701" w:rsidRPr="000F582A">
        <w:rPr>
          <w:szCs w:val="24"/>
        </w:rPr>
        <w:t>ом</w:t>
      </w:r>
      <w:r w:rsidRPr="000F582A">
        <w:rPr>
          <w:szCs w:val="24"/>
        </w:rPr>
        <w:t xml:space="preserve"> или непереносимость</w:t>
      </w:r>
      <w:r w:rsidR="00962701" w:rsidRPr="000F582A">
        <w:rPr>
          <w:szCs w:val="24"/>
        </w:rPr>
        <w:t>ю</w:t>
      </w:r>
      <w:r w:rsidRPr="000F582A">
        <w:rPr>
          <w:szCs w:val="24"/>
        </w:rPr>
        <w:t xml:space="preserve"> предшествующей терапии БМАРП. </w:t>
      </w:r>
      <w:r w:rsidR="000C1B12" w:rsidRPr="000F582A">
        <w:rPr>
          <w:szCs w:val="24"/>
        </w:rPr>
        <w:t>В 2</w:t>
      </w:r>
      <w:r w:rsidRPr="000F582A">
        <w:rPr>
          <w:szCs w:val="24"/>
        </w:rPr>
        <w:t xml:space="preserve"> хорошо спланированных исследования</w:t>
      </w:r>
      <w:r w:rsidR="000C1B12" w:rsidRPr="000F582A">
        <w:rPr>
          <w:szCs w:val="24"/>
        </w:rPr>
        <w:t>х</w:t>
      </w:r>
      <w:r w:rsidRPr="000F582A">
        <w:rPr>
          <w:szCs w:val="24"/>
        </w:rPr>
        <w:t xml:space="preserve"> фазы III (OPAL Broaden и OPAL Beyond) у пациентов с </w:t>
      </w:r>
      <w:r w:rsidR="000C1B12" w:rsidRPr="000F582A">
        <w:rPr>
          <w:szCs w:val="24"/>
        </w:rPr>
        <w:t>псориатическим артритом</w:t>
      </w:r>
      <w:r w:rsidRPr="000F582A">
        <w:rPr>
          <w:szCs w:val="24"/>
        </w:rPr>
        <w:t xml:space="preserve"> с или без</w:t>
      </w:r>
      <w:r w:rsidR="00B26E39" w:rsidRPr="000F582A">
        <w:rPr>
          <w:szCs w:val="24"/>
        </w:rPr>
        <w:t xml:space="preserve"> </w:t>
      </w:r>
      <w:r w:rsidRPr="000F582A">
        <w:rPr>
          <w:szCs w:val="24"/>
        </w:rPr>
        <w:t>предшествующ</w:t>
      </w:r>
      <w:r w:rsidR="000C1B12" w:rsidRPr="000F582A">
        <w:rPr>
          <w:szCs w:val="24"/>
        </w:rPr>
        <w:t>ей</w:t>
      </w:r>
      <w:r w:rsidRPr="000F582A">
        <w:rPr>
          <w:szCs w:val="24"/>
        </w:rPr>
        <w:t xml:space="preserve"> терапи</w:t>
      </w:r>
      <w:r w:rsidR="000C1B12" w:rsidRPr="000F582A">
        <w:rPr>
          <w:szCs w:val="24"/>
        </w:rPr>
        <w:t>и</w:t>
      </w:r>
      <w:r w:rsidRPr="000F582A">
        <w:rPr>
          <w:szCs w:val="24"/>
        </w:rPr>
        <w:t xml:space="preserve"> </w:t>
      </w:r>
      <w:r w:rsidR="0020101E" w:rsidRPr="000F582A">
        <w:rPr>
          <w:szCs w:val="24"/>
        </w:rPr>
        <w:t xml:space="preserve">ингибиторами </w:t>
      </w:r>
      <w:r w:rsidR="0020101E" w:rsidRPr="000F582A">
        <w:rPr>
          <w:szCs w:val="24"/>
          <w:lang w:val="en-US"/>
        </w:rPr>
        <w:t>TNF</w:t>
      </w:r>
      <w:r w:rsidR="0020101E" w:rsidRPr="000F582A">
        <w:rPr>
          <w:szCs w:val="24"/>
        </w:rPr>
        <w:t>-</w:t>
      </w:r>
      <w:r w:rsidR="0020101E" w:rsidRPr="000F582A">
        <w:rPr>
          <w:rFonts w:cs="Times New Roman"/>
          <w:szCs w:val="24"/>
        </w:rPr>
        <w:t>α</w:t>
      </w:r>
      <w:r w:rsidR="0020101E" w:rsidRPr="000F582A">
        <w:rPr>
          <w:szCs w:val="24"/>
        </w:rPr>
        <w:t xml:space="preserve"> </w:t>
      </w:r>
      <w:r w:rsidRPr="000F582A">
        <w:rPr>
          <w:szCs w:val="24"/>
        </w:rPr>
        <w:t>показал</w:t>
      </w:r>
      <w:r w:rsidR="000C1B12" w:rsidRPr="000F582A">
        <w:rPr>
          <w:szCs w:val="24"/>
        </w:rPr>
        <w:t>и</w:t>
      </w:r>
      <w:r w:rsidRPr="000F582A">
        <w:rPr>
          <w:szCs w:val="24"/>
        </w:rPr>
        <w:t xml:space="preserve">, что тофацитиниб в дозе 5 мг </w:t>
      </w:r>
      <w:r w:rsidR="000C1B12" w:rsidRPr="000F582A">
        <w:rPr>
          <w:szCs w:val="24"/>
        </w:rPr>
        <w:t>2</w:t>
      </w:r>
      <w:r w:rsidRPr="000F582A">
        <w:rPr>
          <w:szCs w:val="24"/>
        </w:rPr>
        <w:t xml:space="preserve"> раза в сутки (при одновременном применении с метотрексатом)</w:t>
      </w:r>
      <w:r w:rsidR="00B26E39" w:rsidRPr="000F582A">
        <w:rPr>
          <w:szCs w:val="24"/>
        </w:rPr>
        <w:t xml:space="preserve"> </w:t>
      </w:r>
      <w:r w:rsidRPr="000F582A">
        <w:rPr>
          <w:szCs w:val="24"/>
        </w:rPr>
        <w:t xml:space="preserve">или другой </w:t>
      </w:r>
      <w:r w:rsidR="008C5F74" w:rsidRPr="000F582A">
        <w:rPr>
          <w:szCs w:val="24"/>
        </w:rPr>
        <w:t>одобренный традиционный</w:t>
      </w:r>
      <w:r w:rsidRPr="000F582A">
        <w:rPr>
          <w:szCs w:val="24"/>
        </w:rPr>
        <w:t xml:space="preserve"> с</w:t>
      </w:r>
      <w:r w:rsidR="00167AFD" w:rsidRPr="000F582A">
        <w:rPr>
          <w:szCs w:val="24"/>
        </w:rPr>
        <w:t>БМАРП</w:t>
      </w:r>
      <w:r w:rsidRPr="000F582A">
        <w:rPr>
          <w:szCs w:val="24"/>
        </w:rPr>
        <w:t xml:space="preserve"> значительно </w:t>
      </w:r>
      <w:r w:rsidR="00167AFD" w:rsidRPr="000F582A">
        <w:rPr>
          <w:szCs w:val="24"/>
        </w:rPr>
        <w:t>снизили выраженность</w:t>
      </w:r>
      <w:r w:rsidRPr="000F582A">
        <w:rPr>
          <w:szCs w:val="24"/>
        </w:rPr>
        <w:t xml:space="preserve"> основны</w:t>
      </w:r>
      <w:r w:rsidR="00167AFD" w:rsidRPr="000F582A">
        <w:rPr>
          <w:szCs w:val="24"/>
        </w:rPr>
        <w:t>х</w:t>
      </w:r>
      <w:r w:rsidRPr="000F582A">
        <w:rPr>
          <w:szCs w:val="24"/>
        </w:rPr>
        <w:t xml:space="preserve"> клинически</w:t>
      </w:r>
      <w:r w:rsidR="00167AFD" w:rsidRPr="000F582A">
        <w:rPr>
          <w:szCs w:val="24"/>
        </w:rPr>
        <w:t>х</w:t>
      </w:r>
      <w:r w:rsidRPr="000F582A">
        <w:rPr>
          <w:szCs w:val="24"/>
        </w:rPr>
        <w:t xml:space="preserve"> признак</w:t>
      </w:r>
      <w:r w:rsidR="00167AFD" w:rsidRPr="000F582A">
        <w:rPr>
          <w:szCs w:val="24"/>
        </w:rPr>
        <w:t>ов/</w:t>
      </w:r>
      <w:r w:rsidRPr="000F582A">
        <w:rPr>
          <w:szCs w:val="24"/>
        </w:rPr>
        <w:t>симптом</w:t>
      </w:r>
      <w:r w:rsidR="00167AFD" w:rsidRPr="000F582A">
        <w:rPr>
          <w:szCs w:val="24"/>
        </w:rPr>
        <w:t>ов</w:t>
      </w:r>
      <w:r w:rsidRPr="000F582A">
        <w:rPr>
          <w:szCs w:val="24"/>
        </w:rPr>
        <w:t xml:space="preserve"> и инвалидность</w:t>
      </w:r>
      <w:r w:rsidR="00167AFD" w:rsidRPr="000F582A">
        <w:rPr>
          <w:szCs w:val="24"/>
        </w:rPr>
        <w:t>,</w:t>
      </w:r>
      <w:r w:rsidR="00B26E39" w:rsidRPr="000F582A">
        <w:rPr>
          <w:szCs w:val="24"/>
        </w:rPr>
        <w:t xml:space="preserve"> </w:t>
      </w:r>
      <w:r w:rsidR="00167AFD" w:rsidRPr="000F582A">
        <w:rPr>
          <w:szCs w:val="24"/>
        </w:rPr>
        <w:t>обусловленную</w:t>
      </w:r>
      <w:r w:rsidRPr="000F582A">
        <w:rPr>
          <w:szCs w:val="24"/>
        </w:rPr>
        <w:t xml:space="preserve"> </w:t>
      </w:r>
      <w:r w:rsidR="00167AFD" w:rsidRPr="000F582A">
        <w:rPr>
          <w:szCs w:val="24"/>
        </w:rPr>
        <w:t>псориатическим артритом,</w:t>
      </w:r>
      <w:r w:rsidRPr="000F582A">
        <w:rPr>
          <w:szCs w:val="24"/>
        </w:rPr>
        <w:t xml:space="preserve"> через 3 мес</w:t>
      </w:r>
      <w:r w:rsidR="00167AFD" w:rsidRPr="000F582A">
        <w:rPr>
          <w:szCs w:val="24"/>
        </w:rPr>
        <w:t>.</w:t>
      </w:r>
      <w:r w:rsidRPr="000F582A">
        <w:rPr>
          <w:szCs w:val="24"/>
        </w:rPr>
        <w:t xml:space="preserve"> лечения, а также </w:t>
      </w:r>
      <w:r w:rsidR="00965DCF" w:rsidRPr="000F582A">
        <w:rPr>
          <w:szCs w:val="24"/>
        </w:rPr>
        <w:t>уменьшили выраженность</w:t>
      </w:r>
      <w:r w:rsidRPr="000F582A">
        <w:rPr>
          <w:szCs w:val="24"/>
        </w:rPr>
        <w:t xml:space="preserve"> кожн</w:t>
      </w:r>
      <w:r w:rsidR="00965DCF" w:rsidRPr="000F582A">
        <w:rPr>
          <w:szCs w:val="24"/>
        </w:rPr>
        <w:t>ых проявлений</w:t>
      </w:r>
      <w:r w:rsidRPr="000F582A">
        <w:rPr>
          <w:szCs w:val="24"/>
        </w:rPr>
        <w:t xml:space="preserve"> псориаза, энтезита, дактилита, </w:t>
      </w:r>
      <w:r w:rsidR="00965DCF" w:rsidRPr="000F582A">
        <w:rPr>
          <w:szCs w:val="24"/>
        </w:rPr>
        <w:t xml:space="preserve">улучшили </w:t>
      </w:r>
      <w:r w:rsidRPr="000F582A">
        <w:rPr>
          <w:szCs w:val="24"/>
        </w:rPr>
        <w:t>физическ</w:t>
      </w:r>
      <w:r w:rsidR="00965DCF" w:rsidRPr="000F582A">
        <w:rPr>
          <w:szCs w:val="24"/>
        </w:rPr>
        <w:t>ую</w:t>
      </w:r>
      <w:r w:rsidRPr="000F582A">
        <w:rPr>
          <w:szCs w:val="24"/>
        </w:rPr>
        <w:t xml:space="preserve"> функци</w:t>
      </w:r>
      <w:r w:rsidR="00965DCF" w:rsidRPr="000F582A">
        <w:rPr>
          <w:szCs w:val="24"/>
        </w:rPr>
        <w:t>ю</w:t>
      </w:r>
      <w:r w:rsidR="00B26E39" w:rsidRPr="000F582A">
        <w:rPr>
          <w:szCs w:val="24"/>
        </w:rPr>
        <w:t xml:space="preserve"> </w:t>
      </w:r>
      <w:r w:rsidRPr="000F582A">
        <w:rPr>
          <w:szCs w:val="24"/>
        </w:rPr>
        <w:t xml:space="preserve">и </w:t>
      </w:r>
      <w:r w:rsidR="000D62B9" w:rsidRPr="000F582A">
        <w:rPr>
          <w:szCs w:val="24"/>
        </w:rPr>
        <w:t xml:space="preserve">снизили степень </w:t>
      </w:r>
      <w:r w:rsidRPr="000F582A">
        <w:rPr>
          <w:szCs w:val="24"/>
        </w:rPr>
        <w:t>усталост</w:t>
      </w:r>
      <w:r w:rsidR="00450240" w:rsidRPr="000F582A">
        <w:rPr>
          <w:szCs w:val="24"/>
        </w:rPr>
        <w:t>и</w:t>
      </w:r>
      <w:r w:rsidRPr="000F582A">
        <w:rPr>
          <w:szCs w:val="24"/>
        </w:rPr>
        <w:t xml:space="preserve">. </w:t>
      </w:r>
      <w:r w:rsidR="00BA768E" w:rsidRPr="000F582A">
        <w:rPr>
          <w:szCs w:val="24"/>
        </w:rPr>
        <w:t xml:space="preserve">Согласно промежуточным данным, улучшение клинических признаков/симптомов сохранялось до 30 мес. </w:t>
      </w:r>
      <w:r w:rsidR="00675992" w:rsidRPr="000F582A">
        <w:rPr>
          <w:szCs w:val="24"/>
        </w:rPr>
        <w:t>в</w:t>
      </w:r>
      <w:r w:rsidR="00BA768E" w:rsidRPr="000F582A">
        <w:rPr>
          <w:szCs w:val="24"/>
        </w:rPr>
        <w:t xml:space="preserve"> </w:t>
      </w:r>
      <w:r w:rsidR="00675992" w:rsidRPr="000F582A">
        <w:rPr>
          <w:szCs w:val="24"/>
        </w:rPr>
        <w:t>длительном</w:t>
      </w:r>
      <w:r w:rsidR="00BA768E" w:rsidRPr="000F582A">
        <w:rPr>
          <w:szCs w:val="24"/>
        </w:rPr>
        <w:t xml:space="preserve"> расширенно</w:t>
      </w:r>
      <w:r w:rsidR="00675992" w:rsidRPr="000F582A">
        <w:rPr>
          <w:szCs w:val="24"/>
        </w:rPr>
        <w:t>м</w:t>
      </w:r>
      <w:r w:rsidR="00BA768E" w:rsidRPr="000F582A">
        <w:rPr>
          <w:szCs w:val="24"/>
        </w:rPr>
        <w:t xml:space="preserve"> исследовани</w:t>
      </w:r>
      <w:r w:rsidR="00675992" w:rsidRPr="000F582A">
        <w:rPr>
          <w:szCs w:val="24"/>
        </w:rPr>
        <w:t>и</w:t>
      </w:r>
      <w:r w:rsidR="00BA768E" w:rsidRPr="000F582A">
        <w:rPr>
          <w:szCs w:val="24"/>
        </w:rPr>
        <w:t xml:space="preserve"> OPAL Balance с минимальным рентгенологическим прогрессированием, наблюдаемым после 12 мес</w:t>
      </w:r>
      <w:r w:rsidR="00675992" w:rsidRPr="000F582A">
        <w:rPr>
          <w:szCs w:val="24"/>
        </w:rPr>
        <w:t>.</w:t>
      </w:r>
      <w:r w:rsidR="00BA768E" w:rsidRPr="000F582A">
        <w:rPr>
          <w:szCs w:val="24"/>
        </w:rPr>
        <w:t xml:space="preserve"> терапии в исследовании OPAL Broaden. </w:t>
      </w:r>
      <w:r w:rsidR="0007631E" w:rsidRPr="000F582A">
        <w:rPr>
          <w:szCs w:val="24"/>
        </w:rPr>
        <w:t>Для т</w:t>
      </w:r>
      <w:r w:rsidR="00BA768E" w:rsidRPr="000F582A">
        <w:rPr>
          <w:szCs w:val="24"/>
        </w:rPr>
        <w:t>офацитиниб</w:t>
      </w:r>
      <w:r w:rsidR="0007631E" w:rsidRPr="000F582A">
        <w:rPr>
          <w:szCs w:val="24"/>
        </w:rPr>
        <w:t>а</w:t>
      </w:r>
      <w:r w:rsidR="00BA768E" w:rsidRPr="000F582A">
        <w:rPr>
          <w:szCs w:val="24"/>
        </w:rPr>
        <w:t xml:space="preserve"> в дозе 5 мг </w:t>
      </w:r>
      <w:r w:rsidR="0007631E" w:rsidRPr="000F582A">
        <w:rPr>
          <w:szCs w:val="24"/>
        </w:rPr>
        <w:t>2</w:t>
      </w:r>
      <w:r w:rsidR="00BA768E" w:rsidRPr="000F582A">
        <w:rPr>
          <w:szCs w:val="24"/>
        </w:rPr>
        <w:t xml:space="preserve"> раза в день </w:t>
      </w:r>
      <w:r w:rsidR="0007631E" w:rsidRPr="000F582A">
        <w:rPr>
          <w:szCs w:val="24"/>
        </w:rPr>
        <w:t>показали</w:t>
      </w:r>
      <w:r w:rsidR="00BA768E" w:rsidRPr="000F582A">
        <w:rPr>
          <w:szCs w:val="24"/>
        </w:rPr>
        <w:t xml:space="preserve"> приемлемый профиль переносимости с низкой частотой серьезных инфекций, злокачественны</w:t>
      </w:r>
      <w:r w:rsidR="0007631E" w:rsidRPr="000F582A">
        <w:rPr>
          <w:szCs w:val="24"/>
        </w:rPr>
        <w:t>х</w:t>
      </w:r>
      <w:r w:rsidR="00BA768E" w:rsidRPr="000F582A">
        <w:rPr>
          <w:szCs w:val="24"/>
        </w:rPr>
        <w:t xml:space="preserve"> новообразовани</w:t>
      </w:r>
      <w:r w:rsidR="0007631E" w:rsidRPr="000F582A">
        <w:rPr>
          <w:szCs w:val="24"/>
        </w:rPr>
        <w:t>й</w:t>
      </w:r>
      <w:r w:rsidR="00BA768E" w:rsidRPr="000F582A">
        <w:rPr>
          <w:szCs w:val="24"/>
        </w:rPr>
        <w:t>, сердечно-сосудисты</w:t>
      </w:r>
      <w:r w:rsidR="0007631E" w:rsidRPr="000F582A">
        <w:rPr>
          <w:szCs w:val="24"/>
        </w:rPr>
        <w:t>х</w:t>
      </w:r>
      <w:r w:rsidR="00BA768E" w:rsidRPr="000F582A">
        <w:rPr>
          <w:szCs w:val="24"/>
        </w:rPr>
        <w:t xml:space="preserve"> событи</w:t>
      </w:r>
      <w:r w:rsidR="0007631E" w:rsidRPr="000F582A">
        <w:rPr>
          <w:szCs w:val="24"/>
        </w:rPr>
        <w:t>й</w:t>
      </w:r>
      <w:r w:rsidR="00BA768E" w:rsidRPr="000F582A">
        <w:rPr>
          <w:szCs w:val="24"/>
        </w:rPr>
        <w:t xml:space="preserve"> и перфорации </w:t>
      </w:r>
      <w:r w:rsidR="00963DF2" w:rsidRPr="000F582A">
        <w:rPr>
          <w:szCs w:val="24"/>
        </w:rPr>
        <w:t xml:space="preserve">ЖКТ </w:t>
      </w:r>
      <w:r w:rsidR="00BA768E" w:rsidRPr="000F582A">
        <w:rPr>
          <w:szCs w:val="24"/>
        </w:rPr>
        <w:t>в течение 36 мес. Изменения лабораторных показателей в целом оставал</w:t>
      </w:r>
      <w:r w:rsidR="003611FF" w:rsidRPr="000F582A">
        <w:rPr>
          <w:szCs w:val="24"/>
        </w:rPr>
        <w:t>и</w:t>
      </w:r>
      <w:r w:rsidR="00BA768E" w:rsidRPr="000F582A">
        <w:rPr>
          <w:szCs w:val="24"/>
        </w:rPr>
        <w:t>с</w:t>
      </w:r>
      <w:r w:rsidR="003611FF" w:rsidRPr="000F582A">
        <w:rPr>
          <w:szCs w:val="24"/>
        </w:rPr>
        <w:t>ь</w:t>
      </w:r>
      <w:r w:rsidR="00BA768E" w:rsidRPr="000F582A">
        <w:rPr>
          <w:szCs w:val="24"/>
        </w:rPr>
        <w:t xml:space="preserve"> стабильным</w:t>
      </w:r>
      <w:r w:rsidR="003611FF" w:rsidRPr="000F582A">
        <w:rPr>
          <w:szCs w:val="24"/>
        </w:rPr>
        <w:t>и</w:t>
      </w:r>
      <w:r w:rsidR="00BA768E" w:rsidRPr="000F582A">
        <w:rPr>
          <w:szCs w:val="24"/>
        </w:rPr>
        <w:t xml:space="preserve"> в течение 36 мес</w:t>
      </w:r>
      <w:r w:rsidR="008F3840" w:rsidRPr="000F582A">
        <w:rPr>
          <w:szCs w:val="24"/>
        </w:rPr>
        <w:t>.</w:t>
      </w:r>
      <w:r w:rsidR="00BA768E" w:rsidRPr="000F582A">
        <w:rPr>
          <w:szCs w:val="24"/>
        </w:rPr>
        <w:t xml:space="preserve"> лечения. Хотя </w:t>
      </w:r>
      <w:r w:rsidR="008F3840" w:rsidRPr="000F582A">
        <w:rPr>
          <w:szCs w:val="24"/>
        </w:rPr>
        <w:t xml:space="preserve">для более точной оценки эффективности </w:t>
      </w:r>
      <w:r w:rsidR="00BA768E" w:rsidRPr="000F582A">
        <w:rPr>
          <w:szCs w:val="24"/>
        </w:rPr>
        <w:t>необходимы дальнейшие исследования, имеющиеся в настоящее время доказательства указывают на то, что тофацитиниб расширяет возможности лечения, доступные для лечени</w:t>
      </w:r>
      <w:r w:rsidR="00107909" w:rsidRPr="000F582A">
        <w:rPr>
          <w:szCs w:val="24"/>
        </w:rPr>
        <w:t>я</w:t>
      </w:r>
      <w:r w:rsidR="00BA768E" w:rsidRPr="000F582A">
        <w:rPr>
          <w:szCs w:val="24"/>
        </w:rPr>
        <w:t xml:space="preserve"> </w:t>
      </w:r>
      <w:r w:rsidR="008F3840" w:rsidRPr="000F582A">
        <w:rPr>
          <w:szCs w:val="24"/>
        </w:rPr>
        <w:t>псориатического артрита</w:t>
      </w:r>
      <w:r w:rsidR="00BA768E" w:rsidRPr="000F582A">
        <w:rPr>
          <w:szCs w:val="24"/>
        </w:rPr>
        <w:t xml:space="preserve"> у пациентов с неадекватным ответом или непереносимостью предшествующей терапии </w:t>
      </w:r>
      <w:r w:rsidR="008F3840" w:rsidRPr="000F582A">
        <w:rPr>
          <w:szCs w:val="24"/>
        </w:rPr>
        <w:t>БМАРП</w:t>
      </w:r>
      <w:r w:rsidR="00BA768E" w:rsidRPr="000F582A">
        <w:rPr>
          <w:szCs w:val="24"/>
        </w:rPr>
        <w:t xml:space="preserve"> </w:t>
      </w:r>
      <w:r w:rsidR="009874BA" w:rsidRPr="000F582A">
        <w:rPr>
          <w:szCs w:val="24"/>
        </w:rPr>
        <w:fldChar w:fldCharType="begin"/>
      </w:r>
      <w:r w:rsidR="00044A89" w:rsidRPr="000F582A">
        <w:rPr>
          <w:szCs w:val="24"/>
        </w:rPr>
        <w:instrText xml:space="preserve"> ADDIN ZOTERO_ITEM CSL_CITATION {"citationID":"2UJourDm","properties":{"formattedCitation":"[10]","plainCitation":"[10]","noteIndex":0},"citationItems":[{"id":87792,"uris":["http://zotero.org/groups/4742804/items/JNEYZIYH"],"itemData":{"id":87792,"type":"article-journal","abstract":"Tofacitinib (Xeljanz®) is the first Janus kinase (JAK) inhibitor approved at a dosage of 5 mg twice daily (BID) in the EU and the USA for the treatment of active psoriatic arthritis (PsA), where it is indicated in combination with methotrexate for patients who have had an inadequate response or who have been intolerant to a prior therapy with a disease-modifying antirheumatic drug (DMARD). Two well-designed phase III trials (OPAL Broaden and OPAL Beyond) in patients with PsA with or without prior tumour necrosis factor inhibitor (TNFi) therapy showed that tofacitinib 5 mg BID (co-administered with methotrexate or another approved conventional synthetic DMARD) significantly improved the key clinical signs/symptoms and disability associated with PsA after 3 months of treatment, while also improving skin psoriasis, enthesitis, dactylitis, physical function and fatigue. According to interim data, the improvements in clinical signs/symptoms were maintained for up to 30 months in the ongoing long-term extension study OPAL Balance, with minimal radiographic progression seen after 12 months’ therapy in the OPAL Broaden study. Tofacitinib 5 mg BID had an acceptable tolerability profile, with low incidences of serious infections, malignancies, cardiovascular events and gastrointestinal perforations over 36 months. Changes in laboratory parameters generally remained stable over 36 months of treatment. Although further studies are required to more definitively establish its efficacy and safety, currently available evidence indicates that tofacitinib expands the treatment options available for the treatment of PsA in patients who have had an inadequate response or who have been intolerant to a prior DMARD therapy.","container-title":"Drugs","DOI":"10.1007/s40265-019-01091-3","ISSN":"1179-1950","issue":"6","journalAbbreviation":"Drugs","language":"en","page":"655-663","source":"Springer Link","title":"Tofacitinib: A review in psoriatic arthritis","title-short":"Tofacitinib","volume":"79","author":[{"family":"Paik","given":"Julia"},{"family":"Deeks","given":"Emma D."}],"issued":{"date-parts":[["2019",4,1]]}}}],"schema":"https://github.com/citation-style-language/schema/raw/master/csl-citation.json"} </w:instrText>
      </w:r>
      <w:r w:rsidR="009874BA" w:rsidRPr="000F582A">
        <w:rPr>
          <w:szCs w:val="24"/>
        </w:rPr>
        <w:fldChar w:fldCharType="separate"/>
      </w:r>
      <w:r w:rsidR="00044A89" w:rsidRPr="000F582A">
        <w:rPr>
          <w:rFonts w:cs="Times New Roman"/>
          <w:szCs w:val="24"/>
        </w:rPr>
        <w:t>[10]</w:t>
      </w:r>
      <w:r w:rsidR="009874BA" w:rsidRPr="000F582A">
        <w:rPr>
          <w:szCs w:val="24"/>
        </w:rPr>
        <w:fldChar w:fldCharType="end"/>
      </w:r>
      <w:r w:rsidR="00BA768E" w:rsidRPr="000F582A">
        <w:rPr>
          <w:szCs w:val="24"/>
        </w:rPr>
        <w:t>.</w:t>
      </w:r>
    </w:p>
    <w:p w14:paraId="69D3360C" w14:textId="4770A9BB" w:rsidR="00A475DA" w:rsidRPr="000F582A" w:rsidRDefault="001E269E" w:rsidP="000F582A">
      <w:pPr>
        <w:pStyle w:val="SDText"/>
        <w:contextualSpacing/>
        <w:rPr>
          <w:szCs w:val="24"/>
        </w:rPr>
      </w:pPr>
      <w:r w:rsidRPr="000F582A">
        <w:rPr>
          <w:szCs w:val="24"/>
        </w:rPr>
        <w:t xml:space="preserve">Тофацитиниб является первым препаратом из класса ингибиторов </w:t>
      </w:r>
      <w:r w:rsidRPr="000F582A">
        <w:rPr>
          <w:szCs w:val="24"/>
          <w:lang w:val="en-US"/>
        </w:rPr>
        <w:t>JAK</w:t>
      </w:r>
      <w:r w:rsidRPr="000F582A">
        <w:rPr>
          <w:szCs w:val="24"/>
        </w:rPr>
        <w:t xml:space="preserve">, доступным для лечения </w:t>
      </w:r>
      <w:r w:rsidR="0048097A" w:rsidRPr="000F582A">
        <w:rPr>
          <w:szCs w:val="24"/>
        </w:rPr>
        <w:t>ЯК</w:t>
      </w:r>
      <w:r w:rsidRPr="000F582A">
        <w:rPr>
          <w:szCs w:val="24"/>
        </w:rPr>
        <w:t>. Эффективность препарата с быстрым началом действия даже в случаях тяжелого колита, пероральн</w:t>
      </w:r>
      <w:r w:rsidR="0048097A" w:rsidRPr="000F582A">
        <w:rPr>
          <w:szCs w:val="24"/>
        </w:rPr>
        <w:t>ый прием</w:t>
      </w:r>
      <w:r w:rsidRPr="000F582A">
        <w:rPr>
          <w:szCs w:val="24"/>
        </w:rPr>
        <w:t>, а также возможность использова</w:t>
      </w:r>
      <w:r w:rsidR="0048097A" w:rsidRPr="000F582A">
        <w:rPr>
          <w:szCs w:val="24"/>
        </w:rPr>
        <w:t>ния</w:t>
      </w:r>
      <w:r w:rsidRPr="000F582A">
        <w:rPr>
          <w:szCs w:val="24"/>
        </w:rPr>
        <w:t xml:space="preserve"> препарат</w:t>
      </w:r>
      <w:r w:rsidR="0048097A" w:rsidRPr="000F582A">
        <w:rPr>
          <w:szCs w:val="24"/>
        </w:rPr>
        <w:t>а</w:t>
      </w:r>
      <w:r w:rsidRPr="000F582A">
        <w:rPr>
          <w:szCs w:val="24"/>
        </w:rPr>
        <w:t xml:space="preserve"> с перерывами, </w:t>
      </w:r>
      <w:r w:rsidR="00106F8A" w:rsidRPr="000F582A">
        <w:rPr>
          <w:szCs w:val="24"/>
        </w:rPr>
        <w:t>без</w:t>
      </w:r>
      <w:r w:rsidRPr="000F582A">
        <w:rPr>
          <w:szCs w:val="24"/>
        </w:rPr>
        <w:t xml:space="preserve"> </w:t>
      </w:r>
      <w:r w:rsidR="00106F8A" w:rsidRPr="000F582A">
        <w:rPr>
          <w:szCs w:val="24"/>
        </w:rPr>
        <w:t>проявления</w:t>
      </w:r>
      <w:r w:rsidRPr="000F582A">
        <w:rPr>
          <w:szCs w:val="24"/>
        </w:rPr>
        <w:t xml:space="preserve"> иммуногенности, </w:t>
      </w:r>
      <w:r w:rsidR="00DC28C7" w:rsidRPr="000F582A">
        <w:rPr>
          <w:szCs w:val="24"/>
        </w:rPr>
        <w:t>обуславливает целесообразность</w:t>
      </w:r>
      <w:r w:rsidR="0048097A" w:rsidRPr="000F582A">
        <w:rPr>
          <w:szCs w:val="24"/>
        </w:rPr>
        <w:t xml:space="preserve"> </w:t>
      </w:r>
      <w:r w:rsidRPr="000F582A">
        <w:rPr>
          <w:szCs w:val="24"/>
        </w:rPr>
        <w:t>пересмотр</w:t>
      </w:r>
      <w:r w:rsidR="00DC28C7" w:rsidRPr="000F582A">
        <w:rPr>
          <w:szCs w:val="24"/>
        </w:rPr>
        <w:t>а</w:t>
      </w:r>
      <w:r w:rsidRPr="000F582A">
        <w:rPr>
          <w:szCs w:val="24"/>
        </w:rPr>
        <w:t xml:space="preserve"> существующих парадигм лечения </w:t>
      </w:r>
      <w:r w:rsidR="00DC28C7" w:rsidRPr="000F582A">
        <w:rPr>
          <w:szCs w:val="24"/>
        </w:rPr>
        <w:t>ЯК</w:t>
      </w:r>
      <w:r w:rsidRPr="000F582A">
        <w:rPr>
          <w:szCs w:val="24"/>
        </w:rPr>
        <w:t xml:space="preserve"> </w:t>
      </w:r>
      <w:r w:rsidR="00970F0E" w:rsidRPr="000F582A">
        <w:rPr>
          <w:szCs w:val="24"/>
          <w:lang w:val="en-GB"/>
        </w:rPr>
        <w:fldChar w:fldCharType="begin"/>
      </w:r>
      <w:r w:rsidR="00044A89" w:rsidRPr="000F582A">
        <w:rPr>
          <w:szCs w:val="24"/>
        </w:rPr>
        <w:instrText xml:space="preserve"> ADDIN ZOTERO_ITEM CSL_CITATION {"citationID":"H9EeT1du","properties":{"formattedCitation":"[11]","plainCitation":"[11]","noteIndex":0},"citationItems":[{"id":87790,"uris":["http://zotero.org/groups/4742804/items/335RUIR4"],"itemData":{"id":87790,"type":"article-journal","abstract":"Introduction: New generations of small molecules are being developed for the treatment of ulcerative colitis. Among them, tofatinib (a Janus kinase (JAK) inhibitor) has demonstrated efficacy for inducing and maintaining remission and achieving mucosal healing with a reasonable safety profile. Oral administration is attractive for patients and lack of immunogenicity represents an advantage over biologic drugs.Areas covered: This review discusses the molecular aspects of the JAK-STAT pathway; the mechanism of action of tofacitinib pertinent to ulcerative colitis and the evidence on the efficacy of tofacitinib for achieving clinically relevant outcomes, including clinical remission, mucosal healing, and normalization of quality of life, as well as safety aspects with special attention to adverse events related to the mode of action of the drug.Expert commentary: Tofacitinib will be the first drug on the class of JAK inhibitors to be available for treatment of ulcerative colitis. The efficacy of the drug, with a rapid onset of action even in cases of severe colitis, oral administration, and possibility to use the drug intermittently without generating immunogenicity, will bring about a redesign of current treatment paradigms for ulcerative colitis.","container-title":"Expert Review of Clinical Immunology","DOI":"10.1080/1744666X.2018.1532291","ISSN":"1744-666X","issue":"11","note":"publisher: Taylor &amp; Francis\n_eprint: https://doi.org/10.1080/1744666X.2018.1532291\nPMID: 30285500","page":"881-892","source":"Taylor and Francis+NEJM","title":"Tofacitinib for the treatment of ulcerative colitis","volume":"14","author":[{"family":"Fernández-Clotet","given":"Agnès"},{"family":"Castro-Poceiro","given":"Jesús"},{"family":"Panés","given":"Julián"}],"issued":{"date-parts":[["2018",11,2]]}}}],"schema":"https://github.com/citation-style-language/schema/raw/master/csl-citation.json"} </w:instrText>
      </w:r>
      <w:r w:rsidR="00970F0E" w:rsidRPr="000F582A">
        <w:rPr>
          <w:szCs w:val="24"/>
          <w:lang w:val="en-GB"/>
        </w:rPr>
        <w:fldChar w:fldCharType="separate"/>
      </w:r>
      <w:r w:rsidR="00044A89" w:rsidRPr="000F582A">
        <w:rPr>
          <w:rFonts w:cs="Times New Roman"/>
          <w:szCs w:val="24"/>
        </w:rPr>
        <w:t>[11]</w:t>
      </w:r>
      <w:r w:rsidR="00970F0E" w:rsidRPr="000F582A">
        <w:rPr>
          <w:szCs w:val="24"/>
          <w:lang w:val="en-GB"/>
        </w:rPr>
        <w:fldChar w:fldCharType="end"/>
      </w:r>
      <w:r w:rsidR="00DC28C7" w:rsidRPr="000F582A">
        <w:rPr>
          <w:szCs w:val="24"/>
        </w:rPr>
        <w:t>.</w:t>
      </w:r>
    </w:p>
    <w:p w14:paraId="7D888D9F" w14:textId="7E31384D" w:rsidR="00E53670" w:rsidRDefault="00E53670" w:rsidP="00E53670">
      <w:pPr>
        <w:pStyle w:val="SDText"/>
        <w:contextualSpacing/>
        <w:rPr>
          <w:color w:val="000000" w:themeColor="text1"/>
        </w:rPr>
      </w:pPr>
      <w:r w:rsidRPr="00005F66">
        <w:rPr>
          <w:lang w:val="en-US"/>
        </w:rPr>
        <w:t>DT</w:t>
      </w:r>
      <w:r w:rsidRPr="00005F66">
        <w:t>-</w:t>
      </w:r>
      <w:r w:rsidRPr="00005F66">
        <w:rPr>
          <w:lang w:val="en-US"/>
        </w:rPr>
        <w:t>TFC</w:t>
      </w:r>
      <w:r>
        <w:rPr>
          <w:lang w:eastAsia="ja-JP"/>
        </w:rPr>
        <w:t xml:space="preserve">, </w:t>
      </w:r>
      <w:r w:rsidRPr="001D6ABD">
        <w:rPr>
          <w:lang w:eastAsia="ja-JP"/>
        </w:rPr>
        <w:t>таблетки, покрытые пленочной оболочкой, 5 мг</w:t>
      </w:r>
      <w:r>
        <w:rPr>
          <w:lang w:eastAsia="ja-JP"/>
        </w:rPr>
        <w:t xml:space="preserve"> и</w:t>
      </w:r>
      <w:r w:rsidRPr="001D6ABD">
        <w:rPr>
          <w:lang w:eastAsia="ja-JP"/>
        </w:rPr>
        <w:t xml:space="preserve"> 10 мг</w:t>
      </w:r>
      <w:r>
        <w:rPr>
          <w:lang w:eastAsia="ja-JP"/>
        </w:rPr>
        <w:t xml:space="preserve"> – воспроизведенный препарат тофацитиниба</w:t>
      </w:r>
      <w:r w:rsidRPr="00D71CE8">
        <w:rPr>
          <w:lang w:eastAsia="ja-JP"/>
        </w:rPr>
        <w:t xml:space="preserve">, </w:t>
      </w:r>
      <w:r w:rsidRPr="00D71CE8">
        <w:rPr>
          <w:bCs/>
          <w:lang w:eastAsia="ru-RU"/>
        </w:rPr>
        <w:t>разработанный дочерним подразделением ГК «Р-Фарм», Россия – ООО «Технология лекарств», по заказу АО «Р-Фарм»</w:t>
      </w:r>
      <w:r w:rsidRPr="00D71CE8">
        <w:rPr>
          <w:color w:val="000000"/>
          <w:lang w:eastAsia="ja-JP"/>
        </w:rPr>
        <w:t>.</w:t>
      </w:r>
      <w:r>
        <w:rPr>
          <w:color w:val="000000"/>
          <w:lang w:eastAsia="ja-JP"/>
        </w:rPr>
        <w:t xml:space="preserve"> </w:t>
      </w:r>
      <w:r>
        <w:rPr>
          <w:bCs/>
          <w:lang w:eastAsia="ru-RU"/>
        </w:rPr>
        <w:t xml:space="preserve">Он </w:t>
      </w:r>
      <w:r w:rsidRPr="00A211C2">
        <w:rPr>
          <w:bCs/>
          <w:lang w:eastAsia="ru-RU"/>
        </w:rPr>
        <w:t>п</w:t>
      </w:r>
      <w:r w:rsidRPr="00A211C2">
        <w:rPr>
          <w:color w:val="000000"/>
        </w:rPr>
        <w:t xml:space="preserve">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 эверолимуса </w:t>
      </w:r>
      <w:r w:rsidRPr="00A211C2">
        <w:rPr>
          <w:rFonts w:eastAsia="MS Mincho"/>
          <w:szCs w:val="24"/>
          <w:lang w:eastAsia="ru-RU"/>
        </w:rPr>
        <w:t>Яквинус</w:t>
      </w:r>
      <w:r w:rsidRPr="00A211C2">
        <w:rPr>
          <w:rFonts w:eastAsia="MS Mincho"/>
          <w:szCs w:val="24"/>
          <w:vertAlign w:val="superscript"/>
          <w:lang w:eastAsia="ru-RU"/>
        </w:rPr>
        <w:t>®</w:t>
      </w:r>
      <w:r w:rsidRPr="00A211C2">
        <w:rPr>
          <w:lang w:eastAsia="ru-RU"/>
        </w:rPr>
        <w:t xml:space="preserve"> (владелец РУ - </w:t>
      </w:r>
      <w:r w:rsidRPr="00A211C2">
        <w:rPr>
          <w:rFonts w:eastAsia="MS Mincho"/>
          <w:szCs w:val="24"/>
          <w:lang w:eastAsia="ru-RU"/>
        </w:rPr>
        <w:t>Пфайзер Инк, США</w:t>
      </w:r>
      <w:r w:rsidRPr="00A211C2">
        <w:rPr>
          <w:lang w:eastAsia="ru-RU"/>
        </w:rPr>
        <w:t xml:space="preserve">), </w:t>
      </w:r>
      <w:r w:rsidRPr="00A211C2">
        <w:rPr>
          <w:color w:val="000000"/>
        </w:rPr>
        <w:t>имея отличия в качественном и количественном составе пленочной оболочки таблетки</w:t>
      </w:r>
      <w:r>
        <w:rPr>
          <w:color w:val="000000"/>
        </w:rPr>
        <w:t xml:space="preserve"> </w:t>
      </w:r>
      <w:r>
        <w:rPr>
          <w:color w:val="000000"/>
          <w:szCs w:val="24"/>
        </w:rPr>
        <w:t xml:space="preserve">и типе целлюлозы микрокристаллической, входящей в состав ядра </w:t>
      </w:r>
      <w:r w:rsidRPr="00E53670">
        <w:rPr>
          <w:color w:val="000000"/>
          <w:szCs w:val="24"/>
        </w:rPr>
        <w:t>таблетки</w:t>
      </w:r>
      <w:r w:rsidRPr="00E53670">
        <w:rPr>
          <w:lang w:eastAsia="ru-RU"/>
        </w:rPr>
        <w:t xml:space="preserve">. </w:t>
      </w:r>
      <w:r w:rsidRPr="00E53670">
        <w:rPr>
          <w:color w:val="000000" w:themeColor="text1"/>
        </w:rPr>
        <w:t xml:space="preserve">Результаты теста сравнительной кинетики растворения, проведенного в нескольких средах с использованием </w:t>
      </w:r>
      <w:r w:rsidRPr="00005F66">
        <w:rPr>
          <w:lang w:val="en-US"/>
        </w:rPr>
        <w:t>DT</w:t>
      </w:r>
      <w:r w:rsidRPr="00005F66">
        <w:t>-</w:t>
      </w:r>
      <w:r w:rsidRPr="00005F66">
        <w:rPr>
          <w:lang w:val="en-US"/>
        </w:rPr>
        <w:t>TFC</w:t>
      </w:r>
      <w:r w:rsidRPr="00E53670">
        <w:rPr>
          <w:color w:val="000000" w:themeColor="text1"/>
        </w:rPr>
        <w:t xml:space="preserve"> в дозировке 10 мг в сравнении с референтным препаратом </w:t>
      </w:r>
      <w:r>
        <w:rPr>
          <w:color w:val="000000" w:themeColor="text1"/>
        </w:rPr>
        <w:t>Яквинус</w:t>
      </w:r>
      <w:r w:rsidRPr="00E53670">
        <w:rPr>
          <w:color w:val="000000" w:themeColor="text1"/>
          <w:vertAlign w:val="superscript"/>
        </w:rPr>
        <w:t>®</w:t>
      </w:r>
      <w:r w:rsidRPr="00E53670">
        <w:rPr>
          <w:color w:val="000000" w:themeColor="text1"/>
        </w:rPr>
        <w:t xml:space="preserve"> в дозировке </w:t>
      </w:r>
      <w:r>
        <w:rPr>
          <w:color w:val="000000" w:themeColor="text1"/>
        </w:rPr>
        <w:t>1</w:t>
      </w:r>
      <w:r w:rsidRPr="00E53670">
        <w:rPr>
          <w:color w:val="000000" w:themeColor="text1"/>
        </w:rPr>
        <w:t xml:space="preserve">0 мг,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Pr="00E53670">
        <w:t>В связи с этим представляется целесообразным проведение клинического исследования биоэквивалентности</w:t>
      </w:r>
      <w:r w:rsidRPr="00E53670">
        <w:rPr>
          <w:bCs/>
          <w:lang w:eastAsia="ru-RU"/>
        </w:rPr>
        <w:t xml:space="preserve"> лекарственного препарата </w:t>
      </w:r>
      <w:r w:rsidRPr="00E53670">
        <w:rPr>
          <w:lang w:val="en-US" w:eastAsia="ru-RU"/>
        </w:rPr>
        <w:t>D</w:t>
      </w:r>
      <w:r w:rsidRPr="00E53670">
        <w:rPr>
          <w:lang w:eastAsia="ru-RU"/>
        </w:rPr>
        <w:t>T-</w:t>
      </w:r>
      <w:r>
        <w:rPr>
          <w:lang w:val="en-US" w:eastAsia="ru-RU"/>
        </w:rPr>
        <w:t>TFC</w:t>
      </w:r>
      <w:r w:rsidRPr="00E53670">
        <w:rPr>
          <w:bCs/>
          <w:lang w:eastAsia="ru-RU"/>
        </w:rPr>
        <w:t>, таблетки,</w:t>
      </w:r>
      <w:r>
        <w:rPr>
          <w:bCs/>
          <w:lang w:eastAsia="ru-RU"/>
        </w:rPr>
        <w:t xml:space="preserve"> покрытые пленочной </w:t>
      </w:r>
      <w:r>
        <w:rPr>
          <w:bCs/>
          <w:lang w:eastAsia="ru-RU"/>
        </w:rPr>
        <w:lastRenderedPageBreak/>
        <w:t>оболочкой,</w:t>
      </w:r>
      <w:r w:rsidRPr="00E53670">
        <w:rPr>
          <w:bCs/>
          <w:lang w:eastAsia="ru-RU"/>
        </w:rPr>
        <w:t xml:space="preserve"> </w:t>
      </w:r>
      <w:r>
        <w:rPr>
          <w:bCs/>
          <w:lang w:eastAsia="ru-RU"/>
        </w:rPr>
        <w:t>1</w:t>
      </w:r>
      <w:r w:rsidRPr="00E53670">
        <w:rPr>
          <w:bCs/>
          <w:lang w:eastAsia="ru-RU"/>
        </w:rPr>
        <w:t>0 мг</w:t>
      </w:r>
      <w:r w:rsidRPr="00E53670">
        <w:t xml:space="preserve"> </w:t>
      </w:r>
      <w:r w:rsidRPr="00E53670">
        <w:rPr>
          <w:lang w:eastAsia="ru-RU"/>
        </w:rPr>
        <w:t>(</w:t>
      </w:r>
      <w:r w:rsidRPr="00E53670">
        <w:rPr>
          <w:rFonts w:eastAsia="SimSun"/>
        </w:rPr>
        <w:t>АО «Р-Фарм», Россия</w:t>
      </w:r>
      <w:r w:rsidRPr="00E53670">
        <w:rPr>
          <w:lang w:eastAsia="ru-RU"/>
        </w:rPr>
        <w:t xml:space="preserve">) в сравнении с оригинальным препаратом </w:t>
      </w:r>
      <w:r>
        <w:rPr>
          <w:lang w:eastAsia="ru-RU"/>
        </w:rPr>
        <w:t>Яквинус</w:t>
      </w:r>
      <w:r w:rsidRPr="00E53670">
        <w:rPr>
          <w:vertAlign w:val="superscript"/>
          <w:lang w:eastAsia="ru-RU"/>
        </w:rPr>
        <w:t>®</w:t>
      </w:r>
      <w:r w:rsidRPr="00E53670">
        <w:rPr>
          <w:lang w:eastAsia="ru-RU"/>
        </w:rPr>
        <w:t xml:space="preserve">, </w:t>
      </w:r>
      <w:r w:rsidRPr="00E53670">
        <w:rPr>
          <w:bCs/>
          <w:lang w:eastAsia="ru-RU"/>
        </w:rPr>
        <w:t>таблетки,</w:t>
      </w:r>
      <w:r>
        <w:rPr>
          <w:bCs/>
          <w:lang w:eastAsia="ru-RU"/>
        </w:rPr>
        <w:t xml:space="preserve"> покрытые пленочной оболочкой,</w:t>
      </w:r>
      <w:r w:rsidRPr="00E53670">
        <w:rPr>
          <w:bCs/>
          <w:lang w:eastAsia="ru-RU"/>
        </w:rPr>
        <w:t xml:space="preserve"> </w:t>
      </w:r>
      <w:r>
        <w:rPr>
          <w:bCs/>
          <w:lang w:eastAsia="ru-RU"/>
        </w:rPr>
        <w:t>1</w:t>
      </w:r>
      <w:r w:rsidRPr="00E53670">
        <w:rPr>
          <w:bCs/>
          <w:lang w:eastAsia="ru-RU"/>
        </w:rPr>
        <w:t>0 мг</w:t>
      </w:r>
      <w:r w:rsidRPr="00E53670">
        <w:rPr>
          <w:rFonts w:eastAsia="Calibri"/>
        </w:rPr>
        <w:t xml:space="preserve"> </w:t>
      </w:r>
      <w:r w:rsidRPr="00E53670">
        <w:rPr>
          <w:color w:val="000000"/>
        </w:rPr>
        <w:t>(</w:t>
      </w:r>
      <w:r w:rsidRPr="00A211C2">
        <w:rPr>
          <w:rFonts w:eastAsia="MS Mincho"/>
          <w:szCs w:val="24"/>
          <w:lang w:eastAsia="ru-RU"/>
        </w:rPr>
        <w:t>Пфайзер Инк, США</w:t>
      </w:r>
      <w:r w:rsidRPr="00E53670">
        <w:rPr>
          <w:color w:val="000000"/>
        </w:rPr>
        <w:t>)</w:t>
      </w:r>
      <w:r w:rsidRPr="00E53670">
        <w:rPr>
          <w:bCs/>
          <w:lang w:eastAsia="ru-RU"/>
        </w:rPr>
        <w:t>.</w:t>
      </w:r>
    </w:p>
    <w:p w14:paraId="48926C20" w14:textId="4E3EABE9" w:rsidR="00DA4C45" w:rsidRPr="000F582A" w:rsidRDefault="001A0861" w:rsidP="00E53670">
      <w:pPr>
        <w:pStyle w:val="SDText"/>
        <w:contextualSpacing/>
        <w:rPr>
          <w:szCs w:val="24"/>
        </w:rPr>
      </w:pPr>
      <w:r w:rsidRPr="000F582A">
        <w:rPr>
          <w:szCs w:val="24"/>
        </w:rPr>
        <w:t xml:space="preserve">Внедрение в клиническую практику нового воспроизведенного препарата </w:t>
      </w:r>
      <w:r w:rsidR="009A3EC5" w:rsidRPr="000F582A">
        <w:rPr>
          <w:szCs w:val="24"/>
        </w:rPr>
        <w:t xml:space="preserve">тофацитиниба </w:t>
      </w:r>
      <w:r w:rsidRPr="000F582A">
        <w:rPr>
          <w:szCs w:val="24"/>
        </w:rPr>
        <w:t xml:space="preserve">позволит снизить цену современной терапии </w:t>
      </w:r>
      <w:r w:rsidR="009A3EC5" w:rsidRPr="000F582A">
        <w:rPr>
          <w:szCs w:val="24"/>
        </w:rPr>
        <w:t>РА, псориатического артрита и ЯК.</w:t>
      </w:r>
    </w:p>
    <w:p w14:paraId="040ED873" w14:textId="381D55FE" w:rsidR="00DA4C45" w:rsidRDefault="00495A04" w:rsidP="00495A04">
      <w:pPr>
        <w:pStyle w:val="2"/>
        <w:numPr>
          <w:ilvl w:val="0"/>
          <w:numId w:val="0"/>
        </w:numPr>
        <w:ind w:left="576" w:hanging="576"/>
      </w:pPr>
      <w:bookmarkStart w:id="42" w:name="_Toc115421012"/>
      <w:bookmarkStart w:id="43" w:name="_Toc121592542"/>
      <w:r>
        <w:t xml:space="preserve">1.8. </w:t>
      </w:r>
      <w:r w:rsidR="00A128C4" w:rsidRPr="000F582A">
        <w:t>Ожидаемые показания к применению</w:t>
      </w:r>
      <w:bookmarkEnd w:id="42"/>
      <w:bookmarkEnd w:id="43"/>
    </w:p>
    <w:p w14:paraId="07971456" w14:textId="77777777" w:rsidR="00E53670" w:rsidRPr="00E53670" w:rsidRDefault="00E53670" w:rsidP="00E53670">
      <w:pPr>
        <w:pStyle w:val="SDText"/>
        <w:spacing w:after="0"/>
        <w:rPr>
          <w:szCs w:val="24"/>
        </w:rPr>
      </w:pPr>
    </w:p>
    <w:p w14:paraId="2B2E1964" w14:textId="77777777" w:rsidR="00E53670" w:rsidRPr="00E53670" w:rsidRDefault="00E53670" w:rsidP="00E53670">
      <w:pPr>
        <w:pStyle w:val="aff"/>
        <w:numPr>
          <w:ilvl w:val="0"/>
          <w:numId w:val="44"/>
        </w:numPr>
        <w:spacing w:after="0"/>
        <w:ind w:left="851"/>
        <w:rPr>
          <w:b/>
          <w:i/>
          <w:szCs w:val="24"/>
        </w:rPr>
      </w:pPr>
      <w:r w:rsidRPr="00E53670">
        <w:rPr>
          <w:b/>
          <w:i/>
          <w:szCs w:val="24"/>
        </w:rPr>
        <w:t>Ревматоидный артрит</w:t>
      </w:r>
    </w:p>
    <w:p w14:paraId="2290D4EA" w14:textId="06955CB8" w:rsidR="00E53670" w:rsidRPr="00E53670" w:rsidRDefault="00E53670" w:rsidP="00E53670">
      <w:pPr>
        <w:pStyle w:val="aff"/>
        <w:spacing w:after="0"/>
        <w:ind w:left="851" w:firstLine="0"/>
        <w:rPr>
          <w:szCs w:val="24"/>
        </w:rPr>
      </w:pPr>
      <w:r>
        <w:rPr>
          <w:szCs w:val="24"/>
        </w:rPr>
        <w:t xml:space="preserve">Тофацитиниб показан для </w:t>
      </w:r>
      <w:r w:rsidRPr="00E53670">
        <w:rPr>
          <w:szCs w:val="24"/>
        </w:rPr>
        <w:t>лечени</w:t>
      </w:r>
      <w:r>
        <w:rPr>
          <w:szCs w:val="24"/>
        </w:rPr>
        <w:t>я</w:t>
      </w:r>
      <w:r w:rsidRPr="00E53670">
        <w:rPr>
          <w:szCs w:val="24"/>
        </w:rPr>
        <w:t xml:space="preserve"> взрослых пациентов с умеренным или тяжелым активным ревматоидным артритом с неадекватным ответом на один или несколько базисных противовоспалительных препаратов (БПВП).</w:t>
      </w:r>
    </w:p>
    <w:p w14:paraId="2944E8B4" w14:textId="77777777" w:rsidR="00E53670" w:rsidRPr="00E53670" w:rsidRDefault="00E53670" w:rsidP="00E53670">
      <w:pPr>
        <w:pStyle w:val="aff"/>
        <w:numPr>
          <w:ilvl w:val="0"/>
          <w:numId w:val="44"/>
        </w:numPr>
        <w:spacing w:after="0"/>
        <w:ind w:left="851"/>
        <w:rPr>
          <w:b/>
          <w:i/>
          <w:szCs w:val="24"/>
        </w:rPr>
      </w:pPr>
      <w:r w:rsidRPr="00E53670">
        <w:rPr>
          <w:b/>
          <w:i/>
          <w:szCs w:val="24"/>
        </w:rPr>
        <w:t>Псориатический артрит</w:t>
      </w:r>
    </w:p>
    <w:p w14:paraId="53A0171C" w14:textId="1B819308" w:rsidR="00E53670" w:rsidRPr="00E53670" w:rsidRDefault="00E53670" w:rsidP="00E53670">
      <w:pPr>
        <w:pStyle w:val="aff"/>
        <w:spacing w:after="0"/>
        <w:ind w:left="851" w:firstLine="0"/>
        <w:rPr>
          <w:szCs w:val="24"/>
        </w:rPr>
      </w:pPr>
      <w:r>
        <w:rPr>
          <w:szCs w:val="24"/>
        </w:rPr>
        <w:t xml:space="preserve">Тофацитиниб показан для </w:t>
      </w:r>
      <w:r w:rsidRPr="00E53670">
        <w:rPr>
          <w:szCs w:val="24"/>
        </w:rPr>
        <w:t>лечени</w:t>
      </w:r>
      <w:r>
        <w:rPr>
          <w:szCs w:val="24"/>
        </w:rPr>
        <w:t xml:space="preserve">я </w:t>
      </w:r>
      <w:r w:rsidRPr="00E53670">
        <w:rPr>
          <w:szCs w:val="24"/>
        </w:rPr>
        <w:t>взрослых пациентов с активным псориатическим артритом с неадекватным ответом на один или несколько БПВП.</w:t>
      </w:r>
    </w:p>
    <w:p w14:paraId="3FA35F38" w14:textId="77777777" w:rsidR="00E53670" w:rsidRPr="00E53670" w:rsidRDefault="00E53670" w:rsidP="00E53670">
      <w:pPr>
        <w:pStyle w:val="aff"/>
        <w:numPr>
          <w:ilvl w:val="0"/>
          <w:numId w:val="44"/>
        </w:numPr>
        <w:spacing w:after="0"/>
        <w:ind w:left="851"/>
        <w:rPr>
          <w:b/>
          <w:i/>
          <w:szCs w:val="24"/>
        </w:rPr>
      </w:pPr>
      <w:r w:rsidRPr="00E53670">
        <w:rPr>
          <w:b/>
          <w:i/>
          <w:szCs w:val="24"/>
        </w:rPr>
        <w:t>Анкилозирующий спондилоартрит</w:t>
      </w:r>
    </w:p>
    <w:p w14:paraId="7988BD35" w14:textId="411F75E4" w:rsidR="00E53670" w:rsidRPr="00E53670" w:rsidRDefault="00E53670" w:rsidP="00E53670">
      <w:pPr>
        <w:pStyle w:val="aff"/>
        <w:spacing w:after="0"/>
        <w:ind w:left="851" w:firstLine="0"/>
        <w:rPr>
          <w:szCs w:val="24"/>
        </w:rPr>
      </w:pPr>
      <w:r>
        <w:rPr>
          <w:szCs w:val="24"/>
        </w:rPr>
        <w:t xml:space="preserve">Тофацитиниб показан для </w:t>
      </w:r>
      <w:r w:rsidRPr="00E53670">
        <w:rPr>
          <w:szCs w:val="24"/>
        </w:rPr>
        <w:t>лечени</w:t>
      </w:r>
      <w:r>
        <w:rPr>
          <w:szCs w:val="24"/>
        </w:rPr>
        <w:t xml:space="preserve">я </w:t>
      </w:r>
      <w:r w:rsidRPr="00E53670">
        <w:rPr>
          <w:szCs w:val="24"/>
        </w:rPr>
        <w:t>взрослых пациентов с активным анкилозирующим спондилоартритом (АС) с неадекватным ответом на традиционную терапию.</w:t>
      </w:r>
    </w:p>
    <w:p w14:paraId="0DCFA09B" w14:textId="77777777" w:rsidR="00E53670" w:rsidRPr="00E53670" w:rsidRDefault="00E53670" w:rsidP="00E53670">
      <w:pPr>
        <w:pStyle w:val="aff"/>
        <w:numPr>
          <w:ilvl w:val="0"/>
          <w:numId w:val="44"/>
        </w:numPr>
        <w:spacing w:after="0"/>
        <w:ind w:left="851"/>
        <w:rPr>
          <w:b/>
          <w:i/>
          <w:szCs w:val="24"/>
        </w:rPr>
      </w:pPr>
      <w:r w:rsidRPr="00E53670">
        <w:rPr>
          <w:b/>
          <w:i/>
          <w:szCs w:val="24"/>
        </w:rPr>
        <w:t>Бляшечный псориаз</w:t>
      </w:r>
    </w:p>
    <w:p w14:paraId="715101A5" w14:textId="738274A1" w:rsidR="00E53670" w:rsidRPr="00E53670" w:rsidRDefault="00E53670" w:rsidP="00E53670">
      <w:pPr>
        <w:pStyle w:val="aff"/>
        <w:spacing w:after="0"/>
        <w:ind w:left="851" w:firstLine="0"/>
        <w:rPr>
          <w:szCs w:val="24"/>
        </w:rPr>
      </w:pPr>
      <w:r>
        <w:rPr>
          <w:szCs w:val="24"/>
        </w:rPr>
        <w:t xml:space="preserve">Тофацитиниб показан для </w:t>
      </w:r>
      <w:r w:rsidRPr="00E53670">
        <w:rPr>
          <w:szCs w:val="24"/>
        </w:rPr>
        <w:t>лечени</w:t>
      </w:r>
      <w:r>
        <w:rPr>
          <w:szCs w:val="24"/>
        </w:rPr>
        <w:t>я</w:t>
      </w:r>
      <w:r w:rsidRPr="00E53670">
        <w:rPr>
          <w:szCs w:val="24"/>
        </w:rPr>
        <w:t xml:space="preserve"> взрослых с хроническим бляшечным псориазом умеренной или тяжелой степени выраженности, когда показана системная терапия или фототерапия.</w:t>
      </w:r>
    </w:p>
    <w:p w14:paraId="4BB8FEA4" w14:textId="77777777" w:rsidR="00E53670" w:rsidRPr="00E53670" w:rsidRDefault="00E53670" w:rsidP="00E53670">
      <w:pPr>
        <w:pStyle w:val="aff"/>
        <w:numPr>
          <w:ilvl w:val="0"/>
          <w:numId w:val="44"/>
        </w:numPr>
        <w:spacing w:after="0"/>
        <w:ind w:left="851"/>
        <w:rPr>
          <w:b/>
          <w:i/>
          <w:szCs w:val="24"/>
        </w:rPr>
      </w:pPr>
      <w:r w:rsidRPr="00E53670">
        <w:rPr>
          <w:b/>
          <w:i/>
          <w:szCs w:val="24"/>
        </w:rPr>
        <w:t>Язвенный колит</w:t>
      </w:r>
    </w:p>
    <w:p w14:paraId="130DC268" w14:textId="0F4B227C" w:rsidR="00E53670" w:rsidRPr="00E53670" w:rsidRDefault="00E53670" w:rsidP="00E53670">
      <w:pPr>
        <w:pStyle w:val="aff"/>
        <w:spacing w:after="0"/>
        <w:ind w:left="851" w:firstLine="0"/>
        <w:rPr>
          <w:szCs w:val="24"/>
        </w:rPr>
      </w:pPr>
      <w:r>
        <w:rPr>
          <w:szCs w:val="24"/>
        </w:rPr>
        <w:t xml:space="preserve">Тофацитиниб показан для </w:t>
      </w:r>
      <w:r w:rsidRPr="00E53670">
        <w:rPr>
          <w:szCs w:val="24"/>
        </w:rPr>
        <w:t>индукционн</w:t>
      </w:r>
      <w:r>
        <w:rPr>
          <w:szCs w:val="24"/>
        </w:rPr>
        <w:t>ой</w:t>
      </w:r>
      <w:r w:rsidRPr="00E53670">
        <w:rPr>
          <w:szCs w:val="24"/>
        </w:rPr>
        <w:t xml:space="preserve"> или поддерживающ</w:t>
      </w:r>
      <w:r>
        <w:rPr>
          <w:szCs w:val="24"/>
        </w:rPr>
        <w:t>ей</w:t>
      </w:r>
      <w:r w:rsidRPr="00E53670">
        <w:rPr>
          <w:szCs w:val="24"/>
        </w:rPr>
        <w:t xml:space="preserve"> терапи</w:t>
      </w:r>
      <w:r>
        <w:rPr>
          <w:szCs w:val="24"/>
        </w:rPr>
        <w:t>и</w:t>
      </w:r>
      <w:r w:rsidRPr="00E53670">
        <w:rPr>
          <w:szCs w:val="24"/>
        </w:rPr>
        <w:t xml:space="preserve"> взрослых пациентов с умеренным или тяжелым активным язвенным колитом (ЯК) с недостаточным ответом, потерей ответа или непереносимостью кортикостероидов, азатиоприна (АЗТ), 6-меркаптопурина (6-МП) или ингибиторов фактора некроза опухолей (ФНО). </w:t>
      </w:r>
    </w:p>
    <w:p w14:paraId="11E7C7AE" w14:textId="77777777" w:rsidR="00E53670" w:rsidRPr="00E53670" w:rsidRDefault="00E53670" w:rsidP="00E53670">
      <w:pPr>
        <w:pStyle w:val="aff"/>
        <w:numPr>
          <w:ilvl w:val="0"/>
          <w:numId w:val="44"/>
        </w:numPr>
        <w:spacing w:after="0"/>
        <w:ind w:left="851"/>
        <w:rPr>
          <w:b/>
          <w:i/>
          <w:szCs w:val="24"/>
        </w:rPr>
      </w:pPr>
      <w:r w:rsidRPr="00E53670">
        <w:rPr>
          <w:b/>
          <w:i/>
          <w:szCs w:val="24"/>
        </w:rPr>
        <w:t>Полиартикулярный ювенильный идиопатический артрит</w:t>
      </w:r>
    </w:p>
    <w:p w14:paraId="03E42506" w14:textId="20DB12A7" w:rsidR="00E53670" w:rsidRDefault="00E53670" w:rsidP="00E53670">
      <w:pPr>
        <w:pStyle w:val="aff"/>
        <w:spacing w:after="0"/>
        <w:ind w:left="851" w:firstLine="0"/>
        <w:rPr>
          <w:szCs w:val="24"/>
        </w:rPr>
      </w:pPr>
      <w:r>
        <w:rPr>
          <w:szCs w:val="24"/>
        </w:rPr>
        <w:t xml:space="preserve">Тофацитиниб показан для </w:t>
      </w:r>
      <w:r w:rsidRPr="00E53670">
        <w:rPr>
          <w:szCs w:val="24"/>
        </w:rPr>
        <w:t>активного пЮИА</w:t>
      </w:r>
      <w:r>
        <w:rPr>
          <w:szCs w:val="24"/>
        </w:rPr>
        <w:t xml:space="preserve"> </w:t>
      </w:r>
      <w:r w:rsidRPr="00E53670">
        <w:rPr>
          <w:szCs w:val="24"/>
        </w:rPr>
        <w:t>у пациентов в возрасте 2 лет и старше.</w:t>
      </w:r>
    </w:p>
    <w:p w14:paraId="4BE16577" w14:textId="77777777" w:rsidR="00E53670" w:rsidRPr="00E53670" w:rsidRDefault="00E53670" w:rsidP="00E53670">
      <w:pPr>
        <w:pStyle w:val="aff"/>
        <w:spacing w:after="0"/>
        <w:ind w:left="851" w:firstLine="0"/>
        <w:rPr>
          <w:szCs w:val="24"/>
        </w:rPr>
      </w:pPr>
    </w:p>
    <w:p w14:paraId="6986CABA" w14:textId="6F00079E" w:rsidR="00AA513A" w:rsidRPr="00364071" w:rsidRDefault="00DA4C45" w:rsidP="00EB2B5F">
      <w:pPr>
        <w:pStyle w:val="2"/>
        <w:numPr>
          <w:ilvl w:val="0"/>
          <w:numId w:val="0"/>
        </w:numPr>
        <w:ind w:left="576" w:hanging="576"/>
        <w:rPr>
          <w:lang w:val="en-US"/>
        </w:rPr>
      </w:pPr>
      <w:bookmarkStart w:id="44" w:name="_Toc121592543"/>
      <w:r w:rsidRPr="00AA513A">
        <w:t>Список</w:t>
      </w:r>
      <w:r w:rsidRPr="00D710DE">
        <w:rPr>
          <w:lang w:val="en-US"/>
        </w:rPr>
        <w:t xml:space="preserve"> </w:t>
      </w:r>
      <w:r w:rsidRPr="00AA513A">
        <w:t>литературы</w:t>
      </w:r>
      <w:bookmarkEnd w:id="44"/>
    </w:p>
    <w:p w14:paraId="6F311DD9" w14:textId="77777777" w:rsidR="00E53670" w:rsidRPr="00364071" w:rsidRDefault="00E53670" w:rsidP="00E53670">
      <w:pPr>
        <w:pStyle w:val="SDText"/>
        <w:spacing w:after="0"/>
        <w:rPr>
          <w:lang w:val="en-US"/>
        </w:rPr>
      </w:pPr>
    </w:p>
    <w:p w14:paraId="4D28F031" w14:textId="77777777" w:rsidR="00AA513A" w:rsidRPr="00AA513A" w:rsidRDefault="00AA513A" w:rsidP="00E53670">
      <w:pPr>
        <w:pStyle w:val="ab"/>
        <w:rPr>
          <w:lang w:val="en-US"/>
        </w:rPr>
      </w:pPr>
      <w:r w:rsidRPr="00512EE4">
        <w:rPr>
          <w:rFonts w:cs="Times New Roman"/>
          <w:lang w:val="en-US"/>
        </w:rPr>
        <w:t>1.</w:t>
      </w:r>
      <w:r w:rsidRPr="00512EE4">
        <w:rPr>
          <w:rFonts w:cs="Times New Roman"/>
          <w:lang w:val="en-US"/>
        </w:rPr>
        <w:tab/>
        <w:t>PubChem. Tofacitinib [Electronic resource]. URL</w:t>
      </w:r>
      <w:r w:rsidRPr="00AA513A">
        <w:rPr>
          <w:lang w:val="en-US"/>
        </w:rPr>
        <w:t>: https://pubchem.ncbi.nlm.nih.gov/compound/9926791</w:t>
      </w:r>
      <w:r w:rsidRPr="00512EE4">
        <w:rPr>
          <w:rFonts w:cs="Times New Roman"/>
          <w:lang w:val="en-US"/>
        </w:rPr>
        <w:t xml:space="preserve"> (accessed: 03.08.2022).</w:t>
      </w:r>
    </w:p>
    <w:p w14:paraId="369367A3" w14:textId="77777777" w:rsidR="00AA513A" w:rsidRPr="00512EE4" w:rsidRDefault="00AA513A" w:rsidP="00E53670">
      <w:pPr>
        <w:pStyle w:val="ab"/>
        <w:rPr>
          <w:rFonts w:cs="Times New Roman"/>
          <w:lang w:val="en-US"/>
        </w:rPr>
      </w:pPr>
      <w:r w:rsidRPr="00512EE4">
        <w:rPr>
          <w:rFonts w:cs="Times New Roman"/>
        </w:rPr>
        <w:t>2.</w:t>
      </w:r>
      <w:r w:rsidRPr="00512EE4">
        <w:rPr>
          <w:rFonts w:cs="Times New Roman"/>
        </w:rPr>
        <w:tab/>
        <w:t>Ассоциация ревматологов России. Ревматоидный артрит. Клинические</w:t>
      </w:r>
      <w:r w:rsidRPr="00AA513A">
        <w:rPr>
          <w:lang w:val="en-US"/>
        </w:rPr>
        <w:t xml:space="preserve"> </w:t>
      </w:r>
      <w:r w:rsidRPr="00512EE4">
        <w:rPr>
          <w:rFonts w:cs="Times New Roman"/>
        </w:rPr>
        <w:t>рекомендации</w:t>
      </w:r>
      <w:r w:rsidRPr="00AA513A">
        <w:rPr>
          <w:lang w:val="en-US"/>
        </w:rPr>
        <w:t xml:space="preserve"> [</w:t>
      </w:r>
      <w:r w:rsidRPr="00512EE4">
        <w:rPr>
          <w:rFonts w:cs="Times New Roman"/>
          <w:lang w:val="en-US"/>
        </w:rPr>
        <w:t>Electronic resource].</w:t>
      </w:r>
      <w:r w:rsidRPr="00AA513A">
        <w:rPr>
          <w:lang w:val="en-US"/>
        </w:rPr>
        <w:t xml:space="preserve"> </w:t>
      </w:r>
      <w:r w:rsidRPr="00512EE4">
        <w:rPr>
          <w:rFonts w:cs="Times New Roman"/>
          <w:lang w:val="en-US"/>
        </w:rPr>
        <w:t>2021. URL: https://cr.minzdrav.gov.ru/recomend/250_2 (accessed: 03.08.2022).</w:t>
      </w:r>
    </w:p>
    <w:p w14:paraId="4FFB97E7" w14:textId="227A983B" w:rsidR="00AA513A" w:rsidRPr="00512EE4" w:rsidRDefault="00AA513A" w:rsidP="00E53670">
      <w:pPr>
        <w:pStyle w:val="ab"/>
        <w:rPr>
          <w:rFonts w:cs="Times New Roman"/>
        </w:rPr>
      </w:pPr>
      <w:r w:rsidRPr="00512EE4">
        <w:rPr>
          <w:rFonts w:cs="Times New Roman"/>
        </w:rPr>
        <w:t>3.</w:t>
      </w:r>
      <w:r w:rsidRPr="00512EE4">
        <w:rPr>
          <w:rFonts w:cs="Times New Roman"/>
        </w:rPr>
        <w:tab/>
        <w:t>Общероссийская общественная организация “Российское общество дерматовенерологов и косметологов.” Псориаз артропатический. Псориатический артрит.</w:t>
      </w:r>
      <w:r w:rsidR="00383E6F">
        <w:rPr>
          <w:rFonts w:cs="Times New Roman"/>
        </w:rPr>
        <w:t xml:space="preserve"> </w:t>
      </w:r>
      <w:r w:rsidRPr="00512EE4">
        <w:rPr>
          <w:rFonts w:cs="Times New Roman"/>
        </w:rPr>
        <w:t>Клинические рекомендации [Electronic resource]. 2021. URL: https://cr.minzdrav.gov.ru/recomend/562_2 (accessed: 03.08.2022).</w:t>
      </w:r>
    </w:p>
    <w:p w14:paraId="01FF61E6" w14:textId="77777777" w:rsidR="00AA513A" w:rsidRPr="00512EE4" w:rsidRDefault="00AA513A" w:rsidP="00E53670">
      <w:pPr>
        <w:pStyle w:val="ab"/>
        <w:rPr>
          <w:rFonts w:cs="Times New Roman"/>
        </w:rPr>
      </w:pPr>
      <w:r w:rsidRPr="00512EE4">
        <w:rPr>
          <w:rFonts w:cs="Times New Roman"/>
        </w:rPr>
        <w:t>4.</w:t>
      </w:r>
      <w:r w:rsidRPr="00512EE4">
        <w:rPr>
          <w:rFonts w:cs="Times New Roman"/>
        </w:rPr>
        <w:tab/>
        <w:t>Анкилозирующий спондилит. Клинические рекомендации. [Electronic resource] // medi.ru. URL: https://medi.ru/klinicheskie-rekomendatsii/ankiloziruyuschij-spondilit_13858/ (accessed: 26.10.2022).</w:t>
      </w:r>
    </w:p>
    <w:p w14:paraId="3D5B5406" w14:textId="77777777" w:rsidR="00AA513A" w:rsidRPr="00512EE4" w:rsidRDefault="00AA513A" w:rsidP="00E53670">
      <w:pPr>
        <w:pStyle w:val="ab"/>
        <w:rPr>
          <w:rFonts w:cs="Times New Roman"/>
          <w:lang w:val="en-US"/>
        </w:rPr>
      </w:pPr>
      <w:r w:rsidRPr="00512EE4">
        <w:rPr>
          <w:rFonts w:cs="Times New Roman"/>
        </w:rPr>
        <w:lastRenderedPageBreak/>
        <w:t>5.</w:t>
      </w:r>
      <w:r w:rsidRPr="00512EE4">
        <w:rPr>
          <w:rFonts w:cs="Times New Roman"/>
        </w:rPr>
        <w:tab/>
        <w:t xml:space="preserve">Псориаз. Клинические рекомендации [Electronic resource]. </w:t>
      </w:r>
      <w:r w:rsidRPr="00512EE4">
        <w:rPr>
          <w:rFonts w:cs="Times New Roman"/>
          <w:lang w:val="en-US"/>
        </w:rPr>
        <w:t>2020. URL: https://cr.minzdrav.gov.ru/recomend/234_1.</w:t>
      </w:r>
    </w:p>
    <w:p w14:paraId="73B34F1C" w14:textId="77777777" w:rsidR="00AA513A" w:rsidRPr="00512EE4" w:rsidRDefault="00AA513A" w:rsidP="00E53670">
      <w:pPr>
        <w:pStyle w:val="ab"/>
        <w:rPr>
          <w:rFonts w:cs="Times New Roman"/>
          <w:lang w:val="en-US"/>
        </w:rPr>
      </w:pPr>
      <w:r w:rsidRPr="00512EE4">
        <w:rPr>
          <w:rFonts w:cs="Times New Roman"/>
        </w:rPr>
        <w:t>6.</w:t>
      </w:r>
      <w:r w:rsidRPr="00512EE4">
        <w:rPr>
          <w:rFonts w:cs="Times New Roman"/>
        </w:rPr>
        <w:tab/>
        <w:t>Российская Гастроэнтерологическая Ассоциация. Язвенный колит. Клинические</w:t>
      </w:r>
      <w:r w:rsidRPr="00512EE4">
        <w:rPr>
          <w:rFonts w:cs="Times New Roman"/>
          <w:lang w:val="en-US"/>
        </w:rPr>
        <w:t xml:space="preserve"> </w:t>
      </w:r>
      <w:r w:rsidRPr="00512EE4">
        <w:rPr>
          <w:rFonts w:cs="Times New Roman"/>
        </w:rPr>
        <w:t>рекомендации</w:t>
      </w:r>
      <w:r w:rsidRPr="00512EE4">
        <w:rPr>
          <w:rFonts w:cs="Times New Roman"/>
          <w:lang w:val="en-US"/>
        </w:rPr>
        <w:t xml:space="preserve"> [Electronic resource]. 2020. URL: https://cr.minzdrav.gov.ru/recomend/193_1 (accessed: 03.08.2022).</w:t>
      </w:r>
    </w:p>
    <w:p w14:paraId="40EEC95A" w14:textId="77777777" w:rsidR="00AA513A" w:rsidRPr="00512EE4" w:rsidRDefault="00AA513A" w:rsidP="00E53670">
      <w:pPr>
        <w:pStyle w:val="ab"/>
        <w:rPr>
          <w:rFonts w:cs="Times New Roman"/>
        </w:rPr>
      </w:pPr>
      <w:r w:rsidRPr="00512EE4">
        <w:rPr>
          <w:rFonts w:cs="Times New Roman"/>
        </w:rPr>
        <w:t>7.</w:t>
      </w:r>
      <w:r w:rsidRPr="00512EE4">
        <w:rPr>
          <w:rFonts w:cs="Times New Roman"/>
        </w:rPr>
        <w:tab/>
        <w:t>Юношеский артрит с системным началом. Клинические рекомендации [Electronic resource]. URL: https://aspirre-russia.ru/upload/medialibrary/ddb/%D0%9A%D0%A0%20%D1%81%D0%AE%D0%98%D0%90_%D0%90%D0%94%D0%A0.pdf.</w:t>
      </w:r>
    </w:p>
    <w:p w14:paraId="23AF55FE" w14:textId="77777777" w:rsidR="00AA513A" w:rsidRPr="00512EE4" w:rsidRDefault="00AA513A" w:rsidP="00E53670">
      <w:pPr>
        <w:pStyle w:val="ab"/>
        <w:rPr>
          <w:rFonts w:cs="Times New Roman"/>
          <w:lang w:val="en-US"/>
        </w:rPr>
      </w:pPr>
      <w:r w:rsidRPr="00512EE4">
        <w:rPr>
          <w:rFonts w:cs="Times New Roman"/>
          <w:lang w:val="en-US"/>
        </w:rPr>
        <w:t>8.</w:t>
      </w:r>
      <w:r w:rsidRPr="00512EE4">
        <w:rPr>
          <w:rFonts w:cs="Times New Roman"/>
          <w:lang w:val="en-US"/>
        </w:rPr>
        <w:tab/>
        <w:t>Tofacitinib Tablets: Indications, Side Effects, Warnings [Electronic resource] // Drugs.com. URL: https://www.drugs.com/cdi/tofacitinib-tablets.html (accessed: 19.09.2022).</w:t>
      </w:r>
    </w:p>
    <w:p w14:paraId="1882B204" w14:textId="77777777" w:rsidR="00AA513A" w:rsidRPr="00512EE4" w:rsidRDefault="00AA513A" w:rsidP="00E53670">
      <w:pPr>
        <w:pStyle w:val="ab"/>
        <w:rPr>
          <w:rFonts w:cs="Times New Roman"/>
          <w:lang w:val="en-US"/>
        </w:rPr>
      </w:pPr>
      <w:r w:rsidRPr="00512EE4">
        <w:rPr>
          <w:rFonts w:cs="Times New Roman"/>
          <w:lang w:val="en-US"/>
        </w:rPr>
        <w:t>9.</w:t>
      </w:r>
      <w:r w:rsidRPr="00512EE4">
        <w:rPr>
          <w:rFonts w:cs="Times New Roman"/>
          <w:lang w:val="en-US"/>
        </w:rPr>
        <w:tab/>
        <w:t>Dhillon S. Tofacitinib: A review in rheumatoid arthritis // Drugs. 2017. Vol. 77, № 18. P. 1987–2001.</w:t>
      </w:r>
    </w:p>
    <w:p w14:paraId="68F3F487" w14:textId="77777777" w:rsidR="00AA513A" w:rsidRPr="00512EE4" w:rsidRDefault="00AA513A" w:rsidP="00E53670">
      <w:pPr>
        <w:pStyle w:val="ab"/>
        <w:rPr>
          <w:rFonts w:cs="Times New Roman"/>
          <w:lang w:val="en-US"/>
        </w:rPr>
      </w:pPr>
      <w:r w:rsidRPr="00512EE4">
        <w:rPr>
          <w:rFonts w:cs="Times New Roman"/>
          <w:lang w:val="en-US"/>
        </w:rPr>
        <w:t>10.</w:t>
      </w:r>
      <w:r w:rsidRPr="00512EE4">
        <w:rPr>
          <w:rFonts w:cs="Times New Roman"/>
          <w:lang w:val="en-US"/>
        </w:rPr>
        <w:tab/>
        <w:t>Paik J., Deeks E.D. Tofacitinib: A review in psoriatic arthritis // Drugs. 2019. Vol. 79, № 6. P. 655–663.</w:t>
      </w:r>
    </w:p>
    <w:p w14:paraId="1EA7650D" w14:textId="4464E5DB" w:rsidR="00DA4C45" w:rsidRDefault="00AA513A" w:rsidP="00791E09">
      <w:pPr>
        <w:pStyle w:val="ab"/>
        <w:rPr>
          <w:rFonts w:cs="Times New Roman"/>
        </w:rPr>
      </w:pPr>
      <w:r w:rsidRPr="00512EE4">
        <w:rPr>
          <w:rFonts w:cs="Times New Roman"/>
          <w:lang w:val="en-US"/>
        </w:rPr>
        <w:t>11.</w:t>
      </w:r>
      <w:r w:rsidRPr="00512EE4">
        <w:rPr>
          <w:rFonts w:cs="Times New Roman"/>
          <w:lang w:val="en-US"/>
        </w:rPr>
        <w:tab/>
        <w:t>Fernández-Clotet A., Castro-Poceiro J., Panés J. Tofacitinib for the treatment of ulcerative colitis // Expert Rev. Clin. Immunol</w:t>
      </w:r>
      <w:r w:rsidRPr="007003A8">
        <w:rPr>
          <w:rFonts w:cs="Times New Roman"/>
        </w:rPr>
        <w:t xml:space="preserve">. </w:t>
      </w:r>
      <w:r w:rsidRPr="00512EE4">
        <w:rPr>
          <w:rFonts w:cs="Times New Roman"/>
          <w:lang w:val="en-US"/>
        </w:rPr>
        <w:t>Taylor</w:t>
      </w:r>
      <w:r w:rsidRPr="007003A8">
        <w:rPr>
          <w:rFonts w:cs="Times New Roman"/>
        </w:rPr>
        <w:t xml:space="preserve"> &amp; </w:t>
      </w:r>
      <w:r w:rsidRPr="00512EE4">
        <w:rPr>
          <w:rFonts w:cs="Times New Roman"/>
          <w:lang w:val="en-US"/>
        </w:rPr>
        <w:t>Francis</w:t>
      </w:r>
      <w:r w:rsidRPr="007003A8">
        <w:rPr>
          <w:rFonts w:cs="Times New Roman"/>
        </w:rPr>
        <w:t xml:space="preserve">, 2018. </w:t>
      </w:r>
      <w:r w:rsidRPr="00512EE4">
        <w:rPr>
          <w:rFonts w:cs="Times New Roman"/>
          <w:lang w:val="en-US"/>
        </w:rPr>
        <w:t>Vol</w:t>
      </w:r>
      <w:r w:rsidRPr="007003A8">
        <w:rPr>
          <w:rFonts w:cs="Times New Roman"/>
        </w:rPr>
        <w:t xml:space="preserve">. 14, № 11. </w:t>
      </w:r>
      <w:r w:rsidRPr="00512EE4">
        <w:rPr>
          <w:rFonts w:cs="Times New Roman"/>
          <w:lang w:val="en-US"/>
        </w:rPr>
        <w:t>P</w:t>
      </w:r>
      <w:r w:rsidRPr="007003A8">
        <w:rPr>
          <w:rFonts w:cs="Times New Roman"/>
        </w:rPr>
        <w:t>. 881–892.</w:t>
      </w:r>
    </w:p>
    <w:p w14:paraId="6DD2D9C6" w14:textId="77777777" w:rsidR="00791E09" w:rsidRPr="00791E09" w:rsidRDefault="00791E09" w:rsidP="00791E09"/>
    <w:p w14:paraId="67D978F2" w14:textId="1E94A6EE" w:rsidR="0032771F" w:rsidRDefault="00495A04" w:rsidP="00EB2B5F">
      <w:pPr>
        <w:pStyle w:val="1"/>
      </w:pPr>
      <w:bookmarkStart w:id="45" w:name="_Toc115421013"/>
      <w:bookmarkStart w:id="46" w:name="_Toc121592544"/>
      <w:r>
        <w:t xml:space="preserve">2. </w:t>
      </w:r>
      <w:r w:rsidR="000E2E22" w:rsidRPr="00DA4C45">
        <w:t>ФИЗИЧЕСКИЕ, ХИМИЧЕСКИЕ, ФАРМАЦЕВТИЧЕСКИЕ СВОЙСТВА И ЛЕКАРСТВЕННАЯ ФОРМА</w:t>
      </w:r>
      <w:bookmarkEnd w:id="45"/>
      <w:bookmarkEnd w:id="46"/>
    </w:p>
    <w:p w14:paraId="332BDB24" w14:textId="77777777" w:rsidR="00DA4C45" w:rsidRPr="00DA4C45" w:rsidRDefault="00DA4C45" w:rsidP="00DE11C7">
      <w:pPr>
        <w:pStyle w:val="OT"/>
      </w:pPr>
    </w:p>
    <w:p w14:paraId="3482B258" w14:textId="45A2E66A" w:rsidR="00DA4C45" w:rsidRDefault="00495A04" w:rsidP="00495A04">
      <w:pPr>
        <w:pStyle w:val="2"/>
        <w:numPr>
          <w:ilvl w:val="0"/>
          <w:numId w:val="0"/>
        </w:numPr>
        <w:ind w:left="576" w:hanging="576"/>
      </w:pPr>
      <w:bookmarkStart w:id="47" w:name="_Toc115421014"/>
      <w:bookmarkStart w:id="48" w:name="_Toc121592545"/>
      <w:r>
        <w:t xml:space="preserve">2.1. </w:t>
      </w:r>
      <w:r w:rsidR="006274AC" w:rsidRPr="00DA4C45">
        <w:t xml:space="preserve">Описание свойств исследуемого </w:t>
      </w:r>
      <w:r w:rsidR="006274AC" w:rsidRPr="00EB2B5F">
        <w:t>препарата</w:t>
      </w:r>
      <w:bookmarkEnd w:id="47"/>
      <w:bookmarkEnd w:id="48"/>
    </w:p>
    <w:p w14:paraId="040F87C6" w14:textId="77777777" w:rsidR="00001452" w:rsidRPr="00001452" w:rsidRDefault="00001452" w:rsidP="00001452">
      <w:pPr>
        <w:pStyle w:val="SDText"/>
        <w:spacing w:after="0"/>
      </w:pPr>
    </w:p>
    <w:p w14:paraId="399AC659" w14:textId="29C98CEE" w:rsidR="006274AC" w:rsidRDefault="00495A04" w:rsidP="00495A04">
      <w:pPr>
        <w:pStyle w:val="3"/>
        <w:numPr>
          <w:ilvl w:val="0"/>
          <w:numId w:val="0"/>
        </w:numPr>
        <w:ind w:left="720" w:hanging="720"/>
      </w:pPr>
      <w:bookmarkStart w:id="49" w:name="_Toc115421015"/>
      <w:bookmarkStart w:id="50" w:name="_Toc121592546"/>
      <w:r>
        <w:t xml:space="preserve">2.1.1. </w:t>
      </w:r>
      <w:r w:rsidR="003C4FA9" w:rsidRPr="00DA4C45">
        <w:t xml:space="preserve">Химическая </w:t>
      </w:r>
      <w:r w:rsidR="003C4FA9" w:rsidRPr="00EB2B5F">
        <w:t>формула</w:t>
      </w:r>
      <w:bookmarkEnd w:id="49"/>
      <w:bookmarkEnd w:id="50"/>
    </w:p>
    <w:p w14:paraId="1500B1A3" w14:textId="77777777" w:rsidR="00DA4C45" w:rsidRPr="00DA4C45" w:rsidRDefault="00DA4C45" w:rsidP="00DA4C45">
      <w:pPr>
        <w:pStyle w:val="SDText"/>
        <w:contextualSpacing/>
      </w:pPr>
    </w:p>
    <w:p w14:paraId="3549520F" w14:textId="35311948" w:rsidR="002D5834" w:rsidRDefault="00426D99" w:rsidP="00001452">
      <w:pPr>
        <w:pStyle w:val="SDText"/>
        <w:ind w:firstLine="0"/>
        <w:contextualSpacing/>
        <w:rPr>
          <w:szCs w:val="24"/>
        </w:rPr>
      </w:pPr>
      <w:r w:rsidRPr="00DA4C45">
        <w:rPr>
          <w:szCs w:val="24"/>
        </w:rPr>
        <w:t>C</w:t>
      </w:r>
      <w:r w:rsidRPr="00DA4C45">
        <w:rPr>
          <w:szCs w:val="24"/>
          <w:vertAlign w:val="subscript"/>
        </w:rPr>
        <w:t>16</w:t>
      </w:r>
      <w:r w:rsidRPr="00DA4C45">
        <w:rPr>
          <w:szCs w:val="24"/>
        </w:rPr>
        <w:t>H</w:t>
      </w:r>
      <w:r w:rsidRPr="00DA4C45">
        <w:rPr>
          <w:szCs w:val="24"/>
          <w:vertAlign w:val="subscript"/>
        </w:rPr>
        <w:t>20</w:t>
      </w:r>
      <w:r w:rsidRPr="00DA4C45">
        <w:rPr>
          <w:szCs w:val="24"/>
        </w:rPr>
        <w:t>N</w:t>
      </w:r>
      <w:r w:rsidRPr="00DA4C45">
        <w:rPr>
          <w:szCs w:val="24"/>
          <w:vertAlign w:val="subscript"/>
        </w:rPr>
        <w:t>6</w:t>
      </w:r>
      <w:r w:rsidRPr="00DA4C45">
        <w:rPr>
          <w:szCs w:val="24"/>
        </w:rPr>
        <w:t>O</w:t>
      </w:r>
      <w:r w:rsidR="0079697D" w:rsidRPr="00DA4C45">
        <w:rPr>
          <w:szCs w:val="24"/>
        </w:rPr>
        <w:t xml:space="preserve"> </w:t>
      </w:r>
    </w:p>
    <w:p w14:paraId="58DDC88A" w14:textId="77EDE804" w:rsidR="002D5834" w:rsidRPr="002D5834" w:rsidRDefault="00495A04" w:rsidP="00495A04">
      <w:pPr>
        <w:pStyle w:val="3"/>
        <w:numPr>
          <w:ilvl w:val="0"/>
          <w:numId w:val="0"/>
        </w:numPr>
        <w:ind w:left="720" w:hanging="720"/>
      </w:pPr>
      <w:bookmarkStart w:id="51" w:name="_Toc121592547"/>
      <w:r>
        <w:t xml:space="preserve">2.1.2. </w:t>
      </w:r>
      <w:r w:rsidR="002D5834" w:rsidRPr="002D5834">
        <w:t xml:space="preserve">Структурная </w:t>
      </w:r>
      <w:r w:rsidR="002D5834" w:rsidRPr="00EB2B5F">
        <w:t>формула</w:t>
      </w:r>
      <w:bookmarkEnd w:id="51"/>
    </w:p>
    <w:p w14:paraId="32365647" w14:textId="77777777" w:rsidR="002D5834" w:rsidRDefault="002D5834" w:rsidP="00DA4C45">
      <w:pPr>
        <w:pStyle w:val="SDText"/>
        <w:contextualSpacing/>
        <w:rPr>
          <w:szCs w:val="24"/>
        </w:rPr>
      </w:pPr>
    </w:p>
    <w:p w14:paraId="56AB819F" w14:textId="2801F7C9" w:rsidR="00DA4C45" w:rsidRPr="00DA4C45" w:rsidRDefault="002D5834" w:rsidP="002D5834">
      <w:pPr>
        <w:pStyle w:val="SDText"/>
        <w:ind w:firstLine="0"/>
        <w:contextualSpacing/>
        <w:rPr>
          <w:szCs w:val="24"/>
        </w:rPr>
      </w:pPr>
      <w:bookmarkStart w:id="52" w:name="_Toc115421119"/>
      <w:r w:rsidRPr="002D5834">
        <w:rPr>
          <w:b/>
        </w:rPr>
        <w:t xml:space="preserve">Рисунок </w:t>
      </w:r>
      <w:r w:rsidR="001A5232">
        <w:rPr>
          <w:b/>
        </w:rPr>
        <w:fldChar w:fldCharType="begin"/>
      </w:r>
      <w:r w:rsidR="001A5232">
        <w:rPr>
          <w:b/>
        </w:rPr>
        <w:instrText xml:space="preserve"> STYLEREF 1 \s </w:instrText>
      </w:r>
      <w:r w:rsidR="001A5232">
        <w:rPr>
          <w:b/>
        </w:rPr>
        <w:fldChar w:fldCharType="separate"/>
      </w:r>
      <w:r w:rsidR="00383E6F">
        <w:rPr>
          <w:b/>
          <w:noProof/>
        </w:rPr>
        <w:t>2</w:t>
      </w:r>
      <w:r w:rsidR="001A5232">
        <w:rPr>
          <w:b/>
        </w:rPr>
        <w:fldChar w:fldCharType="end"/>
      </w:r>
      <w:r w:rsidR="001A5232">
        <w:rPr>
          <w:b/>
        </w:rPr>
        <w:noBreakHyphen/>
      </w:r>
      <w:r w:rsidR="001A5232">
        <w:rPr>
          <w:b/>
        </w:rPr>
        <w:fldChar w:fldCharType="begin"/>
      </w:r>
      <w:r w:rsidR="001A5232">
        <w:rPr>
          <w:b/>
        </w:rPr>
        <w:instrText xml:space="preserve"> SEQ Рисунок \* ARABIC \s 1 </w:instrText>
      </w:r>
      <w:r w:rsidR="001A5232">
        <w:rPr>
          <w:b/>
        </w:rPr>
        <w:fldChar w:fldCharType="separate"/>
      </w:r>
      <w:r w:rsidR="00383E6F">
        <w:rPr>
          <w:b/>
          <w:noProof/>
        </w:rPr>
        <w:t>1</w:t>
      </w:r>
      <w:r w:rsidR="001A5232">
        <w:rPr>
          <w:b/>
        </w:rPr>
        <w:fldChar w:fldCharType="end"/>
      </w:r>
      <w:r w:rsidRPr="002D5834">
        <w:rPr>
          <w:b/>
        </w:rPr>
        <w:t>.</w:t>
      </w:r>
      <w:r w:rsidRPr="00DA4C45">
        <w:t xml:space="preserve"> </w:t>
      </w:r>
      <w:bookmarkEnd w:id="52"/>
      <w:r w:rsidRPr="00DA4C45">
        <w:t>Структурная формула тофацитиниба</w:t>
      </w:r>
    </w:p>
    <w:p w14:paraId="0E7C4967" w14:textId="162792BF" w:rsidR="007476A0" w:rsidRPr="002D5834" w:rsidRDefault="00001452" w:rsidP="00001452">
      <w:pPr>
        <w:pStyle w:val="a3"/>
        <w:jc w:val="left"/>
      </w:pPr>
      <w:r>
        <w:rPr>
          <w:noProof/>
          <w:lang w:eastAsia="ru-RU"/>
        </w:rPr>
        <w:drawing>
          <wp:inline distT="0" distB="0" distL="0" distR="0" wp14:anchorId="0A1E42C3" wp14:editId="48DDD16D">
            <wp:extent cx="2959477" cy="2162175"/>
            <wp:effectExtent l="0" t="0" r="0" b="0"/>
            <wp:docPr id="5" name="Рисунок 5" descr="Тофацитиниб — описание вещества, фармакология, применение,  противопоказания,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офацитиниб — описание вещества, фармакология, применение,  противопоказания, форму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872" cy="2181459"/>
                    </a:xfrm>
                    <a:prstGeom prst="rect">
                      <a:avLst/>
                    </a:prstGeom>
                    <a:noFill/>
                    <a:ln>
                      <a:noFill/>
                    </a:ln>
                  </pic:spPr>
                </pic:pic>
              </a:graphicData>
            </a:graphic>
          </wp:inline>
        </w:drawing>
      </w:r>
    </w:p>
    <w:p w14:paraId="6F6B82ED" w14:textId="56BF1AAB" w:rsidR="002D5834" w:rsidRPr="002D5834" w:rsidRDefault="00DE3045" w:rsidP="00001452">
      <w:pPr>
        <w:ind w:firstLine="0"/>
        <w:contextualSpacing/>
        <w:rPr>
          <w:bCs/>
          <w:szCs w:val="24"/>
        </w:rPr>
      </w:pPr>
      <w:r w:rsidRPr="00001452">
        <w:rPr>
          <w:b/>
          <w:bCs/>
          <w:szCs w:val="24"/>
        </w:rPr>
        <w:t>Молекулярная масса</w:t>
      </w:r>
      <w:r w:rsidR="00001452" w:rsidRPr="00001452">
        <w:rPr>
          <w:b/>
          <w:bCs/>
          <w:szCs w:val="24"/>
        </w:rPr>
        <w:t>:</w:t>
      </w:r>
      <w:r w:rsidRPr="00001452">
        <w:rPr>
          <w:b/>
          <w:bCs/>
          <w:szCs w:val="24"/>
        </w:rPr>
        <w:t xml:space="preserve"> </w:t>
      </w:r>
      <w:r w:rsidRPr="002D5834">
        <w:rPr>
          <w:bCs/>
          <w:szCs w:val="24"/>
        </w:rPr>
        <w:t>312</w:t>
      </w:r>
      <w:r w:rsidR="00E93486" w:rsidRPr="002D5834">
        <w:rPr>
          <w:bCs/>
          <w:szCs w:val="24"/>
        </w:rPr>
        <w:t>,</w:t>
      </w:r>
      <w:r w:rsidRPr="002D5834">
        <w:rPr>
          <w:bCs/>
          <w:szCs w:val="24"/>
        </w:rPr>
        <w:t>37</w:t>
      </w:r>
      <w:r w:rsidR="00E93486" w:rsidRPr="002D5834">
        <w:rPr>
          <w:bCs/>
          <w:szCs w:val="24"/>
        </w:rPr>
        <w:t xml:space="preserve"> г/моль</w:t>
      </w:r>
      <w:r w:rsidR="00001452">
        <w:rPr>
          <w:bCs/>
          <w:szCs w:val="24"/>
        </w:rPr>
        <w:t>.</w:t>
      </w:r>
    </w:p>
    <w:p w14:paraId="0A3F5833" w14:textId="77777777" w:rsidR="00791E09" w:rsidRDefault="00791E09" w:rsidP="00495A04">
      <w:pPr>
        <w:pStyle w:val="3"/>
        <w:numPr>
          <w:ilvl w:val="0"/>
          <w:numId w:val="0"/>
        </w:numPr>
        <w:ind w:left="720" w:hanging="720"/>
        <w:sectPr w:rsidR="00791E09" w:rsidSect="00F85178">
          <w:pgSz w:w="11906" w:h="16838"/>
          <w:pgMar w:top="1134" w:right="850" w:bottom="1134" w:left="1701" w:header="708" w:footer="708" w:gutter="0"/>
          <w:cols w:space="708"/>
          <w:docGrid w:linePitch="360"/>
        </w:sectPr>
      </w:pPr>
      <w:bookmarkStart w:id="53" w:name="_Toc115421017"/>
      <w:bookmarkStart w:id="54" w:name="_Toc121592548"/>
    </w:p>
    <w:p w14:paraId="08510DE5" w14:textId="79854F47" w:rsidR="002A4491" w:rsidRPr="00DA4C45" w:rsidRDefault="00495A04" w:rsidP="00495A04">
      <w:pPr>
        <w:pStyle w:val="3"/>
        <w:numPr>
          <w:ilvl w:val="0"/>
          <w:numId w:val="0"/>
        </w:numPr>
        <w:ind w:left="720" w:hanging="720"/>
      </w:pPr>
      <w:r>
        <w:lastRenderedPageBreak/>
        <w:t xml:space="preserve">2.1.3. </w:t>
      </w:r>
      <w:r w:rsidR="008A576D" w:rsidRPr="00DA4C45">
        <w:t>Физико-</w:t>
      </w:r>
      <w:r w:rsidR="008A576D" w:rsidRPr="00EB2B5F">
        <w:t>химические</w:t>
      </w:r>
      <w:r w:rsidR="008A576D" w:rsidRPr="00DA4C45">
        <w:t xml:space="preserve"> и фармацевтические свойства</w:t>
      </w:r>
      <w:bookmarkEnd w:id="53"/>
      <w:bookmarkEnd w:id="54"/>
    </w:p>
    <w:p w14:paraId="49AD5093" w14:textId="77777777" w:rsidR="002D5834" w:rsidRDefault="002D5834" w:rsidP="00DA4C45">
      <w:pPr>
        <w:pStyle w:val="SDText"/>
        <w:contextualSpacing/>
        <w:rPr>
          <w:szCs w:val="24"/>
        </w:rPr>
      </w:pPr>
    </w:p>
    <w:p w14:paraId="7999E2C0" w14:textId="58079863" w:rsidR="00364E23" w:rsidRPr="00DA4C45" w:rsidRDefault="007E53EB" w:rsidP="00DA4C45">
      <w:pPr>
        <w:pStyle w:val="SDText"/>
        <w:contextualSpacing/>
        <w:rPr>
          <w:szCs w:val="24"/>
        </w:rPr>
      </w:pPr>
      <w:r w:rsidRPr="00DA4C45">
        <w:rPr>
          <w:szCs w:val="24"/>
        </w:rPr>
        <w:t xml:space="preserve">Тофацитиниб представляет собой </w:t>
      </w:r>
      <w:r w:rsidR="00DB6E23" w:rsidRPr="00DA4C45">
        <w:rPr>
          <w:szCs w:val="24"/>
        </w:rPr>
        <w:t xml:space="preserve">желтую пену, тофацитиниба моноцитрат – </w:t>
      </w:r>
      <w:r w:rsidR="00A02842" w:rsidRPr="00DA4C45">
        <w:rPr>
          <w:szCs w:val="24"/>
        </w:rPr>
        <w:t>белые кристаллы</w:t>
      </w:r>
      <w:r w:rsidR="00027B5C" w:rsidRPr="00DA4C45">
        <w:rPr>
          <w:szCs w:val="24"/>
        </w:rPr>
        <w:t xml:space="preserve"> с температурой плавления 199-206°C</w:t>
      </w:r>
      <w:r w:rsidR="00040043" w:rsidRPr="00DA4C45">
        <w:rPr>
          <w:szCs w:val="24"/>
        </w:rPr>
        <w:t xml:space="preserve">. Растворимость тофацитиниба </w:t>
      </w:r>
      <w:r w:rsidR="00EF594F" w:rsidRPr="00DA4C45">
        <w:rPr>
          <w:szCs w:val="24"/>
        </w:rPr>
        <w:t xml:space="preserve">в воде составляет </w:t>
      </w:r>
      <w:r w:rsidR="0020484B" w:rsidRPr="00DA4C45">
        <w:rPr>
          <w:szCs w:val="24"/>
        </w:rPr>
        <w:t>155</w:t>
      </w:r>
      <w:r w:rsidR="0061010C" w:rsidRPr="00DA4C45">
        <w:rPr>
          <w:szCs w:val="24"/>
        </w:rPr>
        <w:t>,</w:t>
      </w:r>
      <w:r w:rsidR="0020484B" w:rsidRPr="00DA4C45">
        <w:rPr>
          <w:szCs w:val="24"/>
        </w:rPr>
        <w:t xml:space="preserve">1 </w:t>
      </w:r>
      <w:r w:rsidR="0061010C" w:rsidRPr="00DA4C45">
        <w:rPr>
          <w:szCs w:val="24"/>
        </w:rPr>
        <w:t>мг</w:t>
      </w:r>
      <w:r w:rsidR="0020484B" w:rsidRPr="00DA4C45">
        <w:rPr>
          <w:szCs w:val="24"/>
        </w:rPr>
        <w:t>/</w:t>
      </w:r>
      <w:r w:rsidR="00DA03A9" w:rsidRPr="00DA4C45">
        <w:rPr>
          <w:szCs w:val="24"/>
        </w:rPr>
        <w:t>л</w:t>
      </w:r>
      <w:r w:rsidR="0020484B" w:rsidRPr="00DA4C45">
        <w:rPr>
          <w:szCs w:val="24"/>
        </w:rPr>
        <w:t xml:space="preserve"> </w:t>
      </w:r>
      <w:r w:rsidR="00DA03A9" w:rsidRPr="00DA4C45">
        <w:rPr>
          <w:szCs w:val="24"/>
        </w:rPr>
        <w:t>при</w:t>
      </w:r>
      <w:r w:rsidR="0020484B" w:rsidRPr="00DA4C45">
        <w:rPr>
          <w:szCs w:val="24"/>
        </w:rPr>
        <w:t xml:space="preserve"> 25°C</w:t>
      </w:r>
      <w:r w:rsidR="00D22146" w:rsidRPr="00DA4C45">
        <w:rPr>
          <w:szCs w:val="24"/>
        </w:rPr>
        <w:t xml:space="preserve">. Коэффициент распределения «октанол-вода» равен 1,808. </w:t>
      </w:r>
    </w:p>
    <w:p w14:paraId="68C1EC2E" w14:textId="7298E15E" w:rsidR="00DE11C7" w:rsidRDefault="00495A04" w:rsidP="00495A04">
      <w:pPr>
        <w:pStyle w:val="2"/>
        <w:numPr>
          <w:ilvl w:val="0"/>
          <w:numId w:val="0"/>
        </w:numPr>
        <w:ind w:left="576" w:hanging="576"/>
      </w:pPr>
      <w:bookmarkStart w:id="55" w:name="_Toc115421018"/>
      <w:bookmarkStart w:id="56" w:name="_Toc121592549"/>
      <w:r>
        <w:t xml:space="preserve">2.2. </w:t>
      </w:r>
      <w:r w:rsidR="00364E23" w:rsidRPr="00EB2B5F">
        <w:t>Лекарственная</w:t>
      </w:r>
      <w:r w:rsidR="00364E23" w:rsidRPr="00DA4C45">
        <w:t xml:space="preserve"> форма</w:t>
      </w:r>
      <w:bookmarkEnd w:id="55"/>
      <w:bookmarkEnd w:id="56"/>
    </w:p>
    <w:p w14:paraId="269F28DC" w14:textId="77777777" w:rsidR="00F253AF" w:rsidRPr="00F253AF" w:rsidRDefault="00F253AF" w:rsidP="00F253AF">
      <w:pPr>
        <w:pStyle w:val="SDText"/>
        <w:spacing w:after="0"/>
      </w:pPr>
    </w:p>
    <w:p w14:paraId="0A8B0CBF" w14:textId="3C840662" w:rsidR="006B7DB2" w:rsidRPr="00DA4C45" w:rsidRDefault="00495A04" w:rsidP="00495A04">
      <w:pPr>
        <w:pStyle w:val="3"/>
        <w:numPr>
          <w:ilvl w:val="0"/>
          <w:numId w:val="0"/>
        </w:numPr>
        <w:ind w:left="720" w:hanging="720"/>
      </w:pPr>
      <w:bookmarkStart w:id="57" w:name="_Toc115421019"/>
      <w:bookmarkStart w:id="58" w:name="_Toc121592550"/>
      <w:r>
        <w:t xml:space="preserve">2.2.1. </w:t>
      </w:r>
      <w:r w:rsidR="00B209C6" w:rsidRPr="00EB2B5F">
        <w:t>Название</w:t>
      </w:r>
      <w:r w:rsidR="00B209C6" w:rsidRPr="00DA4C45">
        <w:t xml:space="preserve"> лекарственной формы</w:t>
      </w:r>
      <w:bookmarkEnd w:id="57"/>
      <w:bookmarkEnd w:id="58"/>
    </w:p>
    <w:p w14:paraId="1079705F" w14:textId="77777777" w:rsidR="00DE11C7" w:rsidRDefault="00DE11C7" w:rsidP="00F253AF">
      <w:pPr>
        <w:pStyle w:val="SDText"/>
        <w:spacing w:after="0"/>
        <w:contextualSpacing/>
        <w:rPr>
          <w:szCs w:val="24"/>
        </w:rPr>
      </w:pPr>
    </w:p>
    <w:p w14:paraId="73221C90" w14:textId="60EC9ECB" w:rsidR="00E70967" w:rsidRDefault="002D5834" w:rsidP="00F253AF">
      <w:pPr>
        <w:pStyle w:val="SDText"/>
        <w:spacing w:after="0"/>
        <w:contextualSpacing/>
        <w:rPr>
          <w:szCs w:val="24"/>
        </w:rPr>
      </w:pPr>
      <w:r>
        <w:rPr>
          <w:szCs w:val="24"/>
        </w:rPr>
        <w:t>Таблетки</w:t>
      </w:r>
      <w:r w:rsidR="005D3755" w:rsidRPr="00DA4C45">
        <w:rPr>
          <w:szCs w:val="24"/>
        </w:rPr>
        <w:t>, покрытые пленочной оболочкой</w:t>
      </w:r>
      <w:r w:rsidR="00F253AF">
        <w:rPr>
          <w:szCs w:val="24"/>
        </w:rPr>
        <w:t>.</w:t>
      </w:r>
    </w:p>
    <w:p w14:paraId="733C8E30" w14:textId="77777777" w:rsidR="002D5834" w:rsidRPr="00DA4C45" w:rsidRDefault="002D5834" w:rsidP="00F253AF">
      <w:pPr>
        <w:pStyle w:val="SDText"/>
        <w:spacing w:after="0"/>
        <w:contextualSpacing/>
        <w:rPr>
          <w:szCs w:val="24"/>
        </w:rPr>
      </w:pPr>
    </w:p>
    <w:p w14:paraId="0CE32EDF" w14:textId="545CEF8D" w:rsidR="002D5834" w:rsidRPr="002D5834" w:rsidRDefault="00495A04" w:rsidP="00495A04">
      <w:pPr>
        <w:pStyle w:val="3"/>
        <w:numPr>
          <w:ilvl w:val="0"/>
          <w:numId w:val="0"/>
        </w:numPr>
        <w:ind w:left="720" w:hanging="720"/>
      </w:pPr>
      <w:bookmarkStart w:id="59" w:name="_Toc115421020"/>
      <w:bookmarkStart w:id="60" w:name="_Toc121592551"/>
      <w:r>
        <w:t xml:space="preserve">2.2.2. </w:t>
      </w:r>
      <w:r w:rsidR="006D572B" w:rsidRPr="00DA4C45">
        <w:t xml:space="preserve">Описание </w:t>
      </w:r>
      <w:r w:rsidR="006D572B" w:rsidRPr="00EB2B5F">
        <w:t>лекарственной</w:t>
      </w:r>
      <w:r w:rsidR="006D572B" w:rsidRPr="00DA4C45">
        <w:t xml:space="preserve"> формы</w:t>
      </w:r>
      <w:bookmarkEnd w:id="59"/>
      <w:bookmarkEnd w:id="60"/>
    </w:p>
    <w:p w14:paraId="1DD8A157" w14:textId="77777777" w:rsidR="00DE11C7" w:rsidRDefault="00DE11C7" w:rsidP="00F253AF">
      <w:pPr>
        <w:spacing w:after="0"/>
        <w:contextualSpacing/>
      </w:pPr>
    </w:p>
    <w:p w14:paraId="68ACF437" w14:textId="0EF0B428" w:rsidR="002D5834" w:rsidRPr="008F1926" w:rsidRDefault="002D5834" w:rsidP="00F253AF">
      <w:pPr>
        <w:spacing w:after="0"/>
        <w:contextualSpacing/>
      </w:pPr>
      <w:r w:rsidRPr="008F1926">
        <w:t xml:space="preserve">Лекарственный препарат </w:t>
      </w:r>
      <w:r>
        <w:rPr>
          <w:rFonts w:eastAsia="MS Mincho"/>
          <w:szCs w:val="24"/>
          <w:lang w:val="en-US" w:eastAsia="ru-RU"/>
        </w:rPr>
        <w:t>D</w:t>
      </w:r>
      <w:r>
        <w:rPr>
          <w:rFonts w:eastAsia="MS Mincho"/>
          <w:szCs w:val="24"/>
          <w:lang w:eastAsia="ru-RU"/>
        </w:rPr>
        <w:t>T-</w:t>
      </w:r>
      <w:r>
        <w:rPr>
          <w:rFonts w:eastAsia="MS Mincho"/>
          <w:szCs w:val="24"/>
          <w:lang w:val="en-US" w:eastAsia="ru-RU"/>
        </w:rPr>
        <w:t>TFC</w:t>
      </w:r>
      <w:r>
        <w:rPr>
          <w:rFonts w:eastAsia="MS Mincho"/>
          <w:szCs w:val="24"/>
          <w:lang w:eastAsia="ru-RU"/>
        </w:rPr>
        <w:t xml:space="preserve"> </w:t>
      </w:r>
      <w:r w:rsidRPr="008F1926">
        <w:t xml:space="preserve">планируется выпускать в </w:t>
      </w:r>
      <w:r>
        <w:t>дозировках</w:t>
      </w:r>
      <w:r w:rsidRPr="008F1926">
        <w:t xml:space="preserve"> </w:t>
      </w:r>
      <w:r>
        <w:t>5</w:t>
      </w:r>
      <w:r w:rsidRPr="008F1926">
        <w:t xml:space="preserve"> </w:t>
      </w:r>
      <w:r>
        <w:t xml:space="preserve">и 10 </w:t>
      </w:r>
      <w:r w:rsidRPr="008F1926">
        <w:t>мг.</w:t>
      </w:r>
    </w:p>
    <w:p w14:paraId="0D1B3AD7" w14:textId="567A78D8" w:rsidR="002D5834" w:rsidRPr="002D5834" w:rsidRDefault="002D5834" w:rsidP="007B2D85">
      <w:pPr>
        <w:spacing w:after="0"/>
        <w:contextualSpacing/>
      </w:pPr>
      <w:r w:rsidRPr="00AA513A">
        <w:rPr>
          <w:rFonts w:eastAsia="Times New Roman"/>
          <w:lang w:eastAsia="ru-RU"/>
        </w:rPr>
        <w:t xml:space="preserve">Таблетки круглые, двояковыпуклые, </w:t>
      </w:r>
      <w:r w:rsidR="007B2D85">
        <w:rPr>
          <w:rFonts w:eastAsia="Times New Roman"/>
          <w:lang w:eastAsia="ru-RU"/>
        </w:rPr>
        <w:t xml:space="preserve">покрытые пленочной оболочкой </w:t>
      </w:r>
      <w:r w:rsidRPr="00AA513A">
        <w:rPr>
          <w:rFonts w:eastAsia="Times New Roman"/>
          <w:lang w:eastAsia="ru-RU"/>
        </w:rPr>
        <w:t xml:space="preserve">белого или почти белого цвета. </w:t>
      </w:r>
      <w:r w:rsidR="007B2D85">
        <w:rPr>
          <w:rFonts w:eastAsia="Times New Roman"/>
          <w:lang w:eastAsia="ru-RU"/>
        </w:rPr>
        <w:t>На поперечном разрезе ядро таблетки от белого до почти белого цвета</w:t>
      </w:r>
      <w:r w:rsidRPr="00AA513A">
        <w:rPr>
          <w:rFonts w:eastAsia="Times New Roman"/>
          <w:lang w:eastAsia="ru-RU"/>
        </w:rPr>
        <w:t>.</w:t>
      </w:r>
    </w:p>
    <w:p w14:paraId="6283CC53" w14:textId="77777777" w:rsidR="00E70967" w:rsidRPr="00DA4C45" w:rsidRDefault="00E70967" w:rsidP="00F253AF">
      <w:pPr>
        <w:pStyle w:val="SDText"/>
        <w:spacing w:after="0"/>
        <w:contextualSpacing/>
        <w:rPr>
          <w:szCs w:val="24"/>
        </w:rPr>
      </w:pPr>
    </w:p>
    <w:p w14:paraId="270F3B40" w14:textId="31F98BCC" w:rsidR="006D572B" w:rsidRDefault="00495A04" w:rsidP="00495A04">
      <w:pPr>
        <w:pStyle w:val="3"/>
        <w:numPr>
          <w:ilvl w:val="0"/>
          <w:numId w:val="0"/>
        </w:numPr>
        <w:ind w:left="720" w:hanging="720"/>
      </w:pPr>
      <w:bookmarkStart w:id="61" w:name="_Toc115421021"/>
      <w:bookmarkStart w:id="62" w:name="_Toc121592552"/>
      <w:r>
        <w:t xml:space="preserve">2.2.3. </w:t>
      </w:r>
      <w:r w:rsidR="00825771" w:rsidRPr="00DA4C45">
        <w:t xml:space="preserve">Состав </w:t>
      </w:r>
      <w:r w:rsidR="00825771" w:rsidRPr="00EB2B5F">
        <w:t>лекарственной</w:t>
      </w:r>
      <w:r w:rsidR="00825771" w:rsidRPr="00DA4C45">
        <w:t xml:space="preserve"> формы</w:t>
      </w:r>
      <w:bookmarkEnd w:id="61"/>
      <w:bookmarkEnd w:id="62"/>
    </w:p>
    <w:p w14:paraId="1AB23C42" w14:textId="77777777" w:rsidR="00DE11C7" w:rsidRDefault="00DE11C7" w:rsidP="002D5834">
      <w:pPr>
        <w:spacing w:after="0"/>
        <w:ind w:firstLine="0"/>
        <w:contextualSpacing/>
        <w:rPr>
          <w:rFonts w:eastAsia="Calibri"/>
          <w:b/>
        </w:rPr>
      </w:pPr>
    </w:p>
    <w:p w14:paraId="2F5EC6BB" w14:textId="38E93459" w:rsidR="002D5834" w:rsidRPr="002D5834" w:rsidRDefault="00864678" w:rsidP="00495A04">
      <w:pPr>
        <w:pStyle w:val="SDText"/>
        <w:spacing w:after="0"/>
        <w:ind w:firstLine="0"/>
        <w:rPr>
          <w:shd w:val="clear" w:color="auto" w:fill="FFFFFF"/>
          <w:lang w:eastAsia="ru-RU" w:bidi="ru-RU"/>
        </w:rPr>
      </w:pPr>
      <w:r w:rsidRPr="00FD0D78">
        <w:rPr>
          <w:b/>
          <w:bCs/>
        </w:rPr>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2</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1</w:t>
      </w:r>
      <w:r w:rsidR="00652269">
        <w:rPr>
          <w:b/>
          <w:bCs/>
        </w:rPr>
        <w:fldChar w:fldCharType="end"/>
      </w:r>
      <w:r w:rsidR="002D5834" w:rsidRPr="00FD0D78">
        <w:rPr>
          <w:rFonts w:eastAsia="Calibri"/>
          <w:b/>
          <w:bCs/>
        </w:rPr>
        <w:t>.</w:t>
      </w:r>
      <w:r w:rsidR="002D5834" w:rsidRPr="002D5834">
        <w:rPr>
          <w:rFonts w:eastAsia="Calibri"/>
          <w:b/>
        </w:rPr>
        <w:t xml:space="preserve"> </w:t>
      </w:r>
      <w:r w:rsidR="002D5834" w:rsidRPr="002D5834">
        <w:rPr>
          <w:rFonts w:eastAsia="Times New Roman"/>
          <w:color w:val="000000" w:themeColor="text1"/>
          <w:lang w:eastAsia="ru-RU"/>
        </w:rPr>
        <w:t xml:space="preserve">Состав </w:t>
      </w:r>
      <w:r w:rsidR="002D5834" w:rsidRPr="00243565">
        <w:t xml:space="preserve">готовой лекарственной формы препарата </w:t>
      </w:r>
      <w:r w:rsidR="002D5834">
        <w:rPr>
          <w:rFonts w:eastAsia="MS Mincho"/>
          <w:szCs w:val="24"/>
          <w:lang w:val="en-US" w:eastAsia="ru-RU"/>
        </w:rPr>
        <w:t>D</w:t>
      </w:r>
      <w:r w:rsidR="002D5834">
        <w:rPr>
          <w:rFonts w:eastAsia="MS Mincho"/>
          <w:szCs w:val="24"/>
          <w:lang w:eastAsia="ru-RU"/>
        </w:rPr>
        <w:t>T-</w:t>
      </w:r>
      <w:r w:rsidR="002D5834">
        <w:rPr>
          <w:rFonts w:eastAsia="MS Mincho"/>
          <w:szCs w:val="24"/>
          <w:lang w:val="en-US" w:eastAsia="ru-RU"/>
        </w:rPr>
        <w:t>TFC</w:t>
      </w:r>
      <w:r w:rsidR="002D5834">
        <w:rPr>
          <w:rFonts w:eastAsia="MS Mincho"/>
          <w:szCs w:val="24"/>
          <w:lang w:eastAsia="ru-RU"/>
        </w:rPr>
        <w:t xml:space="preserve"> </w:t>
      </w:r>
      <w:r w:rsidR="002D5834" w:rsidRPr="002D5834">
        <w:rPr>
          <w:color w:val="000000" w:themeColor="text1"/>
        </w:rPr>
        <w:t>во всех дозировках.</w:t>
      </w:r>
    </w:p>
    <w:tbl>
      <w:tblPr>
        <w:tblW w:w="4873" w:type="pct"/>
        <w:tblInd w:w="136" w:type="dxa"/>
        <w:tblLook w:val="04A0" w:firstRow="1" w:lastRow="0" w:firstColumn="1" w:lastColumn="0" w:noHBand="0" w:noVBand="1"/>
      </w:tblPr>
      <w:tblGrid>
        <w:gridCol w:w="5784"/>
        <w:gridCol w:w="1843"/>
        <w:gridCol w:w="1701"/>
      </w:tblGrid>
      <w:tr w:rsidR="007E0900" w:rsidRPr="007E0900" w14:paraId="5A59893F" w14:textId="77777777" w:rsidTr="004F30BD">
        <w:trPr>
          <w:trHeight w:val="20"/>
        </w:trPr>
        <w:tc>
          <w:tcPr>
            <w:tcW w:w="5784"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9FD9DF7" w14:textId="77777777" w:rsidR="007E0900" w:rsidRPr="007E0900" w:rsidRDefault="007E0900" w:rsidP="007E0900">
            <w:pPr>
              <w:spacing w:after="0"/>
              <w:ind w:firstLine="0"/>
              <w:jc w:val="center"/>
              <w:rPr>
                <w:rFonts w:eastAsia="Times New Roman" w:cs="Times New Roman"/>
                <w:b/>
                <w:bCs/>
                <w:color w:val="000000"/>
                <w:szCs w:val="24"/>
                <w:lang w:eastAsia="ru-RU"/>
              </w:rPr>
            </w:pPr>
            <w:r w:rsidRPr="007E0900">
              <w:rPr>
                <w:rFonts w:eastAsia="Times New Roman" w:cs="Times New Roman"/>
                <w:b/>
                <w:bCs/>
                <w:color w:val="000000"/>
                <w:szCs w:val="24"/>
                <w:lang w:eastAsia="ru-RU"/>
              </w:rPr>
              <w:t>Компонент</w:t>
            </w:r>
          </w:p>
        </w:tc>
        <w:tc>
          <w:tcPr>
            <w:tcW w:w="3544"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21A1E1A0" w14:textId="57C9F472" w:rsidR="007E0900" w:rsidRPr="007E0900" w:rsidRDefault="007B2D85" w:rsidP="007B2D85">
            <w:pPr>
              <w:spacing w:after="0"/>
              <w:ind w:firstLine="0"/>
              <w:jc w:val="center"/>
              <w:rPr>
                <w:rFonts w:eastAsia="Times New Roman" w:cs="Times New Roman"/>
                <w:b/>
                <w:bCs/>
                <w:color w:val="000000"/>
                <w:szCs w:val="24"/>
                <w:lang w:eastAsia="ru-RU"/>
              </w:rPr>
            </w:pPr>
            <w:r>
              <w:rPr>
                <w:rFonts w:eastAsia="Times New Roman" w:cs="Times New Roman"/>
                <w:b/>
                <w:bCs/>
                <w:color w:val="000000"/>
                <w:szCs w:val="24"/>
                <w:lang w:eastAsia="ru-RU"/>
              </w:rPr>
              <w:t>Для</w:t>
            </w:r>
            <w:r w:rsidR="007E0900" w:rsidRPr="007E0900">
              <w:rPr>
                <w:rFonts w:eastAsia="Times New Roman" w:cs="Times New Roman"/>
                <w:b/>
                <w:bCs/>
                <w:color w:val="000000"/>
                <w:szCs w:val="24"/>
                <w:lang w:eastAsia="ru-RU"/>
              </w:rPr>
              <w:t xml:space="preserve"> дозировки</w:t>
            </w:r>
          </w:p>
        </w:tc>
      </w:tr>
      <w:tr w:rsidR="007E0900" w:rsidRPr="007E0900" w14:paraId="0470625A" w14:textId="77777777" w:rsidTr="004F30BD">
        <w:trPr>
          <w:trHeight w:val="20"/>
        </w:trPr>
        <w:tc>
          <w:tcPr>
            <w:tcW w:w="5784" w:type="dxa"/>
            <w:vMerge/>
            <w:tcBorders>
              <w:top w:val="single" w:sz="4" w:space="0" w:color="auto"/>
              <w:left w:val="single" w:sz="4" w:space="0" w:color="auto"/>
              <w:bottom w:val="single" w:sz="4" w:space="0" w:color="auto"/>
              <w:right w:val="single" w:sz="4" w:space="0" w:color="auto"/>
            </w:tcBorders>
            <w:vAlign w:val="center"/>
            <w:hideMark/>
          </w:tcPr>
          <w:p w14:paraId="37F312B9" w14:textId="77777777" w:rsidR="007E0900" w:rsidRPr="007E0900" w:rsidRDefault="007E0900" w:rsidP="007E0900">
            <w:pPr>
              <w:spacing w:after="0"/>
              <w:ind w:firstLine="0"/>
              <w:jc w:val="left"/>
              <w:rPr>
                <w:rFonts w:eastAsia="Times New Roman" w:cs="Times New Roman"/>
                <w:b/>
                <w:bCs/>
                <w:color w:val="000000"/>
                <w:szCs w:val="24"/>
                <w:lang w:eastAsia="ru-RU"/>
              </w:rPr>
            </w:pPr>
          </w:p>
        </w:tc>
        <w:tc>
          <w:tcPr>
            <w:tcW w:w="1843" w:type="dxa"/>
            <w:tcBorders>
              <w:top w:val="nil"/>
              <w:left w:val="nil"/>
              <w:bottom w:val="single" w:sz="4" w:space="0" w:color="auto"/>
              <w:right w:val="single" w:sz="4" w:space="0" w:color="auto"/>
            </w:tcBorders>
            <w:shd w:val="clear" w:color="000000" w:fill="D9D9D9"/>
            <w:vAlign w:val="center"/>
            <w:hideMark/>
          </w:tcPr>
          <w:p w14:paraId="03221F13" w14:textId="77777777" w:rsidR="007E0900" w:rsidRPr="007E0900" w:rsidRDefault="007E0900" w:rsidP="007E0900">
            <w:pPr>
              <w:spacing w:after="0"/>
              <w:ind w:firstLine="0"/>
              <w:jc w:val="center"/>
              <w:rPr>
                <w:rFonts w:eastAsia="Times New Roman" w:cs="Times New Roman"/>
                <w:b/>
                <w:bCs/>
                <w:color w:val="000000"/>
                <w:szCs w:val="24"/>
                <w:lang w:eastAsia="ru-RU"/>
              </w:rPr>
            </w:pPr>
            <w:r w:rsidRPr="007E0900">
              <w:rPr>
                <w:rFonts w:eastAsia="Times New Roman" w:cs="Times New Roman"/>
                <w:b/>
                <w:bCs/>
                <w:color w:val="000000"/>
                <w:szCs w:val="24"/>
                <w:lang w:eastAsia="ru-RU"/>
              </w:rPr>
              <w:t>5 мг</w:t>
            </w:r>
          </w:p>
        </w:tc>
        <w:tc>
          <w:tcPr>
            <w:tcW w:w="1701" w:type="dxa"/>
            <w:tcBorders>
              <w:top w:val="nil"/>
              <w:left w:val="nil"/>
              <w:bottom w:val="single" w:sz="4" w:space="0" w:color="auto"/>
              <w:right w:val="single" w:sz="4" w:space="0" w:color="auto"/>
            </w:tcBorders>
            <w:shd w:val="clear" w:color="000000" w:fill="D9D9D9"/>
            <w:vAlign w:val="center"/>
            <w:hideMark/>
          </w:tcPr>
          <w:p w14:paraId="4F0EC38A" w14:textId="77777777" w:rsidR="007E0900" w:rsidRPr="007E0900" w:rsidRDefault="007E0900" w:rsidP="007E0900">
            <w:pPr>
              <w:spacing w:after="0"/>
              <w:ind w:firstLine="0"/>
              <w:jc w:val="center"/>
              <w:rPr>
                <w:rFonts w:eastAsia="Times New Roman" w:cs="Times New Roman"/>
                <w:b/>
                <w:bCs/>
                <w:color w:val="000000"/>
                <w:szCs w:val="24"/>
                <w:lang w:eastAsia="ru-RU"/>
              </w:rPr>
            </w:pPr>
            <w:r w:rsidRPr="007E0900">
              <w:rPr>
                <w:rFonts w:eastAsia="Times New Roman" w:cs="Times New Roman"/>
                <w:b/>
                <w:bCs/>
                <w:color w:val="000000"/>
                <w:szCs w:val="24"/>
                <w:lang w:eastAsia="ru-RU"/>
              </w:rPr>
              <w:t>10 мг</w:t>
            </w:r>
          </w:p>
        </w:tc>
      </w:tr>
      <w:tr w:rsidR="007E0900" w:rsidRPr="007E0900" w14:paraId="66C708C1" w14:textId="77777777" w:rsidTr="004F30BD">
        <w:trPr>
          <w:trHeight w:val="20"/>
        </w:trPr>
        <w:tc>
          <w:tcPr>
            <w:tcW w:w="932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679B94F" w14:textId="77777777" w:rsidR="007E0900" w:rsidRPr="007E0900" w:rsidRDefault="007E0900" w:rsidP="007E0900">
            <w:pPr>
              <w:spacing w:after="0"/>
              <w:ind w:firstLine="0"/>
              <w:jc w:val="left"/>
              <w:rPr>
                <w:rFonts w:eastAsia="Times New Roman" w:cs="Times New Roman"/>
                <w:i/>
                <w:iCs/>
                <w:color w:val="000000"/>
                <w:szCs w:val="24"/>
                <w:lang w:eastAsia="ru-RU"/>
              </w:rPr>
            </w:pPr>
            <w:r w:rsidRPr="007E0900">
              <w:rPr>
                <w:rFonts w:eastAsia="Times New Roman" w:cs="Times New Roman"/>
                <w:i/>
                <w:iCs/>
                <w:color w:val="000000"/>
                <w:szCs w:val="24"/>
                <w:lang w:eastAsia="ru-RU"/>
              </w:rPr>
              <w:t>Действующее вещество:</w:t>
            </w:r>
          </w:p>
        </w:tc>
      </w:tr>
      <w:tr w:rsidR="007E0900" w:rsidRPr="007E0900" w14:paraId="209E81AA"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7CA7B405" w14:textId="6620A80F" w:rsidR="007E0900" w:rsidRPr="007E0900" w:rsidRDefault="007E0900" w:rsidP="007B2D85">
            <w:pPr>
              <w:spacing w:after="0"/>
              <w:ind w:left="574" w:firstLine="0"/>
              <w:jc w:val="left"/>
              <w:rPr>
                <w:rFonts w:eastAsia="Times New Roman" w:cs="Times New Roman"/>
                <w:color w:val="000000"/>
                <w:szCs w:val="24"/>
                <w:lang w:eastAsia="ru-RU"/>
              </w:rPr>
            </w:pPr>
            <w:r w:rsidRPr="007E0900">
              <w:rPr>
                <w:rFonts w:eastAsia="Times New Roman" w:cs="Times New Roman"/>
                <w:color w:val="000000"/>
                <w:szCs w:val="24"/>
                <w:lang w:eastAsia="ru-RU"/>
              </w:rPr>
              <w:t>Тофацитиниба цитр</w:t>
            </w:r>
            <w:r w:rsidR="007B2D85">
              <w:rPr>
                <w:rFonts w:eastAsia="Times New Roman" w:cs="Times New Roman"/>
                <w:color w:val="000000"/>
                <w:szCs w:val="24"/>
                <w:lang w:eastAsia="ru-RU"/>
              </w:rPr>
              <w:t>ата</w:t>
            </w:r>
            <w:r w:rsidR="007B2D85">
              <w:rPr>
                <w:rFonts w:eastAsia="Times New Roman" w:cs="Times New Roman"/>
                <w:color w:val="000000"/>
                <w:szCs w:val="24"/>
                <w:lang w:eastAsia="ru-RU"/>
              </w:rPr>
              <w:br/>
              <w:t>в пересчете на тофацитиниб</w:t>
            </w:r>
          </w:p>
        </w:tc>
        <w:tc>
          <w:tcPr>
            <w:tcW w:w="1843" w:type="dxa"/>
            <w:tcBorders>
              <w:top w:val="nil"/>
              <w:left w:val="nil"/>
              <w:bottom w:val="single" w:sz="4" w:space="0" w:color="auto"/>
              <w:right w:val="single" w:sz="4" w:space="0" w:color="auto"/>
            </w:tcBorders>
            <w:shd w:val="clear" w:color="auto" w:fill="auto"/>
            <w:vAlign w:val="center"/>
            <w:hideMark/>
          </w:tcPr>
          <w:p w14:paraId="48B210D6"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8,078 мг</w:t>
            </w:r>
            <w:r w:rsidRPr="007E0900">
              <w:rPr>
                <w:rFonts w:eastAsia="Times New Roman" w:cs="Times New Roman"/>
                <w:color w:val="000000"/>
                <w:szCs w:val="24"/>
                <w:lang w:eastAsia="ru-RU"/>
              </w:rPr>
              <w:br/>
              <w:t>5,00 мг</w:t>
            </w:r>
          </w:p>
        </w:tc>
        <w:tc>
          <w:tcPr>
            <w:tcW w:w="1701" w:type="dxa"/>
            <w:tcBorders>
              <w:top w:val="nil"/>
              <w:left w:val="nil"/>
              <w:bottom w:val="single" w:sz="4" w:space="0" w:color="auto"/>
              <w:right w:val="single" w:sz="4" w:space="0" w:color="auto"/>
            </w:tcBorders>
            <w:shd w:val="clear" w:color="auto" w:fill="auto"/>
            <w:vAlign w:val="center"/>
            <w:hideMark/>
          </w:tcPr>
          <w:p w14:paraId="723CC6AB"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16,155 мг</w:t>
            </w:r>
            <w:r w:rsidRPr="007E0900">
              <w:rPr>
                <w:rFonts w:eastAsia="Times New Roman" w:cs="Times New Roman"/>
                <w:color w:val="000000"/>
                <w:szCs w:val="24"/>
                <w:lang w:eastAsia="ru-RU"/>
              </w:rPr>
              <w:br/>
              <w:t>10,00 мг</w:t>
            </w:r>
          </w:p>
        </w:tc>
      </w:tr>
      <w:tr w:rsidR="007E0900" w:rsidRPr="007E0900" w14:paraId="03D6AB86" w14:textId="77777777" w:rsidTr="004F30BD">
        <w:trPr>
          <w:trHeight w:val="20"/>
        </w:trPr>
        <w:tc>
          <w:tcPr>
            <w:tcW w:w="932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BE10DAD" w14:textId="77777777" w:rsidR="007E0900" w:rsidRPr="007E0900" w:rsidRDefault="007E0900" w:rsidP="007E0900">
            <w:pPr>
              <w:spacing w:after="0"/>
              <w:ind w:firstLine="0"/>
              <w:rPr>
                <w:rFonts w:eastAsia="Times New Roman" w:cs="Times New Roman"/>
                <w:i/>
                <w:iCs/>
                <w:color w:val="000000"/>
                <w:szCs w:val="24"/>
                <w:lang w:eastAsia="ru-RU"/>
              </w:rPr>
            </w:pPr>
            <w:r w:rsidRPr="007E0900">
              <w:rPr>
                <w:rFonts w:eastAsia="Times New Roman" w:cs="Times New Roman"/>
                <w:i/>
                <w:iCs/>
                <w:color w:val="000000"/>
                <w:szCs w:val="24"/>
                <w:lang w:eastAsia="ru-RU"/>
              </w:rPr>
              <w:t>Вспомогательные вещества:</w:t>
            </w:r>
          </w:p>
        </w:tc>
      </w:tr>
      <w:tr w:rsidR="007E0900" w:rsidRPr="007E0900" w14:paraId="035E8440"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5D7EE8F4" w14:textId="3059B159" w:rsidR="007E0900" w:rsidRPr="007E0900" w:rsidRDefault="007E0900" w:rsidP="007B2D85">
            <w:pPr>
              <w:spacing w:after="0"/>
              <w:ind w:left="574" w:firstLine="0"/>
              <w:jc w:val="left"/>
              <w:rPr>
                <w:rFonts w:eastAsia="Times New Roman" w:cs="Times New Roman"/>
                <w:color w:val="000000"/>
                <w:szCs w:val="24"/>
                <w:lang w:eastAsia="ru-RU"/>
              </w:rPr>
            </w:pPr>
            <w:r w:rsidRPr="007E0900">
              <w:rPr>
                <w:rFonts w:eastAsia="Times New Roman" w:cs="Times New Roman"/>
                <w:color w:val="000000"/>
                <w:szCs w:val="24"/>
                <w:lang w:eastAsia="ru-RU"/>
              </w:rPr>
              <w:t>Целлюлоз</w:t>
            </w:r>
            <w:r w:rsidR="007B2D85">
              <w:rPr>
                <w:rFonts w:eastAsia="Times New Roman" w:cs="Times New Roman"/>
                <w:color w:val="000000"/>
                <w:szCs w:val="24"/>
                <w:lang w:eastAsia="ru-RU"/>
              </w:rPr>
              <w:t>а микрокристаллическая тип 200</w:t>
            </w:r>
          </w:p>
        </w:tc>
        <w:tc>
          <w:tcPr>
            <w:tcW w:w="1843" w:type="dxa"/>
            <w:tcBorders>
              <w:top w:val="nil"/>
              <w:left w:val="nil"/>
              <w:bottom w:val="single" w:sz="4" w:space="0" w:color="auto"/>
              <w:right w:val="single" w:sz="4" w:space="0" w:color="auto"/>
            </w:tcBorders>
            <w:shd w:val="clear" w:color="auto" w:fill="auto"/>
            <w:vAlign w:val="center"/>
            <w:hideMark/>
          </w:tcPr>
          <w:p w14:paraId="68BBB819"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122,615 мг</w:t>
            </w:r>
          </w:p>
        </w:tc>
        <w:tc>
          <w:tcPr>
            <w:tcW w:w="1701" w:type="dxa"/>
            <w:tcBorders>
              <w:top w:val="nil"/>
              <w:left w:val="nil"/>
              <w:bottom w:val="single" w:sz="4" w:space="0" w:color="auto"/>
              <w:right w:val="single" w:sz="4" w:space="0" w:color="auto"/>
            </w:tcBorders>
            <w:shd w:val="clear" w:color="auto" w:fill="auto"/>
            <w:vAlign w:val="center"/>
            <w:hideMark/>
          </w:tcPr>
          <w:p w14:paraId="049280A9"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245,230 мг</w:t>
            </w:r>
          </w:p>
        </w:tc>
      </w:tr>
      <w:tr w:rsidR="007E0900" w:rsidRPr="007E0900" w14:paraId="3426B1D8"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5C044F35" w14:textId="73C6926D" w:rsidR="007E0900" w:rsidRPr="007E0900" w:rsidRDefault="007E0900" w:rsidP="007B2D85">
            <w:pPr>
              <w:spacing w:after="0"/>
              <w:ind w:left="574" w:firstLine="0"/>
              <w:jc w:val="left"/>
              <w:rPr>
                <w:rFonts w:eastAsia="Times New Roman" w:cs="Times New Roman"/>
                <w:color w:val="000000"/>
                <w:szCs w:val="24"/>
                <w:lang w:eastAsia="ru-RU"/>
              </w:rPr>
            </w:pPr>
            <w:r w:rsidRPr="007E0900">
              <w:rPr>
                <w:rFonts w:eastAsia="Times New Roman" w:cs="Times New Roman"/>
                <w:color w:val="000000"/>
                <w:szCs w:val="24"/>
                <w:lang w:eastAsia="ru-RU"/>
              </w:rPr>
              <w:t>Лактозы мон</w:t>
            </w:r>
            <w:r w:rsidR="007B2D85">
              <w:rPr>
                <w:rFonts w:eastAsia="Times New Roman" w:cs="Times New Roman"/>
                <w:color w:val="000000"/>
                <w:szCs w:val="24"/>
                <w:lang w:eastAsia="ru-RU"/>
              </w:rPr>
              <w:t>огидрат</w:t>
            </w:r>
          </w:p>
        </w:tc>
        <w:tc>
          <w:tcPr>
            <w:tcW w:w="1843" w:type="dxa"/>
            <w:tcBorders>
              <w:top w:val="nil"/>
              <w:left w:val="nil"/>
              <w:bottom w:val="single" w:sz="4" w:space="0" w:color="auto"/>
              <w:right w:val="single" w:sz="4" w:space="0" w:color="auto"/>
            </w:tcBorders>
            <w:shd w:val="clear" w:color="auto" w:fill="auto"/>
            <w:vAlign w:val="center"/>
            <w:hideMark/>
          </w:tcPr>
          <w:p w14:paraId="2C5F9ACB"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61,307 мг</w:t>
            </w:r>
          </w:p>
        </w:tc>
        <w:tc>
          <w:tcPr>
            <w:tcW w:w="1701" w:type="dxa"/>
            <w:tcBorders>
              <w:top w:val="nil"/>
              <w:left w:val="nil"/>
              <w:bottom w:val="single" w:sz="4" w:space="0" w:color="auto"/>
              <w:right w:val="single" w:sz="4" w:space="0" w:color="auto"/>
            </w:tcBorders>
            <w:shd w:val="clear" w:color="auto" w:fill="auto"/>
            <w:vAlign w:val="center"/>
            <w:hideMark/>
          </w:tcPr>
          <w:p w14:paraId="6AC21EDB"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122,615 мг</w:t>
            </w:r>
          </w:p>
        </w:tc>
      </w:tr>
      <w:tr w:rsidR="007E0900" w:rsidRPr="007E0900" w14:paraId="5E1D53BF"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4B816FBA" w14:textId="0F706911" w:rsidR="007E0900" w:rsidRPr="007E0900" w:rsidRDefault="007B2D85" w:rsidP="007B2D85">
            <w:pPr>
              <w:spacing w:after="0"/>
              <w:ind w:left="574" w:firstLine="0"/>
              <w:jc w:val="left"/>
              <w:rPr>
                <w:rFonts w:eastAsia="Times New Roman" w:cs="Times New Roman"/>
                <w:color w:val="000000"/>
                <w:szCs w:val="24"/>
                <w:lang w:eastAsia="ru-RU"/>
              </w:rPr>
            </w:pPr>
            <w:r>
              <w:rPr>
                <w:rFonts w:eastAsia="Times New Roman" w:cs="Times New Roman"/>
                <w:color w:val="000000"/>
                <w:szCs w:val="24"/>
                <w:lang w:eastAsia="ru-RU"/>
              </w:rPr>
              <w:t>Кроскармеллоза натрия</w:t>
            </w:r>
          </w:p>
        </w:tc>
        <w:tc>
          <w:tcPr>
            <w:tcW w:w="1843" w:type="dxa"/>
            <w:tcBorders>
              <w:top w:val="nil"/>
              <w:left w:val="nil"/>
              <w:bottom w:val="single" w:sz="4" w:space="0" w:color="auto"/>
              <w:right w:val="single" w:sz="4" w:space="0" w:color="auto"/>
            </w:tcBorders>
            <w:shd w:val="clear" w:color="auto" w:fill="auto"/>
            <w:vAlign w:val="center"/>
            <w:hideMark/>
          </w:tcPr>
          <w:p w14:paraId="3FA81E9E"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6,000 мг</w:t>
            </w:r>
          </w:p>
        </w:tc>
        <w:tc>
          <w:tcPr>
            <w:tcW w:w="1701" w:type="dxa"/>
            <w:tcBorders>
              <w:top w:val="nil"/>
              <w:left w:val="nil"/>
              <w:bottom w:val="single" w:sz="4" w:space="0" w:color="auto"/>
              <w:right w:val="single" w:sz="4" w:space="0" w:color="auto"/>
            </w:tcBorders>
            <w:shd w:val="clear" w:color="auto" w:fill="auto"/>
            <w:vAlign w:val="center"/>
            <w:hideMark/>
          </w:tcPr>
          <w:p w14:paraId="2FAB6A64"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12,000 мг</w:t>
            </w:r>
          </w:p>
        </w:tc>
      </w:tr>
      <w:tr w:rsidR="007E0900" w:rsidRPr="007E0900" w14:paraId="6090F408"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2622A2ED" w14:textId="7BA00610" w:rsidR="007E0900" w:rsidRPr="007E0900" w:rsidRDefault="007B2D85" w:rsidP="007B2D85">
            <w:pPr>
              <w:spacing w:after="0"/>
              <w:ind w:left="574" w:firstLine="0"/>
              <w:jc w:val="left"/>
              <w:rPr>
                <w:rFonts w:eastAsia="Times New Roman" w:cs="Times New Roman"/>
                <w:color w:val="000000"/>
                <w:szCs w:val="24"/>
                <w:lang w:eastAsia="ru-RU"/>
              </w:rPr>
            </w:pPr>
            <w:r>
              <w:rPr>
                <w:rFonts w:eastAsia="Times New Roman" w:cs="Times New Roman"/>
                <w:color w:val="000000"/>
                <w:szCs w:val="24"/>
                <w:lang w:eastAsia="ru-RU"/>
              </w:rPr>
              <w:t>Магния стеарат</w:t>
            </w:r>
          </w:p>
        </w:tc>
        <w:tc>
          <w:tcPr>
            <w:tcW w:w="1843" w:type="dxa"/>
            <w:tcBorders>
              <w:top w:val="nil"/>
              <w:left w:val="nil"/>
              <w:bottom w:val="single" w:sz="4" w:space="0" w:color="auto"/>
              <w:right w:val="single" w:sz="4" w:space="0" w:color="auto"/>
            </w:tcBorders>
            <w:shd w:val="clear" w:color="auto" w:fill="auto"/>
            <w:vAlign w:val="center"/>
            <w:hideMark/>
          </w:tcPr>
          <w:p w14:paraId="19D11E17"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2,000 мг</w:t>
            </w:r>
          </w:p>
        </w:tc>
        <w:tc>
          <w:tcPr>
            <w:tcW w:w="1701" w:type="dxa"/>
            <w:tcBorders>
              <w:top w:val="nil"/>
              <w:left w:val="nil"/>
              <w:bottom w:val="single" w:sz="4" w:space="0" w:color="auto"/>
              <w:right w:val="single" w:sz="4" w:space="0" w:color="auto"/>
            </w:tcBorders>
            <w:shd w:val="clear" w:color="auto" w:fill="auto"/>
            <w:vAlign w:val="center"/>
            <w:hideMark/>
          </w:tcPr>
          <w:p w14:paraId="067C107B"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4,000 мг</w:t>
            </w:r>
          </w:p>
        </w:tc>
      </w:tr>
      <w:tr w:rsidR="007E0900" w:rsidRPr="007E0900" w14:paraId="1F6D8966"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33EEBD56" w14:textId="77777777" w:rsidR="007E0900" w:rsidRPr="007E0900" w:rsidRDefault="007E0900" w:rsidP="007E0900">
            <w:pPr>
              <w:spacing w:after="0"/>
              <w:ind w:firstLine="0"/>
              <w:rPr>
                <w:rFonts w:eastAsia="Times New Roman" w:cs="Times New Roman"/>
                <w:b/>
                <w:bCs/>
                <w:color w:val="000000"/>
                <w:szCs w:val="24"/>
                <w:lang w:eastAsia="ru-RU"/>
              </w:rPr>
            </w:pPr>
            <w:r w:rsidRPr="007E0900">
              <w:rPr>
                <w:rFonts w:eastAsia="Times New Roman" w:cs="Times New Roman"/>
                <w:b/>
                <w:bCs/>
                <w:color w:val="000000"/>
                <w:szCs w:val="24"/>
                <w:lang w:eastAsia="ru-RU"/>
              </w:rPr>
              <w:t>Масса таблетки без оболочки:</w:t>
            </w:r>
          </w:p>
        </w:tc>
        <w:tc>
          <w:tcPr>
            <w:tcW w:w="1843" w:type="dxa"/>
            <w:tcBorders>
              <w:top w:val="nil"/>
              <w:left w:val="nil"/>
              <w:bottom w:val="single" w:sz="4" w:space="0" w:color="auto"/>
              <w:right w:val="single" w:sz="4" w:space="0" w:color="auto"/>
            </w:tcBorders>
            <w:shd w:val="clear" w:color="auto" w:fill="auto"/>
            <w:vAlign w:val="center"/>
            <w:hideMark/>
          </w:tcPr>
          <w:p w14:paraId="68E24B54" w14:textId="77777777" w:rsidR="007E0900" w:rsidRPr="007E0900" w:rsidRDefault="007E0900" w:rsidP="007E0900">
            <w:pPr>
              <w:spacing w:after="0"/>
              <w:ind w:firstLine="0"/>
              <w:jc w:val="center"/>
              <w:rPr>
                <w:rFonts w:eastAsia="Times New Roman" w:cs="Times New Roman"/>
                <w:b/>
                <w:bCs/>
                <w:color w:val="000000"/>
                <w:szCs w:val="24"/>
                <w:lang w:eastAsia="ru-RU"/>
              </w:rPr>
            </w:pPr>
            <w:r w:rsidRPr="007E0900">
              <w:rPr>
                <w:rFonts w:eastAsia="Times New Roman" w:cs="Times New Roman"/>
                <w:b/>
                <w:bCs/>
                <w:color w:val="000000"/>
                <w:szCs w:val="24"/>
                <w:lang w:eastAsia="ru-RU"/>
              </w:rPr>
              <w:t>200,00 мг</w:t>
            </w:r>
          </w:p>
        </w:tc>
        <w:tc>
          <w:tcPr>
            <w:tcW w:w="1701" w:type="dxa"/>
            <w:tcBorders>
              <w:top w:val="nil"/>
              <w:left w:val="nil"/>
              <w:bottom w:val="single" w:sz="4" w:space="0" w:color="auto"/>
              <w:right w:val="single" w:sz="4" w:space="0" w:color="auto"/>
            </w:tcBorders>
            <w:shd w:val="clear" w:color="auto" w:fill="auto"/>
            <w:vAlign w:val="center"/>
            <w:hideMark/>
          </w:tcPr>
          <w:p w14:paraId="4C70D378" w14:textId="77777777" w:rsidR="007E0900" w:rsidRPr="007E0900" w:rsidRDefault="007E0900" w:rsidP="007E0900">
            <w:pPr>
              <w:spacing w:after="0"/>
              <w:ind w:firstLine="0"/>
              <w:jc w:val="center"/>
              <w:rPr>
                <w:rFonts w:eastAsia="Times New Roman" w:cs="Times New Roman"/>
                <w:b/>
                <w:bCs/>
                <w:color w:val="000000"/>
                <w:szCs w:val="24"/>
                <w:lang w:eastAsia="ru-RU"/>
              </w:rPr>
            </w:pPr>
            <w:r w:rsidRPr="007E0900">
              <w:rPr>
                <w:rFonts w:eastAsia="Times New Roman" w:cs="Times New Roman"/>
                <w:b/>
                <w:bCs/>
                <w:color w:val="000000"/>
                <w:szCs w:val="24"/>
                <w:lang w:eastAsia="ru-RU"/>
              </w:rPr>
              <w:t>400,00 мг</w:t>
            </w:r>
          </w:p>
        </w:tc>
      </w:tr>
      <w:tr w:rsidR="007E0900" w:rsidRPr="007E0900" w14:paraId="5F0FC21C" w14:textId="77777777" w:rsidTr="004F30BD">
        <w:trPr>
          <w:trHeight w:val="20"/>
        </w:trPr>
        <w:tc>
          <w:tcPr>
            <w:tcW w:w="932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83CC99F" w14:textId="77777777" w:rsidR="007E0900" w:rsidRPr="007E0900" w:rsidRDefault="007E0900" w:rsidP="007E0900">
            <w:pPr>
              <w:spacing w:after="0"/>
              <w:ind w:firstLine="0"/>
              <w:jc w:val="left"/>
              <w:rPr>
                <w:rFonts w:eastAsia="Times New Roman" w:cs="Times New Roman"/>
                <w:i/>
                <w:iCs/>
                <w:color w:val="000000"/>
                <w:szCs w:val="24"/>
                <w:lang w:eastAsia="ru-RU"/>
              </w:rPr>
            </w:pPr>
            <w:r w:rsidRPr="007E0900">
              <w:rPr>
                <w:rFonts w:eastAsia="Times New Roman" w:cs="Times New Roman"/>
                <w:i/>
                <w:iCs/>
                <w:color w:val="000000"/>
                <w:szCs w:val="24"/>
                <w:lang w:eastAsia="ru-RU"/>
              </w:rPr>
              <w:t>Пленочная оболочка:</w:t>
            </w:r>
          </w:p>
        </w:tc>
      </w:tr>
      <w:tr w:rsidR="007E0900" w:rsidRPr="007E0900" w14:paraId="794F39E1"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7A9694D8" w14:textId="23301690" w:rsidR="007E0900" w:rsidRPr="007E0900" w:rsidRDefault="007E0900" w:rsidP="00046AD0">
            <w:pPr>
              <w:spacing w:after="0"/>
              <w:ind w:firstLine="0"/>
              <w:jc w:val="left"/>
              <w:rPr>
                <w:rFonts w:eastAsia="Times New Roman" w:cs="Times New Roman"/>
                <w:color w:val="000000"/>
                <w:szCs w:val="24"/>
                <w:lang w:eastAsia="ru-RU"/>
              </w:rPr>
            </w:pPr>
            <w:r w:rsidRPr="007E0900">
              <w:rPr>
                <w:rFonts w:eastAsia="Times New Roman" w:cs="Times New Roman"/>
                <w:color w:val="000000"/>
                <w:szCs w:val="24"/>
                <w:lang w:eastAsia="ru-RU"/>
              </w:rPr>
              <w:t>Опадрай II 85F48105, белый</w:t>
            </w:r>
            <w:r w:rsidRPr="007E0900">
              <w:rPr>
                <w:rFonts w:eastAsia="Times New Roman" w:cs="Times New Roman"/>
                <w:color w:val="000000"/>
                <w:szCs w:val="24"/>
                <w:lang w:eastAsia="ru-RU"/>
              </w:rPr>
              <w:br/>
              <w:t>Готовое пленочное покрытие</w:t>
            </w:r>
            <w:r w:rsidRPr="007E0900">
              <w:rPr>
                <w:rFonts w:eastAsia="Times New Roman" w:cs="Times New Roman"/>
                <w:color w:val="000000"/>
                <w:szCs w:val="24"/>
                <w:lang w:eastAsia="ru-RU"/>
              </w:rPr>
              <w:br/>
              <w:t>[поливиниловый спирт – 46,9 %; макрогол 3350* – 23,6 %; тальк – 1</w:t>
            </w:r>
            <w:r w:rsidR="007B2D85">
              <w:rPr>
                <w:rFonts w:eastAsia="Times New Roman" w:cs="Times New Roman"/>
                <w:color w:val="000000"/>
                <w:szCs w:val="24"/>
                <w:lang w:eastAsia="ru-RU"/>
              </w:rPr>
              <w:t>7,4 %; титана диоксид – 12,1 %]</w:t>
            </w:r>
          </w:p>
        </w:tc>
        <w:tc>
          <w:tcPr>
            <w:tcW w:w="1843" w:type="dxa"/>
            <w:tcBorders>
              <w:top w:val="nil"/>
              <w:left w:val="nil"/>
              <w:bottom w:val="single" w:sz="4" w:space="0" w:color="auto"/>
              <w:right w:val="single" w:sz="4" w:space="0" w:color="auto"/>
            </w:tcBorders>
            <w:shd w:val="clear" w:color="auto" w:fill="auto"/>
            <w:vAlign w:val="center"/>
            <w:hideMark/>
          </w:tcPr>
          <w:p w14:paraId="7DD91927"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6,00 мг</w:t>
            </w:r>
          </w:p>
        </w:tc>
        <w:tc>
          <w:tcPr>
            <w:tcW w:w="1701" w:type="dxa"/>
            <w:tcBorders>
              <w:top w:val="nil"/>
              <w:left w:val="nil"/>
              <w:bottom w:val="single" w:sz="4" w:space="0" w:color="auto"/>
              <w:right w:val="single" w:sz="4" w:space="0" w:color="auto"/>
            </w:tcBorders>
            <w:shd w:val="clear" w:color="auto" w:fill="auto"/>
            <w:vAlign w:val="center"/>
            <w:hideMark/>
          </w:tcPr>
          <w:p w14:paraId="0CA6E296" w14:textId="77777777" w:rsidR="007E0900" w:rsidRPr="007E0900" w:rsidRDefault="007E0900" w:rsidP="007E0900">
            <w:pPr>
              <w:spacing w:after="0"/>
              <w:ind w:firstLine="0"/>
              <w:jc w:val="center"/>
              <w:rPr>
                <w:rFonts w:eastAsia="Times New Roman" w:cs="Times New Roman"/>
                <w:color w:val="000000"/>
                <w:szCs w:val="24"/>
                <w:lang w:eastAsia="ru-RU"/>
              </w:rPr>
            </w:pPr>
            <w:r w:rsidRPr="007E0900">
              <w:rPr>
                <w:rFonts w:eastAsia="Times New Roman" w:cs="Times New Roman"/>
                <w:color w:val="000000"/>
                <w:szCs w:val="24"/>
                <w:lang w:eastAsia="ru-RU"/>
              </w:rPr>
              <w:t>12,00 мг</w:t>
            </w:r>
          </w:p>
        </w:tc>
      </w:tr>
      <w:tr w:rsidR="007E0900" w:rsidRPr="007E0900" w14:paraId="6CE78EAA" w14:textId="77777777" w:rsidTr="004F30BD">
        <w:trPr>
          <w:trHeight w:val="20"/>
        </w:trPr>
        <w:tc>
          <w:tcPr>
            <w:tcW w:w="5784" w:type="dxa"/>
            <w:tcBorders>
              <w:top w:val="nil"/>
              <w:left w:val="single" w:sz="4" w:space="0" w:color="auto"/>
              <w:bottom w:val="single" w:sz="4" w:space="0" w:color="auto"/>
              <w:right w:val="single" w:sz="4" w:space="0" w:color="auto"/>
            </w:tcBorders>
            <w:shd w:val="clear" w:color="auto" w:fill="auto"/>
            <w:vAlign w:val="center"/>
            <w:hideMark/>
          </w:tcPr>
          <w:p w14:paraId="6F6C5F14" w14:textId="77777777" w:rsidR="007E0900" w:rsidRPr="007E0900" w:rsidRDefault="007E0900" w:rsidP="007E0900">
            <w:pPr>
              <w:spacing w:after="0"/>
              <w:ind w:firstLine="0"/>
              <w:rPr>
                <w:rFonts w:eastAsia="Times New Roman" w:cs="Times New Roman"/>
                <w:b/>
                <w:bCs/>
                <w:color w:val="000000"/>
                <w:szCs w:val="24"/>
                <w:lang w:eastAsia="ru-RU"/>
              </w:rPr>
            </w:pPr>
            <w:r w:rsidRPr="007E0900">
              <w:rPr>
                <w:rFonts w:eastAsia="Times New Roman" w:cs="Times New Roman"/>
                <w:b/>
                <w:bCs/>
                <w:color w:val="000000"/>
                <w:szCs w:val="24"/>
                <w:lang w:eastAsia="ru-RU"/>
              </w:rPr>
              <w:t>Масса таблетки, покрытой пленочной оболочкой</w:t>
            </w:r>
          </w:p>
        </w:tc>
        <w:tc>
          <w:tcPr>
            <w:tcW w:w="1843" w:type="dxa"/>
            <w:tcBorders>
              <w:top w:val="nil"/>
              <w:left w:val="nil"/>
              <w:bottom w:val="single" w:sz="4" w:space="0" w:color="auto"/>
              <w:right w:val="single" w:sz="4" w:space="0" w:color="auto"/>
            </w:tcBorders>
            <w:shd w:val="clear" w:color="auto" w:fill="auto"/>
            <w:vAlign w:val="center"/>
            <w:hideMark/>
          </w:tcPr>
          <w:p w14:paraId="2B886326" w14:textId="77777777" w:rsidR="007E0900" w:rsidRPr="007E0900" w:rsidRDefault="007E0900" w:rsidP="007E0900">
            <w:pPr>
              <w:spacing w:after="0"/>
              <w:ind w:firstLine="0"/>
              <w:jc w:val="center"/>
              <w:rPr>
                <w:rFonts w:eastAsia="Times New Roman" w:cs="Times New Roman"/>
                <w:b/>
                <w:bCs/>
                <w:color w:val="000000"/>
                <w:szCs w:val="24"/>
                <w:lang w:eastAsia="ru-RU"/>
              </w:rPr>
            </w:pPr>
            <w:r w:rsidRPr="007E0900">
              <w:rPr>
                <w:rFonts w:eastAsia="Times New Roman" w:cs="Times New Roman"/>
                <w:b/>
                <w:bCs/>
                <w:color w:val="000000"/>
                <w:szCs w:val="24"/>
                <w:lang w:eastAsia="ru-RU"/>
              </w:rPr>
              <w:t xml:space="preserve">206,00 мг </w:t>
            </w:r>
          </w:p>
        </w:tc>
        <w:tc>
          <w:tcPr>
            <w:tcW w:w="1701" w:type="dxa"/>
            <w:tcBorders>
              <w:top w:val="nil"/>
              <w:left w:val="nil"/>
              <w:bottom w:val="single" w:sz="4" w:space="0" w:color="auto"/>
              <w:right w:val="single" w:sz="4" w:space="0" w:color="auto"/>
            </w:tcBorders>
            <w:shd w:val="clear" w:color="auto" w:fill="auto"/>
            <w:vAlign w:val="center"/>
            <w:hideMark/>
          </w:tcPr>
          <w:p w14:paraId="2A507D66" w14:textId="77777777" w:rsidR="007E0900" w:rsidRPr="007E0900" w:rsidRDefault="007E0900" w:rsidP="007E0900">
            <w:pPr>
              <w:spacing w:after="0"/>
              <w:ind w:firstLine="0"/>
              <w:jc w:val="center"/>
              <w:rPr>
                <w:rFonts w:eastAsia="Times New Roman" w:cs="Times New Roman"/>
                <w:b/>
                <w:bCs/>
                <w:color w:val="000000"/>
                <w:szCs w:val="24"/>
                <w:lang w:eastAsia="ru-RU"/>
              </w:rPr>
            </w:pPr>
            <w:r w:rsidRPr="007E0900">
              <w:rPr>
                <w:rFonts w:eastAsia="Times New Roman" w:cs="Times New Roman"/>
                <w:b/>
                <w:bCs/>
                <w:color w:val="000000"/>
                <w:szCs w:val="24"/>
                <w:lang w:eastAsia="ru-RU"/>
              </w:rPr>
              <w:t>412,00 мг</w:t>
            </w:r>
          </w:p>
        </w:tc>
      </w:tr>
    </w:tbl>
    <w:p w14:paraId="433C26A4" w14:textId="77777777" w:rsidR="002D5834" w:rsidRDefault="002D5834" w:rsidP="00CE5ADE">
      <w:pPr>
        <w:pStyle w:val="SDText"/>
        <w:spacing w:after="0"/>
      </w:pPr>
    </w:p>
    <w:p w14:paraId="7E449353" w14:textId="135E63B9" w:rsidR="007E0900" w:rsidRPr="001A35D0" w:rsidRDefault="007E0900" w:rsidP="00CE5ADE">
      <w:pPr>
        <w:spacing w:after="0"/>
        <w:contextualSpacing/>
        <w:rPr>
          <w:highlight w:val="yellow"/>
          <w:lang w:eastAsia="ru-RU"/>
        </w:rPr>
      </w:pPr>
      <w:r w:rsidRPr="008F1926">
        <w:rPr>
          <w:rFonts w:eastAsia="Calibri"/>
          <w:color w:val="000000" w:themeColor="text1"/>
          <w:lang w:eastAsia="ru-RU"/>
        </w:rPr>
        <w:t xml:space="preserve">Препарат </w:t>
      </w:r>
      <w:r>
        <w:rPr>
          <w:rFonts w:eastAsia="MS Mincho"/>
          <w:szCs w:val="24"/>
          <w:lang w:val="en-US" w:eastAsia="ru-RU"/>
        </w:rPr>
        <w:t>D</w:t>
      </w:r>
      <w:r>
        <w:rPr>
          <w:rFonts w:eastAsia="MS Mincho"/>
          <w:szCs w:val="24"/>
          <w:lang w:eastAsia="ru-RU"/>
        </w:rPr>
        <w:t>T-</w:t>
      </w:r>
      <w:r>
        <w:rPr>
          <w:rFonts w:eastAsia="MS Mincho"/>
          <w:szCs w:val="24"/>
          <w:lang w:val="en-US" w:eastAsia="ru-RU"/>
        </w:rPr>
        <w:t>TFC</w:t>
      </w:r>
      <w:r w:rsidRPr="008F1926">
        <w:rPr>
          <w:color w:val="000000" w:themeColor="text1"/>
        </w:rPr>
        <w:t xml:space="preserve">, </w:t>
      </w:r>
      <w:r>
        <w:rPr>
          <w:rFonts w:eastAsia="Calibri"/>
        </w:rPr>
        <w:t>таблетки, покрытые пленочной оболочкой</w:t>
      </w:r>
      <w:r>
        <w:t>, 5</w:t>
      </w:r>
      <w:r w:rsidRPr="008F1926">
        <w:t xml:space="preserve"> мг</w:t>
      </w:r>
      <w:r w:rsidR="004F30BD">
        <w:t xml:space="preserve"> и</w:t>
      </w:r>
      <w:r>
        <w:t xml:space="preserve"> 10 мг</w:t>
      </w:r>
      <w:r w:rsidRPr="008F1926">
        <w:rPr>
          <w:bCs/>
          <w:lang w:eastAsia="ru-RU"/>
        </w:rPr>
        <w:t>,</w:t>
      </w:r>
      <w:r w:rsidRPr="008F1926">
        <w:rPr>
          <w:color w:val="000000" w:themeColor="text1"/>
        </w:rPr>
        <w:t xml:space="preserve"> </w:t>
      </w:r>
      <w:r w:rsidRPr="00A211C2">
        <w:rPr>
          <w:color w:val="000000" w:themeColor="text1"/>
        </w:rPr>
        <w:t xml:space="preserve">разработанный </w:t>
      </w:r>
      <w:r w:rsidRPr="00A211C2">
        <w:rPr>
          <w:bCs/>
          <w:lang w:eastAsia="ru-RU"/>
        </w:rPr>
        <w:t>АО «Р-Фарм», Россия, п</w:t>
      </w:r>
      <w:r w:rsidRPr="00A211C2">
        <w:rPr>
          <w:color w:val="000000"/>
        </w:rPr>
        <w:t>олностью соответствует по качественному и количественному составу действующего и вспомогательных веществ, лекарственной форме и дозировке</w:t>
      </w:r>
      <w:r w:rsidR="00A211C2" w:rsidRPr="00A211C2">
        <w:rPr>
          <w:color w:val="000000"/>
        </w:rPr>
        <w:t xml:space="preserve">, </w:t>
      </w:r>
      <w:r w:rsidRPr="00A211C2">
        <w:rPr>
          <w:color w:val="000000"/>
        </w:rPr>
        <w:t xml:space="preserve">референтному препарату эверолимуса </w:t>
      </w:r>
      <w:r w:rsidRPr="00A211C2">
        <w:rPr>
          <w:rFonts w:eastAsia="MS Mincho"/>
          <w:szCs w:val="24"/>
          <w:lang w:eastAsia="ru-RU"/>
        </w:rPr>
        <w:t>Яквинус</w:t>
      </w:r>
      <w:r w:rsidRPr="00A211C2">
        <w:rPr>
          <w:rFonts w:eastAsia="MS Mincho"/>
          <w:szCs w:val="24"/>
          <w:vertAlign w:val="superscript"/>
          <w:lang w:eastAsia="ru-RU"/>
        </w:rPr>
        <w:t>®</w:t>
      </w:r>
      <w:r w:rsidRPr="00A211C2">
        <w:rPr>
          <w:lang w:eastAsia="ru-RU"/>
        </w:rPr>
        <w:t xml:space="preserve"> (владелец РУ - </w:t>
      </w:r>
      <w:r w:rsidR="001A23EC" w:rsidRPr="00A211C2">
        <w:rPr>
          <w:rFonts w:eastAsia="MS Mincho"/>
          <w:szCs w:val="24"/>
          <w:lang w:eastAsia="ru-RU"/>
        </w:rPr>
        <w:t>Пфайзер Инк, США</w:t>
      </w:r>
      <w:r w:rsidRPr="00A211C2">
        <w:rPr>
          <w:lang w:eastAsia="ru-RU"/>
        </w:rPr>
        <w:t xml:space="preserve">), </w:t>
      </w:r>
      <w:r w:rsidR="00A211C2" w:rsidRPr="00A211C2">
        <w:rPr>
          <w:color w:val="000000"/>
        </w:rPr>
        <w:t>имея отличия в качественном и количественном составе пленочной оболочки таблетки</w:t>
      </w:r>
      <w:r w:rsidR="004F30BD">
        <w:rPr>
          <w:color w:val="000000"/>
        </w:rPr>
        <w:t xml:space="preserve"> и </w:t>
      </w:r>
      <w:r w:rsidR="004F30BD">
        <w:rPr>
          <w:color w:val="000000"/>
          <w:szCs w:val="24"/>
        </w:rPr>
        <w:t xml:space="preserve">типе целлюлозы микрокристаллической, входящей в состав ядра </w:t>
      </w:r>
      <w:r w:rsidR="004F30BD" w:rsidRPr="00E53670">
        <w:rPr>
          <w:color w:val="000000"/>
          <w:szCs w:val="24"/>
        </w:rPr>
        <w:t>таблетки</w:t>
      </w:r>
      <w:r w:rsidRPr="00A211C2">
        <w:rPr>
          <w:lang w:eastAsia="ru-RU"/>
        </w:rPr>
        <w:t>.</w:t>
      </w:r>
    </w:p>
    <w:p w14:paraId="27D4CDFE" w14:textId="5BF9AF1E" w:rsidR="007E0900" w:rsidRPr="00495A04" w:rsidRDefault="007E0900" w:rsidP="00CE5ADE">
      <w:pPr>
        <w:spacing w:after="0"/>
        <w:contextualSpacing/>
        <w:rPr>
          <w:color w:val="000000" w:themeColor="text1"/>
        </w:rPr>
      </w:pPr>
      <w:r w:rsidRPr="008F1926">
        <w:rPr>
          <w:color w:val="000000" w:themeColor="text1"/>
        </w:rPr>
        <w:lastRenderedPageBreak/>
        <w:t>В планируемом клиническом исследовании биоэквивалентности б</w:t>
      </w:r>
      <w:r w:rsidR="001A23EC">
        <w:rPr>
          <w:color w:val="000000" w:themeColor="text1"/>
        </w:rPr>
        <w:t>удет использоваться дозировка 1</w:t>
      </w:r>
      <w:r w:rsidRPr="008F1926">
        <w:rPr>
          <w:color w:val="000000" w:themeColor="text1"/>
        </w:rPr>
        <w:t xml:space="preserve">0 мг. Сопоставление составов </w:t>
      </w:r>
      <w:r w:rsidR="001A23EC">
        <w:rPr>
          <w:rFonts w:eastAsia="MS Mincho"/>
          <w:szCs w:val="24"/>
          <w:lang w:val="en-US" w:eastAsia="ru-RU"/>
        </w:rPr>
        <w:t>D</w:t>
      </w:r>
      <w:r w:rsidR="001A23EC">
        <w:rPr>
          <w:rFonts w:eastAsia="MS Mincho"/>
          <w:szCs w:val="24"/>
          <w:lang w:eastAsia="ru-RU"/>
        </w:rPr>
        <w:t>T-</w:t>
      </w:r>
      <w:r w:rsidR="001A23EC">
        <w:rPr>
          <w:rFonts w:eastAsia="MS Mincho"/>
          <w:szCs w:val="24"/>
          <w:lang w:val="en-US" w:eastAsia="ru-RU"/>
        </w:rPr>
        <w:t>TFC</w:t>
      </w:r>
      <w:r w:rsidR="001A23EC" w:rsidRPr="008F1926">
        <w:rPr>
          <w:color w:val="000000" w:themeColor="text1"/>
        </w:rPr>
        <w:t xml:space="preserve"> </w:t>
      </w:r>
      <w:r w:rsidRPr="008F1926">
        <w:rPr>
          <w:color w:val="000000" w:themeColor="text1"/>
        </w:rPr>
        <w:t xml:space="preserve">(АО «Р-Фарм», Россия) </w:t>
      </w:r>
      <w:r w:rsidRPr="008A69D9">
        <w:rPr>
          <w:color w:val="000000" w:themeColor="text1"/>
        </w:rPr>
        <w:t xml:space="preserve">и референтного препарата </w:t>
      </w:r>
      <w:r w:rsidR="001A23EC">
        <w:rPr>
          <w:rFonts w:eastAsia="MS Mincho"/>
          <w:szCs w:val="24"/>
          <w:lang w:eastAsia="ru-RU"/>
        </w:rPr>
        <w:t>Яквинус</w:t>
      </w:r>
      <w:r w:rsidR="001A23EC" w:rsidRPr="00D67EF0">
        <w:rPr>
          <w:rFonts w:eastAsia="MS Mincho"/>
          <w:szCs w:val="24"/>
          <w:vertAlign w:val="superscript"/>
          <w:lang w:eastAsia="ru-RU"/>
        </w:rPr>
        <w:t>®</w:t>
      </w:r>
      <w:r w:rsidR="001A23EC">
        <w:rPr>
          <w:lang w:eastAsia="ru-RU"/>
        </w:rPr>
        <w:t xml:space="preserve"> (</w:t>
      </w:r>
      <w:r w:rsidR="001A23EC" w:rsidRPr="00005F66">
        <w:rPr>
          <w:rFonts w:eastAsia="MS Mincho"/>
          <w:szCs w:val="24"/>
          <w:lang w:eastAsia="ru-RU"/>
        </w:rPr>
        <w:t>Пфайзер Инк, США</w:t>
      </w:r>
      <w:r w:rsidR="001A23EC" w:rsidRPr="008A69D9">
        <w:rPr>
          <w:lang w:eastAsia="ru-RU"/>
        </w:rPr>
        <w:t xml:space="preserve">), </w:t>
      </w:r>
      <w:r w:rsidRPr="008F1926">
        <w:rPr>
          <w:color w:val="000000" w:themeColor="text1"/>
        </w:rPr>
        <w:t xml:space="preserve">представлено </w:t>
      </w:r>
      <w:r w:rsidR="00D53EDA" w:rsidRPr="00495A04">
        <w:rPr>
          <w:color w:val="000000" w:themeColor="text1"/>
        </w:rPr>
        <w:t>ниже (</w:t>
      </w:r>
      <w:r w:rsidR="00D53EDA" w:rsidRPr="00495A04">
        <w:rPr>
          <w:color w:val="000000" w:themeColor="text1"/>
        </w:rPr>
        <w:fldChar w:fldCharType="begin"/>
      </w:r>
      <w:r w:rsidR="00D53EDA" w:rsidRPr="00495A04">
        <w:rPr>
          <w:color w:val="000000" w:themeColor="text1"/>
        </w:rPr>
        <w:instrText xml:space="preserve"> REF _Ref121139187 \h </w:instrText>
      </w:r>
      <w:r w:rsidR="00495A04" w:rsidRPr="00495A04">
        <w:rPr>
          <w:color w:val="000000" w:themeColor="text1"/>
        </w:rPr>
        <w:instrText xml:space="preserve"> \* MERGEFORMAT </w:instrText>
      </w:r>
      <w:r w:rsidR="00D53EDA" w:rsidRPr="00495A04">
        <w:rPr>
          <w:color w:val="000000" w:themeColor="text1"/>
        </w:rPr>
      </w:r>
      <w:r w:rsidR="00D53EDA" w:rsidRPr="00495A04">
        <w:rPr>
          <w:color w:val="000000" w:themeColor="text1"/>
        </w:rPr>
        <w:fldChar w:fldCharType="separate"/>
      </w:r>
      <w:r w:rsidR="00383E6F" w:rsidRPr="00495A04">
        <w:rPr>
          <w:bCs/>
        </w:rPr>
        <w:t xml:space="preserve">Таблица </w:t>
      </w:r>
      <w:r w:rsidR="00383E6F" w:rsidRPr="00495A04">
        <w:rPr>
          <w:bCs/>
          <w:noProof/>
        </w:rPr>
        <w:t>2</w:t>
      </w:r>
      <w:r w:rsidR="00383E6F" w:rsidRPr="00495A04">
        <w:rPr>
          <w:bCs/>
        </w:rPr>
        <w:noBreakHyphen/>
      </w:r>
      <w:r w:rsidR="00383E6F" w:rsidRPr="00495A04">
        <w:rPr>
          <w:bCs/>
          <w:noProof/>
        </w:rPr>
        <w:t>2</w:t>
      </w:r>
      <w:r w:rsidR="00D53EDA" w:rsidRPr="00495A04">
        <w:rPr>
          <w:color w:val="000000" w:themeColor="text1"/>
        </w:rPr>
        <w:fldChar w:fldCharType="end"/>
      </w:r>
      <w:r w:rsidR="00D53EDA" w:rsidRPr="00495A04">
        <w:rPr>
          <w:color w:val="000000" w:themeColor="text1"/>
        </w:rPr>
        <w:t>).</w:t>
      </w:r>
      <w:r w:rsidRPr="00495A04">
        <w:rPr>
          <w:color w:val="000000" w:themeColor="text1"/>
        </w:rPr>
        <w:t xml:space="preserve"> </w:t>
      </w:r>
    </w:p>
    <w:p w14:paraId="7D4C3232" w14:textId="77777777" w:rsidR="007E0900" w:rsidRDefault="007E0900" w:rsidP="00CE5ADE">
      <w:pPr>
        <w:pStyle w:val="SDText"/>
        <w:spacing w:after="0"/>
      </w:pPr>
    </w:p>
    <w:p w14:paraId="1AED2E62" w14:textId="7A69DA75" w:rsidR="001A23EC" w:rsidRDefault="005856F4" w:rsidP="00C13EBE">
      <w:pPr>
        <w:pStyle w:val="SDText"/>
        <w:spacing w:after="0"/>
        <w:ind w:firstLine="0"/>
        <w:rPr>
          <w:rFonts w:eastAsia="Times New Roman"/>
          <w:lang w:eastAsia="ru-RU"/>
        </w:rPr>
      </w:pPr>
      <w:bookmarkStart w:id="63" w:name="_Ref121139187"/>
      <w:r w:rsidRPr="005856F4">
        <w:rPr>
          <w:b/>
          <w:bCs/>
        </w:rPr>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2</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2</w:t>
      </w:r>
      <w:r w:rsidR="00652269">
        <w:rPr>
          <w:b/>
          <w:bCs/>
        </w:rPr>
        <w:fldChar w:fldCharType="end"/>
      </w:r>
      <w:bookmarkEnd w:id="63"/>
      <w:r w:rsidRPr="005856F4">
        <w:rPr>
          <w:b/>
          <w:bCs/>
        </w:rPr>
        <w:t>.</w:t>
      </w:r>
      <w:r>
        <w:t xml:space="preserve"> </w:t>
      </w:r>
      <w:r w:rsidR="001A23EC">
        <w:t xml:space="preserve">Сопоставление составов препарата </w:t>
      </w:r>
      <w:r w:rsidR="001A23EC">
        <w:rPr>
          <w:rFonts w:eastAsia="MS Mincho"/>
          <w:szCs w:val="24"/>
          <w:lang w:val="en-US" w:eastAsia="ru-RU"/>
        </w:rPr>
        <w:t>D</w:t>
      </w:r>
      <w:r w:rsidR="001A23EC">
        <w:rPr>
          <w:rFonts w:eastAsia="MS Mincho"/>
          <w:szCs w:val="24"/>
          <w:lang w:eastAsia="ru-RU"/>
        </w:rPr>
        <w:t>T-</w:t>
      </w:r>
      <w:r w:rsidR="001A23EC">
        <w:rPr>
          <w:rFonts w:eastAsia="MS Mincho"/>
          <w:szCs w:val="24"/>
          <w:lang w:val="en-US" w:eastAsia="ru-RU"/>
        </w:rPr>
        <w:t>TFC</w:t>
      </w:r>
      <w:r w:rsidR="001A23EC" w:rsidRPr="008F1926">
        <w:rPr>
          <w:color w:val="000000" w:themeColor="text1"/>
        </w:rPr>
        <w:t xml:space="preserve"> (АО «Р-Фарм», Россия) </w:t>
      </w:r>
      <w:r w:rsidR="001A23EC" w:rsidRPr="008A69D9">
        <w:rPr>
          <w:color w:val="000000" w:themeColor="text1"/>
        </w:rPr>
        <w:t xml:space="preserve">и референтного препарата </w:t>
      </w:r>
      <w:r w:rsidR="001A23EC">
        <w:rPr>
          <w:rFonts w:eastAsia="MS Mincho"/>
          <w:szCs w:val="24"/>
          <w:lang w:eastAsia="ru-RU"/>
        </w:rPr>
        <w:t>Яквинус</w:t>
      </w:r>
      <w:r w:rsidR="001A23EC" w:rsidRPr="00D67EF0">
        <w:rPr>
          <w:rFonts w:eastAsia="MS Mincho"/>
          <w:szCs w:val="24"/>
          <w:vertAlign w:val="superscript"/>
          <w:lang w:eastAsia="ru-RU"/>
        </w:rPr>
        <w:t>®</w:t>
      </w:r>
      <w:r w:rsidR="001A23EC">
        <w:rPr>
          <w:lang w:eastAsia="ru-RU"/>
        </w:rPr>
        <w:t xml:space="preserve"> (</w:t>
      </w:r>
      <w:r w:rsidR="001A23EC" w:rsidRPr="00005F66">
        <w:rPr>
          <w:rFonts w:eastAsia="MS Mincho"/>
          <w:szCs w:val="24"/>
          <w:lang w:eastAsia="ru-RU"/>
        </w:rPr>
        <w:t>Пфайзер Инк, США</w:t>
      </w:r>
      <w:r w:rsidR="001A23EC">
        <w:rPr>
          <w:lang w:eastAsia="ru-RU"/>
        </w:rPr>
        <w:t xml:space="preserve">) </w:t>
      </w:r>
      <w:r w:rsidR="001A23EC">
        <w:rPr>
          <w:color w:val="000000" w:themeColor="text1"/>
        </w:rPr>
        <w:t>в дозировке 10 мг.</w:t>
      </w:r>
      <w:r w:rsidR="001A23EC">
        <w:rPr>
          <w:lang w:eastAsia="ru-RU"/>
        </w:rPr>
        <w:t xml:space="preserve"> </w:t>
      </w:r>
    </w:p>
    <w:tbl>
      <w:tblPr>
        <w:tblW w:w="4873" w:type="pct"/>
        <w:tblInd w:w="136" w:type="dxa"/>
        <w:tblLook w:val="04A0" w:firstRow="1" w:lastRow="0" w:firstColumn="1" w:lastColumn="0" w:noHBand="0" w:noVBand="1"/>
      </w:tblPr>
      <w:tblGrid>
        <w:gridCol w:w="6068"/>
        <w:gridCol w:w="1559"/>
        <w:gridCol w:w="1701"/>
      </w:tblGrid>
      <w:tr w:rsidR="00155BAA" w:rsidRPr="00155BAA" w14:paraId="62692051" w14:textId="77777777" w:rsidTr="00C2295D">
        <w:trPr>
          <w:trHeight w:val="20"/>
          <w:tblHeader/>
        </w:trPr>
        <w:tc>
          <w:tcPr>
            <w:tcW w:w="6068"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1F34E27" w14:textId="77777777" w:rsidR="00155BAA" w:rsidRPr="00155BAA" w:rsidRDefault="00155BAA" w:rsidP="00155BAA">
            <w:pPr>
              <w:spacing w:after="0"/>
              <w:ind w:firstLine="0"/>
              <w:jc w:val="center"/>
              <w:rPr>
                <w:rFonts w:eastAsia="Times New Roman" w:cs="Times New Roman"/>
                <w:b/>
                <w:bCs/>
                <w:color w:val="000000"/>
                <w:szCs w:val="24"/>
                <w:lang w:eastAsia="ru-RU"/>
              </w:rPr>
            </w:pPr>
            <w:r w:rsidRPr="00155BAA">
              <w:rPr>
                <w:rFonts w:eastAsia="Times New Roman" w:cs="Times New Roman"/>
                <w:b/>
                <w:bCs/>
                <w:color w:val="000000"/>
                <w:szCs w:val="24"/>
                <w:lang w:eastAsia="ru-RU"/>
              </w:rPr>
              <w:t>Компонент</w:t>
            </w:r>
          </w:p>
        </w:tc>
        <w:tc>
          <w:tcPr>
            <w:tcW w:w="3260" w:type="dxa"/>
            <w:gridSpan w:val="2"/>
            <w:tcBorders>
              <w:top w:val="single" w:sz="4" w:space="0" w:color="auto"/>
              <w:left w:val="nil"/>
              <w:bottom w:val="single" w:sz="4" w:space="0" w:color="auto"/>
              <w:right w:val="single" w:sz="4" w:space="0" w:color="auto"/>
            </w:tcBorders>
            <w:shd w:val="clear" w:color="000000" w:fill="D9D9D9"/>
            <w:vAlign w:val="center"/>
            <w:hideMark/>
          </w:tcPr>
          <w:p w14:paraId="7E0A0B86" w14:textId="77777777" w:rsidR="00155BAA" w:rsidRPr="00155BAA" w:rsidRDefault="00155BAA" w:rsidP="00155BAA">
            <w:pPr>
              <w:spacing w:after="0"/>
              <w:ind w:firstLine="0"/>
              <w:jc w:val="center"/>
              <w:rPr>
                <w:rFonts w:eastAsia="Times New Roman" w:cs="Times New Roman"/>
                <w:b/>
                <w:bCs/>
                <w:color w:val="000000"/>
                <w:szCs w:val="24"/>
                <w:lang w:eastAsia="ru-RU"/>
              </w:rPr>
            </w:pPr>
            <w:r w:rsidRPr="00155BAA">
              <w:rPr>
                <w:rFonts w:eastAsia="Times New Roman" w:cs="Times New Roman"/>
                <w:b/>
                <w:bCs/>
                <w:color w:val="000000"/>
                <w:szCs w:val="24"/>
                <w:lang w:eastAsia="ru-RU"/>
              </w:rPr>
              <w:t>Дозировка 10 мг</w:t>
            </w:r>
          </w:p>
        </w:tc>
      </w:tr>
      <w:tr w:rsidR="00155BAA" w:rsidRPr="00155BAA" w14:paraId="2BF56FBD" w14:textId="77777777" w:rsidTr="00C2295D">
        <w:trPr>
          <w:trHeight w:val="20"/>
          <w:tblHeader/>
        </w:trPr>
        <w:tc>
          <w:tcPr>
            <w:tcW w:w="6068" w:type="dxa"/>
            <w:vMerge/>
            <w:tcBorders>
              <w:top w:val="single" w:sz="4" w:space="0" w:color="auto"/>
              <w:left w:val="single" w:sz="4" w:space="0" w:color="auto"/>
              <w:bottom w:val="single" w:sz="4" w:space="0" w:color="auto"/>
              <w:right w:val="single" w:sz="4" w:space="0" w:color="auto"/>
            </w:tcBorders>
            <w:vAlign w:val="center"/>
            <w:hideMark/>
          </w:tcPr>
          <w:p w14:paraId="7609C161" w14:textId="77777777" w:rsidR="00155BAA" w:rsidRPr="00155BAA" w:rsidRDefault="00155BAA" w:rsidP="00155BAA">
            <w:pPr>
              <w:spacing w:after="0"/>
              <w:ind w:firstLine="0"/>
              <w:jc w:val="left"/>
              <w:rPr>
                <w:rFonts w:eastAsia="Times New Roman" w:cs="Times New Roman"/>
                <w:b/>
                <w:bCs/>
                <w:color w:val="000000"/>
                <w:szCs w:val="24"/>
                <w:lang w:eastAsia="ru-RU"/>
              </w:rPr>
            </w:pPr>
          </w:p>
        </w:tc>
        <w:tc>
          <w:tcPr>
            <w:tcW w:w="1559" w:type="dxa"/>
            <w:tcBorders>
              <w:top w:val="nil"/>
              <w:left w:val="nil"/>
              <w:bottom w:val="single" w:sz="4" w:space="0" w:color="auto"/>
              <w:right w:val="single" w:sz="4" w:space="0" w:color="auto"/>
            </w:tcBorders>
            <w:shd w:val="clear" w:color="000000" w:fill="D9D9D9"/>
            <w:vAlign w:val="center"/>
            <w:hideMark/>
          </w:tcPr>
          <w:p w14:paraId="6F4C8D0A" w14:textId="77777777" w:rsidR="00155BAA" w:rsidRPr="00155BAA" w:rsidRDefault="00155BAA" w:rsidP="00155BAA">
            <w:pPr>
              <w:spacing w:after="0"/>
              <w:ind w:firstLine="0"/>
              <w:jc w:val="center"/>
              <w:rPr>
                <w:rFonts w:eastAsia="Times New Roman" w:cs="Times New Roman"/>
                <w:b/>
                <w:bCs/>
                <w:color w:val="000000"/>
                <w:szCs w:val="24"/>
                <w:lang w:eastAsia="ru-RU"/>
              </w:rPr>
            </w:pPr>
            <w:r w:rsidRPr="00155BAA">
              <w:rPr>
                <w:rFonts w:eastAsia="Times New Roman" w:cs="Times New Roman"/>
                <w:b/>
                <w:bCs/>
                <w:color w:val="000000"/>
                <w:szCs w:val="24"/>
                <w:lang w:val="en-US" w:eastAsia="ru-RU"/>
              </w:rPr>
              <w:t>DT-TFC</w:t>
            </w:r>
          </w:p>
        </w:tc>
        <w:tc>
          <w:tcPr>
            <w:tcW w:w="1701" w:type="dxa"/>
            <w:tcBorders>
              <w:top w:val="nil"/>
              <w:left w:val="nil"/>
              <w:bottom w:val="single" w:sz="4" w:space="0" w:color="auto"/>
              <w:right w:val="single" w:sz="4" w:space="0" w:color="auto"/>
            </w:tcBorders>
            <w:shd w:val="clear" w:color="000000" w:fill="D9D9D9"/>
            <w:vAlign w:val="center"/>
            <w:hideMark/>
          </w:tcPr>
          <w:p w14:paraId="66CB9A90" w14:textId="77777777" w:rsidR="00155BAA" w:rsidRPr="00155BAA" w:rsidRDefault="00155BAA" w:rsidP="00155BAA">
            <w:pPr>
              <w:spacing w:after="0"/>
              <w:ind w:firstLine="0"/>
              <w:jc w:val="center"/>
              <w:rPr>
                <w:rFonts w:eastAsia="Times New Roman" w:cs="Times New Roman"/>
                <w:b/>
                <w:bCs/>
                <w:color w:val="000000"/>
                <w:szCs w:val="24"/>
                <w:lang w:eastAsia="ru-RU"/>
              </w:rPr>
            </w:pPr>
            <w:r w:rsidRPr="00155BAA">
              <w:rPr>
                <w:rFonts w:eastAsia="Times New Roman" w:cs="Times New Roman"/>
                <w:b/>
                <w:bCs/>
                <w:color w:val="000000" w:themeColor="text1"/>
                <w:szCs w:val="24"/>
                <w:lang w:eastAsia="ru-RU"/>
              </w:rPr>
              <w:t>Яквинус</w:t>
            </w:r>
            <w:r w:rsidRPr="004F30BD">
              <w:rPr>
                <w:rFonts w:eastAsia="Times New Roman" w:cs="Times New Roman"/>
                <w:b/>
                <w:bCs/>
                <w:color w:val="000000" w:themeColor="text1"/>
                <w:szCs w:val="24"/>
                <w:vertAlign w:val="superscript"/>
                <w:lang w:eastAsia="ru-RU"/>
              </w:rPr>
              <w:t>®</w:t>
            </w:r>
          </w:p>
        </w:tc>
      </w:tr>
      <w:tr w:rsidR="00155BAA" w:rsidRPr="00155BAA" w14:paraId="1AC8DFC1" w14:textId="77777777" w:rsidTr="004F30BD">
        <w:trPr>
          <w:trHeight w:val="20"/>
        </w:trPr>
        <w:tc>
          <w:tcPr>
            <w:tcW w:w="9328" w:type="dxa"/>
            <w:gridSpan w:val="3"/>
            <w:tcBorders>
              <w:top w:val="single" w:sz="4" w:space="0" w:color="auto"/>
              <w:left w:val="single" w:sz="4" w:space="0" w:color="auto"/>
              <w:bottom w:val="single" w:sz="4" w:space="0" w:color="auto"/>
              <w:right w:val="single" w:sz="4" w:space="0" w:color="auto"/>
            </w:tcBorders>
            <w:shd w:val="clear" w:color="auto" w:fill="auto"/>
            <w:hideMark/>
          </w:tcPr>
          <w:p w14:paraId="01CC6EF2" w14:textId="77777777" w:rsidR="00155BAA" w:rsidRPr="00155BAA" w:rsidRDefault="00155BAA" w:rsidP="00155BAA">
            <w:pPr>
              <w:spacing w:after="0"/>
              <w:ind w:firstLine="0"/>
              <w:jc w:val="left"/>
              <w:rPr>
                <w:rFonts w:eastAsia="Times New Roman" w:cs="Times New Roman"/>
                <w:i/>
                <w:iCs/>
                <w:color w:val="000000"/>
                <w:szCs w:val="24"/>
                <w:lang w:eastAsia="ru-RU"/>
              </w:rPr>
            </w:pPr>
            <w:r w:rsidRPr="00155BAA">
              <w:rPr>
                <w:rFonts w:eastAsia="Times New Roman" w:cs="Times New Roman"/>
                <w:i/>
                <w:iCs/>
                <w:color w:val="000000"/>
                <w:szCs w:val="24"/>
              </w:rPr>
              <w:t>Действующее вещество:</w:t>
            </w:r>
          </w:p>
        </w:tc>
      </w:tr>
      <w:tr w:rsidR="00155BAA" w:rsidRPr="00155BAA" w14:paraId="1C79389E" w14:textId="77777777" w:rsidTr="00C2295D">
        <w:trPr>
          <w:trHeight w:val="20"/>
        </w:trPr>
        <w:tc>
          <w:tcPr>
            <w:tcW w:w="6068" w:type="dxa"/>
            <w:tcBorders>
              <w:top w:val="single" w:sz="4" w:space="0" w:color="auto"/>
              <w:left w:val="single" w:sz="4" w:space="0" w:color="auto"/>
              <w:bottom w:val="single" w:sz="4" w:space="0" w:color="auto"/>
              <w:right w:val="single" w:sz="4" w:space="0" w:color="auto"/>
            </w:tcBorders>
            <w:shd w:val="clear" w:color="auto" w:fill="auto"/>
            <w:hideMark/>
          </w:tcPr>
          <w:p w14:paraId="273CBE8B" w14:textId="77777777" w:rsidR="00155BAA" w:rsidRPr="00155BAA" w:rsidRDefault="00155BAA" w:rsidP="004F30BD">
            <w:pPr>
              <w:spacing w:after="0"/>
              <w:ind w:left="574" w:firstLine="0"/>
              <w:jc w:val="left"/>
              <w:rPr>
                <w:rFonts w:eastAsia="Times New Roman" w:cs="Times New Roman"/>
                <w:color w:val="000000"/>
                <w:szCs w:val="24"/>
                <w:lang w:eastAsia="ru-RU"/>
              </w:rPr>
            </w:pPr>
            <w:r w:rsidRPr="00155BAA">
              <w:rPr>
                <w:rFonts w:eastAsia="Times New Roman" w:cs="Times New Roman"/>
                <w:color w:val="000000" w:themeColor="text1"/>
                <w:szCs w:val="24"/>
                <w:lang w:eastAsia="ru-RU"/>
              </w:rPr>
              <w:t>Тофацитиниба цитрат</w:t>
            </w:r>
            <w:r w:rsidRPr="00155BAA">
              <w:rPr>
                <w:rFonts w:eastAsia="Times New Roman" w:cs="Times New Roman"/>
                <w:color w:val="000000" w:themeColor="text1"/>
                <w:szCs w:val="24"/>
                <w:lang w:eastAsia="ru-RU"/>
              </w:rPr>
              <w:br/>
              <w:t>(в пересчете на тофацитиниб)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66934A"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themeColor="text1"/>
                <w:szCs w:val="24"/>
                <w:lang w:eastAsia="ru-RU"/>
              </w:rPr>
              <w:t>16,155 мг</w:t>
            </w:r>
            <w:r w:rsidRPr="00155BAA">
              <w:rPr>
                <w:rFonts w:eastAsia="Times New Roman" w:cs="Times New Roman"/>
                <w:color w:val="000000" w:themeColor="text1"/>
                <w:szCs w:val="24"/>
                <w:lang w:eastAsia="ru-RU"/>
              </w:rPr>
              <w:br/>
              <w:t>10,00 мг</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A2D71F2"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16,155 мг</w:t>
            </w:r>
            <w:r w:rsidRPr="00155BAA">
              <w:rPr>
                <w:rFonts w:eastAsia="Times New Roman" w:cs="Times New Roman"/>
                <w:color w:val="000000"/>
                <w:szCs w:val="24"/>
                <w:lang w:eastAsia="ru-RU"/>
              </w:rPr>
              <w:br/>
              <w:t>10,00 мг</w:t>
            </w:r>
          </w:p>
        </w:tc>
      </w:tr>
      <w:tr w:rsidR="00155BAA" w:rsidRPr="00155BAA" w14:paraId="01692130" w14:textId="77777777" w:rsidTr="004F30BD">
        <w:trPr>
          <w:trHeight w:val="20"/>
        </w:trPr>
        <w:tc>
          <w:tcPr>
            <w:tcW w:w="9328" w:type="dxa"/>
            <w:gridSpan w:val="3"/>
            <w:tcBorders>
              <w:top w:val="single" w:sz="4" w:space="0" w:color="auto"/>
              <w:left w:val="single" w:sz="4" w:space="0" w:color="auto"/>
              <w:bottom w:val="single" w:sz="4" w:space="0" w:color="auto"/>
              <w:right w:val="single" w:sz="4" w:space="0" w:color="auto"/>
            </w:tcBorders>
            <w:shd w:val="clear" w:color="auto" w:fill="auto"/>
            <w:hideMark/>
          </w:tcPr>
          <w:p w14:paraId="717DC7DB" w14:textId="77777777" w:rsidR="00155BAA" w:rsidRPr="00155BAA" w:rsidRDefault="00155BAA" w:rsidP="00155BAA">
            <w:pPr>
              <w:spacing w:after="0"/>
              <w:ind w:firstLine="0"/>
              <w:jc w:val="left"/>
              <w:rPr>
                <w:rFonts w:eastAsia="Times New Roman" w:cs="Times New Roman"/>
                <w:i/>
                <w:iCs/>
                <w:color w:val="000000"/>
                <w:szCs w:val="24"/>
                <w:lang w:eastAsia="ru-RU"/>
              </w:rPr>
            </w:pPr>
            <w:r w:rsidRPr="00155BAA">
              <w:rPr>
                <w:rFonts w:eastAsia="Times New Roman" w:cs="Times New Roman"/>
                <w:i/>
                <w:iCs/>
                <w:color w:val="000000"/>
                <w:szCs w:val="24"/>
              </w:rPr>
              <w:t>Вспомогательные вещества:</w:t>
            </w:r>
          </w:p>
        </w:tc>
      </w:tr>
      <w:tr w:rsidR="00155BAA" w:rsidRPr="00155BAA" w14:paraId="5C60ADE1"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392ACEE2" w14:textId="256030C1" w:rsidR="00155BAA" w:rsidRPr="00155BAA" w:rsidRDefault="00155BAA" w:rsidP="004F30BD">
            <w:pPr>
              <w:spacing w:after="0"/>
              <w:ind w:left="574" w:firstLine="0"/>
              <w:jc w:val="left"/>
              <w:rPr>
                <w:rFonts w:eastAsia="Times New Roman" w:cs="Times New Roman"/>
                <w:color w:val="000000"/>
                <w:szCs w:val="24"/>
                <w:lang w:eastAsia="ru-RU"/>
              </w:rPr>
            </w:pPr>
            <w:r w:rsidRPr="00155BAA">
              <w:rPr>
                <w:rFonts w:eastAsia="Times New Roman" w:cs="Times New Roman"/>
                <w:color w:val="000000"/>
                <w:szCs w:val="24"/>
                <w:lang w:eastAsia="ru-RU"/>
              </w:rPr>
              <w:t>Целлюлоза микрокристаллическая</w:t>
            </w:r>
            <w:r w:rsidR="004F30BD">
              <w:rPr>
                <w:rFonts w:eastAsia="Times New Roman" w:cs="Times New Roman"/>
                <w:color w:val="000000"/>
                <w:szCs w:val="24"/>
                <w:lang w:eastAsia="ru-RU"/>
              </w:rPr>
              <w:t>*</w:t>
            </w:r>
            <w:r w:rsidR="00046AD0">
              <w:rPr>
                <w:rFonts w:eastAsia="Times New Roman" w:cs="Times New Roman"/>
                <w:color w:val="000000"/>
                <w:szCs w:val="24"/>
                <w:lang w:eastAsia="ru-RU"/>
              </w:rPr>
              <w:t>*</w:t>
            </w:r>
          </w:p>
        </w:tc>
        <w:tc>
          <w:tcPr>
            <w:tcW w:w="1559" w:type="dxa"/>
            <w:tcBorders>
              <w:top w:val="nil"/>
              <w:left w:val="nil"/>
              <w:bottom w:val="single" w:sz="4" w:space="0" w:color="auto"/>
              <w:right w:val="single" w:sz="4" w:space="0" w:color="auto"/>
            </w:tcBorders>
            <w:shd w:val="clear" w:color="auto" w:fill="auto"/>
            <w:vAlign w:val="center"/>
            <w:hideMark/>
          </w:tcPr>
          <w:p w14:paraId="3A4F8088"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245,230 мг</w:t>
            </w:r>
          </w:p>
        </w:tc>
        <w:tc>
          <w:tcPr>
            <w:tcW w:w="1701" w:type="dxa"/>
            <w:tcBorders>
              <w:top w:val="nil"/>
              <w:left w:val="nil"/>
              <w:bottom w:val="single" w:sz="4" w:space="0" w:color="auto"/>
              <w:right w:val="single" w:sz="4" w:space="0" w:color="auto"/>
            </w:tcBorders>
            <w:shd w:val="clear" w:color="auto" w:fill="auto"/>
            <w:vAlign w:val="center"/>
            <w:hideMark/>
          </w:tcPr>
          <w:p w14:paraId="1702AAD7"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245,230 мг</w:t>
            </w:r>
          </w:p>
        </w:tc>
      </w:tr>
      <w:tr w:rsidR="00155BAA" w:rsidRPr="00155BAA" w14:paraId="00BC55D3"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03FB7E4A" w14:textId="77777777" w:rsidR="00155BAA" w:rsidRPr="00155BAA" w:rsidRDefault="00155BAA" w:rsidP="004F30BD">
            <w:pPr>
              <w:spacing w:after="0"/>
              <w:ind w:left="574" w:firstLine="0"/>
              <w:jc w:val="left"/>
              <w:rPr>
                <w:rFonts w:eastAsia="Times New Roman" w:cs="Times New Roman"/>
                <w:color w:val="000000"/>
                <w:szCs w:val="24"/>
                <w:lang w:eastAsia="ru-RU"/>
              </w:rPr>
            </w:pPr>
            <w:r w:rsidRPr="00155BAA">
              <w:rPr>
                <w:rFonts w:eastAsia="Times New Roman" w:cs="Times New Roman"/>
                <w:color w:val="000000"/>
                <w:szCs w:val="24"/>
                <w:lang w:eastAsia="ru-RU"/>
              </w:rPr>
              <w:t>Лактозы моногидрат</w:t>
            </w:r>
          </w:p>
        </w:tc>
        <w:tc>
          <w:tcPr>
            <w:tcW w:w="1559" w:type="dxa"/>
            <w:tcBorders>
              <w:top w:val="nil"/>
              <w:left w:val="nil"/>
              <w:bottom w:val="single" w:sz="4" w:space="0" w:color="auto"/>
              <w:right w:val="single" w:sz="4" w:space="0" w:color="auto"/>
            </w:tcBorders>
            <w:shd w:val="clear" w:color="auto" w:fill="auto"/>
            <w:vAlign w:val="center"/>
            <w:hideMark/>
          </w:tcPr>
          <w:p w14:paraId="62287F6C"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122,615 мг</w:t>
            </w:r>
          </w:p>
        </w:tc>
        <w:tc>
          <w:tcPr>
            <w:tcW w:w="1701" w:type="dxa"/>
            <w:tcBorders>
              <w:top w:val="nil"/>
              <w:left w:val="nil"/>
              <w:bottom w:val="single" w:sz="4" w:space="0" w:color="auto"/>
              <w:right w:val="single" w:sz="4" w:space="0" w:color="auto"/>
            </w:tcBorders>
            <w:shd w:val="clear" w:color="auto" w:fill="auto"/>
            <w:vAlign w:val="center"/>
            <w:hideMark/>
          </w:tcPr>
          <w:p w14:paraId="46AD4852"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122,615 мг</w:t>
            </w:r>
          </w:p>
        </w:tc>
      </w:tr>
      <w:tr w:rsidR="00155BAA" w:rsidRPr="00155BAA" w14:paraId="60460A89"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54351F92" w14:textId="77777777" w:rsidR="00155BAA" w:rsidRPr="00155BAA" w:rsidRDefault="00155BAA" w:rsidP="004F30BD">
            <w:pPr>
              <w:spacing w:after="0"/>
              <w:ind w:left="574" w:firstLine="0"/>
              <w:jc w:val="left"/>
              <w:rPr>
                <w:rFonts w:eastAsia="Times New Roman" w:cs="Times New Roman"/>
                <w:color w:val="000000"/>
                <w:szCs w:val="24"/>
                <w:lang w:eastAsia="ru-RU"/>
              </w:rPr>
            </w:pPr>
            <w:r w:rsidRPr="00155BAA">
              <w:rPr>
                <w:rFonts w:eastAsia="Times New Roman" w:cs="Times New Roman"/>
                <w:color w:val="000000"/>
                <w:szCs w:val="24"/>
                <w:lang w:eastAsia="ru-RU"/>
              </w:rPr>
              <w:t>Кроскармеллоза натрия</w:t>
            </w:r>
          </w:p>
        </w:tc>
        <w:tc>
          <w:tcPr>
            <w:tcW w:w="1559" w:type="dxa"/>
            <w:tcBorders>
              <w:top w:val="nil"/>
              <w:left w:val="nil"/>
              <w:bottom w:val="single" w:sz="4" w:space="0" w:color="auto"/>
              <w:right w:val="single" w:sz="4" w:space="0" w:color="auto"/>
            </w:tcBorders>
            <w:shd w:val="clear" w:color="auto" w:fill="auto"/>
            <w:vAlign w:val="center"/>
            <w:hideMark/>
          </w:tcPr>
          <w:p w14:paraId="15090C6B"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12,000 мг</w:t>
            </w:r>
          </w:p>
        </w:tc>
        <w:tc>
          <w:tcPr>
            <w:tcW w:w="1701" w:type="dxa"/>
            <w:tcBorders>
              <w:top w:val="nil"/>
              <w:left w:val="nil"/>
              <w:bottom w:val="single" w:sz="4" w:space="0" w:color="auto"/>
              <w:right w:val="single" w:sz="4" w:space="0" w:color="auto"/>
            </w:tcBorders>
            <w:shd w:val="clear" w:color="auto" w:fill="auto"/>
            <w:vAlign w:val="center"/>
            <w:hideMark/>
          </w:tcPr>
          <w:p w14:paraId="172E24CA"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12,000 мг</w:t>
            </w:r>
          </w:p>
        </w:tc>
      </w:tr>
      <w:tr w:rsidR="00155BAA" w:rsidRPr="00155BAA" w14:paraId="44B73DDE"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7A0F0999" w14:textId="77777777" w:rsidR="00155BAA" w:rsidRPr="00155BAA" w:rsidRDefault="00155BAA" w:rsidP="004F30BD">
            <w:pPr>
              <w:spacing w:after="0"/>
              <w:ind w:left="574" w:firstLine="0"/>
              <w:jc w:val="left"/>
              <w:rPr>
                <w:rFonts w:eastAsia="Times New Roman" w:cs="Times New Roman"/>
                <w:color w:val="000000"/>
                <w:szCs w:val="24"/>
                <w:lang w:eastAsia="ru-RU"/>
              </w:rPr>
            </w:pPr>
            <w:r w:rsidRPr="00155BAA">
              <w:rPr>
                <w:rFonts w:eastAsia="Times New Roman" w:cs="Times New Roman"/>
                <w:color w:val="000000"/>
                <w:szCs w:val="24"/>
                <w:lang w:eastAsia="ru-RU"/>
              </w:rPr>
              <w:t>Магния стеарат</w:t>
            </w:r>
          </w:p>
        </w:tc>
        <w:tc>
          <w:tcPr>
            <w:tcW w:w="1559" w:type="dxa"/>
            <w:tcBorders>
              <w:top w:val="nil"/>
              <w:left w:val="nil"/>
              <w:bottom w:val="single" w:sz="4" w:space="0" w:color="auto"/>
              <w:right w:val="single" w:sz="4" w:space="0" w:color="auto"/>
            </w:tcBorders>
            <w:shd w:val="clear" w:color="auto" w:fill="auto"/>
            <w:vAlign w:val="center"/>
            <w:hideMark/>
          </w:tcPr>
          <w:p w14:paraId="2DF03F00"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4,000 мг</w:t>
            </w:r>
          </w:p>
        </w:tc>
        <w:tc>
          <w:tcPr>
            <w:tcW w:w="1701" w:type="dxa"/>
            <w:tcBorders>
              <w:top w:val="nil"/>
              <w:left w:val="nil"/>
              <w:bottom w:val="single" w:sz="4" w:space="0" w:color="auto"/>
              <w:right w:val="single" w:sz="4" w:space="0" w:color="auto"/>
            </w:tcBorders>
            <w:shd w:val="clear" w:color="auto" w:fill="auto"/>
            <w:vAlign w:val="center"/>
            <w:hideMark/>
          </w:tcPr>
          <w:p w14:paraId="74ADA59C"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4,000 мг</w:t>
            </w:r>
          </w:p>
        </w:tc>
      </w:tr>
      <w:tr w:rsidR="00155BAA" w:rsidRPr="00155BAA" w14:paraId="3E2EA70D"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44CD5294" w14:textId="77777777" w:rsidR="00155BAA" w:rsidRPr="00155BAA" w:rsidRDefault="00155BAA" w:rsidP="00155BAA">
            <w:pPr>
              <w:spacing w:after="0"/>
              <w:ind w:firstLine="0"/>
              <w:jc w:val="left"/>
              <w:rPr>
                <w:rFonts w:eastAsia="Times New Roman" w:cs="Times New Roman"/>
                <w:b/>
                <w:bCs/>
                <w:color w:val="000000"/>
                <w:szCs w:val="24"/>
                <w:lang w:eastAsia="ru-RU"/>
              </w:rPr>
            </w:pPr>
            <w:r w:rsidRPr="00155BAA">
              <w:rPr>
                <w:rFonts w:eastAsia="Times New Roman" w:cs="Times New Roman"/>
                <w:b/>
                <w:bCs/>
                <w:color w:val="000000"/>
                <w:szCs w:val="24"/>
                <w:lang w:eastAsia="ru-RU"/>
              </w:rPr>
              <w:t>Масса таблетки без оболочки:</w:t>
            </w:r>
          </w:p>
        </w:tc>
        <w:tc>
          <w:tcPr>
            <w:tcW w:w="1559" w:type="dxa"/>
            <w:tcBorders>
              <w:top w:val="nil"/>
              <w:left w:val="nil"/>
              <w:bottom w:val="single" w:sz="4" w:space="0" w:color="auto"/>
              <w:right w:val="single" w:sz="4" w:space="0" w:color="auto"/>
            </w:tcBorders>
            <w:shd w:val="clear" w:color="auto" w:fill="auto"/>
            <w:vAlign w:val="center"/>
            <w:hideMark/>
          </w:tcPr>
          <w:p w14:paraId="13E5C4F2" w14:textId="77777777" w:rsidR="00155BAA" w:rsidRPr="00155BAA" w:rsidRDefault="00155BAA" w:rsidP="00155BAA">
            <w:pPr>
              <w:spacing w:after="0"/>
              <w:ind w:firstLine="0"/>
              <w:jc w:val="center"/>
              <w:rPr>
                <w:rFonts w:eastAsia="Times New Roman" w:cs="Times New Roman"/>
                <w:b/>
                <w:bCs/>
                <w:color w:val="000000"/>
                <w:szCs w:val="24"/>
                <w:lang w:eastAsia="ru-RU"/>
              </w:rPr>
            </w:pPr>
            <w:r w:rsidRPr="00155BAA">
              <w:rPr>
                <w:rFonts w:eastAsia="Times New Roman" w:cs="Times New Roman"/>
                <w:b/>
                <w:bCs/>
                <w:color w:val="000000"/>
                <w:szCs w:val="24"/>
                <w:lang w:eastAsia="ru-RU"/>
              </w:rPr>
              <w:t>400,00 мг</w:t>
            </w:r>
          </w:p>
        </w:tc>
        <w:tc>
          <w:tcPr>
            <w:tcW w:w="1701" w:type="dxa"/>
            <w:tcBorders>
              <w:top w:val="nil"/>
              <w:left w:val="nil"/>
              <w:bottom w:val="single" w:sz="4" w:space="0" w:color="auto"/>
              <w:right w:val="single" w:sz="4" w:space="0" w:color="auto"/>
            </w:tcBorders>
            <w:shd w:val="clear" w:color="auto" w:fill="auto"/>
            <w:vAlign w:val="center"/>
            <w:hideMark/>
          </w:tcPr>
          <w:p w14:paraId="70C12ED5" w14:textId="77777777" w:rsidR="00155BAA" w:rsidRPr="00155BAA" w:rsidRDefault="00155BAA" w:rsidP="00155BAA">
            <w:pPr>
              <w:spacing w:after="0"/>
              <w:ind w:firstLine="0"/>
              <w:jc w:val="center"/>
              <w:rPr>
                <w:rFonts w:eastAsia="Times New Roman" w:cs="Times New Roman"/>
                <w:b/>
                <w:bCs/>
                <w:color w:val="000000"/>
                <w:szCs w:val="24"/>
                <w:lang w:eastAsia="ru-RU"/>
              </w:rPr>
            </w:pPr>
            <w:r w:rsidRPr="00155BAA">
              <w:rPr>
                <w:rFonts w:eastAsia="Times New Roman" w:cs="Times New Roman"/>
                <w:b/>
                <w:bCs/>
                <w:color w:val="000000"/>
                <w:szCs w:val="24"/>
                <w:lang w:eastAsia="ru-RU"/>
              </w:rPr>
              <w:t>400,00 мг</w:t>
            </w:r>
          </w:p>
        </w:tc>
      </w:tr>
      <w:tr w:rsidR="00155BAA" w:rsidRPr="00155BAA" w14:paraId="7EFB9DE1" w14:textId="77777777" w:rsidTr="004F30BD">
        <w:trPr>
          <w:trHeight w:val="20"/>
        </w:trPr>
        <w:tc>
          <w:tcPr>
            <w:tcW w:w="9328" w:type="dxa"/>
            <w:gridSpan w:val="3"/>
            <w:tcBorders>
              <w:top w:val="single" w:sz="4" w:space="0" w:color="auto"/>
              <w:left w:val="single" w:sz="4" w:space="0" w:color="auto"/>
              <w:bottom w:val="single" w:sz="4" w:space="0" w:color="auto"/>
              <w:right w:val="single" w:sz="4" w:space="0" w:color="auto"/>
            </w:tcBorders>
            <w:shd w:val="clear" w:color="auto" w:fill="auto"/>
            <w:hideMark/>
          </w:tcPr>
          <w:p w14:paraId="1ECB795D" w14:textId="77777777" w:rsidR="00155BAA" w:rsidRPr="00155BAA" w:rsidRDefault="00155BAA" w:rsidP="00155BAA">
            <w:pPr>
              <w:spacing w:after="0"/>
              <w:ind w:firstLine="0"/>
              <w:jc w:val="left"/>
              <w:rPr>
                <w:rFonts w:eastAsia="Times New Roman" w:cs="Times New Roman"/>
                <w:i/>
                <w:iCs/>
                <w:color w:val="000000"/>
                <w:szCs w:val="24"/>
                <w:lang w:eastAsia="ru-RU"/>
              </w:rPr>
            </w:pPr>
            <w:r w:rsidRPr="00155BAA">
              <w:rPr>
                <w:rFonts w:eastAsia="Times New Roman" w:cs="Times New Roman"/>
                <w:i/>
                <w:iCs/>
                <w:color w:val="000000"/>
                <w:szCs w:val="24"/>
                <w:lang w:eastAsia="ru-RU"/>
              </w:rPr>
              <w:t>Пленочная оболочка:</w:t>
            </w:r>
          </w:p>
        </w:tc>
      </w:tr>
      <w:tr w:rsidR="00155BAA" w:rsidRPr="00155BAA" w14:paraId="574414F6"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15E4AA51" w14:textId="3685A2AC" w:rsidR="00155BAA" w:rsidRPr="00155BAA" w:rsidRDefault="00155BAA" w:rsidP="00155BAA">
            <w:pPr>
              <w:spacing w:after="0"/>
              <w:ind w:firstLine="0"/>
              <w:jc w:val="left"/>
              <w:rPr>
                <w:rFonts w:eastAsia="Times New Roman" w:cs="Times New Roman"/>
                <w:color w:val="000000"/>
                <w:szCs w:val="24"/>
                <w:lang w:eastAsia="ru-RU"/>
              </w:rPr>
            </w:pPr>
            <w:r w:rsidRPr="00155BAA">
              <w:rPr>
                <w:rFonts w:eastAsia="Times New Roman" w:cs="Times New Roman"/>
                <w:color w:val="000000"/>
                <w:szCs w:val="24"/>
                <w:lang w:eastAsia="ru-RU"/>
              </w:rPr>
              <w:t>Опадрай II 85F48105, белый</w:t>
            </w:r>
            <w:r w:rsidRPr="00155BAA">
              <w:rPr>
                <w:rFonts w:eastAsia="Times New Roman" w:cs="Times New Roman"/>
                <w:color w:val="000000"/>
                <w:szCs w:val="24"/>
                <w:lang w:eastAsia="ru-RU"/>
              </w:rPr>
              <w:br/>
              <w:t>Готовое пленочное покрытие</w:t>
            </w:r>
            <w:r w:rsidRPr="00155BAA">
              <w:rPr>
                <w:rFonts w:eastAsia="Times New Roman" w:cs="Times New Roman"/>
                <w:color w:val="000000"/>
                <w:szCs w:val="24"/>
                <w:lang w:eastAsia="ru-RU"/>
              </w:rPr>
              <w:br/>
            </w:r>
            <w:r w:rsidRPr="00155BAA">
              <w:rPr>
                <w:rFonts w:eastAsia="Times New Roman" w:cs="Times New Roman"/>
                <w:color w:val="000000"/>
                <w:sz w:val="22"/>
                <w:lang w:eastAsia="ru-RU"/>
              </w:rPr>
              <w:t>[поливиниловый спирт – 46,9 %; макрогол 3350* – 23,6 %; тальк – 17,4 %; титана диоксид – 12,1 %]</w:t>
            </w:r>
          </w:p>
        </w:tc>
        <w:tc>
          <w:tcPr>
            <w:tcW w:w="1559" w:type="dxa"/>
            <w:tcBorders>
              <w:top w:val="nil"/>
              <w:left w:val="nil"/>
              <w:bottom w:val="single" w:sz="4" w:space="0" w:color="auto"/>
              <w:right w:val="single" w:sz="4" w:space="0" w:color="auto"/>
            </w:tcBorders>
            <w:shd w:val="clear" w:color="auto" w:fill="auto"/>
            <w:vAlign w:val="center"/>
            <w:hideMark/>
          </w:tcPr>
          <w:p w14:paraId="0066965C" w14:textId="77777777" w:rsidR="00155BAA" w:rsidRPr="00155BAA" w:rsidRDefault="00155BAA" w:rsidP="00155BAA">
            <w:pPr>
              <w:spacing w:after="0"/>
              <w:ind w:firstLine="0"/>
              <w:jc w:val="center"/>
              <w:rPr>
                <w:rFonts w:eastAsia="Times New Roman" w:cs="Times New Roman"/>
                <w:color w:val="000000"/>
                <w:szCs w:val="24"/>
                <w:lang w:eastAsia="ru-RU"/>
              </w:rPr>
            </w:pPr>
            <w:r w:rsidRPr="00155BAA">
              <w:rPr>
                <w:rFonts w:eastAsia="Times New Roman" w:cs="Times New Roman"/>
                <w:color w:val="000000"/>
                <w:szCs w:val="24"/>
                <w:lang w:eastAsia="ru-RU"/>
              </w:rPr>
              <w:t>12,00 мг</w:t>
            </w:r>
          </w:p>
        </w:tc>
        <w:tc>
          <w:tcPr>
            <w:tcW w:w="1701" w:type="dxa"/>
            <w:tcBorders>
              <w:top w:val="nil"/>
              <w:left w:val="nil"/>
              <w:bottom w:val="single" w:sz="4" w:space="0" w:color="auto"/>
              <w:right w:val="single" w:sz="4" w:space="0" w:color="auto"/>
            </w:tcBorders>
            <w:shd w:val="clear" w:color="auto" w:fill="auto"/>
            <w:vAlign w:val="center"/>
            <w:hideMark/>
          </w:tcPr>
          <w:p w14:paraId="7AA2EBFC" w14:textId="66549B13" w:rsidR="00155BAA" w:rsidRPr="00155BAA" w:rsidRDefault="00155BAA" w:rsidP="00155BAA">
            <w:pPr>
              <w:spacing w:after="0"/>
              <w:ind w:firstLine="0"/>
              <w:jc w:val="center"/>
              <w:rPr>
                <w:rFonts w:eastAsia="Times New Roman" w:cs="Times New Roman"/>
                <w:color w:val="000000"/>
                <w:szCs w:val="24"/>
                <w:lang w:eastAsia="ru-RU"/>
              </w:rPr>
            </w:pPr>
            <w:r>
              <w:rPr>
                <w:rFonts w:eastAsia="Times New Roman" w:cs="Times New Roman"/>
                <w:color w:val="000000"/>
                <w:szCs w:val="24"/>
                <w:lang w:eastAsia="ru-RU"/>
              </w:rPr>
              <w:t>-</w:t>
            </w:r>
          </w:p>
        </w:tc>
      </w:tr>
      <w:tr w:rsidR="00155BAA" w:rsidRPr="00155BAA" w14:paraId="3344F848"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69E51787" w14:textId="685633EA" w:rsidR="00155BAA" w:rsidRPr="00155BAA" w:rsidRDefault="00155BAA" w:rsidP="00167F72">
            <w:pPr>
              <w:spacing w:after="0"/>
              <w:ind w:firstLine="0"/>
              <w:contextualSpacing/>
              <w:jc w:val="left"/>
              <w:rPr>
                <w:rFonts w:eastAsia="Times New Roman" w:cs="Times New Roman"/>
                <w:color w:val="000000"/>
                <w:szCs w:val="24"/>
                <w:lang w:eastAsia="ru-RU"/>
              </w:rPr>
            </w:pPr>
            <w:r w:rsidRPr="00155BAA">
              <w:rPr>
                <w:rFonts w:eastAsia="Times New Roman" w:cs="Times New Roman"/>
                <w:color w:val="000000"/>
                <w:szCs w:val="24"/>
                <w:lang w:eastAsia="ru-RU"/>
              </w:rPr>
              <w:t>Опадрай голубой</w:t>
            </w:r>
            <w:r w:rsidRPr="00155BAA">
              <w:rPr>
                <w:rFonts w:eastAsia="Times New Roman" w:cs="Times New Roman"/>
                <w:color w:val="000000"/>
                <w:szCs w:val="24"/>
                <w:lang w:eastAsia="ru-RU"/>
              </w:rPr>
              <w:br/>
            </w:r>
            <w:r w:rsidRPr="00155BAA">
              <w:rPr>
                <w:rFonts w:eastAsia="Times New Roman" w:cs="Times New Roman"/>
                <w:color w:val="000000"/>
                <w:sz w:val="22"/>
                <w:lang w:eastAsia="ru-RU"/>
              </w:rPr>
              <w:t>[гипромеллоза – 40,0 %; тита</w:t>
            </w:r>
            <w:r w:rsidR="00C2295D">
              <w:rPr>
                <w:rFonts w:eastAsia="Times New Roman" w:cs="Times New Roman"/>
                <w:color w:val="000000"/>
                <w:sz w:val="22"/>
                <w:lang w:eastAsia="ru-RU"/>
              </w:rPr>
              <w:t>на диоксид – 22,7 %; лактозы мо</w:t>
            </w:r>
            <w:r w:rsidRPr="00155BAA">
              <w:rPr>
                <w:rFonts w:eastAsia="Times New Roman" w:cs="Times New Roman"/>
                <w:color w:val="000000"/>
                <w:sz w:val="22"/>
                <w:lang w:eastAsia="ru-RU"/>
              </w:rPr>
              <w:t xml:space="preserve">ногидрат – 21,0 %; макрогол </w:t>
            </w:r>
            <w:r w:rsidR="00C2295D">
              <w:rPr>
                <w:rFonts w:eastAsia="Times New Roman" w:cs="Times New Roman"/>
                <w:color w:val="000000"/>
                <w:sz w:val="22"/>
                <w:lang w:eastAsia="ru-RU"/>
              </w:rPr>
              <w:t>– 8,0 %; триацетин – 6,0 %; алю</w:t>
            </w:r>
            <w:r w:rsidRPr="00155BAA">
              <w:rPr>
                <w:rFonts w:eastAsia="Times New Roman" w:cs="Times New Roman"/>
                <w:color w:val="000000"/>
                <w:sz w:val="22"/>
                <w:lang w:eastAsia="ru-RU"/>
              </w:rPr>
              <w:t xml:space="preserve">миниевый лак на основе индигокармина – 2,0 %; алюминиевый лак на основе бриллиантового </w:t>
            </w:r>
            <w:r w:rsidR="00167F72">
              <w:rPr>
                <w:rFonts w:eastAsia="Times New Roman" w:cs="Times New Roman"/>
                <w:color w:val="000000"/>
                <w:sz w:val="22"/>
                <w:lang w:eastAsia="ru-RU"/>
              </w:rPr>
              <w:t>голубого</w:t>
            </w:r>
            <w:r w:rsidR="00167F72" w:rsidRPr="00155BAA">
              <w:rPr>
                <w:rFonts w:eastAsia="Times New Roman" w:cs="Times New Roman"/>
                <w:color w:val="000000"/>
                <w:sz w:val="22"/>
                <w:lang w:eastAsia="ru-RU"/>
              </w:rPr>
              <w:t xml:space="preserve"> </w:t>
            </w:r>
            <w:r w:rsidRPr="00155BAA">
              <w:rPr>
                <w:rFonts w:eastAsia="Times New Roman" w:cs="Times New Roman"/>
                <w:color w:val="000000"/>
                <w:sz w:val="22"/>
                <w:lang w:eastAsia="ru-RU"/>
              </w:rPr>
              <w:t>– 0,3 %]</w:t>
            </w:r>
          </w:p>
        </w:tc>
        <w:tc>
          <w:tcPr>
            <w:tcW w:w="1559" w:type="dxa"/>
            <w:tcBorders>
              <w:top w:val="nil"/>
              <w:left w:val="nil"/>
              <w:bottom w:val="single" w:sz="4" w:space="0" w:color="auto"/>
              <w:right w:val="single" w:sz="4" w:space="0" w:color="auto"/>
            </w:tcBorders>
            <w:shd w:val="clear" w:color="auto" w:fill="auto"/>
            <w:vAlign w:val="center"/>
            <w:hideMark/>
          </w:tcPr>
          <w:p w14:paraId="14C4810B" w14:textId="56CE117A" w:rsidR="00155BAA" w:rsidRPr="00155BAA" w:rsidRDefault="00155BAA" w:rsidP="00155BAA">
            <w:pPr>
              <w:spacing w:after="0"/>
              <w:ind w:firstLine="0"/>
              <w:contextualSpacing/>
              <w:jc w:val="center"/>
              <w:rPr>
                <w:rFonts w:eastAsia="Times New Roman" w:cs="Times New Roman"/>
                <w:color w:val="000000"/>
                <w:szCs w:val="24"/>
                <w:lang w:eastAsia="ru-RU"/>
              </w:rPr>
            </w:pPr>
            <w:r>
              <w:rPr>
                <w:rFonts w:eastAsia="Times New Roman" w:cs="Times New Roman"/>
                <w:color w:val="000000"/>
                <w:szCs w:val="24"/>
                <w:lang w:eastAsia="ru-RU"/>
              </w:rPr>
              <w:t>-</w:t>
            </w:r>
          </w:p>
        </w:tc>
        <w:tc>
          <w:tcPr>
            <w:tcW w:w="1701" w:type="dxa"/>
            <w:tcBorders>
              <w:top w:val="nil"/>
              <w:left w:val="nil"/>
              <w:bottom w:val="single" w:sz="4" w:space="0" w:color="auto"/>
              <w:right w:val="single" w:sz="4" w:space="0" w:color="auto"/>
            </w:tcBorders>
            <w:shd w:val="clear" w:color="auto" w:fill="auto"/>
            <w:vAlign w:val="center"/>
            <w:hideMark/>
          </w:tcPr>
          <w:p w14:paraId="51974528" w14:textId="77777777" w:rsidR="00155BAA" w:rsidRPr="00155BAA" w:rsidRDefault="00155BAA" w:rsidP="00155BAA">
            <w:pPr>
              <w:spacing w:after="0"/>
              <w:ind w:firstLine="0"/>
              <w:contextualSpacing/>
              <w:jc w:val="center"/>
              <w:rPr>
                <w:rFonts w:eastAsia="Times New Roman" w:cs="Times New Roman"/>
                <w:color w:val="000000"/>
                <w:szCs w:val="24"/>
                <w:lang w:eastAsia="ru-RU"/>
              </w:rPr>
            </w:pPr>
            <w:r w:rsidRPr="00155BAA">
              <w:rPr>
                <w:rFonts w:eastAsia="Times New Roman" w:cs="Times New Roman"/>
                <w:color w:val="000000"/>
                <w:szCs w:val="24"/>
                <w:lang w:eastAsia="ru-RU"/>
              </w:rPr>
              <w:t>12,00 мг</w:t>
            </w:r>
          </w:p>
        </w:tc>
      </w:tr>
      <w:tr w:rsidR="00155BAA" w:rsidRPr="00155BAA" w14:paraId="1FE378B0" w14:textId="77777777" w:rsidTr="00C2295D">
        <w:trPr>
          <w:trHeight w:val="20"/>
        </w:trPr>
        <w:tc>
          <w:tcPr>
            <w:tcW w:w="6068" w:type="dxa"/>
            <w:tcBorders>
              <w:top w:val="nil"/>
              <w:left w:val="single" w:sz="4" w:space="0" w:color="auto"/>
              <w:bottom w:val="single" w:sz="4" w:space="0" w:color="auto"/>
              <w:right w:val="single" w:sz="4" w:space="0" w:color="auto"/>
            </w:tcBorders>
            <w:shd w:val="clear" w:color="auto" w:fill="auto"/>
            <w:hideMark/>
          </w:tcPr>
          <w:p w14:paraId="77F5B972" w14:textId="77777777" w:rsidR="00155BAA" w:rsidRPr="00155BAA" w:rsidRDefault="00155BAA" w:rsidP="00155BAA">
            <w:pPr>
              <w:spacing w:after="0"/>
              <w:ind w:firstLine="0"/>
              <w:contextualSpacing/>
              <w:jc w:val="left"/>
              <w:rPr>
                <w:rFonts w:eastAsia="Times New Roman" w:cs="Times New Roman"/>
                <w:b/>
                <w:color w:val="000000"/>
                <w:szCs w:val="24"/>
                <w:lang w:eastAsia="ru-RU"/>
              </w:rPr>
            </w:pPr>
            <w:r w:rsidRPr="00155BAA">
              <w:rPr>
                <w:rFonts w:eastAsia="Times New Roman" w:cs="Times New Roman"/>
                <w:b/>
                <w:color w:val="000000"/>
                <w:szCs w:val="24"/>
                <w:lang w:eastAsia="ru-RU"/>
              </w:rPr>
              <w:t>Масса таблетки, покрытой пленочной оболочкой</w:t>
            </w:r>
          </w:p>
        </w:tc>
        <w:tc>
          <w:tcPr>
            <w:tcW w:w="1559" w:type="dxa"/>
            <w:tcBorders>
              <w:top w:val="nil"/>
              <w:left w:val="nil"/>
              <w:bottom w:val="single" w:sz="4" w:space="0" w:color="auto"/>
              <w:right w:val="single" w:sz="4" w:space="0" w:color="auto"/>
            </w:tcBorders>
            <w:shd w:val="clear" w:color="auto" w:fill="auto"/>
            <w:vAlign w:val="center"/>
            <w:hideMark/>
          </w:tcPr>
          <w:p w14:paraId="28D83BB5" w14:textId="77777777" w:rsidR="00155BAA" w:rsidRPr="00155BAA" w:rsidRDefault="00155BAA" w:rsidP="00155BAA">
            <w:pPr>
              <w:spacing w:after="0"/>
              <w:ind w:firstLine="0"/>
              <w:contextualSpacing/>
              <w:jc w:val="center"/>
              <w:rPr>
                <w:rFonts w:eastAsia="Times New Roman" w:cs="Times New Roman"/>
                <w:b/>
                <w:color w:val="000000"/>
                <w:szCs w:val="24"/>
                <w:lang w:eastAsia="ru-RU"/>
              </w:rPr>
            </w:pPr>
            <w:r w:rsidRPr="00155BAA">
              <w:rPr>
                <w:rFonts w:eastAsia="Times New Roman" w:cs="Times New Roman"/>
                <w:b/>
                <w:color w:val="000000"/>
                <w:szCs w:val="24"/>
                <w:lang w:eastAsia="ru-RU"/>
              </w:rPr>
              <w:t>412,00 мг</w:t>
            </w:r>
          </w:p>
        </w:tc>
        <w:tc>
          <w:tcPr>
            <w:tcW w:w="1701" w:type="dxa"/>
            <w:tcBorders>
              <w:top w:val="nil"/>
              <w:left w:val="nil"/>
              <w:bottom w:val="single" w:sz="4" w:space="0" w:color="auto"/>
              <w:right w:val="single" w:sz="4" w:space="0" w:color="auto"/>
            </w:tcBorders>
            <w:shd w:val="clear" w:color="auto" w:fill="auto"/>
            <w:vAlign w:val="center"/>
            <w:hideMark/>
          </w:tcPr>
          <w:p w14:paraId="0A775ACF" w14:textId="3A814C8A" w:rsidR="00155BAA" w:rsidRPr="00155BAA" w:rsidRDefault="00155BAA" w:rsidP="00155BAA">
            <w:pPr>
              <w:spacing w:after="0"/>
              <w:ind w:firstLine="0"/>
              <w:contextualSpacing/>
              <w:jc w:val="center"/>
              <w:rPr>
                <w:rFonts w:eastAsia="Times New Roman" w:cs="Times New Roman"/>
                <w:b/>
                <w:color w:val="000000"/>
                <w:szCs w:val="24"/>
                <w:lang w:eastAsia="ru-RU"/>
              </w:rPr>
            </w:pPr>
            <w:r w:rsidRPr="00155BAA">
              <w:rPr>
                <w:rFonts w:eastAsia="Times New Roman" w:cs="Times New Roman"/>
                <w:b/>
                <w:color w:val="000000"/>
                <w:szCs w:val="24"/>
                <w:lang w:eastAsia="ru-RU"/>
              </w:rPr>
              <w:t>412,00 мг</w:t>
            </w:r>
          </w:p>
        </w:tc>
      </w:tr>
      <w:tr w:rsidR="004F30BD" w:rsidRPr="00155BAA" w14:paraId="1EA0B6E6" w14:textId="77777777" w:rsidTr="00F033B3">
        <w:trPr>
          <w:trHeight w:val="20"/>
        </w:trPr>
        <w:tc>
          <w:tcPr>
            <w:tcW w:w="9328" w:type="dxa"/>
            <w:gridSpan w:val="3"/>
            <w:tcBorders>
              <w:top w:val="single" w:sz="4" w:space="0" w:color="auto"/>
              <w:left w:val="single" w:sz="4" w:space="0" w:color="auto"/>
              <w:bottom w:val="single" w:sz="4" w:space="0" w:color="auto"/>
              <w:right w:val="single" w:sz="4" w:space="0" w:color="auto"/>
            </w:tcBorders>
            <w:shd w:val="clear" w:color="auto" w:fill="auto"/>
          </w:tcPr>
          <w:p w14:paraId="0A8497FC" w14:textId="1E8FF364" w:rsidR="004F30BD" w:rsidRDefault="004F30BD" w:rsidP="004F30BD">
            <w:pPr>
              <w:spacing w:after="0"/>
              <w:ind w:firstLine="0"/>
              <w:contextualSpacing/>
              <w:rPr>
                <w:rFonts w:eastAsia="Times New Roman" w:cs="Times New Roman"/>
                <w:b/>
                <w:color w:val="000000"/>
                <w:sz w:val="20"/>
                <w:szCs w:val="20"/>
                <w:lang w:eastAsia="ru-RU"/>
              </w:rPr>
            </w:pPr>
            <w:r w:rsidRPr="004F30BD">
              <w:rPr>
                <w:rFonts w:eastAsia="Times New Roman" w:cs="Times New Roman"/>
                <w:b/>
                <w:color w:val="000000"/>
                <w:sz w:val="20"/>
                <w:szCs w:val="20"/>
                <w:lang w:eastAsia="ru-RU"/>
              </w:rPr>
              <w:t>Примечание:</w:t>
            </w:r>
          </w:p>
          <w:p w14:paraId="137918E6" w14:textId="19030C93" w:rsidR="00046AD0" w:rsidRPr="004F30BD" w:rsidRDefault="00046AD0" w:rsidP="004F30BD">
            <w:pPr>
              <w:spacing w:after="0"/>
              <w:ind w:firstLine="0"/>
              <w:contextualSpacing/>
              <w:rPr>
                <w:rFonts w:eastAsia="Times New Roman" w:cs="Times New Roman"/>
                <w:b/>
                <w:color w:val="000000"/>
                <w:sz w:val="20"/>
                <w:szCs w:val="20"/>
                <w:lang w:eastAsia="ru-RU"/>
              </w:rPr>
            </w:pPr>
            <w:r w:rsidRPr="007E0900">
              <w:rPr>
                <w:rFonts w:eastAsia="Times New Roman" w:cs="Times New Roman"/>
                <w:color w:val="000000"/>
                <w:sz w:val="20"/>
                <w:szCs w:val="20"/>
                <w:lang w:eastAsia="ru-RU"/>
              </w:rPr>
              <w:t>* макрогол с молекулярной массой 3350</w:t>
            </w:r>
            <w:r>
              <w:rPr>
                <w:rFonts w:eastAsia="Times New Roman" w:cs="Times New Roman"/>
                <w:color w:val="000000"/>
                <w:sz w:val="20"/>
                <w:szCs w:val="20"/>
                <w:lang w:eastAsia="ru-RU"/>
              </w:rPr>
              <w:t>.</w:t>
            </w:r>
          </w:p>
          <w:p w14:paraId="50531E96" w14:textId="50A6667E" w:rsidR="004F30BD" w:rsidRPr="004F30BD" w:rsidRDefault="00046AD0" w:rsidP="004F30BD">
            <w:pPr>
              <w:spacing w:after="0"/>
              <w:ind w:firstLine="0"/>
              <w:contextualSpacing/>
              <w:rPr>
                <w:rFonts w:eastAsia="Times New Roman" w:cs="Times New Roman"/>
                <w:bCs/>
                <w:color w:val="000000"/>
                <w:sz w:val="20"/>
                <w:szCs w:val="20"/>
                <w:lang w:eastAsia="ru-RU"/>
              </w:rPr>
            </w:pPr>
            <w:r>
              <w:rPr>
                <w:rFonts w:eastAsia="Times New Roman" w:cs="Times New Roman"/>
                <w:color w:val="000000"/>
                <w:sz w:val="20"/>
                <w:szCs w:val="20"/>
                <w:lang w:eastAsia="ru-RU"/>
              </w:rPr>
              <w:t>*</w:t>
            </w:r>
            <w:r w:rsidR="004F30BD" w:rsidRPr="004F30BD">
              <w:rPr>
                <w:rFonts w:eastAsia="Times New Roman" w:cs="Times New Roman"/>
                <w:color w:val="000000"/>
                <w:sz w:val="20"/>
                <w:szCs w:val="20"/>
                <w:lang w:eastAsia="ru-RU"/>
              </w:rPr>
              <w:t xml:space="preserve">* В состав препарата </w:t>
            </w:r>
            <w:r w:rsidR="004F30BD" w:rsidRPr="004F30BD">
              <w:rPr>
                <w:rFonts w:eastAsia="Times New Roman" w:cs="Times New Roman"/>
                <w:bCs/>
                <w:color w:val="000000"/>
                <w:sz w:val="20"/>
                <w:szCs w:val="20"/>
                <w:lang w:val="en-US" w:eastAsia="ru-RU"/>
              </w:rPr>
              <w:t>DT</w:t>
            </w:r>
            <w:r w:rsidR="004F30BD" w:rsidRPr="004F30BD">
              <w:rPr>
                <w:rFonts w:eastAsia="Times New Roman" w:cs="Times New Roman"/>
                <w:bCs/>
                <w:color w:val="000000"/>
                <w:sz w:val="20"/>
                <w:szCs w:val="20"/>
                <w:lang w:eastAsia="ru-RU"/>
              </w:rPr>
              <w:t>-</w:t>
            </w:r>
            <w:r w:rsidR="004F30BD" w:rsidRPr="004F30BD">
              <w:rPr>
                <w:rFonts w:eastAsia="Times New Roman" w:cs="Times New Roman"/>
                <w:bCs/>
                <w:color w:val="000000"/>
                <w:sz w:val="20"/>
                <w:szCs w:val="20"/>
                <w:lang w:val="en-US" w:eastAsia="ru-RU"/>
              </w:rPr>
              <w:t>TFC</w:t>
            </w:r>
            <w:r w:rsidR="004F30BD" w:rsidRPr="004F30BD">
              <w:rPr>
                <w:rFonts w:eastAsia="Times New Roman" w:cs="Times New Roman"/>
                <w:bCs/>
                <w:color w:val="000000"/>
                <w:sz w:val="20"/>
                <w:szCs w:val="20"/>
                <w:lang w:eastAsia="ru-RU"/>
              </w:rPr>
              <w:t xml:space="preserve"> входит целлюлоза микрокристаллическая тип 200;</w:t>
            </w:r>
          </w:p>
          <w:p w14:paraId="28A009B2" w14:textId="46CA6122" w:rsidR="004F30BD" w:rsidRPr="004F30BD" w:rsidRDefault="004F30BD" w:rsidP="004F30BD">
            <w:pPr>
              <w:spacing w:after="0"/>
              <w:ind w:left="149" w:firstLine="0"/>
              <w:contextualSpacing/>
              <w:rPr>
                <w:rFonts w:eastAsia="Times New Roman" w:cs="Times New Roman"/>
                <w:b/>
                <w:color w:val="000000"/>
                <w:szCs w:val="24"/>
                <w:lang w:eastAsia="ru-RU"/>
              </w:rPr>
            </w:pPr>
            <w:r w:rsidRPr="004F30BD">
              <w:rPr>
                <w:rFonts w:eastAsia="Times New Roman" w:cs="Times New Roman"/>
                <w:bCs/>
                <w:color w:val="000000"/>
                <w:sz w:val="20"/>
                <w:szCs w:val="20"/>
                <w:lang w:eastAsia="ru-RU"/>
              </w:rPr>
              <w:t xml:space="preserve">В состав препарата </w:t>
            </w:r>
            <w:r w:rsidRPr="004F30BD">
              <w:rPr>
                <w:rFonts w:eastAsia="Times New Roman" w:cs="Times New Roman"/>
                <w:bCs/>
                <w:color w:val="000000" w:themeColor="text1"/>
                <w:sz w:val="20"/>
                <w:szCs w:val="20"/>
                <w:lang w:eastAsia="ru-RU"/>
              </w:rPr>
              <w:t>Яквинус</w:t>
            </w:r>
            <w:r w:rsidRPr="004F30BD">
              <w:rPr>
                <w:rFonts w:eastAsia="Times New Roman" w:cs="Times New Roman"/>
                <w:bCs/>
                <w:color w:val="000000" w:themeColor="text1"/>
                <w:sz w:val="20"/>
                <w:szCs w:val="20"/>
                <w:vertAlign w:val="superscript"/>
                <w:lang w:eastAsia="ru-RU"/>
              </w:rPr>
              <w:t>®</w:t>
            </w:r>
            <w:r w:rsidRPr="004F30BD">
              <w:rPr>
                <w:rFonts w:eastAsia="Times New Roman" w:cs="Times New Roman"/>
                <w:bCs/>
                <w:color w:val="000000" w:themeColor="text1"/>
                <w:sz w:val="20"/>
                <w:szCs w:val="20"/>
                <w:lang w:eastAsia="ru-RU"/>
              </w:rPr>
              <w:t xml:space="preserve"> </w:t>
            </w:r>
            <w:r w:rsidRPr="004F30BD">
              <w:rPr>
                <w:rFonts w:eastAsia="Times New Roman" w:cs="Times New Roman"/>
                <w:bCs/>
                <w:color w:val="000000"/>
                <w:sz w:val="20"/>
                <w:szCs w:val="20"/>
                <w:lang w:eastAsia="ru-RU"/>
              </w:rPr>
              <w:t>входит целлюлоза микрокристаллическая (</w:t>
            </w:r>
            <w:r w:rsidRPr="004F30BD">
              <w:rPr>
                <w:rFonts w:eastAsia="Times New Roman" w:cs="Times New Roman"/>
                <w:bCs/>
                <w:color w:val="000000"/>
                <w:sz w:val="20"/>
                <w:szCs w:val="20"/>
                <w:lang w:val="en-US" w:eastAsia="ru-RU"/>
              </w:rPr>
              <w:t>PH</w:t>
            </w:r>
            <w:r w:rsidRPr="004F30BD">
              <w:rPr>
                <w:rFonts w:eastAsia="Times New Roman" w:cs="Times New Roman"/>
                <w:bCs/>
                <w:color w:val="000000"/>
                <w:sz w:val="20"/>
                <w:szCs w:val="20"/>
                <w:lang w:eastAsia="ru-RU"/>
              </w:rPr>
              <w:t>102).</w:t>
            </w:r>
          </w:p>
        </w:tc>
      </w:tr>
    </w:tbl>
    <w:p w14:paraId="670A8DC2" w14:textId="77777777" w:rsidR="001A23EC" w:rsidRDefault="001A23EC" w:rsidP="004F30BD">
      <w:pPr>
        <w:pStyle w:val="SDText"/>
        <w:spacing w:after="0"/>
        <w:ind w:firstLine="0"/>
        <w:contextualSpacing/>
      </w:pPr>
    </w:p>
    <w:p w14:paraId="27E2493D" w14:textId="290A0B0E" w:rsidR="00155BAA" w:rsidRPr="001A35D0" w:rsidRDefault="00155BAA" w:rsidP="004F30BD">
      <w:pPr>
        <w:spacing w:after="0"/>
        <w:contextualSpacing/>
        <w:rPr>
          <w:color w:val="000000" w:themeColor="text1"/>
          <w:highlight w:val="yellow"/>
        </w:rPr>
      </w:pPr>
      <w:r w:rsidRPr="008A69D9">
        <w:rPr>
          <w:color w:val="000000" w:themeColor="text1"/>
        </w:rPr>
        <w:t xml:space="preserve">Для доказательства эквивалентности препарата </w:t>
      </w:r>
      <w:r w:rsidRPr="008F1926">
        <w:rPr>
          <w:lang w:val="en-US" w:eastAsia="ru-RU"/>
        </w:rPr>
        <w:t>D</w:t>
      </w:r>
      <w:r w:rsidRPr="008F1926">
        <w:rPr>
          <w:lang w:eastAsia="ru-RU"/>
        </w:rPr>
        <w:t>T-</w:t>
      </w:r>
      <w:r>
        <w:rPr>
          <w:rFonts w:eastAsia="MS Mincho"/>
          <w:szCs w:val="24"/>
          <w:lang w:val="en-US" w:eastAsia="ru-RU"/>
        </w:rPr>
        <w:t>TFC</w:t>
      </w:r>
      <w:r w:rsidR="00A211C2">
        <w:rPr>
          <w:rFonts w:eastAsia="MS Mincho"/>
          <w:szCs w:val="24"/>
          <w:lang w:eastAsia="ru-RU"/>
        </w:rPr>
        <w:t xml:space="preserve"> (АО «Р-фарм», Россия)</w:t>
      </w:r>
      <w:r w:rsidRPr="008F1926">
        <w:rPr>
          <w:lang w:eastAsia="ru-RU"/>
        </w:rPr>
        <w:t xml:space="preserve"> </w:t>
      </w:r>
      <w:r w:rsidRPr="008A69D9">
        <w:rPr>
          <w:color w:val="000000" w:themeColor="text1"/>
        </w:rPr>
        <w:t xml:space="preserve">были проведены исследования сравнительной кинетики растворения в сравнении с референтным препаратом </w:t>
      </w:r>
      <w:r>
        <w:rPr>
          <w:rFonts w:eastAsia="MS Mincho"/>
          <w:szCs w:val="24"/>
          <w:lang w:eastAsia="ru-RU"/>
        </w:rPr>
        <w:t>Яквинус</w:t>
      </w:r>
      <w:r w:rsidRPr="00D67EF0">
        <w:rPr>
          <w:rFonts w:eastAsia="MS Mincho"/>
          <w:szCs w:val="24"/>
          <w:vertAlign w:val="superscript"/>
          <w:lang w:eastAsia="ru-RU"/>
        </w:rPr>
        <w:t>®</w:t>
      </w:r>
      <w:r>
        <w:rPr>
          <w:lang w:eastAsia="ru-RU"/>
        </w:rPr>
        <w:t xml:space="preserve"> (</w:t>
      </w:r>
      <w:r w:rsidRPr="00005F66">
        <w:rPr>
          <w:rFonts w:eastAsia="MS Mincho"/>
          <w:szCs w:val="24"/>
          <w:lang w:eastAsia="ru-RU"/>
        </w:rPr>
        <w:t>Пфайзер Инк, США</w:t>
      </w:r>
      <w:r>
        <w:rPr>
          <w:lang w:eastAsia="ru-RU"/>
        </w:rPr>
        <w:t xml:space="preserve">) </w:t>
      </w:r>
      <w:r w:rsidRPr="008F1926">
        <w:rPr>
          <w:color w:val="000000" w:themeColor="text1"/>
        </w:rPr>
        <w:t xml:space="preserve">в дозировке </w:t>
      </w:r>
      <w:r>
        <w:rPr>
          <w:color w:val="000000" w:themeColor="text1"/>
        </w:rPr>
        <w:t>1</w:t>
      </w:r>
      <w:r w:rsidRPr="008F1926">
        <w:rPr>
          <w:color w:val="000000" w:themeColor="text1"/>
        </w:rPr>
        <w:t xml:space="preserve">0 мг. </w:t>
      </w:r>
      <w:r w:rsidRPr="008C2C72">
        <w:rPr>
          <w:rFonts w:eastAsia="Calibri"/>
        </w:rPr>
        <w:t>Исследование проводили с использованием</w:t>
      </w:r>
      <w:r w:rsidR="008C2C72" w:rsidRPr="008C2C72">
        <w:rPr>
          <w:rFonts w:eastAsia="Calibri"/>
        </w:rPr>
        <w:t xml:space="preserve"> прибора типа «Вращающаяся корзинка» в условиях скорости вращения 10</w:t>
      </w:r>
      <w:r w:rsidRPr="008C2C72">
        <w:rPr>
          <w:rFonts w:eastAsia="Calibri"/>
        </w:rPr>
        <w:t xml:space="preserve">0 об/мин, температуре 37 ± 0,5 </w:t>
      </w:r>
      <w:r w:rsidRPr="008C2C72">
        <w:rPr>
          <w:rFonts w:eastAsia="Calibri"/>
          <w:vertAlign w:val="superscript"/>
        </w:rPr>
        <w:t>о</w:t>
      </w:r>
      <w:r w:rsidR="008C2C72" w:rsidRPr="008C2C72">
        <w:rPr>
          <w:rFonts w:eastAsia="Calibri"/>
        </w:rPr>
        <w:t>С и объеме среды – 9</w:t>
      </w:r>
      <w:r w:rsidRPr="008C2C72">
        <w:rPr>
          <w:rFonts w:eastAsia="Calibri"/>
        </w:rPr>
        <w:t xml:space="preserve">00 мл. </w:t>
      </w:r>
    </w:p>
    <w:p w14:paraId="2F2082C7" w14:textId="71F9EE35" w:rsidR="00155BAA" w:rsidRPr="001A35D0" w:rsidRDefault="00155BAA" w:rsidP="004F30BD">
      <w:pPr>
        <w:spacing w:after="0"/>
        <w:rPr>
          <w:highlight w:val="yellow"/>
        </w:rPr>
      </w:pPr>
      <w:r w:rsidRPr="008C2C72">
        <w:rPr>
          <w:rFonts w:eastAsia="Calibri"/>
        </w:rPr>
        <w:t xml:space="preserve">Для испытания использовали </w:t>
      </w:r>
      <w:r w:rsidR="00A211C2" w:rsidRPr="008C2C72">
        <w:rPr>
          <w:rFonts w:eastAsia="Calibri"/>
        </w:rPr>
        <w:t>три</w:t>
      </w:r>
      <w:r w:rsidRPr="008C2C72">
        <w:rPr>
          <w:rFonts w:eastAsia="Calibri"/>
        </w:rPr>
        <w:t xml:space="preserve"> среды растворения: </w:t>
      </w:r>
      <w:r w:rsidR="008C2C72" w:rsidRPr="008C2C72">
        <w:t>0,1</w:t>
      </w:r>
      <w:r w:rsidR="000F4987" w:rsidRPr="000F4987">
        <w:t xml:space="preserve"> </w:t>
      </w:r>
      <w:r w:rsidR="008C2C72" w:rsidRPr="008C2C72">
        <w:t xml:space="preserve">М </w:t>
      </w:r>
      <w:r w:rsidR="000F4987">
        <w:t xml:space="preserve">раствор </w:t>
      </w:r>
      <w:r w:rsidR="008C2C72" w:rsidRPr="008C2C72">
        <w:t>хлороводородн</w:t>
      </w:r>
      <w:r w:rsidR="000F4987">
        <w:t>ой</w:t>
      </w:r>
      <w:r w:rsidR="008C2C72" w:rsidRPr="008C2C72">
        <w:t xml:space="preserve"> кислот</w:t>
      </w:r>
      <w:r w:rsidR="000F4987">
        <w:t>ы</w:t>
      </w:r>
      <w:r w:rsidR="008C2C72">
        <w:t xml:space="preserve"> (среда по НД)</w:t>
      </w:r>
      <w:r w:rsidRPr="008C2C72">
        <w:t xml:space="preserve">, ацетатный буферный раствор </w:t>
      </w:r>
      <w:r w:rsidRPr="008C2C72">
        <w:rPr>
          <w:lang w:val="en-US"/>
        </w:rPr>
        <w:t>pH</w:t>
      </w:r>
      <w:r w:rsidRPr="008C2C72">
        <w:t xml:space="preserve"> 4,5 и фосфатный буферный раствор </w:t>
      </w:r>
      <w:r w:rsidRPr="008C2C72">
        <w:rPr>
          <w:lang w:val="en-US"/>
        </w:rPr>
        <w:t>pH</w:t>
      </w:r>
      <w:r w:rsidRPr="008C2C72">
        <w:t xml:space="preserve"> 6,8. </w:t>
      </w:r>
      <w:r w:rsidRPr="008C2C72">
        <w:rPr>
          <w:rFonts w:eastAsia="Calibri"/>
        </w:rPr>
        <w:t>Анализ проб в точках 10, 15, 20, 30, 45 мин выполняли методом ВЭЖК.</w:t>
      </w:r>
    </w:p>
    <w:p w14:paraId="1A0D41D3" w14:textId="12851649" w:rsidR="008C2C72" w:rsidRDefault="00155BAA" w:rsidP="004F30BD">
      <w:pPr>
        <w:spacing w:after="0"/>
        <w:ind w:firstLine="708"/>
        <w:rPr>
          <w:rFonts w:eastAsia="Calibri"/>
        </w:rPr>
      </w:pPr>
      <w:r w:rsidRPr="008C2C72">
        <w:rPr>
          <w:rFonts w:eastAsia="Calibri"/>
        </w:rPr>
        <w:t xml:space="preserve">В результате исследований как исследуемого, </w:t>
      </w:r>
      <w:r w:rsidR="008C2C72" w:rsidRPr="008C2C72">
        <w:rPr>
          <w:rFonts w:eastAsia="Calibri"/>
        </w:rPr>
        <w:t xml:space="preserve">так и референтного препарата, </w:t>
      </w:r>
      <w:r w:rsidRPr="008C2C72">
        <w:rPr>
          <w:rFonts w:eastAsia="Calibri"/>
        </w:rPr>
        <w:t>наблюдалось высвобождение бол</w:t>
      </w:r>
      <w:r w:rsidR="008C2C72" w:rsidRPr="008C2C72">
        <w:rPr>
          <w:rFonts w:eastAsia="Calibri"/>
        </w:rPr>
        <w:t>ее 85 % действующего вещества во всех средах растворения в</w:t>
      </w:r>
      <w:r w:rsidR="004A6A67">
        <w:rPr>
          <w:rFonts w:eastAsia="Calibri"/>
        </w:rPr>
        <w:t xml:space="preserve"> </w:t>
      </w:r>
      <w:r w:rsidRPr="008C2C72">
        <w:rPr>
          <w:rFonts w:eastAsia="Calibri"/>
        </w:rPr>
        <w:t xml:space="preserve">течение 15 минут, что позволило считать кинетику растворения эквивалентной без математической оценки (в соответствии с требованиями Методических </w:t>
      </w:r>
      <w:r w:rsidRPr="008C2C72">
        <w:rPr>
          <w:rFonts w:eastAsia="Calibri"/>
        </w:rPr>
        <w:lastRenderedPageBreak/>
        <w:t>указаний Минздравсоцразвития «Оценка биоэквивалентности лекарственных средств» и с «Руководством по эксп</w:t>
      </w:r>
      <w:r w:rsidR="008C2C72">
        <w:rPr>
          <w:rFonts w:eastAsia="Calibri"/>
        </w:rPr>
        <w:t>ертизе лекарственных средств»).</w:t>
      </w:r>
    </w:p>
    <w:p w14:paraId="0D45C910" w14:textId="5C5D2C23" w:rsidR="00155BAA" w:rsidRPr="00495A04" w:rsidRDefault="00155BAA" w:rsidP="004F30BD">
      <w:pPr>
        <w:spacing w:after="0"/>
        <w:ind w:firstLine="708"/>
        <w:rPr>
          <w:color w:val="000000" w:themeColor="text1"/>
        </w:rPr>
      </w:pPr>
      <w:r w:rsidRPr="008A69D9">
        <w:rPr>
          <w:color w:val="000000" w:themeColor="text1"/>
        </w:rPr>
        <w:t xml:space="preserve">Результаты теста </w:t>
      </w:r>
      <w:r w:rsidRPr="00495A04">
        <w:rPr>
          <w:color w:val="000000" w:themeColor="text1"/>
        </w:rPr>
        <w:t xml:space="preserve">сравнительной кинетики растворения (ТСКР) приведены </w:t>
      </w:r>
      <w:r w:rsidR="00FC2084" w:rsidRPr="00495A04">
        <w:rPr>
          <w:color w:val="000000" w:themeColor="text1"/>
        </w:rPr>
        <w:t>ниже (</w:t>
      </w:r>
      <w:r w:rsidR="00FC2084" w:rsidRPr="00495A04">
        <w:rPr>
          <w:color w:val="000000" w:themeColor="text1"/>
        </w:rPr>
        <w:fldChar w:fldCharType="begin"/>
      </w:r>
      <w:r w:rsidR="00FC2084" w:rsidRPr="00495A04">
        <w:rPr>
          <w:color w:val="000000" w:themeColor="text1"/>
        </w:rPr>
        <w:instrText xml:space="preserve"> REF _Ref121139270 \h </w:instrText>
      </w:r>
      <w:r w:rsidR="00495A04" w:rsidRPr="00495A04">
        <w:rPr>
          <w:color w:val="000000" w:themeColor="text1"/>
        </w:rPr>
        <w:instrText xml:space="preserve"> \* MERGEFORMAT </w:instrText>
      </w:r>
      <w:r w:rsidR="00FC2084" w:rsidRPr="00495A04">
        <w:rPr>
          <w:color w:val="000000" w:themeColor="text1"/>
        </w:rPr>
      </w:r>
      <w:r w:rsidR="00FC2084" w:rsidRPr="00495A04">
        <w:rPr>
          <w:color w:val="000000" w:themeColor="text1"/>
        </w:rPr>
        <w:fldChar w:fldCharType="separate"/>
      </w:r>
      <w:r w:rsidR="00383E6F" w:rsidRPr="00495A04">
        <w:rPr>
          <w:bCs/>
        </w:rPr>
        <w:t xml:space="preserve">Таблица </w:t>
      </w:r>
      <w:r w:rsidR="00383E6F" w:rsidRPr="00495A04">
        <w:rPr>
          <w:bCs/>
          <w:noProof/>
        </w:rPr>
        <w:t>2</w:t>
      </w:r>
      <w:r w:rsidR="00383E6F" w:rsidRPr="00495A04">
        <w:rPr>
          <w:bCs/>
        </w:rPr>
        <w:noBreakHyphen/>
      </w:r>
      <w:r w:rsidR="00383E6F" w:rsidRPr="00495A04">
        <w:rPr>
          <w:bCs/>
          <w:noProof/>
        </w:rPr>
        <w:t>3</w:t>
      </w:r>
      <w:r w:rsidR="00FC2084" w:rsidRPr="00495A04">
        <w:rPr>
          <w:color w:val="000000" w:themeColor="text1"/>
        </w:rPr>
        <w:fldChar w:fldCharType="end"/>
      </w:r>
      <w:r w:rsidR="00FC2084" w:rsidRPr="00495A04">
        <w:rPr>
          <w:color w:val="000000" w:themeColor="text1"/>
        </w:rPr>
        <w:t>,</w:t>
      </w:r>
      <w:r w:rsidR="00224A82" w:rsidRPr="00495A04">
        <w:rPr>
          <w:color w:val="000000" w:themeColor="text1"/>
        </w:rPr>
        <w:t xml:space="preserve"> </w:t>
      </w:r>
      <w:r w:rsidR="00815B74" w:rsidRPr="00495A04">
        <w:rPr>
          <w:color w:val="000000" w:themeColor="text1"/>
        </w:rPr>
        <w:fldChar w:fldCharType="begin"/>
      </w:r>
      <w:r w:rsidR="00815B74" w:rsidRPr="00495A04">
        <w:rPr>
          <w:color w:val="000000" w:themeColor="text1"/>
        </w:rPr>
        <w:instrText xml:space="preserve"> REF _Ref121139389 \h </w:instrText>
      </w:r>
      <w:r w:rsidR="00495A04" w:rsidRPr="00495A04">
        <w:rPr>
          <w:color w:val="000000" w:themeColor="text1"/>
        </w:rPr>
        <w:instrText xml:space="preserve"> \* MERGEFORMAT </w:instrText>
      </w:r>
      <w:r w:rsidR="00815B74" w:rsidRPr="00495A04">
        <w:rPr>
          <w:color w:val="000000" w:themeColor="text1"/>
        </w:rPr>
      </w:r>
      <w:r w:rsidR="00815B74" w:rsidRPr="00495A04">
        <w:rPr>
          <w:color w:val="000000" w:themeColor="text1"/>
        </w:rPr>
        <w:fldChar w:fldCharType="separate"/>
      </w:r>
      <w:r w:rsidR="00383E6F" w:rsidRPr="00495A04">
        <w:rPr>
          <w:bCs/>
        </w:rPr>
        <w:t xml:space="preserve">Рисунок </w:t>
      </w:r>
      <w:r w:rsidR="00383E6F" w:rsidRPr="00495A04">
        <w:rPr>
          <w:bCs/>
          <w:noProof/>
        </w:rPr>
        <w:t>2</w:t>
      </w:r>
      <w:r w:rsidR="00383E6F" w:rsidRPr="00495A04">
        <w:rPr>
          <w:bCs/>
        </w:rPr>
        <w:noBreakHyphen/>
      </w:r>
      <w:r w:rsidR="00383E6F" w:rsidRPr="00495A04">
        <w:rPr>
          <w:bCs/>
          <w:noProof/>
        </w:rPr>
        <w:t>2</w:t>
      </w:r>
      <w:r w:rsidR="00815B74" w:rsidRPr="00495A04">
        <w:rPr>
          <w:color w:val="000000" w:themeColor="text1"/>
        </w:rPr>
        <w:fldChar w:fldCharType="end"/>
      </w:r>
      <w:r w:rsidR="00224A82" w:rsidRPr="00495A04">
        <w:rPr>
          <w:color w:val="000000" w:themeColor="text1"/>
        </w:rPr>
        <w:t xml:space="preserve">, </w:t>
      </w:r>
      <w:r w:rsidR="00224A82" w:rsidRPr="00495A04">
        <w:rPr>
          <w:color w:val="000000" w:themeColor="text1"/>
        </w:rPr>
        <w:fldChar w:fldCharType="begin"/>
      </w:r>
      <w:r w:rsidR="00224A82" w:rsidRPr="00495A04">
        <w:rPr>
          <w:color w:val="000000" w:themeColor="text1"/>
        </w:rPr>
        <w:instrText xml:space="preserve"> REF _Ref121139418 \h </w:instrText>
      </w:r>
      <w:r w:rsidR="00495A04" w:rsidRPr="00495A04">
        <w:rPr>
          <w:color w:val="000000" w:themeColor="text1"/>
        </w:rPr>
        <w:instrText xml:space="preserve"> \* MERGEFORMAT </w:instrText>
      </w:r>
      <w:r w:rsidR="00224A82" w:rsidRPr="00495A04">
        <w:rPr>
          <w:color w:val="000000" w:themeColor="text1"/>
        </w:rPr>
      </w:r>
      <w:r w:rsidR="00224A82" w:rsidRPr="00495A04">
        <w:rPr>
          <w:color w:val="000000" w:themeColor="text1"/>
        </w:rPr>
        <w:fldChar w:fldCharType="separate"/>
      </w:r>
      <w:r w:rsidR="00383E6F" w:rsidRPr="00495A04">
        <w:rPr>
          <w:bCs/>
        </w:rPr>
        <w:t xml:space="preserve">Рисунок </w:t>
      </w:r>
      <w:r w:rsidR="00383E6F" w:rsidRPr="00495A04">
        <w:rPr>
          <w:bCs/>
          <w:noProof/>
        </w:rPr>
        <w:t>2</w:t>
      </w:r>
      <w:r w:rsidR="00383E6F" w:rsidRPr="00495A04">
        <w:rPr>
          <w:bCs/>
        </w:rPr>
        <w:noBreakHyphen/>
      </w:r>
      <w:r w:rsidR="00383E6F" w:rsidRPr="00495A04">
        <w:rPr>
          <w:bCs/>
          <w:noProof/>
        </w:rPr>
        <w:t>3</w:t>
      </w:r>
      <w:r w:rsidR="00224A82" w:rsidRPr="00495A04">
        <w:rPr>
          <w:color w:val="000000" w:themeColor="text1"/>
        </w:rPr>
        <w:fldChar w:fldCharType="end"/>
      </w:r>
      <w:r w:rsidR="00224A82" w:rsidRPr="00495A04">
        <w:rPr>
          <w:color w:val="000000" w:themeColor="text1"/>
        </w:rPr>
        <w:t xml:space="preserve">, </w:t>
      </w:r>
      <w:r w:rsidR="00224A82" w:rsidRPr="00495A04">
        <w:rPr>
          <w:color w:val="000000" w:themeColor="text1"/>
        </w:rPr>
        <w:fldChar w:fldCharType="begin"/>
      </w:r>
      <w:r w:rsidR="00224A82" w:rsidRPr="00495A04">
        <w:rPr>
          <w:color w:val="000000" w:themeColor="text1"/>
        </w:rPr>
        <w:instrText xml:space="preserve"> REF _Ref121139426 \h </w:instrText>
      </w:r>
      <w:r w:rsidR="00495A04" w:rsidRPr="00495A04">
        <w:rPr>
          <w:color w:val="000000" w:themeColor="text1"/>
        </w:rPr>
        <w:instrText xml:space="preserve"> \* MERGEFORMAT </w:instrText>
      </w:r>
      <w:r w:rsidR="00224A82" w:rsidRPr="00495A04">
        <w:rPr>
          <w:color w:val="000000" w:themeColor="text1"/>
        </w:rPr>
      </w:r>
      <w:r w:rsidR="00224A82" w:rsidRPr="00495A04">
        <w:rPr>
          <w:color w:val="000000" w:themeColor="text1"/>
        </w:rPr>
        <w:fldChar w:fldCharType="separate"/>
      </w:r>
      <w:r w:rsidR="00383E6F" w:rsidRPr="00495A04">
        <w:rPr>
          <w:bCs/>
        </w:rPr>
        <w:t xml:space="preserve">Рисунок </w:t>
      </w:r>
      <w:r w:rsidR="00383E6F" w:rsidRPr="00495A04">
        <w:rPr>
          <w:bCs/>
          <w:noProof/>
        </w:rPr>
        <w:t>2</w:t>
      </w:r>
      <w:r w:rsidR="00383E6F" w:rsidRPr="00495A04">
        <w:rPr>
          <w:bCs/>
        </w:rPr>
        <w:noBreakHyphen/>
      </w:r>
      <w:r w:rsidR="00383E6F" w:rsidRPr="00495A04">
        <w:rPr>
          <w:bCs/>
          <w:noProof/>
        </w:rPr>
        <w:t>4</w:t>
      </w:r>
      <w:r w:rsidR="00224A82" w:rsidRPr="00495A04">
        <w:rPr>
          <w:color w:val="000000" w:themeColor="text1"/>
        </w:rPr>
        <w:fldChar w:fldCharType="end"/>
      </w:r>
      <w:r w:rsidR="00224A82" w:rsidRPr="00495A04">
        <w:rPr>
          <w:color w:val="000000" w:themeColor="text1"/>
        </w:rPr>
        <w:t>).</w:t>
      </w:r>
    </w:p>
    <w:p w14:paraId="493F2A34" w14:textId="77777777" w:rsidR="00155BAA" w:rsidRDefault="00155BAA" w:rsidP="004F30BD">
      <w:pPr>
        <w:spacing w:after="0"/>
        <w:rPr>
          <w:color w:val="000000" w:themeColor="text1"/>
        </w:rPr>
      </w:pPr>
    </w:p>
    <w:p w14:paraId="1742D9FF" w14:textId="402B6C2E" w:rsidR="00155BAA" w:rsidRDefault="00FC2084" w:rsidP="00495A04">
      <w:pPr>
        <w:pStyle w:val="SDText"/>
        <w:spacing w:after="0"/>
        <w:ind w:firstLine="0"/>
      </w:pPr>
      <w:bookmarkStart w:id="64" w:name="_Ref121139270"/>
      <w:r w:rsidRPr="00FC2084">
        <w:rPr>
          <w:b/>
          <w:bCs/>
        </w:rPr>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2</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3</w:t>
      </w:r>
      <w:r w:rsidR="00652269">
        <w:rPr>
          <w:b/>
          <w:bCs/>
        </w:rPr>
        <w:fldChar w:fldCharType="end"/>
      </w:r>
      <w:bookmarkEnd w:id="64"/>
      <w:r w:rsidR="00155BAA" w:rsidRPr="00FC2084">
        <w:rPr>
          <w:b/>
          <w:bCs/>
        </w:rPr>
        <w:t>.</w:t>
      </w:r>
      <w:r w:rsidR="00155BAA" w:rsidRPr="00D6050D">
        <w:t xml:space="preserve"> Результаты теста сравнительной кинетики растворения препарата </w:t>
      </w:r>
      <w:r w:rsidR="008C2C72" w:rsidRPr="008F1926">
        <w:rPr>
          <w:lang w:val="en-US" w:eastAsia="ru-RU"/>
        </w:rPr>
        <w:t>D</w:t>
      </w:r>
      <w:r w:rsidR="008C2C72" w:rsidRPr="008F1926">
        <w:rPr>
          <w:lang w:eastAsia="ru-RU"/>
        </w:rPr>
        <w:t>T-</w:t>
      </w:r>
      <w:r w:rsidR="008C2C72">
        <w:rPr>
          <w:rFonts w:eastAsia="MS Mincho"/>
          <w:szCs w:val="24"/>
          <w:lang w:val="en-US" w:eastAsia="ru-RU"/>
        </w:rPr>
        <w:t>TFC</w:t>
      </w:r>
      <w:r w:rsidR="00155BAA">
        <w:t xml:space="preserve">, </w:t>
      </w:r>
      <w:r w:rsidR="008C2C72">
        <w:t>таблетки, покрытые пленочной оболочкой, 1</w:t>
      </w:r>
      <w:r w:rsidR="008C2C72" w:rsidRPr="008F1926">
        <w:t>0</w:t>
      </w:r>
      <w:r w:rsidR="008C2C72">
        <w:t xml:space="preserve"> мг</w:t>
      </w:r>
      <w:r w:rsidR="008C2C72" w:rsidRPr="00D6050D">
        <w:t xml:space="preserve"> </w:t>
      </w:r>
      <w:r w:rsidR="00155BAA" w:rsidRPr="00D6050D">
        <w:t xml:space="preserve">в сравнении с препаратом </w:t>
      </w:r>
      <w:r w:rsidR="008C2C72">
        <w:rPr>
          <w:rFonts w:eastAsia="MS Mincho"/>
          <w:szCs w:val="24"/>
          <w:lang w:eastAsia="ru-RU"/>
        </w:rPr>
        <w:t>Яквинус</w:t>
      </w:r>
      <w:r w:rsidR="008C2C72" w:rsidRPr="00D67EF0">
        <w:rPr>
          <w:rFonts w:eastAsia="MS Mincho"/>
          <w:szCs w:val="24"/>
          <w:vertAlign w:val="superscript"/>
          <w:lang w:eastAsia="ru-RU"/>
        </w:rPr>
        <w:t>®</w:t>
      </w:r>
      <w:r w:rsidR="008C2C72">
        <w:t>, таблетки, покрытые пленочной оболочкой</w:t>
      </w:r>
      <w:r w:rsidR="00155BAA">
        <w:t xml:space="preserve">, </w:t>
      </w:r>
      <w:r w:rsidR="008C2C72">
        <w:t>1</w:t>
      </w:r>
      <w:r w:rsidR="00155BAA" w:rsidRPr="008F1926">
        <w:t>0</w:t>
      </w:r>
      <w:r w:rsidR="00155BAA">
        <w:t xml:space="preserve"> мг</w:t>
      </w:r>
      <w:r w:rsidR="00155BAA" w:rsidRPr="00D6050D">
        <w:t>.</w:t>
      </w:r>
    </w:p>
    <w:tbl>
      <w:tblPr>
        <w:tblStyle w:val="a4"/>
        <w:tblW w:w="4873" w:type="pct"/>
        <w:tblInd w:w="136" w:type="dxa"/>
        <w:tblLook w:val="04A0" w:firstRow="1" w:lastRow="0" w:firstColumn="1" w:lastColumn="0" w:noHBand="0" w:noVBand="1"/>
      </w:tblPr>
      <w:tblGrid>
        <w:gridCol w:w="2471"/>
        <w:gridCol w:w="934"/>
        <w:gridCol w:w="3104"/>
        <w:gridCol w:w="2819"/>
      </w:tblGrid>
      <w:tr w:rsidR="008C2C72" w:rsidRPr="00D6050D" w14:paraId="6B08C850" w14:textId="77777777" w:rsidTr="00D62B3D">
        <w:trPr>
          <w:trHeight w:val="20"/>
          <w:tblHeader/>
        </w:trPr>
        <w:tc>
          <w:tcPr>
            <w:tcW w:w="2471" w:type="dxa"/>
            <w:vMerge w:val="restart"/>
            <w:shd w:val="clear" w:color="auto" w:fill="D9D9D9" w:themeFill="background1" w:themeFillShade="D9"/>
            <w:vAlign w:val="center"/>
          </w:tcPr>
          <w:p w14:paraId="0215DF59" w14:textId="77777777" w:rsidR="008C2C72" w:rsidRPr="00D6050D" w:rsidRDefault="008C2C72" w:rsidP="008C2C72">
            <w:pPr>
              <w:ind w:firstLine="6"/>
              <w:jc w:val="center"/>
              <w:rPr>
                <w:b/>
              </w:rPr>
            </w:pPr>
            <w:r w:rsidRPr="00D6050D">
              <w:rPr>
                <w:b/>
              </w:rPr>
              <w:t>Среда</w:t>
            </w:r>
          </w:p>
          <w:p w14:paraId="1C2610B5" w14:textId="77777777" w:rsidR="008C2C72" w:rsidRPr="00D6050D" w:rsidRDefault="008C2C72" w:rsidP="008C2C72">
            <w:pPr>
              <w:ind w:firstLine="6"/>
              <w:jc w:val="center"/>
              <w:rPr>
                <w:b/>
              </w:rPr>
            </w:pPr>
            <w:r w:rsidRPr="00D6050D">
              <w:rPr>
                <w:b/>
              </w:rPr>
              <w:t>растворения</w:t>
            </w:r>
          </w:p>
        </w:tc>
        <w:tc>
          <w:tcPr>
            <w:tcW w:w="934" w:type="dxa"/>
            <w:vMerge w:val="restart"/>
            <w:shd w:val="clear" w:color="auto" w:fill="D9D9D9" w:themeFill="background1" w:themeFillShade="D9"/>
            <w:vAlign w:val="center"/>
          </w:tcPr>
          <w:p w14:paraId="7B5BAC25" w14:textId="77777777" w:rsidR="008C2C72" w:rsidRPr="00D6050D" w:rsidRDefault="008C2C72" w:rsidP="008C2C72">
            <w:pPr>
              <w:ind w:left="-57" w:right="-57" w:firstLine="6"/>
              <w:jc w:val="center"/>
              <w:rPr>
                <w:b/>
              </w:rPr>
            </w:pPr>
            <w:r w:rsidRPr="00D6050D">
              <w:rPr>
                <w:b/>
              </w:rPr>
              <w:t>Время. мин</w:t>
            </w:r>
          </w:p>
        </w:tc>
        <w:tc>
          <w:tcPr>
            <w:tcW w:w="5923" w:type="dxa"/>
            <w:gridSpan w:val="2"/>
            <w:shd w:val="clear" w:color="auto" w:fill="D9D9D9" w:themeFill="background1" w:themeFillShade="D9"/>
            <w:vAlign w:val="center"/>
          </w:tcPr>
          <w:p w14:paraId="06E807B9" w14:textId="5D0507C1" w:rsidR="008C2C72" w:rsidRPr="00D6050D" w:rsidRDefault="008C2C72" w:rsidP="008C2C72">
            <w:pPr>
              <w:ind w:left="-57" w:right="-57" w:firstLine="6"/>
              <w:jc w:val="center"/>
              <w:rPr>
                <w:b/>
              </w:rPr>
            </w:pPr>
            <w:r w:rsidRPr="00D6050D">
              <w:rPr>
                <w:b/>
              </w:rPr>
              <w:t xml:space="preserve">Количество высвободившегося </w:t>
            </w:r>
            <w:r w:rsidR="004A6A67">
              <w:rPr>
                <w:b/>
              </w:rPr>
              <w:t>действующего</w:t>
            </w:r>
          </w:p>
          <w:p w14:paraId="0E7CF67D" w14:textId="77777777" w:rsidR="008C2C72" w:rsidRPr="00D6050D" w:rsidRDefault="008C2C72" w:rsidP="008C2C72">
            <w:pPr>
              <w:ind w:left="-57" w:right="-57" w:firstLine="6"/>
              <w:jc w:val="center"/>
              <w:rPr>
                <w:b/>
              </w:rPr>
            </w:pPr>
            <w:r w:rsidRPr="00D6050D">
              <w:rPr>
                <w:b/>
              </w:rPr>
              <w:t>вещества, %</w:t>
            </w:r>
          </w:p>
        </w:tc>
      </w:tr>
      <w:tr w:rsidR="008C2C72" w:rsidRPr="0026130A" w14:paraId="0B0D17A1" w14:textId="77777777" w:rsidTr="00D62B3D">
        <w:trPr>
          <w:trHeight w:val="20"/>
          <w:tblHeader/>
        </w:trPr>
        <w:tc>
          <w:tcPr>
            <w:tcW w:w="2471" w:type="dxa"/>
            <w:vMerge/>
            <w:shd w:val="clear" w:color="auto" w:fill="D9D9D9" w:themeFill="background1" w:themeFillShade="D9"/>
            <w:vAlign w:val="center"/>
          </w:tcPr>
          <w:p w14:paraId="4AF99A06" w14:textId="77777777" w:rsidR="008C2C72" w:rsidRPr="00D6050D" w:rsidRDefault="008C2C72" w:rsidP="008C2C72">
            <w:pPr>
              <w:spacing w:before="120" w:after="120"/>
              <w:ind w:firstLine="6"/>
              <w:rPr>
                <w:b/>
              </w:rPr>
            </w:pPr>
          </w:p>
        </w:tc>
        <w:tc>
          <w:tcPr>
            <w:tcW w:w="934" w:type="dxa"/>
            <w:vMerge/>
            <w:shd w:val="clear" w:color="auto" w:fill="D9D9D9" w:themeFill="background1" w:themeFillShade="D9"/>
            <w:vAlign w:val="center"/>
          </w:tcPr>
          <w:p w14:paraId="6496C6D9" w14:textId="77777777" w:rsidR="008C2C72" w:rsidRPr="00D6050D" w:rsidRDefault="008C2C72" w:rsidP="008C2C72">
            <w:pPr>
              <w:spacing w:before="120" w:after="120"/>
              <w:ind w:firstLine="6"/>
              <w:rPr>
                <w:b/>
              </w:rPr>
            </w:pPr>
          </w:p>
        </w:tc>
        <w:tc>
          <w:tcPr>
            <w:tcW w:w="3104" w:type="dxa"/>
            <w:shd w:val="clear" w:color="auto" w:fill="D9D9D9" w:themeFill="background1" w:themeFillShade="D9"/>
            <w:vAlign w:val="center"/>
          </w:tcPr>
          <w:p w14:paraId="3CC60168" w14:textId="7EC691C6" w:rsidR="008C2C72" w:rsidRPr="00D6050D" w:rsidRDefault="008C2C72" w:rsidP="008C2C72">
            <w:pPr>
              <w:ind w:firstLine="6"/>
              <w:jc w:val="center"/>
              <w:rPr>
                <w:b/>
              </w:rPr>
            </w:pPr>
            <w:r w:rsidRPr="008C2C72">
              <w:rPr>
                <w:b/>
                <w:lang w:val="en-US" w:eastAsia="ru-RU"/>
              </w:rPr>
              <w:t>D</w:t>
            </w:r>
            <w:r w:rsidRPr="008C2C72">
              <w:rPr>
                <w:b/>
                <w:lang w:eastAsia="ru-RU"/>
              </w:rPr>
              <w:t>T-</w:t>
            </w:r>
            <w:r w:rsidRPr="008C2C72">
              <w:rPr>
                <w:rFonts w:eastAsia="MS Mincho"/>
                <w:b/>
                <w:szCs w:val="24"/>
                <w:lang w:val="en-US" w:eastAsia="ru-RU"/>
              </w:rPr>
              <w:t>TFC</w:t>
            </w:r>
            <w:r>
              <w:rPr>
                <w:rFonts w:eastAsia="MS Mincho"/>
                <w:szCs w:val="24"/>
                <w:lang w:eastAsia="ru-RU"/>
              </w:rPr>
              <w:br/>
            </w:r>
            <w:r>
              <w:rPr>
                <w:b/>
              </w:rPr>
              <w:t>(серия 011122)</w:t>
            </w:r>
          </w:p>
        </w:tc>
        <w:tc>
          <w:tcPr>
            <w:tcW w:w="2819" w:type="dxa"/>
            <w:shd w:val="clear" w:color="auto" w:fill="D9D9D9" w:themeFill="background1" w:themeFillShade="D9"/>
            <w:vAlign w:val="center"/>
          </w:tcPr>
          <w:p w14:paraId="1330B612" w14:textId="09C011CA" w:rsidR="008C2C72" w:rsidRPr="00D6050D" w:rsidRDefault="008C2C72" w:rsidP="008C2C72">
            <w:pPr>
              <w:ind w:firstLine="6"/>
              <w:jc w:val="center"/>
              <w:rPr>
                <w:b/>
              </w:rPr>
            </w:pPr>
            <w:r>
              <w:rPr>
                <w:b/>
              </w:rPr>
              <w:t>Яквинус</w:t>
            </w:r>
            <w:r w:rsidRPr="00D6050D">
              <w:rPr>
                <w:b/>
                <w:color w:val="000000" w:themeColor="text1"/>
                <w:vertAlign w:val="superscript"/>
              </w:rPr>
              <w:t>®</w:t>
            </w:r>
            <w:r w:rsidRPr="00D6050D">
              <w:rPr>
                <w:b/>
              </w:rPr>
              <w:t xml:space="preserve"> </w:t>
            </w:r>
          </w:p>
          <w:p w14:paraId="4EC5885C" w14:textId="389D1321" w:rsidR="008C2C72" w:rsidRPr="0026130A" w:rsidRDefault="008C2C72" w:rsidP="008C2C72">
            <w:pPr>
              <w:ind w:firstLine="6"/>
              <w:jc w:val="center"/>
              <w:rPr>
                <w:b/>
              </w:rPr>
            </w:pPr>
            <w:r>
              <w:rPr>
                <w:b/>
              </w:rPr>
              <w:t>(</w:t>
            </w:r>
            <w:r w:rsidRPr="004327EA">
              <w:rPr>
                <w:b/>
              </w:rPr>
              <w:t xml:space="preserve">серия </w:t>
            </w:r>
            <w:r>
              <w:rPr>
                <w:b/>
                <w:lang w:val="en-US"/>
              </w:rPr>
              <w:t>FJ4524</w:t>
            </w:r>
            <w:r w:rsidRPr="004327EA">
              <w:rPr>
                <w:b/>
              </w:rPr>
              <w:t>)</w:t>
            </w:r>
          </w:p>
        </w:tc>
      </w:tr>
      <w:tr w:rsidR="008C2C72" w:rsidRPr="00535B9A" w14:paraId="012A9578" w14:textId="77777777" w:rsidTr="00D62B3D">
        <w:trPr>
          <w:trHeight w:val="20"/>
        </w:trPr>
        <w:tc>
          <w:tcPr>
            <w:tcW w:w="2471" w:type="dxa"/>
            <w:vMerge w:val="restart"/>
            <w:vAlign w:val="center"/>
          </w:tcPr>
          <w:p w14:paraId="105025AD" w14:textId="06427C8E" w:rsidR="008C2C72" w:rsidRPr="00051324" w:rsidRDefault="008C2C72" w:rsidP="008C2C72">
            <w:pPr>
              <w:ind w:firstLine="6"/>
              <w:jc w:val="center"/>
              <w:rPr>
                <w:color w:val="000000"/>
              </w:rPr>
            </w:pPr>
            <w:r w:rsidRPr="00051324">
              <w:rPr>
                <w:color w:val="000000" w:themeColor="text1"/>
              </w:rPr>
              <w:t>0</w:t>
            </w:r>
            <w:r>
              <w:rPr>
                <w:color w:val="000000" w:themeColor="text1"/>
              </w:rPr>
              <w:t>,1 М хлороводородная кислота (среда НД)</w:t>
            </w:r>
          </w:p>
        </w:tc>
        <w:tc>
          <w:tcPr>
            <w:tcW w:w="934" w:type="dxa"/>
          </w:tcPr>
          <w:p w14:paraId="6DC21B70" w14:textId="77777777" w:rsidR="008C2C72" w:rsidRPr="00D6050D" w:rsidRDefault="008C2C72" w:rsidP="008C2C72">
            <w:pPr>
              <w:ind w:firstLine="6"/>
              <w:jc w:val="center"/>
              <w:rPr>
                <w:color w:val="000000"/>
              </w:rPr>
            </w:pPr>
            <w:r w:rsidRPr="00D6050D">
              <w:rPr>
                <w:color w:val="000000"/>
              </w:rPr>
              <w:t>10</w:t>
            </w:r>
          </w:p>
        </w:tc>
        <w:tc>
          <w:tcPr>
            <w:tcW w:w="3104" w:type="dxa"/>
          </w:tcPr>
          <w:p w14:paraId="4AA37D5D" w14:textId="331125D5" w:rsidR="008C2C72" w:rsidRPr="008C2C72" w:rsidRDefault="008C2C72" w:rsidP="008C2C72">
            <w:pPr>
              <w:ind w:firstLine="6"/>
              <w:jc w:val="center"/>
              <w:rPr>
                <w:color w:val="000000"/>
              </w:rPr>
            </w:pPr>
            <w:r>
              <w:rPr>
                <w:color w:val="000000"/>
              </w:rPr>
              <w:t>97,0</w:t>
            </w:r>
          </w:p>
        </w:tc>
        <w:tc>
          <w:tcPr>
            <w:tcW w:w="2819" w:type="dxa"/>
          </w:tcPr>
          <w:p w14:paraId="7D0D455A" w14:textId="3B4F87F7" w:rsidR="008C2C72" w:rsidRPr="00535B9A" w:rsidRDefault="008C2C72" w:rsidP="008C2C72">
            <w:pPr>
              <w:ind w:firstLine="6"/>
              <w:jc w:val="center"/>
              <w:rPr>
                <w:color w:val="000000"/>
              </w:rPr>
            </w:pPr>
            <w:r>
              <w:rPr>
                <w:color w:val="000000"/>
              </w:rPr>
              <w:t>95,6</w:t>
            </w:r>
          </w:p>
        </w:tc>
      </w:tr>
      <w:tr w:rsidR="008C2C72" w:rsidRPr="00535B9A" w14:paraId="02B7E9C3" w14:textId="77777777" w:rsidTr="00D62B3D">
        <w:trPr>
          <w:trHeight w:val="20"/>
        </w:trPr>
        <w:tc>
          <w:tcPr>
            <w:tcW w:w="2471" w:type="dxa"/>
            <w:vMerge/>
            <w:vAlign w:val="center"/>
          </w:tcPr>
          <w:p w14:paraId="59B4D52A" w14:textId="77777777" w:rsidR="008C2C72" w:rsidRPr="00D6050D" w:rsidRDefault="008C2C72" w:rsidP="008C2C72">
            <w:pPr>
              <w:ind w:firstLine="6"/>
              <w:jc w:val="center"/>
              <w:rPr>
                <w:color w:val="000000"/>
              </w:rPr>
            </w:pPr>
          </w:p>
        </w:tc>
        <w:tc>
          <w:tcPr>
            <w:tcW w:w="934" w:type="dxa"/>
          </w:tcPr>
          <w:p w14:paraId="09628B6C" w14:textId="77777777" w:rsidR="008C2C72" w:rsidRPr="00D6050D" w:rsidRDefault="008C2C72" w:rsidP="008C2C72">
            <w:pPr>
              <w:ind w:firstLine="6"/>
              <w:jc w:val="center"/>
              <w:rPr>
                <w:color w:val="000000"/>
              </w:rPr>
            </w:pPr>
            <w:r w:rsidRPr="00D6050D">
              <w:rPr>
                <w:color w:val="000000"/>
              </w:rPr>
              <w:t>15</w:t>
            </w:r>
          </w:p>
        </w:tc>
        <w:tc>
          <w:tcPr>
            <w:tcW w:w="3104" w:type="dxa"/>
          </w:tcPr>
          <w:p w14:paraId="248B610A" w14:textId="1D022F62" w:rsidR="008C2C72" w:rsidRPr="00535B9A" w:rsidRDefault="008C2C72" w:rsidP="008C2C72">
            <w:pPr>
              <w:ind w:firstLine="6"/>
              <w:jc w:val="center"/>
              <w:rPr>
                <w:color w:val="000000"/>
              </w:rPr>
            </w:pPr>
            <w:r>
              <w:rPr>
                <w:color w:val="000000"/>
              </w:rPr>
              <w:t>101,0</w:t>
            </w:r>
          </w:p>
        </w:tc>
        <w:tc>
          <w:tcPr>
            <w:tcW w:w="2819" w:type="dxa"/>
          </w:tcPr>
          <w:p w14:paraId="121675F5" w14:textId="1D13E3EB" w:rsidR="008C2C72" w:rsidRPr="00535B9A" w:rsidRDefault="008C2C72" w:rsidP="008C2C72">
            <w:pPr>
              <w:ind w:firstLine="6"/>
              <w:jc w:val="center"/>
              <w:rPr>
                <w:color w:val="000000"/>
              </w:rPr>
            </w:pPr>
            <w:r>
              <w:rPr>
                <w:color w:val="000000"/>
              </w:rPr>
              <w:t>97,0</w:t>
            </w:r>
          </w:p>
        </w:tc>
      </w:tr>
      <w:tr w:rsidR="008C2C72" w:rsidRPr="00535B9A" w14:paraId="786A4375" w14:textId="77777777" w:rsidTr="00D62B3D">
        <w:trPr>
          <w:trHeight w:val="20"/>
        </w:trPr>
        <w:tc>
          <w:tcPr>
            <w:tcW w:w="2471" w:type="dxa"/>
            <w:vMerge/>
            <w:vAlign w:val="center"/>
          </w:tcPr>
          <w:p w14:paraId="648F8254" w14:textId="77777777" w:rsidR="008C2C72" w:rsidRPr="00D6050D" w:rsidRDefault="008C2C72" w:rsidP="008C2C72">
            <w:pPr>
              <w:ind w:firstLine="6"/>
              <w:jc w:val="center"/>
              <w:rPr>
                <w:color w:val="000000"/>
              </w:rPr>
            </w:pPr>
          </w:p>
        </w:tc>
        <w:tc>
          <w:tcPr>
            <w:tcW w:w="934" w:type="dxa"/>
          </w:tcPr>
          <w:p w14:paraId="7087BBF6" w14:textId="77777777" w:rsidR="008C2C72" w:rsidRPr="00D6050D" w:rsidRDefault="008C2C72" w:rsidP="008C2C72">
            <w:pPr>
              <w:ind w:firstLine="6"/>
              <w:jc w:val="center"/>
              <w:rPr>
                <w:color w:val="000000"/>
              </w:rPr>
            </w:pPr>
            <w:r w:rsidRPr="00D6050D">
              <w:rPr>
                <w:color w:val="000000"/>
              </w:rPr>
              <w:t>20</w:t>
            </w:r>
          </w:p>
        </w:tc>
        <w:tc>
          <w:tcPr>
            <w:tcW w:w="3104" w:type="dxa"/>
          </w:tcPr>
          <w:p w14:paraId="2242CF58" w14:textId="151CFE60" w:rsidR="008C2C72" w:rsidRPr="00535B9A" w:rsidRDefault="008C2C72" w:rsidP="008C2C72">
            <w:pPr>
              <w:ind w:firstLine="6"/>
              <w:jc w:val="center"/>
              <w:rPr>
                <w:color w:val="000000"/>
              </w:rPr>
            </w:pPr>
            <w:r>
              <w:rPr>
                <w:color w:val="000000"/>
              </w:rPr>
              <w:t>101,0</w:t>
            </w:r>
          </w:p>
        </w:tc>
        <w:tc>
          <w:tcPr>
            <w:tcW w:w="2819" w:type="dxa"/>
          </w:tcPr>
          <w:p w14:paraId="781929EC" w14:textId="112FEE09" w:rsidR="008C2C72" w:rsidRPr="00535B9A" w:rsidRDefault="008C2C72" w:rsidP="008C2C72">
            <w:pPr>
              <w:ind w:firstLine="6"/>
              <w:jc w:val="center"/>
              <w:rPr>
                <w:color w:val="000000"/>
              </w:rPr>
            </w:pPr>
            <w:r>
              <w:rPr>
                <w:color w:val="000000"/>
              </w:rPr>
              <w:t>98,5</w:t>
            </w:r>
          </w:p>
        </w:tc>
      </w:tr>
      <w:tr w:rsidR="008C2C72" w:rsidRPr="00535B9A" w14:paraId="4E1C51BD" w14:textId="77777777" w:rsidTr="00D62B3D">
        <w:trPr>
          <w:trHeight w:val="20"/>
        </w:trPr>
        <w:tc>
          <w:tcPr>
            <w:tcW w:w="2471" w:type="dxa"/>
            <w:vMerge/>
            <w:vAlign w:val="center"/>
          </w:tcPr>
          <w:p w14:paraId="1FAAE1F5" w14:textId="77777777" w:rsidR="008C2C72" w:rsidRPr="00D6050D" w:rsidRDefault="008C2C72" w:rsidP="008C2C72">
            <w:pPr>
              <w:ind w:firstLine="6"/>
              <w:jc w:val="center"/>
              <w:rPr>
                <w:color w:val="000000"/>
              </w:rPr>
            </w:pPr>
          </w:p>
        </w:tc>
        <w:tc>
          <w:tcPr>
            <w:tcW w:w="934" w:type="dxa"/>
          </w:tcPr>
          <w:p w14:paraId="79AB309E" w14:textId="77777777" w:rsidR="008C2C72" w:rsidRPr="00D6050D" w:rsidRDefault="008C2C72" w:rsidP="008C2C72">
            <w:pPr>
              <w:ind w:firstLine="6"/>
              <w:jc w:val="center"/>
              <w:rPr>
                <w:color w:val="000000"/>
              </w:rPr>
            </w:pPr>
            <w:r w:rsidRPr="00D6050D">
              <w:rPr>
                <w:color w:val="000000"/>
              </w:rPr>
              <w:t>30</w:t>
            </w:r>
          </w:p>
        </w:tc>
        <w:tc>
          <w:tcPr>
            <w:tcW w:w="3104" w:type="dxa"/>
          </w:tcPr>
          <w:p w14:paraId="37751B94" w14:textId="1D36AE5F" w:rsidR="008C2C72" w:rsidRPr="00535B9A" w:rsidRDefault="008C2C72" w:rsidP="008C2C72">
            <w:pPr>
              <w:ind w:firstLine="6"/>
              <w:jc w:val="center"/>
              <w:rPr>
                <w:color w:val="000000"/>
              </w:rPr>
            </w:pPr>
            <w:r>
              <w:rPr>
                <w:color w:val="000000"/>
              </w:rPr>
              <w:t>100,6</w:t>
            </w:r>
          </w:p>
        </w:tc>
        <w:tc>
          <w:tcPr>
            <w:tcW w:w="2819" w:type="dxa"/>
          </w:tcPr>
          <w:p w14:paraId="22AFD21C" w14:textId="2D557F73" w:rsidR="008C2C72" w:rsidRPr="00535B9A" w:rsidRDefault="008C2C72" w:rsidP="008C2C72">
            <w:pPr>
              <w:ind w:firstLine="6"/>
              <w:jc w:val="center"/>
              <w:rPr>
                <w:color w:val="000000"/>
              </w:rPr>
            </w:pPr>
            <w:r>
              <w:rPr>
                <w:color w:val="000000"/>
              </w:rPr>
              <w:t>100,8</w:t>
            </w:r>
          </w:p>
        </w:tc>
      </w:tr>
      <w:tr w:rsidR="008C2C72" w:rsidRPr="00535B9A" w14:paraId="1706E41E" w14:textId="77777777" w:rsidTr="00D62B3D">
        <w:trPr>
          <w:trHeight w:val="20"/>
        </w:trPr>
        <w:tc>
          <w:tcPr>
            <w:tcW w:w="2471" w:type="dxa"/>
            <w:vMerge/>
            <w:vAlign w:val="center"/>
          </w:tcPr>
          <w:p w14:paraId="2F78AA22" w14:textId="77777777" w:rsidR="008C2C72" w:rsidRPr="00D6050D" w:rsidRDefault="008C2C72" w:rsidP="008C2C72">
            <w:pPr>
              <w:ind w:firstLine="6"/>
              <w:jc w:val="center"/>
              <w:rPr>
                <w:color w:val="000000"/>
              </w:rPr>
            </w:pPr>
          </w:p>
        </w:tc>
        <w:tc>
          <w:tcPr>
            <w:tcW w:w="934" w:type="dxa"/>
          </w:tcPr>
          <w:p w14:paraId="4323B876" w14:textId="77777777" w:rsidR="008C2C72" w:rsidRPr="00D6050D" w:rsidRDefault="008C2C72" w:rsidP="008C2C72">
            <w:pPr>
              <w:ind w:firstLine="6"/>
              <w:jc w:val="center"/>
              <w:rPr>
                <w:color w:val="000000"/>
              </w:rPr>
            </w:pPr>
            <w:r w:rsidRPr="00D6050D">
              <w:rPr>
                <w:color w:val="000000"/>
              </w:rPr>
              <w:t>45</w:t>
            </w:r>
          </w:p>
        </w:tc>
        <w:tc>
          <w:tcPr>
            <w:tcW w:w="3104" w:type="dxa"/>
          </w:tcPr>
          <w:p w14:paraId="4C68661A" w14:textId="305729F5" w:rsidR="008C2C72" w:rsidRPr="00535B9A" w:rsidRDefault="008C2C72" w:rsidP="008C2C72">
            <w:pPr>
              <w:ind w:firstLine="6"/>
              <w:jc w:val="center"/>
              <w:rPr>
                <w:color w:val="000000"/>
              </w:rPr>
            </w:pPr>
            <w:r>
              <w:rPr>
                <w:color w:val="000000"/>
              </w:rPr>
              <w:t>100,8</w:t>
            </w:r>
          </w:p>
        </w:tc>
        <w:tc>
          <w:tcPr>
            <w:tcW w:w="2819" w:type="dxa"/>
          </w:tcPr>
          <w:p w14:paraId="5C21C81D" w14:textId="36FB15AA" w:rsidR="008C2C72" w:rsidRPr="00535B9A" w:rsidRDefault="008C2C72" w:rsidP="008C2C72">
            <w:pPr>
              <w:ind w:firstLine="6"/>
              <w:jc w:val="center"/>
              <w:rPr>
                <w:color w:val="000000"/>
              </w:rPr>
            </w:pPr>
            <w:r>
              <w:rPr>
                <w:color w:val="000000"/>
              </w:rPr>
              <w:t>101,3</w:t>
            </w:r>
          </w:p>
        </w:tc>
      </w:tr>
      <w:tr w:rsidR="008C2C72" w:rsidRPr="00535B9A" w14:paraId="4DCB39E9" w14:textId="77777777" w:rsidTr="00D62B3D">
        <w:trPr>
          <w:trHeight w:val="20"/>
        </w:trPr>
        <w:tc>
          <w:tcPr>
            <w:tcW w:w="3405" w:type="dxa"/>
            <w:gridSpan w:val="2"/>
            <w:vAlign w:val="center"/>
          </w:tcPr>
          <w:p w14:paraId="7E6A15BB" w14:textId="77777777" w:rsidR="008C2C72" w:rsidRPr="00D6050D" w:rsidRDefault="008C2C72" w:rsidP="008C2C72">
            <w:pPr>
              <w:ind w:firstLine="6"/>
              <w:jc w:val="right"/>
              <w:rPr>
                <w:b/>
                <w:i/>
                <w:color w:val="000000"/>
              </w:rPr>
            </w:pPr>
            <w:r w:rsidRPr="00D6050D">
              <w:rPr>
                <w:b/>
                <w:i/>
                <w:color w:val="000000"/>
              </w:rPr>
              <w:t>фактор подобия f2</w:t>
            </w:r>
          </w:p>
        </w:tc>
        <w:tc>
          <w:tcPr>
            <w:tcW w:w="5923" w:type="dxa"/>
            <w:gridSpan w:val="2"/>
            <w:vAlign w:val="center"/>
          </w:tcPr>
          <w:p w14:paraId="46D0A809" w14:textId="77777777" w:rsidR="008C2C72" w:rsidRPr="00535B9A" w:rsidRDefault="008C2C72" w:rsidP="008C2C72">
            <w:pPr>
              <w:ind w:firstLine="6"/>
              <w:jc w:val="center"/>
              <w:rPr>
                <w:b/>
              </w:rPr>
            </w:pPr>
            <w:r>
              <w:rPr>
                <w:b/>
              </w:rPr>
              <w:t>эквивалентно</w:t>
            </w:r>
            <w:r w:rsidRPr="00535B9A">
              <w:rPr>
                <w:b/>
              </w:rPr>
              <w:t xml:space="preserve"> без математической </w:t>
            </w:r>
            <w:r>
              <w:rPr>
                <w:b/>
              </w:rPr>
              <w:t>оценки</w:t>
            </w:r>
          </w:p>
        </w:tc>
      </w:tr>
      <w:tr w:rsidR="008C2C72" w:rsidRPr="00D6050D" w14:paraId="3E256A1F" w14:textId="77777777" w:rsidTr="00D62B3D">
        <w:trPr>
          <w:trHeight w:val="20"/>
        </w:trPr>
        <w:tc>
          <w:tcPr>
            <w:tcW w:w="2471" w:type="dxa"/>
            <w:vMerge w:val="restart"/>
            <w:vAlign w:val="center"/>
          </w:tcPr>
          <w:p w14:paraId="063C299F" w14:textId="77777777" w:rsidR="008C2C72" w:rsidRPr="00D6050D" w:rsidRDefault="008C2C72" w:rsidP="008C2C72">
            <w:pPr>
              <w:ind w:firstLine="6"/>
              <w:jc w:val="center"/>
              <w:rPr>
                <w:color w:val="000000"/>
              </w:rPr>
            </w:pPr>
            <w:r w:rsidRPr="00D6050D">
              <w:rPr>
                <w:color w:val="000000"/>
              </w:rPr>
              <w:t>Ацетатный буферный раствор рН 4,5</w:t>
            </w:r>
          </w:p>
        </w:tc>
        <w:tc>
          <w:tcPr>
            <w:tcW w:w="934" w:type="dxa"/>
            <w:vAlign w:val="center"/>
          </w:tcPr>
          <w:p w14:paraId="4D156FAF" w14:textId="77777777" w:rsidR="008C2C72" w:rsidRPr="00D6050D" w:rsidRDefault="008C2C72" w:rsidP="008C2C72">
            <w:pPr>
              <w:ind w:firstLine="6"/>
              <w:jc w:val="center"/>
              <w:rPr>
                <w:color w:val="000000"/>
              </w:rPr>
            </w:pPr>
            <w:r w:rsidRPr="00D6050D">
              <w:rPr>
                <w:color w:val="000000"/>
              </w:rPr>
              <w:t>10</w:t>
            </w:r>
          </w:p>
        </w:tc>
        <w:tc>
          <w:tcPr>
            <w:tcW w:w="3104" w:type="dxa"/>
            <w:vAlign w:val="center"/>
          </w:tcPr>
          <w:p w14:paraId="4A6A6BE2" w14:textId="718EA292" w:rsidR="008C2C72" w:rsidRPr="00D6050D" w:rsidRDefault="007A5DAC" w:rsidP="008C2C72">
            <w:pPr>
              <w:ind w:firstLine="6"/>
              <w:jc w:val="center"/>
              <w:rPr>
                <w:lang w:val="en-US"/>
              </w:rPr>
            </w:pPr>
            <w:r>
              <w:t>99,2</w:t>
            </w:r>
          </w:p>
        </w:tc>
        <w:tc>
          <w:tcPr>
            <w:tcW w:w="2819" w:type="dxa"/>
            <w:vAlign w:val="center"/>
          </w:tcPr>
          <w:p w14:paraId="6FB998BC" w14:textId="3FEB1F70" w:rsidR="008C2C72" w:rsidRPr="00D6050D" w:rsidRDefault="007A5DAC" w:rsidP="008C2C72">
            <w:pPr>
              <w:ind w:firstLine="6"/>
              <w:jc w:val="center"/>
              <w:rPr>
                <w:lang w:val="en-US"/>
              </w:rPr>
            </w:pPr>
            <w:r>
              <w:t>94,3</w:t>
            </w:r>
          </w:p>
        </w:tc>
      </w:tr>
      <w:tr w:rsidR="008C2C72" w:rsidRPr="00D6050D" w14:paraId="60BD997C" w14:textId="77777777" w:rsidTr="00D62B3D">
        <w:trPr>
          <w:trHeight w:val="20"/>
        </w:trPr>
        <w:tc>
          <w:tcPr>
            <w:tcW w:w="2471" w:type="dxa"/>
            <w:vMerge/>
            <w:vAlign w:val="center"/>
          </w:tcPr>
          <w:p w14:paraId="3C64EA79" w14:textId="77777777" w:rsidR="008C2C72" w:rsidRPr="00D6050D" w:rsidRDefault="008C2C72" w:rsidP="008C2C72">
            <w:pPr>
              <w:ind w:firstLine="6"/>
              <w:jc w:val="center"/>
              <w:rPr>
                <w:color w:val="000000"/>
              </w:rPr>
            </w:pPr>
          </w:p>
        </w:tc>
        <w:tc>
          <w:tcPr>
            <w:tcW w:w="934" w:type="dxa"/>
            <w:vAlign w:val="center"/>
          </w:tcPr>
          <w:p w14:paraId="0683FB2D" w14:textId="77777777" w:rsidR="008C2C72" w:rsidRPr="00D6050D" w:rsidRDefault="008C2C72" w:rsidP="008C2C72">
            <w:pPr>
              <w:ind w:firstLine="6"/>
              <w:jc w:val="center"/>
              <w:rPr>
                <w:color w:val="000000"/>
              </w:rPr>
            </w:pPr>
            <w:r w:rsidRPr="00D6050D">
              <w:rPr>
                <w:color w:val="000000"/>
              </w:rPr>
              <w:t>15</w:t>
            </w:r>
          </w:p>
        </w:tc>
        <w:tc>
          <w:tcPr>
            <w:tcW w:w="3104" w:type="dxa"/>
            <w:vAlign w:val="center"/>
          </w:tcPr>
          <w:p w14:paraId="1047B150" w14:textId="54453619" w:rsidR="008C2C72" w:rsidRPr="00D6050D" w:rsidRDefault="007A5DAC" w:rsidP="008C2C72">
            <w:pPr>
              <w:ind w:firstLine="6"/>
              <w:jc w:val="center"/>
              <w:rPr>
                <w:lang w:val="en-US"/>
              </w:rPr>
            </w:pPr>
            <w:r>
              <w:t>100,5</w:t>
            </w:r>
          </w:p>
        </w:tc>
        <w:tc>
          <w:tcPr>
            <w:tcW w:w="2819" w:type="dxa"/>
            <w:vAlign w:val="center"/>
          </w:tcPr>
          <w:p w14:paraId="2969F3E0" w14:textId="04DD8849" w:rsidR="008C2C72" w:rsidRPr="00D6050D" w:rsidRDefault="007A5DAC" w:rsidP="008C2C72">
            <w:pPr>
              <w:ind w:firstLine="6"/>
              <w:jc w:val="center"/>
              <w:rPr>
                <w:lang w:val="en-US"/>
              </w:rPr>
            </w:pPr>
            <w:r>
              <w:t>96,0</w:t>
            </w:r>
          </w:p>
        </w:tc>
      </w:tr>
      <w:tr w:rsidR="008C2C72" w:rsidRPr="00D6050D" w14:paraId="006A16CD" w14:textId="77777777" w:rsidTr="00D62B3D">
        <w:trPr>
          <w:trHeight w:val="20"/>
        </w:trPr>
        <w:tc>
          <w:tcPr>
            <w:tcW w:w="2471" w:type="dxa"/>
            <w:vMerge/>
            <w:vAlign w:val="center"/>
          </w:tcPr>
          <w:p w14:paraId="64B62454" w14:textId="77777777" w:rsidR="008C2C72" w:rsidRPr="00D6050D" w:rsidRDefault="008C2C72" w:rsidP="008C2C72">
            <w:pPr>
              <w:ind w:firstLine="6"/>
              <w:jc w:val="center"/>
              <w:rPr>
                <w:color w:val="000000"/>
              </w:rPr>
            </w:pPr>
          </w:p>
        </w:tc>
        <w:tc>
          <w:tcPr>
            <w:tcW w:w="934" w:type="dxa"/>
            <w:vAlign w:val="center"/>
          </w:tcPr>
          <w:p w14:paraId="3A9C9524" w14:textId="77777777" w:rsidR="008C2C72" w:rsidRPr="00D6050D" w:rsidRDefault="008C2C72" w:rsidP="008C2C72">
            <w:pPr>
              <w:ind w:firstLine="6"/>
              <w:jc w:val="center"/>
              <w:rPr>
                <w:color w:val="000000"/>
              </w:rPr>
            </w:pPr>
            <w:r w:rsidRPr="00D6050D">
              <w:rPr>
                <w:color w:val="000000"/>
              </w:rPr>
              <w:t>20</w:t>
            </w:r>
          </w:p>
        </w:tc>
        <w:tc>
          <w:tcPr>
            <w:tcW w:w="3104" w:type="dxa"/>
            <w:vAlign w:val="center"/>
          </w:tcPr>
          <w:p w14:paraId="24124BC3" w14:textId="481A58A5" w:rsidR="008C2C72" w:rsidRPr="00D6050D" w:rsidRDefault="007A5DAC" w:rsidP="008C2C72">
            <w:pPr>
              <w:ind w:firstLine="6"/>
              <w:jc w:val="center"/>
              <w:rPr>
                <w:lang w:val="en-US"/>
              </w:rPr>
            </w:pPr>
            <w:r>
              <w:t>100,1</w:t>
            </w:r>
          </w:p>
        </w:tc>
        <w:tc>
          <w:tcPr>
            <w:tcW w:w="2819" w:type="dxa"/>
            <w:vAlign w:val="center"/>
          </w:tcPr>
          <w:p w14:paraId="6CF14ED4" w14:textId="344DFF3E" w:rsidR="008C2C72" w:rsidRPr="00D6050D" w:rsidRDefault="007A5DAC" w:rsidP="008C2C72">
            <w:pPr>
              <w:ind w:firstLine="6"/>
              <w:jc w:val="center"/>
              <w:rPr>
                <w:lang w:val="en-US"/>
              </w:rPr>
            </w:pPr>
            <w:r>
              <w:t>98,1</w:t>
            </w:r>
          </w:p>
        </w:tc>
      </w:tr>
      <w:tr w:rsidR="008C2C72" w:rsidRPr="00D6050D" w14:paraId="4FDA5239" w14:textId="77777777" w:rsidTr="00D62B3D">
        <w:trPr>
          <w:trHeight w:val="20"/>
        </w:trPr>
        <w:tc>
          <w:tcPr>
            <w:tcW w:w="2471" w:type="dxa"/>
            <w:vMerge/>
            <w:vAlign w:val="center"/>
          </w:tcPr>
          <w:p w14:paraId="00F96CA6" w14:textId="77777777" w:rsidR="008C2C72" w:rsidRPr="00D6050D" w:rsidRDefault="008C2C72" w:rsidP="008C2C72">
            <w:pPr>
              <w:ind w:firstLine="6"/>
              <w:jc w:val="center"/>
              <w:rPr>
                <w:color w:val="000000"/>
              </w:rPr>
            </w:pPr>
          </w:p>
        </w:tc>
        <w:tc>
          <w:tcPr>
            <w:tcW w:w="934" w:type="dxa"/>
            <w:vAlign w:val="center"/>
          </w:tcPr>
          <w:p w14:paraId="7BC9DC4B" w14:textId="77777777" w:rsidR="008C2C72" w:rsidRPr="00D6050D" w:rsidRDefault="008C2C72" w:rsidP="008C2C72">
            <w:pPr>
              <w:ind w:firstLine="6"/>
              <w:jc w:val="center"/>
              <w:rPr>
                <w:color w:val="000000"/>
              </w:rPr>
            </w:pPr>
            <w:r w:rsidRPr="00D6050D">
              <w:rPr>
                <w:color w:val="000000"/>
              </w:rPr>
              <w:t>30</w:t>
            </w:r>
          </w:p>
        </w:tc>
        <w:tc>
          <w:tcPr>
            <w:tcW w:w="3104" w:type="dxa"/>
            <w:vAlign w:val="center"/>
          </w:tcPr>
          <w:p w14:paraId="0A15133C" w14:textId="4B0C9262" w:rsidR="008C2C72" w:rsidRPr="00D6050D" w:rsidRDefault="007A5DAC" w:rsidP="007A5DAC">
            <w:pPr>
              <w:ind w:firstLine="6"/>
              <w:jc w:val="center"/>
              <w:rPr>
                <w:lang w:val="en-US"/>
              </w:rPr>
            </w:pPr>
            <w:r>
              <w:t>100,7</w:t>
            </w:r>
          </w:p>
        </w:tc>
        <w:tc>
          <w:tcPr>
            <w:tcW w:w="2819" w:type="dxa"/>
            <w:vAlign w:val="center"/>
          </w:tcPr>
          <w:p w14:paraId="658F91D4" w14:textId="6DF74F23" w:rsidR="008C2C72" w:rsidRPr="00D6050D" w:rsidRDefault="007A5DAC" w:rsidP="008C2C72">
            <w:pPr>
              <w:ind w:firstLine="6"/>
              <w:jc w:val="center"/>
              <w:rPr>
                <w:lang w:val="en-US"/>
              </w:rPr>
            </w:pPr>
            <w:r>
              <w:t>100,6</w:t>
            </w:r>
          </w:p>
        </w:tc>
      </w:tr>
      <w:tr w:rsidR="008C2C72" w:rsidRPr="00D6050D" w14:paraId="4DF739CC" w14:textId="77777777" w:rsidTr="00D62B3D">
        <w:trPr>
          <w:trHeight w:val="20"/>
        </w:trPr>
        <w:tc>
          <w:tcPr>
            <w:tcW w:w="2471" w:type="dxa"/>
            <w:vMerge/>
            <w:vAlign w:val="center"/>
          </w:tcPr>
          <w:p w14:paraId="0591373E" w14:textId="77777777" w:rsidR="008C2C72" w:rsidRPr="00D6050D" w:rsidRDefault="008C2C72" w:rsidP="008C2C72">
            <w:pPr>
              <w:ind w:firstLine="6"/>
              <w:jc w:val="center"/>
              <w:rPr>
                <w:color w:val="000000"/>
              </w:rPr>
            </w:pPr>
          </w:p>
        </w:tc>
        <w:tc>
          <w:tcPr>
            <w:tcW w:w="934" w:type="dxa"/>
            <w:vAlign w:val="center"/>
          </w:tcPr>
          <w:p w14:paraId="2F00F388" w14:textId="77777777" w:rsidR="008C2C72" w:rsidRPr="00D6050D" w:rsidRDefault="008C2C72" w:rsidP="008C2C72">
            <w:pPr>
              <w:ind w:firstLine="6"/>
              <w:jc w:val="center"/>
              <w:rPr>
                <w:color w:val="000000"/>
              </w:rPr>
            </w:pPr>
            <w:r w:rsidRPr="00D6050D">
              <w:rPr>
                <w:color w:val="000000"/>
              </w:rPr>
              <w:t>45</w:t>
            </w:r>
          </w:p>
        </w:tc>
        <w:tc>
          <w:tcPr>
            <w:tcW w:w="3104" w:type="dxa"/>
            <w:vAlign w:val="center"/>
          </w:tcPr>
          <w:p w14:paraId="528B701D" w14:textId="7B9DDFE6" w:rsidR="008C2C72" w:rsidRPr="00D6050D" w:rsidRDefault="007A5DAC" w:rsidP="008C2C72">
            <w:pPr>
              <w:ind w:firstLine="6"/>
              <w:jc w:val="center"/>
              <w:rPr>
                <w:lang w:val="en-US"/>
              </w:rPr>
            </w:pPr>
            <w:r>
              <w:t>99,3</w:t>
            </w:r>
          </w:p>
        </w:tc>
        <w:tc>
          <w:tcPr>
            <w:tcW w:w="2819" w:type="dxa"/>
            <w:vAlign w:val="center"/>
          </w:tcPr>
          <w:p w14:paraId="4A58DBDB" w14:textId="70BDA674" w:rsidR="008C2C72" w:rsidRPr="00D6050D" w:rsidRDefault="007A5DAC" w:rsidP="008C2C72">
            <w:pPr>
              <w:ind w:firstLine="6"/>
              <w:jc w:val="center"/>
              <w:rPr>
                <w:lang w:val="en-US"/>
              </w:rPr>
            </w:pPr>
            <w:r>
              <w:t>100,8</w:t>
            </w:r>
          </w:p>
        </w:tc>
      </w:tr>
      <w:tr w:rsidR="008C2C72" w:rsidRPr="00D6050D" w14:paraId="51508DF8" w14:textId="77777777" w:rsidTr="00D62B3D">
        <w:trPr>
          <w:trHeight w:val="20"/>
        </w:trPr>
        <w:tc>
          <w:tcPr>
            <w:tcW w:w="3405" w:type="dxa"/>
            <w:gridSpan w:val="2"/>
            <w:vAlign w:val="center"/>
          </w:tcPr>
          <w:p w14:paraId="20712DC3" w14:textId="77777777" w:rsidR="008C2C72" w:rsidRPr="00D6050D" w:rsidRDefault="008C2C72" w:rsidP="008C2C72">
            <w:pPr>
              <w:ind w:firstLine="6"/>
              <w:jc w:val="right"/>
              <w:rPr>
                <w:b/>
                <w:i/>
                <w:color w:val="000000"/>
              </w:rPr>
            </w:pPr>
            <w:r w:rsidRPr="00D6050D">
              <w:rPr>
                <w:b/>
                <w:i/>
                <w:color w:val="000000"/>
              </w:rPr>
              <w:t>фактор подобия f2</w:t>
            </w:r>
          </w:p>
        </w:tc>
        <w:tc>
          <w:tcPr>
            <w:tcW w:w="5923" w:type="dxa"/>
            <w:gridSpan w:val="2"/>
            <w:vAlign w:val="center"/>
          </w:tcPr>
          <w:p w14:paraId="30F565D6" w14:textId="77777777" w:rsidR="008C2C72" w:rsidRPr="00D6050D" w:rsidRDefault="008C2C72" w:rsidP="008C2C72">
            <w:pPr>
              <w:ind w:firstLine="6"/>
              <w:jc w:val="center"/>
              <w:rPr>
                <w:b/>
                <w:i/>
                <w:lang w:val="en-US"/>
              </w:rPr>
            </w:pPr>
            <w:r>
              <w:rPr>
                <w:b/>
              </w:rPr>
              <w:t>эквивалентно</w:t>
            </w:r>
            <w:r w:rsidRPr="00535B9A">
              <w:rPr>
                <w:b/>
              </w:rPr>
              <w:t xml:space="preserve"> без математической </w:t>
            </w:r>
            <w:r>
              <w:rPr>
                <w:b/>
              </w:rPr>
              <w:t>оценки</w:t>
            </w:r>
          </w:p>
        </w:tc>
      </w:tr>
      <w:tr w:rsidR="008C2C72" w:rsidRPr="00D6050D" w14:paraId="745E4022" w14:textId="77777777" w:rsidTr="00D62B3D">
        <w:trPr>
          <w:trHeight w:val="20"/>
        </w:trPr>
        <w:tc>
          <w:tcPr>
            <w:tcW w:w="2471" w:type="dxa"/>
            <w:vMerge w:val="restart"/>
            <w:vAlign w:val="center"/>
          </w:tcPr>
          <w:p w14:paraId="1A634B06" w14:textId="77777777" w:rsidR="008C2C72" w:rsidRPr="00D6050D" w:rsidRDefault="008C2C72" w:rsidP="008C2C72">
            <w:pPr>
              <w:ind w:firstLine="6"/>
              <w:jc w:val="center"/>
              <w:rPr>
                <w:color w:val="000000"/>
              </w:rPr>
            </w:pPr>
            <w:r w:rsidRPr="00D6050D">
              <w:rPr>
                <w:color w:val="000000"/>
              </w:rPr>
              <w:t>Фосфатный буферный раствор рН 6,8</w:t>
            </w:r>
          </w:p>
        </w:tc>
        <w:tc>
          <w:tcPr>
            <w:tcW w:w="934" w:type="dxa"/>
            <w:vAlign w:val="center"/>
          </w:tcPr>
          <w:p w14:paraId="6E41D62E" w14:textId="77777777" w:rsidR="008C2C72" w:rsidRPr="00D6050D" w:rsidRDefault="008C2C72" w:rsidP="008C2C72">
            <w:pPr>
              <w:ind w:firstLine="6"/>
              <w:jc w:val="center"/>
              <w:rPr>
                <w:color w:val="000000"/>
              </w:rPr>
            </w:pPr>
            <w:r w:rsidRPr="00D6050D">
              <w:rPr>
                <w:color w:val="000000"/>
              </w:rPr>
              <w:t>10</w:t>
            </w:r>
          </w:p>
        </w:tc>
        <w:tc>
          <w:tcPr>
            <w:tcW w:w="3104" w:type="dxa"/>
            <w:vAlign w:val="center"/>
          </w:tcPr>
          <w:p w14:paraId="6EC29AF8" w14:textId="55CFC5BC" w:rsidR="008C2C72" w:rsidRPr="00535B9A" w:rsidRDefault="007A5DAC" w:rsidP="008C2C72">
            <w:pPr>
              <w:ind w:firstLine="6"/>
              <w:jc w:val="center"/>
            </w:pPr>
            <w:r>
              <w:t>95,8</w:t>
            </w:r>
          </w:p>
        </w:tc>
        <w:tc>
          <w:tcPr>
            <w:tcW w:w="2819" w:type="dxa"/>
          </w:tcPr>
          <w:p w14:paraId="3AC00A77" w14:textId="1A0213FD" w:rsidR="008C2C72" w:rsidRPr="00D6050D" w:rsidRDefault="007A5DAC" w:rsidP="008C2C72">
            <w:pPr>
              <w:ind w:firstLine="6"/>
              <w:jc w:val="center"/>
            </w:pPr>
            <w:r>
              <w:t>92,5</w:t>
            </w:r>
          </w:p>
        </w:tc>
      </w:tr>
      <w:tr w:rsidR="008C2C72" w:rsidRPr="00D6050D" w14:paraId="1E2B29D1" w14:textId="77777777" w:rsidTr="00D62B3D">
        <w:trPr>
          <w:trHeight w:val="20"/>
        </w:trPr>
        <w:tc>
          <w:tcPr>
            <w:tcW w:w="2471" w:type="dxa"/>
            <w:vMerge/>
            <w:vAlign w:val="center"/>
          </w:tcPr>
          <w:p w14:paraId="5ECF4E70" w14:textId="77777777" w:rsidR="008C2C72" w:rsidRPr="00D6050D" w:rsidRDefault="008C2C72" w:rsidP="008C2C72">
            <w:pPr>
              <w:ind w:firstLine="6"/>
              <w:jc w:val="center"/>
              <w:rPr>
                <w:color w:val="000000"/>
              </w:rPr>
            </w:pPr>
          </w:p>
        </w:tc>
        <w:tc>
          <w:tcPr>
            <w:tcW w:w="934" w:type="dxa"/>
            <w:vAlign w:val="center"/>
          </w:tcPr>
          <w:p w14:paraId="520102B7" w14:textId="77777777" w:rsidR="008C2C72" w:rsidRPr="00D6050D" w:rsidRDefault="008C2C72" w:rsidP="008C2C72">
            <w:pPr>
              <w:ind w:firstLine="6"/>
              <w:jc w:val="center"/>
              <w:rPr>
                <w:color w:val="000000"/>
              </w:rPr>
            </w:pPr>
            <w:r w:rsidRPr="00D6050D">
              <w:rPr>
                <w:color w:val="000000"/>
              </w:rPr>
              <w:t>15</w:t>
            </w:r>
          </w:p>
        </w:tc>
        <w:tc>
          <w:tcPr>
            <w:tcW w:w="3104" w:type="dxa"/>
            <w:vAlign w:val="center"/>
          </w:tcPr>
          <w:p w14:paraId="0BD21321" w14:textId="6B54AB98" w:rsidR="008C2C72" w:rsidRPr="00535B9A" w:rsidRDefault="007A5DAC" w:rsidP="008C2C72">
            <w:pPr>
              <w:ind w:firstLine="6"/>
              <w:jc w:val="center"/>
            </w:pPr>
            <w:r>
              <w:t>97,4</w:t>
            </w:r>
          </w:p>
        </w:tc>
        <w:tc>
          <w:tcPr>
            <w:tcW w:w="2819" w:type="dxa"/>
          </w:tcPr>
          <w:p w14:paraId="15349B01" w14:textId="43DA9F75" w:rsidR="008C2C72" w:rsidRPr="00D6050D" w:rsidRDefault="007A5DAC" w:rsidP="008C2C72">
            <w:pPr>
              <w:ind w:firstLine="6"/>
              <w:jc w:val="center"/>
            </w:pPr>
            <w:r>
              <w:t>95,0</w:t>
            </w:r>
          </w:p>
        </w:tc>
      </w:tr>
      <w:tr w:rsidR="008C2C72" w:rsidRPr="00D6050D" w14:paraId="03A20DD6" w14:textId="77777777" w:rsidTr="00D62B3D">
        <w:trPr>
          <w:trHeight w:val="20"/>
        </w:trPr>
        <w:tc>
          <w:tcPr>
            <w:tcW w:w="2471" w:type="dxa"/>
            <w:vMerge/>
            <w:vAlign w:val="center"/>
          </w:tcPr>
          <w:p w14:paraId="78EFF018" w14:textId="77777777" w:rsidR="008C2C72" w:rsidRPr="00D6050D" w:rsidRDefault="008C2C72" w:rsidP="008C2C72">
            <w:pPr>
              <w:ind w:firstLine="6"/>
              <w:jc w:val="center"/>
              <w:rPr>
                <w:color w:val="000000"/>
              </w:rPr>
            </w:pPr>
          </w:p>
        </w:tc>
        <w:tc>
          <w:tcPr>
            <w:tcW w:w="934" w:type="dxa"/>
            <w:vAlign w:val="center"/>
          </w:tcPr>
          <w:p w14:paraId="27DAB943" w14:textId="77777777" w:rsidR="008C2C72" w:rsidRPr="00D6050D" w:rsidRDefault="008C2C72" w:rsidP="008C2C72">
            <w:pPr>
              <w:ind w:firstLine="6"/>
              <w:jc w:val="center"/>
              <w:rPr>
                <w:color w:val="000000"/>
              </w:rPr>
            </w:pPr>
            <w:r w:rsidRPr="00D6050D">
              <w:rPr>
                <w:color w:val="000000"/>
              </w:rPr>
              <w:t>20</w:t>
            </w:r>
          </w:p>
        </w:tc>
        <w:tc>
          <w:tcPr>
            <w:tcW w:w="3104" w:type="dxa"/>
            <w:vAlign w:val="center"/>
          </w:tcPr>
          <w:p w14:paraId="0D021270" w14:textId="3A777A73" w:rsidR="008C2C72" w:rsidRPr="00535B9A" w:rsidRDefault="007A5DAC" w:rsidP="008C2C72">
            <w:pPr>
              <w:ind w:firstLine="6"/>
              <w:jc w:val="center"/>
            </w:pPr>
            <w:r>
              <w:t>100,2</w:t>
            </w:r>
          </w:p>
        </w:tc>
        <w:tc>
          <w:tcPr>
            <w:tcW w:w="2819" w:type="dxa"/>
          </w:tcPr>
          <w:p w14:paraId="238A1706" w14:textId="7606848E" w:rsidR="008C2C72" w:rsidRPr="00D6050D" w:rsidRDefault="007A5DAC" w:rsidP="008C2C72">
            <w:pPr>
              <w:ind w:firstLine="6"/>
              <w:jc w:val="center"/>
            </w:pPr>
            <w:r>
              <w:t>96,6</w:t>
            </w:r>
          </w:p>
        </w:tc>
      </w:tr>
      <w:tr w:rsidR="008C2C72" w:rsidRPr="00D6050D" w14:paraId="10A50EFE" w14:textId="77777777" w:rsidTr="00D62B3D">
        <w:trPr>
          <w:trHeight w:val="20"/>
        </w:trPr>
        <w:tc>
          <w:tcPr>
            <w:tcW w:w="2471" w:type="dxa"/>
            <w:vMerge/>
            <w:vAlign w:val="center"/>
          </w:tcPr>
          <w:p w14:paraId="7AF9773F" w14:textId="77777777" w:rsidR="008C2C72" w:rsidRPr="00D6050D" w:rsidRDefault="008C2C72" w:rsidP="008C2C72">
            <w:pPr>
              <w:ind w:firstLine="6"/>
              <w:jc w:val="center"/>
              <w:rPr>
                <w:color w:val="000000"/>
              </w:rPr>
            </w:pPr>
          </w:p>
        </w:tc>
        <w:tc>
          <w:tcPr>
            <w:tcW w:w="934" w:type="dxa"/>
            <w:vAlign w:val="center"/>
          </w:tcPr>
          <w:p w14:paraId="4F60A80B" w14:textId="77777777" w:rsidR="008C2C72" w:rsidRPr="00D6050D" w:rsidRDefault="008C2C72" w:rsidP="008C2C72">
            <w:pPr>
              <w:ind w:firstLine="6"/>
              <w:jc w:val="center"/>
              <w:rPr>
                <w:color w:val="000000"/>
              </w:rPr>
            </w:pPr>
            <w:r w:rsidRPr="00D6050D">
              <w:rPr>
                <w:color w:val="000000"/>
              </w:rPr>
              <w:t>30</w:t>
            </w:r>
          </w:p>
        </w:tc>
        <w:tc>
          <w:tcPr>
            <w:tcW w:w="3104" w:type="dxa"/>
            <w:vAlign w:val="center"/>
          </w:tcPr>
          <w:p w14:paraId="4A1B8716" w14:textId="75001B65" w:rsidR="008C2C72" w:rsidRPr="00535B9A" w:rsidRDefault="007A5DAC" w:rsidP="008C2C72">
            <w:pPr>
              <w:ind w:firstLine="6"/>
              <w:jc w:val="center"/>
            </w:pPr>
            <w:r>
              <w:t>100,9</w:t>
            </w:r>
          </w:p>
        </w:tc>
        <w:tc>
          <w:tcPr>
            <w:tcW w:w="2819" w:type="dxa"/>
          </w:tcPr>
          <w:p w14:paraId="1D1A2FB6" w14:textId="227CAB57" w:rsidR="008C2C72" w:rsidRPr="00D6050D" w:rsidRDefault="007A5DAC" w:rsidP="008C2C72">
            <w:pPr>
              <w:ind w:firstLine="6"/>
              <w:jc w:val="center"/>
            </w:pPr>
            <w:r>
              <w:t>99,5</w:t>
            </w:r>
          </w:p>
        </w:tc>
      </w:tr>
      <w:tr w:rsidR="008C2C72" w:rsidRPr="00D6050D" w14:paraId="2F809ABB" w14:textId="77777777" w:rsidTr="00D62B3D">
        <w:trPr>
          <w:trHeight w:val="20"/>
        </w:trPr>
        <w:tc>
          <w:tcPr>
            <w:tcW w:w="2471" w:type="dxa"/>
            <w:vMerge/>
            <w:vAlign w:val="center"/>
          </w:tcPr>
          <w:p w14:paraId="273CF0C1" w14:textId="77777777" w:rsidR="008C2C72" w:rsidRPr="00D6050D" w:rsidRDefault="008C2C72" w:rsidP="008C2C72">
            <w:pPr>
              <w:ind w:firstLine="6"/>
              <w:jc w:val="center"/>
              <w:rPr>
                <w:color w:val="000000"/>
              </w:rPr>
            </w:pPr>
          </w:p>
        </w:tc>
        <w:tc>
          <w:tcPr>
            <w:tcW w:w="934" w:type="dxa"/>
            <w:vAlign w:val="center"/>
          </w:tcPr>
          <w:p w14:paraId="67ECE4B7" w14:textId="77777777" w:rsidR="008C2C72" w:rsidRPr="00D6050D" w:rsidRDefault="008C2C72" w:rsidP="008C2C72">
            <w:pPr>
              <w:ind w:firstLine="6"/>
              <w:jc w:val="center"/>
              <w:rPr>
                <w:color w:val="000000"/>
              </w:rPr>
            </w:pPr>
            <w:r w:rsidRPr="00D6050D">
              <w:rPr>
                <w:color w:val="000000"/>
              </w:rPr>
              <w:t>45</w:t>
            </w:r>
          </w:p>
        </w:tc>
        <w:tc>
          <w:tcPr>
            <w:tcW w:w="3104" w:type="dxa"/>
            <w:vAlign w:val="center"/>
          </w:tcPr>
          <w:p w14:paraId="060F4110" w14:textId="70CCBE7A" w:rsidR="008C2C72" w:rsidRPr="00535B9A" w:rsidRDefault="007A5DAC" w:rsidP="008C2C72">
            <w:pPr>
              <w:ind w:firstLine="6"/>
              <w:jc w:val="center"/>
            </w:pPr>
            <w:r>
              <w:t>101,3</w:t>
            </w:r>
          </w:p>
        </w:tc>
        <w:tc>
          <w:tcPr>
            <w:tcW w:w="2819" w:type="dxa"/>
          </w:tcPr>
          <w:p w14:paraId="123FAA9A" w14:textId="6D7FA2B5" w:rsidR="008C2C72" w:rsidRPr="00D6050D" w:rsidRDefault="007A5DAC" w:rsidP="008C2C72">
            <w:pPr>
              <w:ind w:firstLine="6"/>
              <w:jc w:val="center"/>
            </w:pPr>
            <w:r>
              <w:t>100,8</w:t>
            </w:r>
          </w:p>
        </w:tc>
      </w:tr>
      <w:tr w:rsidR="008C2C72" w:rsidRPr="00535B9A" w14:paraId="7CECA98C" w14:textId="77777777" w:rsidTr="00D62B3D">
        <w:trPr>
          <w:trHeight w:val="20"/>
        </w:trPr>
        <w:tc>
          <w:tcPr>
            <w:tcW w:w="3405" w:type="dxa"/>
            <w:gridSpan w:val="2"/>
            <w:vAlign w:val="center"/>
          </w:tcPr>
          <w:p w14:paraId="73BCC807" w14:textId="77777777" w:rsidR="008C2C72" w:rsidRPr="00D6050D" w:rsidRDefault="008C2C72" w:rsidP="008C2C72">
            <w:pPr>
              <w:ind w:firstLine="6"/>
              <w:jc w:val="right"/>
              <w:rPr>
                <w:b/>
                <w:i/>
                <w:color w:val="000000"/>
              </w:rPr>
            </w:pPr>
            <w:r w:rsidRPr="00D6050D">
              <w:rPr>
                <w:b/>
                <w:i/>
                <w:color w:val="000000"/>
              </w:rPr>
              <w:t>фактор подобия f2</w:t>
            </w:r>
          </w:p>
        </w:tc>
        <w:tc>
          <w:tcPr>
            <w:tcW w:w="5923" w:type="dxa"/>
            <w:gridSpan w:val="2"/>
            <w:vAlign w:val="center"/>
          </w:tcPr>
          <w:p w14:paraId="2C52BB6A" w14:textId="77777777" w:rsidR="008C2C72" w:rsidRPr="00535B9A" w:rsidRDefault="008C2C72" w:rsidP="008C2C72">
            <w:pPr>
              <w:ind w:firstLine="6"/>
              <w:jc w:val="center"/>
              <w:rPr>
                <w:b/>
              </w:rPr>
            </w:pPr>
            <w:r>
              <w:rPr>
                <w:b/>
              </w:rPr>
              <w:t>эквивалентно</w:t>
            </w:r>
            <w:r w:rsidRPr="00535B9A">
              <w:rPr>
                <w:b/>
              </w:rPr>
              <w:t xml:space="preserve"> без математической </w:t>
            </w:r>
            <w:r>
              <w:rPr>
                <w:b/>
              </w:rPr>
              <w:t>оценки</w:t>
            </w:r>
          </w:p>
        </w:tc>
      </w:tr>
    </w:tbl>
    <w:p w14:paraId="0D5DA559" w14:textId="77777777" w:rsidR="008C2C72" w:rsidRDefault="008C2C72" w:rsidP="00155BAA">
      <w:pPr>
        <w:spacing w:after="0"/>
        <w:ind w:firstLine="0"/>
        <w:rPr>
          <w:color w:val="000000" w:themeColor="text1"/>
        </w:rPr>
      </w:pPr>
    </w:p>
    <w:p w14:paraId="5BB15A74" w14:textId="756EF15D" w:rsidR="007A5DAC" w:rsidRDefault="00815B74" w:rsidP="00D62B3D">
      <w:pPr>
        <w:pStyle w:val="SDText"/>
        <w:spacing w:after="0"/>
        <w:ind w:firstLine="0"/>
      </w:pPr>
      <w:bookmarkStart w:id="65" w:name="_Ref121139389"/>
      <w:r w:rsidRPr="00815B74">
        <w:rPr>
          <w:b/>
          <w:bCs/>
        </w:rPr>
        <w:t xml:space="preserve">Рисунок </w:t>
      </w:r>
      <w:r w:rsidR="001A5232">
        <w:rPr>
          <w:b/>
          <w:bCs/>
        </w:rPr>
        <w:fldChar w:fldCharType="begin"/>
      </w:r>
      <w:r w:rsidR="001A5232">
        <w:rPr>
          <w:b/>
          <w:bCs/>
        </w:rPr>
        <w:instrText xml:space="preserve"> STYLEREF 1 \s </w:instrText>
      </w:r>
      <w:r w:rsidR="001A5232">
        <w:rPr>
          <w:b/>
          <w:bCs/>
        </w:rPr>
        <w:fldChar w:fldCharType="separate"/>
      </w:r>
      <w:r w:rsidR="00383E6F">
        <w:rPr>
          <w:b/>
          <w:bCs/>
          <w:noProof/>
        </w:rPr>
        <w:t>2</w:t>
      </w:r>
      <w:r w:rsidR="001A5232">
        <w:rPr>
          <w:b/>
          <w:bCs/>
        </w:rPr>
        <w:fldChar w:fldCharType="end"/>
      </w:r>
      <w:r w:rsidR="001A5232">
        <w:rPr>
          <w:b/>
          <w:bCs/>
        </w:rPr>
        <w:noBreakHyphen/>
      </w:r>
      <w:r w:rsidR="001A5232">
        <w:rPr>
          <w:b/>
          <w:bCs/>
        </w:rPr>
        <w:fldChar w:fldCharType="begin"/>
      </w:r>
      <w:r w:rsidR="001A5232">
        <w:rPr>
          <w:b/>
          <w:bCs/>
        </w:rPr>
        <w:instrText xml:space="preserve"> SEQ Рисунок \* ARABIC \s 1 </w:instrText>
      </w:r>
      <w:r w:rsidR="001A5232">
        <w:rPr>
          <w:b/>
          <w:bCs/>
        </w:rPr>
        <w:fldChar w:fldCharType="separate"/>
      </w:r>
      <w:r w:rsidR="00383E6F">
        <w:rPr>
          <w:b/>
          <w:bCs/>
          <w:noProof/>
        </w:rPr>
        <w:t>2</w:t>
      </w:r>
      <w:r w:rsidR="001A5232">
        <w:rPr>
          <w:b/>
          <w:bCs/>
        </w:rPr>
        <w:fldChar w:fldCharType="end"/>
      </w:r>
      <w:bookmarkEnd w:id="65"/>
      <w:r w:rsidRPr="00815B74">
        <w:rPr>
          <w:b/>
          <w:bCs/>
        </w:rPr>
        <w:t>.</w:t>
      </w:r>
      <w:r>
        <w:t xml:space="preserve"> </w:t>
      </w:r>
      <w:r w:rsidR="007A5DAC" w:rsidRPr="00D6050D">
        <w:t xml:space="preserve">Усредненные профили высвобождения </w:t>
      </w:r>
      <w:r w:rsidR="004A6A67">
        <w:t>действующего вещества</w:t>
      </w:r>
      <w:r w:rsidR="007A5DAC" w:rsidRPr="00D6050D">
        <w:t xml:space="preserve"> из препаратов </w:t>
      </w:r>
      <w:r w:rsidR="007A5DAC" w:rsidRPr="008F1926">
        <w:rPr>
          <w:lang w:val="en-US" w:eastAsia="ru-RU"/>
        </w:rPr>
        <w:t>D</w:t>
      </w:r>
      <w:r w:rsidR="007A5DAC" w:rsidRPr="008F1926">
        <w:rPr>
          <w:lang w:eastAsia="ru-RU"/>
        </w:rPr>
        <w:t>T-</w:t>
      </w:r>
      <w:r w:rsidR="007A5DAC">
        <w:rPr>
          <w:rFonts w:eastAsia="MS Mincho"/>
          <w:szCs w:val="24"/>
          <w:lang w:val="en-US" w:eastAsia="ru-RU"/>
        </w:rPr>
        <w:t>TFC</w:t>
      </w:r>
      <w:r w:rsidR="007A5DAC" w:rsidRPr="00D6050D">
        <w:rPr>
          <w:color w:val="000000" w:themeColor="text1"/>
        </w:rPr>
        <w:t xml:space="preserve"> и </w:t>
      </w:r>
      <w:r w:rsidR="007A5DAC">
        <w:rPr>
          <w:color w:val="000000" w:themeColor="text1"/>
        </w:rPr>
        <w:t>Яквинус</w:t>
      </w:r>
      <w:r w:rsidR="007A5DAC" w:rsidRPr="008A69D9">
        <w:rPr>
          <w:color w:val="000000" w:themeColor="text1"/>
          <w:vertAlign w:val="superscript"/>
        </w:rPr>
        <w:t>®</w:t>
      </w:r>
      <w:r w:rsidR="007A5DAC" w:rsidRPr="008A69D9">
        <w:rPr>
          <w:color w:val="000000" w:themeColor="text1"/>
        </w:rPr>
        <w:t xml:space="preserve"> </w:t>
      </w:r>
      <w:r w:rsidR="007A5DAC" w:rsidRPr="00D6050D">
        <w:rPr>
          <w:color w:val="000000" w:themeColor="text1"/>
        </w:rPr>
        <w:t>в дозировке</w:t>
      </w:r>
      <w:r w:rsidR="007A5DAC">
        <w:rPr>
          <w:color w:val="000000" w:themeColor="text1"/>
        </w:rPr>
        <w:t xml:space="preserve"> 1</w:t>
      </w:r>
      <w:r w:rsidR="007A5DAC" w:rsidRPr="008F1926">
        <w:rPr>
          <w:color w:val="000000" w:themeColor="text1"/>
        </w:rPr>
        <w:t>0</w:t>
      </w:r>
      <w:r w:rsidR="007A5DAC">
        <w:rPr>
          <w:color w:val="000000" w:themeColor="text1"/>
        </w:rPr>
        <w:t xml:space="preserve"> мг</w:t>
      </w:r>
      <w:r w:rsidR="007A5DAC" w:rsidRPr="00D6050D">
        <w:rPr>
          <w:color w:val="000000" w:themeColor="text1"/>
        </w:rPr>
        <w:t xml:space="preserve"> </w:t>
      </w:r>
      <w:r w:rsidR="007A5DAC" w:rsidRPr="00D6050D">
        <w:t xml:space="preserve">в </w:t>
      </w:r>
      <w:r w:rsidR="007A5DAC" w:rsidRPr="00051324">
        <w:rPr>
          <w:color w:val="000000" w:themeColor="text1"/>
        </w:rPr>
        <w:t>0</w:t>
      </w:r>
      <w:r w:rsidR="007A5DAC">
        <w:rPr>
          <w:color w:val="000000" w:themeColor="text1"/>
        </w:rPr>
        <w:t>,1 М хлороводородной кислоте</w:t>
      </w:r>
      <w:r w:rsidR="007A5DAC" w:rsidRPr="00D6050D">
        <w:t>.</w:t>
      </w:r>
    </w:p>
    <w:p w14:paraId="371D885A" w14:textId="54E15902" w:rsidR="007A5DAC" w:rsidRDefault="007A5DAC" w:rsidP="007A5DAC">
      <w:pPr>
        <w:spacing w:after="0"/>
        <w:ind w:firstLine="0"/>
      </w:pPr>
      <w:r>
        <w:rPr>
          <w:noProof/>
          <w:lang w:eastAsia="ru-RU"/>
        </w:rPr>
        <w:drawing>
          <wp:inline distT="0" distB="0" distL="0" distR="0" wp14:anchorId="642076FE" wp14:editId="4F164A98">
            <wp:extent cx="5939790" cy="2458528"/>
            <wp:effectExtent l="0" t="0" r="3810" b="1841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9E8E78" w14:textId="4D6A2534" w:rsidR="007A5DAC" w:rsidRDefault="00815B74" w:rsidP="00D62B3D">
      <w:pPr>
        <w:pStyle w:val="SDText"/>
        <w:spacing w:after="0"/>
        <w:ind w:firstLine="0"/>
      </w:pPr>
      <w:bookmarkStart w:id="66" w:name="_Ref121139418"/>
      <w:r w:rsidRPr="00815B74">
        <w:rPr>
          <w:b/>
          <w:bCs/>
        </w:rPr>
        <w:lastRenderedPageBreak/>
        <w:t xml:space="preserve">Рисунок </w:t>
      </w:r>
      <w:r w:rsidR="001A5232">
        <w:rPr>
          <w:b/>
          <w:bCs/>
        </w:rPr>
        <w:fldChar w:fldCharType="begin"/>
      </w:r>
      <w:r w:rsidR="001A5232">
        <w:rPr>
          <w:b/>
          <w:bCs/>
        </w:rPr>
        <w:instrText xml:space="preserve"> STYLEREF 1 \s </w:instrText>
      </w:r>
      <w:r w:rsidR="001A5232">
        <w:rPr>
          <w:b/>
          <w:bCs/>
        </w:rPr>
        <w:fldChar w:fldCharType="separate"/>
      </w:r>
      <w:r w:rsidR="00383E6F">
        <w:rPr>
          <w:b/>
          <w:bCs/>
          <w:noProof/>
        </w:rPr>
        <w:t>2</w:t>
      </w:r>
      <w:r w:rsidR="001A5232">
        <w:rPr>
          <w:b/>
          <w:bCs/>
        </w:rPr>
        <w:fldChar w:fldCharType="end"/>
      </w:r>
      <w:r w:rsidR="001A5232">
        <w:rPr>
          <w:b/>
          <w:bCs/>
        </w:rPr>
        <w:noBreakHyphen/>
      </w:r>
      <w:r w:rsidR="001A5232">
        <w:rPr>
          <w:b/>
          <w:bCs/>
        </w:rPr>
        <w:fldChar w:fldCharType="begin"/>
      </w:r>
      <w:r w:rsidR="001A5232">
        <w:rPr>
          <w:b/>
          <w:bCs/>
        </w:rPr>
        <w:instrText xml:space="preserve"> SEQ Рисунок \* ARABIC \s 1 </w:instrText>
      </w:r>
      <w:r w:rsidR="001A5232">
        <w:rPr>
          <w:b/>
          <w:bCs/>
        </w:rPr>
        <w:fldChar w:fldCharType="separate"/>
      </w:r>
      <w:r w:rsidR="00383E6F">
        <w:rPr>
          <w:b/>
          <w:bCs/>
          <w:noProof/>
        </w:rPr>
        <w:t>3</w:t>
      </w:r>
      <w:r w:rsidR="001A5232">
        <w:rPr>
          <w:b/>
          <w:bCs/>
        </w:rPr>
        <w:fldChar w:fldCharType="end"/>
      </w:r>
      <w:bookmarkEnd w:id="66"/>
      <w:r w:rsidRPr="00815B74">
        <w:rPr>
          <w:b/>
          <w:bCs/>
        </w:rPr>
        <w:t>.</w:t>
      </w:r>
      <w:r>
        <w:t xml:space="preserve"> </w:t>
      </w:r>
      <w:r w:rsidR="007A5DAC" w:rsidRPr="00D6050D">
        <w:t xml:space="preserve">Усредненные профили высвобождения </w:t>
      </w:r>
      <w:r w:rsidR="004A6A67">
        <w:t>действующего вещества</w:t>
      </w:r>
      <w:r w:rsidR="007A5DAC" w:rsidRPr="00D6050D">
        <w:t xml:space="preserve"> из препаратов </w:t>
      </w:r>
      <w:r w:rsidR="007A5DAC" w:rsidRPr="008F1926">
        <w:rPr>
          <w:lang w:val="en-US"/>
        </w:rPr>
        <w:t>D</w:t>
      </w:r>
      <w:r w:rsidR="007A5DAC" w:rsidRPr="008F1926">
        <w:t>T-</w:t>
      </w:r>
      <w:r w:rsidR="007A5DAC">
        <w:rPr>
          <w:rFonts w:eastAsia="MS Mincho"/>
          <w:lang w:val="en-US"/>
        </w:rPr>
        <w:t>TFC</w:t>
      </w:r>
      <w:r w:rsidR="007A5DAC" w:rsidRPr="00D6050D">
        <w:rPr>
          <w:color w:val="000000" w:themeColor="text1"/>
        </w:rPr>
        <w:t xml:space="preserve"> и </w:t>
      </w:r>
      <w:r w:rsidR="007A5DAC">
        <w:rPr>
          <w:color w:val="000000" w:themeColor="text1"/>
        </w:rPr>
        <w:t>Яквинус</w:t>
      </w:r>
      <w:r w:rsidR="007A5DAC" w:rsidRPr="008A69D9">
        <w:rPr>
          <w:color w:val="000000" w:themeColor="text1"/>
          <w:vertAlign w:val="superscript"/>
        </w:rPr>
        <w:t>®</w:t>
      </w:r>
      <w:r w:rsidR="007A5DAC" w:rsidRPr="008A69D9">
        <w:rPr>
          <w:color w:val="000000" w:themeColor="text1"/>
        </w:rPr>
        <w:t xml:space="preserve"> </w:t>
      </w:r>
      <w:r w:rsidR="007A5DAC" w:rsidRPr="00D6050D">
        <w:rPr>
          <w:color w:val="000000" w:themeColor="text1"/>
        </w:rPr>
        <w:t>в дозировке</w:t>
      </w:r>
      <w:r w:rsidR="007A5DAC">
        <w:rPr>
          <w:color w:val="000000" w:themeColor="text1"/>
        </w:rPr>
        <w:t xml:space="preserve"> 1</w:t>
      </w:r>
      <w:r w:rsidR="007A5DAC" w:rsidRPr="008F1926">
        <w:rPr>
          <w:color w:val="000000" w:themeColor="text1"/>
        </w:rPr>
        <w:t>0</w:t>
      </w:r>
      <w:r w:rsidR="007A5DAC">
        <w:rPr>
          <w:color w:val="000000" w:themeColor="text1"/>
        </w:rPr>
        <w:t xml:space="preserve"> мг</w:t>
      </w:r>
      <w:r w:rsidR="007A5DAC" w:rsidRPr="00D6050D">
        <w:rPr>
          <w:color w:val="000000" w:themeColor="text1"/>
        </w:rPr>
        <w:t xml:space="preserve"> </w:t>
      </w:r>
      <w:r w:rsidR="007A5DAC" w:rsidRPr="00D6050D">
        <w:t>в ацетатном буферном растворе рН 4,5.</w:t>
      </w:r>
    </w:p>
    <w:p w14:paraId="74ECAC15" w14:textId="1D0068B2" w:rsidR="007A5DAC" w:rsidRDefault="007A5DAC" w:rsidP="007A5DAC">
      <w:pPr>
        <w:pStyle w:val="Default"/>
        <w:jc w:val="both"/>
      </w:pPr>
      <w:r>
        <w:rPr>
          <w:noProof/>
        </w:rPr>
        <w:drawing>
          <wp:inline distT="0" distB="0" distL="0" distR="0" wp14:anchorId="33BD31A8" wp14:editId="7D7EC437">
            <wp:extent cx="5939790" cy="2570672"/>
            <wp:effectExtent l="0" t="0" r="3810" b="12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6D4B96" w14:textId="77777777" w:rsidR="00C2295D" w:rsidRDefault="00C2295D" w:rsidP="007A5DAC">
      <w:pPr>
        <w:pStyle w:val="Default"/>
        <w:jc w:val="both"/>
        <w:rPr>
          <w:b/>
        </w:rPr>
      </w:pPr>
    </w:p>
    <w:p w14:paraId="42223044" w14:textId="14A4B532" w:rsidR="007A5DAC" w:rsidRDefault="00815B74" w:rsidP="00495A04">
      <w:pPr>
        <w:pStyle w:val="SDText"/>
        <w:spacing w:after="0"/>
        <w:ind w:firstLine="0"/>
      </w:pPr>
      <w:bookmarkStart w:id="67" w:name="_Ref121139426"/>
      <w:r w:rsidRPr="00815B74">
        <w:rPr>
          <w:b/>
          <w:bCs/>
        </w:rPr>
        <w:t xml:space="preserve">Рисунок </w:t>
      </w:r>
      <w:r w:rsidR="001A5232">
        <w:rPr>
          <w:b/>
          <w:bCs/>
        </w:rPr>
        <w:fldChar w:fldCharType="begin"/>
      </w:r>
      <w:r w:rsidR="001A5232">
        <w:rPr>
          <w:b/>
          <w:bCs/>
        </w:rPr>
        <w:instrText xml:space="preserve"> STYLEREF 1 \s </w:instrText>
      </w:r>
      <w:r w:rsidR="001A5232">
        <w:rPr>
          <w:b/>
          <w:bCs/>
        </w:rPr>
        <w:fldChar w:fldCharType="separate"/>
      </w:r>
      <w:r w:rsidR="00383E6F">
        <w:rPr>
          <w:b/>
          <w:bCs/>
          <w:noProof/>
        </w:rPr>
        <w:t>2</w:t>
      </w:r>
      <w:r w:rsidR="001A5232">
        <w:rPr>
          <w:b/>
          <w:bCs/>
        </w:rPr>
        <w:fldChar w:fldCharType="end"/>
      </w:r>
      <w:r w:rsidR="001A5232">
        <w:rPr>
          <w:b/>
          <w:bCs/>
        </w:rPr>
        <w:noBreakHyphen/>
      </w:r>
      <w:r w:rsidR="001A5232">
        <w:rPr>
          <w:b/>
          <w:bCs/>
        </w:rPr>
        <w:fldChar w:fldCharType="begin"/>
      </w:r>
      <w:r w:rsidR="001A5232">
        <w:rPr>
          <w:b/>
          <w:bCs/>
        </w:rPr>
        <w:instrText xml:space="preserve"> SEQ Рисунок \* ARABIC \s 1 </w:instrText>
      </w:r>
      <w:r w:rsidR="001A5232">
        <w:rPr>
          <w:b/>
          <w:bCs/>
        </w:rPr>
        <w:fldChar w:fldCharType="separate"/>
      </w:r>
      <w:r w:rsidR="00383E6F">
        <w:rPr>
          <w:b/>
          <w:bCs/>
          <w:noProof/>
        </w:rPr>
        <w:t>4</w:t>
      </w:r>
      <w:r w:rsidR="001A5232">
        <w:rPr>
          <w:b/>
          <w:bCs/>
        </w:rPr>
        <w:fldChar w:fldCharType="end"/>
      </w:r>
      <w:bookmarkEnd w:id="67"/>
      <w:r w:rsidRPr="00815B74">
        <w:rPr>
          <w:b/>
          <w:bCs/>
        </w:rPr>
        <w:t>.</w:t>
      </w:r>
      <w:r>
        <w:t xml:space="preserve"> </w:t>
      </w:r>
      <w:r w:rsidR="007A5DAC" w:rsidRPr="00D6050D">
        <w:t xml:space="preserve">Усредненные профили высвобождения </w:t>
      </w:r>
      <w:r w:rsidR="004A6A67">
        <w:t>действующего вещества</w:t>
      </w:r>
      <w:r w:rsidR="007A5DAC" w:rsidRPr="00D6050D">
        <w:t xml:space="preserve"> из препаратов </w:t>
      </w:r>
      <w:r w:rsidR="007A5DAC" w:rsidRPr="008F1926">
        <w:rPr>
          <w:lang w:val="en-US"/>
        </w:rPr>
        <w:t>D</w:t>
      </w:r>
      <w:r w:rsidR="007A5DAC" w:rsidRPr="008F1926">
        <w:t>T-</w:t>
      </w:r>
      <w:r w:rsidR="007A5DAC">
        <w:rPr>
          <w:rFonts w:eastAsia="MS Mincho"/>
          <w:lang w:val="en-US"/>
        </w:rPr>
        <w:t>TFC</w:t>
      </w:r>
      <w:r w:rsidR="007A5DAC" w:rsidRPr="00D6050D">
        <w:rPr>
          <w:color w:val="000000" w:themeColor="text1"/>
        </w:rPr>
        <w:t xml:space="preserve"> и </w:t>
      </w:r>
      <w:r w:rsidR="007A5DAC">
        <w:rPr>
          <w:color w:val="000000" w:themeColor="text1"/>
        </w:rPr>
        <w:t>Яквинус</w:t>
      </w:r>
      <w:r w:rsidR="007A5DAC" w:rsidRPr="008A69D9">
        <w:rPr>
          <w:color w:val="000000" w:themeColor="text1"/>
          <w:vertAlign w:val="superscript"/>
        </w:rPr>
        <w:t>®</w:t>
      </w:r>
      <w:r w:rsidR="007A5DAC" w:rsidRPr="008A69D9">
        <w:rPr>
          <w:color w:val="000000" w:themeColor="text1"/>
        </w:rPr>
        <w:t xml:space="preserve"> </w:t>
      </w:r>
      <w:r w:rsidR="007A5DAC" w:rsidRPr="00D6050D">
        <w:rPr>
          <w:color w:val="000000" w:themeColor="text1"/>
        </w:rPr>
        <w:t>в дозировке</w:t>
      </w:r>
      <w:r w:rsidR="007A5DAC">
        <w:rPr>
          <w:color w:val="000000" w:themeColor="text1"/>
        </w:rPr>
        <w:t xml:space="preserve"> 1</w:t>
      </w:r>
      <w:r w:rsidR="007A5DAC" w:rsidRPr="008F1926">
        <w:rPr>
          <w:color w:val="000000" w:themeColor="text1"/>
        </w:rPr>
        <w:t>0</w:t>
      </w:r>
      <w:r w:rsidR="007A5DAC">
        <w:rPr>
          <w:color w:val="000000" w:themeColor="text1"/>
        </w:rPr>
        <w:t xml:space="preserve"> мг</w:t>
      </w:r>
      <w:r w:rsidR="007A5DAC" w:rsidRPr="00D6050D">
        <w:rPr>
          <w:color w:val="000000" w:themeColor="text1"/>
        </w:rPr>
        <w:t xml:space="preserve"> </w:t>
      </w:r>
      <w:r w:rsidR="007A5DAC" w:rsidRPr="00D6050D">
        <w:t>в фосфатном буферном растворе рН 6,8.</w:t>
      </w:r>
    </w:p>
    <w:p w14:paraId="39F52111" w14:textId="4610968D" w:rsidR="007A5DAC" w:rsidRDefault="007A5DAC" w:rsidP="007A5DAC">
      <w:pPr>
        <w:pStyle w:val="Default"/>
        <w:jc w:val="both"/>
      </w:pPr>
      <w:r>
        <w:rPr>
          <w:noProof/>
        </w:rPr>
        <w:drawing>
          <wp:inline distT="0" distB="0" distL="0" distR="0" wp14:anchorId="056C6D4D" wp14:editId="44D47F12">
            <wp:extent cx="5939790" cy="2355011"/>
            <wp:effectExtent l="0" t="0" r="3810" b="762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151C08" w14:textId="77777777" w:rsidR="007A5DAC" w:rsidRDefault="007A5DAC" w:rsidP="00046AD0">
      <w:pPr>
        <w:spacing w:after="0"/>
        <w:ind w:firstLine="0"/>
        <w:rPr>
          <w:color w:val="000000" w:themeColor="text1"/>
        </w:rPr>
      </w:pPr>
    </w:p>
    <w:p w14:paraId="13726D93" w14:textId="324E7F60" w:rsidR="00155BAA" w:rsidRPr="00294C0B" w:rsidRDefault="007A5DAC" w:rsidP="00046AD0">
      <w:pPr>
        <w:spacing w:after="0"/>
        <w:rPr>
          <w:color w:val="000000" w:themeColor="text1"/>
        </w:rPr>
      </w:pPr>
      <w:r w:rsidRPr="008A69D9">
        <w:rPr>
          <w:lang w:eastAsia="ru-RU" w:bidi="ru-RU"/>
        </w:rPr>
        <w:t xml:space="preserve">Таким образом, по результатам проведения ТСКР препаратов </w:t>
      </w:r>
      <w:r w:rsidR="00294C0B" w:rsidRPr="008F1926">
        <w:rPr>
          <w:lang w:val="en-US" w:eastAsia="ru-RU"/>
        </w:rPr>
        <w:t>D</w:t>
      </w:r>
      <w:r w:rsidR="00294C0B" w:rsidRPr="008F1926">
        <w:rPr>
          <w:lang w:eastAsia="ru-RU"/>
        </w:rPr>
        <w:t>T-</w:t>
      </w:r>
      <w:r w:rsidR="00294C0B">
        <w:rPr>
          <w:rFonts w:eastAsia="MS Mincho"/>
          <w:szCs w:val="24"/>
          <w:lang w:val="en-US" w:eastAsia="ru-RU"/>
        </w:rPr>
        <w:t>TFC</w:t>
      </w:r>
      <w:r w:rsidR="00294C0B">
        <w:rPr>
          <w:rFonts w:eastAsia="MS Mincho"/>
          <w:szCs w:val="24"/>
          <w:lang w:eastAsia="ru-RU"/>
        </w:rPr>
        <w:t xml:space="preserve"> (АО «Р-фарм», Россия)</w:t>
      </w:r>
      <w:r w:rsidR="00294C0B" w:rsidRPr="008F1926">
        <w:rPr>
          <w:lang w:eastAsia="ru-RU"/>
        </w:rPr>
        <w:t xml:space="preserve"> </w:t>
      </w:r>
      <w:r w:rsidRPr="008F1926">
        <w:rPr>
          <w:lang w:eastAsia="ru-RU" w:bidi="ru-RU"/>
        </w:rPr>
        <w:t xml:space="preserve">и </w:t>
      </w:r>
      <w:r w:rsidR="00294C0B">
        <w:rPr>
          <w:rFonts w:eastAsia="MS Mincho"/>
          <w:szCs w:val="24"/>
          <w:lang w:eastAsia="ru-RU"/>
        </w:rPr>
        <w:t>Яквинус</w:t>
      </w:r>
      <w:r w:rsidR="00294C0B" w:rsidRPr="00D67EF0">
        <w:rPr>
          <w:rFonts w:eastAsia="MS Mincho"/>
          <w:szCs w:val="24"/>
          <w:vertAlign w:val="superscript"/>
          <w:lang w:eastAsia="ru-RU"/>
        </w:rPr>
        <w:t>®</w:t>
      </w:r>
      <w:r w:rsidR="00294C0B">
        <w:rPr>
          <w:lang w:eastAsia="ru-RU"/>
        </w:rPr>
        <w:t xml:space="preserve"> (</w:t>
      </w:r>
      <w:r w:rsidR="00294C0B" w:rsidRPr="00005F66">
        <w:rPr>
          <w:rFonts w:eastAsia="MS Mincho"/>
          <w:szCs w:val="24"/>
          <w:lang w:eastAsia="ru-RU"/>
        </w:rPr>
        <w:t>Пфайзер Инк, США</w:t>
      </w:r>
      <w:r w:rsidR="00294C0B">
        <w:rPr>
          <w:lang w:eastAsia="ru-RU"/>
        </w:rPr>
        <w:t xml:space="preserve">) </w:t>
      </w:r>
      <w:r w:rsidR="00294C0B">
        <w:rPr>
          <w:color w:val="000000" w:themeColor="text1"/>
        </w:rPr>
        <w:t>в дозировке 1</w:t>
      </w:r>
      <w:r w:rsidRPr="008F1926">
        <w:rPr>
          <w:color w:val="000000" w:themeColor="text1"/>
        </w:rPr>
        <w:t xml:space="preserve">0 </w:t>
      </w:r>
      <w:r w:rsidRPr="00294C0B">
        <w:rPr>
          <w:color w:val="000000" w:themeColor="text1"/>
        </w:rPr>
        <w:t>мг показана эквива</w:t>
      </w:r>
      <w:r w:rsidR="00294C0B" w:rsidRPr="00294C0B">
        <w:rPr>
          <w:color w:val="000000" w:themeColor="text1"/>
        </w:rPr>
        <w:t>лентность растворения для всех 3</w:t>
      </w:r>
      <w:r w:rsidRPr="00294C0B">
        <w:rPr>
          <w:color w:val="000000" w:themeColor="text1"/>
        </w:rPr>
        <w:t>-х сред растворения, что подтверждает эквивалентную кинетику растворения препаратов и позволяет предполагать также эквивалентность фармакологических свойств препаратов.</w:t>
      </w:r>
    </w:p>
    <w:p w14:paraId="1D05D15F" w14:textId="77777777" w:rsidR="00E70967" w:rsidRPr="00DA4C45" w:rsidRDefault="00E70967" w:rsidP="00046AD0">
      <w:pPr>
        <w:pStyle w:val="SDText"/>
        <w:spacing w:after="0"/>
        <w:contextualSpacing/>
        <w:rPr>
          <w:szCs w:val="24"/>
        </w:rPr>
      </w:pPr>
    </w:p>
    <w:p w14:paraId="08794F29" w14:textId="25C42773" w:rsidR="00294C0B" w:rsidRDefault="00495A04" w:rsidP="00495A04">
      <w:pPr>
        <w:pStyle w:val="3"/>
        <w:numPr>
          <w:ilvl w:val="0"/>
          <w:numId w:val="0"/>
        </w:numPr>
        <w:ind w:left="720" w:hanging="720"/>
      </w:pPr>
      <w:bookmarkStart w:id="68" w:name="_Toc115421022"/>
      <w:bookmarkStart w:id="69" w:name="_Toc121592553"/>
      <w:r>
        <w:t xml:space="preserve">2.2.4. </w:t>
      </w:r>
      <w:r w:rsidR="00E70967" w:rsidRPr="00DA4C45">
        <w:t>Форма выпуска</w:t>
      </w:r>
      <w:bookmarkEnd w:id="68"/>
      <w:bookmarkEnd w:id="69"/>
    </w:p>
    <w:p w14:paraId="592F1651" w14:textId="77777777" w:rsidR="00DE11C7" w:rsidRDefault="00DE11C7" w:rsidP="00046AD0">
      <w:pPr>
        <w:spacing w:after="0"/>
        <w:contextualSpacing/>
      </w:pPr>
    </w:p>
    <w:p w14:paraId="5A889677" w14:textId="5ACCAAE1" w:rsidR="00294C0B" w:rsidRPr="008F1926" w:rsidRDefault="00294C0B" w:rsidP="00046AD0">
      <w:pPr>
        <w:spacing w:after="0"/>
        <w:contextualSpacing/>
      </w:pPr>
      <w:r>
        <w:t>Таблетки, покрытые пленочной оболочкой</w:t>
      </w:r>
      <w:r w:rsidRPr="008F1926">
        <w:t>,</w:t>
      </w:r>
      <w:r>
        <w:t xml:space="preserve"> 5 мг</w:t>
      </w:r>
      <w:r w:rsidR="004A6A67">
        <w:t xml:space="preserve"> и</w:t>
      </w:r>
      <w:r w:rsidRPr="008F1926">
        <w:t xml:space="preserve"> </w:t>
      </w:r>
      <w:r>
        <w:t>1</w:t>
      </w:r>
      <w:r w:rsidRPr="008F1926">
        <w:t>0 мг.</w:t>
      </w:r>
    </w:p>
    <w:p w14:paraId="5D554D3B" w14:textId="4F09183C" w:rsidR="00294C0B" w:rsidRPr="00294C0B" w:rsidRDefault="00294C0B" w:rsidP="00046AD0">
      <w:pPr>
        <w:spacing w:after="0"/>
        <w:contextualSpacing/>
        <w:rPr>
          <w:rFonts w:eastAsiaTheme="minorEastAsia"/>
        </w:rPr>
      </w:pPr>
      <w:r w:rsidRPr="00294C0B">
        <w:rPr>
          <w:shd w:val="clear" w:color="auto" w:fill="FFFFFF"/>
        </w:rPr>
        <w:t xml:space="preserve">По 56 таблеток </w:t>
      </w:r>
      <w:r w:rsidRPr="00294C0B">
        <w:rPr>
          <w:rFonts w:eastAsiaTheme="minorEastAsia"/>
        </w:rPr>
        <w:t>в банку полимерную (из полиэтилена или полипропилена) для лекарственных средств, укупоренную крышкой полимерной (из полиэтилена или полипропилена) с влагопоглотителем и контролем первого вскрытия.</w:t>
      </w:r>
    </w:p>
    <w:p w14:paraId="701946F9" w14:textId="77777777" w:rsidR="00046AD0" w:rsidRDefault="00294C0B" w:rsidP="00046AD0">
      <w:pPr>
        <w:spacing w:after="0"/>
        <w:contextualSpacing/>
        <w:rPr>
          <w:rFonts w:eastAsiaTheme="minorEastAsia"/>
        </w:rPr>
      </w:pPr>
      <w:r w:rsidRPr="00294C0B">
        <w:rPr>
          <w:rFonts w:eastAsiaTheme="minorEastAsia"/>
        </w:rPr>
        <w:t>На банку н</w:t>
      </w:r>
      <w:r w:rsidR="00046AD0">
        <w:rPr>
          <w:rFonts w:eastAsiaTheme="minorEastAsia"/>
        </w:rPr>
        <w:t>аклеена самоклеящаяся этикетка.</w:t>
      </w:r>
    </w:p>
    <w:p w14:paraId="30DE7DBC" w14:textId="6835B979" w:rsidR="00294C0B" w:rsidRPr="00294C0B" w:rsidRDefault="00294C0B" w:rsidP="00046AD0">
      <w:pPr>
        <w:spacing w:after="0"/>
        <w:contextualSpacing/>
        <w:rPr>
          <w:rFonts w:eastAsiaTheme="minorEastAsia"/>
        </w:rPr>
      </w:pPr>
      <w:r w:rsidRPr="00294C0B">
        <w:rPr>
          <w:rFonts w:eastAsiaTheme="minorEastAsia"/>
        </w:rPr>
        <w:lastRenderedPageBreak/>
        <w:t>Каждая банка помещена в пачку из картона коробочного.</w:t>
      </w:r>
    </w:p>
    <w:p w14:paraId="2D8D7932" w14:textId="77777777" w:rsidR="00E70967" w:rsidRPr="00DA4C45" w:rsidRDefault="00E70967" w:rsidP="00046AD0">
      <w:pPr>
        <w:pStyle w:val="SDText"/>
        <w:spacing w:after="0"/>
        <w:contextualSpacing/>
        <w:rPr>
          <w:szCs w:val="24"/>
        </w:rPr>
      </w:pPr>
    </w:p>
    <w:p w14:paraId="087FA8D5" w14:textId="5381C57D" w:rsidR="00597983" w:rsidRDefault="00495A04" w:rsidP="00495A04">
      <w:pPr>
        <w:pStyle w:val="2"/>
        <w:numPr>
          <w:ilvl w:val="0"/>
          <w:numId w:val="0"/>
        </w:numPr>
        <w:ind w:left="576" w:hanging="576"/>
      </w:pPr>
      <w:bookmarkStart w:id="70" w:name="_Toc121592554"/>
      <w:bookmarkStart w:id="71" w:name="_Toc115421023"/>
      <w:r>
        <w:t xml:space="preserve">2.3. </w:t>
      </w:r>
      <w:r w:rsidR="00073BAB" w:rsidRPr="00DA4C45">
        <w:t>Правила хранения и обращения</w:t>
      </w:r>
      <w:bookmarkEnd w:id="70"/>
      <w:r w:rsidR="00073BAB" w:rsidRPr="00DA4C45">
        <w:t xml:space="preserve"> </w:t>
      </w:r>
      <w:bookmarkEnd w:id="71"/>
    </w:p>
    <w:p w14:paraId="4F9A2D1F" w14:textId="77777777" w:rsidR="00DE11C7" w:rsidRPr="00DE11C7" w:rsidRDefault="00DE11C7" w:rsidP="00046AD0">
      <w:pPr>
        <w:pStyle w:val="SDText"/>
        <w:spacing w:after="0"/>
      </w:pPr>
    </w:p>
    <w:p w14:paraId="331AA9DB" w14:textId="277BAD8C" w:rsidR="00597983" w:rsidRPr="00DE11C7" w:rsidRDefault="00495A04" w:rsidP="00495A04">
      <w:pPr>
        <w:pStyle w:val="3"/>
        <w:numPr>
          <w:ilvl w:val="0"/>
          <w:numId w:val="0"/>
        </w:numPr>
        <w:ind w:left="720" w:hanging="720"/>
      </w:pPr>
      <w:bookmarkStart w:id="72" w:name="_Toc115421024"/>
      <w:bookmarkStart w:id="73" w:name="_Toc121592555"/>
      <w:r>
        <w:t xml:space="preserve">2.3.1. </w:t>
      </w:r>
      <w:r w:rsidR="000E127E" w:rsidRPr="00DA4C45">
        <w:t xml:space="preserve">Условия хранения и </w:t>
      </w:r>
      <w:r w:rsidR="000E127E" w:rsidRPr="00B20C48">
        <w:t>транспортировки</w:t>
      </w:r>
      <w:bookmarkEnd w:id="72"/>
      <w:bookmarkEnd w:id="73"/>
    </w:p>
    <w:p w14:paraId="18E118F0" w14:textId="77777777" w:rsidR="00DE11C7" w:rsidRDefault="00DE11C7" w:rsidP="00046AD0">
      <w:pPr>
        <w:pStyle w:val="OT"/>
        <w:ind w:firstLine="709"/>
      </w:pPr>
    </w:p>
    <w:p w14:paraId="6304BCCB" w14:textId="77777777" w:rsidR="00294C0B" w:rsidRPr="00512FF8" w:rsidRDefault="00294C0B" w:rsidP="00046AD0">
      <w:pPr>
        <w:pStyle w:val="OT"/>
        <w:rPr>
          <w:iCs/>
          <w:color w:val="000000" w:themeColor="text1"/>
          <w:szCs w:val="24"/>
          <w:lang w:eastAsia="ja-JP"/>
        </w:rPr>
      </w:pPr>
      <w:r w:rsidRPr="00294C0B">
        <w:t>Хранить при температуре не выше 25ºС</w:t>
      </w:r>
      <w:r w:rsidRPr="00294C0B">
        <w:rPr>
          <w:iCs/>
          <w:lang w:eastAsia="en-US"/>
        </w:rPr>
        <w:t>.</w:t>
      </w:r>
    </w:p>
    <w:p w14:paraId="1CECCD1A" w14:textId="77777777" w:rsidR="00294C0B" w:rsidRPr="00DA4C45" w:rsidRDefault="00294C0B" w:rsidP="00046AD0">
      <w:pPr>
        <w:pStyle w:val="SDText"/>
        <w:spacing w:after="0"/>
        <w:contextualSpacing/>
        <w:rPr>
          <w:szCs w:val="24"/>
        </w:rPr>
      </w:pPr>
    </w:p>
    <w:p w14:paraId="0DB3532B" w14:textId="0A3C238B" w:rsidR="00DE11C7" w:rsidRPr="00DE11C7" w:rsidRDefault="00495A04" w:rsidP="00495A04">
      <w:pPr>
        <w:pStyle w:val="3"/>
        <w:numPr>
          <w:ilvl w:val="0"/>
          <w:numId w:val="0"/>
        </w:numPr>
        <w:ind w:left="720" w:hanging="720"/>
      </w:pPr>
      <w:bookmarkStart w:id="74" w:name="_Toc115421025"/>
      <w:bookmarkStart w:id="75" w:name="_Toc121592556"/>
      <w:r>
        <w:t xml:space="preserve">2.3.2. </w:t>
      </w:r>
      <w:r w:rsidR="0006567A" w:rsidRPr="00DA4C45">
        <w:t>Срок годности</w:t>
      </w:r>
      <w:bookmarkEnd w:id="74"/>
      <w:bookmarkEnd w:id="75"/>
    </w:p>
    <w:p w14:paraId="3027261C" w14:textId="77777777" w:rsidR="00DE11C7" w:rsidRDefault="00DE11C7" w:rsidP="00046AD0">
      <w:pPr>
        <w:pStyle w:val="OT"/>
        <w:ind w:firstLine="709"/>
        <w:rPr>
          <w:rFonts w:eastAsiaTheme="minorHAnsi"/>
        </w:rPr>
      </w:pPr>
    </w:p>
    <w:p w14:paraId="3A1EC9FB" w14:textId="344D1776" w:rsidR="00294C0B" w:rsidRDefault="00294C0B" w:rsidP="00046AD0">
      <w:pPr>
        <w:pStyle w:val="OT"/>
        <w:rPr>
          <w:rFonts w:eastAsiaTheme="minorHAnsi"/>
        </w:rPr>
      </w:pPr>
      <w:r>
        <w:rPr>
          <w:rFonts w:eastAsiaTheme="minorHAnsi"/>
        </w:rPr>
        <w:t>2 года.</w:t>
      </w:r>
    </w:p>
    <w:p w14:paraId="0C89CCEE" w14:textId="77777777" w:rsidR="004A6A67" w:rsidRPr="00294C0B" w:rsidRDefault="004A6A67" w:rsidP="00046AD0">
      <w:pPr>
        <w:pStyle w:val="OT"/>
      </w:pPr>
    </w:p>
    <w:p w14:paraId="54418465" w14:textId="12028E3B" w:rsidR="00597983" w:rsidRPr="00294C0B" w:rsidRDefault="00495A04" w:rsidP="00495A04">
      <w:pPr>
        <w:pStyle w:val="3"/>
        <w:numPr>
          <w:ilvl w:val="0"/>
          <w:numId w:val="0"/>
        </w:numPr>
        <w:ind w:left="720" w:hanging="720"/>
      </w:pPr>
      <w:bookmarkStart w:id="76" w:name="_Toc115421026"/>
      <w:bookmarkStart w:id="77" w:name="_Toc121592557"/>
      <w:r>
        <w:t xml:space="preserve">2.3.3. </w:t>
      </w:r>
      <w:r w:rsidR="00597983" w:rsidRPr="00DA4C45">
        <w:t>Правила по обращению с препаратом</w:t>
      </w:r>
      <w:bookmarkEnd w:id="76"/>
      <w:bookmarkEnd w:id="77"/>
    </w:p>
    <w:p w14:paraId="68EDBD63" w14:textId="77777777" w:rsidR="00DE11C7" w:rsidRDefault="00DE11C7" w:rsidP="00046AD0">
      <w:pPr>
        <w:spacing w:after="0"/>
        <w:contextualSpacing/>
        <w:rPr>
          <w:color w:val="000000" w:themeColor="text1"/>
        </w:rPr>
      </w:pPr>
    </w:p>
    <w:p w14:paraId="321C8E2E" w14:textId="0387682B" w:rsidR="00294C0B" w:rsidRDefault="00294C0B" w:rsidP="00046AD0">
      <w:pPr>
        <w:spacing w:after="0"/>
        <w:contextualSpacing/>
        <w:rPr>
          <w:rFonts w:eastAsia="Courier New"/>
          <w:lang w:bidi="ru-RU"/>
        </w:rPr>
      </w:pPr>
      <w:r w:rsidRPr="00294C0B">
        <w:rPr>
          <w:color w:val="000000" w:themeColor="text1"/>
        </w:rPr>
        <w:t>Не требует особых мер предосторожности при использовании</w:t>
      </w:r>
      <w:r w:rsidRPr="00294C0B">
        <w:rPr>
          <w:rFonts w:eastAsia="Courier New"/>
          <w:lang w:bidi="ru-RU"/>
        </w:rPr>
        <w:t>.</w:t>
      </w:r>
    </w:p>
    <w:p w14:paraId="03BA4B35" w14:textId="77777777" w:rsidR="00294C0B" w:rsidRDefault="00294C0B" w:rsidP="00046AD0">
      <w:pPr>
        <w:spacing w:after="0"/>
        <w:ind w:firstLine="0"/>
        <w:contextualSpacing/>
        <w:rPr>
          <w:rFonts w:eastAsia="Courier New"/>
          <w:lang w:bidi="ru-RU"/>
        </w:rPr>
      </w:pPr>
    </w:p>
    <w:p w14:paraId="541AB2CF" w14:textId="43D9BFF9" w:rsidR="00294C0B" w:rsidRPr="00294C0B" w:rsidRDefault="00294C0B" w:rsidP="00B20C48">
      <w:pPr>
        <w:pStyle w:val="2"/>
        <w:numPr>
          <w:ilvl w:val="0"/>
          <w:numId w:val="0"/>
        </w:numPr>
        <w:ind w:left="576" w:hanging="576"/>
      </w:pPr>
      <w:bookmarkStart w:id="78" w:name="_Toc112014957"/>
      <w:bookmarkStart w:id="79" w:name="_Toc115217930"/>
      <w:bookmarkStart w:id="80" w:name="_Toc118124161"/>
      <w:bookmarkStart w:id="81" w:name="_Toc121592558"/>
      <w:r w:rsidRPr="00294C0B">
        <w:t xml:space="preserve">Список </w:t>
      </w:r>
      <w:r w:rsidRPr="00B20C48">
        <w:t>литературы</w:t>
      </w:r>
      <w:bookmarkEnd w:id="78"/>
      <w:bookmarkEnd w:id="79"/>
      <w:bookmarkEnd w:id="80"/>
      <w:bookmarkEnd w:id="81"/>
    </w:p>
    <w:p w14:paraId="7CB3EDFE" w14:textId="77777777" w:rsidR="00DE11C7" w:rsidRDefault="00DE11C7" w:rsidP="00046AD0">
      <w:pPr>
        <w:pStyle w:val="SDText"/>
        <w:spacing w:after="0"/>
        <w:rPr>
          <w:color w:val="000000" w:themeColor="text1"/>
        </w:rPr>
      </w:pPr>
    </w:p>
    <w:p w14:paraId="1F4AA31E" w14:textId="17EB906A" w:rsidR="00294C0B" w:rsidRDefault="00294C0B" w:rsidP="00046AD0">
      <w:pPr>
        <w:pStyle w:val="SDText"/>
        <w:spacing w:after="0"/>
        <w:ind w:firstLine="0"/>
        <w:rPr>
          <w:color w:val="000000" w:themeColor="text1"/>
        </w:rPr>
      </w:pPr>
      <w:r>
        <w:rPr>
          <w:color w:val="000000" w:themeColor="text1"/>
        </w:rPr>
        <w:t>1</w:t>
      </w:r>
      <w:r w:rsidRPr="008F1926">
        <w:rPr>
          <w:color w:val="000000" w:themeColor="text1"/>
        </w:rPr>
        <w:t xml:space="preserve">. Отчет о проведении теста сравнительной кинетики растворения </w:t>
      </w:r>
      <w:r w:rsidR="00046AD0">
        <w:rPr>
          <w:color w:val="000000" w:themeColor="text1"/>
        </w:rPr>
        <w:t xml:space="preserve">по теме: «Изучение сравнительной кинетики растворения </w:t>
      </w:r>
      <w:r w:rsidRPr="008F1926">
        <w:rPr>
          <w:color w:val="000000" w:themeColor="text1"/>
        </w:rPr>
        <w:t>лекарственных препаратов «</w:t>
      </w:r>
      <w:r>
        <w:rPr>
          <w:color w:val="000000" w:themeColor="text1"/>
        </w:rPr>
        <w:t>ТОФАЦИТИНИБ</w:t>
      </w:r>
      <w:r w:rsidRPr="008F1926">
        <w:rPr>
          <w:color w:val="000000" w:themeColor="text1"/>
        </w:rPr>
        <w:t xml:space="preserve"> </w:t>
      </w:r>
      <w:r>
        <w:rPr>
          <w:color w:val="000000" w:themeColor="text1"/>
        </w:rPr>
        <w:t>таблетки, покрытые пленочной оболочкой</w:t>
      </w:r>
      <w:r w:rsidR="00046AD0">
        <w:rPr>
          <w:color w:val="000000" w:themeColor="text1"/>
        </w:rPr>
        <w:t>,</w:t>
      </w:r>
      <w:r w:rsidRPr="008F1926">
        <w:rPr>
          <w:color w:val="000000" w:themeColor="text1"/>
        </w:rPr>
        <w:t xml:space="preserve"> </w:t>
      </w:r>
      <w:r>
        <w:rPr>
          <w:color w:val="000000" w:themeColor="text1"/>
        </w:rPr>
        <w:t>1</w:t>
      </w:r>
      <w:r w:rsidRPr="008F1926">
        <w:rPr>
          <w:color w:val="000000" w:themeColor="text1"/>
        </w:rPr>
        <w:t xml:space="preserve">0 мг» </w:t>
      </w:r>
      <w:r w:rsidR="00046AD0">
        <w:rPr>
          <w:color w:val="000000" w:themeColor="text1"/>
        </w:rPr>
        <w:t>с препаратом</w:t>
      </w:r>
      <w:r w:rsidRPr="008F1926">
        <w:rPr>
          <w:color w:val="000000" w:themeColor="text1"/>
        </w:rPr>
        <w:t xml:space="preserve"> «</w:t>
      </w:r>
      <w:r w:rsidR="00046AD0">
        <w:t>Яквинус</w:t>
      </w:r>
      <w:r w:rsidRPr="001A35D0">
        <w:rPr>
          <w:vertAlign w:val="superscript"/>
        </w:rPr>
        <w:t>®</w:t>
      </w:r>
      <w:r w:rsidRPr="008F1926">
        <w:t xml:space="preserve"> </w:t>
      </w:r>
      <w:r>
        <w:rPr>
          <w:color w:val="000000" w:themeColor="text1"/>
        </w:rPr>
        <w:t>таблетки, покрытые пленочной оболочкой</w:t>
      </w:r>
      <w:r w:rsidR="00046AD0">
        <w:rPr>
          <w:color w:val="000000" w:themeColor="text1"/>
        </w:rPr>
        <w:t>,</w:t>
      </w:r>
      <w:r w:rsidRPr="008F1926">
        <w:rPr>
          <w:color w:val="000000" w:themeColor="text1"/>
        </w:rPr>
        <w:t xml:space="preserve"> </w:t>
      </w:r>
      <w:r>
        <w:rPr>
          <w:color w:val="000000" w:themeColor="text1"/>
        </w:rPr>
        <w:t>1</w:t>
      </w:r>
      <w:r w:rsidR="00D36ADC">
        <w:rPr>
          <w:color w:val="000000" w:themeColor="text1"/>
        </w:rPr>
        <w:t>0 мг</w:t>
      </w:r>
      <w:r w:rsidR="00046AD0">
        <w:rPr>
          <w:color w:val="000000" w:themeColor="text1"/>
        </w:rPr>
        <w:t xml:space="preserve">» </w:t>
      </w:r>
      <w:r w:rsidRPr="00D36ADC">
        <w:rPr>
          <w:color w:val="000000" w:themeColor="text1"/>
        </w:rPr>
        <w:t xml:space="preserve">от </w:t>
      </w:r>
      <w:r w:rsidR="00D36ADC" w:rsidRPr="00D36ADC">
        <w:rPr>
          <w:color w:val="000000" w:themeColor="text1"/>
        </w:rPr>
        <w:t>18 но</w:t>
      </w:r>
      <w:r w:rsidRPr="00D36ADC">
        <w:rPr>
          <w:color w:val="000000" w:themeColor="text1"/>
        </w:rPr>
        <w:t>ября 2022 г.</w:t>
      </w:r>
    </w:p>
    <w:p w14:paraId="431003E1" w14:textId="5DA67291" w:rsidR="00791E09" w:rsidRDefault="00791E09" w:rsidP="00046AD0">
      <w:pPr>
        <w:pStyle w:val="SDText"/>
        <w:spacing w:after="0"/>
        <w:ind w:firstLine="0"/>
        <w:rPr>
          <w:color w:val="000000" w:themeColor="text1"/>
        </w:rPr>
      </w:pPr>
    </w:p>
    <w:p w14:paraId="6C5B4F1D" w14:textId="036B2C49" w:rsidR="00341576" w:rsidRPr="00D36ADC" w:rsidRDefault="00D62B3D" w:rsidP="00B20C48">
      <w:pPr>
        <w:pStyle w:val="1"/>
      </w:pPr>
      <w:bookmarkStart w:id="82" w:name="_Toc115421027"/>
      <w:bookmarkStart w:id="83" w:name="_Toc121592559"/>
      <w:bookmarkEnd w:id="10"/>
      <w:r>
        <w:t xml:space="preserve">3. </w:t>
      </w:r>
      <w:r w:rsidR="00643566" w:rsidRPr="00D36ADC">
        <w:t xml:space="preserve">РЕЗУЛЬТАТЫ </w:t>
      </w:r>
      <w:r w:rsidR="00643566" w:rsidRPr="00B20C48">
        <w:t>ДОКЛИНИЧЕСКИХ</w:t>
      </w:r>
      <w:r w:rsidR="00643566" w:rsidRPr="00D36ADC">
        <w:t xml:space="preserve"> ИССЛЕДОВАНИЙ</w:t>
      </w:r>
      <w:bookmarkEnd w:id="82"/>
      <w:bookmarkEnd w:id="83"/>
      <w:r w:rsidR="00643566" w:rsidRPr="00D36ADC">
        <w:t xml:space="preserve"> </w:t>
      </w:r>
    </w:p>
    <w:p w14:paraId="2AC8078A" w14:textId="77777777" w:rsidR="00BD2318" w:rsidRDefault="00BD2318" w:rsidP="00D36ADC">
      <w:pPr>
        <w:ind w:firstLine="0"/>
        <w:contextualSpacing/>
        <w:rPr>
          <w:b/>
          <w:bCs/>
        </w:rPr>
      </w:pPr>
    </w:p>
    <w:p w14:paraId="34B1F635" w14:textId="5DB82974" w:rsidR="004A788F" w:rsidRDefault="00AC7D66" w:rsidP="00B20C48">
      <w:pPr>
        <w:pStyle w:val="2"/>
        <w:numPr>
          <w:ilvl w:val="0"/>
          <w:numId w:val="0"/>
        </w:numPr>
        <w:ind w:left="576" w:hanging="576"/>
      </w:pPr>
      <w:bookmarkStart w:id="84" w:name="_Toc121592560"/>
      <w:r w:rsidRPr="00AC7D66">
        <w:t xml:space="preserve">Введение и </w:t>
      </w:r>
      <w:r w:rsidRPr="00B20C48">
        <w:t>резюме</w:t>
      </w:r>
      <w:bookmarkEnd w:id="84"/>
    </w:p>
    <w:p w14:paraId="62A63019" w14:textId="77777777" w:rsidR="00BD2318" w:rsidRDefault="00BD2318" w:rsidP="00D36ADC">
      <w:pPr>
        <w:pStyle w:val="SDText"/>
        <w:contextualSpacing/>
        <w:rPr>
          <w:lang w:eastAsia="ja-JP"/>
        </w:rPr>
      </w:pPr>
    </w:p>
    <w:p w14:paraId="3179911F" w14:textId="73EC0CA4" w:rsidR="00A05936" w:rsidRPr="00056520" w:rsidRDefault="00A05936" w:rsidP="00D36ADC">
      <w:pPr>
        <w:pStyle w:val="SDText"/>
        <w:contextualSpacing/>
        <w:rPr>
          <w:bCs/>
          <w:color w:val="000000"/>
          <w:lang w:eastAsia="ja-JP" w:bidi="ru-RU"/>
        </w:rPr>
      </w:pPr>
      <w:r w:rsidRPr="00056520">
        <w:rPr>
          <w:lang w:eastAsia="ja-JP"/>
        </w:rPr>
        <w:t xml:space="preserve">Доклинических исследований препарата </w:t>
      </w:r>
      <w:r w:rsidR="00D36ADC" w:rsidRPr="008F1926">
        <w:rPr>
          <w:lang w:val="en-US" w:eastAsia="ru-RU"/>
        </w:rPr>
        <w:t>D</w:t>
      </w:r>
      <w:r w:rsidR="00D36ADC" w:rsidRPr="008F1926">
        <w:rPr>
          <w:lang w:eastAsia="ru-RU"/>
        </w:rPr>
        <w:t>T-</w:t>
      </w:r>
      <w:r w:rsidR="00D36ADC">
        <w:rPr>
          <w:rFonts w:eastAsia="MS Mincho"/>
          <w:szCs w:val="24"/>
          <w:lang w:val="en-US" w:eastAsia="ru-RU"/>
        </w:rPr>
        <w:t>TFC</w:t>
      </w:r>
      <w:r w:rsidR="00D36ADC">
        <w:rPr>
          <w:rFonts w:eastAsia="MS Mincho"/>
          <w:szCs w:val="24"/>
          <w:lang w:eastAsia="ru-RU"/>
        </w:rPr>
        <w:t xml:space="preserve">, </w:t>
      </w:r>
      <w:r w:rsidR="000D685F">
        <w:rPr>
          <w:lang w:eastAsia="ja-JP"/>
        </w:rPr>
        <w:t xml:space="preserve">таблетки, </w:t>
      </w:r>
      <w:r w:rsidR="008C741C" w:rsidRPr="00056520">
        <w:rPr>
          <w:lang w:eastAsia="ja-JP"/>
        </w:rPr>
        <w:t>покрытые пленочно</w:t>
      </w:r>
      <w:r w:rsidR="00D36ADC">
        <w:rPr>
          <w:lang w:eastAsia="ja-JP"/>
        </w:rPr>
        <w:t>й оболочкой, 5 мг</w:t>
      </w:r>
      <w:r w:rsidR="000D685F">
        <w:rPr>
          <w:lang w:eastAsia="ja-JP"/>
        </w:rPr>
        <w:t xml:space="preserve"> и </w:t>
      </w:r>
      <w:r w:rsidR="00D36ADC">
        <w:rPr>
          <w:lang w:eastAsia="ja-JP"/>
        </w:rPr>
        <w:t>10 мг</w:t>
      </w:r>
      <w:r w:rsidR="008C741C" w:rsidRPr="00056520">
        <w:rPr>
          <w:lang w:eastAsia="ja-JP"/>
        </w:rPr>
        <w:t xml:space="preserve"> </w:t>
      </w:r>
      <w:r w:rsidRPr="00056520">
        <w:rPr>
          <w:lang w:eastAsia="ja-JP"/>
        </w:rPr>
        <w:t>(АО «Р-Фарм», Россия)</w:t>
      </w:r>
      <w:r w:rsidR="00874F5A">
        <w:rPr>
          <w:lang w:eastAsia="ja-JP"/>
        </w:rPr>
        <w:t>,</w:t>
      </w:r>
      <w:r w:rsidRPr="00056520">
        <w:rPr>
          <w:lang w:eastAsia="ja-JP"/>
        </w:rPr>
        <w:t xml:space="preserve"> не проводилось. </w:t>
      </w:r>
      <w:r w:rsidR="00573202" w:rsidRPr="00573202">
        <w:rPr>
          <w:lang w:eastAsia="ja-JP"/>
        </w:rPr>
        <w:t>Так как препарат</w:t>
      </w:r>
      <w:r w:rsidR="00573202" w:rsidRPr="00573202">
        <w:rPr>
          <w:lang w:eastAsia="ru-RU"/>
        </w:rPr>
        <w:t xml:space="preserve"> </w:t>
      </w:r>
      <w:r w:rsidR="00573202" w:rsidRPr="00573202">
        <w:rPr>
          <w:lang w:val="en-US" w:eastAsia="ru-RU"/>
        </w:rPr>
        <w:t>D</w:t>
      </w:r>
      <w:r w:rsidR="00573202" w:rsidRPr="00573202">
        <w:rPr>
          <w:lang w:eastAsia="ru-RU"/>
        </w:rPr>
        <w:t>T-</w:t>
      </w:r>
      <w:r w:rsidR="00573202" w:rsidRPr="00573202">
        <w:rPr>
          <w:rFonts w:eastAsia="MS Mincho"/>
          <w:szCs w:val="24"/>
          <w:lang w:val="en-US" w:eastAsia="ru-RU"/>
        </w:rPr>
        <w:t>TFC</w:t>
      </w:r>
      <w:r w:rsidR="00573202" w:rsidRPr="00573202">
        <w:rPr>
          <w:lang w:eastAsia="ja-JP"/>
        </w:rPr>
        <w:t xml:space="preserve"> (АО «Р-Фарм», Россия) </w:t>
      </w:r>
      <w:r w:rsidRPr="00056520">
        <w:rPr>
          <w:lang w:eastAsia="ja-JP"/>
        </w:rPr>
        <w:t xml:space="preserve">представляет собой воспроизведенный препарат </w:t>
      </w:r>
      <w:r w:rsidR="00CE2493" w:rsidRPr="00056520">
        <w:rPr>
          <w:lang w:eastAsia="ja-JP"/>
        </w:rPr>
        <w:t>тофацитиниба</w:t>
      </w:r>
      <w:r w:rsidRPr="00056520">
        <w:rPr>
          <w:lang w:eastAsia="ja-JP"/>
        </w:rPr>
        <w:t>, ожидается, что его свойства будут идентичны свойствам оригинального препарата Я</w:t>
      </w:r>
      <w:r w:rsidR="00CE2493" w:rsidRPr="00056520">
        <w:rPr>
          <w:lang w:eastAsia="ja-JP"/>
        </w:rPr>
        <w:t>квинус</w:t>
      </w:r>
      <w:r w:rsidRPr="00056520">
        <w:rPr>
          <w:vertAlign w:val="superscript"/>
          <w:lang w:eastAsia="ja-JP"/>
        </w:rPr>
        <w:t>®</w:t>
      </w:r>
      <w:r w:rsidR="00DA35F7" w:rsidRPr="00056520">
        <w:rPr>
          <w:lang w:eastAsia="ja-JP"/>
        </w:rPr>
        <w:t>, таблетки, покрытые пл</w:t>
      </w:r>
      <w:r w:rsidR="00D36ADC">
        <w:rPr>
          <w:lang w:eastAsia="ja-JP"/>
        </w:rPr>
        <w:t>еночной оболочкой, 5 мг</w:t>
      </w:r>
      <w:r w:rsidR="000D685F">
        <w:rPr>
          <w:lang w:eastAsia="ja-JP"/>
        </w:rPr>
        <w:t xml:space="preserve"> и</w:t>
      </w:r>
      <w:r w:rsidR="00D36ADC">
        <w:rPr>
          <w:lang w:eastAsia="ja-JP"/>
        </w:rPr>
        <w:t xml:space="preserve"> 10 мг </w:t>
      </w:r>
      <w:r w:rsidR="00CE2493" w:rsidRPr="00056520">
        <w:t>(Пфайзер Инк., США)</w:t>
      </w:r>
      <w:r w:rsidRPr="00056520">
        <w:rPr>
          <w:lang w:eastAsia="ja-JP"/>
        </w:rPr>
        <w:t xml:space="preserve">, которому </w:t>
      </w:r>
      <w:r w:rsidR="00D36ADC" w:rsidRPr="008F1926">
        <w:rPr>
          <w:lang w:val="en-US" w:eastAsia="ru-RU"/>
        </w:rPr>
        <w:t>D</w:t>
      </w:r>
      <w:r w:rsidR="00D36ADC" w:rsidRPr="008F1926">
        <w:rPr>
          <w:lang w:eastAsia="ru-RU"/>
        </w:rPr>
        <w:t>T-</w:t>
      </w:r>
      <w:r w:rsidR="00D36ADC">
        <w:rPr>
          <w:rFonts w:eastAsia="MS Mincho"/>
          <w:szCs w:val="24"/>
          <w:lang w:val="en-US" w:eastAsia="ru-RU"/>
        </w:rPr>
        <w:t>TFC</w:t>
      </w:r>
      <w:r w:rsidR="00D36ADC" w:rsidRPr="00056520">
        <w:rPr>
          <w:lang w:eastAsia="ja-JP"/>
        </w:rPr>
        <w:t xml:space="preserve"> </w:t>
      </w:r>
      <w:r w:rsidRPr="00056520">
        <w:rPr>
          <w:lang w:eastAsia="ja-JP"/>
        </w:rPr>
        <w:t>полностью соответствует по качественному и количественному составу д</w:t>
      </w:r>
      <w:r w:rsidR="006E2A4A">
        <w:rPr>
          <w:lang w:eastAsia="ja-JP"/>
        </w:rPr>
        <w:t>ействующ</w:t>
      </w:r>
      <w:r w:rsidR="00D36ADC">
        <w:rPr>
          <w:lang w:eastAsia="ja-JP"/>
        </w:rPr>
        <w:t>его</w:t>
      </w:r>
      <w:r w:rsidRPr="00056520">
        <w:rPr>
          <w:lang w:eastAsia="ja-JP"/>
        </w:rPr>
        <w:t xml:space="preserve"> и вспомогательных веществ, лекарственн</w:t>
      </w:r>
      <w:r w:rsidR="00056520" w:rsidRPr="00056520">
        <w:rPr>
          <w:lang w:eastAsia="ja-JP"/>
        </w:rPr>
        <w:t>ым</w:t>
      </w:r>
      <w:r w:rsidRPr="00056520">
        <w:rPr>
          <w:lang w:eastAsia="ja-JP"/>
        </w:rPr>
        <w:t xml:space="preserve"> форм</w:t>
      </w:r>
      <w:r w:rsidR="00056520" w:rsidRPr="00056520">
        <w:rPr>
          <w:lang w:eastAsia="ja-JP"/>
        </w:rPr>
        <w:t>ам</w:t>
      </w:r>
      <w:r w:rsidRPr="00056520">
        <w:rPr>
          <w:lang w:eastAsia="ja-JP"/>
        </w:rPr>
        <w:t xml:space="preserve"> и дозировк</w:t>
      </w:r>
      <w:r w:rsidR="00056520" w:rsidRPr="00056520">
        <w:rPr>
          <w:lang w:eastAsia="ja-JP"/>
        </w:rPr>
        <w:t>ам</w:t>
      </w:r>
      <w:r w:rsidR="00D36ADC">
        <w:rPr>
          <w:lang w:eastAsia="ja-JP"/>
        </w:rPr>
        <w:t>, имея отличия в качественном и количественном составе пленочной оболочки таблетки</w:t>
      </w:r>
      <w:r w:rsidR="00C2295D">
        <w:rPr>
          <w:lang w:eastAsia="ja-JP"/>
        </w:rPr>
        <w:t xml:space="preserve"> </w:t>
      </w:r>
      <w:r w:rsidR="00C2295D">
        <w:rPr>
          <w:color w:val="000000"/>
          <w:szCs w:val="24"/>
        </w:rPr>
        <w:t xml:space="preserve">и типе целлюлозы микрокристаллической, входящей в состав ядра </w:t>
      </w:r>
      <w:r w:rsidR="00C2295D" w:rsidRPr="00E53670">
        <w:rPr>
          <w:color w:val="000000"/>
          <w:szCs w:val="24"/>
        </w:rPr>
        <w:t>таблетки</w:t>
      </w:r>
      <w:r w:rsidRPr="00056520">
        <w:rPr>
          <w:lang w:eastAsia="ja-JP"/>
        </w:rPr>
        <w:t>. В связи с этим</w:t>
      </w:r>
      <w:r w:rsidR="00D36ADC">
        <w:rPr>
          <w:lang w:eastAsia="ja-JP"/>
        </w:rPr>
        <w:t>,</w:t>
      </w:r>
      <w:r w:rsidRPr="00056520">
        <w:rPr>
          <w:lang w:eastAsia="ja-JP"/>
        </w:rPr>
        <w:t xml:space="preserve"> ниже приводятся данные доклинических исследований оригинального препарата </w:t>
      </w:r>
      <w:r w:rsidR="00FD1DA5" w:rsidRPr="00056520">
        <w:rPr>
          <w:lang w:eastAsia="ja-JP"/>
        </w:rPr>
        <w:t>тофацитиниба</w:t>
      </w:r>
      <w:r w:rsidRPr="00056520">
        <w:rPr>
          <w:lang w:eastAsia="ja-JP"/>
        </w:rPr>
        <w:t>.</w:t>
      </w:r>
    </w:p>
    <w:p w14:paraId="7D1B38E1" w14:textId="3EE4A9A8" w:rsidR="00A05936" w:rsidRDefault="00762BC0" w:rsidP="00D36ADC">
      <w:pPr>
        <w:pStyle w:val="SDText"/>
        <w:contextualSpacing/>
        <w:rPr>
          <w:lang w:eastAsia="ja-JP" w:bidi="ru-RU"/>
        </w:rPr>
      </w:pPr>
      <w:r w:rsidRPr="00056520">
        <w:rPr>
          <w:lang w:eastAsia="ja-JP" w:bidi="ru-RU"/>
        </w:rPr>
        <w:t>Для</w:t>
      </w:r>
      <w:r w:rsidR="00A05936" w:rsidRPr="00056520">
        <w:rPr>
          <w:lang w:eastAsia="ja-JP" w:bidi="ru-RU"/>
        </w:rPr>
        <w:t xml:space="preserve"> </w:t>
      </w:r>
      <w:r w:rsidR="00FD1DA5" w:rsidRPr="00056520">
        <w:rPr>
          <w:lang w:eastAsia="ja-JP" w:bidi="ru-RU"/>
        </w:rPr>
        <w:t>тофацитиниба</w:t>
      </w:r>
      <w:r w:rsidR="00A05936" w:rsidRPr="00056520">
        <w:rPr>
          <w:lang w:eastAsia="ja-JP" w:bidi="ru-RU"/>
        </w:rPr>
        <w:t xml:space="preserve"> </w:t>
      </w:r>
      <w:r w:rsidRPr="00056520">
        <w:rPr>
          <w:lang w:eastAsia="ja-JP" w:bidi="ru-RU"/>
        </w:rPr>
        <w:t>доступны результаты</w:t>
      </w:r>
      <w:r w:rsidR="00A05936" w:rsidRPr="00056520">
        <w:rPr>
          <w:lang w:eastAsia="ja-JP" w:bidi="ru-RU"/>
        </w:rPr>
        <w:t xml:space="preserve"> исследовани</w:t>
      </w:r>
      <w:r w:rsidRPr="00056520">
        <w:rPr>
          <w:lang w:eastAsia="ja-JP" w:bidi="ru-RU"/>
        </w:rPr>
        <w:t>й</w:t>
      </w:r>
      <w:r w:rsidR="00A05936" w:rsidRPr="00056520">
        <w:rPr>
          <w:lang w:eastAsia="ja-JP" w:bidi="ru-RU"/>
        </w:rPr>
        <w:t xml:space="preserve"> первичной фармакодинамики, вторичной фармакодинамики</w:t>
      </w:r>
      <w:r w:rsidR="00FD1DA5" w:rsidRPr="00056520">
        <w:rPr>
          <w:lang w:eastAsia="ja-JP" w:bidi="ru-RU"/>
        </w:rPr>
        <w:t>, фармакологической безопасности</w:t>
      </w:r>
      <w:r w:rsidR="00A05936" w:rsidRPr="00056520">
        <w:rPr>
          <w:lang w:eastAsia="ja-JP" w:bidi="ru-RU"/>
        </w:rPr>
        <w:t xml:space="preserve"> и фар</w:t>
      </w:r>
      <w:r w:rsidR="00D36ADC">
        <w:rPr>
          <w:lang w:eastAsia="ja-JP" w:bidi="ru-RU"/>
        </w:rPr>
        <w:t>макодинамических взаимодействий.</w:t>
      </w:r>
    </w:p>
    <w:p w14:paraId="74A27DD3" w14:textId="15B30434" w:rsidR="00C22156" w:rsidRDefault="00E663E4" w:rsidP="00D36ADC">
      <w:pPr>
        <w:pStyle w:val="SDText"/>
        <w:contextualSpacing/>
      </w:pPr>
      <w:r w:rsidRPr="00E663E4">
        <w:t xml:space="preserve">Тофацитиниб является первым в своем классе ингибитором </w:t>
      </w:r>
      <w:r w:rsidRPr="00E663E4">
        <w:rPr>
          <w:lang w:val="en-US"/>
        </w:rPr>
        <w:t>JAK</w:t>
      </w:r>
      <w:r w:rsidRPr="00E663E4">
        <w:t xml:space="preserve">. </w:t>
      </w:r>
      <w:r>
        <w:rPr>
          <w:rFonts w:eastAsia="MS Mincho" w:cs="Times New Roman"/>
          <w:szCs w:val="24"/>
        </w:rPr>
        <w:t>М</w:t>
      </w:r>
      <w:r w:rsidRPr="00E663E4">
        <w:rPr>
          <w:rFonts w:eastAsia="MS Mincho" w:cs="Times New Roman"/>
          <w:szCs w:val="24"/>
        </w:rPr>
        <w:t xml:space="preserve">еханизм действия </w:t>
      </w:r>
      <w:r>
        <w:t>т</w:t>
      </w:r>
      <w:r w:rsidRPr="00E663E4">
        <w:t>офацитиниб</w:t>
      </w:r>
      <w:r>
        <w:t xml:space="preserve">а </w:t>
      </w:r>
      <w:r w:rsidRPr="00E663E4">
        <w:rPr>
          <w:rFonts w:eastAsia="MS Mincho" w:cs="Times New Roman"/>
          <w:szCs w:val="24"/>
        </w:rPr>
        <w:t>включает ингибирование JAK1, JAK2 и JAK3 с меньше</w:t>
      </w:r>
      <w:r>
        <w:rPr>
          <w:rFonts w:eastAsia="MS Mincho" w:cs="Times New Roman"/>
          <w:szCs w:val="24"/>
        </w:rPr>
        <w:t xml:space="preserve">й </w:t>
      </w:r>
      <w:r w:rsidRPr="00E663E4">
        <w:rPr>
          <w:rFonts w:eastAsia="MS Mincho" w:cs="Times New Roman"/>
          <w:szCs w:val="24"/>
        </w:rPr>
        <w:t>ингибирующ</w:t>
      </w:r>
      <w:r>
        <w:rPr>
          <w:rFonts w:eastAsia="MS Mincho" w:cs="Times New Roman"/>
          <w:szCs w:val="24"/>
        </w:rPr>
        <w:t>ей</w:t>
      </w:r>
      <w:r w:rsidRPr="00E663E4">
        <w:rPr>
          <w:rFonts w:eastAsia="MS Mincho" w:cs="Times New Roman"/>
          <w:szCs w:val="24"/>
        </w:rPr>
        <w:t xml:space="preserve"> активность</w:t>
      </w:r>
      <w:r>
        <w:rPr>
          <w:rFonts w:eastAsia="MS Mincho" w:cs="Times New Roman"/>
          <w:szCs w:val="24"/>
        </w:rPr>
        <w:t>ю</w:t>
      </w:r>
      <w:r w:rsidRPr="00E663E4">
        <w:rPr>
          <w:rFonts w:eastAsia="MS Mincho" w:cs="Times New Roman"/>
          <w:szCs w:val="24"/>
        </w:rPr>
        <w:t xml:space="preserve"> в отношении </w:t>
      </w:r>
      <w:r>
        <w:t>тирозинкиназы 2 (</w:t>
      </w:r>
      <w:r w:rsidRPr="009F70C2">
        <w:t>Tyrosine Kinase</w:t>
      </w:r>
      <w:r>
        <w:t xml:space="preserve">, </w:t>
      </w:r>
      <w:r w:rsidRPr="00E663E4">
        <w:rPr>
          <w:rFonts w:eastAsia="MS Mincho" w:cs="Times New Roman"/>
          <w:szCs w:val="24"/>
        </w:rPr>
        <w:t>TyK2</w:t>
      </w:r>
      <w:r>
        <w:rPr>
          <w:rFonts w:eastAsia="MS Mincho" w:cs="Times New Roman"/>
          <w:szCs w:val="24"/>
        </w:rPr>
        <w:t>)</w:t>
      </w:r>
      <w:r w:rsidRPr="00E663E4">
        <w:rPr>
          <w:rFonts w:eastAsia="MS Mincho" w:cs="Times New Roman"/>
          <w:szCs w:val="24"/>
        </w:rPr>
        <w:t>. Ингибирование этих</w:t>
      </w:r>
      <w:r>
        <w:rPr>
          <w:rFonts w:eastAsia="MS Mincho" w:cs="Times New Roman"/>
          <w:szCs w:val="24"/>
        </w:rPr>
        <w:t xml:space="preserve"> </w:t>
      </w:r>
      <w:r w:rsidRPr="00E663E4">
        <w:rPr>
          <w:rFonts w:eastAsia="MS Mincho" w:cs="Times New Roman"/>
          <w:szCs w:val="24"/>
        </w:rPr>
        <w:t>киназ уменьша</w:t>
      </w:r>
      <w:r w:rsidR="00D5751A">
        <w:rPr>
          <w:rFonts w:eastAsia="MS Mincho" w:cs="Times New Roman"/>
          <w:szCs w:val="24"/>
        </w:rPr>
        <w:t>е</w:t>
      </w:r>
      <w:r w:rsidRPr="00E663E4">
        <w:rPr>
          <w:rFonts w:eastAsia="MS Mincho" w:cs="Times New Roman"/>
          <w:szCs w:val="24"/>
        </w:rPr>
        <w:t>т высвобождение воспалительных цитокинов, что, в свою очередь, уменьшает</w:t>
      </w:r>
      <w:r>
        <w:rPr>
          <w:rFonts w:eastAsia="MS Mincho" w:cs="Times New Roman"/>
          <w:szCs w:val="24"/>
        </w:rPr>
        <w:t xml:space="preserve"> </w:t>
      </w:r>
      <w:r w:rsidRPr="00E663E4">
        <w:rPr>
          <w:rFonts w:eastAsia="MS Mincho" w:cs="Times New Roman"/>
          <w:szCs w:val="24"/>
        </w:rPr>
        <w:t>активаци</w:t>
      </w:r>
      <w:r w:rsidR="00D5751A">
        <w:rPr>
          <w:rFonts w:eastAsia="MS Mincho" w:cs="Times New Roman"/>
          <w:szCs w:val="24"/>
        </w:rPr>
        <w:t>ю</w:t>
      </w:r>
      <w:r w:rsidRPr="00E663E4">
        <w:rPr>
          <w:rFonts w:eastAsia="MS Mincho" w:cs="Times New Roman"/>
          <w:szCs w:val="24"/>
        </w:rPr>
        <w:t xml:space="preserve"> и пролифераци</w:t>
      </w:r>
      <w:r w:rsidR="00D5751A">
        <w:rPr>
          <w:rFonts w:eastAsia="MS Mincho" w:cs="Times New Roman"/>
          <w:szCs w:val="24"/>
        </w:rPr>
        <w:t>ю</w:t>
      </w:r>
      <w:r w:rsidRPr="00E663E4">
        <w:rPr>
          <w:rFonts w:eastAsia="MS Mincho" w:cs="Times New Roman"/>
          <w:szCs w:val="24"/>
        </w:rPr>
        <w:t xml:space="preserve"> лимфоцитов</w:t>
      </w:r>
      <w:r w:rsidR="00D5751A" w:rsidRPr="00D5751A">
        <w:t xml:space="preserve"> </w:t>
      </w:r>
      <w:r w:rsidR="00D5751A">
        <w:rPr>
          <w:lang w:val="en-US"/>
        </w:rPr>
        <w:fldChar w:fldCharType="begin"/>
      </w:r>
      <w:r w:rsidR="00044A89">
        <w:instrText xml:space="preserve"> ADDIN ZOTERO_ITEM CSL_CITATION {"citationID":"np3lNbE2","properties":{"formattedCitation":"[12]","plainCitation":"[12]","noteIndex":0},"citationItems":[{"id":87803,"uris":["http://zotero.org/groups/4742804/items/DMZ5DFPG"],"itemData":{"id":87803,"type":"webpage","title":"Xeljanz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5751A">
        <w:rPr>
          <w:lang w:val="en-US"/>
        </w:rPr>
        <w:fldChar w:fldCharType="separate"/>
      </w:r>
      <w:r w:rsidR="00AA513A">
        <w:rPr>
          <w:rFonts w:cs="Times New Roman"/>
        </w:rPr>
        <w:t>[1</w:t>
      </w:r>
      <w:r w:rsidR="00044A89" w:rsidRPr="00044A89">
        <w:rPr>
          <w:rFonts w:cs="Times New Roman"/>
        </w:rPr>
        <w:t>]</w:t>
      </w:r>
      <w:r w:rsidR="00D5751A">
        <w:rPr>
          <w:lang w:val="en-US"/>
        </w:rPr>
        <w:fldChar w:fldCharType="end"/>
      </w:r>
      <w:r w:rsidR="00D5751A">
        <w:t>.</w:t>
      </w:r>
      <w:r w:rsidR="00C22156">
        <w:t xml:space="preserve"> В ходе наноиндентирования установили, что тофацитиниб увеличивал плотность кортикального </w:t>
      </w:r>
      <w:r w:rsidR="00C22156">
        <w:lastRenderedPageBreak/>
        <w:t>слоя и трабекулярной части кости</w:t>
      </w:r>
      <w:r w:rsidR="00FB179D">
        <w:t xml:space="preserve"> в модели адъювантного артрита у крыс</w:t>
      </w:r>
      <w:r w:rsidR="00C22156">
        <w:t>. Однако в ходе микрокомпьютерной томографии и испытания на трехточечный изгиб определили, что тофацитиниб не препятств</w:t>
      </w:r>
      <w:r w:rsidR="00FB179D">
        <w:t>овал</w:t>
      </w:r>
      <w:r w:rsidR="00C22156">
        <w:t xml:space="preserve"> эффектам артрита в отношении плотности кортикального слоя и трабекулярной части кости</w:t>
      </w:r>
      <w:r w:rsidR="00E54BAF">
        <w:t>,</w:t>
      </w:r>
      <w:r w:rsidR="00C22156">
        <w:t xml:space="preserve"> и механических свойств костной ткани </w:t>
      </w:r>
      <w:r w:rsidR="00C22156">
        <w:rPr>
          <w:lang w:val="en-US"/>
        </w:rPr>
        <w:fldChar w:fldCharType="begin"/>
      </w:r>
      <w:r w:rsidR="00044A89">
        <w:instrText xml:space="preserve"> ADDIN ZOTERO_ITEM CSL_CITATION {"citationID":"a86INega","properties":{"formattedCitation":"[13]","plainCitation":"[13]","noteIndex":0},"citationItems":[{"id":87766,"uris":["http://zotero.org/groups/4742804/items/D2V79EZB"],"itemData":{"id":87766,"type":"article-journal","container-title":"Rheumatology","issue":"8","note":"publisher: Oxford University Press","page":"1461–1471","source":"Google Scholar","title":"Effects of tofacitinib in early arthritis-induced bone loss in an adjuvant-induced arthritis rat model","volume":"57","author":[{"family":"Vidal","given":"Bruno"},{"family":"Cascão","given":"Rita"},{"family":"Finnilä","given":"Mikko AJ"},{"family":"Lopes","given":"Inês P."},{"family":"Glória","given":"Vânia G.","non-dropping-particle":"da"},{"family":"Saarakkala","given":"Simo"},{"family":"Zioupos","given":"Peter"},{"family":"Canhão","given":"Helena"},{"family":"Fonseca","given":"João Eurico"}],"issued":{"date-parts":[["2018"]]}}}],"schema":"https://github.com/citation-style-language/schema/raw/master/csl-citation.json"} </w:instrText>
      </w:r>
      <w:r w:rsidR="00C22156">
        <w:rPr>
          <w:lang w:val="en-US"/>
        </w:rPr>
        <w:fldChar w:fldCharType="separate"/>
      </w:r>
      <w:r w:rsidR="00AA513A">
        <w:rPr>
          <w:rFonts w:cs="Times New Roman"/>
        </w:rPr>
        <w:t>[2</w:t>
      </w:r>
      <w:r w:rsidR="00044A89" w:rsidRPr="00044A89">
        <w:rPr>
          <w:rFonts w:cs="Times New Roman"/>
        </w:rPr>
        <w:t>]</w:t>
      </w:r>
      <w:r w:rsidR="00C22156">
        <w:rPr>
          <w:lang w:val="en-US"/>
        </w:rPr>
        <w:fldChar w:fldCharType="end"/>
      </w:r>
      <w:r w:rsidR="00C22156">
        <w:t>.</w:t>
      </w:r>
      <w:r w:rsidR="00C22156" w:rsidRPr="00DB706F">
        <w:t xml:space="preserve"> </w:t>
      </w:r>
      <w:r w:rsidR="00FB179D">
        <w:t>Н</w:t>
      </w:r>
      <w:r w:rsidR="00C22156">
        <w:t>а</w:t>
      </w:r>
      <w:r w:rsidR="00C22156" w:rsidRPr="000862AE">
        <w:t xml:space="preserve"> </w:t>
      </w:r>
      <w:r w:rsidR="00C22156">
        <w:t>крыс</w:t>
      </w:r>
      <w:r w:rsidR="00FB179D">
        <w:t>ах</w:t>
      </w:r>
      <w:r w:rsidR="00C22156">
        <w:t xml:space="preserve"> в модели адъювантного артрита установили, что пероральное введение т</w:t>
      </w:r>
      <w:r w:rsidR="00713956">
        <w:t>о</w:t>
      </w:r>
      <w:r w:rsidR="00C22156">
        <w:t xml:space="preserve">фацитиниба в дозе 6,2 мг/кг один раз в день с 16 по 23 день после индукции патологии приводило к выраженному снижению отека, воспаления и опосредованной остеокластами резорбции костной ткани. Данные эффекты коррелировали с уменьшением числа клеток </w:t>
      </w:r>
      <w:r w:rsidR="009326ED">
        <w:t>кластера дифференцировки (</w:t>
      </w:r>
      <w:r w:rsidR="009326ED">
        <w:rPr>
          <w:lang w:val="en-US"/>
        </w:rPr>
        <w:t>cluster</w:t>
      </w:r>
      <w:r w:rsidR="009326ED" w:rsidRPr="005F1CAF">
        <w:t xml:space="preserve"> </w:t>
      </w:r>
      <w:r w:rsidR="009326ED">
        <w:rPr>
          <w:lang w:val="en-US"/>
        </w:rPr>
        <w:t>of</w:t>
      </w:r>
      <w:r w:rsidR="009326ED" w:rsidRPr="005F1CAF">
        <w:t xml:space="preserve"> </w:t>
      </w:r>
      <w:r w:rsidR="009326ED">
        <w:rPr>
          <w:lang w:val="en-US"/>
        </w:rPr>
        <w:t>differentiation</w:t>
      </w:r>
      <w:r w:rsidR="009326ED" w:rsidRPr="00F767F2">
        <w:t xml:space="preserve">, </w:t>
      </w:r>
      <w:r w:rsidR="00C22156">
        <w:t>CD</w:t>
      </w:r>
      <w:r w:rsidR="009326ED">
        <w:t xml:space="preserve">) </w:t>
      </w:r>
      <w:r w:rsidR="00C22156">
        <w:t xml:space="preserve">68/ED-1, CD3 и содержания </w:t>
      </w:r>
      <w:r w:rsidR="00C22156" w:rsidRPr="00486125">
        <w:t>лиганд</w:t>
      </w:r>
      <w:r w:rsidR="00C22156">
        <w:t>а</w:t>
      </w:r>
      <w:r w:rsidR="00C22156" w:rsidRPr="00486125">
        <w:t xml:space="preserve"> рецептора-активатора ядерного фактора кВ </w:t>
      </w:r>
      <w:r w:rsidR="00C22156">
        <w:t xml:space="preserve">RANKL в тканях лап; уровни </w:t>
      </w:r>
      <w:r w:rsidR="00901B64">
        <w:rPr>
          <w:lang w:val="en-US"/>
        </w:rPr>
        <w:t>IL</w:t>
      </w:r>
      <w:r w:rsidR="00901B64">
        <w:t xml:space="preserve"> </w:t>
      </w:r>
      <w:r w:rsidR="00C22156">
        <w:t>-6 (транскрипт и белок) быстро уменьшались в тканях лапы в течение 4 ч после первого введения, тогда как уровень RANKL снижался. Тофацитиниб не влиял на дифференцировку или функцию остеокластов человека, но снижал продукцию Т</w:t>
      </w:r>
      <w:r w:rsidR="00C22156" w:rsidRPr="00C22156">
        <w:t>-</w:t>
      </w:r>
      <w:r w:rsidR="00C22156">
        <w:t>лимфоцитами</w:t>
      </w:r>
      <w:r w:rsidR="00C22156" w:rsidRPr="00C22156">
        <w:t xml:space="preserve"> </w:t>
      </w:r>
      <w:r w:rsidR="00C22156" w:rsidRPr="00F25471">
        <w:rPr>
          <w:lang w:val="en-US"/>
        </w:rPr>
        <w:t>RANKL</w:t>
      </w:r>
      <w:r w:rsidR="00C22156" w:rsidRPr="00C22156">
        <w:t xml:space="preserve"> </w:t>
      </w:r>
      <w:r w:rsidR="00C22156">
        <w:t>зависимым</w:t>
      </w:r>
      <w:r w:rsidR="00C22156" w:rsidRPr="00C22156">
        <w:t xml:space="preserve"> </w:t>
      </w:r>
      <w:r w:rsidR="00C22156">
        <w:t>от</w:t>
      </w:r>
      <w:r w:rsidR="00C22156" w:rsidRPr="00C22156">
        <w:t xml:space="preserve"> </w:t>
      </w:r>
      <w:r w:rsidR="00C22156">
        <w:t>концентрации</w:t>
      </w:r>
      <w:r w:rsidR="00C22156" w:rsidRPr="00C22156">
        <w:t xml:space="preserve"> </w:t>
      </w:r>
      <w:r w:rsidR="00C22156">
        <w:t>образом</w:t>
      </w:r>
      <w:r w:rsidR="00C22156" w:rsidRPr="00C22156">
        <w:t xml:space="preserve"> </w:t>
      </w:r>
      <w:r w:rsidR="00C22156">
        <w:rPr>
          <w:lang w:val="en-US"/>
        </w:rPr>
        <w:fldChar w:fldCharType="begin"/>
      </w:r>
      <w:r w:rsidR="00044A89">
        <w:instrText xml:space="preserve"> ADDIN ZOTERO_ITEM CSL_CITATION {"citationID":"c7kQZeBN","properties":{"formattedCitation":"[14]","plainCitation":"[14]","noteIndex":0},"citationItems":[{"id":87765,"uris":["http://zotero.org/groups/4742804/items/IAYGC6SU"],"itemData":{"id":87765,"type":"article-journal","container-title":"Arthritis &amp; Rheumatism","issue":"11","note":"publisher: Wiley Online Library","page":"3531–3542","source":"Google Scholar","title":"JAK inhibition with tofacitinib suppresses arthritic joint structural damage through decreased RANKL production","volume":"64","author":[{"family":"LaBranche","given":"Timothy P."},{"family":"Jesson","given":"Michael I."},{"family":"Radi","given":"Zaher A."},{"family":"Storer","given":"Chad E."},{"family":"Guzova","given":"Julia A."},{"family":"Bonar","given":"Sheri L."},{"family":"Thompson","given":"Janice M."},{"family":"Happa","given":"Fernando A."},{"family":"Stewart","given":"Zachary S."},{"family":"Zhan","given":"Yutian"}],"issued":{"date-parts":[["2012"]]}}}],"schema":"https://github.com/citation-style-language/schema/raw/master/csl-citation.json"} </w:instrText>
      </w:r>
      <w:r w:rsidR="00C22156">
        <w:rPr>
          <w:lang w:val="en-US"/>
        </w:rPr>
        <w:fldChar w:fldCharType="separate"/>
      </w:r>
      <w:r w:rsidR="00AA513A">
        <w:rPr>
          <w:rFonts w:cs="Times New Roman"/>
        </w:rPr>
        <w:t>[3</w:t>
      </w:r>
      <w:r w:rsidR="00044A89" w:rsidRPr="00044A89">
        <w:rPr>
          <w:rFonts w:cs="Times New Roman"/>
        </w:rPr>
        <w:t>]</w:t>
      </w:r>
      <w:r w:rsidR="00C22156">
        <w:rPr>
          <w:lang w:val="en-US"/>
        </w:rPr>
        <w:fldChar w:fldCharType="end"/>
      </w:r>
      <w:r w:rsidR="00C22156" w:rsidRPr="00C22156">
        <w:t xml:space="preserve">. </w:t>
      </w:r>
      <w:r w:rsidR="00713956">
        <w:t>Н</w:t>
      </w:r>
      <w:r w:rsidR="00C22156">
        <w:t xml:space="preserve">а крысах с адъювантным артритом установили, что тофацитиниб, вводимый внутрижелудочно в дозе 6,2 мг/кг с 7 по 29 дни после индукции заболевания, заметно улучшал клиническое состояние. Уменьшение выраженности воспаления суставов и снижение уровня </w:t>
      </w:r>
      <w:r w:rsidR="00104CC6">
        <w:rPr>
          <w:lang w:val="en-US"/>
        </w:rPr>
        <w:t>C</w:t>
      </w:r>
      <w:r w:rsidR="00104CC6">
        <w:t xml:space="preserve">РБ </w:t>
      </w:r>
      <w:r w:rsidR="00C22156">
        <w:t>в сыворотке крови коррелировали с клиническими проявлениями у крыс, получавших терапию. Тофацитиниб значительно снижал количество CD4+интерферон</w:t>
      </w:r>
      <w:r w:rsidR="00F75DCD">
        <w:t xml:space="preserve"> (</w:t>
      </w:r>
      <w:r w:rsidR="00FD117F">
        <w:rPr>
          <w:lang w:val="en-US"/>
        </w:rPr>
        <w:t>interferon</w:t>
      </w:r>
      <w:r w:rsidR="00FD117F" w:rsidRPr="00FD117F">
        <w:t xml:space="preserve">, </w:t>
      </w:r>
      <w:r w:rsidR="00FD117F">
        <w:rPr>
          <w:lang w:val="en-US"/>
        </w:rPr>
        <w:t>IFN</w:t>
      </w:r>
      <w:r w:rsidR="00FD117F" w:rsidRPr="00FD117F">
        <w:t>)</w:t>
      </w:r>
      <w:r w:rsidR="00C22156">
        <w:t xml:space="preserve">-γ+ Т-клеток и уровень матричной рибонуклеиновой кислоты (мРНК) </w:t>
      </w:r>
      <w:r w:rsidR="00901B64">
        <w:rPr>
          <w:lang w:val="en-US"/>
        </w:rPr>
        <w:t>IL</w:t>
      </w:r>
      <w:r w:rsidR="00C22156">
        <w:t xml:space="preserve">-1 в селезенке крыс </w:t>
      </w:r>
      <w:r w:rsidR="00C22156">
        <w:rPr>
          <w:lang w:val="en-US"/>
        </w:rPr>
        <w:fldChar w:fldCharType="begin"/>
      </w:r>
      <w:r w:rsidR="00044A89">
        <w:instrText xml:space="preserve"> ADDIN ZOTERO_ITEM CSL_CITATION {"citationID":"61dlOIt5","properties":{"formattedCitation":"[15]","plainCitation":"[15]","noteIndex":0},"citationItems":[{"id":87763,"uris":["http://zotero.org/groups/4742804/items/7JXTF94G"],"itemData":{"id":87763,"type":"article-journal","abstract":"Rheumatoid arthritis (RA) is an autoimmune disease characterized by pronounced inflammation and leukocyte infiltration in affected joints. Tofacitinib is new agent, a selective inhibitor of Janus kinase (JAK) signaling pathways mediated by JAK1 and JAK3 and inhibits the key transcription factors STAT1 and STAT3. We investigated the action mechanisms of tofacitinib in rats with adjuvant-induced-arthritis (AIA). AIA-rats were treated orally with tofacitinib or with methotrexate. Arthritis severity and serum C-reactive protein (CRP) levels were evaluated, splenic cells were examined by flow cytometry and cytokines were analyzed by real-time PCR. Tofacitinib markedly reduced the clinical status of treated rats in comparison to control group. Reduced joints inflammation and down-regulated serum CRP levels reflected the clinical manifestations of the treated rats. Tofacitinib down-regulated significantly the frequency of CD4+IFN-γ+ T cells and reduced IL-1β mRNA expression levels in the spleen of the treated rats. These results show that tofacitinib attenuated arthritis severity, modified splenic populations and cytokine imbalance.","collection-title":"Special issue:Immune regulation","container-title":"Clinical Immunology","DOI":"10.1016/j.clim.2017.04.015","ISSN":"1521-6616","journalAbbreviation":"Clinical Immunology","language":"en","page":"77-81","source":"ScienceDirect","title":"Tofacitinib attenuates arthritis manifestations and reduces the pathogenic CD4 T cells in adjuvant arthritis rats","volume":"184","author":[{"family":"Gertel","given":"Smadar"},{"family":"Mahagna","given":"Hussein"},{"family":"Karmon","given":"Gidi"},{"family":"Watad","given":"Abdulla"},{"family":"Amital","given":"Howard"}],"issued":{"date-parts":[["2017",11,1]]}}}],"schema":"https://github.com/citation-style-language/schema/raw/master/csl-citation.json"} </w:instrText>
      </w:r>
      <w:r w:rsidR="00C22156">
        <w:rPr>
          <w:lang w:val="en-US"/>
        </w:rPr>
        <w:fldChar w:fldCharType="separate"/>
      </w:r>
      <w:r w:rsidR="00AA513A">
        <w:rPr>
          <w:rFonts w:cs="Times New Roman"/>
        </w:rPr>
        <w:t>[4</w:t>
      </w:r>
      <w:r w:rsidR="00044A89" w:rsidRPr="00044A89">
        <w:rPr>
          <w:rFonts w:cs="Times New Roman"/>
        </w:rPr>
        <w:t>]</w:t>
      </w:r>
      <w:r w:rsidR="00C22156">
        <w:rPr>
          <w:lang w:val="en-US"/>
        </w:rPr>
        <w:fldChar w:fldCharType="end"/>
      </w:r>
      <w:r w:rsidR="00C22156">
        <w:t>.</w:t>
      </w:r>
    </w:p>
    <w:p w14:paraId="3B199715" w14:textId="121F1A43" w:rsidR="00D5751A" w:rsidRDefault="009E120D" w:rsidP="00D36ADC">
      <w:pPr>
        <w:pStyle w:val="SDText"/>
        <w:contextualSpacing/>
      </w:pPr>
      <w:r>
        <w:t>Тофаци</w:t>
      </w:r>
      <w:r w:rsidR="00122DDD">
        <w:t>т</w:t>
      </w:r>
      <w:r>
        <w:t>и</w:t>
      </w:r>
      <w:r w:rsidR="00122DDD">
        <w:t>н</w:t>
      </w:r>
      <w:r>
        <w:t>иб не оказывал неблагоприятного влияния на сердечно-сосудистую, дыхательную, почечную функции или функции ЖКТ в отдельных исследованиях фармакологической безопасности. При пероральном введении тофацитиниба мышам наблюдали снижение спонтанной активности при высоких (100 мг/кг) дозах, свидетельствующих о потенциальной нейротоксичности. Однако это наблюдение</w:t>
      </w:r>
      <w:r w:rsidR="00BA39F0">
        <w:t xml:space="preserve"> </w:t>
      </w:r>
      <w:r w:rsidR="002A311E">
        <w:t xml:space="preserve">коррелировало с </w:t>
      </w:r>
      <w:r w:rsidR="00B473E3">
        <w:t>признаками</w:t>
      </w:r>
      <w:r w:rsidR="002A311E">
        <w:t xml:space="preserve"> общей токсичност</w:t>
      </w:r>
      <w:r w:rsidR="00B473E3">
        <w:t>и</w:t>
      </w:r>
      <w:r w:rsidR="00122DDD">
        <w:t>,</w:t>
      </w:r>
      <w:r w:rsidR="002A311E">
        <w:t xml:space="preserve"> и стимулирования или ингибирования судорог</w:t>
      </w:r>
      <w:r w:rsidR="00F542AF">
        <w:t xml:space="preserve"> не наблюдали </w:t>
      </w:r>
      <w:r w:rsidR="00A706B6">
        <w:rPr>
          <w:lang w:val="en-US"/>
        </w:rPr>
        <w:fldChar w:fldCharType="begin"/>
      </w:r>
      <w:r w:rsidR="00044A89">
        <w:instrText xml:space="preserve"> ADDIN ZOTERO_ITEM CSL_CITATION {"citationID":"kevgEyBg","properties":{"formattedCitation":"[12]","plainCitation":"[12]","noteIndex":0},"citationItems":[{"id":87803,"uris":["http://zotero.org/groups/4742804/items/DMZ5DFPG"],"itemData":{"id":87803,"type":"webpage","title":"Xeljanz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A706B6">
        <w:rPr>
          <w:lang w:val="en-US"/>
        </w:rPr>
        <w:fldChar w:fldCharType="separate"/>
      </w:r>
      <w:r w:rsidR="00AA513A">
        <w:rPr>
          <w:rFonts w:cs="Times New Roman"/>
        </w:rPr>
        <w:t>[1</w:t>
      </w:r>
      <w:r w:rsidR="00044A89" w:rsidRPr="00044A89">
        <w:rPr>
          <w:rFonts w:cs="Times New Roman"/>
        </w:rPr>
        <w:t>]</w:t>
      </w:r>
      <w:r w:rsidR="00A706B6">
        <w:rPr>
          <w:lang w:val="en-US"/>
        </w:rPr>
        <w:fldChar w:fldCharType="end"/>
      </w:r>
      <w:r w:rsidR="00A706B6">
        <w:t>.</w:t>
      </w:r>
    </w:p>
    <w:p w14:paraId="20D3ECC1" w14:textId="36E8AE18" w:rsidR="00CC5C11" w:rsidRDefault="00CC5C11" w:rsidP="00D36ADC">
      <w:pPr>
        <w:pStyle w:val="SDText"/>
        <w:contextualSpacing/>
      </w:pPr>
      <w:r>
        <w:t>На крыс</w:t>
      </w:r>
      <w:r w:rsidR="00122DDD">
        <w:t>ах</w:t>
      </w:r>
      <w:r>
        <w:t xml:space="preserve"> с адъювантным артритом установили аддитивный эффект тофацитиниба и дексаметазона, вводимых подкожно в дозе 1,5 и 0,225 мг/кг соответственно, с фактором взаимодействия, составившим 0,76</w:t>
      </w:r>
      <w:r w:rsidRPr="00CE4E52">
        <w:t xml:space="preserve"> </w:t>
      </w:r>
      <w:r>
        <w:fldChar w:fldCharType="begin"/>
      </w:r>
      <w:r w:rsidR="00044A89">
        <w:instrText xml:space="preserve"> ADDIN ZOTERO_ITEM CSL_CITATION {"citationID":"sASNafm5","properties":{"formattedCitation":"[16]","plainCitation":"[16]","noteIndex":0},"citationItems":[{"id":87764,"uris":["http://zotero.org/groups/4742804/items/K2AAYR4K"],"itemData":{"id":87764,"type":"article-journal","container-title":"The AAPS journal","issue":"5","note":"publisher: Springer","page":"1–9","source":"Google Scholar","title":"Modeling combined anti-inflammatory effects of dexamethasone and tofacitinib in arthritic rats","volume":"21","author":[{"family":"Yu","given":"Ruihong"},{"family":"Song","given":"Dawei"},{"family":"DuBois","given":"Debra C."},{"family":"Almon","given":"Richard R."},{"family":"Jusko","given":"William J."}],"issued":{"date-parts":[["2019"]]}}}],"schema":"https://github.com/citation-style-language/schema/raw/master/csl-citation.json"} </w:instrText>
      </w:r>
      <w:r>
        <w:fldChar w:fldCharType="separate"/>
      </w:r>
      <w:r w:rsidR="00AA513A">
        <w:rPr>
          <w:rFonts w:cs="Times New Roman"/>
        </w:rPr>
        <w:t>[5</w:t>
      </w:r>
      <w:r w:rsidR="00044A89" w:rsidRPr="00044A89">
        <w:rPr>
          <w:rFonts w:cs="Times New Roman"/>
        </w:rPr>
        <w:t>]</w:t>
      </w:r>
      <w:r>
        <w:fldChar w:fldCharType="end"/>
      </w:r>
      <w:r>
        <w:t>.</w:t>
      </w:r>
      <w:r w:rsidR="00376D0B">
        <w:t xml:space="preserve"> В</w:t>
      </w:r>
      <w:r>
        <w:t xml:space="preserve"> исследовании </w:t>
      </w:r>
      <w:r w:rsidRPr="00417C81">
        <w:rPr>
          <w:i/>
          <w:iCs/>
          <w:lang w:val="en-US"/>
        </w:rPr>
        <w:t>in</w:t>
      </w:r>
      <w:r w:rsidRPr="00417C81">
        <w:rPr>
          <w:i/>
          <w:iCs/>
        </w:rPr>
        <w:t xml:space="preserve"> </w:t>
      </w:r>
      <w:r w:rsidRPr="00417C81">
        <w:rPr>
          <w:i/>
          <w:iCs/>
          <w:lang w:val="en-US"/>
        </w:rPr>
        <w:t>vitro</w:t>
      </w:r>
      <w:r w:rsidRPr="000D659F">
        <w:t xml:space="preserve"> </w:t>
      </w:r>
      <w:r w:rsidR="00376D0B">
        <w:t>р</w:t>
      </w:r>
      <w:r>
        <w:t>азличия в зависимости от пола и вида были обнаружены во взаимодействиях дексаметазона и тофацитиниба с синергическим эффектом для лимфоцитов мужчин</w:t>
      </w:r>
      <w:r w:rsidR="00122DDD">
        <w:t>,</w:t>
      </w:r>
      <w:r>
        <w:t xml:space="preserve"> и аддитивным и антагонистическим эффектом для лимфоцитов женщин и самок крыс</w:t>
      </w:r>
      <w:r w:rsidRPr="0044204D">
        <w:t xml:space="preserve"> </w:t>
      </w:r>
      <w:r w:rsidRPr="00984EFA">
        <w:fldChar w:fldCharType="begin"/>
      </w:r>
      <w:r w:rsidR="00044A89">
        <w:instrText xml:space="preserve"> ADDIN ZOTERO_ITEM CSL_CITATION {"citationID":"xbgFKSL9","properties":{"formattedCitation":"[17]","plainCitation":"[17]","noteIndex":0},"citationItems":[{"id":87761,"uris":["http://zotero.org/groups/4742804/items/8PPQJG2B"],"itemData":{"id":87761,"type":"article-journal","abstract":"Lymphocyte proliferation is a major factor determining the magnitude of the immune response. Both dexamethasone (DEX) and tofacitinib (TOF) exert marked immunosuppressive effects and are mainstay drugs in the treatment of rheumatoid arthritis (RA). This study was aimed to explore the single and combined anti-proliferative action of DEX and TOF on lymphocytes and their sex differences.","container-title":"Pharmaceutical Research","DOI":"10.1007/s11095-020-02827-7","ISSN":"1573-904X","issue":"6","journalAbbreviation":"Pharm Res","language":"en","page":"105","source":"Springer Link","title":"Interactions of tofacitinib and dexamethasone on lymphocyte proliferation","volume":"37","author":[{"family":"Yu","given":"Ruihong"},{"family":"Li","given":"Xiaonan"},{"family":"DuBois","given":"Debra C."},{"family":"Almon","given":"Richard R."},{"family":"Cao","given":"Yongxiao"},{"family":"Jusko","given":"William J."}],"issued":{"date-parts":[["2020",5,26]]}}}],"schema":"https://github.com/citation-style-language/schema/raw/master/csl-citation.json"} </w:instrText>
      </w:r>
      <w:r w:rsidRPr="00984EFA">
        <w:fldChar w:fldCharType="separate"/>
      </w:r>
      <w:r w:rsidR="00AA513A">
        <w:rPr>
          <w:rFonts w:cs="Times New Roman"/>
        </w:rPr>
        <w:t>[6</w:t>
      </w:r>
      <w:r w:rsidR="00044A89" w:rsidRPr="00044A89">
        <w:rPr>
          <w:rFonts w:cs="Times New Roman"/>
        </w:rPr>
        <w:t>]</w:t>
      </w:r>
      <w:r w:rsidRPr="00984EFA">
        <w:fldChar w:fldCharType="end"/>
      </w:r>
      <w:r>
        <w:t>.</w:t>
      </w:r>
    </w:p>
    <w:p w14:paraId="33CDF23E" w14:textId="2E104177" w:rsidR="00A706B6" w:rsidRDefault="00762BC0" w:rsidP="00D36ADC">
      <w:pPr>
        <w:pStyle w:val="SDText"/>
        <w:contextualSpacing/>
      </w:pPr>
      <w:r>
        <w:t>В ф</w:t>
      </w:r>
      <w:r w:rsidR="00A706B6">
        <w:t>армакокинетически</w:t>
      </w:r>
      <w:r>
        <w:t>х исследованиях</w:t>
      </w:r>
      <w:r w:rsidR="00A706B6">
        <w:t xml:space="preserve"> тофацитиниба у крыс, кроликов, собак и обезьян продемонстрировали быстрое всасывание </w:t>
      </w:r>
      <w:r>
        <w:t xml:space="preserve">после перорального введения </w:t>
      </w:r>
      <w:r w:rsidR="00A706B6">
        <w:t xml:space="preserve">с коротким периодом полувыведения </w:t>
      </w:r>
      <w:r>
        <w:t>(</w:t>
      </w:r>
      <w:r w:rsidR="00C2295D">
        <w:rPr>
          <w:lang w:val="en-US"/>
        </w:rPr>
        <w:t>T</w:t>
      </w:r>
      <w:r w:rsidRPr="00C21B43">
        <w:rPr>
          <w:vertAlign w:val="subscript"/>
        </w:rPr>
        <w:t>1/2</w:t>
      </w:r>
      <w:r>
        <w:t xml:space="preserve">), находившимся в интервале </w:t>
      </w:r>
      <w:r w:rsidR="00A706B6">
        <w:t>от 0,6 до 2,8 ч</w:t>
      </w:r>
      <w:r>
        <w:t xml:space="preserve"> </w:t>
      </w:r>
      <w:r w:rsidR="00A706B6">
        <w:t xml:space="preserve">для всех видов. Тофацитиниб связывался с белками </w:t>
      </w:r>
      <w:r>
        <w:t>в</w:t>
      </w:r>
      <w:r w:rsidR="00A706B6">
        <w:t xml:space="preserve"> минимально</w:t>
      </w:r>
      <w:r>
        <w:t>й</w:t>
      </w:r>
      <w:r w:rsidR="00A706B6">
        <w:t xml:space="preserve"> </w:t>
      </w:r>
      <w:r>
        <w:t>или</w:t>
      </w:r>
      <w:r w:rsidR="00A706B6">
        <w:t xml:space="preserve"> умеренно</w:t>
      </w:r>
      <w:r w:rsidR="00BF7987">
        <w:t>й</w:t>
      </w:r>
      <w:r w:rsidR="00A706B6">
        <w:t xml:space="preserve"> </w:t>
      </w:r>
      <w:r>
        <w:t xml:space="preserve">степени </w:t>
      </w:r>
      <w:r w:rsidR="00A706B6">
        <w:t xml:space="preserve">у мышей (67%), крыс (85%), собак (80%), обезьян (65%) и </w:t>
      </w:r>
      <w:r>
        <w:t>человека</w:t>
      </w:r>
      <w:r w:rsidR="00A706B6">
        <w:t xml:space="preserve"> (62%). После </w:t>
      </w:r>
      <w:r>
        <w:t>перорального</w:t>
      </w:r>
      <w:r w:rsidR="00A706B6">
        <w:t xml:space="preserve"> введени</w:t>
      </w:r>
      <w:r>
        <w:t>я</w:t>
      </w:r>
      <w:r w:rsidR="00A706B6">
        <w:t xml:space="preserve"> крысам тофацитиниб </w:t>
      </w:r>
      <w:r>
        <w:t>выводился</w:t>
      </w:r>
      <w:r w:rsidR="00A706B6">
        <w:t xml:space="preserve"> как через почки (~50%), так и с </w:t>
      </w:r>
      <w:r>
        <w:t>фекалиями</w:t>
      </w:r>
      <w:r w:rsidR="00A706B6">
        <w:t xml:space="preserve"> (~ 50%). У кроликов и обезьян тофацитиниб </w:t>
      </w:r>
      <w:r>
        <w:t xml:space="preserve">после перорального приема </w:t>
      </w:r>
      <w:r w:rsidR="00A706B6">
        <w:t xml:space="preserve">в основном выводился </w:t>
      </w:r>
      <w:r>
        <w:t>с</w:t>
      </w:r>
      <w:r w:rsidR="00A706B6">
        <w:t xml:space="preserve"> моч</w:t>
      </w:r>
      <w:r>
        <w:t>ой</w:t>
      </w:r>
      <w:r w:rsidR="00A706B6">
        <w:t xml:space="preserve"> (~ 56%)</w:t>
      </w:r>
      <w:r>
        <w:t xml:space="preserve"> и</w:t>
      </w:r>
      <w:r w:rsidR="00A706B6">
        <w:t xml:space="preserve"> </w:t>
      </w:r>
      <w:r>
        <w:t>в</w:t>
      </w:r>
      <w:r w:rsidR="00A706B6">
        <w:t xml:space="preserve"> меньш</w:t>
      </w:r>
      <w:r>
        <w:t>ей</w:t>
      </w:r>
      <w:r w:rsidR="00A706B6">
        <w:t xml:space="preserve"> </w:t>
      </w:r>
      <w:r>
        <w:t>степени</w:t>
      </w:r>
      <w:r w:rsidR="00A706B6">
        <w:t xml:space="preserve"> с </w:t>
      </w:r>
      <w:r>
        <w:t>фекалиями</w:t>
      </w:r>
      <w:r w:rsidR="00A706B6">
        <w:t xml:space="preserve"> (~30%). Основными ферментами</w:t>
      </w:r>
      <w:r>
        <w:t>, участвующими в метаболизме тофацитиниба</w:t>
      </w:r>
      <w:r w:rsidRPr="00762BC0">
        <w:t xml:space="preserve"> </w:t>
      </w:r>
      <w:r>
        <w:t xml:space="preserve">в микросомах печени человека </w:t>
      </w:r>
      <w:r w:rsidRPr="00A706B6">
        <w:rPr>
          <w:i/>
          <w:iCs/>
        </w:rPr>
        <w:t>in vitro</w:t>
      </w:r>
      <w:r>
        <w:t>,</w:t>
      </w:r>
      <w:r w:rsidR="00A706B6">
        <w:t xml:space="preserve"> были изоформы цитохрома </w:t>
      </w:r>
      <w:r>
        <w:rPr>
          <w:lang w:val="en-US"/>
        </w:rPr>
        <w:t>P</w:t>
      </w:r>
      <w:r w:rsidR="00A706B6">
        <w:t xml:space="preserve">450 </w:t>
      </w:r>
      <w:r w:rsidRPr="00762BC0">
        <w:t>(</w:t>
      </w:r>
      <w:r>
        <w:rPr>
          <w:lang w:val="en-US"/>
        </w:rPr>
        <w:t>cytochrome</w:t>
      </w:r>
      <w:r w:rsidRPr="007628C9">
        <w:t xml:space="preserve"> </w:t>
      </w:r>
      <w:r>
        <w:rPr>
          <w:lang w:val="en-US"/>
        </w:rPr>
        <w:t>P</w:t>
      </w:r>
      <w:r w:rsidRPr="007628C9">
        <w:t>450,</w:t>
      </w:r>
      <w:r>
        <w:t xml:space="preserve"> </w:t>
      </w:r>
      <w:r w:rsidR="00A706B6">
        <w:t>CYP</w:t>
      </w:r>
      <w:r w:rsidRPr="00762BC0">
        <w:t xml:space="preserve">) </w:t>
      </w:r>
      <w:r w:rsidR="00A706B6">
        <w:t>3A4/3A5 и CYP2C19</w:t>
      </w:r>
      <w:r>
        <w:t xml:space="preserve"> </w:t>
      </w:r>
      <w:r>
        <w:rPr>
          <w:lang w:val="en-US"/>
        </w:rPr>
        <w:fldChar w:fldCharType="begin"/>
      </w:r>
      <w:r w:rsidR="00044A89">
        <w:instrText xml:space="preserve"> ADDIN ZOTERO_ITEM CSL_CITATION {"citationID":"jpusWWC6","properties":{"formattedCitation":"[12]","plainCitation":"[12]","noteIndex":0},"citationItems":[{"id":87803,"uris":["http://zotero.org/groups/4742804/items/DMZ5DFPG"],"itemData":{"id":87803,"type":"webpage","title":"Xeljanz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044A89" w:rsidRPr="00044A89">
        <w:rPr>
          <w:rFonts w:cs="Times New Roman"/>
        </w:rPr>
        <w:t>[12]</w:t>
      </w:r>
      <w:r>
        <w:rPr>
          <w:lang w:val="en-US"/>
        </w:rPr>
        <w:fldChar w:fldCharType="end"/>
      </w:r>
      <w:r>
        <w:t>.</w:t>
      </w:r>
      <w:r w:rsidR="004B0C65" w:rsidRPr="004B0C65">
        <w:t xml:space="preserve"> </w:t>
      </w:r>
      <w:r w:rsidR="004B0C65">
        <w:t xml:space="preserve">На крысах установили, что низкая </w:t>
      </w:r>
      <w:r w:rsidR="00C2295D">
        <w:t>биодоступность (</w:t>
      </w:r>
      <w:r w:rsidR="004B0C65">
        <w:t>F</w:t>
      </w:r>
      <w:r w:rsidR="00C2295D">
        <w:t>)</w:t>
      </w:r>
      <w:r w:rsidR="004B0C65">
        <w:t xml:space="preserve"> тофацитиниба в первую очередь обусловлена эффектами первого прохождения через печень и кишечник </w:t>
      </w:r>
      <w:r w:rsidR="004B0C65">
        <w:fldChar w:fldCharType="begin"/>
      </w:r>
      <w:r w:rsidR="00044A89">
        <w:instrText xml:space="preserve"> ADDIN ZOTERO_ITEM CSL_CITATION {"citationID":"bBIQRBwc","properties":{"formattedCitation":"[18]","plainCitation":"[18]","noteIndex":0},"citationItems":[{"id":87768,"uris":["http://zotero.org/groups/4742804/items/RBDMDKU2"],"itemData":{"id":87768,"type":"article-journal","abstract":"This study investigated the pharmacokinetics of tofacitinib in rats and the effects of first-pass metabolism on tofacitinib pharmacokinetics. Intravenous administration of 5, 10, 20, and 50 mg/kg tofacitinib showed that the dose-normalized area under the plasma concentration-time curve from time zero to infinity (AUC) was significantly higher at 50 mg/kg than at lower doses, a difference possibly due to saturation of the hepatic metabolism of tofacitinib. Oral administration of 10, 20, 50, and 100 mg/kg tofacitinib showed that the dose-normalized AUC was significantly higher at 100 mg/kg than at lower doses, a difference possibly due to saturation of the intestinal metabolism of tofacitinib. Following oral administration of 10 mg/kg tofacitinib, the unabsorbed fraction from the rat intestine was 3.16% and the bioavailability (F) was 29.1%. The AUC was significantly lower (49.3%) after intraduodenal, compared to intraportal, administration, but did not differ between intragastric and intraduodenal administration, suggesting that approximately 46.1% of orally administered tofacitinib was metabolized through an intestinal first-pass effect. The AUC was also significantly lower (42%) after intraportal, compared to intravenous, administration, suggesting that the hepatic first-pass effect on tofacitinib after entering the portal vein was approximately 21.3% of the oral dose. Taken together, these findings suggest that the low F of tofacitinib is due primarily to intestinal first-pass metabolism.","container-title":"Pharmaceutics","DOI":"10.3390/pharmaceutics11070318","ISSN":"1999-4923","issue":"7","language":"en","license":"http://creativecommons.org/licenses/by/3.0/","note":"number: 7\npublisher: Multidisciplinary Digital Publishing Institute","page":"318","source":"www.mdpi.com","title":"Dose-dependent pharmacokinetics of tofacitinib in rats: influence of hepatic and intestinal first-pass metabolism","title-short":"Dose-Dependent Pharmacokinetics of Tofacitinib in Rats","volume":"11","author":[{"family":"Lee","given":"Ji Sang"},{"family":"Kim","given":"So Hee"}],"issued":{"date-parts":[["2019",7]]}}}],"schema":"https://github.com/citation-style-language/schema/raw/master/csl-citation.json"} </w:instrText>
      </w:r>
      <w:r w:rsidR="004B0C65">
        <w:fldChar w:fldCharType="separate"/>
      </w:r>
      <w:r w:rsidR="00AA513A">
        <w:rPr>
          <w:rFonts w:cs="Times New Roman"/>
        </w:rPr>
        <w:t>[7</w:t>
      </w:r>
      <w:r w:rsidR="00044A89" w:rsidRPr="00044A89">
        <w:rPr>
          <w:rFonts w:cs="Times New Roman"/>
        </w:rPr>
        <w:t>]</w:t>
      </w:r>
      <w:r w:rsidR="004B0C65">
        <w:fldChar w:fldCharType="end"/>
      </w:r>
      <w:r w:rsidR="004B0C65">
        <w:t>.</w:t>
      </w:r>
      <w:r w:rsidR="00886F3E">
        <w:t xml:space="preserve"> На крысах установили, что предварительное внутрижелудочное введение нарингенина в дозе 150 мг/кг/сут в течение 2 недель до однократного </w:t>
      </w:r>
      <w:r w:rsidR="00886F3E">
        <w:lastRenderedPageBreak/>
        <w:t xml:space="preserve">внутрижелудочного введения тофацитиниба в дозе 5 мг/кг приводило к статистически значимому повышению </w:t>
      </w:r>
      <w:r w:rsidR="007326B3">
        <w:t>площади под фармакокинетической кривой «концентрация-время» от начального момента времени до 24 ч после введения (</w:t>
      </w:r>
      <w:r w:rsidR="00886F3E">
        <w:t>AUC</w:t>
      </w:r>
      <w:r w:rsidR="00886F3E" w:rsidRPr="0032364F">
        <w:rPr>
          <w:vertAlign w:val="subscript"/>
        </w:rPr>
        <w:t>(0-24)</w:t>
      </w:r>
      <w:r w:rsidR="007326B3">
        <w:t>)</w:t>
      </w:r>
      <w:r w:rsidR="00886F3E">
        <w:t xml:space="preserve"> тофацитиниба с 1222,81 ± 222,07 до 2016,27 ± 481,62 нг*ч/мл (p &lt; 0,05). По сравнению с контрольной группой</w:t>
      </w:r>
      <w:r w:rsidR="00122DDD">
        <w:t>,</w:t>
      </w:r>
      <w:r w:rsidR="00886F3E">
        <w:t xml:space="preserve"> </w:t>
      </w:r>
      <w:r w:rsidR="007326B3">
        <w:t>врем</w:t>
      </w:r>
      <w:r w:rsidR="00526B5A">
        <w:t>я</w:t>
      </w:r>
      <w:r w:rsidR="007326B3">
        <w:t xml:space="preserve"> достижения максимальной концентрации (</w:t>
      </w:r>
      <w:r w:rsidR="00F033B3">
        <w:rPr>
          <w:lang w:val="en-US"/>
        </w:rPr>
        <w:t>T</w:t>
      </w:r>
      <w:r w:rsidR="00886F3E" w:rsidRPr="004E76D7">
        <w:rPr>
          <w:vertAlign w:val="subscript"/>
        </w:rPr>
        <w:t>max</w:t>
      </w:r>
      <w:r w:rsidR="007326B3">
        <w:t>)</w:t>
      </w:r>
      <w:r w:rsidR="00886F3E">
        <w:t xml:space="preserve"> тофацитиниба было увеличено с 0,75 ± 0,29 до 3,00 ± 0,00 ч (p &lt; 0,05), а среднее время удерживания </w:t>
      </w:r>
      <w:r w:rsidR="007326B3">
        <w:t xml:space="preserve">в течение 24 ч </w:t>
      </w:r>
      <w:r w:rsidR="00886F3E">
        <w:t>(MRT</w:t>
      </w:r>
      <w:r w:rsidR="00886F3E" w:rsidRPr="00001EC3">
        <w:rPr>
          <w:vertAlign w:val="subscript"/>
        </w:rPr>
        <w:t>(0-24)</w:t>
      </w:r>
      <w:r w:rsidR="00886F3E">
        <w:t>)</w:t>
      </w:r>
      <w:r w:rsidR="00886F3E" w:rsidRPr="00001EC3">
        <w:rPr>
          <w:vertAlign w:val="subscript"/>
        </w:rPr>
        <w:t xml:space="preserve"> </w:t>
      </w:r>
      <w:r w:rsidR="00886F3E">
        <w:t xml:space="preserve">тофацитиниба увеличилось с 4,90 ± 0,51 до 6,57 ± 0,66 ч (p &lt; 0,05), но </w:t>
      </w:r>
      <w:r w:rsidR="007326B3">
        <w:t>общий плазменный клиренс (</w:t>
      </w:r>
      <w:r w:rsidR="00886F3E">
        <w:rPr>
          <w:lang w:val="en-US"/>
        </w:rPr>
        <w:t>CL</w:t>
      </w:r>
      <w:r w:rsidR="007326B3">
        <w:t>)</w:t>
      </w:r>
      <w:r w:rsidR="00886F3E">
        <w:t xml:space="preserve"> тофацитиниба у животных, предварительно получавших нарингенин</w:t>
      </w:r>
      <w:r w:rsidR="001D004A">
        <w:t>,</w:t>
      </w:r>
      <w:r w:rsidR="00886F3E">
        <w:t xml:space="preserve"> был статистически значимо снижен с 4,10 ± 0,72 до 2,42 ± 0,70 л/ч/кг (p &lt; 0,05) </w:t>
      </w:r>
      <w:r w:rsidR="00886F3E">
        <w:fldChar w:fldCharType="begin"/>
      </w:r>
      <w:r w:rsidR="00044A89">
        <w:instrText xml:space="preserve"> ADDIN ZOTERO_ITEM CSL_CITATION {"citationID":"bmC9ZWsI","properties":{"formattedCitation":"[19]","plainCitation":"[19]","noteIndex":0},"citationItems":[{"id":87769,"uris":["http://zotero.org/groups/4742804/items/5E97TKC5"],"itemData":{"id":87769,"type":"article-journal","abstract":"Context Naringenin and tofacitinib are often used together for treatment of rheumatoid arthritis in Chinese clinics.Objective This experiment investigates the effect of naringenin on the pharmacokinetics of tofacitinib in rats.Materials and methods Twelve Sprague-Dawley rats were randomly divided into two groups (experimental group and control group). The experimental group was pre-treated with naringenin (150 mg/kg/day) for two weeks before dosing tofacitinib, and equal amounts of CMC-Na solution in the control group. After a single oral administration of 5 mg/kg of tofacitinib, 50 μL blood samples were directly collected into 1.5 mL heparinized tubes via the caudal vein at 0.083, 0.5, 1, 2, 3, 4, 6, 8, 10, 12 and 24 h. The plasma concentration of tofacitinib was quantified by UPLC/MS–MS.Results Results indicated that naringenin could significantly affect the pharmacokinetics of tofacitinib. The AUC0–24 of tofacitinib was increased from 1222.81 ± 222.07 to 2016.27 ± 481.62 ng/mL/h, and the difference was significant (p &lt; 0.05). Compared with the control group, the Tmax was increased from 0.75 ± 0.29 to 3.00 ± 0.00 h (p &lt; 0.05), and the MRT(0–24) was increased from 4.90 ± 0.51 to 6.57 ± 0.66 h (p &lt; 0.05), but the clearance was obviously decreased from 4.10 ± 0.72 to 2.42 ± 0.70 L/h/kg (p &lt; 0.05) in experimental group. Although the Cmax and t1/2 of tofacitinib were increased, there were no significant differences (p &gt; 0.05).Conclusions This research demonstrated a drug-drug interaction between naringenin and tofacitinib possibly when preadministered with naringenin; thus, we should pay attention to this possibility in the clinic.","container-title":"Pharmaceutical Biology","DOI":"10.1080/13880209.2020.1738504","ISSN":"1388-0209","issue":"1","note":"publisher: Taylor &amp; Francis\n_eprint: https://doi.org/10.1080/13880209.2020.1738504\nPMID: 32202190","page":"225-230","source":"Taylor and Francis+NEJM","title":"Effects of naringenin on the pharmacokinetics of tofacitinib in rats","volume":"58","author":[{"family":"Wang","given":"Bo"},{"family":"Shen","given":"Jiquan"},{"family":"Zhou","given":"Quan"},{"family":"Meng","given":"Deru"},{"family":"He","given":"Youwu"},{"family":"Chen","given":"Feifei"},{"family":"Wang","given":"Shuanghu"},{"family":"Ji","given":"Weiping"}],"issued":{"date-parts":[["2020",1,1]]}}}],"schema":"https://github.com/citation-style-language/schema/raw/master/csl-citation.json"} </w:instrText>
      </w:r>
      <w:r w:rsidR="00886F3E">
        <w:fldChar w:fldCharType="separate"/>
      </w:r>
      <w:r w:rsidR="00AA513A">
        <w:rPr>
          <w:rFonts w:cs="Times New Roman"/>
        </w:rPr>
        <w:t>[8</w:t>
      </w:r>
      <w:r w:rsidR="00044A89" w:rsidRPr="00044A89">
        <w:rPr>
          <w:rFonts w:cs="Times New Roman"/>
        </w:rPr>
        <w:t>]</w:t>
      </w:r>
      <w:r w:rsidR="00886F3E">
        <w:fldChar w:fldCharType="end"/>
      </w:r>
      <w:r w:rsidR="00886F3E">
        <w:t>.</w:t>
      </w:r>
      <w:r w:rsidR="00886F3E" w:rsidRPr="00CB0214">
        <w:t xml:space="preserve"> </w:t>
      </w:r>
      <w:r w:rsidR="00000BB0">
        <w:t>Б</w:t>
      </w:r>
      <w:r w:rsidR="00886F3E">
        <w:t xml:space="preserve">олее высокая </w:t>
      </w:r>
      <w:r w:rsidR="00A27D97">
        <w:t>площадь под фармакокинетической кривой «концентрация-время» (</w:t>
      </w:r>
      <w:r w:rsidR="00886F3E">
        <w:t>AUC</w:t>
      </w:r>
      <w:r w:rsidR="00A27D97">
        <w:t>)</w:t>
      </w:r>
      <w:r w:rsidR="00886F3E">
        <w:t xml:space="preserve"> и более медленный </w:t>
      </w:r>
      <w:r w:rsidR="00000BB0">
        <w:t>внепочечный клиренс (</w:t>
      </w:r>
      <w:r w:rsidR="00886F3E">
        <w:t>CL</w:t>
      </w:r>
      <w:r w:rsidR="00886F3E" w:rsidRPr="00E43021">
        <w:rPr>
          <w:vertAlign w:val="subscript"/>
        </w:rPr>
        <w:t>NR</w:t>
      </w:r>
      <w:r w:rsidR="009C7402">
        <w:t>)</w:t>
      </w:r>
      <w:r w:rsidR="00886F3E">
        <w:t xml:space="preserve"> тофацитиниба после внутривенного и перорального введения </w:t>
      </w:r>
      <w:r w:rsidR="00000BB0">
        <w:t xml:space="preserve">крысам </w:t>
      </w:r>
      <w:r w:rsidR="00886F3E">
        <w:t xml:space="preserve">объяснялись неконкурентным ингибированием вориконазолом метаболизма тофацитиниба, осуществляющегося с участием CYP3A1/2 и CYP2C11 </w:t>
      </w:r>
      <w:r w:rsidR="00886F3E">
        <w:rPr>
          <w:lang w:val="en-GB"/>
        </w:rPr>
        <w:fldChar w:fldCharType="begin"/>
      </w:r>
      <w:r w:rsidR="00044A89">
        <w:instrText xml:space="preserve"> ADDIN ZOTERO_ITEM CSL_CITATION {"citationID":"JE1tytfh","properties":{"formattedCitation":"[20]","plainCitation":"[20]","noteIndex":0},"citationItems":[{"id":87762,"uris":["http://zotero.org/groups/4742804/items/MI66VWJQ"],"itemData":{"id":87762,"type":"article-journal","abstract":"Fungal infections are prevalent in patients with immune diseases. Voriconazole, a triazole antifungal drug, inhibits the cytochromes CYP3A4 and CYP2C, and tofacitinib, a Janus kinase inhibitor for the treatment of rheumatoid arthritis, is metabolized by CYP3A4 and CYP2C19 in humans. Here, we investigated their interaction during simultaneous administration of both drugs to rats, either intravenously or orally. The area under the plasma concentration–time curve from time zero to time infinity (AUC) of tofacitinib was significantly greater, by 166% and 171%, respectively, and the time-averaged non-renal clearance (CLNR) of tofacitinib was significantly slower (59.5%) than that for tofacitinib alone. An in vitro metabolism study showed non-competitive inhibition of tofacitinib metabolism in the liver and intestine by voriconazole. The concentration/apparent inhibition constant (Ki) ratios of voriconazole were greater than two, indicating that the inhibition of tofacitinib metabolism could be due to the inhibition of the CYP3A1/2 and CYP2C11 enzymes by voriconazole. The pharmacokinetics of voriconazole were not affected by the co-administration of tofacitinib. In conclusion, the significantly greater AUC and slower CLNR of tofacitinib after intravenous and oral administration of both drugs were attributable to the non-competitive inhibition of tofacitinib metabolism via CYP3A1/2 and CYP2C11 by voriconazole in rats.","container-title":"Pharmaceutics","DOI":"10.3390/pharmaceutics13050740","ISSN":"1999-4923","issue":"5","language":"en","license":"http://creativecommons.org/licenses/by/3.0/","note":"number: 5\npublisher: Multidisciplinary Digital Publishing Institute","page":"740","source":"www.mdpi.com","title":"Pharmacokinetic drug interaction between tofacitinib and voriconazole in rats","volume":"13","author":[{"family":"Lee","given":"Ji-Sang"},{"family":"Kim","given":"Hyo-Sung"},{"family":"Jung","given":"Yong-Seob"},{"family":"Choi","given":"Hyeon-Gyeom"},{"family":"Kim","given":"So-Hee"}],"issued":{"date-parts":[["2021",5]]}}}],"schema":"https://github.com/citation-style-language/schema/raw/master/csl-citation.json"} </w:instrText>
      </w:r>
      <w:r w:rsidR="00886F3E">
        <w:rPr>
          <w:lang w:val="en-GB"/>
        </w:rPr>
        <w:fldChar w:fldCharType="separate"/>
      </w:r>
      <w:r w:rsidR="00AA513A">
        <w:rPr>
          <w:rFonts w:cs="Times New Roman"/>
        </w:rPr>
        <w:t>[9</w:t>
      </w:r>
      <w:r w:rsidR="00044A89" w:rsidRPr="00044A89">
        <w:rPr>
          <w:rFonts w:cs="Times New Roman"/>
        </w:rPr>
        <w:t>]</w:t>
      </w:r>
      <w:r w:rsidR="00886F3E">
        <w:rPr>
          <w:lang w:val="en-GB"/>
        </w:rPr>
        <w:fldChar w:fldCharType="end"/>
      </w:r>
      <w:r w:rsidR="00886F3E">
        <w:t>.</w:t>
      </w:r>
    </w:p>
    <w:p w14:paraId="1A662D36" w14:textId="556F371C" w:rsidR="00772585" w:rsidRDefault="005A428E" w:rsidP="00D36ADC">
      <w:pPr>
        <w:pStyle w:val="SDText"/>
        <w:contextualSpacing/>
      </w:pPr>
      <w:r>
        <w:t>И</w:t>
      </w:r>
      <w:r w:rsidR="00772585">
        <w:t xml:space="preserve">сследования </w:t>
      </w:r>
      <w:r>
        <w:t xml:space="preserve">общей токсичности </w:t>
      </w:r>
      <w:r w:rsidR="00772585">
        <w:t>были проведены на крысах (однократная доза, 2-недельные, 6-недельные и 6-месячные токсикологические исследования</w:t>
      </w:r>
      <w:r>
        <w:t xml:space="preserve"> при пероральном введении</w:t>
      </w:r>
      <w:r w:rsidR="00772585">
        <w:t xml:space="preserve">) и </w:t>
      </w:r>
      <w:r>
        <w:t>яванских макаках</w:t>
      </w:r>
      <w:r w:rsidR="00772585">
        <w:t xml:space="preserve"> (однократная доза, 2-недельные, 1-месячные и 39-недельные </w:t>
      </w:r>
      <w:r>
        <w:t>токсикологические исследования при пероральном введении</w:t>
      </w:r>
      <w:r w:rsidR="00772585">
        <w:t>). В 6-месячно</w:t>
      </w:r>
      <w:r w:rsidR="00DC3DCE">
        <w:t>м</w:t>
      </w:r>
      <w:r w:rsidR="00772585">
        <w:t xml:space="preserve"> исследовани</w:t>
      </w:r>
      <w:r w:rsidR="00DC3DCE">
        <w:t>и</w:t>
      </w:r>
      <w:r w:rsidR="00772585">
        <w:t xml:space="preserve"> токсичности </w:t>
      </w:r>
      <w:r>
        <w:t xml:space="preserve">при пероральном введении </w:t>
      </w:r>
      <w:r w:rsidR="00772585">
        <w:t xml:space="preserve">на крысах, </w:t>
      </w:r>
      <w:r>
        <w:t xml:space="preserve">в котором </w:t>
      </w:r>
      <w:r w:rsidR="00772585">
        <w:t xml:space="preserve">животным вводили </w:t>
      </w:r>
      <w:r>
        <w:t xml:space="preserve">тофацитиниб в дозе </w:t>
      </w:r>
      <w:r w:rsidR="00772585">
        <w:t>1, 10 или 100 мг/кг/сут</w:t>
      </w:r>
      <w:r w:rsidR="00DC3DCE">
        <w:t>,</w:t>
      </w:r>
      <w:r>
        <w:t xml:space="preserve"> или носитель</w:t>
      </w:r>
      <w:r w:rsidR="00772585">
        <w:t xml:space="preserve">, органами-мишенями </w:t>
      </w:r>
      <w:r>
        <w:t>являлись</w:t>
      </w:r>
      <w:r w:rsidR="004314BA">
        <w:t>:</w:t>
      </w:r>
      <w:r w:rsidR="00772585">
        <w:t xml:space="preserve"> лимфатические узлы (лимфоцитарн</w:t>
      </w:r>
      <w:r>
        <w:t>ое</w:t>
      </w:r>
      <w:r w:rsidR="00772585">
        <w:t xml:space="preserve"> истощение и атрофия), тимус (лимфоцитарное истощение и атрофия), селезенка (лимфоцитарное истощение и атрофия), костный мозг (</w:t>
      </w:r>
      <w:r>
        <w:t>снижение клеточности</w:t>
      </w:r>
      <w:r w:rsidR="00772585">
        <w:t xml:space="preserve">), надпочечники (вакуолизация коры), </w:t>
      </w:r>
      <w:r w:rsidR="006B1CA0">
        <w:t>ЖКТ</w:t>
      </w:r>
      <w:r w:rsidR="00772585">
        <w:t xml:space="preserve"> (желудок, двенадцатиперстная кишка, тощая кишка), печень (увеличение </w:t>
      </w:r>
      <w:r w:rsidR="006B1CA0">
        <w:t xml:space="preserve">активности </w:t>
      </w:r>
      <w:r w:rsidR="00772585">
        <w:t>ферментов печени и гипертрофия) и легки</w:t>
      </w:r>
      <w:r w:rsidR="00DC3DCE">
        <w:t>е</w:t>
      </w:r>
      <w:r w:rsidR="00772585">
        <w:t xml:space="preserve"> (гистиоцитоз</w:t>
      </w:r>
      <w:r w:rsidR="006B1CA0">
        <w:t xml:space="preserve">, возможной причиной которого была </w:t>
      </w:r>
      <w:r w:rsidR="00772585">
        <w:t>иммуносупресси</w:t>
      </w:r>
      <w:r w:rsidR="006B1CA0">
        <w:t>я</w:t>
      </w:r>
      <w:r w:rsidR="00772585">
        <w:t>)</w:t>
      </w:r>
      <w:r w:rsidR="006B1CA0">
        <w:t>, кроме того</w:t>
      </w:r>
      <w:r w:rsidR="00DC3DCE">
        <w:t>,</w:t>
      </w:r>
      <w:r w:rsidR="006B1CA0">
        <w:t xml:space="preserve"> определили изменения показателей клинического анализа крови (снижение количества лейкоцитов и эритроцитов)</w:t>
      </w:r>
      <w:r w:rsidR="00772585">
        <w:t xml:space="preserve">. В целом, чем дольше </w:t>
      </w:r>
      <w:r w:rsidR="006B1CA0">
        <w:t xml:space="preserve">была </w:t>
      </w:r>
      <w:r w:rsidR="00772585">
        <w:t>продолжительность токси</w:t>
      </w:r>
      <w:r w:rsidR="006B1CA0">
        <w:t>кологических</w:t>
      </w:r>
      <w:r w:rsidR="00772585">
        <w:t xml:space="preserve"> исследовани</w:t>
      </w:r>
      <w:r w:rsidR="006B1CA0">
        <w:t>й</w:t>
      </w:r>
      <w:r w:rsidR="00772585">
        <w:t xml:space="preserve"> на крысах, тем тяжелее был</w:t>
      </w:r>
      <w:r w:rsidR="006B1CA0">
        <w:t>и признаки</w:t>
      </w:r>
      <w:r w:rsidR="00772585">
        <w:t xml:space="preserve"> токсичност</w:t>
      </w:r>
      <w:r w:rsidR="006B1CA0">
        <w:t>и</w:t>
      </w:r>
      <w:r w:rsidR="00772585">
        <w:t xml:space="preserve"> (например, </w:t>
      </w:r>
      <w:r w:rsidR="006B1CA0">
        <w:t xml:space="preserve">в </w:t>
      </w:r>
      <w:r w:rsidR="00772585">
        <w:t>более коротки</w:t>
      </w:r>
      <w:r w:rsidR="006B1CA0">
        <w:t>х</w:t>
      </w:r>
      <w:r w:rsidR="00772585">
        <w:t xml:space="preserve"> исследования</w:t>
      </w:r>
      <w:r w:rsidR="006B1CA0">
        <w:t>х</w:t>
      </w:r>
      <w:r w:rsidR="00772585">
        <w:t xml:space="preserve"> показали лимфоидное истощение, </w:t>
      </w:r>
      <w:r w:rsidR="006B1CA0">
        <w:t>а в исследовании</w:t>
      </w:r>
      <w:r w:rsidR="00772585">
        <w:t xml:space="preserve"> хроническо</w:t>
      </w:r>
      <w:r w:rsidR="006B1CA0">
        <w:t>й</w:t>
      </w:r>
      <w:r w:rsidR="00772585">
        <w:t xml:space="preserve"> </w:t>
      </w:r>
      <w:r w:rsidR="006B1CA0">
        <w:t>токсичности –</w:t>
      </w:r>
      <w:r w:rsidR="00772585">
        <w:t xml:space="preserve"> атрофи</w:t>
      </w:r>
      <w:r w:rsidR="006B1CA0">
        <w:t>ю</w:t>
      </w:r>
      <w:r w:rsidR="00772585">
        <w:t xml:space="preserve"> </w:t>
      </w:r>
      <w:r w:rsidR="00CD4517">
        <w:t xml:space="preserve">органов </w:t>
      </w:r>
      <w:r w:rsidR="00772585">
        <w:t>лимфатическ</w:t>
      </w:r>
      <w:r w:rsidR="00CD4517">
        <w:t>ой системы</w:t>
      </w:r>
      <w:r w:rsidR="00772585">
        <w:t xml:space="preserve">). На основании 6-месячного исследования токсичности </w:t>
      </w:r>
      <w:r w:rsidR="00CD4517">
        <w:t xml:space="preserve">при пероральном введении </w:t>
      </w:r>
      <w:r w:rsidR="00772585">
        <w:t xml:space="preserve">у крыс с атрофией </w:t>
      </w:r>
      <w:r w:rsidR="00CD4517">
        <w:t xml:space="preserve">органов </w:t>
      </w:r>
      <w:r w:rsidR="00772585">
        <w:t>лимфатической системы</w:t>
      </w:r>
      <w:r w:rsidR="002003FB">
        <w:t xml:space="preserve">, </w:t>
      </w:r>
      <w:r w:rsidR="00D42670">
        <w:t xml:space="preserve">с </w:t>
      </w:r>
      <w:r w:rsidR="00772585">
        <w:t>эффект</w:t>
      </w:r>
      <w:r w:rsidR="002003FB">
        <w:t>ами в отношении ЖКТ</w:t>
      </w:r>
      <w:r w:rsidR="00772585">
        <w:t xml:space="preserve"> и гистиоцитоз</w:t>
      </w:r>
      <w:r w:rsidR="002003FB">
        <w:t>ом</w:t>
      </w:r>
      <w:r w:rsidR="00772585">
        <w:t xml:space="preserve"> легких, </w:t>
      </w:r>
      <w:r w:rsidR="002003FB">
        <w:t>д</w:t>
      </w:r>
      <w:r w:rsidR="002003FB" w:rsidRPr="00BA7782">
        <w:t>оз</w:t>
      </w:r>
      <w:r w:rsidR="00D42670">
        <w:t>а</w:t>
      </w:r>
      <w:r w:rsidR="002003FB" w:rsidRPr="00BA7782">
        <w:t>, не оказывающая явного нежелательного действия (no observed adverse effect level</w:t>
      </w:r>
      <w:r w:rsidR="002003FB">
        <w:t xml:space="preserve">, </w:t>
      </w:r>
      <w:r w:rsidR="00772585">
        <w:t>NOAEL</w:t>
      </w:r>
      <w:r w:rsidR="002003FB">
        <w:t>)</w:t>
      </w:r>
      <w:r w:rsidR="00D42670">
        <w:t>,</w:t>
      </w:r>
      <w:r w:rsidR="00772585">
        <w:t xml:space="preserve"> </w:t>
      </w:r>
      <w:r w:rsidR="002003FB">
        <w:t>соответствовала</w:t>
      </w:r>
      <w:r w:rsidR="00772585">
        <w:t xml:space="preserve"> низк</w:t>
      </w:r>
      <w:r w:rsidR="002003FB">
        <w:t>ой</w:t>
      </w:r>
      <w:r w:rsidR="00772585">
        <w:t xml:space="preserve"> </w:t>
      </w:r>
      <w:r w:rsidR="002003FB">
        <w:t xml:space="preserve">исследуемой </w:t>
      </w:r>
      <w:r w:rsidR="00772585">
        <w:t>доз</w:t>
      </w:r>
      <w:r w:rsidR="002003FB">
        <w:t>е</w:t>
      </w:r>
      <w:r w:rsidR="00772585">
        <w:t xml:space="preserve"> (1 мг/кг/</w:t>
      </w:r>
      <w:r w:rsidR="002003FB">
        <w:t>сут</w:t>
      </w:r>
      <w:r w:rsidR="00772585">
        <w:t xml:space="preserve">), </w:t>
      </w:r>
      <w:r w:rsidR="002003FB">
        <w:t xml:space="preserve">с </w:t>
      </w:r>
      <w:r w:rsidR="00772585">
        <w:t>котор</w:t>
      </w:r>
      <w:r w:rsidR="002003FB">
        <w:t>ой</w:t>
      </w:r>
      <w:r w:rsidR="00772585">
        <w:t xml:space="preserve"> </w:t>
      </w:r>
      <w:r w:rsidR="002003FB">
        <w:t>ассоциировалась</w:t>
      </w:r>
      <w:r w:rsidR="00772585">
        <w:t xml:space="preserve"> AUC</w:t>
      </w:r>
      <w:r w:rsidR="002003FB" w:rsidRPr="002003FB">
        <w:rPr>
          <w:vertAlign w:val="subscript"/>
        </w:rPr>
        <w:t>(</w:t>
      </w:r>
      <w:r w:rsidR="00772585" w:rsidRPr="002003FB">
        <w:rPr>
          <w:vertAlign w:val="subscript"/>
        </w:rPr>
        <w:t>0-24</w:t>
      </w:r>
      <w:r w:rsidR="002003FB" w:rsidRPr="002003FB">
        <w:rPr>
          <w:vertAlign w:val="subscript"/>
        </w:rPr>
        <w:t>)</w:t>
      </w:r>
      <w:r w:rsidR="002003FB">
        <w:t xml:space="preserve">, равная </w:t>
      </w:r>
      <w:r w:rsidR="00772585">
        <w:t xml:space="preserve">765 и 742 нг*ч/мл для самцов и самок соответственно </w:t>
      </w:r>
      <w:r w:rsidR="00772585">
        <w:rPr>
          <w:lang w:val="en-US"/>
        </w:rPr>
        <w:fldChar w:fldCharType="begin"/>
      </w:r>
      <w:r w:rsidR="00044A89">
        <w:instrText xml:space="preserve"> ADDIN ZOTERO_ITEM CSL_CITATION {"citationID":"fkd1GITC","properties":{"formattedCitation":"[12]","plainCitation":"[12]","noteIndex":0},"citationItems":[{"id":87803,"uris":["http://zotero.org/groups/4742804/items/DMZ5DFPG"],"itemData":{"id":87803,"type":"webpage","title":"Xeljanz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772585">
        <w:rPr>
          <w:lang w:val="en-US"/>
        </w:rPr>
        <w:fldChar w:fldCharType="separate"/>
      </w:r>
      <w:r w:rsidR="00AA513A">
        <w:rPr>
          <w:rFonts w:cs="Times New Roman"/>
        </w:rPr>
        <w:t>[1</w:t>
      </w:r>
      <w:r w:rsidR="00044A89" w:rsidRPr="00044A89">
        <w:rPr>
          <w:rFonts w:cs="Times New Roman"/>
        </w:rPr>
        <w:t>]</w:t>
      </w:r>
      <w:r w:rsidR="00772585">
        <w:rPr>
          <w:lang w:val="en-US"/>
        </w:rPr>
        <w:fldChar w:fldCharType="end"/>
      </w:r>
      <w:r w:rsidR="00772585">
        <w:t>.</w:t>
      </w:r>
    </w:p>
    <w:p w14:paraId="4ED8A8DE" w14:textId="33D68E87" w:rsidR="002003FB" w:rsidRDefault="00151861" w:rsidP="00D36ADC">
      <w:pPr>
        <w:pStyle w:val="SDText"/>
        <w:contextualSpacing/>
      </w:pPr>
      <w:r>
        <w:t xml:space="preserve">В 39-недельном исследовании токсичности </w:t>
      </w:r>
      <w:r w:rsidR="00794BE0">
        <w:t xml:space="preserve">при пероральном введении у </w:t>
      </w:r>
      <w:r>
        <w:t xml:space="preserve">обезьян, </w:t>
      </w:r>
      <w:r w:rsidR="00794BE0">
        <w:t>в котором</w:t>
      </w:r>
      <w:r>
        <w:t xml:space="preserve"> животны</w:t>
      </w:r>
      <w:r w:rsidR="00794BE0">
        <w:t>м</w:t>
      </w:r>
      <w:r>
        <w:t xml:space="preserve"> </w:t>
      </w:r>
      <w:r w:rsidR="00794BE0">
        <w:t>вводили тофацитиниб в дозе</w:t>
      </w:r>
      <w:r>
        <w:t xml:space="preserve"> 0, 0,25, 1 и 5 мг/кг два раза в сутки (суточн</w:t>
      </w:r>
      <w:r w:rsidR="00794BE0">
        <w:t>ая</w:t>
      </w:r>
      <w:r>
        <w:t xml:space="preserve"> доз</w:t>
      </w:r>
      <w:r w:rsidR="00794BE0">
        <w:t>а составила</w:t>
      </w:r>
      <w:r>
        <w:t xml:space="preserve"> 0,5, 2 и 10 мг/кг</w:t>
      </w:r>
      <w:r w:rsidR="00794BE0">
        <w:t xml:space="preserve"> соответственно</w:t>
      </w:r>
      <w:r>
        <w:t xml:space="preserve">), </w:t>
      </w:r>
      <w:r w:rsidR="00794BE0">
        <w:t xml:space="preserve">признаки </w:t>
      </w:r>
      <w:r>
        <w:t>токсичности включали тяжелую иммуносупрессию, приводящую к инфекциям</w:t>
      </w:r>
      <w:r w:rsidR="00034697">
        <w:t>,</w:t>
      </w:r>
      <w:r>
        <w:t xml:space="preserve"> и снижение иммуно</w:t>
      </w:r>
      <w:r w:rsidR="002B6801">
        <w:t>логическо</w:t>
      </w:r>
      <w:r>
        <w:t xml:space="preserve">го надзора, что привело к </w:t>
      </w:r>
      <w:r w:rsidR="002B6801">
        <w:t xml:space="preserve">развитию </w:t>
      </w:r>
      <w:r>
        <w:t xml:space="preserve">лимфом у 3 животных </w:t>
      </w:r>
      <w:r w:rsidR="002B6801">
        <w:t>при дозе</w:t>
      </w:r>
      <w:r>
        <w:t xml:space="preserve"> 10 мг/кг/</w:t>
      </w:r>
      <w:r w:rsidR="002B6801">
        <w:t>сут</w:t>
      </w:r>
      <w:r>
        <w:t xml:space="preserve"> и гематологически</w:t>
      </w:r>
      <w:r w:rsidR="002B6801">
        <w:t>м</w:t>
      </w:r>
      <w:r>
        <w:t xml:space="preserve"> изменения</w:t>
      </w:r>
      <w:r w:rsidR="002B6801">
        <w:t>м</w:t>
      </w:r>
      <w:r>
        <w:t xml:space="preserve"> (снижени</w:t>
      </w:r>
      <w:r w:rsidR="002B6801">
        <w:t>ю количества</w:t>
      </w:r>
      <w:r>
        <w:t xml:space="preserve"> лейкоцит</w:t>
      </w:r>
      <w:r w:rsidR="002B6801">
        <w:t>ов</w:t>
      </w:r>
      <w:r>
        <w:t>, лимфоцит</w:t>
      </w:r>
      <w:r w:rsidR="002B6801">
        <w:t>ов</w:t>
      </w:r>
      <w:r>
        <w:t>, эритроцит</w:t>
      </w:r>
      <w:r w:rsidR="002B6801">
        <w:t>ов</w:t>
      </w:r>
      <w:r>
        <w:t>, гематокрит</w:t>
      </w:r>
      <w:r w:rsidR="002B6801">
        <w:t>а</w:t>
      </w:r>
      <w:r>
        <w:t xml:space="preserve"> и </w:t>
      </w:r>
      <w:r w:rsidR="002B6801">
        <w:t xml:space="preserve">уровня </w:t>
      </w:r>
      <w:r>
        <w:t>гемоглобин</w:t>
      </w:r>
      <w:r w:rsidR="002B6801">
        <w:t>а</w:t>
      </w:r>
      <w:r>
        <w:t xml:space="preserve">). </w:t>
      </w:r>
      <w:r w:rsidR="002B6801">
        <w:t>О</w:t>
      </w:r>
      <w:r>
        <w:t>рган</w:t>
      </w:r>
      <w:r w:rsidR="002B6801">
        <w:t>ами</w:t>
      </w:r>
      <w:r>
        <w:t>-мишен</w:t>
      </w:r>
      <w:r w:rsidR="002B6801">
        <w:t>ями</w:t>
      </w:r>
      <w:r>
        <w:t xml:space="preserve"> токсичности</w:t>
      </w:r>
      <w:r w:rsidR="002B6801">
        <w:t xml:space="preserve"> являлись</w:t>
      </w:r>
      <w:r>
        <w:t xml:space="preserve"> селезенка (вирусные включения и лимфоцитарная гиперплазия), тимус (лимфоцитарная гиперплазия), лимфатические узлы (лимфоцитарная гиперплазия), костный мозг (эритроидная гиперплазия) и желудок (вирусные включения, воспаление-вторичные инфекции). </w:t>
      </w:r>
      <w:r w:rsidR="00B66E6D">
        <w:t>В б</w:t>
      </w:r>
      <w:r>
        <w:t>олее коротки</w:t>
      </w:r>
      <w:r w:rsidR="00B66E6D">
        <w:t>х</w:t>
      </w:r>
      <w:r>
        <w:t xml:space="preserve"> исследования</w:t>
      </w:r>
      <w:r w:rsidR="00B66E6D">
        <w:t>х</w:t>
      </w:r>
      <w:r>
        <w:t xml:space="preserve"> на обезьянах </w:t>
      </w:r>
      <w:r w:rsidR="00B66E6D">
        <w:t>зарегистрировали</w:t>
      </w:r>
      <w:r>
        <w:t xml:space="preserve"> обще</w:t>
      </w:r>
      <w:r w:rsidR="00B66E6D">
        <w:t>е</w:t>
      </w:r>
      <w:r>
        <w:t xml:space="preserve"> лимфоцитарно</w:t>
      </w:r>
      <w:r w:rsidR="00985BC1">
        <w:t>е</w:t>
      </w:r>
      <w:r>
        <w:t xml:space="preserve"> истощени</w:t>
      </w:r>
      <w:r w:rsidR="00985BC1">
        <w:t>е</w:t>
      </w:r>
      <w:r>
        <w:t xml:space="preserve"> </w:t>
      </w:r>
      <w:r w:rsidR="00B06631">
        <w:t xml:space="preserve">в </w:t>
      </w:r>
      <w:r>
        <w:t>орган</w:t>
      </w:r>
      <w:r w:rsidR="00B06631">
        <w:t>ах</w:t>
      </w:r>
      <w:r w:rsidR="003E47D0" w:rsidRPr="003E47D0">
        <w:t xml:space="preserve"> </w:t>
      </w:r>
      <w:r w:rsidR="003E47D0">
        <w:t>лимфатической систем</w:t>
      </w:r>
      <w:r w:rsidR="00D42670">
        <w:t>ы</w:t>
      </w:r>
      <w:r>
        <w:t xml:space="preserve">, </w:t>
      </w:r>
      <w:r w:rsidR="003E47D0">
        <w:t>а в</w:t>
      </w:r>
      <w:r w:rsidR="00FE4BBA">
        <w:t xml:space="preserve"> </w:t>
      </w:r>
      <w:r w:rsidR="00985BC1">
        <w:t>д</w:t>
      </w:r>
      <w:r>
        <w:t>лительн</w:t>
      </w:r>
      <w:r w:rsidR="003E47D0">
        <w:t>ых</w:t>
      </w:r>
      <w:r>
        <w:t xml:space="preserve"> </w:t>
      </w:r>
      <w:r w:rsidR="00595613">
        <w:lastRenderedPageBreak/>
        <w:t xml:space="preserve">введение тофацитиниба </w:t>
      </w:r>
      <w:r>
        <w:t>приводил</w:t>
      </w:r>
      <w:r w:rsidR="00063DAA">
        <w:t>о</w:t>
      </w:r>
      <w:r>
        <w:t xml:space="preserve"> к лимфоцит</w:t>
      </w:r>
      <w:r w:rsidR="009A5EB5">
        <w:t>арной</w:t>
      </w:r>
      <w:r w:rsidR="009A5EB5" w:rsidRPr="009A5EB5">
        <w:t xml:space="preserve"> </w:t>
      </w:r>
      <w:r w:rsidR="009A5EB5">
        <w:t>гиперплазии</w:t>
      </w:r>
      <w:r>
        <w:t xml:space="preserve">. </w:t>
      </w:r>
      <w:r w:rsidR="00063DAA">
        <w:t>Л</w:t>
      </w:r>
      <w:r>
        <w:t xml:space="preserve">имфомы были положительными </w:t>
      </w:r>
      <w:r w:rsidR="00CD04CC">
        <w:t>по</w:t>
      </w:r>
      <w:r>
        <w:t xml:space="preserve"> </w:t>
      </w:r>
      <w:r w:rsidR="00C81E31">
        <w:t>кодируем</w:t>
      </w:r>
      <w:r w:rsidR="009A5EB5">
        <w:t>ому</w:t>
      </w:r>
      <w:r w:rsidR="00C81E31">
        <w:t xml:space="preserve"> малой </w:t>
      </w:r>
      <w:r w:rsidR="0032513A">
        <w:t>рибонуклеиновой ки</w:t>
      </w:r>
      <w:r w:rsidR="0068667D">
        <w:t>слотой (</w:t>
      </w:r>
      <w:r w:rsidR="00C81E31">
        <w:t>РНК</w:t>
      </w:r>
      <w:r w:rsidR="0068667D">
        <w:t>)</w:t>
      </w:r>
      <w:r w:rsidR="00C81E31">
        <w:t xml:space="preserve"> 1 </w:t>
      </w:r>
      <w:r>
        <w:t>вирус</w:t>
      </w:r>
      <w:r w:rsidR="009A5EB5">
        <w:t>у</w:t>
      </w:r>
      <w:r>
        <w:t xml:space="preserve"> Эпштейна-Барра, и </w:t>
      </w:r>
      <w:r w:rsidR="00D42670">
        <w:t xml:space="preserve">по </w:t>
      </w:r>
      <w:r w:rsidR="00B62174" w:rsidRPr="00B62174">
        <w:t>ядерн</w:t>
      </w:r>
      <w:r w:rsidR="00C207CE">
        <w:t>ому</w:t>
      </w:r>
      <w:r w:rsidR="00B62174" w:rsidRPr="00B62174">
        <w:t xml:space="preserve"> антиген</w:t>
      </w:r>
      <w:r w:rsidR="00C207CE">
        <w:t>у</w:t>
      </w:r>
      <w:r w:rsidR="00B62174" w:rsidRPr="00B62174">
        <w:t xml:space="preserve"> вируса Эпштейна-Барра </w:t>
      </w:r>
      <w:r w:rsidR="00C207CE">
        <w:t>(</w:t>
      </w:r>
      <w:r w:rsidR="00C207CE" w:rsidRPr="00C207CE">
        <w:t>Epstein Barr Nuclear Antigen</w:t>
      </w:r>
      <w:r w:rsidR="00C207CE">
        <w:t xml:space="preserve">, </w:t>
      </w:r>
      <w:r>
        <w:t>EBNA</w:t>
      </w:r>
      <w:r w:rsidR="00C207CE">
        <w:t>)</w:t>
      </w:r>
      <w:r>
        <w:t xml:space="preserve">-2, что указывает на то, что эти лимфомы </w:t>
      </w:r>
      <w:r w:rsidR="0068667D">
        <w:t xml:space="preserve">были </w:t>
      </w:r>
      <w:r>
        <w:t>связаны с лимфокриптовирусн</w:t>
      </w:r>
      <w:r w:rsidR="0068667D">
        <w:t>ой</w:t>
      </w:r>
      <w:r>
        <w:t xml:space="preserve"> инфекци</w:t>
      </w:r>
      <w:r w:rsidR="0068667D">
        <w:t>ей</w:t>
      </w:r>
      <w:r>
        <w:t xml:space="preserve">. NOAEL </w:t>
      </w:r>
      <w:r w:rsidR="0068667D">
        <w:t>определили соответствующей</w:t>
      </w:r>
      <w:r w:rsidR="00794BE0">
        <w:t xml:space="preserve"> средн</w:t>
      </w:r>
      <w:r w:rsidR="0068667D">
        <w:t>ей</w:t>
      </w:r>
      <w:r w:rsidR="00794BE0">
        <w:t xml:space="preserve"> доз</w:t>
      </w:r>
      <w:r w:rsidR="0068667D">
        <w:t>е</w:t>
      </w:r>
      <w:r w:rsidR="00794BE0">
        <w:t xml:space="preserve"> (2 мг/кг/</w:t>
      </w:r>
      <w:r w:rsidR="0068667D">
        <w:t>сут</w:t>
      </w:r>
      <w:r w:rsidR="00794BE0">
        <w:t xml:space="preserve"> или 1 мг/кг два раза в день). </w:t>
      </w:r>
      <w:r w:rsidR="00AA26D7">
        <w:t>З</w:t>
      </w:r>
      <w:r w:rsidR="00794BE0">
        <w:t xml:space="preserve">аключение было </w:t>
      </w:r>
      <w:r w:rsidR="00AA26D7">
        <w:t xml:space="preserve">сделано </w:t>
      </w:r>
      <w:r w:rsidR="00794BE0">
        <w:t xml:space="preserve">на основании </w:t>
      </w:r>
      <w:r w:rsidR="00F925FE">
        <w:t xml:space="preserve">того, что </w:t>
      </w:r>
      <w:r w:rsidR="00794BE0">
        <w:t>наблюдаемы</w:t>
      </w:r>
      <w:r w:rsidR="00F925FE">
        <w:t>е</w:t>
      </w:r>
      <w:r w:rsidR="00794BE0">
        <w:t xml:space="preserve"> данны</w:t>
      </w:r>
      <w:r w:rsidR="00344EFF">
        <w:t>е в отношении</w:t>
      </w:r>
      <w:r w:rsidR="00794BE0">
        <w:t xml:space="preserve"> </w:t>
      </w:r>
      <w:r w:rsidR="00344EFF">
        <w:t xml:space="preserve">гематологических показателей и лимфатической системы являлись </w:t>
      </w:r>
      <w:r w:rsidR="00794BE0">
        <w:t>ожида</w:t>
      </w:r>
      <w:r w:rsidR="00344EFF">
        <w:t xml:space="preserve">емыми </w:t>
      </w:r>
      <w:r w:rsidR="00794BE0">
        <w:t>фармакологически</w:t>
      </w:r>
      <w:r w:rsidR="00344EFF">
        <w:t>ми</w:t>
      </w:r>
      <w:r w:rsidR="00794BE0">
        <w:t xml:space="preserve"> эффект</w:t>
      </w:r>
      <w:r w:rsidR="00344EFF">
        <w:t>ами</w:t>
      </w:r>
      <w:r w:rsidR="00794BE0">
        <w:t>. Эти результаты наблюдали</w:t>
      </w:r>
      <w:r w:rsidR="00FA48FD">
        <w:t>сь</w:t>
      </w:r>
      <w:r w:rsidR="00794BE0">
        <w:t xml:space="preserve"> при низких и средних дозах</w:t>
      </w:r>
      <w:r w:rsidR="00344EFF">
        <w:t>,</w:t>
      </w:r>
      <w:r w:rsidR="00794BE0">
        <w:t xml:space="preserve"> но не считались доз</w:t>
      </w:r>
      <w:r w:rsidR="0021251B">
        <w:t>олимитирующими</w:t>
      </w:r>
      <w:r w:rsidR="00794BE0">
        <w:t xml:space="preserve">. Дозолимитирующая токсичность была </w:t>
      </w:r>
      <w:r w:rsidR="002363B6">
        <w:t xml:space="preserve">сочтена </w:t>
      </w:r>
      <w:r w:rsidR="00794BE0">
        <w:t xml:space="preserve">тяжелой иммуносупрессией, приводящей к </w:t>
      </w:r>
      <w:r w:rsidR="002363B6">
        <w:t xml:space="preserve">развитию </w:t>
      </w:r>
      <w:r w:rsidR="00794BE0">
        <w:t xml:space="preserve">лимфом у обезьян </w:t>
      </w:r>
      <w:r w:rsidR="0004049C">
        <w:t>при введении в</w:t>
      </w:r>
      <w:r w:rsidR="00794BE0">
        <w:t xml:space="preserve"> высок</w:t>
      </w:r>
      <w:r w:rsidR="0004049C">
        <w:t>ой</w:t>
      </w:r>
      <w:r w:rsidR="00794BE0">
        <w:t xml:space="preserve"> доз</w:t>
      </w:r>
      <w:r w:rsidR="0004049C">
        <w:t>е</w:t>
      </w:r>
      <w:r w:rsidR="00794BE0">
        <w:t xml:space="preserve"> 10 мг/кг/</w:t>
      </w:r>
      <w:r w:rsidR="0004049C">
        <w:t>сут</w:t>
      </w:r>
      <w:r w:rsidR="00794BE0">
        <w:t xml:space="preserve"> (5 мг/кг два раза в день)</w:t>
      </w:r>
      <w:r w:rsidR="0004049C">
        <w:t xml:space="preserve"> или</w:t>
      </w:r>
      <w:r w:rsidR="00794BE0">
        <w:t xml:space="preserve"> 2 мг/кг/</w:t>
      </w:r>
      <w:r w:rsidR="0004049C">
        <w:t>сут</w:t>
      </w:r>
      <w:r w:rsidR="00794BE0">
        <w:t xml:space="preserve"> (1 мг/кг два раза в день)</w:t>
      </w:r>
      <w:r w:rsidR="00FA48FD">
        <w:t>,</w:t>
      </w:r>
      <w:r w:rsidR="00794BE0">
        <w:t xml:space="preserve"> NOAEL </w:t>
      </w:r>
      <w:r w:rsidR="0004049C">
        <w:t xml:space="preserve">ассоциировалась </w:t>
      </w:r>
      <w:r w:rsidR="00794BE0">
        <w:t>с AUC</w:t>
      </w:r>
      <w:r w:rsidR="0004049C" w:rsidRPr="0004049C">
        <w:rPr>
          <w:vertAlign w:val="subscript"/>
        </w:rPr>
        <w:t>(</w:t>
      </w:r>
      <w:r w:rsidR="00794BE0" w:rsidRPr="0004049C">
        <w:rPr>
          <w:vertAlign w:val="subscript"/>
        </w:rPr>
        <w:t>0-24</w:t>
      </w:r>
      <w:r w:rsidR="0004049C" w:rsidRPr="0004049C">
        <w:rPr>
          <w:vertAlign w:val="subscript"/>
        </w:rPr>
        <w:t>)</w:t>
      </w:r>
      <w:r w:rsidR="00794BE0">
        <w:t>, равным</w:t>
      </w:r>
      <w:r w:rsidR="00FA48FD">
        <w:t>и</w:t>
      </w:r>
      <w:r w:rsidR="00794BE0">
        <w:t xml:space="preserve"> 397 и 652 нг*ч/мл для </w:t>
      </w:r>
      <w:r w:rsidR="0004049C">
        <w:t>самцов</w:t>
      </w:r>
      <w:r w:rsidR="00FA48FD">
        <w:t>,</w:t>
      </w:r>
      <w:r w:rsidR="00794BE0">
        <w:t xml:space="preserve"> и сам</w:t>
      </w:r>
      <w:r w:rsidR="0004049C">
        <w:t>ок</w:t>
      </w:r>
      <w:r w:rsidR="00794BE0">
        <w:t xml:space="preserve"> соответственно </w:t>
      </w:r>
      <w:r w:rsidR="00794BE0">
        <w:rPr>
          <w:lang w:val="en-US"/>
        </w:rPr>
        <w:fldChar w:fldCharType="begin"/>
      </w:r>
      <w:r w:rsidR="00044A89">
        <w:instrText xml:space="preserve"> ADDIN ZOTERO_ITEM CSL_CITATION {"citationID":"O3t68uHj","properties":{"formattedCitation":"[12]","plainCitation":"[12]","noteIndex":0},"citationItems":[{"id":87803,"uris":["http://zotero.org/groups/4742804/items/DMZ5DFPG"],"itemData":{"id":87803,"type":"webpage","title":"Xeljanz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794BE0">
        <w:rPr>
          <w:lang w:val="en-US"/>
        </w:rPr>
        <w:fldChar w:fldCharType="separate"/>
      </w:r>
      <w:r w:rsidR="00AA513A">
        <w:rPr>
          <w:rFonts w:cs="Times New Roman"/>
        </w:rPr>
        <w:t>[1</w:t>
      </w:r>
      <w:r w:rsidR="00044A89" w:rsidRPr="00044A89">
        <w:rPr>
          <w:rFonts w:cs="Times New Roman"/>
        </w:rPr>
        <w:t>]</w:t>
      </w:r>
      <w:r w:rsidR="00794BE0">
        <w:rPr>
          <w:lang w:val="en-US"/>
        </w:rPr>
        <w:fldChar w:fldCharType="end"/>
      </w:r>
      <w:r w:rsidR="00794BE0">
        <w:t>.</w:t>
      </w:r>
    </w:p>
    <w:p w14:paraId="3B9C71FD" w14:textId="67E73AC5" w:rsidR="001348B0" w:rsidRDefault="00E2576F" w:rsidP="00D36ADC">
      <w:pPr>
        <w:pStyle w:val="SDText"/>
        <w:contextualSpacing/>
      </w:pPr>
      <w:r>
        <w:t>И</w:t>
      </w:r>
      <w:r w:rsidR="001348B0">
        <w:t xml:space="preserve">сследования </w:t>
      </w:r>
      <w:r>
        <w:t xml:space="preserve">ювенильной токсичности при пероральном введении </w:t>
      </w:r>
      <w:r w:rsidR="001348B0">
        <w:t>были проведены на крысах (1</w:t>
      </w:r>
      <w:r>
        <w:t xml:space="preserve"> </w:t>
      </w:r>
      <w:r w:rsidR="001348B0">
        <w:t>мес</w:t>
      </w:r>
      <w:r>
        <w:t>.</w:t>
      </w:r>
      <w:r w:rsidR="001348B0">
        <w:t xml:space="preserve">) и </w:t>
      </w:r>
      <w:r>
        <w:t>яванских макаках</w:t>
      </w:r>
      <w:r w:rsidR="001348B0">
        <w:t xml:space="preserve"> (39</w:t>
      </w:r>
      <w:r>
        <w:t xml:space="preserve"> </w:t>
      </w:r>
      <w:r w:rsidR="001348B0">
        <w:t xml:space="preserve">недель). </w:t>
      </w:r>
      <w:r>
        <w:t>К</w:t>
      </w:r>
      <w:r w:rsidR="001348B0">
        <w:t>рыс</w:t>
      </w:r>
      <w:r>
        <w:t>ам</w:t>
      </w:r>
      <w:r w:rsidR="001348B0">
        <w:t xml:space="preserve"> </w:t>
      </w:r>
      <w:r>
        <w:t xml:space="preserve">перорально вводили тофацитиниб </w:t>
      </w:r>
      <w:r w:rsidR="001348B0">
        <w:t>в дозах 1, 10 и 100 мг/кг/</w:t>
      </w:r>
      <w:r>
        <w:t>сут или носитель</w:t>
      </w:r>
      <w:r w:rsidR="001348B0">
        <w:t xml:space="preserve">. </w:t>
      </w:r>
      <w:r w:rsidR="000325AB">
        <w:t xml:space="preserve">В этих исследованиях изучали влияние тофацитиниба только на </w:t>
      </w:r>
      <w:r w:rsidR="005A73F6">
        <w:t xml:space="preserve">органы </w:t>
      </w:r>
      <w:r w:rsidR="001348B0">
        <w:t>иммунн</w:t>
      </w:r>
      <w:r w:rsidR="005A73F6">
        <w:t>ой</w:t>
      </w:r>
      <w:r w:rsidR="001348B0">
        <w:t xml:space="preserve"> систем</w:t>
      </w:r>
      <w:r w:rsidR="005A73F6">
        <w:t>ы</w:t>
      </w:r>
      <w:r w:rsidR="001348B0">
        <w:t xml:space="preserve">. </w:t>
      </w:r>
      <w:r w:rsidR="000325AB">
        <w:t>Н</w:t>
      </w:r>
      <w:r w:rsidR="001348B0">
        <w:t xml:space="preserve">овых данных или </w:t>
      </w:r>
      <w:r w:rsidR="000325AB">
        <w:t xml:space="preserve">более тяжелых признаков </w:t>
      </w:r>
      <w:r w:rsidR="001348B0">
        <w:t>токсичност</w:t>
      </w:r>
      <w:r w:rsidR="000325AB">
        <w:t>и</w:t>
      </w:r>
      <w:r w:rsidR="001348B0">
        <w:t xml:space="preserve"> у молодых животных по сравнению с таковой у взрослых </w:t>
      </w:r>
      <w:r w:rsidR="007926F4">
        <w:t>крыс</w:t>
      </w:r>
      <w:r w:rsidR="00C65BEE">
        <w:t xml:space="preserve"> не</w:t>
      </w:r>
      <w:r w:rsidR="00C65BEE" w:rsidRPr="00C65BEE">
        <w:t xml:space="preserve"> </w:t>
      </w:r>
      <w:r w:rsidR="00C65BEE">
        <w:t>наблюдали</w:t>
      </w:r>
      <w:r w:rsidR="001348B0">
        <w:t xml:space="preserve">. </w:t>
      </w:r>
      <w:r w:rsidR="007926F4">
        <w:t>М</w:t>
      </w:r>
      <w:r w:rsidR="001348B0">
        <w:t xml:space="preserve">ишенями </w:t>
      </w:r>
      <w:r w:rsidR="007926F4">
        <w:t xml:space="preserve">токсичности </w:t>
      </w:r>
      <w:r w:rsidR="001348B0">
        <w:t xml:space="preserve">были </w:t>
      </w:r>
      <w:r w:rsidR="001C6F1F">
        <w:t>показатели</w:t>
      </w:r>
      <w:r w:rsidR="001348B0">
        <w:t xml:space="preserve"> </w:t>
      </w:r>
      <w:r w:rsidR="007926F4">
        <w:t>клинического анализ</w:t>
      </w:r>
      <w:r w:rsidR="001C6F1F">
        <w:t>а</w:t>
      </w:r>
      <w:r w:rsidR="007926F4">
        <w:t xml:space="preserve"> крови</w:t>
      </w:r>
      <w:r w:rsidR="001348B0">
        <w:t xml:space="preserve"> (снижение </w:t>
      </w:r>
      <w:r w:rsidR="007926F4">
        <w:t xml:space="preserve">количества </w:t>
      </w:r>
      <w:r w:rsidR="001348B0">
        <w:t>лейкоцит</w:t>
      </w:r>
      <w:r w:rsidR="007926F4">
        <w:t>ов</w:t>
      </w:r>
      <w:r w:rsidR="001348B0">
        <w:t>, эритроцит</w:t>
      </w:r>
      <w:r w:rsidR="007926F4">
        <w:t>ов</w:t>
      </w:r>
      <w:r w:rsidR="001348B0">
        <w:t xml:space="preserve"> и лимфоцит</w:t>
      </w:r>
      <w:r w:rsidR="007926F4">
        <w:t>ов</w:t>
      </w:r>
      <w:r w:rsidR="001348B0">
        <w:t xml:space="preserve">), тимус (лимфоидное истощение), селезенка (уменьшение </w:t>
      </w:r>
      <w:r w:rsidR="0090228C">
        <w:t>количества</w:t>
      </w:r>
      <w:r w:rsidR="001348B0">
        <w:t xml:space="preserve"> лимфоцит</w:t>
      </w:r>
      <w:r w:rsidR="0090228C">
        <w:t>ов</w:t>
      </w:r>
      <w:r w:rsidR="001348B0">
        <w:t>) и лимфатически</w:t>
      </w:r>
      <w:r w:rsidR="001C6F1F">
        <w:t>е</w:t>
      </w:r>
      <w:r w:rsidR="001348B0">
        <w:t xml:space="preserve"> узл</w:t>
      </w:r>
      <w:r w:rsidR="001C6F1F">
        <w:t>ы</w:t>
      </w:r>
      <w:r w:rsidR="001348B0">
        <w:t xml:space="preserve"> (лимфоидное истощение). </w:t>
      </w:r>
      <w:r w:rsidR="0090228C">
        <w:t>Т</w:t>
      </w:r>
      <w:r w:rsidR="001348B0">
        <w:t>оксикокинетическо</w:t>
      </w:r>
      <w:r w:rsidR="0090228C">
        <w:t>й</w:t>
      </w:r>
      <w:r w:rsidR="001348B0">
        <w:t xml:space="preserve"> оценк</w:t>
      </w:r>
      <w:r w:rsidR="0090228C">
        <w:t>и</w:t>
      </w:r>
      <w:r w:rsidR="001348B0">
        <w:t xml:space="preserve"> </w:t>
      </w:r>
      <w:r w:rsidR="00C136DF">
        <w:t>в</w:t>
      </w:r>
      <w:r w:rsidR="001348B0">
        <w:t xml:space="preserve"> это</w:t>
      </w:r>
      <w:r w:rsidR="00C136DF">
        <w:t>м</w:t>
      </w:r>
      <w:r w:rsidR="001348B0">
        <w:t xml:space="preserve"> исследовани</w:t>
      </w:r>
      <w:r w:rsidR="00C136DF">
        <w:t>и не проводили</w:t>
      </w:r>
      <w:r w:rsidR="001348B0">
        <w:t xml:space="preserve"> </w:t>
      </w:r>
      <w:r w:rsidR="001348B0">
        <w:rPr>
          <w:lang w:val="en-US"/>
        </w:rPr>
        <w:fldChar w:fldCharType="begin"/>
      </w:r>
      <w:r w:rsidR="00044A89">
        <w:instrText xml:space="preserve"> ADDIN ZOTERO_ITEM CSL_CITATION {"citationID":"lcslHmLq","properties":{"formattedCitation":"[12]","plainCitation":"[12]","noteIndex":0},"citationItems":[{"id":87803,"uris":["http://zotero.org/groups/4742804/items/DMZ5DFPG"],"itemData":{"id":87803,"type":"webpage","title":"Xeljanz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1348B0">
        <w:rPr>
          <w:lang w:val="en-US"/>
        </w:rPr>
        <w:fldChar w:fldCharType="separate"/>
      </w:r>
      <w:r w:rsidR="00AA513A">
        <w:rPr>
          <w:rFonts w:cs="Times New Roman"/>
        </w:rPr>
        <w:t>[1</w:t>
      </w:r>
      <w:r w:rsidR="00044A89" w:rsidRPr="00044A89">
        <w:rPr>
          <w:rFonts w:cs="Times New Roman"/>
        </w:rPr>
        <w:t>]</w:t>
      </w:r>
      <w:r w:rsidR="001348B0">
        <w:rPr>
          <w:lang w:val="en-US"/>
        </w:rPr>
        <w:fldChar w:fldCharType="end"/>
      </w:r>
      <w:r w:rsidR="001348B0">
        <w:t>.</w:t>
      </w:r>
    </w:p>
    <w:p w14:paraId="269DB2B8" w14:textId="5435D1BD" w:rsidR="001348B0" w:rsidRDefault="00277B4D" w:rsidP="00D36ADC">
      <w:pPr>
        <w:pStyle w:val="SDText"/>
        <w:contextualSpacing/>
      </w:pPr>
      <w:r>
        <w:t xml:space="preserve">В 39-недельном исследовании </w:t>
      </w:r>
      <w:r w:rsidR="00D860AE">
        <w:t>на неполовозрелых</w:t>
      </w:r>
      <w:r>
        <w:t xml:space="preserve"> обезьян</w:t>
      </w:r>
      <w:r w:rsidR="00D860AE">
        <w:t>ах</w:t>
      </w:r>
      <w:r>
        <w:t xml:space="preserve"> животным перорально вводили </w:t>
      </w:r>
      <w:r w:rsidR="00D860AE">
        <w:t xml:space="preserve">тофацитиниб в дозе </w:t>
      </w:r>
      <w:r>
        <w:t>0,5, 2</w:t>
      </w:r>
      <w:r w:rsidR="008C3044">
        <w:t xml:space="preserve"> </w:t>
      </w:r>
      <w:r>
        <w:t>и 10 мг/кг/</w:t>
      </w:r>
      <w:r w:rsidR="00D860AE">
        <w:t>сут</w:t>
      </w:r>
      <w:r w:rsidR="008D20BD">
        <w:t xml:space="preserve">, разделенной на 2 введения </w:t>
      </w:r>
      <w:r>
        <w:t>(те же дозы, что и</w:t>
      </w:r>
      <w:r w:rsidR="008C3044">
        <w:t xml:space="preserve"> </w:t>
      </w:r>
      <w:r w:rsidR="008D20BD">
        <w:t xml:space="preserve">в </w:t>
      </w:r>
      <w:r>
        <w:t>исследовани</w:t>
      </w:r>
      <w:r w:rsidR="008D20BD">
        <w:t>и хронической токсичности на</w:t>
      </w:r>
      <w:r>
        <w:t xml:space="preserve"> взрослых обезьян</w:t>
      </w:r>
      <w:r w:rsidR="008D20BD">
        <w:t>ах</w:t>
      </w:r>
      <w:r>
        <w:t>)</w:t>
      </w:r>
      <w:r w:rsidR="008D20BD">
        <w:t xml:space="preserve"> или носитель</w:t>
      </w:r>
      <w:r>
        <w:t>. При этом оценивались основные системы органов, но стандартн</w:t>
      </w:r>
      <w:r w:rsidR="00DE616E">
        <w:t>ы</w:t>
      </w:r>
      <w:r w:rsidR="004314BA">
        <w:t>х</w:t>
      </w:r>
      <w:r>
        <w:t xml:space="preserve"> гистопатолог</w:t>
      </w:r>
      <w:r w:rsidR="00DE616E">
        <w:t>ически</w:t>
      </w:r>
      <w:r w:rsidR="004314BA">
        <w:t>х</w:t>
      </w:r>
      <w:r w:rsidR="00DE616E">
        <w:t xml:space="preserve"> ис</w:t>
      </w:r>
      <w:r w:rsidR="00495D71">
        <w:t>следовани</w:t>
      </w:r>
      <w:r w:rsidR="004314BA">
        <w:t>й</w:t>
      </w:r>
      <w:r>
        <w:t xml:space="preserve"> не </w:t>
      </w:r>
      <w:r w:rsidR="00495D71">
        <w:t>проводили</w:t>
      </w:r>
      <w:r>
        <w:t>. Это счита</w:t>
      </w:r>
      <w:r w:rsidR="00495D71">
        <w:t>лось</w:t>
      </w:r>
      <w:r w:rsidR="008C3044">
        <w:t xml:space="preserve"> </w:t>
      </w:r>
      <w:r>
        <w:t>приемлем</w:t>
      </w:r>
      <w:r w:rsidR="00495D71">
        <w:t>ым</w:t>
      </w:r>
      <w:r>
        <w:t xml:space="preserve"> для целей </w:t>
      </w:r>
      <w:r w:rsidR="00495D71">
        <w:t xml:space="preserve">данного </w:t>
      </w:r>
      <w:r>
        <w:t xml:space="preserve">исследования. </w:t>
      </w:r>
      <w:r w:rsidR="00495D71">
        <w:t xml:space="preserve">В ходе исследования </w:t>
      </w:r>
      <w:r>
        <w:t>не наблюдали</w:t>
      </w:r>
      <w:r w:rsidR="008C3044">
        <w:t xml:space="preserve"> </w:t>
      </w:r>
      <w:r w:rsidR="004314BA">
        <w:t xml:space="preserve">ни </w:t>
      </w:r>
      <w:r w:rsidR="00495D71">
        <w:t>развития лимфом</w:t>
      </w:r>
      <w:r>
        <w:t xml:space="preserve">, ни преждевременной </w:t>
      </w:r>
      <w:r w:rsidR="002114DC">
        <w:t>гибели</w:t>
      </w:r>
      <w:r>
        <w:t xml:space="preserve"> </w:t>
      </w:r>
      <w:r w:rsidR="002114DC">
        <w:t xml:space="preserve">или </w:t>
      </w:r>
      <w:r>
        <w:t xml:space="preserve">влияния </w:t>
      </w:r>
      <w:r w:rsidR="002114DC">
        <w:t>лекарственного средства</w:t>
      </w:r>
      <w:r>
        <w:t xml:space="preserve"> на</w:t>
      </w:r>
      <w:r w:rsidR="008C3044">
        <w:t xml:space="preserve"> </w:t>
      </w:r>
      <w:r>
        <w:t>сердечно-сосудист</w:t>
      </w:r>
      <w:r w:rsidR="002114DC">
        <w:t>ую</w:t>
      </w:r>
      <w:r>
        <w:t xml:space="preserve"> систем</w:t>
      </w:r>
      <w:r w:rsidR="002114DC">
        <w:t>у</w:t>
      </w:r>
      <w:r>
        <w:t xml:space="preserve"> (</w:t>
      </w:r>
      <w:r w:rsidR="003D280C">
        <w:t xml:space="preserve">в том числе </w:t>
      </w:r>
      <w:r>
        <w:t xml:space="preserve">изменений на </w:t>
      </w:r>
      <w:r w:rsidR="003D280C">
        <w:t>электрокардиограмм</w:t>
      </w:r>
      <w:r w:rsidR="00F966E6">
        <w:t>е</w:t>
      </w:r>
      <w:r w:rsidR="003D280C">
        <w:t xml:space="preserve"> </w:t>
      </w:r>
      <w:r w:rsidR="003D280C">
        <w:rPr>
          <w:rFonts w:cs="Times New Roman"/>
        </w:rPr>
        <w:t>[</w:t>
      </w:r>
      <w:r>
        <w:t>ЭКГ</w:t>
      </w:r>
      <w:r w:rsidR="003D280C">
        <w:rPr>
          <w:rFonts w:cs="Times New Roman"/>
        </w:rPr>
        <w:t>]</w:t>
      </w:r>
      <w:r>
        <w:t>). По сравнению с</w:t>
      </w:r>
      <w:r w:rsidR="005D4131">
        <w:t xml:space="preserve"> результатами исследования хронической токсичности на</w:t>
      </w:r>
      <w:r>
        <w:t xml:space="preserve"> взрослы</w:t>
      </w:r>
      <w:r w:rsidR="005D4131">
        <w:t>х</w:t>
      </w:r>
      <w:r>
        <w:t xml:space="preserve"> обезьянах, потенциально нов</w:t>
      </w:r>
      <w:r w:rsidR="005D4131">
        <w:t>ой</w:t>
      </w:r>
      <w:r>
        <w:t xml:space="preserve"> </w:t>
      </w:r>
      <w:r w:rsidR="005D4131">
        <w:t>находкой</w:t>
      </w:r>
      <w:r>
        <w:t xml:space="preserve"> в исследовании </w:t>
      </w:r>
      <w:r w:rsidR="005D4131">
        <w:t>на неполовозрелых</w:t>
      </w:r>
      <w:r>
        <w:t xml:space="preserve"> обезьян</w:t>
      </w:r>
      <w:r w:rsidR="005D4131">
        <w:t>ах</w:t>
      </w:r>
      <w:r>
        <w:t xml:space="preserve"> было</w:t>
      </w:r>
      <w:r w:rsidR="008C3044">
        <w:t xml:space="preserve"> </w:t>
      </w:r>
      <w:r>
        <w:t xml:space="preserve">увеличение </w:t>
      </w:r>
      <w:r w:rsidR="002E4A91">
        <w:t xml:space="preserve">очагов инфильтрации </w:t>
      </w:r>
      <w:r>
        <w:t>воспалительны</w:t>
      </w:r>
      <w:r w:rsidR="002E4A91">
        <w:t>ми</w:t>
      </w:r>
      <w:r>
        <w:t xml:space="preserve"> клет</w:t>
      </w:r>
      <w:r w:rsidR="002E4A91">
        <w:t>ками</w:t>
      </w:r>
      <w:r>
        <w:t xml:space="preserve"> в сердце при высоких дозах. </w:t>
      </w:r>
      <w:r w:rsidR="00F92FBB">
        <w:t>М</w:t>
      </w:r>
      <w:r>
        <w:t>ишен</w:t>
      </w:r>
      <w:r w:rsidR="00F92FBB">
        <w:t>ями</w:t>
      </w:r>
      <w:r w:rsidR="008C3044">
        <w:t xml:space="preserve"> </w:t>
      </w:r>
      <w:r w:rsidR="00F92FBB">
        <w:t>являлись</w:t>
      </w:r>
      <w:r w:rsidR="004314BA">
        <w:t>:</w:t>
      </w:r>
      <w:r w:rsidR="00F92FBB">
        <w:t xml:space="preserve"> </w:t>
      </w:r>
      <w:r w:rsidR="00F76F0C">
        <w:t>показатели клинического анализа крови</w:t>
      </w:r>
      <w:r>
        <w:t xml:space="preserve"> (снижение количества лейкоцитов, эритроцитов и лимфоцитов), селезенк</w:t>
      </w:r>
      <w:r w:rsidR="004314BA">
        <w:t>а</w:t>
      </w:r>
      <w:r w:rsidR="00D860AE">
        <w:t xml:space="preserve"> </w:t>
      </w:r>
      <w:r>
        <w:t>(лимфоцитарная гиперплазия), костный мозг (лимфоидны</w:t>
      </w:r>
      <w:r w:rsidR="008D78AF">
        <w:t>е</w:t>
      </w:r>
      <w:r>
        <w:t xml:space="preserve"> фолликул</w:t>
      </w:r>
      <w:r w:rsidR="008D78AF">
        <w:t>ы</w:t>
      </w:r>
      <w:r>
        <w:t>), лимфатически</w:t>
      </w:r>
      <w:r w:rsidR="008D78AF">
        <w:t>е</w:t>
      </w:r>
      <w:r>
        <w:t xml:space="preserve"> уз</w:t>
      </w:r>
      <w:r w:rsidR="008D78AF">
        <w:t>лы</w:t>
      </w:r>
      <w:r w:rsidR="00D860AE">
        <w:t xml:space="preserve"> </w:t>
      </w:r>
      <w:r>
        <w:t>(лимфоцитарная гиперплазия) и сердц</w:t>
      </w:r>
      <w:r w:rsidR="004314BA">
        <w:t>е</w:t>
      </w:r>
      <w:r>
        <w:t xml:space="preserve"> (</w:t>
      </w:r>
      <w:r w:rsidR="008D78AF" w:rsidRPr="008D78AF">
        <w:t>очаг</w:t>
      </w:r>
      <w:r w:rsidR="008D78AF">
        <w:t>и</w:t>
      </w:r>
      <w:r w:rsidR="008D78AF" w:rsidRPr="008D78AF">
        <w:t xml:space="preserve"> инфильтрации воспалительными клетками</w:t>
      </w:r>
      <w:r>
        <w:t xml:space="preserve">). Поскольку эти </w:t>
      </w:r>
      <w:r w:rsidR="008D78AF">
        <w:t>наблюдения</w:t>
      </w:r>
      <w:r w:rsidR="00D860AE">
        <w:t xml:space="preserve"> </w:t>
      </w:r>
      <w:r>
        <w:t xml:space="preserve">были аналогичны тем, которые </w:t>
      </w:r>
      <w:r w:rsidR="008D78AF">
        <w:t>отмечали</w:t>
      </w:r>
      <w:r>
        <w:t xml:space="preserve"> в исследовании хронической токсичности у взрослых</w:t>
      </w:r>
      <w:r w:rsidR="008D78AF">
        <w:t xml:space="preserve"> обезьян</w:t>
      </w:r>
      <w:r>
        <w:t>, и эти</w:t>
      </w:r>
      <w:r w:rsidR="00D860AE">
        <w:t xml:space="preserve"> </w:t>
      </w:r>
      <w:r>
        <w:t xml:space="preserve">результаты </w:t>
      </w:r>
      <w:r w:rsidR="00644806">
        <w:t xml:space="preserve">со стороны </w:t>
      </w:r>
      <w:r w:rsidR="002701C1">
        <w:t>крови</w:t>
      </w:r>
      <w:r>
        <w:t xml:space="preserve"> и лимфатическ</w:t>
      </w:r>
      <w:r w:rsidR="002701C1">
        <w:t>ой</w:t>
      </w:r>
      <w:r>
        <w:t xml:space="preserve"> систе</w:t>
      </w:r>
      <w:r w:rsidR="002701C1">
        <w:t>мы</w:t>
      </w:r>
      <w:r>
        <w:t xml:space="preserve"> являются ожидаемыми фармакологическими</w:t>
      </w:r>
      <w:r w:rsidR="00D860AE">
        <w:t xml:space="preserve"> </w:t>
      </w:r>
      <w:r w:rsidR="008D78AF">
        <w:t>эффектами</w:t>
      </w:r>
      <w:r>
        <w:t>, которые не считаются дозолимитирующими, дозолимитирующая токсичность была</w:t>
      </w:r>
      <w:r w:rsidR="00D860AE">
        <w:t xml:space="preserve"> </w:t>
      </w:r>
      <w:r>
        <w:t>определ</w:t>
      </w:r>
      <w:r w:rsidR="002701C1">
        <w:t xml:space="preserve">ена на основании наличия </w:t>
      </w:r>
      <w:r w:rsidR="00D90887" w:rsidRPr="00D90887">
        <w:t>очаг</w:t>
      </w:r>
      <w:r w:rsidR="00D90887">
        <w:t>ов</w:t>
      </w:r>
      <w:r w:rsidR="00D90887" w:rsidRPr="00D90887">
        <w:t xml:space="preserve"> инфильтрации воспалительными клетками </w:t>
      </w:r>
      <w:r w:rsidR="00D90887">
        <w:t xml:space="preserve">в </w:t>
      </w:r>
      <w:r>
        <w:t>сердц</w:t>
      </w:r>
      <w:r w:rsidR="00D90887">
        <w:t>е</w:t>
      </w:r>
      <w:r>
        <w:t>. Следовательно</w:t>
      </w:r>
      <w:r w:rsidR="004314BA">
        <w:t>,</w:t>
      </w:r>
      <w:r w:rsidR="00D860AE">
        <w:t xml:space="preserve"> </w:t>
      </w:r>
      <w:r>
        <w:t xml:space="preserve">NOAEL </w:t>
      </w:r>
      <w:r w:rsidR="00D90887">
        <w:t>определили равной</w:t>
      </w:r>
      <w:r>
        <w:t xml:space="preserve"> 2 мг/кг/</w:t>
      </w:r>
      <w:r w:rsidR="00AD32DA">
        <w:t>сут</w:t>
      </w:r>
      <w:r>
        <w:t xml:space="preserve"> (1 мг/кг два раза в день), что</w:t>
      </w:r>
      <w:r w:rsidR="00D860AE">
        <w:t xml:space="preserve"> </w:t>
      </w:r>
      <w:r w:rsidR="00AD32DA">
        <w:t>ассоциировалось</w:t>
      </w:r>
      <w:r>
        <w:t xml:space="preserve"> с AUC</w:t>
      </w:r>
      <w:r w:rsidR="00AD32DA" w:rsidRPr="00A90221">
        <w:rPr>
          <w:vertAlign w:val="subscript"/>
        </w:rPr>
        <w:t>(</w:t>
      </w:r>
      <w:r w:rsidRPr="00A90221">
        <w:rPr>
          <w:vertAlign w:val="subscript"/>
        </w:rPr>
        <w:t>0-24</w:t>
      </w:r>
      <w:r w:rsidR="00AD32DA" w:rsidRPr="00A90221">
        <w:rPr>
          <w:vertAlign w:val="subscript"/>
        </w:rPr>
        <w:t>)</w:t>
      </w:r>
      <w:r w:rsidR="00AD32DA">
        <w:t>, составив</w:t>
      </w:r>
      <w:r w:rsidR="00A90221">
        <w:t xml:space="preserve">шей </w:t>
      </w:r>
      <w:r>
        <w:t>424 нг*ч/мл</w:t>
      </w:r>
      <w:r w:rsidR="00D860AE">
        <w:t xml:space="preserve"> </w:t>
      </w:r>
      <w:r w:rsidR="00D860AE">
        <w:rPr>
          <w:lang w:val="en-US"/>
        </w:rPr>
        <w:fldChar w:fldCharType="begin"/>
      </w:r>
      <w:r w:rsidR="00044A89">
        <w:instrText xml:space="preserve"> ADDIN ZOTERO_ITEM CSL_CITATION {"citationID":"bBsPgZ5W","properties":{"formattedCitation":"[12]","plainCitation":"[12]","noteIndex":0},"citationItems":[{"id":87803,"uris":["http://zotero.org/groups/4742804/items/DMZ5DFPG"],"itemData":{"id":87803,"type":"webpage","title":"Xeljanz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860AE">
        <w:rPr>
          <w:lang w:val="en-US"/>
        </w:rPr>
        <w:fldChar w:fldCharType="separate"/>
      </w:r>
      <w:r w:rsidR="00AA513A">
        <w:rPr>
          <w:rFonts w:cs="Times New Roman"/>
        </w:rPr>
        <w:t>[1</w:t>
      </w:r>
      <w:r w:rsidR="00044A89" w:rsidRPr="00044A89">
        <w:rPr>
          <w:rFonts w:cs="Times New Roman"/>
        </w:rPr>
        <w:t>]</w:t>
      </w:r>
      <w:r w:rsidR="00D860AE">
        <w:rPr>
          <w:lang w:val="en-US"/>
        </w:rPr>
        <w:fldChar w:fldCharType="end"/>
      </w:r>
      <w:r w:rsidR="00D860AE">
        <w:t>.</w:t>
      </w:r>
    </w:p>
    <w:p w14:paraId="48331DB6" w14:textId="5CA146E3" w:rsidR="003A7FDF" w:rsidRDefault="003A7FDF" w:rsidP="00D36ADC">
      <w:pPr>
        <w:pStyle w:val="SDText"/>
        <w:contextualSpacing/>
      </w:pPr>
      <w:r>
        <w:t xml:space="preserve">Стандартная батарея генетической токсикологии </w:t>
      </w:r>
      <w:r w:rsidR="001E6AD6">
        <w:t>для тофацитиниба включала</w:t>
      </w:r>
      <w:r>
        <w:t xml:space="preserve"> </w:t>
      </w:r>
      <w:r w:rsidR="00995E75">
        <w:t xml:space="preserve">тест на </w:t>
      </w:r>
      <w:r>
        <w:t>обратн</w:t>
      </w:r>
      <w:r w:rsidR="00995E75">
        <w:t>ые</w:t>
      </w:r>
      <w:r>
        <w:t xml:space="preserve"> мутации</w:t>
      </w:r>
      <w:r w:rsidR="00995E75">
        <w:t xml:space="preserve"> бактерий</w:t>
      </w:r>
      <w:r>
        <w:t xml:space="preserve">, анализ хромосомных аберраций </w:t>
      </w:r>
      <w:r w:rsidRPr="00FE274A">
        <w:rPr>
          <w:i/>
          <w:iCs/>
        </w:rPr>
        <w:t>in vitro</w:t>
      </w:r>
      <w:r>
        <w:t xml:space="preserve"> </w:t>
      </w:r>
      <w:r w:rsidR="00C679DF">
        <w:t>на</w:t>
      </w:r>
      <w:r>
        <w:t xml:space="preserve"> </w:t>
      </w:r>
      <w:r w:rsidR="00C679DF">
        <w:t xml:space="preserve">лимфоцитах </w:t>
      </w:r>
      <w:r>
        <w:t xml:space="preserve">человека и микроядерный анализ </w:t>
      </w:r>
      <w:r w:rsidR="00C679DF">
        <w:t xml:space="preserve">на </w:t>
      </w:r>
      <w:r>
        <w:t>крыс</w:t>
      </w:r>
      <w:r w:rsidR="00C679DF">
        <w:t>ах</w:t>
      </w:r>
      <w:r>
        <w:t xml:space="preserve"> </w:t>
      </w:r>
      <w:r w:rsidRPr="00FE274A">
        <w:rPr>
          <w:i/>
          <w:iCs/>
        </w:rPr>
        <w:t>in vivo</w:t>
      </w:r>
      <w:r>
        <w:t xml:space="preserve">. </w:t>
      </w:r>
      <w:r w:rsidR="00C679DF">
        <w:t xml:space="preserve">В тесте обратных мутаций бактерий и </w:t>
      </w:r>
      <w:r w:rsidR="00C679DF">
        <w:lastRenderedPageBreak/>
        <w:t xml:space="preserve">микроядерном анализе </w:t>
      </w:r>
      <w:r w:rsidR="00C679DF" w:rsidRPr="00FE274A">
        <w:rPr>
          <w:i/>
          <w:iCs/>
        </w:rPr>
        <w:t>in vivo</w:t>
      </w:r>
      <w:r w:rsidR="00C679DF">
        <w:t xml:space="preserve"> на крысах результаты оценки т</w:t>
      </w:r>
      <w:r>
        <w:t>офацитиниб</w:t>
      </w:r>
      <w:r w:rsidR="00C679DF">
        <w:t>а</w:t>
      </w:r>
      <w:r>
        <w:t xml:space="preserve"> был</w:t>
      </w:r>
      <w:r w:rsidR="00C679DF">
        <w:t>и</w:t>
      </w:r>
      <w:r>
        <w:t xml:space="preserve"> отрицательным</w:t>
      </w:r>
      <w:r w:rsidR="00C679DF">
        <w:t>и</w:t>
      </w:r>
      <w:r>
        <w:t xml:space="preserve">. Однако </w:t>
      </w:r>
      <w:r w:rsidR="00C679DF">
        <w:t xml:space="preserve">для </w:t>
      </w:r>
      <w:r>
        <w:t>тофацитиниб</w:t>
      </w:r>
      <w:r w:rsidR="00C679DF">
        <w:t>а</w:t>
      </w:r>
      <w:r>
        <w:t xml:space="preserve"> показал</w:t>
      </w:r>
      <w:r w:rsidR="00C679DF">
        <w:t>и</w:t>
      </w:r>
      <w:r>
        <w:t xml:space="preserve"> статистически значимое увеличение хромосомных аберраций в культивируемых лимфоцитах человека в 3-часово</w:t>
      </w:r>
      <w:r w:rsidR="00C679DF">
        <w:t>м</w:t>
      </w:r>
      <w:r>
        <w:t xml:space="preserve"> тест</w:t>
      </w:r>
      <w:r w:rsidR="00C679DF">
        <w:t>е</w:t>
      </w:r>
      <w:r>
        <w:t xml:space="preserve"> с метаболической активацией, но без </w:t>
      </w:r>
      <w:r w:rsidR="00C679DF">
        <w:t>метаболической активации результат оценки был отрицательным</w:t>
      </w:r>
      <w:r w:rsidR="00E22F3C">
        <w:t xml:space="preserve">. </w:t>
      </w:r>
      <w:r w:rsidR="00C679DF">
        <w:t>Положительный ответ отмечали при к</w:t>
      </w:r>
      <w:r w:rsidR="00E22F3C">
        <w:t>онцентраци</w:t>
      </w:r>
      <w:r w:rsidR="00C679DF">
        <w:t>и</w:t>
      </w:r>
      <w:r w:rsidR="00E22F3C">
        <w:t xml:space="preserve"> ≥</w:t>
      </w:r>
      <w:r w:rsidR="00FE274A">
        <w:t xml:space="preserve"> </w:t>
      </w:r>
      <w:r w:rsidR="00E22F3C">
        <w:t xml:space="preserve">1700 мкг/мл, что соответствовало </w:t>
      </w:r>
      <w:r w:rsidR="00C679DF">
        <w:t xml:space="preserve">супрессии </w:t>
      </w:r>
      <w:r w:rsidR="00E22F3C">
        <w:t>митотической</w:t>
      </w:r>
      <w:r w:rsidR="00C679DF">
        <w:t xml:space="preserve"> активности на 48%</w:t>
      </w:r>
      <w:r w:rsidR="00E22F3C">
        <w:t>. Дополнительн</w:t>
      </w:r>
      <w:r w:rsidR="00C679DF">
        <w:t>о</w:t>
      </w:r>
      <w:r w:rsidR="00E22F3C">
        <w:t xml:space="preserve"> были проведены </w:t>
      </w:r>
      <w:r w:rsidR="00C679DF">
        <w:t>следующие тесты:</w:t>
      </w:r>
      <w:r w:rsidR="00E22F3C">
        <w:t xml:space="preserve"> анализ </w:t>
      </w:r>
      <w:r w:rsidR="007D773C">
        <w:t>прямых мутаций в Х-сцепленном гене гипоксантингуанинфосфорибозилтрансферазы (hypoxanthineguanine phosphoribosyl transferase, HGPRT) в клетках яичника китайского хомяка (</w:t>
      </w:r>
      <w:r w:rsidR="007D773C" w:rsidRPr="007D773C">
        <w:t>Chinese Hamster Ovary</w:t>
      </w:r>
      <w:r w:rsidR="007D773C">
        <w:t xml:space="preserve">, </w:t>
      </w:r>
      <w:r w:rsidR="00E22F3C">
        <w:t>CHO</w:t>
      </w:r>
      <w:r w:rsidR="007D773C">
        <w:t>)</w:t>
      </w:r>
      <w:r w:rsidR="00E22F3C">
        <w:t xml:space="preserve"> </w:t>
      </w:r>
      <w:r w:rsidR="00E22F3C" w:rsidRPr="00FE274A">
        <w:rPr>
          <w:i/>
          <w:iCs/>
        </w:rPr>
        <w:t>in vitro</w:t>
      </w:r>
      <w:r w:rsidR="00E22F3C">
        <w:t xml:space="preserve"> для оценки мутации </w:t>
      </w:r>
      <w:r w:rsidR="00F31B99">
        <w:t xml:space="preserve">в </w:t>
      </w:r>
      <w:r w:rsidR="00E22F3C">
        <w:t>ген</w:t>
      </w:r>
      <w:r w:rsidR="00F31B99">
        <w:t>ах</w:t>
      </w:r>
      <w:r w:rsidR="00E22F3C">
        <w:t xml:space="preserve"> млекопитающих и </w:t>
      </w:r>
      <w:r w:rsidR="00F31B99">
        <w:t xml:space="preserve">анализ </w:t>
      </w:r>
      <w:r w:rsidR="00E22F3C">
        <w:t>внепланов</w:t>
      </w:r>
      <w:r w:rsidR="00F31B99">
        <w:t>о</w:t>
      </w:r>
      <w:r w:rsidR="00710E65">
        <w:t>го</w:t>
      </w:r>
      <w:r w:rsidR="00F31B99">
        <w:t xml:space="preserve"> </w:t>
      </w:r>
      <w:r w:rsidR="00710E65">
        <w:t>синтеза</w:t>
      </w:r>
      <w:r w:rsidR="00E22F3C">
        <w:t xml:space="preserve"> </w:t>
      </w:r>
      <w:r w:rsidR="00710E65">
        <w:t>дезоксирибонуклеиновой кислоты (</w:t>
      </w:r>
      <w:r w:rsidR="00E22F3C">
        <w:t>ДНК</w:t>
      </w:r>
      <w:r w:rsidR="00710E65">
        <w:t>)</w:t>
      </w:r>
      <w:r w:rsidR="00E22F3C">
        <w:t xml:space="preserve"> </w:t>
      </w:r>
      <w:r w:rsidR="00F31B99">
        <w:t xml:space="preserve">в </w:t>
      </w:r>
      <w:r w:rsidR="00E22F3C">
        <w:t>гепатоцит</w:t>
      </w:r>
      <w:r w:rsidR="00F31B99">
        <w:t>ах</w:t>
      </w:r>
      <w:r w:rsidR="00E22F3C">
        <w:t xml:space="preserve"> крыс </w:t>
      </w:r>
      <w:r w:rsidR="00E22F3C" w:rsidRPr="00E22F3C">
        <w:rPr>
          <w:i/>
          <w:iCs/>
        </w:rPr>
        <w:t>in vivo</w:t>
      </w:r>
      <w:r w:rsidR="00E22F3C">
        <w:t xml:space="preserve">, </w:t>
      </w:r>
      <w:r w:rsidR="00710E65">
        <w:t xml:space="preserve">результаты </w:t>
      </w:r>
      <w:r w:rsidR="00E22F3C">
        <w:t>которы</w:t>
      </w:r>
      <w:r w:rsidR="00710E65">
        <w:t>х</w:t>
      </w:r>
      <w:r w:rsidR="00E22F3C">
        <w:t xml:space="preserve"> были отрицательными. На основании </w:t>
      </w:r>
      <w:r w:rsidR="00C91B86">
        <w:t xml:space="preserve">совокупности </w:t>
      </w:r>
      <w:r w:rsidR="00E22F3C">
        <w:t xml:space="preserve">доказательств </w:t>
      </w:r>
      <w:r w:rsidR="00C91B86">
        <w:t xml:space="preserve">заключили, что </w:t>
      </w:r>
      <w:r w:rsidR="00E22F3C">
        <w:t xml:space="preserve">тофацитиниб </w:t>
      </w:r>
      <w:r w:rsidR="00C91B86">
        <w:t>не обладает</w:t>
      </w:r>
      <w:r w:rsidR="00E22F3C">
        <w:t xml:space="preserve"> генотоксическ</w:t>
      </w:r>
      <w:r w:rsidR="00C91B86">
        <w:t>им</w:t>
      </w:r>
      <w:r w:rsidR="00E22F3C">
        <w:t xml:space="preserve"> потенциал</w:t>
      </w:r>
      <w:r w:rsidR="00C91B86">
        <w:t>ом</w:t>
      </w:r>
      <w:r w:rsidR="00E22F3C" w:rsidRPr="00E22F3C">
        <w:t xml:space="preserve"> </w:t>
      </w:r>
      <w:r w:rsidR="00E22F3C">
        <w:rPr>
          <w:lang w:val="en-US"/>
        </w:rPr>
        <w:fldChar w:fldCharType="begin"/>
      </w:r>
      <w:r w:rsidR="00044A89">
        <w:instrText xml:space="preserve"> ADDIN ZOTERO_ITEM CSL_CITATION {"citationID":"Ond6EzFN","properties":{"formattedCitation":"[12]","plainCitation":"[12]","noteIndex":0},"citationItems":[{"id":87803,"uris":["http://zotero.org/groups/4742804/items/DMZ5DFPG"],"itemData":{"id":87803,"type":"webpage","title":"Xeljanz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22F3C">
        <w:rPr>
          <w:lang w:val="en-US"/>
        </w:rPr>
        <w:fldChar w:fldCharType="separate"/>
      </w:r>
      <w:r w:rsidR="00AA513A">
        <w:rPr>
          <w:rFonts w:cs="Times New Roman"/>
        </w:rPr>
        <w:t>[1</w:t>
      </w:r>
      <w:r w:rsidR="00044A89" w:rsidRPr="00044A89">
        <w:rPr>
          <w:rFonts w:cs="Times New Roman"/>
        </w:rPr>
        <w:t>]</w:t>
      </w:r>
      <w:r w:rsidR="00E22F3C">
        <w:rPr>
          <w:lang w:val="en-US"/>
        </w:rPr>
        <w:fldChar w:fldCharType="end"/>
      </w:r>
      <w:r w:rsidR="00E22F3C">
        <w:t>.</w:t>
      </w:r>
    </w:p>
    <w:p w14:paraId="01DFDBC7" w14:textId="796ECF51" w:rsidR="00490704" w:rsidRDefault="00490704" w:rsidP="00D36ADC">
      <w:pPr>
        <w:pStyle w:val="SDText"/>
        <w:contextualSpacing/>
      </w:pPr>
      <w:r>
        <w:t xml:space="preserve">Канцерогенный потенциал тофацитиниба оценивали в </w:t>
      </w:r>
      <w:r w:rsidR="00EA057D">
        <w:t>2-</w:t>
      </w:r>
      <w:r>
        <w:t>летнем исследовании на крысах и в 6-месячном исследовании</w:t>
      </w:r>
      <w:r w:rsidR="00EA057D">
        <w:t xml:space="preserve"> на</w:t>
      </w:r>
      <w:r>
        <w:t xml:space="preserve"> трансгенных мыш</w:t>
      </w:r>
      <w:r w:rsidR="00EA057D">
        <w:t>ах</w:t>
      </w:r>
      <w:r>
        <w:t xml:space="preserve"> rasH2. В исследовании на крысах результаты были специфичны для пола и включали </w:t>
      </w:r>
      <w:r w:rsidR="00EA057D">
        <w:t>увели</w:t>
      </w:r>
      <w:r w:rsidR="000A5269">
        <w:t xml:space="preserve">чение частоты </w:t>
      </w:r>
      <w:r>
        <w:t xml:space="preserve">аденом интерстициальных клеток в яичках у </w:t>
      </w:r>
      <w:r w:rsidR="00EA057D">
        <w:t>самцов</w:t>
      </w:r>
      <w:r>
        <w:t>, доброкачественны</w:t>
      </w:r>
      <w:r w:rsidR="000A5269">
        <w:t>х</w:t>
      </w:r>
      <w:r>
        <w:t xml:space="preserve"> тимом у </w:t>
      </w:r>
      <w:r w:rsidR="00EA057D">
        <w:t>самок</w:t>
      </w:r>
      <w:r>
        <w:t xml:space="preserve"> и злокачественны</w:t>
      </w:r>
      <w:r w:rsidR="000A5269">
        <w:t>х</w:t>
      </w:r>
      <w:r>
        <w:t xml:space="preserve"> гиберном у </w:t>
      </w:r>
      <w:r w:rsidR="00EA057D">
        <w:t>самок</w:t>
      </w:r>
      <w:r>
        <w:t xml:space="preserve">. Тофацитиниб не </w:t>
      </w:r>
      <w:r w:rsidR="000A5269">
        <w:t>обладал</w:t>
      </w:r>
      <w:r>
        <w:t xml:space="preserve"> канцерогенным</w:t>
      </w:r>
      <w:r w:rsidR="000A5269">
        <w:t>и свойствами</w:t>
      </w:r>
      <w:r>
        <w:t xml:space="preserve"> </w:t>
      </w:r>
      <w:r w:rsidR="000A5269">
        <w:t>на</w:t>
      </w:r>
      <w:r>
        <w:t xml:space="preserve"> трансгенных мыш</w:t>
      </w:r>
      <w:r w:rsidR="000A5269">
        <w:t>ах</w:t>
      </w:r>
      <w:r>
        <w:t xml:space="preserve"> rasH2. </w:t>
      </w:r>
      <w:r w:rsidR="000A5269">
        <w:t>Повышение частоты развития л</w:t>
      </w:r>
      <w:r>
        <w:t xml:space="preserve">имфом наблюдали в ходе 39-недельного общего токсикологического исследования </w:t>
      </w:r>
      <w:r w:rsidR="000A5269">
        <w:t>на</w:t>
      </w:r>
      <w:r>
        <w:t xml:space="preserve"> взрослы</w:t>
      </w:r>
      <w:r w:rsidR="000A5269">
        <w:t>х</w:t>
      </w:r>
      <w:r>
        <w:t xml:space="preserve"> </w:t>
      </w:r>
      <w:r w:rsidR="000A5269">
        <w:t xml:space="preserve">яванских макаках </w:t>
      </w:r>
      <w:r w:rsidR="00EA057D">
        <w:rPr>
          <w:lang w:val="en-US"/>
        </w:rPr>
        <w:fldChar w:fldCharType="begin"/>
      </w:r>
      <w:r w:rsidR="00044A89">
        <w:instrText xml:space="preserve"> ADDIN ZOTERO_ITEM CSL_CITATION {"citationID":"XUgifLBe","properties":{"formattedCitation":"[12]","plainCitation":"[12]","noteIndex":0},"citationItems":[{"id":87803,"uris":["http://zotero.org/groups/4742804/items/DMZ5DFPG"],"itemData":{"id":87803,"type":"webpage","title":"Xeljanz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A057D">
        <w:rPr>
          <w:lang w:val="en-US"/>
        </w:rPr>
        <w:fldChar w:fldCharType="separate"/>
      </w:r>
      <w:r w:rsidR="00AA513A">
        <w:rPr>
          <w:rFonts w:cs="Times New Roman"/>
        </w:rPr>
        <w:t>[1</w:t>
      </w:r>
      <w:r w:rsidR="00044A89" w:rsidRPr="00044A89">
        <w:rPr>
          <w:rFonts w:cs="Times New Roman"/>
        </w:rPr>
        <w:t>]</w:t>
      </w:r>
      <w:r w:rsidR="00EA057D">
        <w:rPr>
          <w:lang w:val="en-US"/>
        </w:rPr>
        <w:fldChar w:fldCharType="end"/>
      </w:r>
      <w:r w:rsidR="00EA057D">
        <w:t>.</w:t>
      </w:r>
    </w:p>
    <w:p w14:paraId="7EA0FA16" w14:textId="477FC252" w:rsidR="001C6F1F" w:rsidRDefault="000A5269" w:rsidP="00D36ADC">
      <w:pPr>
        <w:pStyle w:val="SDText"/>
        <w:contextualSpacing/>
      </w:pPr>
      <w:r>
        <w:t>Проведена</w:t>
      </w:r>
      <w:r w:rsidR="00490704">
        <w:t xml:space="preserve"> батаре</w:t>
      </w:r>
      <w:r>
        <w:t>я исследований</w:t>
      </w:r>
      <w:r w:rsidR="00490704">
        <w:t xml:space="preserve"> репродуктивной токси</w:t>
      </w:r>
      <w:r>
        <w:t>чности</w:t>
      </w:r>
      <w:r w:rsidR="00490704">
        <w:t xml:space="preserve"> </w:t>
      </w:r>
      <w:r>
        <w:t xml:space="preserve">тофацитиниба для оценки влияния на </w:t>
      </w:r>
      <w:r w:rsidR="00490704">
        <w:t>фертильност</w:t>
      </w:r>
      <w:r>
        <w:t>ь</w:t>
      </w:r>
      <w:r w:rsidR="00490704">
        <w:t xml:space="preserve"> самцов и самок крыс</w:t>
      </w:r>
      <w:r>
        <w:t xml:space="preserve">, </w:t>
      </w:r>
      <w:r w:rsidR="00490704">
        <w:t>эмбриофетально</w:t>
      </w:r>
      <w:r>
        <w:t>е</w:t>
      </w:r>
      <w:r w:rsidR="00490704">
        <w:t xml:space="preserve"> развити</w:t>
      </w:r>
      <w:r>
        <w:t>е</w:t>
      </w:r>
      <w:r w:rsidR="00490704">
        <w:t xml:space="preserve"> крыс и кроликов</w:t>
      </w:r>
      <w:r w:rsidR="00EB3A56">
        <w:t>,</w:t>
      </w:r>
      <w:r>
        <w:t xml:space="preserve"> и</w:t>
      </w:r>
      <w:r w:rsidR="00490704">
        <w:t xml:space="preserve"> пери</w:t>
      </w:r>
      <w:r>
        <w:t xml:space="preserve">- и </w:t>
      </w:r>
      <w:r w:rsidR="00490704">
        <w:t>постнатальн</w:t>
      </w:r>
      <w:r>
        <w:t>о</w:t>
      </w:r>
      <w:r w:rsidR="00490704">
        <w:t xml:space="preserve">е </w:t>
      </w:r>
      <w:r>
        <w:t>развитие</w:t>
      </w:r>
      <w:r w:rsidR="00490704">
        <w:t xml:space="preserve"> крыс. В исследовании </w:t>
      </w:r>
      <w:r>
        <w:t xml:space="preserve">влияния на </w:t>
      </w:r>
      <w:r w:rsidR="00490704">
        <w:t>женск</w:t>
      </w:r>
      <w:r>
        <w:t>ую</w:t>
      </w:r>
      <w:r w:rsidR="00490704">
        <w:t xml:space="preserve"> фертильност</w:t>
      </w:r>
      <w:r>
        <w:t>ь</w:t>
      </w:r>
      <w:r w:rsidR="00490704">
        <w:t xml:space="preserve"> тофацитиниб повышал постимплантационные потери и сниж</w:t>
      </w:r>
      <w:r>
        <w:t>ал</w:t>
      </w:r>
      <w:r w:rsidR="00490704">
        <w:t xml:space="preserve"> частот</w:t>
      </w:r>
      <w:r>
        <w:t>у</w:t>
      </w:r>
      <w:r w:rsidR="00490704">
        <w:t xml:space="preserve"> наступления беременности из-за уменьшения количества желт</w:t>
      </w:r>
      <w:r w:rsidR="00D57393">
        <w:t>ых</w:t>
      </w:r>
      <w:r w:rsidR="00490704">
        <w:t xml:space="preserve"> тел, мест имплантации, </w:t>
      </w:r>
      <w:r w:rsidR="00D57393">
        <w:t xml:space="preserve">повышения частоты </w:t>
      </w:r>
      <w:r w:rsidR="00490704">
        <w:t>ранн</w:t>
      </w:r>
      <w:r w:rsidR="00D57393">
        <w:t>ей</w:t>
      </w:r>
      <w:r w:rsidR="00490704">
        <w:t xml:space="preserve"> резорбци</w:t>
      </w:r>
      <w:r w:rsidR="00D57393">
        <w:t>и</w:t>
      </w:r>
      <w:r w:rsidR="009329C0">
        <w:t>,</w:t>
      </w:r>
      <w:r w:rsidR="00D57393">
        <w:t xml:space="preserve"> и потерь в </w:t>
      </w:r>
      <w:r w:rsidR="00490704">
        <w:t xml:space="preserve">пре- и постимплантационный период </w:t>
      </w:r>
      <w:r w:rsidR="00EA057D">
        <w:rPr>
          <w:lang w:val="en-US"/>
        </w:rPr>
        <w:fldChar w:fldCharType="begin"/>
      </w:r>
      <w:r w:rsidR="00044A89">
        <w:instrText xml:space="preserve"> ADDIN ZOTERO_ITEM CSL_CITATION {"citationID":"aci6BaFb","properties":{"formattedCitation":"[12]","plainCitation":"[12]","noteIndex":0},"citationItems":[{"id":87803,"uris":["http://zotero.org/groups/4742804/items/DMZ5DFPG"],"itemData":{"id":87803,"type":"webpage","title":"Xeljanz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A057D">
        <w:rPr>
          <w:lang w:val="en-US"/>
        </w:rPr>
        <w:fldChar w:fldCharType="separate"/>
      </w:r>
      <w:r w:rsidR="00AA513A">
        <w:rPr>
          <w:rFonts w:cs="Times New Roman"/>
        </w:rPr>
        <w:t>[1</w:t>
      </w:r>
      <w:r w:rsidR="00044A89" w:rsidRPr="00044A89">
        <w:rPr>
          <w:rFonts w:cs="Times New Roman"/>
        </w:rPr>
        <w:t>]</w:t>
      </w:r>
      <w:r w:rsidR="00EA057D">
        <w:rPr>
          <w:lang w:val="en-US"/>
        </w:rPr>
        <w:fldChar w:fldCharType="end"/>
      </w:r>
      <w:r w:rsidR="00EA057D">
        <w:t>.</w:t>
      </w:r>
    </w:p>
    <w:p w14:paraId="4E859400" w14:textId="5E91E4B7" w:rsidR="00D57393" w:rsidRDefault="00A15C94" w:rsidP="00D36ADC">
      <w:pPr>
        <w:pStyle w:val="SDText"/>
        <w:contextualSpacing/>
      </w:pPr>
      <w:r>
        <w:t xml:space="preserve">Оценка фертильности </w:t>
      </w:r>
      <w:r w:rsidR="00886103">
        <w:t xml:space="preserve">самцов </w:t>
      </w:r>
      <w:r>
        <w:t>была неадекватной. Самцам вводили тофацитиниб в течение 63 дней, затем введение было остановлен</w:t>
      </w:r>
      <w:r w:rsidR="005C1FFA">
        <w:t>о</w:t>
      </w:r>
      <w:r>
        <w:t>, и самцы не подвергались воздействию препарата в течение 1 мес. Из-за коротк</w:t>
      </w:r>
      <w:r w:rsidR="005C1FFA">
        <w:t>ого</w:t>
      </w:r>
      <w:r>
        <w:t xml:space="preserve"> </w:t>
      </w:r>
      <w:r w:rsidR="00B579B8">
        <w:rPr>
          <w:lang w:val="en-US"/>
        </w:rPr>
        <w:t>T</w:t>
      </w:r>
      <w:r w:rsidR="005C1FFA" w:rsidRPr="00C21B43">
        <w:rPr>
          <w:vertAlign w:val="subscript"/>
        </w:rPr>
        <w:t>1/2</w:t>
      </w:r>
      <w:r w:rsidR="005C1FFA">
        <w:rPr>
          <w:vertAlign w:val="subscript"/>
        </w:rPr>
        <w:t xml:space="preserve"> </w:t>
      </w:r>
      <w:r>
        <w:t xml:space="preserve">(от 0,6 до 2,8 ч) </w:t>
      </w:r>
      <w:r w:rsidR="00697FC3">
        <w:t>элиминация лекарственного средства происходила</w:t>
      </w:r>
      <w:r>
        <w:t xml:space="preserve"> быстро. </w:t>
      </w:r>
      <w:r w:rsidR="00697FC3">
        <w:t>Спаривание самцов проводили</w:t>
      </w:r>
      <w:r>
        <w:t xml:space="preserve"> через 1 мес</w:t>
      </w:r>
      <w:r w:rsidR="00697FC3">
        <w:t>.</w:t>
      </w:r>
      <w:r>
        <w:t xml:space="preserve"> после введения, </w:t>
      </w:r>
      <w:r w:rsidR="00866FF0">
        <w:t>когда экспозиция тофацитинибом уже отсутствовала</w:t>
      </w:r>
      <w:r>
        <w:t xml:space="preserve">. </w:t>
      </w:r>
      <w:r w:rsidR="00866FF0">
        <w:t>Н</w:t>
      </w:r>
      <w:r>
        <w:t xml:space="preserve">еблагоприятных последствий для спаривания или беременности </w:t>
      </w:r>
      <w:r w:rsidR="00AD0535">
        <w:t xml:space="preserve">у самок, не получавших тофацитиниб, </w:t>
      </w:r>
      <w:r>
        <w:t>не наблюдал</w:t>
      </w:r>
      <w:r w:rsidR="00AD0535">
        <w:t>и</w:t>
      </w:r>
      <w:r>
        <w:t xml:space="preserve">. Продолжительность </w:t>
      </w:r>
      <w:r w:rsidR="00AD0535">
        <w:t>введения</w:t>
      </w:r>
      <w:r>
        <w:t xml:space="preserve"> на момент спаривания </w:t>
      </w:r>
      <w:r w:rsidR="0043576F">
        <w:t>была</w:t>
      </w:r>
      <w:r>
        <w:t xml:space="preserve"> недостаточно</w:t>
      </w:r>
      <w:r w:rsidR="0043576F">
        <w:t>й</w:t>
      </w:r>
      <w:r>
        <w:t xml:space="preserve"> для воздействия </w:t>
      </w:r>
      <w:r w:rsidR="0043576F">
        <w:t xml:space="preserve">тофацитинибом </w:t>
      </w:r>
      <w:r>
        <w:t>на полный цикл</w:t>
      </w:r>
      <w:r w:rsidR="0043576F">
        <w:t xml:space="preserve"> сперматогенеза</w:t>
      </w:r>
      <w:r w:rsidR="008243D9">
        <w:t xml:space="preserve"> </w:t>
      </w:r>
      <w:r w:rsidR="008243D9">
        <w:rPr>
          <w:lang w:val="en-US"/>
        </w:rPr>
        <w:fldChar w:fldCharType="begin"/>
      </w:r>
      <w:r w:rsidR="00044A89">
        <w:instrText xml:space="preserve"> ADDIN ZOTERO_ITEM CSL_CITATION {"citationID":"qOliXsAm","properties":{"formattedCitation":"[12]","plainCitation":"[12]","noteIndex":0},"citationItems":[{"id":87803,"uris":["http://zotero.org/groups/4742804/items/DMZ5DFPG"],"itemData":{"id":87803,"type":"webpage","title":"Xeljanz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8243D9">
        <w:rPr>
          <w:lang w:val="en-US"/>
        </w:rPr>
        <w:fldChar w:fldCharType="separate"/>
      </w:r>
      <w:r w:rsidR="00AA513A">
        <w:rPr>
          <w:rFonts w:cs="Times New Roman"/>
        </w:rPr>
        <w:t>[1</w:t>
      </w:r>
      <w:r w:rsidR="00044A89" w:rsidRPr="00044A89">
        <w:rPr>
          <w:rFonts w:cs="Times New Roman"/>
        </w:rPr>
        <w:t>]</w:t>
      </w:r>
      <w:r w:rsidR="008243D9">
        <w:rPr>
          <w:lang w:val="en-US"/>
        </w:rPr>
        <w:fldChar w:fldCharType="end"/>
      </w:r>
      <w:r w:rsidR="008243D9">
        <w:t>.</w:t>
      </w:r>
    </w:p>
    <w:p w14:paraId="5DBBE866" w14:textId="33FA5B0C" w:rsidR="008243D9" w:rsidRDefault="00C77A19" w:rsidP="00D36ADC">
      <w:pPr>
        <w:pStyle w:val="SDText"/>
        <w:contextualSpacing/>
      </w:pPr>
      <w:r>
        <w:t xml:space="preserve">Тофацитиниб </w:t>
      </w:r>
      <w:r w:rsidR="00620950">
        <w:t>обладал</w:t>
      </w:r>
      <w:r>
        <w:t xml:space="preserve"> тератогенным</w:t>
      </w:r>
      <w:r w:rsidR="00620950">
        <w:t>и свойствами</w:t>
      </w:r>
      <w:r>
        <w:t xml:space="preserve"> как у крыс, так и у кроликов. Следовательно, </w:t>
      </w:r>
      <w:r w:rsidR="00EA182E">
        <w:t xml:space="preserve">лекарственное средство относится к категории </w:t>
      </w:r>
      <w:r w:rsidR="00EA182E">
        <w:rPr>
          <w:lang w:val="en-US"/>
        </w:rPr>
        <w:t>C</w:t>
      </w:r>
      <w:r w:rsidR="00EA182E" w:rsidRPr="00EA182E">
        <w:t xml:space="preserve"> </w:t>
      </w:r>
      <w:r w:rsidR="00EA182E">
        <w:t xml:space="preserve">для применения при </w:t>
      </w:r>
      <w:r>
        <w:t>беременност</w:t>
      </w:r>
      <w:r w:rsidR="00EA182E">
        <w:t>и.</w:t>
      </w:r>
      <w:r>
        <w:t xml:space="preserve"> У крыс </w:t>
      </w:r>
      <w:r w:rsidR="00EA182E">
        <w:t xml:space="preserve">отмечали </w:t>
      </w:r>
      <w:r w:rsidR="00A675B4">
        <w:t xml:space="preserve">увеличение </w:t>
      </w:r>
      <w:r>
        <w:t>постимплантационн</w:t>
      </w:r>
      <w:r w:rsidR="00A675B4">
        <w:t>ых</w:t>
      </w:r>
      <w:r>
        <w:t xml:space="preserve"> потер</w:t>
      </w:r>
      <w:r w:rsidR="00A675B4">
        <w:t>ь</w:t>
      </w:r>
      <w:r>
        <w:t>, состоящ</w:t>
      </w:r>
      <w:r w:rsidR="00A675B4">
        <w:t>их</w:t>
      </w:r>
      <w:r>
        <w:t xml:space="preserve"> из ранних </w:t>
      </w:r>
      <w:r w:rsidR="00A675B4">
        <w:t xml:space="preserve">и </w:t>
      </w:r>
      <w:r>
        <w:t>поздни</w:t>
      </w:r>
      <w:r w:rsidR="00A675B4">
        <w:t>х</w:t>
      </w:r>
      <w:r>
        <w:t xml:space="preserve"> резорбци</w:t>
      </w:r>
      <w:r w:rsidR="00A675B4">
        <w:t>й</w:t>
      </w:r>
      <w:r w:rsidR="00234A1E">
        <w:t>,</w:t>
      </w:r>
      <w:r>
        <w:t xml:space="preserve"> и, как следствие, снижени</w:t>
      </w:r>
      <w:r w:rsidR="00234A1E">
        <w:t>е</w:t>
      </w:r>
      <w:r>
        <w:t xml:space="preserve"> числа жизнеспособных плодов, наблюда</w:t>
      </w:r>
      <w:r w:rsidR="00A675B4">
        <w:t>ли</w:t>
      </w:r>
      <w:r>
        <w:t xml:space="preserve"> уменьшение массы матки. Тератогенные эффекты включа</w:t>
      </w:r>
      <w:r w:rsidR="00A675B4">
        <w:t>ли</w:t>
      </w:r>
      <w:r>
        <w:t xml:space="preserve"> анасарку</w:t>
      </w:r>
      <w:r w:rsidR="00234A1E">
        <w:t>,</w:t>
      </w:r>
      <w:r>
        <w:t xml:space="preserve"> мембранозный дефект межжелудочковой перегородки и многочисленные пороки развития</w:t>
      </w:r>
      <w:r w:rsidR="00A675B4">
        <w:t xml:space="preserve"> скелета</w:t>
      </w:r>
      <w:r>
        <w:t>. У кроликов тератологические находки включали торакогастрошизис, омфалоцеле, микростоми</w:t>
      </w:r>
      <w:r w:rsidR="00A675B4">
        <w:t>ю</w:t>
      </w:r>
      <w:r>
        <w:t>, микрофтальми</w:t>
      </w:r>
      <w:r w:rsidR="00A675B4">
        <w:t>ю</w:t>
      </w:r>
      <w:r>
        <w:t>, мембраноз</w:t>
      </w:r>
      <w:r w:rsidR="00A675B4">
        <w:t>ую</w:t>
      </w:r>
      <w:r>
        <w:t xml:space="preserve"> межжелудочков</w:t>
      </w:r>
      <w:r w:rsidR="00A675B4">
        <w:t>ую</w:t>
      </w:r>
      <w:r>
        <w:t xml:space="preserve"> перегородк</w:t>
      </w:r>
      <w:r w:rsidR="00A675B4">
        <w:t>у</w:t>
      </w:r>
      <w:r>
        <w:t xml:space="preserve">, отсутствие желчного пузыря и множественные пороки развития скелета </w:t>
      </w:r>
      <w:r>
        <w:rPr>
          <w:lang w:val="en-US"/>
        </w:rPr>
        <w:fldChar w:fldCharType="begin"/>
      </w:r>
      <w:r w:rsidR="00044A89">
        <w:instrText xml:space="preserve"> ADDIN ZOTERO_ITEM CSL_CITATION {"citationID":"qRFhZcgq","properties":{"formattedCitation":"[12]","plainCitation":"[12]","noteIndex":0},"citationItems":[{"id":87803,"uris":["http://zotero.org/groups/4742804/items/DMZ5DFPG"],"itemData":{"id":87803,"type":"webpage","title":"Xeljanz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AA513A">
        <w:rPr>
          <w:rFonts w:cs="Times New Roman"/>
        </w:rPr>
        <w:t>[1</w:t>
      </w:r>
      <w:r w:rsidR="00044A89" w:rsidRPr="00044A89">
        <w:rPr>
          <w:rFonts w:cs="Times New Roman"/>
        </w:rPr>
        <w:t>]</w:t>
      </w:r>
      <w:r>
        <w:rPr>
          <w:lang w:val="en-US"/>
        </w:rPr>
        <w:fldChar w:fldCharType="end"/>
      </w:r>
      <w:r>
        <w:t>.</w:t>
      </w:r>
    </w:p>
    <w:p w14:paraId="03E09E63" w14:textId="5552005C" w:rsidR="003E189E" w:rsidRDefault="003E189E" w:rsidP="00D36ADC">
      <w:pPr>
        <w:pStyle w:val="SDText"/>
        <w:contextualSpacing/>
      </w:pPr>
      <w:r>
        <w:t xml:space="preserve">Тофацитиниб не влиял на </w:t>
      </w:r>
      <w:r w:rsidR="005F25EB">
        <w:t>развитие</w:t>
      </w:r>
      <w:r>
        <w:t xml:space="preserve"> </w:t>
      </w:r>
      <w:r w:rsidR="005F25EB">
        <w:t>потомства</w:t>
      </w:r>
      <w:r>
        <w:t xml:space="preserve">, стандартные </w:t>
      </w:r>
      <w:r w:rsidR="00EA768B">
        <w:t>показатели оценки</w:t>
      </w:r>
      <w:r>
        <w:t xml:space="preserve"> развития, рост, половое или поведенческое развитие в </w:t>
      </w:r>
      <w:r w:rsidR="00643973">
        <w:t xml:space="preserve">исследовании </w:t>
      </w:r>
      <w:r>
        <w:t>пери-</w:t>
      </w:r>
      <w:r w:rsidR="00643973">
        <w:t xml:space="preserve"> и </w:t>
      </w:r>
      <w:r>
        <w:lastRenderedPageBreak/>
        <w:t xml:space="preserve">постнатальной </w:t>
      </w:r>
      <w:r w:rsidR="00643973">
        <w:t>токсичности у</w:t>
      </w:r>
      <w:r>
        <w:t xml:space="preserve"> крыс. Тофацитиниб обнару</w:t>
      </w:r>
      <w:r w:rsidR="00643973">
        <w:t>жили</w:t>
      </w:r>
      <w:r>
        <w:t xml:space="preserve"> в грудном молоке лактирующих крыс </w:t>
      </w:r>
      <w:r>
        <w:rPr>
          <w:lang w:val="en-US"/>
        </w:rPr>
        <w:fldChar w:fldCharType="begin"/>
      </w:r>
      <w:r w:rsidR="00044A89">
        <w:instrText xml:space="preserve"> ADDIN ZOTERO_ITEM CSL_CITATION {"citationID":"bYBnPUwp","properties":{"formattedCitation":"[12]","plainCitation":"[12]","noteIndex":0},"citationItems":[{"id":87803,"uris":["http://zotero.org/groups/4742804/items/DMZ5DFPG"],"itemData":{"id":87803,"type":"webpage","title":"Xeljanz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AA513A">
        <w:rPr>
          <w:rFonts w:cs="Times New Roman"/>
        </w:rPr>
        <w:t>[1</w:t>
      </w:r>
      <w:r w:rsidR="00044A89" w:rsidRPr="00044A89">
        <w:rPr>
          <w:rFonts w:cs="Times New Roman"/>
        </w:rPr>
        <w:t>]</w:t>
      </w:r>
      <w:r>
        <w:rPr>
          <w:lang w:val="en-US"/>
        </w:rPr>
        <w:fldChar w:fldCharType="end"/>
      </w:r>
      <w:r>
        <w:t>.</w:t>
      </w:r>
    </w:p>
    <w:p w14:paraId="24AEED48" w14:textId="4A20BCA8" w:rsidR="003E189E" w:rsidRPr="00E663E4" w:rsidRDefault="003509B2" w:rsidP="00D36ADC">
      <w:pPr>
        <w:pStyle w:val="SDText"/>
        <w:contextualSpacing/>
      </w:pPr>
      <w:r>
        <w:t>Тофацитиниб не обладал фототоксичностью и н</w:t>
      </w:r>
      <w:r w:rsidR="00B579B8">
        <w:t>е вызывал кожной сенсибилизации.</w:t>
      </w:r>
    </w:p>
    <w:p w14:paraId="161B2786" w14:textId="785F6A04" w:rsidR="00BD2318" w:rsidRDefault="00D62B3D" w:rsidP="00D62B3D">
      <w:pPr>
        <w:pStyle w:val="2"/>
        <w:numPr>
          <w:ilvl w:val="0"/>
          <w:numId w:val="0"/>
        </w:numPr>
        <w:ind w:left="576" w:hanging="576"/>
      </w:pPr>
      <w:bookmarkStart w:id="85" w:name="_Toc115421028"/>
      <w:bookmarkStart w:id="86" w:name="_Toc121592561"/>
      <w:r>
        <w:t xml:space="preserve">3.1. </w:t>
      </w:r>
      <w:r w:rsidR="0095427B" w:rsidRPr="00D36ADC">
        <w:t>Доклиническая фармакология</w:t>
      </w:r>
      <w:bookmarkEnd w:id="85"/>
      <w:bookmarkEnd w:id="86"/>
    </w:p>
    <w:p w14:paraId="70A539E1" w14:textId="77777777" w:rsidR="00B579B8" w:rsidRPr="00B579B8" w:rsidRDefault="00B579B8" w:rsidP="00B579B8">
      <w:pPr>
        <w:pStyle w:val="SDText"/>
        <w:spacing w:after="0"/>
      </w:pPr>
    </w:p>
    <w:p w14:paraId="71A9C20E" w14:textId="3AFD041F" w:rsidR="0095427B" w:rsidRPr="00D62B3D" w:rsidRDefault="00D62B3D" w:rsidP="00D62B3D">
      <w:pPr>
        <w:pStyle w:val="3"/>
        <w:numPr>
          <w:ilvl w:val="0"/>
          <w:numId w:val="0"/>
        </w:numPr>
        <w:ind w:left="720" w:hanging="720"/>
      </w:pPr>
      <w:bookmarkStart w:id="87" w:name="_Toc115421029"/>
      <w:bookmarkStart w:id="88" w:name="_Toc121592562"/>
      <w:r>
        <w:t xml:space="preserve">3.1.1. </w:t>
      </w:r>
      <w:r w:rsidR="009D1AF4" w:rsidRPr="00D36ADC">
        <w:t>Механизм действия</w:t>
      </w:r>
      <w:bookmarkEnd w:id="87"/>
      <w:bookmarkEnd w:id="88"/>
      <w:r w:rsidR="009D1AF4" w:rsidRPr="00D36ADC">
        <w:t xml:space="preserve"> </w:t>
      </w:r>
    </w:p>
    <w:p w14:paraId="0967B1ED" w14:textId="77777777" w:rsidR="00B579B8" w:rsidRDefault="00B579B8" w:rsidP="00B579B8">
      <w:pPr>
        <w:pStyle w:val="SDText"/>
        <w:spacing w:after="0"/>
        <w:contextualSpacing/>
      </w:pPr>
    </w:p>
    <w:p w14:paraId="188699CF" w14:textId="510D208A" w:rsidR="0095427B" w:rsidRDefault="005219BA" w:rsidP="00B579B8">
      <w:pPr>
        <w:pStyle w:val="SDText"/>
        <w:spacing w:after="0"/>
        <w:contextualSpacing/>
      </w:pPr>
      <w:r>
        <w:t>Тоф</w:t>
      </w:r>
      <w:r w:rsidR="00C54AD7">
        <w:t>ацитиниб</w:t>
      </w:r>
      <w:r>
        <w:t xml:space="preserve"> (лабораторный шифр </w:t>
      </w:r>
      <w:r w:rsidR="007A4889" w:rsidRPr="007A4889">
        <w:rPr>
          <w:lang w:val="en-US"/>
        </w:rPr>
        <w:t>CP</w:t>
      </w:r>
      <w:r w:rsidR="007A4889" w:rsidRPr="007A4889">
        <w:t>-690550</w:t>
      </w:r>
      <w:r>
        <w:t>)</w:t>
      </w:r>
      <w:r w:rsidR="007A4889" w:rsidRPr="007A4889">
        <w:t xml:space="preserve"> представляет собой ингибитор </w:t>
      </w:r>
      <w:r w:rsidR="00D81486">
        <w:t xml:space="preserve">тирозинкиназ </w:t>
      </w:r>
      <w:r w:rsidR="007A4889" w:rsidRPr="007A4889">
        <w:t xml:space="preserve">семейства </w:t>
      </w:r>
      <w:r w:rsidR="007A4889" w:rsidRPr="007A4889">
        <w:rPr>
          <w:lang w:val="en-US"/>
        </w:rPr>
        <w:t>JAK</w:t>
      </w:r>
      <w:r w:rsidR="0089401D">
        <w:t>,</w:t>
      </w:r>
      <w:r w:rsidR="007A4889" w:rsidRPr="007A4889">
        <w:t xml:space="preserve"> </w:t>
      </w:r>
      <w:r w:rsidR="00EC4BEE">
        <w:t>действие которого более</w:t>
      </w:r>
      <w:r w:rsidR="007A4889" w:rsidRPr="007A4889">
        <w:t xml:space="preserve"> специфичн</w:t>
      </w:r>
      <w:r w:rsidR="00EC4BEE">
        <w:t>о</w:t>
      </w:r>
      <w:r w:rsidR="007A4889" w:rsidRPr="007A4889">
        <w:t xml:space="preserve"> для активности киназ </w:t>
      </w:r>
      <w:r w:rsidR="007A4889" w:rsidRPr="007A4889">
        <w:rPr>
          <w:lang w:val="en-US"/>
        </w:rPr>
        <w:t>JAK</w:t>
      </w:r>
      <w:r w:rsidR="007A4889" w:rsidRPr="007A4889">
        <w:t xml:space="preserve">1, </w:t>
      </w:r>
      <w:r w:rsidR="007A4889" w:rsidRPr="007A4889">
        <w:rPr>
          <w:lang w:val="en-US"/>
        </w:rPr>
        <w:t>JAK</w:t>
      </w:r>
      <w:r w:rsidR="007A4889" w:rsidRPr="007A4889">
        <w:t xml:space="preserve">2 и </w:t>
      </w:r>
      <w:r w:rsidR="007A4889" w:rsidRPr="007A4889">
        <w:rPr>
          <w:lang w:val="en-US"/>
        </w:rPr>
        <w:t>JAK</w:t>
      </w:r>
      <w:r w:rsidR="007A4889" w:rsidRPr="007A4889">
        <w:t xml:space="preserve">3, чем для </w:t>
      </w:r>
      <w:r w:rsidR="007A4889" w:rsidRPr="007A4889">
        <w:rPr>
          <w:lang w:val="en-US"/>
        </w:rPr>
        <w:t>TyK</w:t>
      </w:r>
      <w:r w:rsidR="007A4889" w:rsidRPr="007A4889">
        <w:t>2. На основ</w:t>
      </w:r>
      <w:r w:rsidR="00382104">
        <w:t xml:space="preserve">ании накопленных знаний о </w:t>
      </w:r>
      <w:r w:rsidR="007A4889" w:rsidRPr="007A4889">
        <w:t>местоположени</w:t>
      </w:r>
      <w:r w:rsidR="00382104">
        <w:t>и в клетке</w:t>
      </w:r>
      <w:r w:rsidR="007A4889" w:rsidRPr="007A4889">
        <w:t xml:space="preserve"> и действиях </w:t>
      </w:r>
      <w:r w:rsidR="00D81486">
        <w:t xml:space="preserve">тирозинкиназ семейства </w:t>
      </w:r>
      <w:r w:rsidR="007A4889" w:rsidRPr="007A4889">
        <w:rPr>
          <w:lang w:val="en-US"/>
        </w:rPr>
        <w:t>JAK</w:t>
      </w:r>
      <w:r w:rsidR="007A4889" w:rsidRPr="007A4889">
        <w:t xml:space="preserve">, </w:t>
      </w:r>
      <w:r w:rsidR="00D81486">
        <w:t xml:space="preserve">выяснили, что </w:t>
      </w:r>
      <w:r w:rsidR="007A4889" w:rsidRPr="007A4889">
        <w:rPr>
          <w:lang w:val="en-US"/>
        </w:rPr>
        <w:t>CP</w:t>
      </w:r>
      <w:r w:rsidR="007A4889" w:rsidRPr="007A4889">
        <w:t>-699550</w:t>
      </w:r>
      <w:r w:rsidR="00D81486">
        <w:t xml:space="preserve"> </w:t>
      </w:r>
      <w:r w:rsidR="007A4889" w:rsidRPr="007A4889">
        <w:t>способ</w:t>
      </w:r>
      <w:r w:rsidR="00085279">
        <w:t>ен</w:t>
      </w:r>
      <w:r w:rsidR="007A4889" w:rsidRPr="007A4889">
        <w:t xml:space="preserve"> влиять на развитие и функцию миелоидных и эритроидных клеток, прерывая</w:t>
      </w:r>
      <w:r w:rsidR="00D81486">
        <w:t xml:space="preserve"> </w:t>
      </w:r>
      <w:r w:rsidR="007A4889" w:rsidRPr="007A4889">
        <w:t xml:space="preserve">сигнальный путь от цитокинового рецептора к </w:t>
      </w:r>
      <w:r w:rsidR="004612A6">
        <w:t>передатчик</w:t>
      </w:r>
      <w:r w:rsidR="0097524A">
        <w:t>у</w:t>
      </w:r>
      <w:r w:rsidR="004612A6">
        <w:t xml:space="preserve"> сигнала и активатор</w:t>
      </w:r>
      <w:r w:rsidR="0097524A">
        <w:t>у</w:t>
      </w:r>
      <w:r w:rsidR="004612A6">
        <w:t xml:space="preserve"> транскрипции (</w:t>
      </w:r>
      <w:r w:rsidR="0097524A" w:rsidRPr="0097524A">
        <w:t>signal transducers and activators of transcription</w:t>
      </w:r>
      <w:r w:rsidR="0097524A">
        <w:t xml:space="preserve">, </w:t>
      </w:r>
      <w:r w:rsidR="007A4889" w:rsidRPr="007A4889">
        <w:rPr>
          <w:lang w:val="en-US"/>
        </w:rPr>
        <w:t>STAT</w:t>
      </w:r>
      <w:r w:rsidR="0097524A">
        <w:t>)</w:t>
      </w:r>
      <w:r w:rsidR="007A4889" w:rsidRPr="007A4889">
        <w:t xml:space="preserve"> за счет ингибирования внутриклеточной активности </w:t>
      </w:r>
      <w:r w:rsidR="007A4889" w:rsidRPr="007A4889">
        <w:rPr>
          <w:lang w:val="en-US"/>
        </w:rPr>
        <w:t>JAK</w:t>
      </w:r>
      <w:r w:rsidR="007A4889" w:rsidRPr="007A4889">
        <w:t>, связанной с</w:t>
      </w:r>
      <w:r w:rsidR="0097524A">
        <w:t xml:space="preserve"> </w:t>
      </w:r>
      <w:r w:rsidR="007A4889" w:rsidRPr="007A4889">
        <w:t>рецептор</w:t>
      </w:r>
      <w:r w:rsidR="004812CF">
        <w:t>ами</w:t>
      </w:r>
      <w:r w:rsidR="007A4889" w:rsidRPr="007A4889">
        <w:t xml:space="preserve"> цитокинов. </w:t>
      </w:r>
      <w:r w:rsidR="00FA2C57">
        <w:t xml:space="preserve">В ходе исследований </w:t>
      </w:r>
      <w:r w:rsidR="00085279">
        <w:t>подтверждено</w:t>
      </w:r>
      <w:r w:rsidR="00FA2C57">
        <w:t>,</w:t>
      </w:r>
      <w:r w:rsidR="007A4889" w:rsidRPr="007A4889">
        <w:t xml:space="preserve"> что ингибирование активности </w:t>
      </w:r>
      <w:r w:rsidR="007A4889" w:rsidRPr="007A4889">
        <w:rPr>
          <w:lang w:val="en-US"/>
        </w:rPr>
        <w:t>JAK</w:t>
      </w:r>
      <w:r w:rsidR="007A4889" w:rsidRPr="007A4889">
        <w:t xml:space="preserve"> </w:t>
      </w:r>
      <w:r w:rsidR="000F7CBD">
        <w:t>тофацитинибом</w:t>
      </w:r>
      <w:r w:rsidR="007A4889" w:rsidRPr="007A4889">
        <w:t xml:space="preserve"> снижает клеточный</w:t>
      </w:r>
      <w:r w:rsidR="00FA2C57">
        <w:t xml:space="preserve"> </w:t>
      </w:r>
      <w:r w:rsidR="007A4889" w:rsidRPr="007A4889">
        <w:t>ответ на передачу цитокинов</w:t>
      </w:r>
      <w:r w:rsidR="000F7CBD">
        <w:t>ых</w:t>
      </w:r>
      <w:r w:rsidR="007A4889" w:rsidRPr="007A4889">
        <w:t xml:space="preserve"> </w:t>
      </w:r>
      <w:r w:rsidR="000F7CBD" w:rsidRPr="007A4889">
        <w:t xml:space="preserve">сигналов </w:t>
      </w:r>
      <w:r w:rsidR="007A4889" w:rsidRPr="007A4889">
        <w:t>(</w:t>
      </w:r>
      <w:r w:rsidR="00901B64">
        <w:rPr>
          <w:lang w:val="en-US"/>
        </w:rPr>
        <w:t>IL</w:t>
      </w:r>
      <w:r w:rsidR="007A4889" w:rsidRPr="007A4889">
        <w:t>-2, -4, -6, -10, -15 и -21), что прив</w:t>
      </w:r>
      <w:r w:rsidR="000F7CBD">
        <w:t>одит</w:t>
      </w:r>
      <w:r w:rsidR="007A4889" w:rsidRPr="007A4889">
        <w:t xml:space="preserve"> к</w:t>
      </w:r>
      <w:r w:rsidR="000F7CBD">
        <w:t xml:space="preserve"> </w:t>
      </w:r>
      <w:r w:rsidR="007A4889" w:rsidRPr="007A4889">
        <w:t>снижени</w:t>
      </w:r>
      <w:r w:rsidR="00234A1E">
        <w:t>ю</w:t>
      </w:r>
      <w:r w:rsidR="007A4889" w:rsidRPr="007A4889">
        <w:t xml:space="preserve"> синтеза и секреции дополнительных цитокинов и других </w:t>
      </w:r>
      <w:r w:rsidR="00783F70">
        <w:t>медиаторов</w:t>
      </w:r>
      <w:r w:rsidR="00A319C8">
        <w:t xml:space="preserve"> </w:t>
      </w:r>
      <w:r w:rsidR="007A4889" w:rsidRPr="007A4889">
        <w:t>воспал</w:t>
      </w:r>
      <w:r w:rsidR="00783F70">
        <w:t xml:space="preserve">ения </w:t>
      </w:r>
      <w:r w:rsidR="007A01EB">
        <w:rPr>
          <w:lang w:val="en-US"/>
        </w:rPr>
        <w:fldChar w:fldCharType="begin"/>
      </w:r>
      <w:r w:rsidR="00044A89">
        <w:instrText xml:space="preserve"> ADDIN ZOTERO_ITEM CSL_CITATION {"citationID":"8vYhFpFN","properties":{"formattedCitation":"[12]","plainCitation":"[12]","noteIndex":0},"citationItems":[{"id":87803,"uris":["http://zotero.org/groups/4742804/items/DMZ5DFPG"],"itemData":{"id":87803,"type":"webpage","title":"Xeljanz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7A01EB">
        <w:rPr>
          <w:lang w:val="en-US"/>
        </w:rPr>
        <w:fldChar w:fldCharType="separate"/>
      </w:r>
      <w:r w:rsidR="00AA513A">
        <w:rPr>
          <w:rFonts w:cs="Times New Roman"/>
        </w:rPr>
        <w:t>[1</w:t>
      </w:r>
      <w:r w:rsidR="00044A89" w:rsidRPr="00044A89">
        <w:rPr>
          <w:rFonts w:cs="Times New Roman"/>
        </w:rPr>
        <w:t>]</w:t>
      </w:r>
      <w:r w:rsidR="007A01EB">
        <w:rPr>
          <w:lang w:val="en-US"/>
        </w:rPr>
        <w:fldChar w:fldCharType="end"/>
      </w:r>
      <w:r w:rsidR="00340332">
        <w:t>.</w:t>
      </w:r>
    </w:p>
    <w:p w14:paraId="7FA63F0C" w14:textId="77777777" w:rsidR="00B579B8" w:rsidRPr="00783F70" w:rsidRDefault="00B579B8" w:rsidP="00B579B8">
      <w:pPr>
        <w:pStyle w:val="SDText"/>
        <w:spacing w:after="0"/>
        <w:contextualSpacing/>
      </w:pPr>
    </w:p>
    <w:p w14:paraId="30460005" w14:textId="12DBD424" w:rsidR="00D36ADC" w:rsidRDefault="00D62B3D" w:rsidP="00D62B3D">
      <w:pPr>
        <w:pStyle w:val="3"/>
        <w:numPr>
          <w:ilvl w:val="0"/>
          <w:numId w:val="0"/>
        </w:numPr>
        <w:ind w:left="720" w:hanging="720"/>
      </w:pPr>
      <w:bookmarkStart w:id="89" w:name="_Toc115421030"/>
      <w:bookmarkStart w:id="90" w:name="_Toc121592563"/>
      <w:r>
        <w:t xml:space="preserve">3.1.2. </w:t>
      </w:r>
      <w:r w:rsidR="00AF0A2E" w:rsidRPr="00B20C48">
        <w:t>Первичная</w:t>
      </w:r>
      <w:r w:rsidR="009D1AF4" w:rsidRPr="00D36ADC">
        <w:t xml:space="preserve"> фармакодинамика</w:t>
      </w:r>
      <w:bookmarkStart w:id="91" w:name="_Toc115421031"/>
      <w:bookmarkEnd w:id="89"/>
      <w:bookmarkEnd w:id="90"/>
    </w:p>
    <w:p w14:paraId="56D5F406" w14:textId="77777777" w:rsidR="00BD2318" w:rsidRPr="00BD2318" w:rsidRDefault="00BD2318" w:rsidP="00BD2318">
      <w:pPr>
        <w:pStyle w:val="SDText"/>
      </w:pPr>
    </w:p>
    <w:p w14:paraId="42659034" w14:textId="5A9C567B" w:rsidR="0095427B" w:rsidRPr="00D62B3D" w:rsidRDefault="00D62B3D" w:rsidP="00D62B3D">
      <w:pPr>
        <w:pStyle w:val="4"/>
        <w:numPr>
          <w:ilvl w:val="0"/>
          <w:numId w:val="0"/>
        </w:numPr>
        <w:ind w:left="864" w:hanging="864"/>
      </w:pPr>
      <w:bookmarkStart w:id="92" w:name="_Toc121592564"/>
      <w:r>
        <w:t xml:space="preserve">3.1.2.1. </w:t>
      </w:r>
      <w:r w:rsidR="00AF0A2E" w:rsidRPr="00B20C48">
        <w:t>Первичная</w:t>
      </w:r>
      <w:r w:rsidR="00AF0A2E" w:rsidRPr="00D36ADC">
        <w:t xml:space="preserve"> фармакодинамика </w:t>
      </w:r>
      <w:r w:rsidR="00AF0A2E" w:rsidRPr="00F033B3">
        <w:rPr>
          <w:i/>
          <w:lang w:val="en-US"/>
        </w:rPr>
        <w:t>in</w:t>
      </w:r>
      <w:r w:rsidR="00AF0A2E" w:rsidRPr="00F033B3">
        <w:rPr>
          <w:i/>
        </w:rPr>
        <w:t xml:space="preserve"> </w:t>
      </w:r>
      <w:r w:rsidR="00AF0A2E" w:rsidRPr="00F033B3">
        <w:rPr>
          <w:i/>
          <w:lang w:val="en-US"/>
        </w:rPr>
        <w:t>vitro</w:t>
      </w:r>
      <w:bookmarkEnd w:id="91"/>
      <w:bookmarkEnd w:id="92"/>
    </w:p>
    <w:p w14:paraId="2D410CAF" w14:textId="77777777" w:rsidR="00DE11C7" w:rsidRDefault="00DE11C7" w:rsidP="00D36ADC">
      <w:pPr>
        <w:pStyle w:val="SDText"/>
        <w:contextualSpacing/>
      </w:pPr>
    </w:p>
    <w:p w14:paraId="401EC198" w14:textId="5FAAC8E3" w:rsidR="00E654FD" w:rsidRDefault="00F1331B" w:rsidP="00D36ADC">
      <w:pPr>
        <w:pStyle w:val="SDText"/>
        <w:contextualSpacing/>
      </w:pPr>
      <w:r>
        <w:t>И</w:t>
      </w:r>
      <w:r w:rsidRPr="00F1331B">
        <w:t xml:space="preserve">нгибирование активности </w:t>
      </w:r>
      <w:r w:rsidRPr="00F1331B">
        <w:rPr>
          <w:lang w:val="en-US"/>
        </w:rPr>
        <w:t>JAK</w:t>
      </w:r>
      <w:r w:rsidRPr="00F1331B">
        <w:t xml:space="preserve"> тофацитинибом снижа</w:t>
      </w:r>
      <w:r>
        <w:t>ло</w:t>
      </w:r>
      <w:r w:rsidRPr="00F1331B">
        <w:t xml:space="preserve"> клеточный ответ на цитокиновые сигналы (</w:t>
      </w:r>
      <w:r w:rsidR="00901B64">
        <w:rPr>
          <w:lang w:val="en-US"/>
        </w:rPr>
        <w:t>IL</w:t>
      </w:r>
      <w:r w:rsidRPr="00F1331B">
        <w:t>-2, -4, -6, -10, -15 и -21 с медианной ингибирующей концентрацией [</w:t>
      </w:r>
      <w:r w:rsidRPr="00F1331B">
        <w:rPr>
          <w:lang w:val="en-US"/>
        </w:rPr>
        <w:t>median</w:t>
      </w:r>
      <w:r w:rsidRPr="00F1331B">
        <w:t xml:space="preserve"> </w:t>
      </w:r>
      <w:r w:rsidRPr="00F1331B">
        <w:rPr>
          <w:lang w:val="en-US"/>
        </w:rPr>
        <w:t>inhibitory</w:t>
      </w:r>
      <w:r w:rsidRPr="00F1331B">
        <w:t xml:space="preserve"> </w:t>
      </w:r>
      <w:r w:rsidRPr="00F1331B">
        <w:rPr>
          <w:lang w:val="en-US"/>
        </w:rPr>
        <w:t>concentration</w:t>
      </w:r>
      <w:r w:rsidRPr="00F1331B">
        <w:t xml:space="preserve">, </w:t>
      </w:r>
      <w:r w:rsidRPr="00F1331B">
        <w:rPr>
          <w:lang w:val="en-US"/>
        </w:rPr>
        <w:t>IC</w:t>
      </w:r>
      <w:r w:rsidRPr="00F1331B">
        <w:rPr>
          <w:vertAlign w:val="subscript"/>
        </w:rPr>
        <w:t>50</w:t>
      </w:r>
      <w:r w:rsidRPr="00F1331B">
        <w:t xml:space="preserve">] ≤ 500 нмоль/л для клеточных форм, то есть гомо- или гетеродимеров </w:t>
      </w:r>
      <w:r w:rsidRPr="00F1331B">
        <w:rPr>
          <w:lang w:val="en-US"/>
        </w:rPr>
        <w:t>JAK</w:t>
      </w:r>
      <w:r w:rsidRPr="00F1331B">
        <w:t>), что приводи</w:t>
      </w:r>
      <w:r w:rsidR="004811BC">
        <w:t>ло</w:t>
      </w:r>
      <w:r w:rsidRPr="00F1331B">
        <w:t xml:space="preserve"> к снижению синтеза и секреции дополнительных цитокинов и других медиаторов воспаления </w:t>
      </w:r>
      <w:r w:rsidR="00FB1302">
        <w:rPr>
          <w:lang w:val="en-US"/>
        </w:rPr>
        <w:fldChar w:fldCharType="begin"/>
      </w:r>
      <w:r w:rsidR="00044A89">
        <w:instrText xml:space="preserve"> ADDIN ZOTERO_ITEM CSL_CITATION {"citationID":"4CRpvCEQ","properties":{"formattedCitation":"[12]","plainCitation":"[12]","noteIndex":0},"citationItems":[{"id":87803,"uris":["http://zotero.org/groups/4742804/items/DMZ5DFPG"],"itemData":{"id":87803,"type":"webpage","title":"Xeljanz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FB1302">
        <w:rPr>
          <w:lang w:val="en-US"/>
        </w:rPr>
        <w:fldChar w:fldCharType="separate"/>
      </w:r>
      <w:r w:rsidR="00AA513A">
        <w:rPr>
          <w:rFonts w:cs="Times New Roman"/>
        </w:rPr>
        <w:t>[1</w:t>
      </w:r>
      <w:r w:rsidR="00044A89" w:rsidRPr="00044A89">
        <w:rPr>
          <w:rFonts w:cs="Times New Roman"/>
        </w:rPr>
        <w:t>]</w:t>
      </w:r>
      <w:r w:rsidR="00FB1302">
        <w:rPr>
          <w:lang w:val="en-US"/>
        </w:rPr>
        <w:fldChar w:fldCharType="end"/>
      </w:r>
      <w:r w:rsidR="004811BC">
        <w:t>.</w:t>
      </w:r>
    </w:p>
    <w:p w14:paraId="7F9F3ECE" w14:textId="7DA95619" w:rsidR="00383A0D" w:rsidRPr="004811BC" w:rsidRDefault="00E6707B" w:rsidP="00D36ADC">
      <w:pPr>
        <w:pStyle w:val="SDText"/>
        <w:contextualSpacing/>
      </w:pPr>
      <w:r>
        <w:t>Для т</w:t>
      </w:r>
      <w:r w:rsidR="00383A0D">
        <w:t>офацитиниб</w:t>
      </w:r>
      <w:r>
        <w:t>а</w:t>
      </w:r>
      <w:r w:rsidR="00383A0D">
        <w:t xml:space="preserve"> показал</w:t>
      </w:r>
      <w:r>
        <w:t>и</w:t>
      </w:r>
      <w:r w:rsidR="00383A0D">
        <w:t xml:space="preserve"> селективность с IC</w:t>
      </w:r>
      <w:r w:rsidR="00383A0D" w:rsidRPr="00E6707B">
        <w:rPr>
          <w:vertAlign w:val="subscript"/>
        </w:rPr>
        <w:t>50</w:t>
      </w:r>
      <w:r w:rsidR="00383A0D">
        <w:t xml:space="preserve"> 3,2, 4,1 и 1,6 </w:t>
      </w:r>
      <w:r>
        <w:t>нмоль/л</w:t>
      </w:r>
      <w:r w:rsidR="00383A0D">
        <w:t xml:space="preserve"> для JAK1, 2 и 3 соответственно. Сродство к TyK2 было ниже</w:t>
      </w:r>
      <w:r w:rsidR="005E7309">
        <w:t xml:space="preserve">, </w:t>
      </w:r>
      <w:r w:rsidR="00383A0D">
        <w:t>IC</w:t>
      </w:r>
      <w:r w:rsidR="00383A0D" w:rsidRPr="005E7309">
        <w:rPr>
          <w:vertAlign w:val="subscript"/>
        </w:rPr>
        <w:t>50</w:t>
      </w:r>
      <w:r w:rsidR="00383A0D">
        <w:t xml:space="preserve"> </w:t>
      </w:r>
      <w:r w:rsidR="005E7309">
        <w:t xml:space="preserve">составила </w:t>
      </w:r>
      <w:r w:rsidR="00383A0D">
        <w:t>34 н</w:t>
      </w:r>
      <w:r w:rsidR="005E7309">
        <w:t>моль/л</w:t>
      </w:r>
      <w:r w:rsidR="00383A0D">
        <w:t>. Все остальные протестированные киназы имели IC</w:t>
      </w:r>
      <w:r w:rsidR="00383A0D" w:rsidRPr="005E7309">
        <w:rPr>
          <w:vertAlign w:val="subscript"/>
        </w:rPr>
        <w:t>50</w:t>
      </w:r>
      <w:r w:rsidR="00383A0D">
        <w:t xml:space="preserve"> &gt;</w:t>
      </w:r>
      <w:r w:rsidR="00990280">
        <w:t xml:space="preserve"> </w:t>
      </w:r>
      <w:r w:rsidR="00383A0D">
        <w:t>1 мк</w:t>
      </w:r>
      <w:r w:rsidR="005E7309">
        <w:t>моль/л</w:t>
      </w:r>
      <w:r w:rsidR="00383A0D">
        <w:t xml:space="preserve">. В клеточных моделях тофацитиниб подтвердил свою селективность в отношении JAK1/3 и в меньшей степени в отношении JAK2 </w:t>
      </w:r>
      <w:r w:rsidR="00D0676D">
        <w:fldChar w:fldCharType="begin"/>
      </w:r>
      <w:r w:rsidR="00044A89">
        <w:instrText xml:space="preserve"> ADDIN ZOTERO_ITEM CSL_CITATION {"citationID":"6XIZAShP","properties":{"formattedCitation":"[21]","plainCitation":"[21]","noteIndex":0},"citationItems":[{"id":91153,"uris":["http://zotero.org/groups/4742804/items/UAUYPBRD"],"itemData":{"id":91153,"type":"webpage","title":"Xeljanz.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D0676D">
        <w:fldChar w:fldCharType="separate"/>
      </w:r>
      <w:r w:rsidR="00AA513A">
        <w:rPr>
          <w:rFonts w:cs="Times New Roman"/>
        </w:rPr>
        <w:t>[</w:t>
      </w:r>
      <w:r w:rsidR="00044A89" w:rsidRPr="00044A89">
        <w:rPr>
          <w:rFonts w:cs="Times New Roman"/>
        </w:rPr>
        <w:t>1</w:t>
      </w:r>
      <w:r w:rsidR="00AA513A">
        <w:rPr>
          <w:rFonts w:cs="Times New Roman"/>
        </w:rPr>
        <w:t>0</w:t>
      </w:r>
      <w:r w:rsidR="00044A89" w:rsidRPr="00044A89">
        <w:rPr>
          <w:rFonts w:cs="Times New Roman"/>
        </w:rPr>
        <w:t>]</w:t>
      </w:r>
      <w:r w:rsidR="00D0676D">
        <w:fldChar w:fldCharType="end"/>
      </w:r>
      <w:r w:rsidR="00576E71">
        <w:t>.</w:t>
      </w:r>
    </w:p>
    <w:p w14:paraId="1D947630" w14:textId="1902940E" w:rsidR="00AF0A2E" w:rsidRPr="00DE11C7" w:rsidRDefault="00D62B3D" w:rsidP="00D62B3D">
      <w:pPr>
        <w:pStyle w:val="4"/>
        <w:numPr>
          <w:ilvl w:val="0"/>
          <w:numId w:val="0"/>
        </w:numPr>
        <w:ind w:left="864" w:hanging="864"/>
      </w:pPr>
      <w:bookmarkStart w:id="93" w:name="_Toc115421032"/>
      <w:bookmarkStart w:id="94" w:name="_Toc121592565"/>
      <w:r>
        <w:t xml:space="preserve">3.1.2.2. </w:t>
      </w:r>
      <w:r w:rsidR="00D64296" w:rsidRPr="00DE11C7">
        <w:t xml:space="preserve">Первичная </w:t>
      </w:r>
      <w:r w:rsidR="00D64296" w:rsidRPr="00B20C48">
        <w:t>фармакодинамика</w:t>
      </w:r>
      <w:r w:rsidR="00D64296" w:rsidRPr="00DE11C7">
        <w:t xml:space="preserve"> </w:t>
      </w:r>
      <w:r w:rsidR="00D64296" w:rsidRPr="00F033B3">
        <w:rPr>
          <w:i/>
          <w:lang w:val="en-US"/>
        </w:rPr>
        <w:t>in</w:t>
      </w:r>
      <w:r w:rsidR="00D64296" w:rsidRPr="00F033B3">
        <w:rPr>
          <w:i/>
        </w:rPr>
        <w:t xml:space="preserve"> </w:t>
      </w:r>
      <w:r w:rsidR="00D64296" w:rsidRPr="00F033B3">
        <w:rPr>
          <w:i/>
          <w:lang w:val="en-US"/>
        </w:rPr>
        <w:t>vivo</w:t>
      </w:r>
      <w:bookmarkEnd w:id="93"/>
      <w:bookmarkEnd w:id="94"/>
    </w:p>
    <w:p w14:paraId="087B83EE" w14:textId="77777777" w:rsidR="00D36ADC" w:rsidRDefault="00D36ADC" w:rsidP="00D36ADC">
      <w:pPr>
        <w:pStyle w:val="SDText"/>
        <w:contextualSpacing/>
      </w:pPr>
    </w:p>
    <w:p w14:paraId="3B33B325" w14:textId="46529BBF" w:rsidR="00BD2318" w:rsidRDefault="0072353F" w:rsidP="00BD2318">
      <w:pPr>
        <w:pStyle w:val="SDText"/>
        <w:contextualSpacing/>
      </w:pPr>
      <w:r>
        <w:t>В ходе исследования</w:t>
      </w:r>
      <w:r w:rsidR="004D3055" w:rsidRPr="004D3055">
        <w:t xml:space="preserve"> 160531</w:t>
      </w:r>
      <w:r w:rsidR="004D3055">
        <w:t xml:space="preserve"> </w:t>
      </w:r>
      <w:r w:rsidR="00310410">
        <w:t xml:space="preserve">изучили эффекты тофацитиниба в модели </w:t>
      </w:r>
      <w:r w:rsidR="00BA573B">
        <w:t xml:space="preserve">адъювантного артрита у </w:t>
      </w:r>
      <w:r w:rsidR="00D16B5F">
        <w:t xml:space="preserve">молодых самок </w:t>
      </w:r>
      <w:r w:rsidR="00BA573B">
        <w:t xml:space="preserve">крыс. </w:t>
      </w:r>
      <w:r w:rsidR="00DE5406">
        <w:t xml:space="preserve">Артрит у животных индуцировали </w:t>
      </w:r>
      <w:r w:rsidR="006D2C45">
        <w:t xml:space="preserve">3-кратным </w:t>
      </w:r>
      <w:r w:rsidR="00DE5406">
        <w:t xml:space="preserve">введением в </w:t>
      </w:r>
      <w:r w:rsidR="00E07A6D">
        <w:t xml:space="preserve">основание хвоста 50 мкл суспензии </w:t>
      </w:r>
      <w:r w:rsidR="006D2C45">
        <w:t xml:space="preserve">инактивированных нагреванием </w:t>
      </w:r>
      <w:r w:rsidR="00E07A6D" w:rsidRPr="00E07A6D">
        <w:rPr>
          <w:i/>
          <w:iCs/>
        </w:rPr>
        <w:t>Mycobacterium butyrium</w:t>
      </w:r>
      <w:r w:rsidR="00E07A6D">
        <w:t xml:space="preserve"> </w:t>
      </w:r>
      <w:r w:rsidR="004F15C0">
        <w:t xml:space="preserve">(15 мг/мл) </w:t>
      </w:r>
      <w:r w:rsidR="00E07A6D">
        <w:t xml:space="preserve">в </w:t>
      </w:r>
      <w:r w:rsidR="0083360F">
        <w:t xml:space="preserve">сквалановом масле. </w:t>
      </w:r>
      <w:r w:rsidR="00D16B5F">
        <w:t xml:space="preserve">На 15 день после </w:t>
      </w:r>
      <w:r w:rsidR="00F672F0">
        <w:t xml:space="preserve">иммунизации у крыс определяли массу тела, объем лап и рандомизировали на </w:t>
      </w:r>
      <w:r w:rsidR="00137590">
        <w:t xml:space="preserve">2 </w:t>
      </w:r>
      <w:r w:rsidR="00F672F0">
        <w:t>группы по 7–8 особей в каждой</w:t>
      </w:r>
      <w:r w:rsidR="00276D1D">
        <w:t>, так что объем лап животных в каждой группе существенно не отличался</w:t>
      </w:r>
      <w:r w:rsidR="00F672F0">
        <w:t xml:space="preserve">. </w:t>
      </w:r>
      <w:r w:rsidR="00137590">
        <w:t xml:space="preserve">Животные из первой группы получали </w:t>
      </w:r>
      <w:r w:rsidR="00786722">
        <w:t xml:space="preserve">перорально </w:t>
      </w:r>
      <w:r w:rsidR="00D9778C">
        <w:t>тофацитиниб</w:t>
      </w:r>
      <w:r w:rsidR="00137590">
        <w:t xml:space="preserve"> </w:t>
      </w:r>
      <w:r w:rsidR="00786722">
        <w:t xml:space="preserve">в дозе 6,2 мг/кг один раз в день с 16 по 22 день исследования, а крысы из второй группы – </w:t>
      </w:r>
      <w:r w:rsidR="003D454A">
        <w:t>носитель</w:t>
      </w:r>
      <w:r w:rsidR="00786722">
        <w:t xml:space="preserve">. </w:t>
      </w:r>
      <w:r w:rsidR="003D454A">
        <w:t xml:space="preserve">Крыс умерщвляли через 4 ч после введения </w:t>
      </w:r>
      <w:r w:rsidR="00632AE0">
        <w:t>лекарственного средства</w:t>
      </w:r>
      <w:r w:rsidR="003D454A">
        <w:t xml:space="preserve"> или носителя на 16, 20</w:t>
      </w:r>
      <w:r w:rsidR="00632AE0">
        <w:t xml:space="preserve"> или </w:t>
      </w:r>
      <w:r w:rsidR="003D454A">
        <w:t>23</w:t>
      </w:r>
      <w:r w:rsidR="00632AE0">
        <w:t xml:space="preserve"> дни</w:t>
      </w:r>
      <w:r w:rsidR="00333D04">
        <w:t>,</w:t>
      </w:r>
      <w:r w:rsidR="00632AE0">
        <w:t xml:space="preserve"> или</w:t>
      </w:r>
      <w:r w:rsidR="003D454A">
        <w:t xml:space="preserve"> </w:t>
      </w:r>
      <w:r w:rsidR="00632AE0">
        <w:t xml:space="preserve">через 24 ч после введения лекарственного средства или носителя на </w:t>
      </w:r>
      <w:r w:rsidR="004847A4">
        <w:t>17 день</w:t>
      </w:r>
      <w:r w:rsidR="008B0847">
        <w:t xml:space="preserve">. </w:t>
      </w:r>
      <w:r w:rsidR="00D23DEF">
        <w:lastRenderedPageBreak/>
        <w:t>После умерщвления проводили гистологический анализ о</w:t>
      </w:r>
      <w:r w:rsidR="008B0847">
        <w:t>бразц</w:t>
      </w:r>
      <w:r w:rsidR="00D23DEF">
        <w:t>ов</w:t>
      </w:r>
      <w:r w:rsidR="008B0847">
        <w:t xml:space="preserve"> тканей левых зад</w:t>
      </w:r>
      <w:r w:rsidR="001058BF">
        <w:t>них лап</w:t>
      </w:r>
      <w:r w:rsidR="00A1229B">
        <w:t xml:space="preserve"> </w:t>
      </w:r>
      <w:r w:rsidR="00FF6DC9">
        <w:t xml:space="preserve">с окраской гематоксилин-эозином </w:t>
      </w:r>
      <w:r w:rsidR="0054687B">
        <w:t xml:space="preserve">для общей оценки </w:t>
      </w:r>
      <w:r w:rsidR="00FF6DC9">
        <w:t xml:space="preserve">и </w:t>
      </w:r>
      <w:r w:rsidR="0054687B">
        <w:t>толуидиновым синим дл</w:t>
      </w:r>
      <w:r w:rsidR="00FD2855">
        <w:t xml:space="preserve">я </w:t>
      </w:r>
      <w:r w:rsidR="00796544">
        <w:t xml:space="preserve">оценки изменений хрящевой ткани. </w:t>
      </w:r>
      <w:r w:rsidR="005873CE">
        <w:t>С использованием</w:t>
      </w:r>
      <w:r w:rsidR="00056033">
        <w:t xml:space="preserve"> </w:t>
      </w:r>
      <w:r w:rsidR="0082168B">
        <w:t>иммуно</w:t>
      </w:r>
      <w:r w:rsidR="005873CE">
        <w:t>гисто</w:t>
      </w:r>
      <w:r w:rsidR="0082168B">
        <w:t xml:space="preserve">химической </w:t>
      </w:r>
      <w:r w:rsidR="005873CE">
        <w:t xml:space="preserve">окраски </w:t>
      </w:r>
      <w:r w:rsidR="002116D0">
        <w:t xml:space="preserve">определяли </w:t>
      </w:r>
      <w:r w:rsidR="000F70FC">
        <w:rPr>
          <w:lang w:val="en-US"/>
        </w:rPr>
        <w:t>T</w:t>
      </w:r>
      <w:r w:rsidR="000F70FC" w:rsidRPr="005F1CAF">
        <w:t>-</w:t>
      </w:r>
      <w:r w:rsidR="000F70FC">
        <w:t>лимфоциты</w:t>
      </w:r>
      <w:r w:rsidR="005F1CAF">
        <w:t xml:space="preserve"> </w:t>
      </w:r>
      <w:r w:rsidR="00F767F2">
        <w:rPr>
          <w:lang w:val="en-US"/>
        </w:rPr>
        <w:t>CD</w:t>
      </w:r>
      <w:r w:rsidR="002A16F8" w:rsidRPr="002A16F8">
        <w:t xml:space="preserve">3+ </w:t>
      </w:r>
      <w:r w:rsidR="002A16F8">
        <w:t xml:space="preserve">и макрофаги </w:t>
      </w:r>
      <w:r w:rsidR="002A16F8">
        <w:rPr>
          <w:lang w:val="en-US"/>
        </w:rPr>
        <w:t>ED</w:t>
      </w:r>
      <w:r w:rsidR="002A16F8" w:rsidRPr="002A16F8">
        <w:t>-1</w:t>
      </w:r>
      <w:r w:rsidR="00613AB1" w:rsidRPr="00613AB1">
        <w:t>/</w:t>
      </w:r>
      <w:r w:rsidR="00613AB1">
        <w:rPr>
          <w:lang w:val="en-US"/>
        </w:rPr>
        <w:t>CD</w:t>
      </w:r>
      <w:r w:rsidR="00613AB1" w:rsidRPr="00613AB1">
        <w:t>68</w:t>
      </w:r>
      <w:r w:rsidR="00F212A3">
        <w:t xml:space="preserve">. </w:t>
      </w:r>
      <w:r w:rsidR="00B7435B">
        <w:t xml:space="preserve">Выраженность резорбции костной </w:t>
      </w:r>
      <w:r w:rsidR="00CF686A">
        <w:t xml:space="preserve">ткани </w:t>
      </w:r>
      <w:r w:rsidR="005157C7">
        <w:t>определяли по 6-балльной шкале от 0 при отсутствии</w:t>
      </w:r>
      <w:r w:rsidR="00B7435B">
        <w:t xml:space="preserve"> </w:t>
      </w:r>
      <w:r w:rsidR="005157C7">
        <w:t xml:space="preserve">до 5 баллов при </w:t>
      </w:r>
      <w:r w:rsidR="008E274D">
        <w:t>тяжелых изменениях.</w:t>
      </w:r>
      <w:r w:rsidR="00A1229B">
        <w:t xml:space="preserve"> </w:t>
      </w:r>
      <w:r w:rsidR="008E274D">
        <w:t>Степень повреждения хрящевой ткани определяли также по 6-балл</w:t>
      </w:r>
      <w:r w:rsidR="001E0C0D">
        <w:t>ь</w:t>
      </w:r>
      <w:r w:rsidR="008E274D">
        <w:t xml:space="preserve">ной шкале </w:t>
      </w:r>
      <w:r w:rsidR="005F3BC1">
        <w:t>от 0 при нормально</w:t>
      </w:r>
      <w:r w:rsidR="001E0C0D">
        <w:t>м строении до 5 баллов при выражен</w:t>
      </w:r>
      <w:r w:rsidR="00A60907">
        <w:t>н</w:t>
      </w:r>
      <w:r w:rsidR="001E0C0D">
        <w:t>ых изменениях</w:t>
      </w:r>
      <w:r w:rsidR="00A60907">
        <w:t xml:space="preserve"> </w:t>
      </w:r>
      <w:r w:rsidR="005E654E">
        <w:rPr>
          <w:lang w:val="en-US"/>
        </w:rPr>
        <w:fldChar w:fldCharType="begin"/>
      </w:r>
      <w:r w:rsidR="00044A89">
        <w:instrText xml:space="preserve"> ADDIN ZOTERO_ITEM CSL_CITATION {"citationID":"DfuoZDOS","properties":{"formattedCitation":"[12]","plainCitation":"[12]","noteIndex":0},"citationItems":[{"id":87803,"uris":["http://zotero.org/groups/4742804/items/DMZ5DFPG"],"itemData":{"id":87803,"type":"webpage","title":"Xeljanz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5E654E">
        <w:rPr>
          <w:lang w:val="en-US"/>
        </w:rPr>
        <w:fldChar w:fldCharType="separate"/>
      </w:r>
      <w:r w:rsidR="00AA513A">
        <w:rPr>
          <w:rFonts w:cs="Times New Roman"/>
        </w:rPr>
        <w:t>[1</w:t>
      </w:r>
      <w:r w:rsidR="00044A89" w:rsidRPr="00044A89">
        <w:rPr>
          <w:rFonts w:cs="Times New Roman"/>
        </w:rPr>
        <w:t>]</w:t>
      </w:r>
      <w:r w:rsidR="005E654E">
        <w:rPr>
          <w:lang w:val="en-US"/>
        </w:rPr>
        <w:fldChar w:fldCharType="end"/>
      </w:r>
      <w:r w:rsidR="005E654E">
        <w:t>.</w:t>
      </w:r>
    </w:p>
    <w:p w14:paraId="0FFA6C92" w14:textId="6DC2E983" w:rsidR="00BD2318" w:rsidRDefault="00044DE9" w:rsidP="00BD2318">
      <w:pPr>
        <w:pStyle w:val="SDText"/>
        <w:contextualSpacing/>
      </w:pPr>
      <w:r>
        <w:t>На 16 день через 4 ч после введения</w:t>
      </w:r>
      <w:r w:rsidRPr="00044DE9">
        <w:t xml:space="preserve"> </w:t>
      </w:r>
      <w:bookmarkStart w:id="95" w:name="_Hlk117584257"/>
      <w:r w:rsidR="00D9778C">
        <w:t>тофацитиниба</w:t>
      </w:r>
      <w:bookmarkEnd w:id="95"/>
      <w:r>
        <w:t xml:space="preserve"> </w:t>
      </w:r>
      <w:r w:rsidR="00035D50">
        <w:t xml:space="preserve">или носителя </w:t>
      </w:r>
      <w:r w:rsidR="002F6979">
        <w:t xml:space="preserve">отсутствие повреждений </w:t>
      </w:r>
      <w:r w:rsidR="00C7122C">
        <w:t xml:space="preserve">хряща голеностопного сустава (0 баллов) зарегистрировали у </w:t>
      </w:r>
      <w:r w:rsidR="00035D50">
        <w:t xml:space="preserve">71 и 43% животных из групп </w:t>
      </w:r>
      <w:r w:rsidR="00075E85">
        <w:t xml:space="preserve">тофацитиниба и </w:t>
      </w:r>
      <w:r w:rsidR="00035D50">
        <w:t xml:space="preserve">носителя </w:t>
      </w:r>
      <w:r w:rsidR="00075E85">
        <w:t xml:space="preserve">соответственно. </w:t>
      </w:r>
      <w:r w:rsidR="00CF7893">
        <w:t xml:space="preserve">У других животных из группы носителя степень повреждения составила </w:t>
      </w:r>
      <w:r w:rsidR="00AB4856">
        <w:t xml:space="preserve">5, 4, 4 и 1 балл, а у </w:t>
      </w:r>
      <w:r w:rsidR="00E31639">
        <w:t>двух других</w:t>
      </w:r>
      <w:r w:rsidR="00AB4856">
        <w:t xml:space="preserve"> крыс из группы </w:t>
      </w:r>
      <w:r w:rsidR="00D9778C">
        <w:t>тофацитиниба</w:t>
      </w:r>
      <w:r w:rsidR="006D4251">
        <w:t xml:space="preserve"> </w:t>
      </w:r>
      <w:r w:rsidR="00AB4856">
        <w:t>–</w:t>
      </w:r>
      <w:r w:rsidR="006D4251">
        <w:t xml:space="preserve"> </w:t>
      </w:r>
      <w:r w:rsidR="00E31639">
        <w:t xml:space="preserve">4 балла </w:t>
      </w:r>
      <w:r w:rsidR="007D4B65">
        <w:t xml:space="preserve">в каждом случае. </w:t>
      </w:r>
      <w:r w:rsidR="006D4251">
        <w:t xml:space="preserve">На 17 день исследования </w:t>
      </w:r>
      <w:r w:rsidR="00DF26A7">
        <w:t>отсутствие повреждения хрящевой ткани наблюдали у 60% животных из каждой группы</w:t>
      </w:r>
      <w:r w:rsidR="00A42748">
        <w:t xml:space="preserve">, у других крыс из группы </w:t>
      </w:r>
      <w:r w:rsidR="00C262C0">
        <w:t xml:space="preserve">тофацитиниба степень повреждения составила 3 и 4 балла, а у других животных из группы </w:t>
      </w:r>
      <w:r w:rsidR="004C37CC">
        <w:t xml:space="preserve">носителя – 3, 1 и 1 балл. На 20 день </w:t>
      </w:r>
      <w:r w:rsidR="00784A08">
        <w:t xml:space="preserve">повреждения хрящевой ткани отсутствовали у </w:t>
      </w:r>
      <w:r w:rsidR="00C830FC">
        <w:t xml:space="preserve">57 и 71% животных из групп носителя и </w:t>
      </w:r>
      <w:r w:rsidR="00D9778C">
        <w:t xml:space="preserve">тофацитиниба </w:t>
      </w:r>
      <w:r w:rsidR="00C830FC">
        <w:t xml:space="preserve">соответственно, </w:t>
      </w:r>
      <w:r w:rsidR="00D60F74">
        <w:t xml:space="preserve">а у остальных крыс выраженность повреждения составила 4, 4 и </w:t>
      </w:r>
      <w:r w:rsidR="00CD2DB6">
        <w:t>4 в группе носителя</w:t>
      </w:r>
      <w:r w:rsidR="00333D04">
        <w:t>,</w:t>
      </w:r>
      <w:r w:rsidR="00CD2DB6">
        <w:t xml:space="preserve"> и 3 и 1 в группе тофацитиниба. </w:t>
      </w:r>
      <w:r w:rsidR="0023736C">
        <w:t xml:space="preserve">При оценке </w:t>
      </w:r>
      <w:r w:rsidR="00BC1D49">
        <w:t>повреждения хрящевой ткани суставов пальцев</w:t>
      </w:r>
      <w:r w:rsidR="00035D50">
        <w:t xml:space="preserve"> </w:t>
      </w:r>
      <w:r w:rsidR="00BC1D49">
        <w:t xml:space="preserve">через 4 ч после введения исследуемого лекарственного средства или носителя </w:t>
      </w:r>
      <w:r w:rsidR="000D13B8">
        <w:t>на 16 день, а также на 17</w:t>
      </w:r>
      <w:r w:rsidR="00404408">
        <w:t xml:space="preserve">, </w:t>
      </w:r>
      <w:r w:rsidR="000D13B8">
        <w:t xml:space="preserve">20 </w:t>
      </w:r>
      <w:r w:rsidR="00404408">
        <w:t xml:space="preserve">и 23 </w:t>
      </w:r>
      <w:r w:rsidR="000D13B8">
        <w:t xml:space="preserve">дни ни у одного из животных изменений не выявили. </w:t>
      </w:r>
      <w:r w:rsidR="00404408">
        <w:t xml:space="preserve">При оценке степени резорбции костной ткани </w:t>
      </w:r>
      <w:r w:rsidR="00486C73">
        <w:t xml:space="preserve">через 4 ч после введения исследуемого лекарственного средства или носителя на 16 день </w:t>
      </w:r>
      <w:r w:rsidR="00024C92">
        <w:t>у 1 и 2 крыс из групп носителя или то</w:t>
      </w:r>
      <w:r w:rsidR="00DF0A6A">
        <w:t>ф</w:t>
      </w:r>
      <w:r w:rsidR="004A3232">
        <w:t>а</w:t>
      </w:r>
      <w:r w:rsidR="00DF0A6A">
        <w:t xml:space="preserve">цитиниба изменений не выявили, у других животных </w:t>
      </w:r>
      <w:r w:rsidR="00020612">
        <w:t xml:space="preserve">из группы носителя </w:t>
      </w:r>
      <w:r w:rsidR="00DF0A6A">
        <w:t xml:space="preserve">степень изменений составила </w:t>
      </w:r>
      <w:r w:rsidR="00020612">
        <w:t>5, 4, 3, 3, 4 и 3 балла, а у других крыс из группы тоф</w:t>
      </w:r>
      <w:r w:rsidR="004A3232">
        <w:t>а</w:t>
      </w:r>
      <w:r w:rsidR="00020612">
        <w:t xml:space="preserve">цитиниба </w:t>
      </w:r>
      <w:r w:rsidR="00016623">
        <w:t>–</w:t>
      </w:r>
      <w:r w:rsidR="00020612">
        <w:t xml:space="preserve"> </w:t>
      </w:r>
      <w:r w:rsidR="00016623">
        <w:t xml:space="preserve">4, 4, 5, 5 и 2 балла. На 17 день исследования </w:t>
      </w:r>
      <w:r w:rsidR="00224A86">
        <w:t>изменения отсутствовали у 1 крыс</w:t>
      </w:r>
      <w:r w:rsidR="00333D04">
        <w:t>ы</w:t>
      </w:r>
      <w:r w:rsidR="00224A86">
        <w:t xml:space="preserve"> из каждой группы, выраженность изменений у других животных из группы носителя равнялась </w:t>
      </w:r>
      <w:r w:rsidR="00C82AA5">
        <w:t xml:space="preserve">3, 3, 2 и 2 балла, а у других крыс из группы тофацитиниба </w:t>
      </w:r>
      <w:r w:rsidR="000745BA">
        <w:t>–</w:t>
      </w:r>
      <w:r w:rsidR="00C82AA5">
        <w:t xml:space="preserve"> </w:t>
      </w:r>
      <w:r w:rsidR="000745BA">
        <w:t xml:space="preserve">4, 3, 4 и 3 балла. На 20 день отсутствие изменений определили у </w:t>
      </w:r>
      <w:r w:rsidR="00BD3F1C">
        <w:t xml:space="preserve">2 животных из группы носителя и у 3 крыс из группы </w:t>
      </w:r>
      <w:r w:rsidR="00D9778C">
        <w:t>тофацитиниба</w:t>
      </w:r>
      <w:r w:rsidR="00BD3F1C">
        <w:t xml:space="preserve">. У других животных из группы носителя выраженность изменений составила </w:t>
      </w:r>
      <w:r w:rsidR="00A42D62">
        <w:t xml:space="preserve">4, 5, 5, 1 и 4 балла, а у других крыс из группы исследуемого лекарственного средства </w:t>
      </w:r>
      <w:r w:rsidR="0047134B">
        <w:t>–</w:t>
      </w:r>
      <w:r w:rsidR="00A42D62">
        <w:t xml:space="preserve"> </w:t>
      </w:r>
      <w:r w:rsidR="0047134B">
        <w:t>1, 4, 4 и 2 балла.</w:t>
      </w:r>
      <w:r w:rsidR="00020612">
        <w:t xml:space="preserve"> </w:t>
      </w:r>
      <w:r w:rsidR="00486C73">
        <w:t xml:space="preserve">На 23 день </w:t>
      </w:r>
      <w:r w:rsidR="003A019A">
        <w:t xml:space="preserve">у всех животных </w:t>
      </w:r>
      <w:r w:rsidR="0095267B">
        <w:t xml:space="preserve">из </w:t>
      </w:r>
      <w:r w:rsidR="003A019A">
        <w:t>группы носителя</w:t>
      </w:r>
      <w:r w:rsidR="0095267B">
        <w:t xml:space="preserve"> (контрольная группа)</w:t>
      </w:r>
      <w:r w:rsidR="003A019A">
        <w:t xml:space="preserve"> зарегистрировали изменения, выраженность изменений составила </w:t>
      </w:r>
      <w:r w:rsidR="0025335A">
        <w:t>5, 3, 4 и 3 балла. У 4 крыс группы тоф</w:t>
      </w:r>
      <w:r w:rsidR="003C7F9F">
        <w:t>а</w:t>
      </w:r>
      <w:r w:rsidR="0025335A">
        <w:t xml:space="preserve">цитиниба изменений не обнаружили, а у 1 животного </w:t>
      </w:r>
      <w:r w:rsidR="0099066D">
        <w:t xml:space="preserve">степень изменений равнялась 1 баллу </w:t>
      </w:r>
      <w:r w:rsidR="000F000D">
        <w:rPr>
          <w:lang w:val="en-US"/>
        </w:rPr>
        <w:fldChar w:fldCharType="begin"/>
      </w:r>
      <w:r w:rsidR="00044A89">
        <w:instrText xml:space="preserve"> ADDIN ZOTERO_ITEM CSL_CITATION {"citationID":"La4pZxNY","properties":{"formattedCitation":"[12]","plainCitation":"[12]","noteIndex":0},"citationItems":[{"id":87803,"uris":["http://zotero.org/groups/4742804/items/DMZ5DFPG"],"itemData":{"id":87803,"type":"webpage","title":"Xeljanz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0F000D">
        <w:rPr>
          <w:lang w:val="en-US"/>
        </w:rPr>
        <w:fldChar w:fldCharType="separate"/>
      </w:r>
      <w:r w:rsidR="00AA513A">
        <w:rPr>
          <w:rFonts w:cs="Times New Roman"/>
        </w:rPr>
        <w:t>[1</w:t>
      </w:r>
      <w:r w:rsidR="00044A89" w:rsidRPr="00044A89">
        <w:rPr>
          <w:rFonts w:cs="Times New Roman"/>
        </w:rPr>
        <w:t>]</w:t>
      </w:r>
      <w:r w:rsidR="000F000D">
        <w:rPr>
          <w:lang w:val="en-US"/>
        </w:rPr>
        <w:fldChar w:fldCharType="end"/>
      </w:r>
      <w:r w:rsidR="0099066D">
        <w:t>.</w:t>
      </w:r>
    </w:p>
    <w:p w14:paraId="64B55340" w14:textId="0C9BF297" w:rsidR="00BD2318" w:rsidRDefault="0095267B" w:rsidP="00BD2318">
      <w:pPr>
        <w:pStyle w:val="SDText"/>
        <w:contextualSpacing/>
      </w:pPr>
      <w:r>
        <w:t>Исследователи</w:t>
      </w:r>
      <w:r w:rsidR="007E7586">
        <w:t xml:space="preserve"> пришли к выводу, что </w:t>
      </w:r>
      <w:r w:rsidR="0082281B">
        <w:t>в связи с наличием некоторых недостатков дизайна</w:t>
      </w:r>
      <w:r w:rsidR="0011732D">
        <w:t xml:space="preserve"> </w:t>
      </w:r>
      <w:r w:rsidR="005D6959">
        <w:t xml:space="preserve">и статистической обработки результатов </w:t>
      </w:r>
      <w:r w:rsidR="0082281B">
        <w:t>данного исследования (</w:t>
      </w:r>
      <w:r w:rsidR="00396C32">
        <w:t xml:space="preserve">в том числе, </w:t>
      </w:r>
      <w:r w:rsidR="00BA4850">
        <w:t xml:space="preserve">отсутствие </w:t>
      </w:r>
      <w:r w:rsidR="00CF5784">
        <w:t xml:space="preserve">возможности определения, были ли изменения хряща до </w:t>
      </w:r>
      <w:r w:rsidR="00DA3EF6">
        <w:t xml:space="preserve">введения лекарственного средства/плацебо, </w:t>
      </w:r>
      <w:r w:rsidR="00EC3ED8">
        <w:t>коротки</w:t>
      </w:r>
      <w:r w:rsidR="00E36B83">
        <w:t>е</w:t>
      </w:r>
      <w:r w:rsidR="00EC3ED8">
        <w:t xml:space="preserve"> срок</w:t>
      </w:r>
      <w:r w:rsidR="00E36B83">
        <w:t xml:space="preserve">и исследования для данной модели артрита, </w:t>
      </w:r>
      <w:r w:rsidR="00DA3EF6">
        <w:t xml:space="preserve">а также отсутствие </w:t>
      </w:r>
      <w:r w:rsidR="00BA4850">
        <w:t>учета вариабельности</w:t>
      </w:r>
      <w:r w:rsidR="00DA3EF6">
        <w:t xml:space="preserve"> и определения</w:t>
      </w:r>
      <w:r w:rsidR="0076445E">
        <w:t xml:space="preserve"> статистической значимости</w:t>
      </w:r>
      <w:r w:rsidR="00396C32">
        <w:t>)</w:t>
      </w:r>
      <w:r w:rsidR="00333D04">
        <w:t>,</w:t>
      </w:r>
      <w:r w:rsidR="00396C32">
        <w:t xml:space="preserve"> </w:t>
      </w:r>
      <w:r w:rsidR="00171D05">
        <w:t xml:space="preserve">полученных результатов недостаточно для подтверждения отсутствия или положительного влияния </w:t>
      </w:r>
      <w:r w:rsidR="00677628">
        <w:t xml:space="preserve">тофацитиниба на повреждение хрящевой ткани </w:t>
      </w:r>
      <w:r w:rsidR="005E654E">
        <w:rPr>
          <w:lang w:val="en-US"/>
        </w:rPr>
        <w:fldChar w:fldCharType="begin"/>
      </w:r>
      <w:r w:rsidR="00044A89">
        <w:instrText xml:space="preserve"> ADDIN ZOTERO_ITEM CSL_CITATION {"citationID":"GXlSViRN","properties":{"formattedCitation":"[12]","plainCitation":"[12]","noteIndex":0},"citationItems":[{"id":87803,"uris":["http://zotero.org/groups/4742804/items/DMZ5DFPG"],"itemData":{"id":87803,"type":"webpage","title":"Xeljanz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5E654E">
        <w:rPr>
          <w:lang w:val="en-US"/>
        </w:rPr>
        <w:fldChar w:fldCharType="separate"/>
      </w:r>
      <w:r w:rsidR="00AA513A">
        <w:rPr>
          <w:rFonts w:cs="Times New Roman"/>
        </w:rPr>
        <w:t>[1</w:t>
      </w:r>
      <w:r w:rsidR="00044A89" w:rsidRPr="00044A89">
        <w:rPr>
          <w:rFonts w:cs="Times New Roman"/>
        </w:rPr>
        <w:t>]</w:t>
      </w:r>
      <w:r w:rsidR="005E654E">
        <w:rPr>
          <w:lang w:val="en-US"/>
        </w:rPr>
        <w:fldChar w:fldCharType="end"/>
      </w:r>
      <w:r w:rsidR="005E654E">
        <w:t>.</w:t>
      </w:r>
    </w:p>
    <w:p w14:paraId="014F4E1A" w14:textId="1C8A0425" w:rsidR="00F256A6" w:rsidRDefault="00F256A6" w:rsidP="00BD2318">
      <w:pPr>
        <w:pStyle w:val="SDText"/>
        <w:contextualSpacing/>
      </w:pPr>
      <w:r>
        <w:t xml:space="preserve">В исследовании </w:t>
      </w:r>
      <w:r w:rsidR="003F7670" w:rsidRPr="003F7670">
        <w:t>160243</w:t>
      </w:r>
      <w:r w:rsidR="003F7670">
        <w:t xml:space="preserve"> изучили эффекты тофацитиниба в отношении </w:t>
      </w:r>
      <w:r w:rsidR="004816F3">
        <w:t xml:space="preserve">повреждения хрящевой ткани в модели коллаген-индуцированного артрита у </w:t>
      </w:r>
      <w:r w:rsidR="009D6B03">
        <w:t xml:space="preserve">самцов </w:t>
      </w:r>
      <w:r w:rsidR="004816F3">
        <w:t>мышей</w:t>
      </w:r>
      <w:r w:rsidR="009D6B03">
        <w:t xml:space="preserve"> линии </w:t>
      </w:r>
      <w:r w:rsidR="00F85072">
        <w:rPr>
          <w:lang w:val="en-US"/>
        </w:rPr>
        <w:t>DBA</w:t>
      </w:r>
      <w:r w:rsidR="00F85072" w:rsidRPr="00F85072">
        <w:t>/1</w:t>
      </w:r>
      <w:r w:rsidR="00F85072">
        <w:rPr>
          <w:lang w:val="en-US"/>
        </w:rPr>
        <w:t>J</w:t>
      </w:r>
      <w:r w:rsidR="00F85072" w:rsidRPr="00F85072">
        <w:t xml:space="preserve"> (</w:t>
      </w:r>
      <w:r w:rsidR="00F85072">
        <w:t>возраст 8–12 недель)</w:t>
      </w:r>
      <w:r w:rsidR="004816F3">
        <w:t xml:space="preserve">. </w:t>
      </w:r>
      <w:r w:rsidR="009D6B03">
        <w:t xml:space="preserve">Артрит индуцировали </w:t>
      </w:r>
      <w:r w:rsidR="00AA0359">
        <w:t xml:space="preserve">введением 50 мкг </w:t>
      </w:r>
      <w:r w:rsidR="00A66D7D">
        <w:t xml:space="preserve">полученного от цыплят </w:t>
      </w:r>
      <w:r w:rsidR="00AA0359">
        <w:t>коллагена 2 типа</w:t>
      </w:r>
      <w:r w:rsidR="006E0C79">
        <w:t xml:space="preserve"> </w:t>
      </w:r>
      <w:r w:rsidR="00A66D7D">
        <w:t xml:space="preserve">в полном адъюванте Фрейнда </w:t>
      </w:r>
      <w:r w:rsidR="00DD3F46">
        <w:t>в основани</w:t>
      </w:r>
      <w:r w:rsidR="00333D04">
        <w:t>е</w:t>
      </w:r>
      <w:r w:rsidR="00DD3F46">
        <w:t xml:space="preserve"> хвоста в день 0. Бустер-дозу мыши получали на 21 день </w:t>
      </w:r>
      <w:r w:rsidR="006C453A">
        <w:t>при инъекции 50 мкг полученного от цыплят коллагена 2 типа в неполном адъюванте Фрейнда в основани</w:t>
      </w:r>
      <w:r w:rsidR="00333D04">
        <w:t>е</w:t>
      </w:r>
      <w:r w:rsidR="006C453A">
        <w:t xml:space="preserve"> хвоста</w:t>
      </w:r>
      <w:r w:rsidR="002A3BC6">
        <w:t xml:space="preserve">. В эксперименте </w:t>
      </w:r>
      <w:r w:rsidR="002A3BC6">
        <w:lastRenderedPageBreak/>
        <w:t xml:space="preserve">использовали также </w:t>
      </w:r>
      <w:r w:rsidR="00656B57">
        <w:t xml:space="preserve">мышей, не получавших иммунизацию, для определения исходных показателей. </w:t>
      </w:r>
      <w:r w:rsidR="00025F11">
        <w:t xml:space="preserve">На 45 день </w:t>
      </w:r>
      <w:r w:rsidR="00E426A7">
        <w:t>для каждой лапы</w:t>
      </w:r>
      <w:r w:rsidR="00025F11">
        <w:t xml:space="preserve"> мышей определяли выраженность признаков артрита </w:t>
      </w:r>
      <w:r w:rsidR="00692C10">
        <w:t xml:space="preserve">по 3-балльной шкале, по которой 1 балл соответствовал </w:t>
      </w:r>
      <w:r w:rsidR="00B45EEB">
        <w:t xml:space="preserve">покраснению или отеку пальцев лапы, 2 балла – выраженному отеку всей лапы или деформации, а 3 балла </w:t>
      </w:r>
      <w:r w:rsidR="00C74590">
        <w:t>–</w:t>
      </w:r>
      <w:r w:rsidR="00B45EEB">
        <w:t xml:space="preserve"> </w:t>
      </w:r>
      <w:r w:rsidR="00C74590">
        <w:t xml:space="preserve">анкилозу суставов. Максимальный показатель </w:t>
      </w:r>
      <w:r w:rsidR="00E426A7">
        <w:t xml:space="preserve">для каждого животного </w:t>
      </w:r>
      <w:r w:rsidR="00C74590">
        <w:t xml:space="preserve">составлял 12 баллов. </w:t>
      </w:r>
      <w:r w:rsidR="00B85DAE">
        <w:t xml:space="preserve">Затем мышей рандомизировали </w:t>
      </w:r>
      <w:r w:rsidR="00B64658">
        <w:t xml:space="preserve">на 2 группы таким образом, что тяжесть артрита у животных из исследуемых групп существенно не отличалась. </w:t>
      </w:r>
      <w:r w:rsidR="00996220">
        <w:t xml:space="preserve">Мышам из опытной группы вводили перорально </w:t>
      </w:r>
      <w:r w:rsidR="00847A0E" w:rsidRPr="00BD3F1C">
        <w:t>CP-690550</w:t>
      </w:r>
      <w:r w:rsidR="00847A0E">
        <w:t>-10 (</w:t>
      </w:r>
      <w:r w:rsidR="00D9778C" w:rsidRPr="00D9778C">
        <w:t>тофацитиниб</w:t>
      </w:r>
      <w:r w:rsidR="00D9778C">
        <w:t xml:space="preserve"> </w:t>
      </w:r>
      <w:r w:rsidR="00847A0E">
        <w:t xml:space="preserve">в форме </w:t>
      </w:r>
      <w:r w:rsidR="009844AC">
        <w:t xml:space="preserve">водной суспензии в носителе, состоящем из </w:t>
      </w:r>
      <w:r w:rsidR="006A1A75">
        <w:t>5% метилцеллюлозы и 0,025% Твин-80)</w:t>
      </w:r>
      <w:r w:rsidR="00367760">
        <w:t xml:space="preserve"> в дозе 50 мг/кг 2 раза в день (суточная доза 100 мг/кг) с 48 по 55 дни исследования. </w:t>
      </w:r>
      <w:r w:rsidR="00436897">
        <w:t xml:space="preserve">Животные из контрольной группы 2 раза в день получали носитель. </w:t>
      </w:r>
      <w:r w:rsidR="00CD0F07">
        <w:t xml:space="preserve">Мышей умерщвляли через </w:t>
      </w:r>
      <w:r w:rsidR="004C294B">
        <w:t>4 или 12 ч после введения лекарственного средства или носителя на 48 день</w:t>
      </w:r>
      <w:r w:rsidR="00152E44">
        <w:t>,</w:t>
      </w:r>
      <w:r w:rsidR="004C294B">
        <w:t xml:space="preserve"> или через 4 ч после введения </w:t>
      </w:r>
      <w:r w:rsidR="004E0908">
        <w:t xml:space="preserve">тофацитиниба или носителя на </w:t>
      </w:r>
      <w:r w:rsidR="0035681E">
        <w:t xml:space="preserve">49 день или 55 день с отбором образцов тканей лап для </w:t>
      </w:r>
      <w:r w:rsidR="003B18CF">
        <w:t xml:space="preserve">гистопатологической оценки суставов. </w:t>
      </w:r>
      <w:r w:rsidR="006A02FE">
        <w:t xml:space="preserve">Окраску толуидиновым синим использовали для </w:t>
      </w:r>
      <w:r w:rsidR="00F75380">
        <w:t xml:space="preserve">оценки изменений хрящевой ткани. </w:t>
      </w:r>
      <w:r w:rsidR="003B18CF">
        <w:t xml:space="preserve">Иммуногистохимическим методом </w:t>
      </w:r>
      <w:r w:rsidR="00F75380">
        <w:t>определяли фенотип клеточн</w:t>
      </w:r>
      <w:r w:rsidR="003C7F9F">
        <w:t>ых</w:t>
      </w:r>
      <w:r w:rsidR="00F75380">
        <w:t xml:space="preserve"> инфильтра</w:t>
      </w:r>
      <w:r w:rsidR="003C7F9F">
        <w:t>тов</w:t>
      </w:r>
      <w:r w:rsidR="00F75380">
        <w:t xml:space="preserve"> (</w:t>
      </w:r>
      <w:r w:rsidR="003C7F9F">
        <w:rPr>
          <w:lang w:val="en-US"/>
        </w:rPr>
        <w:t>F</w:t>
      </w:r>
      <w:r w:rsidR="003C7F9F" w:rsidRPr="004A3232">
        <w:t>4/80</w:t>
      </w:r>
      <w:r w:rsidR="003C7F9F">
        <w:t>, СВ3)</w:t>
      </w:r>
      <w:r w:rsidR="004A3232">
        <w:t>.</w:t>
      </w:r>
      <w:r w:rsidR="004A3232" w:rsidRPr="004A3232">
        <w:t xml:space="preserve"> </w:t>
      </w:r>
      <w:r w:rsidR="004A3232">
        <w:t>Степень повреждения хрящевой ткани определяли по 6-балльной шкале от 0 при нормальном строении до 5 баллов при выраженных изменениях</w:t>
      </w:r>
      <w:r w:rsidR="00E91199">
        <w:t xml:space="preserve">. При анализе результатов </w:t>
      </w:r>
      <w:r w:rsidR="005D68B0" w:rsidRPr="00B61CA8">
        <w:t>(</w:t>
      </w:r>
      <w:r w:rsidR="005D68B0">
        <w:rPr>
          <w:lang w:val="en-US"/>
        </w:rPr>
        <w:fldChar w:fldCharType="begin"/>
      </w:r>
      <w:r w:rsidR="005D68B0" w:rsidRPr="00B61CA8">
        <w:instrText xml:space="preserve"> </w:instrText>
      </w:r>
      <w:r w:rsidR="005D68B0">
        <w:rPr>
          <w:lang w:val="en-US"/>
        </w:rPr>
        <w:instrText>REF</w:instrText>
      </w:r>
      <w:r w:rsidR="005D68B0" w:rsidRPr="00B61CA8">
        <w:instrText xml:space="preserve"> _</w:instrText>
      </w:r>
      <w:r w:rsidR="005D68B0">
        <w:rPr>
          <w:lang w:val="en-US"/>
        </w:rPr>
        <w:instrText>Ref</w:instrText>
      </w:r>
      <w:r w:rsidR="005D68B0" w:rsidRPr="00B61CA8">
        <w:instrText>113366256 \</w:instrText>
      </w:r>
      <w:r w:rsidR="005D68B0">
        <w:rPr>
          <w:lang w:val="en-US"/>
        </w:rPr>
        <w:instrText>h</w:instrText>
      </w:r>
      <w:r w:rsidR="005D68B0" w:rsidRPr="00B61CA8">
        <w:instrText xml:space="preserve"> </w:instrText>
      </w:r>
      <w:r w:rsidR="005D68B0">
        <w:rPr>
          <w:lang w:val="en-US"/>
        </w:rPr>
      </w:r>
      <w:r w:rsidR="005D68B0">
        <w:rPr>
          <w:lang w:val="en-US"/>
        </w:rPr>
        <w:fldChar w:fldCharType="separate"/>
      </w:r>
      <w:r w:rsidR="00383E6F" w:rsidRPr="00D36ADC">
        <w:rPr>
          <w:szCs w:val="24"/>
        </w:rPr>
        <w:t xml:space="preserve">Таблица </w:t>
      </w:r>
      <w:r w:rsidR="00383E6F">
        <w:rPr>
          <w:noProof/>
          <w:szCs w:val="24"/>
        </w:rPr>
        <w:t>3</w:t>
      </w:r>
      <w:r w:rsidR="00383E6F">
        <w:rPr>
          <w:szCs w:val="24"/>
        </w:rPr>
        <w:noBreakHyphen/>
      </w:r>
      <w:r w:rsidR="00383E6F">
        <w:rPr>
          <w:noProof/>
          <w:szCs w:val="24"/>
        </w:rPr>
        <w:t>1</w:t>
      </w:r>
      <w:r w:rsidR="005D68B0">
        <w:rPr>
          <w:lang w:val="en-US"/>
        </w:rPr>
        <w:fldChar w:fldCharType="end"/>
      </w:r>
      <w:r w:rsidR="005D68B0" w:rsidRPr="00B61CA8">
        <w:t xml:space="preserve">) </w:t>
      </w:r>
      <w:r w:rsidR="00E91199">
        <w:t xml:space="preserve">также </w:t>
      </w:r>
      <w:r w:rsidR="005D68B0">
        <w:t xml:space="preserve">отметили, что </w:t>
      </w:r>
      <w:r w:rsidR="00E14C7D">
        <w:t xml:space="preserve">определение </w:t>
      </w:r>
      <w:r w:rsidR="00B61CA8">
        <w:t>эффект</w:t>
      </w:r>
      <w:r w:rsidR="00E14C7D">
        <w:t>а</w:t>
      </w:r>
      <w:r w:rsidR="00B61CA8">
        <w:t xml:space="preserve"> </w:t>
      </w:r>
      <w:r w:rsidR="00D9778C" w:rsidRPr="00D9778C">
        <w:t>тофацитиниба</w:t>
      </w:r>
      <w:r w:rsidR="00B61CA8">
        <w:t xml:space="preserve"> </w:t>
      </w:r>
      <w:r w:rsidR="00E14C7D">
        <w:t xml:space="preserve">в отношении </w:t>
      </w:r>
      <w:r w:rsidR="00B61CA8">
        <w:t>хрящ</w:t>
      </w:r>
      <w:r w:rsidR="00E14C7D">
        <w:t>а</w:t>
      </w:r>
      <w:r w:rsidR="00B61CA8">
        <w:t xml:space="preserve"> </w:t>
      </w:r>
      <w:r w:rsidR="00E14C7D">
        <w:t>затруднено, поскольку н</w:t>
      </w:r>
      <w:r w:rsidR="00B61CA8">
        <w:t>евозможно отличить, был</w:t>
      </w:r>
      <w:r w:rsidR="005F1D23">
        <w:t>о</w:t>
      </w:r>
      <w:r w:rsidR="00B61CA8">
        <w:t xml:space="preserve"> ли у животного</w:t>
      </w:r>
      <w:r w:rsidR="00D6745F" w:rsidRPr="00D6745F">
        <w:t xml:space="preserve"> </w:t>
      </w:r>
      <w:r w:rsidR="00B61CA8">
        <w:t>повреждени</w:t>
      </w:r>
      <w:r w:rsidR="005F1D23">
        <w:t>е</w:t>
      </w:r>
      <w:r w:rsidR="00B61CA8">
        <w:t xml:space="preserve"> </w:t>
      </w:r>
      <w:r w:rsidR="00E14C7D">
        <w:t>хряща</w:t>
      </w:r>
      <w:r w:rsidR="00E14C7D" w:rsidRPr="00D6745F">
        <w:t xml:space="preserve"> </w:t>
      </w:r>
      <w:r w:rsidR="00E14C7D">
        <w:t>до</w:t>
      </w:r>
      <w:r w:rsidR="00B61CA8">
        <w:t xml:space="preserve"> лечения </w:t>
      </w:r>
      <w:r w:rsidR="00D9778C" w:rsidRPr="00D9778C">
        <w:t>тофацитиниб</w:t>
      </w:r>
      <w:r w:rsidR="00D9778C">
        <w:t>ом</w:t>
      </w:r>
      <w:r w:rsidR="00B61CA8">
        <w:t xml:space="preserve">, и </w:t>
      </w:r>
      <w:r w:rsidR="00E14C7D">
        <w:t>оно снижалось под действием</w:t>
      </w:r>
      <w:r w:rsidR="00B61CA8">
        <w:t xml:space="preserve"> </w:t>
      </w:r>
      <w:r w:rsidR="00D9778C" w:rsidRPr="00D9778C">
        <w:t>тофацитиниба</w:t>
      </w:r>
      <w:r w:rsidR="00152E44">
        <w:t>,</w:t>
      </w:r>
      <w:r w:rsidR="00B61CA8">
        <w:t xml:space="preserve"> или </w:t>
      </w:r>
      <w:r w:rsidR="00E14C7D">
        <w:t xml:space="preserve">хрящ </w:t>
      </w:r>
      <w:r w:rsidR="00B61CA8">
        <w:t xml:space="preserve">животных не был </w:t>
      </w:r>
      <w:r w:rsidR="0081188A">
        <w:t>поврежден</w:t>
      </w:r>
      <w:r w:rsidR="00EB5F8C">
        <w:t xml:space="preserve"> </w:t>
      </w:r>
      <w:r w:rsidR="003C7F9F">
        <w:rPr>
          <w:lang w:val="en-US"/>
        </w:rPr>
        <w:fldChar w:fldCharType="begin"/>
      </w:r>
      <w:r w:rsidR="00044A89">
        <w:instrText xml:space="preserve"> ADDIN ZOTERO_ITEM CSL_CITATION {"citationID":"0M5mWZ0z","properties":{"formattedCitation":"[12]","plainCitation":"[12]","noteIndex":0},"citationItems":[{"id":87803,"uris":["http://zotero.org/groups/4742804/items/DMZ5DFPG"],"itemData":{"id":87803,"type":"webpage","title":"Xeljanz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3C7F9F">
        <w:rPr>
          <w:lang w:val="en-US"/>
        </w:rPr>
        <w:fldChar w:fldCharType="separate"/>
      </w:r>
      <w:r w:rsidR="00AA513A">
        <w:rPr>
          <w:rFonts w:cs="Times New Roman"/>
        </w:rPr>
        <w:t>[1</w:t>
      </w:r>
      <w:r w:rsidR="00044A89" w:rsidRPr="00044A89">
        <w:rPr>
          <w:rFonts w:cs="Times New Roman"/>
        </w:rPr>
        <w:t>]</w:t>
      </w:r>
      <w:r w:rsidR="003C7F9F">
        <w:rPr>
          <w:lang w:val="en-US"/>
        </w:rPr>
        <w:fldChar w:fldCharType="end"/>
      </w:r>
      <w:r w:rsidR="003C7F9F">
        <w:t>.</w:t>
      </w:r>
    </w:p>
    <w:p w14:paraId="660486C8" w14:textId="012667FD" w:rsidR="003C7F9F" w:rsidRPr="00D36ADC" w:rsidRDefault="00EB5F8C" w:rsidP="0095267B">
      <w:pPr>
        <w:pStyle w:val="SDTable"/>
        <w:spacing w:after="0"/>
        <w:jc w:val="both"/>
        <w:rPr>
          <w:sz w:val="24"/>
          <w:szCs w:val="24"/>
        </w:rPr>
      </w:pPr>
      <w:bookmarkStart w:id="96" w:name="_Ref113366256"/>
      <w:bookmarkStart w:id="97" w:name="_Toc115421108"/>
      <w:bookmarkStart w:id="98" w:name="_Toc117681485"/>
      <w:r w:rsidRPr="00D36ADC">
        <w:rPr>
          <w:sz w:val="24"/>
          <w:szCs w:val="24"/>
        </w:rPr>
        <w:t xml:space="preserve">Таблица </w:t>
      </w:r>
      <w:r w:rsidR="00652269">
        <w:rPr>
          <w:sz w:val="24"/>
          <w:szCs w:val="24"/>
        </w:rPr>
        <w:fldChar w:fldCharType="begin"/>
      </w:r>
      <w:r w:rsidR="00652269">
        <w:rPr>
          <w:sz w:val="24"/>
          <w:szCs w:val="24"/>
        </w:rPr>
        <w:instrText xml:space="preserve"> STYLEREF 1 \s </w:instrText>
      </w:r>
      <w:r w:rsidR="00652269">
        <w:rPr>
          <w:sz w:val="24"/>
          <w:szCs w:val="24"/>
        </w:rPr>
        <w:fldChar w:fldCharType="separate"/>
      </w:r>
      <w:r w:rsidR="00383E6F">
        <w:rPr>
          <w:noProof/>
          <w:sz w:val="24"/>
          <w:szCs w:val="24"/>
        </w:rPr>
        <w:t>3</w:t>
      </w:r>
      <w:r w:rsidR="00652269">
        <w:rPr>
          <w:sz w:val="24"/>
          <w:szCs w:val="24"/>
        </w:rPr>
        <w:fldChar w:fldCharType="end"/>
      </w:r>
      <w:r w:rsidR="00652269">
        <w:rPr>
          <w:sz w:val="24"/>
          <w:szCs w:val="24"/>
        </w:rPr>
        <w:noBreakHyphen/>
      </w:r>
      <w:r w:rsidR="00652269">
        <w:rPr>
          <w:sz w:val="24"/>
          <w:szCs w:val="24"/>
        </w:rPr>
        <w:fldChar w:fldCharType="begin"/>
      </w:r>
      <w:r w:rsidR="00652269">
        <w:rPr>
          <w:sz w:val="24"/>
          <w:szCs w:val="24"/>
        </w:rPr>
        <w:instrText xml:space="preserve"> SEQ Таблица \* ARABIC \s 1 </w:instrText>
      </w:r>
      <w:r w:rsidR="00652269">
        <w:rPr>
          <w:sz w:val="24"/>
          <w:szCs w:val="24"/>
        </w:rPr>
        <w:fldChar w:fldCharType="separate"/>
      </w:r>
      <w:r w:rsidR="00383E6F">
        <w:rPr>
          <w:noProof/>
          <w:sz w:val="24"/>
          <w:szCs w:val="24"/>
        </w:rPr>
        <w:t>1</w:t>
      </w:r>
      <w:r w:rsidR="00652269">
        <w:rPr>
          <w:sz w:val="24"/>
          <w:szCs w:val="24"/>
        </w:rPr>
        <w:fldChar w:fldCharType="end"/>
      </w:r>
      <w:bookmarkEnd w:id="96"/>
      <w:r w:rsidR="00D36ADC" w:rsidRPr="00D36ADC">
        <w:rPr>
          <w:noProof/>
          <w:sz w:val="24"/>
          <w:szCs w:val="24"/>
        </w:rPr>
        <w:t>.</w:t>
      </w:r>
      <w:r w:rsidRPr="00D36ADC">
        <w:rPr>
          <w:sz w:val="24"/>
          <w:szCs w:val="24"/>
        </w:rPr>
        <w:t xml:space="preserve"> </w:t>
      </w:r>
      <w:r w:rsidR="00A157D2" w:rsidRPr="00D36ADC">
        <w:rPr>
          <w:b w:val="0"/>
          <w:sz w:val="24"/>
          <w:szCs w:val="24"/>
        </w:rPr>
        <w:t>Эффекты тофацитиниба в модели коллаген-ассо</w:t>
      </w:r>
      <w:r w:rsidR="009C2A52" w:rsidRPr="00D36ADC">
        <w:rPr>
          <w:b w:val="0"/>
          <w:sz w:val="24"/>
          <w:szCs w:val="24"/>
        </w:rPr>
        <w:t>циированного артрита у мышей</w:t>
      </w:r>
      <w:bookmarkEnd w:id="97"/>
      <w:bookmarkEnd w:id="98"/>
      <w:r w:rsidR="00D36ADC" w:rsidRPr="00D36ADC">
        <w:rPr>
          <w:b w:val="0"/>
          <w:sz w:val="24"/>
          <w:szCs w:val="24"/>
        </w:rPr>
        <w:t>.</w:t>
      </w:r>
    </w:p>
    <w:tbl>
      <w:tblPr>
        <w:tblStyle w:val="a4"/>
        <w:tblW w:w="0" w:type="auto"/>
        <w:tblInd w:w="108" w:type="dxa"/>
        <w:tblLook w:val="04A0" w:firstRow="1" w:lastRow="0" w:firstColumn="1" w:lastColumn="0" w:noHBand="0" w:noVBand="1"/>
      </w:tblPr>
      <w:tblGrid>
        <w:gridCol w:w="1761"/>
        <w:gridCol w:w="1869"/>
        <w:gridCol w:w="1869"/>
        <w:gridCol w:w="1869"/>
        <w:gridCol w:w="1988"/>
      </w:tblGrid>
      <w:tr w:rsidR="001F7389" w14:paraId="66055510" w14:textId="77777777" w:rsidTr="0095267B">
        <w:trPr>
          <w:tblHeader/>
        </w:trPr>
        <w:tc>
          <w:tcPr>
            <w:tcW w:w="1761" w:type="dxa"/>
            <w:vMerge w:val="restart"/>
            <w:shd w:val="clear" w:color="auto" w:fill="D9D9D9" w:themeFill="background1" w:themeFillShade="D9"/>
          </w:tcPr>
          <w:p w14:paraId="4EDA5423" w14:textId="64676F2F" w:rsidR="001F7389" w:rsidRPr="00FB222F" w:rsidRDefault="001F7389" w:rsidP="00D36ADC">
            <w:pPr>
              <w:ind w:firstLine="0"/>
              <w:contextualSpacing/>
              <w:jc w:val="center"/>
              <w:rPr>
                <w:b/>
                <w:bCs/>
              </w:rPr>
            </w:pPr>
            <w:r w:rsidRPr="00FB222F">
              <w:rPr>
                <w:b/>
                <w:bCs/>
              </w:rPr>
              <w:t>Временная точка</w:t>
            </w:r>
          </w:p>
        </w:tc>
        <w:tc>
          <w:tcPr>
            <w:tcW w:w="3738" w:type="dxa"/>
            <w:gridSpan w:val="2"/>
            <w:shd w:val="clear" w:color="auto" w:fill="D9D9D9" w:themeFill="background1" w:themeFillShade="D9"/>
          </w:tcPr>
          <w:p w14:paraId="660DE13F" w14:textId="0C843E0F" w:rsidR="001F7389" w:rsidRPr="00FB222F" w:rsidRDefault="001F7389" w:rsidP="00D36ADC">
            <w:pPr>
              <w:ind w:firstLine="0"/>
              <w:contextualSpacing/>
              <w:jc w:val="center"/>
              <w:rPr>
                <w:b/>
                <w:bCs/>
              </w:rPr>
            </w:pPr>
            <w:r w:rsidRPr="00FB222F">
              <w:rPr>
                <w:b/>
                <w:bCs/>
              </w:rPr>
              <w:t>Количество животных без изменений хряща</w:t>
            </w:r>
          </w:p>
        </w:tc>
        <w:tc>
          <w:tcPr>
            <w:tcW w:w="3857" w:type="dxa"/>
            <w:gridSpan w:val="2"/>
            <w:shd w:val="clear" w:color="auto" w:fill="D9D9D9" w:themeFill="background1" w:themeFillShade="D9"/>
          </w:tcPr>
          <w:p w14:paraId="0408F0AA" w14:textId="45C22059" w:rsidR="001F7389" w:rsidRPr="00FB222F" w:rsidRDefault="00FB222F" w:rsidP="00D36ADC">
            <w:pPr>
              <w:ind w:firstLine="0"/>
              <w:contextualSpacing/>
              <w:jc w:val="center"/>
              <w:rPr>
                <w:b/>
                <w:bCs/>
              </w:rPr>
            </w:pPr>
            <w:r w:rsidRPr="00FB222F">
              <w:rPr>
                <w:b/>
                <w:bCs/>
              </w:rPr>
              <w:t>Индивидуальные оценки изменений хряща</w:t>
            </w:r>
            <w:r w:rsidR="007E0669">
              <w:rPr>
                <w:b/>
                <w:bCs/>
              </w:rPr>
              <w:t xml:space="preserve"> </w:t>
            </w:r>
          </w:p>
        </w:tc>
      </w:tr>
      <w:tr w:rsidR="00FB222F" w14:paraId="56701245" w14:textId="77777777" w:rsidTr="0095267B">
        <w:trPr>
          <w:tblHeader/>
        </w:trPr>
        <w:tc>
          <w:tcPr>
            <w:tcW w:w="1761" w:type="dxa"/>
            <w:vMerge/>
            <w:shd w:val="clear" w:color="auto" w:fill="D9D9D9" w:themeFill="background1" w:themeFillShade="D9"/>
          </w:tcPr>
          <w:p w14:paraId="759D4690" w14:textId="77777777" w:rsidR="00FB222F" w:rsidRPr="00FB222F" w:rsidRDefault="00FB222F" w:rsidP="00D36ADC">
            <w:pPr>
              <w:ind w:firstLine="0"/>
              <w:contextualSpacing/>
              <w:jc w:val="center"/>
              <w:rPr>
                <w:b/>
                <w:bCs/>
              </w:rPr>
            </w:pPr>
          </w:p>
        </w:tc>
        <w:tc>
          <w:tcPr>
            <w:tcW w:w="1869" w:type="dxa"/>
            <w:shd w:val="clear" w:color="auto" w:fill="D9D9D9" w:themeFill="background1" w:themeFillShade="D9"/>
          </w:tcPr>
          <w:p w14:paraId="2DA8F6E7" w14:textId="10B8ABFE" w:rsidR="00FB222F" w:rsidRPr="00FB222F" w:rsidRDefault="00FB222F" w:rsidP="00D36ADC">
            <w:pPr>
              <w:ind w:firstLine="0"/>
              <w:contextualSpacing/>
              <w:jc w:val="center"/>
              <w:rPr>
                <w:b/>
                <w:bCs/>
              </w:rPr>
            </w:pPr>
            <w:r w:rsidRPr="00FB222F">
              <w:rPr>
                <w:b/>
                <w:bCs/>
              </w:rPr>
              <w:t>Носитель</w:t>
            </w:r>
          </w:p>
        </w:tc>
        <w:tc>
          <w:tcPr>
            <w:tcW w:w="1869" w:type="dxa"/>
            <w:shd w:val="clear" w:color="auto" w:fill="D9D9D9" w:themeFill="background1" w:themeFillShade="D9"/>
          </w:tcPr>
          <w:p w14:paraId="4614C7AC" w14:textId="49143034" w:rsidR="00FB222F" w:rsidRPr="00FB222F" w:rsidRDefault="00FB222F" w:rsidP="00D36ADC">
            <w:pPr>
              <w:ind w:firstLine="0"/>
              <w:contextualSpacing/>
              <w:jc w:val="center"/>
              <w:rPr>
                <w:b/>
                <w:bCs/>
              </w:rPr>
            </w:pPr>
            <w:r w:rsidRPr="00FB222F">
              <w:rPr>
                <w:b/>
                <w:bCs/>
              </w:rPr>
              <w:t>CP-690550</w:t>
            </w:r>
          </w:p>
        </w:tc>
        <w:tc>
          <w:tcPr>
            <w:tcW w:w="1869" w:type="dxa"/>
            <w:shd w:val="clear" w:color="auto" w:fill="D9D9D9" w:themeFill="background1" w:themeFillShade="D9"/>
          </w:tcPr>
          <w:p w14:paraId="263CDD77" w14:textId="57990C98" w:rsidR="00FB222F" w:rsidRPr="00FB222F" w:rsidRDefault="00FB222F" w:rsidP="00D36ADC">
            <w:pPr>
              <w:ind w:firstLine="0"/>
              <w:contextualSpacing/>
              <w:jc w:val="center"/>
              <w:rPr>
                <w:b/>
                <w:bCs/>
              </w:rPr>
            </w:pPr>
            <w:r w:rsidRPr="00FB222F">
              <w:rPr>
                <w:b/>
                <w:bCs/>
              </w:rPr>
              <w:t>Носитель</w:t>
            </w:r>
          </w:p>
        </w:tc>
        <w:tc>
          <w:tcPr>
            <w:tcW w:w="1988" w:type="dxa"/>
            <w:shd w:val="clear" w:color="auto" w:fill="D9D9D9" w:themeFill="background1" w:themeFillShade="D9"/>
          </w:tcPr>
          <w:p w14:paraId="0808D8C1" w14:textId="25850DEB" w:rsidR="00FB222F" w:rsidRPr="00FB222F" w:rsidRDefault="00FB222F" w:rsidP="00D36ADC">
            <w:pPr>
              <w:ind w:firstLine="0"/>
              <w:contextualSpacing/>
              <w:jc w:val="center"/>
              <w:rPr>
                <w:b/>
                <w:bCs/>
              </w:rPr>
            </w:pPr>
            <w:r w:rsidRPr="00FB222F">
              <w:rPr>
                <w:b/>
                <w:bCs/>
              </w:rPr>
              <w:t>CP-690550</w:t>
            </w:r>
          </w:p>
        </w:tc>
      </w:tr>
      <w:tr w:rsidR="00B0539D" w14:paraId="10E824EB" w14:textId="77777777" w:rsidTr="0095267B">
        <w:tc>
          <w:tcPr>
            <w:tcW w:w="9356" w:type="dxa"/>
            <w:gridSpan w:val="5"/>
          </w:tcPr>
          <w:p w14:paraId="7FBD014F" w14:textId="31FF7B0A" w:rsidR="00B0539D" w:rsidRPr="00B0539D" w:rsidRDefault="00926113" w:rsidP="00D36ADC">
            <w:pPr>
              <w:ind w:firstLine="0"/>
              <w:contextualSpacing/>
            </w:pPr>
            <w:r>
              <w:t>Правый</w:t>
            </w:r>
            <w:r w:rsidR="00B0539D">
              <w:t xml:space="preserve"> лучезапястный сустав</w:t>
            </w:r>
          </w:p>
        </w:tc>
      </w:tr>
      <w:tr w:rsidR="00D7500B" w14:paraId="27DEEDD2" w14:textId="77777777" w:rsidTr="0095267B">
        <w:tc>
          <w:tcPr>
            <w:tcW w:w="1761" w:type="dxa"/>
          </w:tcPr>
          <w:p w14:paraId="34DD1088" w14:textId="383C3A67" w:rsidR="00D7500B" w:rsidRDefault="00436806" w:rsidP="00D36ADC">
            <w:pPr>
              <w:ind w:firstLine="0"/>
              <w:contextualSpacing/>
            </w:pPr>
            <w:r>
              <w:t>Через 4 ч после введения на 48 день</w:t>
            </w:r>
            <w:r w:rsidR="00BC1700">
              <w:t xml:space="preserve"> (исходно)</w:t>
            </w:r>
          </w:p>
        </w:tc>
        <w:tc>
          <w:tcPr>
            <w:tcW w:w="1869" w:type="dxa"/>
            <w:vAlign w:val="center"/>
          </w:tcPr>
          <w:p w14:paraId="1FCFFDFC" w14:textId="41CFADA1" w:rsidR="00D7500B" w:rsidRDefault="0088375E" w:rsidP="0095267B">
            <w:pPr>
              <w:ind w:firstLine="0"/>
              <w:contextualSpacing/>
              <w:jc w:val="center"/>
            </w:pPr>
            <w:r>
              <w:t>3 из 8 (38%)</w:t>
            </w:r>
          </w:p>
        </w:tc>
        <w:tc>
          <w:tcPr>
            <w:tcW w:w="1869" w:type="dxa"/>
            <w:vAlign w:val="center"/>
          </w:tcPr>
          <w:p w14:paraId="094F7874" w14:textId="3E49D203" w:rsidR="00D7500B" w:rsidRDefault="0088375E" w:rsidP="0095267B">
            <w:pPr>
              <w:ind w:firstLine="0"/>
              <w:contextualSpacing/>
              <w:jc w:val="center"/>
            </w:pPr>
            <w:r>
              <w:t>2 из 8 (25%)</w:t>
            </w:r>
          </w:p>
        </w:tc>
        <w:tc>
          <w:tcPr>
            <w:tcW w:w="1869" w:type="dxa"/>
            <w:vAlign w:val="center"/>
          </w:tcPr>
          <w:p w14:paraId="48CCADB1" w14:textId="76C89360" w:rsidR="002C43C7" w:rsidRDefault="003E4AC0" w:rsidP="00D36ADC">
            <w:pPr>
              <w:ind w:firstLine="0"/>
              <w:contextualSpacing/>
            </w:pPr>
            <w:r>
              <w:t xml:space="preserve">0, 0, 0, </w:t>
            </w:r>
            <w:r w:rsidR="002C43C7">
              <w:t>4, 3, 4, 2,4</w:t>
            </w:r>
          </w:p>
        </w:tc>
        <w:tc>
          <w:tcPr>
            <w:tcW w:w="1988" w:type="dxa"/>
            <w:vAlign w:val="center"/>
          </w:tcPr>
          <w:p w14:paraId="6F3037F0" w14:textId="20B6E557" w:rsidR="007E0669" w:rsidRDefault="003E4AC0" w:rsidP="00D36ADC">
            <w:pPr>
              <w:ind w:firstLine="0"/>
              <w:contextualSpacing/>
            </w:pPr>
            <w:r>
              <w:t xml:space="preserve">0, 0, </w:t>
            </w:r>
            <w:r w:rsidR="007E0669">
              <w:t xml:space="preserve">1, 4, 5, </w:t>
            </w:r>
            <w:r w:rsidR="00CB0024">
              <w:t>3, 2, 3</w:t>
            </w:r>
          </w:p>
        </w:tc>
      </w:tr>
      <w:tr w:rsidR="00D7500B" w14:paraId="1058B068" w14:textId="77777777" w:rsidTr="0095267B">
        <w:tc>
          <w:tcPr>
            <w:tcW w:w="1761" w:type="dxa"/>
          </w:tcPr>
          <w:p w14:paraId="2E56600A" w14:textId="69CCB864" w:rsidR="00D7500B" w:rsidRDefault="00B72AC0" w:rsidP="00D36ADC">
            <w:pPr>
              <w:ind w:firstLine="0"/>
              <w:contextualSpacing/>
            </w:pPr>
            <w:r>
              <w:t>Через 12 ч после введения на 48 день</w:t>
            </w:r>
            <w:r w:rsidR="00BC1700">
              <w:t xml:space="preserve"> (день 1 лечения)</w:t>
            </w:r>
          </w:p>
        </w:tc>
        <w:tc>
          <w:tcPr>
            <w:tcW w:w="1869" w:type="dxa"/>
            <w:vAlign w:val="center"/>
          </w:tcPr>
          <w:p w14:paraId="42AF35CD" w14:textId="06BD20B4" w:rsidR="00D7500B" w:rsidRDefault="00B72AC0" w:rsidP="0095267B">
            <w:pPr>
              <w:ind w:firstLine="0"/>
              <w:contextualSpacing/>
              <w:jc w:val="center"/>
            </w:pPr>
            <w:r>
              <w:t>2 из 8 (25%)</w:t>
            </w:r>
          </w:p>
        </w:tc>
        <w:tc>
          <w:tcPr>
            <w:tcW w:w="1869" w:type="dxa"/>
            <w:vAlign w:val="center"/>
          </w:tcPr>
          <w:p w14:paraId="56AFCEF7" w14:textId="18FC3B8A" w:rsidR="00D7500B" w:rsidRDefault="00F60E41" w:rsidP="0095267B">
            <w:pPr>
              <w:ind w:firstLine="0"/>
              <w:contextualSpacing/>
              <w:jc w:val="center"/>
            </w:pPr>
            <w:r>
              <w:t>1 из 8 (12%)</w:t>
            </w:r>
          </w:p>
        </w:tc>
        <w:tc>
          <w:tcPr>
            <w:tcW w:w="1869" w:type="dxa"/>
            <w:vAlign w:val="center"/>
          </w:tcPr>
          <w:p w14:paraId="31A3BD3D" w14:textId="63CDCEDE" w:rsidR="00D7500B" w:rsidRDefault="00F60E41" w:rsidP="00D36ADC">
            <w:pPr>
              <w:ind w:firstLine="0"/>
              <w:contextualSpacing/>
            </w:pPr>
            <w:r>
              <w:t xml:space="preserve">0, 0, 3, 1, </w:t>
            </w:r>
            <w:r w:rsidR="000D6869">
              <w:t>5, 3, 3, 3</w:t>
            </w:r>
          </w:p>
        </w:tc>
        <w:tc>
          <w:tcPr>
            <w:tcW w:w="1988" w:type="dxa"/>
            <w:vAlign w:val="center"/>
          </w:tcPr>
          <w:p w14:paraId="719F8906" w14:textId="1DE5D730" w:rsidR="00D7500B" w:rsidRDefault="00726C3F" w:rsidP="00D36ADC">
            <w:pPr>
              <w:ind w:firstLine="0"/>
              <w:contextualSpacing/>
            </w:pPr>
            <w:r>
              <w:t>0, 4, 5, 4, 4, 4, 2, 2</w:t>
            </w:r>
          </w:p>
        </w:tc>
      </w:tr>
      <w:tr w:rsidR="00D7500B" w14:paraId="38E04071" w14:textId="77777777" w:rsidTr="0095267B">
        <w:tc>
          <w:tcPr>
            <w:tcW w:w="1761" w:type="dxa"/>
          </w:tcPr>
          <w:p w14:paraId="357437C2" w14:textId="59CD225D" w:rsidR="00D7500B" w:rsidRDefault="00FD51FF" w:rsidP="00D36ADC">
            <w:pPr>
              <w:ind w:firstLine="0"/>
              <w:contextualSpacing/>
            </w:pPr>
            <w:r w:rsidRPr="00FD51FF">
              <w:t>Через 4 ч после введения на 4</w:t>
            </w:r>
            <w:r>
              <w:t>9</w:t>
            </w:r>
            <w:r w:rsidRPr="00FD51FF">
              <w:t xml:space="preserve"> день</w:t>
            </w:r>
            <w:r w:rsidR="00BC1700">
              <w:t xml:space="preserve"> (день 2 лечения)</w:t>
            </w:r>
          </w:p>
        </w:tc>
        <w:tc>
          <w:tcPr>
            <w:tcW w:w="1869" w:type="dxa"/>
            <w:vAlign w:val="center"/>
          </w:tcPr>
          <w:p w14:paraId="468BED3C" w14:textId="0256A962" w:rsidR="00D7500B" w:rsidRDefault="00FD51FF" w:rsidP="0095267B">
            <w:pPr>
              <w:ind w:firstLine="0"/>
              <w:contextualSpacing/>
              <w:jc w:val="center"/>
            </w:pPr>
            <w:r>
              <w:t>4 из 8 (50%)</w:t>
            </w:r>
          </w:p>
        </w:tc>
        <w:tc>
          <w:tcPr>
            <w:tcW w:w="1869" w:type="dxa"/>
            <w:vAlign w:val="center"/>
          </w:tcPr>
          <w:p w14:paraId="0118F5E3" w14:textId="3CA54E11" w:rsidR="00D7500B" w:rsidRDefault="00924492" w:rsidP="0095267B">
            <w:pPr>
              <w:ind w:firstLine="0"/>
              <w:contextualSpacing/>
              <w:jc w:val="center"/>
            </w:pPr>
            <w:r>
              <w:t>4 из 8 (50%)</w:t>
            </w:r>
          </w:p>
        </w:tc>
        <w:tc>
          <w:tcPr>
            <w:tcW w:w="1869" w:type="dxa"/>
            <w:vAlign w:val="center"/>
          </w:tcPr>
          <w:p w14:paraId="359DA5D6" w14:textId="7467C5D0" w:rsidR="00D7500B" w:rsidRDefault="00387D35" w:rsidP="00D36ADC">
            <w:pPr>
              <w:ind w:firstLine="0"/>
              <w:contextualSpacing/>
            </w:pPr>
            <w:r>
              <w:t>0, 0, 0, 0, 3, 5, 5, 4</w:t>
            </w:r>
          </w:p>
        </w:tc>
        <w:tc>
          <w:tcPr>
            <w:tcW w:w="1988" w:type="dxa"/>
            <w:vAlign w:val="center"/>
          </w:tcPr>
          <w:p w14:paraId="7BEFC833" w14:textId="0971C6BA" w:rsidR="00D7500B" w:rsidRDefault="00387D35" w:rsidP="00D36ADC">
            <w:pPr>
              <w:ind w:firstLine="0"/>
              <w:contextualSpacing/>
            </w:pPr>
            <w:r>
              <w:t>0, 0, 0, 0, 4, 5, 5, 3</w:t>
            </w:r>
          </w:p>
        </w:tc>
      </w:tr>
      <w:tr w:rsidR="00D7500B" w14:paraId="4854B716" w14:textId="77777777" w:rsidTr="0095267B">
        <w:tc>
          <w:tcPr>
            <w:tcW w:w="1761" w:type="dxa"/>
          </w:tcPr>
          <w:p w14:paraId="0E1508E5" w14:textId="4189EFFE" w:rsidR="00D7500B" w:rsidRDefault="00006122" w:rsidP="00D36ADC">
            <w:pPr>
              <w:ind w:firstLine="0"/>
              <w:contextualSpacing/>
            </w:pPr>
            <w:r w:rsidRPr="00FD51FF">
              <w:t xml:space="preserve">Через 4 ч после введения на </w:t>
            </w:r>
            <w:r>
              <w:t>55</w:t>
            </w:r>
            <w:r w:rsidRPr="00FD51FF">
              <w:t xml:space="preserve"> день</w:t>
            </w:r>
            <w:r>
              <w:t xml:space="preserve"> (день 8 лечения)</w:t>
            </w:r>
          </w:p>
        </w:tc>
        <w:tc>
          <w:tcPr>
            <w:tcW w:w="1869" w:type="dxa"/>
            <w:vAlign w:val="center"/>
          </w:tcPr>
          <w:p w14:paraId="5802E480" w14:textId="0DB9E2FE" w:rsidR="00D7500B" w:rsidRDefault="00006122" w:rsidP="0095267B">
            <w:pPr>
              <w:ind w:firstLine="0"/>
              <w:contextualSpacing/>
              <w:jc w:val="center"/>
            </w:pPr>
            <w:r>
              <w:t>2 из 8 (25%)</w:t>
            </w:r>
          </w:p>
        </w:tc>
        <w:tc>
          <w:tcPr>
            <w:tcW w:w="1869" w:type="dxa"/>
            <w:vAlign w:val="center"/>
          </w:tcPr>
          <w:p w14:paraId="0204DBE5" w14:textId="1F51F364" w:rsidR="00D7500B" w:rsidRDefault="00006122" w:rsidP="0095267B">
            <w:pPr>
              <w:ind w:firstLine="0"/>
              <w:contextualSpacing/>
              <w:jc w:val="center"/>
            </w:pPr>
            <w:r>
              <w:t>4 из 8 (50%)</w:t>
            </w:r>
          </w:p>
        </w:tc>
        <w:tc>
          <w:tcPr>
            <w:tcW w:w="1869" w:type="dxa"/>
            <w:vAlign w:val="center"/>
          </w:tcPr>
          <w:p w14:paraId="0F74880E" w14:textId="5234EA8D" w:rsidR="00D7500B" w:rsidRDefault="00C32392" w:rsidP="00D36ADC">
            <w:pPr>
              <w:ind w:firstLine="0"/>
              <w:contextualSpacing/>
            </w:pPr>
            <w:r>
              <w:t>0, 0, 5, 4, 3, 5, 5, 3</w:t>
            </w:r>
          </w:p>
        </w:tc>
        <w:tc>
          <w:tcPr>
            <w:tcW w:w="1988" w:type="dxa"/>
            <w:vAlign w:val="center"/>
          </w:tcPr>
          <w:p w14:paraId="04944CD8" w14:textId="0FA79271" w:rsidR="00D7500B" w:rsidRDefault="00C32392" w:rsidP="00D36ADC">
            <w:pPr>
              <w:ind w:firstLine="0"/>
              <w:contextualSpacing/>
            </w:pPr>
            <w:r>
              <w:t>0, 0, 0, 0, 5, 2, 5, 5</w:t>
            </w:r>
          </w:p>
        </w:tc>
      </w:tr>
      <w:tr w:rsidR="006376A2" w14:paraId="6B5687EC" w14:textId="77777777" w:rsidTr="0095267B">
        <w:tc>
          <w:tcPr>
            <w:tcW w:w="9356" w:type="dxa"/>
            <w:gridSpan w:val="5"/>
          </w:tcPr>
          <w:p w14:paraId="1EFD0286" w14:textId="2CAF33AC" w:rsidR="006376A2" w:rsidRDefault="00926113" w:rsidP="00D36ADC">
            <w:pPr>
              <w:ind w:firstLine="0"/>
              <w:contextualSpacing/>
            </w:pPr>
            <w:r>
              <w:lastRenderedPageBreak/>
              <w:t>Левый</w:t>
            </w:r>
            <w:r w:rsidR="006376A2">
              <w:t xml:space="preserve"> лучезапястный сустав</w:t>
            </w:r>
          </w:p>
        </w:tc>
      </w:tr>
      <w:tr w:rsidR="007D3652" w14:paraId="752C6167" w14:textId="77777777" w:rsidTr="0095267B">
        <w:tc>
          <w:tcPr>
            <w:tcW w:w="1761" w:type="dxa"/>
          </w:tcPr>
          <w:p w14:paraId="16540AFD" w14:textId="78046255" w:rsidR="007D3652" w:rsidRDefault="007D3652" w:rsidP="00D36ADC">
            <w:pPr>
              <w:ind w:firstLine="0"/>
              <w:contextualSpacing/>
            </w:pPr>
            <w:r>
              <w:t>Через 4 ч после введения на 48 день (исходно)</w:t>
            </w:r>
          </w:p>
        </w:tc>
        <w:tc>
          <w:tcPr>
            <w:tcW w:w="1869" w:type="dxa"/>
            <w:vAlign w:val="center"/>
          </w:tcPr>
          <w:p w14:paraId="31363DBD" w14:textId="3DC853FF" w:rsidR="007D3652" w:rsidRDefault="007D3652" w:rsidP="0095267B">
            <w:pPr>
              <w:ind w:firstLine="0"/>
              <w:contextualSpacing/>
              <w:jc w:val="center"/>
            </w:pPr>
            <w:r>
              <w:t>2 из 8 (25%)</w:t>
            </w:r>
          </w:p>
        </w:tc>
        <w:tc>
          <w:tcPr>
            <w:tcW w:w="1869" w:type="dxa"/>
            <w:vAlign w:val="center"/>
          </w:tcPr>
          <w:p w14:paraId="08EB4D7C" w14:textId="0A42FEE1" w:rsidR="007D3652" w:rsidRDefault="00BA09D5" w:rsidP="0095267B">
            <w:pPr>
              <w:ind w:firstLine="0"/>
              <w:contextualSpacing/>
              <w:jc w:val="center"/>
            </w:pPr>
            <w:r>
              <w:t>5 из 8 (62%)</w:t>
            </w:r>
          </w:p>
        </w:tc>
        <w:tc>
          <w:tcPr>
            <w:tcW w:w="1869" w:type="dxa"/>
            <w:vAlign w:val="center"/>
          </w:tcPr>
          <w:p w14:paraId="46084F02" w14:textId="185415EF" w:rsidR="007D3652" w:rsidRDefault="00BA09D5" w:rsidP="00D36ADC">
            <w:pPr>
              <w:ind w:firstLine="0"/>
              <w:contextualSpacing/>
            </w:pPr>
            <w:r>
              <w:t>0, 0, 3, 1, 4, 4, 3, 2</w:t>
            </w:r>
          </w:p>
        </w:tc>
        <w:tc>
          <w:tcPr>
            <w:tcW w:w="1988" w:type="dxa"/>
            <w:vAlign w:val="center"/>
          </w:tcPr>
          <w:p w14:paraId="47CBEC13" w14:textId="4421B027" w:rsidR="007D3652" w:rsidRDefault="00BA09D5" w:rsidP="00D36ADC">
            <w:pPr>
              <w:ind w:firstLine="0"/>
              <w:contextualSpacing/>
            </w:pPr>
            <w:r>
              <w:t xml:space="preserve">0, 0, 0, 0, 0, </w:t>
            </w:r>
            <w:r w:rsidR="009756C2">
              <w:t>2, 3, 5</w:t>
            </w:r>
          </w:p>
        </w:tc>
      </w:tr>
      <w:tr w:rsidR="007D3652" w14:paraId="136C9D4F" w14:textId="77777777" w:rsidTr="0095267B">
        <w:tc>
          <w:tcPr>
            <w:tcW w:w="1761" w:type="dxa"/>
          </w:tcPr>
          <w:p w14:paraId="42A197B7" w14:textId="5B3D3CEE" w:rsidR="007D3652" w:rsidRDefault="007D3652" w:rsidP="00D36ADC">
            <w:pPr>
              <w:ind w:firstLine="0"/>
              <w:contextualSpacing/>
            </w:pPr>
            <w:r>
              <w:t>Через 12 ч после введения на 48 день (день 1 лечения)</w:t>
            </w:r>
          </w:p>
        </w:tc>
        <w:tc>
          <w:tcPr>
            <w:tcW w:w="1869" w:type="dxa"/>
            <w:vAlign w:val="center"/>
          </w:tcPr>
          <w:p w14:paraId="4C462584" w14:textId="7955B488" w:rsidR="007D3652" w:rsidRDefault="009756C2" w:rsidP="0095267B">
            <w:pPr>
              <w:ind w:firstLine="0"/>
              <w:contextualSpacing/>
              <w:jc w:val="center"/>
            </w:pPr>
            <w:r>
              <w:t>2 из 8 (25%)</w:t>
            </w:r>
          </w:p>
        </w:tc>
        <w:tc>
          <w:tcPr>
            <w:tcW w:w="1869" w:type="dxa"/>
            <w:vAlign w:val="center"/>
          </w:tcPr>
          <w:p w14:paraId="3A1A1138" w14:textId="6C6E8341" w:rsidR="007D3652" w:rsidRDefault="009756C2" w:rsidP="0095267B">
            <w:pPr>
              <w:ind w:firstLine="0"/>
              <w:contextualSpacing/>
              <w:jc w:val="center"/>
            </w:pPr>
            <w:r>
              <w:t>3 из 8 (38%)</w:t>
            </w:r>
          </w:p>
        </w:tc>
        <w:tc>
          <w:tcPr>
            <w:tcW w:w="1869" w:type="dxa"/>
            <w:vAlign w:val="center"/>
          </w:tcPr>
          <w:p w14:paraId="15136A23" w14:textId="5C313C81" w:rsidR="007D3652" w:rsidRDefault="005C04C8" w:rsidP="00D36ADC">
            <w:pPr>
              <w:ind w:firstLine="0"/>
              <w:contextualSpacing/>
            </w:pPr>
            <w:r>
              <w:t>0, 0, 3, 4, 5, 5, 4, 3</w:t>
            </w:r>
          </w:p>
        </w:tc>
        <w:tc>
          <w:tcPr>
            <w:tcW w:w="1988" w:type="dxa"/>
            <w:vAlign w:val="center"/>
          </w:tcPr>
          <w:p w14:paraId="24DB7D8F" w14:textId="6BA0CE66" w:rsidR="007D3652" w:rsidRDefault="005C04C8" w:rsidP="00D36ADC">
            <w:pPr>
              <w:ind w:firstLine="0"/>
              <w:contextualSpacing/>
            </w:pPr>
            <w:r>
              <w:t>0, 0, 0, 2, 4, 4, 2, 4</w:t>
            </w:r>
          </w:p>
        </w:tc>
      </w:tr>
      <w:tr w:rsidR="007D3652" w14:paraId="30F623AF" w14:textId="77777777" w:rsidTr="0095267B">
        <w:tc>
          <w:tcPr>
            <w:tcW w:w="1761" w:type="dxa"/>
          </w:tcPr>
          <w:p w14:paraId="48DBA8AE" w14:textId="57575F96" w:rsidR="007D3652" w:rsidRDefault="007D3652" w:rsidP="00D36ADC">
            <w:pPr>
              <w:ind w:firstLine="0"/>
              <w:contextualSpacing/>
            </w:pPr>
            <w:r w:rsidRPr="00FD51FF">
              <w:t>Через 4 ч после введения на 4</w:t>
            </w:r>
            <w:r>
              <w:t>9</w:t>
            </w:r>
            <w:r w:rsidRPr="00FD51FF">
              <w:t xml:space="preserve"> день</w:t>
            </w:r>
            <w:r>
              <w:t xml:space="preserve"> (день 2 лечения)</w:t>
            </w:r>
          </w:p>
        </w:tc>
        <w:tc>
          <w:tcPr>
            <w:tcW w:w="1869" w:type="dxa"/>
            <w:vAlign w:val="center"/>
          </w:tcPr>
          <w:p w14:paraId="2DE2F1E8" w14:textId="5F7A0F93" w:rsidR="007D3652" w:rsidRDefault="000567FE" w:rsidP="0095267B">
            <w:pPr>
              <w:ind w:firstLine="0"/>
              <w:contextualSpacing/>
              <w:jc w:val="center"/>
            </w:pPr>
            <w:r>
              <w:t>4 из 8 (50%)</w:t>
            </w:r>
          </w:p>
        </w:tc>
        <w:tc>
          <w:tcPr>
            <w:tcW w:w="1869" w:type="dxa"/>
            <w:vAlign w:val="center"/>
          </w:tcPr>
          <w:p w14:paraId="76670AD3" w14:textId="73C39932" w:rsidR="007D3652" w:rsidRDefault="000567FE" w:rsidP="0095267B">
            <w:pPr>
              <w:ind w:firstLine="0"/>
              <w:contextualSpacing/>
              <w:jc w:val="center"/>
            </w:pPr>
            <w:r>
              <w:t>3 из 8 (38%)</w:t>
            </w:r>
          </w:p>
        </w:tc>
        <w:tc>
          <w:tcPr>
            <w:tcW w:w="1869" w:type="dxa"/>
            <w:vAlign w:val="center"/>
          </w:tcPr>
          <w:p w14:paraId="6A172DAC" w14:textId="2CB33079" w:rsidR="007D3652" w:rsidRDefault="000567FE" w:rsidP="00D36ADC">
            <w:pPr>
              <w:ind w:firstLine="0"/>
              <w:contextualSpacing/>
            </w:pPr>
            <w:r>
              <w:t>0, 0, 0, 0, 3, 3, 2, 4</w:t>
            </w:r>
          </w:p>
        </w:tc>
        <w:tc>
          <w:tcPr>
            <w:tcW w:w="1988" w:type="dxa"/>
            <w:vAlign w:val="center"/>
          </w:tcPr>
          <w:p w14:paraId="1640046A" w14:textId="6EA355FF" w:rsidR="007D3652" w:rsidRDefault="00A11C21" w:rsidP="00D36ADC">
            <w:pPr>
              <w:ind w:firstLine="0"/>
              <w:contextualSpacing/>
            </w:pPr>
            <w:r>
              <w:t>0, 0, 0, 5, 5, 2, 4, 3</w:t>
            </w:r>
          </w:p>
        </w:tc>
      </w:tr>
      <w:tr w:rsidR="00A11C21" w14:paraId="44B5F693" w14:textId="77777777" w:rsidTr="0095267B">
        <w:tc>
          <w:tcPr>
            <w:tcW w:w="1761" w:type="dxa"/>
          </w:tcPr>
          <w:p w14:paraId="6DC3CDDC" w14:textId="4DFAD143" w:rsidR="00A11C21" w:rsidRDefault="00A11C21" w:rsidP="00D36ADC">
            <w:pPr>
              <w:ind w:firstLine="0"/>
              <w:contextualSpacing/>
            </w:pPr>
            <w:r w:rsidRPr="00FD51FF">
              <w:t xml:space="preserve">Через 4 ч после введения на </w:t>
            </w:r>
            <w:r>
              <w:t>55</w:t>
            </w:r>
            <w:r w:rsidRPr="00FD51FF">
              <w:t xml:space="preserve"> день</w:t>
            </w:r>
            <w:r>
              <w:t xml:space="preserve"> (день 8 лечения)</w:t>
            </w:r>
          </w:p>
        </w:tc>
        <w:tc>
          <w:tcPr>
            <w:tcW w:w="1869" w:type="dxa"/>
            <w:vAlign w:val="center"/>
          </w:tcPr>
          <w:p w14:paraId="0BBD503C" w14:textId="6AA5D5C6" w:rsidR="00A11C21" w:rsidRDefault="00A11C21" w:rsidP="0095267B">
            <w:pPr>
              <w:ind w:firstLine="0"/>
              <w:contextualSpacing/>
              <w:jc w:val="center"/>
            </w:pPr>
            <w:r w:rsidRPr="001564EF">
              <w:t>2 из 8 (25%)</w:t>
            </w:r>
          </w:p>
        </w:tc>
        <w:tc>
          <w:tcPr>
            <w:tcW w:w="1869" w:type="dxa"/>
            <w:vAlign w:val="center"/>
          </w:tcPr>
          <w:p w14:paraId="78BBC311" w14:textId="77070BA1" w:rsidR="00A11C21" w:rsidRDefault="00A11C21" w:rsidP="0095267B">
            <w:pPr>
              <w:ind w:firstLine="0"/>
              <w:contextualSpacing/>
              <w:jc w:val="center"/>
            </w:pPr>
            <w:r w:rsidRPr="001564EF">
              <w:t>2 из 8 (25%)</w:t>
            </w:r>
          </w:p>
        </w:tc>
        <w:tc>
          <w:tcPr>
            <w:tcW w:w="1869" w:type="dxa"/>
            <w:vAlign w:val="center"/>
          </w:tcPr>
          <w:p w14:paraId="563768FF" w14:textId="40D6DF21" w:rsidR="00A11C21" w:rsidRDefault="00280279" w:rsidP="00D36ADC">
            <w:pPr>
              <w:ind w:firstLine="0"/>
              <w:contextualSpacing/>
            </w:pPr>
            <w:r>
              <w:t>0, 0, 4, 3, 4, 5, 5, 3</w:t>
            </w:r>
          </w:p>
        </w:tc>
        <w:tc>
          <w:tcPr>
            <w:tcW w:w="1988" w:type="dxa"/>
            <w:vAlign w:val="center"/>
          </w:tcPr>
          <w:p w14:paraId="26C3E85D" w14:textId="7030C4DB" w:rsidR="00A11C21" w:rsidRDefault="00280279" w:rsidP="00D36ADC">
            <w:pPr>
              <w:ind w:firstLine="0"/>
              <w:contextualSpacing/>
            </w:pPr>
            <w:r>
              <w:t xml:space="preserve">0, 0, 4, 4, </w:t>
            </w:r>
            <w:r w:rsidR="006D4A8A">
              <w:t>2, 5, 3, 2</w:t>
            </w:r>
          </w:p>
        </w:tc>
      </w:tr>
      <w:tr w:rsidR="006D4A8A" w14:paraId="2C4BED16" w14:textId="77777777" w:rsidTr="0095267B">
        <w:tc>
          <w:tcPr>
            <w:tcW w:w="9356" w:type="dxa"/>
            <w:gridSpan w:val="5"/>
          </w:tcPr>
          <w:p w14:paraId="2C1492AE" w14:textId="163087C2" w:rsidR="006D4A8A" w:rsidRPr="00926113" w:rsidRDefault="00926113" w:rsidP="00D36ADC">
            <w:pPr>
              <w:ind w:firstLine="0"/>
              <w:contextualSpacing/>
            </w:pPr>
            <w:r>
              <w:t>Правый голеностопный сустав</w:t>
            </w:r>
          </w:p>
        </w:tc>
      </w:tr>
      <w:tr w:rsidR="0017318A" w14:paraId="6A384DDC" w14:textId="77777777" w:rsidTr="0095267B">
        <w:tc>
          <w:tcPr>
            <w:tcW w:w="1761" w:type="dxa"/>
          </w:tcPr>
          <w:p w14:paraId="77D33097" w14:textId="4202C169" w:rsidR="0017318A" w:rsidRDefault="0017318A" w:rsidP="00D36ADC">
            <w:pPr>
              <w:ind w:firstLine="0"/>
              <w:contextualSpacing/>
            </w:pPr>
            <w:r>
              <w:t>Через 4 ч после введения на 48 день (исходно)</w:t>
            </w:r>
          </w:p>
        </w:tc>
        <w:tc>
          <w:tcPr>
            <w:tcW w:w="1869" w:type="dxa"/>
            <w:vAlign w:val="center"/>
          </w:tcPr>
          <w:p w14:paraId="7BFC1B9F" w14:textId="30518F14" w:rsidR="0017318A" w:rsidRDefault="0017318A" w:rsidP="0095267B">
            <w:pPr>
              <w:ind w:firstLine="0"/>
              <w:contextualSpacing/>
              <w:jc w:val="center"/>
            </w:pPr>
            <w:r w:rsidRPr="00232D57">
              <w:t>4 из 8 (50%)</w:t>
            </w:r>
          </w:p>
        </w:tc>
        <w:tc>
          <w:tcPr>
            <w:tcW w:w="1869" w:type="dxa"/>
            <w:vAlign w:val="center"/>
          </w:tcPr>
          <w:p w14:paraId="11BC8BE4" w14:textId="726C93DA" w:rsidR="0017318A" w:rsidRDefault="0017318A" w:rsidP="0095267B">
            <w:pPr>
              <w:ind w:firstLine="0"/>
              <w:contextualSpacing/>
              <w:jc w:val="center"/>
            </w:pPr>
            <w:r>
              <w:t>6</w:t>
            </w:r>
            <w:r w:rsidRPr="00972035">
              <w:t xml:space="preserve"> из 8 (</w:t>
            </w:r>
            <w:r>
              <w:t>75</w:t>
            </w:r>
            <w:r w:rsidRPr="00972035">
              <w:t>%)</w:t>
            </w:r>
          </w:p>
        </w:tc>
        <w:tc>
          <w:tcPr>
            <w:tcW w:w="1869" w:type="dxa"/>
            <w:vAlign w:val="center"/>
          </w:tcPr>
          <w:p w14:paraId="094F5750" w14:textId="5C901A85" w:rsidR="0017318A" w:rsidRDefault="006834E6" w:rsidP="00D36ADC">
            <w:pPr>
              <w:ind w:firstLine="0"/>
              <w:contextualSpacing/>
            </w:pPr>
            <w:r>
              <w:t>0, 0, 0, 0, 3, 4, 3, 3</w:t>
            </w:r>
          </w:p>
        </w:tc>
        <w:tc>
          <w:tcPr>
            <w:tcW w:w="1988" w:type="dxa"/>
            <w:vAlign w:val="center"/>
          </w:tcPr>
          <w:p w14:paraId="43D5555B" w14:textId="452B990A" w:rsidR="0017318A" w:rsidRDefault="006834E6" w:rsidP="00D36ADC">
            <w:pPr>
              <w:ind w:firstLine="0"/>
              <w:contextualSpacing/>
            </w:pPr>
            <w:r>
              <w:t>0, 0, 0, 0, 0, 0, 3, 3</w:t>
            </w:r>
          </w:p>
        </w:tc>
      </w:tr>
      <w:tr w:rsidR="0017318A" w14:paraId="04C472A8" w14:textId="77777777" w:rsidTr="0095267B">
        <w:tc>
          <w:tcPr>
            <w:tcW w:w="1761" w:type="dxa"/>
          </w:tcPr>
          <w:p w14:paraId="0D0FEDE8" w14:textId="7EC2B5AD" w:rsidR="0017318A" w:rsidRDefault="0017318A" w:rsidP="00D36ADC">
            <w:pPr>
              <w:ind w:firstLine="0"/>
              <w:contextualSpacing/>
            </w:pPr>
            <w:r>
              <w:t>Через 12 ч после введения на 48 день (день 1 лечения)</w:t>
            </w:r>
          </w:p>
        </w:tc>
        <w:tc>
          <w:tcPr>
            <w:tcW w:w="1869" w:type="dxa"/>
            <w:vAlign w:val="center"/>
          </w:tcPr>
          <w:p w14:paraId="37268FDC" w14:textId="43EAB6D3" w:rsidR="0017318A" w:rsidRDefault="0017318A" w:rsidP="0095267B">
            <w:pPr>
              <w:ind w:firstLine="0"/>
              <w:contextualSpacing/>
              <w:jc w:val="center"/>
            </w:pPr>
            <w:r w:rsidRPr="00232D57">
              <w:t>4 из 8 (50%)</w:t>
            </w:r>
          </w:p>
        </w:tc>
        <w:tc>
          <w:tcPr>
            <w:tcW w:w="1869" w:type="dxa"/>
            <w:vAlign w:val="center"/>
          </w:tcPr>
          <w:p w14:paraId="5D69B5B3" w14:textId="2311DE68" w:rsidR="0017318A" w:rsidRDefault="0017318A" w:rsidP="0095267B">
            <w:pPr>
              <w:ind w:firstLine="0"/>
              <w:contextualSpacing/>
              <w:jc w:val="center"/>
            </w:pPr>
            <w:r>
              <w:t>3</w:t>
            </w:r>
            <w:r w:rsidRPr="00972035">
              <w:t xml:space="preserve"> из 8 (</w:t>
            </w:r>
            <w:r>
              <w:t>38</w:t>
            </w:r>
            <w:r w:rsidRPr="00972035">
              <w:t>%)</w:t>
            </w:r>
          </w:p>
        </w:tc>
        <w:tc>
          <w:tcPr>
            <w:tcW w:w="1869" w:type="dxa"/>
            <w:vAlign w:val="center"/>
          </w:tcPr>
          <w:p w14:paraId="3B6C7882" w14:textId="7F0D4981" w:rsidR="0017318A" w:rsidRDefault="00747E23" w:rsidP="00D36ADC">
            <w:pPr>
              <w:ind w:firstLine="0"/>
              <w:contextualSpacing/>
            </w:pPr>
            <w:r>
              <w:t>0, 0, 0, 0, 2, 1, 4, 3</w:t>
            </w:r>
          </w:p>
        </w:tc>
        <w:tc>
          <w:tcPr>
            <w:tcW w:w="1988" w:type="dxa"/>
            <w:vAlign w:val="center"/>
          </w:tcPr>
          <w:p w14:paraId="4B57DCF5" w14:textId="2934CA90" w:rsidR="0017318A" w:rsidRDefault="00747E23" w:rsidP="00D36ADC">
            <w:pPr>
              <w:ind w:firstLine="0"/>
              <w:contextualSpacing/>
            </w:pPr>
            <w:r>
              <w:t>0</w:t>
            </w:r>
            <w:r w:rsidR="00EF7BED">
              <w:t xml:space="preserve">, </w:t>
            </w:r>
            <w:r>
              <w:t>0</w:t>
            </w:r>
            <w:r w:rsidR="00EF7BED">
              <w:t xml:space="preserve">, </w:t>
            </w:r>
            <w:r>
              <w:t>0</w:t>
            </w:r>
            <w:r w:rsidR="00EF7BED">
              <w:t xml:space="preserve">, </w:t>
            </w:r>
            <w:r>
              <w:t>2</w:t>
            </w:r>
            <w:r w:rsidR="00EF7BED">
              <w:t>, 3, 2, 1, 2</w:t>
            </w:r>
          </w:p>
        </w:tc>
      </w:tr>
      <w:tr w:rsidR="0017318A" w14:paraId="53375E6D" w14:textId="77777777" w:rsidTr="0095267B">
        <w:tc>
          <w:tcPr>
            <w:tcW w:w="1761" w:type="dxa"/>
          </w:tcPr>
          <w:p w14:paraId="7F6F4DBA" w14:textId="0EC0BA91" w:rsidR="0017318A" w:rsidRDefault="0017318A" w:rsidP="00D36ADC">
            <w:pPr>
              <w:ind w:firstLine="0"/>
              <w:contextualSpacing/>
            </w:pPr>
            <w:r w:rsidRPr="00FD51FF">
              <w:t>Через 4 ч после введения на 4</w:t>
            </w:r>
            <w:r>
              <w:t>9</w:t>
            </w:r>
            <w:r w:rsidRPr="00FD51FF">
              <w:t xml:space="preserve"> день</w:t>
            </w:r>
            <w:r>
              <w:t xml:space="preserve"> (день 2 лечения)</w:t>
            </w:r>
          </w:p>
        </w:tc>
        <w:tc>
          <w:tcPr>
            <w:tcW w:w="1869" w:type="dxa"/>
            <w:vAlign w:val="center"/>
          </w:tcPr>
          <w:p w14:paraId="6C05C956" w14:textId="1E749E36" w:rsidR="0017318A" w:rsidRDefault="0017318A" w:rsidP="0095267B">
            <w:pPr>
              <w:ind w:firstLine="0"/>
              <w:contextualSpacing/>
              <w:jc w:val="center"/>
            </w:pPr>
            <w:r w:rsidRPr="00232D57">
              <w:t>4 из 8 (50%)</w:t>
            </w:r>
          </w:p>
        </w:tc>
        <w:tc>
          <w:tcPr>
            <w:tcW w:w="1869" w:type="dxa"/>
            <w:vAlign w:val="center"/>
          </w:tcPr>
          <w:p w14:paraId="3509D052" w14:textId="7083FFC6" w:rsidR="0017318A" w:rsidRDefault="0017318A" w:rsidP="0095267B">
            <w:pPr>
              <w:ind w:firstLine="0"/>
              <w:contextualSpacing/>
              <w:jc w:val="center"/>
            </w:pPr>
            <w:r w:rsidRPr="00972035">
              <w:t>4 из 8 (50%)</w:t>
            </w:r>
          </w:p>
        </w:tc>
        <w:tc>
          <w:tcPr>
            <w:tcW w:w="1869" w:type="dxa"/>
            <w:vAlign w:val="center"/>
          </w:tcPr>
          <w:p w14:paraId="548998CE" w14:textId="65B5ABF0" w:rsidR="0017318A" w:rsidRDefault="00EF7BED" w:rsidP="00D36ADC">
            <w:pPr>
              <w:ind w:firstLine="0"/>
              <w:contextualSpacing/>
            </w:pPr>
            <w:r>
              <w:t>0, 0, 0, 0, 4, 3, 4, 3</w:t>
            </w:r>
          </w:p>
        </w:tc>
        <w:tc>
          <w:tcPr>
            <w:tcW w:w="1988" w:type="dxa"/>
            <w:vAlign w:val="center"/>
          </w:tcPr>
          <w:p w14:paraId="3DB7E776" w14:textId="5298CBA1" w:rsidR="0017318A" w:rsidRDefault="00EF7BED" w:rsidP="00D36ADC">
            <w:pPr>
              <w:ind w:firstLine="0"/>
              <w:contextualSpacing/>
            </w:pPr>
            <w:r>
              <w:t>0, 0, 0, 0, 2, 2, 4, 3</w:t>
            </w:r>
          </w:p>
        </w:tc>
      </w:tr>
      <w:tr w:rsidR="0017318A" w14:paraId="284718EE" w14:textId="77777777" w:rsidTr="0095267B">
        <w:tc>
          <w:tcPr>
            <w:tcW w:w="1761" w:type="dxa"/>
          </w:tcPr>
          <w:p w14:paraId="0E2E5D28" w14:textId="12C204F3" w:rsidR="0017318A" w:rsidRDefault="0017318A" w:rsidP="00D36ADC">
            <w:pPr>
              <w:ind w:firstLine="0"/>
              <w:contextualSpacing/>
            </w:pPr>
            <w:r w:rsidRPr="00FD51FF">
              <w:t xml:space="preserve">Через 4 ч после введения на </w:t>
            </w:r>
            <w:r>
              <w:t>55</w:t>
            </w:r>
            <w:r w:rsidRPr="00FD51FF">
              <w:t xml:space="preserve"> день</w:t>
            </w:r>
            <w:r>
              <w:t xml:space="preserve"> (день 8 лечения)</w:t>
            </w:r>
          </w:p>
        </w:tc>
        <w:tc>
          <w:tcPr>
            <w:tcW w:w="1869" w:type="dxa"/>
            <w:vAlign w:val="center"/>
          </w:tcPr>
          <w:p w14:paraId="23B88E0A" w14:textId="13DA67A6" w:rsidR="0017318A" w:rsidRDefault="0017318A" w:rsidP="0095267B">
            <w:pPr>
              <w:ind w:firstLine="0"/>
              <w:contextualSpacing/>
              <w:jc w:val="center"/>
            </w:pPr>
            <w:r>
              <w:t>2 из 8 (25%)</w:t>
            </w:r>
          </w:p>
        </w:tc>
        <w:tc>
          <w:tcPr>
            <w:tcW w:w="1869" w:type="dxa"/>
            <w:vAlign w:val="center"/>
          </w:tcPr>
          <w:p w14:paraId="7A2DEC8C" w14:textId="136D1C01" w:rsidR="0017318A" w:rsidRDefault="0017318A" w:rsidP="0095267B">
            <w:pPr>
              <w:ind w:firstLine="0"/>
              <w:contextualSpacing/>
              <w:jc w:val="center"/>
            </w:pPr>
            <w:r>
              <w:t>5</w:t>
            </w:r>
            <w:r w:rsidRPr="00972035">
              <w:t xml:space="preserve"> из 8 (</w:t>
            </w:r>
            <w:r>
              <w:t>62</w:t>
            </w:r>
            <w:r w:rsidRPr="00972035">
              <w:t>%)</w:t>
            </w:r>
          </w:p>
        </w:tc>
        <w:tc>
          <w:tcPr>
            <w:tcW w:w="1869" w:type="dxa"/>
            <w:vAlign w:val="center"/>
          </w:tcPr>
          <w:p w14:paraId="4ED8ABAC" w14:textId="6EDBC50F" w:rsidR="0017318A" w:rsidRDefault="00EF7BED" w:rsidP="00D36ADC">
            <w:pPr>
              <w:ind w:firstLine="0"/>
              <w:contextualSpacing/>
            </w:pPr>
            <w:r>
              <w:t>0</w:t>
            </w:r>
            <w:r w:rsidR="00872BD8">
              <w:t xml:space="preserve">, </w:t>
            </w:r>
            <w:r>
              <w:t>0</w:t>
            </w:r>
            <w:r w:rsidR="00872BD8">
              <w:t xml:space="preserve">, </w:t>
            </w:r>
            <w:r>
              <w:t>3</w:t>
            </w:r>
            <w:r w:rsidR="00872BD8">
              <w:t xml:space="preserve">, </w:t>
            </w:r>
            <w:r>
              <w:t>5</w:t>
            </w:r>
            <w:r w:rsidR="00872BD8">
              <w:t>, 2, 2, 4, 2</w:t>
            </w:r>
          </w:p>
        </w:tc>
        <w:tc>
          <w:tcPr>
            <w:tcW w:w="1988" w:type="dxa"/>
            <w:vAlign w:val="center"/>
          </w:tcPr>
          <w:p w14:paraId="693EC637" w14:textId="58D0B20A" w:rsidR="0017318A" w:rsidRDefault="00872BD8" w:rsidP="00D36ADC">
            <w:pPr>
              <w:ind w:firstLine="0"/>
              <w:contextualSpacing/>
            </w:pPr>
            <w:r>
              <w:t>0</w:t>
            </w:r>
            <w:r w:rsidR="00491B72">
              <w:t xml:space="preserve">, </w:t>
            </w:r>
            <w:r>
              <w:t>0</w:t>
            </w:r>
            <w:r w:rsidR="00491B72">
              <w:t xml:space="preserve">, </w:t>
            </w:r>
            <w:r>
              <w:t>0</w:t>
            </w:r>
            <w:r w:rsidR="00491B72">
              <w:t xml:space="preserve">, </w:t>
            </w:r>
            <w:r>
              <w:t>0</w:t>
            </w:r>
            <w:r w:rsidR="00491B72">
              <w:t xml:space="preserve">, </w:t>
            </w:r>
            <w:r>
              <w:t>0</w:t>
            </w:r>
            <w:r w:rsidR="00491B72">
              <w:t>, 2, 4, 2</w:t>
            </w:r>
          </w:p>
        </w:tc>
      </w:tr>
      <w:tr w:rsidR="00926113" w14:paraId="20EDAEB8" w14:textId="77777777" w:rsidTr="0095267B">
        <w:tc>
          <w:tcPr>
            <w:tcW w:w="9356" w:type="dxa"/>
            <w:gridSpan w:val="5"/>
          </w:tcPr>
          <w:p w14:paraId="359B4688" w14:textId="75BFE785" w:rsidR="00926113" w:rsidRDefault="00926113" w:rsidP="00D36ADC">
            <w:pPr>
              <w:ind w:firstLine="0"/>
              <w:contextualSpacing/>
            </w:pPr>
            <w:r>
              <w:t>Левый голеностопный сустав</w:t>
            </w:r>
          </w:p>
        </w:tc>
      </w:tr>
      <w:tr w:rsidR="009B731A" w14:paraId="37318AAD" w14:textId="77777777" w:rsidTr="0095267B">
        <w:tc>
          <w:tcPr>
            <w:tcW w:w="1761" w:type="dxa"/>
          </w:tcPr>
          <w:p w14:paraId="59547E1E" w14:textId="28F452B5" w:rsidR="009B731A" w:rsidRPr="00FD51FF" w:rsidRDefault="009B731A" w:rsidP="00D36ADC">
            <w:pPr>
              <w:ind w:firstLine="0"/>
              <w:contextualSpacing/>
            </w:pPr>
            <w:r>
              <w:t xml:space="preserve">Через 4 ч после введения на 48 </w:t>
            </w:r>
            <w:r>
              <w:lastRenderedPageBreak/>
              <w:t>день (исходно)</w:t>
            </w:r>
          </w:p>
        </w:tc>
        <w:tc>
          <w:tcPr>
            <w:tcW w:w="1869" w:type="dxa"/>
            <w:vAlign w:val="center"/>
          </w:tcPr>
          <w:p w14:paraId="1977245C" w14:textId="5AF26600" w:rsidR="009B731A" w:rsidRDefault="00BD148D" w:rsidP="0095267B">
            <w:pPr>
              <w:ind w:firstLine="0"/>
              <w:contextualSpacing/>
              <w:jc w:val="center"/>
            </w:pPr>
            <w:r>
              <w:lastRenderedPageBreak/>
              <w:t>5</w:t>
            </w:r>
            <w:r w:rsidRPr="00972035">
              <w:t xml:space="preserve"> из 8 (</w:t>
            </w:r>
            <w:r>
              <w:t>62</w:t>
            </w:r>
            <w:r w:rsidRPr="00972035">
              <w:t>%)</w:t>
            </w:r>
          </w:p>
        </w:tc>
        <w:tc>
          <w:tcPr>
            <w:tcW w:w="1869" w:type="dxa"/>
            <w:vAlign w:val="center"/>
          </w:tcPr>
          <w:p w14:paraId="0ABAA0A3" w14:textId="47F47A22" w:rsidR="009B731A" w:rsidRDefault="00BD148D" w:rsidP="0095267B">
            <w:pPr>
              <w:ind w:firstLine="0"/>
              <w:contextualSpacing/>
              <w:jc w:val="center"/>
            </w:pPr>
            <w:r>
              <w:t>3</w:t>
            </w:r>
            <w:r w:rsidRPr="00972035">
              <w:t xml:space="preserve"> из 8 (</w:t>
            </w:r>
            <w:r>
              <w:t>38</w:t>
            </w:r>
            <w:r w:rsidRPr="00972035">
              <w:t>%)</w:t>
            </w:r>
          </w:p>
        </w:tc>
        <w:tc>
          <w:tcPr>
            <w:tcW w:w="1869" w:type="dxa"/>
            <w:vAlign w:val="center"/>
          </w:tcPr>
          <w:p w14:paraId="34B13E12" w14:textId="7342E642" w:rsidR="009B731A" w:rsidRDefault="0060509C" w:rsidP="00D36ADC">
            <w:pPr>
              <w:ind w:firstLine="0"/>
              <w:contextualSpacing/>
            </w:pPr>
            <w:r>
              <w:t>0</w:t>
            </w:r>
            <w:r w:rsidR="00B33F63">
              <w:t xml:space="preserve">, </w:t>
            </w:r>
            <w:r>
              <w:t>0</w:t>
            </w:r>
            <w:r w:rsidR="00B33F63">
              <w:t xml:space="preserve">, </w:t>
            </w:r>
            <w:r>
              <w:t>0</w:t>
            </w:r>
            <w:r w:rsidR="00B33F63">
              <w:t xml:space="preserve">, </w:t>
            </w:r>
            <w:r>
              <w:t>0</w:t>
            </w:r>
            <w:r w:rsidR="00B33F63">
              <w:t xml:space="preserve">, </w:t>
            </w:r>
            <w:r>
              <w:t>0</w:t>
            </w:r>
            <w:r w:rsidR="00B33F63">
              <w:t xml:space="preserve">, </w:t>
            </w:r>
            <w:r>
              <w:t>1</w:t>
            </w:r>
            <w:r w:rsidR="00B33F63">
              <w:t xml:space="preserve">, </w:t>
            </w:r>
            <w:r>
              <w:t>4</w:t>
            </w:r>
            <w:r w:rsidR="00B33F63">
              <w:t xml:space="preserve">, </w:t>
            </w:r>
            <w:r>
              <w:t>4</w:t>
            </w:r>
          </w:p>
        </w:tc>
        <w:tc>
          <w:tcPr>
            <w:tcW w:w="1988" w:type="dxa"/>
            <w:vAlign w:val="center"/>
          </w:tcPr>
          <w:p w14:paraId="0EA6FC81" w14:textId="6E78AF13" w:rsidR="009B731A" w:rsidRDefault="00CC7F06" w:rsidP="00D36ADC">
            <w:pPr>
              <w:ind w:firstLine="0"/>
              <w:contextualSpacing/>
            </w:pPr>
            <w:r>
              <w:t>0</w:t>
            </w:r>
            <w:r w:rsidR="00B33F63">
              <w:t xml:space="preserve">, </w:t>
            </w:r>
            <w:r>
              <w:t>0</w:t>
            </w:r>
            <w:r w:rsidR="00B33F63">
              <w:t xml:space="preserve">, </w:t>
            </w:r>
            <w:r>
              <w:t>0</w:t>
            </w:r>
            <w:r w:rsidR="00B33F63">
              <w:t>, 3, 4, 3, 2, 3</w:t>
            </w:r>
          </w:p>
        </w:tc>
      </w:tr>
      <w:tr w:rsidR="009B731A" w14:paraId="76605D3F" w14:textId="77777777" w:rsidTr="0095267B">
        <w:tc>
          <w:tcPr>
            <w:tcW w:w="1761" w:type="dxa"/>
          </w:tcPr>
          <w:p w14:paraId="02A1CFF7" w14:textId="4015A4B9" w:rsidR="009B731A" w:rsidRPr="00FD51FF" w:rsidRDefault="009B731A" w:rsidP="00D36ADC">
            <w:pPr>
              <w:ind w:firstLine="0"/>
              <w:contextualSpacing/>
            </w:pPr>
            <w:r>
              <w:t>Через 12 ч после введения на 48 день (день 1 лечения)</w:t>
            </w:r>
          </w:p>
        </w:tc>
        <w:tc>
          <w:tcPr>
            <w:tcW w:w="1869" w:type="dxa"/>
            <w:vAlign w:val="center"/>
          </w:tcPr>
          <w:p w14:paraId="14B3E44A" w14:textId="05128B8E" w:rsidR="009B731A" w:rsidRDefault="00BD148D" w:rsidP="0095267B">
            <w:pPr>
              <w:ind w:firstLine="0"/>
              <w:contextualSpacing/>
              <w:jc w:val="center"/>
            </w:pPr>
            <w:r w:rsidRPr="00232D57">
              <w:t>4 из 8 (50%)</w:t>
            </w:r>
          </w:p>
        </w:tc>
        <w:tc>
          <w:tcPr>
            <w:tcW w:w="1869" w:type="dxa"/>
            <w:vAlign w:val="center"/>
          </w:tcPr>
          <w:p w14:paraId="5449AF25" w14:textId="7C1F5E21" w:rsidR="009B731A" w:rsidRDefault="0060509C" w:rsidP="0095267B">
            <w:pPr>
              <w:ind w:firstLine="0"/>
              <w:contextualSpacing/>
              <w:jc w:val="center"/>
            </w:pPr>
            <w:r>
              <w:t>5</w:t>
            </w:r>
            <w:r w:rsidRPr="00972035">
              <w:t xml:space="preserve"> из 8 (</w:t>
            </w:r>
            <w:r>
              <w:t>62</w:t>
            </w:r>
            <w:r w:rsidRPr="00972035">
              <w:t>%)</w:t>
            </w:r>
          </w:p>
        </w:tc>
        <w:tc>
          <w:tcPr>
            <w:tcW w:w="1869" w:type="dxa"/>
            <w:vAlign w:val="center"/>
          </w:tcPr>
          <w:p w14:paraId="29D0FB21" w14:textId="0ED3FA87" w:rsidR="009B731A" w:rsidRDefault="00CC7F06" w:rsidP="00D36ADC">
            <w:pPr>
              <w:ind w:firstLine="0"/>
              <w:contextualSpacing/>
            </w:pPr>
            <w:r>
              <w:t>0</w:t>
            </w:r>
            <w:r w:rsidR="00B33F63">
              <w:t xml:space="preserve">, </w:t>
            </w:r>
            <w:r>
              <w:t>0</w:t>
            </w:r>
            <w:r w:rsidR="00B33F63">
              <w:t xml:space="preserve">, </w:t>
            </w:r>
            <w:r>
              <w:t>0</w:t>
            </w:r>
            <w:r w:rsidR="00B33F63">
              <w:t xml:space="preserve">, </w:t>
            </w:r>
            <w:r>
              <w:t>0</w:t>
            </w:r>
            <w:r w:rsidR="00B33F63">
              <w:t xml:space="preserve">, </w:t>
            </w:r>
            <w:r>
              <w:t>3</w:t>
            </w:r>
            <w:r w:rsidR="00B33F63">
              <w:t xml:space="preserve">, </w:t>
            </w:r>
            <w:r>
              <w:t>4</w:t>
            </w:r>
            <w:r w:rsidR="00B33F63">
              <w:t xml:space="preserve">, </w:t>
            </w:r>
            <w:r>
              <w:t>1</w:t>
            </w:r>
            <w:r w:rsidR="00B33F63">
              <w:t xml:space="preserve">, </w:t>
            </w:r>
            <w:r>
              <w:t>2</w:t>
            </w:r>
          </w:p>
        </w:tc>
        <w:tc>
          <w:tcPr>
            <w:tcW w:w="1988" w:type="dxa"/>
            <w:vAlign w:val="center"/>
          </w:tcPr>
          <w:p w14:paraId="513EEEEA" w14:textId="3688EB3E" w:rsidR="009B731A" w:rsidRDefault="00B33F63" w:rsidP="00D36ADC">
            <w:pPr>
              <w:ind w:firstLine="0"/>
              <w:contextualSpacing/>
            </w:pPr>
            <w:r>
              <w:t>0, 0, 0, 0, 0, 2, 4, 2</w:t>
            </w:r>
          </w:p>
        </w:tc>
      </w:tr>
      <w:tr w:rsidR="0060509C" w14:paraId="400774C3" w14:textId="77777777" w:rsidTr="0095267B">
        <w:tc>
          <w:tcPr>
            <w:tcW w:w="1761" w:type="dxa"/>
          </w:tcPr>
          <w:p w14:paraId="69E63CB6" w14:textId="195D252D" w:rsidR="0060509C" w:rsidRPr="00FD51FF" w:rsidRDefault="0060509C" w:rsidP="00D36ADC">
            <w:pPr>
              <w:ind w:firstLine="0"/>
              <w:contextualSpacing/>
            </w:pPr>
            <w:r w:rsidRPr="00FD51FF">
              <w:t>Через 4 ч после введения на 4</w:t>
            </w:r>
            <w:r>
              <w:t>9</w:t>
            </w:r>
            <w:r w:rsidRPr="00FD51FF">
              <w:t xml:space="preserve"> день</w:t>
            </w:r>
            <w:r>
              <w:t xml:space="preserve"> (день 2 лечения)</w:t>
            </w:r>
          </w:p>
        </w:tc>
        <w:tc>
          <w:tcPr>
            <w:tcW w:w="1869" w:type="dxa"/>
            <w:vAlign w:val="center"/>
          </w:tcPr>
          <w:p w14:paraId="40B3F1A7" w14:textId="67DDFA63" w:rsidR="0060509C" w:rsidRDefault="0060509C" w:rsidP="0095267B">
            <w:pPr>
              <w:ind w:firstLine="0"/>
              <w:contextualSpacing/>
              <w:jc w:val="center"/>
            </w:pPr>
            <w:r w:rsidRPr="003449A9">
              <w:t>3 из 8 (38%)</w:t>
            </w:r>
          </w:p>
        </w:tc>
        <w:tc>
          <w:tcPr>
            <w:tcW w:w="1869" w:type="dxa"/>
            <w:vAlign w:val="center"/>
          </w:tcPr>
          <w:p w14:paraId="524A5DD9" w14:textId="4195B782" w:rsidR="0060509C" w:rsidRDefault="0060509C" w:rsidP="0095267B">
            <w:pPr>
              <w:ind w:firstLine="0"/>
              <w:contextualSpacing/>
              <w:jc w:val="center"/>
            </w:pPr>
            <w:r w:rsidRPr="00262E34">
              <w:t>3 из 8 (38%)</w:t>
            </w:r>
          </w:p>
        </w:tc>
        <w:tc>
          <w:tcPr>
            <w:tcW w:w="1869" w:type="dxa"/>
            <w:vAlign w:val="center"/>
          </w:tcPr>
          <w:p w14:paraId="09FF20EE" w14:textId="7C0AABAF" w:rsidR="0060509C" w:rsidRDefault="00CC7F06" w:rsidP="00D36ADC">
            <w:pPr>
              <w:ind w:firstLine="0"/>
              <w:contextualSpacing/>
            </w:pPr>
            <w:r>
              <w:t>0</w:t>
            </w:r>
            <w:r w:rsidR="00B33F63">
              <w:t xml:space="preserve">, </w:t>
            </w:r>
            <w:r>
              <w:t>0</w:t>
            </w:r>
            <w:r w:rsidR="00B33F63">
              <w:t xml:space="preserve">, </w:t>
            </w:r>
            <w:r>
              <w:t>0</w:t>
            </w:r>
            <w:r w:rsidR="00B33F63">
              <w:t xml:space="preserve">, </w:t>
            </w:r>
            <w:r>
              <w:t>4</w:t>
            </w:r>
            <w:r w:rsidR="00B33F63">
              <w:t xml:space="preserve">, </w:t>
            </w:r>
            <w:r>
              <w:t>4</w:t>
            </w:r>
            <w:r w:rsidR="00B33F63">
              <w:t xml:space="preserve">, </w:t>
            </w:r>
            <w:r>
              <w:t>4</w:t>
            </w:r>
            <w:r w:rsidR="00B33F63">
              <w:t xml:space="preserve">, </w:t>
            </w:r>
            <w:r>
              <w:t>3</w:t>
            </w:r>
            <w:r w:rsidR="00B33F63">
              <w:t xml:space="preserve">, </w:t>
            </w:r>
            <w:r>
              <w:t>3</w:t>
            </w:r>
          </w:p>
        </w:tc>
        <w:tc>
          <w:tcPr>
            <w:tcW w:w="1988" w:type="dxa"/>
            <w:vAlign w:val="center"/>
          </w:tcPr>
          <w:p w14:paraId="1B9F0ECC" w14:textId="653B4E48" w:rsidR="0060509C" w:rsidRDefault="00B33F63" w:rsidP="00D36ADC">
            <w:pPr>
              <w:ind w:firstLine="0"/>
              <w:contextualSpacing/>
            </w:pPr>
            <w:r>
              <w:t>0, 0, 0, 2, 2, 2, 4, 3</w:t>
            </w:r>
          </w:p>
        </w:tc>
      </w:tr>
      <w:tr w:rsidR="0060509C" w14:paraId="126B5DFF" w14:textId="77777777" w:rsidTr="0095267B">
        <w:tc>
          <w:tcPr>
            <w:tcW w:w="1761" w:type="dxa"/>
          </w:tcPr>
          <w:p w14:paraId="79172FB5" w14:textId="2567EC44" w:rsidR="0060509C" w:rsidRPr="00FD51FF" w:rsidRDefault="0060509C" w:rsidP="00D36ADC">
            <w:pPr>
              <w:ind w:firstLine="0"/>
              <w:contextualSpacing/>
            </w:pPr>
            <w:r w:rsidRPr="00FD51FF">
              <w:t xml:space="preserve">Через 4 ч после введения на </w:t>
            </w:r>
            <w:r>
              <w:t>55</w:t>
            </w:r>
            <w:r w:rsidRPr="00FD51FF">
              <w:t xml:space="preserve"> день</w:t>
            </w:r>
            <w:r>
              <w:t xml:space="preserve"> (день 8 лечения)</w:t>
            </w:r>
          </w:p>
        </w:tc>
        <w:tc>
          <w:tcPr>
            <w:tcW w:w="1869" w:type="dxa"/>
            <w:vAlign w:val="center"/>
          </w:tcPr>
          <w:p w14:paraId="098E2EEA" w14:textId="49DB9CA1" w:rsidR="0060509C" w:rsidRDefault="0060509C" w:rsidP="0095267B">
            <w:pPr>
              <w:ind w:firstLine="0"/>
              <w:contextualSpacing/>
              <w:jc w:val="center"/>
            </w:pPr>
            <w:r w:rsidRPr="003449A9">
              <w:t>3 из 8 (38%)</w:t>
            </w:r>
          </w:p>
        </w:tc>
        <w:tc>
          <w:tcPr>
            <w:tcW w:w="1869" w:type="dxa"/>
            <w:vAlign w:val="center"/>
          </w:tcPr>
          <w:p w14:paraId="2EAA79BC" w14:textId="27ADDA68" w:rsidR="0060509C" w:rsidRDefault="0060509C" w:rsidP="0095267B">
            <w:pPr>
              <w:ind w:firstLine="0"/>
              <w:contextualSpacing/>
              <w:jc w:val="center"/>
            </w:pPr>
            <w:r w:rsidRPr="00262E34">
              <w:t>3 из 8 (38%)</w:t>
            </w:r>
          </w:p>
        </w:tc>
        <w:tc>
          <w:tcPr>
            <w:tcW w:w="1869" w:type="dxa"/>
            <w:vAlign w:val="center"/>
          </w:tcPr>
          <w:p w14:paraId="5D0CFA03" w14:textId="2CC5807F" w:rsidR="0060509C" w:rsidRDefault="00CC7F06" w:rsidP="00D36ADC">
            <w:pPr>
              <w:ind w:firstLine="0"/>
              <w:contextualSpacing/>
            </w:pPr>
            <w:r>
              <w:t>0</w:t>
            </w:r>
            <w:r w:rsidR="00B33F63">
              <w:t xml:space="preserve">, </w:t>
            </w:r>
            <w:r>
              <w:t>0</w:t>
            </w:r>
            <w:r w:rsidR="00B33F63">
              <w:t xml:space="preserve">, </w:t>
            </w:r>
            <w:r>
              <w:t>0</w:t>
            </w:r>
            <w:r w:rsidR="00B33F63">
              <w:t xml:space="preserve">, </w:t>
            </w:r>
            <w:r>
              <w:t>3</w:t>
            </w:r>
            <w:r w:rsidR="00B33F63">
              <w:t xml:space="preserve">, </w:t>
            </w:r>
            <w:r>
              <w:t>3</w:t>
            </w:r>
            <w:r w:rsidR="00B33F63">
              <w:t xml:space="preserve">, </w:t>
            </w:r>
            <w:r>
              <w:t>3</w:t>
            </w:r>
            <w:r w:rsidR="00B33F63">
              <w:t xml:space="preserve">, </w:t>
            </w:r>
            <w:r>
              <w:t>2</w:t>
            </w:r>
            <w:r w:rsidR="00B33F63">
              <w:t xml:space="preserve">, </w:t>
            </w:r>
            <w:r>
              <w:t>3</w:t>
            </w:r>
          </w:p>
        </w:tc>
        <w:tc>
          <w:tcPr>
            <w:tcW w:w="1988" w:type="dxa"/>
            <w:vAlign w:val="center"/>
          </w:tcPr>
          <w:p w14:paraId="55E02153" w14:textId="0BF4F4A6" w:rsidR="0060509C" w:rsidRDefault="00B33F63" w:rsidP="00D36ADC">
            <w:pPr>
              <w:ind w:firstLine="0"/>
              <w:contextualSpacing/>
            </w:pPr>
            <w:r>
              <w:t>0, 0, 0, 3, 3, 3, 4, 5</w:t>
            </w:r>
          </w:p>
        </w:tc>
      </w:tr>
    </w:tbl>
    <w:p w14:paraId="23BE71BD" w14:textId="77777777" w:rsidR="0095267B" w:rsidRDefault="0095267B" w:rsidP="00D36ADC">
      <w:pPr>
        <w:pStyle w:val="SDText"/>
        <w:contextualSpacing/>
      </w:pPr>
    </w:p>
    <w:p w14:paraId="0269B95F" w14:textId="4938D133" w:rsidR="0072353F" w:rsidRPr="00DB706F" w:rsidRDefault="0095267B" w:rsidP="00D36ADC">
      <w:pPr>
        <w:pStyle w:val="SDText"/>
        <w:contextualSpacing/>
      </w:pPr>
      <w:r>
        <w:t>Н</w:t>
      </w:r>
      <w:r w:rsidR="00DB706F">
        <w:t>а</w:t>
      </w:r>
      <w:r w:rsidR="00DB706F" w:rsidRPr="00DB706F">
        <w:t xml:space="preserve"> </w:t>
      </w:r>
      <w:r w:rsidR="00DB706F">
        <w:t>крысах линии Вистар (</w:t>
      </w:r>
      <w:r w:rsidR="00DB706F">
        <w:rPr>
          <w:lang w:val="en-US"/>
        </w:rPr>
        <w:t>n</w:t>
      </w:r>
      <w:r w:rsidR="00DB706F" w:rsidRPr="00DB706F">
        <w:t xml:space="preserve"> = 50</w:t>
      </w:r>
      <w:r w:rsidR="00DB706F">
        <w:t xml:space="preserve">, </w:t>
      </w:r>
      <w:r w:rsidR="00D532D6">
        <w:t xml:space="preserve">возраст 8 недель, масса тела около 200 г) </w:t>
      </w:r>
      <w:r w:rsidR="00DB706F">
        <w:t>в модели адъювантного артрита</w:t>
      </w:r>
      <w:r w:rsidR="00930B3E">
        <w:t xml:space="preserve"> изучили эффекты тофацитиниба. Животных разделили на 3 группы: </w:t>
      </w:r>
      <w:r w:rsidR="00745013">
        <w:t>группу животных, у которых не индуцировали артрит (</w:t>
      </w:r>
      <w:r w:rsidR="00745013">
        <w:rPr>
          <w:lang w:val="en-US"/>
        </w:rPr>
        <w:t>n</w:t>
      </w:r>
      <w:r w:rsidR="00745013" w:rsidRPr="00745013">
        <w:t xml:space="preserve"> = 20)</w:t>
      </w:r>
      <w:r w:rsidR="00745013">
        <w:t>, группу животных с</w:t>
      </w:r>
      <w:r w:rsidR="00044CD2">
        <w:t xml:space="preserve"> индуцированным артритом, получавших </w:t>
      </w:r>
      <w:r w:rsidR="00AF14B0">
        <w:t xml:space="preserve">носитель </w:t>
      </w:r>
      <w:r w:rsidR="00044CD2">
        <w:t>(</w:t>
      </w:r>
      <w:r w:rsidR="00044CD2">
        <w:rPr>
          <w:lang w:val="en-US"/>
        </w:rPr>
        <w:t>n</w:t>
      </w:r>
      <w:r w:rsidR="00044CD2" w:rsidRPr="00745013">
        <w:t xml:space="preserve"> = 20)</w:t>
      </w:r>
      <w:r w:rsidR="00F31B67">
        <w:t>,</w:t>
      </w:r>
      <w:r w:rsidR="00044CD2">
        <w:t xml:space="preserve"> и группу животных с артритом, терапию которых проводили тофацитинибом </w:t>
      </w:r>
      <w:r w:rsidR="005037B4">
        <w:t>внутрижелудочно в дозе 10 мг/кг 2 раза в неделю</w:t>
      </w:r>
      <w:r w:rsidR="00AF14B0">
        <w:t xml:space="preserve">. </w:t>
      </w:r>
      <w:r w:rsidR="001D2965">
        <w:t xml:space="preserve">Лечение начинали через 4 дня после индукции артрита и продолжали до 22 дня после индукции артрита. </w:t>
      </w:r>
      <w:r w:rsidR="006F392A">
        <w:t xml:space="preserve">В ходе наноиндентирования установили, что </w:t>
      </w:r>
      <w:r w:rsidR="00F6304A">
        <w:t>тофацитиниб увеличивал плотность кортикальног</w:t>
      </w:r>
      <w:r w:rsidR="005175E9">
        <w:t xml:space="preserve">о слоя и </w:t>
      </w:r>
      <w:r w:rsidR="00A713F6">
        <w:t>трабекулярной части</w:t>
      </w:r>
      <w:r w:rsidR="00DB706F">
        <w:t xml:space="preserve"> </w:t>
      </w:r>
      <w:r w:rsidR="00BD5F27">
        <w:t>кости</w:t>
      </w:r>
      <w:r w:rsidR="002A454E">
        <w:t>. Однако в ходе микро</w:t>
      </w:r>
      <w:r w:rsidR="004C1949">
        <w:t xml:space="preserve">компьютерной томографии и </w:t>
      </w:r>
      <w:r w:rsidR="00C45F59">
        <w:t xml:space="preserve">испытания на трехточечный изгиб </w:t>
      </w:r>
      <w:r w:rsidR="000A371C">
        <w:t xml:space="preserve">определили, что тофацитиниб не препятствует </w:t>
      </w:r>
      <w:r w:rsidR="00C523EB">
        <w:t>эффектам артрита в отношении плотности кортикального слоя и трабекулярной части кости</w:t>
      </w:r>
      <w:r w:rsidR="00F31B67">
        <w:t>,</w:t>
      </w:r>
      <w:r w:rsidR="000A371C">
        <w:t xml:space="preserve"> </w:t>
      </w:r>
      <w:r w:rsidR="00C523EB">
        <w:t xml:space="preserve">и механических свойств костной ткани </w:t>
      </w:r>
      <w:r w:rsidR="00EC6573">
        <w:rPr>
          <w:lang w:val="en-US"/>
        </w:rPr>
        <w:fldChar w:fldCharType="begin"/>
      </w:r>
      <w:r w:rsidR="00044A89">
        <w:instrText xml:space="preserve"> ADDIN ZOTERO_ITEM CSL_CITATION {"citationID":"QMmRqrMA","properties":{"formattedCitation":"[13]","plainCitation":"[13]","noteIndex":0},"citationItems":[{"id":87766,"uris":["http://zotero.org/groups/4742804/items/D2V79EZB"],"itemData":{"id":87766,"type":"article-journal","container-title":"Rheumatology","issue":"8","note":"publisher: Oxford University Press","page":"1461–1471","source":"Google Scholar","title":"Effects of tofacitinib in early arthritis-induced bone loss in an adjuvant-induced arthritis rat model","volume":"57","author":[{"family":"Vidal","given":"Bruno"},{"family":"Cascão","given":"Rita"},{"family":"Finnilä","given":"Mikko AJ"},{"family":"Lopes","given":"Inês P."},{"family":"Glória","given":"Vânia G.","non-dropping-particle":"da"},{"family":"Saarakkala","given":"Simo"},{"family":"Zioupos","given":"Peter"},{"family":"Canhão","given":"Helena"},{"family":"Fonseca","given":"João Eurico"}],"issued":{"date-parts":[["2018"]]}}}],"schema":"https://github.com/citation-style-language/schema/raw/master/csl-citation.json"} </w:instrText>
      </w:r>
      <w:r w:rsidR="00EC6573">
        <w:rPr>
          <w:lang w:val="en-US"/>
        </w:rPr>
        <w:fldChar w:fldCharType="separate"/>
      </w:r>
      <w:r w:rsidR="00D46D1F">
        <w:rPr>
          <w:rFonts w:cs="Times New Roman"/>
        </w:rPr>
        <w:t>[2</w:t>
      </w:r>
      <w:r w:rsidR="00044A89" w:rsidRPr="00044A89">
        <w:rPr>
          <w:rFonts w:cs="Times New Roman"/>
        </w:rPr>
        <w:t>]</w:t>
      </w:r>
      <w:r w:rsidR="00EC6573">
        <w:rPr>
          <w:lang w:val="en-US"/>
        </w:rPr>
        <w:fldChar w:fldCharType="end"/>
      </w:r>
      <w:r w:rsidR="00C523EB">
        <w:t>.</w:t>
      </w:r>
      <w:r w:rsidR="007D6B85" w:rsidRPr="00DB706F">
        <w:t xml:space="preserve"> </w:t>
      </w:r>
    </w:p>
    <w:p w14:paraId="1B6EAC26" w14:textId="2DE79E76" w:rsidR="0072353F" w:rsidRPr="00BF7987" w:rsidRDefault="0095267B" w:rsidP="00D36ADC">
      <w:pPr>
        <w:pStyle w:val="SDText"/>
        <w:contextualSpacing/>
      </w:pPr>
      <w:r>
        <w:t>На</w:t>
      </w:r>
      <w:r w:rsidR="000862AE" w:rsidRPr="000862AE">
        <w:t xml:space="preserve"> </w:t>
      </w:r>
      <w:r w:rsidR="000862AE">
        <w:t xml:space="preserve">самках крыс линии Левис в модели адъювантного артрита </w:t>
      </w:r>
      <w:r w:rsidR="00763CB3">
        <w:t xml:space="preserve">установили, что </w:t>
      </w:r>
      <w:r w:rsidR="007B7B80">
        <w:t xml:space="preserve">пероральное </w:t>
      </w:r>
      <w:r w:rsidR="00763CB3">
        <w:t>введение таф</w:t>
      </w:r>
      <w:r w:rsidR="007B7B80">
        <w:t>а</w:t>
      </w:r>
      <w:r w:rsidR="00763CB3">
        <w:t xml:space="preserve">цитиниба в дозе 6,2 мг/кг </w:t>
      </w:r>
      <w:r w:rsidR="007B7B80">
        <w:t xml:space="preserve">один раз в день </w:t>
      </w:r>
      <w:r w:rsidR="00670307">
        <w:t xml:space="preserve">с 16 по 23 день после индукции патологии </w:t>
      </w:r>
      <w:r w:rsidR="00F312CC">
        <w:t>приводило к выраженному снижению отека, воспаления и опосредованн</w:t>
      </w:r>
      <w:r w:rsidR="003C71C0">
        <w:t>ой</w:t>
      </w:r>
      <w:r w:rsidR="00F312CC">
        <w:t xml:space="preserve"> остеокластами резорбци</w:t>
      </w:r>
      <w:r w:rsidR="003C71C0">
        <w:t>и</w:t>
      </w:r>
      <w:r w:rsidR="00F312CC">
        <w:t xml:space="preserve"> кост</w:t>
      </w:r>
      <w:r w:rsidR="003C71C0">
        <w:t>ной ткани. Данные эффекты</w:t>
      </w:r>
      <w:r w:rsidR="00F312CC">
        <w:t xml:space="preserve"> коррелировал</w:t>
      </w:r>
      <w:r w:rsidR="003C71C0">
        <w:t>и</w:t>
      </w:r>
      <w:r w:rsidR="00F312CC">
        <w:t xml:space="preserve"> с уменьшением числа клеток CD68/ED-1, CD3 и </w:t>
      </w:r>
      <w:r w:rsidR="00DB2FB2">
        <w:t xml:space="preserve">содержания </w:t>
      </w:r>
      <w:r w:rsidR="00486125" w:rsidRPr="00486125">
        <w:t>лиганд</w:t>
      </w:r>
      <w:r w:rsidR="00DB2FB2">
        <w:t>а</w:t>
      </w:r>
      <w:r w:rsidR="00486125" w:rsidRPr="00486125">
        <w:t xml:space="preserve"> рецептора-активатора ядерного фактора кВ </w:t>
      </w:r>
      <w:r w:rsidR="00F312CC">
        <w:t xml:space="preserve">RANKL в </w:t>
      </w:r>
      <w:r w:rsidR="002A3644">
        <w:t xml:space="preserve">тканях </w:t>
      </w:r>
      <w:r w:rsidR="00F312CC">
        <w:t xml:space="preserve">лап; уровни </w:t>
      </w:r>
      <w:r w:rsidR="00FB1704">
        <w:rPr>
          <w:lang w:val="en-US"/>
        </w:rPr>
        <w:t>IL</w:t>
      </w:r>
      <w:r w:rsidR="00F312CC">
        <w:t>-6 (транскрипт и белок) быстро уменьшались в тканях лапы в течение 4 ч после перво</w:t>
      </w:r>
      <w:r w:rsidR="00A015B2">
        <w:t>го</w:t>
      </w:r>
      <w:r w:rsidR="00F312CC">
        <w:t xml:space="preserve"> </w:t>
      </w:r>
      <w:r w:rsidR="00A015B2">
        <w:t>введения</w:t>
      </w:r>
      <w:r w:rsidR="00F312CC">
        <w:t xml:space="preserve">, тогда как </w:t>
      </w:r>
      <w:r w:rsidR="00A015B2">
        <w:t>у</w:t>
      </w:r>
      <w:r w:rsidR="00F312CC">
        <w:t>ров</w:t>
      </w:r>
      <w:r w:rsidR="00A015B2">
        <w:t>ень</w:t>
      </w:r>
      <w:r w:rsidR="00F312CC">
        <w:t xml:space="preserve"> RANKL снижа</w:t>
      </w:r>
      <w:r w:rsidR="00A015B2">
        <w:t>лся</w:t>
      </w:r>
      <w:r w:rsidR="00F312CC">
        <w:t>. Тофацитиниб не влия</w:t>
      </w:r>
      <w:r w:rsidR="00A015B2">
        <w:t>л на</w:t>
      </w:r>
      <w:r w:rsidR="00F312CC">
        <w:t xml:space="preserve"> дифференцировк</w:t>
      </w:r>
      <w:r w:rsidR="00A015B2">
        <w:t>у</w:t>
      </w:r>
      <w:r w:rsidR="00F312CC">
        <w:t xml:space="preserve"> или функци</w:t>
      </w:r>
      <w:r w:rsidR="00A015B2">
        <w:t>ю</w:t>
      </w:r>
      <w:r w:rsidR="00F312CC">
        <w:t xml:space="preserve"> остеокластов человека, но снижа</w:t>
      </w:r>
      <w:r w:rsidR="000D0099">
        <w:t>л</w:t>
      </w:r>
      <w:r w:rsidR="00F312CC">
        <w:t xml:space="preserve"> продукцию Т</w:t>
      </w:r>
      <w:r w:rsidR="00F312CC" w:rsidRPr="00BF7987">
        <w:t>-</w:t>
      </w:r>
      <w:r w:rsidR="00F312CC">
        <w:t>лимфоцит</w:t>
      </w:r>
      <w:r w:rsidR="000D0099">
        <w:t>ами</w:t>
      </w:r>
      <w:r w:rsidR="00F312CC" w:rsidRPr="00BF7987">
        <w:t xml:space="preserve"> </w:t>
      </w:r>
      <w:r w:rsidR="00F312CC" w:rsidRPr="00F25471">
        <w:rPr>
          <w:lang w:val="en-US"/>
        </w:rPr>
        <w:t>RANKL</w:t>
      </w:r>
      <w:r w:rsidR="00F312CC" w:rsidRPr="00BF7987">
        <w:t xml:space="preserve"> </w:t>
      </w:r>
      <w:r w:rsidR="00F312CC">
        <w:t>зависимым</w:t>
      </w:r>
      <w:r w:rsidR="00F312CC" w:rsidRPr="00BF7987">
        <w:t xml:space="preserve"> </w:t>
      </w:r>
      <w:r w:rsidR="00F312CC">
        <w:t>от</w:t>
      </w:r>
      <w:r w:rsidR="00F312CC" w:rsidRPr="00BF7987">
        <w:t xml:space="preserve"> </w:t>
      </w:r>
      <w:r w:rsidR="00F312CC">
        <w:t>концентрации</w:t>
      </w:r>
      <w:r w:rsidR="00F312CC" w:rsidRPr="00BF7987">
        <w:t xml:space="preserve"> </w:t>
      </w:r>
      <w:r w:rsidR="00F312CC">
        <w:t>образом</w:t>
      </w:r>
      <w:r w:rsidR="00F312CC" w:rsidRPr="00BF7987">
        <w:t xml:space="preserve"> </w:t>
      </w:r>
      <w:r w:rsidR="00796CA4">
        <w:rPr>
          <w:lang w:val="en-US"/>
        </w:rPr>
        <w:fldChar w:fldCharType="begin"/>
      </w:r>
      <w:r w:rsidR="00044A89">
        <w:instrText xml:space="preserve"> ADDIN ZOTERO_ITEM CSL_CITATION {"citationID":"NymrasmB","properties":{"formattedCitation":"[14]","plainCitation":"[14]","noteIndex":0},"citationItems":[{"id":87765,"uris":["http://zotero.org/groups/4742804/items/IAYGC6SU"],"itemData":{"id":87765,"type":"article-journal","container-title":"Arthritis &amp; Rheumatism","issue":"11","note":"publisher: Wiley Online Library","page":"3531–3542","source":"Google Scholar","title":"JAK inhibition with tofacitinib suppresses arthritic joint structural damage through decreased RANKL production","volume":"64","author":[{"family":"LaBranche","given":"Timothy P."},{"family":"Jesson","given":"Michael I."},{"family":"Radi","given":"Zaher A."},{"family":"Storer","given":"Chad E."},{"family":"Guzova","given":"Julia A."},{"family":"Bonar","given":"Sheri L."},{"family":"Thompson","given":"Janice M."},{"family":"Happa","given":"Fernando A."},{"family":"Stewart","given":"Zachary S."},{"family":"Zhan","given":"Yutian"}],"issued":{"date-parts":[["2012"]]}}}],"schema":"https://github.com/citation-style-language/schema/raw/master/csl-citation.json"} </w:instrText>
      </w:r>
      <w:r w:rsidR="00796CA4">
        <w:rPr>
          <w:lang w:val="en-US"/>
        </w:rPr>
        <w:fldChar w:fldCharType="separate"/>
      </w:r>
      <w:r w:rsidR="00D46D1F">
        <w:rPr>
          <w:rFonts w:cs="Times New Roman"/>
        </w:rPr>
        <w:t>[3</w:t>
      </w:r>
      <w:r w:rsidR="00044A89" w:rsidRPr="00044A89">
        <w:rPr>
          <w:rFonts w:cs="Times New Roman"/>
        </w:rPr>
        <w:t>]</w:t>
      </w:r>
      <w:r w:rsidR="00796CA4">
        <w:rPr>
          <w:lang w:val="en-US"/>
        </w:rPr>
        <w:fldChar w:fldCharType="end"/>
      </w:r>
      <w:r w:rsidR="00F312CC" w:rsidRPr="00BF7987">
        <w:t>.</w:t>
      </w:r>
      <w:r w:rsidR="00BE78BB" w:rsidRPr="00BF7987">
        <w:t xml:space="preserve"> </w:t>
      </w:r>
    </w:p>
    <w:p w14:paraId="7CD5F125" w14:textId="15BE8700" w:rsidR="00AF0A2E" w:rsidRPr="00E51E1D" w:rsidRDefault="0095267B" w:rsidP="00D36ADC">
      <w:pPr>
        <w:pStyle w:val="SDText"/>
        <w:contextualSpacing/>
      </w:pPr>
      <w:r>
        <w:t>Н</w:t>
      </w:r>
      <w:r w:rsidR="00D27B6C">
        <w:t xml:space="preserve">а крысах (возраст 7–8 недель) с адъювантным артритом установили, что </w:t>
      </w:r>
      <w:r w:rsidR="002D0FCB">
        <w:t>т</w:t>
      </w:r>
      <w:r w:rsidR="003C39B3">
        <w:t>офацитиниб</w:t>
      </w:r>
      <w:r w:rsidR="00E418C3">
        <w:t>, вводи</w:t>
      </w:r>
      <w:r w:rsidR="003D4ED9">
        <w:t xml:space="preserve">мый внутрижелудочно </w:t>
      </w:r>
      <w:r w:rsidR="00E418C3">
        <w:t xml:space="preserve">в дозе 6,2 мг/кг </w:t>
      </w:r>
      <w:r w:rsidR="003D4ED9">
        <w:t xml:space="preserve">с 7 по 29 дни после индукции заболевания, </w:t>
      </w:r>
      <w:r w:rsidR="003C39B3">
        <w:t xml:space="preserve">заметно </w:t>
      </w:r>
      <w:r w:rsidR="002D0FCB">
        <w:t>улучшал</w:t>
      </w:r>
      <w:r w:rsidR="003C39B3">
        <w:t xml:space="preserve"> клиническое состояние по сравнению с</w:t>
      </w:r>
      <w:r w:rsidR="00E42060">
        <w:t xml:space="preserve"> состоянием у крыс из</w:t>
      </w:r>
      <w:r w:rsidR="003C39B3">
        <w:t xml:space="preserve"> контрольн</w:t>
      </w:r>
      <w:r w:rsidR="00E42060">
        <w:t>ой</w:t>
      </w:r>
      <w:r w:rsidR="003C39B3">
        <w:t xml:space="preserve"> групп</w:t>
      </w:r>
      <w:r w:rsidR="00E42060">
        <w:t>ы, не получавших лечения</w:t>
      </w:r>
      <w:r w:rsidR="003C39B3">
        <w:t xml:space="preserve">. Уменьшение </w:t>
      </w:r>
      <w:r w:rsidR="00E42060">
        <w:t xml:space="preserve">выраженности </w:t>
      </w:r>
      <w:r w:rsidR="003C39B3">
        <w:t xml:space="preserve">воспаления суставов и снижение уровня </w:t>
      </w:r>
      <w:r w:rsidR="00104CC6">
        <w:rPr>
          <w:lang w:val="en-US"/>
        </w:rPr>
        <w:t>C</w:t>
      </w:r>
      <w:r w:rsidR="00104CC6">
        <w:t xml:space="preserve">РБ </w:t>
      </w:r>
      <w:r w:rsidR="003C39B3">
        <w:t xml:space="preserve">в сыворотке </w:t>
      </w:r>
      <w:r w:rsidR="00E42060">
        <w:t>крови коррелировали с</w:t>
      </w:r>
      <w:r w:rsidR="003C39B3">
        <w:t xml:space="preserve"> клинически</w:t>
      </w:r>
      <w:r w:rsidR="00BE33EC">
        <w:t>м</w:t>
      </w:r>
      <w:r w:rsidR="00E42060">
        <w:t>и</w:t>
      </w:r>
      <w:r w:rsidR="003C39B3">
        <w:t xml:space="preserve"> </w:t>
      </w:r>
      <w:r w:rsidR="003C39B3">
        <w:lastRenderedPageBreak/>
        <w:t>проявления</w:t>
      </w:r>
      <w:r w:rsidR="00E42060">
        <w:t>ми</w:t>
      </w:r>
      <w:r w:rsidR="00BE33EC">
        <w:t xml:space="preserve"> у крыс, получавших терапию</w:t>
      </w:r>
      <w:r w:rsidR="003C39B3">
        <w:t xml:space="preserve">. Тофацитиниб </w:t>
      </w:r>
      <w:r w:rsidR="00BE33EC">
        <w:t xml:space="preserve">значительно </w:t>
      </w:r>
      <w:r w:rsidR="004320F2">
        <w:t>снижал количество</w:t>
      </w:r>
      <w:r w:rsidR="003C39B3">
        <w:t xml:space="preserve"> CD4+</w:t>
      </w:r>
      <w:r w:rsidR="00FD117F" w:rsidRPr="00FD117F">
        <w:t xml:space="preserve"> IFN</w:t>
      </w:r>
      <w:r w:rsidR="003C39B3">
        <w:t xml:space="preserve">-γ+ Т-клеток и </w:t>
      </w:r>
      <w:r w:rsidR="004320F2">
        <w:t xml:space="preserve">уровень </w:t>
      </w:r>
      <w:r w:rsidR="003C39B3">
        <w:t xml:space="preserve">мРНК </w:t>
      </w:r>
      <w:r w:rsidR="00FB1704">
        <w:rPr>
          <w:lang w:val="en-US"/>
        </w:rPr>
        <w:t>IL</w:t>
      </w:r>
      <w:r w:rsidR="003C39B3">
        <w:t>-1 в селезенке крыс</w:t>
      </w:r>
      <w:r w:rsidR="00F25471">
        <w:t xml:space="preserve"> </w:t>
      </w:r>
      <w:r w:rsidR="00BE78BB">
        <w:rPr>
          <w:lang w:val="en-US"/>
        </w:rPr>
        <w:fldChar w:fldCharType="begin"/>
      </w:r>
      <w:r w:rsidR="00044A89">
        <w:instrText xml:space="preserve"> ADDIN ZOTERO_ITEM CSL_CITATION {"citationID":"p1HpCg3l","properties":{"formattedCitation":"[15]","plainCitation":"[15]","noteIndex":0},"citationItems":[{"id":87763,"uris":["http://zotero.org/groups/4742804/items/7JXTF94G"],"itemData":{"id":87763,"type":"article-journal","abstract":"Rheumatoid arthritis (RA) is an autoimmune disease characterized by pronounced inflammation and leukocyte infiltration in affected joints. Tofacitinib is new agent, a selective inhibitor of Janus kinase (JAK) signaling pathways mediated by JAK1 and JAK3 and inhibits the key transcription factors STAT1 and STAT3. We investigated the action mechanisms of tofacitinib in rats with adjuvant-induced-arthritis (AIA). AIA-rats were treated orally with tofacitinib or with methotrexate. Arthritis severity and serum C-reactive protein (CRP) levels were evaluated, splenic cells were examined by flow cytometry and cytokines were analyzed by real-time PCR. Tofacitinib markedly reduced the clinical status of treated rats in comparison to control group. Reduced joints inflammation and down-regulated serum CRP levels reflected the clinical manifestations of the treated rats. Tofacitinib down-regulated significantly the frequency of CD4+IFN-γ+ T cells and reduced IL-1β mRNA expression levels in the spleen of the treated rats. These results show that tofacitinib attenuated arthritis severity, modified splenic populations and cytokine imbalance.","collection-title":"Special issue:Immune regulation","container-title":"Clinical Immunology","DOI":"10.1016/j.clim.2017.04.015","ISSN":"1521-6616","journalAbbreviation":"Clinical Immunology","language":"en","page":"77-81","source":"ScienceDirect","title":"Tofacitinib attenuates arthritis manifestations and reduces the pathogenic CD4 T cells in adjuvant arthritis rats","volume":"184","author":[{"family":"Gertel","given":"Smadar"},{"family":"Mahagna","given":"Hussein"},{"family":"Karmon","given":"Gidi"},{"family":"Watad","given":"Abdulla"},{"family":"Amital","given":"Howard"}],"issued":{"date-parts":[["2017",11,1]]}}}],"schema":"https://github.com/citation-style-language/schema/raw/master/csl-citation.json"} </w:instrText>
      </w:r>
      <w:r w:rsidR="00BE78BB">
        <w:rPr>
          <w:lang w:val="en-US"/>
        </w:rPr>
        <w:fldChar w:fldCharType="separate"/>
      </w:r>
      <w:r w:rsidR="00D46D1F">
        <w:rPr>
          <w:rFonts w:cs="Times New Roman"/>
        </w:rPr>
        <w:t>[4</w:t>
      </w:r>
      <w:r w:rsidR="00044A89" w:rsidRPr="00044A89">
        <w:rPr>
          <w:rFonts w:cs="Times New Roman"/>
        </w:rPr>
        <w:t>]</w:t>
      </w:r>
      <w:r w:rsidR="00BE78BB">
        <w:rPr>
          <w:lang w:val="en-US"/>
        </w:rPr>
        <w:fldChar w:fldCharType="end"/>
      </w:r>
      <w:r w:rsidR="00E51E1D">
        <w:t>.</w:t>
      </w:r>
    </w:p>
    <w:p w14:paraId="60E4F5E2" w14:textId="577B4CAA" w:rsidR="00E654FD" w:rsidRPr="00D36ADC" w:rsidRDefault="00D62B3D" w:rsidP="00D62B3D">
      <w:pPr>
        <w:pStyle w:val="3"/>
        <w:numPr>
          <w:ilvl w:val="0"/>
          <w:numId w:val="0"/>
        </w:numPr>
        <w:ind w:left="720" w:hanging="720"/>
      </w:pPr>
      <w:bookmarkStart w:id="99" w:name="_Toc115421033"/>
      <w:bookmarkStart w:id="100" w:name="_Toc121592566"/>
      <w:r>
        <w:t xml:space="preserve">3.1.3. </w:t>
      </w:r>
      <w:r w:rsidR="00E654FD" w:rsidRPr="00D36ADC">
        <w:t>Вторичная фармакодинамика</w:t>
      </w:r>
      <w:bookmarkEnd w:id="99"/>
      <w:bookmarkEnd w:id="100"/>
      <w:r w:rsidR="00E654FD" w:rsidRPr="00D36ADC">
        <w:t xml:space="preserve"> </w:t>
      </w:r>
    </w:p>
    <w:p w14:paraId="28AD4D79" w14:textId="77777777" w:rsidR="00BD2318" w:rsidRDefault="00BD2318" w:rsidP="00D36ADC">
      <w:pPr>
        <w:pStyle w:val="SDText"/>
        <w:contextualSpacing/>
      </w:pPr>
    </w:p>
    <w:p w14:paraId="019B460D" w14:textId="21F5296A" w:rsidR="00A202AD" w:rsidRDefault="00A202AD" w:rsidP="00D36ADC">
      <w:pPr>
        <w:pStyle w:val="SDText"/>
        <w:contextualSpacing/>
      </w:pPr>
      <w:r>
        <w:t xml:space="preserve">Было показано, что ингибирование сигнального пути JAK2 ответственно за гематологические изменения (снижение количества ретикулоцитов на 33% после 2-дневного </w:t>
      </w:r>
      <w:r w:rsidR="00872C6F">
        <w:t>перорального введения</w:t>
      </w:r>
      <w:r>
        <w:t xml:space="preserve"> </w:t>
      </w:r>
      <w:r w:rsidR="00872C6F">
        <w:t xml:space="preserve">в дозе </w:t>
      </w:r>
      <w:r>
        <w:t xml:space="preserve">5 мг/кг, что соответствует </w:t>
      </w:r>
      <w:r w:rsidR="00872C6F">
        <w:t xml:space="preserve">дозе, </w:t>
      </w:r>
      <w:r>
        <w:t xml:space="preserve">примерно в 6 раз </w:t>
      </w:r>
      <w:r w:rsidR="00872C6F">
        <w:t xml:space="preserve">выше используемой </w:t>
      </w:r>
      <w:r>
        <w:t xml:space="preserve">у человека) у обезьян, получавших </w:t>
      </w:r>
      <w:r w:rsidR="003400E5">
        <w:t xml:space="preserve">эритропоэтин </w:t>
      </w:r>
      <w:bookmarkStart w:id="101" w:name="_Hlk117597066"/>
      <w:r w:rsidR="003400E5">
        <w:fldChar w:fldCharType="begin"/>
      </w:r>
      <w:r w:rsidR="00044A89">
        <w:instrText xml:space="preserve"> ADDIN ZOTERO_ITEM CSL_CITATION {"citationID":"cUMQwDVC","properties":{"formattedCitation":"[21]","plainCitation":"[21]","noteIndex":0},"citationItems":[{"id":91153,"uris":["http://zotero.org/groups/4742804/items/UAUYPBRD"],"itemData":{"id":91153,"type":"webpage","title":"Xeljanz.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3400E5">
        <w:fldChar w:fldCharType="separate"/>
      </w:r>
      <w:r w:rsidR="00D46D1F">
        <w:rPr>
          <w:rFonts w:cs="Times New Roman"/>
        </w:rPr>
        <w:t>[10</w:t>
      </w:r>
      <w:r w:rsidR="00044A89" w:rsidRPr="00044A89">
        <w:rPr>
          <w:rFonts w:cs="Times New Roman"/>
        </w:rPr>
        <w:t>]</w:t>
      </w:r>
      <w:r w:rsidR="003400E5">
        <w:fldChar w:fldCharType="end"/>
      </w:r>
      <w:r>
        <w:t>.</w:t>
      </w:r>
      <w:bookmarkEnd w:id="101"/>
    </w:p>
    <w:p w14:paraId="0590660B" w14:textId="739CF9E5" w:rsidR="000F000D" w:rsidRPr="00C24818" w:rsidRDefault="00C022A5" w:rsidP="00D36ADC">
      <w:pPr>
        <w:pStyle w:val="SDText"/>
        <w:contextualSpacing/>
      </w:pPr>
      <w:r w:rsidRPr="00C022A5">
        <w:t>В</w:t>
      </w:r>
      <w:r w:rsidR="00070D5A">
        <w:t xml:space="preserve"> ходе </w:t>
      </w:r>
      <w:r w:rsidRPr="00C022A5">
        <w:t>исследовани</w:t>
      </w:r>
      <w:r w:rsidR="00070D5A">
        <w:t>й</w:t>
      </w:r>
      <w:r w:rsidRPr="00C022A5">
        <w:t xml:space="preserve"> </w:t>
      </w:r>
      <w:r w:rsidR="00070D5A">
        <w:t>в</w:t>
      </w:r>
      <w:r w:rsidR="00070D5A" w:rsidRPr="00C022A5">
        <w:t>торичн</w:t>
      </w:r>
      <w:r w:rsidR="00315BE4">
        <w:t>ой</w:t>
      </w:r>
      <w:r w:rsidR="00070D5A" w:rsidRPr="00C022A5">
        <w:t xml:space="preserve"> фармакодинами</w:t>
      </w:r>
      <w:r w:rsidR="00315BE4">
        <w:t>ки</w:t>
      </w:r>
      <w:r w:rsidR="00070D5A" w:rsidRPr="00C022A5">
        <w:t xml:space="preserve"> </w:t>
      </w:r>
      <w:r w:rsidRPr="00C022A5">
        <w:t xml:space="preserve">оценивали связывание и активность </w:t>
      </w:r>
      <w:r w:rsidR="00D9778C" w:rsidRPr="00D9778C">
        <w:t>тофацитиниба</w:t>
      </w:r>
      <w:r>
        <w:t xml:space="preserve"> </w:t>
      </w:r>
      <w:r w:rsidR="00315BE4">
        <w:t>в отношении</w:t>
      </w:r>
      <w:r w:rsidRPr="00C022A5">
        <w:t xml:space="preserve"> </w:t>
      </w:r>
      <w:r w:rsidR="004474C8">
        <w:t>ряда</w:t>
      </w:r>
      <w:r w:rsidRPr="00C022A5">
        <w:t xml:space="preserve"> рецепторов, ионных каналов и ферментов. </w:t>
      </w:r>
      <w:r w:rsidR="004474C8">
        <w:t>З</w:t>
      </w:r>
      <w:r w:rsidR="004474C8" w:rsidRPr="00C022A5">
        <w:t>начительно</w:t>
      </w:r>
      <w:r w:rsidR="004474C8">
        <w:t>го</w:t>
      </w:r>
      <w:r w:rsidR="004474C8" w:rsidRPr="00C022A5">
        <w:t xml:space="preserve"> связывани</w:t>
      </w:r>
      <w:r w:rsidR="004474C8">
        <w:t>я</w:t>
      </w:r>
      <w:r w:rsidR="004474C8" w:rsidRPr="00C022A5">
        <w:t xml:space="preserve"> и активност</w:t>
      </w:r>
      <w:r w:rsidR="004474C8">
        <w:t>и</w:t>
      </w:r>
      <w:r w:rsidR="004474C8" w:rsidRPr="00C022A5">
        <w:t xml:space="preserve"> </w:t>
      </w:r>
      <w:r w:rsidR="00D9778C" w:rsidRPr="00D9778C">
        <w:t>тофацитиниба</w:t>
      </w:r>
      <w:r w:rsidR="004474C8" w:rsidRPr="00C022A5">
        <w:t xml:space="preserve"> </w:t>
      </w:r>
      <w:r w:rsidR="004474C8">
        <w:t xml:space="preserve">в отношении </w:t>
      </w:r>
      <w:r w:rsidR="004474C8" w:rsidRPr="00C022A5">
        <w:t>этих соединений</w:t>
      </w:r>
      <w:r w:rsidR="004474C8" w:rsidRPr="004474C8">
        <w:t xml:space="preserve"> </w:t>
      </w:r>
      <w:r w:rsidR="004474C8">
        <w:t>не выявили</w:t>
      </w:r>
      <w:r w:rsidRPr="00C022A5">
        <w:t xml:space="preserve">. </w:t>
      </w:r>
      <w:r w:rsidR="001C675D">
        <w:t>Эффекты</w:t>
      </w:r>
      <w:r w:rsidRPr="00C022A5">
        <w:t xml:space="preserve"> </w:t>
      </w:r>
      <w:r w:rsidR="00D9778C" w:rsidRPr="00AB1531">
        <w:t xml:space="preserve">тофацитиниба </w:t>
      </w:r>
      <w:r w:rsidRPr="00C022A5">
        <w:t>был</w:t>
      </w:r>
      <w:r w:rsidR="001C675D">
        <w:t xml:space="preserve">и высокоселективными </w:t>
      </w:r>
      <w:r w:rsidRPr="00C022A5">
        <w:t xml:space="preserve">для семейства </w:t>
      </w:r>
      <w:r w:rsidR="001C675D" w:rsidRPr="00C022A5">
        <w:rPr>
          <w:lang w:val="en-US"/>
        </w:rPr>
        <w:t>JAK</w:t>
      </w:r>
      <w:r w:rsidR="00AE7F35">
        <w:t xml:space="preserve">, тофацитиниб </w:t>
      </w:r>
      <w:r w:rsidRPr="00C022A5">
        <w:t xml:space="preserve">не влиял на активность </w:t>
      </w:r>
      <w:r w:rsidR="00AE7F35" w:rsidRPr="00C022A5">
        <w:t xml:space="preserve">киназ </w:t>
      </w:r>
      <w:r w:rsidRPr="00C022A5">
        <w:t xml:space="preserve">других классов. </w:t>
      </w:r>
      <w:r w:rsidR="003225A2">
        <w:t>В ходе скрининга обнаружили несколько</w:t>
      </w:r>
      <w:r w:rsidR="00C24818">
        <w:t xml:space="preserve"> </w:t>
      </w:r>
      <w:r w:rsidR="007E2EAE">
        <w:t>рецепторов и ферментов,</w:t>
      </w:r>
      <w:r w:rsidRPr="00C022A5">
        <w:t xml:space="preserve"> </w:t>
      </w:r>
      <w:r w:rsidR="007E2EAE">
        <w:t>в отношении которых</w:t>
      </w:r>
      <w:r w:rsidRPr="00C022A5">
        <w:t xml:space="preserve"> СР-690550 обладал значительной активностью </w:t>
      </w:r>
      <w:r w:rsidRPr="00C24818">
        <w:t xml:space="preserve">(ингибирование </w:t>
      </w:r>
      <w:r w:rsidR="007E2EAE">
        <w:t xml:space="preserve">на </w:t>
      </w:r>
      <w:r w:rsidRPr="00C24818">
        <w:t>&gt;</w:t>
      </w:r>
      <w:r w:rsidR="007E2EAE">
        <w:t xml:space="preserve"> </w:t>
      </w:r>
      <w:r w:rsidRPr="00C24818">
        <w:t>50%)</w:t>
      </w:r>
      <w:r w:rsidR="007E2EAE">
        <w:t>:</w:t>
      </w:r>
      <w:r w:rsidRPr="00C022A5">
        <w:t xml:space="preserve"> рецептор мелатонин</w:t>
      </w:r>
      <w:r w:rsidR="007E2EAE">
        <w:t>а</w:t>
      </w:r>
      <w:r w:rsidRPr="00C022A5">
        <w:t xml:space="preserve"> </w:t>
      </w:r>
      <w:r w:rsidR="00885574">
        <w:t xml:space="preserve">3 </w:t>
      </w:r>
      <w:r w:rsidR="007E2EAE">
        <w:t>(</w:t>
      </w:r>
      <w:r w:rsidR="00B10599" w:rsidRPr="00B10599">
        <w:t>Melatonin 3 receptor</w:t>
      </w:r>
      <w:r w:rsidR="00B10599">
        <w:t>,</w:t>
      </w:r>
      <w:r w:rsidR="00B10599" w:rsidRPr="00B10599">
        <w:t xml:space="preserve"> </w:t>
      </w:r>
      <w:r w:rsidR="007E2EAE" w:rsidRPr="00C022A5">
        <w:rPr>
          <w:lang w:val="en-US"/>
        </w:rPr>
        <w:t>MT</w:t>
      </w:r>
      <w:r w:rsidR="007E2EAE" w:rsidRPr="00885574">
        <w:rPr>
          <w:vertAlign w:val="subscript"/>
        </w:rPr>
        <w:t>3</w:t>
      </w:r>
      <w:r w:rsidRPr="00C022A5">
        <w:t>)</w:t>
      </w:r>
      <w:r w:rsidR="00A7464E">
        <w:t xml:space="preserve"> с </w:t>
      </w:r>
      <w:r w:rsidR="00B10599">
        <w:t>констант</w:t>
      </w:r>
      <w:r w:rsidR="00A7464E">
        <w:t>ой</w:t>
      </w:r>
      <w:r w:rsidR="00B10599">
        <w:t xml:space="preserve"> ингибирования </w:t>
      </w:r>
      <w:r w:rsidR="00A7464E">
        <w:rPr>
          <w:rFonts w:cs="Times New Roman"/>
        </w:rPr>
        <w:t>(</w:t>
      </w:r>
      <w:r w:rsidR="00A7464E">
        <w:rPr>
          <w:lang w:val="en-US"/>
        </w:rPr>
        <w:t>K</w:t>
      </w:r>
      <w:r w:rsidRPr="00A7464E">
        <w:rPr>
          <w:vertAlign w:val="subscript"/>
          <w:lang w:val="en-US"/>
        </w:rPr>
        <w:t>i</w:t>
      </w:r>
      <w:r w:rsidR="00A7464E">
        <w:rPr>
          <w:rFonts w:cs="Times New Roman"/>
        </w:rPr>
        <w:t>), равной</w:t>
      </w:r>
      <w:r w:rsidRPr="00C022A5">
        <w:t xml:space="preserve"> 5,2 мк</w:t>
      </w:r>
      <w:r w:rsidR="00B10599">
        <w:t>моль</w:t>
      </w:r>
      <w:r w:rsidR="00D4259F">
        <w:t>/л</w:t>
      </w:r>
      <w:r w:rsidR="00A7464E">
        <w:t>,</w:t>
      </w:r>
      <w:r w:rsidRPr="00C022A5">
        <w:t xml:space="preserve"> </w:t>
      </w:r>
      <w:r w:rsidR="00D4259F" w:rsidRPr="00C022A5">
        <w:t xml:space="preserve">рецептор фактора роста </w:t>
      </w:r>
      <w:r w:rsidR="00B26DF6" w:rsidRPr="00C022A5">
        <w:t>сосудис</w:t>
      </w:r>
      <w:r w:rsidR="00B26DF6">
        <w:t xml:space="preserve">того эндотелия </w:t>
      </w:r>
      <w:r w:rsidR="00D4259F" w:rsidRPr="00C022A5">
        <w:t>1</w:t>
      </w:r>
      <w:r w:rsidR="00B26DF6">
        <w:t xml:space="preserve"> (</w:t>
      </w:r>
      <w:r w:rsidR="00A7464E" w:rsidRPr="00A7464E">
        <w:t>vascular endothelial growth factor receptor</w:t>
      </w:r>
      <w:r w:rsidR="00A7464E">
        <w:t xml:space="preserve"> 1,</w:t>
      </w:r>
      <w:r w:rsidR="00A7464E" w:rsidRPr="00A7464E">
        <w:t xml:space="preserve"> </w:t>
      </w:r>
      <w:r w:rsidRPr="00C022A5">
        <w:rPr>
          <w:lang w:val="en-US"/>
        </w:rPr>
        <w:t>VEGFR</w:t>
      </w:r>
      <w:r w:rsidRPr="00C022A5">
        <w:t>1</w:t>
      </w:r>
      <w:r w:rsidR="00A7464E">
        <w:t>)</w:t>
      </w:r>
      <w:r w:rsidRPr="00C022A5">
        <w:t xml:space="preserve"> </w:t>
      </w:r>
      <w:r w:rsidR="00A7464E">
        <w:t xml:space="preserve">с </w:t>
      </w:r>
      <w:r w:rsidRPr="00C022A5">
        <w:rPr>
          <w:lang w:val="en-US"/>
        </w:rPr>
        <w:t>K</w:t>
      </w:r>
      <w:r w:rsidRPr="00A7464E">
        <w:rPr>
          <w:vertAlign w:val="subscript"/>
          <w:lang w:val="en-US"/>
        </w:rPr>
        <w:t>i</w:t>
      </w:r>
      <w:r w:rsidR="00A7464E">
        <w:t>, равной</w:t>
      </w:r>
      <w:r w:rsidRPr="00C022A5">
        <w:t xml:space="preserve"> 3,7 мк</w:t>
      </w:r>
      <w:r w:rsidR="00A7464E">
        <w:t>моль/л</w:t>
      </w:r>
      <w:r w:rsidRPr="00C022A5">
        <w:t xml:space="preserve">, </w:t>
      </w:r>
      <w:r w:rsidR="00A7464E" w:rsidRPr="00C022A5">
        <w:t>кальмодулинзависим</w:t>
      </w:r>
      <w:r w:rsidR="00F31B67">
        <w:t>ая</w:t>
      </w:r>
      <w:r w:rsidR="00A7464E" w:rsidRPr="00C022A5">
        <w:t xml:space="preserve"> </w:t>
      </w:r>
      <w:r w:rsidR="00B83826">
        <w:t>протеин</w:t>
      </w:r>
      <w:r w:rsidR="00A7464E" w:rsidRPr="00C022A5">
        <w:t>киназа 2</w:t>
      </w:r>
      <w:r w:rsidR="00A7464E" w:rsidRPr="00C022A5">
        <w:rPr>
          <w:lang w:val="en-US"/>
        </w:rPr>
        <w:t>α</w:t>
      </w:r>
      <w:r w:rsidR="00A7464E" w:rsidRPr="00C022A5">
        <w:t xml:space="preserve"> </w:t>
      </w:r>
      <w:r w:rsidR="00A7464E">
        <w:t>(</w:t>
      </w:r>
      <w:r w:rsidR="00B83826">
        <w:t>calmodulin dependent protein kinase 2α,</w:t>
      </w:r>
      <w:r w:rsidR="00B83826" w:rsidRPr="00B83826">
        <w:t xml:space="preserve"> </w:t>
      </w:r>
      <w:r w:rsidRPr="00C022A5">
        <w:rPr>
          <w:lang w:val="en-US"/>
        </w:rPr>
        <w:t>CaMK</w:t>
      </w:r>
      <w:r w:rsidRPr="00C022A5">
        <w:t>2</w:t>
      </w:r>
      <w:r w:rsidRPr="00C022A5">
        <w:rPr>
          <w:lang w:val="en-US"/>
        </w:rPr>
        <w:t>α</w:t>
      </w:r>
      <w:r w:rsidR="00A7464E">
        <w:t xml:space="preserve">) с </w:t>
      </w:r>
      <w:r w:rsidRPr="00C022A5">
        <w:rPr>
          <w:lang w:val="en-US"/>
        </w:rPr>
        <w:t>K</w:t>
      </w:r>
      <w:r w:rsidRPr="00A7464E">
        <w:rPr>
          <w:vertAlign w:val="subscript"/>
          <w:lang w:val="en-US"/>
        </w:rPr>
        <w:t>i</w:t>
      </w:r>
      <w:r w:rsidR="00A7464E">
        <w:t>, равной</w:t>
      </w:r>
      <w:r w:rsidRPr="00C022A5">
        <w:t xml:space="preserve"> 12 мк</w:t>
      </w:r>
      <w:r w:rsidR="00A7464E">
        <w:t>моль/л</w:t>
      </w:r>
      <w:r w:rsidR="00F31B67">
        <w:t>,</w:t>
      </w:r>
      <w:r w:rsidRPr="00C022A5">
        <w:t xml:space="preserve"> и киназа </w:t>
      </w:r>
      <w:r w:rsidRPr="00C022A5">
        <w:rPr>
          <w:lang w:val="en-US"/>
        </w:rPr>
        <w:t>Lyn</w:t>
      </w:r>
      <w:r w:rsidRPr="00C022A5">
        <w:t xml:space="preserve"> </w:t>
      </w:r>
      <w:r w:rsidRPr="00C022A5">
        <w:rPr>
          <w:lang w:val="en-US"/>
        </w:rPr>
        <w:t>A</w:t>
      </w:r>
      <w:r w:rsidRPr="00C022A5">
        <w:t xml:space="preserve"> </w:t>
      </w:r>
      <w:r w:rsidR="00A7464E">
        <w:t xml:space="preserve">с </w:t>
      </w:r>
      <w:r w:rsidRPr="00C022A5">
        <w:rPr>
          <w:lang w:val="en-US"/>
        </w:rPr>
        <w:t>K</w:t>
      </w:r>
      <w:r w:rsidRPr="00A7464E">
        <w:rPr>
          <w:vertAlign w:val="subscript"/>
          <w:lang w:val="en-US"/>
        </w:rPr>
        <w:t>i</w:t>
      </w:r>
      <w:r w:rsidR="00A7464E">
        <w:t>, равной</w:t>
      </w:r>
      <w:r w:rsidRPr="00C022A5">
        <w:t xml:space="preserve"> 2,3 мк</w:t>
      </w:r>
      <w:r w:rsidR="00A7464E">
        <w:t>моль/л</w:t>
      </w:r>
      <w:r w:rsidRPr="00C022A5">
        <w:t xml:space="preserve"> </w:t>
      </w:r>
      <w:r w:rsidR="000F000D">
        <w:rPr>
          <w:lang w:val="en-US"/>
        </w:rPr>
        <w:fldChar w:fldCharType="begin"/>
      </w:r>
      <w:r w:rsidR="00044A89">
        <w:instrText xml:space="preserve"> ADDIN ZOTERO_ITEM CSL_CITATION {"citationID":"qcHP2vVr","properties":{"formattedCitation":"[12]","plainCitation":"[12]","noteIndex":0},"citationItems":[{"id":87803,"uris":["http://zotero.org/groups/4742804/items/DMZ5DFPG"],"itemData":{"id":87803,"type":"webpage","title":"Xeljanz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0F000D">
        <w:rPr>
          <w:lang w:val="en-US"/>
        </w:rPr>
        <w:fldChar w:fldCharType="separate"/>
      </w:r>
      <w:r w:rsidR="00D46D1F">
        <w:rPr>
          <w:rFonts w:cs="Times New Roman"/>
        </w:rPr>
        <w:t>[1</w:t>
      </w:r>
      <w:r w:rsidR="00044A89" w:rsidRPr="00044A89">
        <w:rPr>
          <w:rFonts w:cs="Times New Roman"/>
        </w:rPr>
        <w:t>]</w:t>
      </w:r>
      <w:r w:rsidR="000F000D">
        <w:rPr>
          <w:lang w:val="en-US"/>
        </w:rPr>
        <w:fldChar w:fldCharType="end"/>
      </w:r>
      <w:r w:rsidR="00C24818">
        <w:t>.</w:t>
      </w:r>
    </w:p>
    <w:p w14:paraId="499FC618" w14:textId="71F6C767" w:rsidR="00E654FD" w:rsidRPr="00E654FD" w:rsidRDefault="00070D5A" w:rsidP="00D36ADC">
      <w:pPr>
        <w:pStyle w:val="SDText"/>
        <w:contextualSpacing/>
      </w:pPr>
      <w:r>
        <w:t xml:space="preserve">Следует отметить, что активность VEGFR1 опосредована передачей сигналов тирозинкиназой </w:t>
      </w:r>
      <w:r w:rsidR="003628E6">
        <w:t xml:space="preserve">и </w:t>
      </w:r>
      <w:r>
        <w:t>необходим</w:t>
      </w:r>
      <w:r w:rsidR="003628E6">
        <w:t>а</w:t>
      </w:r>
      <w:r>
        <w:t xml:space="preserve"> для поддержания целостности сосудов. В </w:t>
      </w:r>
      <w:r w:rsidR="00765210">
        <w:t xml:space="preserve">ходе исследований острой токсичности в </w:t>
      </w:r>
      <w:r>
        <w:t xml:space="preserve">начальной ранней </w:t>
      </w:r>
      <w:r w:rsidR="00765210">
        <w:t>фазе разработки при введении</w:t>
      </w:r>
      <w:r>
        <w:t xml:space="preserve"> в дозе до 2000 мг/кг </w:t>
      </w:r>
      <w:r w:rsidR="00765210">
        <w:t xml:space="preserve">регистрировали </w:t>
      </w:r>
      <w:r>
        <w:t xml:space="preserve">внутреннее кровоизлияние в </w:t>
      </w:r>
      <w:r w:rsidR="00DA2C8F">
        <w:t>ЖКТ</w:t>
      </w:r>
      <w:r>
        <w:t xml:space="preserve"> </w:t>
      </w:r>
      <w:r w:rsidR="00D537E2">
        <w:t xml:space="preserve">и </w:t>
      </w:r>
      <w:r w:rsidR="00DA2C8F">
        <w:t>легких</w:t>
      </w:r>
      <w:r>
        <w:t xml:space="preserve">, </w:t>
      </w:r>
      <w:r w:rsidR="00DA2C8F">
        <w:t xml:space="preserve">которое, </w:t>
      </w:r>
      <w:r>
        <w:t xml:space="preserve">вероятно, </w:t>
      </w:r>
      <w:r w:rsidR="00DA2C8F">
        <w:t xml:space="preserve">явилось </w:t>
      </w:r>
      <w:r>
        <w:t xml:space="preserve">причиной </w:t>
      </w:r>
      <w:r w:rsidR="00DA2C8F">
        <w:t>гибели</w:t>
      </w:r>
      <w:r>
        <w:t xml:space="preserve">. В </w:t>
      </w:r>
      <w:r w:rsidR="00DA2C8F">
        <w:t xml:space="preserve">ходе </w:t>
      </w:r>
      <w:r>
        <w:t>6-месячн</w:t>
      </w:r>
      <w:r w:rsidR="00DA2C8F">
        <w:t>ого</w:t>
      </w:r>
      <w:r>
        <w:t xml:space="preserve"> исследовани</w:t>
      </w:r>
      <w:r w:rsidR="00DA2C8F">
        <w:t>я</w:t>
      </w:r>
      <w:r>
        <w:t xml:space="preserve"> на крысах при значительно более низких дозах ≤</w:t>
      </w:r>
      <w:r w:rsidR="00DA2C8F">
        <w:t xml:space="preserve"> </w:t>
      </w:r>
      <w:r>
        <w:t xml:space="preserve">100 мг/кг </w:t>
      </w:r>
      <w:r w:rsidR="00375799">
        <w:t>наблюдали нечастые и</w:t>
      </w:r>
      <w:r>
        <w:t xml:space="preserve"> не дозозависимые случаи кровоизлияния, </w:t>
      </w:r>
      <w:r w:rsidR="00E66757">
        <w:t>ассоциированные</w:t>
      </w:r>
      <w:r>
        <w:t xml:space="preserve"> с атрофией лимфоидных органов (лимфатические узлы, тимус), а также печен</w:t>
      </w:r>
      <w:r w:rsidR="00B44B9F">
        <w:t>и</w:t>
      </w:r>
      <w:r>
        <w:t xml:space="preserve"> и легки</w:t>
      </w:r>
      <w:r w:rsidR="00B44B9F">
        <w:t>х</w:t>
      </w:r>
      <w:r>
        <w:t xml:space="preserve">. </w:t>
      </w:r>
      <w:r w:rsidR="00E66757">
        <w:t>В отчетах эти случаи регистрировали как</w:t>
      </w:r>
      <w:r>
        <w:t xml:space="preserve"> необъяснимые находки, </w:t>
      </w:r>
      <w:r w:rsidR="00965F75">
        <w:t>которые могли быть связаны с</w:t>
      </w:r>
      <w:r>
        <w:t xml:space="preserve"> ослаблением целостности сосудистой </w:t>
      </w:r>
      <w:r w:rsidR="00965F75">
        <w:t>стенки</w:t>
      </w:r>
      <w:r>
        <w:t xml:space="preserve">, </w:t>
      </w:r>
      <w:r w:rsidR="00965F75">
        <w:t>обусловленным</w:t>
      </w:r>
      <w:r>
        <w:t xml:space="preserve"> истощени</w:t>
      </w:r>
      <w:r w:rsidR="00965F75">
        <w:t>ем</w:t>
      </w:r>
      <w:r>
        <w:t xml:space="preserve"> клеток, анокси</w:t>
      </w:r>
      <w:r w:rsidR="005B5C3E">
        <w:t>ей</w:t>
      </w:r>
      <w:r>
        <w:t xml:space="preserve"> и атрофи</w:t>
      </w:r>
      <w:r w:rsidR="005B5C3E">
        <w:t>ей</w:t>
      </w:r>
      <w:r>
        <w:t xml:space="preserve"> органов в результате ингибирования </w:t>
      </w:r>
      <w:r w:rsidR="00AB1531" w:rsidRPr="00AB1531">
        <w:t>тофацитиниб</w:t>
      </w:r>
      <w:r w:rsidR="00AB1531">
        <w:t xml:space="preserve">ом </w:t>
      </w:r>
      <w:r>
        <w:t>активности VEGFR1</w:t>
      </w:r>
      <w:r w:rsidR="00D537E2">
        <w:t xml:space="preserve"> </w:t>
      </w:r>
      <w:r w:rsidR="00D537E2">
        <w:rPr>
          <w:lang w:val="en-US"/>
        </w:rPr>
        <w:fldChar w:fldCharType="begin"/>
      </w:r>
      <w:r w:rsidR="00044A89">
        <w:instrText xml:space="preserve"> ADDIN ZOTERO_ITEM CSL_CITATION {"citationID":"3Lue3476","properties":{"formattedCitation":"[12]","plainCitation":"[12]","noteIndex":0},"citationItems":[{"id":87803,"uris":["http://zotero.org/groups/4742804/items/DMZ5DFPG"],"itemData":{"id":87803,"type":"webpage","title":"Xeljanz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537E2">
        <w:rPr>
          <w:lang w:val="en-US"/>
        </w:rPr>
        <w:fldChar w:fldCharType="separate"/>
      </w:r>
      <w:r w:rsidR="00D46D1F">
        <w:rPr>
          <w:rFonts w:cs="Times New Roman"/>
        </w:rPr>
        <w:t>[1</w:t>
      </w:r>
      <w:r w:rsidR="00044A89" w:rsidRPr="00044A89">
        <w:rPr>
          <w:rFonts w:cs="Times New Roman"/>
        </w:rPr>
        <w:t>]</w:t>
      </w:r>
      <w:r w:rsidR="00D537E2">
        <w:rPr>
          <w:lang w:val="en-US"/>
        </w:rPr>
        <w:fldChar w:fldCharType="end"/>
      </w:r>
      <w:r w:rsidR="00D537E2">
        <w:t>.</w:t>
      </w:r>
    </w:p>
    <w:p w14:paraId="693F6BBF" w14:textId="73C36D59" w:rsidR="00E654FD" w:rsidRPr="00D36ADC" w:rsidRDefault="00D62B3D" w:rsidP="00D62B3D">
      <w:pPr>
        <w:pStyle w:val="3"/>
        <w:numPr>
          <w:ilvl w:val="0"/>
          <w:numId w:val="0"/>
        </w:numPr>
        <w:ind w:left="720" w:hanging="720"/>
      </w:pPr>
      <w:bookmarkStart w:id="102" w:name="_Toc115421034"/>
      <w:bookmarkStart w:id="103" w:name="_Toc121592567"/>
      <w:r>
        <w:t xml:space="preserve">3.1.4. </w:t>
      </w:r>
      <w:r w:rsidR="001C5F7B" w:rsidRPr="00D36ADC">
        <w:t>Фармакологическая безопасность</w:t>
      </w:r>
      <w:bookmarkEnd w:id="102"/>
      <w:bookmarkEnd w:id="103"/>
    </w:p>
    <w:p w14:paraId="1B81DA93" w14:textId="77777777" w:rsidR="00BD2318" w:rsidRDefault="00BD2318" w:rsidP="00D36ADC">
      <w:pPr>
        <w:pStyle w:val="SDText"/>
        <w:contextualSpacing/>
      </w:pPr>
    </w:p>
    <w:p w14:paraId="7367381A" w14:textId="52A5CBAA" w:rsidR="000F000D" w:rsidRDefault="00B82EFC" w:rsidP="00D36ADC">
      <w:pPr>
        <w:pStyle w:val="SDText"/>
        <w:contextualSpacing/>
      </w:pPr>
      <w:r>
        <w:t xml:space="preserve">В ходе исследований </w:t>
      </w:r>
      <w:r w:rsidR="008F4C52">
        <w:t>фармакологической безопасности оценивали острые эффекты тофацитиниба в отношении сердечно-сосудистой системы (</w:t>
      </w:r>
      <w:r w:rsidR="00BA33B9" w:rsidRPr="00BA33B9">
        <w:rPr>
          <w:i/>
          <w:iCs/>
        </w:rPr>
        <w:t>in vitro</w:t>
      </w:r>
      <w:r w:rsidR="00BA33B9" w:rsidRPr="00BA33B9">
        <w:t xml:space="preserve"> </w:t>
      </w:r>
      <w:r w:rsidR="00BA33B9">
        <w:t>и</w:t>
      </w:r>
      <w:r w:rsidR="00BA33B9" w:rsidRPr="00BA33B9">
        <w:t xml:space="preserve"> </w:t>
      </w:r>
      <w:r w:rsidR="00BA33B9" w:rsidRPr="00BA33B9">
        <w:rPr>
          <w:i/>
          <w:iCs/>
        </w:rPr>
        <w:t>in vivo</w:t>
      </w:r>
      <w:r w:rsidR="00BA33B9" w:rsidRPr="00BA33B9">
        <w:t xml:space="preserve">), </w:t>
      </w:r>
      <w:r w:rsidR="00BA33B9">
        <w:t>центральной нервной системы (ЦНС)</w:t>
      </w:r>
      <w:r w:rsidR="004377E3">
        <w:t>, дыхательной системы, почек и ЖКТ</w:t>
      </w:r>
      <w:r w:rsidR="00BA33B9">
        <w:t xml:space="preserve"> </w:t>
      </w:r>
      <w:r w:rsidR="000F000D">
        <w:rPr>
          <w:lang w:val="en-US"/>
        </w:rPr>
        <w:fldChar w:fldCharType="begin"/>
      </w:r>
      <w:r w:rsidR="00044A89">
        <w:instrText xml:space="preserve"> ADDIN ZOTERO_ITEM CSL_CITATION {"citationID":"fTfZj0ML","properties":{"formattedCitation":"[12]","plainCitation":"[12]","noteIndex":0},"citationItems":[{"id":87803,"uris":["http://zotero.org/groups/4742804/items/DMZ5DFPG"],"itemData":{"id":87803,"type":"webpage","title":"Xeljanz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0F000D">
        <w:rPr>
          <w:lang w:val="en-US"/>
        </w:rPr>
        <w:fldChar w:fldCharType="separate"/>
      </w:r>
      <w:r w:rsidR="00D46D1F">
        <w:rPr>
          <w:rFonts w:cs="Times New Roman"/>
        </w:rPr>
        <w:t>[1</w:t>
      </w:r>
      <w:r w:rsidR="00044A89" w:rsidRPr="00044A89">
        <w:rPr>
          <w:rFonts w:cs="Times New Roman"/>
        </w:rPr>
        <w:t>]</w:t>
      </w:r>
      <w:r w:rsidR="000F000D">
        <w:rPr>
          <w:lang w:val="en-US"/>
        </w:rPr>
        <w:fldChar w:fldCharType="end"/>
      </w:r>
      <w:r w:rsidR="004377E3">
        <w:t>.</w:t>
      </w:r>
    </w:p>
    <w:p w14:paraId="149A2769" w14:textId="69A69B28" w:rsidR="001C5F7B" w:rsidRDefault="00287174" w:rsidP="00D36ADC">
      <w:pPr>
        <w:pStyle w:val="SDText"/>
        <w:contextualSpacing/>
      </w:pPr>
      <w:r>
        <w:t>Наблюдал</w:t>
      </w:r>
      <w:r w:rsidR="00721067">
        <w:t>и</w:t>
      </w:r>
      <w:r>
        <w:t xml:space="preserve"> дозозависимое ингибирование тока </w:t>
      </w:r>
      <w:r w:rsidR="00AF16B9">
        <w:t xml:space="preserve">ионов в </w:t>
      </w:r>
      <w:r w:rsidR="00094983">
        <w:t>специфических калиевых каналах сердца человека</w:t>
      </w:r>
      <w:r>
        <w:t xml:space="preserve">, но </w:t>
      </w:r>
      <w:r w:rsidR="001E46F1">
        <w:t xml:space="preserve">при использовании </w:t>
      </w:r>
      <w:r>
        <w:t xml:space="preserve">в </w:t>
      </w:r>
      <w:r w:rsidR="001E46F1">
        <w:t xml:space="preserve">концентрациях, </w:t>
      </w:r>
      <w:r w:rsidR="00845BD3">
        <w:t>которые могут наблюдаться после введения в</w:t>
      </w:r>
      <w:r w:rsidR="001E46F1">
        <w:t xml:space="preserve"> </w:t>
      </w:r>
      <w:r>
        <w:t xml:space="preserve">рассматриваемых дозах </w:t>
      </w:r>
      <w:r w:rsidR="00845BD3">
        <w:t>(30 мкмоль/л</w:t>
      </w:r>
      <w:r w:rsidR="007B15B8">
        <w:t xml:space="preserve"> или</w:t>
      </w:r>
      <w:r w:rsidR="00845BD3">
        <w:t xml:space="preserve"> 9372 нг/мл)</w:t>
      </w:r>
      <w:r w:rsidR="007B15B8">
        <w:t>,</w:t>
      </w:r>
      <w:r w:rsidR="00845BD3">
        <w:t xml:space="preserve"> </w:t>
      </w:r>
      <w:r w:rsidR="007B15B8">
        <w:t xml:space="preserve">фармакологически значимое </w:t>
      </w:r>
      <w:r>
        <w:t>потенциально неблагоприятн</w:t>
      </w:r>
      <w:r w:rsidR="00845BD3">
        <w:t>о</w:t>
      </w:r>
      <w:r>
        <w:t xml:space="preserve">е ингибирование тока </w:t>
      </w:r>
      <w:r w:rsidR="007B15B8">
        <w:t xml:space="preserve">ионов </w:t>
      </w:r>
      <w:r>
        <w:t>&lt;</w:t>
      </w:r>
      <w:r w:rsidR="004E0E76">
        <w:t xml:space="preserve"> </w:t>
      </w:r>
      <w:r>
        <w:t xml:space="preserve">4% маловероятно. </w:t>
      </w:r>
      <w:r w:rsidR="004E0E76">
        <w:t>При использовании в дозах до 10 мкмоль/л (3120 нг/мл) н</w:t>
      </w:r>
      <w:r>
        <w:t>а эффект не влия</w:t>
      </w:r>
      <w:r w:rsidR="007B15B8">
        <w:t>ли</w:t>
      </w:r>
      <w:r>
        <w:t xml:space="preserve"> </w:t>
      </w:r>
      <w:r w:rsidR="004E0E76">
        <w:t xml:space="preserve">электрофизиологические </w:t>
      </w:r>
      <w:r>
        <w:t>характеристики волокон Пуркин</w:t>
      </w:r>
      <w:r w:rsidR="007B15B8">
        <w:t>ье</w:t>
      </w:r>
      <w:r>
        <w:t xml:space="preserve"> </w:t>
      </w:r>
      <w:r w:rsidR="004E0E76">
        <w:t>сердца</w:t>
      </w:r>
      <w:r>
        <w:t xml:space="preserve">. Исследования </w:t>
      </w:r>
      <w:r w:rsidR="004928B6">
        <w:t xml:space="preserve">влияния на параметры </w:t>
      </w:r>
      <w:r>
        <w:t xml:space="preserve">ЭКГ </w:t>
      </w:r>
      <w:r w:rsidR="004928B6">
        <w:t xml:space="preserve">на обезьянах </w:t>
      </w:r>
      <w:r>
        <w:t xml:space="preserve">были включены в долгосрочные токсикологические исследования, но </w:t>
      </w:r>
      <w:r w:rsidR="00DC4DAB">
        <w:t>в</w:t>
      </w:r>
      <w:r>
        <w:t xml:space="preserve"> исследовани</w:t>
      </w:r>
      <w:r w:rsidR="00DC4DAB">
        <w:t>и</w:t>
      </w:r>
      <w:r>
        <w:t xml:space="preserve"> </w:t>
      </w:r>
      <w:r w:rsidR="00DC4DAB">
        <w:t>на</w:t>
      </w:r>
      <w:r>
        <w:t xml:space="preserve"> взрослых обезьян</w:t>
      </w:r>
      <w:r w:rsidR="00DC4DAB">
        <w:t>ах</w:t>
      </w:r>
      <w:r>
        <w:t xml:space="preserve"> было предоставлено недостаточно информации для адекватно</w:t>
      </w:r>
      <w:r w:rsidR="00CF7FC1">
        <w:t>го</w:t>
      </w:r>
      <w:r>
        <w:t xml:space="preserve"> анализ</w:t>
      </w:r>
      <w:r w:rsidR="00CF7FC1">
        <w:t>а</w:t>
      </w:r>
      <w:r>
        <w:t xml:space="preserve"> </w:t>
      </w:r>
      <w:r w:rsidR="00CF7FC1">
        <w:t xml:space="preserve">влияния на </w:t>
      </w:r>
      <w:r>
        <w:t xml:space="preserve">показатели сердечно-сосудистой системы и </w:t>
      </w:r>
      <w:r w:rsidR="00CF7FC1">
        <w:t xml:space="preserve">параметры </w:t>
      </w:r>
      <w:r>
        <w:t>ЭКГ. У молодых обезьян (</w:t>
      </w:r>
      <w:r w:rsidR="00CF7FC1">
        <w:t>возраст около</w:t>
      </w:r>
      <w:r>
        <w:t xml:space="preserve"> 1</w:t>
      </w:r>
      <w:r w:rsidR="00CF7FC1">
        <w:t>–</w:t>
      </w:r>
      <w:r>
        <w:t xml:space="preserve">2 </w:t>
      </w:r>
      <w:r w:rsidR="00CF7FC1">
        <w:t>лет</w:t>
      </w:r>
      <w:r>
        <w:t xml:space="preserve">) </w:t>
      </w:r>
      <w:r w:rsidR="00CF7FC1">
        <w:t xml:space="preserve">СР-690550 </w:t>
      </w:r>
      <w:r>
        <w:t>не влия</w:t>
      </w:r>
      <w:r w:rsidR="00CF7FC1">
        <w:t>л</w:t>
      </w:r>
      <w:r>
        <w:t xml:space="preserve"> на сердечно-сосудистую систему и параметры ЭКГ при </w:t>
      </w:r>
      <w:r w:rsidR="00CF7FC1">
        <w:lastRenderedPageBreak/>
        <w:t xml:space="preserve">использовании в </w:t>
      </w:r>
      <w:r>
        <w:t>дозах 1, 10 и 100 мг/кг/сут. Однако в об</w:t>
      </w:r>
      <w:r w:rsidR="00CF7FC1">
        <w:t>оих</w:t>
      </w:r>
      <w:r>
        <w:t xml:space="preserve"> исследования</w:t>
      </w:r>
      <w:r w:rsidR="00CF7FC1">
        <w:t>х</w:t>
      </w:r>
      <w:r>
        <w:t xml:space="preserve"> показали, что частота сердечных сокращений </w:t>
      </w:r>
      <w:r w:rsidR="00CF7FC1">
        <w:t xml:space="preserve">(ЧСС) </w:t>
      </w:r>
      <w:r>
        <w:t xml:space="preserve">была </w:t>
      </w:r>
      <w:r w:rsidR="00CF7FC1">
        <w:t>существенно</w:t>
      </w:r>
      <w:r>
        <w:t xml:space="preserve"> повышена </w:t>
      </w:r>
      <w:r w:rsidR="00DA4DC8">
        <w:t xml:space="preserve">и </w:t>
      </w:r>
      <w:r>
        <w:t xml:space="preserve">обычно </w:t>
      </w:r>
      <w:r w:rsidR="00DA4DC8">
        <w:t>составляла</w:t>
      </w:r>
      <w:r>
        <w:t xml:space="preserve"> 200</w:t>
      </w:r>
      <w:r w:rsidR="00DA4DC8">
        <w:t>–</w:t>
      </w:r>
      <w:r>
        <w:t xml:space="preserve">250 ударов в минуту у всех животных, включая </w:t>
      </w:r>
      <w:r w:rsidR="005D1255">
        <w:t xml:space="preserve">обезьян из </w:t>
      </w:r>
      <w:r>
        <w:t>контрольн</w:t>
      </w:r>
      <w:r w:rsidR="005D1255">
        <w:t>ой группы</w:t>
      </w:r>
      <w:r>
        <w:t>, что, вероятно, было связано с</w:t>
      </w:r>
      <w:r w:rsidR="005D1255">
        <w:t xml:space="preserve">о </w:t>
      </w:r>
      <w:r>
        <w:t>стрессом</w:t>
      </w:r>
      <w:r w:rsidR="005D1255">
        <w:t>, обусловленным процедурами исследования</w:t>
      </w:r>
      <w:r>
        <w:t xml:space="preserve"> и неадекватн</w:t>
      </w:r>
      <w:r w:rsidR="00E944D0">
        <w:t>ой</w:t>
      </w:r>
      <w:r>
        <w:t xml:space="preserve"> </w:t>
      </w:r>
      <w:r w:rsidR="00E944D0">
        <w:t>адаптацией</w:t>
      </w:r>
      <w:r>
        <w:t xml:space="preserve">, </w:t>
      </w:r>
      <w:r w:rsidR="006457F5">
        <w:t>что</w:t>
      </w:r>
      <w:r>
        <w:t xml:space="preserve"> ограничива</w:t>
      </w:r>
      <w:r w:rsidR="006457F5">
        <w:t>ло возможность</w:t>
      </w:r>
      <w:r>
        <w:t xml:space="preserve"> точн</w:t>
      </w:r>
      <w:r w:rsidR="006457F5">
        <w:t>ой</w:t>
      </w:r>
      <w:r>
        <w:t xml:space="preserve"> оценк</w:t>
      </w:r>
      <w:r w:rsidR="006457F5">
        <w:t>и</w:t>
      </w:r>
      <w:r>
        <w:t xml:space="preserve"> влияния на QT интервал. Отсутствие значимого влияния тофацитиниба на функцию </w:t>
      </w:r>
      <w:r w:rsidR="00B737B8">
        <w:t>сердечно-сосудист</w:t>
      </w:r>
      <w:r w:rsidR="00F05D1B">
        <w:t>ой системы</w:t>
      </w:r>
      <w:r w:rsidR="00B737B8">
        <w:t xml:space="preserve"> </w:t>
      </w:r>
      <w:r>
        <w:t xml:space="preserve">при </w:t>
      </w:r>
      <w:r w:rsidR="006E0F86">
        <w:t xml:space="preserve">введении в </w:t>
      </w:r>
      <w:r>
        <w:t>терапевтически</w:t>
      </w:r>
      <w:r w:rsidR="006E0F86">
        <w:t>х</w:t>
      </w:r>
      <w:r>
        <w:t xml:space="preserve"> и сверхтерапевтически</w:t>
      </w:r>
      <w:r w:rsidR="006E0F86">
        <w:t>х</w:t>
      </w:r>
      <w:r>
        <w:t xml:space="preserve"> доз</w:t>
      </w:r>
      <w:r w:rsidR="006E0F86">
        <w:t>ах</w:t>
      </w:r>
      <w:r>
        <w:t xml:space="preserve"> </w:t>
      </w:r>
      <w:r w:rsidR="00F05D1B">
        <w:t xml:space="preserve">(до 100 мг) </w:t>
      </w:r>
      <w:r>
        <w:t>был</w:t>
      </w:r>
      <w:r w:rsidR="006E0F86">
        <w:t>о</w:t>
      </w:r>
      <w:r>
        <w:t xml:space="preserve"> подтвержден</w:t>
      </w:r>
      <w:r w:rsidR="006E0F86">
        <w:t>о</w:t>
      </w:r>
      <w:r>
        <w:t xml:space="preserve"> в исследовании </w:t>
      </w:r>
      <w:r w:rsidR="00B737B8">
        <w:t xml:space="preserve">влияния на интервал </w:t>
      </w:r>
      <w:r>
        <w:t xml:space="preserve">QT у человека </w:t>
      </w:r>
      <w:r>
        <w:rPr>
          <w:lang w:val="en-US"/>
        </w:rPr>
        <w:fldChar w:fldCharType="begin"/>
      </w:r>
      <w:r w:rsidR="00044A89">
        <w:instrText xml:space="preserve"> ADDIN ZOTERO_ITEM CSL_CITATION {"citationID":"t0dycEOJ","properties":{"formattedCitation":"[12]","plainCitation":"[12]","noteIndex":0},"citationItems":[{"id":87803,"uris":["http://zotero.org/groups/4742804/items/DMZ5DFPG"],"itemData":{"id":87803,"type":"webpage","title":"Xeljanz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52DBFEA2" w14:textId="2A0EFA06" w:rsidR="00EB0FB2" w:rsidRDefault="00EB0FB2" w:rsidP="00D36ADC">
      <w:pPr>
        <w:pStyle w:val="SDText"/>
        <w:contextualSpacing/>
      </w:pPr>
      <w:r>
        <w:t xml:space="preserve">Тофацитиниб индуцировал небольшое ингибирование тока hERG, но не оказывал влияния на волокна Пуркинье </w:t>
      </w:r>
      <w:r w:rsidR="0087205A" w:rsidRPr="0087205A">
        <w:t>право</w:t>
      </w:r>
      <w:r w:rsidR="0087205A">
        <w:t>го</w:t>
      </w:r>
      <w:r w:rsidR="0087205A" w:rsidRPr="0087205A">
        <w:t xml:space="preserve"> предсерди</w:t>
      </w:r>
      <w:r w:rsidR="0087205A">
        <w:t>я</w:t>
      </w:r>
      <w:r w:rsidR="0087205A" w:rsidRPr="0087205A">
        <w:t xml:space="preserve"> </w:t>
      </w:r>
      <w:r>
        <w:t xml:space="preserve">у собак и морских свинок. </w:t>
      </w:r>
      <w:r w:rsidR="0087205A">
        <w:t>Для тофацитиниба</w:t>
      </w:r>
      <w:r>
        <w:t xml:space="preserve"> показал</w:t>
      </w:r>
      <w:r w:rsidR="0087205A">
        <w:t>и</w:t>
      </w:r>
      <w:r>
        <w:t xml:space="preserve"> неспецифический миорелаксантный эффект </w:t>
      </w:r>
      <w:r w:rsidR="0087205A">
        <w:t>в отношении</w:t>
      </w:r>
      <w:r>
        <w:t xml:space="preserve"> изолированн</w:t>
      </w:r>
      <w:r w:rsidR="0087205A">
        <w:t>ой</w:t>
      </w:r>
      <w:r>
        <w:t xml:space="preserve"> аорт</w:t>
      </w:r>
      <w:r w:rsidR="0087205A">
        <w:t>ы</w:t>
      </w:r>
      <w:r>
        <w:t xml:space="preserve"> крысы с IC</w:t>
      </w:r>
      <w:r w:rsidRPr="0087205A">
        <w:rPr>
          <w:vertAlign w:val="subscript"/>
        </w:rPr>
        <w:t>50</w:t>
      </w:r>
      <w:r w:rsidR="0087205A">
        <w:t>, равной</w:t>
      </w:r>
      <w:r>
        <w:t xml:space="preserve"> 3 мк</w:t>
      </w:r>
      <w:r w:rsidR="0087205A">
        <w:t>моль/л</w:t>
      </w:r>
      <w:r>
        <w:t xml:space="preserve">. </w:t>
      </w:r>
      <w:r w:rsidR="000C1BCA" w:rsidRPr="000C1BCA">
        <w:rPr>
          <w:i/>
          <w:iCs/>
          <w:lang w:val="en-US"/>
        </w:rPr>
        <w:t>In</w:t>
      </w:r>
      <w:r w:rsidR="000C1BCA" w:rsidRPr="000C1BCA">
        <w:rPr>
          <w:i/>
          <w:iCs/>
        </w:rPr>
        <w:t xml:space="preserve"> </w:t>
      </w:r>
      <w:r w:rsidR="000C1BCA" w:rsidRPr="000C1BCA">
        <w:rPr>
          <w:i/>
          <w:iCs/>
          <w:lang w:val="en-US"/>
        </w:rPr>
        <w:t>vivo</w:t>
      </w:r>
      <w:r>
        <w:t xml:space="preserve"> </w:t>
      </w:r>
      <w:r w:rsidR="000C1BCA">
        <w:t>тофацитиниб</w:t>
      </w:r>
      <w:r w:rsidR="0087205A">
        <w:t xml:space="preserve"> </w:t>
      </w:r>
      <w:r>
        <w:t xml:space="preserve">вызывал повышение артериального давления </w:t>
      </w:r>
      <w:r w:rsidR="00084AD0">
        <w:t xml:space="preserve">(АД) </w:t>
      </w:r>
      <w:r>
        <w:t xml:space="preserve">и </w:t>
      </w:r>
      <w:r w:rsidR="00084AD0">
        <w:t>ЧСС</w:t>
      </w:r>
      <w:r>
        <w:t>, а также снижение температуры тела у крыс при</w:t>
      </w:r>
      <w:r w:rsidR="00084AD0">
        <w:t xml:space="preserve"> экспозиции</w:t>
      </w:r>
      <w:r>
        <w:t>, соответствующе</w:t>
      </w:r>
      <w:r w:rsidR="00084AD0">
        <w:t>й</w:t>
      </w:r>
      <w:r>
        <w:t xml:space="preserve"> примерно </w:t>
      </w:r>
      <w:r w:rsidR="00E51C43">
        <w:t xml:space="preserve">в </w:t>
      </w:r>
      <w:r>
        <w:t>62</w:t>
      </w:r>
      <w:r w:rsidR="00E51C43">
        <w:t xml:space="preserve"> раза</w:t>
      </w:r>
      <w:r>
        <w:t xml:space="preserve"> </w:t>
      </w:r>
      <w:r w:rsidR="00E51C43">
        <w:t xml:space="preserve">более высокой </w:t>
      </w:r>
      <w:r>
        <w:t>C</w:t>
      </w:r>
      <w:r w:rsidRPr="00084AD0">
        <w:rPr>
          <w:vertAlign w:val="subscript"/>
        </w:rPr>
        <w:t>max</w:t>
      </w:r>
      <w:r>
        <w:t xml:space="preserve"> у человека и временное увеличение </w:t>
      </w:r>
      <w:r w:rsidR="00084AD0">
        <w:t>ЧСС</w:t>
      </w:r>
      <w:r>
        <w:t xml:space="preserve"> </w:t>
      </w:r>
      <w:r w:rsidR="00084AD0">
        <w:t xml:space="preserve">у </w:t>
      </w:r>
      <w:r>
        <w:t xml:space="preserve">обезьян при </w:t>
      </w:r>
      <w:r w:rsidR="00084AD0">
        <w:t>экспозиции</w:t>
      </w:r>
      <w:r>
        <w:t>, соответствующе</w:t>
      </w:r>
      <w:r w:rsidR="00084AD0">
        <w:t>й</w:t>
      </w:r>
      <w:r>
        <w:t xml:space="preserve"> </w:t>
      </w:r>
      <w:r w:rsidR="00E51C43">
        <w:t xml:space="preserve">в </w:t>
      </w:r>
      <w:r>
        <w:t>60</w:t>
      </w:r>
      <w:r w:rsidR="00E51C43">
        <w:t xml:space="preserve"> раз</w:t>
      </w:r>
      <w:r>
        <w:t xml:space="preserve"> </w:t>
      </w:r>
      <w:r w:rsidR="00E51C43">
        <w:t>более высокой</w:t>
      </w:r>
      <w:r>
        <w:t xml:space="preserve"> C</w:t>
      </w:r>
      <w:r w:rsidRPr="00084AD0">
        <w:rPr>
          <w:vertAlign w:val="subscript"/>
        </w:rPr>
        <w:t>max</w:t>
      </w:r>
      <w:r>
        <w:t xml:space="preserve"> </w:t>
      </w:r>
      <w:r w:rsidR="00084AD0">
        <w:t xml:space="preserve">у </w:t>
      </w:r>
      <w:r>
        <w:t>человека. Изменений на ЭКГ не наблюдал</w:t>
      </w:r>
      <w:r w:rsidR="00084AD0">
        <w:t>и</w:t>
      </w:r>
      <w:r w:rsidR="007132B7" w:rsidRPr="007132B7">
        <w:t xml:space="preserve"> </w:t>
      </w:r>
      <w:r w:rsidR="007132B7">
        <w:fldChar w:fldCharType="begin"/>
      </w:r>
      <w:r w:rsidR="00044A89">
        <w:instrText xml:space="preserve"> ADDIN ZOTERO_ITEM CSL_CITATION {"citationID":"Q6spLyTY","properties":{"formattedCitation":"[21]","plainCitation":"[21]","noteIndex":0},"citationItems":[{"id":91153,"uris":["http://zotero.org/groups/4742804/items/UAUYPBRD"],"itemData":{"id":91153,"type":"webpage","title":"Xeljanz.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7132B7">
        <w:fldChar w:fldCharType="separate"/>
      </w:r>
      <w:r w:rsidR="00D46D1F">
        <w:rPr>
          <w:rFonts w:cs="Times New Roman"/>
        </w:rPr>
        <w:t>[10</w:t>
      </w:r>
      <w:r w:rsidR="00044A89" w:rsidRPr="00044A89">
        <w:rPr>
          <w:rFonts w:cs="Times New Roman"/>
        </w:rPr>
        <w:t>]</w:t>
      </w:r>
      <w:r w:rsidR="007132B7">
        <w:fldChar w:fldCharType="end"/>
      </w:r>
      <w:r w:rsidR="007132B7">
        <w:t>.</w:t>
      </w:r>
    </w:p>
    <w:p w14:paraId="3B9C8C86" w14:textId="5B5D2E0B" w:rsidR="00E6384B" w:rsidRDefault="00EB0FB2" w:rsidP="00D36ADC">
      <w:pPr>
        <w:pStyle w:val="SDText"/>
        <w:contextualSpacing/>
      </w:pPr>
      <w:r>
        <w:t xml:space="preserve">У мышей тофацитиниб вызывал снижение двигательной активности при </w:t>
      </w:r>
      <w:r w:rsidR="00084AD0">
        <w:t>экспозиции</w:t>
      </w:r>
      <w:r>
        <w:t>, соответствующе</w:t>
      </w:r>
      <w:r w:rsidR="00084AD0">
        <w:t>й</w:t>
      </w:r>
      <w:r>
        <w:t xml:space="preserve"> примерно</w:t>
      </w:r>
      <w:r w:rsidR="00084AD0">
        <w:t xml:space="preserve"> </w:t>
      </w:r>
      <w:r>
        <w:t>90-кратно</w:t>
      </w:r>
      <w:r w:rsidR="00084AD0">
        <w:t>й</w:t>
      </w:r>
      <w:r>
        <w:t xml:space="preserve"> C</w:t>
      </w:r>
      <w:r w:rsidRPr="00084AD0">
        <w:rPr>
          <w:vertAlign w:val="subscript"/>
        </w:rPr>
        <w:t>max</w:t>
      </w:r>
      <w:r>
        <w:t xml:space="preserve"> </w:t>
      </w:r>
      <w:r w:rsidR="00084AD0">
        <w:t xml:space="preserve">у человека </w:t>
      </w:r>
      <w:r>
        <w:t xml:space="preserve">и смерть, судороги, урежение дыхания, </w:t>
      </w:r>
      <w:r w:rsidR="00084AD0">
        <w:t>утрату</w:t>
      </w:r>
      <w:r>
        <w:t xml:space="preserve"> рефлексов при </w:t>
      </w:r>
      <w:r w:rsidR="00084AD0">
        <w:t>экспозиции</w:t>
      </w:r>
      <w:r>
        <w:t>, соответствующе</w:t>
      </w:r>
      <w:r w:rsidR="00084AD0">
        <w:t xml:space="preserve">й </w:t>
      </w:r>
      <w:r>
        <w:t xml:space="preserve">приблизительно </w:t>
      </w:r>
      <w:r w:rsidR="00E51C43">
        <w:t xml:space="preserve">в </w:t>
      </w:r>
      <w:r>
        <w:t>280</w:t>
      </w:r>
      <w:r w:rsidR="00E51C43">
        <w:t xml:space="preserve"> раз более высокой</w:t>
      </w:r>
      <w:r>
        <w:t xml:space="preserve"> C</w:t>
      </w:r>
      <w:r w:rsidRPr="00084AD0">
        <w:rPr>
          <w:vertAlign w:val="subscript"/>
        </w:rPr>
        <w:t>max</w:t>
      </w:r>
      <w:r w:rsidR="00084AD0">
        <w:t xml:space="preserve"> у человека</w:t>
      </w:r>
      <w:r>
        <w:t>. Про- и противосудорожный эффект</w:t>
      </w:r>
      <w:r w:rsidR="00AB6C0A">
        <w:t>ы</w:t>
      </w:r>
      <w:r>
        <w:t xml:space="preserve"> не продемонстрирова</w:t>
      </w:r>
      <w:r w:rsidR="00084AD0">
        <w:t xml:space="preserve">ли </w:t>
      </w:r>
      <w:r w:rsidR="007132B7">
        <w:fldChar w:fldCharType="begin"/>
      </w:r>
      <w:r w:rsidR="00044A89">
        <w:instrText xml:space="preserve"> ADDIN ZOTERO_ITEM CSL_CITATION {"citationID":"78lEJvxw","properties":{"formattedCitation":"[21]","plainCitation":"[21]","noteIndex":0},"citationItems":[{"id":91153,"uris":["http://zotero.org/groups/4742804/items/UAUYPBRD"],"itemData":{"id":91153,"type":"webpage","title":"Xeljanz.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7132B7">
        <w:fldChar w:fldCharType="separate"/>
      </w:r>
      <w:r w:rsidR="00D46D1F">
        <w:rPr>
          <w:rFonts w:cs="Times New Roman"/>
        </w:rPr>
        <w:t>[10</w:t>
      </w:r>
      <w:r w:rsidR="00044A89" w:rsidRPr="00044A89">
        <w:rPr>
          <w:rFonts w:cs="Times New Roman"/>
        </w:rPr>
        <w:t>]</w:t>
      </w:r>
      <w:r w:rsidR="007132B7">
        <w:fldChar w:fldCharType="end"/>
      </w:r>
      <w:r>
        <w:t>.</w:t>
      </w:r>
    </w:p>
    <w:p w14:paraId="70A97585" w14:textId="742FCD73" w:rsidR="0044198B" w:rsidRDefault="00D511EC" w:rsidP="00D36ADC">
      <w:pPr>
        <w:pStyle w:val="SDText"/>
        <w:contextualSpacing/>
      </w:pPr>
      <w:r>
        <w:t>В ходе н</w:t>
      </w:r>
      <w:r w:rsidR="0054074E">
        <w:t>ейроповеденческ</w:t>
      </w:r>
      <w:r w:rsidR="00C14513">
        <w:t>ого</w:t>
      </w:r>
      <w:r w:rsidR="0054074E">
        <w:t xml:space="preserve"> </w:t>
      </w:r>
      <w:r w:rsidR="00C14513">
        <w:t>исследовани</w:t>
      </w:r>
      <w:r w:rsidR="008A1B25">
        <w:t>я</w:t>
      </w:r>
      <w:r w:rsidR="00021B98">
        <w:t xml:space="preserve"> </w:t>
      </w:r>
      <w:r w:rsidR="0054074E">
        <w:t xml:space="preserve">у мышей выявили снижение спонтанной активности и признаков общей токсичности при </w:t>
      </w:r>
      <w:r w:rsidR="00C14513">
        <w:t xml:space="preserve">введении в </w:t>
      </w:r>
      <w:r w:rsidR="0054074E">
        <w:t>дозах ≥</w:t>
      </w:r>
      <w:r w:rsidR="00C14513">
        <w:t xml:space="preserve"> </w:t>
      </w:r>
      <w:r w:rsidR="0054074E">
        <w:t>100 мг/кг</w:t>
      </w:r>
      <w:r w:rsidR="008774CC">
        <w:t>, тофацитиниб н</w:t>
      </w:r>
      <w:r w:rsidR="00C67E4A">
        <w:t>е</w:t>
      </w:r>
      <w:r w:rsidR="0054074E">
        <w:t xml:space="preserve"> </w:t>
      </w:r>
      <w:r w:rsidR="008774CC">
        <w:t>усиливал</w:t>
      </w:r>
      <w:r w:rsidR="0054074E">
        <w:t xml:space="preserve"> и</w:t>
      </w:r>
      <w:r w:rsidR="008774CC">
        <w:t xml:space="preserve"> не</w:t>
      </w:r>
      <w:r w:rsidR="0054074E">
        <w:t xml:space="preserve"> </w:t>
      </w:r>
      <w:r w:rsidR="008774CC">
        <w:t>подавлял</w:t>
      </w:r>
      <w:r w:rsidR="0054074E">
        <w:t xml:space="preserve"> судорожн</w:t>
      </w:r>
      <w:r w:rsidR="008774CC">
        <w:t>ую</w:t>
      </w:r>
      <w:r w:rsidR="0054074E">
        <w:t xml:space="preserve"> активност</w:t>
      </w:r>
      <w:r w:rsidR="008774CC">
        <w:t>ь при внутрибрюшинном введении</w:t>
      </w:r>
      <w:r w:rsidR="0054074E">
        <w:t xml:space="preserve"> в дозах до 32 мг/кг. Не </w:t>
      </w:r>
      <w:r w:rsidR="008774CC">
        <w:t>выявили</w:t>
      </w:r>
      <w:r w:rsidR="0054074E">
        <w:t xml:space="preserve"> </w:t>
      </w:r>
      <w:r w:rsidR="008774CC">
        <w:t>существенного</w:t>
      </w:r>
      <w:r>
        <w:t xml:space="preserve"> влияни</w:t>
      </w:r>
      <w:r w:rsidR="008774CC">
        <w:t>я СР-690550</w:t>
      </w:r>
      <w:r>
        <w:t xml:space="preserve"> на </w:t>
      </w:r>
      <w:r w:rsidR="008774CC">
        <w:t xml:space="preserve">показатели, </w:t>
      </w:r>
      <w:r>
        <w:t>характери</w:t>
      </w:r>
      <w:r w:rsidR="008774CC">
        <w:t>зующие состояние дыхательной системы</w:t>
      </w:r>
      <w:r>
        <w:t xml:space="preserve">, функцию почек или </w:t>
      </w:r>
      <w:r w:rsidR="001B4195">
        <w:t xml:space="preserve">время транзита по </w:t>
      </w:r>
      <w:r w:rsidR="008774CC">
        <w:t>ЖКТ</w:t>
      </w:r>
      <w:r>
        <w:t xml:space="preserve"> при </w:t>
      </w:r>
      <w:r w:rsidR="001B4195">
        <w:t>однократном введении в</w:t>
      </w:r>
      <w:r>
        <w:t xml:space="preserve"> дозе до 100 мг/кг </w:t>
      </w:r>
      <w:r>
        <w:rPr>
          <w:lang w:val="en-US"/>
        </w:rPr>
        <w:fldChar w:fldCharType="begin"/>
      </w:r>
      <w:r w:rsidR="00044A89">
        <w:instrText xml:space="preserve"> ADDIN ZOTERO_ITEM CSL_CITATION {"citationID":"Iib9rZfP","properties":{"formattedCitation":"[12]","plainCitation":"[12]","noteIndex":0},"citationItems":[{"id":87803,"uris":["http://zotero.org/groups/4742804/items/DMZ5DFPG"],"itemData":{"id":87803,"type":"webpage","title":"Xeljanz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0DD27AF9" w14:textId="4A6AE83B" w:rsidR="0071663F" w:rsidRDefault="008107D9" w:rsidP="00D36ADC">
      <w:pPr>
        <w:pStyle w:val="SDText"/>
        <w:contextualSpacing/>
      </w:pPr>
      <w:r>
        <w:t>Тофацитиниб ингибировал опорожнение желудка у крыс и увеличивал экскрецию калия и</w:t>
      </w:r>
      <w:r w:rsidR="003957D2">
        <w:t>,</w:t>
      </w:r>
      <w:r>
        <w:t xml:space="preserve"> в меньшей степени</w:t>
      </w:r>
      <w:r w:rsidR="003957D2">
        <w:t>,</w:t>
      </w:r>
      <w:r>
        <w:t xml:space="preserve"> сниж</w:t>
      </w:r>
      <w:r w:rsidR="008A1B25">
        <w:t>ал</w:t>
      </w:r>
      <w:r>
        <w:t xml:space="preserve"> экскреци</w:t>
      </w:r>
      <w:r w:rsidR="008A1B25">
        <w:t>ю</w:t>
      </w:r>
      <w:r>
        <w:t xml:space="preserve"> хлоридов и объема мочи </w:t>
      </w:r>
      <w:r>
        <w:fldChar w:fldCharType="begin"/>
      </w:r>
      <w:r w:rsidR="00044A89">
        <w:instrText xml:space="preserve"> ADDIN ZOTERO_ITEM CSL_CITATION {"citationID":"m9nStt3C","properties":{"formattedCitation":"[21]","plainCitation":"[21]","noteIndex":0},"citationItems":[{"id":91153,"uris":["http://zotero.org/groups/4742804/items/UAUYPBRD"],"itemData":{"id":91153,"type":"webpage","title":"Xeljanz.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D46D1F">
        <w:rPr>
          <w:rFonts w:cs="Times New Roman"/>
        </w:rPr>
        <w:t>[</w:t>
      </w:r>
      <w:r w:rsidR="00044A89" w:rsidRPr="00044A89">
        <w:rPr>
          <w:rFonts w:cs="Times New Roman"/>
        </w:rPr>
        <w:t>1</w:t>
      </w:r>
      <w:r w:rsidR="00D46D1F">
        <w:rPr>
          <w:rFonts w:cs="Times New Roman"/>
        </w:rPr>
        <w:t>0</w:t>
      </w:r>
      <w:r w:rsidR="00044A89" w:rsidRPr="00044A89">
        <w:rPr>
          <w:rFonts w:cs="Times New Roman"/>
        </w:rPr>
        <w:t>]</w:t>
      </w:r>
      <w:r>
        <w:fldChar w:fldCharType="end"/>
      </w:r>
      <w:r>
        <w:t>.</w:t>
      </w:r>
    </w:p>
    <w:p w14:paraId="18E9187C" w14:textId="05DDDB59" w:rsidR="00C23DE4" w:rsidRPr="00D36ADC" w:rsidRDefault="00D62B3D" w:rsidP="00D62B3D">
      <w:pPr>
        <w:pStyle w:val="3"/>
        <w:numPr>
          <w:ilvl w:val="0"/>
          <w:numId w:val="0"/>
        </w:numPr>
        <w:ind w:left="720" w:hanging="720"/>
      </w:pPr>
      <w:bookmarkStart w:id="104" w:name="_Toc115421035"/>
      <w:bookmarkStart w:id="105" w:name="_Toc121592568"/>
      <w:r>
        <w:t xml:space="preserve">3.1.5. </w:t>
      </w:r>
      <w:r w:rsidR="00C23DE4" w:rsidRPr="00D36ADC">
        <w:t>Фармакодинамические лекарственные взаимодействия</w:t>
      </w:r>
      <w:bookmarkEnd w:id="104"/>
      <w:bookmarkEnd w:id="105"/>
    </w:p>
    <w:p w14:paraId="5FAAF50B" w14:textId="77777777" w:rsidR="00BD2318" w:rsidRDefault="00BD2318" w:rsidP="00D36ADC">
      <w:pPr>
        <w:pStyle w:val="SDText"/>
        <w:contextualSpacing/>
      </w:pPr>
    </w:p>
    <w:p w14:paraId="2CAB3852" w14:textId="75C8BA6C" w:rsidR="00021B98" w:rsidRPr="00CE4E52" w:rsidRDefault="0095267B" w:rsidP="00D36ADC">
      <w:pPr>
        <w:pStyle w:val="SDText"/>
        <w:contextualSpacing/>
      </w:pPr>
      <w:r>
        <w:t>Н</w:t>
      </w:r>
      <w:r w:rsidR="00CE4E52">
        <w:t xml:space="preserve">а </w:t>
      </w:r>
      <w:r w:rsidR="00D90DD6">
        <w:t xml:space="preserve">самцах </w:t>
      </w:r>
      <w:r w:rsidR="00CE4E52">
        <w:t>крыс</w:t>
      </w:r>
      <w:r w:rsidR="00D90DD6">
        <w:t xml:space="preserve"> линии Левис (возраст 5–6 не</w:t>
      </w:r>
      <w:r w:rsidR="008D7447">
        <w:t>дель, масса тела 120 г)</w:t>
      </w:r>
      <w:r w:rsidR="00CE4E52">
        <w:t xml:space="preserve"> с адъювантным артритом установили</w:t>
      </w:r>
      <w:r w:rsidR="009201CC">
        <w:t xml:space="preserve"> аддитивный эффект тофацитиниба</w:t>
      </w:r>
      <w:r w:rsidR="00C27EC0">
        <w:t xml:space="preserve"> </w:t>
      </w:r>
      <w:r w:rsidR="009201CC">
        <w:t>и дексаметазона</w:t>
      </w:r>
      <w:r w:rsidR="00C27EC0">
        <w:t xml:space="preserve">, вводимых подкожно в дозе 1,5 </w:t>
      </w:r>
      <w:r w:rsidR="008E0E60">
        <w:t xml:space="preserve">и 0,225 </w:t>
      </w:r>
      <w:r w:rsidR="00C27EC0">
        <w:t>мг/кг</w:t>
      </w:r>
      <w:r w:rsidR="009201CC">
        <w:t xml:space="preserve"> </w:t>
      </w:r>
      <w:r w:rsidR="008E0E60">
        <w:t xml:space="preserve">соответственно, </w:t>
      </w:r>
      <w:r w:rsidR="00D06373">
        <w:t>с фактором взаимодействия, составившим 0,76</w:t>
      </w:r>
      <w:r w:rsidR="00CE4E52" w:rsidRPr="00CE4E52">
        <w:t xml:space="preserve"> </w:t>
      </w:r>
      <w:r w:rsidR="00796CA4">
        <w:fldChar w:fldCharType="begin"/>
      </w:r>
      <w:r w:rsidR="00044A89">
        <w:instrText xml:space="preserve"> ADDIN ZOTERO_ITEM CSL_CITATION {"citationID":"aqCJaXt5","properties":{"formattedCitation":"[16]","plainCitation":"[16]","noteIndex":0},"citationItems":[{"id":87764,"uris":["http://zotero.org/groups/4742804/items/K2AAYR4K"],"itemData":{"id":87764,"type":"article-journal","container-title":"The AAPS journal","issue":"5","note":"publisher: Springer","page":"1–9","source":"Google Scholar","title":"Modeling combined anti-inflammatory effects of dexamethasone and tofacitinib in arthritic rats","volume":"21","author":[{"family":"Yu","given":"Ruihong"},{"family":"Song","given":"Dawei"},{"family":"DuBois","given":"Debra C."},{"family":"Almon","given":"Richard R."},{"family":"Jusko","given":"William J."}],"issued":{"date-parts":[["2019"]]}}}],"schema":"https://github.com/citation-style-language/schema/raw/master/csl-citation.json"} </w:instrText>
      </w:r>
      <w:r w:rsidR="00796CA4">
        <w:fldChar w:fldCharType="separate"/>
      </w:r>
      <w:r w:rsidR="00D46D1F">
        <w:rPr>
          <w:rFonts w:cs="Times New Roman"/>
        </w:rPr>
        <w:t>[5</w:t>
      </w:r>
      <w:r w:rsidR="00044A89" w:rsidRPr="00044A89">
        <w:rPr>
          <w:rFonts w:cs="Times New Roman"/>
        </w:rPr>
        <w:t>]</w:t>
      </w:r>
      <w:r w:rsidR="00796CA4">
        <w:fldChar w:fldCharType="end"/>
      </w:r>
      <w:r w:rsidR="00C67E4A">
        <w:t>.</w:t>
      </w:r>
      <w:r w:rsidR="00FC6959" w:rsidRPr="00CE4E52">
        <w:t xml:space="preserve"> </w:t>
      </w:r>
    </w:p>
    <w:p w14:paraId="2D45AE81" w14:textId="50F44208" w:rsidR="00C23DE4" w:rsidRPr="000D659F" w:rsidRDefault="0095267B" w:rsidP="00D36ADC">
      <w:pPr>
        <w:pStyle w:val="SDText"/>
        <w:contextualSpacing/>
      </w:pPr>
      <w:r>
        <w:t>В</w:t>
      </w:r>
      <w:r w:rsidR="000D659F">
        <w:t xml:space="preserve"> исследовании </w:t>
      </w:r>
      <w:r w:rsidR="000D659F" w:rsidRPr="00417C81">
        <w:rPr>
          <w:i/>
          <w:iCs/>
          <w:lang w:val="en-US"/>
        </w:rPr>
        <w:t>in</w:t>
      </w:r>
      <w:r w:rsidR="000D659F" w:rsidRPr="00417C81">
        <w:rPr>
          <w:i/>
          <w:iCs/>
        </w:rPr>
        <w:t xml:space="preserve"> </w:t>
      </w:r>
      <w:r w:rsidR="000D659F" w:rsidRPr="00417C81">
        <w:rPr>
          <w:i/>
          <w:iCs/>
          <w:lang w:val="en-US"/>
        </w:rPr>
        <w:t>vitro</w:t>
      </w:r>
      <w:r w:rsidR="000D659F" w:rsidRPr="000D659F">
        <w:t xml:space="preserve"> </w:t>
      </w:r>
      <w:r w:rsidR="00E32FE8">
        <w:t>изучили эффекты тофацитиниба и дексаметазона на пролиферацию</w:t>
      </w:r>
      <w:r w:rsidR="00984EFA" w:rsidRPr="00984EFA">
        <w:t xml:space="preserve"> </w:t>
      </w:r>
      <w:r w:rsidR="00E32FE8">
        <w:t>лимфоцитов периферической крови самцов и самок крыс или человека</w:t>
      </w:r>
      <w:r w:rsidR="0044204D">
        <w:t xml:space="preserve">, стимулированную конканавалином </w:t>
      </w:r>
      <w:r w:rsidR="0044204D">
        <w:rPr>
          <w:lang w:val="en-US"/>
        </w:rPr>
        <w:t>A</w:t>
      </w:r>
      <w:r w:rsidR="0044204D">
        <w:t xml:space="preserve">. </w:t>
      </w:r>
      <w:r w:rsidR="003F144B">
        <w:t>Дексаметазон подавлял пролиферацию лимфоцитов в большей степени, чем тоф</w:t>
      </w:r>
      <w:r w:rsidR="00C54AD7">
        <w:t>ацитиниб</w:t>
      </w:r>
      <w:r w:rsidR="003F144B">
        <w:t xml:space="preserve">, </w:t>
      </w:r>
      <w:r w:rsidR="00C54AD7">
        <w:t>выраженность эффекта зависела</w:t>
      </w:r>
      <w:r w:rsidR="003F144B">
        <w:t xml:space="preserve"> от вида и пола. </w:t>
      </w:r>
      <w:r w:rsidR="00C54AD7">
        <w:t>Для дексаметазона</w:t>
      </w:r>
      <w:r w:rsidR="003F144B">
        <w:t xml:space="preserve"> показал</w:t>
      </w:r>
      <w:r w:rsidR="00C54AD7">
        <w:t>и</w:t>
      </w:r>
      <w:r w:rsidR="003F144B">
        <w:t xml:space="preserve"> бол</w:t>
      </w:r>
      <w:r w:rsidR="00C54AD7">
        <w:t>ее выраженное</w:t>
      </w:r>
      <w:r w:rsidR="003F144B">
        <w:t xml:space="preserve"> ингибирование </w:t>
      </w:r>
      <w:r w:rsidR="00C54AD7">
        <w:t xml:space="preserve">пролиферации </w:t>
      </w:r>
      <w:r w:rsidR="003F144B">
        <w:t xml:space="preserve">лимфоцитов крыс по сравнению с </w:t>
      </w:r>
      <w:r w:rsidR="00C54AD7">
        <w:t>показателем для лимфоцитов человека</w:t>
      </w:r>
      <w:r w:rsidR="003F144B">
        <w:t xml:space="preserve">. </w:t>
      </w:r>
      <w:r w:rsidR="00CD2E5F">
        <w:t>А</w:t>
      </w:r>
      <w:r w:rsidR="003F144B">
        <w:t xml:space="preserve">нтипролиферативное действие </w:t>
      </w:r>
      <w:r w:rsidR="00CD2E5F">
        <w:t>тофацитиниба</w:t>
      </w:r>
      <w:r w:rsidR="003F144B">
        <w:t xml:space="preserve"> было сопоставимо </w:t>
      </w:r>
      <w:r w:rsidR="00CD2E5F">
        <w:t>для лимфоцитов</w:t>
      </w:r>
      <w:r w:rsidR="003F144B">
        <w:t xml:space="preserve"> крыс и человек</w:t>
      </w:r>
      <w:r w:rsidR="00CD2E5F">
        <w:t>а</w:t>
      </w:r>
      <w:r w:rsidR="003F144B">
        <w:t>, за исключением более высокой IC</w:t>
      </w:r>
      <w:r w:rsidR="003F144B" w:rsidRPr="00CD2E5F">
        <w:rPr>
          <w:vertAlign w:val="subscript"/>
        </w:rPr>
        <w:t>50</w:t>
      </w:r>
      <w:r w:rsidR="003F144B">
        <w:t xml:space="preserve"> у самцов крыс. </w:t>
      </w:r>
      <w:r w:rsidR="00C242B9">
        <w:t>Различия в зависимости от пола и</w:t>
      </w:r>
      <w:r w:rsidR="003F144B">
        <w:t xml:space="preserve"> </w:t>
      </w:r>
      <w:r w:rsidR="00C242B9">
        <w:t>вида</w:t>
      </w:r>
      <w:r w:rsidR="003F144B">
        <w:t xml:space="preserve"> были обнаружены во взаимодействиях </w:t>
      </w:r>
      <w:r w:rsidR="00C242B9">
        <w:t>дексаметазона и тофацитиниба</w:t>
      </w:r>
      <w:r w:rsidR="003F144B">
        <w:t xml:space="preserve"> с синергическим эффектом </w:t>
      </w:r>
      <w:r w:rsidR="004A45CB">
        <w:t>для</w:t>
      </w:r>
      <w:r w:rsidR="00C242B9">
        <w:t xml:space="preserve"> лимфоцит</w:t>
      </w:r>
      <w:r w:rsidR="004A45CB">
        <w:t>ов</w:t>
      </w:r>
      <w:r w:rsidR="00C242B9">
        <w:t xml:space="preserve"> </w:t>
      </w:r>
      <w:r w:rsidR="009E11F8">
        <w:t>муж</w:t>
      </w:r>
      <w:r w:rsidR="0013318C">
        <w:t>чин</w:t>
      </w:r>
      <w:r w:rsidR="00C67E4A">
        <w:t>,</w:t>
      </w:r>
      <w:r w:rsidR="0013318C">
        <w:t xml:space="preserve"> </w:t>
      </w:r>
      <w:r w:rsidR="003F144B">
        <w:t>и аддитивным и антагонистически</w:t>
      </w:r>
      <w:r w:rsidR="009E11F8">
        <w:t>м</w:t>
      </w:r>
      <w:r w:rsidR="003F144B">
        <w:t xml:space="preserve"> эффект</w:t>
      </w:r>
      <w:r w:rsidR="009E11F8">
        <w:t>ом</w:t>
      </w:r>
      <w:r w:rsidR="003F144B">
        <w:t xml:space="preserve"> для </w:t>
      </w:r>
      <w:r w:rsidR="004A45CB">
        <w:t>лимфоцитов женщин</w:t>
      </w:r>
      <w:r w:rsidR="003F144B">
        <w:t xml:space="preserve"> и </w:t>
      </w:r>
      <w:r w:rsidR="004A45CB">
        <w:t xml:space="preserve">самок </w:t>
      </w:r>
      <w:r w:rsidR="003F144B">
        <w:t>крыс</w:t>
      </w:r>
      <w:r w:rsidR="0044204D" w:rsidRPr="0044204D">
        <w:t xml:space="preserve"> </w:t>
      </w:r>
      <w:r w:rsidR="00FC6959" w:rsidRPr="00984EFA">
        <w:fldChar w:fldCharType="begin"/>
      </w:r>
      <w:r w:rsidR="00044A89">
        <w:instrText xml:space="preserve"> ADDIN ZOTERO_ITEM CSL_CITATION {"citationID":"Gk9m4UoL","properties":{"formattedCitation":"[17]","plainCitation":"[17]","noteIndex":0},"citationItems":[{"id":87761,"uris":["http://zotero.org/groups/4742804/items/8PPQJG2B"],"itemData":{"id":87761,"type":"article-journal","abstract":"Lymphocyte proliferation is a major factor determining the magnitude of the immune response. Both dexamethasone (DEX) and tofacitinib (TOF) exert marked immunosuppressive effects and are mainstay drugs in the treatment of rheumatoid arthritis (RA). This study was aimed to explore the single and combined anti-proliferative action of DEX and TOF on lymphocytes and their sex differences.","container-title":"Pharmaceutical Research","DOI":"10.1007/s11095-020-02827-7","ISSN":"1573-904X","issue":"6","journalAbbreviation":"Pharm Res","language":"en","page":"105","source":"Springer Link","title":"Interactions of tofacitinib and dexamethasone on lymphocyte proliferation","volume":"37","author":[{"family":"Yu","given":"Ruihong"},{"family":"Li","given":"Xiaonan"},{"family":"DuBois","given":"Debra C."},{"family":"Almon","given":"Richard R."},{"family":"Cao","given":"Yongxiao"},{"family":"Jusko","given":"William J."}],"issued":{"date-parts":[["2020",5,26]]}}}],"schema":"https://github.com/citation-style-language/schema/raw/master/csl-citation.json"} </w:instrText>
      </w:r>
      <w:r w:rsidR="00FC6959" w:rsidRPr="00984EFA">
        <w:fldChar w:fldCharType="separate"/>
      </w:r>
      <w:r w:rsidR="00D46D1F">
        <w:rPr>
          <w:rFonts w:cs="Times New Roman"/>
        </w:rPr>
        <w:t>[6</w:t>
      </w:r>
      <w:r w:rsidR="00044A89" w:rsidRPr="00044A89">
        <w:rPr>
          <w:rFonts w:cs="Times New Roman"/>
        </w:rPr>
        <w:t>]</w:t>
      </w:r>
      <w:r w:rsidR="00FC6959" w:rsidRPr="00984EFA">
        <w:fldChar w:fldCharType="end"/>
      </w:r>
      <w:r w:rsidR="003F144B">
        <w:t>.</w:t>
      </w:r>
    </w:p>
    <w:p w14:paraId="3C879750" w14:textId="1B3BC765" w:rsidR="00BD2318" w:rsidRPr="00BD2318" w:rsidRDefault="00D62B3D" w:rsidP="00D62B3D">
      <w:pPr>
        <w:pStyle w:val="2"/>
        <w:numPr>
          <w:ilvl w:val="0"/>
          <w:numId w:val="0"/>
        </w:numPr>
        <w:ind w:left="576" w:hanging="576"/>
      </w:pPr>
      <w:bookmarkStart w:id="106" w:name="_Toc115421036"/>
      <w:bookmarkStart w:id="107" w:name="_Toc121592569"/>
      <w:r>
        <w:lastRenderedPageBreak/>
        <w:t xml:space="preserve">3.2. </w:t>
      </w:r>
      <w:r w:rsidR="00374034" w:rsidRPr="00BD2318">
        <w:t>Доклиническая</w:t>
      </w:r>
      <w:r w:rsidR="00374034" w:rsidRPr="00D36ADC">
        <w:t xml:space="preserve"> фармакокинетика</w:t>
      </w:r>
      <w:bookmarkEnd w:id="106"/>
      <w:bookmarkEnd w:id="107"/>
      <w:r w:rsidR="00374034" w:rsidRPr="00D36ADC">
        <w:t xml:space="preserve"> </w:t>
      </w:r>
    </w:p>
    <w:p w14:paraId="4F60C7E8" w14:textId="77777777" w:rsidR="00BD2318" w:rsidRDefault="00BD2318" w:rsidP="00BD2318">
      <w:pPr>
        <w:pStyle w:val="OT"/>
      </w:pPr>
      <w:bookmarkStart w:id="108" w:name="_Toc115421037"/>
    </w:p>
    <w:p w14:paraId="50F7E7E4" w14:textId="3E9D365F" w:rsidR="00ED0932" w:rsidRDefault="00D62B3D" w:rsidP="00D62B3D">
      <w:pPr>
        <w:pStyle w:val="3"/>
        <w:numPr>
          <w:ilvl w:val="0"/>
          <w:numId w:val="0"/>
        </w:numPr>
        <w:ind w:left="720" w:hanging="720"/>
      </w:pPr>
      <w:bookmarkStart w:id="109" w:name="_Toc121592570"/>
      <w:r>
        <w:t xml:space="preserve">3.2.1. </w:t>
      </w:r>
      <w:r w:rsidR="003D62F9" w:rsidRPr="00D36ADC">
        <w:t>Всасывание</w:t>
      </w:r>
      <w:bookmarkEnd w:id="108"/>
      <w:bookmarkEnd w:id="109"/>
    </w:p>
    <w:p w14:paraId="4EE1FC27" w14:textId="77777777" w:rsidR="00BD2318" w:rsidRDefault="00BD2318" w:rsidP="00D36ADC">
      <w:pPr>
        <w:pStyle w:val="SDText"/>
        <w:contextualSpacing/>
      </w:pPr>
    </w:p>
    <w:p w14:paraId="13D7F8D0" w14:textId="38C0CF84" w:rsidR="00EE4915" w:rsidRDefault="00F45C8B" w:rsidP="00D36ADC">
      <w:pPr>
        <w:pStyle w:val="SDText"/>
        <w:contextualSpacing/>
      </w:pPr>
      <w:r w:rsidRPr="00F45C8B">
        <w:t>Ранние исследования проводились на видах животных, которые</w:t>
      </w:r>
      <w:r w:rsidR="008500D0">
        <w:t xml:space="preserve"> планировались для проведения</w:t>
      </w:r>
      <w:r w:rsidRPr="00F45C8B">
        <w:t xml:space="preserve"> токсикологически</w:t>
      </w:r>
      <w:r w:rsidR="008500D0">
        <w:t>х</w:t>
      </w:r>
      <w:r w:rsidRPr="00F45C8B">
        <w:t xml:space="preserve"> исследовани</w:t>
      </w:r>
      <w:r w:rsidR="008500D0">
        <w:t>й</w:t>
      </w:r>
      <w:r w:rsidRPr="00F45C8B">
        <w:t xml:space="preserve"> для подтверждения безопасности </w:t>
      </w:r>
      <w:r w:rsidR="00AB1531" w:rsidRPr="00AB1531">
        <w:t xml:space="preserve">тофацитиниба </w:t>
      </w:r>
      <w:r w:rsidR="008500D0">
        <w:t>(</w:t>
      </w:r>
      <w:r w:rsidRPr="00F45C8B">
        <w:t>на крысах и обезьянах</w:t>
      </w:r>
      <w:r w:rsidR="008500D0">
        <w:t>)</w:t>
      </w:r>
      <w:r w:rsidRPr="00F45C8B">
        <w:t xml:space="preserve">. </w:t>
      </w:r>
      <w:r w:rsidR="002136A8">
        <w:t>Э</w:t>
      </w:r>
      <w:r w:rsidRPr="00B00FAA">
        <w:t xml:space="preserve">ти исследования </w:t>
      </w:r>
      <w:r w:rsidRPr="00F45C8B">
        <w:t>проводил</w:t>
      </w:r>
      <w:r w:rsidR="002136A8">
        <w:t>ись одновременно с разработкой</w:t>
      </w:r>
      <w:r w:rsidRPr="00F45C8B">
        <w:t xml:space="preserve"> методологи</w:t>
      </w:r>
      <w:r w:rsidR="002136A8">
        <w:t>и</w:t>
      </w:r>
      <w:r w:rsidRPr="00F45C8B">
        <w:t xml:space="preserve"> </w:t>
      </w:r>
      <w:r w:rsidR="002136A8">
        <w:t>определения</w:t>
      </w:r>
      <w:r w:rsidRPr="00F45C8B">
        <w:t xml:space="preserve"> </w:t>
      </w:r>
      <w:r w:rsidR="00AB1531" w:rsidRPr="00AB1531">
        <w:t xml:space="preserve">тофацитиниба </w:t>
      </w:r>
      <w:r w:rsidRPr="00F45C8B">
        <w:t>в</w:t>
      </w:r>
      <w:r w:rsidR="00B00FAA">
        <w:t xml:space="preserve"> </w:t>
      </w:r>
      <w:r w:rsidRPr="00F45C8B">
        <w:t>сыворотк</w:t>
      </w:r>
      <w:r w:rsidR="002136A8">
        <w:t>е крови</w:t>
      </w:r>
      <w:r w:rsidRPr="00F45C8B">
        <w:t>, плазм</w:t>
      </w:r>
      <w:r w:rsidR="002136A8">
        <w:t>е крови</w:t>
      </w:r>
      <w:r w:rsidRPr="00F45C8B">
        <w:t xml:space="preserve"> и моч</w:t>
      </w:r>
      <w:r w:rsidR="002136A8">
        <w:t>е</w:t>
      </w:r>
      <w:r w:rsidRPr="00F45C8B">
        <w:t xml:space="preserve">. </w:t>
      </w:r>
      <w:r w:rsidRPr="006A523F">
        <w:t>Сам</w:t>
      </w:r>
      <w:r w:rsidR="00C67E4A">
        <w:t>о</w:t>
      </w:r>
      <w:r w:rsidRPr="006A523F">
        <w:t>й изменчив</w:t>
      </w:r>
      <w:r w:rsidR="00C67E4A">
        <w:t>о</w:t>
      </w:r>
      <w:r w:rsidRPr="006A523F">
        <w:t>й</w:t>
      </w:r>
      <w:r w:rsidR="006A523F">
        <w:t xml:space="preserve"> </w:t>
      </w:r>
      <w:r w:rsidRPr="00F45C8B">
        <w:t>характеристикой</w:t>
      </w:r>
      <w:r w:rsidR="00591AA0">
        <w:t xml:space="preserve"> являлась</w:t>
      </w:r>
      <w:r w:rsidRPr="00F45C8B">
        <w:t xml:space="preserve"> биодоступность </w:t>
      </w:r>
      <w:r w:rsidR="00EF0009">
        <w:t>(</w:t>
      </w:r>
      <w:r w:rsidR="00EF0009">
        <w:rPr>
          <w:lang w:val="en-US"/>
        </w:rPr>
        <w:t>F</w:t>
      </w:r>
      <w:r w:rsidR="00EF0009" w:rsidRPr="00EF0009">
        <w:t xml:space="preserve">) </w:t>
      </w:r>
      <w:r w:rsidR="00AB1531" w:rsidRPr="00AB1531">
        <w:t xml:space="preserve">тофацитиниба </w:t>
      </w:r>
      <w:r w:rsidR="0095267B">
        <w:t xml:space="preserve">у крыс. </w:t>
      </w:r>
      <w:r w:rsidRPr="00F45C8B">
        <w:t xml:space="preserve">Поскольку в основных токсикологических исследованиях концентрации </w:t>
      </w:r>
      <w:r w:rsidR="00AB1531" w:rsidRPr="00AB1531">
        <w:t xml:space="preserve">тофацитиниба </w:t>
      </w:r>
      <w:r w:rsidR="00F06ACD">
        <w:t xml:space="preserve">в крови </w:t>
      </w:r>
      <w:r w:rsidRPr="00F45C8B">
        <w:t>были определены и рассчитан</w:t>
      </w:r>
      <w:r w:rsidR="00F06ACD">
        <w:t>а</w:t>
      </w:r>
      <w:r w:rsidRPr="00F45C8B">
        <w:t xml:space="preserve"> </w:t>
      </w:r>
      <w:r w:rsidR="00F06ACD">
        <w:t>экспозиция</w:t>
      </w:r>
      <w:r w:rsidRPr="00F45C8B">
        <w:t xml:space="preserve">, неопределенность </w:t>
      </w:r>
      <w:r w:rsidR="00EF0009">
        <w:rPr>
          <w:lang w:val="en-US"/>
        </w:rPr>
        <w:t>F</w:t>
      </w:r>
      <w:r w:rsidRPr="00F45C8B">
        <w:t xml:space="preserve"> у крыс не явля</w:t>
      </w:r>
      <w:r w:rsidR="0067468E">
        <w:t>лась</w:t>
      </w:r>
      <w:r w:rsidRPr="00F45C8B">
        <w:t xml:space="preserve"> серьезной проблемой, как это было бы, если бы концентрации </w:t>
      </w:r>
      <w:r w:rsidR="00AB1531" w:rsidRPr="00AB1531">
        <w:t xml:space="preserve">тофацитиниба </w:t>
      </w:r>
      <w:r w:rsidR="0067468E">
        <w:t xml:space="preserve">в крови </w:t>
      </w:r>
      <w:r w:rsidRPr="00F45C8B">
        <w:t xml:space="preserve">были неизвестны </w:t>
      </w:r>
      <w:r w:rsidR="00EE4915">
        <w:rPr>
          <w:lang w:val="en-US"/>
        </w:rPr>
        <w:fldChar w:fldCharType="begin"/>
      </w:r>
      <w:r w:rsidR="00044A89">
        <w:instrText xml:space="preserve"> ADDIN ZOTERO_ITEM CSL_CITATION {"citationID":"fUpjFKNG","properties":{"formattedCitation":"[12]","plainCitation":"[12]","noteIndex":0},"citationItems":[{"id":87803,"uris":["http://zotero.org/groups/4742804/items/DMZ5DFPG"],"itemData":{"id":87803,"type":"webpage","title":"Xeljanz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BF510E">
        <w:t>.</w:t>
      </w:r>
    </w:p>
    <w:p w14:paraId="62D8C509" w14:textId="23A9E0CA" w:rsidR="00753288" w:rsidRDefault="00753288" w:rsidP="00D36ADC">
      <w:pPr>
        <w:pStyle w:val="SDText"/>
        <w:contextualSpacing/>
      </w:pPr>
      <w:r>
        <w:t xml:space="preserve">В ходе проведенных исследований рассчитаны фармакокинетические показатели тофацитиниба </w:t>
      </w:r>
      <w:r w:rsidR="003559A5">
        <w:t xml:space="preserve">при однократном внутривенном введении </w:t>
      </w:r>
      <w:r>
        <w:t>(</w:t>
      </w:r>
      <w:r w:rsidR="000E71B0" w:rsidRPr="00D62B3D">
        <w:fldChar w:fldCharType="begin"/>
      </w:r>
      <w:r w:rsidR="000E71B0" w:rsidRPr="00D62B3D">
        <w:instrText xml:space="preserve"> REF _Ref121139639 \h </w:instrText>
      </w:r>
      <w:r w:rsidR="00D62B3D" w:rsidRPr="00D62B3D">
        <w:instrText xml:space="preserve"> \* MERGEFORMAT </w:instrText>
      </w:r>
      <w:r w:rsidR="000E71B0" w:rsidRPr="00D62B3D">
        <w:fldChar w:fldCharType="separate"/>
      </w:r>
      <w:r w:rsidR="00383E6F" w:rsidRPr="00D62B3D">
        <w:rPr>
          <w:bCs/>
        </w:rPr>
        <w:t xml:space="preserve">Таблица </w:t>
      </w:r>
      <w:r w:rsidR="00383E6F" w:rsidRPr="00D62B3D">
        <w:rPr>
          <w:bCs/>
          <w:noProof/>
        </w:rPr>
        <w:t>3</w:t>
      </w:r>
      <w:r w:rsidR="00383E6F" w:rsidRPr="00D62B3D">
        <w:rPr>
          <w:bCs/>
        </w:rPr>
        <w:noBreakHyphen/>
      </w:r>
      <w:r w:rsidR="00383E6F" w:rsidRPr="00D62B3D">
        <w:rPr>
          <w:bCs/>
          <w:noProof/>
        </w:rPr>
        <w:t>2</w:t>
      </w:r>
      <w:r w:rsidR="000E71B0" w:rsidRPr="00D62B3D">
        <w:fldChar w:fldCharType="end"/>
      </w:r>
      <w:r w:rsidR="00E466C1" w:rsidRPr="00D62B3D">
        <w:t>)</w:t>
      </w:r>
      <w:r w:rsidR="00E466C1">
        <w:t xml:space="preserve"> </w:t>
      </w:r>
      <w:bookmarkStart w:id="110" w:name="_Hlk113619236"/>
      <w:r w:rsidR="00E466C1">
        <w:rPr>
          <w:lang w:val="en-US"/>
        </w:rPr>
        <w:fldChar w:fldCharType="begin"/>
      </w:r>
      <w:r w:rsidR="00044A89">
        <w:instrText xml:space="preserve"> ADDIN ZOTERO_ITEM CSL_CITATION {"citationID":"eMT8yLQL","properties":{"formattedCitation":"[12]","plainCitation":"[12]","noteIndex":0},"citationItems":[{"id":87803,"uris":["http://zotero.org/groups/4742804/items/DMZ5DFPG"],"itemData":{"id":87803,"type":"webpage","title":"Xeljanz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466C1">
        <w:rPr>
          <w:lang w:val="en-US"/>
        </w:rPr>
        <w:fldChar w:fldCharType="separate"/>
      </w:r>
      <w:r w:rsidR="00D46D1F">
        <w:rPr>
          <w:rFonts w:cs="Times New Roman"/>
        </w:rPr>
        <w:t>[1</w:t>
      </w:r>
      <w:r w:rsidR="00044A89" w:rsidRPr="00044A89">
        <w:rPr>
          <w:rFonts w:cs="Times New Roman"/>
        </w:rPr>
        <w:t>]</w:t>
      </w:r>
      <w:r w:rsidR="00E466C1">
        <w:rPr>
          <w:lang w:val="en-US"/>
        </w:rPr>
        <w:fldChar w:fldCharType="end"/>
      </w:r>
      <w:r w:rsidR="00E466C1">
        <w:t>.</w:t>
      </w:r>
      <w:bookmarkEnd w:id="110"/>
    </w:p>
    <w:p w14:paraId="7A10E9DE" w14:textId="77777777" w:rsidR="00D36ADC" w:rsidRDefault="00D36ADC" w:rsidP="00D36ADC">
      <w:pPr>
        <w:pStyle w:val="SDText"/>
        <w:contextualSpacing/>
      </w:pPr>
    </w:p>
    <w:p w14:paraId="0CF249C7" w14:textId="249BAB5A" w:rsidR="00753288" w:rsidRPr="00D36ADC" w:rsidRDefault="000E71B0" w:rsidP="00D62B3D">
      <w:pPr>
        <w:pStyle w:val="SDText"/>
        <w:spacing w:after="0"/>
        <w:ind w:firstLine="0"/>
      </w:pPr>
      <w:bookmarkStart w:id="111" w:name="_Ref121139639"/>
      <w:r w:rsidRPr="000E71B0">
        <w:rPr>
          <w:b/>
          <w:bCs/>
        </w:rPr>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3</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2</w:t>
      </w:r>
      <w:r w:rsidR="00652269">
        <w:rPr>
          <w:b/>
          <w:bCs/>
        </w:rPr>
        <w:fldChar w:fldCharType="end"/>
      </w:r>
      <w:bookmarkEnd w:id="111"/>
      <w:r w:rsidR="00D36ADC" w:rsidRPr="000E71B0">
        <w:rPr>
          <w:b/>
          <w:bCs/>
        </w:rPr>
        <w:t>.</w:t>
      </w:r>
      <w:r w:rsidR="00D36ADC">
        <w:rPr>
          <w:b/>
        </w:rPr>
        <w:t xml:space="preserve"> </w:t>
      </w:r>
      <w:r w:rsidR="00D36ADC">
        <w:t>Фармакокинетические показатели тофацитиниба после о</w:t>
      </w:r>
      <w:r w:rsidR="00D2756E">
        <w:t>д</w:t>
      </w:r>
      <w:r w:rsidR="00D36ADC">
        <w:t>нократного внутривенного введения крысам, собакам и обезьянам.</w:t>
      </w:r>
    </w:p>
    <w:tbl>
      <w:tblPr>
        <w:tblStyle w:val="a4"/>
        <w:tblW w:w="0" w:type="auto"/>
        <w:jc w:val="center"/>
        <w:tblLook w:val="04A0" w:firstRow="1" w:lastRow="0" w:firstColumn="1" w:lastColumn="0" w:noHBand="0" w:noVBand="1"/>
      </w:tblPr>
      <w:tblGrid>
        <w:gridCol w:w="1223"/>
        <w:gridCol w:w="989"/>
        <w:gridCol w:w="2130"/>
        <w:gridCol w:w="938"/>
        <w:gridCol w:w="1335"/>
        <w:gridCol w:w="849"/>
        <w:gridCol w:w="792"/>
        <w:gridCol w:w="1089"/>
      </w:tblGrid>
      <w:tr w:rsidR="00B200E0" w14:paraId="66220773" w14:textId="77777777" w:rsidTr="0095267B">
        <w:trPr>
          <w:tblHeader/>
          <w:jc w:val="center"/>
        </w:trPr>
        <w:tc>
          <w:tcPr>
            <w:tcW w:w="1223" w:type="dxa"/>
            <w:shd w:val="clear" w:color="auto" w:fill="D9D9D9" w:themeFill="background1" w:themeFillShade="D9"/>
            <w:vAlign w:val="center"/>
          </w:tcPr>
          <w:p w14:paraId="2AEBD41D" w14:textId="29B6510F" w:rsidR="00A12178" w:rsidRPr="006F2580" w:rsidRDefault="006F2580" w:rsidP="0095267B">
            <w:pPr>
              <w:ind w:firstLine="0"/>
              <w:contextualSpacing/>
              <w:jc w:val="center"/>
              <w:rPr>
                <w:b/>
                <w:bCs/>
              </w:rPr>
            </w:pPr>
            <w:r>
              <w:rPr>
                <w:b/>
                <w:bCs/>
              </w:rPr>
              <w:t>Вид</w:t>
            </w:r>
          </w:p>
        </w:tc>
        <w:tc>
          <w:tcPr>
            <w:tcW w:w="989" w:type="dxa"/>
            <w:shd w:val="clear" w:color="auto" w:fill="D9D9D9" w:themeFill="background1" w:themeFillShade="D9"/>
            <w:vAlign w:val="center"/>
          </w:tcPr>
          <w:p w14:paraId="3435219F" w14:textId="4E59C122" w:rsidR="00A12178" w:rsidRPr="006F2580" w:rsidRDefault="006F2580" w:rsidP="0095267B">
            <w:pPr>
              <w:ind w:firstLine="0"/>
              <w:contextualSpacing/>
              <w:jc w:val="center"/>
              <w:rPr>
                <w:b/>
                <w:bCs/>
              </w:rPr>
            </w:pPr>
            <w:r>
              <w:rPr>
                <w:b/>
                <w:bCs/>
              </w:rPr>
              <w:t>Пол</w:t>
            </w:r>
          </w:p>
        </w:tc>
        <w:tc>
          <w:tcPr>
            <w:tcW w:w="2130" w:type="dxa"/>
            <w:shd w:val="clear" w:color="auto" w:fill="D9D9D9" w:themeFill="background1" w:themeFillShade="D9"/>
            <w:vAlign w:val="center"/>
          </w:tcPr>
          <w:p w14:paraId="7557965E" w14:textId="088504FD" w:rsidR="00A12178" w:rsidRPr="006F2580" w:rsidRDefault="006F2580" w:rsidP="0095267B">
            <w:pPr>
              <w:ind w:firstLine="0"/>
              <w:contextualSpacing/>
              <w:jc w:val="center"/>
              <w:rPr>
                <w:b/>
                <w:bCs/>
              </w:rPr>
            </w:pPr>
            <w:r>
              <w:rPr>
                <w:b/>
                <w:bCs/>
              </w:rPr>
              <w:t>Носитель</w:t>
            </w:r>
          </w:p>
        </w:tc>
        <w:tc>
          <w:tcPr>
            <w:tcW w:w="938" w:type="dxa"/>
            <w:shd w:val="clear" w:color="auto" w:fill="D9D9D9" w:themeFill="background1" w:themeFillShade="D9"/>
            <w:vAlign w:val="center"/>
          </w:tcPr>
          <w:p w14:paraId="3C308A89" w14:textId="6179535D" w:rsidR="00A12178" w:rsidRPr="006F2580" w:rsidRDefault="007422C4" w:rsidP="0095267B">
            <w:pPr>
              <w:ind w:firstLine="0"/>
              <w:contextualSpacing/>
              <w:jc w:val="center"/>
              <w:rPr>
                <w:b/>
                <w:bCs/>
              </w:rPr>
            </w:pPr>
            <w:r>
              <w:rPr>
                <w:b/>
                <w:bCs/>
              </w:rPr>
              <w:t>Доза</w:t>
            </w:r>
            <w:r w:rsidR="00A70A51">
              <w:rPr>
                <w:b/>
                <w:bCs/>
              </w:rPr>
              <w:t>, мг/кг</w:t>
            </w:r>
          </w:p>
        </w:tc>
        <w:tc>
          <w:tcPr>
            <w:tcW w:w="1335" w:type="dxa"/>
            <w:shd w:val="clear" w:color="auto" w:fill="D9D9D9" w:themeFill="background1" w:themeFillShade="D9"/>
            <w:vAlign w:val="center"/>
          </w:tcPr>
          <w:p w14:paraId="2D3F834F" w14:textId="5E3A54EC" w:rsidR="00A12178" w:rsidRPr="00CD6281" w:rsidRDefault="007422C4" w:rsidP="0095267B">
            <w:pPr>
              <w:ind w:firstLine="0"/>
              <w:contextualSpacing/>
              <w:jc w:val="center"/>
              <w:rPr>
                <w:b/>
                <w:bCs/>
              </w:rPr>
            </w:pPr>
            <w:r>
              <w:rPr>
                <w:b/>
                <w:bCs/>
                <w:lang w:val="en-US"/>
              </w:rPr>
              <w:t>CL</w:t>
            </w:r>
            <w:r w:rsidR="00CD6281">
              <w:rPr>
                <w:b/>
                <w:bCs/>
              </w:rPr>
              <w:t>, мл/мин/кг</w:t>
            </w:r>
          </w:p>
        </w:tc>
        <w:tc>
          <w:tcPr>
            <w:tcW w:w="849" w:type="dxa"/>
            <w:shd w:val="clear" w:color="auto" w:fill="D9D9D9" w:themeFill="background1" w:themeFillShade="D9"/>
            <w:vAlign w:val="center"/>
          </w:tcPr>
          <w:p w14:paraId="789D49DC" w14:textId="5432A1F4" w:rsidR="00A12178" w:rsidRPr="007B4508" w:rsidRDefault="007422C4" w:rsidP="0095267B">
            <w:pPr>
              <w:ind w:firstLine="0"/>
              <w:contextualSpacing/>
              <w:jc w:val="center"/>
              <w:rPr>
                <w:b/>
                <w:bCs/>
              </w:rPr>
            </w:pPr>
            <w:r>
              <w:rPr>
                <w:b/>
                <w:bCs/>
                <w:lang w:val="en-US"/>
              </w:rPr>
              <w:t>V</w:t>
            </w:r>
            <w:r w:rsidRPr="007B4508">
              <w:rPr>
                <w:b/>
                <w:bCs/>
                <w:vertAlign w:val="subscript"/>
                <w:lang w:val="en-US"/>
              </w:rPr>
              <w:t>ss</w:t>
            </w:r>
            <w:r w:rsidR="007B4508">
              <w:rPr>
                <w:b/>
                <w:bCs/>
              </w:rPr>
              <w:t>, л/кг</w:t>
            </w:r>
          </w:p>
        </w:tc>
        <w:tc>
          <w:tcPr>
            <w:tcW w:w="792" w:type="dxa"/>
            <w:shd w:val="clear" w:color="auto" w:fill="D9D9D9" w:themeFill="background1" w:themeFillShade="D9"/>
            <w:vAlign w:val="center"/>
          </w:tcPr>
          <w:p w14:paraId="452766CC" w14:textId="7F6EE636" w:rsidR="00A12178" w:rsidRPr="00560F53" w:rsidRDefault="00F033B3" w:rsidP="0095267B">
            <w:pPr>
              <w:ind w:firstLine="0"/>
              <w:contextualSpacing/>
              <w:jc w:val="center"/>
              <w:rPr>
                <w:b/>
                <w:bCs/>
              </w:rPr>
            </w:pPr>
            <w:r>
              <w:rPr>
                <w:b/>
                <w:bCs/>
                <w:lang w:val="en-US"/>
              </w:rPr>
              <w:t>T</w:t>
            </w:r>
            <w:r w:rsidR="007422C4">
              <w:rPr>
                <w:b/>
                <w:bCs/>
                <w:vertAlign w:val="subscript"/>
                <w:lang w:val="en-US"/>
              </w:rPr>
              <w:t>1/2</w:t>
            </w:r>
            <w:r w:rsidR="002736A9">
              <w:rPr>
                <w:rFonts w:cs="Times New Roman"/>
                <w:b/>
                <w:bCs/>
                <w:vertAlign w:val="subscript"/>
                <w:lang w:val="en-US"/>
              </w:rPr>
              <w:t>β</w:t>
            </w:r>
            <w:r w:rsidR="00560F53">
              <w:rPr>
                <w:b/>
                <w:bCs/>
              </w:rPr>
              <w:t>, ч</w:t>
            </w:r>
          </w:p>
        </w:tc>
        <w:tc>
          <w:tcPr>
            <w:tcW w:w="1089" w:type="dxa"/>
            <w:shd w:val="clear" w:color="auto" w:fill="D9D9D9" w:themeFill="background1" w:themeFillShade="D9"/>
            <w:vAlign w:val="center"/>
          </w:tcPr>
          <w:p w14:paraId="139F6CEA" w14:textId="37280BA4" w:rsidR="00A12178" w:rsidRPr="00CD6281" w:rsidRDefault="00921B26" w:rsidP="0095267B">
            <w:pPr>
              <w:ind w:firstLine="0"/>
              <w:contextualSpacing/>
              <w:jc w:val="center"/>
              <w:rPr>
                <w:b/>
                <w:bCs/>
              </w:rPr>
            </w:pPr>
            <w:bookmarkStart w:id="112" w:name="_Hlk113618772"/>
            <w:bookmarkStart w:id="113" w:name="_Hlk113618608"/>
            <w:r>
              <w:rPr>
                <w:b/>
                <w:bCs/>
                <w:lang w:val="en-US"/>
              </w:rPr>
              <w:t>AUC</w:t>
            </w:r>
            <w:r w:rsidRPr="00921B26">
              <w:rPr>
                <w:b/>
                <w:bCs/>
                <w:vertAlign w:val="subscript"/>
                <w:lang w:val="en-US"/>
              </w:rPr>
              <w:t>(0-</w:t>
            </w:r>
            <w:r w:rsidRPr="00921B26">
              <w:rPr>
                <w:rFonts w:cs="Times New Roman"/>
                <w:b/>
                <w:bCs/>
                <w:vertAlign w:val="subscript"/>
                <w:lang w:val="en-US"/>
              </w:rPr>
              <w:t>∞)</w:t>
            </w:r>
            <w:bookmarkEnd w:id="112"/>
            <w:r w:rsidR="00CD6281">
              <w:rPr>
                <w:rFonts w:cs="Times New Roman"/>
                <w:b/>
                <w:bCs/>
              </w:rPr>
              <w:t xml:space="preserve">, </w:t>
            </w:r>
            <w:bookmarkEnd w:id="113"/>
            <w:r w:rsidR="00CD6281">
              <w:rPr>
                <w:rFonts w:cs="Times New Roman"/>
                <w:b/>
                <w:bCs/>
              </w:rPr>
              <w:t>нг*ч/мл</w:t>
            </w:r>
          </w:p>
        </w:tc>
      </w:tr>
      <w:tr w:rsidR="000F3F78" w14:paraId="0C50686E" w14:textId="77777777" w:rsidTr="0095267B">
        <w:trPr>
          <w:jc w:val="center"/>
        </w:trPr>
        <w:tc>
          <w:tcPr>
            <w:tcW w:w="1223" w:type="dxa"/>
            <w:vMerge w:val="restart"/>
          </w:tcPr>
          <w:p w14:paraId="4284BAB1" w14:textId="2F87457E" w:rsidR="00261A6D" w:rsidRPr="00261A6D" w:rsidRDefault="00261A6D" w:rsidP="00D36ADC">
            <w:pPr>
              <w:ind w:firstLine="0"/>
              <w:contextualSpacing/>
              <w:jc w:val="left"/>
            </w:pPr>
            <w:r>
              <w:t>Крысы</w:t>
            </w:r>
          </w:p>
        </w:tc>
        <w:tc>
          <w:tcPr>
            <w:tcW w:w="989" w:type="dxa"/>
          </w:tcPr>
          <w:p w14:paraId="78FAF210" w14:textId="6EA4696E" w:rsidR="00261A6D" w:rsidRDefault="00261A6D" w:rsidP="00D36ADC">
            <w:pPr>
              <w:ind w:firstLine="0"/>
              <w:contextualSpacing/>
            </w:pPr>
            <w:r>
              <w:t>самцы</w:t>
            </w:r>
          </w:p>
        </w:tc>
        <w:tc>
          <w:tcPr>
            <w:tcW w:w="2130" w:type="dxa"/>
            <w:vAlign w:val="center"/>
          </w:tcPr>
          <w:p w14:paraId="4E2540E1" w14:textId="441F9D69" w:rsidR="00261A6D" w:rsidRDefault="00733ECD" w:rsidP="00D36ADC">
            <w:pPr>
              <w:ind w:firstLine="0"/>
              <w:contextualSpacing/>
            </w:pPr>
            <w:r>
              <w:t>70% вода, 20 кремофор, 10% этанол или глицеролформал</w:t>
            </w:r>
            <w:r w:rsidR="000F3F78">
              <w:t>ь</w:t>
            </w:r>
          </w:p>
        </w:tc>
        <w:tc>
          <w:tcPr>
            <w:tcW w:w="938" w:type="dxa"/>
            <w:vAlign w:val="center"/>
          </w:tcPr>
          <w:p w14:paraId="0636D554" w14:textId="667325DF" w:rsidR="00261A6D" w:rsidRDefault="00A70A51" w:rsidP="0095267B">
            <w:pPr>
              <w:ind w:firstLine="0"/>
              <w:contextualSpacing/>
              <w:jc w:val="center"/>
            </w:pPr>
            <w:r>
              <w:t>3 или 10</w:t>
            </w:r>
          </w:p>
        </w:tc>
        <w:tc>
          <w:tcPr>
            <w:tcW w:w="1335" w:type="dxa"/>
            <w:vAlign w:val="center"/>
          </w:tcPr>
          <w:p w14:paraId="00A2A5FA" w14:textId="1D0ABFDE" w:rsidR="00261A6D" w:rsidRDefault="006A4D05" w:rsidP="0095267B">
            <w:pPr>
              <w:ind w:firstLine="0"/>
              <w:contextualSpacing/>
              <w:jc w:val="center"/>
            </w:pPr>
            <w:r>
              <w:t xml:space="preserve">62 </w:t>
            </w:r>
            <w:r>
              <w:rPr>
                <w:rFonts w:cs="Times New Roman"/>
              </w:rPr>
              <w:t>±</w:t>
            </w:r>
            <w:r>
              <w:t xml:space="preserve"> 14</w:t>
            </w:r>
          </w:p>
        </w:tc>
        <w:tc>
          <w:tcPr>
            <w:tcW w:w="849" w:type="dxa"/>
            <w:vAlign w:val="center"/>
          </w:tcPr>
          <w:p w14:paraId="7AC60C9B" w14:textId="3B1E39FD" w:rsidR="00261A6D" w:rsidRDefault="006A4D05" w:rsidP="0095267B">
            <w:pPr>
              <w:ind w:firstLine="0"/>
              <w:contextualSpacing/>
              <w:jc w:val="center"/>
            </w:pPr>
            <w:r>
              <w:t xml:space="preserve">2,6 </w:t>
            </w:r>
            <w:r>
              <w:rPr>
                <w:rFonts w:cs="Times New Roman"/>
              </w:rPr>
              <w:t>±</w:t>
            </w:r>
            <w:r>
              <w:t xml:space="preserve"> 1,3</w:t>
            </w:r>
          </w:p>
        </w:tc>
        <w:tc>
          <w:tcPr>
            <w:tcW w:w="792" w:type="dxa"/>
            <w:vAlign w:val="center"/>
          </w:tcPr>
          <w:p w14:paraId="1ADE9DA2" w14:textId="29D00AB4" w:rsidR="00261A6D" w:rsidRDefault="006A4D05" w:rsidP="0095267B">
            <w:pPr>
              <w:ind w:firstLine="0"/>
              <w:contextualSpacing/>
              <w:jc w:val="center"/>
            </w:pPr>
            <w:r>
              <w:t xml:space="preserve">0,6 </w:t>
            </w:r>
            <w:r>
              <w:rPr>
                <w:rFonts w:cs="Times New Roman"/>
              </w:rPr>
              <w:t>±</w:t>
            </w:r>
            <w:r>
              <w:t xml:space="preserve"> 0,1</w:t>
            </w:r>
          </w:p>
        </w:tc>
        <w:tc>
          <w:tcPr>
            <w:tcW w:w="1089" w:type="dxa"/>
            <w:vAlign w:val="center"/>
          </w:tcPr>
          <w:p w14:paraId="69521083" w14:textId="2C734247" w:rsidR="00261A6D" w:rsidRDefault="006928FD" w:rsidP="0095267B">
            <w:pPr>
              <w:ind w:firstLine="0"/>
              <w:contextualSpacing/>
              <w:jc w:val="center"/>
            </w:pPr>
            <w:r>
              <w:t xml:space="preserve">840 </w:t>
            </w:r>
            <w:r>
              <w:rPr>
                <w:rFonts w:cs="Times New Roman"/>
              </w:rPr>
              <w:t>±</w:t>
            </w:r>
            <w:r>
              <w:t xml:space="preserve"> 184</w:t>
            </w:r>
            <w:r w:rsidR="0079320B">
              <w:t>*</w:t>
            </w:r>
          </w:p>
        </w:tc>
      </w:tr>
      <w:tr w:rsidR="00563DF6" w14:paraId="64E8E5A5" w14:textId="77777777" w:rsidTr="0095267B">
        <w:trPr>
          <w:jc w:val="center"/>
        </w:trPr>
        <w:tc>
          <w:tcPr>
            <w:tcW w:w="1223" w:type="dxa"/>
            <w:vMerge/>
          </w:tcPr>
          <w:p w14:paraId="03C2FA96" w14:textId="77777777" w:rsidR="00793D89" w:rsidRDefault="00793D89" w:rsidP="00D36ADC">
            <w:pPr>
              <w:contextualSpacing/>
            </w:pPr>
          </w:p>
        </w:tc>
        <w:tc>
          <w:tcPr>
            <w:tcW w:w="989" w:type="dxa"/>
          </w:tcPr>
          <w:p w14:paraId="6A140FED" w14:textId="6D8AFC86" w:rsidR="00793D89" w:rsidRDefault="00793D89" w:rsidP="00D36ADC">
            <w:pPr>
              <w:ind w:firstLine="0"/>
              <w:contextualSpacing/>
            </w:pPr>
            <w:r>
              <w:t>самцы</w:t>
            </w:r>
          </w:p>
        </w:tc>
        <w:tc>
          <w:tcPr>
            <w:tcW w:w="2130" w:type="dxa"/>
            <w:vMerge w:val="restart"/>
            <w:vAlign w:val="center"/>
          </w:tcPr>
          <w:p w14:paraId="1EB3E339" w14:textId="42DC588D" w:rsidR="00793D89" w:rsidRDefault="00793D89" w:rsidP="00D36ADC">
            <w:pPr>
              <w:ind w:firstLine="0"/>
              <w:contextualSpacing/>
            </w:pPr>
            <w:r>
              <w:t>25% сульфобутил</w:t>
            </w:r>
            <w:r w:rsidR="000F3F78">
              <w:t xml:space="preserve">овый </w:t>
            </w:r>
            <w:r>
              <w:t>эфир</w:t>
            </w:r>
            <w:r w:rsidR="000F3F78">
              <w:t xml:space="preserve"> </w:t>
            </w:r>
            <w:r>
              <w:rPr>
                <w:rFonts w:cs="Times New Roman"/>
              </w:rPr>
              <w:t>β</w:t>
            </w:r>
            <w:r>
              <w:t>-циклодекстрин</w:t>
            </w:r>
            <w:r w:rsidR="000F3F78">
              <w:t>а</w:t>
            </w:r>
          </w:p>
        </w:tc>
        <w:tc>
          <w:tcPr>
            <w:tcW w:w="938" w:type="dxa"/>
            <w:vMerge w:val="restart"/>
            <w:vAlign w:val="center"/>
          </w:tcPr>
          <w:p w14:paraId="7620B94D" w14:textId="5072D91C" w:rsidR="00793D89" w:rsidRDefault="00793D89" w:rsidP="0095267B">
            <w:pPr>
              <w:ind w:firstLine="0"/>
              <w:contextualSpacing/>
              <w:jc w:val="center"/>
            </w:pPr>
            <w:r>
              <w:t>5</w:t>
            </w:r>
          </w:p>
        </w:tc>
        <w:tc>
          <w:tcPr>
            <w:tcW w:w="1335" w:type="dxa"/>
            <w:vAlign w:val="center"/>
          </w:tcPr>
          <w:p w14:paraId="6071B6A2" w14:textId="2EF9F51E" w:rsidR="00793D89" w:rsidRDefault="009D754B" w:rsidP="0095267B">
            <w:pPr>
              <w:ind w:firstLine="0"/>
              <w:contextualSpacing/>
              <w:jc w:val="center"/>
            </w:pPr>
            <w:r>
              <w:t xml:space="preserve">29 </w:t>
            </w:r>
            <w:r>
              <w:rPr>
                <w:rFonts w:cs="Times New Roman"/>
              </w:rPr>
              <w:t>±</w:t>
            </w:r>
            <w:r>
              <w:t xml:space="preserve"> 11</w:t>
            </w:r>
          </w:p>
        </w:tc>
        <w:tc>
          <w:tcPr>
            <w:tcW w:w="849" w:type="dxa"/>
            <w:vAlign w:val="center"/>
          </w:tcPr>
          <w:p w14:paraId="057841D7" w14:textId="12766D63" w:rsidR="00793D89" w:rsidRDefault="009D754B" w:rsidP="0095267B">
            <w:pPr>
              <w:ind w:firstLine="0"/>
              <w:contextualSpacing/>
              <w:jc w:val="center"/>
            </w:pPr>
            <w:r>
              <w:t xml:space="preserve">1,6 </w:t>
            </w:r>
            <w:r>
              <w:rPr>
                <w:rFonts w:cs="Times New Roman"/>
              </w:rPr>
              <w:t>±</w:t>
            </w:r>
            <w:r>
              <w:t xml:space="preserve"> 0,3</w:t>
            </w:r>
          </w:p>
        </w:tc>
        <w:tc>
          <w:tcPr>
            <w:tcW w:w="792" w:type="dxa"/>
            <w:vAlign w:val="center"/>
          </w:tcPr>
          <w:p w14:paraId="7182988A" w14:textId="68FE0782" w:rsidR="00793D89" w:rsidRDefault="009D754B" w:rsidP="0095267B">
            <w:pPr>
              <w:ind w:firstLine="0"/>
              <w:contextualSpacing/>
              <w:jc w:val="center"/>
            </w:pPr>
            <w:r>
              <w:t xml:space="preserve">2,8 </w:t>
            </w:r>
            <w:r>
              <w:rPr>
                <w:rFonts w:cs="Times New Roman"/>
              </w:rPr>
              <w:t>±</w:t>
            </w:r>
            <w:r>
              <w:t xml:space="preserve"> </w:t>
            </w:r>
            <w:r w:rsidR="005A1D4A">
              <w:t>0,8</w:t>
            </w:r>
          </w:p>
        </w:tc>
        <w:tc>
          <w:tcPr>
            <w:tcW w:w="1089" w:type="dxa"/>
            <w:vAlign w:val="center"/>
          </w:tcPr>
          <w:p w14:paraId="3A22D241" w14:textId="326225C2" w:rsidR="00793D89" w:rsidRDefault="005A1D4A" w:rsidP="0095267B">
            <w:pPr>
              <w:ind w:firstLine="0"/>
              <w:contextualSpacing/>
              <w:jc w:val="center"/>
            </w:pPr>
            <w:r>
              <w:t xml:space="preserve">3200 </w:t>
            </w:r>
            <w:r>
              <w:rPr>
                <w:rFonts w:cs="Times New Roman"/>
              </w:rPr>
              <w:t>±</w:t>
            </w:r>
            <w:r>
              <w:t xml:space="preserve"> 1170</w:t>
            </w:r>
          </w:p>
        </w:tc>
      </w:tr>
      <w:tr w:rsidR="00563DF6" w14:paraId="335AA559" w14:textId="77777777" w:rsidTr="0095267B">
        <w:trPr>
          <w:jc w:val="center"/>
        </w:trPr>
        <w:tc>
          <w:tcPr>
            <w:tcW w:w="1223" w:type="dxa"/>
            <w:vMerge/>
          </w:tcPr>
          <w:p w14:paraId="55BEE992" w14:textId="77777777" w:rsidR="00793D89" w:rsidRDefault="00793D89" w:rsidP="00D36ADC">
            <w:pPr>
              <w:contextualSpacing/>
            </w:pPr>
          </w:p>
        </w:tc>
        <w:tc>
          <w:tcPr>
            <w:tcW w:w="989" w:type="dxa"/>
          </w:tcPr>
          <w:p w14:paraId="18135ED5" w14:textId="17D0366E" w:rsidR="00793D89" w:rsidRDefault="00793D89" w:rsidP="00D36ADC">
            <w:pPr>
              <w:ind w:firstLine="0"/>
              <w:contextualSpacing/>
            </w:pPr>
            <w:r>
              <w:t>самки</w:t>
            </w:r>
          </w:p>
        </w:tc>
        <w:tc>
          <w:tcPr>
            <w:tcW w:w="2130" w:type="dxa"/>
            <w:vMerge/>
            <w:vAlign w:val="center"/>
          </w:tcPr>
          <w:p w14:paraId="3A29CE39" w14:textId="77777777" w:rsidR="00793D89" w:rsidRDefault="00793D89" w:rsidP="00D36ADC">
            <w:pPr>
              <w:contextualSpacing/>
            </w:pPr>
          </w:p>
        </w:tc>
        <w:tc>
          <w:tcPr>
            <w:tcW w:w="938" w:type="dxa"/>
            <w:vMerge/>
            <w:vAlign w:val="center"/>
          </w:tcPr>
          <w:p w14:paraId="70D92710" w14:textId="77777777" w:rsidR="00793D89" w:rsidRDefault="00793D89" w:rsidP="0095267B">
            <w:pPr>
              <w:contextualSpacing/>
              <w:jc w:val="center"/>
            </w:pPr>
          </w:p>
        </w:tc>
        <w:tc>
          <w:tcPr>
            <w:tcW w:w="1335" w:type="dxa"/>
            <w:vAlign w:val="center"/>
          </w:tcPr>
          <w:p w14:paraId="55BC8028" w14:textId="01EC69BD" w:rsidR="00793D89" w:rsidRDefault="007456DE" w:rsidP="0095267B">
            <w:pPr>
              <w:ind w:firstLine="0"/>
              <w:contextualSpacing/>
              <w:jc w:val="center"/>
            </w:pPr>
            <w:r>
              <w:t xml:space="preserve">42 </w:t>
            </w:r>
            <w:r>
              <w:rPr>
                <w:rFonts w:cs="Times New Roman"/>
              </w:rPr>
              <w:t>±</w:t>
            </w:r>
            <w:r>
              <w:t xml:space="preserve"> 20</w:t>
            </w:r>
          </w:p>
        </w:tc>
        <w:tc>
          <w:tcPr>
            <w:tcW w:w="849" w:type="dxa"/>
            <w:vAlign w:val="center"/>
          </w:tcPr>
          <w:p w14:paraId="3B8D5560" w14:textId="4349B5E0" w:rsidR="00793D89" w:rsidRDefault="007456DE" w:rsidP="0095267B">
            <w:pPr>
              <w:ind w:firstLine="0"/>
              <w:contextualSpacing/>
              <w:jc w:val="center"/>
            </w:pPr>
            <w:r>
              <w:t xml:space="preserve">1,4 </w:t>
            </w:r>
            <w:r>
              <w:rPr>
                <w:rFonts w:cs="Times New Roman"/>
              </w:rPr>
              <w:t>±</w:t>
            </w:r>
            <w:r>
              <w:t xml:space="preserve"> 0,2</w:t>
            </w:r>
          </w:p>
        </w:tc>
        <w:tc>
          <w:tcPr>
            <w:tcW w:w="792" w:type="dxa"/>
            <w:vAlign w:val="center"/>
          </w:tcPr>
          <w:p w14:paraId="38110B5B" w14:textId="792688A5" w:rsidR="00793D89" w:rsidRDefault="00482707" w:rsidP="0095267B">
            <w:pPr>
              <w:ind w:firstLine="0"/>
              <w:contextualSpacing/>
              <w:jc w:val="center"/>
            </w:pPr>
            <w:r>
              <w:t xml:space="preserve">1,8 </w:t>
            </w:r>
            <w:r>
              <w:rPr>
                <w:rFonts w:cs="Times New Roman"/>
              </w:rPr>
              <w:t>±</w:t>
            </w:r>
            <w:r>
              <w:t xml:space="preserve"> 1,3</w:t>
            </w:r>
          </w:p>
        </w:tc>
        <w:tc>
          <w:tcPr>
            <w:tcW w:w="1089" w:type="dxa"/>
            <w:vAlign w:val="center"/>
          </w:tcPr>
          <w:p w14:paraId="00ED86D7" w14:textId="7749D01B" w:rsidR="00793D89" w:rsidRDefault="00482707" w:rsidP="0095267B">
            <w:pPr>
              <w:ind w:firstLine="0"/>
              <w:contextualSpacing/>
              <w:jc w:val="center"/>
            </w:pPr>
            <w:r>
              <w:t xml:space="preserve">2730 </w:t>
            </w:r>
            <w:r>
              <w:rPr>
                <w:rFonts w:cs="Times New Roman"/>
              </w:rPr>
              <w:t>±</w:t>
            </w:r>
            <w:r>
              <w:t xml:space="preserve"> 2200</w:t>
            </w:r>
          </w:p>
        </w:tc>
      </w:tr>
      <w:tr w:rsidR="00563DF6" w14:paraId="04DB00B1" w14:textId="77777777" w:rsidTr="0095267B">
        <w:trPr>
          <w:jc w:val="center"/>
        </w:trPr>
        <w:tc>
          <w:tcPr>
            <w:tcW w:w="1223" w:type="dxa"/>
          </w:tcPr>
          <w:p w14:paraId="37860680" w14:textId="75D6147B" w:rsidR="00A12178" w:rsidRDefault="0045132A" w:rsidP="00D36ADC">
            <w:pPr>
              <w:ind w:firstLine="0"/>
              <w:contextualSpacing/>
            </w:pPr>
            <w:r>
              <w:t>Собаки</w:t>
            </w:r>
          </w:p>
        </w:tc>
        <w:tc>
          <w:tcPr>
            <w:tcW w:w="989" w:type="dxa"/>
          </w:tcPr>
          <w:p w14:paraId="2BB42033" w14:textId="4E3B30D8" w:rsidR="00A12178" w:rsidRDefault="0045132A" w:rsidP="00D36ADC">
            <w:pPr>
              <w:ind w:firstLine="0"/>
              <w:contextualSpacing/>
            </w:pPr>
            <w:r>
              <w:t>самцы и самки</w:t>
            </w:r>
          </w:p>
        </w:tc>
        <w:tc>
          <w:tcPr>
            <w:tcW w:w="2130" w:type="dxa"/>
            <w:vAlign w:val="center"/>
          </w:tcPr>
          <w:p w14:paraId="38440F75" w14:textId="251794C0" w:rsidR="00A12178" w:rsidRDefault="0045132A" w:rsidP="00D2756E">
            <w:pPr>
              <w:ind w:firstLine="0"/>
              <w:contextualSpacing/>
            </w:pPr>
            <w:r>
              <w:t>60% 0,1 М раствор ме</w:t>
            </w:r>
            <w:r w:rsidR="00D2756E">
              <w:t>г</w:t>
            </w:r>
            <w:r>
              <w:t>лумина</w:t>
            </w:r>
            <w:r w:rsidR="00B200E0">
              <w:t>, 40% глицеролформал</w:t>
            </w:r>
            <w:r w:rsidR="006637BA">
              <w:t>ь</w:t>
            </w:r>
          </w:p>
        </w:tc>
        <w:tc>
          <w:tcPr>
            <w:tcW w:w="938" w:type="dxa"/>
            <w:vAlign w:val="center"/>
          </w:tcPr>
          <w:p w14:paraId="2611C78F" w14:textId="00ABCF38" w:rsidR="00A12178" w:rsidRDefault="00B200E0" w:rsidP="0095267B">
            <w:pPr>
              <w:ind w:firstLine="0"/>
              <w:contextualSpacing/>
              <w:jc w:val="center"/>
            </w:pPr>
            <w:r>
              <w:t>3</w:t>
            </w:r>
          </w:p>
        </w:tc>
        <w:tc>
          <w:tcPr>
            <w:tcW w:w="1335" w:type="dxa"/>
            <w:vAlign w:val="center"/>
          </w:tcPr>
          <w:p w14:paraId="13217A71" w14:textId="4D6B41CA" w:rsidR="00A12178" w:rsidRDefault="00B200E0" w:rsidP="0095267B">
            <w:pPr>
              <w:ind w:firstLine="0"/>
              <w:contextualSpacing/>
              <w:jc w:val="center"/>
            </w:pPr>
            <w:r>
              <w:t xml:space="preserve">19 </w:t>
            </w:r>
            <w:r>
              <w:rPr>
                <w:rFonts w:cs="Times New Roman"/>
              </w:rPr>
              <w:t>±</w:t>
            </w:r>
            <w:r>
              <w:t xml:space="preserve"> 10</w:t>
            </w:r>
          </w:p>
        </w:tc>
        <w:tc>
          <w:tcPr>
            <w:tcW w:w="849" w:type="dxa"/>
            <w:vAlign w:val="center"/>
          </w:tcPr>
          <w:p w14:paraId="0662EB17" w14:textId="0C7D145F" w:rsidR="00A12178" w:rsidRDefault="00563DF6" w:rsidP="0095267B">
            <w:pPr>
              <w:ind w:firstLine="0"/>
              <w:contextualSpacing/>
              <w:jc w:val="center"/>
            </w:pPr>
            <w:r>
              <w:t xml:space="preserve">1,8 </w:t>
            </w:r>
            <w:r>
              <w:rPr>
                <w:rFonts w:cs="Times New Roman"/>
              </w:rPr>
              <w:t>±</w:t>
            </w:r>
            <w:r>
              <w:t xml:space="preserve"> 0,8</w:t>
            </w:r>
          </w:p>
        </w:tc>
        <w:tc>
          <w:tcPr>
            <w:tcW w:w="792" w:type="dxa"/>
            <w:vAlign w:val="center"/>
          </w:tcPr>
          <w:p w14:paraId="1BE18103" w14:textId="6774C6C6" w:rsidR="00A12178" w:rsidRDefault="00563DF6" w:rsidP="0095267B">
            <w:pPr>
              <w:ind w:firstLine="0"/>
              <w:contextualSpacing/>
              <w:jc w:val="center"/>
            </w:pPr>
            <w:r>
              <w:t xml:space="preserve">1,2 </w:t>
            </w:r>
            <w:r>
              <w:rPr>
                <w:rFonts w:cs="Times New Roman"/>
              </w:rPr>
              <w:t>±</w:t>
            </w:r>
            <w:r>
              <w:t xml:space="preserve"> 0,1</w:t>
            </w:r>
          </w:p>
        </w:tc>
        <w:tc>
          <w:tcPr>
            <w:tcW w:w="1089" w:type="dxa"/>
            <w:vAlign w:val="center"/>
          </w:tcPr>
          <w:p w14:paraId="351F17A6" w14:textId="5A58465E" w:rsidR="00A12178" w:rsidRDefault="00563DF6" w:rsidP="0095267B">
            <w:pPr>
              <w:ind w:firstLine="0"/>
              <w:contextualSpacing/>
              <w:jc w:val="center"/>
            </w:pPr>
            <w:r>
              <w:t xml:space="preserve">3250 </w:t>
            </w:r>
            <w:r>
              <w:rPr>
                <w:rFonts w:cs="Times New Roman"/>
              </w:rPr>
              <w:t>±</w:t>
            </w:r>
            <w:r>
              <w:t xml:space="preserve"> 1610</w:t>
            </w:r>
          </w:p>
        </w:tc>
      </w:tr>
      <w:tr w:rsidR="00563DF6" w14:paraId="659791F4" w14:textId="77777777" w:rsidTr="0095267B">
        <w:trPr>
          <w:jc w:val="center"/>
        </w:trPr>
        <w:tc>
          <w:tcPr>
            <w:tcW w:w="1223" w:type="dxa"/>
          </w:tcPr>
          <w:p w14:paraId="60B6416B" w14:textId="56084FC3" w:rsidR="00A12178" w:rsidRDefault="00563DF6" w:rsidP="00D36ADC">
            <w:pPr>
              <w:ind w:firstLine="0"/>
              <w:contextualSpacing/>
            </w:pPr>
            <w:r>
              <w:t>Обезьяны</w:t>
            </w:r>
          </w:p>
        </w:tc>
        <w:tc>
          <w:tcPr>
            <w:tcW w:w="989" w:type="dxa"/>
          </w:tcPr>
          <w:p w14:paraId="4AF88BC6" w14:textId="5D59201F" w:rsidR="00A12178" w:rsidRDefault="00563DF6" w:rsidP="00D36ADC">
            <w:pPr>
              <w:ind w:firstLine="0"/>
              <w:contextualSpacing/>
            </w:pPr>
            <w:r>
              <w:t>самцы</w:t>
            </w:r>
          </w:p>
        </w:tc>
        <w:tc>
          <w:tcPr>
            <w:tcW w:w="2130" w:type="dxa"/>
            <w:vAlign w:val="center"/>
          </w:tcPr>
          <w:p w14:paraId="3C1705F8" w14:textId="2391584E" w:rsidR="00A12178" w:rsidRDefault="00D35DF0" w:rsidP="00D36ADC">
            <w:pPr>
              <w:ind w:firstLine="0"/>
              <w:contextualSpacing/>
            </w:pPr>
            <w:r>
              <w:t>глицеролформал</w:t>
            </w:r>
            <w:r w:rsidR="006637BA">
              <w:t>ь</w:t>
            </w:r>
          </w:p>
        </w:tc>
        <w:tc>
          <w:tcPr>
            <w:tcW w:w="938" w:type="dxa"/>
            <w:vAlign w:val="center"/>
          </w:tcPr>
          <w:p w14:paraId="5A4CC92B" w14:textId="4CAB35D7" w:rsidR="00A12178" w:rsidRDefault="00D35DF0" w:rsidP="0095267B">
            <w:pPr>
              <w:ind w:firstLine="0"/>
              <w:contextualSpacing/>
              <w:jc w:val="center"/>
            </w:pPr>
            <w:r>
              <w:t>3</w:t>
            </w:r>
          </w:p>
        </w:tc>
        <w:tc>
          <w:tcPr>
            <w:tcW w:w="1335" w:type="dxa"/>
            <w:vAlign w:val="center"/>
          </w:tcPr>
          <w:p w14:paraId="4ECE5ACD" w14:textId="2BCAA231" w:rsidR="00A12178" w:rsidRDefault="00D35DF0" w:rsidP="0095267B">
            <w:pPr>
              <w:ind w:firstLine="0"/>
              <w:contextualSpacing/>
              <w:jc w:val="center"/>
            </w:pPr>
            <w:r>
              <w:t xml:space="preserve">18 </w:t>
            </w:r>
            <w:r>
              <w:rPr>
                <w:rFonts w:cs="Times New Roman"/>
              </w:rPr>
              <w:t>±</w:t>
            </w:r>
            <w:r>
              <w:t xml:space="preserve"> 4</w:t>
            </w:r>
          </w:p>
        </w:tc>
        <w:tc>
          <w:tcPr>
            <w:tcW w:w="849" w:type="dxa"/>
            <w:vAlign w:val="center"/>
          </w:tcPr>
          <w:p w14:paraId="5D7E3EB1" w14:textId="5E5B3870" w:rsidR="00A12178" w:rsidRDefault="00D35DF0" w:rsidP="0095267B">
            <w:pPr>
              <w:ind w:firstLine="0"/>
              <w:contextualSpacing/>
              <w:jc w:val="center"/>
            </w:pPr>
            <w:r>
              <w:t xml:space="preserve">1,7 </w:t>
            </w:r>
            <w:r>
              <w:rPr>
                <w:rFonts w:cs="Times New Roman"/>
              </w:rPr>
              <w:t>±</w:t>
            </w:r>
            <w:r>
              <w:t xml:space="preserve"> 0,2</w:t>
            </w:r>
          </w:p>
        </w:tc>
        <w:tc>
          <w:tcPr>
            <w:tcW w:w="792" w:type="dxa"/>
            <w:vAlign w:val="center"/>
          </w:tcPr>
          <w:p w14:paraId="4F37EC6F" w14:textId="0634E91A" w:rsidR="00A12178" w:rsidRDefault="00D35DF0" w:rsidP="0095267B">
            <w:pPr>
              <w:ind w:firstLine="0"/>
              <w:contextualSpacing/>
              <w:jc w:val="center"/>
            </w:pPr>
            <w:r>
              <w:t xml:space="preserve">2,1 </w:t>
            </w:r>
            <w:r>
              <w:rPr>
                <w:rFonts w:cs="Times New Roman"/>
              </w:rPr>
              <w:t>±</w:t>
            </w:r>
            <w:r>
              <w:t xml:space="preserve"> 0,4</w:t>
            </w:r>
          </w:p>
        </w:tc>
        <w:tc>
          <w:tcPr>
            <w:tcW w:w="1089" w:type="dxa"/>
            <w:vAlign w:val="center"/>
          </w:tcPr>
          <w:p w14:paraId="2F7639E3" w14:textId="1FF806B7" w:rsidR="00A12178" w:rsidRDefault="00D35DF0" w:rsidP="0095267B">
            <w:pPr>
              <w:ind w:firstLine="0"/>
              <w:contextualSpacing/>
              <w:jc w:val="center"/>
            </w:pPr>
            <w:r>
              <w:t xml:space="preserve">2850 </w:t>
            </w:r>
            <w:r>
              <w:rPr>
                <w:rFonts w:cs="Times New Roman"/>
              </w:rPr>
              <w:t>±</w:t>
            </w:r>
            <w:r>
              <w:t xml:space="preserve"> 543</w:t>
            </w:r>
          </w:p>
        </w:tc>
      </w:tr>
      <w:tr w:rsidR="005A1F67" w14:paraId="21779D27" w14:textId="77777777" w:rsidTr="005A1F67">
        <w:trPr>
          <w:jc w:val="center"/>
        </w:trPr>
        <w:tc>
          <w:tcPr>
            <w:tcW w:w="9345" w:type="dxa"/>
            <w:gridSpan w:val="8"/>
          </w:tcPr>
          <w:p w14:paraId="1A9AA89D" w14:textId="6EA3FD77" w:rsidR="005A1F67" w:rsidRDefault="005A1F67" w:rsidP="005A1F67">
            <w:pPr>
              <w:pStyle w:val="SDcomments"/>
              <w:ind w:firstLine="0"/>
              <w:contextualSpacing/>
            </w:pPr>
            <w:r w:rsidRPr="005A1F67">
              <w:rPr>
                <w:b/>
                <w:iCs/>
              </w:rPr>
              <w:t>Примечани</w:t>
            </w:r>
            <w:r w:rsidR="00D62B3D">
              <w:rPr>
                <w:b/>
                <w:iCs/>
              </w:rPr>
              <w:t>е</w:t>
            </w:r>
            <w:r w:rsidRPr="005A1F67">
              <w:rPr>
                <w:b/>
                <w:iCs/>
              </w:rPr>
              <w:t>:</w:t>
            </w:r>
          </w:p>
          <w:p w14:paraId="16BE66BA" w14:textId="37DA5839" w:rsidR="005A1F67" w:rsidRDefault="005A1F67" w:rsidP="005A1F67">
            <w:pPr>
              <w:pStyle w:val="SDcomments"/>
              <w:ind w:firstLine="0"/>
              <w:contextualSpacing/>
            </w:pPr>
            <w:r>
              <w:rPr>
                <w:lang w:val="en-US"/>
              </w:rPr>
              <w:t>CL</w:t>
            </w:r>
            <w:r w:rsidRPr="00356804">
              <w:t xml:space="preserve"> – </w:t>
            </w:r>
            <w:r>
              <w:t xml:space="preserve">общий плазменный клиренс; </w:t>
            </w:r>
            <w:r w:rsidRPr="00A44D59">
              <w:rPr>
                <w:lang w:val="en-US"/>
              </w:rPr>
              <w:t>V</w:t>
            </w:r>
            <w:r w:rsidRPr="00A44D59">
              <w:rPr>
                <w:vertAlign w:val="subscript"/>
                <w:lang w:val="en-US"/>
              </w:rPr>
              <w:t>ss</w:t>
            </w:r>
            <w:r>
              <w:t xml:space="preserve"> – объем распределения в равновесном состоянии; </w:t>
            </w:r>
            <w:r w:rsidR="00F033B3">
              <w:rPr>
                <w:lang w:val="en-US"/>
              </w:rPr>
              <w:t>T</w:t>
            </w:r>
            <w:r w:rsidRPr="00A44D59">
              <w:rPr>
                <w:vertAlign w:val="subscript"/>
              </w:rPr>
              <w:t>1/2</w:t>
            </w:r>
            <w:r>
              <w:rPr>
                <w:rFonts w:cs="Times New Roman"/>
                <w:vertAlign w:val="subscript"/>
              </w:rPr>
              <w:t>β</w:t>
            </w:r>
            <w:r>
              <w:t xml:space="preserve"> – терминальный период полувыведения; </w:t>
            </w:r>
            <w:r w:rsidRPr="00A44D59">
              <w:rPr>
                <w:lang w:val="en-US"/>
              </w:rPr>
              <w:t>AUC</w:t>
            </w:r>
            <w:r w:rsidRPr="00A44D59">
              <w:rPr>
                <w:vertAlign w:val="subscript"/>
              </w:rPr>
              <w:t>(0-∞)</w:t>
            </w:r>
            <w:r>
              <w:t xml:space="preserve"> – площадь под фармакокинетической кривой от начального момента времени до бесконечности; значения </w:t>
            </w:r>
            <w:r w:rsidRPr="0079320B">
              <w:rPr>
                <w:lang w:val="en-US"/>
              </w:rPr>
              <w:t>AUC</w:t>
            </w:r>
            <w:r w:rsidRPr="0079320B">
              <w:rPr>
                <w:vertAlign w:val="subscript"/>
              </w:rPr>
              <w:t>(0-</w:t>
            </w:r>
            <w:r w:rsidRPr="0079320B">
              <w:rPr>
                <w:rFonts w:cs="Times New Roman"/>
                <w:vertAlign w:val="subscript"/>
              </w:rPr>
              <w:t>∞)</w:t>
            </w:r>
            <w:r>
              <w:rPr>
                <w:rFonts w:cs="Times New Roman"/>
                <w:b/>
                <w:bCs/>
                <w:vertAlign w:val="subscript"/>
              </w:rPr>
              <w:t xml:space="preserve"> </w:t>
            </w:r>
            <w:r>
              <w:t xml:space="preserve">для крыс, получавших тофацитиниб в дозе 10 мг/кг, были нормализованы до дозы 3 мг/кг; данные представлены в виде среднее значение </w:t>
            </w:r>
            <w:r>
              <w:rPr>
                <w:rFonts w:cs="Times New Roman"/>
              </w:rPr>
              <w:t>±</w:t>
            </w:r>
            <w:r>
              <w:t xml:space="preserve"> стандартное отклонение.</w:t>
            </w:r>
          </w:p>
        </w:tc>
      </w:tr>
    </w:tbl>
    <w:p w14:paraId="7A2C9794" w14:textId="77777777" w:rsidR="00B711C7" w:rsidRPr="00A44D59" w:rsidRDefault="00B711C7" w:rsidP="00D36ADC">
      <w:pPr>
        <w:pStyle w:val="SDText"/>
        <w:contextualSpacing/>
      </w:pPr>
    </w:p>
    <w:p w14:paraId="401501CD" w14:textId="7A5B2D02" w:rsidR="001F58CA" w:rsidRDefault="00B711C7" w:rsidP="00D36ADC">
      <w:pPr>
        <w:pStyle w:val="SDText"/>
        <w:contextualSpacing/>
      </w:pPr>
      <w:r>
        <w:t xml:space="preserve">Кроме того, </w:t>
      </w:r>
      <w:r w:rsidR="00AC4BED">
        <w:t xml:space="preserve">были рассчитаны </w:t>
      </w:r>
      <w:r>
        <w:t xml:space="preserve">фармакокинетические показатели </w:t>
      </w:r>
      <w:r w:rsidR="00AC4BED">
        <w:t xml:space="preserve">после </w:t>
      </w:r>
      <w:r w:rsidR="003559A5">
        <w:t xml:space="preserve">однократного </w:t>
      </w:r>
      <w:r w:rsidR="00AC4BED">
        <w:t>перорального введения тофацитиниба</w:t>
      </w:r>
      <w:r>
        <w:t xml:space="preserve"> (</w:t>
      </w:r>
      <w:r w:rsidR="000E71B0" w:rsidRPr="00D62B3D">
        <w:fldChar w:fldCharType="begin"/>
      </w:r>
      <w:r w:rsidR="000E71B0" w:rsidRPr="00D62B3D">
        <w:instrText xml:space="preserve"> REF _Ref121139675 \h </w:instrText>
      </w:r>
      <w:r w:rsidR="00D62B3D" w:rsidRPr="00D62B3D">
        <w:instrText xml:space="preserve"> \* MERGEFORMAT </w:instrText>
      </w:r>
      <w:r w:rsidR="000E71B0" w:rsidRPr="00D62B3D">
        <w:fldChar w:fldCharType="separate"/>
      </w:r>
      <w:r w:rsidR="00383E6F" w:rsidRPr="00D62B3D">
        <w:rPr>
          <w:bCs/>
        </w:rPr>
        <w:t xml:space="preserve">Таблица </w:t>
      </w:r>
      <w:r w:rsidR="00383E6F" w:rsidRPr="00D62B3D">
        <w:rPr>
          <w:bCs/>
          <w:noProof/>
        </w:rPr>
        <w:t>3</w:t>
      </w:r>
      <w:r w:rsidR="00383E6F" w:rsidRPr="00D62B3D">
        <w:rPr>
          <w:bCs/>
        </w:rPr>
        <w:noBreakHyphen/>
      </w:r>
      <w:r w:rsidR="00383E6F" w:rsidRPr="00D62B3D">
        <w:rPr>
          <w:bCs/>
          <w:noProof/>
        </w:rPr>
        <w:t>3</w:t>
      </w:r>
      <w:r w:rsidR="000E71B0" w:rsidRPr="00D62B3D">
        <w:fldChar w:fldCharType="end"/>
      </w:r>
      <w:r w:rsidRPr="00D62B3D">
        <w:t>)</w:t>
      </w:r>
      <w:r>
        <w:t xml:space="preserve"> </w:t>
      </w:r>
      <w:r>
        <w:rPr>
          <w:lang w:val="en-US"/>
        </w:rPr>
        <w:fldChar w:fldCharType="begin"/>
      </w:r>
      <w:r w:rsidR="00044A89">
        <w:instrText xml:space="preserve"> ADDIN ZOTERO_ITEM CSL_CITATION {"citationID":"1srtUc5O","properties":{"formattedCitation":"[12]","plainCitation":"[12]","noteIndex":0},"citationItems":[{"id":87803,"uris":["http://zotero.org/groups/4742804/items/DMZ5DFPG"],"itemData":{"id":87803,"type":"webpage","title":"Xeljanz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7CF6D89F" w14:textId="77777777" w:rsidR="005A1F67" w:rsidRDefault="005A1F67" w:rsidP="00D36ADC">
      <w:pPr>
        <w:pStyle w:val="SDText"/>
        <w:contextualSpacing/>
      </w:pPr>
    </w:p>
    <w:p w14:paraId="672ECD9B" w14:textId="77777777" w:rsidR="00791E09" w:rsidRDefault="00791E09" w:rsidP="00D62B3D">
      <w:pPr>
        <w:pStyle w:val="SDText"/>
        <w:spacing w:after="0"/>
        <w:ind w:firstLine="0"/>
        <w:rPr>
          <w:b/>
          <w:bCs/>
        </w:rPr>
        <w:sectPr w:rsidR="00791E09" w:rsidSect="00F85178">
          <w:pgSz w:w="11906" w:h="16838"/>
          <w:pgMar w:top="1134" w:right="850" w:bottom="1134" w:left="1701" w:header="708" w:footer="708" w:gutter="0"/>
          <w:cols w:space="708"/>
          <w:docGrid w:linePitch="360"/>
        </w:sectPr>
      </w:pPr>
      <w:bookmarkStart w:id="114" w:name="_Ref121139675"/>
    </w:p>
    <w:p w14:paraId="09C83F22" w14:textId="46D4A79B" w:rsidR="00CD1C15" w:rsidRDefault="000E71B0" w:rsidP="00D62B3D">
      <w:pPr>
        <w:pStyle w:val="SDText"/>
        <w:spacing w:after="0"/>
        <w:ind w:firstLine="0"/>
      </w:pPr>
      <w:r w:rsidRPr="000E71B0">
        <w:rPr>
          <w:b/>
          <w:bCs/>
        </w:rPr>
        <w:lastRenderedPageBreak/>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3</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3</w:t>
      </w:r>
      <w:r w:rsidR="00652269">
        <w:rPr>
          <w:b/>
          <w:bCs/>
        </w:rPr>
        <w:fldChar w:fldCharType="end"/>
      </w:r>
      <w:bookmarkEnd w:id="114"/>
      <w:r w:rsidR="005A1F67" w:rsidRPr="000E71B0">
        <w:rPr>
          <w:b/>
          <w:bCs/>
        </w:rPr>
        <w:t>.</w:t>
      </w:r>
      <w:r w:rsidR="005A1F67">
        <w:rPr>
          <w:b/>
        </w:rPr>
        <w:t xml:space="preserve"> </w:t>
      </w:r>
      <w:r w:rsidR="005A1F67">
        <w:t>Фармакокинетические показатели тофацитиниба после однократного перорального введения крысам, кроликам, собакам и обезьянам.</w:t>
      </w:r>
    </w:p>
    <w:tbl>
      <w:tblPr>
        <w:tblStyle w:val="a4"/>
        <w:tblW w:w="0" w:type="auto"/>
        <w:tblInd w:w="108" w:type="dxa"/>
        <w:tblLook w:val="04A0" w:firstRow="1" w:lastRow="0" w:firstColumn="1" w:lastColumn="0" w:noHBand="0" w:noVBand="1"/>
      </w:tblPr>
      <w:tblGrid>
        <w:gridCol w:w="1223"/>
        <w:gridCol w:w="918"/>
        <w:gridCol w:w="869"/>
        <w:gridCol w:w="1978"/>
        <w:gridCol w:w="977"/>
        <w:gridCol w:w="746"/>
        <w:gridCol w:w="1084"/>
        <w:gridCol w:w="757"/>
        <w:gridCol w:w="793"/>
      </w:tblGrid>
      <w:tr w:rsidR="00A353DC" w14:paraId="10832D20" w14:textId="77777777" w:rsidTr="00791E09">
        <w:trPr>
          <w:tblHeader/>
        </w:trPr>
        <w:tc>
          <w:tcPr>
            <w:tcW w:w="1115" w:type="dxa"/>
            <w:shd w:val="clear" w:color="auto" w:fill="D9D9D9" w:themeFill="background1" w:themeFillShade="D9"/>
            <w:vAlign w:val="center"/>
          </w:tcPr>
          <w:p w14:paraId="73E58730" w14:textId="1125C7B5" w:rsidR="007E073D" w:rsidRPr="007E073D" w:rsidRDefault="007E073D" w:rsidP="00791E09">
            <w:pPr>
              <w:ind w:firstLine="0"/>
              <w:contextualSpacing/>
              <w:jc w:val="center"/>
            </w:pPr>
            <w:r>
              <w:rPr>
                <w:b/>
                <w:bCs/>
              </w:rPr>
              <w:t>Вид</w:t>
            </w:r>
          </w:p>
        </w:tc>
        <w:tc>
          <w:tcPr>
            <w:tcW w:w="918" w:type="dxa"/>
            <w:shd w:val="clear" w:color="auto" w:fill="D9D9D9" w:themeFill="background1" w:themeFillShade="D9"/>
            <w:vAlign w:val="center"/>
          </w:tcPr>
          <w:p w14:paraId="47804256" w14:textId="716B239F" w:rsidR="007E073D" w:rsidRPr="007E073D" w:rsidRDefault="007E073D" w:rsidP="00791E09">
            <w:pPr>
              <w:ind w:firstLine="0"/>
              <w:contextualSpacing/>
              <w:jc w:val="center"/>
            </w:pPr>
            <w:r>
              <w:rPr>
                <w:b/>
                <w:bCs/>
              </w:rPr>
              <w:t>Пол</w:t>
            </w:r>
          </w:p>
        </w:tc>
        <w:tc>
          <w:tcPr>
            <w:tcW w:w="869" w:type="dxa"/>
            <w:shd w:val="clear" w:color="auto" w:fill="D9D9D9" w:themeFill="background1" w:themeFillShade="D9"/>
            <w:vAlign w:val="center"/>
          </w:tcPr>
          <w:p w14:paraId="1E7DA780" w14:textId="0585FF7B" w:rsidR="007E073D" w:rsidRPr="007E073D" w:rsidRDefault="0048283A" w:rsidP="00791E09">
            <w:pPr>
              <w:ind w:firstLine="0"/>
              <w:contextualSpacing/>
              <w:jc w:val="center"/>
            </w:pPr>
            <w:r>
              <w:rPr>
                <w:b/>
                <w:bCs/>
              </w:rPr>
              <w:t>Доза, мг/кг</w:t>
            </w:r>
          </w:p>
        </w:tc>
        <w:tc>
          <w:tcPr>
            <w:tcW w:w="1978" w:type="dxa"/>
            <w:shd w:val="clear" w:color="auto" w:fill="D9D9D9" w:themeFill="background1" w:themeFillShade="D9"/>
            <w:vAlign w:val="center"/>
          </w:tcPr>
          <w:p w14:paraId="558F8D33" w14:textId="6EEF9C31" w:rsidR="007E073D" w:rsidRPr="007E073D" w:rsidRDefault="0048283A" w:rsidP="00791E09">
            <w:pPr>
              <w:ind w:firstLine="0"/>
              <w:contextualSpacing/>
              <w:jc w:val="center"/>
            </w:pPr>
            <w:r>
              <w:rPr>
                <w:b/>
                <w:bCs/>
              </w:rPr>
              <w:t>Носитель</w:t>
            </w:r>
          </w:p>
        </w:tc>
        <w:tc>
          <w:tcPr>
            <w:tcW w:w="977" w:type="dxa"/>
            <w:shd w:val="clear" w:color="auto" w:fill="D9D9D9" w:themeFill="background1" w:themeFillShade="D9"/>
            <w:vAlign w:val="center"/>
          </w:tcPr>
          <w:p w14:paraId="7F28C41A" w14:textId="36AE20D4" w:rsidR="007E073D" w:rsidRPr="003A2D2A" w:rsidRDefault="0048283A" w:rsidP="00791E09">
            <w:pPr>
              <w:ind w:firstLine="0"/>
              <w:contextualSpacing/>
              <w:jc w:val="center"/>
              <w:rPr>
                <w:b/>
                <w:bCs/>
              </w:rPr>
            </w:pPr>
            <w:r w:rsidRPr="003A2D2A">
              <w:rPr>
                <w:b/>
                <w:bCs/>
                <w:lang w:val="en-US"/>
              </w:rPr>
              <w:t>C</w:t>
            </w:r>
            <w:r w:rsidRPr="003A2D2A">
              <w:rPr>
                <w:b/>
                <w:bCs/>
                <w:vertAlign w:val="subscript"/>
                <w:lang w:val="en-US"/>
              </w:rPr>
              <w:t>max</w:t>
            </w:r>
            <w:r w:rsidRPr="003A2D2A">
              <w:rPr>
                <w:b/>
                <w:bCs/>
              </w:rPr>
              <w:t xml:space="preserve">, нг/мл </w:t>
            </w:r>
            <w:r w:rsidR="00D975CD" w:rsidRPr="003A2D2A">
              <w:rPr>
                <w:b/>
                <w:bCs/>
              </w:rPr>
              <w:t>или нг экв/мл</w:t>
            </w:r>
          </w:p>
        </w:tc>
        <w:tc>
          <w:tcPr>
            <w:tcW w:w="746" w:type="dxa"/>
            <w:shd w:val="clear" w:color="auto" w:fill="D9D9D9" w:themeFill="background1" w:themeFillShade="D9"/>
            <w:vAlign w:val="center"/>
          </w:tcPr>
          <w:p w14:paraId="59F80CD5" w14:textId="0BE1A3AD" w:rsidR="007E073D" w:rsidRPr="003A2D2A" w:rsidRDefault="00F033B3" w:rsidP="00791E09">
            <w:pPr>
              <w:ind w:firstLine="0"/>
              <w:contextualSpacing/>
              <w:jc w:val="center"/>
              <w:rPr>
                <w:b/>
                <w:bCs/>
              </w:rPr>
            </w:pPr>
            <w:r>
              <w:rPr>
                <w:b/>
                <w:bCs/>
                <w:lang w:val="en-US"/>
              </w:rPr>
              <w:t>T</w:t>
            </w:r>
            <w:r w:rsidR="00D975CD" w:rsidRPr="003A2D2A">
              <w:rPr>
                <w:b/>
                <w:bCs/>
                <w:vertAlign w:val="subscript"/>
                <w:lang w:val="en-US"/>
              </w:rPr>
              <w:t>max</w:t>
            </w:r>
            <w:r w:rsidR="00D975CD" w:rsidRPr="003A2D2A">
              <w:rPr>
                <w:b/>
                <w:bCs/>
                <w:vertAlign w:val="subscript"/>
              </w:rPr>
              <w:t xml:space="preserve">, </w:t>
            </w:r>
            <w:r w:rsidR="00D975CD" w:rsidRPr="003A2D2A">
              <w:rPr>
                <w:b/>
                <w:bCs/>
              </w:rPr>
              <w:t>ч</w:t>
            </w:r>
          </w:p>
        </w:tc>
        <w:tc>
          <w:tcPr>
            <w:tcW w:w="1084" w:type="dxa"/>
            <w:shd w:val="clear" w:color="auto" w:fill="D9D9D9" w:themeFill="background1" w:themeFillShade="D9"/>
            <w:vAlign w:val="center"/>
          </w:tcPr>
          <w:p w14:paraId="1C113D18" w14:textId="04BA1F3C" w:rsidR="007E073D" w:rsidRPr="007E073D" w:rsidRDefault="003A2D2A" w:rsidP="00791E09">
            <w:pPr>
              <w:ind w:firstLine="0"/>
              <w:contextualSpacing/>
              <w:jc w:val="center"/>
            </w:pPr>
            <w:r>
              <w:rPr>
                <w:b/>
                <w:bCs/>
                <w:lang w:val="en-US"/>
              </w:rPr>
              <w:t>AUC</w:t>
            </w:r>
            <w:r w:rsidRPr="003A2D2A">
              <w:rPr>
                <w:b/>
                <w:bCs/>
                <w:vertAlign w:val="subscript"/>
              </w:rPr>
              <w:t>(0-</w:t>
            </w:r>
            <w:r w:rsidRPr="003A2D2A">
              <w:rPr>
                <w:rFonts w:cs="Times New Roman"/>
                <w:b/>
                <w:bCs/>
                <w:vertAlign w:val="subscript"/>
              </w:rPr>
              <w:t>∞)</w:t>
            </w:r>
            <w:r>
              <w:rPr>
                <w:rFonts w:cs="Times New Roman"/>
                <w:b/>
                <w:bCs/>
              </w:rPr>
              <w:t>, нг*ч/мл или нг экв/мл</w:t>
            </w:r>
          </w:p>
        </w:tc>
        <w:tc>
          <w:tcPr>
            <w:tcW w:w="757" w:type="dxa"/>
            <w:shd w:val="clear" w:color="auto" w:fill="D9D9D9" w:themeFill="background1" w:themeFillShade="D9"/>
            <w:vAlign w:val="center"/>
          </w:tcPr>
          <w:p w14:paraId="5C6182E8" w14:textId="7074E3B4" w:rsidR="007E073D" w:rsidRPr="007E073D" w:rsidRDefault="00F033B3" w:rsidP="00791E09">
            <w:pPr>
              <w:ind w:firstLine="0"/>
              <w:contextualSpacing/>
              <w:jc w:val="center"/>
            </w:pPr>
            <w:r>
              <w:rPr>
                <w:b/>
                <w:bCs/>
                <w:lang w:val="en-US"/>
              </w:rPr>
              <w:t>T</w:t>
            </w:r>
            <w:r w:rsidR="003A2D2A">
              <w:rPr>
                <w:b/>
                <w:bCs/>
                <w:vertAlign w:val="subscript"/>
                <w:lang w:val="en-US"/>
              </w:rPr>
              <w:t>1/2</w:t>
            </w:r>
            <w:r w:rsidR="003A2D2A">
              <w:rPr>
                <w:rFonts w:cs="Times New Roman"/>
                <w:b/>
                <w:bCs/>
                <w:vertAlign w:val="subscript"/>
                <w:lang w:val="en-US"/>
              </w:rPr>
              <w:t>β</w:t>
            </w:r>
            <w:r w:rsidR="003A2D2A">
              <w:rPr>
                <w:b/>
                <w:bCs/>
              </w:rPr>
              <w:t>, ч</w:t>
            </w:r>
          </w:p>
        </w:tc>
        <w:tc>
          <w:tcPr>
            <w:tcW w:w="793" w:type="dxa"/>
            <w:shd w:val="clear" w:color="auto" w:fill="D9D9D9" w:themeFill="background1" w:themeFillShade="D9"/>
            <w:vAlign w:val="center"/>
          </w:tcPr>
          <w:p w14:paraId="23E7D92C" w14:textId="330550A2" w:rsidR="007E073D" w:rsidRPr="00010F96" w:rsidRDefault="003A2D2A" w:rsidP="00791E09">
            <w:pPr>
              <w:ind w:firstLine="0"/>
              <w:contextualSpacing/>
              <w:jc w:val="center"/>
              <w:rPr>
                <w:b/>
                <w:bCs/>
              </w:rPr>
            </w:pPr>
            <w:r w:rsidRPr="003A2D2A">
              <w:rPr>
                <w:b/>
                <w:bCs/>
                <w:lang w:val="en-US"/>
              </w:rPr>
              <w:t>F</w:t>
            </w:r>
            <w:r w:rsidR="00010F96">
              <w:rPr>
                <w:b/>
                <w:bCs/>
              </w:rPr>
              <w:t>, %</w:t>
            </w:r>
          </w:p>
        </w:tc>
      </w:tr>
      <w:tr w:rsidR="00FF2D07" w14:paraId="16461F6E" w14:textId="77777777" w:rsidTr="0095267B">
        <w:tc>
          <w:tcPr>
            <w:tcW w:w="1115" w:type="dxa"/>
            <w:vMerge w:val="restart"/>
            <w:vAlign w:val="center"/>
          </w:tcPr>
          <w:p w14:paraId="1366EAB0" w14:textId="2A8947FD" w:rsidR="00FF2D07" w:rsidRDefault="00FF2D07" w:rsidP="00D36ADC">
            <w:pPr>
              <w:ind w:firstLine="0"/>
              <w:contextualSpacing/>
            </w:pPr>
            <w:r>
              <w:t>Крысы</w:t>
            </w:r>
          </w:p>
        </w:tc>
        <w:tc>
          <w:tcPr>
            <w:tcW w:w="918" w:type="dxa"/>
            <w:vAlign w:val="center"/>
          </w:tcPr>
          <w:p w14:paraId="6E460F0B" w14:textId="2590E130" w:rsidR="00FF2D07" w:rsidRDefault="00FF2D07" w:rsidP="00D36ADC">
            <w:pPr>
              <w:ind w:firstLine="0"/>
              <w:contextualSpacing/>
            </w:pPr>
            <w:r>
              <w:t>самцы</w:t>
            </w:r>
          </w:p>
        </w:tc>
        <w:tc>
          <w:tcPr>
            <w:tcW w:w="869" w:type="dxa"/>
            <w:vMerge w:val="restart"/>
            <w:vAlign w:val="center"/>
          </w:tcPr>
          <w:p w14:paraId="10BC002D" w14:textId="61596C5F" w:rsidR="00FF2D07" w:rsidRDefault="00FF2D07" w:rsidP="00D36ADC">
            <w:pPr>
              <w:ind w:firstLine="0"/>
              <w:contextualSpacing/>
            </w:pPr>
            <w:r>
              <w:t>10</w:t>
            </w:r>
          </w:p>
        </w:tc>
        <w:tc>
          <w:tcPr>
            <w:tcW w:w="1978" w:type="dxa"/>
            <w:vMerge w:val="restart"/>
            <w:vAlign w:val="center"/>
          </w:tcPr>
          <w:p w14:paraId="175F7679" w14:textId="711100C5" w:rsidR="00FF2D07" w:rsidRDefault="00FF2D07" w:rsidP="00D36ADC">
            <w:pPr>
              <w:ind w:firstLine="0"/>
              <w:contextualSpacing/>
            </w:pPr>
            <w:r>
              <w:t>0,5% метилцеллюлоза</w:t>
            </w:r>
          </w:p>
        </w:tc>
        <w:tc>
          <w:tcPr>
            <w:tcW w:w="977" w:type="dxa"/>
            <w:vAlign w:val="center"/>
          </w:tcPr>
          <w:p w14:paraId="4450B54E" w14:textId="3342CB8E" w:rsidR="00FF2D07" w:rsidRDefault="00FF2D07" w:rsidP="00D36ADC">
            <w:pPr>
              <w:ind w:firstLine="0"/>
              <w:contextualSpacing/>
            </w:pPr>
            <w:r>
              <w:t xml:space="preserve">261 </w:t>
            </w:r>
            <w:r>
              <w:rPr>
                <w:rFonts w:cs="Times New Roman"/>
              </w:rPr>
              <w:t>±</w:t>
            </w:r>
            <w:r>
              <w:t xml:space="preserve"> 90</w:t>
            </w:r>
          </w:p>
        </w:tc>
        <w:tc>
          <w:tcPr>
            <w:tcW w:w="746" w:type="dxa"/>
            <w:vAlign w:val="center"/>
          </w:tcPr>
          <w:p w14:paraId="674857C3" w14:textId="06048F23" w:rsidR="00FF2D07" w:rsidRDefault="00FF2D07" w:rsidP="00D36ADC">
            <w:pPr>
              <w:ind w:firstLine="0"/>
              <w:contextualSpacing/>
            </w:pPr>
            <w:r>
              <w:t xml:space="preserve">0,5 </w:t>
            </w:r>
            <w:r>
              <w:rPr>
                <w:rFonts w:cs="Times New Roman"/>
              </w:rPr>
              <w:t>±</w:t>
            </w:r>
            <w:r>
              <w:t xml:space="preserve"> 0,3</w:t>
            </w:r>
          </w:p>
        </w:tc>
        <w:tc>
          <w:tcPr>
            <w:tcW w:w="1084" w:type="dxa"/>
            <w:vAlign w:val="center"/>
          </w:tcPr>
          <w:p w14:paraId="5D5BB94B" w14:textId="6F957D8C" w:rsidR="00FF2D07" w:rsidRDefault="00FF2D07" w:rsidP="00D36ADC">
            <w:pPr>
              <w:ind w:firstLine="0"/>
              <w:contextualSpacing/>
            </w:pPr>
            <w:r>
              <w:t xml:space="preserve">462 </w:t>
            </w:r>
            <w:r>
              <w:rPr>
                <w:rFonts w:cs="Times New Roman"/>
              </w:rPr>
              <w:t>±</w:t>
            </w:r>
            <w:r>
              <w:t xml:space="preserve"> 143</w:t>
            </w:r>
          </w:p>
        </w:tc>
        <w:tc>
          <w:tcPr>
            <w:tcW w:w="757" w:type="dxa"/>
            <w:vAlign w:val="center"/>
          </w:tcPr>
          <w:p w14:paraId="22E049D7" w14:textId="5F681603" w:rsidR="00FF2D07" w:rsidRDefault="00FF2D07" w:rsidP="00D36ADC">
            <w:pPr>
              <w:ind w:firstLine="0"/>
              <w:contextualSpacing/>
            </w:pPr>
            <w:r w:rsidRPr="00536E3E">
              <w:t xml:space="preserve">н/о </w:t>
            </w:r>
          </w:p>
        </w:tc>
        <w:tc>
          <w:tcPr>
            <w:tcW w:w="793" w:type="dxa"/>
            <w:vAlign w:val="center"/>
          </w:tcPr>
          <w:p w14:paraId="117D7D8C" w14:textId="72450BE7" w:rsidR="00FF2D07" w:rsidRPr="00F846EB" w:rsidRDefault="00FF2D07" w:rsidP="00D36ADC">
            <w:pPr>
              <w:ind w:firstLine="0"/>
              <w:contextualSpacing/>
              <w:rPr>
                <w:vertAlign w:val="superscript"/>
                <w:lang w:val="en-US"/>
              </w:rPr>
            </w:pPr>
            <w:r>
              <w:t>16,5</w:t>
            </w:r>
            <w:r>
              <w:rPr>
                <w:vertAlign w:val="superscript"/>
                <w:lang w:val="en-US"/>
              </w:rPr>
              <w:t>a</w:t>
            </w:r>
          </w:p>
        </w:tc>
      </w:tr>
      <w:tr w:rsidR="00FF2D07" w14:paraId="7384BA82" w14:textId="77777777" w:rsidTr="0095267B">
        <w:tc>
          <w:tcPr>
            <w:tcW w:w="1115" w:type="dxa"/>
            <w:vMerge/>
            <w:vAlign w:val="center"/>
          </w:tcPr>
          <w:p w14:paraId="1B3081F3" w14:textId="77777777" w:rsidR="00FF2D07" w:rsidRDefault="00FF2D07" w:rsidP="00D36ADC">
            <w:pPr>
              <w:contextualSpacing/>
            </w:pPr>
          </w:p>
        </w:tc>
        <w:tc>
          <w:tcPr>
            <w:tcW w:w="918" w:type="dxa"/>
            <w:vAlign w:val="center"/>
          </w:tcPr>
          <w:p w14:paraId="2EF60997" w14:textId="251456EA" w:rsidR="00FF2D07" w:rsidRDefault="00FF2D07" w:rsidP="00D36ADC">
            <w:pPr>
              <w:ind w:firstLine="0"/>
              <w:contextualSpacing/>
            </w:pPr>
            <w:r>
              <w:t>самки</w:t>
            </w:r>
          </w:p>
        </w:tc>
        <w:tc>
          <w:tcPr>
            <w:tcW w:w="869" w:type="dxa"/>
            <w:vMerge/>
            <w:vAlign w:val="center"/>
          </w:tcPr>
          <w:p w14:paraId="2FDAB62E" w14:textId="77777777" w:rsidR="00FF2D07" w:rsidRDefault="00FF2D07" w:rsidP="00D36ADC">
            <w:pPr>
              <w:contextualSpacing/>
            </w:pPr>
          </w:p>
        </w:tc>
        <w:tc>
          <w:tcPr>
            <w:tcW w:w="1978" w:type="dxa"/>
            <w:vMerge/>
            <w:vAlign w:val="center"/>
          </w:tcPr>
          <w:p w14:paraId="748BD1C2" w14:textId="77777777" w:rsidR="00FF2D07" w:rsidRDefault="00FF2D07" w:rsidP="00D36ADC">
            <w:pPr>
              <w:contextualSpacing/>
            </w:pPr>
          </w:p>
        </w:tc>
        <w:tc>
          <w:tcPr>
            <w:tcW w:w="977" w:type="dxa"/>
            <w:vAlign w:val="center"/>
          </w:tcPr>
          <w:p w14:paraId="32FAF185" w14:textId="132AFFCF" w:rsidR="00FF2D07" w:rsidRDefault="00FF2D07" w:rsidP="00D36ADC">
            <w:pPr>
              <w:ind w:firstLine="0"/>
              <w:contextualSpacing/>
            </w:pPr>
            <w:r>
              <w:t xml:space="preserve">670 </w:t>
            </w:r>
            <w:r>
              <w:rPr>
                <w:rFonts w:cs="Times New Roman"/>
              </w:rPr>
              <w:t>±</w:t>
            </w:r>
            <w:r>
              <w:t xml:space="preserve"> 514</w:t>
            </w:r>
          </w:p>
        </w:tc>
        <w:tc>
          <w:tcPr>
            <w:tcW w:w="746" w:type="dxa"/>
            <w:vAlign w:val="center"/>
          </w:tcPr>
          <w:p w14:paraId="60104079" w14:textId="14D56120" w:rsidR="00FF2D07" w:rsidRDefault="00FF2D07" w:rsidP="00D36ADC">
            <w:pPr>
              <w:ind w:firstLine="0"/>
              <w:contextualSpacing/>
            </w:pPr>
            <w:r>
              <w:t xml:space="preserve">0,5 </w:t>
            </w:r>
            <w:r>
              <w:rPr>
                <w:rFonts w:cs="Times New Roman"/>
              </w:rPr>
              <w:t>±</w:t>
            </w:r>
            <w:r>
              <w:t xml:space="preserve"> 0,4</w:t>
            </w:r>
          </w:p>
        </w:tc>
        <w:tc>
          <w:tcPr>
            <w:tcW w:w="1084" w:type="dxa"/>
            <w:vAlign w:val="center"/>
          </w:tcPr>
          <w:p w14:paraId="6A8654E5" w14:textId="2FC81851" w:rsidR="00FF2D07" w:rsidRDefault="00FF2D07" w:rsidP="00D36ADC">
            <w:pPr>
              <w:ind w:firstLine="0"/>
              <w:contextualSpacing/>
            </w:pPr>
            <w:r>
              <w:t xml:space="preserve">1138 </w:t>
            </w:r>
            <w:r>
              <w:rPr>
                <w:rFonts w:cs="Times New Roman"/>
              </w:rPr>
              <w:t>±</w:t>
            </w:r>
            <w:r>
              <w:t xml:space="preserve"> 427</w:t>
            </w:r>
          </w:p>
        </w:tc>
        <w:tc>
          <w:tcPr>
            <w:tcW w:w="757" w:type="dxa"/>
            <w:vAlign w:val="center"/>
          </w:tcPr>
          <w:p w14:paraId="3E73C775" w14:textId="13559D5C" w:rsidR="00FF2D07" w:rsidRDefault="00FF2D07" w:rsidP="00D36ADC">
            <w:pPr>
              <w:ind w:firstLine="0"/>
              <w:contextualSpacing/>
            </w:pPr>
            <w:r w:rsidRPr="00536E3E">
              <w:t xml:space="preserve">н/о </w:t>
            </w:r>
          </w:p>
        </w:tc>
        <w:tc>
          <w:tcPr>
            <w:tcW w:w="793" w:type="dxa"/>
            <w:vAlign w:val="center"/>
          </w:tcPr>
          <w:p w14:paraId="7AB7AD6A" w14:textId="30574511" w:rsidR="00FF2D07" w:rsidRPr="00F846EB" w:rsidRDefault="00FF2D07" w:rsidP="00D36ADC">
            <w:pPr>
              <w:ind w:firstLine="0"/>
              <w:contextualSpacing/>
              <w:rPr>
                <w:vertAlign w:val="superscript"/>
                <w:lang w:val="en-US"/>
              </w:rPr>
            </w:pPr>
            <w:r>
              <w:t>12,3</w:t>
            </w:r>
            <w:r>
              <w:rPr>
                <w:vertAlign w:val="superscript"/>
                <w:lang w:val="en-US"/>
              </w:rPr>
              <w:t>b</w:t>
            </w:r>
          </w:p>
        </w:tc>
      </w:tr>
      <w:tr w:rsidR="00FF2D07" w14:paraId="6FE20070" w14:textId="77777777" w:rsidTr="0095267B">
        <w:tc>
          <w:tcPr>
            <w:tcW w:w="1115" w:type="dxa"/>
            <w:vMerge/>
            <w:vAlign w:val="center"/>
          </w:tcPr>
          <w:p w14:paraId="45F408EF" w14:textId="77777777" w:rsidR="00FF2D07" w:rsidRDefault="00FF2D07" w:rsidP="00D36ADC">
            <w:pPr>
              <w:contextualSpacing/>
            </w:pPr>
          </w:p>
        </w:tc>
        <w:tc>
          <w:tcPr>
            <w:tcW w:w="918" w:type="dxa"/>
            <w:vAlign w:val="center"/>
          </w:tcPr>
          <w:p w14:paraId="3E078E78" w14:textId="60F25C8F" w:rsidR="00FF2D07" w:rsidRPr="00616B40" w:rsidRDefault="00FF2D07" w:rsidP="00D36ADC">
            <w:pPr>
              <w:ind w:firstLine="0"/>
              <w:contextualSpacing/>
            </w:pPr>
            <w:r>
              <w:t>самцы</w:t>
            </w:r>
          </w:p>
        </w:tc>
        <w:tc>
          <w:tcPr>
            <w:tcW w:w="869" w:type="dxa"/>
            <w:vAlign w:val="center"/>
          </w:tcPr>
          <w:p w14:paraId="42F15CAC" w14:textId="1033548C" w:rsidR="00FF2D07" w:rsidRDefault="00FF2D07" w:rsidP="00D36ADC">
            <w:pPr>
              <w:ind w:firstLine="0"/>
              <w:contextualSpacing/>
            </w:pPr>
            <w:r>
              <w:t>30</w:t>
            </w:r>
          </w:p>
        </w:tc>
        <w:tc>
          <w:tcPr>
            <w:tcW w:w="1978" w:type="dxa"/>
            <w:vMerge/>
            <w:vAlign w:val="center"/>
          </w:tcPr>
          <w:p w14:paraId="407D0C79" w14:textId="77777777" w:rsidR="00FF2D07" w:rsidRDefault="00FF2D07" w:rsidP="00D36ADC">
            <w:pPr>
              <w:ind w:firstLine="0"/>
              <w:contextualSpacing/>
            </w:pPr>
          </w:p>
        </w:tc>
        <w:tc>
          <w:tcPr>
            <w:tcW w:w="977" w:type="dxa"/>
            <w:vAlign w:val="center"/>
          </w:tcPr>
          <w:p w14:paraId="18545D91" w14:textId="0019872F" w:rsidR="00FF2D07" w:rsidRPr="00F8428E" w:rsidRDefault="00FF2D07" w:rsidP="00D36ADC">
            <w:pPr>
              <w:ind w:firstLine="0"/>
              <w:contextualSpacing/>
              <w:rPr>
                <w:lang w:val="en-US"/>
              </w:rPr>
            </w:pPr>
            <w:r>
              <w:rPr>
                <w:lang w:val="en-US"/>
              </w:rPr>
              <w:t xml:space="preserve">619 </w:t>
            </w:r>
            <w:r>
              <w:rPr>
                <w:rFonts w:cs="Times New Roman"/>
                <w:lang w:val="en-US"/>
              </w:rPr>
              <w:t>±</w:t>
            </w:r>
            <w:r>
              <w:rPr>
                <w:lang w:val="en-US"/>
              </w:rPr>
              <w:t xml:space="preserve"> 473</w:t>
            </w:r>
          </w:p>
        </w:tc>
        <w:tc>
          <w:tcPr>
            <w:tcW w:w="746" w:type="dxa"/>
            <w:vAlign w:val="center"/>
          </w:tcPr>
          <w:p w14:paraId="779654D2" w14:textId="6A846F10" w:rsidR="00FF2D07" w:rsidRPr="002A3091" w:rsidRDefault="00FF2D07" w:rsidP="00D36ADC">
            <w:pPr>
              <w:ind w:firstLine="0"/>
              <w:contextualSpacing/>
            </w:pPr>
            <w:r>
              <w:rPr>
                <w:lang w:val="en-US"/>
              </w:rPr>
              <w:t>0</w:t>
            </w:r>
            <w:r>
              <w:t>,</w:t>
            </w:r>
            <w:r>
              <w:rPr>
                <w:lang w:val="en-US"/>
              </w:rPr>
              <w:t xml:space="preserve">25 </w:t>
            </w:r>
            <w:r>
              <w:rPr>
                <w:rFonts w:cs="Times New Roman"/>
                <w:lang w:val="en-US"/>
              </w:rPr>
              <w:t>±</w:t>
            </w:r>
            <w:r>
              <w:t xml:space="preserve"> 0,0</w:t>
            </w:r>
          </w:p>
        </w:tc>
        <w:tc>
          <w:tcPr>
            <w:tcW w:w="1084" w:type="dxa"/>
            <w:vAlign w:val="center"/>
          </w:tcPr>
          <w:p w14:paraId="5D40F1A0" w14:textId="26B1AB83" w:rsidR="00FF2D07" w:rsidRDefault="00FF2D07" w:rsidP="00D36ADC">
            <w:pPr>
              <w:ind w:firstLine="0"/>
              <w:contextualSpacing/>
            </w:pPr>
            <w:r>
              <w:t xml:space="preserve">940 </w:t>
            </w:r>
            <w:r>
              <w:rPr>
                <w:rFonts w:cs="Times New Roman"/>
              </w:rPr>
              <w:t>±</w:t>
            </w:r>
            <w:r>
              <w:t xml:space="preserve"> 478</w:t>
            </w:r>
          </w:p>
        </w:tc>
        <w:tc>
          <w:tcPr>
            <w:tcW w:w="757" w:type="dxa"/>
            <w:vAlign w:val="center"/>
          </w:tcPr>
          <w:p w14:paraId="1F82725A" w14:textId="34987848" w:rsidR="00FF2D07" w:rsidRDefault="00FF2D07" w:rsidP="00D36ADC">
            <w:pPr>
              <w:ind w:firstLine="0"/>
              <w:contextualSpacing/>
            </w:pPr>
            <w:r w:rsidRPr="00DD25CF">
              <w:t xml:space="preserve">н/о </w:t>
            </w:r>
          </w:p>
        </w:tc>
        <w:tc>
          <w:tcPr>
            <w:tcW w:w="793" w:type="dxa"/>
            <w:vAlign w:val="center"/>
          </w:tcPr>
          <w:p w14:paraId="6A699765" w14:textId="40C02C77" w:rsidR="00FF2D07" w:rsidRDefault="00FF2D07" w:rsidP="00D36ADC">
            <w:pPr>
              <w:ind w:firstLine="0"/>
              <w:contextualSpacing/>
            </w:pPr>
            <w:r>
              <w:t>11,2</w:t>
            </w:r>
            <w:r>
              <w:rPr>
                <w:vertAlign w:val="superscript"/>
                <w:lang w:val="en-US"/>
              </w:rPr>
              <w:t>a</w:t>
            </w:r>
          </w:p>
        </w:tc>
      </w:tr>
      <w:tr w:rsidR="00FF2D07" w14:paraId="48AB72C1" w14:textId="77777777" w:rsidTr="0095267B">
        <w:tc>
          <w:tcPr>
            <w:tcW w:w="1115" w:type="dxa"/>
            <w:vMerge/>
            <w:vAlign w:val="center"/>
          </w:tcPr>
          <w:p w14:paraId="4C37C777" w14:textId="77777777" w:rsidR="00FF2D07" w:rsidRDefault="00FF2D07" w:rsidP="00D36ADC">
            <w:pPr>
              <w:contextualSpacing/>
            </w:pPr>
          </w:p>
        </w:tc>
        <w:tc>
          <w:tcPr>
            <w:tcW w:w="918" w:type="dxa"/>
            <w:vAlign w:val="center"/>
          </w:tcPr>
          <w:p w14:paraId="12EC06F6" w14:textId="20663342" w:rsidR="00FF2D07" w:rsidRDefault="00FF2D07" w:rsidP="00D36ADC">
            <w:pPr>
              <w:ind w:firstLine="0"/>
              <w:contextualSpacing/>
            </w:pPr>
            <w:r>
              <w:t>самцы</w:t>
            </w:r>
          </w:p>
        </w:tc>
        <w:tc>
          <w:tcPr>
            <w:tcW w:w="869" w:type="dxa"/>
            <w:vAlign w:val="center"/>
          </w:tcPr>
          <w:p w14:paraId="03D3BFF9" w14:textId="03BF0004" w:rsidR="00FF2D07" w:rsidRDefault="00FF2D07" w:rsidP="00D36ADC">
            <w:pPr>
              <w:ind w:firstLine="0"/>
              <w:contextualSpacing/>
            </w:pPr>
            <w:r>
              <w:t>100</w:t>
            </w:r>
          </w:p>
        </w:tc>
        <w:tc>
          <w:tcPr>
            <w:tcW w:w="1978" w:type="dxa"/>
            <w:vMerge/>
            <w:vAlign w:val="center"/>
          </w:tcPr>
          <w:p w14:paraId="6D785433" w14:textId="77777777" w:rsidR="00FF2D07" w:rsidRDefault="00FF2D07" w:rsidP="00D36ADC">
            <w:pPr>
              <w:contextualSpacing/>
            </w:pPr>
          </w:p>
        </w:tc>
        <w:tc>
          <w:tcPr>
            <w:tcW w:w="977" w:type="dxa"/>
            <w:vAlign w:val="center"/>
          </w:tcPr>
          <w:p w14:paraId="3C4310D4" w14:textId="077240AD" w:rsidR="00FF2D07" w:rsidRDefault="00FF2D07" w:rsidP="00D36ADC">
            <w:pPr>
              <w:ind w:firstLine="0"/>
              <w:contextualSpacing/>
            </w:pPr>
            <w:r>
              <w:t xml:space="preserve">4390 </w:t>
            </w:r>
            <w:r>
              <w:rPr>
                <w:rFonts w:cs="Times New Roman"/>
              </w:rPr>
              <w:t>±</w:t>
            </w:r>
            <w:r>
              <w:t xml:space="preserve"> 2490</w:t>
            </w:r>
          </w:p>
        </w:tc>
        <w:tc>
          <w:tcPr>
            <w:tcW w:w="746" w:type="dxa"/>
            <w:vAlign w:val="center"/>
          </w:tcPr>
          <w:p w14:paraId="73E968DC" w14:textId="75E5DB95" w:rsidR="00FF2D07" w:rsidRDefault="00FF2D07" w:rsidP="00D36ADC">
            <w:pPr>
              <w:ind w:firstLine="0"/>
              <w:contextualSpacing/>
            </w:pPr>
            <w:r>
              <w:t xml:space="preserve">0,9 </w:t>
            </w:r>
            <w:r>
              <w:rPr>
                <w:rFonts w:cs="Times New Roman"/>
              </w:rPr>
              <w:t>±</w:t>
            </w:r>
            <w:r>
              <w:t xml:space="preserve"> 0,8</w:t>
            </w:r>
          </w:p>
        </w:tc>
        <w:tc>
          <w:tcPr>
            <w:tcW w:w="1084" w:type="dxa"/>
            <w:vAlign w:val="center"/>
          </w:tcPr>
          <w:p w14:paraId="5C68A393" w14:textId="186A3FB9" w:rsidR="00FF2D07" w:rsidRDefault="00FF2D07" w:rsidP="00D36ADC">
            <w:pPr>
              <w:ind w:firstLine="0"/>
              <w:contextualSpacing/>
            </w:pPr>
            <w:r>
              <w:t xml:space="preserve">12000 </w:t>
            </w:r>
            <w:r>
              <w:rPr>
                <w:rFonts w:cs="Times New Roman"/>
              </w:rPr>
              <w:t>±</w:t>
            </w:r>
            <w:r>
              <w:t xml:space="preserve"> 6460</w:t>
            </w:r>
          </w:p>
        </w:tc>
        <w:tc>
          <w:tcPr>
            <w:tcW w:w="757" w:type="dxa"/>
            <w:vAlign w:val="center"/>
          </w:tcPr>
          <w:p w14:paraId="35582EB9" w14:textId="56F39235" w:rsidR="00FF2D07" w:rsidRDefault="00FF2D07" w:rsidP="00D36ADC">
            <w:pPr>
              <w:ind w:firstLine="0"/>
              <w:contextualSpacing/>
            </w:pPr>
            <w:r w:rsidRPr="00DD25CF">
              <w:t xml:space="preserve">н/о </w:t>
            </w:r>
          </w:p>
        </w:tc>
        <w:tc>
          <w:tcPr>
            <w:tcW w:w="793" w:type="dxa"/>
            <w:vAlign w:val="center"/>
          </w:tcPr>
          <w:p w14:paraId="13052D67" w14:textId="2DBED07C" w:rsidR="00FF2D07" w:rsidRDefault="00FF2D07" w:rsidP="00D36ADC">
            <w:pPr>
              <w:ind w:firstLine="0"/>
              <w:contextualSpacing/>
            </w:pPr>
            <w:r>
              <w:t>42,9</w:t>
            </w:r>
            <w:r>
              <w:rPr>
                <w:vertAlign w:val="superscript"/>
                <w:lang w:val="en-US"/>
              </w:rPr>
              <w:t>a</w:t>
            </w:r>
          </w:p>
        </w:tc>
      </w:tr>
      <w:tr w:rsidR="00A353DC" w14:paraId="44050338" w14:textId="77777777" w:rsidTr="0095267B">
        <w:tc>
          <w:tcPr>
            <w:tcW w:w="1115" w:type="dxa"/>
            <w:vMerge/>
            <w:vAlign w:val="center"/>
          </w:tcPr>
          <w:p w14:paraId="745E21A3" w14:textId="77777777" w:rsidR="00F22425" w:rsidRDefault="00F22425" w:rsidP="00D36ADC">
            <w:pPr>
              <w:contextualSpacing/>
            </w:pPr>
          </w:p>
        </w:tc>
        <w:tc>
          <w:tcPr>
            <w:tcW w:w="918" w:type="dxa"/>
            <w:vAlign w:val="center"/>
          </w:tcPr>
          <w:p w14:paraId="5A3D6E03" w14:textId="478245DE" w:rsidR="00F22425" w:rsidRDefault="00F22425" w:rsidP="00D36ADC">
            <w:pPr>
              <w:ind w:firstLine="0"/>
              <w:contextualSpacing/>
            </w:pPr>
            <w:r>
              <w:t>самцы</w:t>
            </w:r>
          </w:p>
        </w:tc>
        <w:tc>
          <w:tcPr>
            <w:tcW w:w="869" w:type="dxa"/>
            <w:vMerge w:val="restart"/>
            <w:vAlign w:val="center"/>
          </w:tcPr>
          <w:p w14:paraId="01B2566A" w14:textId="41453084" w:rsidR="00F22425" w:rsidRDefault="00F22425" w:rsidP="00D36ADC">
            <w:pPr>
              <w:ind w:firstLine="0"/>
              <w:contextualSpacing/>
            </w:pPr>
            <w:r>
              <w:t>10</w:t>
            </w:r>
          </w:p>
        </w:tc>
        <w:tc>
          <w:tcPr>
            <w:tcW w:w="1978" w:type="dxa"/>
            <w:vMerge w:val="restart"/>
            <w:vAlign w:val="center"/>
          </w:tcPr>
          <w:p w14:paraId="31A9D482" w14:textId="015A0760" w:rsidR="00F22425" w:rsidRDefault="00F22425" w:rsidP="00D36ADC">
            <w:pPr>
              <w:ind w:firstLine="0"/>
              <w:contextualSpacing/>
            </w:pPr>
            <w:r>
              <w:t>Вода</w:t>
            </w:r>
          </w:p>
        </w:tc>
        <w:tc>
          <w:tcPr>
            <w:tcW w:w="977" w:type="dxa"/>
            <w:vAlign w:val="center"/>
          </w:tcPr>
          <w:p w14:paraId="5B4A5B50" w14:textId="7066AA9B" w:rsidR="00F22425" w:rsidRDefault="007338BA" w:rsidP="00D36ADC">
            <w:pPr>
              <w:ind w:firstLine="0"/>
              <w:contextualSpacing/>
            </w:pPr>
            <w:r>
              <w:t xml:space="preserve">2400 </w:t>
            </w:r>
            <w:r>
              <w:rPr>
                <w:rFonts w:cs="Times New Roman"/>
              </w:rPr>
              <w:t>±</w:t>
            </w:r>
            <w:r>
              <w:t xml:space="preserve"> 948</w:t>
            </w:r>
          </w:p>
        </w:tc>
        <w:tc>
          <w:tcPr>
            <w:tcW w:w="746" w:type="dxa"/>
            <w:vAlign w:val="center"/>
          </w:tcPr>
          <w:p w14:paraId="4E9E05F8" w14:textId="528F42D0" w:rsidR="00F22425" w:rsidRDefault="007338BA" w:rsidP="00D36ADC">
            <w:pPr>
              <w:ind w:firstLine="0"/>
              <w:contextualSpacing/>
            </w:pPr>
            <w:r>
              <w:t xml:space="preserve">0,3 </w:t>
            </w:r>
            <w:r>
              <w:rPr>
                <w:rFonts w:cs="Times New Roman"/>
              </w:rPr>
              <w:t>±</w:t>
            </w:r>
            <w:r>
              <w:t xml:space="preserve"> 0,1</w:t>
            </w:r>
          </w:p>
        </w:tc>
        <w:tc>
          <w:tcPr>
            <w:tcW w:w="1084" w:type="dxa"/>
            <w:vAlign w:val="center"/>
          </w:tcPr>
          <w:p w14:paraId="1F57E93E" w14:textId="3AEB121F" w:rsidR="00F22425" w:rsidRDefault="00FB700E" w:rsidP="00D36ADC">
            <w:pPr>
              <w:ind w:firstLine="0"/>
              <w:contextualSpacing/>
            </w:pPr>
            <w:r>
              <w:t xml:space="preserve">2770 </w:t>
            </w:r>
            <w:r>
              <w:rPr>
                <w:rFonts w:cs="Times New Roman"/>
              </w:rPr>
              <w:t>±</w:t>
            </w:r>
            <w:r>
              <w:t xml:space="preserve"> 837</w:t>
            </w:r>
          </w:p>
        </w:tc>
        <w:tc>
          <w:tcPr>
            <w:tcW w:w="757" w:type="dxa"/>
            <w:vAlign w:val="center"/>
          </w:tcPr>
          <w:p w14:paraId="0A9BA374" w14:textId="52F5ED1A" w:rsidR="00F22425" w:rsidRDefault="00FB700E" w:rsidP="00D36ADC">
            <w:pPr>
              <w:ind w:firstLine="0"/>
              <w:contextualSpacing/>
            </w:pPr>
            <w:r>
              <w:t xml:space="preserve">2,0 </w:t>
            </w:r>
            <w:r>
              <w:rPr>
                <w:rFonts w:cs="Times New Roman"/>
              </w:rPr>
              <w:t>±</w:t>
            </w:r>
            <w:r>
              <w:t xml:space="preserve"> 1,5</w:t>
            </w:r>
          </w:p>
        </w:tc>
        <w:tc>
          <w:tcPr>
            <w:tcW w:w="793" w:type="dxa"/>
            <w:vAlign w:val="center"/>
          </w:tcPr>
          <w:p w14:paraId="0FDA47E6" w14:textId="7B220812" w:rsidR="00F22425" w:rsidRDefault="00FB700E" w:rsidP="00D36ADC">
            <w:pPr>
              <w:ind w:firstLine="0"/>
              <w:contextualSpacing/>
            </w:pPr>
            <w:r>
              <w:t>43,3</w:t>
            </w:r>
            <w:r>
              <w:rPr>
                <w:vertAlign w:val="superscript"/>
                <w:lang w:val="en-US"/>
              </w:rPr>
              <w:t>b</w:t>
            </w:r>
          </w:p>
        </w:tc>
      </w:tr>
      <w:tr w:rsidR="00A353DC" w14:paraId="3F1A3C8A" w14:textId="77777777" w:rsidTr="0095267B">
        <w:tc>
          <w:tcPr>
            <w:tcW w:w="1115" w:type="dxa"/>
            <w:vMerge/>
            <w:vAlign w:val="center"/>
          </w:tcPr>
          <w:p w14:paraId="0F594BD2" w14:textId="77777777" w:rsidR="00F22425" w:rsidRDefault="00F22425" w:rsidP="00D36ADC">
            <w:pPr>
              <w:contextualSpacing/>
            </w:pPr>
          </w:p>
        </w:tc>
        <w:tc>
          <w:tcPr>
            <w:tcW w:w="918" w:type="dxa"/>
            <w:vAlign w:val="center"/>
          </w:tcPr>
          <w:p w14:paraId="6FBE6DE9" w14:textId="40E9F813" w:rsidR="00F22425" w:rsidRDefault="00F22425" w:rsidP="00D36ADC">
            <w:pPr>
              <w:ind w:firstLine="0"/>
              <w:contextualSpacing/>
            </w:pPr>
            <w:r>
              <w:t>самки</w:t>
            </w:r>
          </w:p>
        </w:tc>
        <w:tc>
          <w:tcPr>
            <w:tcW w:w="869" w:type="dxa"/>
            <w:vMerge/>
            <w:vAlign w:val="center"/>
          </w:tcPr>
          <w:p w14:paraId="778B6D71" w14:textId="77777777" w:rsidR="00F22425" w:rsidRDefault="00F22425" w:rsidP="00D36ADC">
            <w:pPr>
              <w:contextualSpacing/>
            </w:pPr>
          </w:p>
        </w:tc>
        <w:tc>
          <w:tcPr>
            <w:tcW w:w="1978" w:type="dxa"/>
            <w:vMerge/>
            <w:vAlign w:val="center"/>
          </w:tcPr>
          <w:p w14:paraId="3AF2742C" w14:textId="77777777" w:rsidR="00F22425" w:rsidRDefault="00F22425" w:rsidP="00D36ADC">
            <w:pPr>
              <w:contextualSpacing/>
            </w:pPr>
          </w:p>
        </w:tc>
        <w:tc>
          <w:tcPr>
            <w:tcW w:w="977" w:type="dxa"/>
            <w:vAlign w:val="center"/>
          </w:tcPr>
          <w:p w14:paraId="025F9A06" w14:textId="6EF483AD" w:rsidR="00F22425" w:rsidRDefault="008B6E6F" w:rsidP="00D36ADC">
            <w:pPr>
              <w:ind w:firstLine="0"/>
              <w:contextualSpacing/>
            </w:pPr>
            <w:r>
              <w:t xml:space="preserve">3670 </w:t>
            </w:r>
            <w:r>
              <w:rPr>
                <w:rFonts w:cs="Times New Roman"/>
              </w:rPr>
              <w:t>±</w:t>
            </w:r>
            <w:r>
              <w:t xml:space="preserve"> 1430</w:t>
            </w:r>
          </w:p>
        </w:tc>
        <w:tc>
          <w:tcPr>
            <w:tcW w:w="746" w:type="dxa"/>
            <w:vAlign w:val="center"/>
          </w:tcPr>
          <w:p w14:paraId="28A48A15" w14:textId="7239321B" w:rsidR="00F22425" w:rsidRDefault="008B6E6F" w:rsidP="00D36ADC">
            <w:pPr>
              <w:ind w:firstLine="0"/>
              <w:contextualSpacing/>
            </w:pPr>
            <w:r>
              <w:t xml:space="preserve">0,3 </w:t>
            </w:r>
            <w:r>
              <w:rPr>
                <w:rFonts w:cs="Times New Roman"/>
              </w:rPr>
              <w:t>±</w:t>
            </w:r>
            <w:r>
              <w:t xml:space="preserve"> 0,0</w:t>
            </w:r>
          </w:p>
        </w:tc>
        <w:tc>
          <w:tcPr>
            <w:tcW w:w="1084" w:type="dxa"/>
            <w:vAlign w:val="center"/>
          </w:tcPr>
          <w:p w14:paraId="4B52206C" w14:textId="10411F7C" w:rsidR="00F22425" w:rsidRDefault="008B6E6F" w:rsidP="00D36ADC">
            <w:pPr>
              <w:ind w:firstLine="0"/>
              <w:contextualSpacing/>
            </w:pPr>
            <w:r>
              <w:t xml:space="preserve">7030 </w:t>
            </w:r>
            <w:r>
              <w:rPr>
                <w:rFonts w:cs="Times New Roman"/>
              </w:rPr>
              <w:t>±</w:t>
            </w:r>
            <w:r>
              <w:t xml:space="preserve"> </w:t>
            </w:r>
            <w:r w:rsidR="00A22BEB">
              <w:t>1780</w:t>
            </w:r>
          </w:p>
        </w:tc>
        <w:tc>
          <w:tcPr>
            <w:tcW w:w="757" w:type="dxa"/>
            <w:vAlign w:val="center"/>
          </w:tcPr>
          <w:p w14:paraId="28B2A315" w14:textId="060C8F94" w:rsidR="00F22425" w:rsidRDefault="00A22BEB" w:rsidP="00D36ADC">
            <w:pPr>
              <w:ind w:firstLine="0"/>
              <w:contextualSpacing/>
            </w:pPr>
            <w:r>
              <w:t xml:space="preserve">1,5 </w:t>
            </w:r>
            <w:r>
              <w:rPr>
                <w:rFonts w:cs="Times New Roman"/>
              </w:rPr>
              <w:t>±</w:t>
            </w:r>
            <w:r>
              <w:t xml:space="preserve"> 0,2</w:t>
            </w:r>
          </w:p>
        </w:tc>
        <w:tc>
          <w:tcPr>
            <w:tcW w:w="793" w:type="dxa"/>
            <w:vAlign w:val="center"/>
          </w:tcPr>
          <w:p w14:paraId="682719EB" w14:textId="46C54E11" w:rsidR="00F22425" w:rsidRDefault="00A22BEB" w:rsidP="00D36ADC">
            <w:pPr>
              <w:ind w:firstLine="0"/>
              <w:contextualSpacing/>
            </w:pPr>
            <w:r>
              <w:t>129</w:t>
            </w:r>
            <w:r>
              <w:rPr>
                <w:vertAlign w:val="superscript"/>
                <w:lang w:val="en-US"/>
              </w:rPr>
              <w:t>b</w:t>
            </w:r>
          </w:p>
        </w:tc>
      </w:tr>
      <w:tr w:rsidR="00FF2D07" w14:paraId="478781BD" w14:textId="77777777" w:rsidTr="0095267B">
        <w:tc>
          <w:tcPr>
            <w:tcW w:w="1115" w:type="dxa"/>
            <w:vMerge/>
            <w:vAlign w:val="center"/>
          </w:tcPr>
          <w:p w14:paraId="6C9150BF" w14:textId="77777777" w:rsidR="00FF2D07" w:rsidRDefault="00FF2D07" w:rsidP="00D36ADC">
            <w:pPr>
              <w:contextualSpacing/>
            </w:pPr>
          </w:p>
        </w:tc>
        <w:tc>
          <w:tcPr>
            <w:tcW w:w="918" w:type="dxa"/>
            <w:vAlign w:val="center"/>
          </w:tcPr>
          <w:p w14:paraId="1DD3AEB1" w14:textId="55395ECB" w:rsidR="00FF2D07" w:rsidRDefault="00FF2D07" w:rsidP="00D36ADC">
            <w:pPr>
              <w:ind w:firstLine="0"/>
              <w:contextualSpacing/>
            </w:pPr>
            <w:r>
              <w:t>самцы</w:t>
            </w:r>
          </w:p>
        </w:tc>
        <w:tc>
          <w:tcPr>
            <w:tcW w:w="869" w:type="dxa"/>
            <w:vMerge w:val="restart"/>
            <w:vAlign w:val="center"/>
          </w:tcPr>
          <w:p w14:paraId="5CE18727" w14:textId="3E5A2B6B" w:rsidR="00FF2D07" w:rsidRPr="007F5F0D" w:rsidRDefault="00FF2D07" w:rsidP="00D36ADC">
            <w:pPr>
              <w:ind w:firstLine="0"/>
              <w:contextualSpacing/>
              <w:rPr>
                <w:vertAlign w:val="superscript"/>
                <w:lang w:val="en-US"/>
              </w:rPr>
            </w:pPr>
            <w:r>
              <w:t>10</w:t>
            </w:r>
            <w:r>
              <w:rPr>
                <w:vertAlign w:val="superscript"/>
                <w:lang w:val="en-US"/>
              </w:rPr>
              <w:t>c</w:t>
            </w:r>
          </w:p>
        </w:tc>
        <w:tc>
          <w:tcPr>
            <w:tcW w:w="1978" w:type="dxa"/>
            <w:vMerge w:val="restart"/>
            <w:vAlign w:val="center"/>
          </w:tcPr>
          <w:p w14:paraId="530ACE9D" w14:textId="43960B91" w:rsidR="00FF2D07" w:rsidRDefault="00FF2D07" w:rsidP="00D36ADC">
            <w:pPr>
              <w:ind w:firstLine="0"/>
              <w:contextualSpacing/>
            </w:pPr>
            <w:r>
              <w:t>0,5% раствор метилцеллюлозы</w:t>
            </w:r>
          </w:p>
        </w:tc>
        <w:tc>
          <w:tcPr>
            <w:tcW w:w="977" w:type="dxa"/>
            <w:vAlign w:val="center"/>
          </w:tcPr>
          <w:p w14:paraId="60A54901" w14:textId="333E6CC3" w:rsidR="00FF2D07" w:rsidRDefault="00FF2D07" w:rsidP="00D36ADC">
            <w:pPr>
              <w:ind w:firstLine="0"/>
              <w:contextualSpacing/>
            </w:pPr>
            <w:r>
              <w:t xml:space="preserve">796 </w:t>
            </w:r>
            <w:r>
              <w:rPr>
                <w:rFonts w:cs="Times New Roman"/>
              </w:rPr>
              <w:t>±</w:t>
            </w:r>
            <w:r>
              <w:t xml:space="preserve"> 133</w:t>
            </w:r>
          </w:p>
        </w:tc>
        <w:tc>
          <w:tcPr>
            <w:tcW w:w="746" w:type="dxa"/>
            <w:vAlign w:val="center"/>
          </w:tcPr>
          <w:p w14:paraId="3FEEA1C0" w14:textId="329208DA" w:rsidR="00FF2D07" w:rsidRDefault="00FF2D07" w:rsidP="00D36ADC">
            <w:pPr>
              <w:ind w:firstLine="0"/>
              <w:contextualSpacing/>
            </w:pPr>
            <w:r>
              <w:t xml:space="preserve">0,5 </w:t>
            </w:r>
            <w:r>
              <w:rPr>
                <w:rFonts w:cs="Times New Roman"/>
              </w:rPr>
              <w:t>±</w:t>
            </w:r>
            <w:r>
              <w:t xml:space="preserve"> 0,0</w:t>
            </w:r>
          </w:p>
        </w:tc>
        <w:tc>
          <w:tcPr>
            <w:tcW w:w="1084" w:type="dxa"/>
            <w:vAlign w:val="center"/>
          </w:tcPr>
          <w:p w14:paraId="40C01C4A" w14:textId="6159AE45" w:rsidR="00FF2D07" w:rsidRDefault="00FF2D07" w:rsidP="00D36ADC">
            <w:pPr>
              <w:ind w:firstLine="0"/>
              <w:contextualSpacing/>
            </w:pPr>
            <w:r>
              <w:t xml:space="preserve">1210 </w:t>
            </w:r>
            <w:r>
              <w:rPr>
                <w:rFonts w:cs="Times New Roman"/>
              </w:rPr>
              <w:t>±</w:t>
            </w:r>
            <w:r>
              <w:t xml:space="preserve"> 303</w:t>
            </w:r>
          </w:p>
        </w:tc>
        <w:tc>
          <w:tcPr>
            <w:tcW w:w="757" w:type="dxa"/>
            <w:vAlign w:val="center"/>
          </w:tcPr>
          <w:p w14:paraId="250A1F0C" w14:textId="5EFD8D61" w:rsidR="00FF2D07" w:rsidRDefault="00FF2D07" w:rsidP="00D36ADC">
            <w:pPr>
              <w:ind w:firstLine="0"/>
              <w:contextualSpacing/>
            </w:pPr>
            <w:r w:rsidRPr="00337EEA">
              <w:t xml:space="preserve">н/о </w:t>
            </w:r>
          </w:p>
        </w:tc>
        <w:tc>
          <w:tcPr>
            <w:tcW w:w="793" w:type="dxa"/>
            <w:vAlign w:val="center"/>
          </w:tcPr>
          <w:p w14:paraId="1055D2DF" w14:textId="62B28330" w:rsidR="00FF2D07" w:rsidRDefault="00FF2D07" w:rsidP="00D36ADC">
            <w:pPr>
              <w:ind w:firstLine="0"/>
              <w:contextualSpacing/>
            </w:pPr>
            <w:r w:rsidRPr="00634F07">
              <w:t xml:space="preserve">н/о </w:t>
            </w:r>
          </w:p>
        </w:tc>
      </w:tr>
      <w:tr w:rsidR="00FF2D07" w14:paraId="41155D40" w14:textId="77777777" w:rsidTr="0095267B">
        <w:tc>
          <w:tcPr>
            <w:tcW w:w="1115" w:type="dxa"/>
            <w:vMerge/>
            <w:vAlign w:val="center"/>
          </w:tcPr>
          <w:p w14:paraId="659588CC" w14:textId="77777777" w:rsidR="00FF2D07" w:rsidRDefault="00FF2D07" w:rsidP="00D36ADC">
            <w:pPr>
              <w:contextualSpacing/>
            </w:pPr>
          </w:p>
        </w:tc>
        <w:tc>
          <w:tcPr>
            <w:tcW w:w="918" w:type="dxa"/>
            <w:vAlign w:val="center"/>
          </w:tcPr>
          <w:p w14:paraId="34ADE1A9" w14:textId="6C08DFCD" w:rsidR="00FF2D07" w:rsidRDefault="00FF2D07" w:rsidP="00D36ADC">
            <w:pPr>
              <w:ind w:firstLine="0"/>
              <w:contextualSpacing/>
            </w:pPr>
            <w:r>
              <w:t>самки</w:t>
            </w:r>
          </w:p>
        </w:tc>
        <w:tc>
          <w:tcPr>
            <w:tcW w:w="869" w:type="dxa"/>
            <w:vMerge/>
            <w:vAlign w:val="center"/>
          </w:tcPr>
          <w:p w14:paraId="0DB6EB49" w14:textId="77777777" w:rsidR="00FF2D07" w:rsidRDefault="00FF2D07" w:rsidP="00D36ADC">
            <w:pPr>
              <w:contextualSpacing/>
            </w:pPr>
          </w:p>
        </w:tc>
        <w:tc>
          <w:tcPr>
            <w:tcW w:w="1978" w:type="dxa"/>
            <w:vMerge/>
            <w:vAlign w:val="center"/>
          </w:tcPr>
          <w:p w14:paraId="3D6D0FA9" w14:textId="77777777" w:rsidR="00FF2D07" w:rsidRDefault="00FF2D07" w:rsidP="00D36ADC">
            <w:pPr>
              <w:contextualSpacing/>
            </w:pPr>
          </w:p>
        </w:tc>
        <w:tc>
          <w:tcPr>
            <w:tcW w:w="977" w:type="dxa"/>
            <w:vAlign w:val="center"/>
          </w:tcPr>
          <w:p w14:paraId="1BFE8C74" w14:textId="2F97FA1F" w:rsidR="00FF2D07" w:rsidRDefault="00FF2D07" w:rsidP="00D36ADC">
            <w:pPr>
              <w:ind w:firstLine="0"/>
              <w:contextualSpacing/>
            </w:pPr>
            <w:r>
              <w:t xml:space="preserve">2390 </w:t>
            </w:r>
            <w:r>
              <w:rPr>
                <w:rFonts w:cs="Times New Roman"/>
              </w:rPr>
              <w:t>±</w:t>
            </w:r>
            <w:r>
              <w:t xml:space="preserve"> 187</w:t>
            </w:r>
          </w:p>
        </w:tc>
        <w:tc>
          <w:tcPr>
            <w:tcW w:w="746" w:type="dxa"/>
            <w:vAlign w:val="center"/>
          </w:tcPr>
          <w:p w14:paraId="0F5F119D" w14:textId="31CC6C81" w:rsidR="00FF2D07" w:rsidRDefault="00FF2D07" w:rsidP="00D36ADC">
            <w:pPr>
              <w:ind w:firstLine="0"/>
              <w:contextualSpacing/>
            </w:pPr>
            <w:r>
              <w:t xml:space="preserve">0,5 </w:t>
            </w:r>
            <w:r>
              <w:rPr>
                <w:rFonts w:cs="Times New Roman"/>
              </w:rPr>
              <w:t>±</w:t>
            </w:r>
            <w:r>
              <w:t xml:space="preserve"> 0,0</w:t>
            </w:r>
          </w:p>
        </w:tc>
        <w:tc>
          <w:tcPr>
            <w:tcW w:w="1084" w:type="dxa"/>
            <w:vAlign w:val="center"/>
          </w:tcPr>
          <w:p w14:paraId="4D3374D9" w14:textId="031AD16D" w:rsidR="00FF2D07" w:rsidRDefault="00FF2D07" w:rsidP="00D36ADC">
            <w:pPr>
              <w:ind w:firstLine="0"/>
              <w:contextualSpacing/>
            </w:pPr>
            <w:r>
              <w:t xml:space="preserve">4690 </w:t>
            </w:r>
            <w:r>
              <w:rPr>
                <w:rFonts w:cs="Times New Roman"/>
              </w:rPr>
              <w:t>±</w:t>
            </w:r>
            <w:r>
              <w:t xml:space="preserve"> 194</w:t>
            </w:r>
          </w:p>
        </w:tc>
        <w:tc>
          <w:tcPr>
            <w:tcW w:w="757" w:type="dxa"/>
            <w:vAlign w:val="center"/>
          </w:tcPr>
          <w:p w14:paraId="4A16873E" w14:textId="7EF290A6" w:rsidR="00FF2D07" w:rsidRDefault="00FF2D07" w:rsidP="00D36ADC">
            <w:pPr>
              <w:ind w:firstLine="0"/>
              <w:contextualSpacing/>
            </w:pPr>
            <w:r w:rsidRPr="00337EEA">
              <w:t xml:space="preserve">н/о </w:t>
            </w:r>
          </w:p>
        </w:tc>
        <w:tc>
          <w:tcPr>
            <w:tcW w:w="793" w:type="dxa"/>
            <w:vAlign w:val="center"/>
          </w:tcPr>
          <w:p w14:paraId="5D4F2A44" w14:textId="73F7CBE6" w:rsidR="00FF2D07" w:rsidRDefault="00FF2D07" w:rsidP="00D36ADC">
            <w:pPr>
              <w:ind w:firstLine="0"/>
              <w:contextualSpacing/>
            </w:pPr>
            <w:r w:rsidRPr="00634F07">
              <w:t xml:space="preserve">н/о </w:t>
            </w:r>
          </w:p>
        </w:tc>
      </w:tr>
      <w:tr w:rsidR="00FF2D07" w14:paraId="41EB00BD" w14:textId="77777777" w:rsidTr="0095267B">
        <w:tc>
          <w:tcPr>
            <w:tcW w:w="1115" w:type="dxa"/>
            <w:vAlign w:val="center"/>
          </w:tcPr>
          <w:p w14:paraId="6BA74553" w14:textId="541FDAF2" w:rsidR="00FF2D07" w:rsidRDefault="00FF2D07" w:rsidP="00D36ADC">
            <w:pPr>
              <w:ind w:firstLine="0"/>
              <w:contextualSpacing/>
            </w:pPr>
            <w:r>
              <w:t>Кролики</w:t>
            </w:r>
          </w:p>
        </w:tc>
        <w:tc>
          <w:tcPr>
            <w:tcW w:w="918" w:type="dxa"/>
            <w:vAlign w:val="center"/>
          </w:tcPr>
          <w:p w14:paraId="0B1B82A2" w14:textId="5FBDAA3C" w:rsidR="00FF2D07" w:rsidRDefault="00FF2D07" w:rsidP="00D36ADC">
            <w:pPr>
              <w:ind w:firstLine="0"/>
              <w:contextualSpacing/>
            </w:pPr>
            <w:r>
              <w:t>самки</w:t>
            </w:r>
          </w:p>
        </w:tc>
        <w:tc>
          <w:tcPr>
            <w:tcW w:w="869" w:type="dxa"/>
            <w:vAlign w:val="center"/>
          </w:tcPr>
          <w:p w14:paraId="396F2F88" w14:textId="399F6BE9" w:rsidR="00FF2D07" w:rsidRPr="00775E07" w:rsidRDefault="00FF2D07" w:rsidP="00D36ADC">
            <w:pPr>
              <w:ind w:firstLine="0"/>
              <w:contextualSpacing/>
              <w:rPr>
                <w:lang w:val="en-US"/>
              </w:rPr>
            </w:pPr>
            <w:r>
              <w:t>30</w:t>
            </w:r>
            <w:r>
              <w:rPr>
                <w:vertAlign w:val="superscript"/>
                <w:lang w:val="en-US"/>
              </w:rPr>
              <w:t>c</w:t>
            </w:r>
          </w:p>
        </w:tc>
        <w:tc>
          <w:tcPr>
            <w:tcW w:w="1978" w:type="dxa"/>
            <w:vMerge/>
            <w:vAlign w:val="center"/>
          </w:tcPr>
          <w:p w14:paraId="797F5476" w14:textId="77777777" w:rsidR="00FF2D07" w:rsidRDefault="00FF2D07" w:rsidP="00D36ADC">
            <w:pPr>
              <w:ind w:firstLine="0"/>
              <w:contextualSpacing/>
            </w:pPr>
          </w:p>
        </w:tc>
        <w:tc>
          <w:tcPr>
            <w:tcW w:w="977" w:type="dxa"/>
            <w:vAlign w:val="center"/>
          </w:tcPr>
          <w:p w14:paraId="24D82DD4" w14:textId="2E590EEB" w:rsidR="00FF2D07" w:rsidRDefault="00FF2D07" w:rsidP="00D36ADC">
            <w:pPr>
              <w:ind w:firstLine="0"/>
              <w:contextualSpacing/>
            </w:pPr>
            <w:r>
              <w:t xml:space="preserve">16800 </w:t>
            </w:r>
            <w:r>
              <w:rPr>
                <w:rFonts w:cs="Times New Roman"/>
              </w:rPr>
              <w:t>±</w:t>
            </w:r>
            <w:r>
              <w:t xml:space="preserve"> 1750</w:t>
            </w:r>
          </w:p>
        </w:tc>
        <w:tc>
          <w:tcPr>
            <w:tcW w:w="746" w:type="dxa"/>
            <w:vAlign w:val="center"/>
          </w:tcPr>
          <w:p w14:paraId="1462D457" w14:textId="0D684745" w:rsidR="00FF2D07" w:rsidRDefault="00FF2D07" w:rsidP="00D36ADC">
            <w:pPr>
              <w:ind w:firstLine="0"/>
              <w:contextualSpacing/>
            </w:pPr>
            <w:r>
              <w:t xml:space="preserve">0,9 </w:t>
            </w:r>
            <w:r>
              <w:rPr>
                <w:rFonts w:cs="Times New Roman"/>
              </w:rPr>
              <w:t>±</w:t>
            </w:r>
            <w:r>
              <w:t xml:space="preserve"> 0,3</w:t>
            </w:r>
          </w:p>
        </w:tc>
        <w:tc>
          <w:tcPr>
            <w:tcW w:w="1084" w:type="dxa"/>
            <w:vAlign w:val="center"/>
          </w:tcPr>
          <w:p w14:paraId="2E78DB88" w14:textId="7FF2D254" w:rsidR="00FF2D07" w:rsidRDefault="008D245A" w:rsidP="00D36ADC">
            <w:pPr>
              <w:ind w:firstLine="0"/>
              <w:contextualSpacing/>
            </w:pPr>
            <w:r w:rsidRPr="008D245A">
              <w:t>н/о</w:t>
            </w:r>
          </w:p>
        </w:tc>
        <w:tc>
          <w:tcPr>
            <w:tcW w:w="757" w:type="dxa"/>
            <w:vAlign w:val="center"/>
          </w:tcPr>
          <w:p w14:paraId="6D8AC6A5" w14:textId="65827737" w:rsidR="00FF2D07" w:rsidRDefault="00FF2D07" w:rsidP="00D36ADC">
            <w:pPr>
              <w:ind w:firstLine="0"/>
              <w:contextualSpacing/>
            </w:pPr>
            <w:r>
              <w:t xml:space="preserve">2,4 </w:t>
            </w:r>
            <w:r>
              <w:rPr>
                <w:rFonts w:cs="Times New Roman"/>
              </w:rPr>
              <w:t>±</w:t>
            </w:r>
            <w:r>
              <w:t xml:space="preserve"> 0,4</w:t>
            </w:r>
          </w:p>
        </w:tc>
        <w:tc>
          <w:tcPr>
            <w:tcW w:w="793" w:type="dxa"/>
            <w:vAlign w:val="center"/>
          </w:tcPr>
          <w:p w14:paraId="7FF3AAC3" w14:textId="7754E6B1" w:rsidR="00FF2D07" w:rsidRDefault="00FF2D07" w:rsidP="00D36ADC">
            <w:pPr>
              <w:ind w:firstLine="0"/>
              <w:contextualSpacing/>
            </w:pPr>
            <w:r w:rsidRPr="00634F07">
              <w:t xml:space="preserve">н/о </w:t>
            </w:r>
          </w:p>
        </w:tc>
      </w:tr>
      <w:tr w:rsidR="008D245A" w14:paraId="3B114623" w14:textId="77777777" w:rsidTr="0095267B">
        <w:tc>
          <w:tcPr>
            <w:tcW w:w="1115" w:type="dxa"/>
            <w:vAlign w:val="center"/>
          </w:tcPr>
          <w:p w14:paraId="6F881CE9" w14:textId="28B6F069" w:rsidR="008D245A" w:rsidRDefault="008D245A" w:rsidP="00D36ADC">
            <w:pPr>
              <w:ind w:firstLine="0"/>
              <w:contextualSpacing/>
            </w:pPr>
            <w:r>
              <w:t>Собаки</w:t>
            </w:r>
          </w:p>
        </w:tc>
        <w:tc>
          <w:tcPr>
            <w:tcW w:w="918" w:type="dxa"/>
            <w:vAlign w:val="center"/>
          </w:tcPr>
          <w:p w14:paraId="53CA1712" w14:textId="6F1A6A08" w:rsidR="008D245A" w:rsidRDefault="008D245A" w:rsidP="00D36ADC">
            <w:pPr>
              <w:ind w:firstLine="0"/>
              <w:contextualSpacing/>
            </w:pPr>
            <w:r>
              <w:t>самцы и самки</w:t>
            </w:r>
          </w:p>
        </w:tc>
        <w:tc>
          <w:tcPr>
            <w:tcW w:w="869" w:type="dxa"/>
            <w:vAlign w:val="center"/>
          </w:tcPr>
          <w:p w14:paraId="0AE3F445" w14:textId="77777777" w:rsidR="008D245A" w:rsidRDefault="008D245A" w:rsidP="00D36ADC">
            <w:pPr>
              <w:contextualSpacing/>
            </w:pPr>
          </w:p>
        </w:tc>
        <w:tc>
          <w:tcPr>
            <w:tcW w:w="1978" w:type="dxa"/>
            <w:vMerge/>
            <w:vAlign w:val="center"/>
          </w:tcPr>
          <w:p w14:paraId="661EAFAA" w14:textId="77777777" w:rsidR="008D245A" w:rsidRDefault="008D245A" w:rsidP="00D36ADC">
            <w:pPr>
              <w:contextualSpacing/>
            </w:pPr>
          </w:p>
        </w:tc>
        <w:tc>
          <w:tcPr>
            <w:tcW w:w="977" w:type="dxa"/>
            <w:vAlign w:val="center"/>
          </w:tcPr>
          <w:p w14:paraId="4245FA3A" w14:textId="6405EC73" w:rsidR="008D245A" w:rsidRDefault="008D245A" w:rsidP="00D36ADC">
            <w:pPr>
              <w:ind w:firstLine="0"/>
              <w:contextualSpacing/>
            </w:pPr>
            <w:r>
              <w:t xml:space="preserve">1020 </w:t>
            </w:r>
            <w:r>
              <w:rPr>
                <w:rFonts w:cs="Times New Roman"/>
              </w:rPr>
              <w:t>±</w:t>
            </w:r>
            <w:r>
              <w:t xml:space="preserve"> 255</w:t>
            </w:r>
          </w:p>
        </w:tc>
        <w:tc>
          <w:tcPr>
            <w:tcW w:w="746" w:type="dxa"/>
            <w:vAlign w:val="center"/>
          </w:tcPr>
          <w:p w14:paraId="119D6B60" w14:textId="284CC92A" w:rsidR="008D245A" w:rsidRDefault="008D245A" w:rsidP="00D36ADC">
            <w:pPr>
              <w:ind w:firstLine="0"/>
              <w:contextualSpacing/>
            </w:pPr>
            <w:r>
              <w:t xml:space="preserve">0,5 </w:t>
            </w:r>
            <w:r>
              <w:rPr>
                <w:rFonts w:cs="Times New Roman"/>
              </w:rPr>
              <w:t>±</w:t>
            </w:r>
            <w:r>
              <w:t xml:space="preserve"> 0,4</w:t>
            </w:r>
          </w:p>
        </w:tc>
        <w:tc>
          <w:tcPr>
            <w:tcW w:w="1084" w:type="dxa"/>
            <w:vAlign w:val="center"/>
          </w:tcPr>
          <w:p w14:paraId="5F2CEF5B" w14:textId="78504064" w:rsidR="008D245A" w:rsidRDefault="008D245A" w:rsidP="00D36ADC">
            <w:pPr>
              <w:ind w:firstLine="0"/>
              <w:contextualSpacing/>
            </w:pPr>
            <w:r>
              <w:t xml:space="preserve">2330 </w:t>
            </w:r>
            <w:r>
              <w:rPr>
                <w:rFonts w:cs="Times New Roman"/>
              </w:rPr>
              <w:t>±</w:t>
            </w:r>
            <w:r>
              <w:t xml:space="preserve"> 423</w:t>
            </w:r>
          </w:p>
        </w:tc>
        <w:tc>
          <w:tcPr>
            <w:tcW w:w="757" w:type="dxa"/>
            <w:vAlign w:val="center"/>
          </w:tcPr>
          <w:p w14:paraId="59E759B6" w14:textId="5E97C7A0" w:rsidR="008D245A" w:rsidRDefault="008D245A" w:rsidP="00D36ADC">
            <w:pPr>
              <w:ind w:firstLine="0"/>
              <w:contextualSpacing/>
            </w:pPr>
            <w:r w:rsidRPr="00472FD0">
              <w:t xml:space="preserve">н/о </w:t>
            </w:r>
          </w:p>
        </w:tc>
        <w:tc>
          <w:tcPr>
            <w:tcW w:w="793" w:type="dxa"/>
            <w:vAlign w:val="center"/>
          </w:tcPr>
          <w:p w14:paraId="1B698B4A" w14:textId="13B2CEB4" w:rsidR="008D245A" w:rsidRDefault="008D245A" w:rsidP="00D36ADC">
            <w:pPr>
              <w:ind w:firstLine="0"/>
              <w:contextualSpacing/>
            </w:pPr>
            <w:r>
              <w:t>43,0</w:t>
            </w:r>
          </w:p>
        </w:tc>
      </w:tr>
      <w:tr w:rsidR="008D245A" w14:paraId="37718276" w14:textId="77777777" w:rsidTr="0095267B">
        <w:tc>
          <w:tcPr>
            <w:tcW w:w="1115" w:type="dxa"/>
            <w:vMerge w:val="restart"/>
            <w:vAlign w:val="center"/>
          </w:tcPr>
          <w:p w14:paraId="20BC85A8" w14:textId="3A32EBBD" w:rsidR="008D245A" w:rsidRDefault="008D245A" w:rsidP="00D36ADC">
            <w:pPr>
              <w:ind w:firstLine="0"/>
              <w:contextualSpacing/>
            </w:pPr>
            <w:r>
              <w:t>Обезьяны</w:t>
            </w:r>
          </w:p>
        </w:tc>
        <w:tc>
          <w:tcPr>
            <w:tcW w:w="918" w:type="dxa"/>
            <w:vAlign w:val="center"/>
          </w:tcPr>
          <w:p w14:paraId="7B6048CE" w14:textId="24DE1189" w:rsidR="008D245A" w:rsidRDefault="008D245A" w:rsidP="00D36ADC">
            <w:pPr>
              <w:ind w:firstLine="0"/>
              <w:contextualSpacing/>
            </w:pPr>
            <w:r>
              <w:t>самцы и самки</w:t>
            </w:r>
          </w:p>
        </w:tc>
        <w:tc>
          <w:tcPr>
            <w:tcW w:w="869" w:type="dxa"/>
            <w:vAlign w:val="center"/>
          </w:tcPr>
          <w:p w14:paraId="37D611AE" w14:textId="78A5C47D" w:rsidR="008D245A" w:rsidRDefault="008D245A" w:rsidP="00D36ADC">
            <w:pPr>
              <w:ind w:firstLine="0"/>
              <w:contextualSpacing/>
            </w:pPr>
            <w:r>
              <w:t>5</w:t>
            </w:r>
          </w:p>
        </w:tc>
        <w:tc>
          <w:tcPr>
            <w:tcW w:w="1978" w:type="dxa"/>
            <w:vMerge/>
            <w:vAlign w:val="center"/>
          </w:tcPr>
          <w:p w14:paraId="2A710A04" w14:textId="4773C529" w:rsidR="008D245A" w:rsidRDefault="008D245A" w:rsidP="00D36ADC">
            <w:pPr>
              <w:ind w:firstLine="0"/>
              <w:contextualSpacing/>
            </w:pPr>
          </w:p>
        </w:tc>
        <w:tc>
          <w:tcPr>
            <w:tcW w:w="977" w:type="dxa"/>
            <w:vAlign w:val="center"/>
          </w:tcPr>
          <w:p w14:paraId="4D9A1212" w14:textId="6CE34B84" w:rsidR="008D245A" w:rsidRDefault="008D245A" w:rsidP="00D36ADC">
            <w:pPr>
              <w:ind w:firstLine="0"/>
              <w:contextualSpacing/>
            </w:pPr>
            <w:r>
              <w:t xml:space="preserve">791 </w:t>
            </w:r>
            <w:r>
              <w:rPr>
                <w:rFonts w:cs="Times New Roman"/>
              </w:rPr>
              <w:t>±</w:t>
            </w:r>
            <w:r>
              <w:t xml:space="preserve"> 157</w:t>
            </w:r>
          </w:p>
        </w:tc>
        <w:tc>
          <w:tcPr>
            <w:tcW w:w="746" w:type="dxa"/>
            <w:vAlign w:val="center"/>
          </w:tcPr>
          <w:p w14:paraId="2AB4157B" w14:textId="0F6D60A3" w:rsidR="008D245A" w:rsidRDefault="008D245A" w:rsidP="00D36ADC">
            <w:pPr>
              <w:ind w:firstLine="0"/>
              <w:contextualSpacing/>
            </w:pPr>
            <w:r>
              <w:t xml:space="preserve">1,1 </w:t>
            </w:r>
            <w:r>
              <w:rPr>
                <w:rFonts w:cs="Times New Roman"/>
              </w:rPr>
              <w:t>±</w:t>
            </w:r>
            <w:r>
              <w:t xml:space="preserve"> 0,9</w:t>
            </w:r>
          </w:p>
        </w:tc>
        <w:tc>
          <w:tcPr>
            <w:tcW w:w="1084" w:type="dxa"/>
            <w:vAlign w:val="center"/>
          </w:tcPr>
          <w:p w14:paraId="59A8DA76" w14:textId="114AE621" w:rsidR="008D245A" w:rsidRDefault="008D245A" w:rsidP="00D36ADC">
            <w:pPr>
              <w:ind w:firstLine="0"/>
              <w:contextualSpacing/>
            </w:pPr>
            <w:r>
              <w:t xml:space="preserve">2280 </w:t>
            </w:r>
            <w:r>
              <w:rPr>
                <w:rFonts w:cs="Times New Roman"/>
              </w:rPr>
              <w:t>±</w:t>
            </w:r>
            <w:r>
              <w:t xml:space="preserve"> 338</w:t>
            </w:r>
          </w:p>
        </w:tc>
        <w:tc>
          <w:tcPr>
            <w:tcW w:w="757" w:type="dxa"/>
            <w:vAlign w:val="center"/>
          </w:tcPr>
          <w:p w14:paraId="3DD1C559" w14:textId="3AC41DDC" w:rsidR="008D245A" w:rsidRDefault="008D245A" w:rsidP="00D36ADC">
            <w:pPr>
              <w:ind w:firstLine="0"/>
              <w:contextualSpacing/>
            </w:pPr>
            <w:r w:rsidRPr="00472FD0">
              <w:t xml:space="preserve">н/о </w:t>
            </w:r>
          </w:p>
        </w:tc>
        <w:tc>
          <w:tcPr>
            <w:tcW w:w="793" w:type="dxa"/>
            <w:vAlign w:val="center"/>
          </w:tcPr>
          <w:p w14:paraId="338CB110" w14:textId="3829E7B5" w:rsidR="008D245A" w:rsidRDefault="008D245A" w:rsidP="00D36ADC">
            <w:pPr>
              <w:ind w:firstLine="0"/>
              <w:contextualSpacing/>
            </w:pPr>
            <w:r>
              <w:t>48,0</w:t>
            </w:r>
          </w:p>
        </w:tc>
      </w:tr>
      <w:tr w:rsidR="00FF2D07" w14:paraId="7399377F" w14:textId="77777777" w:rsidTr="0095267B">
        <w:tc>
          <w:tcPr>
            <w:tcW w:w="1115" w:type="dxa"/>
            <w:vMerge/>
            <w:vAlign w:val="center"/>
          </w:tcPr>
          <w:p w14:paraId="18A6C5EE" w14:textId="77777777" w:rsidR="00FF2D07" w:rsidRDefault="00FF2D07" w:rsidP="00D36ADC">
            <w:pPr>
              <w:contextualSpacing/>
            </w:pPr>
          </w:p>
        </w:tc>
        <w:tc>
          <w:tcPr>
            <w:tcW w:w="918" w:type="dxa"/>
            <w:vAlign w:val="center"/>
          </w:tcPr>
          <w:p w14:paraId="510405DD" w14:textId="781C00AE" w:rsidR="00FF2D07" w:rsidRDefault="00FF2D07" w:rsidP="00D36ADC">
            <w:pPr>
              <w:ind w:firstLine="0"/>
              <w:contextualSpacing/>
            </w:pPr>
            <w:r>
              <w:t>самцы</w:t>
            </w:r>
          </w:p>
        </w:tc>
        <w:tc>
          <w:tcPr>
            <w:tcW w:w="869" w:type="dxa"/>
            <w:vMerge w:val="restart"/>
            <w:vAlign w:val="center"/>
          </w:tcPr>
          <w:p w14:paraId="2261D74A" w14:textId="360FD4FE" w:rsidR="00FF2D07" w:rsidRPr="00EF419B" w:rsidRDefault="00FF2D07" w:rsidP="00D36ADC">
            <w:pPr>
              <w:ind w:firstLine="0"/>
              <w:contextualSpacing/>
              <w:rPr>
                <w:vertAlign w:val="superscript"/>
                <w:lang w:val="en-US"/>
              </w:rPr>
            </w:pPr>
            <w:r>
              <w:t>5</w:t>
            </w:r>
            <w:r>
              <w:rPr>
                <w:vertAlign w:val="superscript"/>
                <w:lang w:val="en-US"/>
              </w:rPr>
              <w:t>c</w:t>
            </w:r>
          </w:p>
        </w:tc>
        <w:tc>
          <w:tcPr>
            <w:tcW w:w="1978" w:type="dxa"/>
            <w:vMerge/>
            <w:vAlign w:val="center"/>
          </w:tcPr>
          <w:p w14:paraId="1E8CE9DB" w14:textId="77777777" w:rsidR="00FF2D07" w:rsidRDefault="00FF2D07" w:rsidP="00D36ADC">
            <w:pPr>
              <w:contextualSpacing/>
            </w:pPr>
          </w:p>
        </w:tc>
        <w:tc>
          <w:tcPr>
            <w:tcW w:w="977" w:type="dxa"/>
            <w:vAlign w:val="center"/>
          </w:tcPr>
          <w:p w14:paraId="1EF44456" w14:textId="4E123080" w:rsidR="00FF2D07" w:rsidRDefault="00FF2D07" w:rsidP="00D36ADC">
            <w:pPr>
              <w:ind w:firstLine="0"/>
              <w:contextualSpacing/>
            </w:pPr>
            <w:r>
              <w:t>513</w:t>
            </w:r>
          </w:p>
        </w:tc>
        <w:tc>
          <w:tcPr>
            <w:tcW w:w="746" w:type="dxa"/>
            <w:vAlign w:val="center"/>
          </w:tcPr>
          <w:p w14:paraId="1BEE5F8D" w14:textId="780FDE2C" w:rsidR="00FF2D07" w:rsidRDefault="00FF2D07" w:rsidP="00D36ADC">
            <w:pPr>
              <w:ind w:firstLine="0"/>
              <w:contextualSpacing/>
            </w:pPr>
            <w:r>
              <w:t>1,5</w:t>
            </w:r>
          </w:p>
        </w:tc>
        <w:tc>
          <w:tcPr>
            <w:tcW w:w="1084" w:type="dxa"/>
            <w:vAlign w:val="center"/>
          </w:tcPr>
          <w:p w14:paraId="22D46291" w14:textId="76563BB3" w:rsidR="00FF2D07" w:rsidRDefault="00FF2D07" w:rsidP="00D36ADC">
            <w:pPr>
              <w:ind w:firstLine="0"/>
              <w:contextualSpacing/>
            </w:pPr>
            <w:r>
              <w:t>1240</w:t>
            </w:r>
          </w:p>
        </w:tc>
        <w:tc>
          <w:tcPr>
            <w:tcW w:w="757" w:type="dxa"/>
            <w:vAlign w:val="center"/>
          </w:tcPr>
          <w:p w14:paraId="48D60CF2" w14:textId="00800B49" w:rsidR="00FF2D07" w:rsidRDefault="00FF2D07" w:rsidP="00D36ADC">
            <w:pPr>
              <w:ind w:firstLine="0"/>
              <w:contextualSpacing/>
            </w:pPr>
            <w:r>
              <w:t>1,4</w:t>
            </w:r>
          </w:p>
        </w:tc>
        <w:tc>
          <w:tcPr>
            <w:tcW w:w="793" w:type="dxa"/>
            <w:vAlign w:val="center"/>
          </w:tcPr>
          <w:p w14:paraId="56BB8990" w14:textId="0A429E25" w:rsidR="00FF2D07" w:rsidRDefault="00FF2D07" w:rsidP="00D36ADC">
            <w:pPr>
              <w:ind w:firstLine="0"/>
              <w:contextualSpacing/>
            </w:pPr>
            <w:r w:rsidRPr="005823DB">
              <w:t xml:space="preserve">н/о </w:t>
            </w:r>
          </w:p>
        </w:tc>
      </w:tr>
      <w:tr w:rsidR="00FF2D07" w14:paraId="3909E3EE" w14:textId="77777777" w:rsidTr="0095267B">
        <w:tc>
          <w:tcPr>
            <w:tcW w:w="1115" w:type="dxa"/>
            <w:vMerge/>
            <w:vAlign w:val="center"/>
          </w:tcPr>
          <w:p w14:paraId="3CD7268B" w14:textId="77777777" w:rsidR="00FF2D07" w:rsidRDefault="00FF2D07" w:rsidP="00D36ADC">
            <w:pPr>
              <w:contextualSpacing/>
            </w:pPr>
          </w:p>
        </w:tc>
        <w:tc>
          <w:tcPr>
            <w:tcW w:w="918" w:type="dxa"/>
            <w:vAlign w:val="center"/>
          </w:tcPr>
          <w:p w14:paraId="24EE7046" w14:textId="3221A6C8" w:rsidR="00FF2D07" w:rsidRDefault="00FF2D07" w:rsidP="00D36ADC">
            <w:pPr>
              <w:ind w:firstLine="0"/>
              <w:contextualSpacing/>
            </w:pPr>
            <w:r>
              <w:t>самки</w:t>
            </w:r>
          </w:p>
        </w:tc>
        <w:tc>
          <w:tcPr>
            <w:tcW w:w="869" w:type="dxa"/>
            <w:vMerge/>
            <w:vAlign w:val="center"/>
          </w:tcPr>
          <w:p w14:paraId="6A55F5BC" w14:textId="77777777" w:rsidR="00FF2D07" w:rsidRDefault="00FF2D07" w:rsidP="00D36ADC">
            <w:pPr>
              <w:contextualSpacing/>
            </w:pPr>
          </w:p>
        </w:tc>
        <w:tc>
          <w:tcPr>
            <w:tcW w:w="1978" w:type="dxa"/>
            <w:vMerge/>
            <w:vAlign w:val="center"/>
          </w:tcPr>
          <w:p w14:paraId="7EC111FF" w14:textId="77777777" w:rsidR="00FF2D07" w:rsidRDefault="00FF2D07" w:rsidP="00D36ADC">
            <w:pPr>
              <w:contextualSpacing/>
            </w:pPr>
          </w:p>
        </w:tc>
        <w:tc>
          <w:tcPr>
            <w:tcW w:w="977" w:type="dxa"/>
            <w:vAlign w:val="center"/>
          </w:tcPr>
          <w:p w14:paraId="4FDC68A2" w14:textId="4203AAD9" w:rsidR="00FF2D07" w:rsidRDefault="00FF2D07" w:rsidP="00D36ADC">
            <w:pPr>
              <w:ind w:firstLine="0"/>
              <w:contextualSpacing/>
            </w:pPr>
            <w:r>
              <w:t>783</w:t>
            </w:r>
          </w:p>
        </w:tc>
        <w:tc>
          <w:tcPr>
            <w:tcW w:w="746" w:type="dxa"/>
            <w:vAlign w:val="center"/>
          </w:tcPr>
          <w:p w14:paraId="55A6F893" w14:textId="4A807D50" w:rsidR="00FF2D07" w:rsidRDefault="00FF2D07" w:rsidP="00D36ADC">
            <w:pPr>
              <w:ind w:firstLine="0"/>
              <w:contextualSpacing/>
            </w:pPr>
            <w:r>
              <w:t>1</w:t>
            </w:r>
          </w:p>
        </w:tc>
        <w:tc>
          <w:tcPr>
            <w:tcW w:w="1084" w:type="dxa"/>
            <w:vAlign w:val="center"/>
          </w:tcPr>
          <w:p w14:paraId="019B048F" w14:textId="10159E5A" w:rsidR="00FF2D07" w:rsidRDefault="00FF2D07" w:rsidP="00D36ADC">
            <w:pPr>
              <w:ind w:firstLine="0"/>
              <w:contextualSpacing/>
            </w:pPr>
            <w:r>
              <w:t>1820</w:t>
            </w:r>
          </w:p>
        </w:tc>
        <w:tc>
          <w:tcPr>
            <w:tcW w:w="757" w:type="dxa"/>
            <w:vAlign w:val="center"/>
          </w:tcPr>
          <w:p w14:paraId="330A9DAB" w14:textId="5100C889" w:rsidR="00FF2D07" w:rsidRDefault="00FF2D07" w:rsidP="00D36ADC">
            <w:pPr>
              <w:ind w:firstLine="0"/>
              <w:contextualSpacing/>
            </w:pPr>
            <w:r>
              <w:t>1,2</w:t>
            </w:r>
          </w:p>
        </w:tc>
        <w:tc>
          <w:tcPr>
            <w:tcW w:w="793" w:type="dxa"/>
            <w:vAlign w:val="center"/>
          </w:tcPr>
          <w:p w14:paraId="394F7A0C" w14:textId="4326F1FE" w:rsidR="00FF2D07" w:rsidRDefault="00FF2D07" w:rsidP="00D36ADC">
            <w:pPr>
              <w:ind w:firstLine="0"/>
              <w:contextualSpacing/>
            </w:pPr>
            <w:r w:rsidRPr="005823DB">
              <w:t xml:space="preserve">н/о </w:t>
            </w:r>
          </w:p>
        </w:tc>
      </w:tr>
      <w:tr w:rsidR="005A1F67" w14:paraId="0645DE13" w14:textId="77777777" w:rsidTr="0095267B">
        <w:tc>
          <w:tcPr>
            <w:tcW w:w="9237" w:type="dxa"/>
            <w:gridSpan w:val="9"/>
          </w:tcPr>
          <w:p w14:paraId="46EE29ED" w14:textId="4595396D" w:rsidR="005A1F67" w:rsidRDefault="005A1F67" w:rsidP="005A1F67">
            <w:pPr>
              <w:pStyle w:val="SDcomments"/>
              <w:ind w:firstLine="0"/>
              <w:contextualSpacing/>
              <w:rPr>
                <w:i/>
                <w:iCs/>
              </w:rPr>
            </w:pPr>
            <w:r w:rsidRPr="005A1F67">
              <w:rPr>
                <w:b/>
                <w:iCs/>
              </w:rPr>
              <w:t>Примечани</w:t>
            </w:r>
            <w:r w:rsidR="00D62B3D">
              <w:rPr>
                <w:b/>
                <w:iCs/>
              </w:rPr>
              <w:t>е</w:t>
            </w:r>
            <w:r w:rsidRPr="005A1F67">
              <w:rPr>
                <w:b/>
                <w:iCs/>
              </w:rPr>
              <w:t>:</w:t>
            </w:r>
          </w:p>
          <w:p w14:paraId="0FFA095D" w14:textId="7B3043AD" w:rsidR="005A1F67" w:rsidRPr="005823DB" w:rsidRDefault="005A1F67" w:rsidP="005A1F67">
            <w:pPr>
              <w:pStyle w:val="SDcomments"/>
              <w:ind w:firstLine="0"/>
              <w:contextualSpacing/>
            </w:pPr>
            <w:r w:rsidRPr="00C21B43">
              <w:rPr>
                <w:lang w:val="en-US"/>
              </w:rPr>
              <w:t>C</w:t>
            </w:r>
            <w:r w:rsidRPr="00C21B43">
              <w:rPr>
                <w:vertAlign w:val="subscript"/>
                <w:lang w:val="en-US"/>
              </w:rPr>
              <w:t>max</w:t>
            </w:r>
            <w:r>
              <w:t xml:space="preserve"> – максимальная концентрация в плазме крови; </w:t>
            </w:r>
            <w:r w:rsidR="00F033B3">
              <w:rPr>
                <w:lang w:val="en-US"/>
              </w:rPr>
              <w:t>T</w:t>
            </w:r>
            <w:r w:rsidRPr="00C21B43">
              <w:rPr>
                <w:vertAlign w:val="subscript"/>
                <w:lang w:val="en-US"/>
              </w:rPr>
              <w:t>max</w:t>
            </w:r>
            <w:r>
              <w:t xml:space="preserve"> – время достижения максимальной концентрации в плазме крови; </w:t>
            </w:r>
            <w:r w:rsidRPr="00C21B43">
              <w:rPr>
                <w:lang w:val="en-US"/>
              </w:rPr>
              <w:t>AUC</w:t>
            </w:r>
            <w:r w:rsidRPr="00C21B43">
              <w:rPr>
                <w:vertAlign w:val="subscript"/>
              </w:rPr>
              <w:t>(0-</w:t>
            </w:r>
            <w:r w:rsidRPr="00C21B43">
              <w:rPr>
                <w:rFonts w:cs="Times New Roman"/>
                <w:vertAlign w:val="subscript"/>
              </w:rPr>
              <w:t>∞)</w:t>
            </w:r>
            <w:r>
              <w:rPr>
                <w:rFonts w:cs="Times New Roman"/>
              </w:rPr>
              <w:t xml:space="preserve"> – площадь под фармакокинетической кривой «концентрация-время» от начального момента времени до бесконечности; </w:t>
            </w:r>
            <w:r w:rsidR="00F033B3">
              <w:rPr>
                <w:lang w:val="en-US"/>
              </w:rPr>
              <w:t>T</w:t>
            </w:r>
            <w:r w:rsidRPr="00C21B43">
              <w:rPr>
                <w:vertAlign w:val="subscript"/>
              </w:rPr>
              <w:t>1/2</w:t>
            </w:r>
            <w:r w:rsidRPr="00C21B43">
              <w:rPr>
                <w:rFonts w:cs="Times New Roman"/>
                <w:vertAlign w:val="subscript"/>
                <w:lang w:val="en-US"/>
              </w:rPr>
              <w:t>β</w:t>
            </w:r>
            <w:r>
              <w:rPr>
                <w:rFonts w:cs="Times New Roman"/>
              </w:rPr>
              <w:t xml:space="preserve"> – терминальный период полувыведения; </w:t>
            </w:r>
            <w:r>
              <w:rPr>
                <w:rFonts w:cs="Times New Roman"/>
                <w:lang w:val="en-US"/>
              </w:rPr>
              <w:t>F</w:t>
            </w:r>
            <w:r w:rsidRPr="00C21B43">
              <w:rPr>
                <w:rFonts w:cs="Times New Roman"/>
              </w:rPr>
              <w:t xml:space="preserve"> </w:t>
            </w:r>
            <w:r>
              <w:rPr>
                <w:rFonts w:cs="Times New Roman"/>
              </w:rPr>
              <w:t>–</w:t>
            </w:r>
            <w:r w:rsidRPr="00C21B43">
              <w:rPr>
                <w:rFonts w:cs="Times New Roman"/>
              </w:rPr>
              <w:t xml:space="preserve"> </w:t>
            </w:r>
            <w:r>
              <w:rPr>
                <w:rFonts w:cs="Times New Roman"/>
              </w:rPr>
              <w:t xml:space="preserve">биодоступность; н/о – не определяли; </w:t>
            </w:r>
            <w:r>
              <w:rPr>
                <w:vertAlign w:val="superscript"/>
                <w:lang w:val="en-US"/>
              </w:rPr>
              <w:t>a</w:t>
            </w:r>
            <w:r>
              <w:t xml:space="preserve"> – рассчитано, исходя из значений, полученных после внутривенного введения в дозе 3 мг/кг самцам;</w:t>
            </w:r>
            <w:r w:rsidRPr="009170D2">
              <w:rPr>
                <w:vertAlign w:val="superscript"/>
              </w:rPr>
              <w:t xml:space="preserve"> </w:t>
            </w:r>
            <w:r>
              <w:rPr>
                <w:vertAlign w:val="superscript"/>
                <w:lang w:val="en-US"/>
              </w:rPr>
              <w:t>b</w:t>
            </w:r>
            <w:r>
              <w:t xml:space="preserve"> – рассчитано, исходя из значений, полученных после внутривенного введения в дозе 5 мг/кг; </w:t>
            </w:r>
            <w:r>
              <w:rPr>
                <w:vertAlign w:val="superscript"/>
                <w:lang w:val="en-US"/>
              </w:rPr>
              <w:t>c</w:t>
            </w:r>
            <w:r>
              <w:t xml:space="preserve"> – получено в исследовании с использованием тофацитиниба, меченого радиоактивным атомом углерода </w:t>
            </w:r>
            <w:bookmarkStart w:id="115" w:name="_Hlk113625472"/>
            <w:r>
              <w:rPr>
                <w:vertAlign w:val="superscript"/>
              </w:rPr>
              <w:t>14</w:t>
            </w:r>
            <w:r>
              <w:rPr>
                <w:lang w:val="en-US"/>
              </w:rPr>
              <w:t>C</w:t>
            </w:r>
            <w:r w:rsidRPr="001104D8">
              <w:t>-</w:t>
            </w:r>
            <w:r>
              <w:rPr>
                <w:lang w:val="en-US"/>
              </w:rPr>
              <w:t>CP</w:t>
            </w:r>
            <w:r>
              <w:t>-</w:t>
            </w:r>
            <w:r w:rsidRPr="001104D8">
              <w:t>690550</w:t>
            </w:r>
            <w:r w:rsidRPr="00454AA3">
              <w:t xml:space="preserve"> </w:t>
            </w:r>
            <w:bookmarkEnd w:id="115"/>
            <w:r w:rsidRPr="00454AA3">
              <w:t>(</w:t>
            </w:r>
            <w:r>
              <w:t>кристаллической цитратной соли, данные отражают фармакокинетические параметры исходного соединения (</w:t>
            </w:r>
            <w:r w:rsidRPr="002B2177">
              <w:t>CP-690550</w:t>
            </w:r>
            <w:r>
              <w:t>)).</w:t>
            </w:r>
          </w:p>
        </w:tc>
      </w:tr>
    </w:tbl>
    <w:p w14:paraId="4A3404B1" w14:textId="65F437EB" w:rsidR="002B2177" w:rsidRDefault="002B2177" w:rsidP="00D36ADC">
      <w:pPr>
        <w:pStyle w:val="SDText"/>
        <w:contextualSpacing/>
      </w:pPr>
    </w:p>
    <w:p w14:paraId="6512168C" w14:textId="42E617C7" w:rsidR="00B404AF" w:rsidRPr="00454AA3" w:rsidRDefault="008B6CFD" w:rsidP="00D36ADC">
      <w:pPr>
        <w:pStyle w:val="SDText"/>
        <w:contextualSpacing/>
      </w:pPr>
      <w:r>
        <w:t xml:space="preserve">Средняя </w:t>
      </w:r>
      <w:r w:rsidR="00FF0F45">
        <w:rPr>
          <w:lang w:val="en-US"/>
        </w:rPr>
        <w:t>F</w:t>
      </w:r>
      <w:r w:rsidR="00FF0F45" w:rsidRPr="00FF0F45">
        <w:t xml:space="preserve"> </w:t>
      </w:r>
      <w:r>
        <w:t xml:space="preserve">при пероральном </w:t>
      </w:r>
      <w:r w:rsidR="0095024E">
        <w:t>введении крысам</w:t>
      </w:r>
      <w:r>
        <w:t xml:space="preserve"> была низкой, </w:t>
      </w:r>
      <w:r w:rsidR="0095024E">
        <w:t xml:space="preserve">и составляла </w:t>
      </w:r>
      <w:r>
        <w:t>17% у</w:t>
      </w:r>
      <w:r w:rsidR="00FF0F45" w:rsidRPr="00FF0F45">
        <w:t xml:space="preserve"> </w:t>
      </w:r>
      <w:r w:rsidR="00FF0F45">
        <w:t>самцов</w:t>
      </w:r>
      <w:r>
        <w:t xml:space="preserve"> и 12% у </w:t>
      </w:r>
      <w:r w:rsidR="00FF0F45">
        <w:t>самок</w:t>
      </w:r>
      <w:r>
        <w:t xml:space="preserve">. Собак </w:t>
      </w:r>
      <w:r w:rsidR="00FF0F45">
        <w:t>использовали</w:t>
      </w:r>
      <w:r>
        <w:t xml:space="preserve"> в ранни</w:t>
      </w:r>
      <w:r w:rsidR="00FF0F45">
        <w:t>х</w:t>
      </w:r>
      <w:r>
        <w:t xml:space="preserve"> фармакокинетически</w:t>
      </w:r>
      <w:r w:rsidR="00FF0F45">
        <w:t>х</w:t>
      </w:r>
      <w:r>
        <w:t xml:space="preserve"> исследования</w:t>
      </w:r>
      <w:r w:rsidR="00FF0F45">
        <w:t>х</w:t>
      </w:r>
      <w:r w:rsidR="00EE79A1">
        <w:t xml:space="preserve"> для того</w:t>
      </w:r>
      <w:r>
        <w:t xml:space="preserve">, чтобы </w:t>
      </w:r>
      <w:r w:rsidR="00B9162C">
        <w:t>провести</w:t>
      </w:r>
      <w:r>
        <w:t xml:space="preserve"> аллометрическ</w:t>
      </w:r>
      <w:r w:rsidR="00B9162C">
        <w:t>ое</w:t>
      </w:r>
      <w:r>
        <w:t xml:space="preserve"> масштабирование, позволяющ</w:t>
      </w:r>
      <w:r w:rsidR="00B9162C">
        <w:t>ее</w:t>
      </w:r>
      <w:r>
        <w:t xml:space="preserve"> прогнозировать фармакокинетику</w:t>
      </w:r>
      <w:r w:rsidR="00B9162C">
        <w:t xml:space="preserve"> у</w:t>
      </w:r>
      <w:r>
        <w:t xml:space="preserve"> человека. </w:t>
      </w:r>
      <w:r w:rsidR="00B9162C">
        <w:t>П</w:t>
      </w:r>
      <w:r w:rsidR="00962C8E">
        <w:t>ри п</w:t>
      </w:r>
      <w:r>
        <w:t>ерорально</w:t>
      </w:r>
      <w:r w:rsidR="00962C8E">
        <w:t>м</w:t>
      </w:r>
      <w:r>
        <w:t xml:space="preserve"> введени</w:t>
      </w:r>
      <w:r w:rsidR="00962C8E">
        <w:t>и</w:t>
      </w:r>
      <w:r>
        <w:t xml:space="preserve"> </w:t>
      </w:r>
      <w:r w:rsidR="00B9162C">
        <w:t xml:space="preserve">тофацитиниба </w:t>
      </w:r>
      <w:r>
        <w:t xml:space="preserve">в 0,5% </w:t>
      </w:r>
      <w:r w:rsidR="00B9162C">
        <w:t xml:space="preserve">растворе </w:t>
      </w:r>
      <w:r>
        <w:t>метилцеллюлоз</w:t>
      </w:r>
      <w:r w:rsidR="00B9162C">
        <w:t>ы собакам</w:t>
      </w:r>
      <w:r>
        <w:t xml:space="preserve"> </w:t>
      </w:r>
      <w:r w:rsidR="009517E6">
        <w:rPr>
          <w:lang w:val="en-US"/>
        </w:rPr>
        <w:t>F</w:t>
      </w:r>
      <w:r w:rsidR="00962C8E">
        <w:t xml:space="preserve"> составила</w:t>
      </w:r>
      <w:r>
        <w:t xml:space="preserve"> 43%, что намного выше, чем для крыс</w:t>
      </w:r>
      <w:r w:rsidR="00962C8E">
        <w:t xml:space="preserve"> при введении в том же носителе. </w:t>
      </w:r>
      <w:r>
        <w:t xml:space="preserve">У обезьян </w:t>
      </w:r>
      <w:r w:rsidR="009517E6">
        <w:rPr>
          <w:lang w:val="en-US"/>
        </w:rPr>
        <w:t>F</w:t>
      </w:r>
      <w:r>
        <w:t xml:space="preserve"> </w:t>
      </w:r>
      <w:r w:rsidR="00962C8E">
        <w:t>составила около</w:t>
      </w:r>
      <w:r>
        <w:t xml:space="preserve"> 48%. </w:t>
      </w:r>
      <w:r w:rsidR="00757A91">
        <w:t xml:space="preserve">В связи с </w:t>
      </w:r>
      <w:r w:rsidR="00757A91">
        <w:lastRenderedPageBreak/>
        <w:t>определенной сопоставимостью</w:t>
      </w:r>
      <w:r>
        <w:t xml:space="preserve"> </w:t>
      </w:r>
      <w:r w:rsidR="009517E6">
        <w:rPr>
          <w:lang w:val="en-US"/>
        </w:rPr>
        <w:t>F</w:t>
      </w:r>
      <w:r w:rsidR="009972F6">
        <w:t xml:space="preserve"> </w:t>
      </w:r>
      <w:r>
        <w:t>у соб</w:t>
      </w:r>
      <w:r w:rsidR="009972F6">
        <w:t>ак</w:t>
      </w:r>
      <w:r>
        <w:t xml:space="preserve"> и обезьян </w:t>
      </w:r>
      <w:r w:rsidR="009972F6">
        <w:t>значения</w:t>
      </w:r>
      <w:r>
        <w:t xml:space="preserve"> </w:t>
      </w:r>
      <w:r w:rsidR="009517E6">
        <w:rPr>
          <w:lang w:val="en-US"/>
        </w:rPr>
        <w:t>F</w:t>
      </w:r>
      <w:r w:rsidR="009972F6">
        <w:t xml:space="preserve"> у</w:t>
      </w:r>
      <w:r>
        <w:t xml:space="preserve"> крыс были переоценен</w:t>
      </w:r>
      <w:r w:rsidR="009972F6">
        <w:t>ы</w:t>
      </w:r>
      <w:r>
        <w:t xml:space="preserve">. </w:t>
      </w:r>
      <w:r w:rsidR="000235FD">
        <w:t>После в</w:t>
      </w:r>
      <w:r>
        <w:t>нутривенно</w:t>
      </w:r>
      <w:r w:rsidR="000235FD">
        <w:t>го</w:t>
      </w:r>
      <w:r>
        <w:t xml:space="preserve"> введени</w:t>
      </w:r>
      <w:r w:rsidR="000235FD">
        <w:t>я</w:t>
      </w:r>
      <w:r>
        <w:t xml:space="preserve"> </w:t>
      </w:r>
      <w:r w:rsidR="00AB1531" w:rsidRPr="00AB1531">
        <w:t xml:space="preserve">тофацитиниба </w:t>
      </w:r>
      <w:r w:rsidR="000235FD">
        <w:t xml:space="preserve">в дозе 5 мг/кг </w:t>
      </w:r>
      <w:r w:rsidR="00F1381C">
        <w:t xml:space="preserve">у </w:t>
      </w:r>
      <w:r>
        <w:t xml:space="preserve">самцов и самок крыс </w:t>
      </w:r>
      <w:r w:rsidR="00F1381C">
        <w:rPr>
          <w:lang w:val="en-US"/>
        </w:rPr>
        <w:t>CL</w:t>
      </w:r>
      <w:r w:rsidR="00F1381C" w:rsidRPr="00F1381C">
        <w:t xml:space="preserve"> </w:t>
      </w:r>
      <w:r w:rsidR="00F1381C">
        <w:t>составил</w:t>
      </w:r>
      <w:r>
        <w:t xml:space="preserve"> 35,6 мл/мин/кг, объем распределени</w:t>
      </w:r>
      <w:r w:rsidR="00176B44">
        <w:t>я</w:t>
      </w:r>
      <w:r>
        <w:t xml:space="preserve"> в равновесном состоянии </w:t>
      </w:r>
      <w:r w:rsidR="00F1381C">
        <w:t>(</w:t>
      </w:r>
      <w:r w:rsidR="00F1381C" w:rsidRPr="00F1381C">
        <w:rPr>
          <w:lang w:val="en-US"/>
        </w:rPr>
        <w:t>V</w:t>
      </w:r>
      <w:r w:rsidR="00F1381C" w:rsidRPr="00F1381C">
        <w:rPr>
          <w:vertAlign w:val="subscript"/>
          <w:lang w:val="en-US"/>
        </w:rPr>
        <w:t>ss</w:t>
      </w:r>
      <w:r w:rsidR="00F1381C" w:rsidRPr="00F1381C">
        <w:t xml:space="preserve">) </w:t>
      </w:r>
      <w:r w:rsidR="00F1381C">
        <w:t>–</w:t>
      </w:r>
      <w:r w:rsidR="00F1381C" w:rsidRPr="00F1381C">
        <w:t xml:space="preserve"> </w:t>
      </w:r>
      <w:r w:rsidRPr="00F1381C">
        <w:t>1</w:t>
      </w:r>
      <w:r>
        <w:t xml:space="preserve">,49 л/кг, </w:t>
      </w:r>
      <w:r w:rsidR="00F1381C">
        <w:t xml:space="preserve">терминальный </w:t>
      </w:r>
      <w:r>
        <w:t xml:space="preserve">период полувыведения </w:t>
      </w:r>
      <w:r w:rsidR="006C6963">
        <w:t>(</w:t>
      </w:r>
      <w:r w:rsidR="00F033B3">
        <w:rPr>
          <w:lang w:val="en-US"/>
        </w:rPr>
        <w:t>T</w:t>
      </w:r>
      <w:r w:rsidR="006C6963" w:rsidRPr="00C21B43">
        <w:rPr>
          <w:vertAlign w:val="subscript"/>
        </w:rPr>
        <w:t>1/2</w:t>
      </w:r>
      <w:r w:rsidR="006C6963" w:rsidRPr="00C21B43">
        <w:rPr>
          <w:rFonts w:cs="Times New Roman"/>
          <w:vertAlign w:val="subscript"/>
          <w:lang w:val="en-US"/>
        </w:rPr>
        <w:t>β</w:t>
      </w:r>
      <w:r w:rsidR="006C6963">
        <w:rPr>
          <w:rFonts w:cs="Times New Roman"/>
        </w:rPr>
        <w:t xml:space="preserve">) – </w:t>
      </w:r>
      <w:r>
        <w:t xml:space="preserve">2,29 ч </w:t>
      </w:r>
      <w:r w:rsidR="006C6963">
        <w:t>без</w:t>
      </w:r>
      <w:r>
        <w:t xml:space="preserve"> </w:t>
      </w:r>
      <w:r w:rsidR="008064FC">
        <w:t>различи</w:t>
      </w:r>
      <w:r w:rsidR="006C6963">
        <w:t>й</w:t>
      </w:r>
      <w:r w:rsidR="008064FC">
        <w:t xml:space="preserve"> </w:t>
      </w:r>
      <w:r w:rsidR="00833D45">
        <w:t xml:space="preserve">в </w:t>
      </w:r>
      <w:r w:rsidR="008064FC">
        <w:t>фармакокинетических параметрах</w:t>
      </w:r>
      <w:r w:rsidR="006C6963">
        <w:t xml:space="preserve"> между самцами и самками.</w:t>
      </w:r>
      <w:r w:rsidR="008064FC">
        <w:t xml:space="preserve"> П</w:t>
      </w:r>
      <w:r w:rsidR="006C6963">
        <w:t>ри п</w:t>
      </w:r>
      <w:r w:rsidR="008064FC">
        <w:t>ерорально</w:t>
      </w:r>
      <w:r w:rsidR="006C6963">
        <w:t>м</w:t>
      </w:r>
      <w:r w:rsidR="008064FC">
        <w:t xml:space="preserve"> введени</w:t>
      </w:r>
      <w:r w:rsidR="006C6963">
        <w:t>и в дозе</w:t>
      </w:r>
      <w:r w:rsidR="008064FC">
        <w:t xml:space="preserve"> 10 мг/кг выяв</w:t>
      </w:r>
      <w:r w:rsidR="006C6963">
        <w:t>или</w:t>
      </w:r>
      <w:r w:rsidR="008064FC">
        <w:t xml:space="preserve"> небольш</w:t>
      </w:r>
      <w:r w:rsidR="003F590C">
        <w:t>ое</w:t>
      </w:r>
      <w:r w:rsidR="008064FC">
        <w:t xml:space="preserve"> </w:t>
      </w:r>
      <w:r w:rsidR="006C6963">
        <w:t>различие</w:t>
      </w:r>
      <w:r w:rsidR="008064FC">
        <w:t xml:space="preserve"> </w:t>
      </w:r>
      <w:bookmarkStart w:id="116" w:name="_Hlk113625628"/>
      <w:r w:rsidR="002B7594">
        <w:t>максимальной концентрации (</w:t>
      </w:r>
      <w:r w:rsidR="008064FC">
        <w:t>C</w:t>
      </w:r>
      <w:r w:rsidR="008064FC" w:rsidRPr="006C6963">
        <w:rPr>
          <w:vertAlign w:val="subscript"/>
        </w:rPr>
        <w:t>max</w:t>
      </w:r>
      <w:bookmarkEnd w:id="116"/>
      <w:r w:rsidR="002B7594">
        <w:t>)</w:t>
      </w:r>
      <w:r w:rsidR="008064FC">
        <w:t xml:space="preserve">, </w:t>
      </w:r>
      <w:r w:rsidR="006C6963">
        <w:t xml:space="preserve">которая была </w:t>
      </w:r>
      <w:r w:rsidR="008064FC">
        <w:t xml:space="preserve">в 1,5 раза больше у </w:t>
      </w:r>
      <w:r w:rsidR="006C6963">
        <w:t>самок</w:t>
      </w:r>
      <w:r w:rsidR="008064FC">
        <w:t xml:space="preserve"> </w:t>
      </w:r>
      <w:r w:rsidR="006C6963">
        <w:t>(</w:t>
      </w:r>
      <w:r w:rsidR="008064FC">
        <w:t>3670 мг/мл</w:t>
      </w:r>
      <w:r w:rsidR="006C6963">
        <w:t>)</w:t>
      </w:r>
      <w:r w:rsidR="008064FC">
        <w:t xml:space="preserve">, чем </w:t>
      </w:r>
      <w:r w:rsidR="006C6963">
        <w:t>у самцов</w:t>
      </w:r>
      <w:r w:rsidR="008064FC">
        <w:t xml:space="preserve"> </w:t>
      </w:r>
      <w:r w:rsidR="006C6963">
        <w:t>(</w:t>
      </w:r>
      <w:r w:rsidR="008064FC">
        <w:t>2400 нг/мл</w:t>
      </w:r>
      <w:r w:rsidR="006C6963">
        <w:t>)</w:t>
      </w:r>
      <w:r w:rsidR="008064FC">
        <w:t xml:space="preserve"> без </w:t>
      </w:r>
      <w:r w:rsidR="006C6963">
        <w:t>различий</w:t>
      </w:r>
      <w:r w:rsidR="008064FC">
        <w:t xml:space="preserve"> </w:t>
      </w:r>
      <w:r w:rsidR="00F033B3">
        <w:rPr>
          <w:lang w:val="en-US"/>
        </w:rPr>
        <w:t>T</w:t>
      </w:r>
      <w:r w:rsidR="008064FC" w:rsidRPr="006C6963">
        <w:rPr>
          <w:vertAlign w:val="subscript"/>
        </w:rPr>
        <w:t>max</w:t>
      </w:r>
      <w:r w:rsidR="008064FC">
        <w:t xml:space="preserve"> (0,31 ч). </w:t>
      </w:r>
      <w:r w:rsidR="009517E6">
        <w:rPr>
          <w:lang w:val="en-US"/>
        </w:rPr>
        <w:t>F</w:t>
      </w:r>
      <w:r w:rsidR="008064FC">
        <w:t xml:space="preserve"> СР-690550 </w:t>
      </w:r>
      <w:r w:rsidR="006C6963">
        <w:t xml:space="preserve">после перорального введения </w:t>
      </w:r>
      <w:r w:rsidR="008064FC">
        <w:t>у самцов и самок крыс составил</w:t>
      </w:r>
      <w:r w:rsidR="006C6963">
        <w:t>а</w:t>
      </w:r>
      <w:r w:rsidR="008064FC">
        <w:t xml:space="preserve"> 43,3 и 129% соответственно. Это</w:t>
      </w:r>
      <w:r w:rsidR="00E31EF6">
        <w:t xml:space="preserve"> различие</w:t>
      </w:r>
      <w:r w:rsidR="008064FC">
        <w:t xml:space="preserve"> (примерно в 2 раза) был</w:t>
      </w:r>
      <w:r w:rsidR="002552C6">
        <w:t>о</w:t>
      </w:r>
      <w:r w:rsidR="008064FC">
        <w:t xml:space="preserve"> </w:t>
      </w:r>
      <w:r w:rsidR="002552C6">
        <w:t>достаточно постоянным в</w:t>
      </w:r>
      <w:r w:rsidR="008064FC">
        <w:t xml:space="preserve"> токсикологически</w:t>
      </w:r>
      <w:r w:rsidR="002552C6">
        <w:t>х</w:t>
      </w:r>
      <w:r w:rsidR="008064FC">
        <w:t xml:space="preserve"> исследования</w:t>
      </w:r>
      <w:r w:rsidR="002552C6">
        <w:t>х</w:t>
      </w:r>
      <w:r w:rsidR="008064FC">
        <w:t xml:space="preserve">, </w:t>
      </w:r>
      <w:r w:rsidR="002552C6">
        <w:t>однако</w:t>
      </w:r>
      <w:r w:rsidR="008064FC">
        <w:t xml:space="preserve"> явных половых различий токсичности в ассоциации с этими уровнями</w:t>
      </w:r>
      <w:r w:rsidR="002552C6">
        <w:t xml:space="preserve"> не наблюдали</w:t>
      </w:r>
      <w:r w:rsidR="008064FC">
        <w:t xml:space="preserve">. В то время как </w:t>
      </w:r>
      <w:r w:rsidR="002552C6">
        <w:t xml:space="preserve">у самцов </w:t>
      </w:r>
      <w:r w:rsidR="0088699B">
        <w:t xml:space="preserve">обезьян и собак </w:t>
      </w:r>
      <w:r w:rsidR="005073A5">
        <w:rPr>
          <w:lang w:val="en-US"/>
        </w:rPr>
        <w:t>F</w:t>
      </w:r>
      <w:r w:rsidR="008064FC">
        <w:t xml:space="preserve"> </w:t>
      </w:r>
      <w:r w:rsidR="002552C6">
        <w:t>(</w:t>
      </w:r>
      <w:r w:rsidR="008064FC">
        <w:t>43%</w:t>
      </w:r>
      <w:r w:rsidR="002552C6">
        <w:t>)</w:t>
      </w:r>
      <w:r w:rsidR="008064FC">
        <w:t xml:space="preserve"> </w:t>
      </w:r>
      <w:r w:rsidR="0088699B">
        <w:t>была сопоставимой, она</w:t>
      </w:r>
      <w:r w:rsidR="008064FC">
        <w:t xml:space="preserve"> отлича</w:t>
      </w:r>
      <w:r w:rsidR="0088699B">
        <w:t>лась</w:t>
      </w:r>
      <w:r w:rsidR="008064FC">
        <w:t xml:space="preserve"> от значения </w:t>
      </w:r>
      <w:r w:rsidR="0088699B">
        <w:t xml:space="preserve">показателя </w:t>
      </w:r>
      <w:r w:rsidR="008064FC">
        <w:t xml:space="preserve">у </w:t>
      </w:r>
      <w:r w:rsidR="000D7EE9">
        <w:t xml:space="preserve">самцов </w:t>
      </w:r>
      <w:r w:rsidR="008064FC">
        <w:t>крыс</w:t>
      </w:r>
      <w:r w:rsidR="00205E86" w:rsidRPr="00205E86">
        <w:t xml:space="preserve"> </w:t>
      </w:r>
      <w:r w:rsidR="00205E86">
        <w:t>(17%)</w:t>
      </w:r>
      <w:r w:rsidR="008064FC">
        <w:t xml:space="preserve">, рассчитанное </w:t>
      </w:r>
      <w:r w:rsidR="00205E86">
        <w:t xml:space="preserve">же </w:t>
      </w:r>
      <w:r w:rsidR="008064FC">
        <w:t xml:space="preserve">значение для </w:t>
      </w:r>
      <w:r w:rsidR="00205E86">
        <w:t>самок</w:t>
      </w:r>
      <w:r w:rsidR="008064FC">
        <w:t xml:space="preserve"> превыша</w:t>
      </w:r>
      <w:r w:rsidR="00205E86">
        <w:t>ло</w:t>
      </w:r>
      <w:r w:rsidR="008064FC">
        <w:t xml:space="preserve"> </w:t>
      </w:r>
      <w:r w:rsidR="000D7EE9">
        <w:t>теоретически</w:t>
      </w:r>
      <w:r w:rsidR="008064FC">
        <w:t xml:space="preserve"> возможное (129%) и контрастир</w:t>
      </w:r>
      <w:r w:rsidR="000D7EE9">
        <w:t>овало</w:t>
      </w:r>
      <w:r w:rsidR="008064FC">
        <w:t xml:space="preserve"> </w:t>
      </w:r>
      <w:r w:rsidR="000D7EE9">
        <w:t>со значением</w:t>
      </w:r>
      <w:r w:rsidR="008064FC">
        <w:t xml:space="preserve"> </w:t>
      </w:r>
      <w:r w:rsidR="005073A5">
        <w:rPr>
          <w:lang w:val="en-US"/>
        </w:rPr>
        <w:t>F</w:t>
      </w:r>
      <w:r w:rsidR="008064FC">
        <w:t xml:space="preserve"> </w:t>
      </w:r>
      <w:r w:rsidR="000D7EE9">
        <w:t>для самок крыс (</w:t>
      </w:r>
      <w:r w:rsidR="008064FC">
        <w:t>12%</w:t>
      </w:r>
      <w:r w:rsidR="000D7EE9">
        <w:t>)</w:t>
      </w:r>
      <w:r w:rsidR="008064FC">
        <w:t xml:space="preserve">. </w:t>
      </w:r>
      <w:r w:rsidR="000D7EE9">
        <w:t>О</w:t>
      </w:r>
      <w:r w:rsidR="008064FC">
        <w:t>чевидно</w:t>
      </w:r>
      <w:r w:rsidR="000D7EE9">
        <w:t>е</w:t>
      </w:r>
      <w:r w:rsidR="008064FC">
        <w:t xml:space="preserve"> объяснени</w:t>
      </w:r>
      <w:r w:rsidR="000D7EE9">
        <w:t>е</w:t>
      </w:r>
      <w:r w:rsidR="008064FC">
        <w:t xml:space="preserve"> этим результат</w:t>
      </w:r>
      <w:r w:rsidR="000D7EE9">
        <w:t xml:space="preserve">ам, полученным на </w:t>
      </w:r>
      <w:r w:rsidR="008064FC">
        <w:t xml:space="preserve">крысах, </w:t>
      </w:r>
      <w:r w:rsidR="000D7EE9">
        <w:t xml:space="preserve">отсутствует, </w:t>
      </w:r>
      <w:r w:rsidR="008064FC">
        <w:t xml:space="preserve">поэтому </w:t>
      </w:r>
      <w:r w:rsidR="00B91ECF">
        <w:rPr>
          <w:lang w:val="en-US"/>
        </w:rPr>
        <w:t>F</w:t>
      </w:r>
      <w:r w:rsidR="008064FC">
        <w:t xml:space="preserve"> </w:t>
      </w:r>
      <w:r w:rsidR="000D7EE9">
        <w:t xml:space="preserve">при </w:t>
      </w:r>
      <w:r w:rsidR="008064FC">
        <w:t>перорально</w:t>
      </w:r>
      <w:r w:rsidR="000D7EE9">
        <w:t>м</w:t>
      </w:r>
      <w:r w:rsidR="008064FC">
        <w:t xml:space="preserve"> введени</w:t>
      </w:r>
      <w:r w:rsidR="000D7EE9">
        <w:t>и</w:t>
      </w:r>
      <w:r w:rsidR="008064FC">
        <w:t xml:space="preserve"> </w:t>
      </w:r>
      <w:r w:rsidR="00F54051">
        <w:t>окончательно не определена</w:t>
      </w:r>
      <w:r w:rsidR="008064FC">
        <w:t xml:space="preserve"> </w:t>
      </w:r>
      <w:r w:rsidR="008064FC">
        <w:rPr>
          <w:lang w:val="en-US"/>
        </w:rPr>
        <w:fldChar w:fldCharType="begin"/>
      </w:r>
      <w:r w:rsidR="00044A89">
        <w:instrText xml:space="preserve"> ADDIN ZOTERO_ITEM CSL_CITATION {"citationID":"3o1dgaCq","properties":{"formattedCitation":"[12]","plainCitation":"[12]","noteIndex":0},"citationItems":[{"id":87803,"uris":["http://zotero.org/groups/4742804/items/DMZ5DFPG"],"itemData":{"id":87803,"type":"webpage","title":"Xeljanz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8064FC">
        <w:rPr>
          <w:lang w:val="en-US"/>
        </w:rPr>
        <w:fldChar w:fldCharType="separate"/>
      </w:r>
      <w:r w:rsidR="00D46D1F">
        <w:rPr>
          <w:rFonts w:cs="Times New Roman"/>
        </w:rPr>
        <w:t>[1</w:t>
      </w:r>
      <w:r w:rsidR="00044A89" w:rsidRPr="00044A89">
        <w:rPr>
          <w:rFonts w:cs="Times New Roman"/>
        </w:rPr>
        <w:t>]</w:t>
      </w:r>
      <w:r w:rsidR="008064FC">
        <w:rPr>
          <w:lang w:val="en-US"/>
        </w:rPr>
        <w:fldChar w:fldCharType="end"/>
      </w:r>
      <w:r w:rsidR="008064FC">
        <w:t>.</w:t>
      </w:r>
    </w:p>
    <w:p w14:paraId="5187FE21" w14:textId="1FBD52C1" w:rsidR="003D62F9" w:rsidRDefault="006D4E49" w:rsidP="0095267B">
      <w:pPr>
        <w:pStyle w:val="SDText"/>
        <w:spacing w:after="0"/>
        <w:contextualSpacing/>
      </w:pPr>
      <w:r w:rsidRPr="006D4E49">
        <w:rPr>
          <w:lang w:val="en-US"/>
        </w:rPr>
        <w:t>Gwak</w:t>
      </w:r>
      <w:r w:rsidRPr="00BF7987">
        <w:t xml:space="preserve"> </w:t>
      </w:r>
      <w:r>
        <w:rPr>
          <w:lang w:val="en-US"/>
        </w:rPr>
        <w:t>et</w:t>
      </w:r>
      <w:r w:rsidRPr="00BF7987">
        <w:t xml:space="preserve"> </w:t>
      </w:r>
      <w:r>
        <w:rPr>
          <w:lang w:val="en-US"/>
        </w:rPr>
        <w:t>al</w:t>
      </w:r>
      <w:r w:rsidRPr="00BF7987">
        <w:t xml:space="preserve">. </w:t>
      </w:r>
      <w:r w:rsidRPr="009C279D">
        <w:t xml:space="preserve">(2020) </w:t>
      </w:r>
      <w:r w:rsidR="009C279D">
        <w:t xml:space="preserve">на самцах крыс линии Спрег-Доули (возраст 7–8 недель, масса тела </w:t>
      </w:r>
      <w:r w:rsidR="00CF78E1">
        <w:t xml:space="preserve">240–260 г) </w:t>
      </w:r>
      <w:r w:rsidR="006E6F7F">
        <w:t xml:space="preserve">установили, что у животных с индуцированным стрептозоцином СД </w:t>
      </w:r>
      <w:r w:rsidR="006E6F7F">
        <w:rPr>
          <w:lang w:val="en-US"/>
        </w:rPr>
        <w:t>AUC</w:t>
      </w:r>
      <w:r w:rsidR="006E6F7F" w:rsidRPr="006E6F7F">
        <w:t xml:space="preserve"> </w:t>
      </w:r>
      <w:r w:rsidR="006E6F7F">
        <w:t xml:space="preserve">тофацитиниба после перорального введения в дозе </w:t>
      </w:r>
      <w:r w:rsidR="00681B57">
        <w:t xml:space="preserve">20 мг/кг </w:t>
      </w:r>
      <w:r w:rsidR="006E6F7F">
        <w:t xml:space="preserve">была </w:t>
      </w:r>
      <w:r w:rsidR="00681B57">
        <w:t>существенно ниже</w:t>
      </w:r>
      <w:r w:rsidR="006E6F7F">
        <w:t xml:space="preserve"> (55,5%), чем у </w:t>
      </w:r>
      <w:r w:rsidR="00681B57">
        <w:t>здоровых</w:t>
      </w:r>
      <w:r w:rsidR="006E6F7F">
        <w:t xml:space="preserve"> крыс. </w:t>
      </w:r>
      <w:r w:rsidR="00681B57">
        <w:t>Указанное наблюдение</w:t>
      </w:r>
      <w:r w:rsidR="006E6F7F">
        <w:t xml:space="preserve"> мо</w:t>
      </w:r>
      <w:r w:rsidR="00681B57">
        <w:t>гло</w:t>
      </w:r>
      <w:r w:rsidR="006E6F7F">
        <w:t xml:space="preserve"> быть связано с уменьшением </w:t>
      </w:r>
      <w:r w:rsidR="00681B57">
        <w:t xml:space="preserve">степени </w:t>
      </w:r>
      <w:r w:rsidR="006E6F7F">
        <w:t>всасывания</w:t>
      </w:r>
      <w:r w:rsidR="00681B57">
        <w:t xml:space="preserve">, </w:t>
      </w:r>
      <w:r w:rsidR="006E6F7F">
        <w:t>вызван</w:t>
      </w:r>
      <w:r w:rsidR="00681B57">
        <w:t>ным</w:t>
      </w:r>
      <w:r w:rsidR="006E6F7F">
        <w:t xml:space="preserve"> более высокой экспрессией Р-гликопротеина и более быстрым кишечным метаболизмом, </w:t>
      </w:r>
      <w:r w:rsidR="00681B57">
        <w:t>обусловленным</w:t>
      </w:r>
      <w:r w:rsidR="006E6F7F">
        <w:t xml:space="preserve"> более высокой экспрессией</w:t>
      </w:r>
      <w:r w:rsidR="00681B57">
        <w:t xml:space="preserve"> </w:t>
      </w:r>
      <w:r w:rsidR="006E6F7F">
        <w:t>CYP3A1(23)</w:t>
      </w:r>
      <w:r w:rsidR="00681B57">
        <w:t xml:space="preserve"> в кишечнике</w:t>
      </w:r>
      <w:r w:rsidR="006E6F7F">
        <w:t>, что привело к снижению</w:t>
      </w:r>
      <w:r w:rsidR="002D1757" w:rsidRPr="002D1757">
        <w:t xml:space="preserve"> </w:t>
      </w:r>
      <w:r w:rsidR="002D1757">
        <w:rPr>
          <w:lang w:val="en-US"/>
        </w:rPr>
        <w:t>F</w:t>
      </w:r>
      <w:r w:rsidR="002D1757">
        <w:t xml:space="preserve"> </w:t>
      </w:r>
      <w:r w:rsidR="006E6F7F">
        <w:t>тофацитиниба (33,0%) у крыс с</w:t>
      </w:r>
      <w:r w:rsidR="00681B57">
        <w:t xml:space="preserve"> СД </w:t>
      </w:r>
      <w:r w:rsidR="00511A03">
        <w:fldChar w:fldCharType="begin"/>
      </w:r>
      <w:r w:rsidR="00044A89">
        <w:instrText xml:space="preserve"> ADDIN ZOTERO_ITEM CSL_CITATION {"citationID":"ajWvFfMK","properties":{"formattedCitation":"[22]","plainCitation":"[22]","noteIndex":0},"citationItems":[{"id":87767,"uris":["http://zotero.org/groups/4742804/items/37T8SM2B"],"itemData":{"id":87767,"type":"article-journal","abstract":"Tofacitinib, a Janus kinase inhibitor, was developed for the treatment of rheumatoid arthritis. Recently, it has been associated with an increased change in arthritis development in patients with diabetes. Herein, we evaluated the pharmacokinetics of tofacitinib after intravenous (10 mg/kg) and oral (20 mg/kg) administration to rats with streptozotocin-induced diabetes mellitus and control rats. Following intravenous administration of tofacitinib to rats with streptozotocin-induced diabetes mellitus, area under the plasma concentration-time curve from time zero to infinity of tofacitinib was significantly smaller (33.6%) than that of control rats. This might be due to the faster hepatic intrinsic clearance (112%) caused by an increase in the hepatic cytochrome P450 (CYP) 3A1(23) and the faster hepatic blood flow rate in rats with streptozotocin-induced diabetes mellitus than in control rats. Following oral administration, area under the plasma concentration-time curve from time zero to infinity of tofacitinib was also significantly smaller (55.5%) in rats with streptozotocin-induced diabetes mellitus than that in control rats. This might be due to decreased absorption caused by the higher expression of P-glycoprotein and the faster intestinal metabolism caused by the higher expression of intestinal CYP3A1(23), which resulted in the decreased bioavailability of tofacitinib (33.0%) in rats with streptozotocin-induced diabetes mellitus. In summary, our findings indicate that diabetes mellitus affects the absorption and metabolism of tofacitinib, causing faster metabolism and decreased intestinal absorption in rats with streptozotocin-induced diabetes mellitus.","container-title":"Biomolecules &amp; Therapeutics","DOI":"10.4062/biomolther.2020.006","ISSN":"1976-9148","issue":"4","journalAbbreviation":"Biomol Ther (Seoul)","note":"PMID: 32209733\nPMCID: PMC7327145","page":"361-369","source":"PubMed Central","title":"Effects of diabetes mellitus on the disposition of tofacitinib, a janus kinase inhibitor, in rats","volume":"28","author":[{"family":"Gwak","given":"Eun Hye"},{"family":"Yoo","given":"Hee Young"},{"family":"Kim","given":"So Hee"}],"issued":{"date-parts":[["2020",7,1]]}}}],"schema":"https://github.com/citation-style-language/schema/raw/master/csl-citation.json"} </w:instrText>
      </w:r>
      <w:r w:rsidR="00511A03">
        <w:fldChar w:fldCharType="separate"/>
      </w:r>
      <w:r w:rsidR="00D46D1F">
        <w:rPr>
          <w:rFonts w:cs="Times New Roman"/>
        </w:rPr>
        <w:t>[11</w:t>
      </w:r>
      <w:r w:rsidR="00044A89" w:rsidRPr="00044A89">
        <w:rPr>
          <w:rFonts w:cs="Times New Roman"/>
        </w:rPr>
        <w:t>]</w:t>
      </w:r>
      <w:r w:rsidR="00511A03">
        <w:fldChar w:fldCharType="end"/>
      </w:r>
      <w:r w:rsidR="00681B57">
        <w:t>.</w:t>
      </w:r>
    </w:p>
    <w:p w14:paraId="3D1C6731" w14:textId="77777777" w:rsidR="0095267B" w:rsidRPr="009C279D" w:rsidRDefault="0095267B" w:rsidP="0095267B">
      <w:pPr>
        <w:pStyle w:val="SDText"/>
        <w:spacing w:after="0"/>
        <w:contextualSpacing/>
      </w:pPr>
    </w:p>
    <w:p w14:paraId="692D0BD5" w14:textId="3D3F9098" w:rsidR="003D62F9" w:rsidRPr="005A1F67" w:rsidRDefault="00D62B3D" w:rsidP="00D62B3D">
      <w:pPr>
        <w:pStyle w:val="3"/>
        <w:numPr>
          <w:ilvl w:val="0"/>
          <w:numId w:val="0"/>
        </w:numPr>
        <w:ind w:left="720" w:hanging="720"/>
      </w:pPr>
      <w:bookmarkStart w:id="117" w:name="_Toc115421038"/>
      <w:bookmarkStart w:id="118" w:name="_Toc121592571"/>
      <w:r>
        <w:t xml:space="preserve">3.2.2. </w:t>
      </w:r>
      <w:r w:rsidR="003D62F9" w:rsidRPr="005A1F67">
        <w:t>Распределение</w:t>
      </w:r>
      <w:bookmarkEnd w:id="117"/>
      <w:bookmarkEnd w:id="118"/>
      <w:r w:rsidR="003D62F9" w:rsidRPr="005A1F67">
        <w:t xml:space="preserve"> </w:t>
      </w:r>
    </w:p>
    <w:p w14:paraId="3CFB94B5" w14:textId="77777777" w:rsidR="00BD2318" w:rsidRDefault="00BD2318" w:rsidP="0095267B">
      <w:pPr>
        <w:pStyle w:val="SDText"/>
        <w:spacing w:after="0"/>
        <w:ind w:firstLine="0"/>
        <w:contextualSpacing/>
      </w:pPr>
    </w:p>
    <w:p w14:paraId="72A30D20" w14:textId="660BCD24" w:rsidR="004456DB" w:rsidRPr="00474267" w:rsidRDefault="001F5020" w:rsidP="00BD2318">
      <w:pPr>
        <w:pStyle w:val="SDText"/>
        <w:contextualSpacing/>
      </w:pPr>
      <w:r>
        <w:t xml:space="preserve">В исследовании </w:t>
      </w:r>
      <w:r w:rsidRPr="001F5020">
        <w:t>DM2004-690550-041</w:t>
      </w:r>
      <w:r>
        <w:t xml:space="preserve"> </w:t>
      </w:r>
      <w:r w:rsidR="00B86E6F">
        <w:t xml:space="preserve">изучили распределение </w:t>
      </w:r>
      <w:r w:rsidR="00B86E6F" w:rsidRPr="00B86E6F">
        <w:rPr>
          <w:vertAlign w:val="superscript"/>
        </w:rPr>
        <w:t>14</w:t>
      </w:r>
      <w:r w:rsidR="00B86E6F" w:rsidRPr="00B86E6F">
        <w:t>C-CP-690550</w:t>
      </w:r>
      <w:r w:rsidR="00D24B37">
        <w:t xml:space="preserve"> </w:t>
      </w:r>
      <w:r w:rsidR="00CC7D9C">
        <w:t>в крови и образцах 57 тканей самцов крыс линии Лонг-Эванс</w:t>
      </w:r>
      <w:r w:rsidR="00742D20">
        <w:t xml:space="preserve"> до 504 ч после перорального введения в дозе 10 мг/кг (</w:t>
      </w:r>
      <w:r w:rsidR="003F590C">
        <w:t xml:space="preserve">454 мкКи/кг). </w:t>
      </w:r>
      <w:r w:rsidR="00544DF2">
        <w:t xml:space="preserve">По одному животному умерщвляли </w:t>
      </w:r>
      <w:r w:rsidR="00A37FD0">
        <w:t xml:space="preserve">через </w:t>
      </w:r>
      <w:r w:rsidR="00A37FD0" w:rsidRPr="00A37FD0">
        <w:t>0</w:t>
      </w:r>
      <w:r w:rsidR="00A37FD0">
        <w:t>,</w:t>
      </w:r>
      <w:r w:rsidR="00A37FD0" w:rsidRPr="00A37FD0">
        <w:t>5, 1, 2, 4, 8, 12, 24, 72, 168</w:t>
      </w:r>
      <w:r w:rsidR="00A37FD0">
        <w:t xml:space="preserve"> и</w:t>
      </w:r>
      <w:r w:rsidR="00A37FD0" w:rsidRPr="00A37FD0">
        <w:t xml:space="preserve"> 504</w:t>
      </w:r>
      <w:r w:rsidR="00A37FD0">
        <w:t xml:space="preserve"> ч после введения лекарственного средства</w:t>
      </w:r>
      <w:r w:rsidR="00E968A2">
        <w:t xml:space="preserve"> с последующим проведением авторадиографии всего тела. </w:t>
      </w:r>
      <w:r w:rsidR="00C00AAD">
        <w:t xml:space="preserve">Нижний предел количественного определения (НПКО) используемой методики составил </w:t>
      </w:r>
      <w:r w:rsidR="00E238E3">
        <w:t xml:space="preserve">1,56 нКи/г или 0,034 мкг экв/г. </w:t>
      </w:r>
      <w:r w:rsidR="003F590C">
        <w:t>Достижение C</w:t>
      </w:r>
      <w:r w:rsidR="003F590C" w:rsidRPr="006C6963">
        <w:rPr>
          <w:vertAlign w:val="subscript"/>
        </w:rPr>
        <w:t>max</w:t>
      </w:r>
      <w:r w:rsidR="00474267">
        <w:t xml:space="preserve"> </w:t>
      </w:r>
      <w:r w:rsidR="00474267" w:rsidRPr="00B86E6F">
        <w:rPr>
          <w:vertAlign w:val="superscript"/>
        </w:rPr>
        <w:t>14</w:t>
      </w:r>
      <w:r w:rsidR="00474267" w:rsidRPr="00B86E6F">
        <w:t>C-CP-690550</w:t>
      </w:r>
      <w:r w:rsidR="00474267">
        <w:t xml:space="preserve"> </w:t>
      </w:r>
      <w:r w:rsidR="003046C2">
        <w:t xml:space="preserve">наблюдали через 0,5 ч в образцах 43 тканей, через 1 ч в образцах 10 тканей и </w:t>
      </w:r>
      <w:r w:rsidR="001F6BB2">
        <w:t xml:space="preserve">через 12 ч в сосудистой оболочке глаза. </w:t>
      </w:r>
      <w:r w:rsidR="008F6C3F" w:rsidRPr="00B86E6F">
        <w:rPr>
          <w:vertAlign w:val="superscript"/>
        </w:rPr>
        <w:t>14</w:t>
      </w:r>
      <w:r w:rsidR="008F6C3F" w:rsidRPr="00B86E6F">
        <w:t>C-CP-690550</w:t>
      </w:r>
      <w:r w:rsidR="008F6C3F">
        <w:t xml:space="preserve"> проникал через гематоэнцефалический барьер (ГЭБ)</w:t>
      </w:r>
      <w:r w:rsidR="00954816">
        <w:t xml:space="preserve"> через 0,5 ч и находился по крайней мере в течение 4 ч во всех образцах ЦНС. </w:t>
      </w:r>
      <w:r w:rsidR="006749D6" w:rsidRPr="00B86E6F">
        <w:rPr>
          <w:vertAlign w:val="superscript"/>
        </w:rPr>
        <w:t>14</w:t>
      </w:r>
      <w:r w:rsidR="006749D6" w:rsidRPr="00B86E6F">
        <w:t>C-CP-690550</w:t>
      </w:r>
      <w:r w:rsidR="006749D6">
        <w:t xml:space="preserve"> распределялся и </w:t>
      </w:r>
      <w:r w:rsidR="00B57F03">
        <w:t xml:space="preserve">элиминировался из 47 из 57 </w:t>
      </w:r>
      <w:r w:rsidR="006C5AA2">
        <w:t>тканей через 24 ч после перорального введения</w:t>
      </w:r>
      <w:r w:rsidR="00197BDC">
        <w:t>. Через 72 ч после введения только образцы межпозвоночных дисков, печени, стен</w:t>
      </w:r>
      <w:r w:rsidR="001F6489">
        <w:t>ок</w:t>
      </w:r>
      <w:r w:rsidR="00197BDC">
        <w:t xml:space="preserve"> сосудов</w:t>
      </w:r>
      <w:r w:rsidR="001F6489">
        <w:t xml:space="preserve">, почек и тканей глаза, содержащих меланин, содержали обнаруживаемые концентрации </w:t>
      </w:r>
      <w:r w:rsidR="002F4DD9" w:rsidRPr="00B86E6F">
        <w:rPr>
          <w:vertAlign w:val="superscript"/>
        </w:rPr>
        <w:t>14</w:t>
      </w:r>
      <w:r w:rsidR="002F4DD9" w:rsidRPr="00B86E6F">
        <w:t>C-CP-690550</w:t>
      </w:r>
      <w:r w:rsidR="002F4DD9">
        <w:t xml:space="preserve">. Через 168 и 504 ч </w:t>
      </w:r>
      <w:r w:rsidR="00804C2A">
        <w:t xml:space="preserve">измеримые концентрации </w:t>
      </w:r>
      <w:r w:rsidR="00804C2A" w:rsidRPr="00B86E6F">
        <w:rPr>
          <w:vertAlign w:val="superscript"/>
        </w:rPr>
        <w:t>14</w:t>
      </w:r>
      <w:r w:rsidR="00804C2A" w:rsidRPr="00B86E6F">
        <w:t>C-CP-690550</w:t>
      </w:r>
      <w:r w:rsidR="00804C2A">
        <w:t xml:space="preserve"> обнаружили только в стенках сосудов и тканях глаза, содержащих меланин</w:t>
      </w:r>
      <w:r w:rsidR="00B21AB9">
        <w:t xml:space="preserve"> </w:t>
      </w:r>
      <w:r w:rsidR="00B21AB9">
        <w:rPr>
          <w:lang w:val="en-US"/>
        </w:rPr>
        <w:fldChar w:fldCharType="begin"/>
      </w:r>
      <w:r w:rsidR="00044A89">
        <w:instrText xml:space="preserve"> ADDIN ZOTERO_ITEM CSL_CITATION {"citationID":"U08uroml","properties":{"formattedCitation":"[12]","plainCitation":"[12]","noteIndex":0},"citationItems":[{"id":87803,"uris":["http://zotero.org/groups/4742804/items/DMZ5DFPG"],"itemData":{"id":87803,"type":"webpage","title":"Xeljanz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B21AB9">
        <w:rPr>
          <w:lang w:val="en-US"/>
        </w:rPr>
        <w:fldChar w:fldCharType="separate"/>
      </w:r>
      <w:r w:rsidR="00D46D1F">
        <w:rPr>
          <w:rFonts w:cs="Times New Roman"/>
        </w:rPr>
        <w:t>[1</w:t>
      </w:r>
      <w:r w:rsidR="00044A89" w:rsidRPr="00044A89">
        <w:rPr>
          <w:rFonts w:cs="Times New Roman"/>
        </w:rPr>
        <w:t>]</w:t>
      </w:r>
      <w:r w:rsidR="00B21AB9">
        <w:rPr>
          <w:lang w:val="en-US"/>
        </w:rPr>
        <w:fldChar w:fldCharType="end"/>
      </w:r>
      <w:r w:rsidR="00B21AB9">
        <w:t>.</w:t>
      </w:r>
    </w:p>
    <w:p w14:paraId="5EC6DBCC" w14:textId="3A25A28D" w:rsidR="00956BF1" w:rsidRPr="005A1F67" w:rsidRDefault="00D62B3D" w:rsidP="00D62B3D">
      <w:pPr>
        <w:pStyle w:val="3"/>
        <w:numPr>
          <w:ilvl w:val="0"/>
          <w:numId w:val="0"/>
        </w:numPr>
        <w:ind w:left="720" w:hanging="720"/>
      </w:pPr>
      <w:bookmarkStart w:id="119" w:name="_Toc115421039"/>
      <w:bookmarkStart w:id="120" w:name="_Toc121592572"/>
      <w:r>
        <w:t xml:space="preserve">3.2.3. </w:t>
      </w:r>
      <w:r w:rsidR="00956BF1" w:rsidRPr="005A1F67">
        <w:t>Связывание с белками плазмы</w:t>
      </w:r>
      <w:bookmarkEnd w:id="119"/>
      <w:bookmarkEnd w:id="120"/>
    </w:p>
    <w:p w14:paraId="733BF867" w14:textId="77777777" w:rsidR="00BD2318" w:rsidRDefault="00BD2318" w:rsidP="00D36ADC">
      <w:pPr>
        <w:pStyle w:val="SDText"/>
        <w:contextualSpacing/>
      </w:pPr>
    </w:p>
    <w:p w14:paraId="295CE22F" w14:textId="73BA8953" w:rsidR="0004143E" w:rsidRPr="00943BA2" w:rsidRDefault="0004143E" w:rsidP="0095267B">
      <w:pPr>
        <w:pStyle w:val="SDText"/>
        <w:spacing w:after="0"/>
        <w:contextualSpacing/>
      </w:pPr>
      <w:r>
        <w:t>В исследовании</w:t>
      </w:r>
      <w:r w:rsidRPr="002A7EB8">
        <w:t xml:space="preserve"> 055956</w:t>
      </w:r>
      <w:r>
        <w:t xml:space="preserve"> с использованием образцов, полученных от крыс, обезьян и человека, установили, что среднее отношение концентрации </w:t>
      </w:r>
      <w:r w:rsidR="00AB1531" w:rsidRPr="00AB1531">
        <w:t xml:space="preserve">тофацитиниба </w:t>
      </w:r>
      <w:r>
        <w:t xml:space="preserve">в крови к концентрации </w:t>
      </w:r>
      <w:r w:rsidR="00AB1531" w:rsidRPr="00AB1531">
        <w:t xml:space="preserve">тофацитиниба </w:t>
      </w:r>
      <w:r>
        <w:t xml:space="preserve">в плазме крови при использовании в концентрации 1 </w:t>
      </w:r>
      <w:r>
        <w:lastRenderedPageBreak/>
        <w:t xml:space="preserve">мкмоль/л (~312 нг/мл активного компонента) составляло 1,2 для каждого вида, что указывает на минимальное поглощение тофацитиниба клетками крови </w:t>
      </w:r>
      <w:r>
        <w:rPr>
          <w:lang w:val="en-US"/>
        </w:rPr>
        <w:fldChar w:fldCharType="begin"/>
      </w:r>
      <w:r w:rsidR="00044A89">
        <w:instrText xml:space="preserve"> ADDIN ZOTERO_ITEM CSL_CITATION {"citationID":"h2qPxoLh","properties":{"formattedCitation":"[12]","plainCitation":"[12]","noteIndex":0},"citationItems":[{"id":87803,"uris":["http://zotero.org/groups/4742804/items/DMZ5DFPG"],"itemData":{"id":87803,"type":"webpage","title":"Xeljanz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6B5DFDF0" w14:textId="06D4A753" w:rsidR="0004143E" w:rsidRDefault="0004143E" w:rsidP="0095267B">
      <w:pPr>
        <w:pStyle w:val="SDText"/>
        <w:spacing w:after="0"/>
        <w:contextualSpacing/>
      </w:pPr>
      <w:r>
        <w:t xml:space="preserve">В исследовании </w:t>
      </w:r>
      <w:r w:rsidRPr="006E1065">
        <w:t>DM2001-690550-18</w:t>
      </w:r>
      <w:r>
        <w:t xml:space="preserve"> с использованием образцов плазмы крови определили, что связывание тофацитиниба с белками плазмы крови существенно не зависело от концентрации лекарственного средства, средняя доля несвязанной (свободной) фракции </w:t>
      </w:r>
      <w:r w:rsidR="00AB1531" w:rsidRPr="00AB1531">
        <w:t xml:space="preserve">тофацитиниба </w:t>
      </w:r>
      <w:r>
        <w:t xml:space="preserve">составила 67% для мышей, 84,7% для крыс, 79,9% для собак, </w:t>
      </w:r>
      <w:r w:rsidRPr="00047781">
        <w:t>64</w:t>
      </w:r>
      <w:r>
        <w:t>,</w:t>
      </w:r>
      <w:r w:rsidRPr="00047781">
        <w:t>8</w:t>
      </w:r>
      <w:r w:rsidR="002370E0">
        <w:t>%</w:t>
      </w:r>
      <w:r w:rsidRPr="00047781">
        <w:t xml:space="preserve"> </w:t>
      </w:r>
      <w:r>
        <w:t>для обезьян и</w:t>
      </w:r>
      <w:r w:rsidRPr="00047781">
        <w:t xml:space="preserve"> 61</w:t>
      </w:r>
      <w:r>
        <w:t>,</w:t>
      </w:r>
      <w:r w:rsidRPr="00047781">
        <w:t xml:space="preserve">5% </w:t>
      </w:r>
      <w:r>
        <w:t xml:space="preserve">для человека </w:t>
      </w:r>
      <w:r>
        <w:rPr>
          <w:lang w:val="en-US"/>
        </w:rPr>
        <w:fldChar w:fldCharType="begin"/>
      </w:r>
      <w:r w:rsidR="00044A89">
        <w:instrText xml:space="preserve"> ADDIN ZOTERO_ITEM CSL_CITATION {"citationID":"kypjTE4h","properties":{"formattedCitation":"[12]","plainCitation":"[12]","noteIndex":0},"citationItems":[{"id":87803,"uris":["http://zotero.org/groups/4742804/items/DMZ5DFPG"],"itemData":{"id":87803,"type":"webpage","title":"Xeljanz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70A6B728" w14:textId="5EAA447A" w:rsidR="00956BF1" w:rsidRDefault="0004143E" w:rsidP="0095267B">
      <w:pPr>
        <w:pStyle w:val="SDText"/>
        <w:spacing w:after="0"/>
        <w:contextualSpacing/>
      </w:pPr>
      <w:r>
        <w:t xml:space="preserve">В исследовании </w:t>
      </w:r>
      <w:r w:rsidRPr="00E0701B">
        <w:t>DM2002-690550-025</w:t>
      </w:r>
      <w:r>
        <w:t xml:space="preserve"> с использованием сывороточного альбумина человека выявили, что </w:t>
      </w:r>
      <w:r w:rsidR="00AB1531" w:rsidRPr="00AB1531">
        <w:t>тофацитиниб</w:t>
      </w:r>
      <w:r w:rsidR="00AB1531">
        <w:t xml:space="preserve"> </w:t>
      </w:r>
      <w:r>
        <w:t>связывается с этим белком (49% связанная фракция, 51% несвязанная фракция). Сопоставив эти данные с результатами оценки связывания тофацитиниба с использованием образцов плазмы крови человека (несвязанная фракция 61,5%)</w:t>
      </w:r>
      <w:r w:rsidR="002370E0">
        <w:t>,</w:t>
      </w:r>
      <w:r>
        <w:t xml:space="preserve"> пришли к выводу, что связывание </w:t>
      </w:r>
      <w:bookmarkStart w:id="121" w:name="_Hlk113626749"/>
      <w:r w:rsidR="00AB1531" w:rsidRPr="00AB1531">
        <w:t xml:space="preserve">тофацитиниба </w:t>
      </w:r>
      <w:bookmarkEnd w:id="121"/>
      <w:r>
        <w:t xml:space="preserve">с белками плазмы крови происходит преимущественно за счет связывания с альбумином. Тофацитиниб не связывается с </w:t>
      </w:r>
      <w:r>
        <w:rPr>
          <w:rFonts w:cs="Times New Roman"/>
        </w:rPr>
        <w:t>α</w:t>
      </w:r>
      <w:r w:rsidRPr="004456DB">
        <w:rPr>
          <w:vertAlign w:val="subscript"/>
        </w:rPr>
        <w:t>1</w:t>
      </w:r>
      <w:r>
        <w:t xml:space="preserve">-кислым гликопротеином </w:t>
      </w:r>
      <w:bookmarkStart w:id="122" w:name="_Hlk113626643"/>
      <w:r>
        <w:rPr>
          <w:lang w:val="en-US"/>
        </w:rPr>
        <w:fldChar w:fldCharType="begin"/>
      </w:r>
      <w:r w:rsidR="00044A89">
        <w:instrText xml:space="preserve"> ADDIN ZOTERO_ITEM CSL_CITATION {"citationID":"rgER3xTl","properties":{"formattedCitation":"[12]","plainCitation":"[12]","noteIndex":0},"citationItems":[{"id":87803,"uris":["http://zotero.org/groups/4742804/items/DMZ5DFPG"],"itemData":{"id":87803,"type":"webpage","title":"Xeljanz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bookmarkEnd w:id="122"/>
    </w:p>
    <w:p w14:paraId="4511F45B" w14:textId="77777777" w:rsidR="0095267B" w:rsidRDefault="0095267B" w:rsidP="0095267B">
      <w:pPr>
        <w:pStyle w:val="SDText"/>
        <w:spacing w:after="0"/>
        <w:contextualSpacing/>
      </w:pPr>
    </w:p>
    <w:p w14:paraId="2B8BF913" w14:textId="58FC2ADE" w:rsidR="003D62F9" w:rsidRPr="005A1F67" w:rsidRDefault="00D62B3D" w:rsidP="00D62B3D">
      <w:pPr>
        <w:pStyle w:val="3"/>
        <w:numPr>
          <w:ilvl w:val="0"/>
          <w:numId w:val="0"/>
        </w:numPr>
        <w:ind w:left="720" w:hanging="720"/>
      </w:pPr>
      <w:bookmarkStart w:id="123" w:name="_Toc115421040"/>
      <w:bookmarkStart w:id="124" w:name="_Toc121592573"/>
      <w:r>
        <w:t xml:space="preserve">3.2.4. </w:t>
      </w:r>
      <w:r w:rsidR="003D62F9" w:rsidRPr="005A1F67">
        <w:t>Метаболизм</w:t>
      </w:r>
      <w:bookmarkEnd w:id="123"/>
      <w:bookmarkEnd w:id="124"/>
    </w:p>
    <w:p w14:paraId="718BB9B0" w14:textId="77777777" w:rsidR="00BD2318" w:rsidRDefault="00BD2318" w:rsidP="00D36ADC">
      <w:pPr>
        <w:pStyle w:val="SDText"/>
        <w:contextualSpacing/>
      </w:pPr>
    </w:p>
    <w:p w14:paraId="42D73985" w14:textId="582B4B24" w:rsidR="00EE4915" w:rsidRDefault="00105B6B" w:rsidP="00D36ADC">
      <w:pPr>
        <w:pStyle w:val="SDText"/>
        <w:contextualSpacing/>
      </w:pPr>
      <w:r>
        <w:t xml:space="preserve">Исследования метаболизма </w:t>
      </w:r>
      <w:r w:rsidR="00AB1531" w:rsidRPr="00AB1531">
        <w:t xml:space="preserve">тофацитиниба </w:t>
      </w:r>
      <w:r>
        <w:t xml:space="preserve">проводили на мышах, крысах, кроликах и обезьянах. </w:t>
      </w:r>
      <w:r w:rsidR="005365B4">
        <w:t xml:space="preserve">В этих исследованиях использовали меченый радиоактивным атомом углерода </w:t>
      </w:r>
      <w:r w:rsidR="00AB1531" w:rsidRPr="00AB1531">
        <w:t>тофацитиниб</w:t>
      </w:r>
      <w:r w:rsidR="00AB1531">
        <w:t xml:space="preserve"> </w:t>
      </w:r>
      <w:r w:rsidR="005365B4">
        <w:t>(</w:t>
      </w:r>
      <w:r w:rsidR="005365B4" w:rsidRPr="00B86E6F">
        <w:rPr>
          <w:vertAlign w:val="superscript"/>
        </w:rPr>
        <w:t>14</w:t>
      </w:r>
      <w:r w:rsidR="005365B4" w:rsidRPr="00B86E6F">
        <w:t>C-</w:t>
      </w:r>
      <w:r w:rsidR="00627DD3" w:rsidRPr="00627DD3">
        <w:t>тофацитиниб</w:t>
      </w:r>
      <w:r w:rsidR="005365B4">
        <w:t>)</w:t>
      </w:r>
      <w:r w:rsidR="00107290">
        <w:t>. Количественное определение метаболитов проводили путем измерения радиоактивности отдельных пиков, полученных с помощью высокоэффективной жидкостной хроматографии (ВЭЖХ), с использованием</w:t>
      </w:r>
      <w:r w:rsidR="006C557D">
        <w:t xml:space="preserve"> жидкостного сцинтилляционного д</w:t>
      </w:r>
      <w:r w:rsidR="00EF2E17">
        <w:t>етектора</w:t>
      </w:r>
      <w:r w:rsidR="006C557D">
        <w:t xml:space="preserve"> </w:t>
      </w:r>
      <w:r w:rsidR="00EE4915">
        <w:rPr>
          <w:lang w:val="en-US"/>
        </w:rPr>
        <w:fldChar w:fldCharType="begin"/>
      </w:r>
      <w:r w:rsidR="00044A89">
        <w:instrText xml:space="preserve"> ADDIN ZOTERO_ITEM CSL_CITATION {"citationID":"35socFlI","properties":{"formattedCitation":"[12]","plainCitation":"[12]","noteIndex":0},"citationItems":[{"id":87803,"uris":["http://zotero.org/groups/4742804/items/DMZ5DFPG"],"itemData":{"id":87803,"type":"webpage","title":"Xeljanz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996F2D">
        <w:t>.</w:t>
      </w:r>
    </w:p>
    <w:p w14:paraId="5575C508" w14:textId="4C0B0A6A" w:rsidR="005C20AE" w:rsidRDefault="005C20AE" w:rsidP="00D36ADC">
      <w:pPr>
        <w:pStyle w:val="SDText"/>
        <w:contextualSpacing/>
      </w:pPr>
      <w:r>
        <w:t xml:space="preserve">Свыше 87% от введенной радиоактивности удалось </w:t>
      </w:r>
      <w:r w:rsidR="00522060">
        <w:t xml:space="preserve">отследить, что подтверждает адекватность </w:t>
      </w:r>
      <w:r w:rsidR="00282C15">
        <w:t xml:space="preserve">используемой методики. У крыс и обезьян основная доля циркулирующей радиоактивности приходилась на </w:t>
      </w:r>
      <w:r w:rsidR="00F91EC2">
        <w:t>исходное соединение (</w:t>
      </w:r>
      <w:r w:rsidR="004E3450">
        <w:t>58,2–60,5</w:t>
      </w:r>
      <w:r w:rsidR="002370E0">
        <w:t>%</w:t>
      </w:r>
      <w:r w:rsidR="004E3450">
        <w:t xml:space="preserve"> и 30,8–48,6% соответственно). </w:t>
      </w:r>
      <w:r w:rsidR="004E31A6">
        <w:t xml:space="preserve">Основной путь выведения – с мочой, </w:t>
      </w:r>
      <w:r w:rsidR="00A352FD">
        <w:t xml:space="preserve">в которой на неизмененное соединение приходилось около 10% у самцов крыс, </w:t>
      </w:r>
      <w:r w:rsidR="009275CC">
        <w:t>30% у самок крыс и примерно 10% у обезьян</w:t>
      </w:r>
      <w:r w:rsidR="0021671D">
        <w:t xml:space="preserve"> </w:t>
      </w:r>
      <w:r w:rsidR="0021671D">
        <w:rPr>
          <w:lang w:val="en-US"/>
        </w:rPr>
        <w:fldChar w:fldCharType="begin"/>
      </w:r>
      <w:r w:rsidR="00044A89">
        <w:instrText xml:space="preserve"> ADDIN ZOTERO_ITEM CSL_CITATION {"citationID":"RBHpUouh","properties":{"formattedCitation":"[12]","plainCitation":"[12]","noteIndex":0},"citationItems":[{"id":87803,"uris":["http://zotero.org/groups/4742804/items/DMZ5DFPG"],"itemData":{"id":87803,"type":"webpage","title":"Xeljanz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21671D">
        <w:rPr>
          <w:lang w:val="en-US"/>
        </w:rPr>
        <w:fldChar w:fldCharType="separate"/>
      </w:r>
      <w:r w:rsidR="00D46D1F">
        <w:rPr>
          <w:rFonts w:cs="Times New Roman"/>
        </w:rPr>
        <w:t>[1</w:t>
      </w:r>
      <w:r w:rsidR="00044A89" w:rsidRPr="00044A89">
        <w:rPr>
          <w:rFonts w:cs="Times New Roman"/>
        </w:rPr>
        <w:t>]</w:t>
      </w:r>
      <w:r w:rsidR="0021671D">
        <w:rPr>
          <w:lang w:val="en-US"/>
        </w:rPr>
        <w:fldChar w:fldCharType="end"/>
      </w:r>
      <w:r w:rsidR="0021671D">
        <w:t>.</w:t>
      </w:r>
    </w:p>
    <w:p w14:paraId="65A756E9" w14:textId="46487313" w:rsidR="0021671D" w:rsidRDefault="0021671D" w:rsidP="00D36ADC">
      <w:pPr>
        <w:pStyle w:val="SDText"/>
        <w:contextualSpacing/>
      </w:pPr>
      <w:r>
        <w:t>Основные метаболические пути связаны с окислением пирролопиримидинового кольца (М9), окисление</w:t>
      </w:r>
      <w:r w:rsidR="00C8243A">
        <w:t>м</w:t>
      </w:r>
      <w:r>
        <w:t xml:space="preserve"> пиперидинового кольца (М6 и М18), N-деметилирование</w:t>
      </w:r>
      <w:r w:rsidR="00C8243A">
        <w:t>м</w:t>
      </w:r>
      <w:r>
        <w:t xml:space="preserve"> (М1), окисление</w:t>
      </w:r>
      <w:r w:rsidR="00C8243A">
        <w:t>м</w:t>
      </w:r>
      <w:r>
        <w:t xml:space="preserve"> боков</w:t>
      </w:r>
      <w:r w:rsidR="00C8243A">
        <w:t>ой</w:t>
      </w:r>
      <w:r>
        <w:t xml:space="preserve"> цеп</w:t>
      </w:r>
      <w:r w:rsidR="00C8243A">
        <w:t>и</w:t>
      </w:r>
      <w:r>
        <w:t xml:space="preserve"> пиперидинового кольца (M2) и глюкуронирование</w:t>
      </w:r>
      <w:r w:rsidR="00C8243A">
        <w:t>м</w:t>
      </w:r>
      <w:r>
        <w:t xml:space="preserve"> (M20). Другие метаболиты </w:t>
      </w:r>
      <w:r w:rsidR="00C8243A">
        <w:t>образовывались в результате</w:t>
      </w:r>
      <w:r>
        <w:t xml:space="preserve"> комбин</w:t>
      </w:r>
      <w:r w:rsidR="00C8243A">
        <w:t>ирования</w:t>
      </w:r>
      <w:r>
        <w:t xml:space="preserve"> этих первичных метаболических путей. Метаболиты М6, М23 (глюкуронид M6), M26 (метаболит гидроксиCP-690,550) и M28 (глюкуронид M2) были выявлены только у обезьян. Метаболитами М23, М26 и М28 </w:t>
      </w:r>
      <w:r w:rsidR="00C8243A">
        <w:t>являлись</w:t>
      </w:r>
      <w:r>
        <w:t xml:space="preserve"> глюкурон</w:t>
      </w:r>
      <w:r w:rsidR="00810C51">
        <w:t>овые</w:t>
      </w:r>
      <w:r>
        <w:t xml:space="preserve"> конъюгаты первичных метаболитов</w:t>
      </w:r>
      <w:r w:rsidRPr="0021671D">
        <w:t xml:space="preserve"> </w:t>
      </w:r>
      <w:r w:rsidR="00A93664" w:rsidRPr="00D62B3D">
        <w:t>(</w:t>
      </w:r>
      <w:r w:rsidR="001A5232" w:rsidRPr="00D62B3D">
        <w:fldChar w:fldCharType="begin"/>
      </w:r>
      <w:r w:rsidR="001A5232" w:rsidRPr="00D62B3D">
        <w:instrText xml:space="preserve"> REF _Ref121140141 \h </w:instrText>
      </w:r>
      <w:r w:rsidR="00D62B3D" w:rsidRPr="00D62B3D">
        <w:instrText xml:space="preserve"> \* MERGEFORMAT </w:instrText>
      </w:r>
      <w:r w:rsidR="001A5232" w:rsidRPr="00D62B3D">
        <w:fldChar w:fldCharType="separate"/>
      </w:r>
      <w:r w:rsidR="00383E6F" w:rsidRPr="00D62B3D">
        <w:rPr>
          <w:bCs/>
        </w:rPr>
        <w:t xml:space="preserve">Рисунок </w:t>
      </w:r>
      <w:r w:rsidR="00383E6F" w:rsidRPr="00D62B3D">
        <w:rPr>
          <w:bCs/>
          <w:noProof/>
        </w:rPr>
        <w:t>3</w:t>
      </w:r>
      <w:r w:rsidR="00383E6F" w:rsidRPr="00D62B3D">
        <w:rPr>
          <w:bCs/>
        </w:rPr>
        <w:noBreakHyphen/>
      </w:r>
      <w:r w:rsidR="00383E6F" w:rsidRPr="00D62B3D">
        <w:rPr>
          <w:bCs/>
          <w:noProof/>
        </w:rPr>
        <w:t>1</w:t>
      </w:r>
      <w:r w:rsidR="001A5232" w:rsidRPr="00D62B3D">
        <w:fldChar w:fldCharType="end"/>
      </w:r>
      <w:r w:rsidR="00020740" w:rsidRPr="00D62B3D">
        <w:t>)</w:t>
      </w:r>
      <w:r w:rsidR="00020740">
        <w:t xml:space="preserve"> </w:t>
      </w:r>
      <w:r>
        <w:rPr>
          <w:lang w:val="en-US"/>
        </w:rPr>
        <w:fldChar w:fldCharType="begin"/>
      </w:r>
      <w:r w:rsidR="00044A89">
        <w:instrText xml:space="preserve"> ADDIN ZOTERO_ITEM CSL_CITATION {"citationID":"gZ9gq66v","properties":{"formattedCitation":"[12]","plainCitation":"[12]","noteIndex":0},"citationItems":[{"id":87803,"uris":["http://zotero.org/groups/4742804/items/DMZ5DFPG"],"itemData":{"id":87803,"type":"webpage","title":"Xeljanz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6CF18812" w14:textId="77777777" w:rsidR="0095267B" w:rsidRPr="008242C1" w:rsidRDefault="0095267B" w:rsidP="0095267B">
      <w:pPr>
        <w:pStyle w:val="SDText"/>
        <w:contextualSpacing/>
      </w:pPr>
      <w:r>
        <w:t xml:space="preserve">В исследовании 140653 изучен метаболический профиль </w:t>
      </w:r>
      <w:r w:rsidRPr="00627DD3">
        <w:t xml:space="preserve">тофацитиниба </w:t>
      </w:r>
      <w:r>
        <w:t xml:space="preserve">у самцов и самок мышей линии </w:t>
      </w:r>
      <w:r>
        <w:rPr>
          <w:lang w:val="en-US"/>
        </w:rPr>
        <w:t>CByB</w:t>
      </w:r>
      <w:r w:rsidRPr="00DE7527">
        <w:t>6</w:t>
      </w:r>
      <w:r>
        <w:rPr>
          <w:lang w:val="en-US"/>
        </w:rPr>
        <w:t>F</w:t>
      </w:r>
      <w:r w:rsidRPr="00DE7527">
        <w:t>1-</w:t>
      </w:r>
      <w:r>
        <w:rPr>
          <w:lang w:val="en-US"/>
        </w:rPr>
        <w:t>Tg</w:t>
      </w:r>
      <w:r w:rsidRPr="00DE7527">
        <w:t>(</w:t>
      </w:r>
      <w:r>
        <w:rPr>
          <w:lang w:val="en-US"/>
        </w:rPr>
        <w:t>HRAS</w:t>
      </w:r>
      <w:r w:rsidRPr="00DE7527">
        <w:t>)</w:t>
      </w:r>
      <w:r w:rsidRPr="0086477B">
        <w:t>2</w:t>
      </w:r>
      <w:r>
        <w:rPr>
          <w:lang w:val="en-US"/>
        </w:rPr>
        <w:t>Jic</w:t>
      </w:r>
      <w:r w:rsidRPr="00511380">
        <w:t xml:space="preserve"> (</w:t>
      </w:r>
      <w:r>
        <w:t>гомозиготный, «дикий» тип) после перорального введения в дозе 31 мг/кг (12–18 мкКи)</w:t>
      </w:r>
      <w:r w:rsidRPr="00CA27ED">
        <w:rPr>
          <w:vertAlign w:val="superscript"/>
        </w:rPr>
        <w:t xml:space="preserve"> </w:t>
      </w:r>
      <w:r w:rsidRPr="00B86E6F">
        <w:rPr>
          <w:vertAlign w:val="superscript"/>
        </w:rPr>
        <w:t>14</w:t>
      </w:r>
      <w:r w:rsidRPr="00B86E6F">
        <w:t>C-CP-690550</w:t>
      </w:r>
      <w:r>
        <w:t xml:space="preserve">-10. Выведение радиоактивности составило 87,7% для самцов и 88,3% для самок. С фекалиями выводилось 72,1% у самцов и 51,2% у самок. Общее выведение с мочой в течение 96 ч составило 10,1% для самцов и 32,1% для самок. На </w:t>
      </w:r>
      <w:r w:rsidRPr="00627DD3">
        <w:t>тофацитиниб</w:t>
      </w:r>
      <w:r>
        <w:t xml:space="preserve"> приходилось 3,1% радиоактивности в моче, 7,6% в фекалиях и 12,5% циркулирующей активности плазмы крови. Семь метаболитов идентифицировали методом жидкостной хроматографии с тандемной масс-спектрометрией (ЖХ-МС/МС). Основным метаболитом, экскретирующимся с мочой, являлся окисленный/глюкуронизированный </w:t>
      </w:r>
      <w:r>
        <w:rPr>
          <w:lang w:val="en-US"/>
        </w:rPr>
        <w:t>M</w:t>
      </w:r>
      <w:r w:rsidRPr="00E61572">
        <w:t>29 (</w:t>
      </w:r>
      <w:r>
        <w:t xml:space="preserve">7,5% от дозы). Основными метаболитами, экскретирующимися с фекалиями, являлись </w:t>
      </w:r>
      <w:r>
        <w:lastRenderedPageBreak/>
        <w:t xml:space="preserve">окисленный </w:t>
      </w:r>
      <w:r>
        <w:rPr>
          <w:lang w:val="en-US"/>
        </w:rPr>
        <w:t>M</w:t>
      </w:r>
      <w:r w:rsidRPr="006A5AA6">
        <w:t>2</w:t>
      </w:r>
      <w:r>
        <w:t xml:space="preserve"> (15,2% от дозы) и </w:t>
      </w:r>
      <w:r>
        <w:rPr>
          <w:lang w:val="en-US"/>
        </w:rPr>
        <w:t>M</w:t>
      </w:r>
      <w:r w:rsidRPr="00AA53A4">
        <w:t>4/</w:t>
      </w:r>
      <w:r>
        <w:rPr>
          <w:lang w:val="en-US"/>
        </w:rPr>
        <w:t>M</w:t>
      </w:r>
      <w:r w:rsidRPr="00AA53A4">
        <w:t>18</w:t>
      </w:r>
      <w:r>
        <w:t xml:space="preserve"> (22,6% от дозы). Основными метаболитами в плазме крови были </w:t>
      </w:r>
      <w:r>
        <w:rPr>
          <w:lang w:val="en-US"/>
        </w:rPr>
        <w:t>M</w:t>
      </w:r>
      <w:r w:rsidRPr="00B969F2">
        <w:t>29</w:t>
      </w:r>
      <w:r>
        <w:t xml:space="preserve"> (33,1% от общей радиоактивности) и </w:t>
      </w:r>
      <w:r>
        <w:rPr>
          <w:lang w:val="en-US"/>
        </w:rPr>
        <w:t>M</w:t>
      </w:r>
      <w:r w:rsidRPr="00FB2F13">
        <w:t>4 (</w:t>
      </w:r>
      <w:r>
        <w:t xml:space="preserve">20,1% от общей радиоактивности) </w:t>
      </w:r>
      <w:r>
        <w:rPr>
          <w:lang w:val="en-US"/>
        </w:rPr>
        <w:fldChar w:fldCharType="begin"/>
      </w:r>
      <w:r>
        <w:instrText xml:space="preserve"> ADDIN ZOTERO_ITEM CSL_CITATION {"citationID":"ves9uIqj","properties":{"formattedCitation":"[12]","plainCitation":"[12]","noteIndex":0},"citationItems":[{"id":87803,"uris":["http://zotero.org/groups/4742804/items/DMZ5DFPG"],"itemData":{"id":87803,"type":"webpage","title":"Xeljanz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Pr>
          <w:rFonts w:cs="Times New Roman"/>
        </w:rPr>
        <w:t>[1</w:t>
      </w:r>
      <w:r w:rsidRPr="00044A89">
        <w:rPr>
          <w:rFonts w:cs="Times New Roman"/>
        </w:rPr>
        <w:t>]</w:t>
      </w:r>
      <w:r>
        <w:rPr>
          <w:lang w:val="en-US"/>
        </w:rPr>
        <w:fldChar w:fldCharType="end"/>
      </w:r>
      <w:r>
        <w:t>.</w:t>
      </w:r>
    </w:p>
    <w:p w14:paraId="08FE03AB" w14:textId="77777777" w:rsidR="0095267B" w:rsidRDefault="0095267B" w:rsidP="0095267B">
      <w:pPr>
        <w:pStyle w:val="SDText"/>
        <w:contextualSpacing/>
      </w:pPr>
      <w:r>
        <w:t xml:space="preserve">В исследовании </w:t>
      </w:r>
      <w:r w:rsidRPr="008242C1">
        <w:t>DM2005-CP690550-055</w:t>
      </w:r>
      <w:r>
        <w:t xml:space="preserve"> для определения профилей метаболизма и экскреции </w:t>
      </w:r>
      <w:r w:rsidRPr="00B86E6F">
        <w:rPr>
          <w:vertAlign w:val="superscript"/>
        </w:rPr>
        <w:t>14</w:t>
      </w:r>
      <w:r w:rsidRPr="00B86E6F">
        <w:t>C-CP-690550</w:t>
      </w:r>
      <w:r>
        <w:t xml:space="preserve">-10 перорально в дозе 10 мг/кг вводили крысам линии Спрег-Доули. Среднее общее выведение радиоактивности в течение 168 ч после введения составило 96,2% для самцов и 97,6% для самок. В течение 48 ч выводилось </w:t>
      </w:r>
      <w:r w:rsidRPr="00F429FB">
        <w:t xml:space="preserve">&gt; </w:t>
      </w:r>
      <w:r>
        <w:t xml:space="preserve">75% радиоактивности. Средние уровни экскреции с мочой составили 46,6% у самцов и 42,7% у самок. Выявили количественные и качественные различия экскреции метаболитов в зависимости от пола. У крыс идентифицировали следующие метаболиты: M1, M2, M4, M5, M6, M9, M13, M21 и M29, причем </w:t>
      </w:r>
      <w:r w:rsidRPr="00814136">
        <w:t>M13</w:t>
      </w:r>
      <w:r>
        <w:t xml:space="preserve"> определили только у самцов. Основные метаболические пути </w:t>
      </w:r>
      <w:r w:rsidRPr="00627DD3">
        <w:t xml:space="preserve">тофацитиниба </w:t>
      </w:r>
      <w:r>
        <w:t xml:space="preserve">включали </w:t>
      </w:r>
      <w:r>
        <w:rPr>
          <w:lang w:val="en-US"/>
        </w:rPr>
        <w:t>N</w:t>
      </w:r>
      <w:r w:rsidRPr="00F21F88">
        <w:t>-</w:t>
      </w:r>
      <w:r>
        <w:t xml:space="preserve">деметилирование, окисление пиперидинового кольца, окисление боковых цепей пиперидинового кольца и окисление пирролопиримидинового кольца </w:t>
      </w:r>
      <w:r>
        <w:rPr>
          <w:lang w:val="en-US"/>
        </w:rPr>
        <w:fldChar w:fldCharType="begin"/>
      </w:r>
      <w:r>
        <w:instrText xml:space="preserve"> ADDIN ZOTERO_ITEM CSL_CITATION {"citationID":"Gqtqxx9C","properties":{"formattedCitation":"[12]","plainCitation":"[12]","noteIndex":0},"citationItems":[{"id":87803,"uris":["http://zotero.org/groups/4742804/items/DMZ5DFPG"],"itemData":{"id":87803,"type":"webpage","title":"Xeljanz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Pr>
          <w:rFonts w:cs="Times New Roman"/>
        </w:rPr>
        <w:t>[1</w:t>
      </w:r>
      <w:r w:rsidRPr="00044A89">
        <w:rPr>
          <w:rFonts w:cs="Times New Roman"/>
        </w:rPr>
        <w:t>]</w:t>
      </w:r>
      <w:r>
        <w:rPr>
          <w:lang w:val="en-US"/>
        </w:rPr>
        <w:fldChar w:fldCharType="end"/>
      </w:r>
      <w:r>
        <w:t>.</w:t>
      </w:r>
    </w:p>
    <w:p w14:paraId="13DF649B" w14:textId="3899E238" w:rsidR="0095267B" w:rsidRDefault="0095267B" w:rsidP="0095267B">
      <w:pPr>
        <w:pStyle w:val="SDText"/>
        <w:contextualSpacing/>
      </w:pPr>
      <w:r>
        <w:t xml:space="preserve">В исследовании </w:t>
      </w:r>
      <w:r w:rsidRPr="008124C3">
        <w:t>DM2005–690550–064</w:t>
      </w:r>
      <w:r>
        <w:t xml:space="preserve"> изучили метаболический профиль </w:t>
      </w:r>
      <w:r w:rsidRPr="00627DD3">
        <w:t xml:space="preserve">тофацитиниба </w:t>
      </w:r>
      <w:r>
        <w:t xml:space="preserve">у самок новозеландских белых кроликов после однократного перорального приема </w:t>
      </w:r>
      <w:r w:rsidRPr="00B86E6F">
        <w:rPr>
          <w:vertAlign w:val="superscript"/>
        </w:rPr>
        <w:t>14</w:t>
      </w:r>
      <w:r w:rsidRPr="00B86E6F">
        <w:t>C-CP-690550</w:t>
      </w:r>
      <w:r>
        <w:t xml:space="preserve">-10 в дозе 30 мг/кг (37,8–38,4 мкКи/кг). Первичным путем экскреции у самок кроликов было выведение с мочой. </w:t>
      </w:r>
      <w:r>
        <w:rPr>
          <w:lang w:val="en-US"/>
        </w:rPr>
        <w:t>C</w:t>
      </w:r>
      <w:r>
        <w:rPr>
          <w:vertAlign w:val="subscript"/>
          <w:lang w:val="en-US"/>
        </w:rPr>
        <w:t>max</w:t>
      </w:r>
      <w:r w:rsidRPr="000C727E">
        <w:t xml:space="preserve"> </w:t>
      </w:r>
      <w:r>
        <w:t xml:space="preserve">общей радиоактивности достигалась примерно в течение 1 ч. Основными циркулирующими метаболитами </w:t>
      </w:r>
      <w:r w:rsidRPr="00627DD3">
        <w:t xml:space="preserve">тофацитиниба </w:t>
      </w:r>
      <w:r>
        <w:t>были десциано-карбокси-</w:t>
      </w:r>
      <w:r>
        <w:rPr>
          <w:lang w:val="en-US"/>
        </w:rPr>
        <w:t>M</w:t>
      </w:r>
      <w:r w:rsidRPr="00D04062">
        <w:t>4</w:t>
      </w:r>
      <w:r>
        <w:t xml:space="preserve">, </w:t>
      </w:r>
      <w:r>
        <w:rPr>
          <w:lang w:val="en-US"/>
        </w:rPr>
        <w:t>M</w:t>
      </w:r>
      <w:r w:rsidRPr="00D04062">
        <w:t>2-</w:t>
      </w:r>
      <w:r>
        <w:t>глюкурониды (</w:t>
      </w:r>
      <w:r>
        <w:rPr>
          <w:lang w:val="en-US"/>
        </w:rPr>
        <w:t>M</w:t>
      </w:r>
      <w:r w:rsidRPr="00057D02">
        <w:t>28</w:t>
      </w:r>
      <w:r>
        <w:t xml:space="preserve">, </w:t>
      </w:r>
      <w:r>
        <w:rPr>
          <w:lang w:val="en-US"/>
        </w:rPr>
        <w:t>M</w:t>
      </w:r>
      <w:r w:rsidRPr="00057D02">
        <w:t>29)</w:t>
      </w:r>
      <w:r>
        <w:t xml:space="preserve"> и </w:t>
      </w:r>
      <w:r w:rsidRPr="00627DD3">
        <w:t xml:space="preserve">тофацитиниба </w:t>
      </w:r>
      <w:r>
        <w:t>глюкуронид (</w:t>
      </w:r>
      <w:r>
        <w:rPr>
          <w:lang w:val="en-US"/>
        </w:rPr>
        <w:t>M</w:t>
      </w:r>
      <w:r w:rsidRPr="00A513DD">
        <w:t>20)</w:t>
      </w:r>
      <w:r>
        <w:t xml:space="preserve">. Идентифицированные метаболиты составляли </w:t>
      </w:r>
      <w:r w:rsidRPr="00114883">
        <w:t xml:space="preserve">&gt; </w:t>
      </w:r>
      <w:r>
        <w:t xml:space="preserve">93% циркулирующей радиоактивности </w:t>
      </w:r>
      <w:r>
        <w:rPr>
          <w:lang w:val="en-US"/>
        </w:rPr>
        <w:fldChar w:fldCharType="begin"/>
      </w:r>
      <w:r>
        <w:instrText xml:space="preserve"> ADDIN ZOTERO_ITEM CSL_CITATION {"citationID":"fFryPc42","properties":{"formattedCitation":"[12]","plainCitation":"[12]","noteIndex":0},"citationItems":[{"id":87803,"uris":["http://zotero.org/groups/4742804/items/DMZ5DFPG"],"itemData":{"id":87803,"type":"webpage","title":"Xeljanz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Pr>
          <w:rFonts w:cs="Times New Roman"/>
        </w:rPr>
        <w:t>[1</w:t>
      </w:r>
      <w:r w:rsidRPr="00044A89">
        <w:rPr>
          <w:rFonts w:cs="Times New Roman"/>
        </w:rPr>
        <w:t>]</w:t>
      </w:r>
      <w:r>
        <w:rPr>
          <w:lang w:val="en-US"/>
        </w:rPr>
        <w:fldChar w:fldCharType="end"/>
      </w:r>
      <w:r>
        <w:t>.</w:t>
      </w:r>
    </w:p>
    <w:p w14:paraId="182E29F3" w14:textId="77777777" w:rsidR="00791E09" w:rsidRDefault="00791E09" w:rsidP="00791E09">
      <w:pPr>
        <w:pStyle w:val="SDText"/>
        <w:contextualSpacing/>
      </w:pPr>
      <w:r w:rsidRPr="007F2C37">
        <w:t xml:space="preserve">В исследовании DM2004–690550–052 установили, что в течение 168 ч после однократного перорального введения </w:t>
      </w:r>
      <w:r w:rsidRPr="007F2C37">
        <w:rPr>
          <w:vertAlign w:val="superscript"/>
        </w:rPr>
        <w:t>14</w:t>
      </w:r>
      <w:r w:rsidRPr="007F2C37">
        <w:t xml:space="preserve">C-CP-690550-10 в дозе 5 мг/кг (54 мкКи/кг) среднее общее выведение радиоактивности составило 87,4% для самцов и 91,8% для самок. Большая доля радиоактивности </w:t>
      </w:r>
      <w:r>
        <w:t>выводилась</w:t>
      </w:r>
      <w:r w:rsidRPr="007F2C37">
        <w:t xml:space="preserve"> в течение 48 ч после введения</w:t>
      </w:r>
      <w:r>
        <w:t xml:space="preserve">, экскреция преимущественно осуществлялась с мочой (42,6% для самцов и 55,7% для самок). На выведение с фекалиями приходилось 27,3% у самцов и 28,7% у самок, около 25% экскретировалось с желчью. Основные метаболические пути </w:t>
      </w:r>
      <w:r w:rsidRPr="00627DD3">
        <w:t xml:space="preserve">тофацитиниба </w:t>
      </w:r>
      <w:r>
        <w:t xml:space="preserve">были сопоставимы путям, определенным для человека, и включали окисление пирролопиримидинового кольца, окисление пиперидинового кольца, окисление боковых цепей пиперидинового кольца и глюкуронизацию. Малым метаболическим путем было </w:t>
      </w:r>
      <w:r>
        <w:rPr>
          <w:lang w:val="en-US"/>
        </w:rPr>
        <w:t>N</w:t>
      </w:r>
      <w:r w:rsidRPr="007E6798">
        <w:t>-</w:t>
      </w:r>
      <w:r>
        <w:t xml:space="preserve">деметилирование. Идентифицировали 13 метаболитов. Основными метаболитами в желчи были </w:t>
      </w:r>
      <w:r>
        <w:rPr>
          <w:lang w:val="en-US"/>
        </w:rPr>
        <w:t>M</w:t>
      </w:r>
      <w:r w:rsidRPr="00BE72A0">
        <w:t>29</w:t>
      </w:r>
      <w:r>
        <w:t xml:space="preserve">, </w:t>
      </w:r>
      <w:r>
        <w:rPr>
          <w:lang w:val="en-US"/>
        </w:rPr>
        <w:t>M</w:t>
      </w:r>
      <w:r w:rsidRPr="00BE72A0">
        <w:t>26</w:t>
      </w:r>
      <w:r>
        <w:t xml:space="preserve">, </w:t>
      </w:r>
      <w:r>
        <w:rPr>
          <w:lang w:val="en-US"/>
        </w:rPr>
        <w:t>M</w:t>
      </w:r>
      <w:r w:rsidRPr="00BE72A0">
        <w:t>23</w:t>
      </w:r>
      <w:r>
        <w:t xml:space="preserve"> и </w:t>
      </w:r>
      <w:r>
        <w:rPr>
          <w:lang w:val="en-US"/>
        </w:rPr>
        <w:t>M</w:t>
      </w:r>
      <w:r w:rsidRPr="00BE72A0">
        <w:t>25</w:t>
      </w:r>
      <w:r>
        <w:t xml:space="preserve">. Неизмененное соединение составляло 0,3% от дозы в желчи самцов обезьян. В плазме крови идентифицировали 12 метаболитов. Основными циркулирующими метаболитами являлись </w:t>
      </w:r>
      <w:r>
        <w:rPr>
          <w:lang w:val="en-US"/>
        </w:rPr>
        <w:t>M</w:t>
      </w:r>
      <w:r w:rsidRPr="00BE72A0">
        <w:t>9</w:t>
      </w:r>
      <w:r>
        <w:t xml:space="preserve">, </w:t>
      </w:r>
      <w:r>
        <w:rPr>
          <w:lang w:val="en-US"/>
        </w:rPr>
        <w:t>M</w:t>
      </w:r>
      <w:r w:rsidRPr="00BE72A0">
        <w:t>2</w:t>
      </w:r>
      <w:r>
        <w:t xml:space="preserve">, </w:t>
      </w:r>
      <w:r>
        <w:rPr>
          <w:lang w:val="en-US"/>
        </w:rPr>
        <w:t>M</w:t>
      </w:r>
      <w:r w:rsidRPr="00BE72A0">
        <w:t>2</w:t>
      </w:r>
      <w:r>
        <w:t xml:space="preserve">8 и </w:t>
      </w:r>
      <w:r>
        <w:rPr>
          <w:lang w:val="en-US"/>
        </w:rPr>
        <w:t>M</w:t>
      </w:r>
      <w:r w:rsidRPr="00BE72A0">
        <w:t>2</w:t>
      </w:r>
      <w:r>
        <w:t xml:space="preserve">9. Неизменное соединение составляло 6,1 и 10,9% от дозы в моче самцов и самок обезьян соответственно. В фекалиях определили 11 метаболитов. Основными метаболитами в фекалиях были M6, M9, M18, M2, M4 и M14. На неизмененное соединение приходилось 1,5 и 1,9% от дозы в фекалиях самцов и самок обезьян соответственно. В желчи идентифицировали 13 метаболитов. Основными метаболитами в желчи являлись M29, M26, M23 и M25. На неизмененное соединение приходилось 0,3% от дозы в желчи самцов обезьян </w:t>
      </w:r>
      <w:r>
        <w:rPr>
          <w:lang w:val="en-US"/>
        </w:rPr>
        <w:fldChar w:fldCharType="begin"/>
      </w:r>
      <w:r>
        <w:instrText xml:space="preserve"> ADDIN ZOTERO_ITEM CSL_CITATION {"citationID":"bUCtpckV","properties":{"formattedCitation":"[12]","plainCitation":"[12]","noteIndex":0},"citationItems":[{"id":87803,"uris":["http://zotero.org/groups/4742804/items/DMZ5DFPG"],"itemData":{"id":87803,"type":"webpage","title":"Xeljanz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Pr>
          <w:rFonts w:cs="Times New Roman"/>
        </w:rPr>
        <w:t>[1</w:t>
      </w:r>
      <w:r w:rsidRPr="00044A89">
        <w:rPr>
          <w:rFonts w:cs="Times New Roman"/>
        </w:rPr>
        <w:t>]</w:t>
      </w:r>
      <w:r>
        <w:rPr>
          <w:lang w:val="en-US"/>
        </w:rPr>
        <w:fldChar w:fldCharType="end"/>
      </w:r>
      <w:r>
        <w:t>.</w:t>
      </w:r>
    </w:p>
    <w:p w14:paraId="02884CA6" w14:textId="77777777" w:rsidR="00791E09" w:rsidRDefault="00791E09" w:rsidP="0095267B">
      <w:pPr>
        <w:pStyle w:val="SDText"/>
        <w:contextualSpacing/>
      </w:pPr>
    </w:p>
    <w:p w14:paraId="45831309" w14:textId="77777777" w:rsidR="00791E09" w:rsidRDefault="00791E09" w:rsidP="00C13EBE">
      <w:pPr>
        <w:pStyle w:val="SDText"/>
        <w:spacing w:after="0"/>
        <w:ind w:firstLine="0"/>
        <w:rPr>
          <w:b/>
          <w:bCs/>
        </w:rPr>
      </w:pPr>
      <w:bookmarkStart w:id="125" w:name="_Ref121140141"/>
    </w:p>
    <w:p w14:paraId="464B91CD" w14:textId="77777777" w:rsidR="00791E09" w:rsidRDefault="00791E09" w:rsidP="00C13EBE">
      <w:pPr>
        <w:pStyle w:val="SDText"/>
        <w:spacing w:after="0"/>
        <w:ind w:firstLine="0"/>
        <w:rPr>
          <w:b/>
          <w:bCs/>
        </w:rPr>
        <w:sectPr w:rsidR="00791E09" w:rsidSect="00F85178">
          <w:pgSz w:w="11906" w:h="16838"/>
          <w:pgMar w:top="1134" w:right="850" w:bottom="1134" w:left="1701" w:header="708" w:footer="708" w:gutter="0"/>
          <w:cols w:space="708"/>
          <w:docGrid w:linePitch="360"/>
        </w:sectPr>
      </w:pPr>
    </w:p>
    <w:p w14:paraId="5CE7BA92" w14:textId="15284E2B" w:rsidR="005A1F67" w:rsidRPr="005A1F67" w:rsidRDefault="001A5232" w:rsidP="00C13EBE">
      <w:pPr>
        <w:pStyle w:val="SDText"/>
        <w:spacing w:after="0"/>
        <w:ind w:firstLine="0"/>
      </w:pPr>
      <w:r w:rsidRPr="001A5232">
        <w:rPr>
          <w:b/>
          <w:bCs/>
        </w:rPr>
        <w:lastRenderedPageBreak/>
        <w:t xml:space="preserve">Рисунок </w:t>
      </w:r>
      <w:r w:rsidRPr="001A5232">
        <w:rPr>
          <w:b/>
          <w:bCs/>
        </w:rPr>
        <w:fldChar w:fldCharType="begin"/>
      </w:r>
      <w:r w:rsidRPr="001A5232">
        <w:rPr>
          <w:b/>
          <w:bCs/>
        </w:rPr>
        <w:instrText xml:space="preserve"> STYLEREF 1 \s </w:instrText>
      </w:r>
      <w:r w:rsidRPr="001A5232">
        <w:rPr>
          <w:b/>
          <w:bCs/>
        </w:rPr>
        <w:fldChar w:fldCharType="separate"/>
      </w:r>
      <w:r w:rsidR="00383E6F">
        <w:rPr>
          <w:b/>
          <w:bCs/>
          <w:noProof/>
        </w:rPr>
        <w:t>3</w:t>
      </w:r>
      <w:r w:rsidRPr="001A5232">
        <w:rPr>
          <w:b/>
          <w:bCs/>
        </w:rPr>
        <w:fldChar w:fldCharType="end"/>
      </w:r>
      <w:r w:rsidRPr="001A5232">
        <w:rPr>
          <w:b/>
          <w:bCs/>
        </w:rPr>
        <w:noBreakHyphen/>
      </w:r>
      <w:r w:rsidRPr="001A5232">
        <w:rPr>
          <w:b/>
          <w:bCs/>
        </w:rPr>
        <w:fldChar w:fldCharType="begin"/>
      </w:r>
      <w:r w:rsidRPr="001A5232">
        <w:rPr>
          <w:b/>
          <w:bCs/>
        </w:rPr>
        <w:instrText xml:space="preserve"> SEQ Рисунок \* ARABIC \s 1 </w:instrText>
      </w:r>
      <w:r w:rsidRPr="001A5232">
        <w:rPr>
          <w:b/>
          <w:bCs/>
        </w:rPr>
        <w:fldChar w:fldCharType="separate"/>
      </w:r>
      <w:r w:rsidR="00383E6F">
        <w:rPr>
          <w:b/>
          <w:bCs/>
          <w:noProof/>
        </w:rPr>
        <w:t>1</w:t>
      </w:r>
      <w:r w:rsidRPr="001A5232">
        <w:rPr>
          <w:b/>
          <w:bCs/>
        </w:rPr>
        <w:fldChar w:fldCharType="end"/>
      </w:r>
      <w:bookmarkEnd w:id="125"/>
      <w:r w:rsidRPr="001A5232">
        <w:rPr>
          <w:b/>
          <w:bCs/>
        </w:rPr>
        <w:t>.</w:t>
      </w:r>
      <w:r>
        <w:t xml:space="preserve"> </w:t>
      </w:r>
      <w:r w:rsidR="005A1F67">
        <w:t>Пути метаболизма тофацитиниба.</w:t>
      </w:r>
    </w:p>
    <w:p w14:paraId="494BFF56" w14:textId="65626C12" w:rsidR="00A93664" w:rsidRDefault="007476A0" w:rsidP="00791E09">
      <w:pPr>
        <w:ind w:firstLine="0"/>
        <w:contextualSpacing/>
        <w:jc w:val="left"/>
      </w:pPr>
      <w:r>
        <w:rPr>
          <w:noProof/>
          <w:lang w:eastAsia="ru-RU"/>
        </w:rPr>
        <w:drawing>
          <wp:inline distT="0" distB="0" distL="0" distR="0" wp14:anchorId="1C4401ED" wp14:editId="3866FC22">
            <wp:extent cx="6055311" cy="5495026"/>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0">
                      <a:extLst>
                        <a:ext uri="{28A0092B-C50C-407E-A947-70E740481C1C}">
                          <a14:useLocalDpi xmlns:a14="http://schemas.microsoft.com/office/drawing/2010/main" val="0"/>
                        </a:ext>
                      </a:extLst>
                    </a:blip>
                    <a:stretch>
                      <a:fillRect/>
                    </a:stretch>
                  </pic:blipFill>
                  <pic:spPr>
                    <a:xfrm>
                      <a:off x="0" y="0"/>
                      <a:ext cx="6094995" cy="5531038"/>
                    </a:xfrm>
                    <a:prstGeom prst="rect">
                      <a:avLst/>
                    </a:prstGeom>
                  </pic:spPr>
                </pic:pic>
              </a:graphicData>
            </a:graphic>
          </wp:inline>
        </w:drawing>
      </w:r>
    </w:p>
    <w:p w14:paraId="4657EE73" w14:textId="0A6FECFC" w:rsidR="005A1F67" w:rsidRDefault="004646B7" w:rsidP="005A1F67">
      <w:pPr>
        <w:pStyle w:val="SDcomments"/>
        <w:ind w:firstLine="0"/>
        <w:contextualSpacing/>
      </w:pPr>
      <w:r w:rsidRPr="005A1F67">
        <w:rPr>
          <w:b/>
          <w:iCs/>
        </w:rPr>
        <w:t>Примечани</w:t>
      </w:r>
      <w:r w:rsidR="0095267B">
        <w:rPr>
          <w:b/>
          <w:iCs/>
        </w:rPr>
        <w:t>е</w:t>
      </w:r>
      <w:r w:rsidRPr="005A1F67">
        <w:rPr>
          <w:b/>
          <w:iCs/>
        </w:rPr>
        <w:t>:</w:t>
      </w:r>
    </w:p>
    <w:p w14:paraId="62C30FAB" w14:textId="3A70D33F" w:rsidR="004646B7" w:rsidRPr="00A70C2C" w:rsidRDefault="009544FC" w:rsidP="005A1F67">
      <w:pPr>
        <w:pStyle w:val="SDcomments"/>
        <w:ind w:firstLine="0"/>
        <w:contextualSpacing/>
      </w:pPr>
      <w:r>
        <w:rPr>
          <w:lang w:val="en-US"/>
        </w:rPr>
        <w:t>H</w:t>
      </w:r>
      <w:r w:rsidRPr="00644EEC">
        <w:t xml:space="preserve"> – </w:t>
      </w:r>
      <w:r>
        <w:t>человек</w:t>
      </w:r>
      <w:r w:rsidRPr="00644EEC">
        <w:t xml:space="preserve"> (</w:t>
      </w:r>
      <w:r>
        <w:rPr>
          <w:lang w:val="en-US"/>
        </w:rPr>
        <w:t>human</w:t>
      </w:r>
      <w:r w:rsidRPr="00644EEC">
        <w:t xml:space="preserve">); </w:t>
      </w:r>
      <w:r w:rsidR="009710A4">
        <w:rPr>
          <w:lang w:val="en-US"/>
        </w:rPr>
        <w:t>M</w:t>
      </w:r>
      <w:r w:rsidR="009710A4" w:rsidRPr="00644EEC">
        <w:t xml:space="preserve"> – </w:t>
      </w:r>
      <w:r w:rsidR="009710A4">
        <w:t>обезьяна</w:t>
      </w:r>
      <w:r w:rsidR="009710A4" w:rsidRPr="00644EEC">
        <w:t xml:space="preserve"> (</w:t>
      </w:r>
      <w:r w:rsidR="009710A4">
        <w:rPr>
          <w:lang w:val="en-US"/>
        </w:rPr>
        <w:t>monkey</w:t>
      </w:r>
      <w:r w:rsidR="009710A4" w:rsidRPr="00644EEC">
        <w:t xml:space="preserve">); </w:t>
      </w:r>
      <w:r w:rsidR="009710A4">
        <w:rPr>
          <w:lang w:val="en-US"/>
        </w:rPr>
        <w:t>R</w:t>
      </w:r>
      <w:r w:rsidR="009710A4" w:rsidRPr="00644EEC">
        <w:t xml:space="preserve"> – </w:t>
      </w:r>
      <w:r w:rsidR="009710A4">
        <w:t>крыса</w:t>
      </w:r>
      <w:r w:rsidR="009710A4" w:rsidRPr="00644EEC">
        <w:t xml:space="preserve"> (</w:t>
      </w:r>
      <w:r w:rsidR="009710A4">
        <w:rPr>
          <w:lang w:val="en-US"/>
        </w:rPr>
        <w:t>rat</w:t>
      </w:r>
      <w:r w:rsidR="009710A4" w:rsidRPr="00644EEC">
        <w:t xml:space="preserve">); </w:t>
      </w:r>
      <w:r w:rsidR="00644EEC" w:rsidRPr="00644EEC">
        <w:rPr>
          <w:lang w:val="en-US"/>
        </w:rPr>
        <w:t>M</w:t>
      </w:r>
      <w:r w:rsidR="00644EEC" w:rsidRPr="00644EEC">
        <w:t>1</w:t>
      </w:r>
      <w:r w:rsidR="00644EEC">
        <w:t xml:space="preserve"> – </w:t>
      </w:r>
      <w:r w:rsidR="00644EEC" w:rsidRPr="00644EEC">
        <w:rPr>
          <w:lang w:val="en-US"/>
        </w:rPr>
        <w:t>N</w:t>
      </w:r>
      <w:r w:rsidR="00644EEC" w:rsidRPr="00644EEC">
        <w:t>-</w:t>
      </w:r>
      <w:r w:rsidR="00644EEC">
        <w:t>десметил</w:t>
      </w:r>
      <w:r w:rsidR="00644EEC" w:rsidRPr="00644EEC">
        <w:t>-</w:t>
      </w:r>
      <w:r w:rsidR="00644EEC" w:rsidRPr="00D840E0">
        <w:rPr>
          <w:lang w:val="en-US"/>
        </w:rPr>
        <w:t>CP</w:t>
      </w:r>
      <w:r w:rsidR="00644EEC" w:rsidRPr="00D840E0">
        <w:t xml:space="preserve">-690550; </w:t>
      </w:r>
      <w:r w:rsidR="00D840E0" w:rsidRPr="00D840E0">
        <w:rPr>
          <w:lang w:val="en-US"/>
        </w:rPr>
        <w:t>M</w:t>
      </w:r>
      <w:r w:rsidR="00D840E0" w:rsidRPr="00D840E0">
        <w:t>2</w:t>
      </w:r>
      <w:r w:rsidR="00426DE8">
        <w:t xml:space="preserve"> – </w:t>
      </w:r>
      <w:r w:rsidR="00D840E0" w:rsidRPr="00D840E0">
        <w:t>2-</w:t>
      </w:r>
      <w:r w:rsidR="00D840E0">
        <w:t>гидрокси</w:t>
      </w:r>
      <w:r w:rsidR="00D840E0" w:rsidRPr="00D840E0">
        <w:t>-1-{4-</w:t>
      </w:r>
      <w:r w:rsidR="00D840E0">
        <w:t>метил</w:t>
      </w:r>
      <w:r w:rsidR="00D840E0" w:rsidRPr="00D840E0">
        <w:t>-3-[</w:t>
      </w:r>
      <w:r w:rsidR="00D840E0">
        <w:t>метил</w:t>
      </w:r>
      <w:r w:rsidR="00D840E0" w:rsidRPr="00D840E0">
        <w:t>-(7</w:t>
      </w:r>
      <w:r w:rsidR="00D840E0" w:rsidRPr="00D840E0">
        <w:rPr>
          <w:lang w:val="en-US"/>
        </w:rPr>
        <w:t>H</w:t>
      </w:r>
      <w:r w:rsidR="00D840E0">
        <w:t>пирроло</w:t>
      </w:r>
      <w:r w:rsidR="00D840E0" w:rsidRPr="00D840E0">
        <w:t>[2,3-</w:t>
      </w:r>
      <w:r w:rsidR="00D840E0" w:rsidRPr="00D840E0">
        <w:rPr>
          <w:lang w:val="en-US"/>
        </w:rPr>
        <w:t>d</w:t>
      </w:r>
      <w:r w:rsidR="00D840E0" w:rsidRPr="00D840E0">
        <w:t>]</w:t>
      </w:r>
      <w:r w:rsidR="00D840E0">
        <w:t>пиримидин</w:t>
      </w:r>
      <w:r w:rsidR="00D840E0" w:rsidRPr="00D840E0">
        <w:t>-4-</w:t>
      </w:r>
      <w:r w:rsidR="00D840E0">
        <w:t>ил</w:t>
      </w:r>
      <w:r w:rsidR="00D840E0" w:rsidRPr="00D840E0">
        <w:t>)-</w:t>
      </w:r>
      <w:r w:rsidR="00D840E0">
        <w:t>амино</w:t>
      </w:r>
      <w:r w:rsidR="00D840E0" w:rsidRPr="00D840E0">
        <w:t>]-</w:t>
      </w:r>
      <w:r w:rsidR="00D840E0">
        <w:t>пиперидин</w:t>
      </w:r>
      <w:r w:rsidR="00D840E0" w:rsidRPr="00D840E0">
        <w:t>-1-</w:t>
      </w:r>
      <w:r w:rsidR="00D840E0">
        <w:t>ил</w:t>
      </w:r>
      <w:r w:rsidR="00D840E0" w:rsidRPr="00D840E0">
        <w:t>}-</w:t>
      </w:r>
      <w:r w:rsidR="00D840E0">
        <w:t>этанон</w:t>
      </w:r>
      <w:r w:rsidR="00D840E0" w:rsidRPr="00D840E0">
        <w:t xml:space="preserve">; </w:t>
      </w:r>
      <w:r w:rsidR="00D05038">
        <w:rPr>
          <w:lang w:val="en-US"/>
        </w:rPr>
        <w:t>M</w:t>
      </w:r>
      <w:r w:rsidR="00D05038" w:rsidRPr="00D05038">
        <w:t>4</w:t>
      </w:r>
      <w:r w:rsidR="00D05038">
        <w:t xml:space="preserve"> – </w:t>
      </w:r>
      <w:r w:rsidR="000E7B15">
        <w:t xml:space="preserve">предположительно </w:t>
      </w:r>
      <w:r w:rsidR="00D05038">
        <w:t>2-карбокси-</w:t>
      </w:r>
      <w:r w:rsidR="00D05038" w:rsidRPr="00D05038">
        <w:t>1-{4-</w:t>
      </w:r>
      <w:r w:rsidR="00D05038">
        <w:t>метил</w:t>
      </w:r>
      <w:r w:rsidR="00D05038" w:rsidRPr="00D05038">
        <w:t>-3-[</w:t>
      </w:r>
      <w:r w:rsidR="00D05038">
        <w:t>метил</w:t>
      </w:r>
      <w:r w:rsidR="00D05038" w:rsidRPr="00D05038">
        <w:t>-(7</w:t>
      </w:r>
      <w:r w:rsidR="00D05038" w:rsidRPr="00D05038">
        <w:rPr>
          <w:lang w:val="en-US"/>
        </w:rPr>
        <w:t>H</w:t>
      </w:r>
      <w:r w:rsidR="00D05038">
        <w:t>пирроло</w:t>
      </w:r>
      <w:r w:rsidR="00D05038" w:rsidRPr="00D05038">
        <w:t>[2,3-</w:t>
      </w:r>
      <w:r w:rsidR="00D05038" w:rsidRPr="00D05038">
        <w:rPr>
          <w:lang w:val="en-US"/>
        </w:rPr>
        <w:t>d</w:t>
      </w:r>
      <w:r w:rsidR="00D05038" w:rsidRPr="00D05038">
        <w:t>]</w:t>
      </w:r>
      <w:r w:rsidR="00D05038">
        <w:t>пиримид</w:t>
      </w:r>
      <w:r w:rsidR="00D05038" w:rsidRPr="00D05038">
        <w:t>-4-</w:t>
      </w:r>
      <w:r w:rsidR="00D05038">
        <w:t>ил</w:t>
      </w:r>
      <w:r w:rsidR="00D05038" w:rsidRPr="00D05038">
        <w:t>)-</w:t>
      </w:r>
      <w:r w:rsidR="00D05038">
        <w:t>амино</w:t>
      </w:r>
      <w:r w:rsidR="00D05038" w:rsidRPr="00D05038">
        <w:t>]-</w:t>
      </w:r>
      <w:r w:rsidR="00D05038">
        <w:t>пиперидин</w:t>
      </w:r>
      <w:r w:rsidR="00D05038" w:rsidRPr="00D05038">
        <w:t>-</w:t>
      </w:r>
      <w:r w:rsidR="00D05038">
        <w:t xml:space="preserve">1-ил}-этанон; </w:t>
      </w:r>
      <w:r w:rsidR="00426DE8">
        <w:t>M6 – 3-{гидрокси-4-</w:t>
      </w:r>
      <w:r w:rsidR="00A918FC">
        <w:t>метил</w:t>
      </w:r>
      <w:r w:rsidR="00426DE8" w:rsidRPr="00426DE8">
        <w:t>-5-[</w:t>
      </w:r>
      <w:r w:rsidR="00A918FC">
        <w:t>метил</w:t>
      </w:r>
      <w:r w:rsidR="00426DE8" w:rsidRPr="00426DE8">
        <w:t>-(7</w:t>
      </w:r>
      <w:r w:rsidR="00426DE8" w:rsidRPr="00426DE8">
        <w:rPr>
          <w:lang w:val="en-US"/>
        </w:rPr>
        <w:t>H</w:t>
      </w:r>
      <w:r w:rsidR="00426DE8" w:rsidRPr="00426DE8">
        <w:t>-</w:t>
      </w:r>
      <w:r w:rsidR="00A918FC">
        <w:t>пирроло</w:t>
      </w:r>
      <w:r w:rsidR="00426DE8" w:rsidRPr="00426DE8">
        <w:t>[2,3-</w:t>
      </w:r>
      <w:r w:rsidR="00426DE8" w:rsidRPr="00426DE8">
        <w:rPr>
          <w:lang w:val="en-US"/>
        </w:rPr>
        <w:t>d</w:t>
      </w:r>
      <w:r w:rsidR="00426DE8" w:rsidRPr="00A918FC">
        <w:t>]</w:t>
      </w:r>
      <w:r w:rsidR="00A918FC">
        <w:t>пиримидин</w:t>
      </w:r>
      <w:r w:rsidR="00426DE8" w:rsidRPr="00A918FC">
        <w:t>-4-</w:t>
      </w:r>
      <w:r w:rsidR="00A918FC">
        <w:t>ил</w:t>
      </w:r>
      <w:r w:rsidR="00426DE8" w:rsidRPr="00A918FC">
        <w:t>)-</w:t>
      </w:r>
      <w:r w:rsidR="00A918FC">
        <w:t>амино</w:t>
      </w:r>
      <w:r w:rsidR="00426DE8" w:rsidRPr="00A918FC">
        <w:t>]-</w:t>
      </w:r>
      <w:r w:rsidR="00A918FC">
        <w:t>пиперидин</w:t>
      </w:r>
      <w:r w:rsidR="00426DE8" w:rsidRPr="00A918FC">
        <w:t>-1-</w:t>
      </w:r>
      <w:r w:rsidR="00A918FC">
        <w:t>ил</w:t>
      </w:r>
      <w:r w:rsidR="00426DE8" w:rsidRPr="00A918FC">
        <w:t>}-3-</w:t>
      </w:r>
      <w:r w:rsidR="00A918FC">
        <w:t xml:space="preserve">оксопропионитрил; </w:t>
      </w:r>
      <w:r w:rsidR="00BF2712" w:rsidRPr="00BF2712">
        <w:t>M6a</w:t>
      </w:r>
      <w:r w:rsidR="00BF2712">
        <w:t xml:space="preserve"> </w:t>
      </w:r>
      <w:r w:rsidR="005C0F91">
        <w:t xml:space="preserve">(региоизомер </w:t>
      </w:r>
      <w:r w:rsidR="005C0F91">
        <w:rPr>
          <w:lang w:val="en-US"/>
        </w:rPr>
        <w:t>M</w:t>
      </w:r>
      <w:r w:rsidR="005C0F91" w:rsidRPr="007614BC">
        <w:t>6)</w:t>
      </w:r>
      <w:r w:rsidR="005C0F91">
        <w:t xml:space="preserve"> </w:t>
      </w:r>
      <w:r w:rsidR="00BF2712">
        <w:t xml:space="preserve">– </w:t>
      </w:r>
      <w:r w:rsidR="000E7B15">
        <w:t xml:space="preserve">предположительно </w:t>
      </w:r>
      <w:r w:rsidR="00BF2712">
        <w:t>3-{гидрокси-4-метилl-5-[метил-(7Hпирроло[</w:t>
      </w:r>
      <w:r w:rsidR="00BF2712" w:rsidRPr="00BF2712">
        <w:t>2,3-</w:t>
      </w:r>
      <w:r w:rsidR="00BF2712" w:rsidRPr="00BF2712">
        <w:rPr>
          <w:lang w:val="en-US"/>
        </w:rPr>
        <w:t>d</w:t>
      </w:r>
      <w:r w:rsidR="00BF2712" w:rsidRPr="00BF2712">
        <w:t>]</w:t>
      </w:r>
      <w:r w:rsidR="00BF2712">
        <w:t>пиримидин</w:t>
      </w:r>
      <w:r w:rsidR="00BF2712" w:rsidRPr="00BF2712">
        <w:t>-4-</w:t>
      </w:r>
      <w:r w:rsidR="00BF2712">
        <w:t>ил</w:t>
      </w:r>
      <w:r w:rsidR="00BF2712" w:rsidRPr="00BF2712">
        <w:t>)-</w:t>
      </w:r>
      <w:r w:rsidR="00BF2712">
        <w:t>амино</w:t>
      </w:r>
      <w:r w:rsidR="00BF2712" w:rsidRPr="00BF2712">
        <w:t>]-</w:t>
      </w:r>
      <w:r w:rsidR="00BF2712">
        <w:t>пиперидин</w:t>
      </w:r>
      <w:r w:rsidR="00BF2712" w:rsidRPr="00BF2712">
        <w:t>-1-</w:t>
      </w:r>
      <w:r w:rsidR="00BF2712">
        <w:t>ил</w:t>
      </w:r>
      <w:r w:rsidR="00BF2712" w:rsidRPr="00BF2712">
        <w:t>}-3-</w:t>
      </w:r>
      <w:r w:rsidR="00BF2712">
        <w:t xml:space="preserve">оксопропионитрил; </w:t>
      </w:r>
      <w:r w:rsidR="006C730A">
        <w:t xml:space="preserve">M7a </w:t>
      </w:r>
      <w:r w:rsidR="00325C3D">
        <w:t>и</w:t>
      </w:r>
      <w:r w:rsidR="006C730A">
        <w:t xml:space="preserve"> M7b</w:t>
      </w:r>
      <w:r w:rsidR="00325C3D">
        <w:t xml:space="preserve"> – предположительно </w:t>
      </w:r>
      <w:r w:rsidR="006C730A" w:rsidRPr="006C730A">
        <w:t>2-</w:t>
      </w:r>
      <w:r w:rsidR="00325C3D">
        <w:t>гидрокси</w:t>
      </w:r>
      <w:r w:rsidR="006C730A" w:rsidRPr="006C730A">
        <w:t>-3-{4-</w:t>
      </w:r>
      <w:r w:rsidR="00183F97">
        <w:t>метил</w:t>
      </w:r>
      <w:r w:rsidR="006C730A" w:rsidRPr="006C730A">
        <w:t>-3-[</w:t>
      </w:r>
      <w:r w:rsidR="00183F97">
        <w:t>метил</w:t>
      </w:r>
      <w:r w:rsidR="006C730A" w:rsidRPr="006C730A">
        <w:t>-(7</w:t>
      </w:r>
      <w:r w:rsidR="006C730A" w:rsidRPr="006C730A">
        <w:rPr>
          <w:lang w:val="en-US"/>
        </w:rPr>
        <w:t>H</w:t>
      </w:r>
      <w:r w:rsidR="006C730A" w:rsidRPr="006C730A">
        <w:t>-</w:t>
      </w:r>
      <w:r w:rsidR="00183F97">
        <w:t>пирроло</w:t>
      </w:r>
      <w:r w:rsidR="006C730A" w:rsidRPr="006C730A">
        <w:t>[2,3-</w:t>
      </w:r>
      <w:r w:rsidR="006C730A" w:rsidRPr="006C730A">
        <w:rPr>
          <w:lang w:val="en-US"/>
        </w:rPr>
        <w:t>d</w:t>
      </w:r>
      <w:r w:rsidR="006C730A" w:rsidRPr="00183F97">
        <w:t>]</w:t>
      </w:r>
      <w:r w:rsidR="00183F97">
        <w:t>пиримидин</w:t>
      </w:r>
      <w:r w:rsidR="006C730A" w:rsidRPr="00183F97">
        <w:t>-4-</w:t>
      </w:r>
      <w:r w:rsidR="00183F97">
        <w:t>ил</w:t>
      </w:r>
      <w:r w:rsidR="006C730A" w:rsidRPr="00183F97">
        <w:t>)-</w:t>
      </w:r>
      <w:r w:rsidR="00183F97">
        <w:t>амино</w:t>
      </w:r>
      <w:r w:rsidR="006C730A" w:rsidRPr="00183F97">
        <w:t>]-</w:t>
      </w:r>
      <w:r w:rsidR="00183F97">
        <w:t>пиперидин</w:t>
      </w:r>
      <w:r w:rsidR="006C730A" w:rsidRPr="00183F97">
        <w:t>-</w:t>
      </w:r>
      <w:r w:rsidR="006C730A">
        <w:t>1-</w:t>
      </w:r>
      <w:r w:rsidR="00183F97">
        <w:t>ил</w:t>
      </w:r>
      <w:r w:rsidR="006C730A">
        <w:t>}-3-</w:t>
      </w:r>
      <w:r w:rsidR="00183F97">
        <w:t>оксо</w:t>
      </w:r>
      <w:r w:rsidR="006C730A">
        <w:t>-</w:t>
      </w:r>
      <w:r w:rsidR="00183F97">
        <w:t xml:space="preserve">пропионитрил; </w:t>
      </w:r>
      <w:r w:rsidR="005838FD">
        <w:t>M8 – предположительно 3-</w:t>
      </w:r>
      <w:r w:rsidR="005838FD" w:rsidRPr="005838FD">
        <w:t>{3-[(</w:t>
      </w:r>
      <w:r w:rsidR="005838FD">
        <w:t>гидрокси</w:t>
      </w:r>
      <w:r w:rsidR="005838FD" w:rsidRPr="005838FD">
        <w:t>-7</w:t>
      </w:r>
      <w:r w:rsidR="005838FD" w:rsidRPr="005838FD">
        <w:rPr>
          <w:lang w:val="en-US"/>
        </w:rPr>
        <w:t>H</w:t>
      </w:r>
      <w:r w:rsidR="005838FD" w:rsidRPr="005838FD">
        <w:t>-</w:t>
      </w:r>
      <w:r w:rsidR="005838FD">
        <w:t>пирроло</w:t>
      </w:r>
      <w:r w:rsidR="005838FD" w:rsidRPr="005838FD">
        <w:t>[2,3-</w:t>
      </w:r>
      <w:r w:rsidR="005838FD" w:rsidRPr="005838FD">
        <w:rPr>
          <w:lang w:val="en-US"/>
        </w:rPr>
        <w:t>d</w:t>
      </w:r>
      <w:r w:rsidR="005838FD" w:rsidRPr="005838FD">
        <w:t>]</w:t>
      </w:r>
      <w:r w:rsidR="005838FD">
        <w:t>пиримидин</w:t>
      </w:r>
      <w:r w:rsidR="005838FD" w:rsidRPr="005838FD">
        <w:t>-4-</w:t>
      </w:r>
      <w:r w:rsidR="005838FD">
        <w:t>ил</w:t>
      </w:r>
      <w:r w:rsidR="005838FD" w:rsidRPr="005838FD">
        <w:t>)-</w:t>
      </w:r>
      <w:r w:rsidR="005838FD">
        <w:t>метил</w:t>
      </w:r>
      <w:r w:rsidR="005838FD" w:rsidRPr="005838FD">
        <w:t>-</w:t>
      </w:r>
      <w:r w:rsidR="005838FD">
        <w:t>амино</w:t>
      </w:r>
      <w:r w:rsidR="005838FD" w:rsidRPr="005838FD">
        <w:t>]-4-</w:t>
      </w:r>
      <w:r w:rsidR="005838FD">
        <w:t xml:space="preserve">метилпиперидин-1-ил}-3-оксопропионитрил; </w:t>
      </w:r>
      <w:r w:rsidR="00142174">
        <w:t>M9 – 3-{(3R,4R)-4-метил</w:t>
      </w:r>
      <w:r w:rsidR="00142174" w:rsidRPr="00142174">
        <w:t>-3-[</w:t>
      </w:r>
      <w:r w:rsidR="00142174">
        <w:t>метил</w:t>
      </w:r>
      <w:r w:rsidR="00142174" w:rsidRPr="00142174">
        <w:t>(6-</w:t>
      </w:r>
      <w:r w:rsidR="00142174">
        <w:t>оксо</w:t>
      </w:r>
      <w:r w:rsidR="00142174" w:rsidRPr="00142174">
        <w:t>-6,7-</w:t>
      </w:r>
      <w:r w:rsidR="00142174">
        <w:t>дигидро</w:t>
      </w:r>
      <w:r w:rsidR="00142174" w:rsidRPr="00142174">
        <w:t>-5</w:t>
      </w:r>
      <w:r w:rsidR="00142174" w:rsidRPr="00142174">
        <w:rPr>
          <w:lang w:val="en-US"/>
        </w:rPr>
        <w:t>H</w:t>
      </w:r>
      <w:r w:rsidR="00142174" w:rsidRPr="00142174">
        <w:t>-</w:t>
      </w:r>
      <w:r w:rsidR="00142174">
        <w:t>пирроло</w:t>
      </w:r>
      <w:r w:rsidR="00142174" w:rsidRPr="00142174">
        <w:t>[2,3-</w:t>
      </w:r>
      <w:r w:rsidR="00142174" w:rsidRPr="00142174">
        <w:rPr>
          <w:lang w:val="en-US"/>
        </w:rPr>
        <w:t>d</w:t>
      </w:r>
      <w:r w:rsidR="00142174" w:rsidRPr="00142174">
        <w:t>]</w:t>
      </w:r>
      <w:r w:rsidR="00142174">
        <w:t>пиримидин</w:t>
      </w:r>
      <w:r w:rsidR="00142174" w:rsidRPr="00142174">
        <w:t>-4-</w:t>
      </w:r>
      <w:r w:rsidR="00142174">
        <w:t>ил</w:t>
      </w:r>
      <w:r w:rsidR="00142174" w:rsidRPr="00142174">
        <w:t>)</w:t>
      </w:r>
      <w:r w:rsidR="00142174">
        <w:t>амино</w:t>
      </w:r>
      <w:r w:rsidR="00142174" w:rsidRPr="00142174">
        <w:t>]</w:t>
      </w:r>
      <w:r w:rsidR="00142174">
        <w:t>пиперидин</w:t>
      </w:r>
      <w:r w:rsidR="00142174" w:rsidRPr="00142174">
        <w:t>-1-</w:t>
      </w:r>
      <w:r w:rsidR="00142174">
        <w:t>ил</w:t>
      </w:r>
      <w:r w:rsidR="00142174" w:rsidRPr="00142174">
        <w:t>}-3-</w:t>
      </w:r>
      <w:r w:rsidR="00ED3B59">
        <w:t>оксопропаннитрил; M11 – предположительно 3-{гидрокси-5-[(гидрокси-7Hпирроло[2,3-d]пиримидин-4-ил)-метил</w:t>
      </w:r>
      <w:r w:rsidR="00ED3B59" w:rsidRPr="00ED3B59">
        <w:t>-</w:t>
      </w:r>
      <w:r w:rsidR="00ED3B59">
        <w:t>амино</w:t>
      </w:r>
      <w:r w:rsidR="00ED3B59" w:rsidRPr="00ED3B59">
        <w:t>]-4-</w:t>
      </w:r>
      <w:r w:rsidR="00ED3B59">
        <w:t>метил</w:t>
      </w:r>
      <w:r w:rsidR="00ED3B59" w:rsidRPr="00ED3B59">
        <w:t>-</w:t>
      </w:r>
      <w:r w:rsidR="00ED3B59">
        <w:t>пиперидин</w:t>
      </w:r>
      <w:r w:rsidR="00ED3B59" w:rsidRPr="00ED3B59">
        <w:t>-1-</w:t>
      </w:r>
      <w:r w:rsidR="00ED3B59">
        <w:t>ил</w:t>
      </w:r>
      <w:r w:rsidR="00ED3B59" w:rsidRPr="00ED3B59">
        <w:t>}-3-</w:t>
      </w:r>
      <w:r w:rsidR="00ED3B59">
        <w:t xml:space="preserve">оксопропионитрил; </w:t>
      </w:r>
      <w:r w:rsidR="002A1867">
        <w:t>M13 – 3-[гидрокси-</w:t>
      </w:r>
      <w:r w:rsidR="002A1867" w:rsidRPr="002A1867">
        <w:t>4-</w:t>
      </w:r>
      <w:r w:rsidR="002A1867">
        <w:t>метил</w:t>
      </w:r>
      <w:r w:rsidR="002A1867" w:rsidRPr="002A1867">
        <w:t>-5-(7</w:t>
      </w:r>
      <w:r w:rsidR="002A1867" w:rsidRPr="002A1867">
        <w:rPr>
          <w:lang w:val="en-US"/>
        </w:rPr>
        <w:t>H</w:t>
      </w:r>
      <w:r w:rsidR="002A1867" w:rsidRPr="002A1867">
        <w:t>-</w:t>
      </w:r>
      <w:r w:rsidR="002A1867">
        <w:t>пирроло</w:t>
      </w:r>
      <w:r w:rsidR="002A1867" w:rsidRPr="002A1867">
        <w:t>[2,3-</w:t>
      </w:r>
      <w:r w:rsidR="002A1867" w:rsidRPr="002A1867">
        <w:rPr>
          <w:lang w:val="en-US"/>
        </w:rPr>
        <w:t>d</w:t>
      </w:r>
      <w:r w:rsidR="002A1867" w:rsidRPr="002A1867">
        <w:t>]</w:t>
      </w:r>
      <w:r w:rsidR="002A1867">
        <w:t>пиримидин</w:t>
      </w:r>
      <w:r w:rsidR="002A1867" w:rsidRPr="002A1867">
        <w:t>-4-</w:t>
      </w:r>
      <w:r w:rsidR="001505D7">
        <w:t>иламино</w:t>
      </w:r>
      <w:r w:rsidR="002A1867" w:rsidRPr="002A1867">
        <w:t>)-</w:t>
      </w:r>
      <w:r w:rsidR="001505D7">
        <w:t>пиперидин</w:t>
      </w:r>
      <w:r w:rsidR="002A1867" w:rsidRPr="002A1867">
        <w:t>-1-</w:t>
      </w:r>
      <w:r w:rsidR="001505D7">
        <w:t>ил</w:t>
      </w:r>
      <w:r w:rsidR="002A1867">
        <w:t>]-3-</w:t>
      </w:r>
      <w:r w:rsidR="001505D7">
        <w:t>оксо</w:t>
      </w:r>
      <w:r w:rsidR="002A1867">
        <w:t>-</w:t>
      </w:r>
      <w:r w:rsidR="001505D7">
        <w:t xml:space="preserve">пропионитрил; </w:t>
      </w:r>
      <w:r w:rsidR="002F65A8">
        <w:t>M14 – предположительно 3-</w:t>
      </w:r>
      <w:r w:rsidR="002F65A8" w:rsidRPr="002F65A8">
        <w:t>{</w:t>
      </w:r>
      <w:r w:rsidR="002F65A8">
        <w:t>дигидрокси</w:t>
      </w:r>
      <w:r w:rsidR="002F65A8" w:rsidRPr="002F65A8">
        <w:t>-4-</w:t>
      </w:r>
      <w:r w:rsidR="002F65A8">
        <w:t>метил</w:t>
      </w:r>
      <w:r w:rsidR="002F65A8" w:rsidRPr="002F65A8">
        <w:t>-5-[</w:t>
      </w:r>
      <w:r w:rsidR="002F65A8">
        <w:t>метил</w:t>
      </w:r>
      <w:r w:rsidR="002F65A8" w:rsidRPr="002F65A8">
        <w:t>-(7</w:t>
      </w:r>
      <w:r w:rsidR="002F65A8" w:rsidRPr="002F65A8">
        <w:rPr>
          <w:lang w:val="en-US"/>
        </w:rPr>
        <w:t>H</w:t>
      </w:r>
      <w:r w:rsidR="002F65A8">
        <w:t>пирроло</w:t>
      </w:r>
      <w:r w:rsidR="002F65A8" w:rsidRPr="002F65A8">
        <w:t>[2,3-</w:t>
      </w:r>
      <w:r w:rsidR="002F65A8" w:rsidRPr="002F65A8">
        <w:rPr>
          <w:lang w:val="en-US"/>
        </w:rPr>
        <w:t>d</w:t>
      </w:r>
      <w:r w:rsidR="002F65A8" w:rsidRPr="002F65A8">
        <w:t>]</w:t>
      </w:r>
      <w:r w:rsidR="002F65A8">
        <w:t>пиримидин</w:t>
      </w:r>
      <w:r w:rsidR="002F65A8" w:rsidRPr="002F65A8">
        <w:t>-4-</w:t>
      </w:r>
      <w:r w:rsidR="002F65A8">
        <w:t>ил</w:t>
      </w:r>
      <w:r w:rsidR="002F65A8" w:rsidRPr="002F65A8">
        <w:t>)-</w:t>
      </w:r>
      <w:r w:rsidR="002F65A8">
        <w:t xml:space="preserve">амино]пиперидин-1-ил}-3-оксопропионитрил; </w:t>
      </w:r>
      <w:r w:rsidR="0092130D">
        <w:t xml:space="preserve">M14a – предположительно </w:t>
      </w:r>
      <w:r w:rsidR="0092130D" w:rsidRPr="0092130D">
        <w:t>3-{</w:t>
      </w:r>
      <w:r w:rsidR="0092130D">
        <w:t>дигидрокси</w:t>
      </w:r>
      <w:r w:rsidR="0092130D" w:rsidRPr="0092130D">
        <w:t>-4-</w:t>
      </w:r>
      <w:r w:rsidR="0092130D">
        <w:t>метил</w:t>
      </w:r>
      <w:r w:rsidR="0092130D" w:rsidRPr="0092130D">
        <w:t>-5-[</w:t>
      </w:r>
      <w:r w:rsidR="0092130D">
        <w:t>метил</w:t>
      </w:r>
      <w:r w:rsidR="0092130D" w:rsidRPr="0092130D">
        <w:t>-(7</w:t>
      </w:r>
      <w:r w:rsidR="0092130D" w:rsidRPr="0092130D">
        <w:rPr>
          <w:lang w:val="en-US"/>
        </w:rPr>
        <w:t>H</w:t>
      </w:r>
      <w:r w:rsidR="0092130D" w:rsidRPr="0092130D">
        <w:t>-</w:t>
      </w:r>
      <w:r w:rsidR="0092130D">
        <w:t>пирроло</w:t>
      </w:r>
      <w:r w:rsidR="0092130D" w:rsidRPr="0092130D">
        <w:t>[2,3-</w:t>
      </w:r>
      <w:r w:rsidR="0092130D" w:rsidRPr="0092130D">
        <w:rPr>
          <w:lang w:val="en-US"/>
        </w:rPr>
        <w:t>d</w:t>
      </w:r>
      <w:r w:rsidR="0092130D" w:rsidRPr="0092130D">
        <w:t>]</w:t>
      </w:r>
      <w:r w:rsidR="0092130D">
        <w:t>пиримидин</w:t>
      </w:r>
      <w:r w:rsidR="0092130D" w:rsidRPr="0092130D">
        <w:t>-4-</w:t>
      </w:r>
      <w:r w:rsidR="0092130D">
        <w:t xml:space="preserve">ил)-амино]пиперидин-1-ил}-3-оксопропионитрил; </w:t>
      </w:r>
      <w:r w:rsidR="003D40EE">
        <w:t xml:space="preserve">M18 (региоизомер </w:t>
      </w:r>
      <w:r w:rsidR="007614BC">
        <w:rPr>
          <w:lang w:val="en-US"/>
        </w:rPr>
        <w:t>M</w:t>
      </w:r>
      <w:r w:rsidR="007614BC" w:rsidRPr="007614BC">
        <w:t>6)</w:t>
      </w:r>
      <w:r w:rsidR="007614BC">
        <w:t xml:space="preserve"> – предположительно </w:t>
      </w:r>
      <w:r w:rsidR="003D40EE">
        <w:t>3-</w:t>
      </w:r>
      <w:r w:rsidR="003D40EE" w:rsidRPr="007614BC">
        <w:t>{</w:t>
      </w:r>
      <w:r w:rsidR="007614BC">
        <w:t>гидрокси</w:t>
      </w:r>
      <w:r w:rsidR="003D40EE" w:rsidRPr="007614BC">
        <w:t>-4-</w:t>
      </w:r>
      <w:r w:rsidR="007614BC">
        <w:t>метил</w:t>
      </w:r>
      <w:r w:rsidR="003D40EE" w:rsidRPr="007614BC">
        <w:t>-5-[</w:t>
      </w:r>
      <w:r w:rsidR="007614BC">
        <w:t>метил</w:t>
      </w:r>
      <w:r w:rsidR="003D40EE" w:rsidRPr="007614BC">
        <w:t>-(7</w:t>
      </w:r>
      <w:r w:rsidR="003D40EE" w:rsidRPr="003D40EE">
        <w:rPr>
          <w:lang w:val="en-US"/>
        </w:rPr>
        <w:t>H</w:t>
      </w:r>
      <w:r w:rsidR="007614BC">
        <w:t>пирроло</w:t>
      </w:r>
      <w:r w:rsidR="003D40EE" w:rsidRPr="007614BC">
        <w:t>[2,3-</w:t>
      </w:r>
      <w:r w:rsidR="003D40EE" w:rsidRPr="003D40EE">
        <w:rPr>
          <w:lang w:val="en-US"/>
        </w:rPr>
        <w:t>d</w:t>
      </w:r>
      <w:r w:rsidR="003D40EE" w:rsidRPr="007614BC">
        <w:t>]</w:t>
      </w:r>
      <w:r w:rsidR="007614BC">
        <w:t>пиримидин</w:t>
      </w:r>
      <w:r w:rsidR="003D40EE" w:rsidRPr="007614BC">
        <w:t>-4-</w:t>
      </w:r>
      <w:r w:rsidR="007614BC">
        <w:t>ил</w:t>
      </w:r>
      <w:r w:rsidR="003D40EE" w:rsidRPr="007614BC">
        <w:t>)-</w:t>
      </w:r>
      <w:r w:rsidR="007614BC">
        <w:t>амино</w:t>
      </w:r>
      <w:r w:rsidR="003D40EE" w:rsidRPr="007614BC">
        <w:t>]</w:t>
      </w:r>
      <w:r w:rsidR="007614BC">
        <w:t>пиперидин</w:t>
      </w:r>
      <w:r w:rsidR="003D40EE" w:rsidRPr="007614BC">
        <w:t>-1-</w:t>
      </w:r>
      <w:r w:rsidR="007614BC">
        <w:t>ил</w:t>
      </w:r>
      <w:r w:rsidR="003D40EE">
        <w:t>}-3-</w:t>
      </w:r>
      <w:r w:rsidR="007614BC">
        <w:t>оксо</w:t>
      </w:r>
      <w:r w:rsidR="003D40EE">
        <w:t>-</w:t>
      </w:r>
      <w:r w:rsidR="007614BC">
        <w:t xml:space="preserve">пропионитрил; </w:t>
      </w:r>
      <w:r w:rsidR="00D81732">
        <w:rPr>
          <w:lang w:val="en-US"/>
        </w:rPr>
        <w:t>M</w:t>
      </w:r>
      <w:r w:rsidR="00D81732" w:rsidRPr="00D81732">
        <w:t xml:space="preserve">19 </w:t>
      </w:r>
      <w:r w:rsidR="00D81732">
        <w:t>–</w:t>
      </w:r>
      <w:r w:rsidR="00D81732" w:rsidRPr="00D81732">
        <w:t xml:space="preserve"> </w:t>
      </w:r>
      <w:r w:rsidR="00A70C2C" w:rsidRPr="00A70C2C">
        <w:t xml:space="preserve">химическое </w:t>
      </w:r>
      <w:r w:rsidR="00A70C2C" w:rsidRPr="00A70C2C">
        <w:lastRenderedPageBreak/>
        <w:t>название не представлено</w:t>
      </w:r>
      <w:r w:rsidR="00D81732">
        <w:t xml:space="preserve">, </w:t>
      </w:r>
      <w:r w:rsidR="00D81732">
        <w:rPr>
          <w:lang w:val="en-US"/>
        </w:rPr>
        <w:t>M</w:t>
      </w:r>
      <w:r w:rsidR="00D81732" w:rsidRPr="00D81732">
        <w:t xml:space="preserve">19 </w:t>
      </w:r>
      <w:r w:rsidR="00D81732">
        <w:t xml:space="preserve">и </w:t>
      </w:r>
      <w:r w:rsidR="00D81732">
        <w:rPr>
          <w:lang w:val="en-US"/>
        </w:rPr>
        <w:t>M</w:t>
      </w:r>
      <w:r w:rsidR="00D81732" w:rsidRPr="00D81732">
        <w:t xml:space="preserve">27 </w:t>
      </w:r>
      <w:r w:rsidR="00D81732">
        <w:t xml:space="preserve">являются региоизомерами; </w:t>
      </w:r>
      <w:r w:rsidR="001F7C6B">
        <w:t>M20 – предположительно глюкуронид</w:t>
      </w:r>
      <w:r w:rsidR="00A1229B">
        <w:t xml:space="preserve"> </w:t>
      </w:r>
      <w:r w:rsidR="00627DD3" w:rsidRPr="00627DD3">
        <w:t>тофацитиниба</w:t>
      </w:r>
      <w:r w:rsidR="001F7C6B">
        <w:t xml:space="preserve">; </w:t>
      </w:r>
      <w:r w:rsidR="00B902BA">
        <w:t>M21 – предположительно метил</w:t>
      </w:r>
      <w:r w:rsidR="00B902BA" w:rsidRPr="00B902BA">
        <w:t>-(4-</w:t>
      </w:r>
      <w:r w:rsidR="00B902BA">
        <w:t>метил</w:t>
      </w:r>
      <w:r w:rsidR="00B902BA" w:rsidRPr="00B902BA">
        <w:t>-</w:t>
      </w:r>
      <w:r w:rsidR="00B902BA">
        <w:t>пиперидин</w:t>
      </w:r>
      <w:r w:rsidR="00B902BA" w:rsidRPr="00B902BA">
        <w:t>-3-</w:t>
      </w:r>
      <w:r w:rsidR="00B902BA">
        <w:t>ил</w:t>
      </w:r>
      <w:r w:rsidR="00B902BA" w:rsidRPr="00B902BA">
        <w:t>)-(7</w:t>
      </w:r>
      <w:r w:rsidR="00B902BA" w:rsidRPr="00B902BA">
        <w:rPr>
          <w:lang w:val="en-US"/>
        </w:rPr>
        <w:t>H</w:t>
      </w:r>
      <w:r w:rsidR="00B902BA">
        <w:t>пирроло</w:t>
      </w:r>
      <w:r w:rsidR="00B902BA" w:rsidRPr="00B902BA">
        <w:t>[ 2,3-</w:t>
      </w:r>
      <w:r w:rsidR="00B902BA" w:rsidRPr="00B902BA">
        <w:rPr>
          <w:lang w:val="en-US"/>
        </w:rPr>
        <w:t>d</w:t>
      </w:r>
      <w:r w:rsidR="00B902BA" w:rsidRPr="00B902BA">
        <w:t>]</w:t>
      </w:r>
      <w:r w:rsidR="00B902BA">
        <w:t>пиримидин</w:t>
      </w:r>
      <w:r w:rsidR="00B902BA" w:rsidRPr="00B902BA">
        <w:t>-4-</w:t>
      </w:r>
      <w:r w:rsidR="00B902BA">
        <w:t>ил</w:t>
      </w:r>
      <w:r w:rsidR="00B902BA" w:rsidRPr="00B902BA">
        <w:t>)</w:t>
      </w:r>
      <w:r w:rsidR="00B902BA">
        <w:t xml:space="preserve">-амин; </w:t>
      </w:r>
      <w:r w:rsidR="00A70C2C">
        <w:rPr>
          <w:lang w:val="en-US"/>
        </w:rPr>
        <w:t>M</w:t>
      </w:r>
      <w:r w:rsidR="00A70C2C" w:rsidRPr="00A70C2C">
        <w:t xml:space="preserve">22 </w:t>
      </w:r>
      <w:r w:rsidR="00A70C2C">
        <w:t>–</w:t>
      </w:r>
      <w:r w:rsidR="00A70C2C" w:rsidRPr="00A70C2C">
        <w:t xml:space="preserve"> </w:t>
      </w:r>
      <w:r w:rsidR="00A70C2C">
        <w:t xml:space="preserve">химическое название не представлено; </w:t>
      </w:r>
      <w:r w:rsidR="00521CD1">
        <w:t xml:space="preserve">M23 – предположительно глюкуронид M6; </w:t>
      </w:r>
      <w:r w:rsidR="00487066">
        <w:rPr>
          <w:lang w:val="en-US"/>
        </w:rPr>
        <w:t>M</w:t>
      </w:r>
      <w:r w:rsidR="00487066">
        <w:t>24</w:t>
      </w:r>
      <w:r w:rsidR="00745C9C">
        <w:t xml:space="preserve">, </w:t>
      </w:r>
      <w:r w:rsidR="00745C9C">
        <w:rPr>
          <w:lang w:val="en-US"/>
        </w:rPr>
        <w:t>M</w:t>
      </w:r>
      <w:r w:rsidR="00745C9C" w:rsidRPr="00745C9C">
        <w:t xml:space="preserve">25, </w:t>
      </w:r>
      <w:r w:rsidR="00745C9C">
        <w:rPr>
          <w:lang w:val="en-US"/>
        </w:rPr>
        <w:t>M</w:t>
      </w:r>
      <w:r w:rsidR="00745C9C" w:rsidRPr="00745C9C">
        <w:t xml:space="preserve">26, </w:t>
      </w:r>
      <w:r w:rsidR="00745C9C">
        <w:rPr>
          <w:lang w:val="en-US"/>
        </w:rPr>
        <w:t>M</w:t>
      </w:r>
      <w:r w:rsidR="00745C9C" w:rsidRPr="00745C9C">
        <w:t>27</w:t>
      </w:r>
      <w:r w:rsidR="00487066" w:rsidRPr="00D81732">
        <w:t xml:space="preserve"> </w:t>
      </w:r>
      <w:r w:rsidR="00487066">
        <w:t>–</w:t>
      </w:r>
      <w:r w:rsidR="00487066" w:rsidRPr="00D81732">
        <w:t xml:space="preserve"> </w:t>
      </w:r>
      <w:r w:rsidR="00487066" w:rsidRPr="00A70C2C">
        <w:t>химическ</w:t>
      </w:r>
      <w:r w:rsidR="00745C9C">
        <w:t>и</w:t>
      </w:r>
      <w:r w:rsidR="00487066" w:rsidRPr="00A70C2C">
        <w:t>е названи</w:t>
      </w:r>
      <w:r w:rsidR="00745C9C">
        <w:t>я</w:t>
      </w:r>
      <w:r w:rsidR="00487066" w:rsidRPr="00A70C2C">
        <w:t xml:space="preserve"> не представлен</w:t>
      </w:r>
      <w:r w:rsidR="00745C9C">
        <w:t>ы</w:t>
      </w:r>
      <w:r w:rsidR="00487066">
        <w:t xml:space="preserve">; </w:t>
      </w:r>
      <w:r w:rsidR="00345E42">
        <w:t>M28 и M29 – предположительно глюкурониды M2;</w:t>
      </w:r>
      <w:r w:rsidR="00E936EB" w:rsidRPr="00E936EB">
        <w:t xml:space="preserve"> </w:t>
      </w:r>
      <w:r w:rsidR="00E936EB" w:rsidRPr="00D840E0">
        <w:rPr>
          <w:lang w:val="en-US"/>
        </w:rPr>
        <w:t>M</w:t>
      </w:r>
      <w:r w:rsidR="00E936EB">
        <w:t xml:space="preserve">31 – предположительно </w:t>
      </w:r>
      <w:r w:rsidR="00E936EB" w:rsidRPr="00D840E0">
        <w:t>2-</w:t>
      </w:r>
      <w:r w:rsidR="00E936EB">
        <w:t>гидрокси</w:t>
      </w:r>
      <w:r w:rsidR="00E936EB" w:rsidRPr="00D840E0">
        <w:t>-1-{4-</w:t>
      </w:r>
      <w:r w:rsidR="00E936EB">
        <w:t>метил</w:t>
      </w:r>
      <w:r w:rsidR="00E936EB" w:rsidRPr="00D840E0">
        <w:t>-3-[</w:t>
      </w:r>
      <w:r w:rsidR="00E936EB">
        <w:t>метил</w:t>
      </w:r>
      <w:r w:rsidR="00E936EB" w:rsidRPr="00D840E0">
        <w:t>-</w:t>
      </w:r>
      <w:r w:rsidR="00A05D6E">
        <w:t>гидрокси-</w:t>
      </w:r>
      <w:r w:rsidR="00E936EB" w:rsidRPr="00D840E0">
        <w:t>(7</w:t>
      </w:r>
      <w:r w:rsidR="00E936EB" w:rsidRPr="00D840E0">
        <w:rPr>
          <w:lang w:val="en-US"/>
        </w:rPr>
        <w:t>H</w:t>
      </w:r>
      <w:r w:rsidR="00E936EB">
        <w:t>пирроло</w:t>
      </w:r>
      <w:r w:rsidR="00E936EB" w:rsidRPr="00D840E0">
        <w:t>[2,3-</w:t>
      </w:r>
      <w:r w:rsidR="00E936EB" w:rsidRPr="00D840E0">
        <w:rPr>
          <w:lang w:val="en-US"/>
        </w:rPr>
        <w:t>d</w:t>
      </w:r>
      <w:r w:rsidR="00E936EB" w:rsidRPr="00D840E0">
        <w:t>]</w:t>
      </w:r>
      <w:r w:rsidR="00E936EB">
        <w:t>пиримидин</w:t>
      </w:r>
      <w:r w:rsidR="00E936EB" w:rsidRPr="00D840E0">
        <w:t>-4-</w:t>
      </w:r>
      <w:r w:rsidR="00E936EB">
        <w:t>ил</w:t>
      </w:r>
      <w:r w:rsidR="00E936EB" w:rsidRPr="00D840E0">
        <w:t>)-</w:t>
      </w:r>
      <w:r w:rsidR="00E936EB">
        <w:t>амино</w:t>
      </w:r>
      <w:r w:rsidR="00E936EB" w:rsidRPr="00D840E0">
        <w:t>]-</w:t>
      </w:r>
      <w:r w:rsidR="00E936EB">
        <w:t>пиперидин</w:t>
      </w:r>
      <w:r w:rsidR="00E936EB" w:rsidRPr="00D840E0">
        <w:t>-1-</w:t>
      </w:r>
      <w:r w:rsidR="00E936EB">
        <w:t>ил</w:t>
      </w:r>
      <w:r w:rsidR="00E936EB" w:rsidRPr="00D840E0">
        <w:t>}-</w:t>
      </w:r>
      <w:r w:rsidR="00E936EB">
        <w:t>этанон</w:t>
      </w:r>
      <w:r w:rsidR="00D77075">
        <w:t>.</w:t>
      </w:r>
      <w:r w:rsidR="00345E42">
        <w:t xml:space="preserve"> </w:t>
      </w:r>
    </w:p>
    <w:p w14:paraId="3C7C97C1" w14:textId="77777777" w:rsidR="00CA7023" w:rsidRDefault="00CA7023" w:rsidP="00D36ADC">
      <w:pPr>
        <w:pStyle w:val="SDText"/>
        <w:contextualSpacing/>
      </w:pPr>
    </w:p>
    <w:p w14:paraId="3EA9294B" w14:textId="212714A5" w:rsidR="004767D3" w:rsidRPr="00DE10D6" w:rsidRDefault="004767D3" w:rsidP="00D36ADC">
      <w:pPr>
        <w:pStyle w:val="SDText"/>
        <w:contextualSpacing/>
      </w:pPr>
      <w:r>
        <w:t xml:space="preserve">В исследовании </w:t>
      </w:r>
      <w:r w:rsidRPr="004767D3">
        <w:t>DM2004-690550-046</w:t>
      </w:r>
      <w:r>
        <w:t xml:space="preserve"> </w:t>
      </w:r>
      <w:r w:rsidR="009C564D">
        <w:t xml:space="preserve">с использованием микросом печени человека и рекомбинантных изоферментов </w:t>
      </w:r>
      <w:r w:rsidR="009C564D">
        <w:rPr>
          <w:lang w:val="en-US"/>
        </w:rPr>
        <w:t>CYP</w:t>
      </w:r>
      <w:r w:rsidR="009C564D" w:rsidRPr="009C564D">
        <w:t xml:space="preserve"> </w:t>
      </w:r>
      <w:r w:rsidR="00F56565">
        <w:t xml:space="preserve">установили, что </w:t>
      </w:r>
      <w:r w:rsidR="00627DD3" w:rsidRPr="00627DD3">
        <w:t>тофацитиниб</w:t>
      </w:r>
      <w:r w:rsidR="00627DD3">
        <w:t xml:space="preserve"> </w:t>
      </w:r>
      <w:r w:rsidR="00D06042">
        <w:t xml:space="preserve">метаболизировался главным образом с участием </w:t>
      </w:r>
      <w:r w:rsidR="00D06042" w:rsidRPr="00D06042">
        <w:t xml:space="preserve">CYP3A4/3A5 </w:t>
      </w:r>
      <w:r w:rsidR="00D06042">
        <w:t>и</w:t>
      </w:r>
      <w:r w:rsidR="00D06042" w:rsidRPr="00D06042">
        <w:t xml:space="preserve"> CYP2C19</w:t>
      </w:r>
      <w:r w:rsidR="00E3059E">
        <w:t xml:space="preserve">. Основные пути </w:t>
      </w:r>
      <w:r w:rsidR="00F070DF">
        <w:t xml:space="preserve">окислительного </w:t>
      </w:r>
      <w:r w:rsidR="00E3059E">
        <w:t xml:space="preserve">метаболизма </w:t>
      </w:r>
      <w:r w:rsidR="00F070DF">
        <w:t xml:space="preserve">включают </w:t>
      </w:r>
      <w:r w:rsidR="003849E2">
        <w:t xml:space="preserve">окисление пирролопиримидинового кольца, окисление пиперидинового кольца, </w:t>
      </w:r>
      <w:r w:rsidR="00DE10D6">
        <w:rPr>
          <w:lang w:val="en-US"/>
        </w:rPr>
        <w:t>N</w:t>
      </w:r>
      <w:r w:rsidR="00DE10D6" w:rsidRPr="00DE10D6">
        <w:t>-</w:t>
      </w:r>
      <w:r w:rsidR="00DE10D6">
        <w:t xml:space="preserve">демитилирование и окисление боковых цепей пиперидинового кольца </w:t>
      </w:r>
      <w:r w:rsidR="00DE10D6">
        <w:rPr>
          <w:lang w:val="en-US"/>
        </w:rPr>
        <w:fldChar w:fldCharType="begin"/>
      </w:r>
      <w:r w:rsidR="00044A89">
        <w:instrText xml:space="preserve"> ADDIN ZOTERO_ITEM CSL_CITATION {"citationID":"4WXzdbsL","properties":{"formattedCitation":"[12]","plainCitation":"[12]","noteIndex":0},"citationItems":[{"id":87803,"uris":["http://zotero.org/groups/4742804/items/DMZ5DFPG"],"itemData":{"id":87803,"type":"webpage","title":"Xeljanz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E10D6">
        <w:rPr>
          <w:lang w:val="en-US"/>
        </w:rPr>
        <w:fldChar w:fldCharType="separate"/>
      </w:r>
      <w:r w:rsidR="00D46D1F">
        <w:rPr>
          <w:rFonts w:cs="Times New Roman"/>
        </w:rPr>
        <w:t>[1</w:t>
      </w:r>
      <w:r w:rsidR="00044A89" w:rsidRPr="00044A89">
        <w:rPr>
          <w:rFonts w:cs="Times New Roman"/>
        </w:rPr>
        <w:t>]</w:t>
      </w:r>
      <w:r w:rsidR="00DE10D6">
        <w:rPr>
          <w:lang w:val="en-US"/>
        </w:rPr>
        <w:fldChar w:fldCharType="end"/>
      </w:r>
      <w:r w:rsidR="00DE10D6">
        <w:t>.</w:t>
      </w:r>
    </w:p>
    <w:p w14:paraId="34B90302" w14:textId="57723835" w:rsidR="002C3B63" w:rsidRPr="00927101" w:rsidRDefault="002C3B63" w:rsidP="00D36ADC">
      <w:pPr>
        <w:pStyle w:val="SDText"/>
        <w:contextualSpacing/>
      </w:pPr>
      <w:r>
        <w:t xml:space="preserve">В исследовании </w:t>
      </w:r>
      <w:r w:rsidRPr="002C3B63">
        <w:t>DM2007-690550-067</w:t>
      </w:r>
      <w:r>
        <w:t xml:space="preserve"> </w:t>
      </w:r>
      <w:r w:rsidR="004935C5">
        <w:t xml:space="preserve">инкубация </w:t>
      </w:r>
      <w:r w:rsidR="00627DD3" w:rsidRPr="00627DD3">
        <w:t xml:space="preserve">тофацитиниба </w:t>
      </w:r>
      <w:r w:rsidR="00927101">
        <w:t xml:space="preserve">с </w:t>
      </w:r>
      <w:r w:rsidR="00953A0E">
        <w:t>микросомами печени человека привела к образованию 5 основных метаболитов</w:t>
      </w:r>
      <w:r w:rsidR="00821E7A">
        <w:t xml:space="preserve">. В ходе инкубации происходило деметилирование с образованием </w:t>
      </w:r>
      <w:r w:rsidR="00821E7A">
        <w:rPr>
          <w:lang w:val="en-US"/>
        </w:rPr>
        <w:t>M</w:t>
      </w:r>
      <w:r w:rsidR="00821E7A" w:rsidRPr="00821E7A">
        <w:t>1</w:t>
      </w:r>
      <w:r w:rsidR="00821E7A">
        <w:t xml:space="preserve">, </w:t>
      </w:r>
      <w:r w:rsidR="0032063E">
        <w:t xml:space="preserve">образование цианогидрина с последующей потерей цианидной группы и образованием </w:t>
      </w:r>
      <w:r w:rsidR="0032063E">
        <w:rPr>
          <w:lang w:val="en-US"/>
        </w:rPr>
        <w:t>M</w:t>
      </w:r>
      <w:r w:rsidR="0032063E" w:rsidRPr="0032063E">
        <w:t>2</w:t>
      </w:r>
      <w:r w:rsidR="00BD2F10">
        <w:t xml:space="preserve">, гидроксилирование </w:t>
      </w:r>
      <w:r w:rsidR="00BD2F10">
        <w:rPr>
          <w:lang w:val="en-US"/>
        </w:rPr>
        <w:t>M</w:t>
      </w:r>
      <w:r w:rsidR="00BD2F10" w:rsidRPr="00BD2F10">
        <w:t>2</w:t>
      </w:r>
      <w:r w:rsidR="00BD2F10">
        <w:t xml:space="preserve"> до</w:t>
      </w:r>
      <w:r w:rsidR="00BD2F10" w:rsidRPr="00BD2F10">
        <w:t xml:space="preserve"> </w:t>
      </w:r>
      <w:r w:rsidR="00BD2F10">
        <w:rPr>
          <w:lang w:val="en-US"/>
        </w:rPr>
        <w:t>M</w:t>
      </w:r>
      <w:r w:rsidR="00BD2F10" w:rsidRPr="00BD2F10">
        <w:t>5</w:t>
      </w:r>
      <w:r w:rsidR="003222A2">
        <w:t xml:space="preserve">, окисление пирролопиримидиновой группы с образованием </w:t>
      </w:r>
      <w:r w:rsidR="003222A2">
        <w:rPr>
          <w:lang w:val="en-US"/>
        </w:rPr>
        <w:t>M</w:t>
      </w:r>
      <w:r w:rsidR="003222A2" w:rsidRPr="003222A2">
        <w:t>8</w:t>
      </w:r>
      <w:r w:rsidR="003222A2">
        <w:t xml:space="preserve"> и окисление пирроловой группы с образованием </w:t>
      </w:r>
      <w:r w:rsidR="003222A2">
        <w:rPr>
          <w:lang w:val="en-US"/>
        </w:rPr>
        <w:t>M</w:t>
      </w:r>
      <w:r w:rsidR="003222A2" w:rsidRPr="003222A2">
        <w:t>9</w:t>
      </w:r>
      <w:r w:rsidR="003222A2">
        <w:t>.</w:t>
      </w:r>
      <w:r w:rsidR="00BD2F10" w:rsidRPr="00BD2F10">
        <w:t xml:space="preserve"> </w:t>
      </w:r>
      <w:r w:rsidR="007E6276">
        <w:t xml:space="preserve">В ходе экспериментов с </w:t>
      </w:r>
      <w:r w:rsidR="00927101">
        <w:t xml:space="preserve">использованием </w:t>
      </w:r>
      <w:r w:rsidR="007E6276">
        <w:t xml:space="preserve">рекомбинантных </w:t>
      </w:r>
      <w:r w:rsidR="00927101">
        <w:t xml:space="preserve">изоферментов </w:t>
      </w:r>
      <w:r w:rsidR="00927101">
        <w:rPr>
          <w:lang w:val="en-US"/>
        </w:rPr>
        <w:t>CYP</w:t>
      </w:r>
      <w:r w:rsidR="00927101" w:rsidRPr="00927101">
        <w:t xml:space="preserve"> </w:t>
      </w:r>
      <w:r w:rsidR="007E6276">
        <w:t xml:space="preserve">установили, что </w:t>
      </w:r>
      <w:r w:rsidR="004137B3" w:rsidRPr="004137B3">
        <w:t>CYP3A4</w:t>
      </w:r>
      <w:r w:rsidR="004137B3">
        <w:t xml:space="preserve"> играет основную роль в образовании этих метаболитов, а </w:t>
      </w:r>
      <w:r w:rsidR="00296EE7" w:rsidRPr="00296EE7">
        <w:t>CYP1A2</w:t>
      </w:r>
      <w:r w:rsidR="00296EE7">
        <w:t xml:space="preserve"> является следующим по значимости ферментом</w:t>
      </w:r>
      <w:r w:rsidR="00BE36DC">
        <w:t>. Константа Михаэлиса (</w:t>
      </w:r>
      <w:r w:rsidR="00BE36DC" w:rsidRPr="00BE36DC">
        <w:t>K</w:t>
      </w:r>
      <w:r w:rsidR="00BE36DC" w:rsidRPr="00BE36DC">
        <w:rPr>
          <w:vertAlign w:val="subscript"/>
        </w:rPr>
        <w:t>m</w:t>
      </w:r>
      <w:r w:rsidR="00BE36DC">
        <w:t>)</w:t>
      </w:r>
      <w:r w:rsidR="00BE36DC" w:rsidRPr="00BE36DC">
        <w:t xml:space="preserve"> </w:t>
      </w:r>
      <w:r w:rsidR="00BE36DC">
        <w:t>и максимальная скорость реакции</w:t>
      </w:r>
      <w:r w:rsidR="00BE36DC" w:rsidRPr="00BE36DC">
        <w:t xml:space="preserve"> </w:t>
      </w:r>
      <w:r w:rsidR="00BE36DC">
        <w:t>(</w:t>
      </w:r>
      <w:r w:rsidR="00BE36DC" w:rsidRPr="00BE36DC">
        <w:t>V</w:t>
      </w:r>
      <w:r w:rsidR="00BE36DC" w:rsidRPr="00BE36DC">
        <w:rPr>
          <w:vertAlign w:val="subscript"/>
        </w:rPr>
        <w:t>max</w:t>
      </w:r>
      <w:r w:rsidR="00BE36DC">
        <w:t xml:space="preserve">) </w:t>
      </w:r>
      <w:r w:rsidR="00075175">
        <w:t xml:space="preserve">для образования этих метаболитов </w:t>
      </w:r>
      <w:r w:rsidR="00BE36DC">
        <w:t xml:space="preserve">составили </w:t>
      </w:r>
      <w:r w:rsidR="00075175">
        <w:t xml:space="preserve">132 мкмоль/л и 517 пмоль/мин/мг белка соответственно </w:t>
      </w:r>
      <w:r w:rsidR="00075175">
        <w:rPr>
          <w:lang w:val="en-US"/>
        </w:rPr>
        <w:fldChar w:fldCharType="begin"/>
      </w:r>
      <w:r w:rsidR="00044A89">
        <w:instrText xml:space="preserve"> ADDIN ZOTERO_ITEM CSL_CITATION {"citationID":"0L6dgKCr","properties":{"formattedCitation":"[12]","plainCitation":"[12]","noteIndex":0},"citationItems":[{"id":87803,"uris":["http://zotero.org/groups/4742804/items/DMZ5DFPG"],"itemData":{"id":87803,"type":"webpage","title":"Xeljanz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075175">
        <w:rPr>
          <w:lang w:val="en-US"/>
        </w:rPr>
        <w:fldChar w:fldCharType="separate"/>
      </w:r>
      <w:r w:rsidR="00D46D1F">
        <w:rPr>
          <w:rFonts w:cs="Times New Roman"/>
        </w:rPr>
        <w:t>[1</w:t>
      </w:r>
      <w:r w:rsidR="00044A89" w:rsidRPr="00044A89">
        <w:rPr>
          <w:rFonts w:cs="Times New Roman"/>
        </w:rPr>
        <w:t>]</w:t>
      </w:r>
      <w:r w:rsidR="00075175">
        <w:rPr>
          <w:lang w:val="en-US"/>
        </w:rPr>
        <w:fldChar w:fldCharType="end"/>
      </w:r>
      <w:r w:rsidR="00075175">
        <w:t>.</w:t>
      </w:r>
    </w:p>
    <w:p w14:paraId="33DF2486" w14:textId="23B67831" w:rsidR="003D62F9" w:rsidRDefault="00687D3C" w:rsidP="00687D3C">
      <w:pPr>
        <w:pStyle w:val="SDText"/>
        <w:spacing w:after="0"/>
        <w:contextualSpacing/>
      </w:pPr>
      <w:r>
        <w:t>Изучено</w:t>
      </w:r>
      <w:r w:rsidR="003B4724">
        <w:t xml:space="preserve"> влияние </w:t>
      </w:r>
      <w:r w:rsidR="0093056C">
        <w:t xml:space="preserve">первого прохождения через печень и кишечник на фармакокинетику тофацитиниба. В исследовании использовали </w:t>
      </w:r>
      <w:r w:rsidR="00A76BEC">
        <w:t>самцов крыс линии Спрег-Доули</w:t>
      </w:r>
      <w:r w:rsidR="00ED30A6">
        <w:t xml:space="preserve"> (возраст 7–8 недель, масса тела 240–260 г)</w:t>
      </w:r>
      <w:r w:rsidR="006F491F">
        <w:t xml:space="preserve">. </w:t>
      </w:r>
      <w:r w:rsidR="004C6D8E">
        <w:t>В первой серии экспериментов т</w:t>
      </w:r>
      <w:r w:rsidR="006F491F">
        <w:t>офацитиниб вводили в</w:t>
      </w:r>
      <w:r w:rsidR="003E0148">
        <w:t xml:space="preserve"> яремную</w:t>
      </w:r>
      <w:r w:rsidR="006F491F">
        <w:t xml:space="preserve"> в</w:t>
      </w:r>
      <w:r w:rsidR="003E0148">
        <w:t>ену</w:t>
      </w:r>
      <w:r w:rsidR="00022AAB">
        <w:t xml:space="preserve"> в течение 1 мин в</w:t>
      </w:r>
      <w:r w:rsidR="006F491F">
        <w:t xml:space="preserve"> дозе </w:t>
      </w:r>
      <w:r w:rsidR="00C33969">
        <w:t>5 мг/кг (</w:t>
      </w:r>
      <w:r w:rsidR="00C33969">
        <w:rPr>
          <w:lang w:val="en-US"/>
        </w:rPr>
        <w:t>n</w:t>
      </w:r>
      <w:r w:rsidR="00C33969" w:rsidRPr="00C33969">
        <w:t xml:space="preserve"> = </w:t>
      </w:r>
      <w:r w:rsidR="00C33969">
        <w:t>9), 10 мг/кг (</w:t>
      </w:r>
      <w:r w:rsidR="00C33969">
        <w:rPr>
          <w:lang w:val="en-US"/>
        </w:rPr>
        <w:t>n</w:t>
      </w:r>
      <w:r w:rsidR="00C33969" w:rsidRPr="00C33969">
        <w:t xml:space="preserve"> = </w:t>
      </w:r>
      <w:r w:rsidR="00852ADB">
        <w:t>8</w:t>
      </w:r>
      <w:r w:rsidR="00C33969">
        <w:t xml:space="preserve">), </w:t>
      </w:r>
      <w:r w:rsidR="00852ADB">
        <w:t xml:space="preserve">20 мг/кг </w:t>
      </w:r>
      <w:r w:rsidR="00852ADB" w:rsidRPr="00852ADB">
        <w:t xml:space="preserve">(n = </w:t>
      </w:r>
      <w:r w:rsidR="00852ADB">
        <w:t>7</w:t>
      </w:r>
      <w:r w:rsidR="00852ADB" w:rsidRPr="00852ADB">
        <w:t>)</w:t>
      </w:r>
      <w:r w:rsidR="00852ADB">
        <w:t xml:space="preserve"> или 50 мг/кг (</w:t>
      </w:r>
      <w:r w:rsidR="00852ADB">
        <w:rPr>
          <w:lang w:val="en-US"/>
        </w:rPr>
        <w:t>n</w:t>
      </w:r>
      <w:r w:rsidR="00852ADB" w:rsidRPr="00C33969">
        <w:t xml:space="preserve"> = </w:t>
      </w:r>
      <w:r w:rsidR="00852ADB">
        <w:t>7)</w:t>
      </w:r>
      <w:r w:rsidR="00083A29">
        <w:t>,</w:t>
      </w:r>
      <w:r w:rsidR="00852ADB">
        <w:t xml:space="preserve"> или перорально в дозе </w:t>
      </w:r>
      <w:r w:rsidR="00AE7A2C" w:rsidRPr="00AE7A2C">
        <w:t xml:space="preserve">10 </w:t>
      </w:r>
      <w:r w:rsidR="00AE7A2C">
        <w:t xml:space="preserve">мг/кг </w:t>
      </w:r>
      <w:r w:rsidR="00AE7A2C" w:rsidRPr="00AE7A2C">
        <w:t xml:space="preserve">(n = 7), 20 </w:t>
      </w:r>
      <w:r w:rsidR="00AE7A2C">
        <w:t xml:space="preserve">мг/кг </w:t>
      </w:r>
      <w:r w:rsidR="00AE7A2C" w:rsidRPr="00AE7A2C">
        <w:t xml:space="preserve">(n = 8), 50 </w:t>
      </w:r>
      <w:r w:rsidR="00AE7A2C">
        <w:t xml:space="preserve">мг/кг </w:t>
      </w:r>
      <w:r w:rsidR="00AE7A2C" w:rsidRPr="00AE7A2C">
        <w:t>(n = 9)</w:t>
      </w:r>
      <w:r w:rsidR="00083A29">
        <w:t>,</w:t>
      </w:r>
      <w:r w:rsidR="00AE7A2C">
        <w:t xml:space="preserve"> или </w:t>
      </w:r>
      <w:r w:rsidR="00AE7A2C" w:rsidRPr="00AE7A2C">
        <w:t xml:space="preserve">100 </w:t>
      </w:r>
      <w:r w:rsidR="00AE7A2C">
        <w:t xml:space="preserve">мг/кг </w:t>
      </w:r>
      <w:r w:rsidR="00AE7A2C" w:rsidRPr="00AE7A2C">
        <w:t>(n = 7)</w:t>
      </w:r>
      <w:r w:rsidR="004C6D8E">
        <w:t xml:space="preserve">. Во второй серии экспериментов </w:t>
      </w:r>
      <w:r w:rsidR="007D08FE">
        <w:t xml:space="preserve">крысам из первой группы </w:t>
      </w:r>
      <w:r w:rsidR="000F0B1E">
        <w:t>(</w:t>
      </w:r>
      <w:r w:rsidR="000F0B1E">
        <w:rPr>
          <w:lang w:val="en-US"/>
        </w:rPr>
        <w:t>n</w:t>
      </w:r>
      <w:r w:rsidR="000F0B1E" w:rsidRPr="00C96640">
        <w:t xml:space="preserve"> = 7)</w:t>
      </w:r>
      <w:r w:rsidR="000F0B1E">
        <w:t xml:space="preserve"> </w:t>
      </w:r>
      <w:r w:rsidR="004C6D8E">
        <w:t xml:space="preserve">тофацитиниб </w:t>
      </w:r>
      <w:r w:rsidR="00CC566B">
        <w:t xml:space="preserve">в дозе 10 мг/кг </w:t>
      </w:r>
      <w:r w:rsidR="004C6D8E">
        <w:t xml:space="preserve">вводили </w:t>
      </w:r>
      <w:r w:rsidR="00CC566B">
        <w:t>в течение 30 мин в яремную вену</w:t>
      </w:r>
      <w:r w:rsidR="00C96640">
        <w:t xml:space="preserve"> </w:t>
      </w:r>
      <w:r w:rsidR="002A7642">
        <w:t xml:space="preserve">одновременно </w:t>
      </w:r>
      <w:r w:rsidR="007D08FE">
        <w:t>с</w:t>
      </w:r>
      <w:r w:rsidR="002A7642">
        <w:t xml:space="preserve"> введением носителя в </w:t>
      </w:r>
      <w:r w:rsidR="00625971">
        <w:t>воротную</w:t>
      </w:r>
      <w:r w:rsidR="002A7642">
        <w:t xml:space="preserve"> вену</w:t>
      </w:r>
      <w:r w:rsidR="007D08FE">
        <w:t xml:space="preserve">, а крысам из второй группы </w:t>
      </w:r>
      <w:r w:rsidR="00CC7673">
        <w:t>(</w:t>
      </w:r>
      <w:r w:rsidR="00CC7673">
        <w:rPr>
          <w:lang w:val="en-US"/>
        </w:rPr>
        <w:t>n</w:t>
      </w:r>
      <w:r w:rsidR="00CC7673" w:rsidRPr="00C96640">
        <w:t xml:space="preserve"> = 7)</w:t>
      </w:r>
      <w:r w:rsidR="00CC7673">
        <w:t xml:space="preserve"> </w:t>
      </w:r>
      <w:r w:rsidR="007D08FE">
        <w:t xml:space="preserve">– носитель вводили в течение 30 мин в яремную вену одновременно с введением в </w:t>
      </w:r>
      <w:r w:rsidR="00625971">
        <w:t>воротную</w:t>
      </w:r>
      <w:r w:rsidR="007D08FE">
        <w:t xml:space="preserve"> вену тофацитиниба в дозе 10 мг/кг. </w:t>
      </w:r>
      <w:r w:rsidR="006A525A">
        <w:t xml:space="preserve">В третьей серии экспериментов </w:t>
      </w:r>
      <w:r w:rsidR="002F1BF0">
        <w:t xml:space="preserve">крысам из первой группы </w:t>
      </w:r>
      <w:r w:rsidR="0018421A">
        <w:t>(</w:t>
      </w:r>
      <w:r w:rsidR="0018421A">
        <w:rPr>
          <w:lang w:val="en-US"/>
        </w:rPr>
        <w:t>n</w:t>
      </w:r>
      <w:r w:rsidR="0018421A" w:rsidRPr="00C96640">
        <w:t xml:space="preserve"> = </w:t>
      </w:r>
      <w:r w:rsidR="0018421A">
        <w:t>5</w:t>
      </w:r>
      <w:r w:rsidR="0018421A" w:rsidRPr="00C96640">
        <w:t>)</w:t>
      </w:r>
      <w:r w:rsidR="0018421A">
        <w:t xml:space="preserve"> </w:t>
      </w:r>
      <w:bookmarkStart w:id="126" w:name="_Hlk113967055"/>
      <w:r w:rsidR="002F1BF0">
        <w:t xml:space="preserve">в двенадцатиперстную кишку вводили </w:t>
      </w:r>
      <w:r w:rsidR="006A525A">
        <w:t xml:space="preserve">тофацитиниб </w:t>
      </w:r>
      <w:r w:rsidR="0018421A">
        <w:t xml:space="preserve">в дозе 10 мг/кг с одновременным введением </w:t>
      </w:r>
      <w:r w:rsidR="00AA56D7">
        <w:t xml:space="preserve">носителя в желудок </w:t>
      </w:r>
      <w:r w:rsidR="008D2048">
        <w:t xml:space="preserve">и в </w:t>
      </w:r>
      <w:r w:rsidR="00AF4F13">
        <w:t>воротную</w:t>
      </w:r>
      <w:r w:rsidR="008D2048">
        <w:t xml:space="preserve"> вену в течение 30 мин</w:t>
      </w:r>
      <w:bookmarkEnd w:id="126"/>
      <w:r w:rsidR="002F2EEA">
        <w:t>, а животным из второй группы (</w:t>
      </w:r>
      <w:r w:rsidR="002F2EEA">
        <w:rPr>
          <w:lang w:val="en-US"/>
        </w:rPr>
        <w:t>n</w:t>
      </w:r>
      <w:r w:rsidR="002F2EEA" w:rsidRPr="00C96640">
        <w:t xml:space="preserve"> = </w:t>
      </w:r>
      <w:r w:rsidR="002F2EEA">
        <w:t>5</w:t>
      </w:r>
      <w:r w:rsidR="002F2EEA" w:rsidRPr="00C96640">
        <w:t>)</w:t>
      </w:r>
      <w:r w:rsidR="002F2EEA">
        <w:t xml:space="preserve"> в </w:t>
      </w:r>
      <w:r w:rsidR="00BC23B5">
        <w:t xml:space="preserve">желудок вводили тофацитиниб в дозе 10 мг/кг с одновременным введением носителя в </w:t>
      </w:r>
      <w:r w:rsidR="002F2EEA">
        <w:t xml:space="preserve">двенадцатиперстную </w:t>
      </w:r>
      <w:r w:rsidR="00BC23B5">
        <w:t xml:space="preserve">кишку </w:t>
      </w:r>
      <w:r w:rsidR="002F2EEA">
        <w:t xml:space="preserve">и в </w:t>
      </w:r>
      <w:r w:rsidR="00AF4F13">
        <w:t>воротную</w:t>
      </w:r>
      <w:r w:rsidR="002F2EEA">
        <w:t xml:space="preserve"> вену в течение 30 мин</w:t>
      </w:r>
      <w:r w:rsidR="00BC23B5">
        <w:t>.</w:t>
      </w:r>
      <w:r w:rsidR="002F2EEA">
        <w:t xml:space="preserve"> </w:t>
      </w:r>
      <w:r w:rsidR="005D13D9">
        <w:t>После в</w:t>
      </w:r>
      <w:r w:rsidR="00425966">
        <w:t>нутривенно</w:t>
      </w:r>
      <w:r w:rsidR="005D13D9">
        <w:t>го</w:t>
      </w:r>
      <w:r w:rsidR="00425966">
        <w:t xml:space="preserve"> введени</w:t>
      </w:r>
      <w:r w:rsidR="005D13D9">
        <w:t>я</w:t>
      </w:r>
      <w:r w:rsidR="00425966">
        <w:t xml:space="preserve"> </w:t>
      </w:r>
      <w:r w:rsidR="005D13D9">
        <w:t xml:space="preserve">тофацитиниба в дозе </w:t>
      </w:r>
      <w:r w:rsidR="00425966">
        <w:t>5, 10, 20 и</w:t>
      </w:r>
      <w:r w:rsidR="005D13D9">
        <w:t>ли</w:t>
      </w:r>
      <w:r w:rsidR="00425966">
        <w:t xml:space="preserve"> 50 мг/кг нормализованная </w:t>
      </w:r>
      <w:r w:rsidR="0000049F">
        <w:t xml:space="preserve">по </w:t>
      </w:r>
      <w:r w:rsidR="00425966">
        <w:t>доз</w:t>
      </w:r>
      <w:r w:rsidR="0000049F">
        <w:t>е</w:t>
      </w:r>
      <w:r w:rsidR="00425966">
        <w:t xml:space="preserve"> площадь под </w:t>
      </w:r>
      <w:r w:rsidR="002C1D36">
        <w:t xml:space="preserve">фармакокинетической </w:t>
      </w:r>
      <w:r w:rsidR="00425966">
        <w:t xml:space="preserve">кривой </w:t>
      </w:r>
      <w:r w:rsidR="0000049F">
        <w:t>«концентрация-время»</w:t>
      </w:r>
      <w:r w:rsidR="00425966">
        <w:t xml:space="preserve"> от </w:t>
      </w:r>
      <w:r w:rsidR="005F3F3D">
        <w:t>начального момента времени</w:t>
      </w:r>
      <w:r w:rsidR="00425966">
        <w:t xml:space="preserve"> до бесконечности (</w:t>
      </w:r>
      <w:r w:rsidR="002C1D36">
        <w:t>AUC</w:t>
      </w:r>
      <w:r w:rsidR="002C1D36" w:rsidRPr="002C1D36">
        <w:rPr>
          <w:vertAlign w:val="subscript"/>
        </w:rPr>
        <w:t>(</w:t>
      </w:r>
      <w:r w:rsidR="002C1D36">
        <w:rPr>
          <w:vertAlign w:val="subscript"/>
        </w:rPr>
        <w:t>0-</w:t>
      </w:r>
      <w:r w:rsidR="002C1D36">
        <w:rPr>
          <w:rFonts w:cs="Times New Roman"/>
          <w:vertAlign w:val="subscript"/>
        </w:rPr>
        <w:t>∞)</w:t>
      </w:r>
      <w:r w:rsidR="00425966">
        <w:t>) был</w:t>
      </w:r>
      <w:r w:rsidR="005F3F3D">
        <w:t>а</w:t>
      </w:r>
      <w:r w:rsidR="00425966">
        <w:t xml:space="preserve"> значительно выше при дозе 50 мг/кг, чем при более низких дозах</w:t>
      </w:r>
      <w:r w:rsidR="005F3F3D">
        <w:t>,</w:t>
      </w:r>
      <w:r w:rsidR="00425966">
        <w:t xml:space="preserve"> возможно, из-за насыщения печеночного метаболизма тофацитиниба. П</w:t>
      </w:r>
      <w:r w:rsidR="005F3F3D">
        <w:t>осле п</w:t>
      </w:r>
      <w:r w:rsidR="00425966">
        <w:t>ерорально</w:t>
      </w:r>
      <w:r w:rsidR="005F3F3D">
        <w:t>го</w:t>
      </w:r>
      <w:r w:rsidR="00425966">
        <w:t xml:space="preserve"> введени</w:t>
      </w:r>
      <w:r w:rsidR="005F3F3D">
        <w:t xml:space="preserve">я </w:t>
      </w:r>
      <w:r w:rsidR="004535B2">
        <w:t xml:space="preserve">тофацитиниба </w:t>
      </w:r>
      <w:r w:rsidR="005F3F3D">
        <w:t>в дозе</w:t>
      </w:r>
      <w:r w:rsidR="00425966">
        <w:t xml:space="preserve"> 10, 20, 50, и 100 мг/кг показали, что нормализованная по дозе </w:t>
      </w:r>
      <w:r w:rsidR="002D1757">
        <w:t>AUC</w:t>
      </w:r>
      <w:r w:rsidR="002D1757" w:rsidRPr="002C1D36">
        <w:rPr>
          <w:vertAlign w:val="subscript"/>
        </w:rPr>
        <w:t>(</w:t>
      </w:r>
      <w:r w:rsidR="002D1757">
        <w:rPr>
          <w:vertAlign w:val="subscript"/>
        </w:rPr>
        <w:t>0-</w:t>
      </w:r>
      <w:r w:rsidR="002D1757">
        <w:rPr>
          <w:rFonts w:cs="Times New Roman"/>
          <w:vertAlign w:val="subscript"/>
        </w:rPr>
        <w:t>∞)</w:t>
      </w:r>
      <w:r w:rsidR="002D1757" w:rsidRPr="002D1757">
        <w:rPr>
          <w:rFonts w:cs="Times New Roman"/>
          <w:vertAlign w:val="subscript"/>
        </w:rPr>
        <w:t xml:space="preserve"> </w:t>
      </w:r>
      <w:r w:rsidR="00425966">
        <w:t xml:space="preserve">была значительно выше при </w:t>
      </w:r>
      <w:r w:rsidR="009062B3">
        <w:t xml:space="preserve">дозе </w:t>
      </w:r>
      <w:r w:rsidR="00425966">
        <w:t>100 мг/кг, чем при более низких дозах, возможно, из-за насыщения кишечного метаболизма тофацитиниб</w:t>
      </w:r>
      <w:r w:rsidR="00862304">
        <w:t>а</w:t>
      </w:r>
      <w:r w:rsidR="00425966">
        <w:t xml:space="preserve">. После перорального введения тофацитиниба в дозе 10 мг/кг неабсорбированная </w:t>
      </w:r>
      <w:r w:rsidR="00885816">
        <w:t xml:space="preserve">в кишечнике </w:t>
      </w:r>
      <w:r w:rsidR="00425966">
        <w:t xml:space="preserve">фракция у крыс составляла 3,16%, а F </w:t>
      </w:r>
      <w:r w:rsidR="00885816">
        <w:t xml:space="preserve">равнялась </w:t>
      </w:r>
      <w:r w:rsidR="00425966">
        <w:t>29,1%. AUC была значительно ниже (49,3%)</w:t>
      </w:r>
      <w:r w:rsidR="00BC23B5">
        <w:t xml:space="preserve"> </w:t>
      </w:r>
      <w:r w:rsidR="00425966">
        <w:t>после интрадуоденального, по сравнению с интрапортальным введени</w:t>
      </w:r>
      <w:r w:rsidR="00BC23B5">
        <w:t>ем</w:t>
      </w:r>
      <w:r w:rsidR="00425966">
        <w:t>, но не отличал</w:t>
      </w:r>
      <w:r w:rsidR="00BC23B5">
        <w:t>ась</w:t>
      </w:r>
      <w:r w:rsidR="00425966">
        <w:t xml:space="preserve"> </w:t>
      </w:r>
      <w:r w:rsidR="00425966">
        <w:lastRenderedPageBreak/>
        <w:t>между внутрижелудочным и интрадуоденально</w:t>
      </w:r>
      <w:r w:rsidR="00BC23B5">
        <w:t>м</w:t>
      </w:r>
      <w:r w:rsidR="00425966">
        <w:t xml:space="preserve"> введение</w:t>
      </w:r>
      <w:r w:rsidR="00BC23B5">
        <w:t>м</w:t>
      </w:r>
      <w:r w:rsidR="00425966">
        <w:t xml:space="preserve">, </w:t>
      </w:r>
      <w:r w:rsidR="0081400D">
        <w:t>на основании чего авторы предположили, что</w:t>
      </w:r>
      <w:r w:rsidR="00425966">
        <w:t xml:space="preserve"> примерно 46,1% </w:t>
      </w:r>
      <w:r w:rsidR="0081400D">
        <w:t xml:space="preserve">от перорально вводимого </w:t>
      </w:r>
      <w:r w:rsidR="00425966">
        <w:t>тофацитиниб</w:t>
      </w:r>
      <w:r w:rsidR="0081400D">
        <w:t>а</w:t>
      </w:r>
      <w:r w:rsidR="00425966">
        <w:t xml:space="preserve"> метаболизируется </w:t>
      </w:r>
      <w:r w:rsidR="0081400D">
        <w:t>при</w:t>
      </w:r>
      <w:r w:rsidR="00425966">
        <w:t xml:space="preserve"> перво</w:t>
      </w:r>
      <w:r w:rsidR="0081400D">
        <w:t>м</w:t>
      </w:r>
      <w:r w:rsidR="00425966">
        <w:t xml:space="preserve"> прохождени</w:t>
      </w:r>
      <w:r w:rsidR="0081400D">
        <w:t>и</w:t>
      </w:r>
      <w:r w:rsidR="00425966">
        <w:t xml:space="preserve"> через кишечник. AUC также </w:t>
      </w:r>
      <w:r w:rsidR="0081400D">
        <w:t xml:space="preserve">была </w:t>
      </w:r>
      <w:r w:rsidR="00425966">
        <w:t>значительно ниже (42%) после интрапортального, по сравнению с внутривенным введени</w:t>
      </w:r>
      <w:r w:rsidR="0081400D">
        <w:t>ем</w:t>
      </w:r>
      <w:r w:rsidR="00425966">
        <w:t>, что свидетельст</w:t>
      </w:r>
      <w:r w:rsidR="0081400D">
        <w:t>вовало</w:t>
      </w:r>
      <w:r w:rsidR="00425966">
        <w:t xml:space="preserve"> о том, что эффект первого прохождения тофацитиниба после введения в </w:t>
      </w:r>
      <w:bookmarkStart w:id="127" w:name="_Hlk113967391"/>
      <w:r w:rsidR="00425966">
        <w:t>воротную</w:t>
      </w:r>
      <w:bookmarkEnd w:id="127"/>
      <w:r w:rsidR="00425966">
        <w:t xml:space="preserve"> вену составил примерно 21,3% </w:t>
      </w:r>
      <w:r w:rsidR="008A5885">
        <w:t xml:space="preserve">от дозы при </w:t>
      </w:r>
      <w:r w:rsidR="00425966">
        <w:t>перорально</w:t>
      </w:r>
      <w:r w:rsidR="005646D0">
        <w:t>м</w:t>
      </w:r>
      <w:r w:rsidR="00425966">
        <w:t xml:space="preserve"> прием</w:t>
      </w:r>
      <w:r w:rsidR="005646D0">
        <w:t>е</w:t>
      </w:r>
      <w:r w:rsidR="00425966">
        <w:t>. В совокупности эти данные свидетельствуют о том, что низк</w:t>
      </w:r>
      <w:r w:rsidR="005646D0">
        <w:t>ая</w:t>
      </w:r>
      <w:r w:rsidR="00425966">
        <w:t xml:space="preserve"> F тофацитиниба в первую очередь обусловлен</w:t>
      </w:r>
      <w:r w:rsidR="005646D0">
        <w:t>а</w:t>
      </w:r>
      <w:r w:rsidR="00425966">
        <w:t xml:space="preserve"> </w:t>
      </w:r>
      <w:r w:rsidR="005646D0">
        <w:t xml:space="preserve">эффектами первого прохождения через </w:t>
      </w:r>
      <w:r w:rsidR="00625971">
        <w:t>печень и кишечник</w:t>
      </w:r>
      <w:r w:rsidR="005D13D9">
        <w:t xml:space="preserve"> </w:t>
      </w:r>
      <w:r w:rsidR="00270BCB">
        <w:fldChar w:fldCharType="begin"/>
      </w:r>
      <w:r w:rsidR="00044A89">
        <w:instrText xml:space="preserve"> ADDIN ZOTERO_ITEM CSL_CITATION {"citationID":"1zgeqDVV","properties":{"formattedCitation":"[18]","plainCitation":"[18]","noteIndex":0},"citationItems":[{"id":87768,"uris":["http://zotero.org/groups/4742804/items/RBDMDKU2"],"itemData":{"id":87768,"type":"article-journal","abstract":"This study investigated the pharmacokinetics of tofacitinib in rats and the effects of first-pass metabolism on tofacitinib pharmacokinetics. Intravenous administration of 5, 10, 20, and 50 mg/kg tofacitinib showed that the dose-normalized area under the plasma concentration-time curve from time zero to infinity (AUC) was significantly higher at 50 mg/kg than at lower doses, a difference possibly due to saturation of the hepatic metabolism of tofacitinib. Oral administration of 10, 20, 50, and 100 mg/kg tofacitinib showed that the dose-normalized AUC was significantly higher at 100 mg/kg than at lower doses, a difference possibly due to saturation of the intestinal metabolism of tofacitinib. Following oral administration of 10 mg/kg tofacitinib, the unabsorbed fraction from the rat intestine was 3.16% and the bioavailability (F) was 29.1%. The AUC was significantly lower (49.3%) after intraduodenal, compared to intraportal, administration, but did not differ between intragastric and intraduodenal administration, suggesting that approximately 46.1% of orally administered tofacitinib was metabolized through an intestinal first-pass effect. The AUC was also significantly lower (42%) after intraportal, compared to intravenous, administration, suggesting that the hepatic first-pass effect on tofacitinib after entering the portal vein was approximately 21.3% of the oral dose. Taken together, these findings suggest that the low F of tofacitinib is due primarily to intestinal first-pass metabolism.","container-title":"Pharmaceutics","DOI":"10.3390/pharmaceutics11070318","ISSN":"1999-4923","issue":"7","language":"en","license":"http://creativecommons.org/licenses/by/3.0/","note":"number: 7\npublisher: Multidisciplinary Digital Publishing Institute","page":"318","source":"www.mdpi.com","title":"Dose-dependent pharmacokinetics of tofacitinib in rats: influence of hepatic and intestinal first-pass metabolism","title-short":"Dose-Dependent Pharmacokinetics of Tofacitinib in Rats","volume":"11","author":[{"family":"Lee","given":"Ji Sang"},{"family":"Kim","given":"So Hee"}],"issued":{"date-parts":[["2019",7]]}}}],"schema":"https://github.com/citation-style-language/schema/raw/master/csl-citation.json"} </w:instrText>
      </w:r>
      <w:r w:rsidR="00270BCB">
        <w:fldChar w:fldCharType="separate"/>
      </w:r>
      <w:r w:rsidR="00D46D1F">
        <w:rPr>
          <w:rFonts w:cs="Times New Roman"/>
        </w:rPr>
        <w:t>[7</w:t>
      </w:r>
      <w:r w:rsidR="00044A89" w:rsidRPr="00044A89">
        <w:rPr>
          <w:rFonts w:cs="Times New Roman"/>
        </w:rPr>
        <w:t>]</w:t>
      </w:r>
      <w:r w:rsidR="00270BCB">
        <w:fldChar w:fldCharType="end"/>
      </w:r>
      <w:r w:rsidR="005D13D9">
        <w:t>.</w:t>
      </w:r>
    </w:p>
    <w:p w14:paraId="2A2DAF91" w14:textId="77777777" w:rsidR="00687D3C" w:rsidRDefault="00687D3C" w:rsidP="00687D3C">
      <w:pPr>
        <w:pStyle w:val="SDText"/>
        <w:spacing w:after="0"/>
        <w:contextualSpacing/>
      </w:pPr>
    </w:p>
    <w:p w14:paraId="1288E9A5" w14:textId="5BFE8E3C" w:rsidR="003D62F9" w:rsidRPr="005A1F67" w:rsidRDefault="00D62B3D" w:rsidP="00D62B3D">
      <w:pPr>
        <w:pStyle w:val="3"/>
        <w:numPr>
          <w:ilvl w:val="0"/>
          <w:numId w:val="0"/>
        </w:numPr>
        <w:ind w:left="720" w:hanging="720"/>
      </w:pPr>
      <w:bookmarkStart w:id="128" w:name="_Toc115421041"/>
      <w:bookmarkStart w:id="129" w:name="_Toc121592574"/>
      <w:r>
        <w:t xml:space="preserve">3.2.5. </w:t>
      </w:r>
      <w:r w:rsidR="003D62F9" w:rsidRPr="005A1F67">
        <w:t>Выведение</w:t>
      </w:r>
      <w:bookmarkEnd w:id="128"/>
      <w:bookmarkEnd w:id="129"/>
    </w:p>
    <w:p w14:paraId="21A22906" w14:textId="77777777" w:rsidR="00BD2318" w:rsidRDefault="00BD2318" w:rsidP="00687D3C">
      <w:pPr>
        <w:pStyle w:val="SDText"/>
        <w:spacing w:after="0"/>
        <w:contextualSpacing/>
      </w:pPr>
    </w:p>
    <w:p w14:paraId="7C785B4F" w14:textId="49DF5DFA" w:rsidR="00CA7023" w:rsidRDefault="00E929AD" w:rsidP="00687D3C">
      <w:pPr>
        <w:pStyle w:val="SDText"/>
        <w:spacing w:after="0"/>
        <w:contextualSpacing/>
      </w:pPr>
      <w:r>
        <w:t xml:space="preserve">Основным путем выведения </w:t>
      </w:r>
      <w:r w:rsidR="00627DD3" w:rsidRPr="00627DD3">
        <w:t xml:space="preserve">тофацитиниба </w:t>
      </w:r>
      <w:r>
        <w:t xml:space="preserve">является </w:t>
      </w:r>
      <w:r w:rsidR="00E37EBB">
        <w:t xml:space="preserve">экскреция с мочой, в которой на неизмененное соединение приходится </w:t>
      </w:r>
      <w:r w:rsidR="001D50B4">
        <w:t>10% у самцов крыс, 30% у самок крыс и около 10% у обезьян</w:t>
      </w:r>
      <w:r w:rsidR="00807A9C">
        <w:t xml:space="preserve"> </w:t>
      </w:r>
      <w:r w:rsidR="00807A9C" w:rsidRPr="00D62B3D">
        <w:t>(</w:t>
      </w:r>
      <w:r w:rsidR="005D32C5" w:rsidRPr="00D62B3D">
        <w:fldChar w:fldCharType="begin"/>
      </w:r>
      <w:r w:rsidR="005D32C5" w:rsidRPr="00D62B3D">
        <w:instrText xml:space="preserve"> REF _Ref121140206 \h </w:instrText>
      </w:r>
      <w:r w:rsidR="00D62B3D" w:rsidRPr="00D62B3D">
        <w:instrText xml:space="preserve"> \* MERGEFORMAT </w:instrText>
      </w:r>
      <w:r w:rsidR="005D32C5" w:rsidRPr="00D62B3D">
        <w:fldChar w:fldCharType="separate"/>
      </w:r>
      <w:r w:rsidR="00383E6F" w:rsidRPr="00D62B3D">
        <w:rPr>
          <w:bCs/>
        </w:rPr>
        <w:t xml:space="preserve">Таблица </w:t>
      </w:r>
      <w:r w:rsidR="00383E6F" w:rsidRPr="00D62B3D">
        <w:rPr>
          <w:bCs/>
          <w:noProof/>
        </w:rPr>
        <w:t>3</w:t>
      </w:r>
      <w:r w:rsidR="00383E6F" w:rsidRPr="00D62B3D">
        <w:rPr>
          <w:bCs/>
        </w:rPr>
        <w:noBreakHyphen/>
      </w:r>
      <w:r w:rsidR="00383E6F" w:rsidRPr="00D62B3D">
        <w:rPr>
          <w:bCs/>
          <w:noProof/>
        </w:rPr>
        <w:t>4</w:t>
      </w:r>
      <w:r w:rsidR="005D32C5" w:rsidRPr="00D62B3D">
        <w:fldChar w:fldCharType="end"/>
      </w:r>
      <w:r w:rsidR="004E2E2D" w:rsidRPr="00D62B3D">
        <w:t>)</w:t>
      </w:r>
      <w:r w:rsidR="001D50B4" w:rsidRPr="00D62B3D">
        <w:t>.</w:t>
      </w:r>
      <w:r w:rsidR="001D50B4">
        <w:t xml:space="preserve"> </w:t>
      </w:r>
      <w:r w:rsidR="00AD2719">
        <w:t xml:space="preserve">Существенные различия качественного профиля экскреции в зависимости от вида и пола животных </w:t>
      </w:r>
      <w:r w:rsidR="00BB2402">
        <w:t xml:space="preserve">отсутствуют </w:t>
      </w:r>
      <w:r w:rsidR="006C4729">
        <w:rPr>
          <w:lang w:val="en-US"/>
        </w:rPr>
        <w:fldChar w:fldCharType="begin"/>
      </w:r>
      <w:r w:rsidR="00044A89">
        <w:instrText xml:space="preserve"> ADDIN ZOTERO_ITEM CSL_CITATION {"citationID":"U9wE0rpY","properties":{"formattedCitation":"[12]","plainCitation":"[12]","noteIndex":0},"citationItems":[{"id":87803,"uris":["http://zotero.org/groups/4742804/items/DMZ5DFPG"],"itemData":{"id":87803,"type":"webpage","title":"Xeljanz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6C4729">
        <w:rPr>
          <w:lang w:val="en-US"/>
        </w:rPr>
        <w:fldChar w:fldCharType="separate"/>
      </w:r>
      <w:r w:rsidR="00D46D1F">
        <w:rPr>
          <w:rFonts w:cs="Times New Roman"/>
        </w:rPr>
        <w:t>[1</w:t>
      </w:r>
      <w:r w:rsidR="00044A89" w:rsidRPr="00044A89">
        <w:rPr>
          <w:rFonts w:cs="Times New Roman"/>
        </w:rPr>
        <w:t>]</w:t>
      </w:r>
      <w:r w:rsidR="006C4729">
        <w:rPr>
          <w:lang w:val="en-US"/>
        </w:rPr>
        <w:fldChar w:fldCharType="end"/>
      </w:r>
      <w:r w:rsidR="006C4729">
        <w:t>.</w:t>
      </w:r>
    </w:p>
    <w:p w14:paraId="0DC5DDF6" w14:textId="77777777" w:rsidR="005A1F67" w:rsidRDefault="005A1F67" w:rsidP="00D36ADC">
      <w:pPr>
        <w:pStyle w:val="SDText"/>
        <w:contextualSpacing/>
      </w:pPr>
    </w:p>
    <w:p w14:paraId="7C548AFE" w14:textId="3B2238E4" w:rsidR="006C4729" w:rsidRDefault="005D32C5" w:rsidP="00D62B3D">
      <w:pPr>
        <w:pStyle w:val="SDText"/>
        <w:spacing w:after="0"/>
        <w:ind w:firstLine="0"/>
      </w:pPr>
      <w:bookmarkStart w:id="130" w:name="_Ref121140206"/>
      <w:r w:rsidRPr="005D32C5">
        <w:rPr>
          <w:b/>
          <w:bCs/>
        </w:rPr>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3</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4</w:t>
      </w:r>
      <w:r w:rsidR="00652269">
        <w:rPr>
          <w:b/>
          <w:bCs/>
        </w:rPr>
        <w:fldChar w:fldCharType="end"/>
      </w:r>
      <w:bookmarkEnd w:id="130"/>
      <w:r w:rsidR="005A1F67" w:rsidRPr="005D32C5">
        <w:rPr>
          <w:b/>
          <w:bCs/>
        </w:rPr>
        <w:t>.</w:t>
      </w:r>
      <w:r w:rsidR="005A1F67">
        <w:rPr>
          <w:b/>
        </w:rPr>
        <w:t xml:space="preserve"> </w:t>
      </w:r>
      <w:r w:rsidR="005A1F67">
        <w:t>Пути экскреции тофацитиниба у мышей, крыс, кроликов и обезьян.</w:t>
      </w:r>
    </w:p>
    <w:tbl>
      <w:tblPr>
        <w:tblStyle w:val="a4"/>
        <w:tblW w:w="0" w:type="auto"/>
        <w:tblInd w:w="108" w:type="dxa"/>
        <w:tblLook w:val="04A0" w:firstRow="1" w:lastRow="0" w:firstColumn="1" w:lastColumn="0" w:noHBand="0" w:noVBand="1"/>
      </w:tblPr>
      <w:tblGrid>
        <w:gridCol w:w="1761"/>
        <w:gridCol w:w="1869"/>
        <w:gridCol w:w="1869"/>
        <w:gridCol w:w="1869"/>
        <w:gridCol w:w="1988"/>
      </w:tblGrid>
      <w:tr w:rsidR="005A1F67" w14:paraId="0EA247C5" w14:textId="77777777" w:rsidTr="00824324">
        <w:tc>
          <w:tcPr>
            <w:tcW w:w="1761" w:type="dxa"/>
            <w:vMerge w:val="restart"/>
            <w:shd w:val="clear" w:color="auto" w:fill="D9D9D9" w:themeFill="background1" w:themeFillShade="D9"/>
          </w:tcPr>
          <w:p w14:paraId="1CBE2522" w14:textId="77777777" w:rsidR="005A1F67" w:rsidRPr="00E30708" w:rsidRDefault="005A1F67" w:rsidP="00D36ADC">
            <w:pPr>
              <w:contextualSpacing/>
              <w:jc w:val="center"/>
              <w:rPr>
                <w:b/>
                <w:bCs/>
              </w:rPr>
            </w:pPr>
          </w:p>
        </w:tc>
        <w:tc>
          <w:tcPr>
            <w:tcW w:w="7595" w:type="dxa"/>
            <w:gridSpan w:val="4"/>
            <w:shd w:val="clear" w:color="auto" w:fill="D9D9D9" w:themeFill="background1" w:themeFillShade="D9"/>
          </w:tcPr>
          <w:p w14:paraId="0DF517E4" w14:textId="32B3BAAF" w:rsidR="005A1F67" w:rsidRPr="00E30708" w:rsidRDefault="005A1F67" w:rsidP="00D36ADC">
            <w:pPr>
              <w:ind w:firstLine="0"/>
              <w:contextualSpacing/>
              <w:jc w:val="center"/>
              <w:rPr>
                <w:b/>
                <w:bCs/>
              </w:rPr>
            </w:pPr>
            <w:r w:rsidRPr="00E30708">
              <w:rPr>
                <w:b/>
                <w:bCs/>
              </w:rPr>
              <w:t>Средняя выведенная доля от дозы</w:t>
            </w:r>
          </w:p>
        </w:tc>
      </w:tr>
      <w:tr w:rsidR="005A1F67" w14:paraId="57F0EA83" w14:textId="77777777" w:rsidTr="00824324">
        <w:tc>
          <w:tcPr>
            <w:tcW w:w="1761" w:type="dxa"/>
            <w:vMerge/>
            <w:shd w:val="clear" w:color="auto" w:fill="D9D9D9" w:themeFill="background1" w:themeFillShade="D9"/>
          </w:tcPr>
          <w:p w14:paraId="02A7FE0D" w14:textId="77777777" w:rsidR="005A1F67" w:rsidRPr="00E30708" w:rsidRDefault="005A1F67" w:rsidP="00D36ADC">
            <w:pPr>
              <w:contextualSpacing/>
              <w:jc w:val="center"/>
              <w:rPr>
                <w:b/>
                <w:bCs/>
              </w:rPr>
            </w:pPr>
          </w:p>
        </w:tc>
        <w:tc>
          <w:tcPr>
            <w:tcW w:w="1869" w:type="dxa"/>
            <w:shd w:val="clear" w:color="auto" w:fill="D9D9D9" w:themeFill="background1" w:themeFillShade="D9"/>
          </w:tcPr>
          <w:p w14:paraId="01C9F605" w14:textId="181E581C" w:rsidR="005A1F67" w:rsidRPr="00E30708" w:rsidRDefault="005A1F67" w:rsidP="00D36ADC">
            <w:pPr>
              <w:ind w:firstLine="0"/>
              <w:contextualSpacing/>
              <w:jc w:val="center"/>
              <w:rPr>
                <w:b/>
                <w:bCs/>
              </w:rPr>
            </w:pPr>
            <w:r w:rsidRPr="00E30708">
              <w:rPr>
                <w:b/>
                <w:bCs/>
              </w:rPr>
              <w:t>Мыши, 31 мг/кг, 96 ч</w:t>
            </w:r>
          </w:p>
        </w:tc>
        <w:tc>
          <w:tcPr>
            <w:tcW w:w="1869" w:type="dxa"/>
            <w:shd w:val="clear" w:color="auto" w:fill="D9D9D9" w:themeFill="background1" w:themeFillShade="D9"/>
          </w:tcPr>
          <w:p w14:paraId="3BEFC143" w14:textId="399A5740" w:rsidR="005A1F67" w:rsidRPr="00E30708" w:rsidRDefault="005A1F67" w:rsidP="00D36ADC">
            <w:pPr>
              <w:ind w:firstLine="0"/>
              <w:contextualSpacing/>
              <w:jc w:val="center"/>
              <w:rPr>
                <w:b/>
                <w:bCs/>
              </w:rPr>
            </w:pPr>
            <w:r w:rsidRPr="00E30708">
              <w:rPr>
                <w:b/>
                <w:bCs/>
              </w:rPr>
              <w:t>Крысы, 10 мг/кг, 168 ч</w:t>
            </w:r>
          </w:p>
        </w:tc>
        <w:tc>
          <w:tcPr>
            <w:tcW w:w="1869" w:type="dxa"/>
            <w:shd w:val="clear" w:color="auto" w:fill="D9D9D9" w:themeFill="background1" w:themeFillShade="D9"/>
          </w:tcPr>
          <w:p w14:paraId="77D5EE97" w14:textId="2750A101" w:rsidR="005A1F67" w:rsidRPr="00E30708" w:rsidRDefault="005A1F67" w:rsidP="00D36ADC">
            <w:pPr>
              <w:ind w:firstLine="0"/>
              <w:contextualSpacing/>
              <w:jc w:val="center"/>
              <w:rPr>
                <w:b/>
                <w:bCs/>
              </w:rPr>
            </w:pPr>
            <w:r w:rsidRPr="00E30708">
              <w:rPr>
                <w:b/>
                <w:bCs/>
              </w:rPr>
              <w:t>Кролики, 30 мг/кг, 48 ч</w:t>
            </w:r>
          </w:p>
        </w:tc>
        <w:tc>
          <w:tcPr>
            <w:tcW w:w="1988" w:type="dxa"/>
            <w:shd w:val="clear" w:color="auto" w:fill="D9D9D9" w:themeFill="background1" w:themeFillShade="D9"/>
          </w:tcPr>
          <w:p w14:paraId="652F0573" w14:textId="3163BE45" w:rsidR="005A1F67" w:rsidRPr="00E30708" w:rsidRDefault="005A1F67" w:rsidP="00D36ADC">
            <w:pPr>
              <w:ind w:firstLine="0"/>
              <w:contextualSpacing/>
              <w:jc w:val="center"/>
              <w:rPr>
                <w:b/>
                <w:bCs/>
              </w:rPr>
            </w:pPr>
            <w:r w:rsidRPr="00E30708">
              <w:rPr>
                <w:b/>
                <w:bCs/>
              </w:rPr>
              <w:t>Обезьяны, 5 мг/кг, 168 ч</w:t>
            </w:r>
          </w:p>
        </w:tc>
      </w:tr>
      <w:tr w:rsidR="000C4DE5" w14:paraId="3606F5B5" w14:textId="77777777" w:rsidTr="00824324">
        <w:tc>
          <w:tcPr>
            <w:tcW w:w="1761" w:type="dxa"/>
          </w:tcPr>
          <w:p w14:paraId="50618658" w14:textId="4FD018B7" w:rsidR="000C4DE5" w:rsidRDefault="00E30708" w:rsidP="00D36ADC">
            <w:pPr>
              <w:ind w:firstLine="0"/>
              <w:contextualSpacing/>
            </w:pPr>
            <w:r>
              <w:t>Моча</w:t>
            </w:r>
          </w:p>
        </w:tc>
        <w:tc>
          <w:tcPr>
            <w:tcW w:w="1869" w:type="dxa"/>
          </w:tcPr>
          <w:p w14:paraId="486BC73E" w14:textId="1432AAB4" w:rsidR="000C4DE5" w:rsidRDefault="00A71687" w:rsidP="00791E09">
            <w:pPr>
              <w:ind w:firstLine="0"/>
              <w:contextualSpacing/>
              <w:jc w:val="center"/>
            </w:pPr>
            <w:r>
              <w:t>10,1/32,1</w:t>
            </w:r>
          </w:p>
        </w:tc>
        <w:tc>
          <w:tcPr>
            <w:tcW w:w="1869" w:type="dxa"/>
          </w:tcPr>
          <w:p w14:paraId="69C7773A" w14:textId="364C4D4A" w:rsidR="000C4DE5" w:rsidRDefault="00A71687" w:rsidP="00791E09">
            <w:pPr>
              <w:ind w:firstLine="0"/>
              <w:contextualSpacing/>
              <w:jc w:val="center"/>
            </w:pPr>
            <w:r>
              <w:t>48,8/54,5</w:t>
            </w:r>
          </w:p>
        </w:tc>
        <w:tc>
          <w:tcPr>
            <w:tcW w:w="1869" w:type="dxa"/>
          </w:tcPr>
          <w:p w14:paraId="2435E6E1" w14:textId="4C738537" w:rsidR="000C4DE5" w:rsidRDefault="004B3E28" w:rsidP="00791E09">
            <w:pPr>
              <w:ind w:firstLine="0"/>
              <w:contextualSpacing/>
              <w:jc w:val="center"/>
            </w:pPr>
            <w:r>
              <w:t>51,5</w:t>
            </w:r>
          </w:p>
        </w:tc>
        <w:tc>
          <w:tcPr>
            <w:tcW w:w="1988" w:type="dxa"/>
          </w:tcPr>
          <w:p w14:paraId="42E7146A" w14:textId="0FE3778F" w:rsidR="000C4DE5" w:rsidRDefault="0082093C" w:rsidP="00791E09">
            <w:pPr>
              <w:ind w:firstLine="0"/>
              <w:contextualSpacing/>
              <w:jc w:val="center"/>
            </w:pPr>
            <w:r>
              <w:t>42,6/55,6</w:t>
            </w:r>
          </w:p>
        </w:tc>
      </w:tr>
      <w:tr w:rsidR="000C4DE5" w14:paraId="7787AAF2" w14:textId="77777777" w:rsidTr="00824324">
        <w:tc>
          <w:tcPr>
            <w:tcW w:w="1761" w:type="dxa"/>
          </w:tcPr>
          <w:p w14:paraId="440CFA5E" w14:textId="4DFABBE3" w:rsidR="000C4DE5" w:rsidRDefault="00E30708" w:rsidP="00D36ADC">
            <w:pPr>
              <w:ind w:firstLine="0"/>
              <w:contextualSpacing/>
            </w:pPr>
            <w:r>
              <w:t>Фекалии</w:t>
            </w:r>
          </w:p>
        </w:tc>
        <w:tc>
          <w:tcPr>
            <w:tcW w:w="1869" w:type="dxa"/>
          </w:tcPr>
          <w:p w14:paraId="40EDCB47" w14:textId="73CF2440" w:rsidR="000C4DE5" w:rsidRDefault="00A71687" w:rsidP="00791E09">
            <w:pPr>
              <w:ind w:firstLine="0"/>
              <w:contextualSpacing/>
              <w:jc w:val="center"/>
            </w:pPr>
            <w:r>
              <w:t>72,1/51,2</w:t>
            </w:r>
          </w:p>
        </w:tc>
        <w:tc>
          <w:tcPr>
            <w:tcW w:w="1869" w:type="dxa"/>
          </w:tcPr>
          <w:p w14:paraId="7D9C488B" w14:textId="72F9B0B2" w:rsidR="000C4DE5" w:rsidRDefault="004B3E28" w:rsidP="00791E09">
            <w:pPr>
              <w:ind w:firstLine="0"/>
              <w:contextualSpacing/>
              <w:jc w:val="center"/>
            </w:pPr>
            <w:r>
              <w:t>46,6/42,7</w:t>
            </w:r>
          </w:p>
        </w:tc>
        <w:tc>
          <w:tcPr>
            <w:tcW w:w="1869" w:type="dxa"/>
          </w:tcPr>
          <w:p w14:paraId="6F97EFF5" w14:textId="7CFC793C" w:rsidR="000C4DE5" w:rsidRDefault="004B3E28" w:rsidP="00791E09">
            <w:pPr>
              <w:ind w:firstLine="0"/>
              <w:contextualSpacing/>
              <w:jc w:val="center"/>
            </w:pPr>
            <w:r>
              <w:t>25,0</w:t>
            </w:r>
          </w:p>
        </w:tc>
        <w:tc>
          <w:tcPr>
            <w:tcW w:w="1988" w:type="dxa"/>
          </w:tcPr>
          <w:p w14:paraId="32DD86C3" w14:textId="75385344" w:rsidR="000C4DE5" w:rsidRDefault="0082093C" w:rsidP="00791E09">
            <w:pPr>
              <w:ind w:firstLine="0"/>
              <w:contextualSpacing/>
              <w:jc w:val="center"/>
            </w:pPr>
            <w:r>
              <w:t>27,2/28,7</w:t>
            </w:r>
          </w:p>
        </w:tc>
      </w:tr>
      <w:tr w:rsidR="000C4DE5" w14:paraId="79896C50" w14:textId="77777777" w:rsidTr="00824324">
        <w:tc>
          <w:tcPr>
            <w:tcW w:w="1761" w:type="dxa"/>
          </w:tcPr>
          <w:p w14:paraId="2AB60A64" w14:textId="2ABA71A5" w:rsidR="000C4DE5" w:rsidRDefault="00E30708" w:rsidP="00D36ADC">
            <w:pPr>
              <w:ind w:firstLine="0"/>
              <w:contextualSpacing/>
            </w:pPr>
            <w:r>
              <w:t>Общее</w:t>
            </w:r>
          </w:p>
        </w:tc>
        <w:tc>
          <w:tcPr>
            <w:tcW w:w="1869" w:type="dxa"/>
          </w:tcPr>
          <w:p w14:paraId="24B95733" w14:textId="10674BCE" w:rsidR="000C4DE5" w:rsidRDefault="00A71687" w:rsidP="00791E09">
            <w:pPr>
              <w:ind w:firstLine="0"/>
              <w:contextualSpacing/>
              <w:jc w:val="center"/>
            </w:pPr>
            <w:r>
              <w:t>87,7/88,3</w:t>
            </w:r>
          </w:p>
        </w:tc>
        <w:tc>
          <w:tcPr>
            <w:tcW w:w="1869" w:type="dxa"/>
          </w:tcPr>
          <w:p w14:paraId="75531432" w14:textId="55D4B254" w:rsidR="000C4DE5" w:rsidRDefault="004B3E28" w:rsidP="00791E09">
            <w:pPr>
              <w:ind w:firstLine="0"/>
              <w:contextualSpacing/>
              <w:jc w:val="center"/>
            </w:pPr>
            <w:r>
              <w:t>96,2/97,6</w:t>
            </w:r>
          </w:p>
        </w:tc>
        <w:tc>
          <w:tcPr>
            <w:tcW w:w="1869" w:type="dxa"/>
          </w:tcPr>
          <w:p w14:paraId="0F3AA5BF" w14:textId="682A103C" w:rsidR="000C4DE5" w:rsidRDefault="004B3E28" w:rsidP="00791E09">
            <w:pPr>
              <w:ind w:firstLine="0"/>
              <w:contextualSpacing/>
              <w:jc w:val="center"/>
            </w:pPr>
            <w:r>
              <w:t>76,5</w:t>
            </w:r>
          </w:p>
        </w:tc>
        <w:tc>
          <w:tcPr>
            <w:tcW w:w="1988" w:type="dxa"/>
          </w:tcPr>
          <w:p w14:paraId="57F5534C" w14:textId="544E88C4" w:rsidR="000C4DE5" w:rsidRDefault="0082093C" w:rsidP="00791E09">
            <w:pPr>
              <w:ind w:firstLine="0"/>
              <w:contextualSpacing/>
              <w:jc w:val="center"/>
            </w:pPr>
            <w:r>
              <w:t>87,4/91,7</w:t>
            </w:r>
          </w:p>
        </w:tc>
      </w:tr>
      <w:tr w:rsidR="005A1F67" w14:paraId="76AE4061" w14:textId="77777777" w:rsidTr="00824324">
        <w:tc>
          <w:tcPr>
            <w:tcW w:w="9356" w:type="dxa"/>
            <w:gridSpan w:val="5"/>
          </w:tcPr>
          <w:p w14:paraId="1F10C605" w14:textId="6DA34496" w:rsidR="005A1F67" w:rsidRDefault="005A1F67" w:rsidP="005A1F67">
            <w:pPr>
              <w:pStyle w:val="SDcomments"/>
              <w:ind w:firstLine="0"/>
              <w:contextualSpacing/>
              <w:rPr>
                <w:i/>
                <w:iCs/>
              </w:rPr>
            </w:pPr>
            <w:r w:rsidRPr="005A1F67">
              <w:rPr>
                <w:b/>
                <w:iCs/>
              </w:rPr>
              <w:t>П</w:t>
            </w:r>
            <w:r>
              <w:rPr>
                <w:b/>
                <w:iCs/>
              </w:rPr>
              <w:t>римечание</w:t>
            </w:r>
            <w:r w:rsidRPr="005A1F67">
              <w:rPr>
                <w:b/>
                <w:iCs/>
              </w:rPr>
              <w:t>:</w:t>
            </w:r>
          </w:p>
          <w:p w14:paraId="399A7CB0" w14:textId="61895F44" w:rsidR="005A1F67" w:rsidRDefault="005A1F67" w:rsidP="005A1F67">
            <w:pPr>
              <w:pStyle w:val="SDcomments"/>
              <w:ind w:firstLine="0"/>
              <w:contextualSpacing/>
            </w:pPr>
            <w:r>
              <w:t>данные представлены как значения для самцов/самок мышей, крыс или обезьян, или для самок кроликов.</w:t>
            </w:r>
          </w:p>
        </w:tc>
      </w:tr>
    </w:tbl>
    <w:p w14:paraId="2D66E64C" w14:textId="1CC466DF" w:rsidR="00F10E2A" w:rsidRDefault="00F10E2A" w:rsidP="00D36ADC">
      <w:pPr>
        <w:pStyle w:val="SDText"/>
        <w:contextualSpacing/>
      </w:pPr>
    </w:p>
    <w:p w14:paraId="555A02EB" w14:textId="2DACE0F9" w:rsidR="00CC6B2F" w:rsidRDefault="00CC6B2F" w:rsidP="00D36ADC">
      <w:pPr>
        <w:pStyle w:val="SDText"/>
        <w:contextualSpacing/>
      </w:pPr>
      <w:r>
        <w:t xml:space="preserve">Экскреция была быстрой у всех исследуемых видов, при этом большая часть радиоактивности выводилась в первые 24–48 ч. Основной путь экскреции был </w:t>
      </w:r>
      <w:r w:rsidR="00460F52">
        <w:t>с</w:t>
      </w:r>
      <w:r>
        <w:t xml:space="preserve"> моч</w:t>
      </w:r>
      <w:r w:rsidR="00460F52">
        <w:t>ой</w:t>
      </w:r>
      <w:r>
        <w:t xml:space="preserve"> у кроликов (51%), обезьян (~ 50%) и человека (80%),</w:t>
      </w:r>
      <w:r w:rsidR="00460F52">
        <w:t xml:space="preserve"> и с </w:t>
      </w:r>
      <w:r>
        <w:t>фекали</w:t>
      </w:r>
      <w:r w:rsidR="00460F52">
        <w:t>ями</w:t>
      </w:r>
      <w:r>
        <w:t xml:space="preserve"> </w:t>
      </w:r>
      <w:r w:rsidR="00460F52">
        <w:t xml:space="preserve">у </w:t>
      </w:r>
      <w:r>
        <w:t>мыш</w:t>
      </w:r>
      <w:r w:rsidR="00460F52">
        <w:t>ей</w:t>
      </w:r>
      <w:r>
        <w:t xml:space="preserve"> (~ 60%). У крыс экскреция была примерно одинаковой с мочой и фекалиями</w:t>
      </w:r>
      <w:r w:rsidR="009B2FCC">
        <w:t xml:space="preserve"> </w:t>
      </w:r>
      <w:r w:rsidR="009B2FCC">
        <w:fldChar w:fldCharType="begin"/>
      </w:r>
      <w:r w:rsidR="00044A89">
        <w:instrText xml:space="preserve"> ADDIN ZOTERO_ITEM CSL_CITATION {"citationID":"rA2HfVVo","properties":{"formattedCitation":"[21]","plainCitation":"[21]","noteIndex":0},"citationItems":[{"id":91153,"uris":["http://zotero.org/groups/4742804/items/UAUYPBRD"],"itemData":{"id":91153,"type":"webpage","title":"Xeljanz.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9B2FCC">
        <w:fldChar w:fldCharType="separate"/>
      </w:r>
      <w:r w:rsidR="00044A89" w:rsidRPr="00044A89">
        <w:rPr>
          <w:rFonts w:cs="Times New Roman"/>
        </w:rPr>
        <w:t>[1</w:t>
      </w:r>
      <w:r w:rsidR="00D46D1F">
        <w:rPr>
          <w:rFonts w:cs="Times New Roman"/>
        </w:rPr>
        <w:t>0</w:t>
      </w:r>
      <w:r w:rsidR="00044A89" w:rsidRPr="00044A89">
        <w:rPr>
          <w:rFonts w:cs="Times New Roman"/>
        </w:rPr>
        <w:t>]</w:t>
      </w:r>
      <w:r w:rsidR="009B2FCC">
        <w:fldChar w:fldCharType="end"/>
      </w:r>
      <w:r w:rsidR="00D05ABC">
        <w:t>.</w:t>
      </w:r>
    </w:p>
    <w:p w14:paraId="792EE030" w14:textId="092372F7" w:rsidR="00CC6B2F" w:rsidRDefault="00CC6B2F" w:rsidP="00D36ADC">
      <w:pPr>
        <w:pStyle w:val="SDText"/>
        <w:contextualSpacing/>
      </w:pPr>
      <w:r>
        <w:t>У обезьян с канюлированн</w:t>
      </w:r>
      <w:r w:rsidR="00554B71">
        <w:t>ыми</w:t>
      </w:r>
      <w:r>
        <w:t xml:space="preserve"> желч</w:t>
      </w:r>
      <w:r w:rsidR="00933E79">
        <w:t>ными протоками</w:t>
      </w:r>
      <w:r>
        <w:t xml:space="preserve"> экскреция с желчью составляла 25%</w:t>
      </w:r>
      <w:r w:rsidR="00933E79">
        <w:t xml:space="preserve"> от</w:t>
      </w:r>
      <w:r>
        <w:t xml:space="preserve"> дозы</w:t>
      </w:r>
      <w:r w:rsidR="009B2FCC">
        <w:t xml:space="preserve"> </w:t>
      </w:r>
      <w:r w:rsidR="00D05ABC">
        <w:fldChar w:fldCharType="begin"/>
      </w:r>
      <w:r w:rsidR="00044A89">
        <w:instrText xml:space="preserve"> ADDIN ZOTERO_ITEM CSL_CITATION {"citationID":"s49QrVCs","properties":{"formattedCitation":"[21]","plainCitation":"[21]","noteIndex":0},"citationItems":[{"id":91153,"uris":["http://zotero.org/groups/4742804/items/UAUYPBRD"],"itemData":{"id":91153,"type":"webpage","title":"Xeljanz.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D05ABC">
        <w:fldChar w:fldCharType="separate"/>
      </w:r>
      <w:r w:rsidR="00D46D1F">
        <w:rPr>
          <w:rFonts w:cs="Times New Roman"/>
        </w:rPr>
        <w:t>[</w:t>
      </w:r>
      <w:r w:rsidR="00044A89" w:rsidRPr="00044A89">
        <w:rPr>
          <w:rFonts w:cs="Times New Roman"/>
        </w:rPr>
        <w:t>1</w:t>
      </w:r>
      <w:r w:rsidR="00D46D1F">
        <w:rPr>
          <w:rFonts w:cs="Times New Roman"/>
        </w:rPr>
        <w:t>0</w:t>
      </w:r>
      <w:r w:rsidR="00044A89" w:rsidRPr="00044A89">
        <w:rPr>
          <w:rFonts w:cs="Times New Roman"/>
        </w:rPr>
        <w:t>]</w:t>
      </w:r>
      <w:r w:rsidR="00D05ABC">
        <w:fldChar w:fldCharType="end"/>
      </w:r>
      <w:r w:rsidR="00D05ABC">
        <w:t>.</w:t>
      </w:r>
    </w:p>
    <w:p w14:paraId="3167FFFB" w14:textId="5ECACE54" w:rsidR="00AE6EAA" w:rsidRDefault="00AE6EAA" w:rsidP="00D36ADC">
      <w:pPr>
        <w:pStyle w:val="SDText"/>
        <w:contextualSpacing/>
      </w:pPr>
      <w:r>
        <w:t xml:space="preserve">В исследовании 103847 изучили экскрецию </w:t>
      </w:r>
      <w:r w:rsidR="00627DD3" w:rsidRPr="00627DD3">
        <w:t xml:space="preserve">тофацитиниба </w:t>
      </w:r>
      <w:r>
        <w:t xml:space="preserve">с молоком у крыс </w:t>
      </w:r>
      <w:r w:rsidR="00E55F03">
        <w:t xml:space="preserve">линии Спрег-Доули. Тофацитиниб </w:t>
      </w:r>
      <w:r w:rsidR="00CB0DB2">
        <w:t xml:space="preserve">в дозе 10 мг/кг </w:t>
      </w:r>
      <w:r w:rsidR="009D224A">
        <w:t xml:space="preserve">в 0,5% растворе метилцеллюлозы </w:t>
      </w:r>
      <w:r w:rsidR="00E55F03">
        <w:t xml:space="preserve">вводили </w:t>
      </w:r>
      <w:r w:rsidR="00C91F77">
        <w:t xml:space="preserve">внутрижелудочно </w:t>
      </w:r>
      <w:r w:rsidR="00C939CB">
        <w:t>самкам крыс с 11 по 13 день после родов</w:t>
      </w:r>
      <w:r w:rsidR="009D224A">
        <w:t xml:space="preserve">. </w:t>
      </w:r>
      <w:r w:rsidR="00EA489A">
        <w:t xml:space="preserve">Образцы крови и молока отбирали через </w:t>
      </w:r>
      <w:r w:rsidR="00925703">
        <w:t xml:space="preserve">1, 3, 8 и 24 ч после введения </w:t>
      </w:r>
      <w:r w:rsidR="00627DD3" w:rsidRPr="00627DD3">
        <w:t>тофацитиниба</w:t>
      </w:r>
      <w:r w:rsidR="00925703">
        <w:t xml:space="preserve">. Концентрации тофацитиниба в молоке и </w:t>
      </w:r>
      <w:r w:rsidR="00EE75FB">
        <w:t>сыворотке крови определяли методом ЖХ-МС/МС</w:t>
      </w:r>
      <w:r w:rsidR="00221564">
        <w:t xml:space="preserve"> </w:t>
      </w:r>
      <w:r w:rsidR="00221564" w:rsidRPr="00D62B3D">
        <w:t>(</w:t>
      </w:r>
      <w:r w:rsidR="006B37DD" w:rsidRPr="00D62B3D">
        <w:fldChar w:fldCharType="begin"/>
      </w:r>
      <w:r w:rsidR="006B37DD" w:rsidRPr="00D62B3D">
        <w:instrText xml:space="preserve"> REF _Ref121140284 \h </w:instrText>
      </w:r>
      <w:r w:rsidR="00D62B3D" w:rsidRPr="00D62B3D">
        <w:instrText xml:space="preserve"> \* MERGEFORMAT </w:instrText>
      </w:r>
      <w:r w:rsidR="006B37DD" w:rsidRPr="00D62B3D">
        <w:fldChar w:fldCharType="separate"/>
      </w:r>
      <w:r w:rsidR="00383E6F" w:rsidRPr="00D62B3D">
        <w:rPr>
          <w:bCs/>
        </w:rPr>
        <w:t xml:space="preserve">Таблица </w:t>
      </w:r>
      <w:r w:rsidR="00383E6F" w:rsidRPr="00D62B3D">
        <w:rPr>
          <w:bCs/>
          <w:noProof/>
        </w:rPr>
        <w:t>3</w:t>
      </w:r>
      <w:r w:rsidR="00383E6F" w:rsidRPr="00D62B3D">
        <w:rPr>
          <w:bCs/>
        </w:rPr>
        <w:noBreakHyphen/>
      </w:r>
      <w:r w:rsidR="00383E6F" w:rsidRPr="00D62B3D">
        <w:rPr>
          <w:bCs/>
          <w:noProof/>
        </w:rPr>
        <w:t>5</w:t>
      </w:r>
      <w:r w:rsidR="006B37DD" w:rsidRPr="00D62B3D">
        <w:fldChar w:fldCharType="end"/>
      </w:r>
      <w:r w:rsidR="00C91F77" w:rsidRPr="00D62B3D">
        <w:t>)</w:t>
      </w:r>
      <w:r w:rsidR="00C91F77">
        <w:t xml:space="preserve"> </w:t>
      </w:r>
      <w:r w:rsidR="00C91F77">
        <w:rPr>
          <w:lang w:val="en-US"/>
        </w:rPr>
        <w:fldChar w:fldCharType="begin"/>
      </w:r>
      <w:r w:rsidR="00044A89">
        <w:instrText xml:space="preserve"> ADDIN ZOTERO_ITEM CSL_CITATION {"citationID":"mx9fls7y","properties":{"formattedCitation":"[12]","plainCitation":"[12]","noteIndex":0},"citationItems":[{"id":87803,"uris":["http://zotero.org/groups/4742804/items/DMZ5DFPG"],"itemData":{"id":87803,"type":"webpage","title":"Xeljanz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C91F77">
        <w:rPr>
          <w:lang w:val="en-US"/>
        </w:rPr>
        <w:fldChar w:fldCharType="separate"/>
      </w:r>
      <w:r w:rsidR="00D46D1F">
        <w:rPr>
          <w:rFonts w:cs="Times New Roman"/>
        </w:rPr>
        <w:t>[1</w:t>
      </w:r>
      <w:r w:rsidR="00044A89" w:rsidRPr="00044A89">
        <w:rPr>
          <w:rFonts w:cs="Times New Roman"/>
        </w:rPr>
        <w:t>]</w:t>
      </w:r>
      <w:r w:rsidR="00C91F77">
        <w:rPr>
          <w:lang w:val="en-US"/>
        </w:rPr>
        <w:fldChar w:fldCharType="end"/>
      </w:r>
      <w:r w:rsidR="00C91F77">
        <w:t>.</w:t>
      </w:r>
      <w:r w:rsidR="00EE75FB">
        <w:t xml:space="preserve"> </w:t>
      </w:r>
    </w:p>
    <w:p w14:paraId="2B8B32F8" w14:textId="77777777" w:rsidR="005A1F67" w:rsidRDefault="005A1F67" w:rsidP="00D36ADC">
      <w:pPr>
        <w:pStyle w:val="SDText"/>
        <w:contextualSpacing/>
      </w:pPr>
    </w:p>
    <w:p w14:paraId="75263594" w14:textId="77777777" w:rsidR="00791E09" w:rsidRDefault="00791E09" w:rsidP="00D62B3D">
      <w:pPr>
        <w:pStyle w:val="SDText"/>
        <w:spacing w:after="0"/>
        <w:ind w:firstLine="0"/>
        <w:rPr>
          <w:b/>
          <w:bCs/>
        </w:rPr>
        <w:sectPr w:rsidR="00791E09" w:rsidSect="00F85178">
          <w:pgSz w:w="11906" w:h="16838"/>
          <w:pgMar w:top="1134" w:right="850" w:bottom="1134" w:left="1701" w:header="708" w:footer="708" w:gutter="0"/>
          <w:cols w:space="708"/>
          <w:docGrid w:linePitch="360"/>
        </w:sectPr>
      </w:pPr>
      <w:bookmarkStart w:id="131" w:name="_Ref121140284"/>
    </w:p>
    <w:p w14:paraId="2BD95D39" w14:textId="3CE69671" w:rsidR="00C91F77" w:rsidRDefault="006B37DD" w:rsidP="00D62B3D">
      <w:pPr>
        <w:pStyle w:val="SDText"/>
        <w:spacing w:after="0"/>
        <w:ind w:firstLine="0"/>
      </w:pPr>
      <w:r w:rsidRPr="006B37DD">
        <w:rPr>
          <w:b/>
          <w:bCs/>
        </w:rPr>
        <w:lastRenderedPageBreak/>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3</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5</w:t>
      </w:r>
      <w:r w:rsidR="00652269">
        <w:rPr>
          <w:b/>
          <w:bCs/>
        </w:rPr>
        <w:fldChar w:fldCharType="end"/>
      </w:r>
      <w:bookmarkEnd w:id="131"/>
      <w:r w:rsidR="005A1F67" w:rsidRPr="006B37DD">
        <w:rPr>
          <w:b/>
          <w:bCs/>
        </w:rPr>
        <w:t>.</w:t>
      </w:r>
      <w:r w:rsidR="005A1F67">
        <w:rPr>
          <w:b/>
        </w:rPr>
        <w:t xml:space="preserve"> </w:t>
      </w:r>
      <w:r w:rsidR="005A1F67">
        <w:t>Содержание тофацитиниба в сыворотке крови и экск</w:t>
      </w:r>
      <w:r w:rsidR="00311106">
        <w:t>р</w:t>
      </w:r>
      <w:r w:rsidR="005A1F67">
        <w:t>еция с молоком после внутрижелудочного введения в дозе 10 мг/кг.</w:t>
      </w:r>
    </w:p>
    <w:tbl>
      <w:tblPr>
        <w:tblStyle w:val="a4"/>
        <w:tblW w:w="0" w:type="auto"/>
        <w:tblInd w:w="108" w:type="dxa"/>
        <w:tblLook w:val="04A0" w:firstRow="1" w:lastRow="0" w:firstColumn="1" w:lastColumn="0" w:noHBand="0" w:noVBand="1"/>
      </w:tblPr>
      <w:tblGrid>
        <w:gridCol w:w="3007"/>
        <w:gridCol w:w="3115"/>
        <w:gridCol w:w="3234"/>
      </w:tblGrid>
      <w:tr w:rsidR="00211E29" w14:paraId="178416DD" w14:textId="77777777" w:rsidTr="0040049C">
        <w:tc>
          <w:tcPr>
            <w:tcW w:w="3007" w:type="dxa"/>
            <w:shd w:val="clear" w:color="auto" w:fill="D9D9D9" w:themeFill="background1" w:themeFillShade="D9"/>
          </w:tcPr>
          <w:p w14:paraId="18F9872B" w14:textId="12D148E0" w:rsidR="00211E29" w:rsidRPr="00211E29" w:rsidRDefault="001408C4" w:rsidP="00D36ADC">
            <w:pPr>
              <w:ind w:firstLine="0"/>
              <w:contextualSpacing/>
              <w:jc w:val="center"/>
              <w:rPr>
                <w:b/>
                <w:bCs/>
              </w:rPr>
            </w:pPr>
            <w:r>
              <w:rPr>
                <w:b/>
                <w:bCs/>
              </w:rPr>
              <w:t xml:space="preserve">Время после введения </w:t>
            </w:r>
            <w:r w:rsidR="00627DD3" w:rsidRPr="00627DD3">
              <w:rPr>
                <w:b/>
                <w:bCs/>
              </w:rPr>
              <w:t>тофацитиниба</w:t>
            </w:r>
          </w:p>
        </w:tc>
        <w:tc>
          <w:tcPr>
            <w:tcW w:w="3115" w:type="dxa"/>
            <w:shd w:val="clear" w:color="auto" w:fill="D9D9D9" w:themeFill="background1" w:themeFillShade="D9"/>
          </w:tcPr>
          <w:p w14:paraId="37C34D52" w14:textId="0E210CA5" w:rsidR="00211E29" w:rsidRPr="00211E29" w:rsidRDefault="00211E29" w:rsidP="00D36ADC">
            <w:pPr>
              <w:ind w:firstLine="0"/>
              <w:contextualSpacing/>
              <w:jc w:val="center"/>
              <w:rPr>
                <w:b/>
                <w:bCs/>
              </w:rPr>
            </w:pPr>
            <w:r>
              <w:rPr>
                <w:b/>
                <w:bCs/>
              </w:rPr>
              <w:t>Сыворотка крови</w:t>
            </w:r>
            <w:r w:rsidR="001408C4">
              <w:rPr>
                <w:b/>
                <w:bCs/>
              </w:rPr>
              <w:t>, нг/мл</w:t>
            </w:r>
          </w:p>
        </w:tc>
        <w:tc>
          <w:tcPr>
            <w:tcW w:w="3234" w:type="dxa"/>
            <w:shd w:val="clear" w:color="auto" w:fill="D9D9D9" w:themeFill="background1" w:themeFillShade="D9"/>
          </w:tcPr>
          <w:p w14:paraId="5A7A0E51" w14:textId="794EA4A7" w:rsidR="00211E29" w:rsidRPr="00211E29" w:rsidRDefault="001408C4" w:rsidP="00D36ADC">
            <w:pPr>
              <w:ind w:firstLine="0"/>
              <w:contextualSpacing/>
              <w:jc w:val="center"/>
              <w:rPr>
                <w:b/>
                <w:bCs/>
              </w:rPr>
            </w:pPr>
            <w:r>
              <w:rPr>
                <w:b/>
                <w:bCs/>
              </w:rPr>
              <w:t>Молоко, нг/мл</w:t>
            </w:r>
          </w:p>
        </w:tc>
      </w:tr>
      <w:tr w:rsidR="00211E29" w14:paraId="1F90C6ED" w14:textId="77777777" w:rsidTr="0040049C">
        <w:tc>
          <w:tcPr>
            <w:tcW w:w="3007" w:type="dxa"/>
          </w:tcPr>
          <w:p w14:paraId="416DE32B" w14:textId="355DE674" w:rsidR="00211E29" w:rsidRDefault="001408C4" w:rsidP="00D36ADC">
            <w:pPr>
              <w:ind w:firstLine="0"/>
              <w:contextualSpacing/>
            </w:pPr>
            <w:r>
              <w:t>1 ч</w:t>
            </w:r>
          </w:p>
        </w:tc>
        <w:tc>
          <w:tcPr>
            <w:tcW w:w="3115" w:type="dxa"/>
          </w:tcPr>
          <w:p w14:paraId="2FB0BC05" w14:textId="75850154" w:rsidR="00211E29" w:rsidRDefault="00B43F25" w:rsidP="00D36ADC">
            <w:pPr>
              <w:ind w:firstLine="0"/>
              <w:contextualSpacing/>
            </w:pPr>
            <w:r>
              <w:t>1180</w:t>
            </w:r>
          </w:p>
        </w:tc>
        <w:tc>
          <w:tcPr>
            <w:tcW w:w="3234" w:type="dxa"/>
          </w:tcPr>
          <w:p w14:paraId="2A29C5AA" w14:textId="009A0F62" w:rsidR="00211E29" w:rsidRDefault="00C57670" w:rsidP="00D36ADC">
            <w:pPr>
              <w:ind w:firstLine="0"/>
              <w:contextualSpacing/>
            </w:pPr>
            <w:r>
              <w:t>22700</w:t>
            </w:r>
          </w:p>
        </w:tc>
      </w:tr>
      <w:tr w:rsidR="00211E29" w14:paraId="286B587D" w14:textId="77777777" w:rsidTr="0040049C">
        <w:tc>
          <w:tcPr>
            <w:tcW w:w="3007" w:type="dxa"/>
          </w:tcPr>
          <w:p w14:paraId="102C4678" w14:textId="2FFD4560" w:rsidR="00211E29" w:rsidRDefault="001408C4" w:rsidP="00D36ADC">
            <w:pPr>
              <w:ind w:firstLine="0"/>
              <w:contextualSpacing/>
            </w:pPr>
            <w:r>
              <w:t>3 ч</w:t>
            </w:r>
          </w:p>
        </w:tc>
        <w:tc>
          <w:tcPr>
            <w:tcW w:w="3115" w:type="dxa"/>
          </w:tcPr>
          <w:p w14:paraId="0D98314E" w14:textId="50CB8A9B" w:rsidR="00211E29" w:rsidRDefault="00B43F25" w:rsidP="00D36ADC">
            <w:pPr>
              <w:ind w:firstLine="0"/>
              <w:contextualSpacing/>
            </w:pPr>
            <w:r>
              <w:t>390</w:t>
            </w:r>
          </w:p>
        </w:tc>
        <w:tc>
          <w:tcPr>
            <w:tcW w:w="3234" w:type="dxa"/>
          </w:tcPr>
          <w:p w14:paraId="22A82A4C" w14:textId="3A47E680" w:rsidR="00211E29" w:rsidRDefault="00C57670" w:rsidP="00D36ADC">
            <w:pPr>
              <w:ind w:firstLine="0"/>
              <w:contextualSpacing/>
            </w:pPr>
            <w:r>
              <w:t>734</w:t>
            </w:r>
          </w:p>
        </w:tc>
      </w:tr>
      <w:tr w:rsidR="00211E29" w14:paraId="598928B5" w14:textId="77777777" w:rsidTr="0040049C">
        <w:tc>
          <w:tcPr>
            <w:tcW w:w="3007" w:type="dxa"/>
          </w:tcPr>
          <w:p w14:paraId="392E73B3" w14:textId="6DC4E72A" w:rsidR="00211E29" w:rsidRDefault="001408C4" w:rsidP="00D36ADC">
            <w:pPr>
              <w:ind w:firstLine="0"/>
              <w:contextualSpacing/>
            </w:pPr>
            <w:r>
              <w:t>8 ч</w:t>
            </w:r>
          </w:p>
        </w:tc>
        <w:tc>
          <w:tcPr>
            <w:tcW w:w="3115" w:type="dxa"/>
          </w:tcPr>
          <w:p w14:paraId="46196E06" w14:textId="02ECF9B7" w:rsidR="00211E29" w:rsidRDefault="00B43F25" w:rsidP="00D36ADC">
            <w:pPr>
              <w:ind w:firstLine="0"/>
              <w:contextualSpacing/>
            </w:pPr>
            <w:r>
              <w:t>44</w:t>
            </w:r>
          </w:p>
        </w:tc>
        <w:tc>
          <w:tcPr>
            <w:tcW w:w="3234" w:type="dxa"/>
          </w:tcPr>
          <w:p w14:paraId="589EA768" w14:textId="66C161C0" w:rsidR="00211E29" w:rsidRDefault="00C57670" w:rsidP="00D36ADC">
            <w:pPr>
              <w:ind w:firstLine="0"/>
              <w:contextualSpacing/>
            </w:pPr>
            <w:r>
              <w:t>76</w:t>
            </w:r>
          </w:p>
        </w:tc>
      </w:tr>
      <w:tr w:rsidR="00211E29" w14:paraId="4C7A0CBF" w14:textId="77777777" w:rsidTr="0040049C">
        <w:tc>
          <w:tcPr>
            <w:tcW w:w="3007" w:type="dxa"/>
          </w:tcPr>
          <w:p w14:paraId="7DEB7F1E" w14:textId="455FDFED" w:rsidR="00211E29" w:rsidRDefault="001408C4" w:rsidP="00D36ADC">
            <w:pPr>
              <w:ind w:firstLine="0"/>
              <w:contextualSpacing/>
            </w:pPr>
            <w:r>
              <w:t>24 ч</w:t>
            </w:r>
          </w:p>
        </w:tc>
        <w:tc>
          <w:tcPr>
            <w:tcW w:w="3115" w:type="dxa"/>
          </w:tcPr>
          <w:p w14:paraId="4E789A28" w14:textId="0E4DB817" w:rsidR="00211E29" w:rsidRDefault="00C57670" w:rsidP="00D36ADC">
            <w:pPr>
              <w:ind w:firstLine="0"/>
              <w:contextualSpacing/>
            </w:pPr>
            <w:r>
              <w:t>н</w:t>
            </w:r>
            <w:r w:rsidR="00B43F25">
              <w:t xml:space="preserve">иже </w:t>
            </w:r>
            <w:r>
              <w:t>НПКО</w:t>
            </w:r>
          </w:p>
        </w:tc>
        <w:tc>
          <w:tcPr>
            <w:tcW w:w="3234" w:type="dxa"/>
          </w:tcPr>
          <w:p w14:paraId="03BEDEE8" w14:textId="5FF2F546" w:rsidR="00211E29" w:rsidRDefault="00C57670" w:rsidP="00D36ADC">
            <w:pPr>
              <w:ind w:firstLine="0"/>
              <w:contextualSpacing/>
            </w:pPr>
            <w:r>
              <w:t>ниже НПКО</w:t>
            </w:r>
          </w:p>
        </w:tc>
      </w:tr>
      <w:tr w:rsidR="00481BF4" w14:paraId="1AA0BAC9" w14:textId="77777777" w:rsidTr="0040049C">
        <w:tc>
          <w:tcPr>
            <w:tcW w:w="9356" w:type="dxa"/>
            <w:gridSpan w:val="3"/>
            <w:shd w:val="clear" w:color="auto" w:fill="D9D9D9" w:themeFill="background1" w:themeFillShade="D9"/>
          </w:tcPr>
          <w:p w14:paraId="6E0A425C" w14:textId="53FD2E51" w:rsidR="00481BF4" w:rsidRPr="00481BF4" w:rsidRDefault="00481BF4" w:rsidP="00D36ADC">
            <w:pPr>
              <w:ind w:firstLine="0"/>
              <w:contextualSpacing/>
              <w:jc w:val="center"/>
              <w:rPr>
                <w:b/>
                <w:bCs/>
              </w:rPr>
            </w:pPr>
            <w:r w:rsidRPr="00481BF4">
              <w:rPr>
                <w:b/>
                <w:bCs/>
              </w:rPr>
              <w:t>Токсикокинетика</w:t>
            </w:r>
          </w:p>
        </w:tc>
      </w:tr>
      <w:tr w:rsidR="00211E29" w14:paraId="45726EFC" w14:textId="77777777" w:rsidTr="0040049C">
        <w:tc>
          <w:tcPr>
            <w:tcW w:w="3007" w:type="dxa"/>
          </w:tcPr>
          <w:p w14:paraId="232A7222" w14:textId="47B779B1" w:rsidR="00211E29" w:rsidRDefault="00EE1F14" w:rsidP="00D36ADC">
            <w:pPr>
              <w:ind w:firstLine="0"/>
              <w:contextualSpacing/>
            </w:pPr>
            <w:r w:rsidRPr="00EE1F14">
              <w:t>C</w:t>
            </w:r>
            <w:r w:rsidRPr="00EE1F14">
              <w:rPr>
                <w:vertAlign w:val="subscript"/>
              </w:rPr>
              <w:t>max</w:t>
            </w:r>
          </w:p>
        </w:tc>
        <w:tc>
          <w:tcPr>
            <w:tcW w:w="3115" w:type="dxa"/>
          </w:tcPr>
          <w:p w14:paraId="2E695646" w14:textId="0251E39D" w:rsidR="00211E29" w:rsidRDefault="00B64458" w:rsidP="00D36ADC">
            <w:pPr>
              <w:ind w:firstLine="0"/>
              <w:contextualSpacing/>
            </w:pPr>
            <w:r>
              <w:t>1180</w:t>
            </w:r>
          </w:p>
        </w:tc>
        <w:tc>
          <w:tcPr>
            <w:tcW w:w="3234" w:type="dxa"/>
          </w:tcPr>
          <w:p w14:paraId="1A1F7FB1" w14:textId="39968496" w:rsidR="00211E29" w:rsidRDefault="00B64458" w:rsidP="00D36ADC">
            <w:pPr>
              <w:ind w:firstLine="0"/>
              <w:contextualSpacing/>
            </w:pPr>
            <w:r>
              <w:t>2700</w:t>
            </w:r>
          </w:p>
        </w:tc>
      </w:tr>
      <w:tr w:rsidR="00211E29" w14:paraId="45128CD4" w14:textId="77777777" w:rsidTr="0040049C">
        <w:tc>
          <w:tcPr>
            <w:tcW w:w="3007" w:type="dxa"/>
          </w:tcPr>
          <w:p w14:paraId="5218908A" w14:textId="613489AF" w:rsidR="00211E29" w:rsidRDefault="00F033B3" w:rsidP="00D36ADC">
            <w:pPr>
              <w:ind w:firstLine="0"/>
              <w:contextualSpacing/>
            </w:pPr>
            <w:r>
              <w:rPr>
                <w:lang w:val="en-US"/>
              </w:rPr>
              <w:t>T</w:t>
            </w:r>
            <w:r w:rsidR="00EE1F14" w:rsidRPr="00EE1F14">
              <w:rPr>
                <w:vertAlign w:val="subscript"/>
              </w:rPr>
              <w:t>max</w:t>
            </w:r>
          </w:p>
        </w:tc>
        <w:tc>
          <w:tcPr>
            <w:tcW w:w="3115" w:type="dxa"/>
          </w:tcPr>
          <w:p w14:paraId="136DD38E" w14:textId="415C6084" w:rsidR="00211E29" w:rsidRDefault="00B64458" w:rsidP="00D36ADC">
            <w:pPr>
              <w:ind w:firstLine="0"/>
              <w:contextualSpacing/>
            </w:pPr>
            <w:r>
              <w:t>1</w:t>
            </w:r>
          </w:p>
        </w:tc>
        <w:tc>
          <w:tcPr>
            <w:tcW w:w="3234" w:type="dxa"/>
          </w:tcPr>
          <w:p w14:paraId="7759A4C2" w14:textId="37EFF3AB" w:rsidR="00211E29" w:rsidRDefault="00B64458" w:rsidP="00D36ADC">
            <w:pPr>
              <w:ind w:firstLine="0"/>
              <w:contextualSpacing/>
            </w:pPr>
            <w:r>
              <w:t>1</w:t>
            </w:r>
          </w:p>
        </w:tc>
      </w:tr>
      <w:tr w:rsidR="00EE1F14" w14:paraId="660A0874" w14:textId="77777777" w:rsidTr="0040049C">
        <w:tc>
          <w:tcPr>
            <w:tcW w:w="3007" w:type="dxa"/>
          </w:tcPr>
          <w:p w14:paraId="59DEB6F9" w14:textId="194768DA" w:rsidR="00EE1F14" w:rsidRPr="00EE1F14" w:rsidRDefault="00B07647" w:rsidP="00D36ADC">
            <w:pPr>
              <w:ind w:firstLine="0"/>
              <w:contextualSpacing/>
            </w:pPr>
            <w:r w:rsidRPr="00B07647">
              <w:t>AUC</w:t>
            </w:r>
            <w:r>
              <w:rPr>
                <w:vertAlign w:val="subscript"/>
              </w:rPr>
              <w:t>(</w:t>
            </w:r>
            <w:r w:rsidRPr="00B07647">
              <w:rPr>
                <w:vertAlign w:val="subscript"/>
              </w:rPr>
              <w:t>0-t</w:t>
            </w:r>
            <w:r>
              <w:rPr>
                <w:vertAlign w:val="subscript"/>
              </w:rPr>
              <w:t>)</w:t>
            </w:r>
          </w:p>
        </w:tc>
        <w:tc>
          <w:tcPr>
            <w:tcW w:w="3115" w:type="dxa"/>
          </w:tcPr>
          <w:p w14:paraId="501E4DD7" w14:textId="45878F2D" w:rsidR="00EE1F14" w:rsidRDefault="00B64458" w:rsidP="00D36ADC">
            <w:pPr>
              <w:ind w:firstLine="0"/>
              <w:contextualSpacing/>
            </w:pPr>
            <w:r>
              <w:t>3240</w:t>
            </w:r>
          </w:p>
        </w:tc>
        <w:tc>
          <w:tcPr>
            <w:tcW w:w="3234" w:type="dxa"/>
          </w:tcPr>
          <w:p w14:paraId="359D13B6" w14:textId="32396F93" w:rsidR="00EE1F14" w:rsidRDefault="00B64458" w:rsidP="00D36ADC">
            <w:pPr>
              <w:ind w:firstLine="0"/>
              <w:contextualSpacing/>
            </w:pPr>
            <w:r>
              <w:t>6960</w:t>
            </w:r>
          </w:p>
        </w:tc>
      </w:tr>
      <w:tr w:rsidR="00EE1F14" w14:paraId="1B575766" w14:textId="77777777" w:rsidTr="0040049C">
        <w:tc>
          <w:tcPr>
            <w:tcW w:w="3007" w:type="dxa"/>
          </w:tcPr>
          <w:p w14:paraId="3CE497D4" w14:textId="2D762E20" w:rsidR="00EE1F14" w:rsidRPr="00EE1F14" w:rsidRDefault="00F033B3" w:rsidP="00D36ADC">
            <w:pPr>
              <w:ind w:firstLine="0"/>
              <w:contextualSpacing/>
            </w:pPr>
            <w:r>
              <w:rPr>
                <w:lang w:val="en-US"/>
              </w:rPr>
              <w:t>T</w:t>
            </w:r>
            <w:r w:rsidR="00B07647" w:rsidRPr="00B07647">
              <w:rPr>
                <w:vertAlign w:val="subscript"/>
              </w:rPr>
              <w:t>1/2</w:t>
            </w:r>
          </w:p>
        </w:tc>
        <w:tc>
          <w:tcPr>
            <w:tcW w:w="3115" w:type="dxa"/>
          </w:tcPr>
          <w:p w14:paraId="28A1713D" w14:textId="0BF19C64" w:rsidR="00EE1F14" w:rsidRDefault="00B64458" w:rsidP="00D36ADC">
            <w:pPr>
              <w:ind w:firstLine="0"/>
              <w:contextualSpacing/>
            </w:pPr>
            <w:r>
              <w:t>1,49</w:t>
            </w:r>
          </w:p>
        </w:tc>
        <w:tc>
          <w:tcPr>
            <w:tcW w:w="3234" w:type="dxa"/>
          </w:tcPr>
          <w:p w14:paraId="5482071A" w14:textId="264079DD" w:rsidR="00EE1F14" w:rsidRDefault="00524571" w:rsidP="00D36ADC">
            <w:pPr>
              <w:ind w:firstLine="0"/>
              <w:contextualSpacing/>
            </w:pPr>
            <w:r>
              <w:t>1,39</w:t>
            </w:r>
          </w:p>
        </w:tc>
      </w:tr>
      <w:tr w:rsidR="005A1F67" w14:paraId="50BC7FFE" w14:textId="77777777" w:rsidTr="0040049C">
        <w:tc>
          <w:tcPr>
            <w:tcW w:w="9356" w:type="dxa"/>
            <w:gridSpan w:val="3"/>
          </w:tcPr>
          <w:p w14:paraId="70A95D01" w14:textId="0D1B3E90" w:rsidR="005A1F67" w:rsidRPr="005A1F67" w:rsidRDefault="005A1F67" w:rsidP="005A1F67">
            <w:pPr>
              <w:pStyle w:val="SDcomments"/>
              <w:ind w:firstLine="0"/>
              <w:contextualSpacing/>
              <w:rPr>
                <w:b/>
                <w:iCs/>
              </w:rPr>
            </w:pPr>
            <w:r w:rsidRPr="005A1F67">
              <w:rPr>
                <w:b/>
                <w:iCs/>
              </w:rPr>
              <w:t>Примечани</w:t>
            </w:r>
            <w:r w:rsidR="00D62B3D">
              <w:rPr>
                <w:b/>
                <w:iCs/>
              </w:rPr>
              <w:t>е</w:t>
            </w:r>
            <w:r w:rsidRPr="005A1F67">
              <w:rPr>
                <w:b/>
                <w:iCs/>
              </w:rPr>
              <w:t>:</w:t>
            </w:r>
          </w:p>
          <w:p w14:paraId="21443546" w14:textId="7C4DFA93" w:rsidR="005A1F67" w:rsidRDefault="005A1F67" w:rsidP="005A1F67">
            <w:pPr>
              <w:pStyle w:val="SDcomments"/>
              <w:ind w:firstLine="0"/>
              <w:contextualSpacing/>
            </w:pPr>
            <w:r w:rsidRPr="00EE1F14">
              <w:t>C</w:t>
            </w:r>
            <w:r w:rsidRPr="00EE1F14">
              <w:rPr>
                <w:vertAlign w:val="subscript"/>
              </w:rPr>
              <w:t>max</w:t>
            </w:r>
            <w:r>
              <w:t xml:space="preserve"> – максимальная концентрация; </w:t>
            </w:r>
            <w:r w:rsidR="00F033B3">
              <w:rPr>
                <w:lang w:val="en-US"/>
              </w:rPr>
              <w:t>T</w:t>
            </w:r>
            <w:r w:rsidRPr="008470D7">
              <w:rPr>
                <w:vertAlign w:val="subscript"/>
              </w:rPr>
              <w:t>max</w:t>
            </w:r>
            <w:r>
              <w:t xml:space="preserve"> – время достижения максимальной концентрации; </w:t>
            </w:r>
            <w:r w:rsidRPr="00B07647">
              <w:t>AUC</w:t>
            </w:r>
            <w:r>
              <w:rPr>
                <w:vertAlign w:val="subscript"/>
              </w:rPr>
              <w:t>(</w:t>
            </w:r>
            <w:r w:rsidRPr="00B07647">
              <w:rPr>
                <w:vertAlign w:val="subscript"/>
              </w:rPr>
              <w:t>0-t</w:t>
            </w:r>
            <w:r>
              <w:rPr>
                <w:vertAlign w:val="subscript"/>
              </w:rPr>
              <w:t>)</w:t>
            </w:r>
            <w:r>
              <w:t xml:space="preserve"> – площадь под фармакокинетической кривой «концентрация-время» от начального момента времени до последней определяемой концентрации во временной точке </w:t>
            </w:r>
            <w:r>
              <w:rPr>
                <w:lang w:val="en-US"/>
              </w:rPr>
              <w:t>t</w:t>
            </w:r>
            <w:r>
              <w:t xml:space="preserve">; </w:t>
            </w:r>
            <w:r w:rsidR="00F033B3">
              <w:rPr>
                <w:lang w:val="en-US"/>
              </w:rPr>
              <w:t>T</w:t>
            </w:r>
            <w:r w:rsidRPr="00B07647">
              <w:rPr>
                <w:vertAlign w:val="subscript"/>
              </w:rPr>
              <w:t>1/2</w:t>
            </w:r>
            <w:r>
              <w:t xml:space="preserve"> – период полувыведения; НПКО = 1 нг/мл.</w:t>
            </w:r>
          </w:p>
        </w:tc>
      </w:tr>
    </w:tbl>
    <w:p w14:paraId="09BD6049" w14:textId="77777777" w:rsidR="002628E8" w:rsidRDefault="002628E8" w:rsidP="0040049C">
      <w:pPr>
        <w:pStyle w:val="SDText"/>
        <w:spacing w:after="0"/>
        <w:contextualSpacing/>
      </w:pPr>
    </w:p>
    <w:p w14:paraId="54BB91C6" w14:textId="6E03B7EE" w:rsidR="003D62F9" w:rsidRPr="005A1F67" w:rsidRDefault="00D62B3D" w:rsidP="00D62B3D">
      <w:pPr>
        <w:pStyle w:val="3"/>
        <w:numPr>
          <w:ilvl w:val="0"/>
          <w:numId w:val="0"/>
        </w:numPr>
        <w:ind w:left="720" w:hanging="720"/>
      </w:pPr>
      <w:bookmarkStart w:id="132" w:name="_Toc115421042"/>
      <w:bookmarkStart w:id="133" w:name="_Toc121592575"/>
      <w:r>
        <w:t xml:space="preserve">3.2.6. </w:t>
      </w:r>
      <w:r w:rsidR="003D62F9" w:rsidRPr="005A1F67">
        <w:t>Фармакокинетические лекарственные взаимодействия</w:t>
      </w:r>
      <w:bookmarkEnd w:id="132"/>
      <w:bookmarkEnd w:id="133"/>
    </w:p>
    <w:p w14:paraId="30A7E80D" w14:textId="77777777" w:rsidR="00BD2318" w:rsidRDefault="00BD2318" w:rsidP="0040049C">
      <w:pPr>
        <w:pStyle w:val="SDText"/>
        <w:spacing w:after="0"/>
        <w:contextualSpacing/>
      </w:pPr>
    </w:p>
    <w:p w14:paraId="154052E6" w14:textId="28436A01" w:rsidR="00175DC1" w:rsidRDefault="00175DC1" w:rsidP="0040049C">
      <w:pPr>
        <w:pStyle w:val="SDText"/>
        <w:spacing w:after="0"/>
        <w:contextualSpacing/>
      </w:pPr>
      <w:r>
        <w:t xml:space="preserve">В исследовании 060532 с использованием клеток </w:t>
      </w:r>
      <w:r>
        <w:rPr>
          <w:lang w:val="en-US"/>
        </w:rPr>
        <w:t>Caco</w:t>
      </w:r>
      <w:r w:rsidRPr="0095177C">
        <w:t>-</w:t>
      </w:r>
      <w:r w:rsidRPr="003B4504">
        <w:t>2</w:t>
      </w:r>
      <w:r w:rsidRPr="0095177C">
        <w:t xml:space="preserve"> </w:t>
      </w:r>
      <w:r>
        <w:t xml:space="preserve">установили, что </w:t>
      </w:r>
      <w:r w:rsidR="00627DD3" w:rsidRPr="00627DD3">
        <w:t>тофацитиниб</w:t>
      </w:r>
      <w:r w:rsidR="00627DD3">
        <w:t xml:space="preserve"> </w:t>
      </w:r>
      <w:r>
        <w:t xml:space="preserve">является слабым ингибитором </w:t>
      </w:r>
      <w:r>
        <w:rPr>
          <w:lang w:val="en-US"/>
        </w:rPr>
        <w:t>P</w:t>
      </w:r>
      <w:r w:rsidRPr="0095177C">
        <w:t>-</w:t>
      </w:r>
      <w:r>
        <w:t>гликопротеина. Кажущаяся проницаемость для дигоксина без добавления тофацитиниба составила 1,76*10</w:t>
      </w:r>
      <w:r>
        <w:rPr>
          <w:vertAlign w:val="superscript"/>
        </w:rPr>
        <w:t>-6</w:t>
      </w:r>
      <w:r>
        <w:t xml:space="preserve"> см/с в направлении абсорбции и 12,25*10</w:t>
      </w:r>
      <w:r>
        <w:rPr>
          <w:vertAlign w:val="superscript"/>
        </w:rPr>
        <w:t>-6</w:t>
      </w:r>
      <w:r>
        <w:t xml:space="preserve"> в направлении секреции. В присутствии </w:t>
      </w:r>
      <w:r w:rsidR="00627DD3" w:rsidRPr="00627DD3">
        <w:t xml:space="preserve">тофацитиниба </w:t>
      </w:r>
      <w:r>
        <w:t>поток дигоксина ингибировалс</w:t>
      </w:r>
      <w:r w:rsidR="00083A29">
        <w:t>я</w:t>
      </w:r>
      <w:r>
        <w:t xml:space="preserve"> на 72%, но не полностью (</w:t>
      </w:r>
      <w:bookmarkStart w:id="134" w:name="_Hlk113700698"/>
      <w:r w:rsidRPr="00F1331B">
        <w:rPr>
          <w:lang w:val="en-US"/>
        </w:rPr>
        <w:t>IC</w:t>
      </w:r>
      <w:r w:rsidRPr="00F1331B">
        <w:rPr>
          <w:vertAlign w:val="subscript"/>
        </w:rPr>
        <w:t>50</w:t>
      </w:r>
      <w:bookmarkEnd w:id="134"/>
      <w:r>
        <w:rPr>
          <w:vertAlign w:val="subscript"/>
        </w:rPr>
        <w:t> </w:t>
      </w:r>
      <w:r>
        <w:t>311 мкмоль/л). Кетоконазол полностью ингибировал поток дигоксина (</w:t>
      </w:r>
      <w:r w:rsidRPr="00F1331B">
        <w:rPr>
          <w:lang w:val="en-US"/>
        </w:rPr>
        <w:t>IC</w:t>
      </w:r>
      <w:r w:rsidRPr="00F1331B">
        <w:rPr>
          <w:vertAlign w:val="subscript"/>
        </w:rPr>
        <w:t>50</w:t>
      </w:r>
      <w:r>
        <w:rPr>
          <w:vertAlign w:val="subscript"/>
        </w:rPr>
        <w:t> </w:t>
      </w:r>
      <w:r>
        <w:t xml:space="preserve">6,3 мкмоль/л) </w:t>
      </w:r>
      <w:r>
        <w:rPr>
          <w:lang w:val="en-US"/>
        </w:rPr>
        <w:fldChar w:fldCharType="begin"/>
      </w:r>
      <w:r w:rsidR="00044A89">
        <w:instrText xml:space="preserve"> ADDIN ZOTERO_ITEM CSL_CITATION {"citationID":"rulBP3d6","properties":{"formattedCitation":"[12]","plainCitation":"[12]","noteIndex":0},"citationItems":[{"id":87803,"uris":["http://zotero.org/groups/4742804/items/DMZ5DFPG"],"itemData":{"id":87803,"type":"webpage","title":"Xeljanz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5FB905AA" w14:textId="54B8D9AA" w:rsidR="00175DC1" w:rsidRDefault="00175DC1" w:rsidP="0040049C">
      <w:pPr>
        <w:pStyle w:val="SDText"/>
        <w:spacing w:after="0"/>
        <w:contextualSpacing/>
      </w:pPr>
      <w:r>
        <w:t xml:space="preserve">В другом исследовании </w:t>
      </w:r>
      <w:r w:rsidRPr="0093519F">
        <w:rPr>
          <w:i/>
          <w:iCs/>
          <w:lang w:val="en-US"/>
        </w:rPr>
        <w:t>in</w:t>
      </w:r>
      <w:r w:rsidRPr="0093519F">
        <w:rPr>
          <w:i/>
          <w:iCs/>
        </w:rPr>
        <w:t xml:space="preserve"> </w:t>
      </w:r>
      <w:r w:rsidRPr="0093519F">
        <w:rPr>
          <w:i/>
          <w:iCs/>
          <w:lang w:val="en-US"/>
        </w:rPr>
        <w:t>vitro</w:t>
      </w:r>
      <w:r w:rsidRPr="0093519F">
        <w:t xml:space="preserve"> </w:t>
      </w:r>
      <w:r>
        <w:t xml:space="preserve">на клетках </w:t>
      </w:r>
      <w:r w:rsidR="00931116">
        <w:t>Мадин-Дарби почек собак (</w:t>
      </w:r>
      <w:r w:rsidR="000A0F20" w:rsidRPr="000A0F20">
        <w:t>Madin-Darby canine kidney</w:t>
      </w:r>
      <w:r w:rsidR="000A0F20">
        <w:t xml:space="preserve">, </w:t>
      </w:r>
      <w:r w:rsidRPr="00BD7521">
        <w:t>MDCK</w:t>
      </w:r>
      <w:r w:rsidR="00931116">
        <w:t>)</w:t>
      </w:r>
      <w:r w:rsidR="00E90392">
        <w:t xml:space="preserve"> </w:t>
      </w:r>
      <w:r w:rsidR="00E90392">
        <w:rPr>
          <w:lang w:val="en-US"/>
        </w:rPr>
        <w:t>II</w:t>
      </w:r>
      <w:r w:rsidR="00AC4E03">
        <w:t xml:space="preserve"> со стабильной</w:t>
      </w:r>
      <w:r w:rsidR="00CB289F">
        <w:t xml:space="preserve"> экспресси</w:t>
      </w:r>
      <w:r w:rsidR="00AC4E03">
        <w:t>ей</w:t>
      </w:r>
      <w:r w:rsidR="00CB289F">
        <w:t xml:space="preserve"> бел</w:t>
      </w:r>
      <w:r w:rsidR="00AC4E03">
        <w:t>ка</w:t>
      </w:r>
      <w:r w:rsidR="00CB289F">
        <w:t xml:space="preserve"> множественной резистентности </w:t>
      </w:r>
      <w:r w:rsidR="00C04C07">
        <w:t>1 (</w:t>
      </w:r>
      <w:r w:rsidR="00C04C07" w:rsidRPr="00C04C07">
        <w:t>multidrug-resistance</w:t>
      </w:r>
      <w:r w:rsidR="00C04C07">
        <w:t xml:space="preserve"> 1, </w:t>
      </w:r>
      <w:r>
        <w:rPr>
          <w:lang w:val="en-US"/>
        </w:rPr>
        <w:t>MDR</w:t>
      </w:r>
      <w:r w:rsidRPr="00CE1E4F">
        <w:t>1</w:t>
      </w:r>
      <w:r w:rsidR="00C04C07">
        <w:t>)</w:t>
      </w:r>
      <w:r w:rsidR="00C17F6C" w:rsidRPr="00C17F6C">
        <w:t xml:space="preserve"> </w:t>
      </w:r>
      <w:r w:rsidR="00C17F6C">
        <w:t>(</w:t>
      </w:r>
      <w:r w:rsidR="00C17F6C" w:rsidRPr="00C95F04">
        <w:rPr>
          <w:i/>
          <w:iCs/>
        </w:rPr>
        <w:t>ABCB1</w:t>
      </w:r>
      <w:r w:rsidR="00C17F6C" w:rsidRPr="00AC4E03">
        <w:t>)</w:t>
      </w:r>
      <w:r w:rsidR="0059795A">
        <w:t xml:space="preserve">, трансфицированных </w:t>
      </w:r>
      <w:r w:rsidR="00C17F6C">
        <w:t xml:space="preserve">геном, кодирующим </w:t>
      </w:r>
      <w:r w:rsidR="00B63C92" w:rsidRPr="00B63C92">
        <w:t>P-гликопротеин</w:t>
      </w:r>
      <w:r w:rsidR="00B63C92">
        <w:t xml:space="preserve"> человека</w:t>
      </w:r>
      <w:r w:rsidR="00083A29">
        <w:t>,</w:t>
      </w:r>
      <w:r w:rsidR="00B63C92" w:rsidRPr="00B63C92">
        <w:t xml:space="preserve"> </w:t>
      </w:r>
      <w:r>
        <w:t xml:space="preserve">установили, что </w:t>
      </w:r>
      <w:r w:rsidR="00627DD3" w:rsidRPr="00627DD3">
        <w:t xml:space="preserve">тофацитиниб </w:t>
      </w:r>
      <w:r>
        <w:t xml:space="preserve">является субстратом </w:t>
      </w:r>
      <w:r>
        <w:rPr>
          <w:lang w:val="en-US"/>
        </w:rPr>
        <w:t>P</w:t>
      </w:r>
      <w:r w:rsidRPr="0093519F">
        <w:t>-</w:t>
      </w:r>
      <w:r>
        <w:t xml:space="preserve">гликопротеина </w:t>
      </w:r>
      <w:r>
        <w:rPr>
          <w:lang w:val="en-US"/>
        </w:rPr>
        <w:fldChar w:fldCharType="begin"/>
      </w:r>
      <w:r w:rsidR="00044A89">
        <w:instrText xml:space="preserve"> ADDIN ZOTERO_ITEM CSL_CITATION {"citationID":"YTdAqFTQ","properties":{"formattedCitation":"[12]","plainCitation":"[12]","noteIndex":0},"citationItems":[{"id":87803,"uris":["http://zotero.org/groups/4742804/items/DMZ5DFPG"],"itemData":{"id":87803,"type":"webpage","title":"Xeljanz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581B28DE" w14:textId="0FFAE1C1" w:rsidR="00175DC1" w:rsidRDefault="00175DC1" w:rsidP="00D36ADC">
      <w:pPr>
        <w:pStyle w:val="SDText"/>
        <w:contextualSpacing/>
      </w:pPr>
      <w:r>
        <w:t xml:space="preserve">В исследовании 192119 на клетках </w:t>
      </w:r>
      <w:r w:rsidR="000B1340">
        <w:t xml:space="preserve">почки эмбриона человека </w:t>
      </w:r>
      <w:r w:rsidR="00DC7CBA">
        <w:t xml:space="preserve">293 </w:t>
      </w:r>
      <w:r w:rsidR="000B1340">
        <w:t>(</w:t>
      </w:r>
      <w:r w:rsidR="000B1340" w:rsidRPr="000B1340">
        <w:t>Human embryonic kidney</w:t>
      </w:r>
      <w:r w:rsidR="00DC7CBA">
        <w:t xml:space="preserve"> 293</w:t>
      </w:r>
      <w:r w:rsidR="000B1340">
        <w:t xml:space="preserve">, </w:t>
      </w:r>
      <w:r>
        <w:rPr>
          <w:lang w:val="en-US"/>
        </w:rPr>
        <w:t>HEK</w:t>
      </w:r>
      <w:r w:rsidRPr="0097737C">
        <w:t>293</w:t>
      </w:r>
      <w:r w:rsidR="00DC7CBA">
        <w:t>)</w:t>
      </w:r>
      <w:r w:rsidRPr="0097737C">
        <w:t xml:space="preserve"> </w:t>
      </w:r>
      <w:r>
        <w:t xml:space="preserve">дикого типа и клетках </w:t>
      </w:r>
      <w:r>
        <w:rPr>
          <w:lang w:val="en-US"/>
        </w:rPr>
        <w:t>HEK</w:t>
      </w:r>
      <w:r w:rsidRPr="0097737C">
        <w:t xml:space="preserve">293 </w:t>
      </w:r>
      <w:r>
        <w:t xml:space="preserve">с увеличенной экспрессией рекомбинантного транспортера печеночного захвата человека </w:t>
      </w:r>
      <w:r w:rsidRPr="001D56B2">
        <w:t>OATP 1B1</w:t>
      </w:r>
      <w:r>
        <w:t xml:space="preserve"> (</w:t>
      </w:r>
      <w:r>
        <w:rPr>
          <w:lang w:val="en-US"/>
        </w:rPr>
        <w:t>HEK</w:t>
      </w:r>
      <w:r w:rsidRPr="00DE1249">
        <w:t xml:space="preserve"> </w:t>
      </w:r>
      <w:r w:rsidRPr="001D56B2">
        <w:t>OATP 1B1</w:t>
      </w:r>
      <w:r w:rsidRPr="00DE1249">
        <w:t xml:space="preserve">) </w:t>
      </w:r>
      <w:r>
        <w:t xml:space="preserve">установили, что </w:t>
      </w:r>
      <w:r w:rsidR="00EA27D8" w:rsidRPr="00EA27D8">
        <w:t>тофацитиниб</w:t>
      </w:r>
      <w:r w:rsidR="00EA27D8">
        <w:t xml:space="preserve"> </w:t>
      </w:r>
      <w:r>
        <w:t xml:space="preserve">является ингибитором </w:t>
      </w:r>
      <w:r>
        <w:rPr>
          <w:lang w:val="en-US"/>
        </w:rPr>
        <w:t>OATP</w:t>
      </w:r>
      <w:r w:rsidRPr="0097737C">
        <w:t xml:space="preserve"> 1</w:t>
      </w:r>
      <w:r>
        <w:rPr>
          <w:lang w:val="en-US"/>
        </w:rPr>
        <w:t>B</w:t>
      </w:r>
      <w:r w:rsidRPr="0097737C">
        <w:t>1</w:t>
      </w:r>
      <w:r>
        <w:t xml:space="preserve">. При концентрации </w:t>
      </w:r>
      <w:r w:rsidR="0088428D" w:rsidRPr="0088428D">
        <w:t>тофацитиниба</w:t>
      </w:r>
      <w:r>
        <w:t xml:space="preserve">, равной 1000 мкмоль/л, ингибирование составило 94%, а </w:t>
      </w:r>
      <w:r w:rsidRPr="00F1331B">
        <w:rPr>
          <w:lang w:val="en-US"/>
        </w:rPr>
        <w:t>IC</w:t>
      </w:r>
      <w:r w:rsidRPr="00F1331B">
        <w:rPr>
          <w:vertAlign w:val="subscript"/>
        </w:rPr>
        <w:t>50</w:t>
      </w:r>
      <w:r>
        <w:rPr>
          <w:vertAlign w:val="subscript"/>
        </w:rPr>
        <w:t xml:space="preserve"> </w:t>
      </w:r>
      <w:r>
        <w:t>равнялась 55,3 мкмоль/л. Рифамицин приводил к 100% ингибированию при концентрации 30 мкмоль/л</w:t>
      </w:r>
      <w:r w:rsidRPr="007E28AB">
        <w:t xml:space="preserve"> </w:t>
      </w:r>
      <w:r>
        <w:rPr>
          <w:lang w:val="en-US"/>
        </w:rPr>
        <w:fldChar w:fldCharType="begin"/>
      </w:r>
      <w:r w:rsidR="00044A89">
        <w:instrText xml:space="preserve"> ADDIN ZOTERO_ITEM CSL_CITATION {"citationID":"HpqJewYr","properties":{"formattedCitation":"[12]","plainCitation":"[12]","noteIndex":0},"citationItems":[{"id":87803,"uris":["http://zotero.org/groups/4742804/items/DMZ5DFPG"],"itemData":{"id":87803,"type":"webpage","title":"Xeljanz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24FBABE2" w14:textId="49026964" w:rsidR="00175DC1" w:rsidRPr="007E28AB" w:rsidRDefault="00175DC1" w:rsidP="00D36ADC">
      <w:pPr>
        <w:pStyle w:val="SDText"/>
        <w:contextualSpacing/>
      </w:pPr>
      <w:r>
        <w:t xml:space="preserve">В исследовании 095440 </w:t>
      </w:r>
      <w:r w:rsidR="00DE7666">
        <w:t xml:space="preserve">с использованием клеток </w:t>
      </w:r>
      <w:r w:rsidR="00DE7666">
        <w:rPr>
          <w:lang w:val="en-US"/>
        </w:rPr>
        <w:t>HEK</w:t>
      </w:r>
      <w:r w:rsidR="00DE7666" w:rsidRPr="0097737C">
        <w:t xml:space="preserve">293 </w:t>
      </w:r>
      <w:r w:rsidR="00DE7666">
        <w:t xml:space="preserve">дикого типа </w:t>
      </w:r>
      <w:r w:rsidR="00E8751B">
        <w:t xml:space="preserve">выявили, что </w:t>
      </w:r>
      <w:r w:rsidR="0088428D" w:rsidRPr="0088428D">
        <w:t>тофацитиниб</w:t>
      </w:r>
      <w:r w:rsidR="0088428D">
        <w:t xml:space="preserve"> </w:t>
      </w:r>
      <w:r w:rsidR="00E8751B">
        <w:t xml:space="preserve">не является ингибитором </w:t>
      </w:r>
      <w:r w:rsidR="00C066EC" w:rsidRPr="001D56B2">
        <w:t>OATP 1B</w:t>
      </w:r>
      <w:r w:rsidR="00C066EC">
        <w:t xml:space="preserve">3 </w:t>
      </w:r>
      <w:r w:rsidR="00C066EC">
        <w:rPr>
          <w:lang w:val="en-US"/>
        </w:rPr>
        <w:fldChar w:fldCharType="begin"/>
      </w:r>
      <w:r w:rsidR="00044A89">
        <w:instrText xml:space="preserve"> ADDIN ZOTERO_ITEM CSL_CITATION {"citationID":"tnGiiX1Q","properties":{"formattedCitation":"[12]","plainCitation":"[12]","noteIndex":0},"citationItems":[{"id":87803,"uris":["http://zotero.org/groups/4742804/items/DMZ5DFPG"],"itemData":{"id":87803,"type":"webpage","title":"Xeljanz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C066EC">
        <w:rPr>
          <w:lang w:val="en-US"/>
        </w:rPr>
        <w:fldChar w:fldCharType="separate"/>
      </w:r>
      <w:r w:rsidR="00D46D1F">
        <w:rPr>
          <w:rFonts w:cs="Times New Roman"/>
        </w:rPr>
        <w:t>[1</w:t>
      </w:r>
      <w:r w:rsidR="00044A89" w:rsidRPr="00044A89">
        <w:rPr>
          <w:rFonts w:cs="Times New Roman"/>
        </w:rPr>
        <w:t>]</w:t>
      </w:r>
      <w:r w:rsidR="00C066EC">
        <w:rPr>
          <w:lang w:val="en-US"/>
        </w:rPr>
        <w:fldChar w:fldCharType="end"/>
      </w:r>
      <w:r w:rsidR="00C066EC">
        <w:t>.</w:t>
      </w:r>
    </w:p>
    <w:p w14:paraId="22768C78" w14:textId="076EB185" w:rsidR="00175DC1" w:rsidRDefault="00015AD6" w:rsidP="00D36ADC">
      <w:pPr>
        <w:pStyle w:val="SDText"/>
        <w:contextualSpacing/>
      </w:pPr>
      <w:r>
        <w:t xml:space="preserve">В исследовании </w:t>
      </w:r>
      <w:r w:rsidR="007E6A6F" w:rsidRPr="007E6A6F">
        <w:t>135323</w:t>
      </w:r>
      <w:r w:rsidR="007E6A6F">
        <w:t xml:space="preserve">, проведенном на клетках </w:t>
      </w:r>
      <w:r w:rsidR="007E6A6F" w:rsidRPr="007E6A6F">
        <w:t>HEK293</w:t>
      </w:r>
      <w:r w:rsidR="002B73B5">
        <w:t xml:space="preserve"> с трансфицированным </w:t>
      </w:r>
      <w:r w:rsidR="00983056">
        <w:t xml:space="preserve">геном транспортера органических </w:t>
      </w:r>
      <w:r w:rsidR="003716B4">
        <w:t>катионов</w:t>
      </w:r>
      <w:r w:rsidR="00983056">
        <w:t xml:space="preserve"> </w:t>
      </w:r>
      <w:r w:rsidR="003716B4">
        <w:t>2 (</w:t>
      </w:r>
      <w:r w:rsidR="003716B4" w:rsidRPr="003716B4">
        <w:t>organic cationic transporter</w:t>
      </w:r>
      <w:r w:rsidR="003716B4">
        <w:t xml:space="preserve"> 2, </w:t>
      </w:r>
      <w:r w:rsidR="00B71569" w:rsidRPr="00B71569">
        <w:t>OCT2</w:t>
      </w:r>
      <w:r w:rsidR="003716B4">
        <w:t>)</w:t>
      </w:r>
      <w:r w:rsidR="00007B81">
        <w:t xml:space="preserve"> </w:t>
      </w:r>
      <w:r w:rsidR="003716B4">
        <w:t>почечных канальцев</w:t>
      </w:r>
      <w:r w:rsidR="00083A29">
        <w:t>,</w:t>
      </w:r>
      <w:r w:rsidR="003716B4">
        <w:t xml:space="preserve"> </w:t>
      </w:r>
      <w:r w:rsidR="0088428D" w:rsidRPr="0088428D">
        <w:t>тофацитиниб</w:t>
      </w:r>
      <w:r w:rsidR="0088428D">
        <w:t xml:space="preserve"> </w:t>
      </w:r>
      <w:r w:rsidR="00B71569">
        <w:t xml:space="preserve">ингибировал клеточный захват </w:t>
      </w:r>
      <w:r w:rsidR="0096166D">
        <w:t xml:space="preserve">креатинина с </w:t>
      </w:r>
      <w:r w:rsidR="0096166D" w:rsidRPr="00F1331B">
        <w:rPr>
          <w:lang w:val="en-US"/>
        </w:rPr>
        <w:t>IC</w:t>
      </w:r>
      <w:r w:rsidR="0096166D" w:rsidRPr="00F1331B">
        <w:rPr>
          <w:vertAlign w:val="subscript"/>
        </w:rPr>
        <w:t>50</w:t>
      </w:r>
      <w:r w:rsidR="0096166D">
        <w:t xml:space="preserve">, равной </w:t>
      </w:r>
      <w:r w:rsidR="00EE0E3D">
        <w:t xml:space="preserve">150 мкмоль/л. В сериях положительного контроля для циметидина </w:t>
      </w:r>
      <w:r w:rsidR="00EE0E3D" w:rsidRPr="00F1331B">
        <w:rPr>
          <w:lang w:val="en-US"/>
        </w:rPr>
        <w:t>IC</w:t>
      </w:r>
      <w:r w:rsidR="00EE0E3D" w:rsidRPr="00F1331B">
        <w:rPr>
          <w:vertAlign w:val="subscript"/>
        </w:rPr>
        <w:t>50</w:t>
      </w:r>
      <w:r w:rsidR="00EE0E3D">
        <w:rPr>
          <w:vertAlign w:val="subscript"/>
        </w:rPr>
        <w:t xml:space="preserve"> </w:t>
      </w:r>
      <w:r w:rsidR="00EE0E3D">
        <w:t xml:space="preserve">составила </w:t>
      </w:r>
      <w:r w:rsidR="000A088A">
        <w:t xml:space="preserve">406 мкмоль/л, а для хинидина – 70 мкмоль/л </w:t>
      </w:r>
      <w:r w:rsidR="000A088A">
        <w:rPr>
          <w:lang w:val="en-US"/>
        </w:rPr>
        <w:fldChar w:fldCharType="begin"/>
      </w:r>
      <w:r w:rsidR="00044A89">
        <w:instrText xml:space="preserve"> ADDIN ZOTERO_ITEM CSL_CITATION {"citationID":"CjEN5urY","properties":{"formattedCitation":"[12]","plainCitation":"[12]","noteIndex":0},"citationItems":[{"id":87803,"uris":["http://zotero.org/groups/4742804/items/DMZ5DFPG"],"itemData":{"id":87803,"type":"webpage","title":"Xeljanz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0A088A">
        <w:rPr>
          <w:lang w:val="en-US"/>
        </w:rPr>
        <w:fldChar w:fldCharType="separate"/>
      </w:r>
      <w:r w:rsidR="00D46D1F">
        <w:rPr>
          <w:rFonts w:cs="Times New Roman"/>
        </w:rPr>
        <w:t>[1</w:t>
      </w:r>
      <w:r w:rsidR="00044A89" w:rsidRPr="00044A89">
        <w:rPr>
          <w:rFonts w:cs="Times New Roman"/>
        </w:rPr>
        <w:t>]</w:t>
      </w:r>
      <w:r w:rsidR="000A088A">
        <w:rPr>
          <w:lang w:val="en-US"/>
        </w:rPr>
        <w:fldChar w:fldCharType="end"/>
      </w:r>
      <w:r w:rsidR="000A088A">
        <w:t>.</w:t>
      </w:r>
    </w:p>
    <w:p w14:paraId="59AA0DA4" w14:textId="6D7B9CA7" w:rsidR="001C71D1" w:rsidRDefault="001C71D1" w:rsidP="00D36ADC">
      <w:pPr>
        <w:pStyle w:val="SDText"/>
        <w:contextualSpacing/>
      </w:pPr>
      <w:r>
        <w:t>В иссле</w:t>
      </w:r>
      <w:r w:rsidR="000A0F20">
        <w:t xml:space="preserve">довании 175813 на клетках </w:t>
      </w:r>
      <w:r w:rsidR="000A0F20" w:rsidRPr="000A0F20">
        <w:t>MDCK</w:t>
      </w:r>
      <w:r w:rsidR="00CE337D">
        <w:t xml:space="preserve">, трансфицированных </w:t>
      </w:r>
      <w:r w:rsidR="00D57EF3">
        <w:t>геном белка резистентности рака молочной железы (</w:t>
      </w:r>
      <w:r w:rsidR="0056778C" w:rsidRPr="0056778C">
        <w:t>breast cancer resistance protein</w:t>
      </w:r>
      <w:r w:rsidR="0056778C">
        <w:t>,</w:t>
      </w:r>
      <w:r w:rsidR="0056778C" w:rsidRPr="0056778C">
        <w:t xml:space="preserve"> BCRP</w:t>
      </w:r>
      <w:r w:rsidR="0056778C">
        <w:t>)</w:t>
      </w:r>
      <w:r w:rsidR="00C9027B">
        <w:t xml:space="preserve"> с низкой </w:t>
      </w:r>
      <w:r w:rsidR="00C9027B">
        <w:lastRenderedPageBreak/>
        <w:t>нативной эффлюксной активностью</w:t>
      </w:r>
      <w:r w:rsidR="00FB13D0">
        <w:t>,</w:t>
      </w:r>
      <w:r w:rsidR="00C9027B">
        <w:t xml:space="preserve"> определили, что </w:t>
      </w:r>
      <w:r w:rsidR="0088428D" w:rsidRPr="0088428D">
        <w:t>тофацитиниб</w:t>
      </w:r>
      <w:r w:rsidR="0088428D">
        <w:t xml:space="preserve"> </w:t>
      </w:r>
      <w:r w:rsidR="00C9027B" w:rsidRPr="00C9027B">
        <w:t xml:space="preserve">не является </w:t>
      </w:r>
      <w:r w:rsidR="00DD72A4">
        <w:t xml:space="preserve">субстратом эффлюкса, осуществляемого </w:t>
      </w:r>
      <w:r w:rsidR="00DD72A4" w:rsidRPr="0056778C">
        <w:t>BCRP</w:t>
      </w:r>
      <w:r w:rsidR="00DD72A4">
        <w:t xml:space="preserve"> </w:t>
      </w:r>
      <w:r w:rsidR="00DD72A4">
        <w:rPr>
          <w:lang w:val="en-US"/>
        </w:rPr>
        <w:fldChar w:fldCharType="begin"/>
      </w:r>
      <w:r w:rsidR="00044A89">
        <w:instrText xml:space="preserve"> ADDIN ZOTERO_ITEM CSL_CITATION {"citationID":"8kFGzCz5","properties":{"formattedCitation":"[12]","plainCitation":"[12]","noteIndex":0},"citationItems":[{"id":87803,"uris":["http://zotero.org/groups/4742804/items/DMZ5DFPG"],"itemData":{"id":87803,"type":"webpage","title":"Xeljanz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D72A4">
        <w:rPr>
          <w:lang w:val="en-US"/>
        </w:rPr>
        <w:fldChar w:fldCharType="separate"/>
      </w:r>
      <w:r w:rsidR="00D46D1F">
        <w:rPr>
          <w:rFonts w:cs="Times New Roman"/>
        </w:rPr>
        <w:t>[1</w:t>
      </w:r>
      <w:r w:rsidR="00044A89" w:rsidRPr="00044A89">
        <w:rPr>
          <w:rFonts w:cs="Times New Roman"/>
        </w:rPr>
        <w:t>]</w:t>
      </w:r>
      <w:r w:rsidR="00DD72A4">
        <w:rPr>
          <w:lang w:val="en-US"/>
        </w:rPr>
        <w:fldChar w:fldCharType="end"/>
      </w:r>
      <w:r w:rsidR="00DD72A4">
        <w:t>.</w:t>
      </w:r>
    </w:p>
    <w:p w14:paraId="0C02B438" w14:textId="3994A154" w:rsidR="00DD72A4" w:rsidRDefault="00974453" w:rsidP="00D36ADC">
      <w:pPr>
        <w:pStyle w:val="SDText"/>
        <w:contextualSpacing/>
      </w:pPr>
      <w:r>
        <w:t xml:space="preserve">В исследовании </w:t>
      </w:r>
      <w:r w:rsidRPr="00974453">
        <w:t>DM2001-690550-020</w:t>
      </w:r>
      <w:r>
        <w:t xml:space="preserve"> </w:t>
      </w:r>
      <w:r w:rsidR="00584BAD" w:rsidRPr="007628C9">
        <w:rPr>
          <w:i/>
          <w:iCs/>
          <w:lang w:val="en-US"/>
        </w:rPr>
        <w:t>in</w:t>
      </w:r>
      <w:r w:rsidR="00584BAD" w:rsidRPr="007628C9">
        <w:rPr>
          <w:i/>
          <w:iCs/>
        </w:rPr>
        <w:t xml:space="preserve"> </w:t>
      </w:r>
      <w:r w:rsidR="00584BAD" w:rsidRPr="007628C9">
        <w:rPr>
          <w:i/>
          <w:iCs/>
          <w:lang w:val="en-US"/>
        </w:rPr>
        <w:t>vitro</w:t>
      </w:r>
      <w:r w:rsidR="00584BAD" w:rsidRPr="00584BAD">
        <w:t xml:space="preserve"> </w:t>
      </w:r>
      <w:r w:rsidR="00927101">
        <w:t xml:space="preserve">с использованием изоферментов </w:t>
      </w:r>
      <w:r w:rsidR="007628C9">
        <w:rPr>
          <w:lang w:val="en-US"/>
        </w:rPr>
        <w:t>CYP</w:t>
      </w:r>
      <w:r w:rsidR="007628C9" w:rsidRPr="007628C9">
        <w:t xml:space="preserve"> </w:t>
      </w:r>
      <w:r>
        <w:t xml:space="preserve">установили, что </w:t>
      </w:r>
      <w:r w:rsidR="0088428D" w:rsidRPr="0088428D">
        <w:t>тофацитиниб</w:t>
      </w:r>
      <w:r w:rsidR="0088428D">
        <w:t xml:space="preserve"> </w:t>
      </w:r>
      <w:r w:rsidR="007628C9">
        <w:t xml:space="preserve">не оказывал эффекта в отношении активности </w:t>
      </w:r>
      <w:r w:rsidR="00781EFD">
        <w:t xml:space="preserve">CYP1A2, CYP2B6, CYP2C8, CYP2C9, CYP2C19, CYP2D6 и CYP3A </w:t>
      </w:r>
      <w:r w:rsidR="00781EFD">
        <w:rPr>
          <w:lang w:val="en-US"/>
        </w:rPr>
        <w:fldChar w:fldCharType="begin"/>
      </w:r>
      <w:r w:rsidR="00044A89">
        <w:instrText xml:space="preserve"> ADDIN ZOTERO_ITEM CSL_CITATION {"citationID":"t39T3nlg","properties":{"formattedCitation":"[12]","plainCitation":"[12]","noteIndex":0},"citationItems":[{"id":87803,"uris":["http://zotero.org/groups/4742804/items/DMZ5DFPG"],"itemData":{"id":87803,"type":"webpage","title":"Xeljanz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781EFD">
        <w:rPr>
          <w:lang w:val="en-US"/>
        </w:rPr>
        <w:fldChar w:fldCharType="separate"/>
      </w:r>
      <w:r w:rsidR="00D46D1F">
        <w:rPr>
          <w:rFonts w:cs="Times New Roman"/>
        </w:rPr>
        <w:t>[1</w:t>
      </w:r>
      <w:r w:rsidR="00044A89" w:rsidRPr="00044A89">
        <w:rPr>
          <w:rFonts w:cs="Times New Roman"/>
        </w:rPr>
        <w:t>]</w:t>
      </w:r>
      <w:r w:rsidR="00781EFD">
        <w:rPr>
          <w:lang w:val="en-US"/>
        </w:rPr>
        <w:fldChar w:fldCharType="end"/>
      </w:r>
      <w:r w:rsidR="00781EFD">
        <w:t>.</w:t>
      </w:r>
    </w:p>
    <w:p w14:paraId="4DDFBB42" w14:textId="4790845D" w:rsidR="008D601D" w:rsidRPr="00ED4FAB" w:rsidRDefault="00241B9D" w:rsidP="00D36ADC">
      <w:pPr>
        <w:pStyle w:val="SDText"/>
        <w:contextualSpacing/>
      </w:pPr>
      <w:r>
        <w:t xml:space="preserve">В </w:t>
      </w:r>
      <w:r w:rsidR="008D601D">
        <w:t xml:space="preserve">другом </w:t>
      </w:r>
      <w:r w:rsidRPr="00241B9D">
        <w:rPr>
          <w:i/>
          <w:iCs/>
          <w:lang w:val="en-US"/>
        </w:rPr>
        <w:t>in</w:t>
      </w:r>
      <w:r w:rsidRPr="000C0803">
        <w:rPr>
          <w:i/>
          <w:iCs/>
        </w:rPr>
        <w:t xml:space="preserve"> </w:t>
      </w:r>
      <w:r w:rsidRPr="00241B9D">
        <w:rPr>
          <w:i/>
          <w:iCs/>
          <w:lang w:val="en-US"/>
        </w:rPr>
        <w:t>vitro</w:t>
      </w:r>
      <w:r w:rsidRPr="000C0803">
        <w:t xml:space="preserve"> </w:t>
      </w:r>
      <w:r>
        <w:t xml:space="preserve">исследовании </w:t>
      </w:r>
      <w:r w:rsidR="000C0803">
        <w:t xml:space="preserve">на иммортализированных </w:t>
      </w:r>
      <w:r w:rsidR="00ED4FAB">
        <w:t xml:space="preserve">гепатоцитах человека </w:t>
      </w:r>
      <w:r w:rsidR="00ED4FAB">
        <w:rPr>
          <w:lang w:val="en-US"/>
        </w:rPr>
        <w:t>Fa</w:t>
      </w:r>
      <w:r w:rsidR="00ED4FAB" w:rsidRPr="00ED4FAB">
        <w:t>2</w:t>
      </w:r>
      <w:r w:rsidR="00ED4FAB">
        <w:rPr>
          <w:lang w:val="en-US"/>
        </w:rPr>
        <w:t>N</w:t>
      </w:r>
      <w:r w:rsidR="00ED4FAB" w:rsidRPr="00ED4FAB">
        <w:t xml:space="preserve">-4 </w:t>
      </w:r>
      <w:r w:rsidR="00ED4FAB">
        <w:t xml:space="preserve">и криоконсервированных гепатоцитах человека </w:t>
      </w:r>
      <w:r w:rsidR="00F66BA6">
        <w:t xml:space="preserve">установили, что </w:t>
      </w:r>
      <w:r w:rsidR="0088428D" w:rsidRPr="0088428D">
        <w:t>тофацитиниб</w:t>
      </w:r>
      <w:r w:rsidR="0088428D">
        <w:t xml:space="preserve"> </w:t>
      </w:r>
      <w:r w:rsidR="00F66BA6">
        <w:t xml:space="preserve">индуцировал </w:t>
      </w:r>
      <w:r w:rsidR="005012A6">
        <w:t>CYP3A4, но не CYP1A2</w:t>
      </w:r>
      <w:r w:rsidR="00590EEE">
        <w:t xml:space="preserve">. </w:t>
      </w:r>
      <w:r w:rsidR="00D56E3F">
        <w:t>И</w:t>
      </w:r>
      <w:r w:rsidR="00590EEE">
        <w:t>ндукцию</w:t>
      </w:r>
      <w:r w:rsidR="00590EEE" w:rsidRPr="00590EEE">
        <w:t xml:space="preserve"> </w:t>
      </w:r>
      <w:r w:rsidR="00590EEE">
        <w:t>CYP3A4</w:t>
      </w:r>
      <w:r w:rsidR="00D56E3F">
        <w:t>, зависимую от концентрации,</w:t>
      </w:r>
      <w:r w:rsidR="000C39CB">
        <w:t xml:space="preserve"> в ходе определения содержания </w:t>
      </w:r>
      <w:r w:rsidR="00C83450">
        <w:t>мРНК</w:t>
      </w:r>
      <w:r w:rsidR="00590EEE">
        <w:t xml:space="preserve"> продемонстрировали </w:t>
      </w:r>
      <w:r w:rsidR="00D56E3F">
        <w:t>в обоих типах клеток</w:t>
      </w:r>
      <w:r w:rsidR="009D069D">
        <w:t xml:space="preserve">, а индукцию активности по </w:t>
      </w:r>
      <w:r w:rsidR="00334B53">
        <w:t>тестостерон-6</w:t>
      </w:r>
      <w:r w:rsidR="00334B53">
        <w:rPr>
          <w:rFonts w:cs="Times New Roman"/>
        </w:rPr>
        <w:t>β-гидроксилазе – только в клетках</w:t>
      </w:r>
      <w:r w:rsidR="00A1229B">
        <w:rPr>
          <w:rFonts w:cs="Times New Roman"/>
        </w:rPr>
        <w:t xml:space="preserve"> </w:t>
      </w:r>
      <w:r w:rsidR="00BE0CEE">
        <w:rPr>
          <w:lang w:val="en-US"/>
        </w:rPr>
        <w:t>Fa</w:t>
      </w:r>
      <w:r w:rsidR="00BE0CEE" w:rsidRPr="00ED4FAB">
        <w:t>2</w:t>
      </w:r>
      <w:r w:rsidR="00BE0CEE">
        <w:rPr>
          <w:lang w:val="en-US"/>
        </w:rPr>
        <w:t>N</w:t>
      </w:r>
      <w:r w:rsidR="00BE0CEE" w:rsidRPr="00ED4FAB">
        <w:t>-4</w:t>
      </w:r>
      <w:r w:rsidR="00BE0CEE">
        <w:t xml:space="preserve">. </w:t>
      </w:r>
      <w:r w:rsidR="0088428D">
        <w:t>Т</w:t>
      </w:r>
      <w:r w:rsidR="0088428D" w:rsidRPr="0088428D">
        <w:t>офацитиниб</w:t>
      </w:r>
      <w:r w:rsidR="00BE0CEE">
        <w:t xml:space="preserve"> не </w:t>
      </w:r>
      <w:r w:rsidR="00A971DC">
        <w:t>влиял на</w:t>
      </w:r>
      <w:r w:rsidR="00BE0CEE">
        <w:t xml:space="preserve"> </w:t>
      </w:r>
      <w:r w:rsidR="00956AFC">
        <w:t>этоксирезоруфин</w:t>
      </w:r>
      <w:r w:rsidR="00A971DC">
        <w:t>-О-дезэтилирование</w:t>
      </w:r>
      <w:r w:rsidR="005C5BD6">
        <w:t>.</w:t>
      </w:r>
      <w:r w:rsidR="005C5BD6" w:rsidRPr="005C5BD6">
        <w:t xml:space="preserve"> </w:t>
      </w:r>
      <w:r w:rsidR="005C5BD6">
        <w:t xml:space="preserve">На криоконсервированных гепатоцитах человека определили концентрационно-зависимое увеличение мРНК CYP3A4 при концентрациях </w:t>
      </w:r>
      <w:r w:rsidR="0088428D" w:rsidRPr="0088428D">
        <w:t xml:space="preserve">тофацитиниба </w:t>
      </w:r>
      <w:r w:rsidR="005C5BD6">
        <w:t>в интервале от 6,25 до 100 мкмоль/л. Однако клинически значимые концентрации при пероральном приеме человеком в дозе 10 мг 2 раза в день (0,31 мкмоль/л)</w:t>
      </w:r>
      <w:r w:rsidR="00A1229B">
        <w:t xml:space="preserve"> </w:t>
      </w:r>
      <w:r w:rsidR="005C5BD6">
        <w:t>были ниже, чем 6,25 мкмоль/л</w:t>
      </w:r>
      <w:r w:rsidR="005012A6">
        <w:t xml:space="preserve"> </w:t>
      </w:r>
      <w:r w:rsidR="008D601D">
        <w:rPr>
          <w:lang w:val="en-US"/>
        </w:rPr>
        <w:fldChar w:fldCharType="begin"/>
      </w:r>
      <w:r w:rsidR="00044A89">
        <w:instrText xml:space="preserve"> ADDIN ZOTERO_ITEM CSL_CITATION {"citationID":"KXmDTWlK","properties":{"formattedCitation":"[12]","plainCitation":"[12]","noteIndex":0},"citationItems":[{"id":87803,"uris":["http://zotero.org/groups/4742804/items/DMZ5DFPG"],"itemData":{"id":87803,"type":"webpage","title":"Xeljanz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8D601D">
        <w:rPr>
          <w:lang w:val="en-US"/>
        </w:rPr>
        <w:fldChar w:fldCharType="separate"/>
      </w:r>
      <w:r w:rsidR="00D46D1F">
        <w:rPr>
          <w:rFonts w:cs="Times New Roman"/>
        </w:rPr>
        <w:t>[1</w:t>
      </w:r>
      <w:r w:rsidR="00044A89" w:rsidRPr="00044A89">
        <w:rPr>
          <w:rFonts w:cs="Times New Roman"/>
        </w:rPr>
        <w:t>]</w:t>
      </w:r>
      <w:r w:rsidR="008D601D">
        <w:rPr>
          <w:lang w:val="en-US"/>
        </w:rPr>
        <w:fldChar w:fldCharType="end"/>
      </w:r>
      <w:r w:rsidR="008D601D">
        <w:t>.</w:t>
      </w:r>
    </w:p>
    <w:p w14:paraId="514B3BD7" w14:textId="0DCDD89A" w:rsidR="00EF1659" w:rsidRPr="00CB0214" w:rsidRDefault="0040049C" w:rsidP="00D36ADC">
      <w:pPr>
        <w:pStyle w:val="SDText"/>
        <w:contextualSpacing/>
      </w:pPr>
      <w:r>
        <w:t>В</w:t>
      </w:r>
      <w:r w:rsidR="00CB0214">
        <w:t xml:space="preserve"> исследовании на 12 </w:t>
      </w:r>
      <w:r w:rsidR="004C2D5B">
        <w:t xml:space="preserve">самках </w:t>
      </w:r>
      <w:r w:rsidR="00CB0214">
        <w:t xml:space="preserve">крыс линии </w:t>
      </w:r>
      <w:r w:rsidR="004C2D5B">
        <w:t>Спрег-Доули (</w:t>
      </w:r>
      <w:r w:rsidR="00132061">
        <w:t>масса тела 230–250 г)</w:t>
      </w:r>
      <w:r w:rsidR="00F64AF0">
        <w:t xml:space="preserve"> установили, что предварительное </w:t>
      </w:r>
      <w:r w:rsidR="006A67F6">
        <w:t xml:space="preserve">внутрижелудочное </w:t>
      </w:r>
      <w:r w:rsidR="00F64AF0">
        <w:t xml:space="preserve">введение нарингенина </w:t>
      </w:r>
      <w:r w:rsidR="00DA24E4">
        <w:t>в дозе 150 мг/кг/сут</w:t>
      </w:r>
      <w:r w:rsidR="003D2D6F">
        <w:t xml:space="preserve"> в течение 2 недель</w:t>
      </w:r>
      <w:r w:rsidR="0018515E">
        <w:t xml:space="preserve"> до однократного </w:t>
      </w:r>
      <w:r w:rsidR="00843312">
        <w:t>внутрижелудочного</w:t>
      </w:r>
      <w:r w:rsidR="0018515E">
        <w:t xml:space="preserve"> введения тофацитиниба в дозе 5 мг/кг </w:t>
      </w:r>
      <w:r w:rsidR="00ED24B2">
        <w:t xml:space="preserve">приводило к статистически значимому </w:t>
      </w:r>
      <w:r w:rsidR="0032364F">
        <w:t xml:space="preserve">повышению </w:t>
      </w:r>
      <w:r w:rsidR="00ED24B2">
        <w:t>AUC</w:t>
      </w:r>
      <w:r w:rsidR="0032364F" w:rsidRPr="0032364F">
        <w:rPr>
          <w:vertAlign w:val="subscript"/>
        </w:rPr>
        <w:t>(</w:t>
      </w:r>
      <w:r w:rsidR="00ED24B2" w:rsidRPr="0032364F">
        <w:rPr>
          <w:vertAlign w:val="subscript"/>
        </w:rPr>
        <w:t>0</w:t>
      </w:r>
      <w:r w:rsidR="0032364F" w:rsidRPr="0032364F">
        <w:rPr>
          <w:vertAlign w:val="subscript"/>
        </w:rPr>
        <w:t>-</w:t>
      </w:r>
      <w:r w:rsidR="00ED24B2" w:rsidRPr="0032364F">
        <w:rPr>
          <w:vertAlign w:val="subscript"/>
        </w:rPr>
        <w:t>24</w:t>
      </w:r>
      <w:r w:rsidR="0032364F" w:rsidRPr="0032364F">
        <w:rPr>
          <w:vertAlign w:val="subscript"/>
        </w:rPr>
        <w:t>)</w:t>
      </w:r>
      <w:r w:rsidR="00ED24B2">
        <w:t xml:space="preserve"> </w:t>
      </w:r>
      <w:bookmarkStart w:id="135" w:name="_Hlk113969709"/>
      <w:r w:rsidR="00ED24B2">
        <w:t>тофацитиниба</w:t>
      </w:r>
      <w:bookmarkEnd w:id="135"/>
      <w:r w:rsidR="00FB13D0">
        <w:t>,</w:t>
      </w:r>
      <w:r w:rsidR="00ED24B2">
        <w:t xml:space="preserve"> </w:t>
      </w:r>
      <w:r w:rsidR="00FB13D0">
        <w:t xml:space="preserve">которая </w:t>
      </w:r>
      <w:r w:rsidR="00ED24B2">
        <w:t>увеличилась с 1222,81 ± 222,07 до 2016,27 ± 481,62 нг</w:t>
      </w:r>
      <w:r w:rsidR="004E76D7">
        <w:t>*ч</w:t>
      </w:r>
      <w:r w:rsidR="00ED24B2">
        <w:t>/мл (p</w:t>
      </w:r>
      <w:r w:rsidR="004E76D7">
        <w:t xml:space="preserve"> </w:t>
      </w:r>
      <w:r w:rsidR="00ED24B2">
        <w:t>&lt;</w:t>
      </w:r>
      <w:r w:rsidR="004E76D7">
        <w:t xml:space="preserve"> </w:t>
      </w:r>
      <w:r w:rsidR="00ED24B2">
        <w:t>0,05). По сравнению с контрольной группой</w:t>
      </w:r>
      <w:r w:rsidR="00122DDD">
        <w:t>,</w:t>
      </w:r>
      <w:r w:rsidR="00ED24B2">
        <w:t xml:space="preserve"> </w:t>
      </w:r>
      <w:r w:rsidR="00F033B3">
        <w:rPr>
          <w:lang w:val="en-US"/>
        </w:rPr>
        <w:t>T</w:t>
      </w:r>
      <w:r w:rsidR="00ED24B2" w:rsidRPr="004E76D7">
        <w:rPr>
          <w:vertAlign w:val="subscript"/>
        </w:rPr>
        <w:t>max</w:t>
      </w:r>
      <w:r w:rsidR="00ED24B2">
        <w:t xml:space="preserve"> </w:t>
      </w:r>
      <w:r w:rsidR="00AC03E6">
        <w:t xml:space="preserve">тофацитиниба </w:t>
      </w:r>
      <w:r w:rsidR="00ED24B2">
        <w:t>был</w:t>
      </w:r>
      <w:r w:rsidR="008C4EA9">
        <w:t>о</w:t>
      </w:r>
      <w:r w:rsidR="00ED24B2">
        <w:t xml:space="preserve"> увеличен</w:t>
      </w:r>
      <w:r w:rsidR="008C4EA9">
        <w:t>о</w:t>
      </w:r>
      <w:r w:rsidR="00ED24B2">
        <w:t xml:space="preserve"> с</w:t>
      </w:r>
      <w:r w:rsidR="008C4EA9">
        <w:t xml:space="preserve"> </w:t>
      </w:r>
      <w:r w:rsidR="00ED24B2">
        <w:t>0,75 ± 0,29 до 3,00 ± 0,00 ч (p &lt; 0,05), а MRT</w:t>
      </w:r>
      <w:r w:rsidR="00ED24B2" w:rsidRPr="00001EC3">
        <w:rPr>
          <w:vertAlign w:val="subscript"/>
        </w:rPr>
        <w:t>(0</w:t>
      </w:r>
      <w:r w:rsidR="00001EC3" w:rsidRPr="00001EC3">
        <w:rPr>
          <w:vertAlign w:val="subscript"/>
        </w:rPr>
        <w:t>-</w:t>
      </w:r>
      <w:r w:rsidR="00ED24B2" w:rsidRPr="00001EC3">
        <w:rPr>
          <w:vertAlign w:val="subscript"/>
        </w:rPr>
        <w:t xml:space="preserve">24) </w:t>
      </w:r>
      <w:r w:rsidR="00AC03E6">
        <w:t xml:space="preserve">тофацитиниба </w:t>
      </w:r>
      <w:r w:rsidR="00ED24B2">
        <w:t>увеличилось с 4,90 ± 0,51 до 6,57 ± 0,66 ч</w:t>
      </w:r>
      <w:r w:rsidR="00A16213">
        <w:t xml:space="preserve"> </w:t>
      </w:r>
      <w:r w:rsidR="00ED24B2">
        <w:t>(p</w:t>
      </w:r>
      <w:r w:rsidR="00001EC3">
        <w:t xml:space="preserve"> </w:t>
      </w:r>
      <w:r w:rsidR="00ED24B2">
        <w:t>&lt;</w:t>
      </w:r>
      <w:r w:rsidR="00001EC3">
        <w:t xml:space="preserve"> </w:t>
      </w:r>
      <w:r w:rsidR="00ED24B2">
        <w:t xml:space="preserve">0,05), но </w:t>
      </w:r>
      <w:r w:rsidR="00AC03E6">
        <w:rPr>
          <w:lang w:val="en-US"/>
        </w:rPr>
        <w:t>CL</w:t>
      </w:r>
      <w:r w:rsidR="00ED24B2">
        <w:t xml:space="preserve"> </w:t>
      </w:r>
      <w:r w:rsidR="00AC03E6">
        <w:t>тофацитиниба у животных, предварительно получавших нарингенин</w:t>
      </w:r>
      <w:r w:rsidR="00122DDD">
        <w:t>,</w:t>
      </w:r>
      <w:r w:rsidR="00AC03E6">
        <w:t xml:space="preserve"> </w:t>
      </w:r>
      <w:r w:rsidR="00ED24B2">
        <w:t xml:space="preserve">был </w:t>
      </w:r>
      <w:r w:rsidR="007329C6">
        <w:t>статистически значимо</w:t>
      </w:r>
      <w:r w:rsidR="00ED24B2">
        <w:t xml:space="preserve"> снижен с 4,10 ± 0,72 до 2,42 ± 0,70 л/ч/кг (p</w:t>
      </w:r>
      <w:r w:rsidR="007329C6">
        <w:t xml:space="preserve"> </w:t>
      </w:r>
      <w:r w:rsidR="00ED24B2">
        <w:t>&lt;</w:t>
      </w:r>
      <w:r w:rsidR="007329C6">
        <w:t xml:space="preserve"> </w:t>
      </w:r>
      <w:r w:rsidR="00ED24B2">
        <w:t>0,05). Несмотря на то, что C</w:t>
      </w:r>
      <w:r w:rsidR="00ED24B2" w:rsidRPr="00AC03E6">
        <w:rPr>
          <w:vertAlign w:val="subscript"/>
        </w:rPr>
        <w:t>max</w:t>
      </w:r>
      <w:r w:rsidR="00F033B3">
        <w:t xml:space="preserve"> и </w:t>
      </w:r>
      <w:r w:rsidR="00F033B3">
        <w:rPr>
          <w:lang w:val="en-US"/>
        </w:rPr>
        <w:t>T</w:t>
      </w:r>
      <w:r w:rsidR="00ED24B2" w:rsidRPr="00AC03E6">
        <w:rPr>
          <w:vertAlign w:val="subscript"/>
        </w:rPr>
        <w:t xml:space="preserve">1/2 </w:t>
      </w:r>
      <w:r w:rsidR="00ED24B2">
        <w:t xml:space="preserve">тофацитиниба </w:t>
      </w:r>
      <w:r w:rsidR="00AC03E6">
        <w:t xml:space="preserve">после предварительного введения нарингенина </w:t>
      </w:r>
      <w:r w:rsidR="00ED24B2">
        <w:t xml:space="preserve">были увеличены, различия </w:t>
      </w:r>
      <w:r w:rsidR="00AC03E6">
        <w:t xml:space="preserve">были статистически незначимыми </w:t>
      </w:r>
      <w:r w:rsidR="00ED24B2">
        <w:t>(р</w:t>
      </w:r>
      <w:r w:rsidR="00AC03E6">
        <w:t xml:space="preserve"> </w:t>
      </w:r>
      <w:r w:rsidR="00ED24B2">
        <w:t>&gt;</w:t>
      </w:r>
      <w:r w:rsidR="00AC03E6">
        <w:t xml:space="preserve"> </w:t>
      </w:r>
      <w:r w:rsidR="00ED24B2">
        <w:t>0,05)</w:t>
      </w:r>
      <w:r w:rsidR="003348A1" w:rsidRPr="00CB0214">
        <w:t xml:space="preserve"> </w:t>
      </w:r>
      <w:r w:rsidR="005C7A3C">
        <w:fldChar w:fldCharType="begin"/>
      </w:r>
      <w:r w:rsidR="00044A89">
        <w:instrText xml:space="preserve"> ADDIN ZOTERO_ITEM CSL_CITATION {"citationID":"drA0zLgj","properties":{"formattedCitation":"[19]","plainCitation":"[19]","noteIndex":0},"citationItems":[{"id":87769,"uris":["http://zotero.org/groups/4742804/items/5E97TKC5"],"itemData":{"id":87769,"type":"article-journal","abstract":"Context Naringenin and tofacitinib are often used together for treatment of rheumatoid arthritis in Chinese clinics.Objective This experiment investigates the effect of naringenin on the pharmacokinetics of tofacitinib in rats.Materials and methods Twelve Sprague-Dawley rats were randomly divided into two groups (experimental group and control group). The experimental group was pre-treated with naringenin (150 mg/kg/day) for two weeks before dosing tofacitinib, and equal amounts of CMC-Na solution in the control group. After a single oral administration of 5 mg/kg of tofacitinib, 50 μL blood samples were directly collected into 1.5 mL heparinized tubes via the caudal vein at 0.083, 0.5, 1, 2, 3, 4, 6, 8, 10, 12 and 24 h. The plasma concentration of tofacitinib was quantified by UPLC/MS–MS.Results Results indicated that naringenin could significantly affect the pharmacokinetics of tofacitinib. The AUC0–24 of tofacitinib was increased from 1222.81 ± 222.07 to 2016.27 ± 481.62 ng/mL/h, and the difference was significant (p &lt; 0.05). Compared with the control group, the Tmax was increased from 0.75 ± 0.29 to 3.00 ± 0.00 h (p &lt; 0.05), and the MRT(0–24) was increased from 4.90 ± 0.51 to 6.57 ± 0.66 h (p &lt; 0.05), but the clearance was obviously decreased from 4.10 ± 0.72 to 2.42 ± 0.70 L/h/kg (p &lt; 0.05) in experimental group. Although the Cmax and t1/2 of tofacitinib were increased, there were no significant differences (p &gt; 0.05).Conclusions This research demonstrated a drug-drug interaction between naringenin and tofacitinib possibly when preadministered with naringenin; thus, we should pay attention to this possibility in the clinic.","container-title":"Pharmaceutical Biology","DOI":"10.1080/13880209.2020.1738504","ISSN":"1388-0209","issue":"1","note":"publisher: Taylor &amp; Francis\n_eprint: https://doi.org/10.1080/13880209.2020.1738504\nPMID: 32202190","page":"225-230","source":"Taylor and Francis+NEJM","title":"Effects of naringenin on the pharmacokinetics of tofacitinib in rats","volume":"58","author":[{"family":"Wang","given":"Bo"},{"family":"Shen","given":"Jiquan"},{"family":"Zhou","given":"Quan"},{"family":"Meng","given":"Deru"},{"family":"He","given":"Youwu"},{"family":"Chen","given":"Feifei"},{"family":"Wang","given":"Shuanghu"},{"family":"Ji","given":"Weiping"}],"issued":{"date-parts":[["2020",1,1]]}}}],"schema":"https://github.com/citation-style-language/schema/raw/master/csl-citation.json"} </w:instrText>
      </w:r>
      <w:r w:rsidR="005C7A3C">
        <w:fldChar w:fldCharType="separate"/>
      </w:r>
      <w:r w:rsidR="00D46D1F">
        <w:rPr>
          <w:rFonts w:cs="Times New Roman"/>
        </w:rPr>
        <w:t>[8</w:t>
      </w:r>
      <w:r w:rsidR="00044A89" w:rsidRPr="00044A89">
        <w:rPr>
          <w:rFonts w:cs="Times New Roman"/>
        </w:rPr>
        <w:t>]</w:t>
      </w:r>
      <w:r w:rsidR="005C7A3C">
        <w:fldChar w:fldCharType="end"/>
      </w:r>
      <w:r w:rsidR="00FB13D0">
        <w:t>.</w:t>
      </w:r>
      <w:r w:rsidR="002A7542" w:rsidRPr="00CB0214">
        <w:t xml:space="preserve"> </w:t>
      </w:r>
    </w:p>
    <w:p w14:paraId="3AD43CA9" w14:textId="4FFF1111" w:rsidR="003D62F9" w:rsidRPr="00E91105" w:rsidRDefault="0040049C" w:rsidP="00D36ADC">
      <w:pPr>
        <w:pStyle w:val="SDText"/>
        <w:contextualSpacing/>
      </w:pPr>
      <w:r>
        <w:t>Н</w:t>
      </w:r>
      <w:r w:rsidR="00402EBA">
        <w:t xml:space="preserve">а </w:t>
      </w:r>
      <w:r w:rsidR="00CD7488">
        <w:t xml:space="preserve">самцах </w:t>
      </w:r>
      <w:r w:rsidR="00402EBA">
        <w:t>крыс</w:t>
      </w:r>
      <w:r w:rsidR="00CD7488">
        <w:t xml:space="preserve"> линии Спрег-Доули (возраст 7 недель, масса тела </w:t>
      </w:r>
      <w:r w:rsidR="00A0070F">
        <w:t>230–240 г)</w:t>
      </w:r>
      <w:r w:rsidR="00402EBA">
        <w:t xml:space="preserve"> </w:t>
      </w:r>
      <w:r w:rsidR="00EE2D4E">
        <w:t xml:space="preserve">изучили фармакокинетические взаимодействия между </w:t>
      </w:r>
      <w:r w:rsidR="0074628D">
        <w:t>ворико</w:t>
      </w:r>
      <w:r w:rsidR="00780822">
        <w:t xml:space="preserve">назолом и тофацитинибом. </w:t>
      </w:r>
      <w:r w:rsidR="00650958">
        <w:t xml:space="preserve">В первой серии экспериментов </w:t>
      </w:r>
      <w:bookmarkStart w:id="136" w:name="_Hlk113970629"/>
      <w:r w:rsidR="009D4BEF">
        <w:t>животным</w:t>
      </w:r>
      <w:r w:rsidR="009D4BEF" w:rsidRPr="009D4BEF">
        <w:t xml:space="preserve"> </w:t>
      </w:r>
      <w:r w:rsidR="009D4BEF">
        <w:t xml:space="preserve">внутривенно вводили </w:t>
      </w:r>
      <w:r w:rsidR="006004BA">
        <w:t>тофацитиниб в дозе 10 мг/кг</w:t>
      </w:r>
      <w:r w:rsidR="00381667">
        <w:t xml:space="preserve"> (</w:t>
      </w:r>
      <w:r w:rsidR="00381667">
        <w:rPr>
          <w:lang w:val="en-US"/>
        </w:rPr>
        <w:t>n</w:t>
      </w:r>
      <w:r w:rsidR="00381667" w:rsidRPr="00381667">
        <w:t xml:space="preserve"> = 5)</w:t>
      </w:r>
      <w:r w:rsidR="000A3550">
        <w:t>, вориконазол в дозе 10 мг/кг (</w:t>
      </w:r>
      <w:r w:rsidR="000A3550">
        <w:rPr>
          <w:lang w:val="en-US"/>
        </w:rPr>
        <w:t>n</w:t>
      </w:r>
      <w:r w:rsidR="000A3550" w:rsidRPr="00381667">
        <w:t xml:space="preserve"> = </w:t>
      </w:r>
      <w:r w:rsidR="000A3550">
        <w:t>6</w:t>
      </w:r>
      <w:r w:rsidR="000A3550" w:rsidRPr="00381667">
        <w:t>)</w:t>
      </w:r>
      <w:r w:rsidR="000A3550">
        <w:t xml:space="preserve"> или оба лекарственных средства</w:t>
      </w:r>
      <w:r w:rsidR="006372B0">
        <w:t xml:space="preserve"> в дозе 10 мг/кг каждый. </w:t>
      </w:r>
      <w:bookmarkEnd w:id="136"/>
      <w:r w:rsidR="006372B0">
        <w:t xml:space="preserve">Во второй серии экспериментов </w:t>
      </w:r>
      <w:r w:rsidR="009D4BEF">
        <w:t>животным</w:t>
      </w:r>
      <w:r w:rsidR="009D4BEF" w:rsidRPr="009D4BEF">
        <w:t xml:space="preserve"> </w:t>
      </w:r>
      <w:r w:rsidR="009D4BEF">
        <w:t>перорально вводили тофацитиниб в дозе 20 мг/кг (</w:t>
      </w:r>
      <w:r w:rsidR="009D4BEF">
        <w:rPr>
          <w:lang w:val="en-US"/>
        </w:rPr>
        <w:t>n</w:t>
      </w:r>
      <w:r w:rsidR="009D4BEF" w:rsidRPr="00381667">
        <w:t xml:space="preserve"> = 5)</w:t>
      </w:r>
      <w:r w:rsidR="009D4BEF">
        <w:t>, вориконазол в дозе 20 мг/кг (</w:t>
      </w:r>
      <w:r w:rsidR="009D4BEF">
        <w:rPr>
          <w:lang w:val="en-US"/>
        </w:rPr>
        <w:t>n</w:t>
      </w:r>
      <w:r w:rsidR="009D4BEF" w:rsidRPr="00381667">
        <w:t xml:space="preserve"> = </w:t>
      </w:r>
      <w:r w:rsidR="009D4BEF">
        <w:t>6</w:t>
      </w:r>
      <w:r w:rsidR="009D4BEF" w:rsidRPr="00381667">
        <w:t>)</w:t>
      </w:r>
      <w:r w:rsidR="009D4BEF">
        <w:t xml:space="preserve"> или оба лекарственных средства в дозе 20 мг/кг каждый. </w:t>
      </w:r>
      <w:r w:rsidR="00993DEC">
        <w:t xml:space="preserve">Кроме того, </w:t>
      </w:r>
      <w:r w:rsidR="00E91105">
        <w:t xml:space="preserve">в экспериментах </w:t>
      </w:r>
      <w:r w:rsidR="00E91105" w:rsidRPr="00B70574">
        <w:rPr>
          <w:i/>
          <w:iCs/>
          <w:lang w:val="en-US"/>
        </w:rPr>
        <w:t>in</w:t>
      </w:r>
      <w:r w:rsidR="00E91105" w:rsidRPr="00B70574">
        <w:rPr>
          <w:i/>
          <w:iCs/>
        </w:rPr>
        <w:t xml:space="preserve"> </w:t>
      </w:r>
      <w:r w:rsidR="00E91105" w:rsidRPr="00B70574">
        <w:rPr>
          <w:i/>
          <w:iCs/>
          <w:lang w:val="en-US"/>
        </w:rPr>
        <w:t>vitro</w:t>
      </w:r>
      <w:r w:rsidR="00E91105" w:rsidRPr="00FA2EF4">
        <w:t xml:space="preserve"> </w:t>
      </w:r>
      <w:r w:rsidR="00FA2EF4">
        <w:t xml:space="preserve">авторы изучили ингибирование метаболизма тофацитиниба вориконазолом </w:t>
      </w:r>
      <w:r w:rsidR="00B70574">
        <w:t>в микросомах печени крыс</w:t>
      </w:r>
      <w:r w:rsidR="00E322F1">
        <w:t xml:space="preserve">, связывание тофацитиниба </w:t>
      </w:r>
      <w:r w:rsidR="009B713A">
        <w:t xml:space="preserve">с белками плазмы крыс в отсутствие или </w:t>
      </w:r>
      <w:r w:rsidR="00FB13D0">
        <w:t xml:space="preserve">в </w:t>
      </w:r>
      <w:r w:rsidR="009B713A">
        <w:t>присутстви</w:t>
      </w:r>
      <w:r w:rsidR="00FB13D0">
        <w:t>и</w:t>
      </w:r>
      <w:r w:rsidR="009B713A">
        <w:t xml:space="preserve"> вориконазола</w:t>
      </w:r>
      <w:r w:rsidR="00973C8E">
        <w:t xml:space="preserve">. </w:t>
      </w:r>
      <w:r w:rsidR="006D7078">
        <w:t>AUC</w:t>
      </w:r>
      <w:r w:rsidR="006D7078" w:rsidRPr="0032364F">
        <w:rPr>
          <w:vertAlign w:val="subscript"/>
        </w:rPr>
        <w:t>(0-</w:t>
      </w:r>
      <w:r w:rsidR="006D7078">
        <w:rPr>
          <w:rFonts w:cs="Times New Roman"/>
          <w:vertAlign w:val="subscript"/>
        </w:rPr>
        <w:t>∞</w:t>
      </w:r>
      <w:r w:rsidR="006D7078" w:rsidRPr="0032364F">
        <w:rPr>
          <w:vertAlign w:val="subscript"/>
        </w:rPr>
        <w:t>)</w:t>
      </w:r>
      <w:r w:rsidR="006D7078">
        <w:t xml:space="preserve"> </w:t>
      </w:r>
      <w:r w:rsidR="00EF3C6C">
        <w:t>тофацитиниба была значительно выше</w:t>
      </w:r>
      <w:r w:rsidR="00E76CAC">
        <w:t xml:space="preserve"> (</w:t>
      </w:r>
      <w:r w:rsidR="00EF3C6C">
        <w:t xml:space="preserve">на 166 и 171% </w:t>
      </w:r>
      <w:r w:rsidR="00E76CAC">
        <w:t xml:space="preserve">при внутривенном и пероральном введении </w:t>
      </w:r>
      <w:r w:rsidR="00EF3C6C">
        <w:t>соответственно</w:t>
      </w:r>
      <w:r w:rsidR="00E76CAC">
        <w:t>)</w:t>
      </w:r>
      <w:r w:rsidR="00EF3C6C">
        <w:t>, а усредненный по времени CL</w:t>
      </w:r>
      <w:r w:rsidR="00EF3C6C" w:rsidRPr="006D7078">
        <w:rPr>
          <w:vertAlign w:val="subscript"/>
        </w:rPr>
        <w:t>NR</w:t>
      </w:r>
      <w:r w:rsidR="00EF3C6C">
        <w:t xml:space="preserve"> тофацитиниба был значительно ниже (59,5%)</w:t>
      </w:r>
      <w:r w:rsidR="006D7078">
        <w:t xml:space="preserve"> на фоне введения тофацитиниба с вориконазолом,</w:t>
      </w:r>
      <w:r w:rsidR="00EF3C6C">
        <w:t xml:space="preserve"> чем </w:t>
      </w:r>
      <w:r w:rsidR="006D7078">
        <w:t>при использовании только</w:t>
      </w:r>
      <w:r w:rsidR="00EF3C6C">
        <w:t xml:space="preserve"> тофацитиниба. </w:t>
      </w:r>
      <w:r w:rsidR="00DF4577">
        <w:t>В ходе и</w:t>
      </w:r>
      <w:r w:rsidR="00EF3C6C">
        <w:t>сследовани</w:t>
      </w:r>
      <w:r w:rsidR="00DF4577">
        <w:t>я</w:t>
      </w:r>
      <w:r w:rsidR="00EF3C6C">
        <w:t xml:space="preserve"> метаболизма </w:t>
      </w:r>
      <w:r w:rsidR="00EF3C6C" w:rsidRPr="00DF4577">
        <w:rPr>
          <w:i/>
          <w:iCs/>
        </w:rPr>
        <w:t>in vitro</w:t>
      </w:r>
      <w:r w:rsidR="00EF3C6C">
        <w:t xml:space="preserve"> показал</w:t>
      </w:r>
      <w:r w:rsidR="00DF4577">
        <w:t>и</w:t>
      </w:r>
      <w:r w:rsidR="00EF3C6C">
        <w:t xml:space="preserve"> неконкурентное ингибирование </w:t>
      </w:r>
      <w:r w:rsidR="00DF4577">
        <w:t>м</w:t>
      </w:r>
      <w:r w:rsidR="00EF3C6C">
        <w:t>етаболизм</w:t>
      </w:r>
      <w:r w:rsidR="00FB13D0">
        <w:t>а</w:t>
      </w:r>
      <w:r w:rsidR="00EF3C6C">
        <w:t xml:space="preserve"> тофацитиниба в печени и кишечнике вориконазолом. </w:t>
      </w:r>
      <w:r w:rsidR="00B96E83">
        <w:t>Отношение к</w:t>
      </w:r>
      <w:r w:rsidR="00EF3C6C">
        <w:t xml:space="preserve">онцентрация/кажущаяся </w:t>
      </w:r>
      <w:r w:rsidR="00B96E83">
        <w:t>к</w:t>
      </w:r>
      <w:r w:rsidR="00EF3C6C">
        <w:t>онстант</w:t>
      </w:r>
      <w:r w:rsidR="00B96E83">
        <w:t>а</w:t>
      </w:r>
      <w:r w:rsidR="00EF3C6C">
        <w:t xml:space="preserve"> ингибирования (K</w:t>
      </w:r>
      <w:r w:rsidR="00EF3C6C" w:rsidRPr="00B96E83">
        <w:rPr>
          <w:vertAlign w:val="subscript"/>
        </w:rPr>
        <w:t>i</w:t>
      </w:r>
      <w:r w:rsidR="00EF3C6C">
        <w:t>) вориконазола превышал</w:t>
      </w:r>
      <w:r w:rsidR="00B96E83">
        <w:t>о</w:t>
      </w:r>
      <w:r w:rsidR="00EF3C6C">
        <w:t xml:space="preserve"> </w:t>
      </w:r>
      <w:r w:rsidR="00B96E83">
        <w:t>2</w:t>
      </w:r>
      <w:r w:rsidR="00EF3C6C">
        <w:t>, что указыва</w:t>
      </w:r>
      <w:r w:rsidR="00B96E83">
        <w:t>ло</w:t>
      </w:r>
      <w:r w:rsidR="00EF3C6C">
        <w:t xml:space="preserve"> на то, что ингибирование </w:t>
      </w:r>
      <w:r w:rsidR="00B96E83">
        <w:t>м</w:t>
      </w:r>
      <w:r w:rsidR="00EF3C6C">
        <w:t>етаболизм</w:t>
      </w:r>
      <w:r w:rsidR="00B96E83">
        <w:t>а</w:t>
      </w:r>
      <w:r w:rsidR="00EF3C6C">
        <w:t xml:space="preserve"> тофацитиниба может быть связан</w:t>
      </w:r>
      <w:r w:rsidR="00B96E83">
        <w:t>о</w:t>
      </w:r>
      <w:r w:rsidR="00EF3C6C">
        <w:t xml:space="preserve"> с ингибированием ферментов CYP3A1/2 и CYP2C11 вориконазол</w:t>
      </w:r>
      <w:r w:rsidR="00B96E83">
        <w:t>ом</w:t>
      </w:r>
      <w:r w:rsidR="00EF3C6C">
        <w:t xml:space="preserve">. Фармакокинетика вориконазола не изменялась при одновременном применении тофацитиниба. </w:t>
      </w:r>
      <w:r>
        <w:t>Исследователи</w:t>
      </w:r>
      <w:r w:rsidR="00E43021">
        <w:t xml:space="preserve"> подчеркнули, что</w:t>
      </w:r>
      <w:r w:rsidR="00EF3C6C">
        <w:t xml:space="preserve"> </w:t>
      </w:r>
      <w:r w:rsidR="00DE02D2">
        <w:t>более высокая</w:t>
      </w:r>
      <w:r w:rsidR="00EF3C6C">
        <w:t xml:space="preserve"> AUC и более медленн</w:t>
      </w:r>
      <w:r w:rsidR="00DE02D2">
        <w:t>ый</w:t>
      </w:r>
      <w:r w:rsidR="00EF3C6C">
        <w:t xml:space="preserve"> CL</w:t>
      </w:r>
      <w:r w:rsidR="00EF3C6C" w:rsidRPr="00E43021">
        <w:rPr>
          <w:vertAlign w:val="subscript"/>
        </w:rPr>
        <w:t>NR</w:t>
      </w:r>
      <w:r w:rsidR="00EF3C6C">
        <w:t xml:space="preserve"> тофацитиниба после внутривенно</w:t>
      </w:r>
      <w:r w:rsidR="00DE02D2">
        <w:t>го</w:t>
      </w:r>
      <w:r w:rsidR="00EF3C6C">
        <w:t xml:space="preserve"> и перорально</w:t>
      </w:r>
      <w:r w:rsidR="00DE02D2">
        <w:t>го</w:t>
      </w:r>
      <w:r w:rsidR="00EF3C6C">
        <w:t xml:space="preserve"> введени</w:t>
      </w:r>
      <w:r w:rsidR="00DE02D2">
        <w:t>я</w:t>
      </w:r>
      <w:r w:rsidR="00EF3C6C">
        <w:t xml:space="preserve"> обоих </w:t>
      </w:r>
      <w:r w:rsidR="00571298">
        <w:t>л</w:t>
      </w:r>
      <w:r w:rsidR="00FB1704">
        <w:t>е</w:t>
      </w:r>
      <w:r w:rsidR="00571298">
        <w:t xml:space="preserve">карственных </w:t>
      </w:r>
      <w:r w:rsidR="00571298">
        <w:lastRenderedPageBreak/>
        <w:t xml:space="preserve">средств </w:t>
      </w:r>
      <w:r w:rsidR="00EF3C6C">
        <w:t>объяснял</w:t>
      </w:r>
      <w:r w:rsidR="00571298">
        <w:t>и</w:t>
      </w:r>
      <w:r w:rsidR="00EF3C6C">
        <w:t xml:space="preserve">сь неконкурентным ингибированием </w:t>
      </w:r>
      <w:r w:rsidR="00B86347">
        <w:t xml:space="preserve">вориконазолом </w:t>
      </w:r>
      <w:r w:rsidR="00EF3C6C">
        <w:t>метаболизма тофацитиниба</w:t>
      </w:r>
      <w:r w:rsidR="00B86347">
        <w:t>, осуществляющегося с участием</w:t>
      </w:r>
      <w:r w:rsidR="00EF3C6C">
        <w:t xml:space="preserve"> CYP3A1/2 и CYP2C11 </w:t>
      </w:r>
      <w:r w:rsidR="002A7542">
        <w:rPr>
          <w:lang w:val="en-GB"/>
        </w:rPr>
        <w:fldChar w:fldCharType="begin"/>
      </w:r>
      <w:r w:rsidR="00044A89">
        <w:instrText xml:space="preserve"> ADDIN ZOTERO_ITEM CSL_CITATION {"citationID":"aP7feVG4","properties":{"formattedCitation":"[20]","plainCitation":"[20]","noteIndex":0},"citationItems":[{"id":87762,"uris":["http://zotero.org/groups/4742804/items/MI66VWJQ"],"itemData":{"id":87762,"type":"article-journal","abstract":"Fungal infections are prevalent in patients with immune diseases. Voriconazole, a triazole antifungal drug, inhibits the cytochromes CYP3A4 and CYP2C, and tofacitinib, a Janus kinase inhibitor for the treatment of rheumatoid arthritis, is metabolized by CYP3A4 and CYP2C19 in humans. Here, we investigated their interaction during simultaneous administration of both drugs to rats, either intravenously or orally. The area under the plasma concentration–time curve from time zero to time infinity (AUC) of tofacitinib was significantly greater, by 166% and 171%, respectively, and the time-averaged non-renal clearance (CLNR) of tofacitinib was significantly slower (59.5%) than that for tofacitinib alone. An in vitro metabolism study showed non-competitive inhibition of tofacitinib metabolism in the liver and intestine by voriconazole. The concentration/apparent inhibition constant (Ki) ratios of voriconazole were greater than two, indicating that the inhibition of tofacitinib metabolism could be due to the inhibition of the CYP3A1/2 and CYP2C11 enzymes by voriconazole. The pharmacokinetics of voriconazole were not affected by the co-administration of tofacitinib. In conclusion, the significantly greater AUC and slower CLNR of tofacitinib after intravenous and oral administration of both drugs were attributable to the non-competitive inhibition of tofacitinib metabolism via CYP3A1/2 and CYP2C11 by voriconazole in rats.","container-title":"Pharmaceutics","DOI":"10.3390/pharmaceutics13050740","ISSN":"1999-4923","issue":"5","language":"en","license":"http://creativecommons.org/licenses/by/3.0/","note":"number: 5\npublisher: Multidisciplinary Digital Publishing Institute","page":"740","source":"www.mdpi.com","title":"Pharmacokinetic drug interaction between tofacitinib and voriconazole in rats","volume":"13","author":[{"family":"Lee","given":"Ji-Sang"},{"family":"Kim","given":"Hyo-Sung"},{"family":"Jung","given":"Yong-Seob"},{"family":"Choi","given":"Hyeon-Gyeom"},{"family":"Kim","given":"So-Hee"}],"issued":{"date-parts":[["2021",5]]}}}],"schema":"https://github.com/citation-style-language/schema/raw/master/csl-citation.json"} </w:instrText>
      </w:r>
      <w:r w:rsidR="002A7542">
        <w:rPr>
          <w:lang w:val="en-GB"/>
        </w:rPr>
        <w:fldChar w:fldCharType="separate"/>
      </w:r>
      <w:r w:rsidR="00D46D1F">
        <w:rPr>
          <w:rFonts w:cs="Times New Roman"/>
        </w:rPr>
        <w:t>[9</w:t>
      </w:r>
      <w:r w:rsidR="00044A89" w:rsidRPr="00044A89">
        <w:rPr>
          <w:rFonts w:cs="Times New Roman"/>
        </w:rPr>
        <w:t>]</w:t>
      </w:r>
      <w:r w:rsidR="002A7542">
        <w:rPr>
          <w:lang w:val="en-GB"/>
        </w:rPr>
        <w:fldChar w:fldCharType="end"/>
      </w:r>
      <w:r w:rsidR="00E91105">
        <w:t>.</w:t>
      </w:r>
    </w:p>
    <w:p w14:paraId="7B27F02A" w14:textId="41085095" w:rsidR="00CF2D14" w:rsidRPr="005A1F67" w:rsidRDefault="00D62B3D" w:rsidP="00D62B3D">
      <w:pPr>
        <w:pStyle w:val="2"/>
        <w:numPr>
          <w:ilvl w:val="0"/>
          <w:numId w:val="0"/>
        </w:numPr>
        <w:ind w:left="576" w:hanging="576"/>
      </w:pPr>
      <w:bookmarkStart w:id="137" w:name="_Toc115421043"/>
      <w:bookmarkStart w:id="138" w:name="_Toc121592576"/>
      <w:bookmarkStart w:id="139" w:name="_Toc459563555"/>
      <w:r>
        <w:t xml:space="preserve">3.3. </w:t>
      </w:r>
      <w:r w:rsidR="00234C90" w:rsidRPr="005A1F67">
        <w:t>Токсикологические исследования</w:t>
      </w:r>
      <w:bookmarkEnd w:id="137"/>
      <w:bookmarkEnd w:id="138"/>
      <w:r w:rsidR="00234C90" w:rsidRPr="005A1F67">
        <w:t xml:space="preserve"> </w:t>
      </w:r>
      <w:bookmarkEnd w:id="139"/>
    </w:p>
    <w:p w14:paraId="347E0581" w14:textId="77777777" w:rsidR="00BD2318" w:rsidRDefault="00BD2318" w:rsidP="00BD2318">
      <w:pPr>
        <w:pStyle w:val="OT"/>
      </w:pPr>
      <w:bookmarkStart w:id="140" w:name="_Ref113951885"/>
      <w:bookmarkStart w:id="141" w:name="_Toc115421044"/>
    </w:p>
    <w:p w14:paraId="4635741E" w14:textId="79E3E488" w:rsidR="00CF2D14" w:rsidRPr="005A1F67" w:rsidRDefault="00D62B3D" w:rsidP="00D62B3D">
      <w:pPr>
        <w:pStyle w:val="3"/>
        <w:numPr>
          <w:ilvl w:val="0"/>
          <w:numId w:val="0"/>
        </w:numPr>
        <w:ind w:left="720" w:hanging="720"/>
      </w:pPr>
      <w:bookmarkStart w:id="142" w:name="_Toc121592577"/>
      <w:r>
        <w:t xml:space="preserve">3.3.1. </w:t>
      </w:r>
      <w:r w:rsidR="00CC6AB9" w:rsidRPr="005A1F67">
        <w:t>Токсичность при однократном введении</w:t>
      </w:r>
      <w:bookmarkEnd w:id="140"/>
      <w:bookmarkEnd w:id="141"/>
      <w:bookmarkEnd w:id="142"/>
    </w:p>
    <w:p w14:paraId="085D2B44" w14:textId="77777777" w:rsidR="00BD2318" w:rsidRDefault="00BD2318" w:rsidP="00D36ADC">
      <w:pPr>
        <w:pStyle w:val="SDText"/>
        <w:contextualSpacing/>
      </w:pPr>
    </w:p>
    <w:p w14:paraId="56E847A9" w14:textId="33F23BE5" w:rsidR="00EE4915" w:rsidRPr="00104CBA" w:rsidRDefault="00507E84" w:rsidP="00D36ADC">
      <w:pPr>
        <w:pStyle w:val="SDText"/>
        <w:contextualSpacing/>
      </w:pPr>
      <w:r>
        <w:t xml:space="preserve">В исследовании </w:t>
      </w:r>
      <w:r w:rsidR="00B146F2">
        <w:t xml:space="preserve">острой токсичности </w:t>
      </w:r>
      <w:r w:rsidR="001E152C">
        <w:t xml:space="preserve">при пероральном введении </w:t>
      </w:r>
      <w:r w:rsidR="002D63DC" w:rsidRPr="002D63DC">
        <w:t>01-2063-07</w:t>
      </w:r>
      <w:r w:rsidR="00E23887">
        <w:t xml:space="preserve">, проведенном на крысах линии </w:t>
      </w:r>
      <w:r w:rsidR="003A1F16">
        <w:t>Спрег-Доули (</w:t>
      </w:r>
      <w:r w:rsidR="0019486A">
        <w:t>возраст около 9 недель, масса тела 299–327 г</w:t>
      </w:r>
      <w:r w:rsidR="00A1229B">
        <w:t xml:space="preserve"> </w:t>
      </w:r>
      <w:r w:rsidR="0019486A">
        <w:t xml:space="preserve">для самцов и </w:t>
      </w:r>
      <w:r w:rsidR="008F5A14">
        <w:t xml:space="preserve">184–219 г для самок, </w:t>
      </w:r>
      <w:r w:rsidR="003A1F16">
        <w:t>по 3 самца и 3 самки в группе</w:t>
      </w:r>
      <w:r w:rsidR="000B56A4">
        <w:t xml:space="preserve"> для оценки токсичности</w:t>
      </w:r>
      <w:r w:rsidR="003A1F16">
        <w:t>)</w:t>
      </w:r>
      <w:r w:rsidR="005A6621">
        <w:t>,</w:t>
      </w:r>
      <w:r w:rsidR="002D63DC">
        <w:t xml:space="preserve"> </w:t>
      </w:r>
      <w:r w:rsidR="00A87E8D">
        <w:t xml:space="preserve">максимально переносимая доза </w:t>
      </w:r>
      <w:r w:rsidR="00A441B9">
        <w:t xml:space="preserve">(МПД) </w:t>
      </w:r>
      <w:r w:rsidR="00A87E8D">
        <w:t xml:space="preserve">не была определена </w:t>
      </w:r>
      <w:r w:rsidR="00C57174">
        <w:t xml:space="preserve">в связи со связанной с </w:t>
      </w:r>
      <w:r w:rsidR="0088428D" w:rsidRPr="0088428D">
        <w:t>тофацитиниб</w:t>
      </w:r>
      <w:r w:rsidR="0088428D">
        <w:t>ом</w:t>
      </w:r>
      <w:r w:rsidR="00C57174">
        <w:t xml:space="preserve"> летальностью </w:t>
      </w:r>
      <w:r w:rsidR="00B80B7C">
        <w:t>при введении во всех дозах (</w:t>
      </w:r>
      <w:bookmarkStart w:id="143" w:name="_Hlk113952048"/>
      <w:r w:rsidR="00B80B7C">
        <w:t>500, 1000 и 2000 мг/кг</w:t>
      </w:r>
      <w:bookmarkEnd w:id="143"/>
      <w:r w:rsidR="00B80B7C">
        <w:t xml:space="preserve">). </w:t>
      </w:r>
      <w:r w:rsidR="00651936">
        <w:t xml:space="preserve">Летальные исходы происходили в течение 2 дней </w:t>
      </w:r>
      <w:r w:rsidR="00C56AC2">
        <w:t>после введения у всех животных из групп средней и высокой доз</w:t>
      </w:r>
      <w:r w:rsidR="009857E6">
        <w:t xml:space="preserve"> и у 1 самки из группы </w:t>
      </w:r>
      <w:r w:rsidR="000C493D" w:rsidRPr="000C493D">
        <w:t xml:space="preserve">тофацитиниба </w:t>
      </w:r>
      <w:r w:rsidR="009857E6">
        <w:t>в дозе 500 мг/кг</w:t>
      </w:r>
      <w:r w:rsidR="002E3BFE">
        <w:t xml:space="preserve">. У всех животных при вскрытии </w:t>
      </w:r>
      <w:r w:rsidR="003C7CDC">
        <w:t>отмечали растяжение желудка</w:t>
      </w:r>
      <w:r w:rsidR="00133CF1">
        <w:t xml:space="preserve"> с жидкостью и газом, </w:t>
      </w:r>
      <w:r w:rsidR="00811C64">
        <w:t>наличие в желудке белого пастообразного содержимого</w:t>
      </w:r>
      <w:r w:rsidR="00A560A0">
        <w:t>,</w:t>
      </w:r>
      <w:r w:rsidR="00811C64">
        <w:t xml:space="preserve"> </w:t>
      </w:r>
      <w:r w:rsidR="00A560A0">
        <w:t>возможно</w:t>
      </w:r>
      <w:r w:rsidR="005A6621">
        <w:t>,</w:t>
      </w:r>
      <w:r w:rsidR="00A560A0">
        <w:t xml:space="preserve"> являющегося неабсорбированным лекарственным средством. </w:t>
      </w:r>
      <w:r w:rsidR="00643785">
        <w:t xml:space="preserve">Первичные клинические признаки интоксикации включали </w:t>
      </w:r>
      <w:r w:rsidR="00A74CE5">
        <w:t>повышенное слюноотделение, испачканную шерсть</w:t>
      </w:r>
      <w:r w:rsidR="00527750">
        <w:t xml:space="preserve">, </w:t>
      </w:r>
      <w:r w:rsidR="00B7065C">
        <w:t xml:space="preserve">изменение цвета глаз, </w:t>
      </w:r>
      <w:r w:rsidR="00760EE5">
        <w:t xml:space="preserve">слезотечение, частичное закрытие глаз, выделения из носа, </w:t>
      </w:r>
      <w:r w:rsidR="001153DF">
        <w:t xml:space="preserve">снижение частоты дыхания, </w:t>
      </w:r>
      <w:r w:rsidR="003F0667">
        <w:t xml:space="preserve">затруднение дыхания, снижение активности, </w:t>
      </w:r>
      <w:r w:rsidR="00935D0D">
        <w:t>летаргическое состояние и холодн</w:t>
      </w:r>
      <w:r w:rsidR="007D2F8F">
        <w:t>ые</w:t>
      </w:r>
      <w:r w:rsidR="00935D0D">
        <w:t xml:space="preserve"> на ощупь</w:t>
      </w:r>
      <w:r w:rsidR="007D2F8F">
        <w:t xml:space="preserve"> кожные покровы</w:t>
      </w:r>
      <w:r w:rsidR="00133DE1">
        <w:t>. Гистопатологические изменения включали вакуолизацию гепатоцитов</w:t>
      </w:r>
      <w:r w:rsidR="002850F1">
        <w:t xml:space="preserve"> (центролобулярных, перипортальных и общую</w:t>
      </w:r>
      <w:r w:rsidR="008F1CC6">
        <w:t xml:space="preserve">) у животных из </w:t>
      </w:r>
      <w:r w:rsidR="00306E40">
        <w:t xml:space="preserve">всех </w:t>
      </w:r>
      <w:r w:rsidR="008F1CC6">
        <w:t>групп</w:t>
      </w:r>
      <w:r w:rsidR="007C29C5">
        <w:t xml:space="preserve"> и единичные некрозы кл</w:t>
      </w:r>
      <w:r w:rsidR="008B4211">
        <w:t xml:space="preserve">еток печени у животных из групп тофацитиниба в дозе 1000 и 2000 мг/кг. </w:t>
      </w:r>
      <w:r w:rsidR="009B58B7">
        <w:t xml:space="preserve">У крыс из всех групп </w:t>
      </w:r>
      <w:r w:rsidR="001041C2">
        <w:t>наблюдали лимфоцитоз со снижением популяции лимфоцитов в брыжеечных лимфатическ</w:t>
      </w:r>
      <w:r w:rsidR="00B764E4">
        <w:t xml:space="preserve">их узлах и селезенке. На 2 день у животных из группы </w:t>
      </w:r>
      <w:r w:rsidR="002641F5" w:rsidRPr="002641F5">
        <w:t xml:space="preserve">тофацитиниба </w:t>
      </w:r>
      <w:r w:rsidR="00B764E4">
        <w:t xml:space="preserve">в дозе </w:t>
      </w:r>
      <w:r w:rsidR="005B0936">
        <w:t xml:space="preserve">500 мг/кг среднее количество лимфоцитов было снижено </w:t>
      </w:r>
      <w:r w:rsidR="00E25B8B">
        <w:t xml:space="preserve">по сравнению с контрольными уровнями </w:t>
      </w:r>
      <w:r w:rsidR="005D7A92">
        <w:t xml:space="preserve">у животных, не получавших тофацитиниб </w:t>
      </w:r>
      <w:r w:rsidR="00300A55">
        <w:t>(</w:t>
      </w:r>
      <w:r w:rsidR="00E25B8B">
        <w:t>69 и 72% для самцов и самок соответственно</w:t>
      </w:r>
      <w:r w:rsidR="00300A55">
        <w:t>)</w:t>
      </w:r>
      <w:r w:rsidR="00595F9F">
        <w:t xml:space="preserve"> за счет уменьшения количества </w:t>
      </w:r>
      <w:r w:rsidR="002455E4">
        <w:t>эозинофилов, моноцитов и нейтрофилов</w:t>
      </w:r>
      <w:r w:rsidR="00E25B8B">
        <w:t xml:space="preserve">. </w:t>
      </w:r>
      <w:r w:rsidR="00300A55">
        <w:t>Количество эритроцитов было несколько снижено (</w:t>
      </w:r>
      <w:r w:rsidR="00595F9F">
        <w:t>92 и 95% для самцов и самок соответственно)</w:t>
      </w:r>
      <w:r w:rsidR="002455E4">
        <w:t xml:space="preserve">, что ассоциировалось с небольшим </w:t>
      </w:r>
      <w:r w:rsidR="007718DD">
        <w:t>уменьшением уровня гемоглобина (93 и 96% для самцов и самок соответственно)</w:t>
      </w:r>
      <w:r w:rsidR="00400975">
        <w:t>. Дополнительные изменения включали снижение содержания фибриногена (</w:t>
      </w:r>
      <w:r w:rsidR="00837E75">
        <w:t>79 и 73% для самцов и самок соответственно), увеличение активности аланинаминотрансферазы (АЛТ)</w:t>
      </w:r>
      <w:r w:rsidR="0055366C">
        <w:t xml:space="preserve"> (288 и 152% для самцов и самок соответственно), активности аспартатаминотрансферазы (АСТ)</w:t>
      </w:r>
      <w:r w:rsidR="00D759D6" w:rsidRPr="00D759D6">
        <w:t xml:space="preserve"> </w:t>
      </w:r>
      <w:r w:rsidR="00D759D6">
        <w:t>(250 и 251% для самцов и самок соответственно), концентрации глюкозы (</w:t>
      </w:r>
      <w:r w:rsidR="00D216DD">
        <w:t>147</w:t>
      </w:r>
      <w:r w:rsidR="00D759D6">
        <w:t xml:space="preserve"> и 1</w:t>
      </w:r>
      <w:r w:rsidR="00D216DD">
        <w:t>24</w:t>
      </w:r>
      <w:r w:rsidR="00D759D6">
        <w:t>% для самцов и самок соответственно)</w:t>
      </w:r>
      <w:r w:rsidR="00D216DD">
        <w:t xml:space="preserve"> и азота мочевины крови (</w:t>
      </w:r>
      <w:r w:rsidR="00D216DD" w:rsidRPr="00D216DD">
        <w:t>2</w:t>
      </w:r>
      <w:r w:rsidR="00104CBA">
        <w:t>00</w:t>
      </w:r>
      <w:r w:rsidR="00D216DD" w:rsidRPr="00D216DD">
        <w:t xml:space="preserve"> и 1</w:t>
      </w:r>
      <w:r w:rsidR="00104CBA">
        <w:t>67</w:t>
      </w:r>
      <w:r w:rsidR="00D216DD" w:rsidRPr="00D216DD">
        <w:t>% для самцов и самок соответственно)</w:t>
      </w:r>
      <w:r w:rsidR="00104CBA">
        <w:t>. Все показатели вернулись к контрольным уровням к 15 дню</w:t>
      </w:r>
      <w:r w:rsidR="008F1CC6">
        <w:t xml:space="preserve"> </w:t>
      </w:r>
      <w:r w:rsidR="00EE4915">
        <w:rPr>
          <w:lang w:val="en-US"/>
        </w:rPr>
        <w:fldChar w:fldCharType="begin"/>
      </w:r>
      <w:r w:rsidR="00044A89">
        <w:instrText xml:space="preserve"> ADDIN ZOTERO_ITEM CSL_CITATION {"citationID":"hLcMMfrZ","properties":{"formattedCitation":"[12]","plainCitation":"[12]","noteIndex":0},"citationItems":[{"id":87803,"uris":["http://zotero.org/groups/4742804/items/DMZ5DFPG"],"itemData":{"id":87803,"type":"webpage","title":"Xeljanz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104CBA">
        <w:t>.</w:t>
      </w:r>
    </w:p>
    <w:p w14:paraId="0BB47C4B" w14:textId="6F97F039" w:rsidR="00E71939" w:rsidRDefault="00950D8F" w:rsidP="00D36ADC">
      <w:pPr>
        <w:pStyle w:val="SDText"/>
        <w:contextualSpacing/>
      </w:pPr>
      <w:r>
        <w:t>И</w:t>
      </w:r>
      <w:r w:rsidR="00675FC9">
        <w:t>сследовани</w:t>
      </w:r>
      <w:r>
        <w:t>е</w:t>
      </w:r>
      <w:r w:rsidR="00675FC9">
        <w:t xml:space="preserve"> </w:t>
      </w:r>
      <w:r w:rsidR="001E152C">
        <w:t xml:space="preserve">острой токсичности при внутривенном введении </w:t>
      </w:r>
      <w:r w:rsidR="002E7A9A" w:rsidRPr="002E7A9A">
        <w:t>09GR453</w:t>
      </w:r>
      <w:r>
        <w:t xml:space="preserve"> провели на крысах линии Спрег-Доули </w:t>
      </w:r>
      <w:r w:rsidR="00EC55EB">
        <w:t>(возраст 7–8 недель, масса тела 2</w:t>
      </w:r>
      <w:r w:rsidR="009C0733">
        <w:t>41,3</w:t>
      </w:r>
      <w:r w:rsidR="00EC55EB">
        <w:t>–3</w:t>
      </w:r>
      <w:r w:rsidR="009C0733">
        <w:t>11,1</w:t>
      </w:r>
      <w:r w:rsidR="00EC55EB">
        <w:t xml:space="preserve"> г</w:t>
      </w:r>
      <w:r w:rsidR="00A1229B">
        <w:t xml:space="preserve"> </w:t>
      </w:r>
      <w:r w:rsidR="00EC55EB">
        <w:t>для самцов и 1</w:t>
      </w:r>
      <w:r w:rsidR="009C0733">
        <w:t>69,8</w:t>
      </w:r>
      <w:r w:rsidR="00EC55EB">
        <w:t>–21</w:t>
      </w:r>
      <w:r w:rsidR="00680745">
        <w:t>6,6</w:t>
      </w:r>
      <w:r w:rsidR="00EC55EB">
        <w:t xml:space="preserve"> г для самок, по 3 самца и 3 самки в группе для оценки токсичности)</w:t>
      </w:r>
      <w:r w:rsidR="00920604">
        <w:t xml:space="preserve">. Животные из опытных групп получали </w:t>
      </w:r>
      <w:r w:rsidR="0020725A" w:rsidRPr="0020725A">
        <w:t>тофацитиниб</w:t>
      </w:r>
      <w:r w:rsidR="0020725A">
        <w:t xml:space="preserve"> </w:t>
      </w:r>
      <w:r w:rsidR="00765262">
        <w:t xml:space="preserve">в дозе 0,5, 1 или 3 мг/кг, крысам из контрольной группы тофацитиниб не вводили. </w:t>
      </w:r>
      <w:r w:rsidR="00056511">
        <w:t xml:space="preserve">В ходе исследования летальных исходов не зарегистрировали. </w:t>
      </w:r>
      <w:r w:rsidR="007D2E6E">
        <w:t xml:space="preserve">Эффектов </w:t>
      </w:r>
      <w:r w:rsidR="0020725A" w:rsidRPr="0020725A">
        <w:t xml:space="preserve">тофацитиниба </w:t>
      </w:r>
      <w:r w:rsidR="007D2E6E">
        <w:t xml:space="preserve">в отношении </w:t>
      </w:r>
      <w:r w:rsidR="005E0197">
        <w:t>общего состояния, массы тела, потребления корма</w:t>
      </w:r>
      <w:r w:rsidR="00021DEB">
        <w:t xml:space="preserve"> и макроскопической картины внутренних органов не выявили. </w:t>
      </w:r>
      <w:r w:rsidR="00FC3638">
        <w:t>Оценку офтальмологических параметров, показателей клинического, биохимического анализов крови</w:t>
      </w:r>
      <w:r w:rsidR="00A577DD">
        <w:t xml:space="preserve">, показателей общего анализа мочи и массы внутренних органов не проводили </w:t>
      </w:r>
      <w:r w:rsidR="00A577DD">
        <w:rPr>
          <w:lang w:val="en-US"/>
        </w:rPr>
        <w:fldChar w:fldCharType="begin"/>
      </w:r>
      <w:r w:rsidR="00044A89">
        <w:instrText xml:space="preserve"> ADDIN ZOTERO_ITEM CSL_CITATION {"citationID":"kOu267R8","properties":{"formattedCitation":"[12]","plainCitation":"[12]","noteIndex":0},"citationItems":[{"id":87803,"uris":["http://zotero.org/groups/4742804/items/DMZ5DFPG"],"itemData":{"id":87803,"type":"webpage","title":"Xeljanz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A577DD">
        <w:rPr>
          <w:lang w:val="en-US"/>
        </w:rPr>
        <w:fldChar w:fldCharType="separate"/>
      </w:r>
      <w:r w:rsidR="00D46D1F">
        <w:rPr>
          <w:rFonts w:cs="Times New Roman"/>
        </w:rPr>
        <w:t>[1</w:t>
      </w:r>
      <w:r w:rsidR="00044A89" w:rsidRPr="00044A89">
        <w:rPr>
          <w:rFonts w:cs="Times New Roman"/>
        </w:rPr>
        <w:t>]</w:t>
      </w:r>
      <w:r w:rsidR="00A577DD">
        <w:rPr>
          <w:lang w:val="en-US"/>
        </w:rPr>
        <w:fldChar w:fldCharType="end"/>
      </w:r>
      <w:r w:rsidR="00A577DD">
        <w:t>.</w:t>
      </w:r>
    </w:p>
    <w:p w14:paraId="5C1EED7C" w14:textId="1DB12955" w:rsidR="00A577DD" w:rsidRPr="00E71939" w:rsidRDefault="00E344AA" w:rsidP="00D36ADC">
      <w:pPr>
        <w:pStyle w:val="SDText"/>
        <w:contextualSpacing/>
      </w:pPr>
      <w:r>
        <w:t xml:space="preserve">Исследование </w:t>
      </w:r>
      <w:r w:rsidR="007D5889">
        <w:t xml:space="preserve">острой токсичности </w:t>
      </w:r>
      <w:r>
        <w:t xml:space="preserve">00-2063-04 проводили </w:t>
      </w:r>
      <w:r w:rsidR="007D5889">
        <w:t>на яванских макаках (</w:t>
      </w:r>
      <w:r w:rsidR="00A11780">
        <w:t xml:space="preserve">масса тела 3,4 кг для самцов и </w:t>
      </w:r>
      <w:r w:rsidR="004A313C">
        <w:t>2,9 кг для самок</w:t>
      </w:r>
      <w:r w:rsidR="00C01489">
        <w:t>, по 2 самца и 2 самки на группу</w:t>
      </w:r>
      <w:r w:rsidR="004A313C">
        <w:t>)</w:t>
      </w:r>
      <w:r w:rsidR="00C01489">
        <w:t xml:space="preserve">. </w:t>
      </w:r>
      <w:r w:rsidR="0020725A">
        <w:lastRenderedPageBreak/>
        <w:t>Т</w:t>
      </w:r>
      <w:r w:rsidR="0020725A" w:rsidRPr="0020725A">
        <w:t xml:space="preserve">офацитиниб </w:t>
      </w:r>
      <w:r w:rsidR="00037DF6">
        <w:t xml:space="preserve">животным из опытных групп вводили внутрижелудочно в дозе </w:t>
      </w:r>
      <w:r w:rsidR="00B528ED">
        <w:t xml:space="preserve">40, 200 или 1000 мг/кг/сут. Суточная доза была разделена на 3 введения. </w:t>
      </w:r>
      <w:r w:rsidR="00826DD1">
        <w:t xml:space="preserve">Обезьяны из контрольной группы тофацитиниб не получали. </w:t>
      </w:r>
      <w:r w:rsidR="00A61E30">
        <w:t xml:space="preserve">При введении в дозе </w:t>
      </w:r>
      <w:r w:rsidR="00A61E30">
        <w:rPr>
          <w:rFonts w:cs="Times New Roman"/>
        </w:rPr>
        <w:t>≥</w:t>
      </w:r>
      <w:r w:rsidR="00A61E30">
        <w:t xml:space="preserve"> </w:t>
      </w:r>
      <w:r w:rsidR="00327518">
        <w:t xml:space="preserve">200 мг/кг/сут у животных отмечали рвоту и снижение активности. </w:t>
      </w:r>
      <w:r w:rsidR="00A414F6">
        <w:t>Макро- и микроскопическую картину внутренних органов не оценивали</w:t>
      </w:r>
      <w:r w:rsidR="00464A19">
        <w:t xml:space="preserve"> </w:t>
      </w:r>
      <w:r w:rsidR="00C117B2">
        <w:rPr>
          <w:lang w:val="en-US"/>
        </w:rPr>
        <w:fldChar w:fldCharType="begin"/>
      </w:r>
      <w:r w:rsidR="00044A89">
        <w:instrText xml:space="preserve"> ADDIN ZOTERO_ITEM CSL_CITATION {"citationID":"BYLkw1Xl","properties":{"formattedCitation":"[12]","plainCitation":"[12]","noteIndex":0},"citationItems":[{"id":87803,"uris":["http://zotero.org/groups/4742804/items/DMZ5DFPG"],"itemData":{"id":87803,"type":"webpage","title":"Xeljanz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C117B2">
        <w:rPr>
          <w:lang w:val="en-US"/>
        </w:rPr>
        <w:fldChar w:fldCharType="separate"/>
      </w:r>
      <w:r w:rsidR="00D46D1F">
        <w:rPr>
          <w:rFonts w:cs="Times New Roman"/>
        </w:rPr>
        <w:t>[1</w:t>
      </w:r>
      <w:r w:rsidR="00044A89" w:rsidRPr="00044A89">
        <w:rPr>
          <w:rFonts w:cs="Times New Roman"/>
        </w:rPr>
        <w:t>]</w:t>
      </w:r>
      <w:r w:rsidR="00C117B2">
        <w:rPr>
          <w:lang w:val="en-US"/>
        </w:rPr>
        <w:fldChar w:fldCharType="end"/>
      </w:r>
      <w:r w:rsidR="00C117B2">
        <w:t>.</w:t>
      </w:r>
    </w:p>
    <w:p w14:paraId="2610F11C" w14:textId="7AFF54E6" w:rsidR="009652F9" w:rsidRPr="005A1F67" w:rsidRDefault="00D62B3D" w:rsidP="00D62B3D">
      <w:pPr>
        <w:pStyle w:val="3"/>
        <w:numPr>
          <w:ilvl w:val="0"/>
          <w:numId w:val="0"/>
        </w:numPr>
        <w:ind w:left="720" w:hanging="720"/>
      </w:pPr>
      <w:bookmarkStart w:id="144" w:name="_Ref113785389"/>
      <w:bookmarkStart w:id="145" w:name="_Ref113865146"/>
      <w:bookmarkStart w:id="146" w:name="_Ref113952418"/>
      <w:bookmarkStart w:id="147" w:name="_Toc115421045"/>
      <w:bookmarkStart w:id="148" w:name="_Toc121592578"/>
      <w:r>
        <w:t xml:space="preserve">3.3.2. </w:t>
      </w:r>
      <w:r w:rsidR="00CC6AB9" w:rsidRPr="005A1F67">
        <w:t>Токсичность при многократном введении</w:t>
      </w:r>
      <w:bookmarkEnd w:id="144"/>
      <w:bookmarkEnd w:id="145"/>
      <w:bookmarkEnd w:id="146"/>
      <w:bookmarkEnd w:id="147"/>
      <w:bookmarkEnd w:id="148"/>
    </w:p>
    <w:p w14:paraId="795187AC" w14:textId="77777777" w:rsidR="00BD2318" w:rsidRDefault="00BD2318" w:rsidP="00D36ADC">
      <w:pPr>
        <w:pStyle w:val="SDText"/>
        <w:contextualSpacing/>
      </w:pPr>
    </w:p>
    <w:p w14:paraId="72FE8AEC" w14:textId="7E08D940" w:rsidR="00E71939" w:rsidRDefault="007D3700" w:rsidP="00D36ADC">
      <w:pPr>
        <w:pStyle w:val="SDText"/>
        <w:contextualSpacing/>
      </w:pPr>
      <w:r>
        <w:t xml:space="preserve">Исследование 00-2063-03 </w:t>
      </w:r>
      <w:r w:rsidR="00467C3E">
        <w:t>длительностью 2 не</w:t>
      </w:r>
      <w:r w:rsidR="003338FC">
        <w:t xml:space="preserve">дели </w:t>
      </w:r>
      <w:r>
        <w:t xml:space="preserve">провели </w:t>
      </w:r>
      <w:r w:rsidR="00D05945">
        <w:t>на крысах линии Спрег-Доули (</w:t>
      </w:r>
      <w:r w:rsidR="00E2324B">
        <w:t xml:space="preserve">возраст 50 дней, масса тела </w:t>
      </w:r>
      <w:r w:rsidR="003D4EA5" w:rsidRPr="003D4EA5">
        <w:t>222</w:t>
      </w:r>
      <w:r w:rsidR="003D4EA5">
        <w:t>,</w:t>
      </w:r>
      <w:r w:rsidR="003D4EA5" w:rsidRPr="003D4EA5">
        <w:t>7</w:t>
      </w:r>
      <w:r w:rsidR="003D4EA5">
        <w:t>–</w:t>
      </w:r>
      <w:r w:rsidR="003D4EA5" w:rsidRPr="003D4EA5">
        <w:t>255</w:t>
      </w:r>
      <w:r w:rsidR="003D4EA5">
        <w:t>,</w:t>
      </w:r>
      <w:r w:rsidR="003D4EA5" w:rsidRPr="003D4EA5">
        <w:t>9</w:t>
      </w:r>
      <w:r w:rsidR="003D4EA5">
        <w:t xml:space="preserve"> г для самцов, </w:t>
      </w:r>
      <w:r w:rsidR="00A345C0" w:rsidRPr="00A345C0">
        <w:t>168</w:t>
      </w:r>
      <w:r w:rsidR="00A345C0">
        <w:t>,</w:t>
      </w:r>
      <w:r w:rsidR="00A345C0" w:rsidRPr="00A345C0">
        <w:t>6</w:t>
      </w:r>
      <w:r w:rsidR="00A345C0">
        <w:t>–</w:t>
      </w:r>
      <w:r w:rsidR="00A345C0" w:rsidRPr="00A345C0">
        <w:t>201</w:t>
      </w:r>
      <w:r w:rsidR="00A345C0">
        <w:t>,</w:t>
      </w:r>
      <w:r w:rsidR="00A345C0" w:rsidRPr="00A345C0">
        <w:t>6</w:t>
      </w:r>
      <w:r w:rsidR="00A345C0">
        <w:t xml:space="preserve"> </w:t>
      </w:r>
      <w:r w:rsidR="005A6621">
        <w:t xml:space="preserve">г </w:t>
      </w:r>
      <w:r w:rsidR="00A345C0">
        <w:t>для самок</w:t>
      </w:r>
      <w:r w:rsidR="008E4BDF">
        <w:t>, по 5 самцов и 5 самок на группу</w:t>
      </w:r>
      <w:r w:rsidR="00A345C0">
        <w:t>)</w:t>
      </w:r>
      <w:r w:rsidR="008E4BDF">
        <w:t xml:space="preserve">. </w:t>
      </w:r>
      <w:r w:rsidR="00AD4CC2">
        <w:t xml:space="preserve">Животные из опытных групп получали </w:t>
      </w:r>
      <w:r w:rsidR="0020725A" w:rsidRPr="0020725A">
        <w:t>тофацитиниб</w:t>
      </w:r>
      <w:r w:rsidR="0020725A">
        <w:t xml:space="preserve"> </w:t>
      </w:r>
      <w:r w:rsidR="00AD4CC2">
        <w:t xml:space="preserve">в дозе 10, 30, </w:t>
      </w:r>
      <w:r w:rsidR="002B5BBD">
        <w:t xml:space="preserve">100, 300 или </w:t>
      </w:r>
      <w:r w:rsidR="00A0263B">
        <w:t xml:space="preserve">1000 мг/кг/сут. </w:t>
      </w:r>
      <w:r w:rsidR="006E7838">
        <w:t>Введение в дозах 300 и 1000 мг/кг/сут проводили после эскалации</w:t>
      </w:r>
      <w:r w:rsidR="0001589C">
        <w:t xml:space="preserve"> </w:t>
      </w:r>
      <w:r w:rsidR="0095725A">
        <w:t xml:space="preserve">дозы </w:t>
      </w:r>
      <w:r w:rsidR="005A6621">
        <w:t xml:space="preserve">от </w:t>
      </w:r>
      <w:r w:rsidR="002C7E57">
        <w:t>30 до 300 мг/кг/сут</w:t>
      </w:r>
      <w:r w:rsidR="007A6847">
        <w:t xml:space="preserve"> на дни 7, 8, 9 и 10 с последующей эскалацией до </w:t>
      </w:r>
      <w:r w:rsidR="00B30246">
        <w:t>1000 мг/кг/сут на 11, 12, 13</w:t>
      </w:r>
      <w:r w:rsidR="00633A74">
        <w:t xml:space="preserve"> и 14 </w:t>
      </w:r>
      <w:r w:rsidR="00692408">
        <w:t>дни</w:t>
      </w:r>
      <w:r w:rsidR="001D120D">
        <w:t xml:space="preserve">. При введении в дозе 1000 мг/кг/сут признаками интоксикации являлись </w:t>
      </w:r>
      <w:r w:rsidR="00FF3279">
        <w:t xml:space="preserve">увеличение слюноотделения, шумное дыхание, выпадение шерсти, </w:t>
      </w:r>
      <w:r w:rsidR="008B0AA9">
        <w:t>окраска глаз и морды</w:t>
      </w:r>
      <w:r w:rsidR="00FB0E9C">
        <w:t xml:space="preserve">. Клинических признаков интоксикации при введении в низких дозах не выявили. </w:t>
      </w:r>
      <w:r w:rsidR="008B09D0">
        <w:t>Изменения в клиническом анализе крови включали снижение количества лейкоцитов</w:t>
      </w:r>
      <w:r w:rsidR="005078BD">
        <w:t xml:space="preserve"> и лимфоцитов при дозах </w:t>
      </w:r>
      <w:r w:rsidR="005078BD">
        <w:rPr>
          <w:rFonts w:cs="Times New Roman"/>
        </w:rPr>
        <w:t>≥</w:t>
      </w:r>
      <w:r w:rsidR="005078BD">
        <w:t xml:space="preserve"> 10 мг/кг/сут, </w:t>
      </w:r>
      <w:r w:rsidR="007633F5">
        <w:t>параметров эритроцитов (</w:t>
      </w:r>
      <w:r w:rsidR="002658E5">
        <w:t>количество эритроцитов, уровень гемоглобина, гематокрит)</w:t>
      </w:r>
      <w:r w:rsidR="00216092">
        <w:t xml:space="preserve"> и тромбоцитов (при введении в дозе 1000 мг/кг/сут)</w:t>
      </w:r>
      <w:r w:rsidR="000A45D1">
        <w:t xml:space="preserve">, а также ретикулоцитов на фоне введения во всех дозах. </w:t>
      </w:r>
      <w:r w:rsidR="00BF3B19">
        <w:t xml:space="preserve">В группе высокой дозы средние параметры эритроцитов </w:t>
      </w:r>
      <w:r w:rsidR="004F3EE1">
        <w:t>снижались к дню 14 по сравнению с днем 3</w:t>
      </w:r>
      <w:r w:rsidR="002A3BC3">
        <w:t xml:space="preserve"> </w:t>
      </w:r>
      <w:r w:rsidR="001D6BB3">
        <w:t xml:space="preserve">и составляли 76–78% для эритроцитов, 73–74% для гематокрита, </w:t>
      </w:r>
      <w:r w:rsidR="00460D14">
        <w:t>77–79% для гемоглобина, 6–14% для ретикулоцитов</w:t>
      </w:r>
      <w:r w:rsidR="00512B3C">
        <w:t xml:space="preserve"> от контрольных значений</w:t>
      </w:r>
      <w:r w:rsidR="00460D14">
        <w:t xml:space="preserve">. </w:t>
      </w:r>
      <w:r w:rsidR="007208D4">
        <w:t xml:space="preserve">При дозе </w:t>
      </w:r>
      <w:r w:rsidR="007208D4">
        <w:rPr>
          <w:rFonts w:cs="Times New Roman"/>
        </w:rPr>
        <w:t>≥</w:t>
      </w:r>
      <w:r w:rsidR="007208D4">
        <w:t xml:space="preserve"> 10 мг/кг/сут количество ретикулоцитов было снижено на день 7. </w:t>
      </w:r>
      <w:r w:rsidR="00FC03F9">
        <w:t xml:space="preserve">Максимальное снижение количества лейкоцитов определили </w:t>
      </w:r>
      <w:r w:rsidR="001A0838">
        <w:t xml:space="preserve">у животных из группы высокой дозы (33% </w:t>
      </w:r>
      <w:r w:rsidR="00242421">
        <w:t>для количества лейкоцитов, 10% для количества лимфоцитов от контрольных значений)</w:t>
      </w:r>
      <w:r w:rsidR="00512B3C">
        <w:t xml:space="preserve">, выраженность изменений зависела от дозы и времени. </w:t>
      </w:r>
      <w:r w:rsidR="005B642A">
        <w:t>Среднее количество эозинофилов и базофилов также уменьшалось у крыс из всех групп</w:t>
      </w:r>
      <w:r w:rsidR="00C82AF9">
        <w:t xml:space="preserve"> на дни 7, 10 и 14, максимальное снижение наблюдали при дозе 1000 мг/кг/сут</w:t>
      </w:r>
      <w:r w:rsidR="006C73D9">
        <w:t xml:space="preserve"> на дни 10 и 14 (эозинофилы 8%, базофилы 10%)</w:t>
      </w:r>
      <w:r w:rsidR="005D4925">
        <w:t xml:space="preserve">. Изменения биохимического анализа крови включали повышение активности АЛТ, АСТ, </w:t>
      </w:r>
      <w:r w:rsidR="005D4925">
        <w:rPr>
          <w:rFonts w:cs="Times New Roman"/>
        </w:rPr>
        <w:t>γ</w:t>
      </w:r>
      <w:r w:rsidR="005D4925">
        <w:t>-глутамилтрансферазы (ГГТ)</w:t>
      </w:r>
      <w:r w:rsidR="00584E25">
        <w:t xml:space="preserve"> у животных из групп </w:t>
      </w:r>
      <w:r w:rsidR="0020725A" w:rsidRPr="0020725A">
        <w:t xml:space="preserve">тофацитиниба </w:t>
      </w:r>
      <w:r w:rsidR="00584E25">
        <w:t>в дозе 30, 300 и 1000 мг/кг/сут</w:t>
      </w:r>
      <w:r w:rsidR="00677DAF">
        <w:t>, что сопровождалось некрозом печени у 1 самца</w:t>
      </w:r>
      <w:r w:rsidR="00330E4F">
        <w:t>,</w:t>
      </w:r>
      <w:r w:rsidR="00677DAF">
        <w:t xml:space="preserve"> и увеличением массы печени и центролобулярной гипертрофией у </w:t>
      </w:r>
      <w:r w:rsidR="00267362">
        <w:t>других</w:t>
      </w:r>
      <w:r w:rsidR="00677DAF">
        <w:t xml:space="preserve"> животных</w:t>
      </w:r>
      <w:r w:rsidR="00267362">
        <w:t xml:space="preserve">. </w:t>
      </w:r>
      <w:r w:rsidR="0020725A">
        <w:t>Т</w:t>
      </w:r>
      <w:r w:rsidR="0020725A" w:rsidRPr="0020725A">
        <w:t xml:space="preserve">офацитиниб </w:t>
      </w:r>
      <w:r w:rsidR="004B1C6D">
        <w:t xml:space="preserve">приводил к генерализованному угнетению костномозгового кроветворения </w:t>
      </w:r>
      <w:r w:rsidR="002A7AAC">
        <w:t xml:space="preserve">при введении в дозах </w:t>
      </w:r>
      <w:r w:rsidR="002A7AAC">
        <w:rPr>
          <w:rFonts w:cs="Times New Roman"/>
        </w:rPr>
        <w:t>≥</w:t>
      </w:r>
      <w:r w:rsidR="002A7AAC">
        <w:t xml:space="preserve"> 10</w:t>
      </w:r>
      <w:r w:rsidR="006C4BE0">
        <w:t>0</w:t>
      </w:r>
      <w:r w:rsidR="002A7AAC">
        <w:t xml:space="preserve"> мг/кг/сут, преимущественно эритроидного ростка</w:t>
      </w:r>
      <w:r w:rsidR="001D3D7C">
        <w:t xml:space="preserve">, и лимфоидного ростка в селезенке, тимусе, </w:t>
      </w:r>
      <w:r w:rsidR="00247DEF">
        <w:t xml:space="preserve">брыжеечных лимфатических узлах при использовании в дозах </w:t>
      </w:r>
      <w:r w:rsidR="006C4BE0">
        <w:rPr>
          <w:rFonts w:cs="Times New Roman"/>
        </w:rPr>
        <w:t>≥</w:t>
      </w:r>
      <w:r w:rsidR="006C4BE0">
        <w:t xml:space="preserve"> 10 мг/кг/сут</w:t>
      </w:r>
      <w:r w:rsidR="003E39C6">
        <w:t xml:space="preserve">. Существенное увеличение </w:t>
      </w:r>
      <w:r w:rsidR="00D8114D">
        <w:t>количества миелоидных</w:t>
      </w:r>
      <w:r w:rsidR="003E39C6">
        <w:t xml:space="preserve"> клеток и снижение </w:t>
      </w:r>
      <w:r w:rsidR="00D8114D">
        <w:t xml:space="preserve">количества эритроидных клеток </w:t>
      </w:r>
      <w:r w:rsidR="00301C1E">
        <w:t>при введении в дозах 30, 300 или 1000 мг/кг/сут приводило</w:t>
      </w:r>
      <w:r w:rsidR="00301C1E" w:rsidRPr="00301C1E">
        <w:t xml:space="preserve"> </w:t>
      </w:r>
      <w:r w:rsidR="00301C1E">
        <w:t xml:space="preserve">к </w:t>
      </w:r>
      <w:r w:rsidR="00765907">
        <w:t xml:space="preserve">повышению соотношения </w:t>
      </w:r>
      <w:r w:rsidR="00A762B9">
        <w:t>миелоидные (</w:t>
      </w:r>
      <w:r w:rsidR="00765907">
        <w:rPr>
          <w:lang w:val="en-US"/>
        </w:rPr>
        <w:t>M</w:t>
      </w:r>
      <w:r w:rsidR="00A762B9">
        <w:t>)</w:t>
      </w:r>
      <w:r w:rsidR="00765907">
        <w:t>:</w:t>
      </w:r>
      <w:r w:rsidR="00A762B9">
        <w:t>эритроидные (</w:t>
      </w:r>
      <w:r w:rsidR="00765907">
        <w:rPr>
          <w:lang w:val="en-US"/>
        </w:rPr>
        <w:t>E</w:t>
      </w:r>
      <w:r w:rsidR="00A762B9">
        <w:t>)</w:t>
      </w:r>
      <w:r w:rsidR="00765907" w:rsidRPr="00765907">
        <w:t xml:space="preserve"> &gt; 1300</w:t>
      </w:r>
      <w:r w:rsidR="00330E4F">
        <w:t>, что,</w:t>
      </w:r>
      <w:r w:rsidR="00765907" w:rsidRPr="00765907">
        <w:t xml:space="preserve"> </w:t>
      </w:r>
      <w:r w:rsidR="002D54D6">
        <w:t>вероятно</w:t>
      </w:r>
      <w:r w:rsidR="00330E4F">
        <w:t>,</w:t>
      </w:r>
      <w:r w:rsidR="002D54D6">
        <w:t xml:space="preserve"> было реакцией на тяжелое повреждение печени (некроз)</w:t>
      </w:r>
      <w:r w:rsidR="00860184">
        <w:t xml:space="preserve"> и желудка (умеренный многоочаговый некроз желез)</w:t>
      </w:r>
      <w:r w:rsidR="008877A3">
        <w:t>, отмеченные у некоторых животных</w:t>
      </w:r>
      <w:r w:rsidR="00C82769">
        <w:t xml:space="preserve">. В связи с </w:t>
      </w:r>
      <w:r w:rsidR="00E358AD">
        <w:t>поисковым характером проведенного не в соответствии с правилами надлежащей лабораторной практики (</w:t>
      </w:r>
      <w:r w:rsidR="0017066E">
        <w:rPr>
          <w:lang w:val="en-US"/>
        </w:rPr>
        <w:t>Good</w:t>
      </w:r>
      <w:r w:rsidR="0017066E" w:rsidRPr="0017066E">
        <w:t xml:space="preserve"> </w:t>
      </w:r>
      <w:r w:rsidR="0017066E">
        <w:rPr>
          <w:lang w:val="en-US"/>
        </w:rPr>
        <w:t>laboratory</w:t>
      </w:r>
      <w:r w:rsidR="0017066E" w:rsidRPr="0017066E">
        <w:t xml:space="preserve"> </w:t>
      </w:r>
      <w:r w:rsidR="0017066E">
        <w:rPr>
          <w:lang w:val="en-US"/>
        </w:rPr>
        <w:t>practice</w:t>
      </w:r>
      <w:r w:rsidR="0017066E" w:rsidRPr="0017066E">
        <w:t xml:space="preserve">, </w:t>
      </w:r>
      <w:r w:rsidR="0017066E">
        <w:rPr>
          <w:lang w:val="en-US"/>
        </w:rPr>
        <w:t>GLP</w:t>
      </w:r>
      <w:r w:rsidR="0017066E" w:rsidRPr="0017066E">
        <w:t xml:space="preserve">) </w:t>
      </w:r>
      <w:r w:rsidR="00E358AD">
        <w:t xml:space="preserve">исследования, </w:t>
      </w:r>
      <w:r w:rsidR="0017066E">
        <w:t xml:space="preserve">его результаты невозможно </w:t>
      </w:r>
      <w:r w:rsidR="008530D1">
        <w:t xml:space="preserve">использовать для поддержки регуляторных решений. Тем не менее, на основании этих данных авторы сочли 100 мг/кг/сут переносимой дозой </w:t>
      </w:r>
      <w:r w:rsidR="008B23B7">
        <w:t xml:space="preserve">и </w:t>
      </w:r>
      <w:r w:rsidR="00787251">
        <w:t xml:space="preserve">эту дозу </w:t>
      </w:r>
      <w:r w:rsidR="008B23B7">
        <w:t xml:space="preserve">использовали </w:t>
      </w:r>
      <w:r w:rsidR="006B411A">
        <w:t xml:space="preserve">как самую высокую </w:t>
      </w:r>
      <w:r w:rsidR="008B23B7">
        <w:t xml:space="preserve">для проведения </w:t>
      </w:r>
      <w:r w:rsidR="006B411A">
        <w:t xml:space="preserve">большинства </w:t>
      </w:r>
      <w:r w:rsidR="008B23B7">
        <w:t>дальнейших токсикологических исследований</w:t>
      </w:r>
      <w:r w:rsidR="00787251">
        <w:t xml:space="preserve">, проведенных в соответствии с </w:t>
      </w:r>
      <w:r w:rsidR="00787251">
        <w:rPr>
          <w:lang w:val="en-US"/>
        </w:rPr>
        <w:t>GLP</w:t>
      </w:r>
      <w:r w:rsidR="00787251" w:rsidRPr="00787251">
        <w:t xml:space="preserve"> </w:t>
      </w:r>
      <w:r w:rsidR="00EE4915">
        <w:rPr>
          <w:lang w:val="en-US"/>
        </w:rPr>
        <w:fldChar w:fldCharType="begin"/>
      </w:r>
      <w:r w:rsidR="00044A89">
        <w:instrText xml:space="preserve"> ADDIN ZOTERO_ITEM CSL_CITATION {"citationID":"SSqwylgR","properties":{"formattedCitation":"[12]","plainCitation":"[12]","noteIndex":0},"citationItems":[{"id":87803,"uris":["http://zotero.org/groups/4742804/items/DMZ5DFPG"],"itemData":{"id":87803,"type":"webpage","title":"Xeljanz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6B411A">
        <w:t>.</w:t>
      </w:r>
    </w:p>
    <w:p w14:paraId="66B7076D" w14:textId="32010303" w:rsidR="00D264C5" w:rsidRDefault="00D264C5" w:rsidP="00D36ADC">
      <w:pPr>
        <w:pStyle w:val="SDText"/>
        <w:contextualSpacing/>
      </w:pPr>
      <w:r>
        <w:lastRenderedPageBreak/>
        <w:t xml:space="preserve">В исследовании </w:t>
      </w:r>
      <w:r w:rsidRPr="00D264C5">
        <w:t>0</w:t>
      </w:r>
      <w:r w:rsidR="003626C6">
        <w:t>1</w:t>
      </w:r>
      <w:r w:rsidRPr="00D264C5">
        <w:t>-2063-0</w:t>
      </w:r>
      <w:r w:rsidR="00A759FF">
        <w:t>6 использовали крыс линии Спрег-Доули (</w:t>
      </w:r>
      <w:r w:rsidR="00603469">
        <w:t>возраст 7–9</w:t>
      </w:r>
      <w:r w:rsidR="00A1229B">
        <w:t xml:space="preserve"> </w:t>
      </w:r>
      <w:r w:rsidR="00603469">
        <w:t xml:space="preserve">недель, масса тела </w:t>
      </w:r>
      <w:r w:rsidR="00603469" w:rsidRPr="003D4EA5">
        <w:t>2</w:t>
      </w:r>
      <w:r w:rsidR="00DE07D7">
        <w:t>39</w:t>
      </w:r>
      <w:r w:rsidR="00603469">
        <w:t>,</w:t>
      </w:r>
      <w:r w:rsidR="00DE07D7">
        <w:t>5</w:t>
      </w:r>
      <w:r w:rsidR="00603469">
        <w:t>–</w:t>
      </w:r>
      <w:r w:rsidR="00603469" w:rsidRPr="003D4EA5">
        <w:t>2</w:t>
      </w:r>
      <w:r w:rsidR="00DE07D7">
        <w:t>84</w:t>
      </w:r>
      <w:r w:rsidR="00603469">
        <w:t>,</w:t>
      </w:r>
      <w:r w:rsidR="00603469" w:rsidRPr="003D4EA5">
        <w:t>9</w:t>
      </w:r>
      <w:r w:rsidR="00603469">
        <w:t xml:space="preserve"> г для самцов, </w:t>
      </w:r>
      <w:r w:rsidR="00603469" w:rsidRPr="00A345C0">
        <w:t>1</w:t>
      </w:r>
      <w:r w:rsidR="00DE07D7">
        <w:t>55</w:t>
      </w:r>
      <w:r w:rsidR="00603469">
        <w:t>,</w:t>
      </w:r>
      <w:r w:rsidR="00DE07D7">
        <w:t>0</w:t>
      </w:r>
      <w:r w:rsidR="00603469">
        <w:t>–</w:t>
      </w:r>
      <w:r w:rsidR="00603469" w:rsidRPr="00A345C0">
        <w:t>20</w:t>
      </w:r>
      <w:r w:rsidR="00DE07D7">
        <w:t>6</w:t>
      </w:r>
      <w:r w:rsidR="00603469">
        <w:t>,</w:t>
      </w:r>
      <w:r w:rsidR="00DE07D7">
        <w:t>5 г</w:t>
      </w:r>
      <w:r w:rsidR="00603469">
        <w:t xml:space="preserve"> для самок, по </w:t>
      </w:r>
      <w:r w:rsidR="000C7BA0">
        <w:t>1</w:t>
      </w:r>
      <w:r w:rsidR="00603469">
        <w:t xml:space="preserve">5 самцов и </w:t>
      </w:r>
      <w:r w:rsidR="000C7BA0">
        <w:t>1</w:t>
      </w:r>
      <w:r w:rsidR="00603469">
        <w:t xml:space="preserve">5 самок на </w:t>
      </w:r>
      <w:r w:rsidR="000C7BA0">
        <w:t xml:space="preserve">контрольную </w:t>
      </w:r>
      <w:r w:rsidR="00603469">
        <w:t>группу</w:t>
      </w:r>
      <w:r w:rsidR="000C7BA0">
        <w:t xml:space="preserve"> и группу 100 мг/кг/сут, по </w:t>
      </w:r>
      <w:r w:rsidR="004F1840">
        <w:t>10 самцов и 10 самок на группы 1 и 10 мг/кг/сут</w:t>
      </w:r>
      <w:r w:rsidR="00603469">
        <w:t>)</w:t>
      </w:r>
      <w:r w:rsidR="00A759FF">
        <w:t>.</w:t>
      </w:r>
      <w:r w:rsidR="00A759FF" w:rsidRPr="00A759FF">
        <w:t xml:space="preserve"> </w:t>
      </w:r>
      <w:r w:rsidR="000633BA">
        <w:t>Т</w:t>
      </w:r>
      <w:r w:rsidR="000633BA" w:rsidRPr="000633BA">
        <w:t xml:space="preserve">офацитиниб </w:t>
      </w:r>
      <w:r w:rsidR="000236AD">
        <w:t xml:space="preserve">вводили внутрижелудочно. </w:t>
      </w:r>
      <w:r w:rsidR="00A759FF">
        <w:t>Длительность введения составила 6 недель</w:t>
      </w:r>
      <w:r w:rsidR="00FE33CA">
        <w:t xml:space="preserve">. Период восстановления составил 1 мес. для животных из контрольной группы и группы </w:t>
      </w:r>
      <w:bookmarkStart w:id="149" w:name="_Hlk113780062"/>
      <w:r w:rsidR="000633BA" w:rsidRPr="000633BA">
        <w:t xml:space="preserve">тофацитиниба </w:t>
      </w:r>
      <w:bookmarkEnd w:id="149"/>
      <w:r w:rsidR="00FE33CA">
        <w:t xml:space="preserve">в дозе </w:t>
      </w:r>
      <w:r w:rsidR="006C1F08">
        <w:t>100 мг/кг/сут. Эффектов, связанных с тофацитинибом</w:t>
      </w:r>
      <w:r w:rsidR="00EB7B5F">
        <w:t xml:space="preserve">, в </w:t>
      </w:r>
      <w:r w:rsidR="006C1F08">
        <w:t xml:space="preserve">отношении летальности, </w:t>
      </w:r>
      <w:r w:rsidR="00200131">
        <w:t xml:space="preserve">клинических признаков, массы тела, потребления корма и показателей общего анализа мочи не выявили. </w:t>
      </w:r>
      <w:r w:rsidR="002447B8">
        <w:t>Основным изменением клинического анализа крови являлось снижение показателей лейкоцитов</w:t>
      </w:r>
      <w:r w:rsidR="00531ECD">
        <w:t xml:space="preserve"> и некоторое зависимое от времени уменьшение количества эритроцитов, уровня гемоглобина и гематокрита. </w:t>
      </w:r>
      <w:r w:rsidR="001C4DE6">
        <w:t xml:space="preserve">В сравнении с контрольными уровнями для высокой дозы на день 43 </w:t>
      </w:r>
      <w:r w:rsidR="00833F3D">
        <w:t>изменения включали снижени</w:t>
      </w:r>
      <w:r w:rsidR="00330E4F">
        <w:t>е</w:t>
      </w:r>
      <w:r w:rsidR="00833F3D">
        <w:t xml:space="preserve"> количества эритроцитов (36% для самцов и самок), </w:t>
      </w:r>
      <w:r w:rsidR="00BF4D72">
        <w:t>гематокрита (93% для самцов и самок), гемоглобина (94% для самцов и самок)</w:t>
      </w:r>
      <w:r w:rsidR="00541435">
        <w:t xml:space="preserve">, </w:t>
      </w:r>
      <w:r w:rsidR="00B46192">
        <w:t>ретикулоцитов (80 и 85% для самцов и самок соответственно)</w:t>
      </w:r>
      <w:r w:rsidR="00541435">
        <w:t>, количества лейкоцитов (</w:t>
      </w:r>
      <w:r w:rsidR="009A0463">
        <w:t>45 и 50% для самцов и самок соответственно), количества лимфоцитов (</w:t>
      </w:r>
      <w:r w:rsidR="002D5A31">
        <w:t xml:space="preserve">36% для самцов и самок), количества эозинофилов (69 и 44% для самцов и самок соответственно), </w:t>
      </w:r>
      <w:r w:rsidR="00E07260">
        <w:t xml:space="preserve">количества базофилов (18 и 19% соответственно), </w:t>
      </w:r>
      <w:r w:rsidR="00ED3028">
        <w:t>больших неокрашенных клеток (</w:t>
      </w:r>
      <w:r w:rsidR="00032D15">
        <w:t>15 и 20% для самцов и самок соответственно) и увеличение количества нейтрофилов (</w:t>
      </w:r>
      <w:r w:rsidR="005F38FF">
        <w:t>122 и 169% для самцов и самок соответственно). Изменение количества нейтрофилов разрешилось полностью во время восстановительного периода, другие изменения разрешились частично</w:t>
      </w:r>
      <w:r w:rsidR="009E383A">
        <w:t xml:space="preserve">. Тимус и селезенка животных из группы дозы 100 мг/кг </w:t>
      </w:r>
      <w:r w:rsidR="009F770E">
        <w:t>при</w:t>
      </w:r>
      <w:r w:rsidR="009E383A">
        <w:t xml:space="preserve"> макроскопическ</w:t>
      </w:r>
      <w:r w:rsidR="009F770E">
        <w:t>ой оценке определили как</w:t>
      </w:r>
      <w:r w:rsidR="009E383A">
        <w:t xml:space="preserve"> небольшие, </w:t>
      </w:r>
      <w:r w:rsidR="009F770E">
        <w:t>их не</w:t>
      </w:r>
      <w:r w:rsidR="009E383A">
        <w:t xml:space="preserve"> взвешива</w:t>
      </w:r>
      <w:r w:rsidR="008F792E">
        <w:t>ли</w:t>
      </w:r>
      <w:r w:rsidR="009E383A">
        <w:t xml:space="preserve">, </w:t>
      </w:r>
      <w:r w:rsidR="008F792E">
        <w:t>а гистопатологические изменения интерпретировали как</w:t>
      </w:r>
      <w:r w:rsidR="009E383A">
        <w:t xml:space="preserve"> коррелиру</w:t>
      </w:r>
      <w:r w:rsidR="008F792E">
        <w:t>ющие</w:t>
      </w:r>
      <w:r w:rsidR="009E383A">
        <w:t xml:space="preserve"> с лимфоидн</w:t>
      </w:r>
      <w:r w:rsidR="008F792E">
        <w:t>ым</w:t>
      </w:r>
      <w:r w:rsidR="009E383A">
        <w:t xml:space="preserve"> истощени</w:t>
      </w:r>
      <w:r w:rsidR="008F792E">
        <w:t>ем</w:t>
      </w:r>
      <w:r w:rsidR="009E383A">
        <w:t>. Лимфоидн</w:t>
      </w:r>
      <w:r w:rsidR="008F792E">
        <w:t>ое</w:t>
      </w:r>
      <w:r w:rsidR="009E383A">
        <w:t xml:space="preserve"> истощение отмеч</w:t>
      </w:r>
      <w:r w:rsidR="008F792E">
        <w:t>али</w:t>
      </w:r>
      <w:r w:rsidR="009E383A">
        <w:t xml:space="preserve"> и в других исследованных лимфоидных тканях, брыжеечн</w:t>
      </w:r>
      <w:r w:rsidR="008F792E">
        <w:t>ых</w:t>
      </w:r>
      <w:r w:rsidR="009E383A">
        <w:t xml:space="preserve"> лимфатически</w:t>
      </w:r>
      <w:r w:rsidR="008F792E">
        <w:t>х</w:t>
      </w:r>
      <w:r w:rsidR="009E383A">
        <w:t xml:space="preserve"> уз</w:t>
      </w:r>
      <w:r w:rsidR="008F792E">
        <w:t>лах</w:t>
      </w:r>
      <w:r w:rsidR="009E383A">
        <w:t xml:space="preserve"> и костн</w:t>
      </w:r>
      <w:r w:rsidR="008F792E">
        <w:t>ом</w:t>
      </w:r>
      <w:r w:rsidR="009E383A">
        <w:t xml:space="preserve"> мозг</w:t>
      </w:r>
      <w:r w:rsidR="008F792E">
        <w:t>е</w:t>
      </w:r>
      <w:r w:rsidR="009E383A">
        <w:t>. Масса надпочечников и почек снизилась примерно на 80% и 90% по сравнению с контрол</w:t>
      </w:r>
      <w:r w:rsidR="004F7F26">
        <w:t>ьными</w:t>
      </w:r>
      <w:r w:rsidR="009E383A">
        <w:t xml:space="preserve"> значения</w:t>
      </w:r>
      <w:r w:rsidR="004F7F26">
        <w:t>ми</w:t>
      </w:r>
      <w:r w:rsidR="009E383A">
        <w:t xml:space="preserve"> соответственно, но </w:t>
      </w:r>
      <w:r w:rsidR="004F7F26">
        <w:t xml:space="preserve">затем </w:t>
      </w:r>
      <w:r w:rsidR="009E383A">
        <w:t>полностью восстановил</w:t>
      </w:r>
      <w:r w:rsidR="004F7F26">
        <w:t>а</w:t>
      </w:r>
      <w:r w:rsidR="009E383A">
        <w:t xml:space="preserve">сь. </w:t>
      </w:r>
      <w:r w:rsidR="004F7F26">
        <w:t xml:space="preserve">Соответствующих </w:t>
      </w:r>
      <w:r w:rsidR="009E383A">
        <w:t xml:space="preserve">гистологических </w:t>
      </w:r>
      <w:r w:rsidR="004F7F26">
        <w:t>изменений не наблюдали</w:t>
      </w:r>
      <w:r w:rsidR="009E383A">
        <w:t xml:space="preserve">. </w:t>
      </w:r>
      <w:r w:rsidR="00FF4ECA">
        <w:rPr>
          <w:lang w:val="en-US"/>
        </w:rPr>
        <w:t>NOAEL</w:t>
      </w:r>
      <w:r w:rsidR="009E383A">
        <w:t xml:space="preserve"> </w:t>
      </w:r>
      <w:r w:rsidR="00BE3B4D">
        <w:t>сочли равн</w:t>
      </w:r>
      <w:r w:rsidR="00BA7782">
        <w:t>ой</w:t>
      </w:r>
      <w:r w:rsidR="009E383A">
        <w:t xml:space="preserve"> 1 мг/кг/</w:t>
      </w:r>
      <w:r w:rsidR="00BE3B4D">
        <w:t>сут</w:t>
      </w:r>
      <w:r w:rsidR="009E383A">
        <w:t xml:space="preserve">, </w:t>
      </w:r>
      <w:r w:rsidR="00BE3B4D">
        <w:t xml:space="preserve">что </w:t>
      </w:r>
      <w:r w:rsidR="009E383A">
        <w:t>был</w:t>
      </w:r>
      <w:r w:rsidR="00BE3B4D">
        <w:t>о</w:t>
      </w:r>
      <w:r w:rsidR="009E383A">
        <w:t xml:space="preserve"> основан</w:t>
      </w:r>
      <w:r w:rsidR="00BE3B4D">
        <w:t>о</w:t>
      </w:r>
      <w:r w:rsidR="009E383A">
        <w:t xml:space="preserve"> на том, что изменения </w:t>
      </w:r>
      <w:r w:rsidR="00BE3B4D">
        <w:t xml:space="preserve">клинического анализа крови </w:t>
      </w:r>
      <w:r w:rsidR="009E383A">
        <w:t xml:space="preserve">и изменения </w:t>
      </w:r>
      <w:r w:rsidR="00BE3B4D">
        <w:t xml:space="preserve">со стороны миелоидного и эритроидного ростков в костном мозге </w:t>
      </w:r>
      <w:r w:rsidR="009E383A">
        <w:t>были минимальными и не являлись неблагоприятными</w:t>
      </w:r>
      <w:r w:rsidR="005F38FF">
        <w:t xml:space="preserve"> </w:t>
      </w:r>
      <w:r w:rsidR="005F38FF">
        <w:rPr>
          <w:lang w:val="en-US"/>
        </w:rPr>
        <w:fldChar w:fldCharType="begin"/>
      </w:r>
      <w:r w:rsidR="00044A89">
        <w:instrText xml:space="preserve"> ADDIN ZOTERO_ITEM CSL_CITATION {"citationID":"T4YIIKGW","properties":{"formattedCitation":"[12]","plainCitation":"[12]","noteIndex":0},"citationItems":[{"id":87803,"uris":["http://zotero.org/groups/4742804/items/DMZ5DFPG"],"itemData":{"id":87803,"type":"webpage","title":"Xeljanz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5F38FF">
        <w:rPr>
          <w:lang w:val="en-US"/>
        </w:rPr>
        <w:fldChar w:fldCharType="separate"/>
      </w:r>
      <w:r w:rsidR="00D46D1F">
        <w:rPr>
          <w:rFonts w:cs="Times New Roman"/>
        </w:rPr>
        <w:t>[1</w:t>
      </w:r>
      <w:r w:rsidR="00044A89" w:rsidRPr="00044A89">
        <w:rPr>
          <w:rFonts w:cs="Times New Roman"/>
        </w:rPr>
        <w:t>]</w:t>
      </w:r>
      <w:r w:rsidR="005F38FF">
        <w:rPr>
          <w:lang w:val="en-US"/>
        </w:rPr>
        <w:fldChar w:fldCharType="end"/>
      </w:r>
      <w:r w:rsidR="005F38FF">
        <w:t>.</w:t>
      </w:r>
    </w:p>
    <w:p w14:paraId="2EE24BE8" w14:textId="2397FDF1" w:rsidR="00A762B9" w:rsidRDefault="00D62956" w:rsidP="00D36ADC">
      <w:pPr>
        <w:pStyle w:val="SDText"/>
        <w:contextualSpacing/>
      </w:pPr>
      <w:r>
        <w:t>В и</w:t>
      </w:r>
      <w:r w:rsidR="00467C3E">
        <w:t>сследовани</w:t>
      </w:r>
      <w:r>
        <w:t>и</w:t>
      </w:r>
      <w:r w:rsidR="00467C3E">
        <w:t xml:space="preserve"> 0</w:t>
      </w:r>
      <w:r w:rsidR="003338FC">
        <w:t>2</w:t>
      </w:r>
      <w:r w:rsidR="00467C3E">
        <w:t>-2063-</w:t>
      </w:r>
      <w:r w:rsidR="003338FC">
        <w:t>20</w:t>
      </w:r>
      <w:r w:rsidR="00467C3E">
        <w:t xml:space="preserve"> крыс линии Спрег-Доули (возраст </w:t>
      </w:r>
      <w:r w:rsidR="002801AA">
        <w:t>6</w:t>
      </w:r>
      <w:r w:rsidR="00467C3E">
        <w:t xml:space="preserve"> </w:t>
      </w:r>
      <w:r w:rsidR="002801AA">
        <w:t>недель</w:t>
      </w:r>
      <w:r w:rsidR="00467C3E">
        <w:t xml:space="preserve">, масса тела </w:t>
      </w:r>
      <w:r w:rsidR="00CC2652">
        <w:t>171</w:t>
      </w:r>
      <w:r w:rsidR="00467C3E">
        <w:t>–</w:t>
      </w:r>
      <w:r w:rsidR="00467C3E" w:rsidRPr="003D4EA5">
        <w:t>2</w:t>
      </w:r>
      <w:r w:rsidR="00CC2652">
        <w:t>09</w:t>
      </w:r>
      <w:r w:rsidR="00467C3E">
        <w:t xml:space="preserve"> г для самцов, </w:t>
      </w:r>
      <w:r w:rsidR="00467C3E" w:rsidRPr="00A345C0">
        <w:t>1</w:t>
      </w:r>
      <w:r w:rsidR="00CC2652">
        <w:t>37</w:t>
      </w:r>
      <w:r w:rsidR="00467C3E">
        <w:t>–</w:t>
      </w:r>
      <w:r w:rsidR="00CC2652">
        <w:t>182</w:t>
      </w:r>
      <w:r w:rsidR="00467C3E">
        <w:t xml:space="preserve"> для самок</w:t>
      </w:r>
      <w:r>
        <w:t xml:space="preserve">) разделили на </w:t>
      </w:r>
      <w:r w:rsidR="00CD7736">
        <w:t xml:space="preserve">5 групп: носителя, </w:t>
      </w:r>
      <w:r w:rsidR="00465845" w:rsidRPr="00465845">
        <w:t xml:space="preserve">тофацитиниба </w:t>
      </w:r>
      <w:r w:rsidR="00CD7736">
        <w:t xml:space="preserve">в дозе 1 мг/кг/сут, </w:t>
      </w:r>
      <w:r w:rsidR="00465845" w:rsidRPr="00465845">
        <w:t xml:space="preserve">тофацитиниба </w:t>
      </w:r>
      <w:r w:rsidR="00CD7736">
        <w:t xml:space="preserve">в дозе 10 мг/кг/сут, </w:t>
      </w:r>
      <w:r w:rsidR="00465845" w:rsidRPr="00465845">
        <w:t xml:space="preserve">тофацитиниба </w:t>
      </w:r>
      <w:r w:rsidR="00CD7736">
        <w:t>в дозе 100 мг/кг/сут и сентинельную группу</w:t>
      </w:r>
      <w:r w:rsidR="00400BCA">
        <w:t xml:space="preserve"> (</w:t>
      </w:r>
      <w:r w:rsidR="00467C3E">
        <w:t xml:space="preserve">по </w:t>
      </w:r>
      <w:r w:rsidR="008C2443">
        <w:t>1</w:t>
      </w:r>
      <w:r w:rsidR="00467C3E">
        <w:t xml:space="preserve">5 самцов и </w:t>
      </w:r>
      <w:r w:rsidR="008C2443">
        <w:t>1</w:t>
      </w:r>
      <w:r w:rsidR="00467C3E">
        <w:t xml:space="preserve">5 самок на </w:t>
      </w:r>
      <w:r w:rsidR="008C2443">
        <w:t xml:space="preserve">каждую дозовую </w:t>
      </w:r>
      <w:r w:rsidR="00467C3E">
        <w:t>группу</w:t>
      </w:r>
      <w:r w:rsidR="008C2443">
        <w:t>,12 самцов и 12 самок в сентинельной группе, по 6 самцов и 6 самок для оценки токсикокинетики</w:t>
      </w:r>
      <w:r w:rsidR="00467C3E">
        <w:t>).</w:t>
      </w:r>
      <w:r w:rsidR="00400BCA">
        <w:t xml:space="preserve"> Лекарственное средство или носитель вводили внутрижелудочно 1 раз в день в течение </w:t>
      </w:r>
      <w:r w:rsidR="00A801DD">
        <w:t xml:space="preserve">26 недель. </w:t>
      </w:r>
      <w:r w:rsidR="0009792E">
        <w:t xml:space="preserve">В группах лечения </w:t>
      </w:r>
      <w:r w:rsidR="00465845" w:rsidRPr="00465845">
        <w:t>тофацитиниб</w:t>
      </w:r>
      <w:r w:rsidR="00465845">
        <w:t>ом</w:t>
      </w:r>
      <w:r w:rsidR="00465845" w:rsidRPr="00465845">
        <w:t xml:space="preserve"> </w:t>
      </w:r>
      <w:r w:rsidR="006717BC">
        <w:t>зарегистрировали</w:t>
      </w:r>
      <w:r w:rsidR="0009792E">
        <w:t xml:space="preserve"> 5 с</w:t>
      </w:r>
      <w:r w:rsidR="006717BC">
        <w:t>лучаев гибели животных</w:t>
      </w:r>
      <w:r w:rsidR="0009792E">
        <w:t>, по крайней мере по одно</w:t>
      </w:r>
      <w:r w:rsidR="006717BC">
        <w:t>му</w:t>
      </w:r>
      <w:r w:rsidR="0009792E">
        <w:t xml:space="preserve"> в каждой </w:t>
      </w:r>
      <w:r w:rsidR="00E165CF">
        <w:t xml:space="preserve">из </w:t>
      </w:r>
      <w:r w:rsidR="0009792E">
        <w:t>групп</w:t>
      </w:r>
      <w:r w:rsidR="00E165CF">
        <w:t>.</w:t>
      </w:r>
      <w:r w:rsidR="0009792E">
        <w:t xml:space="preserve"> В связи с </w:t>
      </w:r>
      <w:r w:rsidR="00E165CF">
        <w:t>наличием</w:t>
      </w:r>
      <w:r w:rsidR="0009792E">
        <w:t xml:space="preserve"> кровоизлияния в </w:t>
      </w:r>
      <w:r w:rsidR="00251512">
        <w:t>скелетны</w:t>
      </w:r>
      <w:r w:rsidR="00004ACE">
        <w:t>е</w:t>
      </w:r>
      <w:r w:rsidR="00251512">
        <w:t xml:space="preserve"> мышцы передней </w:t>
      </w:r>
      <w:r w:rsidR="001B3890">
        <w:t>поверхности шеи и грудной клетки</w:t>
      </w:r>
      <w:r w:rsidR="005B3CAB">
        <w:t>,</w:t>
      </w:r>
      <w:r w:rsidR="0009792E">
        <w:t xml:space="preserve"> и орган</w:t>
      </w:r>
      <w:r w:rsidR="00004ACE">
        <w:t>ы, находящиеся в данной области</w:t>
      </w:r>
      <w:r w:rsidR="0009792E">
        <w:t xml:space="preserve">, и поскольку большинство </w:t>
      </w:r>
      <w:r w:rsidR="00004ACE">
        <w:t>летальных исходов</w:t>
      </w:r>
      <w:r w:rsidR="0009792E">
        <w:t xml:space="preserve"> </w:t>
      </w:r>
      <w:r w:rsidR="00004ACE">
        <w:t>по времени были</w:t>
      </w:r>
      <w:r w:rsidR="00E165CF">
        <w:t xml:space="preserve"> </w:t>
      </w:r>
      <w:r w:rsidR="0009792E">
        <w:t>связан</w:t>
      </w:r>
      <w:r w:rsidR="00004ACE">
        <w:t>ы</w:t>
      </w:r>
      <w:r w:rsidR="0009792E">
        <w:t xml:space="preserve"> с </w:t>
      </w:r>
      <w:r w:rsidR="00004ACE">
        <w:t>от</w:t>
      </w:r>
      <w:r w:rsidR="0009792E">
        <w:t xml:space="preserve">бором крови из яремной вены во время исследования, </w:t>
      </w:r>
      <w:r w:rsidR="000764C4">
        <w:t>они</w:t>
      </w:r>
      <w:r w:rsidR="005B3CAB">
        <w:t>,</w:t>
      </w:r>
      <w:r w:rsidR="000764C4">
        <w:t xml:space="preserve"> </w:t>
      </w:r>
      <w:r w:rsidR="0009792E">
        <w:t xml:space="preserve">скорее всего, не </w:t>
      </w:r>
      <w:r w:rsidR="000764C4">
        <w:t xml:space="preserve">были </w:t>
      </w:r>
      <w:r w:rsidR="0009792E">
        <w:t xml:space="preserve">связаны с </w:t>
      </w:r>
      <w:r w:rsidR="000764C4">
        <w:t>введением</w:t>
      </w:r>
      <w:r w:rsidR="0009792E">
        <w:t xml:space="preserve"> </w:t>
      </w:r>
      <w:r w:rsidR="00465845" w:rsidRPr="00465845">
        <w:t>тофацитиниба</w:t>
      </w:r>
      <w:r w:rsidR="0009792E">
        <w:t xml:space="preserve">. Основным клиническим признаком </w:t>
      </w:r>
      <w:r w:rsidR="000764C4">
        <w:t xml:space="preserve">интоксикации </w:t>
      </w:r>
      <w:r w:rsidR="0009792E">
        <w:t xml:space="preserve">было </w:t>
      </w:r>
      <w:r w:rsidR="000764C4">
        <w:t xml:space="preserve">повышенное </w:t>
      </w:r>
      <w:r w:rsidR="0009792E">
        <w:t>слюноотделение при</w:t>
      </w:r>
      <w:r w:rsidR="000764C4">
        <w:t xml:space="preserve"> введении в</w:t>
      </w:r>
      <w:r w:rsidR="0009792E">
        <w:t xml:space="preserve"> высокой дозе, которое имело место у всех животных на протяжении большей части исследования. Это могло способствовать обезвоживанию </w:t>
      </w:r>
      <w:r w:rsidR="000764C4">
        <w:t>у животных из</w:t>
      </w:r>
      <w:r w:rsidR="0009792E">
        <w:t xml:space="preserve"> это</w:t>
      </w:r>
      <w:r w:rsidR="000764C4">
        <w:t>й</w:t>
      </w:r>
      <w:r w:rsidR="008059BE">
        <w:t xml:space="preserve"> </w:t>
      </w:r>
      <w:r w:rsidR="0009792E">
        <w:t>дозовой групп</w:t>
      </w:r>
      <w:r w:rsidR="000764C4">
        <w:t>ы</w:t>
      </w:r>
      <w:r w:rsidR="0009792E">
        <w:t>, о чем свидетельств</w:t>
      </w:r>
      <w:r w:rsidR="000764C4">
        <w:t>овали</w:t>
      </w:r>
      <w:r w:rsidR="0009792E">
        <w:t xml:space="preserve"> повышенные уровни натрия и общего белка </w:t>
      </w:r>
      <w:r w:rsidR="000764C4">
        <w:t xml:space="preserve">в крови </w:t>
      </w:r>
      <w:r w:rsidR="0009792E">
        <w:t>в</w:t>
      </w:r>
      <w:r w:rsidR="000764C4">
        <w:t xml:space="preserve"> ходе</w:t>
      </w:r>
      <w:r w:rsidR="008059BE">
        <w:t xml:space="preserve"> </w:t>
      </w:r>
      <w:r w:rsidR="0009792E">
        <w:t>втор</w:t>
      </w:r>
      <w:r w:rsidR="000764C4">
        <w:t>ой</w:t>
      </w:r>
      <w:r w:rsidR="0009792E">
        <w:t xml:space="preserve"> половин</w:t>
      </w:r>
      <w:r w:rsidR="000764C4">
        <w:t>ы</w:t>
      </w:r>
      <w:r w:rsidR="0009792E">
        <w:t xml:space="preserve"> исследования.</w:t>
      </w:r>
      <w:r w:rsidR="008B504C" w:rsidRPr="008B504C">
        <w:t xml:space="preserve"> </w:t>
      </w:r>
      <w:r w:rsidR="008B504C">
        <w:t xml:space="preserve">За исключением </w:t>
      </w:r>
      <w:r w:rsidR="000764C4">
        <w:t>самцов</w:t>
      </w:r>
      <w:r w:rsidR="008B504C">
        <w:t xml:space="preserve">, получавших </w:t>
      </w:r>
      <w:r w:rsidR="00465845" w:rsidRPr="00465845">
        <w:t xml:space="preserve">тофацитиниб </w:t>
      </w:r>
      <w:r w:rsidR="000764C4">
        <w:t xml:space="preserve">в </w:t>
      </w:r>
      <w:r w:rsidR="008B504C">
        <w:t>высок</w:t>
      </w:r>
      <w:r w:rsidR="000764C4">
        <w:t>ой</w:t>
      </w:r>
      <w:r w:rsidR="008B504C">
        <w:t xml:space="preserve"> доз</w:t>
      </w:r>
      <w:r w:rsidR="000764C4">
        <w:t>е</w:t>
      </w:r>
      <w:r w:rsidR="008B504C">
        <w:t xml:space="preserve">, не </w:t>
      </w:r>
      <w:r w:rsidR="000764C4">
        <w:lastRenderedPageBreak/>
        <w:t xml:space="preserve">отмечали </w:t>
      </w:r>
      <w:r w:rsidR="008B504C">
        <w:t xml:space="preserve">влияния </w:t>
      </w:r>
      <w:r w:rsidR="000764C4">
        <w:t xml:space="preserve">тофацитиниба </w:t>
      </w:r>
      <w:r w:rsidR="008B504C">
        <w:t xml:space="preserve">на массу тела и </w:t>
      </w:r>
      <w:r w:rsidR="000764C4">
        <w:t>прибавку массы тела</w:t>
      </w:r>
      <w:r w:rsidR="008B504C">
        <w:t>. Средн</w:t>
      </w:r>
      <w:r w:rsidR="000764C4">
        <w:t>яя масса тела</w:t>
      </w:r>
      <w:r w:rsidR="008B504C">
        <w:t xml:space="preserve"> </w:t>
      </w:r>
      <w:r w:rsidR="000764C4">
        <w:t>самцов</w:t>
      </w:r>
      <w:r w:rsidR="008B504C">
        <w:t>, получавш</w:t>
      </w:r>
      <w:r w:rsidR="000764C4">
        <w:t>их</w:t>
      </w:r>
      <w:r w:rsidR="008B504C">
        <w:t xml:space="preserve"> </w:t>
      </w:r>
      <w:r w:rsidR="00465845" w:rsidRPr="00465845">
        <w:t>тофацитиниб</w:t>
      </w:r>
      <w:r w:rsidR="00465845">
        <w:t xml:space="preserve"> </w:t>
      </w:r>
      <w:r w:rsidR="000764C4">
        <w:t xml:space="preserve">в высокой дозе, </w:t>
      </w:r>
      <w:r w:rsidR="008B504C">
        <w:t>составил</w:t>
      </w:r>
      <w:r w:rsidR="005B3CAB">
        <w:t>а</w:t>
      </w:r>
      <w:r w:rsidR="008B504C">
        <w:t xml:space="preserve"> 86% от массы тела</w:t>
      </w:r>
      <w:r w:rsidR="000764C4">
        <w:t xml:space="preserve"> самцов из </w:t>
      </w:r>
      <w:r w:rsidR="008B504C">
        <w:t>контрольн</w:t>
      </w:r>
      <w:r w:rsidR="000764C4">
        <w:t>ой группы</w:t>
      </w:r>
      <w:r w:rsidR="008B504C">
        <w:t>, а средн</w:t>
      </w:r>
      <w:r w:rsidR="000764C4">
        <w:t>яя прибавка</w:t>
      </w:r>
      <w:r w:rsidR="008B504C">
        <w:t xml:space="preserve"> массы тела составил</w:t>
      </w:r>
      <w:r w:rsidR="000764C4">
        <w:t>а</w:t>
      </w:r>
      <w:r w:rsidR="008B504C">
        <w:t xml:space="preserve"> 82% от </w:t>
      </w:r>
      <w:r w:rsidR="000764C4">
        <w:t xml:space="preserve">показателя у </w:t>
      </w:r>
      <w:r w:rsidR="008B504C">
        <w:t>самцов</w:t>
      </w:r>
      <w:r w:rsidR="000764C4" w:rsidRPr="000764C4">
        <w:t xml:space="preserve"> </w:t>
      </w:r>
      <w:r w:rsidR="000764C4">
        <w:t>из контрольной группы</w:t>
      </w:r>
      <w:r w:rsidR="008B504C">
        <w:t xml:space="preserve">. Основные гематологические </w:t>
      </w:r>
      <w:r w:rsidR="000764C4">
        <w:t>изменения</w:t>
      </w:r>
      <w:r w:rsidR="008B504C">
        <w:t xml:space="preserve">, связанные с </w:t>
      </w:r>
      <w:r w:rsidR="00465845" w:rsidRPr="00465845">
        <w:t>тофацитиниб</w:t>
      </w:r>
      <w:r w:rsidR="00465845">
        <w:t>ом</w:t>
      </w:r>
      <w:r w:rsidR="008B504C">
        <w:t>, включали уменьшение количеств</w:t>
      </w:r>
      <w:r w:rsidR="000764C4">
        <w:t>а</w:t>
      </w:r>
      <w:r w:rsidR="008B504C">
        <w:t xml:space="preserve"> </w:t>
      </w:r>
      <w:r w:rsidR="000764C4">
        <w:t>лейкоцитов</w:t>
      </w:r>
      <w:r w:rsidR="008B504C">
        <w:t xml:space="preserve"> (общ</w:t>
      </w:r>
      <w:r w:rsidR="000764C4">
        <w:t>е</w:t>
      </w:r>
      <w:r w:rsidR="008B504C">
        <w:t xml:space="preserve">е </w:t>
      </w:r>
      <w:r w:rsidR="000764C4">
        <w:t xml:space="preserve">количество </w:t>
      </w:r>
      <w:r w:rsidR="008B504C">
        <w:t>лейкоцит</w:t>
      </w:r>
      <w:r w:rsidR="000764C4">
        <w:t>ов</w:t>
      </w:r>
      <w:r w:rsidR="008B504C">
        <w:t xml:space="preserve"> 32% от контроля, </w:t>
      </w:r>
      <w:r w:rsidR="000764C4">
        <w:t xml:space="preserve">количество </w:t>
      </w:r>
      <w:r w:rsidR="008B504C">
        <w:t>лимфоцит</w:t>
      </w:r>
      <w:r w:rsidR="000764C4">
        <w:t>ов</w:t>
      </w:r>
      <w:r w:rsidR="008B504C">
        <w:t xml:space="preserve"> 55% от контроля), увеличение </w:t>
      </w:r>
      <w:r w:rsidR="000764C4">
        <w:t xml:space="preserve">количества </w:t>
      </w:r>
      <w:r w:rsidR="008B504C">
        <w:t>нейтрофилов (398% от контроля) и моноцитов (259% от контроля)</w:t>
      </w:r>
      <w:r w:rsidR="005B3CAB">
        <w:t>,</w:t>
      </w:r>
      <w:r w:rsidR="008B504C">
        <w:t xml:space="preserve"> и снижение параметров эритроцитов </w:t>
      </w:r>
      <w:r w:rsidR="000764C4">
        <w:t>(количество эритроцитов</w:t>
      </w:r>
      <w:r w:rsidR="008B504C">
        <w:t xml:space="preserve"> 85% от контроля, </w:t>
      </w:r>
      <w:r w:rsidR="000764C4">
        <w:t>уровень гемоглобина</w:t>
      </w:r>
      <w:r w:rsidR="008B504C">
        <w:t xml:space="preserve"> 90% от контроля, </w:t>
      </w:r>
      <w:r w:rsidR="000764C4">
        <w:t>гематокрит</w:t>
      </w:r>
      <w:r w:rsidR="008B504C">
        <w:t xml:space="preserve"> 88% от контроля) </w:t>
      </w:r>
      <w:r w:rsidR="000764C4">
        <w:t xml:space="preserve">при введении </w:t>
      </w:r>
      <w:r w:rsidR="008B504C">
        <w:t>в дозах ≥</w:t>
      </w:r>
      <w:r w:rsidR="000764C4">
        <w:t xml:space="preserve"> </w:t>
      </w:r>
      <w:r w:rsidR="008B504C">
        <w:t xml:space="preserve">10 мг/кг/день у </w:t>
      </w:r>
      <w:r w:rsidR="000764C4">
        <w:t>самцов и самок</w:t>
      </w:r>
      <w:r w:rsidR="008B504C">
        <w:t>. Для доз ≥</w:t>
      </w:r>
      <w:r w:rsidR="000764C4">
        <w:t xml:space="preserve"> </w:t>
      </w:r>
      <w:r w:rsidR="008B504C">
        <w:t>10 мг/кг/</w:t>
      </w:r>
      <w:r w:rsidR="000764C4">
        <w:t>сут</w:t>
      </w:r>
      <w:r w:rsidR="008B504C">
        <w:t xml:space="preserve"> </w:t>
      </w:r>
      <w:r w:rsidR="00653411">
        <w:t xml:space="preserve">при использовании </w:t>
      </w:r>
      <w:r w:rsidR="008B504C">
        <w:t>более низк</w:t>
      </w:r>
      <w:r w:rsidR="00653411">
        <w:t>ой</w:t>
      </w:r>
      <w:r w:rsidR="008B504C">
        <w:t xml:space="preserve"> доз</w:t>
      </w:r>
      <w:r w:rsidR="00653411">
        <w:t>ы</w:t>
      </w:r>
      <w:r w:rsidR="008B504C">
        <w:t>, как правило, требова</w:t>
      </w:r>
      <w:r w:rsidR="00653411">
        <w:t>лс</w:t>
      </w:r>
      <w:r w:rsidR="005B3CAB">
        <w:t>я</w:t>
      </w:r>
      <w:r w:rsidR="008B504C">
        <w:t xml:space="preserve"> более длительн</w:t>
      </w:r>
      <w:r w:rsidR="00653411">
        <w:t>ый</w:t>
      </w:r>
      <w:r w:rsidR="008B504C">
        <w:t xml:space="preserve"> период </w:t>
      </w:r>
      <w:r w:rsidR="000764C4">
        <w:t>введения</w:t>
      </w:r>
      <w:r w:rsidR="008B504C">
        <w:t xml:space="preserve"> </w:t>
      </w:r>
      <w:r w:rsidR="00653411">
        <w:t xml:space="preserve">для </w:t>
      </w:r>
      <w:r w:rsidR="008B504C">
        <w:t>дости</w:t>
      </w:r>
      <w:r w:rsidR="00653411">
        <w:t>жения</w:t>
      </w:r>
      <w:r w:rsidR="008B504C">
        <w:t xml:space="preserve"> аналогичных эффектов</w:t>
      </w:r>
      <w:r w:rsidR="00653411">
        <w:t>, отмечаемых у животных из</w:t>
      </w:r>
      <w:r w:rsidR="008B504C">
        <w:t xml:space="preserve"> групп</w:t>
      </w:r>
      <w:r w:rsidR="00653411">
        <w:t>ы</w:t>
      </w:r>
      <w:r w:rsidR="008B504C">
        <w:t xml:space="preserve"> высокой доз</w:t>
      </w:r>
      <w:r w:rsidR="00653411">
        <w:t>ы</w:t>
      </w:r>
      <w:r w:rsidR="008B504C">
        <w:t xml:space="preserve">. </w:t>
      </w:r>
      <w:r w:rsidR="004A600C">
        <w:t>О</w:t>
      </w:r>
      <w:r w:rsidR="008B504C">
        <w:t>бнаружили дозозависимое снижение во всех оцененных субпопуляци</w:t>
      </w:r>
      <w:r w:rsidR="004A600C">
        <w:t>ях лимфоцит</w:t>
      </w:r>
      <w:r w:rsidR="001A7EF3">
        <w:t>ов</w:t>
      </w:r>
      <w:r w:rsidR="004A600C">
        <w:t>:</w:t>
      </w:r>
      <w:r w:rsidR="008B504C">
        <w:t xml:space="preserve"> </w:t>
      </w:r>
      <w:r w:rsidR="004A600C">
        <w:t>Т-</w:t>
      </w:r>
      <w:r w:rsidR="008B504C">
        <w:t>хелпе</w:t>
      </w:r>
      <w:r w:rsidR="004A600C">
        <w:t>ров</w:t>
      </w:r>
      <w:r w:rsidR="008B504C">
        <w:t>, Т-к</w:t>
      </w:r>
      <w:r w:rsidR="00016208">
        <w:t>иллеров</w:t>
      </w:r>
      <w:r w:rsidR="008B504C">
        <w:t xml:space="preserve"> и небольшо</w:t>
      </w:r>
      <w:r w:rsidR="003A1A97">
        <w:t>й</w:t>
      </w:r>
      <w:r w:rsidR="008B504C">
        <w:t xml:space="preserve"> под</w:t>
      </w:r>
      <w:r w:rsidR="003A1A97">
        <w:t>группы</w:t>
      </w:r>
      <w:r w:rsidR="008B504C">
        <w:t xml:space="preserve"> </w:t>
      </w:r>
      <w:r w:rsidR="003A1A97">
        <w:t>естественных киллеров (</w:t>
      </w:r>
      <w:r w:rsidR="003A1A97">
        <w:rPr>
          <w:lang w:val="en-US"/>
        </w:rPr>
        <w:t>natural</w:t>
      </w:r>
      <w:r w:rsidR="003A1A97" w:rsidRPr="003A1A97">
        <w:t xml:space="preserve"> </w:t>
      </w:r>
      <w:r w:rsidR="003A1A97">
        <w:rPr>
          <w:lang w:val="en-US"/>
        </w:rPr>
        <w:t>killer</w:t>
      </w:r>
      <w:r w:rsidR="003A1A97" w:rsidRPr="003A1A97">
        <w:t xml:space="preserve">, </w:t>
      </w:r>
      <w:r w:rsidR="008B504C">
        <w:t>NK</w:t>
      </w:r>
      <w:r w:rsidR="003A1A97" w:rsidRPr="003A1A97">
        <w:t>)</w:t>
      </w:r>
      <w:r w:rsidR="008B504C">
        <w:t xml:space="preserve">, </w:t>
      </w:r>
      <w:r w:rsidR="003A1A97">
        <w:t xml:space="preserve">а также </w:t>
      </w:r>
      <w:r w:rsidR="008B504C">
        <w:t>обще</w:t>
      </w:r>
      <w:r w:rsidR="003A1A97">
        <w:t>го</w:t>
      </w:r>
      <w:r w:rsidR="008B504C">
        <w:t xml:space="preserve"> количеств</w:t>
      </w:r>
      <w:r w:rsidR="003A1A97">
        <w:t>а</w:t>
      </w:r>
      <w:r w:rsidR="008B504C">
        <w:t xml:space="preserve"> Т-клеток, обще</w:t>
      </w:r>
      <w:r w:rsidR="003A1A97">
        <w:t>го</w:t>
      </w:r>
      <w:r w:rsidR="008B504C">
        <w:t xml:space="preserve"> количеств</w:t>
      </w:r>
      <w:r w:rsidR="003A1A97">
        <w:t>а</w:t>
      </w:r>
      <w:r w:rsidR="008B504C">
        <w:t xml:space="preserve"> В-клеток и NK-клеток. Эти популяции варьировались от 5% до 77% контрольной группы.</w:t>
      </w:r>
      <w:r w:rsidR="00D62AC1" w:rsidRPr="00D62AC1">
        <w:t xml:space="preserve"> </w:t>
      </w:r>
      <w:r w:rsidR="00D62AC1">
        <w:t xml:space="preserve">Увеличение </w:t>
      </w:r>
      <w:r w:rsidR="001A7EF3">
        <w:t xml:space="preserve">содержания </w:t>
      </w:r>
      <w:r w:rsidR="00D62AC1">
        <w:t xml:space="preserve">общего белка, в основном за счет увеличения </w:t>
      </w:r>
      <w:r w:rsidR="001A7EF3">
        <w:t xml:space="preserve">уровня </w:t>
      </w:r>
      <w:r w:rsidR="00D62AC1">
        <w:t xml:space="preserve">альбуминов, отражалось на увеличение отношения </w:t>
      </w:r>
      <w:r w:rsidR="001A7EF3">
        <w:t>альбумины</w:t>
      </w:r>
      <w:r w:rsidR="00D62AC1">
        <w:t>/</w:t>
      </w:r>
      <w:r w:rsidR="001A7EF3">
        <w:t>глобулины</w:t>
      </w:r>
      <w:r w:rsidR="00D62AC1">
        <w:t xml:space="preserve">. Уровень кальция также повышался в связи с </w:t>
      </w:r>
      <w:r w:rsidR="00066F57">
        <w:t xml:space="preserve">изменением </w:t>
      </w:r>
      <w:r w:rsidR="00D62AC1">
        <w:t xml:space="preserve">концентрации альбумина. </w:t>
      </w:r>
      <w:r w:rsidR="00312E7D">
        <w:t>Наблюдали некоторые и</w:t>
      </w:r>
      <w:r w:rsidR="00D62AC1">
        <w:t>зменения уровн</w:t>
      </w:r>
      <w:r w:rsidR="00312E7D">
        <w:t>ей</w:t>
      </w:r>
      <w:r w:rsidR="00D62AC1">
        <w:t xml:space="preserve"> глюкозы, триглицеридов и </w:t>
      </w:r>
      <w:r w:rsidR="00312E7D">
        <w:t xml:space="preserve">активности </w:t>
      </w:r>
      <w:r w:rsidR="00D62AC1">
        <w:t>щелочн</w:t>
      </w:r>
      <w:r w:rsidR="00312E7D">
        <w:t>ой</w:t>
      </w:r>
      <w:r w:rsidR="00D62AC1">
        <w:t xml:space="preserve"> фосфатаз</w:t>
      </w:r>
      <w:r w:rsidR="00312E7D">
        <w:t>ы</w:t>
      </w:r>
      <w:r w:rsidR="00D62AC1">
        <w:t xml:space="preserve"> </w:t>
      </w:r>
      <w:r w:rsidR="00312E7D">
        <w:t xml:space="preserve">(ЩФ), однако значения этих показателей </w:t>
      </w:r>
      <w:r w:rsidR="00B72AC6">
        <w:t xml:space="preserve">были </w:t>
      </w:r>
      <w:r w:rsidR="00D62AC1">
        <w:t xml:space="preserve">в пределах нормы и не </w:t>
      </w:r>
      <w:r w:rsidR="00B72AC6">
        <w:t xml:space="preserve">были </w:t>
      </w:r>
      <w:r w:rsidR="00D62AC1">
        <w:t>токсикологически значи</w:t>
      </w:r>
      <w:r w:rsidR="00B72AC6">
        <w:t>мыми</w:t>
      </w:r>
      <w:r w:rsidR="00D62AC1">
        <w:t xml:space="preserve">. Таким образом, наблюдаемые изменения </w:t>
      </w:r>
      <w:r w:rsidR="00B72AC6">
        <w:t xml:space="preserve">биохимических </w:t>
      </w:r>
      <w:r w:rsidR="00D62AC1">
        <w:t xml:space="preserve">параметров </w:t>
      </w:r>
      <w:r w:rsidR="00B72AC6">
        <w:t>крови</w:t>
      </w:r>
      <w:r w:rsidR="00D62AC1">
        <w:t xml:space="preserve"> были</w:t>
      </w:r>
      <w:r w:rsidR="005B3CAB">
        <w:t>,</w:t>
      </w:r>
      <w:r w:rsidR="00D62AC1">
        <w:t xml:space="preserve"> вероятно, связан</w:t>
      </w:r>
      <w:r w:rsidR="00B72AC6">
        <w:t>ы</w:t>
      </w:r>
      <w:r w:rsidR="00D62AC1">
        <w:t xml:space="preserve"> с обезвоживанием, возможно, из-за чрезмерного слюноотделения</w:t>
      </w:r>
      <w:r w:rsidR="00CD5150">
        <w:t>, обусловленного введением лекарственного средства</w:t>
      </w:r>
      <w:r w:rsidR="00D62AC1">
        <w:t>.</w:t>
      </w:r>
      <w:r w:rsidR="00322050" w:rsidRPr="00322050">
        <w:t xml:space="preserve"> </w:t>
      </w:r>
      <w:r w:rsidR="00322050">
        <w:t xml:space="preserve">За исключением </w:t>
      </w:r>
      <w:r w:rsidR="00CD5150">
        <w:t xml:space="preserve">животных </w:t>
      </w:r>
      <w:r w:rsidR="002D421E">
        <w:t xml:space="preserve">из </w:t>
      </w:r>
      <w:r w:rsidR="00322050">
        <w:t>контрольной группы и групп</w:t>
      </w:r>
      <w:r w:rsidR="00CD5150">
        <w:t>ы</w:t>
      </w:r>
      <w:r w:rsidR="00322050">
        <w:t xml:space="preserve"> высокой доз</w:t>
      </w:r>
      <w:r w:rsidR="002D421E">
        <w:t>ы</w:t>
      </w:r>
      <w:r w:rsidR="00322050">
        <w:t xml:space="preserve">, </w:t>
      </w:r>
      <w:r w:rsidR="002D421E">
        <w:t xml:space="preserve">образцы </w:t>
      </w:r>
      <w:r w:rsidR="00322050">
        <w:t>не все</w:t>
      </w:r>
      <w:r w:rsidR="002D421E">
        <w:t>х</w:t>
      </w:r>
      <w:r w:rsidR="00322050">
        <w:t xml:space="preserve"> ткан</w:t>
      </w:r>
      <w:r w:rsidR="002D421E">
        <w:t>ей</w:t>
      </w:r>
      <w:r w:rsidR="00322050">
        <w:t xml:space="preserve"> и орган</w:t>
      </w:r>
      <w:r w:rsidR="002D421E">
        <w:t>ов</w:t>
      </w:r>
      <w:r w:rsidR="00322050">
        <w:t xml:space="preserve"> исследова</w:t>
      </w:r>
      <w:r w:rsidR="002D421E">
        <w:t>ли</w:t>
      </w:r>
      <w:r w:rsidR="00322050">
        <w:t xml:space="preserve"> на </w:t>
      </w:r>
      <w:r w:rsidR="0088291A">
        <w:t>гисто</w:t>
      </w:r>
      <w:r w:rsidR="00322050">
        <w:t>патологию, поэтому NOAEL не был</w:t>
      </w:r>
      <w:r w:rsidR="005B3CAB">
        <w:t>а</w:t>
      </w:r>
      <w:r w:rsidR="00322050">
        <w:t xml:space="preserve"> определен</w:t>
      </w:r>
      <w:r w:rsidR="005B3CAB">
        <w:t>а</w:t>
      </w:r>
      <w:r w:rsidR="00322050">
        <w:t xml:space="preserve"> для некоторых из эффект</w:t>
      </w:r>
      <w:r w:rsidR="0088291A">
        <w:t>ов</w:t>
      </w:r>
      <w:r w:rsidR="00322050">
        <w:t xml:space="preserve"> </w:t>
      </w:r>
      <w:r w:rsidR="0088291A">
        <w:t>введения</w:t>
      </w:r>
      <w:r w:rsidR="00322050">
        <w:t xml:space="preserve"> </w:t>
      </w:r>
      <w:r w:rsidR="00465845" w:rsidRPr="00465845">
        <w:t>тофацитиниба</w:t>
      </w:r>
      <w:r w:rsidR="00322050">
        <w:t>. Наиболее выраженной находкой была атрофия лимфоидн</w:t>
      </w:r>
      <w:r w:rsidR="0088291A">
        <w:t>ой</w:t>
      </w:r>
      <w:r w:rsidR="00322050">
        <w:t xml:space="preserve"> ткани лимфатических узл</w:t>
      </w:r>
      <w:r w:rsidR="0088291A">
        <w:t>ов</w:t>
      </w:r>
      <w:r w:rsidR="00322050">
        <w:t xml:space="preserve"> (паховых, подвздошно-бедренных и брыжеечных), селезенк</w:t>
      </w:r>
      <w:r w:rsidR="0088291A">
        <w:t>и</w:t>
      </w:r>
      <w:r w:rsidR="00322050">
        <w:t xml:space="preserve"> и тимус</w:t>
      </w:r>
      <w:r w:rsidR="0088291A">
        <w:t>а</w:t>
      </w:r>
      <w:r w:rsidR="00322050">
        <w:t xml:space="preserve">. Это часто </w:t>
      </w:r>
      <w:r w:rsidR="003F7638">
        <w:t xml:space="preserve">ассоциировалось со снижением массы </w:t>
      </w:r>
      <w:r w:rsidR="00322050">
        <w:t xml:space="preserve">органов и </w:t>
      </w:r>
      <w:r w:rsidR="00EB5771">
        <w:t>малыми размерами органов, определяемы</w:t>
      </w:r>
      <w:r w:rsidR="001D68B9">
        <w:t xml:space="preserve">ми при </w:t>
      </w:r>
      <w:r w:rsidR="00322050">
        <w:t>макроскопичес</w:t>
      </w:r>
      <w:r w:rsidR="001D68B9">
        <w:t>ком исследовании</w:t>
      </w:r>
      <w:r w:rsidR="00322050">
        <w:t xml:space="preserve">. В легких легочный гистиоцитоз при интерстициальном воспалении возникал при </w:t>
      </w:r>
      <w:r w:rsidR="001D68B9">
        <w:t>использовании в</w:t>
      </w:r>
      <w:r w:rsidR="00322050">
        <w:t xml:space="preserve"> высоких доз</w:t>
      </w:r>
      <w:r w:rsidR="001D68B9">
        <w:t>ах</w:t>
      </w:r>
      <w:r w:rsidR="008352B6">
        <w:t xml:space="preserve">, </w:t>
      </w:r>
      <w:r w:rsidR="00740755">
        <w:t xml:space="preserve">имело </w:t>
      </w:r>
      <w:r w:rsidR="00322050">
        <w:t>место дозозависимое увеличение массы печени (при выражении в % от массы тела), соответствующее гепатоцеллюлярн</w:t>
      </w:r>
      <w:r w:rsidR="00740755">
        <w:t>ой</w:t>
      </w:r>
      <w:r w:rsidR="00322050">
        <w:t xml:space="preserve"> гипертрофи</w:t>
      </w:r>
      <w:r w:rsidR="00740755">
        <w:t>и</w:t>
      </w:r>
      <w:r w:rsidR="00322050">
        <w:t xml:space="preserve"> у </w:t>
      </w:r>
      <w:r w:rsidR="00740755">
        <w:t>самцов и самок</w:t>
      </w:r>
      <w:r w:rsidR="00322050">
        <w:t>.</w:t>
      </w:r>
      <w:r w:rsidR="00AF6E02" w:rsidRPr="00AF6E02">
        <w:t xml:space="preserve"> </w:t>
      </w:r>
      <w:r w:rsidR="0032741E">
        <w:t>Общ</w:t>
      </w:r>
      <w:r w:rsidR="001D2A95">
        <w:t>ая</w:t>
      </w:r>
      <w:r w:rsidR="0032741E">
        <w:t xml:space="preserve"> NOAEL для исследования не мо</w:t>
      </w:r>
      <w:r w:rsidR="00E6122C">
        <w:t>г</w:t>
      </w:r>
      <w:r w:rsidR="003E059F">
        <w:t>ла</w:t>
      </w:r>
      <w:r w:rsidR="0032741E">
        <w:t xml:space="preserve"> быть определен</w:t>
      </w:r>
      <w:r w:rsidR="003E059F">
        <w:t>а</w:t>
      </w:r>
      <w:r w:rsidR="0032741E">
        <w:t xml:space="preserve"> из-за патологии легких и отсутстви</w:t>
      </w:r>
      <w:r w:rsidR="00E6122C">
        <w:t>я</w:t>
      </w:r>
      <w:r w:rsidR="0032741E">
        <w:t xml:space="preserve"> </w:t>
      </w:r>
      <w:r w:rsidR="00E6122C">
        <w:t>возможности оценки</w:t>
      </w:r>
      <w:r w:rsidR="0032741E">
        <w:t xml:space="preserve"> восстановления анатомических и гематологических данных. На протяжении всего исследования у животных несколько раз </w:t>
      </w:r>
      <w:r w:rsidR="001D2A95">
        <w:t>отбирали</w:t>
      </w:r>
      <w:r w:rsidR="0032741E">
        <w:t xml:space="preserve"> кровь, что весьма вероятно способствовал</w:t>
      </w:r>
      <w:r w:rsidR="005B3CAB">
        <w:t>о</w:t>
      </w:r>
      <w:r w:rsidR="0032741E">
        <w:t xml:space="preserve"> некоторым </w:t>
      </w:r>
      <w:r w:rsidR="001D2A95">
        <w:t>изменениям</w:t>
      </w:r>
      <w:r w:rsidR="0032741E">
        <w:t xml:space="preserve">, затрудняющим </w:t>
      </w:r>
      <w:r w:rsidR="001D2A95">
        <w:t>установление причины этих изменений и взаимосвязи с введением</w:t>
      </w:r>
      <w:r w:rsidR="0032741E">
        <w:t xml:space="preserve"> </w:t>
      </w:r>
      <w:r w:rsidR="00FA3B98" w:rsidRPr="00FA3B98">
        <w:t>тофацитиниба</w:t>
      </w:r>
      <w:r w:rsidR="0032741E">
        <w:t xml:space="preserve">. Однако для лимфоидных тканей </w:t>
      </w:r>
      <w:r w:rsidR="00CF6EF7">
        <w:t>NOAEL сочли</w:t>
      </w:r>
      <w:r w:rsidR="0032741E">
        <w:t xml:space="preserve"> равн</w:t>
      </w:r>
      <w:r w:rsidR="00F40EAC">
        <w:t>ой</w:t>
      </w:r>
      <w:r w:rsidR="0032741E">
        <w:t xml:space="preserve"> 1 мг/кг/</w:t>
      </w:r>
      <w:r w:rsidR="00CF6EF7">
        <w:t>сут</w:t>
      </w:r>
      <w:r w:rsidR="0032741E">
        <w:t xml:space="preserve">, </w:t>
      </w:r>
      <w:r w:rsidR="00CF6EF7">
        <w:t xml:space="preserve">что </w:t>
      </w:r>
      <w:r w:rsidR="00EC4D87">
        <w:t>подтверждалось</w:t>
      </w:r>
      <w:r w:rsidR="0032741E">
        <w:t xml:space="preserve"> отсутстви</w:t>
      </w:r>
      <w:r w:rsidR="00EC4D87">
        <w:t>ем</w:t>
      </w:r>
      <w:r w:rsidR="0032741E">
        <w:t xml:space="preserve"> гистопатологических изменений в тканях, которые оценивали при всех дозах</w:t>
      </w:r>
      <w:r w:rsidR="0086275A">
        <w:t>,</w:t>
      </w:r>
      <w:r w:rsidR="0032741E">
        <w:t xml:space="preserve"> и связанных с ними минимальных гематологических изменени</w:t>
      </w:r>
      <w:r w:rsidR="0086275A">
        <w:t>й.</w:t>
      </w:r>
      <w:r w:rsidR="0032741E">
        <w:t xml:space="preserve"> </w:t>
      </w:r>
      <w:r w:rsidR="0086275A">
        <w:t>О</w:t>
      </w:r>
      <w:r w:rsidR="0032741E">
        <w:t xml:space="preserve">тсутствие </w:t>
      </w:r>
      <w:r w:rsidR="0086275A">
        <w:t>периода</w:t>
      </w:r>
      <w:r w:rsidR="0032741E">
        <w:t xml:space="preserve"> восстановления препятствовало возможности </w:t>
      </w:r>
      <w:r w:rsidR="00ED6CA9">
        <w:t>установки</w:t>
      </w:r>
      <w:r w:rsidR="0032741E">
        <w:t xml:space="preserve"> более высокой дозы </w:t>
      </w:r>
      <w:r w:rsidR="00ED6CA9">
        <w:t xml:space="preserve">в качестве </w:t>
      </w:r>
      <w:r w:rsidR="0032741E">
        <w:t xml:space="preserve">NOAEL </w:t>
      </w:r>
      <w:r w:rsidR="006717BC">
        <w:rPr>
          <w:lang w:val="en-US"/>
        </w:rPr>
        <w:fldChar w:fldCharType="begin"/>
      </w:r>
      <w:r w:rsidR="00044A89">
        <w:instrText xml:space="preserve"> ADDIN ZOTERO_ITEM CSL_CITATION {"citationID":"XIJ9TTw9","properties":{"formattedCitation":"[12]","plainCitation":"[12]","noteIndex":0},"citationItems":[{"id":87803,"uris":["http://zotero.org/groups/4742804/items/DMZ5DFPG"],"itemData":{"id":87803,"type":"webpage","title":"Xeljanz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6717BC">
        <w:rPr>
          <w:lang w:val="en-US"/>
        </w:rPr>
        <w:fldChar w:fldCharType="separate"/>
      </w:r>
      <w:r w:rsidR="00D46D1F">
        <w:rPr>
          <w:rFonts w:cs="Times New Roman"/>
        </w:rPr>
        <w:t>[1</w:t>
      </w:r>
      <w:r w:rsidR="00044A89" w:rsidRPr="00044A89">
        <w:rPr>
          <w:rFonts w:cs="Times New Roman"/>
        </w:rPr>
        <w:t>]</w:t>
      </w:r>
      <w:r w:rsidR="006717BC">
        <w:rPr>
          <w:lang w:val="en-US"/>
        </w:rPr>
        <w:fldChar w:fldCharType="end"/>
      </w:r>
      <w:r w:rsidR="006717BC">
        <w:t>.</w:t>
      </w:r>
    </w:p>
    <w:p w14:paraId="378BC6F9" w14:textId="29134C01" w:rsidR="000E0742" w:rsidRDefault="003342CD" w:rsidP="00D36ADC">
      <w:pPr>
        <w:pStyle w:val="SDText"/>
        <w:contextualSpacing/>
      </w:pPr>
      <w:r>
        <w:t xml:space="preserve">Исследование 00-2063-05 провели на </w:t>
      </w:r>
      <w:r w:rsidR="00851258">
        <w:t>яванских макаках (</w:t>
      </w:r>
      <w:r w:rsidR="00D37455">
        <w:t>масса тела 3,3 кг для самцов, 3,0 кг для самок, по 1 самцу и 1 самке на группу</w:t>
      </w:r>
      <w:r w:rsidR="00815126">
        <w:t xml:space="preserve">). В течение 2 недель животные получали внутрижелудочно </w:t>
      </w:r>
      <w:r w:rsidR="00FA3B98" w:rsidRPr="00FA3B98">
        <w:t xml:space="preserve">тофацитиниб </w:t>
      </w:r>
      <w:r w:rsidR="00815126">
        <w:t xml:space="preserve">в дозе </w:t>
      </w:r>
      <w:r w:rsidR="006528DD">
        <w:t xml:space="preserve">20 </w:t>
      </w:r>
      <w:r w:rsidR="00F129D4">
        <w:t xml:space="preserve">мг/кг/сут </w:t>
      </w:r>
      <w:r w:rsidR="006528DD">
        <w:t>(</w:t>
      </w:r>
      <w:r w:rsidR="00F129D4">
        <w:t xml:space="preserve">с увеличением до </w:t>
      </w:r>
      <w:r w:rsidR="006528DD">
        <w:t>500</w:t>
      </w:r>
      <w:r w:rsidR="00F129D4">
        <w:t xml:space="preserve"> мг/кг/сут на </w:t>
      </w:r>
      <w:r w:rsidR="007F6C2C">
        <w:t xml:space="preserve">8 день для определения </w:t>
      </w:r>
      <w:r w:rsidR="00A441B9">
        <w:t>МПД</w:t>
      </w:r>
      <w:r w:rsidR="007F6C2C">
        <w:t xml:space="preserve">), </w:t>
      </w:r>
      <w:r w:rsidR="00466F43">
        <w:t>50 мг/кг/сут или 200 мг/кг/сут</w:t>
      </w:r>
      <w:r w:rsidR="00F40EAC">
        <w:t>,</w:t>
      </w:r>
      <w:r w:rsidR="00466F43">
        <w:t xml:space="preserve"> или носитель. Суточную дозу делили на 3 введения. </w:t>
      </w:r>
      <w:r w:rsidR="00CA2D1C">
        <w:t>Обоих животных в группе</w:t>
      </w:r>
      <w:r w:rsidR="002A15C9">
        <w:t xml:space="preserve"> 500 мг/кг/сут и самку в </w:t>
      </w:r>
      <w:r w:rsidR="002A15C9">
        <w:lastRenderedPageBreak/>
        <w:t xml:space="preserve">группе 200 мг/кг/сут </w:t>
      </w:r>
      <w:r w:rsidR="00E35538">
        <w:t xml:space="preserve">на 11 или 12 дни пришлось умертвить </w:t>
      </w:r>
      <w:r w:rsidR="000029A3">
        <w:t xml:space="preserve">в связи с признаками интоксикации. </w:t>
      </w:r>
      <w:r w:rsidR="005E4E7F">
        <w:rPr>
          <w:lang w:val="en-US"/>
        </w:rPr>
        <w:t>NOAEL</w:t>
      </w:r>
      <w:r w:rsidR="005E4E7F" w:rsidRPr="002669E0">
        <w:t xml:space="preserve"> </w:t>
      </w:r>
      <w:r w:rsidR="005E4E7F">
        <w:t xml:space="preserve">в ходе исследования не определили. </w:t>
      </w:r>
      <w:r w:rsidR="00A441B9">
        <w:t>МПД</w:t>
      </w:r>
      <w:r w:rsidR="00A80537">
        <w:t xml:space="preserve"> составила </w:t>
      </w:r>
      <w:r w:rsidR="002669E0">
        <w:t xml:space="preserve">50 мг/кг/сут. Клинические признаки, ассоциированные с интоксикацией </w:t>
      </w:r>
      <w:r w:rsidR="00FA3B98" w:rsidRPr="00FA3B98">
        <w:t>тофацитиниб</w:t>
      </w:r>
      <w:r w:rsidR="00FA3B98">
        <w:t>ом</w:t>
      </w:r>
      <w:r w:rsidR="00F40EAC">
        <w:t>,</w:t>
      </w:r>
      <w:r w:rsidR="002669E0">
        <w:t xml:space="preserve"> включали рвоту при дозе </w:t>
      </w:r>
      <w:r w:rsidR="002669E0">
        <w:rPr>
          <w:rFonts w:cs="Times New Roman"/>
        </w:rPr>
        <w:t>≥</w:t>
      </w:r>
      <w:r w:rsidR="002669E0">
        <w:t xml:space="preserve"> </w:t>
      </w:r>
      <w:r w:rsidR="009B1B28">
        <w:t>50 мг/кг/сут, увеличение слюноотделения после введения препарата</w:t>
      </w:r>
      <w:r w:rsidR="00E43F9E">
        <w:t xml:space="preserve">, жидкий стул, сгорбленную позу </w:t>
      </w:r>
      <w:r w:rsidR="00D21FDB">
        <w:t xml:space="preserve">при дозе </w:t>
      </w:r>
      <w:r w:rsidR="00D21FDB">
        <w:rPr>
          <w:rFonts w:cs="Times New Roman"/>
        </w:rPr>
        <w:t>≥</w:t>
      </w:r>
      <w:r w:rsidR="00D21FDB">
        <w:t xml:space="preserve"> 200 мг/кг/сут, снижение активности, атаксию, бледную кожу</w:t>
      </w:r>
      <w:r w:rsidR="00DA19BB">
        <w:t xml:space="preserve"> и дегидратацию при дозе </w:t>
      </w:r>
      <w:r w:rsidR="00DA19BB">
        <w:rPr>
          <w:rFonts w:cs="Times New Roman"/>
        </w:rPr>
        <w:t>≥</w:t>
      </w:r>
      <w:r w:rsidR="00DA19BB">
        <w:t xml:space="preserve"> 500 мг/кг/сут</w:t>
      </w:r>
      <w:r w:rsidR="00421C08">
        <w:t xml:space="preserve">. Гематологические эффекты включали изменение параметров </w:t>
      </w:r>
      <w:r w:rsidR="00937CD9">
        <w:t xml:space="preserve">лейкоцитов и эритроцитов при введении в дозах </w:t>
      </w:r>
      <w:r w:rsidR="00937CD9">
        <w:rPr>
          <w:rFonts w:cs="Times New Roman"/>
        </w:rPr>
        <w:t>≥</w:t>
      </w:r>
      <w:r w:rsidR="00937CD9">
        <w:t xml:space="preserve"> 50 мг/кг/сут</w:t>
      </w:r>
      <w:r w:rsidR="00410CF4">
        <w:t xml:space="preserve">: снижение количества лейкоцитов, </w:t>
      </w:r>
      <w:r w:rsidR="00354E10">
        <w:t xml:space="preserve">лимфоцитов, </w:t>
      </w:r>
      <w:r w:rsidR="00410CF4">
        <w:t xml:space="preserve">эритроцитов, </w:t>
      </w:r>
      <w:r w:rsidR="00354E10">
        <w:t>гематокрита, уровня гемоглобина и количества ретикулоцитов</w:t>
      </w:r>
      <w:r w:rsidR="004058DF">
        <w:t xml:space="preserve">. Изменений показателей биохимического анализа крови, связанных с введением </w:t>
      </w:r>
      <w:r w:rsidR="00FA3B98" w:rsidRPr="00FA3B98">
        <w:t>тофацитиниба</w:t>
      </w:r>
      <w:r w:rsidR="00F40EAC">
        <w:t>,</w:t>
      </w:r>
      <w:r w:rsidR="00DF4044">
        <w:t xml:space="preserve"> в ходе исследования не зарегистрировали. </w:t>
      </w:r>
      <w:r w:rsidR="00CA0544">
        <w:t xml:space="preserve">Истощение лимфоидной ткани </w:t>
      </w:r>
      <w:r w:rsidR="002335D1">
        <w:t xml:space="preserve">определили в тимусе, селезенке, </w:t>
      </w:r>
      <w:r w:rsidR="002A16B1">
        <w:t>брыжеечных лимфатических узлах и костном мозге</w:t>
      </w:r>
      <w:r w:rsidR="00FA2CB0">
        <w:t>. Включения в ядрах клет</w:t>
      </w:r>
      <w:r w:rsidR="00F40EAC">
        <w:t>о</w:t>
      </w:r>
      <w:r w:rsidR="00FA2CB0">
        <w:t xml:space="preserve">к, характерные для вирусной инфекции, определили при гистологическом исследовании образцов </w:t>
      </w:r>
      <w:r w:rsidR="00670B2B">
        <w:t xml:space="preserve">тканей некоторых умерщвленных животных с признаками </w:t>
      </w:r>
      <w:r w:rsidR="00DD5C7A">
        <w:t xml:space="preserve">инфекций и воспаления (желудок, селезенка) </w:t>
      </w:r>
      <w:r w:rsidR="00B1166E">
        <w:rPr>
          <w:lang w:val="en-US"/>
        </w:rPr>
        <w:fldChar w:fldCharType="begin"/>
      </w:r>
      <w:r w:rsidR="00044A89">
        <w:instrText xml:space="preserve"> ADDIN ZOTERO_ITEM CSL_CITATION {"citationID":"RnbicrUW","properties":{"formattedCitation":"[12]","plainCitation":"[12]","noteIndex":0},"citationItems":[{"id":87803,"uris":["http://zotero.org/groups/4742804/items/DMZ5DFPG"],"itemData":{"id":87803,"type":"webpage","title":"Xeljanz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B1166E">
        <w:rPr>
          <w:lang w:val="en-US"/>
        </w:rPr>
        <w:fldChar w:fldCharType="separate"/>
      </w:r>
      <w:r w:rsidR="00D46D1F">
        <w:rPr>
          <w:rFonts w:cs="Times New Roman"/>
        </w:rPr>
        <w:t>[1</w:t>
      </w:r>
      <w:r w:rsidR="00044A89" w:rsidRPr="00044A89">
        <w:rPr>
          <w:rFonts w:cs="Times New Roman"/>
        </w:rPr>
        <w:t>]</w:t>
      </w:r>
      <w:r w:rsidR="00B1166E">
        <w:rPr>
          <w:lang w:val="en-US"/>
        </w:rPr>
        <w:fldChar w:fldCharType="end"/>
      </w:r>
      <w:r w:rsidR="00B1166E">
        <w:t>.</w:t>
      </w:r>
    </w:p>
    <w:p w14:paraId="5B441627" w14:textId="0F8C0E84" w:rsidR="008444AA" w:rsidRDefault="008444AA" w:rsidP="00D36ADC">
      <w:pPr>
        <w:pStyle w:val="SDText"/>
        <w:contextualSpacing/>
      </w:pPr>
      <w:r>
        <w:t xml:space="preserve">В исследовании 01-2063-09 </w:t>
      </w:r>
      <w:r w:rsidR="00BF797F">
        <w:t xml:space="preserve">использовали яванских макак (масса тела </w:t>
      </w:r>
      <w:r w:rsidR="007100B3">
        <w:t>5</w:t>
      </w:r>
      <w:r w:rsidR="00BF797F">
        <w:t>,</w:t>
      </w:r>
      <w:r w:rsidR="007100B3">
        <w:t>7</w:t>
      </w:r>
      <w:r w:rsidR="00BF797F">
        <w:t xml:space="preserve"> кг для самцов, </w:t>
      </w:r>
      <w:r w:rsidR="007100B3">
        <w:t>2</w:t>
      </w:r>
      <w:r w:rsidR="00BF797F">
        <w:t>,</w:t>
      </w:r>
      <w:r w:rsidR="007100B3">
        <w:t>6</w:t>
      </w:r>
      <w:r w:rsidR="00BF797F">
        <w:t xml:space="preserve"> кг для самок, по </w:t>
      </w:r>
      <w:r w:rsidR="00FB2CD8">
        <w:t>3</w:t>
      </w:r>
      <w:r w:rsidR="00BF797F">
        <w:t xml:space="preserve"> самц</w:t>
      </w:r>
      <w:r w:rsidR="00FB2CD8">
        <w:t>а</w:t>
      </w:r>
      <w:r w:rsidR="00BF797F">
        <w:t xml:space="preserve"> и </w:t>
      </w:r>
      <w:r w:rsidR="00FB2CD8">
        <w:t>3</w:t>
      </w:r>
      <w:r w:rsidR="00BF797F">
        <w:t xml:space="preserve"> самк</w:t>
      </w:r>
      <w:r w:rsidR="00FB2CD8">
        <w:t>и</w:t>
      </w:r>
      <w:r w:rsidR="00BF797F">
        <w:t xml:space="preserve"> на группу</w:t>
      </w:r>
      <w:r w:rsidR="00FB2CD8">
        <w:t xml:space="preserve"> с дополнительными 2 самцами и 2 самками </w:t>
      </w:r>
      <w:r w:rsidR="00636444">
        <w:t xml:space="preserve">в группах носителя и дозы </w:t>
      </w:r>
      <w:r w:rsidR="006B7D73">
        <w:t xml:space="preserve">50 мг/кг/сут </w:t>
      </w:r>
      <w:r w:rsidR="00636444">
        <w:t>для оценки в восстановительном периоде</w:t>
      </w:r>
      <w:r w:rsidR="00BF797F">
        <w:t>).</w:t>
      </w:r>
      <w:r w:rsidR="006B7D73">
        <w:t xml:space="preserve"> Животные получали </w:t>
      </w:r>
      <w:r w:rsidR="00C12855" w:rsidRPr="00C12855">
        <w:t>CP-690550-10</w:t>
      </w:r>
      <w:r w:rsidR="00C12855">
        <w:t xml:space="preserve"> </w:t>
      </w:r>
      <w:r w:rsidR="0053565E">
        <w:t xml:space="preserve">внутрижелудочно </w:t>
      </w:r>
      <w:r w:rsidR="00C12855">
        <w:t xml:space="preserve">в дозе </w:t>
      </w:r>
      <w:r w:rsidR="00C12855" w:rsidRPr="00C12855">
        <w:t>10, 50</w:t>
      </w:r>
      <w:r w:rsidR="00C12855">
        <w:t xml:space="preserve"> или</w:t>
      </w:r>
      <w:r w:rsidR="00C12855" w:rsidRPr="00C12855">
        <w:t xml:space="preserve"> 100</w:t>
      </w:r>
      <w:r w:rsidR="00C12855">
        <w:t xml:space="preserve"> мг/кг/сут, разделенной на 3 введения</w:t>
      </w:r>
      <w:r w:rsidR="00F40EAC">
        <w:t>,</w:t>
      </w:r>
      <w:r w:rsidR="00C12855">
        <w:t xml:space="preserve"> или носитель в течение </w:t>
      </w:r>
      <w:r w:rsidR="0053565E">
        <w:t xml:space="preserve">4 недель. Длительность восстановительного периода равнялась 4 неделям. </w:t>
      </w:r>
      <w:r w:rsidR="007B5A8C">
        <w:t>Дозы 50 и 100 мг/кг/сут вызывали вторичные инфекции открытых ран или желудочно-кишечные эрозии</w:t>
      </w:r>
      <w:r w:rsidR="00F40EAC">
        <w:t>,</w:t>
      </w:r>
      <w:r w:rsidR="007B5A8C">
        <w:t xml:space="preserve"> или язвы, возникающие у всех животных в </w:t>
      </w:r>
      <w:r w:rsidR="0054200C">
        <w:t xml:space="preserve">группе </w:t>
      </w:r>
      <w:r w:rsidR="007B5A8C">
        <w:t>100 мг/кг/</w:t>
      </w:r>
      <w:r w:rsidR="0054200C">
        <w:t>сут,</w:t>
      </w:r>
      <w:r w:rsidR="007B5A8C">
        <w:t xml:space="preserve"> </w:t>
      </w:r>
      <w:r w:rsidR="0054200C">
        <w:t>умерщвленных</w:t>
      </w:r>
      <w:r w:rsidR="007B5A8C">
        <w:t xml:space="preserve"> на 12 день, и </w:t>
      </w:r>
      <w:r w:rsidR="00F40EAC">
        <w:t xml:space="preserve">у </w:t>
      </w:r>
      <w:r w:rsidR="007B5A8C">
        <w:t xml:space="preserve">3 животных в </w:t>
      </w:r>
      <w:r w:rsidR="00B04AB8">
        <w:t>групп</w:t>
      </w:r>
      <w:r w:rsidR="00F40EAC">
        <w:t>е</w:t>
      </w:r>
      <w:r w:rsidR="00B04AB8">
        <w:t xml:space="preserve"> </w:t>
      </w:r>
      <w:r w:rsidR="007B5A8C">
        <w:t>доз</w:t>
      </w:r>
      <w:r w:rsidR="00B04AB8">
        <w:t>ы</w:t>
      </w:r>
      <w:r w:rsidR="007B5A8C">
        <w:t xml:space="preserve"> 50 мг/кг/</w:t>
      </w:r>
      <w:r w:rsidR="00B04AB8">
        <w:t>сут</w:t>
      </w:r>
      <w:r w:rsidR="00C45460">
        <w:t xml:space="preserve">, умерщвленных в ходе </w:t>
      </w:r>
      <w:r w:rsidR="007B5A8C">
        <w:t xml:space="preserve">всего этапа дозирования. Лимфоидное истощение происходило в селезенке при </w:t>
      </w:r>
      <w:r w:rsidR="00C45460">
        <w:t xml:space="preserve">введении в </w:t>
      </w:r>
      <w:r w:rsidR="007B5A8C">
        <w:t xml:space="preserve">дозах 50 и 100 мг/кг/день и в </w:t>
      </w:r>
      <w:r w:rsidR="00C45460">
        <w:t>брыжеечном</w:t>
      </w:r>
      <w:r w:rsidR="007B5A8C">
        <w:t xml:space="preserve"> лимфатическ</w:t>
      </w:r>
      <w:r w:rsidR="00C45460">
        <w:t>ом</w:t>
      </w:r>
      <w:r w:rsidR="007B5A8C">
        <w:t xml:space="preserve"> уз</w:t>
      </w:r>
      <w:r w:rsidR="00C45460">
        <w:t>ле при введении</w:t>
      </w:r>
      <w:r w:rsidR="007B5A8C">
        <w:t xml:space="preserve"> </w:t>
      </w:r>
      <w:r w:rsidR="00C45460">
        <w:t>в дозе</w:t>
      </w:r>
      <w:r w:rsidR="007B5A8C">
        <w:t xml:space="preserve"> 100 мг/кг/сут. При дозах 10 и 50 мг/кг/сут наблюдал</w:t>
      </w:r>
      <w:r w:rsidR="00C45460">
        <w:t>и</w:t>
      </w:r>
      <w:r w:rsidR="007B5A8C">
        <w:t xml:space="preserve"> снижение соотношения </w:t>
      </w:r>
      <w:r w:rsidR="00C45460">
        <w:rPr>
          <w:lang w:val="en-US"/>
        </w:rPr>
        <w:t>M</w:t>
      </w:r>
      <w:r w:rsidR="00C45460">
        <w:t>:</w:t>
      </w:r>
      <w:r w:rsidR="00C45460">
        <w:rPr>
          <w:lang w:val="en-US"/>
        </w:rPr>
        <w:t>E</w:t>
      </w:r>
      <w:r w:rsidR="00C45460" w:rsidRPr="00C45460">
        <w:t xml:space="preserve"> </w:t>
      </w:r>
      <w:r w:rsidR="007B5A8C">
        <w:t xml:space="preserve">в костном мозге с 54 до 69%, что </w:t>
      </w:r>
      <w:r w:rsidR="00C45460">
        <w:t>восстановилось у животных</w:t>
      </w:r>
      <w:r w:rsidR="007B5A8C">
        <w:t xml:space="preserve"> в группе 50 мг/кг/</w:t>
      </w:r>
      <w:r w:rsidR="00C45460">
        <w:t>сут</w:t>
      </w:r>
      <w:r w:rsidR="00993A48">
        <w:t xml:space="preserve">. </w:t>
      </w:r>
      <w:r w:rsidR="007B5A8C">
        <w:t>Это произошло за счет снижения % миелоидных клеток (78</w:t>
      </w:r>
      <w:r w:rsidR="00993A48">
        <w:t>–</w:t>
      </w:r>
      <w:r w:rsidR="007B5A8C">
        <w:t xml:space="preserve">83% </w:t>
      </w:r>
      <w:r w:rsidR="00993A48">
        <w:t xml:space="preserve">от </w:t>
      </w:r>
      <w:r w:rsidR="007B5A8C">
        <w:t>контрольны</w:t>
      </w:r>
      <w:r w:rsidR="00993A48">
        <w:t>х</w:t>
      </w:r>
      <w:r w:rsidR="007B5A8C">
        <w:t xml:space="preserve"> уровн</w:t>
      </w:r>
      <w:r w:rsidR="00993A48">
        <w:t>ей</w:t>
      </w:r>
      <w:r w:rsidR="007B5A8C">
        <w:t>) и увеличение %</w:t>
      </w:r>
      <w:r w:rsidR="00993A48">
        <w:t xml:space="preserve"> </w:t>
      </w:r>
      <w:r w:rsidR="007B5A8C">
        <w:t>эритроидных клеток (108</w:t>
      </w:r>
      <w:r w:rsidR="00993A48">
        <w:t>–</w:t>
      </w:r>
      <w:r w:rsidR="007B5A8C">
        <w:t xml:space="preserve">151% от контрольных уровней), оба из которых восстановились до контрольных уровней в конце периода восстановления. </w:t>
      </w:r>
      <w:r w:rsidR="00F20372">
        <w:t>Отмеча</w:t>
      </w:r>
      <w:r w:rsidR="00CF15EE">
        <w:t>лось</w:t>
      </w:r>
      <w:r w:rsidR="00F20372">
        <w:t xml:space="preserve"> усиление мононуклеарно-клеточной инфильтрации в ряде органо</w:t>
      </w:r>
      <w:r w:rsidR="00CF15EE">
        <w:t xml:space="preserve">в, </w:t>
      </w:r>
      <w:r w:rsidR="00F20372">
        <w:t>превыс</w:t>
      </w:r>
      <w:r w:rsidR="00CF15EE">
        <w:t>ивш</w:t>
      </w:r>
      <w:r w:rsidR="00B11B3F">
        <w:t>ее</w:t>
      </w:r>
      <w:r w:rsidR="00F20372">
        <w:t xml:space="preserve"> контрольный уровень. Доза 10 мг/кг/</w:t>
      </w:r>
      <w:r w:rsidR="00B11B3F">
        <w:t>сут</w:t>
      </w:r>
      <w:r w:rsidR="00F20372">
        <w:t xml:space="preserve"> была переносимой дозой; эффекты включали легк</w:t>
      </w:r>
      <w:r w:rsidR="00137CC5">
        <w:t>ое</w:t>
      </w:r>
      <w:r w:rsidR="00F20372">
        <w:t xml:space="preserve"> снижение числа эритроцитов, гематокрита, </w:t>
      </w:r>
      <w:r w:rsidR="00FD170D">
        <w:t xml:space="preserve">уровня </w:t>
      </w:r>
      <w:r w:rsidR="00F20372">
        <w:t xml:space="preserve">гемоглобина, </w:t>
      </w:r>
      <w:r w:rsidR="005753B7">
        <w:t xml:space="preserve">количества </w:t>
      </w:r>
      <w:r w:rsidR="00F20372">
        <w:t xml:space="preserve">лимфоцитов, и субпопуляции лимфоцитов (Т-хелперы, цитотоксические/супрессорные Т-лимфоциты и </w:t>
      </w:r>
      <w:r w:rsidR="005753B7">
        <w:rPr>
          <w:lang w:val="en-US"/>
        </w:rPr>
        <w:t>NK</w:t>
      </w:r>
      <w:r w:rsidR="005753B7" w:rsidRPr="005753B7">
        <w:t>-</w:t>
      </w:r>
      <w:r w:rsidR="00F20372">
        <w:t>клетки).</w:t>
      </w:r>
      <w:r w:rsidR="00C751B1">
        <w:t xml:space="preserve"> Параметры, которые не восстановились </w:t>
      </w:r>
      <w:r w:rsidR="003B5B6C">
        <w:t>в течение 1 ме</w:t>
      </w:r>
      <w:r w:rsidR="003B5B6C">
        <w:rPr>
          <w:lang w:val="en-US"/>
        </w:rPr>
        <w:t>c</w:t>
      </w:r>
      <w:r w:rsidR="003B5B6C">
        <w:t xml:space="preserve">. </w:t>
      </w:r>
      <w:r w:rsidR="00C751B1">
        <w:t>(группа дозы 50 мг/кг/сут)</w:t>
      </w:r>
      <w:r w:rsidR="00F40EAC">
        <w:t>,</w:t>
      </w:r>
      <w:r w:rsidR="00C751B1">
        <w:t xml:space="preserve"> включали следующее (значения указаны </w:t>
      </w:r>
      <w:r w:rsidR="00A72133">
        <w:t>для окончания</w:t>
      </w:r>
      <w:r w:rsidR="00C751B1">
        <w:t xml:space="preserve"> </w:t>
      </w:r>
      <w:r w:rsidR="00A72133">
        <w:t xml:space="preserve">периода </w:t>
      </w:r>
      <w:r w:rsidR="00C751B1">
        <w:t xml:space="preserve">восстановления в % от </w:t>
      </w:r>
      <w:r w:rsidR="00A72133">
        <w:t>значения до начала введения</w:t>
      </w:r>
      <w:r w:rsidR="00C751B1">
        <w:t>):</w:t>
      </w:r>
      <w:r w:rsidR="00A72133">
        <w:t xml:space="preserve"> </w:t>
      </w:r>
      <w:r w:rsidR="00C751B1">
        <w:t>лимфоциты (153</w:t>
      </w:r>
      <w:r w:rsidR="00A72133">
        <w:t>–</w:t>
      </w:r>
      <w:r w:rsidR="00C751B1">
        <w:t>159% от контроля)</w:t>
      </w:r>
      <w:r w:rsidR="00F40EAC">
        <w:t>,</w:t>
      </w:r>
      <w:r w:rsidR="00C751B1">
        <w:t xml:space="preserve"> ретикулоциты (58% от контроля </w:t>
      </w:r>
      <w:r w:rsidR="00A72133">
        <w:t>у</w:t>
      </w:r>
      <w:r w:rsidR="00C751B1">
        <w:t xml:space="preserve"> сам</w:t>
      </w:r>
      <w:r w:rsidR="00A72133">
        <w:t>ок</w:t>
      </w:r>
      <w:r w:rsidR="00C751B1">
        <w:t>), АЛТ (150</w:t>
      </w:r>
      <w:r w:rsidR="00EE2A3E">
        <w:t>–</w:t>
      </w:r>
      <w:r w:rsidR="00C751B1">
        <w:t xml:space="preserve">263% от контрольного уровня) и снижение количества эритроцитов (88% от контроля у </w:t>
      </w:r>
      <w:r w:rsidR="00EE2A3E">
        <w:t>самцов</w:t>
      </w:r>
      <w:r w:rsidR="00C751B1">
        <w:t xml:space="preserve">), </w:t>
      </w:r>
      <w:r w:rsidR="00EE2A3E">
        <w:rPr>
          <w:lang w:val="en-US"/>
        </w:rPr>
        <w:t>NK</w:t>
      </w:r>
      <w:r w:rsidR="00EE2A3E" w:rsidRPr="005753B7">
        <w:t>-</w:t>
      </w:r>
      <w:r w:rsidR="00EE2A3E">
        <w:t xml:space="preserve">клеток </w:t>
      </w:r>
      <w:r w:rsidR="00C751B1">
        <w:t>(1</w:t>
      </w:r>
      <w:r w:rsidR="00EE2A3E">
        <w:t>–</w:t>
      </w:r>
      <w:r w:rsidR="00C751B1">
        <w:t>28% от уровн</w:t>
      </w:r>
      <w:r w:rsidR="00EE2A3E">
        <w:t>я</w:t>
      </w:r>
      <w:r w:rsidR="00C751B1">
        <w:t xml:space="preserve"> до введения у 2 из 4 животных), Т-хелперные лимфоциты, цитотоксические/супрессорные Т-лимфоциты (210</w:t>
      </w:r>
      <w:r w:rsidR="00EE2A3E">
        <w:t>–</w:t>
      </w:r>
      <w:r w:rsidR="00C751B1">
        <w:t>330% от уровней до введения). NOAEL не был</w:t>
      </w:r>
      <w:r w:rsidR="00EE2A3E">
        <w:t>а</w:t>
      </w:r>
      <w:r w:rsidR="00C751B1">
        <w:t xml:space="preserve"> определен</w:t>
      </w:r>
      <w:r w:rsidR="00EE2A3E">
        <w:t>а</w:t>
      </w:r>
      <w:r w:rsidR="00C751B1">
        <w:t>. Низкая доза, 10 мг/кг/</w:t>
      </w:r>
      <w:r w:rsidR="00A441B9">
        <w:t>сут</w:t>
      </w:r>
      <w:r w:rsidR="00C751B1">
        <w:t xml:space="preserve">, была </w:t>
      </w:r>
      <w:r w:rsidR="00A441B9">
        <w:t>МПД</w:t>
      </w:r>
      <w:r w:rsidR="00C751B1">
        <w:t xml:space="preserve"> в этом исследовании</w:t>
      </w:r>
      <w:r w:rsidR="001C32A8">
        <w:t xml:space="preserve"> </w:t>
      </w:r>
      <w:r w:rsidR="001C32A8" w:rsidRPr="001C32A8">
        <w:rPr>
          <w:lang w:val="en-US"/>
        </w:rPr>
        <w:fldChar w:fldCharType="begin"/>
      </w:r>
      <w:r w:rsidR="00044A89">
        <w:instrText xml:space="preserve"> ADDIN ZOTERO_ITEM CSL_CITATION {"citationID":"bNcnyLsZ","properties":{"formattedCitation":"[12]","plainCitation":"[12]","noteIndex":0},"citationItems":[{"id":87803,"uris":["http://zotero.org/groups/4742804/items/DMZ5DFPG"],"itemData":{"id":87803,"type":"webpage","title":"Xeljanz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1C32A8" w:rsidRPr="001C32A8">
        <w:rPr>
          <w:lang w:val="en-US"/>
        </w:rPr>
        <w:fldChar w:fldCharType="separate"/>
      </w:r>
      <w:r w:rsidR="00D46D1F">
        <w:rPr>
          <w:rFonts w:cs="Times New Roman"/>
        </w:rPr>
        <w:t>[1</w:t>
      </w:r>
      <w:r w:rsidR="00044A89" w:rsidRPr="00044A89">
        <w:rPr>
          <w:rFonts w:cs="Times New Roman"/>
        </w:rPr>
        <w:t>]</w:t>
      </w:r>
      <w:r w:rsidR="001C32A8" w:rsidRPr="001C32A8">
        <w:fldChar w:fldCharType="end"/>
      </w:r>
      <w:r w:rsidR="001C32A8" w:rsidRPr="001C32A8">
        <w:t>.</w:t>
      </w:r>
      <w:r w:rsidR="001C32A8">
        <w:t xml:space="preserve"> </w:t>
      </w:r>
    </w:p>
    <w:p w14:paraId="42C3E04A" w14:textId="55117F4A" w:rsidR="000150EA" w:rsidRDefault="001F3358" w:rsidP="00D36ADC">
      <w:pPr>
        <w:pStyle w:val="SDText"/>
        <w:contextualSpacing/>
      </w:pPr>
      <w:r>
        <w:t>На яванских макаках п</w:t>
      </w:r>
      <w:r w:rsidR="000150EA">
        <w:t xml:space="preserve">роведено исследование </w:t>
      </w:r>
      <w:r>
        <w:t xml:space="preserve">токсичности при внутрижелудочном введении </w:t>
      </w:r>
      <w:r w:rsidR="006B4045">
        <w:t xml:space="preserve">длительностью </w:t>
      </w:r>
      <w:r w:rsidR="00CC47E5">
        <w:t xml:space="preserve">39 недель. </w:t>
      </w:r>
      <w:r w:rsidR="00336D86">
        <w:t xml:space="preserve">Обезьяны </w:t>
      </w:r>
      <w:r w:rsidR="00520755">
        <w:t>(</w:t>
      </w:r>
      <w:r w:rsidR="008006DF">
        <w:t>возраст 2,5–5 лет</w:t>
      </w:r>
      <w:r w:rsidR="00451C91">
        <w:t xml:space="preserve"> </w:t>
      </w:r>
      <w:r w:rsidR="00451C91">
        <w:rPr>
          <w:rFonts w:cs="Times New Roman"/>
        </w:rPr>
        <w:t>[</w:t>
      </w:r>
      <w:r w:rsidR="00451C91">
        <w:t>некоторые были неполовозрелыми</w:t>
      </w:r>
      <w:r w:rsidR="00451C91">
        <w:rPr>
          <w:rFonts w:cs="Times New Roman"/>
        </w:rPr>
        <w:t>]</w:t>
      </w:r>
      <w:r w:rsidR="008006DF">
        <w:t xml:space="preserve">, масса тела 3,1–5,5 кг для самцов и </w:t>
      </w:r>
      <w:r w:rsidR="004D73CB">
        <w:t xml:space="preserve">2,8–3,8 кг для самок, </w:t>
      </w:r>
      <w:r w:rsidR="00520755">
        <w:t>по 4 самца и 4 самки на группу</w:t>
      </w:r>
      <w:r w:rsidR="00802326">
        <w:t>)</w:t>
      </w:r>
      <w:r w:rsidR="00520755">
        <w:t xml:space="preserve"> </w:t>
      </w:r>
      <w:r w:rsidR="00336D86">
        <w:t xml:space="preserve">получали </w:t>
      </w:r>
      <w:r w:rsidR="003C2A19" w:rsidRPr="003C2A19">
        <w:t>тофацитиниб</w:t>
      </w:r>
      <w:r w:rsidR="003C2A19">
        <w:t xml:space="preserve"> </w:t>
      </w:r>
      <w:r w:rsidR="007754DB">
        <w:t>в дозе 0,5, 2 или 10 мг/кг/сут</w:t>
      </w:r>
      <w:r w:rsidR="00D01118">
        <w:t>,</w:t>
      </w:r>
      <w:r w:rsidR="007754DB">
        <w:t xml:space="preserve"> или носитель</w:t>
      </w:r>
      <w:r w:rsidR="00893E86">
        <w:t xml:space="preserve">. </w:t>
      </w:r>
      <w:r w:rsidR="00E91CAE">
        <w:t>Одн</w:t>
      </w:r>
      <w:r w:rsidR="001644AF">
        <w:t>у</w:t>
      </w:r>
      <w:r w:rsidR="00E91CAE">
        <w:t xml:space="preserve"> </w:t>
      </w:r>
      <w:r w:rsidR="00E91CAE">
        <w:lastRenderedPageBreak/>
        <w:t>самк</w:t>
      </w:r>
      <w:r w:rsidR="001644AF">
        <w:t>у</w:t>
      </w:r>
      <w:r w:rsidR="00E91CAE">
        <w:t xml:space="preserve"> в группе высокой доз</w:t>
      </w:r>
      <w:r w:rsidR="001644AF">
        <w:t>ы</w:t>
      </w:r>
      <w:r w:rsidR="00E91CAE">
        <w:t xml:space="preserve"> </w:t>
      </w:r>
      <w:r w:rsidR="001644AF">
        <w:t>умертвили</w:t>
      </w:r>
      <w:r w:rsidR="00E91CAE">
        <w:t xml:space="preserve"> на 21</w:t>
      </w:r>
      <w:r w:rsidR="00476DA3">
        <w:t>4</w:t>
      </w:r>
      <w:r w:rsidR="00E91CAE">
        <w:t xml:space="preserve"> день</w:t>
      </w:r>
      <w:r w:rsidR="00476DA3">
        <w:t xml:space="preserve"> в связи с </w:t>
      </w:r>
      <w:r w:rsidR="00E91CAE">
        <w:t>инфильтраци</w:t>
      </w:r>
      <w:r w:rsidR="00476DA3">
        <w:t>ей</w:t>
      </w:r>
      <w:r w:rsidR="00E91CAE">
        <w:t xml:space="preserve"> стенки желудка </w:t>
      </w:r>
      <w:r w:rsidR="00476DA3">
        <w:t>л</w:t>
      </w:r>
      <w:r w:rsidR="00476DA3" w:rsidRPr="00476DA3">
        <w:t>имфом</w:t>
      </w:r>
      <w:r w:rsidR="00476DA3">
        <w:t>ой</w:t>
      </w:r>
      <w:r w:rsidR="00476DA3" w:rsidRPr="00476DA3">
        <w:t xml:space="preserve"> </w:t>
      </w:r>
      <w:r w:rsidR="00E91CAE">
        <w:t xml:space="preserve">с образованием язв и эрозий. В </w:t>
      </w:r>
      <w:r w:rsidR="00EF4DE6">
        <w:t xml:space="preserve">ходе плановой некропсии через </w:t>
      </w:r>
      <w:r w:rsidR="00E91CAE">
        <w:t>9 мес</w:t>
      </w:r>
      <w:r w:rsidR="00EF4DE6">
        <w:t>.</w:t>
      </w:r>
      <w:r w:rsidR="00E91CAE">
        <w:t xml:space="preserve"> выяв</w:t>
      </w:r>
      <w:r w:rsidR="002A4528">
        <w:t xml:space="preserve">или еще </w:t>
      </w:r>
      <w:r w:rsidR="00E91CAE">
        <w:t xml:space="preserve">2 животных с лимфомами, </w:t>
      </w:r>
      <w:r w:rsidR="002A4528">
        <w:t>1 самца и 1 самку</w:t>
      </w:r>
      <w:r w:rsidR="00E91CAE">
        <w:t xml:space="preserve"> в группе</w:t>
      </w:r>
      <w:r w:rsidR="002A4528">
        <w:t xml:space="preserve"> </w:t>
      </w:r>
      <w:r w:rsidR="00E91CAE">
        <w:t>доз</w:t>
      </w:r>
      <w:r w:rsidR="002A4528">
        <w:t>ы</w:t>
      </w:r>
      <w:r w:rsidR="00E91CAE">
        <w:t xml:space="preserve"> 10 мг/кг/</w:t>
      </w:r>
      <w:r w:rsidR="002A4528">
        <w:t>сут</w:t>
      </w:r>
      <w:r w:rsidR="00E91CAE">
        <w:t>. Из 3 лимфом, 2 были идентифицированы как В-клеточно</w:t>
      </w:r>
      <w:r w:rsidR="002A4528">
        <w:t>го</w:t>
      </w:r>
      <w:r w:rsidR="00E91CAE">
        <w:t xml:space="preserve"> происхождени</w:t>
      </w:r>
      <w:r w:rsidR="002A4528">
        <w:t>я</w:t>
      </w:r>
      <w:r w:rsidR="00E91CAE">
        <w:t xml:space="preserve">, 1 </w:t>
      </w:r>
      <w:bookmarkStart w:id="150" w:name="_Hlk113793305"/>
      <w:r w:rsidR="002A4528">
        <w:t>–</w:t>
      </w:r>
      <w:bookmarkEnd w:id="150"/>
      <w:r w:rsidR="00E91CAE">
        <w:t xml:space="preserve"> Т-клеточно</w:t>
      </w:r>
      <w:r w:rsidR="002A4528">
        <w:t>го</w:t>
      </w:r>
      <w:r w:rsidR="00E91CAE">
        <w:t xml:space="preserve"> происхождени</w:t>
      </w:r>
      <w:r w:rsidR="002A4528">
        <w:t>я</w:t>
      </w:r>
      <w:r w:rsidR="00E91CAE">
        <w:t xml:space="preserve">, и </w:t>
      </w:r>
      <w:r w:rsidR="00262ECE">
        <w:t xml:space="preserve">для </w:t>
      </w:r>
      <w:r w:rsidR="00E91CAE">
        <w:t>все</w:t>
      </w:r>
      <w:r w:rsidR="00262ECE">
        <w:t>х животных</w:t>
      </w:r>
      <w:r w:rsidR="00E91CAE">
        <w:t xml:space="preserve"> </w:t>
      </w:r>
      <w:r w:rsidR="00262ECE">
        <w:t>тест</w:t>
      </w:r>
      <w:r w:rsidR="00E91CAE">
        <w:t xml:space="preserve"> </w:t>
      </w:r>
      <w:r w:rsidR="00262ECE">
        <w:t xml:space="preserve">на лимфокриптовирус был </w:t>
      </w:r>
      <w:r w:rsidR="00E91CAE">
        <w:t>положительны</w:t>
      </w:r>
      <w:r w:rsidR="00262ECE">
        <w:t>м</w:t>
      </w:r>
      <w:r w:rsidR="00E91CAE">
        <w:t xml:space="preserve">. Лечение </w:t>
      </w:r>
      <w:r w:rsidR="003C2A19" w:rsidRPr="003C2A19">
        <w:t>тофацитиниб</w:t>
      </w:r>
      <w:r w:rsidR="003C2A19">
        <w:t xml:space="preserve">ом </w:t>
      </w:r>
      <w:r w:rsidR="00E91CAE">
        <w:t xml:space="preserve">приводило к дозозависимому снижению </w:t>
      </w:r>
      <w:r w:rsidR="00D37FD8">
        <w:t>параметров</w:t>
      </w:r>
      <w:r w:rsidR="00E91CAE">
        <w:t xml:space="preserve"> эритроцитов</w:t>
      </w:r>
      <w:r w:rsidR="00D37FD8">
        <w:t xml:space="preserve"> </w:t>
      </w:r>
      <w:r w:rsidR="00E91CAE">
        <w:t>(количество эритроцитов, концентрация гемоглобина и гематокрит). Через 9 мес</w:t>
      </w:r>
      <w:r w:rsidR="00D37FD8">
        <w:t>.</w:t>
      </w:r>
      <w:r w:rsidR="00E91CAE">
        <w:t xml:space="preserve"> небольшая зависимость доза-реакция была очевидна для всех трех препаратов, при высоких дозах </w:t>
      </w:r>
      <w:r w:rsidR="000F52F0">
        <w:t xml:space="preserve">значения показателей </w:t>
      </w:r>
      <w:r w:rsidR="00E91CAE">
        <w:t>составляли примерно 80</w:t>
      </w:r>
      <w:r w:rsidR="000F52F0">
        <w:t>–</w:t>
      </w:r>
      <w:r w:rsidR="00E91CAE">
        <w:t xml:space="preserve">90%, </w:t>
      </w:r>
      <w:r w:rsidR="000F52F0">
        <w:t xml:space="preserve">при </w:t>
      </w:r>
      <w:r w:rsidR="00E91CAE">
        <w:t>средн</w:t>
      </w:r>
      <w:r w:rsidR="000F52F0">
        <w:t>ей</w:t>
      </w:r>
      <w:r w:rsidR="00E91CAE">
        <w:t xml:space="preserve"> доз</w:t>
      </w:r>
      <w:r w:rsidR="000F52F0">
        <w:t>е</w:t>
      </w:r>
      <w:r w:rsidR="00E91CAE">
        <w:t xml:space="preserve"> 91</w:t>
      </w:r>
      <w:r w:rsidR="000F52F0">
        <w:t>–</w:t>
      </w:r>
      <w:r w:rsidR="00E91CAE">
        <w:t xml:space="preserve">93% и </w:t>
      </w:r>
      <w:r w:rsidR="00C134F1">
        <w:t xml:space="preserve">при </w:t>
      </w:r>
      <w:r w:rsidR="00E91CAE">
        <w:t>низк</w:t>
      </w:r>
      <w:r w:rsidR="00C134F1">
        <w:t>ой</w:t>
      </w:r>
      <w:r w:rsidR="00E91CAE">
        <w:t xml:space="preserve"> доз</w:t>
      </w:r>
      <w:r w:rsidR="00C134F1">
        <w:t>е</w:t>
      </w:r>
      <w:r w:rsidR="00E91CAE">
        <w:t xml:space="preserve"> 95</w:t>
      </w:r>
      <w:r w:rsidR="000F52F0">
        <w:t>–</w:t>
      </w:r>
      <w:r w:rsidR="00E91CAE">
        <w:t xml:space="preserve">96% </w:t>
      </w:r>
      <w:r w:rsidR="00C134F1">
        <w:t xml:space="preserve">от </w:t>
      </w:r>
      <w:r w:rsidR="00E91CAE">
        <w:t xml:space="preserve">контрольного </w:t>
      </w:r>
      <w:r w:rsidR="00C134F1">
        <w:t>значения</w:t>
      </w:r>
      <w:r w:rsidR="00E91CAE">
        <w:t xml:space="preserve">. Уровень ретикулоцитов был </w:t>
      </w:r>
      <w:r w:rsidR="00C134F1">
        <w:t>более вариабельным</w:t>
      </w:r>
      <w:r w:rsidR="00A90E03">
        <w:t>, но через 9 мес</w:t>
      </w:r>
      <w:r w:rsidR="00C134F1">
        <w:t>.</w:t>
      </w:r>
      <w:r w:rsidR="00A90E03">
        <w:t xml:space="preserve"> средние уровни ретикулоцитов в высокой дозе </w:t>
      </w:r>
      <w:r w:rsidR="005F79E6">
        <w:t>составляли</w:t>
      </w:r>
      <w:r w:rsidR="00A90E03">
        <w:t xml:space="preserve"> 151</w:t>
      </w:r>
      <w:r w:rsidR="00C134F1">
        <w:t>–</w:t>
      </w:r>
      <w:r w:rsidR="00A90E03">
        <w:t xml:space="preserve">167% </w:t>
      </w:r>
      <w:r w:rsidR="005F79E6">
        <w:t xml:space="preserve">от </w:t>
      </w:r>
      <w:r w:rsidR="00A90E03">
        <w:t xml:space="preserve">контрольных </w:t>
      </w:r>
      <w:r w:rsidR="005F79E6">
        <w:t>значений.</w:t>
      </w:r>
      <w:r w:rsidR="00A90E03">
        <w:t xml:space="preserve"> Количество лейкоцитов и лимфоцитов также было снижено (до 62% </w:t>
      </w:r>
      <w:r w:rsidR="005F79E6">
        <w:t xml:space="preserve">от </w:t>
      </w:r>
      <w:r w:rsidR="00A90E03">
        <w:t>контрольны</w:t>
      </w:r>
      <w:r w:rsidR="005F79E6">
        <w:t>х</w:t>
      </w:r>
      <w:r w:rsidR="00A90E03">
        <w:t xml:space="preserve"> значени</w:t>
      </w:r>
      <w:r w:rsidR="00D01118">
        <w:t>й</w:t>
      </w:r>
      <w:r w:rsidR="00A90E03">
        <w:t xml:space="preserve">) при </w:t>
      </w:r>
      <w:r w:rsidR="005F79E6">
        <w:t>введении</w:t>
      </w:r>
      <w:r w:rsidR="00A90E03">
        <w:t xml:space="preserve"> все</w:t>
      </w:r>
      <w:r w:rsidR="005F79E6">
        <w:t>х</w:t>
      </w:r>
      <w:r w:rsidR="00A90E03">
        <w:t xml:space="preserve"> доз СР-690550. Хотя снижение общего количества лейкоцитов не всегда соответствовало дозозависимой реакции, снижение </w:t>
      </w:r>
      <w:r w:rsidR="005F79E6">
        <w:t xml:space="preserve">количества </w:t>
      </w:r>
      <w:r w:rsidR="00A90E03">
        <w:t xml:space="preserve">лимфоцитов зависело от дозы. </w:t>
      </w:r>
      <w:r w:rsidR="00C562ED">
        <w:t>К</w:t>
      </w:r>
      <w:r w:rsidR="00A90E03">
        <w:t xml:space="preserve"> недел</w:t>
      </w:r>
      <w:r w:rsidR="00C562ED">
        <w:t>е</w:t>
      </w:r>
      <w:r w:rsidR="00A90E03">
        <w:t xml:space="preserve"> 38 популяция лимфоцитов </w:t>
      </w:r>
      <w:r w:rsidR="00CF4D23">
        <w:t>у животных из группы</w:t>
      </w:r>
      <w:r w:rsidR="00A90E03">
        <w:t xml:space="preserve"> низкой доз</w:t>
      </w:r>
      <w:r w:rsidR="00CF4D23">
        <w:t>ы</w:t>
      </w:r>
      <w:r w:rsidR="00A90E03">
        <w:t xml:space="preserve"> была снижена до 73</w:t>
      </w:r>
      <w:r w:rsidR="00CF4D23">
        <w:t>–</w:t>
      </w:r>
      <w:r w:rsidR="00A90E03">
        <w:t xml:space="preserve">74% от контроля, </w:t>
      </w:r>
      <w:r w:rsidR="008028E4">
        <w:t xml:space="preserve">у обезьян из группы </w:t>
      </w:r>
      <w:r w:rsidR="00A90E03">
        <w:t>высок</w:t>
      </w:r>
      <w:r w:rsidR="008028E4">
        <w:t>ой</w:t>
      </w:r>
      <w:r w:rsidR="00A90E03">
        <w:t xml:space="preserve"> доз</w:t>
      </w:r>
      <w:r w:rsidR="008028E4">
        <w:t>ы</w:t>
      </w:r>
      <w:r w:rsidR="00A90E03">
        <w:t xml:space="preserve"> </w:t>
      </w:r>
      <w:r w:rsidR="008028E4">
        <w:t xml:space="preserve">– до </w:t>
      </w:r>
      <w:r w:rsidR="00A90E03">
        <w:t>57</w:t>
      </w:r>
      <w:r w:rsidR="00CF4D23">
        <w:t>–</w:t>
      </w:r>
      <w:r w:rsidR="00A90E03">
        <w:t xml:space="preserve">60% от контроля, </w:t>
      </w:r>
      <w:r w:rsidR="008028E4">
        <w:t xml:space="preserve">при введении в </w:t>
      </w:r>
      <w:r w:rsidR="00A90E03">
        <w:t>средн</w:t>
      </w:r>
      <w:r w:rsidR="008028E4">
        <w:t>ей</w:t>
      </w:r>
      <w:r w:rsidR="00A90E03">
        <w:t xml:space="preserve"> доз</w:t>
      </w:r>
      <w:r w:rsidR="008028E4">
        <w:t>е значения были</w:t>
      </w:r>
      <w:r w:rsidR="00A90E03">
        <w:t xml:space="preserve"> промежуточн</w:t>
      </w:r>
      <w:r w:rsidR="008028E4">
        <w:t>ыми</w:t>
      </w:r>
      <w:r w:rsidR="00A90E03">
        <w:t xml:space="preserve"> и более вариабельн</w:t>
      </w:r>
      <w:r w:rsidR="008028E4">
        <w:t>ыми</w:t>
      </w:r>
      <w:r w:rsidR="00A90E03">
        <w:t xml:space="preserve"> (63</w:t>
      </w:r>
      <w:r w:rsidR="000241FF">
        <w:t>–</w:t>
      </w:r>
      <w:r w:rsidR="00A90E03">
        <w:t xml:space="preserve">79% от контроля). </w:t>
      </w:r>
      <w:r w:rsidR="00A50E0E">
        <w:t xml:space="preserve">Помимо инвазивных находок из-за лимфом, гистологические эффекты </w:t>
      </w:r>
      <w:r w:rsidR="003C2A19" w:rsidRPr="003C2A19">
        <w:t xml:space="preserve">тофацитиниба </w:t>
      </w:r>
      <w:r w:rsidR="00A50E0E">
        <w:t xml:space="preserve">были ограничены лимфоидными тканями. Лимфоидная гиперплазия либо </w:t>
      </w:r>
      <w:r w:rsidR="000241FF">
        <w:t xml:space="preserve">в </w:t>
      </w:r>
      <w:r w:rsidR="00A50E0E">
        <w:t>лимфатически</w:t>
      </w:r>
      <w:r w:rsidR="000241FF">
        <w:t>х</w:t>
      </w:r>
      <w:r w:rsidR="00A50E0E">
        <w:t xml:space="preserve"> узл</w:t>
      </w:r>
      <w:r w:rsidR="000241FF">
        <w:t>ах</w:t>
      </w:r>
      <w:r w:rsidR="00A50E0E">
        <w:t>, либо</w:t>
      </w:r>
      <w:r w:rsidR="000241FF">
        <w:t xml:space="preserve"> в</w:t>
      </w:r>
      <w:r w:rsidR="00A50E0E">
        <w:t xml:space="preserve"> селезенк</w:t>
      </w:r>
      <w:r w:rsidR="00D01118">
        <w:t>е</w:t>
      </w:r>
      <w:r w:rsidR="00A50E0E">
        <w:t xml:space="preserve">, либо </w:t>
      </w:r>
      <w:r w:rsidR="000241FF">
        <w:t xml:space="preserve">в </w:t>
      </w:r>
      <w:r w:rsidR="00A50E0E">
        <w:t>лимфоидн</w:t>
      </w:r>
      <w:r w:rsidR="000241FF">
        <w:t>ой</w:t>
      </w:r>
      <w:r w:rsidR="00A50E0E">
        <w:t xml:space="preserve"> ткан</w:t>
      </w:r>
      <w:r w:rsidR="000241FF">
        <w:t>и</w:t>
      </w:r>
      <w:r w:rsidR="00A50E0E">
        <w:t xml:space="preserve"> </w:t>
      </w:r>
      <w:r w:rsidR="000241FF">
        <w:t>кишечник</w:t>
      </w:r>
      <w:r w:rsidR="00953C74">
        <w:t>а</w:t>
      </w:r>
      <w:r w:rsidR="000241FF">
        <w:t xml:space="preserve"> </w:t>
      </w:r>
      <w:r w:rsidR="00A50E0E">
        <w:t>присутствовал</w:t>
      </w:r>
      <w:r w:rsidR="000241FF">
        <w:t>а</w:t>
      </w:r>
      <w:r w:rsidR="00A50E0E">
        <w:t xml:space="preserve"> почти </w:t>
      </w:r>
      <w:r w:rsidR="000241FF">
        <w:t>у всех</w:t>
      </w:r>
      <w:r w:rsidR="00A50E0E">
        <w:t xml:space="preserve"> </w:t>
      </w:r>
      <w:r w:rsidR="000241FF">
        <w:t xml:space="preserve">получавших лекарственное средство </w:t>
      </w:r>
      <w:r w:rsidR="00A50E0E">
        <w:t>животны</w:t>
      </w:r>
      <w:r w:rsidR="00AE176A">
        <w:t>х</w:t>
      </w:r>
      <w:r w:rsidR="00A50E0E">
        <w:t xml:space="preserve">, особенно </w:t>
      </w:r>
      <w:r w:rsidR="00AE176A">
        <w:t xml:space="preserve">у </w:t>
      </w:r>
      <w:r w:rsidR="00A50E0E">
        <w:t>все</w:t>
      </w:r>
      <w:r w:rsidR="00AE176A">
        <w:t>х</w:t>
      </w:r>
      <w:r w:rsidR="00A50E0E">
        <w:t xml:space="preserve"> животны</w:t>
      </w:r>
      <w:r w:rsidR="00953C74">
        <w:t>х</w:t>
      </w:r>
      <w:r w:rsidR="00A50E0E">
        <w:t>, получавшие высокие дозы. Масса селезенк</w:t>
      </w:r>
      <w:r w:rsidR="00953C74">
        <w:t>и</w:t>
      </w:r>
      <w:r w:rsidR="00A50E0E">
        <w:t xml:space="preserve"> и тимус</w:t>
      </w:r>
      <w:r w:rsidR="00953C74">
        <w:t>а</w:t>
      </w:r>
      <w:r w:rsidR="00A50E0E">
        <w:t xml:space="preserve"> были уменьшены, хотя эффекты </w:t>
      </w:r>
      <w:r w:rsidR="00953C74">
        <w:t xml:space="preserve">в отношении </w:t>
      </w:r>
      <w:r w:rsidR="00A50E0E">
        <w:t>тимуса был</w:t>
      </w:r>
      <w:r w:rsidR="00D01118">
        <w:t>о</w:t>
      </w:r>
      <w:r w:rsidR="00A50E0E">
        <w:t xml:space="preserve"> </w:t>
      </w:r>
      <w:r w:rsidR="00953C74">
        <w:t>сложно</w:t>
      </w:r>
      <w:r w:rsidR="00A50E0E">
        <w:t xml:space="preserve"> интерпретировать, поскольку инволюция тимуса, очевидная при гистопатологи</w:t>
      </w:r>
      <w:r w:rsidR="00205E1A">
        <w:t>ческом исследовании</w:t>
      </w:r>
      <w:r w:rsidR="00A50E0E">
        <w:t xml:space="preserve">, присутствовала </w:t>
      </w:r>
      <w:r w:rsidR="00953C74">
        <w:t>у</w:t>
      </w:r>
      <w:r w:rsidR="00A50E0E">
        <w:t xml:space="preserve"> мног</w:t>
      </w:r>
      <w:r w:rsidR="00953C74">
        <w:t>их</w:t>
      </w:r>
      <w:r w:rsidR="00A50E0E">
        <w:t xml:space="preserve"> животных. Масса репродуктивных органов самцов также была снижена, но наличие многочисленных неполовозрелых животных в группе с высокой дозой и их отсутствие в контрольной группе не позволило сделать какой-либо вывод о </w:t>
      </w:r>
      <w:r w:rsidR="00223366">
        <w:t>влиянии</w:t>
      </w:r>
      <w:r w:rsidR="00205E1A">
        <w:t xml:space="preserve"> </w:t>
      </w:r>
      <w:r w:rsidR="003C2A19" w:rsidRPr="003C2A19">
        <w:t>тофацитиниба</w:t>
      </w:r>
      <w:r w:rsidR="00A50E0E">
        <w:t>.</w:t>
      </w:r>
      <w:r w:rsidR="0052655C">
        <w:t xml:space="preserve"> Из-за наличия гиперплазии лимфоцитов</w:t>
      </w:r>
      <w:r w:rsidR="004B0D76">
        <w:t xml:space="preserve"> в</w:t>
      </w:r>
      <w:r w:rsidR="0052655C">
        <w:t xml:space="preserve"> лимфатических узл</w:t>
      </w:r>
      <w:r w:rsidR="004B0D76">
        <w:t>ах</w:t>
      </w:r>
      <w:r w:rsidR="0052655C">
        <w:t xml:space="preserve"> при низкой дозе 0,5 мг/кг/</w:t>
      </w:r>
      <w:r w:rsidR="004B0D76">
        <w:t>сут</w:t>
      </w:r>
      <w:r w:rsidR="0052655C">
        <w:t xml:space="preserve"> (0,25 мг/кг два раза в день), отсутстви</w:t>
      </w:r>
      <w:r w:rsidR="004B0D76">
        <w:t>я</w:t>
      </w:r>
      <w:r w:rsidR="0052655C">
        <w:t xml:space="preserve"> </w:t>
      </w:r>
      <w:r w:rsidR="004B0D76">
        <w:t>периода</w:t>
      </w:r>
      <w:r w:rsidR="0052655C">
        <w:t xml:space="preserve"> восстановления и факт</w:t>
      </w:r>
      <w:r w:rsidR="0043219A">
        <w:t>а,</w:t>
      </w:r>
      <w:r w:rsidR="0052655C">
        <w:t xml:space="preserve"> что лимфомы развились при высоких дозах со смертью у одной самки, NOAEL</w:t>
      </w:r>
      <w:r w:rsidR="00CF49CE">
        <w:t xml:space="preserve"> </w:t>
      </w:r>
      <w:r w:rsidR="00606EDB">
        <w:t xml:space="preserve">не определили </w:t>
      </w:r>
      <w:r w:rsidR="00CF49CE" w:rsidRPr="001C32A8">
        <w:rPr>
          <w:lang w:val="en-US"/>
        </w:rPr>
        <w:fldChar w:fldCharType="begin"/>
      </w:r>
      <w:r w:rsidR="00044A89">
        <w:instrText xml:space="preserve"> ADDIN ZOTERO_ITEM CSL_CITATION {"citationID":"bjj5pUYE","properties":{"formattedCitation":"[12]","plainCitation":"[12]","noteIndex":0},"citationItems":[{"id":87803,"uris":["http://zotero.org/groups/4742804/items/DMZ5DFPG"],"itemData":{"id":87803,"type":"webpage","title":"Xeljanz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CF49CE" w:rsidRPr="001C32A8">
        <w:rPr>
          <w:lang w:val="en-US"/>
        </w:rPr>
        <w:fldChar w:fldCharType="separate"/>
      </w:r>
      <w:r w:rsidR="00D46D1F">
        <w:rPr>
          <w:rFonts w:cs="Times New Roman"/>
        </w:rPr>
        <w:t>[1</w:t>
      </w:r>
      <w:r w:rsidR="00044A89" w:rsidRPr="00044A89">
        <w:rPr>
          <w:rFonts w:cs="Times New Roman"/>
        </w:rPr>
        <w:t>]</w:t>
      </w:r>
      <w:r w:rsidR="00CF49CE" w:rsidRPr="001C32A8">
        <w:fldChar w:fldCharType="end"/>
      </w:r>
      <w:r w:rsidR="00CF49CE" w:rsidRPr="001C32A8">
        <w:t>.</w:t>
      </w:r>
    </w:p>
    <w:p w14:paraId="00E0D2A6" w14:textId="2E55764D" w:rsidR="00C93A21" w:rsidRDefault="00A46BA8" w:rsidP="00D36ADC">
      <w:pPr>
        <w:pStyle w:val="SDText"/>
        <w:contextualSpacing/>
      </w:pPr>
      <w:r>
        <w:t xml:space="preserve">Другие </w:t>
      </w:r>
      <w:r w:rsidR="00DB3EAE">
        <w:t>находки</w:t>
      </w:r>
      <w:r>
        <w:t xml:space="preserve">, связанные с введением тофацитиниба, включали влияние на печень и </w:t>
      </w:r>
      <w:r w:rsidR="00090E28">
        <w:t>ЖКТ</w:t>
      </w:r>
      <w:r>
        <w:t>. Рвота у обезьян возникала при дозах ≥</w:t>
      </w:r>
      <w:r w:rsidR="00AB1E41">
        <w:t xml:space="preserve"> </w:t>
      </w:r>
      <w:r>
        <w:t>50 мг/кг/</w:t>
      </w:r>
      <w:r w:rsidR="00AB1E41">
        <w:t>сут</w:t>
      </w:r>
      <w:r>
        <w:t>. В исследованиях продолжительностью до 14 дней на крысах и обезьян</w:t>
      </w:r>
      <w:r w:rsidR="00AB1E41">
        <w:t>ах</w:t>
      </w:r>
      <w:r>
        <w:t xml:space="preserve"> эффекты</w:t>
      </w:r>
      <w:r w:rsidR="00A65306">
        <w:t xml:space="preserve"> со стороны ЖКТ </w:t>
      </w:r>
      <w:r>
        <w:t>возникали при дозах ≥</w:t>
      </w:r>
      <w:r w:rsidR="00A65306">
        <w:t xml:space="preserve"> </w:t>
      </w:r>
      <w:r>
        <w:t>300 и ≥</w:t>
      </w:r>
      <w:r w:rsidR="00A65306">
        <w:t xml:space="preserve"> </w:t>
      </w:r>
      <w:r>
        <w:t>200 мг/кг/</w:t>
      </w:r>
      <w:r w:rsidR="00A65306">
        <w:t>сут</w:t>
      </w:r>
      <w:r>
        <w:t xml:space="preserve"> соответственно. </w:t>
      </w:r>
      <w:r w:rsidR="00A11097">
        <w:t>Дилатацию и</w:t>
      </w:r>
      <w:r>
        <w:t xml:space="preserve"> красные очаги в желудке и дилатация кишечника </w:t>
      </w:r>
      <w:r w:rsidR="00D4303D">
        <w:t>определили</w:t>
      </w:r>
      <w:r>
        <w:t xml:space="preserve"> у обезьян при </w:t>
      </w:r>
      <w:r w:rsidR="00D4303D">
        <w:t xml:space="preserve">дозах </w:t>
      </w:r>
      <w:r>
        <w:t>≥</w:t>
      </w:r>
      <w:r w:rsidR="00D4303D">
        <w:t xml:space="preserve"> </w:t>
      </w:r>
      <w:r>
        <w:t>200 мг/кг/</w:t>
      </w:r>
      <w:r w:rsidR="00D4303D">
        <w:t>сут</w:t>
      </w:r>
      <w:r>
        <w:t>. Снижение моторики</w:t>
      </w:r>
      <w:r w:rsidR="00D4303D">
        <w:t xml:space="preserve"> желудка</w:t>
      </w:r>
      <w:r>
        <w:t xml:space="preserve">, приводящее к увеличению </w:t>
      </w:r>
      <w:r w:rsidR="004A0E15">
        <w:t xml:space="preserve">размера </w:t>
      </w:r>
      <w:r>
        <w:t>желудк</w:t>
      </w:r>
      <w:r w:rsidR="004A0E15">
        <w:t>а,</w:t>
      </w:r>
      <w:r>
        <w:t xml:space="preserve"> и многоочагов</w:t>
      </w:r>
      <w:r w:rsidR="00D45681">
        <w:t>ый</w:t>
      </w:r>
      <w:r>
        <w:t xml:space="preserve"> легк</w:t>
      </w:r>
      <w:r w:rsidR="00D45681">
        <w:t>ий</w:t>
      </w:r>
      <w:r>
        <w:t xml:space="preserve"> или умеренно</w:t>
      </w:r>
      <w:r w:rsidR="00D45681">
        <w:t>й</w:t>
      </w:r>
      <w:r>
        <w:t xml:space="preserve"> </w:t>
      </w:r>
      <w:r w:rsidR="00D45681">
        <w:t xml:space="preserve">степени тяжести </w:t>
      </w:r>
      <w:r>
        <w:t>некроз желез</w:t>
      </w:r>
      <w:r w:rsidR="00D45681">
        <w:t>истого эпителия</w:t>
      </w:r>
      <w:r>
        <w:t xml:space="preserve"> желуд</w:t>
      </w:r>
      <w:r w:rsidR="00D45681">
        <w:t>ка</w:t>
      </w:r>
      <w:r>
        <w:t xml:space="preserve"> наблюдал</w:t>
      </w:r>
      <w:r w:rsidR="00E11812">
        <w:t>и</w:t>
      </w:r>
      <w:r>
        <w:t xml:space="preserve"> у крыс при дозах ≥</w:t>
      </w:r>
      <w:r w:rsidR="00E11812">
        <w:t xml:space="preserve"> </w:t>
      </w:r>
      <w:r>
        <w:t>1000 мг/кг/</w:t>
      </w:r>
      <w:r w:rsidR="00E11812">
        <w:t>сут</w:t>
      </w:r>
      <w:r>
        <w:t>. Это также согласуется с уменьшением перистальтик</w:t>
      </w:r>
      <w:r w:rsidR="00E11812">
        <w:t>и</w:t>
      </w:r>
      <w:r>
        <w:t xml:space="preserve"> кишечника, наблюдаем</w:t>
      </w:r>
      <w:r w:rsidR="00E11812">
        <w:t>ым</w:t>
      </w:r>
      <w:r>
        <w:t xml:space="preserve"> в исследовании </w:t>
      </w:r>
      <w:r w:rsidR="00FD4C73">
        <w:t xml:space="preserve">фармакологической </w:t>
      </w:r>
      <w:r>
        <w:t xml:space="preserve">безопасности на крысах. </w:t>
      </w:r>
      <w:r w:rsidR="00FD4C73">
        <w:t>В</w:t>
      </w:r>
      <w:r>
        <w:t xml:space="preserve"> 39</w:t>
      </w:r>
      <w:r w:rsidR="00FD4C73">
        <w:t>-</w:t>
      </w:r>
      <w:r>
        <w:t>недел</w:t>
      </w:r>
      <w:r w:rsidR="00FD4C73">
        <w:t>ьном исследовании</w:t>
      </w:r>
      <w:r>
        <w:t xml:space="preserve"> токсичност</w:t>
      </w:r>
      <w:r w:rsidR="00FD4C73">
        <w:t>и при</w:t>
      </w:r>
      <w:r>
        <w:t xml:space="preserve"> повторн</w:t>
      </w:r>
      <w:r w:rsidR="00FD4C73">
        <w:t>ом</w:t>
      </w:r>
      <w:r>
        <w:t xml:space="preserve"> </w:t>
      </w:r>
      <w:r w:rsidR="00FD4C73">
        <w:t>введении</w:t>
      </w:r>
      <w:r w:rsidR="000401F0">
        <w:t xml:space="preserve"> на яванских макаках </w:t>
      </w:r>
      <w:r w:rsidR="00FD4C73">
        <w:t>отмечали случаи</w:t>
      </w:r>
      <w:r w:rsidR="000401F0">
        <w:t xml:space="preserve"> изъязвлени</w:t>
      </w:r>
      <w:r w:rsidR="00FD4C73">
        <w:t>й</w:t>
      </w:r>
      <w:r w:rsidR="000401F0">
        <w:t>/эрози</w:t>
      </w:r>
      <w:r w:rsidR="00FD4C73">
        <w:t>й</w:t>
      </w:r>
      <w:r w:rsidR="000401F0">
        <w:t xml:space="preserve"> желудк</w:t>
      </w:r>
      <w:r w:rsidR="00FD4C73">
        <w:t>а</w:t>
      </w:r>
      <w:r w:rsidR="000401F0">
        <w:t xml:space="preserve">, </w:t>
      </w:r>
      <w:r w:rsidR="00B52FF7">
        <w:t>ассоциирующиеся</w:t>
      </w:r>
      <w:r w:rsidR="000401F0">
        <w:t xml:space="preserve"> с инфильтративн</w:t>
      </w:r>
      <w:r w:rsidR="000B336D">
        <w:t>ой</w:t>
      </w:r>
      <w:r w:rsidR="000401F0">
        <w:t xml:space="preserve"> лимфом</w:t>
      </w:r>
      <w:r w:rsidR="000B336D">
        <w:t>ой</w:t>
      </w:r>
      <w:r w:rsidR="000401F0">
        <w:t>, приведш</w:t>
      </w:r>
      <w:r w:rsidR="000B336D">
        <w:t>ей</w:t>
      </w:r>
      <w:r w:rsidR="000401F0">
        <w:t xml:space="preserve"> к кровотечению в верхни</w:t>
      </w:r>
      <w:r w:rsidR="00B52FF7">
        <w:t>х</w:t>
      </w:r>
      <w:r w:rsidR="000401F0">
        <w:t xml:space="preserve"> отдел</w:t>
      </w:r>
      <w:r w:rsidR="00B52FF7">
        <w:t>ах</w:t>
      </w:r>
      <w:r w:rsidR="000401F0">
        <w:t xml:space="preserve"> </w:t>
      </w:r>
      <w:r w:rsidR="00B52FF7">
        <w:t>ЖКТ</w:t>
      </w:r>
      <w:r w:rsidR="000401F0">
        <w:t xml:space="preserve"> у одной </w:t>
      </w:r>
      <w:r w:rsidR="000B336D">
        <w:t>самки, получающей тофацитиниб в дозе</w:t>
      </w:r>
      <w:r w:rsidR="000401F0">
        <w:t xml:space="preserve"> в 10</w:t>
      </w:r>
      <w:r w:rsidR="000B336D">
        <w:t xml:space="preserve"> </w:t>
      </w:r>
      <w:r w:rsidR="000401F0">
        <w:t>мг/кг/</w:t>
      </w:r>
      <w:r w:rsidR="000B336D">
        <w:t>сут</w:t>
      </w:r>
      <w:r w:rsidR="000401F0">
        <w:t xml:space="preserve">. Также сообщалось о </w:t>
      </w:r>
      <w:r w:rsidR="00B52FF7">
        <w:t>жидком</w:t>
      </w:r>
      <w:r w:rsidR="000401F0">
        <w:t xml:space="preserve">, слизистом стуле с </w:t>
      </w:r>
      <w:r w:rsidR="007C52C7">
        <w:t>включени</w:t>
      </w:r>
      <w:r w:rsidR="00307CEB">
        <w:t>ями, похожими на кровь,</w:t>
      </w:r>
      <w:r w:rsidR="007C52C7">
        <w:t xml:space="preserve"> </w:t>
      </w:r>
      <w:r w:rsidR="00307CEB">
        <w:t>при дозах</w:t>
      </w:r>
      <w:r w:rsidR="000401F0">
        <w:t xml:space="preserve"> 10, 50 и 100 мг/кг/</w:t>
      </w:r>
      <w:r w:rsidR="00307CEB">
        <w:t>сут</w:t>
      </w:r>
      <w:r w:rsidR="000401F0">
        <w:t xml:space="preserve"> в исследовании токсичности </w:t>
      </w:r>
      <w:r w:rsidR="00307CEB">
        <w:t xml:space="preserve">при </w:t>
      </w:r>
      <w:r w:rsidR="000401F0">
        <w:t>повторн</w:t>
      </w:r>
      <w:r w:rsidR="00307CEB">
        <w:t>ом</w:t>
      </w:r>
      <w:r w:rsidR="000401F0">
        <w:t xml:space="preserve"> </w:t>
      </w:r>
      <w:r w:rsidR="00307CEB">
        <w:t>введении длительностью 1 мес.</w:t>
      </w:r>
      <w:r w:rsidR="000401F0">
        <w:t xml:space="preserve"> на яванских макаках</w:t>
      </w:r>
      <w:r w:rsidR="00D677C4">
        <w:t xml:space="preserve"> </w:t>
      </w:r>
      <w:r w:rsidR="00307CEB">
        <w:fldChar w:fldCharType="begin"/>
      </w:r>
      <w:r w:rsidR="00044A89">
        <w:instrText xml:space="preserve"> ADDIN ZOTERO_ITEM CSL_CITATION {"citationID":"XozfVjA0","properties":{"formattedCitation":"[21]","plainCitation":"[21]","noteIndex":0},"citationItems":[{"id":91153,"uris":["http://zotero.org/groups/4742804/items/UAUYPBRD"],"itemData":{"id":91153,"type":"webpage","title":"Xeljanz.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307CEB">
        <w:fldChar w:fldCharType="separate"/>
      </w:r>
      <w:r w:rsidR="00D46D1F">
        <w:rPr>
          <w:rFonts w:cs="Times New Roman"/>
        </w:rPr>
        <w:t>[10</w:t>
      </w:r>
      <w:r w:rsidR="00044A89" w:rsidRPr="00044A89">
        <w:rPr>
          <w:rFonts w:cs="Times New Roman"/>
        </w:rPr>
        <w:t>]</w:t>
      </w:r>
      <w:r w:rsidR="00307CEB">
        <w:fldChar w:fldCharType="end"/>
      </w:r>
      <w:r w:rsidR="00E66D0E">
        <w:t>.</w:t>
      </w:r>
    </w:p>
    <w:p w14:paraId="1E5827CD" w14:textId="60A767B1" w:rsidR="000401F0" w:rsidRDefault="00182FA3" w:rsidP="00D36ADC">
      <w:pPr>
        <w:pStyle w:val="SDText"/>
        <w:contextualSpacing/>
      </w:pPr>
      <w:r>
        <w:lastRenderedPageBreak/>
        <w:t>Эффекты</w:t>
      </w:r>
      <w:r w:rsidR="00D677C4">
        <w:t xml:space="preserve"> </w:t>
      </w:r>
      <w:r>
        <w:t>в отношении активности</w:t>
      </w:r>
      <w:r w:rsidR="00D677C4">
        <w:t xml:space="preserve"> сывороточны</w:t>
      </w:r>
      <w:r>
        <w:t>х</w:t>
      </w:r>
      <w:r w:rsidR="00D677C4">
        <w:t xml:space="preserve"> трансаминаз был</w:t>
      </w:r>
      <w:r>
        <w:t>и</w:t>
      </w:r>
      <w:r w:rsidR="00D677C4">
        <w:t xml:space="preserve"> </w:t>
      </w:r>
      <w:r>
        <w:t>легкой степени выраженности</w:t>
      </w:r>
      <w:r w:rsidR="00D677C4">
        <w:t xml:space="preserve"> у крыс и обезьян и обычно наблюдал</w:t>
      </w:r>
      <w:r>
        <w:t>и</w:t>
      </w:r>
      <w:r w:rsidR="00D677C4">
        <w:t xml:space="preserve">сь при высоких дозах </w:t>
      </w:r>
      <w:r w:rsidR="00500B3E">
        <w:t>исследованиях</w:t>
      </w:r>
      <w:r w:rsidR="00D677C4">
        <w:t xml:space="preserve"> остр</w:t>
      </w:r>
      <w:r w:rsidR="00500B3E">
        <w:t>ой токсичности</w:t>
      </w:r>
      <w:r w:rsidR="00D677C4">
        <w:t xml:space="preserve"> или краткосрочных (продолжительностью ≤</w:t>
      </w:r>
      <w:r w:rsidR="00500B3E">
        <w:t xml:space="preserve"> </w:t>
      </w:r>
      <w:r w:rsidR="00D677C4">
        <w:t xml:space="preserve">6 недель) исследованиях. При </w:t>
      </w:r>
      <w:r w:rsidR="00EF217D">
        <w:t>наименьшей дозе, оказывающей воздействие (</w:t>
      </w:r>
      <w:r w:rsidR="00EF217D" w:rsidRPr="00EF217D">
        <w:t>lowest observed effect level</w:t>
      </w:r>
      <w:r w:rsidR="00EF217D">
        <w:t xml:space="preserve">, </w:t>
      </w:r>
      <w:r w:rsidR="00D677C4">
        <w:t>LOEL</w:t>
      </w:r>
      <w:r w:rsidR="00EF217D">
        <w:t>)</w:t>
      </w:r>
      <w:r w:rsidR="00E735AF">
        <w:t>, равной</w:t>
      </w:r>
      <w:r w:rsidR="00D677C4">
        <w:t xml:space="preserve"> 10 мг/кг/сут</w:t>
      </w:r>
      <w:r w:rsidR="00E735AF">
        <w:t>,</w:t>
      </w:r>
      <w:r w:rsidR="00D677C4">
        <w:t xml:space="preserve"> </w:t>
      </w:r>
      <w:r w:rsidR="004A7481">
        <w:t>в</w:t>
      </w:r>
      <w:r w:rsidR="00D677C4">
        <w:t xml:space="preserve"> 6-недельно</w:t>
      </w:r>
      <w:r w:rsidR="004A7481">
        <w:t>м исследовании на</w:t>
      </w:r>
      <w:r w:rsidR="00D677C4">
        <w:t xml:space="preserve"> крыс</w:t>
      </w:r>
      <w:r w:rsidR="004A7481">
        <w:t>ах</w:t>
      </w:r>
      <w:r w:rsidR="00D677C4">
        <w:t xml:space="preserve"> и 4-недельных исследованиях на обезьянах наблюдалось незначительное повышение активности трансаминаз (без корреляции</w:t>
      </w:r>
      <w:r w:rsidR="004A7481" w:rsidRPr="004A7481">
        <w:t xml:space="preserve"> </w:t>
      </w:r>
      <w:r w:rsidR="004A7481">
        <w:t>с гистопатологическами данными</w:t>
      </w:r>
      <w:r w:rsidR="00D677C4">
        <w:t xml:space="preserve">). </w:t>
      </w:r>
      <w:r w:rsidR="004A7481">
        <w:t>Г</w:t>
      </w:r>
      <w:r w:rsidR="00D677C4">
        <w:t xml:space="preserve">епатоцеллюлярных эффектов не наблюдалось в 39-недельном исследовании на обезьянах при самой высокой </w:t>
      </w:r>
      <w:r w:rsidR="004A7481">
        <w:t xml:space="preserve">исследованной </w:t>
      </w:r>
      <w:r w:rsidR="00D677C4">
        <w:t>дозе (10 мг/кг/</w:t>
      </w:r>
      <w:r w:rsidR="004A7481">
        <w:t>сут</w:t>
      </w:r>
      <w:r w:rsidR="00D677C4">
        <w:t>). В 6-месячном исследовании на крысах наблюдалось увеличение массы печени, сопровождавшееся гипертрофи</w:t>
      </w:r>
      <w:r w:rsidR="00F716D9">
        <w:t>ей</w:t>
      </w:r>
      <w:r w:rsidR="00D677C4">
        <w:t xml:space="preserve"> </w:t>
      </w:r>
      <w:r w:rsidR="005D155C">
        <w:t xml:space="preserve">гепатоцитов </w:t>
      </w:r>
      <w:r w:rsidR="00D677C4">
        <w:t>при высокой дозе (100 мг/кг/</w:t>
      </w:r>
      <w:r w:rsidR="00F716D9">
        <w:t>сут</w:t>
      </w:r>
      <w:r w:rsidR="00D677C4">
        <w:t xml:space="preserve">) без признаков дегенерации </w:t>
      </w:r>
      <w:r w:rsidR="005D155C">
        <w:t xml:space="preserve">гепатоцитов </w:t>
      </w:r>
      <w:r w:rsidR="00D677C4">
        <w:t xml:space="preserve">или некроза, и отсутствие связанных с </w:t>
      </w:r>
      <w:r w:rsidR="005D155C">
        <w:t xml:space="preserve">введением тофацитиниба </w:t>
      </w:r>
      <w:r w:rsidR="00D677C4">
        <w:t xml:space="preserve">изменений </w:t>
      </w:r>
      <w:r w:rsidR="005D155C">
        <w:t xml:space="preserve">активности </w:t>
      </w:r>
      <w:r w:rsidR="00D677C4">
        <w:t>трансаминаз в сыворотке</w:t>
      </w:r>
      <w:r w:rsidR="005D155C">
        <w:t xml:space="preserve"> крови</w:t>
      </w:r>
      <w:r w:rsidR="00D677C4">
        <w:t xml:space="preserve"> </w:t>
      </w:r>
      <w:r w:rsidR="00E66D0E">
        <w:fldChar w:fldCharType="begin"/>
      </w:r>
      <w:r w:rsidR="00044A89">
        <w:instrText xml:space="preserve"> ADDIN ZOTERO_ITEM CSL_CITATION {"citationID":"Z9zYvNB9","properties":{"formattedCitation":"[21]","plainCitation":"[21]","noteIndex":0},"citationItems":[{"id":91153,"uris":["http://zotero.org/groups/4742804/items/UAUYPBRD"],"itemData":{"id":91153,"type":"webpage","title":"Xeljanz.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E66D0E">
        <w:fldChar w:fldCharType="separate"/>
      </w:r>
      <w:r w:rsidR="00D46D1F">
        <w:rPr>
          <w:rFonts w:cs="Times New Roman"/>
        </w:rPr>
        <w:t>[</w:t>
      </w:r>
      <w:r w:rsidR="00044A89" w:rsidRPr="00044A89">
        <w:rPr>
          <w:rFonts w:cs="Times New Roman"/>
        </w:rPr>
        <w:t>1</w:t>
      </w:r>
      <w:r w:rsidR="00D46D1F">
        <w:rPr>
          <w:rFonts w:cs="Times New Roman"/>
        </w:rPr>
        <w:t>0</w:t>
      </w:r>
      <w:r w:rsidR="00044A89" w:rsidRPr="00044A89">
        <w:rPr>
          <w:rFonts w:cs="Times New Roman"/>
        </w:rPr>
        <w:t>]</w:t>
      </w:r>
      <w:r w:rsidR="00E66D0E">
        <w:fldChar w:fldCharType="end"/>
      </w:r>
      <w:r w:rsidR="00E66D0E">
        <w:t>.</w:t>
      </w:r>
    </w:p>
    <w:p w14:paraId="1141DFD3" w14:textId="77777777" w:rsidR="00791E09" w:rsidRPr="00CA0544" w:rsidRDefault="00791E09" w:rsidP="00791E09">
      <w:pPr>
        <w:pStyle w:val="SDText"/>
        <w:spacing w:after="0"/>
        <w:contextualSpacing/>
      </w:pPr>
    </w:p>
    <w:p w14:paraId="1607A308" w14:textId="2F7004D4" w:rsidR="00771D7C" w:rsidRPr="00D76414" w:rsidRDefault="00D62B3D" w:rsidP="00791E09">
      <w:pPr>
        <w:pStyle w:val="3"/>
        <w:numPr>
          <w:ilvl w:val="0"/>
          <w:numId w:val="0"/>
        </w:numPr>
        <w:ind w:left="720" w:hanging="720"/>
      </w:pPr>
      <w:bookmarkStart w:id="151" w:name="_Ref113953203"/>
      <w:bookmarkStart w:id="152" w:name="_Toc115421046"/>
      <w:bookmarkStart w:id="153" w:name="_Toc121592579"/>
      <w:r>
        <w:t xml:space="preserve">3.3.3. </w:t>
      </w:r>
      <w:r w:rsidR="00771D7C" w:rsidRPr="00D76414">
        <w:t>Генотоксичность</w:t>
      </w:r>
      <w:bookmarkEnd w:id="151"/>
      <w:bookmarkEnd w:id="152"/>
      <w:bookmarkEnd w:id="153"/>
    </w:p>
    <w:p w14:paraId="47CEC5A0" w14:textId="77777777" w:rsidR="00BD2318" w:rsidRDefault="00BD2318" w:rsidP="00D36ADC">
      <w:pPr>
        <w:pStyle w:val="SDText"/>
        <w:contextualSpacing/>
      </w:pPr>
    </w:p>
    <w:p w14:paraId="42F6B735" w14:textId="38B572FC" w:rsidR="00EE4915" w:rsidRPr="004E2EBD" w:rsidRDefault="0017664C" w:rsidP="00D36ADC">
      <w:pPr>
        <w:pStyle w:val="SDText"/>
        <w:contextualSpacing/>
      </w:pPr>
      <w:r>
        <w:t xml:space="preserve">В </w:t>
      </w:r>
      <w:r w:rsidR="00655B03">
        <w:t xml:space="preserve">исследовании </w:t>
      </w:r>
      <w:r w:rsidR="00655B03" w:rsidRPr="00655B03">
        <w:t xml:space="preserve">01-2063-11 </w:t>
      </w:r>
      <w:r w:rsidR="003C2A19" w:rsidRPr="003C2A19">
        <w:t>тофацитиниб</w:t>
      </w:r>
      <w:r w:rsidR="003C2A19">
        <w:t xml:space="preserve"> </w:t>
      </w:r>
      <w:r>
        <w:t xml:space="preserve">(цитратная соль) в концентрации до 5 мг на чашку Петри не </w:t>
      </w:r>
      <w:r w:rsidR="00655B03">
        <w:t xml:space="preserve">обладал </w:t>
      </w:r>
      <w:r w:rsidR="00F23242">
        <w:t xml:space="preserve">мутагенностью в </w:t>
      </w:r>
      <w:r w:rsidR="00303C02" w:rsidRPr="00303C02">
        <w:rPr>
          <w:i/>
          <w:iCs/>
        </w:rPr>
        <w:t>in vitro</w:t>
      </w:r>
      <w:r>
        <w:t xml:space="preserve"> </w:t>
      </w:r>
      <w:r w:rsidR="006D541E">
        <w:t>тесте обратных мутаций</w:t>
      </w:r>
      <w:r w:rsidR="008B4828">
        <w:t xml:space="preserve"> на штаммах </w:t>
      </w:r>
      <w:r w:rsidR="004E2EBD">
        <w:t>TA 1535, TA 1537, TA 98, TA 100</w:t>
      </w:r>
      <w:r w:rsidR="004E2EBD" w:rsidRPr="008B4828">
        <w:rPr>
          <w:i/>
          <w:iCs/>
        </w:rPr>
        <w:t xml:space="preserve"> </w:t>
      </w:r>
      <w:r w:rsidR="008B4828" w:rsidRPr="008B4828">
        <w:rPr>
          <w:i/>
          <w:iCs/>
        </w:rPr>
        <w:t>Salmonella typhimurium</w:t>
      </w:r>
      <w:r w:rsidR="008B4828" w:rsidRPr="008B4828">
        <w:t xml:space="preserve"> </w:t>
      </w:r>
      <w:r w:rsidR="008B4828">
        <w:t xml:space="preserve">и </w:t>
      </w:r>
      <w:r w:rsidR="004E2EBD">
        <w:t xml:space="preserve">штамме </w:t>
      </w:r>
      <w:r w:rsidR="004E2EBD" w:rsidRPr="004E2EBD">
        <w:t xml:space="preserve">WP2uvrA pKM101 </w:t>
      </w:r>
      <w:r w:rsidR="008B4828" w:rsidRPr="008B4828">
        <w:rPr>
          <w:i/>
          <w:iCs/>
        </w:rPr>
        <w:t>Escherichia coli</w:t>
      </w:r>
      <w:r w:rsidR="008B4828" w:rsidRPr="008B4828">
        <w:t xml:space="preserve"> </w:t>
      </w:r>
      <w:r w:rsidR="00D618B4">
        <w:t>с или без метаболической активации</w:t>
      </w:r>
      <w:r w:rsidR="004E2EBD">
        <w:t xml:space="preserve"> </w:t>
      </w:r>
      <w:r w:rsidR="00EE4915">
        <w:rPr>
          <w:lang w:val="en-US"/>
        </w:rPr>
        <w:fldChar w:fldCharType="begin"/>
      </w:r>
      <w:r w:rsidR="00044A89">
        <w:instrText xml:space="preserve"> ADDIN ZOTERO_ITEM CSL_CITATION {"citationID":"To4WGGrA","properties":{"formattedCitation":"[12]","plainCitation":"[12]","noteIndex":0},"citationItems":[{"id":87803,"uris":["http://zotero.org/groups/4742804/items/DMZ5DFPG"],"itemData":{"id":87803,"type":"webpage","title":"Xeljanz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4E2EBD">
        <w:t>.</w:t>
      </w:r>
    </w:p>
    <w:p w14:paraId="2915418F" w14:textId="2D15FFD1" w:rsidR="00771D7C" w:rsidRDefault="006F2B55" w:rsidP="00D36ADC">
      <w:pPr>
        <w:pStyle w:val="SDText"/>
        <w:contextualSpacing/>
      </w:pPr>
      <w:r>
        <w:t xml:space="preserve">В исследовании </w:t>
      </w:r>
      <w:r w:rsidR="00D03D6D">
        <w:t xml:space="preserve">01-2063-10 </w:t>
      </w:r>
      <w:r w:rsidR="003C2A19" w:rsidRPr="003C2A19">
        <w:t>тофацитиниб</w:t>
      </w:r>
      <w:r w:rsidR="003C2A19">
        <w:t xml:space="preserve"> </w:t>
      </w:r>
      <w:r w:rsidR="00D70F8D">
        <w:t xml:space="preserve">в дозах </w:t>
      </w:r>
      <w:r w:rsidR="00D70F8D">
        <w:rPr>
          <w:rFonts w:cs="Times New Roman"/>
        </w:rPr>
        <w:t>≥</w:t>
      </w:r>
      <w:r w:rsidR="00D70F8D">
        <w:t xml:space="preserve"> 1700 мкг/мл </w:t>
      </w:r>
      <w:r w:rsidR="00D03D6D">
        <w:t xml:space="preserve">приводил к статистически значимому увеличению </w:t>
      </w:r>
      <w:r w:rsidR="00D70F8D">
        <w:t xml:space="preserve">частоты возникновения </w:t>
      </w:r>
      <w:r w:rsidR="0070393D">
        <w:t xml:space="preserve">структурных хромосомных аберраций в лимфоцитах человека </w:t>
      </w:r>
      <w:r w:rsidR="00D70F8D">
        <w:t xml:space="preserve">при экспозиции </w:t>
      </w:r>
      <w:r w:rsidR="0070393D">
        <w:t xml:space="preserve">в течение 3 </w:t>
      </w:r>
      <w:r w:rsidR="00460F9B">
        <w:t xml:space="preserve">ч </w:t>
      </w:r>
      <w:r w:rsidR="00D70F8D">
        <w:t>и</w:t>
      </w:r>
      <w:r w:rsidR="00460F9B">
        <w:t xml:space="preserve"> метаболической активации</w:t>
      </w:r>
      <w:r w:rsidR="00C02EDB">
        <w:t xml:space="preserve">, что </w:t>
      </w:r>
      <w:r w:rsidR="00017DA2">
        <w:t xml:space="preserve">вызывало повышение частоты митотической супрессии (цитотоксичности) </w:t>
      </w:r>
      <w:r w:rsidR="0040049C">
        <w:t>&gt;</w:t>
      </w:r>
      <w:r w:rsidR="00C02EDB">
        <w:t>чем на 48%</w:t>
      </w:r>
      <w:r w:rsidR="00D70F8D">
        <w:t>. Не наблюдали увеличени</w:t>
      </w:r>
      <w:r w:rsidR="0043219A">
        <w:t>я</w:t>
      </w:r>
      <w:r w:rsidR="00D70F8D">
        <w:t xml:space="preserve"> частоты хромосомных аберраций при экспозиции в течение 3 или 24 ч без метаболической активации</w:t>
      </w:r>
      <w:r w:rsidR="00922C86">
        <w:t xml:space="preserve">. Увеличения частоты полиплоидии также не обнаружили </w:t>
      </w:r>
      <w:r w:rsidR="00922C86">
        <w:rPr>
          <w:lang w:val="en-US"/>
        </w:rPr>
        <w:fldChar w:fldCharType="begin"/>
      </w:r>
      <w:r w:rsidR="00044A89">
        <w:instrText xml:space="preserve"> ADDIN ZOTERO_ITEM CSL_CITATION {"citationID":"AtkDQga6","properties":{"formattedCitation":"[12]","plainCitation":"[12]","noteIndex":0},"citationItems":[{"id":87803,"uris":["http://zotero.org/groups/4742804/items/DMZ5DFPG"],"itemData":{"id":87803,"type":"webpage","title":"Xeljanz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922C86">
        <w:rPr>
          <w:lang w:val="en-US"/>
        </w:rPr>
        <w:fldChar w:fldCharType="separate"/>
      </w:r>
      <w:r w:rsidR="00D46D1F">
        <w:rPr>
          <w:rFonts w:cs="Times New Roman"/>
        </w:rPr>
        <w:t>[1</w:t>
      </w:r>
      <w:r w:rsidR="00044A89" w:rsidRPr="00044A89">
        <w:rPr>
          <w:rFonts w:cs="Times New Roman"/>
        </w:rPr>
        <w:t>]</w:t>
      </w:r>
      <w:r w:rsidR="00922C86">
        <w:rPr>
          <w:lang w:val="en-US"/>
        </w:rPr>
        <w:fldChar w:fldCharType="end"/>
      </w:r>
      <w:r w:rsidR="00922C86">
        <w:t>.</w:t>
      </w:r>
    </w:p>
    <w:p w14:paraId="403B1C29" w14:textId="296F870B" w:rsidR="0083797C" w:rsidRDefault="0083797C" w:rsidP="00D36ADC">
      <w:pPr>
        <w:pStyle w:val="SDText"/>
        <w:contextualSpacing/>
      </w:pPr>
      <w:r>
        <w:t xml:space="preserve">В исследовании </w:t>
      </w:r>
      <w:r w:rsidR="00BF43FB" w:rsidRPr="00BF43FB">
        <w:t>01-2063-12</w:t>
      </w:r>
      <w:r w:rsidR="00BF43FB">
        <w:t xml:space="preserve"> </w:t>
      </w:r>
      <w:r w:rsidR="003C2A19" w:rsidRPr="003C2A19">
        <w:t>тофацитиниб</w:t>
      </w:r>
      <w:r w:rsidR="003C2A19">
        <w:t xml:space="preserve"> </w:t>
      </w:r>
      <w:r w:rsidR="00BF43FB">
        <w:t>не индуцировал образовани</w:t>
      </w:r>
      <w:r w:rsidR="0043219A">
        <w:t>я</w:t>
      </w:r>
      <w:r w:rsidR="00BF43FB">
        <w:t xml:space="preserve"> микроядер </w:t>
      </w:r>
      <w:r w:rsidR="00513481">
        <w:t>в незрелых эритроцитах крыс линии Спрег-Доули при перо</w:t>
      </w:r>
      <w:r w:rsidR="00414358">
        <w:t>р</w:t>
      </w:r>
      <w:r w:rsidR="00513481">
        <w:t xml:space="preserve">альном </w:t>
      </w:r>
      <w:r w:rsidR="00414358">
        <w:t>введении в дозах до МПД</w:t>
      </w:r>
      <w:r w:rsidR="00460391">
        <w:t xml:space="preserve"> (250 мг/кг) </w:t>
      </w:r>
      <w:r w:rsidR="00460391">
        <w:rPr>
          <w:lang w:val="en-US"/>
        </w:rPr>
        <w:fldChar w:fldCharType="begin"/>
      </w:r>
      <w:r w:rsidR="00044A89">
        <w:instrText xml:space="preserve"> ADDIN ZOTERO_ITEM CSL_CITATION {"citationID":"2a7HOocf","properties":{"formattedCitation":"[12]","plainCitation":"[12]","noteIndex":0},"citationItems":[{"id":87803,"uris":["http://zotero.org/groups/4742804/items/DMZ5DFPG"],"itemData":{"id":87803,"type":"webpage","title":"Xeljanz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460391">
        <w:rPr>
          <w:lang w:val="en-US"/>
        </w:rPr>
        <w:fldChar w:fldCharType="separate"/>
      </w:r>
      <w:r w:rsidR="00D46D1F">
        <w:rPr>
          <w:rFonts w:cs="Times New Roman"/>
        </w:rPr>
        <w:t>[1</w:t>
      </w:r>
      <w:r w:rsidR="00044A89" w:rsidRPr="00044A89">
        <w:rPr>
          <w:rFonts w:cs="Times New Roman"/>
        </w:rPr>
        <w:t>]</w:t>
      </w:r>
      <w:r w:rsidR="00460391">
        <w:rPr>
          <w:lang w:val="en-US"/>
        </w:rPr>
        <w:fldChar w:fldCharType="end"/>
      </w:r>
      <w:r w:rsidR="00460391">
        <w:t>.</w:t>
      </w:r>
    </w:p>
    <w:p w14:paraId="477E1BDD" w14:textId="2A6814E1" w:rsidR="00535DC2" w:rsidRDefault="00535DC2" w:rsidP="00D36ADC">
      <w:pPr>
        <w:pStyle w:val="SDText"/>
        <w:contextualSpacing/>
      </w:pPr>
      <w:r>
        <w:t xml:space="preserve">В исследовании </w:t>
      </w:r>
      <w:r w:rsidRPr="00535DC2">
        <w:t>01-2063-16</w:t>
      </w:r>
      <w:r>
        <w:t xml:space="preserve"> </w:t>
      </w:r>
      <w:r w:rsidR="008C0EA9">
        <w:t xml:space="preserve">CP-690550-10 не вызывал прямых мутаций в Х-сцепленном </w:t>
      </w:r>
      <w:r w:rsidR="006E248E">
        <w:t>гене</w:t>
      </w:r>
      <w:r w:rsidR="0052498A">
        <w:t xml:space="preserve"> </w:t>
      </w:r>
      <w:r w:rsidR="008C0EA9">
        <w:t xml:space="preserve">HGPRT в </w:t>
      </w:r>
      <w:r w:rsidR="00CC393B">
        <w:t xml:space="preserve">клетках </w:t>
      </w:r>
      <w:r w:rsidR="007D773C">
        <w:rPr>
          <w:lang w:val="en-US"/>
        </w:rPr>
        <w:t>CHO</w:t>
      </w:r>
      <w:r w:rsidR="008C0EA9">
        <w:t xml:space="preserve"> при тестировании </w:t>
      </w:r>
      <w:r w:rsidR="00C2426F">
        <w:t>в дозах до</w:t>
      </w:r>
      <w:r w:rsidR="008C0EA9">
        <w:t xml:space="preserve"> цитотоксичн</w:t>
      </w:r>
      <w:r w:rsidR="00C2426F">
        <w:t>ых</w:t>
      </w:r>
      <w:r w:rsidR="008C0EA9">
        <w:t xml:space="preserve"> </w:t>
      </w:r>
      <w:r w:rsidR="00C2426F">
        <w:t>(</w:t>
      </w:r>
      <w:r w:rsidR="008C0EA9">
        <w:t>3000 мкг/мл</w:t>
      </w:r>
      <w:r w:rsidR="00C2426F">
        <w:t>)</w:t>
      </w:r>
      <w:r w:rsidR="008C0EA9">
        <w:t xml:space="preserve"> с или без метаболическ</w:t>
      </w:r>
      <w:r w:rsidR="00C2426F">
        <w:t>ой</w:t>
      </w:r>
      <w:r w:rsidR="008C0EA9">
        <w:t xml:space="preserve"> </w:t>
      </w:r>
      <w:r w:rsidR="00C2426F">
        <w:t xml:space="preserve">активации </w:t>
      </w:r>
      <w:r w:rsidR="00C2426F">
        <w:rPr>
          <w:lang w:val="en-US"/>
        </w:rPr>
        <w:fldChar w:fldCharType="begin"/>
      </w:r>
      <w:r w:rsidR="00044A89">
        <w:instrText xml:space="preserve"> ADDIN ZOTERO_ITEM CSL_CITATION {"citationID":"SNsn8pWj","properties":{"formattedCitation":"[12]","plainCitation":"[12]","noteIndex":0},"citationItems":[{"id":87803,"uris":["http://zotero.org/groups/4742804/items/DMZ5DFPG"],"itemData":{"id":87803,"type":"webpage","title":"Xeljanz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C2426F">
        <w:rPr>
          <w:lang w:val="en-US"/>
        </w:rPr>
        <w:fldChar w:fldCharType="separate"/>
      </w:r>
      <w:r w:rsidR="00D46D1F">
        <w:rPr>
          <w:rFonts w:cs="Times New Roman"/>
        </w:rPr>
        <w:t>[1</w:t>
      </w:r>
      <w:r w:rsidR="00044A89" w:rsidRPr="00044A89">
        <w:rPr>
          <w:rFonts w:cs="Times New Roman"/>
        </w:rPr>
        <w:t>]</w:t>
      </w:r>
      <w:r w:rsidR="00C2426F">
        <w:rPr>
          <w:lang w:val="en-US"/>
        </w:rPr>
        <w:fldChar w:fldCharType="end"/>
      </w:r>
      <w:r w:rsidR="00C2426F">
        <w:t>.</w:t>
      </w:r>
    </w:p>
    <w:p w14:paraId="71D5F4E4" w14:textId="6FAE275D" w:rsidR="006350B7" w:rsidRDefault="00C747D4" w:rsidP="00D36ADC">
      <w:pPr>
        <w:pStyle w:val="SDText"/>
        <w:contextualSpacing/>
      </w:pPr>
      <w:r>
        <w:t xml:space="preserve">В исследовании </w:t>
      </w:r>
      <w:r w:rsidRPr="00C747D4">
        <w:t>01-2063-17</w:t>
      </w:r>
      <w:r>
        <w:t xml:space="preserve"> </w:t>
      </w:r>
      <w:r w:rsidR="006678A8">
        <w:t>п</w:t>
      </w:r>
      <w:r w:rsidR="007A46A6">
        <w:t xml:space="preserve">ри использовании анализа </w:t>
      </w:r>
      <w:r w:rsidR="00710E65">
        <w:t>внепланового</w:t>
      </w:r>
      <w:r w:rsidR="007A46A6">
        <w:t xml:space="preserve"> синтеза ДНК </w:t>
      </w:r>
      <w:r w:rsidR="006E7BDC">
        <w:t xml:space="preserve">у крыс </w:t>
      </w:r>
      <w:r w:rsidR="007A46A6">
        <w:t>не было доказательств репараци</w:t>
      </w:r>
      <w:r w:rsidR="006678A8">
        <w:t>и</w:t>
      </w:r>
      <w:r w:rsidR="007A46A6">
        <w:t xml:space="preserve"> ДНК гепатоцитов</w:t>
      </w:r>
      <w:r w:rsidR="006678A8">
        <w:t>, являюще</w:t>
      </w:r>
      <w:r w:rsidR="008779FF">
        <w:t>йся</w:t>
      </w:r>
      <w:r w:rsidR="006678A8">
        <w:t xml:space="preserve"> доказательством </w:t>
      </w:r>
      <w:r w:rsidR="007A46A6">
        <w:t xml:space="preserve">повреждения ДНК, </w:t>
      </w:r>
      <w:r w:rsidR="006678A8">
        <w:t>при оценке</w:t>
      </w:r>
      <w:r w:rsidR="007A46A6">
        <w:t xml:space="preserve"> через 2–4 ч или 14–16 ч</w:t>
      </w:r>
      <w:r w:rsidR="00585784">
        <w:t xml:space="preserve"> </w:t>
      </w:r>
      <w:r w:rsidR="007A46A6">
        <w:t xml:space="preserve">после однократного перорального приема </w:t>
      </w:r>
      <w:r w:rsidR="003C2A19" w:rsidRPr="003C2A19">
        <w:t xml:space="preserve">тофацитиниба </w:t>
      </w:r>
      <w:r w:rsidR="006678A8">
        <w:t xml:space="preserve">в дозе </w:t>
      </w:r>
      <w:r w:rsidR="007A46A6">
        <w:t>125, 250 или 500 мг/кг</w:t>
      </w:r>
      <w:r w:rsidR="006E7BDC">
        <w:t xml:space="preserve"> </w:t>
      </w:r>
      <w:r w:rsidR="006678A8">
        <w:rPr>
          <w:lang w:val="en-US"/>
        </w:rPr>
        <w:fldChar w:fldCharType="begin"/>
      </w:r>
      <w:r w:rsidR="00044A89">
        <w:instrText xml:space="preserve"> ADDIN ZOTERO_ITEM CSL_CITATION {"citationID":"kp1RTMxr","properties":{"formattedCitation":"[12]","plainCitation":"[12]","noteIndex":0},"citationItems":[{"id":87803,"uris":["http://zotero.org/groups/4742804/items/DMZ5DFPG"],"itemData":{"id":87803,"type":"webpage","title":"Xeljanz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6678A8">
        <w:rPr>
          <w:lang w:val="en-US"/>
        </w:rPr>
        <w:fldChar w:fldCharType="separate"/>
      </w:r>
      <w:r w:rsidR="00D46D1F">
        <w:rPr>
          <w:rFonts w:cs="Times New Roman"/>
        </w:rPr>
        <w:t>[1</w:t>
      </w:r>
      <w:r w:rsidR="00044A89" w:rsidRPr="00044A89">
        <w:rPr>
          <w:rFonts w:cs="Times New Roman"/>
        </w:rPr>
        <w:t>]</w:t>
      </w:r>
      <w:r w:rsidR="006678A8">
        <w:rPr>
          <w:lang w:val="en-US"/>
        </w:rPr>
        <w:fldChar w:fldCharType="end"/>
      </w:r>
      <w:r w:rsidR="006678A8">
        <w:t>.</w:t>
      </w:r>
    </w:p>
    <w:p w14:paraId="3ACDE8DA" w14:textId="6BC24D43" w:rsidR="00887530" w:rsidRDefault="00887530" w:rsidP="00D36ADC">
      <w:pPr>
        <w:pStyle w:val="SDText"/>
        <w:contextualSpacing/>
      </w:pPr>
      <w:r>
        <w:t xml:space="preserve">Исследования генотоксичности представлены </w:t>
      </w:r>
      <w:r w:rsidR="00546DB3" w:rsidRPr="00D62B3D">
        <w:t>ниже (</w:t>
      </w:r>
      <w:r w:rsidR="001A5898" w:rsidRPr="00D62B3D">
        <w:fldChar w:fldCharType="begin"/>
      </w:r>
      <w:r w:rsidR="001A5898" w:rsidRPr="00D62B3D">
        <w:instrText xml:space="preserve"> REF _Ref121140371 \h </w:instrText>
      </w:r>
      <w:r w:rsidR="00D62B3D" w:rsidRPr="00D62B3D">
        <w:instrText xml:space="preserve"> \* MERGEFORMAT </w:instrText>
      </w:r>
      <w:r w:rsidR="001A5898" w:rsidRPr="00D62B3D">
        <w:fldChar w:fldCharType="separate"/>
      </w:r>
      <w:r w:rsidR="00383E6F" w:rsidRPr="00D62B3D">
        <w:rPr>
          <w:bCs/>
        </w:rPr>
        <w:t xml:space="preserve">Таблица </w:t>
      </w:r>
      <w:r w:rsidR="00383E6F" w:rsidRPr="00D62B3D">
        <w:rPr>
          <w:bCs/>
          <w:noProof/>
        </w:rPr>
        <w:t>3</w:t>
      </w:r>
      <w:r w:rsidR="00383E6F" w:rsidRPr="00D62B3D">
        <w:rPr>
          <w:bCs/>
        </w:rPr>
        <w:noBreakHyphen/>
      </w:r>
      <w:r w:rsidR="00383E6F" w:rsidRPr="00D62B3D">
        <w:rPr>
          <w:bCs/>
          <w:noProof/>
        </w:rPr>
        <w:t>6</w:t>
      </w:r>
      <w:r w:rsidR="001A5898" w:rsidRPr="00D62B3D">
        <w:fldChar w:fldCharType="end"/>
      </w:r>
      <w:r w:rsidR="00546DB3" w:rsidRPr="00D62B3D">
        <w:t>)</w:t>
      </w:r>
      <w:r w:rsidR="00546DB3">
        <w:t xml:space="preserve"> </w:t>
      </w:r>
      <w:r w:rsidR="00CB62E9">
        <w:fldChar w:fldCharType="begin"/>
      </w:r>
      <w:r w:rsidR="00CB62E9">
        <w:instrText xml:space="preserve"> ADDIN ZOTERO_ITEM CSL_CITATION {"citationID":"RzbfVWxO","properties":{"formattedCitation":"[12]","plainCitation":"[12]","noteIndex":0},"citationItems":[{"id":87803,"uris":["http://zotero.org/groups/4742804/items/DMZ5DFPG"],"itemData":{"id":87803,"type":"webpage","title":"Xeljanz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CB62E9">
        <w:fldChar w:fldCharType="separate"/>
      </w:r>
      <w:r w:rsidR="00D46D1F">
        <w:rPr>
          <w:rFonts w:cs="Times New Roman"/>
        </w:rPr>
        <w:t>[1</w:t>
      </w:r>
      <w:r w:rsidR="00CB62E9" w:rsidRPr="00CB62E9">
        <w:rPr>
          <w:rFonts w:cs="Times New Roman"/>
        </w:rPr>
        <w:t>]</w:t>
      </w:r>
      <w:r w:rsidR="00CB62E9">
        <w:fldChar w:fldCharType="end"/>
      </w:r>
      <w:r w:rsidR="00F12C35">
        <w:t>.</w:t>
      </w:r>
    </w:p>
    <w:p w14:paraId="6AF26462" w14:textId="77777777" w:rsidR="00D76414" w:rsidRDefault="00D76414" w:rsidP="00D36ADC">
      <w:pPr>
        <w:pStyle w:val="SDText"/>
        <w:contextualSpacing/>
      </w:pPr>
    </w:p>
    <w:p w14:paraId="629E4713" w14:textId="22C31CAD" w:rsidR="00CB62E9" w:rsidRDefault="001A5898" w:rsidP="00D62B3D">
      <w:pPr>
        <w:pStyle w:val="SDText"/>
        <w:spacing w:after="0"/>
        <w:ind w:firstLine="0"/>
      </w:pPr>
      <w:bookmarkStart w:id="154" w:name="_Ref121140371"/>
      <w:r w:rsidRPr="001A5898">
        <w:rPr>
          <w:b/>
          <w:bCs/>
        </w:rPr>
        <w:t xml:space="preserve">Таблица </w:t>
      </w:r>
      <w:r w:rsidR="00652269">
        <w:rPr>
          <w:b/>
          <w:bCs/>
        </w:rPr>
        <w:fldChar w:fldCharType="begin"/>
      </w:r>
      <w:r w:rsidR="00652269">
        <w:rPr>
          <w:b/>
          <w:bCs/>
        </w:rPr>
        <w:instrText xml:space="preserve"> STYLEREF 1 \s </w:instrText>
      </w:r>
      <w:r w:rsidR="00652269">
        <w:rPr>
          <w:b/>
          <w:bCs/>
        </w:rPr>
        <w:fldChar w:fldCharType="separate"/>
      </w:r>
      <w:r w:rsidR="00383E6F">
        <w:rPr>
          <w:b/>
          <w:bCs/>
          <w:noProof/>
        </w:rPr>
        <w:t>3</w:t>
      </w:r>
      <w:r w:rsidR="00652269">
        <w:rPr>
          <w:b/>
          <w:bCs/>
        </w:rPr>
        <w:fldChar w:fldCharType="end"/>
      </w:r>
      <w:r w:rsidR="00652269">
        <w:rPr>
          <w:b/>
          <w:bCs/>
        </w:rPr>
        <w:noBreakHyphen/>
      </w:r>
      <w:r w:rsidR="00652269">
        <w:rPr>
          <w:b/>
          <w:bCs/>
        </w:rPr>
        <w:fldChar w:fldCharType="begin"/>
      </w:r>
      <w:r w:rsidR="00652269">
        <w:rPr>
          <w:b/>
          <w:bCs/>
        </w:rPr>
        <w:instrText xml:space="preserve"> SEQ Таблица \* ARABIC \s 1 </w:instrText>
      </w:r>
      <w:r w:rsidR="00652269">
        <w:rPr>
          <w:b/>
          <w:bCs/>
        </w:rPr>
        <w:fldChar w:fldCharType="separate"/>
      </w:r>
      <w:r w:rsidR="00383E6F">
        <w:rPr>
          <w:b/>
          <w:bCs/>
          <w:noProof/>
        </w:rPr>
        <w:t>6</w:t>
      </w:r>
      <w:r w:rsidR="00652269">
        <w:rPr>
          <w:b/>
          <w:bCs/>
        </w:rPr>
        <w:fldChar w:fldCharType="end"/>
      </w:r>
      <w:bookmarkEnd w:id="154"/>
      <w:r w:rsidR="00D76414" w:rsidRPr="001A5898">
        <w:rPr>
          <w:b/>
          <w:bCs/>
        </w:rPr>
        <w:t>.</w:t>
      </w:r>
      <w:r w:rsidR="00D76414">
        <w:rPr>
          <w:b/>
        </w:rPr>
        <w:t xml:space="preserve"> </w:t>
      </w:r>
      <w:r w:rsidR="00D76414">
        <w:t>Исследования генотоксичности тофацитиниба.</w:t>
      </w:r>
    </w:p>
    <w:tbl>
      <w:tblPr>
        <w:tblStyle w:val="a4"/>
        <w:tblW w:w="4873" w:type="pct"/>
        <w:tblInd w:w="136" w:type="dxa"/>
        <w:tblLook w:val="04A0" w:firstRow="1" w:lastRow="0" w:firstColumn="1" w:lastColumn="0" w:noHBand="0" w:noVBand="1"/>
      </w:tblPr>
      <w:tblGrid>
        <w:gridCol w:w="3191"/>
        <w:gridCol w:w="3190"/>
        <w:gridCol w:w="2947"/>
      </w:tblGrid>
      <w:tr w:rsidR="00F54B16" w14:paraId="5CD7AB4C" w14:textId="77777777" w:rsidTr="00791E09">
        <w:trPr>
          <w:trHeight w:val="513"/>
          <w:tblHeader/>
        </w:trPr>
        <w:tc>
          <w:tcPr>
            <w:tcW w:w="3191" w:type="dxa"/>
            <w:shd w:val="clear" w:color="auto" w:fill="D9D9D9" w:themeFill="background1" w:themeFillShade="D9"/>
            <w:vAlign w:val="center"/>
          </w:tcPr>
          <w:p w14:paraId="2C6F1FE0" w14:textId="3482BA83" w:rsidR="00F54B16" w:rsidRPr="00831D49" w:rsidRDefault="00831D49" w:rsidP="00791E09">
            <w:pPr>
              <w:ind w:firstLine="0"/>
              <w:contextualSpacing/>
              <w:jc w:val="center"/>
              <w:rPr>
                <w:b/>
                <w:bCs/>
              </w:rPr>
            </w:pPr>
            <w:r>
              <w:rPr>
                <w:b/>
                <w:bCs/>
              </w:rPr>
              <w:t>Клетки или вид животных</w:t>
            </w:r>
          </w:p>
        </w:tc>
        <w:tc>
          <w:tcPr>
            <w:tcW w:w="3190" w:type="dxa"/>
            <w:shd w:val="clear" w:color="auto" w:fill="D9D9D9" w:themeFill="background1" w:themeFillShade="D9"/>
            <w:vAlign w:val="center"/>
          </w:tcPr>
          <w:p w14:paraId="3E269C3B" w14:textId="1AF9BBD2" w:rsidR="00F54B16" w:rsidRPr="00831D49" w:rsidRDefault="00831D49" w:rsidP="00791E09">
            <w:pPr>
              <w:ind w:firstLine="0"/>
              <w:contextualSpacing/>
              <w:jc w:val="center"/>
              <w:rPr>
                <w:b/>
                <w:bCs/>
              </w:rPr>
            </w:pPr>
            <w:r>
              <w:rPr>
                <w:b/>
                <w:bCs/>
              </w:rPr>
              <w:t>Концентрации или дозы</w:t>
            </w:r>
          </w:p>
        </w:tc>
        <w:tc>
          <w:tcPr>
            <w:tcW w:w="2947" w:type="dxa"/>
            <w:shd w:val="clear" w:color="auto" w:fill="D9D9D9" w:themeFill="background1" w:themeFillShade="D9"/>
            <w:vAlign w:val="center"/>
          </w:tcPr>
          <w:p w14:paraId="6A4464B0" w14:textId="2F1C2577" w:rsidR="00F54B16" w:rsidRPr="00831D49" w:rsidRDefault="00320EED" w:rsidP="00791E09">
            <w:pPr>
              <w:ind w:firstLine="0"/>
              <w:contextualSpacing/>
              <w:jc w:val="center"/>
              <w:rPr>
                <w:b/>
                <w:bCs/>
              </w:rPr>
            </w:pPr>
            <w:r>
              <w:rPr>
                <w:b/>
                <w:bCs/>
              </w:rPr>
              <w:t>Результат</w:t>
            </w:r>
          </w:p>
        </w:tc>
      </w:tr>
      <w:tr w:rsidR="00B579CA" w14:paraId="1E45968D" w14:textId="77777777" w:rsidTr="0040049C">
        <w:tc>
          <w:tcPr>
            <w:tcW w:w="9328" w:type="dxa"/>
            <w:gridSpan w:val="3"/>
          </w:tcPr>
          <w:p w14:paraId="4F9EE860" w14:textId="56CAD91C" w:rsidR="00B579CA" w:rsidRDefault="00B579CA" w:rsidP="00D36ADC">
            <w:pPr>
              <w:ind w:firstLine="0"/>
              <w:contextualSpacing/>
            </w:pPr>
            <w:r>
              <w:t>Оценка мутагенности</w:t>
            </w:r>
          </w:p>
        </w:tc>
      </w:tr>
      <w:tr w:rsidR="002351AE" w14:paraId="136662CB" w14:textId="77777777" w:rsidTr="0040049C">
        <w:tc>
          <w:tcPr>
            <w:tcW w:w="9328" w:type="dxa"/>
            <w:gridSpan w:val="3"/>
          </w:tcPr>
          <w:p w14:paraId="44FF5B82" w14:textId="7A50DE9B" w:rsidR="002351AE" w:rsidRDefault="002351AE" w:rsidP="00D36ADC">
            <w:pPr>
              <w:ind w:firstLine="0"/>
              <w:contextualSpacing/>
            </w:pPr>
            <w:r>
              <w:t>Бактериальный тест обратных мутаций (</w:t>
            </w:r>
            <w:r w:rsidR="0081632E" w:rsidRPr="0081632E">
              <w:t>01-2063-11</w:t>
            </w:r>
            <w:r w:rsidR="0081632E">
              <w:t>)</w:t>
            </w:r>
          </w:p>
        </w:tc>
      </w:tr>
      <w:tr w:rsidR="00F54B16" w14:paraId="5B208A4D" w14:textId="77777777" w:rsidTr="0040049C">
        <w:tc>
          <w:tcPr>
            <w:tcW w:w="3191" w:type="dxa"/>
          </w:tcPr>
          <w:p w14:paraId="59E8D40B" w14:textId="7AF902D2" w:rsidR="00F54B16" w:rsidRPr="0081632E" w:rsidRDefault="0081632E" w:rsidP="00D36ADC">
            <w:pPr>
              <w:ind w:firstLine="0"/>
              <w:contextualSpacing/>
              <w:rPr>
                <w:lang w:val="en-US"/>
              </w:rPr>
            </w:pPr>
            <w:r w:rsidRPr="0081632E">
              <w:rPr>
                <w:i/>
                <w:iCs/>
                <w:lang w:val="en-US"/>
              </w:rPr>
              <w:t>S. typhimurium</w:t>
            </w:r>
            <w:r>
              <w:rPr>
                <w:lang w:val="en-US"/>
              </w:rPr>
              <w:t xml:space="preserve">, </w:t>
            </w:r>
            <w:r w:rsidRPr="0081632E">
              <w:rPr>
                <w:i/>
                <w:iCs/>
                <w:lang w:val="en-US"/>
              </w:rPr>
              <w:t>E. coli</w:t>
            </w:r>
          </w:p>
        </w:tc>
        <w:tc>
          <w:tcPr>
            <w:tcW w:w="3190" w:type="dxa"/>
          </w:tcPr>
          <w:p w14:paraId="541BA314" w14:textId="23745A37" w:rsidR="00F54B16" w:rsidRPr="00EC1E77" w:rsidRDefault="00EC1E77" w:rsidP="00D36ADC">
            <w:pPr>
              <w:ind w:firstLine="0"/>
              <w:contextualSpacing/>
            </w:pPr>
            <w:r>
              <w:rPr>
                <w:lang w:val="en-US"/>
              </w:rPr>
              <w:t>0</w:t>
            </w:r>
            <w:r>
              <w:t>,10–5000 мкг/чашку</w:t>
            </w:r>
          </w:p>
        </w:tc>
        <w:tc>
          <w:tcPr>
            <w:tcW w:w="2947" w:type="dxa"/>
          </w:tcPr>
          <w:p w14:paraId="434C247C" w14:textId="6C0A9E05" w:rsidR="00F54B16" w:rsidRDefault="00EC1E77" w:rsidP="00320EED">
            <w:pPr>
              <w:ind w:firstLine="0"/>
              <w:contextualSpacing/>
            </w:pPr>
            <w:r>
              <w:t>Отрицательн</w:t>
            </w:r>
            <w:r w:rsidR="00320EED">
              <w:t>о</w:t>
            </w:r>
          </w:p>
        </w:tc>
      </w:tr>
      <w:tr w:rsidR="008D73F8" w14:paraId="409BC88E" w14:textId="77777777" w:rsidTr="0040049C">
        <w:tc>
          <w:tcPr>
            <w:tcW w:w="9328" w:type="dxa"/>
            <w:gridSpan w:val="3"/>
          </w:tcPr>
          <w:p w14:paraId="4FAD261B" w14:textId="76C308C1" w:rsidR="008D73F8" w:rsidRPr="00E24C1E" w:rsidRDefault="008D73F8" w:rsidP="00D36ADC">
            <w:pPr>
              <w:ind w:firstLine="0"/>
              <w:contextualSpacing/>
            </w:pPr>
            <w:r>
              <w:t>Оценка мутаций в клетках млекопитающих</w:t>
            </w:r>
            <w:r w:rsidR="00E24C1E" w:rsidRPr="00E24C1E">
              <w:t xml:space="preserve"> (01-2063-16)</w:t>
            </w:r>
          </w:p>
        </w:tc>
      </w:tr>
      <w:tr w:rsidR="00F54B16" w14:paraId="15C47B40" w14:textId="77777777" w:rsidTr="0040049C">
        <w:tc>
          <w:tcPr>
            <w:tcW w:w="3191" w:type="dxa"/>
          </w:tcPr>
          <w:p w14:paraId="3369B4E5" w14:textId="2A06ABF6" w:rsidR="00F54B16" w:rsidRPr="008D0DBB" w:rsidRDefault="00AB331E" w:rsidP="00D36ADC">
            <w:pPr>
              <w:ind w:firstLine="0"/>
              <w:contextualSpacing/>
            </w:pPr>
            <w:r>
              <w:t xml:space="preserve">Локус гена HGPRT клетки </w:t>
            </w:r>
            <w:r>
              <w:rPr>
                <w:lang w:val="en-US"/>
              </w:rPr>
              <w:t>CHO</w:t>
            </w:r>
            <w:r w:rsidR="008D0DBB">
              <w:t xml:space="preserve"> линии K</w:t>
            </w:r>
            <w:r w:rsidR="008D0DBB" w:rsidRPr="008D0DBB">
              <w:t>1-</w:t>
            </w:r>
            <w:r w:rsidR="008D0DBB">
              <w:rPr>
                <w:lang w:val="en-US"/>
              </w:rPr>
              <w:t>BH</w:t>
            </w:r>
            <w:r w:rsidR="008D0DBB" w:rsidRPr="008D0DBB">
              <w:t>4</w:t>
            </w:r>
          </w:p>
        </w:tc>
        <w:tc>
          <w:tcPr>
            <w:tcW w:w="3190" w:type="dxa"/>
          </w:tcPr>
          <w:p w14:paraId="66778363" w14:textId="77777777" w:rsidR="00F54B16" w:rsidRDefault="008D0DBB" w:rsidP="00D36ADC">
            <w:pPr>
              <w:ind w:firstLine="0"/>
              <w:contextualSpacing/>
            </w:pPr>
            <w:r>
              <w:t>16–5000 мкг/мл</w:t>
            </w:r>
          </w:p>
          <w:p w14:paraId="5E95D7E9" w14:textId="77777777" w:rsidR="00AF1F68" w:rsidRDefault="00AF1F68" w:rsidP="00D36ADC">
            <w:pPr>
              <w:ind w:firstLine="0"/>
              <w:contextualSpacing/>
            </w:pPr>
            <w:r>
              <w:t xml:space="preserve">с или без </w:t>
            </w:r>
            <w:r>
              <w:rPr>
                <w:lang w:val="en-US"/>
              </w:rPr>
              <w:t>S</w:t>
            </w:r>
            <w:r w:rsidRPr="00777FA5">
              <w:t>9</w:t>
            </w:r>
          </w:p>
          <w:p w14:paraId="794D8FB4" w14:textId="14E63270" w:rsidR="00AF1F68" w:rsidRPr="00BF5F17" w:rsidRDefault="00BF5F17" w:rsidP="00D36ADC">
            <w:pPr>
              <w:ind w:firstLine="0"/>
              <w:contextualSpacing/>
            </w:pPr>
            <w:r>
              <w:lastRenderedPageBreak/>
              <w:t>существенная цитотоксичность при 950, 1000</w:t>
            </w:r>
            <w:r w:rsidR="00BD6ACF">
              <w:t xml:space="preserve"> и 1100 мкг/мл со средней выживаемостью клеток, равной </w:t>
            </w:r>
            <w:r w:rsidR="00BB01B4">
              <w:t>43, 29 и 17% соответственно</w:t>
            </w:r>
          </w:p>
        </w:tc>
        <w:tc>
          <w:tcPr>
            <w:tcW w:w="2947" w:type="dxa"/>
          </w:tcPr>
          <w:p w14:paraId="2F8ED66A" w14:textId="3BB562A4" w:rsidR="00F54B16" w:rsidRDefault="00AF1F68" w:rsidP="00320EED">
            <w:pPr>
              <w:ind w:firstLine="0"/>
              <w:contextualSpacing/>
            </w:pPr>
            <w:r>
              <w:lastRenderedPageBreak/>
              <w:t>Отрицательн</w:t>
            </w:r>
            <w:r w:rsidR="00320EED">
              <w:t>о</w:t>
            </w:r>
          </w:p>
        </w:tc>
      </w:tr>
      <w:tr w:rsidR="00BB01B4" w14:paraId="122018CA" w14:textId="77777777" w:rsidTr="0040049C">
        <w:tc>
          <w:tcPr>
            <w:tcW w:w="9328" w:type="dxa"/>
            <w:gridSpan w:val="3"/>
          </w:tcPr>
          <w:p w14:paraId="6D87E9C5" w14:textId="69A2A2CC" w:rsidR="00BB01B4" w:rsidRPr="00C84398" w:rsidRDefault="00BB01B4" w:rsidP="00D36ADC">
            <w:pPr>
              <w:ind w:firstLine="0"/>
              <w:contextualSpacing/>
              <w:rPr>
                <w:lang w:val="en-US"/>
              </w:rPr>
            </w:pPr>
            <w:r>
              <w:t>Оценка кластогенности</w:t>
            </w:r>
            <w:r w:rsidR="00C84398">
              <w:rPr>
                <w:lang w:val="en-US"/>
              </w:rPr>
              <w:t xml:space="preserve"> </w:t>
            </w:r>
          </w:p>
        </w:tc>
      </w:tr>
      <w:tr w:rsidR="00E24C1E" w14:paraId="5D74A3EA" w14:textId="77777777" w:rsidTr="0040049C">
        <w:tc>
          <w:tcPr>
            <w:tcW w:w="9328" w:type="dxa"/>
            <w:gridSpan w:val="3"/>
          </w:tcPr>
          <w:p w14:paraId="255232D4" w14:textId="50ED6C03" w:rsidR="00E24C1E" w:rsidRPr="00E24C1E" w:rsidRDefault="00E24C1E" w:rsidP="00D36ADC">
            <w:pPr>
              <w:ind w:firstLine="0"/>
              <w:contextualSpacing/>
            </w:pPr>
            <w:r>
              <w:t xml:space="preserve">Цитогенетическая оценка </w:t>
            </w:r>
            <w:r w:rsidRPr="00BF0496">
              <w:rPr>
                <w:i/>
                <w:iCs/>
                <w:lang w:val="en-US"/>
              </w:rPr>
              <w:t>in vitro</w:t>
            </w:r>
            <w:r>
              <w:rPr>
                <w:lang w:val="en-US"/>
              </w:rPr>
              <w:t xml:space="preserve"> </w:t>
            </w:r>
            <w:r w:rsidR="008B0EBA">
              <w:rPr>
                <w:lang w:val="en-US"/>
              </w:rPr>
              <w:t>(01-2063-101)</w:t>
            </w:r>
          </w:p>
        </w:tc>
      </w:tr>
      <w:tr w:rsidR="00BB01B4" w14:paraId="19A46738" w14:textId="77777777" w:rsidTr="0040049C">
        <w:tc>
          <w:tcPr>
            <w:tcW w:w="3191" w:type="dxa"/>
          </w:tcPr>
          <w:p w14:paraId="1073CBB7" w14:textId="7F146092" w:rsidR="00BB01B4" w:rsidRPr="008B0EBA" w:rsidRDefault="008B0EBA" w:rsidP="00D36ADC">
            <w:pPr>
              <w:ind w:firstLine="0"/>
              <w:contextualSpacing/>
            </w:pPr>
            <w:r>
              <w:t xml:space="preserve">Лимфоциты человека </w:t>
            </w:r>
            <w:r w:rsidRPr="00BF0496">
              <w:rPr>
                <w:i/>
                <w:iCs/>
                <w:lang w:val="en-US"/>
              </w:rPr>
              <w:t>in vitro</w:t>
            </w:r>
          </w:p>
        </w:tc>
        <w:tc>
          <w:tcPr>
            <w:tcW w:w="3190" w:type="dxa"/>
          </w:tcPr>
          <w:p w14:paraId="5F23F5FD" w14:textId="77777777" w:rsidR="00BB01B4" w:rsidRDefault="006B3C9C" w:rsidP="00D36ADC">
            <w:pPr>
              <w:ind w:firstLine="0"/>
              <w:contextualSpacing/>
            </w:pPr>
            <w:r>
              <w:t>3-часовой тест:</w:t>
            </w:r>
          </w:p>
          <w:p w14:paraId="73ACBA16" w14:textId="6B8933EA" w:rsidR="006B3C9C" w:rsidRDefault="009A5336" w:rsidP="00D36ADC">
            <w:pPr>
              <w:ind w:firstLine="0"/>
              <w:contextualSpacing/>
            </w:pPr>
            <w:r>
              <w:t>б</w:t>
            </w:r>
            <w:r w:rsidR="006B3C9C">
              <w:t xml:space="preserve">ез </w:t>
            </w:r>
            <w:r w:rsidR="006B3C9C">
              <w:rPr>
                <w:lang w:val="en-US"/>
              </w:rPr>
              <w:t>S</w:t>
            </w:r>
            <w:r w:rsidR="006B3C9C" w:rsidRPr="00D96E1B">
              <w:t>9</w:t>
            </w:r>
            <w:r w:rsidR="006B3C9C">
              <w:t xml:space="preserve">: </w:t>
            </w:r>
            <w:r>
              <w:t>263, 393, 960, 1200</w:t>
            </w:r>
            <w:r w:rsidR="00D96E1B">
              <w:t xml:space="preserve"> и</w:t>
            </w:r>
            <w:r>
              <w:t xml:space="preserve"> 3000;</w:t>
            </w:r>
          </w:p>
          <w:p w14:paraId="5319C1E7" w14:textId="0550F10B" w:rsidR="009A5336" w:rsidRDefault="00E04373" w:rsidP="00D36ADC">
            <w:pPr>
              <w:ind w:firstLine="0"/>
              <w:contextualSpacing/>
            </w:pPr>
            <w:r>
              <w:t xml:space="preserve">с </w:t>
            </w:r>
            <w:r>
              <w:rPr>
                <w:lang w:val="en-US"/>
              </w:rPr>
              <w:t>S</w:t>
            </w:r>
            <w:r w:rsidRPr="00D96E1B">
              <w:t>9</w:t>
            </w:r>
            <w:r>
              <w:t xml:space="preserve">: 403, 1540, 1920, </w:t>
            </w:r>
            <w:r w:rsidR="00473498">
              <w:t>2400</w:t>
            </w:r>
            <w:r w:rsidR="00D96E1B">
              <w:t xml:space="preserve"> и</w:t>
            </w:r>
            <w:r w:rsidR="00473498">
              <w:t xml:space="preserve"> 3000 мкг/мл</w:t>
            </w:r>
            <w:r w:rsidR="00E61A8A">
              <w:t xml:space="preserve">; </w:t>
            </w:r>
          </w:p>
          <w:p w14:paraId="06F030C3" w14:textId="77777777" w:rsidR="00E61A8A" w:rsidRDefault="00E61A8A" w:rsidP="00D36ADC">
            <w:pPr>
              <w:ind w:firstLine="0"/>
              <w:contextualSpacing/>
            </w:pPr>
            <w:r>
              <w:t xml:space="preserve">эксперимент №2: 1600, 1700, </w:t>
            </w:r>
            <w:r w:rsidR="00D96E1B">
              <w:t>1800, 1900 и 2000 мкг/мл</w:t>
            </w:r>
            <w:r w:rsidR="008D1A1E">
              <w:t>.</w:t>
            </w:r>
          </w:p>
          <w:p w14:paraId="2B1DE967" w14:textId="77777777" w:rsidR="008D1A1E" w:rsidRDefault="008D1A1E" w:rsidP="00D36ADC">
            <w:pPr>
              <w:ind w:firstLine="0"/>
              <w:contextualSpacing/>
            </w:pPr>
            <w:r>
              <w:t xml:space="preserve">24-часовой тест: </w:t>
            </w:r>
          </w:p>
          <w:p w14:paraId="455AF596" w14:textId="771DBC17" w:rsidR="008D1A1E" w:rsidRPr="006B3C9C" w:rsidRDefault="008D1A1E" w:rsidP="00D36ADC">
            <w:pPr>
              <w:ind w:firstLine="0"/>
              <w:contextualSpacing/>
            </w:pPr>
            <w:r w:rsidRPr="008D1A1E">
              <w:t>без S9:</w:t>
            </w:r>
            <w:r>
              <w:t xml:space="preserve"> 25,1, 41,8, </w:t>
            </w:r>
            <w:r w:rsidR="00B521A4">
              <w:t>116, 540 и 900 мкг/мл</w:t>
            </w:r>
          </w:p>
        </w:tc>
        <w:tc>
          <w:tcPr>
            <w:tcW w:w="2947" w:type="dxa"/>
          </w:tcPr>
          <w:p w14:paraId="260D3CAE" w14:textId="1C7D7389" w:rsidR="00BB01B4" w:rsidRDefault="00B521A4" w:rsidP="00D36ADC">
            <w:pPr>
              <w:ind w:firstLine="0"/>
              <w:contextualSpacing/>
            </w:pPr>
            <w:r>
              <w:t>Отрицательн</w:t>
            </w:r>
            <w:r w:rsidR="00320EED">
              <w:t>о</w:t>
            </w:r>
            <w:r>
              <w:t xml:space="preserve"> без </w:t>
            </w:r>
            <w:r>
              <w:rPr>
                <w:lang w:val="en-US"/>
              </w:rPr>
              <w:t>S</w:t>
            </w:r>
            <w:r w:rsidRPr="00777FA5">
              <w:t>9</w:t>
            </w:r>
          </w:p>
          <w:p w14:paraId="4D8C479E" w14:textId="1DE676FA" w:rsidR="00B521A4" w:rsidRPr="00B521A4" w:rsidRDefault="00B521A4" w:rsidP="00320EED">
            <w:pPr>
              <w:ind w:firstLine="0"/>
              <w:contextualSpacing/>
            </w:pPr>
            <w:r>
              <w:t>Положительн</w:t>
            </w:r>
            <w:r w:rsidR="00320EED">
              <w:t>о</w:t>
            </w:r>
            <w:r>
              <w:t xml:space="preserve"> с </w:t>
            </w:r>
            <w:r>
              <w:rPr>
                <w:lang w:val="en-US"/>
              </w:rPr>
              <w:t>S</w:t>
            </w:r>
            <w:r w:rsidRPr="00B521A4">
              <w:t>9</w:t>
            </w:r>
            <w:r>
              <w:t xml:space="preserve"> в 3-часовой тесте</w:t>
            </w:r>
            <w:r w:rsidR="0062496F">
              <w:t xml:space="preserve"> при цитотоксических концентрациях, которые индуцировали подавление митоза примерно на 48%</w:t>
            </w:r>
            <w:r w:rsidR="0018018C">
              <w:t xml:space="preserve"> и более высоких концентрациях</w:t>
            </w:r>
          </w:p>
        </w:tc>
      </w:tr>
      <w:tr w:rsidR="001A3112" w14:paraId="0A9D8CD2" w14:textId="77777777" w:rsidTr="0040049C">
        <w:tc>
          <w:tcPr>
            <w:tcW w:w="9328" w:type="dxa"/>
            <w:gridSpan w:val="3"/>
          </w:tcPr>
          <w:p w14:paraId="76613790" w14:textId="4C566EF7" w:rsidR="001A3112" w:rsidRDefault="001A3112" w:rsidP="00D36ADC">
            <w:pPr>
              <w:ind w:firstLine="0"/>
              <w:contextualSpacing/>
            </w:pPr>
            <w:r>
              <w:t>Микроядерный тест на грызунах (01-2063-12)</w:t>
            </w:r>
          </w:p>
        </w:tc>
      </w:tr>
      <w:tr w:rsidR="00BB01B4" w14:paraId="56E29C62" w14:textId="77777777" w:rsidTr="0040049C">
        <w:tc>
          <w:tcPr>
            <w:tcW w:w="3191" w:type="dxa"/>
          </w:tcPr>
          <w:p w14:paraId="5930115B" w14:textId="4DB99DAC" w:rsidR="00BB01B4" w:rsidRDefault="00605D6E" w:rsidP="00D36ADC">
            <w:pPr>
              <w:ind w:firstLine="0"/>
              <w:contextualSpacing/>
            </w:pPr>
            <w:r>
              <w:t>Крысы, клетки костного мозга</w:t>
            </w:r>
          </w:p>
        </w:tc>
        <w:tc>
          <w:tcPr>
            <w:tcW w:w="3190" w:type="dxa"/>
          </w:tcPr>
          <w:p w14:paraId="7BE43F54" w14:textId="77777777" w:rsidR="00BB01B4" w:rsidRDefault="00605D6E" w:rsidP="00D36ADC">
            <w:pPr>
              <w:ind w:firstLine="0"/>
              <w:contextualSpacing/>
            </w:pPr>
            <w:r>
              <w:t>62,5, 125, 250</w:t>
            </w:r>
            <w:r w:rsidR="009A7EF9">
              <w:t xml:space="preserve"> мг/кг, перорально</w:t>
            </w:r>
          </w:p>
          <w:p w14:paraId="2416AB53" w14:textId="42F2769C" w:rsidR="009A7EF9" w:rsidRPr="004129B4" w:rsidRDefault="00FE4EB1" w:rsidP="00D36ADC">
            <w:pPr>
              <w:ind w:firstLine="0"/>
              <w:contextualSpacing/>
            </w:pPr>
            <w:r>
              <w:t xml:space="preserve">Средняя </w:t>
            </w:r>
            <w:r>
              <w:rPr>
                <w:lang w:val="en-US"/>
              </w:rPr>
              <w:t>C</w:t>
            </w:r>
            <w:r>
              <w:rPr>
                <w:vertAlign w:val="subscript"/>
                <w:lang w:val="en-US"/>
              </w:rPr>
              <w:t>max</w:t>
            </w:r>
            <w:r>
              <w:rPr>
                <w:vertAlign w:val="subscript"/>
              </w:rPr>
              <w:t xml:space="preserve"> </w:t>
            </w:r>
            <w:r>
              <w:t xml:space="preserve">и </w:t>
            </w:r>
            <w:r w:rsidRPr="00FE4EB1">
              <w:rPr>
                <w:lang w:val="en-US"/>
              </w:rPr>
              <w:t>AUC</w:t>
            </w:r>
            <w:r w:rsidRPr="00FE4EB1">
              <w:rPr>
                <w:vertAlign w:val="subscript"/>
              </w:rPr>
              <w:t>(0-</w:t>
            </w:r>
            <w:r>
              <w:rPr>
                <w:vertAlign w:val="subscript"/>
                <w:lang w:val="en-US"/>
              </w:rPr>
              <w:t>t</w:t>
            </w:r>
            <w:r w:rsidRPr="00FE4EB1">
              <w:rPr>
                <w:vertAlign w:val="subscript"/>
              </w:rPr>
              <w:t>)</w:t>
            </w:r>
            <w:r w:rsidRPr="00FE4EB1">
              <w:t xml:space="preserve"> </w:t>
            </w:r>
            <w:r w:rsidR="004129B4">
              <w:t>(в целом для самцов и самок) тофацитиниба на 3 день</w:t>
            </w:r>
            <w:r w:rsidR="00C72B76">
              <w:t xml:space="preserve"> при дозе 250 мг/кг</w:t>
            </w:r>
            <w:r w:rsidR="004129B4">
              <w:t xml:space="preserve"> составила </w:t>
            </w:r>
            <w:r w:rsidR="00C72B76">
              <w:t>8480 нг/мл и 51700 нг*ч/мл соответственно</w:t>
            </w:r>
          </w:p>
        </w:tc>
        <w:tc>
          <w:tcPr>
            <w:tcW w:w="2947" w:type="dxa"/>
          </w:tcPr>
          <w:p w14:paraId="14B74BC6" w14:textId="6EF7F653" w:rsidR="00BB01B4" w:rsidRDefault="009A7EF9" w:rsidP="00320EED">
            <w:pPr>
              <w:ind w:firstLine="0"/>
              <w:contextualSpacing/>
            </w:pPr>
            <w:r>
              <w:t>Отрицательн</w:t>
            </w:r>
            <w:r w:rsidR="00320EED">
              <w:t>о</w:t>
            </w:r>
          </w:p>
        </w:tc>
      </w:tr>
      <w:tr w:rsidR="00A77F39" w:rsidRPr="00C13EBE" w14:paraId="38F3841C" w14:textId="77777777" w:rsidTr="0040049C">
        <w:tc>
          <w:tcPr>
            <w:tcW w:w="9328" w:type="dxa"/>
            <w:gridSpan w:val="3"/>
          </w:tcPr>
          <w:p w14:paraId="703B95EC" w14:textId="7F320C92" w:rsidR="00A77F39" w:rsidRPr="008F18B3" w:rsidRDefault="00A77F39" w:rsidP="00D36ADC">
            <w:pPr>
              <w:ind w:firstLine="0"/>
              <w:contextualSpacing/>
              <w:rPr>
                <w:lang w:val="en-US"/>
              </w:rPr>
            </w:pPr>
            <w:r w:rsidRPr="008F18B3">
              <w:rPr>
                <w:i/>
                <w:iCs/>
                <w:lang w:val="en-US"/>
              </w:rPr>
              <w:t>In vitro</w:t>
            </w:r>
            <w:r>
              <w:rPr>
                <w:lang w:val="en-US"/>
              </w:rPr>
              <w:t>-</w:t>
            </w:r>
            <w:r w:rsidRPr="008F18B3">
              <w:rPr>
                <w:i/>
                <w:iCs/>
                <w:lang w:val="en-US"/>
              </w:rPr>
              <w:t>in vivo</w:t>
            </w:r>
            <w:r>
              <w:rPr>
                <w:lang w:val="en-US"/>
              </w:rPr>
              <w:t xml:space="preserve"> </w:t>
            </w:r>
            <w:r>
              <w:t>внеплановый</w:t>
            </w:r>
            <w:r w:rsidRPr="00A77F39">
              <w:rPr>
                <w:lang w:val="en-US"/>
              </w:rPr>
              <w:t xml:space="preserve"> </w:t>
            </w:r>
            <w:r>
              <w:t>синтез</w:t>
            </w:r>
            <w:r w:rsidRPr="00A77F39">
              <w:rPr>
                <w:lang w:val="en-US"/>
              </w:rPr>
              <w:t xml:space="preserve"> </w:t>
            </w:r>
            <w:r>
              <w:t>ДНК</w:t>
            </w:r>
            <w:r w:rsidR="008F18B3" w:rsidRPr="008F18B3">
              <w:rPr>
                <w:lang w:val="en-US"/>
              </w:rPr>
              <w:t xml:space="preserve"> (01-2063-17)</w:t>
            </w:r>
          </w:p>
        </w:tc>
      </w:tr>
      <w:tr w:rsidR="00BB01B4" w:rsidRPr="00665514" w14:paraId="36914CEA" w14:textId="77777777" w:rsidTr="0040049C">
        <w:tc>
          <w:tcPr>
            <w:tcW w:w="3191" w:type="dxa"/>
          </w:tcPr>
          <w:p w14:paraId="037078CE" w14:textId="77777777" w:rsidR="00BB01B4" w:rsidRDefault="002D4D3D" w:rsidP="00D36ADC">
            <w:pPr>
              <w:ind w:firstLine="0"/>
              <w:contextualSpacing/>
            </w:pPr>
            <w:r>
              <w:t>Самцы крыс</w:t>
            </w:r>
          </w:p>
          <w:p w14:paraId="10D5CD90" w14:textId="77777777" w:rsidR="002D4D3D" w:rsidRDefault="002D4D3D" w:rsidP="00D36ADC">
            <w:pPr>
              <w:ind w:firstLine="0"/>
              <w:contextualSpacing/>
            </w:pPr>
          </w:p>
          <w:p w14:paraId="711FE5EF" w14:textId="2C5D42BB" w:rsidR="002D4D3D" w:rsidRPr="002D4D3D" w:rsidRDefault="002D4D3D" w:rsidP="00D36ADC">
            <w:pPr>
              <w:ind w:firstLine="0"/>
              <w:contextualSpacing/>
            </w:pPr>
            <w:r>
              <w:t>Гепатоциты</w:t>
            </w:r>
          </w:p>
        </w:tc>
        <w:tc>
          <w:tcPr>
            <w:tcW w:w="3190" w:type="dxa"/>
          </w:tcPr>
          <w:p w14:paraId="41BA92BC" w14:textId="77777777" w:rsidR="00BB01B4" w:rsidRDefault="002D4D3D" w:rsidP="00D36ADC">
            <w:pPr>
              <w:ind w:firstLine="0"/>
              <w:contextualSpacing/>
            </w:pPr>
            <w:r>
              <w:t>125, 250, 500 мг/кг однократно</w:t>
            </w:r>
          </w:p>
          <w:p w14:paraId="6FC4F1C4" w14:textId="3B3436FF" w:rsidR="002D4D3D" w:rsidRPr="002D4D3D" w:rsidRDefault="00665514" w:rsidP="00D36ADC">
            <w:pPr>
              <w:ind w:firstLine="0"/>
              <w:contextualSpacing/>
            </w:pPr>
            <w:r>
              <w:t>Образцы печени получали через 2–4 ч и через 14–16 ч после введения тофацитиниба</w:t>
            </w:r>
          </w:p>
        </w:tc>
        <w:tc>
          <w:tcPr>
            <w:tcW w:w="2947" w:type="dxa"/>
          </w:tcPr>
          <w:p w14:paraId="717BD46D" w14:textId="525C1646" w:rsidR="00BB01B4" w:rsidRPr="00665514" w:rsidRDefault="005E1457" w:rsidP="00320EED">
            <w:pPr>
              <w:ind w:firstLine="0"/>
              <w:contextualSpacing/>
            </w:pPr>
            <w:r>
              <w:t>Отрицательн</w:t>
            </w:r>
            <w:r w:rsidR="00320EED">
              <w:t>о</w:t>
            </w:r>
          </w:p>
        </w:tc>
      </w:tr>
      <w:tr w:rsidR="00D76414" w:rsidRPr="00665514" w14:paraId="3D53B25A" w14:textId="77777777" w:rsidTr="0040049C">
        <w:tc>
          <w:tcPr>
            <w:tcW w:w="9328" w:type="dxa"/>
            <w:gridSpan w:val="3"/>
          </w:tcPr>
          <w:p w14:paraId="1C33857A" w14:textId="363AD70F" w:rsidR="00D76414" w:rsidRPr="00D76414" w:rsidRDefault="00D76414" w:rsidP="00D76414">
            <w:pPr>
              <w:pStyle w:val="SDcomments"/>
              <w:ind w:firstLine="0"/>
              <w:contextualSpacing/>
              <w:rPr>
                <w:b/>
                <w:iCs/>
              </w:rPr>
            </w:pPr>
            <w:r w:rsidRPr="00D76414">
              <w:rPr>
                <w:b/>
                <w:iCs/>
              </w:rPr>
              <w:t>Примечани</w:t>
            </w:r>
            <w:r w:rsidR="00320EED">
              <w:rPr>
                <w:b/>
                <w:iCs/>
              </w:rPr>
              <w:t>е</w:t>
            </w:r>
            <w:r w:rsidRPr="00D76414">
              <w:rPr>
                <w:b/>
                <w:iCs/>
              </w:rPr>
              <w:t>:</w:t>
            </w:r>
          </w:p>
          <w:p w14:paraId="6EEAB5F7" w14:textId="7F94582E" w:rsidR="00D76414" w:rsidRDefault="00D76414" w:rsidP="00D76414">
            <w:pPr>
              <w:pStyle w:val="SDcomments"/>
              <w:ind w:firstLine="0"/>
              <w:contextualSpacing/>
            </w:pPr>
            <w:r w:rsidRPr="0081632E">
              <w:rPr>
                <w:i/>
                <w:iCs/>
                <w:lang w:val="en-US"/>
              </w:rPr>
              <w:t>S</w:t>
            </w:r>
            <w:r w:rsidRPr="00901690">
              <w:rPr>
                <w:i/>
                <w:iCs/>
              </w:rPr>
              <w:t xml:space="preserve">. </w:t>
            </w:r>
            <w:r w:rsidRPr="0081632E">
              <w:rPr>
                <w:i/>
                <w:iCs/>
                <w:lang w:val="en-US"/>
              </w:rPr>
              <w:t>typhimurium</w:t>
            </w:r>
            <w:r w:rsidRPr="00901690">
              <w:t xml:space="preserve"> – </w:t>
            </w:r>
            <w:r w:rsidRPr="002C65AB">
              <w:rPr>
                <w:i/>
                <w:iCs/>
                <w:lang w:val="en-US"/>
              </w:rPr>
              <w:t>Salmonella</w:t>
            </w:r>
            <w:r w:rsidRPr="00901690">
              <w:rPr>
                <w:i/>
                <w:iCs/>
              </w:rPr>
              <w:t xml:space="preserve"> </w:t>
            </w:r>
            <w:r w:rsidRPr="002C65AB">
              <w:rPr>
                <w:i/>
                <w:iCs/>
                <w:lang w:val="en-US"/>
              </w:rPr>
              <w:t>typhimurium</w:t>
            </w:r>
            <w:r w:rsidRPr="00901690">
              <w:t xml:space="preserve">; </w:t>
            </w:r>
            <w:r w:rsidRPr="00901690">
              <w:rPr>
                <w:i/>
                <w:iCs/>
                <w:lang w:val="en-US"/>
              </w:rPr>
              <w:t>E</w:t>
            </w:r>
            <w:r w:rsidRPr="00901690">
              <w:rPr>
                <w:i/>
                <w:iCs/>
              </w:rPr>
              <w:t xml:space="preserve">. </w:t>
            </w:r>
            <w:r w:rsidRPr="00901690">
              <w:rPr>
                <w:i/>
                <w:iCs/>
                <w:lang w:val="en-US"/>
              </w:rPr>
              <w:t>coli</w:t>
            </w:r>
            <w:r w:rsidRPr="00901690">
              <w:t xml:space="preserve"> – </w:t>
            </w:r>
            <w:r w:rsidRPr="00901690">
              <w:rPr>
                <w:i/>
                <w:iCs/>
                <w:lang w:val="en-US"/>
              </w:rPr>
              <w:t>Escherichia</w:t>
            </w:r>
            <w:r w:rsidRPr="00901690">
              <w:rPr>
                <w:i/>
                <w:iCs/>
              </w:rPr>
              <w:t xml:space="preserve"> </w:t>
            </w:r>
            <w:r w:rsidRPr="00901690">
              <w:rPr>
                <w:i/>
                <w:iCs/>
                <w:lang w:val="en-US"/>
              </w:rPr>
              <w:t>coli</w:t>
            </w:r>
            <w:r w:rsidRPr="00901690">
              <w:t xml:space="preserve">; </w:t>
            </w:r>
            <w:r w:rsidRPr="00901690">
              <w:rPr>
                <w:lang w:val="en-US"/>
              </w:rPr>
              <w:t>CHO</w:t>
            </w:r>
            <w:r w:rsidRPr="00901690">
              <w:t xml:space="preserve"> – </w:t>
            </w:r>
            <w:r>
              <w:t>я</w:t>
            </w:r>
            <w:r w:rsidRPr="00901690">
              <w:t>ичник китайского хомяка (</w:t>
            </w:r>
            <w:r w:rsidRPr="00901690">
              <w:rPr>
                <w:lang w:val="en-US"/>
              </w:rPr>
              <w:t>Chinese</w:t>
            </w:r>
            <w:r w:rsidRPr="00901690">
              <w:t xml:space="preserve"> </w:t>
            </w:r>
            <w:r w:rsidRPr="00901690">
              <w:rPr>
                <w:lang w:val="en-US"/>
              </w:rPr>
              <w:t>Hamster</w:t>
            </w:r>
            <w:r w:rsidRPr="00901690">
              <w:t xml:space="preserve"> </w:t>
            </w:r>
            <w:r w:rsidRPr="00901690">
              <w:rPr>
                <w:lang w:val="en-US"/>
              </w:rPr>
              <w:t>Ovary</w:t>
            </w:r>
            <w:r w:rsidRPr="00901690">
              <w:t>)</w:t>
            </w:r>
            <w:r>
              <w:t xml:space="preserve">; </w:t>
            </w:r>
            <w:r>
              <w:rPr>
                <w:lang w:val="en-US"/>
              </w:rPr>
              <w:t>C</w:t>
            </w:r>
            <w:r>
              <w:rPr>
                <w:vertAlign w:val="subscript"/>
                <w:lang w:val="en-US"/>
              </w:rPr>
              <w:t>max</w:t>
            </w:r>
            <w:r>
              <w:t xml:space="preserve"> – максимальная концентрация; </w:t>
            </w:r>
            <w:r w:rsidRPr="00FE4EB1">
              <w:rPr>
                <w:lang w:val="en-US"/>
              </w:rPr>
              <w:t>AUC</w:t>
            </w:r>
            <w:r w:rsidRPr="00FE4EB1">
              <w:rPr>
                <w:vertAlign w:val="subscript"/>
              </w:rPr>
              <w:t>(0-</w:t>
            </w:r>
            <w:r>
              <w:rPr>
                <w:vertAlign w:val="subscript"/>
                <w:lang w:val="en-US"/>
              </w:rPr>
              <w:t>t</w:t>
            </w:r>
            <w:r w:rsidRPr="00FE4EB1">
              <w:rPr>
                <w:vertAlign w:val="subscript"/>
              </w:rPr>
              <w:t>)</w:t>
            </w:r>
            <w:r>
              <w:t xml:space="preserve"> – площадь под фармакокинетической кривой «концентрация-время» от начального момента времени до последней определяемой концентрации во временной точке </w:t>
            </w:r>
            <w:r>
              <w:rPr>
                <w:lang w:val="en-US"/>
              </w:rPr>
              <w:t>t</w:t>
            </w:r>
            <w:r>
              <w:t>; ДНК – дезоксирибонуклеиновая кислота.</w:t>
            </w:r>
          </w:p>
        </w:tc>
      </w:tr>
    </w:tbl>
    <w:p w14:paraId="4C5007E2" w14:textId="77777777" w:rsidR="00901690" w:rsidRPr="00901690" w:rsidRDefault="00901690" w:rsidP="0040049C">
      <w:pPr>
        <w:pStyle w:val="SDText"/>
        <w:spacing w:after="0"/>
        <w:ind w:firstLine="0"/>
        <w:contextualSpacing/>
      </w:pPr>
    </w:p>
    <w:p w14:paraId="2A247214" w14:textId="0FF6581D" w:rsidR="00836425" w:rsidRPr="00D76414" w:rsidRDefault="00D62B3D" w:rsidP="00D62B3D">
      <w:pPr>
        <w:pStyle w:val="3"/>
        <w:numPr>
          <w:ilvl w:val="0"/>
          <w:numId w:val="0"/>
        </w:numPr>
        <w:ind w:left="720" w:hanging="720"/>
      </w:pPr>
      <w:bookmarkStart w:id="155" w:name="_Ref113953459"/>
      <w:bookmarkStart w:id="156" w:name="_Toc115421047"/>
      <w:bookmarkStart w:id="157" w:name="_Toc121592580"/>
      <w:r>
        <w:t xml:space="preserve">3.3.4. </w:t>
      </w:r>
      <w:r w:rsidR="00CC6AB9" w:rsidRPr="00D76414">
        <w:t>Канцерогенность</w:t>
      </w:r>
      <w:bookmarkEnd w:id="155"/>
      <w:bookmarkEnd w:id="156"/>
      <w:bookmarkEnd w:id="157"/>
    </w:p>
    <w:p w14:paraId="6280536E" w14:textId="77777777" w:rsidR="00BD2318" w:rsidRDefault="00BD2318" w:rsidP="0040049C">
      <w:pPr>
        <w:pStyle w:val="SDText"/>
        <w:spacing w:after="0"/>
        <w:contextualSpacing/>
      </w:pPr>
    </w:p>
    <w:p w14:paraId="01AB0864" w14:textId="26C85CC8" w:rsidR="00FC4F50" w:rsidRDefault="00FC4F50" w:rsidP="0040049C">
      <w:pPr>
        <w:pStyle w:val="SDText"/>
        <w:spacing w:after="0"/>
        <w:contextualSpacing/>
      </w:pPr>
      <w:r>
        <w:t>Проведено</w:t>
      </w:r>
      <w:r w:rsidRPr="001532A2">
        <w:t xml:space="preserve"> 6-месячное исследование канцерогенности на мышах </w:t>
      </w:r>
      <w:r>
        <w:t xml:space="preserve">линии </w:t>
      </w:r>
      <w:r w:rsidRPr="001532A2">
        <w:t xml:space="preserve">CB6F1/Jic-Tg(rasH2) в дополнение к 2-летнему исследованию канцерогенности на крысах. </w:t>
      </w:r>
      <w:r>
        <w:t>Д</w:t>
      </w:r>
      <w:r w:rsidRPr="001532A2">
        <w:t xml:space="preserve">оказательств канцерогенности, связанной с лечением, не наблюдалось в 6-месячном </w:t>
      </w:r>
      <w:r w:rsidRPr="001532A2">
        <w:lastRenderedPageBreak/>
        <w:t xml:space="preserve">исследовании </w:t>
      </w:r>
      <w:r>
        <w:t xml:space="preserve">на </w:t>
      </w:r>
      <w:r w:rsidRPr="001532A2">
        <w:t>трансгенных мы</w:t>
      </w:r>
      <w:r>
        <w:t>шах</w:t>
      </w:r>
      <w:r w:rsidRPr="001532A2">
        <w:t xml:space="preserve"> rasH2 при </w:t>
      </w:r>
      <w:r>
        <w:t>экспозиции</w:t>
      </w:r>
      <w:r w:rsidRPr="001532A2">
        <w:t>, в 38 раз превышающе</w:t>
      </w:r>
      <w:r>
        <w:t>й</w:t>
      </w:r>
      <w:r w:rsidRPr="001532A2">
        <w:t xml:space="preserve"> клинический уровень. В 2-летнем исследовании канцерогенности на крысах максимальная доза была снижена со 100 до 75 мг/кг/</w:t>
      </w:r>
      <w:r w:rsidR="00070697">
        <w:t>сут</w:t>
      </w:r>
      <w:r w:rsidRPr="001532A2">
        <w:t xml:space="preserve"> в течение </w:t>
      </w:r>
      <w:r>
        <w:t>четвертого</w:t>
      </w:r>
      <w:r w:rsidRPr="001532A2">
        <w:t xml:space="preserve"> месяца исследования из-за ранней смерти самок, получавших высокие дозы, из-за инфекции (болезнь Тиззера). До запланированного окончания исследования через 2 года доживало менее 50% животных во всех группах, включая контрольные. Однако было достаточное количество животных, подвергшихся воздействию тестируемого соединения в течение достаточного периода времени, чтобы оценить канцерогенный потенциал</w:t>
      </w:r>
      <w:r>
        <w:t xml:space="preserve"> </w:t>
      </w:r>
      <w:r>
        <w:fldChar w:fldCharType="begin"/>
      </w:r>
      <w:r>
        <w:instrText xml:space="preserve"> ADDIN ZOTERO_ITEM CSL_CITATION {"citationID":"uprEzEU4","properties":{"formattedCitation":"[21]","plainCitation":"[21]","noteIndex":0},"citationItems":[{"id":91153,"uris":["http://zotero.org/groups/4742804/items/UAUYPBRD"],"itemData":{"id":91153,"type":"webpage","title":"Xeljanz.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D46D1F">
        <w:rPr>
          <w:rFonts w:cs="Times New Roman"/>
        </w:rPr>
        <w:t>[</w:t>
      </w:r>
      <w:r w:rsidRPr="00FC4F50">
        <w:rPr>
          <w:rFonts w:cs="Times New Roman"/>
        </w:rPr>
        <w:t>1</w:t>
      </w:r>
      <w:r w:rsidR="00D46D1F">
        <w:rPr>
          <w:rFonts w:cs="Times New Roman"/>
        </w:rPr>
        <w:t>0</w:t>
      </w:r>
      <w:r w:rsidRPr="00FC4F50">
        <w:rPr>
          <w:rFonts w:cs="Times New Roman"/>
        </w:rPr>
        <w:t>]</w:t>
      </w:r>
      <w:r>
        <w:fldChar w:fldCharType="end"/>
      </w:r>
      <w:r w:rsidR="00070697">
        <w:t>.</w:t>
      </w:r>
    </w:p>
    <w:p w14:paraId="7FAE5C11" w14:textId="1D4A3936" w:rsidR="00070697" w:rsidRDefault="00070697" w:rsidP="00D36ADC">
      <w:pPr>
        <w:pStyle w:val="SDText"/>
        <w:contextualSpacing/>
      </w:pPr>
      <w:r w:rsidRPr="00070697">
        <w:t xml:space="preserve">Связанные с лечением новообразования включали: доброкачественные опухоли из клеток Лейдига у </w:t>
      </w:r>
      <w:r>
        <w:t>самцов</w:t>
      </w:r>
      <w:r w:rsidRPr="00070697">
        <w:t xml:space="preserve"> в дозе ≥</w:t>
      </w:r>
      <w:r w:rsidR="00383E6F">
        <w:t xml:space="preserve"> </w:t>
      </w:r>
      <w:r w:rsidRPr="00070697">
        <w:t>мг/кг/</w:t>
      </w:r>
      <w:r>
        <w:t>сут</w:t>
      </w:r>
      <w:r w:rsidRPr="00070697">
        <w:t>; доброкачественные ангиомы в брыжеечных лимфатических узлах у мужчин по 10 мг/кг/сут; доброкачественные тимомы в тимусе у самок в дозе 100/75 мг/кг/сут; и злокачественные гиберномы у самок при дозе ≥</w:t>
      </w:r>
      <w:r>
        <w:t xml:space="preserve"> </w:t>
      </w:r>
      <w:r w:rsidRPr="00070697">
        <w:t>30 мг/кг/день</w:t>
      </w:r>
      <w:r>
        <w:t xml:space="preserve"> </w:t>
      </w:r>
      <w:r>
        <w:fldChar w:fldCharType="begin"/>
      </w:r>
      <w:r w:rsidR="00F942B2">
        <w:instrText xml:space="preserve"> ADDIN ZOTERO_ITEM CSL_CITATION {"citationID":"CnL2C1Va","properties":{"formattedCitation":"[21]","plainCitation":"[21]","noteIndex":0},"citationItems":[{"id":91153,"uris":["http://zotero.org/groups/4742804/items/UAUYPBRD"],"itemData":{"id":91153,"type":"webpage","title":"Xeljanz.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D46D1F">
        <w:rPr>
          <w:rFonts w:cs="Times New Roman"/>
        </w:rPr>
        <w:t>[</w:t>
      </w:r>
      <w:r w:rsidRPr="00FC4F50">
        <w:rPr>
          <w:rFonts w:cs="Times New Roman"/>
        </w:rPr>
        <w:t>1</w:t>
      </w:r>
      <w:r w:rsidR="00D46D1F">
        <w:rPr>
          <w:rFonts w:cs="Times New Roman"/>
        </w:rPr>
        <w:t>0</w:t>
      </w:r>
      <w:r w:rsidRPr="00FC4F50">
        <w:rPr>
          <w:rFonts w:cs="Times New Roman"/>
        </w:rPr>
        <w:t>]</w:t>
      </w:r>
      <w:r>
        <w:fldChar w:fldCharType="end"/>
      </w:r>
      <w:r>
        <w:t>.</w:t>
      </w:r>
    </w:p>
    <w:p w14:paraId="3EB33AE4" w14:textId="5ACB03F5" w:rsidR="008B559F" w:rsidRDefault="008B559F" w:rsidP="00D36ADC">
      <w:pPr>
        <w:pStyle w:val="SDText"/>
        <w:contextualSpacing/>
      </w:pPr>
      <w:r w:rsidRPr="008B559F">
        <w:t xml:space="preserve">Опухоли из клеток Лейдига, наблюдаемые в исследовании канцерогенности на крысах, были связаны с ингибированием JAK2 передачи сигналов </w:t>
      </w:r>
      <w:r w:rsidR="000733FC">
        <w:t>пролактина</w:t>
      </w:r>
      <w:r w:rsidRPr="008B559F">
        <w:t xml:space="preserve"> в клетках Лейдига, что приводило к созданию той же внутриклеточной среды, которая вызывается агонистами дофамина, снижаю</w:t>
      </w:r>
      <w:r w:rsidR="000733FC">
        <w:t xml:space="preserve">щими </w:t>
      </w:r>
      <w:r w:rsidRPr="008B559F">
        <w:t xml:space="preserve">циркулирующие уровни </w:t>
      </w:r>
      <w:r w:rsidR="000733FC">
        <w:t>пролактина</w:t>
      </w:r>
      <w:r w:rsidRPr="008B559F">
        <w:t xml:space="preserve">. </w:t>
      </w:r>
      <w:r w:rsidR="000E3725">
        <w:t xml:space="preserve">В </w:t>
      </w:r>
      <w:r w:rsidRPr="008B559F">
        <w:t>исследовани</w:t>
      </w:r>
      <w:r w:rsidR="005054BB">
        <w:t xml:space="preserve">и </w:t>
      </w:r>
      <w:r w:rsidRPr="000733FC">
        <w:rPr>
          <w:i/>
          <w:iCs/>
        </w:rPr>
        <w:t>in vitro</w:t>
      </w:r>
      <w:r w:rsidRPr="008B559F">
        <w:t>, проведенно</w:t>
      </w:r>
      <w:r w:rsidR="005054BB">
        <w:t>м</w:t>
      </w:r>
      <w:r w:rsidRPr="008B559F">
        <w:t xml:space="preserve"> для подтверждения это</w:t>
      </w:r>
      <w:r w:rsidR="000E3725">
        <w:t>го предположения</w:t>
      </w:r>
      <w:r w:rsidRPr="008B559F">
        <w:t>, показал</w:t>
      </w:r>
      <w:r w:rsidR="005054BB">
        <w:t>и</w:t>
      </w:r>
      <w:r w:rsidRPr="008B559F">
        <w:t xml:space="preserve">, что тофацитиниб может полностью блокировать JAK2-опосредованную передачу сигналов </w:t>
      </w:r>
      <w:r w:rsidR="005054BB">
        <w:t>пролактина</w:t>
      </w:r>
      <w:r w:rsidRPr="008B559F">
        <w:t xml:space="preserve"> в клетках Лейдига, подтверждая вероятный механизм индукции опухолей из клеток Лейдига, сходный с механизмом </w:t>
      </w:r>
      <w:r w:rsidR="005054BB">
        <w:t>дофамина</w:t>
      </w:r>
      <w:r w:rsidRPr="008B559F">
        <w:t xml:space="preserve">. Однако подтверждающих исследований </w:t>
      </w:r>
      <w:r w:rsidRPr="005054BB">
        <w:rPr>
          <w:i/>
          <w:iCs/>
        </w:rPr>
        <w:t>in vivo</w:t>
      </w:r>
      <w:r w:rsidRPr="008B559F">
        <w:t xml:space="preserve"> не проводил</w:t>
      </w:r>
      <w:r w:rsidR="005054BB">
        <w:t>и</w:t>
      </w:r>
      <w:r w:rsidRPr="008B559F">
        <w:t xml:space="preserve">, например, не измерялись уровни </w:t>
      </w:r>
      <w:r w:rsidR="005054BB">
        <w:t>пролактина</w:t>
      </w:r>
      <w:r w:rsidRPr="008B559F">
        <w:t xml:space="preserve">, тестостерона или </w:t>
      </w:r>
      <w:r w:rsidR="005054BB">
        <w:t>лютеинизирующего гормона</w:t>
      </w:r>
      <w:r w:rsidRPr="008B559F">
        <w:t xml:space="preserve"> в сыворотке</w:t>
      </w:r>
      <w:r w:rsidR="005054BB">
        <w:t xml:space="preserve"> крови </w:t>
      </w:r>
      <w:r w:rsidR="005054BB">
        <w:fldChar w:fldCharType="begin"/>
      </w:r>
      <w:r w:rsidR="00F942B2">
        <w:instrText xml:space="preserve"> ADDIN ZOTERO_ITEM CSL_CITATION {"citationID":"nVKHhZkS","properties":{"formattedCitation":"[21]","plainCitation":"[21]","noteIndex":0},"citationItems":[{"id":91153,"uris":["http://zotero.org/groups/4742804/items/UAUYPBRD"],"itemData":{"id":91153,"type":"webpage","title":"Xeljanz.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5054BB">
        <w:fldChar w:fldCharType="separate"/>
      </w:r>
      <w:r w:rsidR="00D46D1F">
        <w:rPr>
          <w:rFonts w:cs="Times New Roman"/>
        </w:rPr>
        <w:t>[</w:t>
      </w:r>
      <w:r w:rsidR="005054BB" w:rsidRPr="00FC4F50">
        <w:rPr>
          <w:rFonts w:cs="Times New Roman"/>
        </w:rPr>
        <w:t>1</w:t>
      </w:r>
      <w:r w:rsidR="00D46D1F">
        <w:rPr>
          <w:rFonts w:cs="Times New Roman"/>
        </w:rPr>
        <w:t>0</w:t>
      </w:r>
      <w:r w:rsidR="005054BB" w:rsidRPr="00FC4F50">
        <w:rPr>
          <w:rFonts w:cs="Times New Roman"/>
        </w:rPr>
        <w:t>]</w:t>
      </w:r>
      <w:r w:rsidR="005054BB">
        <w:fldChar w:fldCharType="end"/>
      </w:r>
      <w:r w:rsidR="005054BB">
        <w:t>.</w:t>
      </w:r>
    </w:p>
    <w:p w14:paraId="37FF134A" w14:textId="620DC8C8" w:rsidR="00D05030" w:rsidRDefault="00D05030" w:rsidP="00D36ADC">
      <w:pPr>
        <w:pStyle w:val="SDText"/>
        <w:contextualSpacing/>
      </w:pPr>
      <w:r>
        <w:t>Повышенн</w:t>
      </w:r>
      <w:r w:rsidR="00AE6DCB">
        <w:t>ую</w:t>
      </w:r>
      <w:r>
        <w:t xml:space="preserve"> </w:t>
      </w:r>
      <w:r w:rsidR="00AE6DCB">
        <w:t>частоту развития</w:t>
      </w:r>
      <w:r>
        <w:t xml:space="preserve"> гиберном (</w:t>
      </w:r>
      <w:r w:rsidR="00AE6DCB">
        <w:t>злокачественных новообразований</w:t>
      </w:r>
      <w:r>
        <w:t xml:space="preserve"> </w:t>
      </w:r>
      <w:r w:rsidR="00AE6DCB">
        <w:t xml:space="preserve">из </w:t>
      </w:r>
      <w:r>
        <w:t xml:space="preserve">бурой жировой ткани) у самок крыс </w:t>
      </w:r>
      <w:r w:rsidR="00AE6DCB">
        <w:t>отмечали при экспозиции</w:t>
      </w:r>
      <w:r>
        <w:t>, превышающ</w:t>
      </w:r>
      <w:r w:rsidR="00AE6DCB">
        <w:t>ей</w:t>
      </w:r>
      <w:r>
        <w:t xml:space="preserve"> или равн</w:t>
      </w:r>
      <w:r w:rsidR="00AE6DCB">
        <w:t>ой</w:t>
      </w:r>
      <w:r>
        <w:t xml:space="preserve"> 83-кратно</w:t>
      </w:r>
      <w:r w:rsidR="006D0498">
        <w:t>й экспозиции у человека в клинических условиях</w:t>
      </w:r>
      <w:r w:rsidR="005075E3" w:rsidRPr="005075E3">
        <w:t xml:space="preserve"> </w:t>
      </w:r>
      <w:r w:rsidR="005075E3">
        <w:fldChar w:fldCharType="begin"/>
      </w:r>
      <w:r w:rsidR="00F942B2">
        <w:instrText xml:space="preserve"> ADDIN ZOTERO_ITEM CSL_CITATION {"citationID":"lqrW94ri","properties":{"formattedCitation":"[21]","plainCitation":"[21]","noteIndex":0},"citationItems":[{"id":91153,"uris":["http://zotero.org/groups/4742804/items/UAUYPBRD"],"itemData":{"id":91153,"type":"webpage","title":"Xeljanz.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5075E3">
        <w:fldChar w:fldCharType="separate"/>
      </w:r>
      <w:r w:rsidR="00D46D1F">
        <w:rPr>
          <w:rFonts w:cs="Times New Roman"/>
        </w:rPr>
        <w:t>[</w:t>
      </w:r>
      <w:r w:rsidR="005075E3" w:rsidRPr="00FC4F50">
        <w:rPr>
          <w:rFonts w:cs="Times New Roman"/>
        </w:rPr>
        <w:t>1</w:t>
      </w:r>
      <w:r w:rsidR="00D46D1F">
        <w:rPr>
          <w:rFonts w:cs="Times New Roman"/>
        </w:rPr>
        <w:t>0</w:t>
      </w:r>
      <w:r w:rsidR="005075E3" w:rsidRPr="00FC4F50">
        <w:rPr>
          <w:rFonts w:cs="Times New Roman"/>
        </w:rPr>
        <w:t>]</w:t>
      </w:r>
      <w:r w:rsidR="005075E3">
        <w:fldChar w:fldCharType="end"/>
      </w:r>
      <w:r w:rsidR="005075E3">
        <w:t>.</w:t>
      </w:r>
    </w:p>
    <w:p w14:paraId="5CE61E0F" w14:textId="61A749EF" w:rsidR="00D05030" w:rsidRDefault="00D05030" w:rsidP="00D36ADC">
      <w:pPr>
        <w:pStyle w:val="SDText"/>
        <w:contextualSpacing/>
      </w:pPr>
      <w:r>
        <w:t>Отмечал</w:t>
      </w:r>
      <w:r w:rsidR="002972D4">
        <w:t>и</w:t>
      </w:r>
      <w:r>
        <w:t xml:space="preserve"> незначительное увеличение частоты доброкачественных ангиом только у самцов</w:t>
      </w:r>
      <w:r w:rsidR="002972D4" w:rsidRPr="002972D4">
        <w:t xml:space="preserve"> </w:t>
      </w:r>
      <w:r w:rsidR="002972D4">
        <w:t>крыс</w:t>
      </w:r>
      <w:r>
        <w:t xml:space="preserve">, получавших низкие дозы, что было статистически значимым при попарном сравнении. </w:t>
      </w:r>
      <w:r w:rsidR="002972D4">
        <w:t>Зависимость «д</w:t>
      </w:r>
      <w:r>
        <w:t>оза-реакция</w:t>
      </w:r>
      <w:r w:rsidR="002972D4">
        <w:t>»</w:t>
      </w:r>
      <w:r>
        <w:t xml:space="preserve"> отсутствовала, с отсутствием статистической значимости в тесте тренда, а увеличение частоты ангиом наблюдал</w:t>
      </w:r>
      <w:r w:rsidR="00BF53ED">
        <w:t>и</w:t>
      </w:r>
      <w:r>
        <w:t xml:space="preserve"> только у одного вида, только у представителей одного пола и только при однократном уровне дозы. Других доказательств сосудистой эндотелиальной неоплазии, связанной с </w:t>
      </w:r>
      <w:r w:rsidR="005075E3">
        <w:t>лекарственным средством</w:t>
      </w:r>
      <w:r>
        <w:t xml:space="preserve">, в исследовании канцерогенности на крысах не </w:t>
      </w:r>
      <w:r w:rsidR="005075E3">
        <w:t>выявили</w:t>
      </w:r>
      <w:r>
        <w:t xml:space="preserve">. Все ангиомы у </w:t>
      </w:r>
      <w:r w:rsidR="005075E3">
        <w:t>самцов, получавших лекарственное средство,</w:t>
      </w:r>
      <w:r>
        <w:t xml:space="preserve"> возникали в мезентериальных лимфатических узлах. </w:t>
      </w:r>
      <w:r w:rsidR="005075E3">
        <w:t>С</w:t>
      </w:r>
      <w:r>
        <w:t xml:space="preserve">вязь ангиом с </w:t>
      </w:r>
      <w:r w:rsidR="00320EED">
        <w:t>препаратом</w:t>
      </w:r>
      <w:r w:rsidR="005075E3">
        <w:t xml:space="preserve"> не подтвердили</w:t>
      </w:r>
      <w:r w:rsidR="005075E3" w:rsidRPr="005075E3">
        <w:t xml:space="preserve"> </w:t>
      </w:r>
      <w:r w:rsidR="005075E3">
        <w:fldChar w:fldCharType="begin"/>
      </w:r>
      <w:r w:rsidR="00F942B2">
        <w:instrText xml:space="preserve"> ADDIN ZOTERO_ITEM CSL_CITATION {"citationID":"1mnPqk6B","properties":{"formattedCitation":"[21]","plainCitation":"[21]","noteIndex":0},"citationItems":[{"id":91153,"uris":["http://zotero.org/groups/4742804/items/UAUYPBRD"],"itemData":{"id":91153,"type":"webpage","title":"Xeljanz.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5075E3">
        <w:fldChar w:fldCharType="separate"/>
      </w:r>
      <w:r w:rsidR="00D46D1F">
        <w:rPr>
          <w:rFonts w:cs="Times New Roman"/>
        </w:rPr>
        <w:t>[</w:t>
      </w:r>
      <w:r w:rsidR="005075E3" w:rsidRPr="00FC4F50">
        <w:rPr>
          <w:rFonts w:cs="Times New Roman"/>
        </w:rPr>
        <w:t>1</w:t>
      </w:r>
      <w:r w:rsidR="00D46D1F">
        <w:rPr>
          <w:rFonts w:cs="Times New Roman"/>
        </w:rPr>
        <w:t>0</w:t>
      </w:r>
      <w:r w:rsidR="005075E3" w:rsidRPr="00FC4F50">
        <w:rPr>
          <w:rFonts w:cs="Times New Roman"/>
        </w:rPr>
        <w:t>]</w:t>
      </w:r>
      <w:r w:rsidR="005075E3">
        <w:fldChar w:fldCharType="end"/>
      </w:r>
      <w:r w:rsidR="005075E3">
        <w:t>.</w:t>
      </w:r>
    </w:p>
    <w:p w14:paraId="219E677A" w14:textId="52597F24" w:rsidR="000C6E64" w:rsidRPr="00FC4F50" w:rsidRDefault="000C6E64" w:rsidP="00D36ADC">
      <w:pPr>
        <w:pStyle w:val="SDText"/>
        <w:contextualSpacing/>
      </w:pPr>
      <w:r w:rsidRPr="000C6E64">
        <w:t xml:space="preserve">Повышенная частота доброкачественных тимом наблюдалась только у самок крыс, получавших высокие дозы. Тимомы наблюдались ранее в исследованиях канцерогенности других иммунодепрессантов на крысах. </w:t>
      </w:r>
      <w:r>
        <w:t>На о</w:t>
      </w:r>
      <w:r w:rsidRPr="000C6E64">
        <w:t>снов</w:t>
      </w:r>
      <w:r>
        <w:t>ании</w:t>
      </w:r>
      <w:r w:rsidRPr="000C6E64">
        <w:t xml:space="preserve"> высоко</w:t>
      </w:r>
      <w:r>
        <w:t>й</w:t>
      </w:r>
      <w:r w:rsidRPr="000C6E64">
        <w:t xml:space="preserve"> </w:t>
      </w:r>
      <w:r>
        <w:t>экспозиции</w:t>
      </w:r>
      <w:r w:rsidRPr="000C6E64">
        <w:t xml:space="preserve"> для возникновения тимомы (в 187 раз выше уровня клинического </w:t>
      </w:r>
      <w:r>
        <w:t>экспозиции</w:t>
      </w:r>
      <w:r w:rsidRPr="000C6E64">
        <w:t xml:space="preserve">) и приоритетности этого обнаружения </w:t>
      </w:r>
      <w:r w:rsidR="00CD3C77">
        <w:t>при использовании</w:t>
      </w:r>
      <w:r w:rsidRPr="000C6E64">
        <w:t xml:space="preserve"> други</w:t>
      </w:r>
      <w:r w:rsidR="00CD3C77">
        <w:t>х</w:t>
      </w:r>
      <w:r w:rsidRPr="000C6E64">
        <w:t xml:space="preserve"> иммунодепрессант</w:t>
      </w:r>
      <w:r w:rsidR="00CD3C77">
        <w:t>ов</w:t>
      </w:r>
      <w:r w:rsidRPr="000C6E64">
        <w:t xml:space="preserve">, эти доброкачественные опухоли не </w:t>
      </w:r>
      <w:r w:rsidR="00CD3C77">
        <w:t>сочли</w:t>
      </w:r>
      <w:r w:rsidRPr="000C6E64">
        <w:t xml:space="preserve"> значительным риском для человека при </w:t>
      </w:r>
      <w:r w:rsidR="00CD3C77">
        <w:t xml:space="preserve">использовании в </w:t>
      </w:r>
      <w:r w:rsidR="00CD3C77" w:rsidRPr="000C6E64">
        <w:t>терапевтическ</w:t>
      </w:r>
      <w:r w:rsidR="00CD3C77">
        <w:t xml:space="preserve">их дозах </w:t>
      </w:r>
      <w:r w:rsidR="00CD3C77">
        <w:fldChar w:fldCharType="begin"/>
      </w:r>
      <w:r w:rsidR="00F942B2">
        <w:instrText xml:space="preserve"> ADDIN ZOTERO_ITEM CSL_CITATION {"citationID":"z7Zg4kYs","properties":{"formattedCitation":"[21]","plainCitation":"[21]","noteIndex":0},"citationItems":[{"id":91153,"uris":["http://zotero.org/groups/4742804/items/UAUYPBRD"],"itemData":{"id":91153,"type":"webpage","title":"Xeljanz.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CD3C77">
        <w:fldChar w:fldCharType="separate"/>
      </w:r>
      <w:r w:rsidR="00D46D1F">
        <w:rPr>
          <w:rFonts w:cs="Times New Roman"/>
        </w:rPr>
        <w:t>[</w:t>
      </w:r>
      <w:r w:rsidR="00CD3C77" w:rsidRPr="00FC4F50">
        <w:rPr>
          <w:rFonts w:cs="Times New Roman"/>
        </w:rPr>
        <w:t>1</w:t>
      </w:r>
      <w:r w:rsidR="00D46D1F">
        <w:rPr>
          <w:rFonts w:cs="Times New Roman"/>
        </w:rPr>
        <w:t>0</w:t>
      </w:r>
      <w:r w:rsidR="00CD3C77" w:rsidRPr="00FC4F50">
        <w:rPr>
          <w:rFonts w:cs="Times New Roman"/>
        </w:rPr>
        <w:t>]</w:t>
      </w:r>
      <w:r w:rsidR="00CD3C77">
        <w:fldChar w:fldCharType="end"/>
      </w:r>
      <w:r w:rsidR="00CD3C77">
        <w:t>.</w:t>
      </w:r>
    </w:p>
    <w:p w14:paraId="08DCF433" w14:textId="251D02BD" w:rsidR="00EE4915" w:rsidRPr="00036284" w:rsidRDefault="007647D9" w:rsidP="00D36ADC">
      <w:pPr>
        <w:pStyle w:val="SDText"/>
        <w:contextualSpacing/>
      </w:pPr>
      <w:r>
        <w:t xml:space="preserve">В исследовании </w:t>
      </w:r>
      <w:r w:rsidR="002C04F2">
        <w:t xml:space="preserve">канцерогенности </w:t>
      </w:r>
      <w:r>
        <w:t>07</w:t>
      </w:r>
      <w:r>
        <w:rPr>
          <w:lang w:val="en-US"/>
        </w:rPr>
        <w:t>GR</w:t>
      </w:r>
      <w:r>
        <w:t xml:space="preserve">439 </w:t>
      </w:r>
      <w:r w:rsidR="002C04F2">
        <w:t xml:space="preserve">крысам линии </w:t>
      </w:r>
      <w:r w:rsidR="004856F5" w:rsidRPr="004856F5">
        <w:t>Crl:CD(SD)</w:t>
      </w:r>
      <w:r w:rsidR="004856F5">
        <w:t xml:space="preserve"> </w:t>
      </w:r>
      <w:r w:rsidR="0065593E">
        <w:t xml:space="preserve">внутрижелудочно вводили </w:t>
      </w:r>
      <w:r w:rsidR="003C2A19" w:rsidRPr="003C2A19">
        <w:t>тофацитиниб</w:t>
      </w:r>
      <w:r w:rsidR="003C2A19">
        <w:t xml:space="preserve"> </w:t>
      </w:r>
      <w:r w:rsidR="0065593E">
        <w:t>в дозе 10, 30 или 75 мг/кг/сут</w:t>
      </w:r>
      <w:r w:rsidR="008779FF">
        <w:t>,</w:t>
      </w:r>
      <w:r w:rsidR="0065593E">
        <w:t xml:space="preserve"> или плацебо</w:t>
      </w:r>
      <w:r w:rsidR="00A153FB">
        <w:t xml:space="preserve"> в течение</w:t>
      </w:r>
      <w:r w:rsidR="00A153FB" w:rsidRPr="00A153FB">
        <w:t xml:space="preserve"> </w:t>
      </w:r>
      <w:r w:rsidR="00A153FB">
        <w:t xml:space="preserve">2 лет. </w:t>
      </w:r>
      <w:r w:rsidR="00C55E3D">
        <w:t xml:space="preserve">Для самок доза 100 мг/кг/сут </w:t>
      </w:r>
      <w:r w:rsidR="00744118">
        <w:t xml:space="preserve">на неделе 19 </w:t>
      </w:r>
      <w:r w:rsidR="00C55E3D">
        <w:t>была снижена до 75 мг/кг/сут в связи с высокой летальностью</w:t>
      </w:r>
      <w:r w:rsidR="00744118">
        <w:t>, связанн</w:t>
      </w:r>
      <w:r w:rsidR="008779FF">
        <w:t>ой</w:t>
      </w:r>
      <w:r w:rsidR="00744118">
        <w:t xml:space="preserve"> с бактериальными инфекциями. </w:t>
      </w:r>
      <w:r w:rsidR="00155906">
        <w:t xml:space="preserve">Выживших самцов, получавших тофацитиниб в дозе 75 мг/кг/сут, </w:t>
      </w:r>
      <w:r w:rsidR="00DD11CE">
        <w:t xml:space="preserve">умерщвляли на 94 неделе, а выживших самцов из других групп – на неделе 98. </w:t>
      </w:r>
      <w:r w:rsidR="0082660F">
        <w:t xml:space="preserve">Выявленные у крыс новообразования </w:t>
      </w:r>
      <w:r w:rsidR="0082660F">
        <w:lastRenderedPageBreak/>
        <w:t xml:space="preserve">были специфичными для пола и включали: </w:t>
      </w:r>
      <w:r w:rsidR="00692ABF">
        <w:t>интерстициальноклеточную аденому яичек у самцов</w:t>
      </w:r>
      <w:r w:rsidR="00DC19C7">
        <w:t xml:space="preserve"> при дозах </w:t>
      </w:r>
      <w:r w:rsidR="00DC19C7">
        <w:rPr>
          <w:rFonts w:cs="Times New Roman"/>
        </w:rPr>
        <w:t>≥</w:t>
      </w:r>
      <w:r w:rsidR="00DC19C7">
        <w:t xml:space="preserve"> 30 мг/кг/сут</w:t>
      </w:r>
      <w:r w:rsidR="00692ABF">
        <w:t xml:space="preserve">, </w:t>
      </w:r>
      <w:r w:rsidR="00DC19C7">
        <w:t xml:space="preserve">доброкачественные тимомы в тимусе у самок при дозах </w:t>
      </w:r>
      <w:r w:rsidR="0029605B">
        <w:t xml:space="preserve">100/75 мг/кг/сут и </w:t>
      </w:r>
      <w:r w:rsidR="00857C46">
        <w:t xml:space="preserve">злокачественные гиберномы у самок </w:t>
      </w:r>
      <w:r w:rsidR="00C875DC">
        <w:t xml:space="preserve">при дозах </w:t>
      </w:r>
      <w:r w:rsidR="00C875DC">
        <w:rPr>
          <w:rFonts w:cs="Times New Roman"/>
        </w:rPr>
        <w:t>≥</w:t>
      </w:r>
      <w:r w:rsidR="00C875DC">
        <w:t xml:space="preserve"> 30 мг/кг/сут</w:t>
      </w:r>
      <w:r w:rsidR="0080754F">
        <w:t xml:space="preserve">. </w:t>
      </w:r>
      <w:r w:rsidR="00D63280">
        <w:t xml:space="preserve">Связанные с </w:t>
      </w:r>
      <w:r w:rsidR="003C2A19" w:rsidRPr="003C2A19">
        <w:t>тофацитиниб</w:t>
      </w:r>
      <w:r w:rsidR="003C2A19">
        <w:t xml:space="preserve">ом </w:t>
      </w:r>
      <w:r w:rsidR="00D63280">
        <w:t xml:space="preserve">находки, не относящиеся к новообразованиям, включали </w:t>
      </w:r>
      <w:r w:rsidR="00771C0B">
        <w:t xml:space="preserve">увеличение частоты снижения </w:t>
      </w:r>
      <w:r w:rsidR="00A332D7">
        <w:t>насыщенности</w:t>
      </w:r>
      <w:r w:rsidR="00771C0B">
        <w:t xml:space="preserve"> лимфоцит</w:t>
      </w:r>
      <w:r w:rsidR="00A332D7">
        <w:t>ами</w:t>
      </w:r>
      <w:r w:rsidR="00771C0B">
        <w:t xml:space="preserve"> лимфоидной ткани (</w:t>
      </w:r>
      <w:r w:rsidR="00F3407F">
        <w:t>селезенка, тимус, брыжеечные и паховые лимфатические узлы, Пейеровы бляшки в киш</w:t>
      </w:r>
      <w:r w:rsidR="00640AA1">
        <w:t>ечнике)</w:t>
      </w:r>
      <w:r w:rsidR="00915382">
        <w:t xml:space="preserve">; снижение экстрамедуллярного гемопоэза, </w:t>
      </w:r>
      <w:r w:rsidR="00EC017E">
        <w:t>снижение пигмента и увеличение синусоидальных расширений в селезенке</w:t>
      </w:r>
      <w:r w:rsidR="00BF54FE">
        <w:t>, незначительное снижение клеточности в костном мозге (только в грудине)</w:t>
      </w:r>
      <w:r w:rsidR="008779FF">
        <w:t>,</w:t>
      </w:r>
      <w:r w:rsidR="00A46EB4">
        <w:t xml:space="preserve"> и увеличение частоты и тяжести альвеолярного протеиноза</w:t>
      </w:r>
      <w:r w:rsidR="008779FF">
        <w:t>,</w:t>
      </w:r>
      <w:r w:rsidR="000275CA">
        <w:t xml:space="preserve"> и альвеолярных макрофагальных инфильтратов в легких самцов и самок. </w:t>
      </w:r>
      <w:r w:rsidR="00BB7F90">
        <w:t xml:space="preserve">Снижение </w:t>
      </w:r>
      <w:r w:rsidR="00A332D7">
        <w:t xml:space="preserve">насыщенности </w:t>
      </w:r>
      <w:r w:rsidR="00BB7F90">
        <w:t>лимфоцита</w:t>
      </w:r>
      <w:r w:rsidR="00A332D7">
        <w:t xml:space="preserve">ми </w:t>
      </w:r>
      <w:r w:rsidR="00650191">
        <w:t xml:space="preserve">ассоциировалось с ожидаемым фармакологическим иммуномодулирующим эффектом </w:t>
      </w:r>
      <w:r w:rsidR="003C2A19" w:rsidRPr="003C2A19">
        <w:t xml:space="preserve">тофацитиниба </w:t>
      </w:r>
      <w:r w:rsidR="00BC57C9">
        <w:t>в отношении лимфоидных/гемопоэтических тканей</w:t>
      </w:r>
      <w:r w:rsidR="00D63280" w:rsidRPr="00D63280">
        <w:t xml:space="preserve"> </w:t>
      </w:r>
      <w:r w:rsidR="00EE4915">
        <w:rPr>
          <w:lang w:val="en-US"/>
        </w:rPr>
        <w:fldChar w:fldCharType="begin"/>
      </w:r>
      <w:r w:rsidR="00044A89">
        <w:instrText xml:space="preserve"> ADDIN ZOTERO_ITEM CSL_CITATION {"citationID":"zCOy5D4c","properties":{"formattedCitation":"[12]","plainCitation":"[12]","noteIndex":0},"citationItems":[{"id":87803,"uris":["http://zotero.org/groups/4742804/items/DMZ5DFPG"],"itemData":{"id":87803,"type":"webpage","title":"Xeljanz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036284">
        <w:t>.</w:t>
      </w:r>
    </w:p>
    <w:p w14:paraId="77C6EFA0" w14:textId="1FEC448C" w:rsidR="00643B25" w:rsidRDefault="00DD5DF2" w:rsidP="00D36ADC">
      <w:pPr>
        <w:pStyle w:val="SDText"/>
        <w:contextualSpacing/>
      </w:pPr>
      <w:r>
        <w:t xml:space="preserve">В исследовании </w:t>
      </w:r>
      <w:r w:rsidRPr="00DD5DF2">
        <w:t>11GR016</w:t>
      </w:r>
      <w:r>
        <w:t xml:space="preserve"> установили, что </w:t>
      </w:r>
      <w:r w:rsidR="003C2A19" w:rsidRPr="003C2A19">
        <w:t>тофацитиниб</w:t>
      </w:r>
      <w:r w:rsidR="003C2A19">
        <w:t xml:space="preserve"> </w:t>
      </w:r>
      <w:r w:rsidR="00F451D4">
        <w:t>блокировал эффекты пролактина (</w:t>
      </w:r>
      <w:r w:rsidR="003A41F8" w:rsidRPr="003A41F8">
        <w:t>prolactin</w:t>
      </w:r>
      <w:r w:rsidR="003A41F8">
        <w:t xml:space="preserve">, </w:t>
      </w:r>
      <w:r w:rsidR="003A41F8" w:rsidRPr="003A41F8">
        <w:t xml:space="preserve">PRL) </w:t>
      </w:r>
      <w:r w:rsidR="003A41F8">
        <w:t>овец</w:t>
      </w:r>
      <w:r w:rsidR="00FE0E21">
        <w:t xml:space="preserve"> в изолированных первичных </w:t>
      </w:r>
      <w:r w:rsidR="0048590D">
        <w:t>клетках Лейдига крыс</w:t>
      </w:r>
      <w:r w:rsidR="00606172">
        <w:t>. Име</w:t>
      </w:r>
      <w:r w:rsidR="008779FF">
        <w:t>ю</w:t>
      </w:r>
      <w:r w:rsidR="00606172">
        <w:t xml:space="preserve">тся данные, что стимуляция </w:t>
      </w:r>
      <w:r w:rsidR="00B06D6D" w:rsidRPr="003A41F8">
        <w:t>PRL</w:t>
      </w:r>
      <w:r w:rsidR="00606172">
        <w:t xml:space="preserve"> является одним из механизмов </w:t>
      </w:r>
      <w:r w:rsidR="00B06D6D">
        <w:t>образования опухолей из клеток Лейдига</w:t>
      </w:r>
      <w:r w:rsidR="00C7580E">
        <w:t>, но этот механизм</w:t>
      </w:r>
      <w:r w:rsidR="008779FF">
        <w:t>,</w:t>
      </w:r>
      <w:r w:rsidR="00C7580E">
        <w:t xml:space="preserve"> возможно</w:t>
      </w:r>
      <w:r w:rsidR="008779FF">
        <w:t>,</w:t>
      </w:r>
      <w:r w:rsidR="00C7580E">
        <w:t xml:space="preserve"> не</w:t>
      </w:r>
      <w:r w:rsidR="001B0D66">
        <w:t>релевантен для</w:t>
      </w:r>
      <w:r w:rsidR="00C7580E">
        <w:t xml:space="preserve"> развити</w:t>
      </w:r>
      <w:r w:rsidR="008779FF">
        <w:t>я</w:t>
      </w:r>
      <w:r w:rsidR="00C7580E">
        <w:t xml:space="preserve"> опухолей из клеток Лейдига у человека</w:t>
      </w:r>
      <w:r w:rsidR="001B0D66">
        <w:t xml:space="preserve"> </w:t>
      </w:r>
      <w:r w:rsidR="00643B25">
        <w:rPr>
          <w:lang w:val="en-US"/>
        </w:rPr>
        <w:fldChar w:fldCharType="begin"/>
      </w:r>
      <w:r w:rsidR="00044A89">
        <w:instrText xml:space="preserve"> ADDIN ZOTERO_ITEM CSL_CITATION {"citationID":"fuFLQ4xo","properties":{"formattedCitation":"[12]","plainCitation":"[12]","noteIndex":0},"citationItems":[{"id":87803,"uris":["http://zotero.org/groups/4742804/items/DMZ5DFPG"],"itemData":{"id":87803,"type":"webpage","title":"Xeljanz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643B25">
        <w:rPr>
          <w:lang w:val="en-US"/>
        </w:rPr>
        <w:fldChar w:fldCharType="separate"/>
      </w:r>
      <w:r w:rsidR="00D46D1F">
        <w:rPr>
          <w:rFonts w:cs="Times New Roman"/>
        </w:rPr>
        <w:t>[1</w:t>
      </w:r>
      <w:r w:rsidR="00044A89" w:rsidRPr="00044A89">
        <w:rPr>
          <w:rFonts w:cs="Times New Roman"/>
        </w:rPr>
        <w:t>]</w:t>
      </w:r>
      <w:r w:rsidR="00643B25">
        <w:rPr>
          <w:lang w:val="en-US"/>
        </w:rPr>
        <w:fldChar w:fldCharType="end"/>
      </w:r>
      <w:r w:rsidR="00643B25">
        <w:t>.</w:t>
      </w:r>
    </w:p>
    <w:p w14:paraId="533923EF" w14:textId="34298906" w:rsidR="00E71939" w:rsidRDefault="00643B25" w:rsidP="00D36ADC">
      <w:pPr>
        <w:pStyle w:val="SDText"/>
        <w:contextualSpacing/>
      </w:pPr>
      <w:r>
        <w:t>В исследовании</w:t>
      </w:r>
      <w:r w:rsidR="00C7580E">
        <w:t xml:space="preserve"> </w:t>
      </w:r>
      <w:r w:rsidRPr="00643B25">
        <w:t>11GR015</w:t>
      </w:r>
      <w:r>
        <w:t xml:space="preserve"> </w:t>
      </w:r>
      <w:r w:rsidR="00225BC0">
        <w:t xml:space="preserve">на адипоцитах бурой жировой ткани крыс </w:t>
      </w:r>
      <w:r>
        <w:t xml:space="preserve">определили, что </w:t>
      </w:r>
      <w:r w:rsidR="003C2A19" w:rsidRPr="003C2A19">
        <w:t>тофацитиниб</w:t>
      </w:r>
      <w:r w:rsidR="003C2A19">
        <w:t xml:space="preserve"> </w:t>
      </w:r>
      <w:r w:rsidR="000462BC">
        <w:t xml:space="preserve">концентрационно-зависимо </w:t>
      </w:r>
      <w:r w:rsidR="008F7FF4">
        <w:t xml:space="preserve">ингибирует индуцированное </w:t>
      </w:r>
      <w:r w:rsidR="008F7FF4" w:rsidRPr="003A41F8">
        <w:t>PRL</w:t>
      </w:r>
      <w:r w:rsidR="008F7FF4" w:rsidRPr="008F7FF4">
        <w:t xml:space="preserve"> </w:t>
      </w:r>
      <w:r w:rsidR="008F7FF4">
        <w:t xml:space="preserve">фосфорилирование </w:t>
      </w:r>
      <w:r w:rsidR="008F7FF4">
        <w:rPr>
          <w:lang w:val="en-US"/>
        </w:rPr>
        <w:t>STAT</w:t>
      </w:r>
      <w:r w:rsidR="008F7FF4" w:rsidRPr="008F7FF4">
        <w:t xml:space="preserve">5 </w:t>
      </w:r>
      <w:r w:rsidR="000462BC">
        <w:t xml:space="preserve">и базальное фосфорилирование </w:t>
      </w:r>
      <w:r w:rsidR="000462BC">
        <w:rPr>
          <w:lang w:val="en-US"/>
        </w:rPr>
        <w:t>STAT</w:t>
      </w:r>
      <w:r w:rsidR="000462BC" w:rsidRPr="000462BC">
        <w:t>3</w:t>
      </w:r>
      <w:r w:rsidR="000462BC">
        <w:t xml:space="preserve"> в концентрациях</w:t>
      </w:r>
      <w:r w:rsidR="00632E86">
        <w:t>, соответствующих системной экспозиции у крыс, определенной в исследовании канцерогенности</w:t>
      </w:r>
      <w:r w:rsidR="000462BC">
        <w:t xml:space="preserve"> </w:t>
      </w:r>
      <w:r>
        <w:rPr>
          <w:lang w:val="en-US"/>
        </w:rPr>
        <w:fldChar w:fldCharType="begin"/>
      </w:r>
      <w:r w:rsidR="00044A89">
        <w:instrText xml:space="preserve"> ADDIN ZOTERO_ITEM CSL_CITATION {"citationID":"wKrOuODP","properties":{"formattedCitation":"[12]","plainCitation":"[12]","noteIndex":0},"citationItems":[{"id":87803,"uris":["http://zotero.org/groups/4742804/items/DMZ5DFPG"],"itemData":{"id":87803,"type":"webpage","title":"Xeljanz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1A992945" w14:textId="4C8222B1" w:rsidR="0092679B" w:rsidRDefault="0092679B" w:rsidP="00D36ADC">
      <w:pPr>
        <w:pStyle w:val="SDText"/>
        <w:contextualSpacing/>
      </w:pPr>
      <w:r>
        <w:t xml:space="preserve">В исследовании </w:t>
      </w:r>
      <w:r w:rsidRPr="0092679B">
        <w:t>10GR431</w:t>
      </w:r>
      <w:r>
        <w:t xml:space="preserve"> </w:t>
      </w:r>
      <w:r w:rsidR="00B151F4">
        <w:t xml:space="preserve">при </w:t>
      </w:r>
      <w:r w:rsidR="008852E5">
        <w:t>перорально</w:t>
      </w:r>
      <w:r w:rsidR="00B151F4">
        <w:t xml:space="preserve">м </w:t>
      </w:r>
      <w:r w:rsidR="008852E5">
        <w:t>введени</w:t>
      </w:r>
      <w:r w:rsidR="00B151F4">
        <w:t>и</w:t>
      </w:r>
      <w:r w:rsidR="008852E5">
        <w:t xml:space="preserve"> </w:t>
      </w:r>
      <w:r w:rsidR="003C2A19" w:rsidRPr="003C2A19">
        <w:t xml:space="preserve">тофацитиниба </w:t>
      </w:r>
      <w:r w:rsidR="008852E5">
        <w:t xml:space="preserve">самкам крыс в дозах 10, 30 и 75 мг/кг/день в течение 14 дней </w:t>
      </w:r>
      <w:r w:rsidR="00B151F4">
        <w:t xml:space="preserve">выявили, что тофацитиниб </w:t>
      </w:r>
      <w:r w:rsidR="008852E5">
        <w:t>ингибировал сигнальный путь JAK/STAT, о чем свидетельств</w:t>
      </w:r>
      <w:r w:rsidR="00301E0C">
        <w:t>овало</w:t>
      </w:r>
      <w:r w:rsidR="008852E5">
        <w:t xml:space="preserve"> снижение </w:t>
      </w:r>
      <w:r w:rsidR="00B151F4">
        <w:t xml:space="preserve">содержания </w:t>
      </w:r>
      <w:r w:rsidR="008852E5">
        <w:t>фосфорилированн</w:t>
      </w:r>
      <w:r w:rsidR="00B151F4">
        <w:t>ого</w:t>
      </w:r>
      <w:r w:rsidR="008852E5">
        <w:t xml:space="preserve"> STAT5A/B</w:t>
      </w:r>
      <w:r w:rsidR="00B151F4">
        <w:t xml:space="preserve"> и</w:t>
      </w:r>
      <w:r w:rsidR="008852E5">
        <w:t xml:space="preserve"> фосфорилированн</w:t>
      </w:r>
      <w:r w:rsidR="00B151F4">
        <w:t>ого</w:t>
      </w:r>
      <w:r w:rsidR="008852E5">
        <w:t xml:space="preserve"> STAT3 </w:t>
      </w:r>
      <w:r w:rsidR="00B151F4">
        <w:t xml:space="preserve">при дозах </w:t>
      </w:r>
      <w:r w:rsidR="008852E5">
        <w:t>≥</w:t>
      </w:r>
      <w:r w:rsidR="00B151F4">
        <w:t xml:space="preserve"> </w:t>
      </w:r>
      <w:r w:rsidR="008852E5">
        <w:t>10 мг/кг/</w:t>
      </w:r>
      <w:r w:rsidR="00B151F4">
        <w:t>сут</w:t>
      </w:r>
      <w:r w:rsidR="00A452FA">
        <w:t>,</w:t>
      </w:r>
      <w:r w:rsidR="008852E5">
        <w:t xml:space="preserve"> и </w:t>
      </w:r>
      <w:r w:rsidR="00550753">
        <w:t xml:space="preserve">разобщающего </w:t>
      </w:r>
      <w:r w:rsidR="008852E5">
        <w:t>бел</w:t>
      </w:r>
      <w:r w:rsidR="001A5ED5">
        <w:t>ка</w:t>
      </w:r>
      <w:r w:rsidR="008852E5">
        <w:t xml:space="preserve"> </w:t>
      </w:r>
      <w:r w:rsidR="00550753">
        <w:t>1 (</w:t>
      </w:r>
      <w:r w:rsidR="00301E0C" w:rsidRPr="00301E0C">
        <w:t>Uncoupling Protein</w:t>
      </w:r>
      <w:r w:rsidR="00301E0C">
        <w:t xml:space="preserve"> 1, </w:t>
      </w:r>
      <w:r w:rsidR="008852E5">
        <w:t>UCP-1</w:t>
      </w:r>
      <w:r w:rsidR="00301E0C">
        <w:t>)</w:t>
      </w:r>
      <w:r w:rsidR="008852E5">
        <w:t xml:space="preserve"> </w:t>
      </w:r>
      <w:r w:rsidR="001A5ED5">
        <w:t xml:space="preserve">при дозах </w:t>
      </w:r>
      <w:r w:rsidR="008852E5">
        <w:t>≥</w:t>
      </w:r>
      <w:r w:rsidR="001A5ED5">
        <w:t xml:space="preserve"> </w:t>
      </w:r>
      <w:r w:rsidR="008852E5">
        <w:t>30 мг/кг/</w:t>
      </w:r>
      <w:r w:rsidR="001A5ED5">
        <w:t>сут</w:t>
      </w:r>
      <w:r w:rsidR="008852E5">
        <w:t xml:space="preserve"> в сочетании с</w:t>
      </w:r>
      <w:r w:rsidR="00301E0C">
        <w:t xml:space="preserve"> </w:t>
      </w:r>
      <w:r w:rsidR="008852E5">
        <w:t>увеличение</w:t>
      </w:r>
      <w:r w:rsidR="00301E0C">
        <w:t>м</w:t>
      </w:r>
      <w:r w:rsidR="008852E5">
        <w:t xml:space="preserve"> массы бурой жировой ткани </w:t>
      </w:r>
      <w:r w:rsidR="00301E0C">
        <w:t xml:space="preserve">при дозе </w:t>
      </w:r>
      <w:r w:rsidR="008852E5">
        <w:t>75 мг/кг/</w:t>
      </w:r>
      <w:r w:rsidR="00301E0C">
        <w:t>сут</w:t>
      </w:r>
      <w:r w:rsidR="008852E5">
        <w:t xml:space="preserve"> и пролифераци</w:t>
      </w:r>
      <w:r w:rsidR="00301E0C">
        <w:t>ей</w:t>
      </w:r>
      <w:r w:rsidR="008852E5">
        <w:t xml:space="preserve"> клеток </w:t>
      </w:r>
      <w:r w:rsidR="00301E0C">
        <w:t xml:space="preserve">при дозе </w:t>
      </w:r>
      <w:r w:rsidR="008852E5">
        <w:t>≥</w:t>
      </w:r>
      <w:r w:rsidR="00301E0C">
        <w:t xml:space="preserve"> </w:t>
      </w:r>
      <w:r w:rsidR="008852E5">
        <w:t>30</w:t>
      </w:r>
      <w:r w:rsidR="00301E0C">
        <w:t xml:space="preserve"> </w:t>
      </w:r>
      <w:r w:rsidR="008852E5">
        <w:t>мг/кг/</w:t>
      </w:r>
      <w:r w:rsidR="00301E0C">
        <w:t>сут</w:t>
      </w:r>
      <w:r w:rsidR="008852E5">
        <w:t xml:space="preserve">. </w:t>
      </w:r>
      <w:r w:rsidR="00301E0C">
        <w:t>П</w:t>
      </w:r>
      <w:r w:rsidR="008852E5">
        <w:t>оскольку эти изменения происходили при дозах и</w:t>
      </w:r>
      <w:r w:rsidR="00301E0C">
        <w:t xml:space="preserve"> экспозиции</w:t>
      </w:r>
      <w:r w:rsidR="008852E5">
        <w:t xml:space="preserve">, </w:t>
      </w:r>
      <w:r w:rsidR="00301E0C">
        <w:t>ассоциирующимися</w:t>
      </w:r>
      <w:r w:rsidR="008852E5">
        <w:t xml:space="preserve"> с более высокой </w:t>
      </w:r>
      <w:r w:rsidR="00301E0C">
        <w:t>частотой развития</w:t>
      </w:r>
      <w:r w:rsidR="008852E5">
        <w:t xml:space="preserve"> гиберном у крыс</w:t>
      </w:r>
      <w:r w:rsidR="00301E0C">
        <w:t xml:space="preserve"> в 2-летнем исследовании </w:t>
      </w:r>
      <w:r w:rsidR="008852E5">
        <w:t>канцерогенности, образование гиберном могло произойти в результате нарушения</w:t>
      </w:r>
      <w:r w:rsidR="00301E0C">
        <w:t xml:space="preserve"> п</w:t>
      </w:r>
      <w:r w:rsidR="008852E5">
        <w:t>ут</w:t>
      </w:r>
      <w:r w:rsidR="00301E0C">
        <w:t>и</w:t>
      </w:r>
      <w:r w:rsidR="008852E5">
        <w:t xml:space="preserve"> JAK/STAT в бурой жировой ткани</w:t>
      </w:r>
      <w:r w:rsidR="00301E0C">
        <w:t xml:space="preserve"> </w:t>
      </w:r>
      <w:r w:rsidR="00301E0C">
        <w:rPr>
          <w:lang w:val="en-US"/>
        </w:rPr>
        <w:fldChar w:fldCharType="begin"/>
      </w:r>
      <w:r w:rsidR="00044A89">
        <w:instrText xml:space="preserve"> ADDIN ZOTERO_ITEM CSL_CITATION {"citationID":"n0IYjk67","properties":{"formattedCitation":"[12]","plainCitation":"[12]","noteIndex":0},"citationItems":[{"id":87803,"uris":["http://zotero.org/groups/4742804/items/DMZ5DFPG"],"itemData":{"id":87803,"type":"webpage","title":"Xeljanz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301E0C">
        <w:rPr>
          <w:lang w:val="en-US"/>
        </w:rPr>
        <w:fldChar w:fldCharType="separate"/>
      </w:r>
      <w:r w:rsidR="00D46D1F">
        <w:rPr>
          <w:rFonts w:cs="Times New Roman"/>
        </w:rPr>
        <w:t>[1</w:t>
      </w:r>
      <w:r w:rsidR="00044A89" w:rsidRPr="00044A89">
        <w:rPr>
          <w:rFonts w:cs="Times New Roman"/>
        </w:rPr>
        <w:t>]</w:t>
      </w:r>
      <w:r w:rsidR="00301E0C">
        <w:rPr>
          <w:lang w:val="en-US"/>
        </w:rPr>
        <w:fldChar w:fldCharType="end"/>
      </w:r>
      <w:r w:rsidR="00301E0C">
        <w:t>.</w:t>
      </w:r>
    </w:p>
    <w:p w14:paraId="6C61797B" w14:textId="5262BA35" w:rsidR="00BF0C28" w:rsidRDefault="00BF0C28" w:rsidP="00D36ADC">
      <w:pPr>
        <w:pStyle w:val="SDText"/>
        <w:contextualSpacing/>
      </w:pPr>
      <w:r>
        <w:t xml:space="preserve">В исследовании </w:t>
      </w:r>
      <w:r w:rsidRPr="00BF0C28">
        <w:t>11GR383</w:t>
      </w:r>
      <w:r>
        <w:t xml:space="preserve"> </w:t>
      </w:r>
      <w:r w:rsidR="003F5CCC">
        <w:t xml:space="preserve">установили, что на фоне перорального введения </w:t>
      </w:r>
      <w:r w:rsidR="003C2A19" w:rsidRPr="003C2A19">
        <w:t>тофацитиниба</w:t>
      </w:r>
      <w:r w:rsidR="003F5CCC">
        <w:t xml:space="preserve"> самкам крыс в дозах 10, 30 и 75 мг/кг/сут в течение 14 дней уровень</w:t>
      </w:r>
      <w:r w:rsidR="00BC4BC3" w:rsidRPr="00BC4BC3">
        <w:t xml:space="preserve"> </w:t>
      </w:r>
      <w:r w:rsidR="00BC4BC3">
        <w:t xml:space="preserve">норадреналина </w:t>
      </w:r>
      <w:r w:rsidR="003F5CCC">
        <w:t>в плазме крови увеличился на ≥ 30 мг/кг/сут в первый день и ≥ 10 мг/кг/сут на 14 день. AUC и C</w:t>
      </w:r>
      <w:r w:rsidR="003F5CCC" w:rsidRPr="003F5CCC">
        <w:rPr>
          <w:vertAlign w:val="subscript"/>
        </w:rPr>
        <w:t xml:space="preserve">max </w:t>
      </w:r>
      <w:r w:rsidR="003F5CCC">
        <w:t xml:space="preserve">не рассчитывались для уровня </w:t>
      </w:r>
      <w:r w:rsidR="00BC4BC3">
        <w:t>норадреналина</w:t>
      </w:r>
      <w:r w:rsidR="003F5CCC">
        <w:t xml:space="preserve"> за период, </w:t>
      </w:r>
      <w:r w:rsidR="007978A7">
        <w:t>сопоставимый с определением концентраци</w:t>
      </w:r>
      <w:r w:rsidR="00BC4BC3">
        <w:t>и</w:t>
      </w:r>
      <w:r w:rsidR="003F5CCC">
        <w:t xml:space="preserve"> </w:t>
      </w:r>
      <w:r w:rsidR="003C2A19" w:rsidRPr="003C2A19">
        <w:t>тофацитиниба</w:t>
      </w:r>
      <w:r w:rsidR="0083391F">
        <w:t>,</w:t>
      </w:r>
      <w:r w:rsidR="003F5CCC">
        <w:t xml:space="preserve"> и статистической оценки корреляций между уровнями </w:t>
      </w:r>
      <w:r w:rsidR="00BC4BC3">
        <w:t>норадреналина</w:t>
      </w:r>
      <w:r w:rsidR="003F5CCC">
        <w:t xml:space="preserve"> и </w:t>
      </w:r>
      <w:r w:rsidR="003C2A19" w:rsidRPr="003C2A19">
        <w:t xml:space="preserve">тофацитиниба </w:t>
      </w:r>
      <w:r w:rsidR="007978A7">
        <w:t>не проводили</w:t>
      </w:r>
      <w:r w:rsidR="003F5CCC">
        <w:t>. Только на 14 день отдельные значения</w:t>
      </w:r>
      <w:r w:rsidR="007978A7">
        <w:t xml:space="preserve"> были</w:t>
      </w:r>
      <w:r w:rsidR="003F5CCC">
        <w:t xml:space="preserve"> представлены для </w:t>
      </w:r>
      <w:r w:rsidR="007978A7">
        <w:t xml:space="preserve">содержания </w:t>
      </w:r>
      <w:r w:rsidR="003C2A19" w:rsidRPr="003C2A19">
        <w:t xml:space="preserve">тофацитиниба </w:t>
      </w:r>
      <w:r w:rsidR="003F5CCC">
        <w:t xml:space="preserve">и </w:t>
      </w:r>
      <w:r w:rsidR="00BC4BC3">
        <w:t>норадреналина</w:t>
      </w:r>
      <w:r w:rsidR="003F5CCC">
        <w:t xml:space="preserve"> в одни и те же моменты времени. Без дальнейшего биоаналитического и статистического анализа вклад системно</w:t>
      </w:r>
      <w:r w:rsidR="00BC4BC3">
        <w:t>й экспозиции</w:t>
      </w:r>
      <w:r w:rsidR="003F5CCC">
        <w:t xml:space="preserve"> норадреналин</w:t>
      </w:r>
      <w:r w:rsidR="00BC4BC3">
        <w:t>ом</w:t>
      </w:r>
      <w:r w:rsidR="0083391F">
        <w:t>,</w:t>
      </w:r>
      <w:r w:rsidR="003F5CCC">
        <w:t xml:space="preserve"> как стимулятор</w:t>
      </w:r>
      <w:r w:rsidR="00BC4BC3">
        <w:t>а</w:t>
      </w:r>
      <w:r w:rsidR="003F5CCC">
        <w:t xml:space="preserve"> развития гиберномы остается </w:t>
      </w:r>
      <w:r w:rsidR="00BC4BC3">
        <w:t xml:space="preserve">предположительным </w:t>
      </w:r>
      <w:r w:rsidR="00BC4BC3">
        <w:rPr>
          <w:lang w:val="en-US"/>
        </w:rPr>
        <w:fldChar w:fldCharType="begin"/>
      </w:r>
      <w:r w:rsidR="00044A89">
        <w:instrText xml:space="preserve"> ADDIN ZOTERO_ITEM CSL_CITATION {"citationID":"YWBsBhcv","properties":{"formattedCitation":"[12]","plainCitation":"[12]","noteIndex":0},"citationItems":[{"id":87803,"uris":["http://zotero.org/groups/4742804/items/DMZ5DFPG"],"itemData":{"id":87803,"type":"webpage","title":"Xeljanz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BC4BC3">
        <w:rPr>
          <w:lang w:val="en-US"/>
        </w:rPr>
        <w:fldChar w:fldCharType="separate"/>
      </w:r>
      <w:r w:rsidR="00D46D1F">
        <w:rPr>
          <w:rFonts w:cs="Times New Roman"/>
        </w:rPr>
        <w:t>[1</w:t>
      </w:r>
      <w:r w:rsidR="00044A89" w:rsidRPr="00044A89">
        <w:rPr>
          <w:rFonts w:cs="Times New Roman"/>
        </w:rPr>
        <w:t>]</w:t>
      </w:r>
      <w:r w:rsidR="00BC4BC3">
        <w:rPr>
          <w:lang w:val="en-US"/>
        </w:rPr>
        <w:fldChar w:fldCharType="end"/>
      </w:r>
      <w:r w:rsidR="00BC4BC3">
        <w:t>.</w:t>
      </w:r>
    </w:p>
    <w:p w14:paraId="2CB21981" w14:textId="766B0B83" w:rsidR="007D0E2F" w:rsidRDefault="00960862" w:rsidP="0040049C">
      <w:pPr>
        <w:pStyle w:val="SDText"/>
        <w:spacing w:after="0"/>
        <w:contextualSpacing/>
      </w:pPr>
      <w:r>
        <w:t>Проведено</w:t>
      </w:r>
      <w:r w:rsidRPr="00960862">
        <w:t xml:space="preserve"> </w:t>
      </w:r>
      <w:r>
        <w:t>исследование</w:t>
      </w:r>
      <w:r w:rsidRPr="00960862">
        <w:t xml:space="preserve"> </w:t>
      </w:r>
      <w:r w:rsidR="006D2E7F">
        <w:t>08</w:t>
      </w:r>
      <w:r w:rsidR="006D2E7F">
        <w:rPr>
          <w:lang w:val="en-US"/>
        </w:rPr>
        <w:t>GR</w:t>
      </w:r>
      <w:r w:rsidR="006D2E7F" w:rsidRPr="006D2E7F">
        <w:t xml:space="preserve">481 </w:t>
      </w:r>
      <w:r w:rsidR="006D2E7F">
        <w:t xml:space="preserve">для оценки </w:t>
      </w:r>
      <w:r>
        <w:t xml:space="preserve">канцерогенности </w:t>
      </w:r>
      <w:r w:rsidR="003C2A19" w:rsidRPr="003C2A19">
        <w:t xml:space="preserve">тофацитиниба </w:t>
      </w:r>
      <w:r w:rsidR="004210CC">
        <w:t>на мышах</w:t>
      </w:r>
      <w:r w:rsidR="003D53B9">
        <w:t xml:space="preserve"> (возраст 7 не</w:t>
      </w:r>
      <w:r w:rsidR="00672B4F">
        <w:t>де</w:t>
      </w:r>
      <w:r w:rsidR="003D53B9">
        <w:t>ль, масс</w:t>
      </w:r>
      <w:r w:rsidR="00672B4F">
        <w:t>а</w:t>
      </w:r>
      <w:r w:rsidR="003D53B9">
        <w:t xml:space="preserve"> тела </w:t>
      </w:r>
      <w:r w:rsidR="003D53B9" w:rsidRPr="003D53B9">
        <w:t>18</w:t>
      </w:r>
      <w:r w:rsidR="00672B4F">
        <w:t>,</w:t>
      </w:r>
      <w:r w:rsidR="003D53B9" w:rsidRPr="003D53B9">
        <w:t>5</w:t>
      </w:r>
      <w:r w:rsidR="00672B4F">
        <w:t>–</w:t>
      </w:r>
      <w:r w:rsidR="003D53B9" w:rsidRPr="003D53B9">
        <w:t>26</w:t>
      </w:r>
      <w:r w:rsidR="00672B4F">
        <w:t>,</w:t>
      </w:r>
      <w:r w:rsidR="003D53B9" w:rsidRPr="003D53B9">
        <w:t>1</w:t>
      </w:r>
      <w:r w:rsidR="003D53B9">
        <w:t xml:space="preserve"> г для самцов и </w:t>
      </w:r>
      <w:r w:rsidR="00672B4F" w:rsidRPr="00672B4F">
        <w:t>13</w:t>
      </w:r>
      <w:r w:rsidR="00672B4F">
        <w:t>,</w:t>
      </w:r>
      <w:r w:rsidR="00672B4F" w:rsidRPr="00672B4F">
        <w:t>9</w:t>
      </w:r>
      <w:r w:rsidR="00672B4F">
        <w:t>–</w:t>
      </w:r>
      <w:r w:rsidR="00672B4F" w:rsidRPr="00672B4F">
        <w:t>21</w:t>
      </w:r>
      <w:r w:rsidR="00672B4F">
        <w:t>,</w:t>
      </w:r>
      <w:r w:rsidR="00672B4F" w:rsidRPr="00672B4F">
        <w:t>5</w:t>
      </w:r>
      <w:r w:rsidR="00672B4F">
        <w:t xml:space="preserve"> для самок</w:t>
      </w:r>
      <w:r w:rsidR="00740F6F">
        <w:t xml:space="preserve">, </w:t>
      </w:r>
      <w:bookmarkStart w:id="158" w:name="_Hlk113869413"/>
      <w:r w:rsidR="00D12DD6">
        <w:t>по 25 самцов и 25 самок на группу для оценки токси</w:t>
      </w:r>
      <w:r w:rsidR="001B4F72">
        <w:t>чности</w:t>
      </w:r>
      <w:bookmarkEnd w:id="158"/>
      <w:r w:rsidR="00C408F2">
        <w:t xml:space="preserve">). </w:t>
      </w:r>
      <w:r w:rsidR="0040049C">
        <w:t>Исследователи</w:t>
      </w:r>
      <w:r w:rsidR="004210CC" w:rsidRPr="00C0364B">
        <w:t xml:space="preserve"> </w:t>
      </w:r>
      <w:r w:rsidR="004210CC">
        <w:t>использовали</w:t>
      </w:r>
      <w:r w:rsidR="004210CC" w:rsidRPr="00C0364B">
        <w:t xml:space="preserve"> </w:t>
      </w:r>
      <w:r w:rsidR="004210CC">
        <w:t>модель</w:t>
      </w:r>
      <w:r w:rsidRPr="00C0364B">
        <w:t xml:space="preserve"> 001178-</w:t>
      </w:r>
      <w:r w:rsidRPr="00960862">
        <w:rPr>
          <w:lang w:val="en-US"/>
        </w:rPr>
        <w:t>T</w:t>
      </w:r>
      <w:r w:rsidRPr="00C0364B">
        <w:t xml:space="preserve"> (</w:t>
      </w:r>
      <w:r w:rsidR="00C0364B">
        <w:t>гемизиготную</w:t>
      </w:r>
      <w:r w:rsidRPr="00C0364B">
        <w:t>)</w:t>
      </w:r>
      <w:r w:rsidR="00FB54B5">
        <w:t>,</w:t>
      </w:r>
      <w:r w:rsidR="00C0364B">
        <w:t xml:space="preserve"> </w:t>
      </w:r>
      <w:r w:rsidRPr="00960862">
        <w:rPr>
          <w:lang w:val="en-US"/>
        </w:rPr>
        <w:t>CB</w:t>
      </w:r>
      <w:r w:rsidRPr="00C0364B">
        <w:t>6</w:t>
      </w:r>
      <w:r w:rsidRPr="00960862">
        <w:rPr>
          <w:lang w:val="en-US"/>
        </w:rPr>
        <w:t>F</w:t>
      </w:r>
      <w:r w:rsidRPr="00C0364B">
        <w:t>1/</w:t>
      </w:r>
      <w:r w:rsidRPr="00960862">
        <w:rPr>
          <w:lang w:val="en-US"/>
        </w:rPr>
        <w:t>Jic</w:t>
      </w:r>
      <w:r w:rsidRPr="00C0364B">
        <w:t>-</w:t>
      </w:r>
      <w:r w:rsidRPr="00960862">
        <w:rPr>
          <w:lang w:val="en-US"/>
        </w:rPr>
        <w:t>TgrasH</w:t>
      </w:r>
      <w:r w:rsidRPr="00C0364B">
        <w:t>2@</w:t>
      </w:r>
      <w:r w:rsidRPr="00960862">
        <w:rPr>
          <w:lang w:val="en-US"/>
        </w:rPr>
        <w:t>Tac</w:t>
      </w:r>
      <w:r w:rsidRPr="00C0364B">
        <w:t xml:space="preserve"> </w:t>
      </w:r>
      <w:r w:rsidR="00C0364B">
        <w:t>для</w:t>
      </w:r>
      <w:r w:rsidR="00C0364B" w:rsidRPr="00C0364B">
        <w:t xml:space="preserve"> </w:t>
      </w:r>
      <w:r w:rsidR="00C0364B">
        <w:t>исследования</w:t>
      </w:r>
      <w:r w:rsidR="00C0364B" w:rsidRPr="00C0364B">
        <w:t xml:space="preserve"> </w:t>
      </w:r>
      <w:r w:rsidR="00C0364B">
        <w:t>токсичности</w:t>
      </w:r>
      <w:r w:rsidR="00FB54B5">
        <w:t xml:space="preserve">. </w:t>
      </w:r>
      <w:r w:rsidR="00936208">
        <w:t xml:space="preserve">Животных разделили на 9 групп. Группы 1–5 являлись группами для оценки токсичности, </w:t>
      </w:r>
      <w:r w:rsidR="00936208">
        <w:lastRenderedPageBreak/>
        <w:t xml:space="preserve">а группы 6–9 – группами для оценки токсикокинетики. </w:t>
      </w:r>
      <w:r w:rsidR="006400FE">
        <w:t>Животные из групп 1–</w:t>
      </w:r>
      <w:r w:rsidR="001B4F72">
        <w:t>4</w:t>
      </w:r>
      <w:r w:rsidR="006400FE">
        <w:t xml:space="preserve"> получали внутрижелудочно </w:t>
      </w:r>
      <w:r w:rsidR="003C2A19" w:rsidRPr="003C2A19">
        <w:t>тофацитиниб</w:t>
      </w:r>
      <w:r w:rsidR="003C2A19">
        <w:t xml:space="preserve"> </w:t>
      </w:r>
      <w:r w:rsidR="00352411">
        <w:t>в дозе 25, 75 или 200 мг/кг/сут</w:t>
      </w:r>
      <w:r w:rsidR="0083391F">
        <w:t>,</w:t>
      </w:r>
      <w:r w:rsidR="00352411">
        <w:t xml:space="preserve"> или носитель</w:t>
      </w:r>
      <w:r w:rsidR="00C35125" w:rsidRPr="00C35125">
        <w:t xml:space="preserve"> </w:t>
      </w:r>
      <w:r w:rsidR="00C35125">
        <w:t>в течение</w:t>
      </w:r>
      <w:r w:rsidR="00292FFD">
        <w:t xml:space="preserve"> 26 недель</w:t>
      </w:r>
      <w:r w:rsidR="00CF24B7">
        <w:t>, а животные из пятой группы</w:t>
      </w:r>
      <w:r w:rsidR="00714E55">
        <w:t xml:space="preserve"> – </w:t>
      </w:r>
      <w:r w:rsidR="00714E55" w:rsidRPr="00714E55">
        <w:t>N-</w:t>
      </w:r>
      <w:r w:rsidR="00714E55">
        <w:t>нитрозо</w:t>
      </w:r>
      <w:r w:rsidR="00714E55" w:rsidRPr="00714E55">
        <w:t>-N</w:t>
      </w:r>
      <w:r w:rsidR="00714E55">
        <w:t xml:space="preserve">-метилмочевину в дозе </w:t>
      </w:r>
      <w:r w:rsidR="00C35125">
        <w:t>75 мг/к</w:t>
      </w:r>
      <w:r w:rsidR="00991F51">
        <w:t>г</w:t>
      </w:r>
      <w:r w:rsidR="00C35125">
        <w:t xml:space="preserve"> внутрибрюшинно</w:t>
      </w:r>
      <w:r w:rsidR="00352411">
        <w:t xml:space="preserve"> </w:t>
      </w:r>
      <w:r w:rsidR="00292FFD">
        <w:t xml:space="preserve">однократно. </w:t>
      </w:r>
      <w:r w:rsidR="00F11090">
        <w:t xml:space="preserve">Животные из групп 6–9 получали внутрижелудочно </w:t>
      </w:r>
      <w:r w:rsidR="002A5C58" w:rsidRPr="002A5C58">
        <w:t>тофацитиниб</w:t>
      </w:r>
      <w:r w:rsidR="00F11090">
        <w:t xml:space="preserve"> в дозе 25, 75 или 200 мг/кг/сут</w:t>
      </w:r>
      <w:r w:rsidR="0083391F">
        <w:t>,</w:t>
      </w:r>
      <w:r w:rsidR="00F11090">
        <w:t xml:space="preserve"> или носитель</w:t>
      </w:r>
      <w:r w:rsidR="00F11090" w:rsidRPr="00C35125">
        <w:t xml:space="preserve"> </w:t>
      </w:r>
      <w:r w:rsidR="00F11090">
        <w:t xml:space="preserve">в течение 20 недель. </w:t>
      </w:r>
      <w:r w:rsidR="00B32D62">
        <w:t xml:space="preserve">Свидетельств онкогенного потенциала </w:t>
      </w:r>
      <w:r w:rsidR="002A5C58" w:rsidRPr="002A5C58">
        <w:t xml:space="preserve">тофацитиниба </w:t>
      </w:r>
      <w:r w:rsidR="00C04132">
        <w:t xml:space="preserve">у гемизиготных мышей, получавших </w:t>
      </w:r>
      <w:r w:rsidR="002A5C58" w:rsidRPr="002A5C58">
        <w:t>тофацитиниб</w:t>
      </w:r>
      <w:r w:rsidR="002A5C58">
        <w:t xml:space="preserve"> </w:t>
      </w:r>
      <w:r w:rsidR="00C04132">
        <w:t xml:space="preserve">в дозе 25, 75 или 200 мг/кг/сут в течение </w:t>
      </w:r>
      <w:r w:rsidR="004C35D8">
        <w:t>6 мес.</w:t>
      </w:r>
      <w:r w:rsidR="0083391F">
        <w:t>,</w:t>
      </w:r>
      <w:r w:rsidR="004C35D8">
        <w:t xml:space="preserve"> не выявили. Клинические признаки токсичности (</w:t>
      </w:r>
      <w:r w:rsidR="00B87CBD">
        <w:t xml:space="preserve">гиподинамия, лежачее положение) </w:t>
      </w:r>
      <w:r w:rsidR="008F06A6">
        <w:t>и микроскопические изменения, не относящиеся к новообразованиям</w:t>
      </w:r>
      <w:r w:rsidR="00185DF7" w:rsidRPr="00185DF7">
        <w:t xml:space="preserve"> (</w:t>
      </w:r>
      <w:r w:rsidR="00185DF7">
        <w:t>снижение клеточности костного мозга в бедренной кости</w:t>
      </w:r>
      <w:r w:rsidR="00821AF1" w:rsidRPr="00821AF1">
        <w:t xml:space="preserve"> </w:t>
      </w:r>
      <w:r w:rsidR="00821AF1">
        <w:t xml:space="preserve">и красной пульпе </w:t>
      </w:r>
      <w:r w:rsidR="00A81617">
        <w:t>селезенки</w:t>
      </w:r>
      <w:r w:rsidR="0092189C">
        <w:t>)</w:t>
      </w:r>
      <w:r w:rsidR="008F06A6">
        <w:t xml:space="preserve">, </w:t>
      </w:r>
      <w:r w:rsidR="00B87CBD">
        <w:t xml:space="preserve">наблюдали </w:t>
      </w:r>
      <w:r w:rsidR="00762946">
        <w:t>при дозах 75 и 200 мг/кг/сут</w:t>
      </w:r>
      <w:r w:rsidR="00C408F2">
        <w:t xml:space="preserve"> </w:t>
      </w:r>
      <w:r w:rsidR="003907B7">
        <w:rPr>
          <w:lang w:val="en-US"/>
        </w:rPr>
        <w:fldChar w:fldCharType="begin"/>
      </w:r>
      <w:r w:rsidR="00044A89">
        <w:instrText xml:space="preserve"> ADDIN ZOTERO_ITEM CSL_CITATION {"citationID":"EqzZBB8r","properties":{"formattedCitation":"[12]","plainCitation":"[12]","noteIndex":0},"citationItems":[{"id":87803,"uris":["http://zotero.org/groups/4742804/items/DMZ5DFPG"],"itemData":{"id":87803,"type":"webpage","title":"Xeljanz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3907B7">
        <w:rPr>
          <w:lang w:val="en-US"/>
        </w:rPr>
        <w:fldChar w:fldCharType="separate"/>
      </w:r>
      <w:r w:rsidR="00D46D1F">
        <w:rPr>
          <w:rFonts w:cs="Times New Roman"/>
        </w:rPr>
        <w:t>[1</w:t>
      </w:r>
      <w:r w:rsidR="00044A89" w:rsidRPr="00044A89">
        <w:rPr>
          <w:rFonts w:cs="Times New Roman"/>
        </w:rPr>
        <w:t>]</w:t>
      </w:r>
      <w:r w:rsidR="003907B7">
        <w:rPr>
          <w:lang w:val="en-US"/>
        </w:rPr>
        <w:fldChar w:fldCharType="end"/>
      </w:r>
      <w:r w:rsidR="003907B7">
        <w:t>.</w:t>
      </w:r>
    </w:p>
    <w:p w14:paraId="03A59F99" w14:textId="77777777" w:rsidR="0040049C" w:rsidRDefault="0040049C" w:rsidP="0040049C">
      <w:pPr>
        <w:pStyle w:val="SDText"/>
        <w:spacing w:after="0"/>
        <w:contextualSpacing/>
      </w:pPr>
    </w:p>
    <w:p w14:paraId="30FEA79A" w14:textId="4398749A" w:rsidR="00771D7C" w:rsidRDefault="00D62B3D" w:rsidP="00D62B3D">
      <w:pPr>
        <w:pStyle w:val="3"/>
        <w:numPr>
          <w:ilvl w:val="0"/>
          <w:numId w:val="0"/>
        </w:numPr>
        <w:ind w:left="720" w:hanging="720"/>
      </w:pPr>
      <w:bookmarkStart w:id="159" w:name="_Toc115421048"/>
      <w:bookmarkStart w:id="160" w:name="_Toc121592581"/>
      <w:r>
        <w:t xml:space="preserve">3.3.5. </w:t>
      </w:r>
      <w:r w:rsidR="00B57C31" w:rsidRPr="00D76414">
        <w:t>Репродуктивная и онтогенетическая токсичность</w:t>
      </w:r>
      <w:bookmarkEnd w:id="159"/>
      <w:bookmarkEnd w:id="160"/>
    </w:p>
    <w:p w14:paraId="700D87A9" w14:textId="77777777" w:rsidR="00BD2318" w:rsidRPr="00BD2318" w:rsidRDefault="00BD2318" w:rsidP="0040049C">
      <w:pPr>
        <w:pStyle w:val="SDText"/>
        <w:spacing w:after="0"/>
      </w:pPr>
    </w:p>
    <w:p w14:paraId="3CC8A533" w14:textId="0485CBC0" w:rsidR="00771D7C" w:rsidRPr="00BD2318" w:rsidRDefault="00D62B3D" w:rsidP="00D62B3D">
      <w:pPr>
        <w:pStyle w:val="4"/>
        <w:numPr>
          <w:ilvl w:val="0"/>
          <w:numId w:val="0"/>
        </w:numPr>
        <w:ind w:left="864" w:hanging="864"/>
      </w:pPr>
      <w:bookmarkStart w:id="161" w:name="_Ref113954769"/>
      <w:bookmarkStart w:id="162" w:name="_Toc115421049"/>
      <w:bookmarkStart w:id="163" w:name="_Toc121592582"/>
      <w:r>
        <w:t xml:space="preserve">3.3.5.1. </w:t>
      </w:r>
      <w:r w:rsidR="00F928EE" w:rsidRPr="00BD2318">
        <w:t xml:space="preserve">Влияние на фертильность и ранняя </w:t>
      </w:r>
      <w:r w:rsidR="00F928EE" w:rsidRPr="00B20C48">
        <w:t>эмбриональная</w:t>
      </w:r>
      <w:r w:rsidR="00F928EE" w:rsidRPr="00BD2318">
        <w:t xml:space="preserve"> токсичность</w:t>
      </w:r>
      <w:bookmarkEnd w:id="161"/>
      <w:bookmarkEnd w:id="162"/>
      <w:bookmarkEnd w:id="163"/>
    </w:p>
    <w:p w14:paraId="521A6364" w14:textId="77777777" w:rsidR="00BD2318" w:rsidRDefault="00BD2318" w:rsidP="0040049C">
      <w:pPr>
        <w:pStyle w:val="SDText"/>
        <w:spacing w:after="0"/>
        <w:contextualSpacing/>
      </w:pPr>
    </w:p>
    <w:p w14:paraId="0991DA99" w14:textId="184A6FF7" w:rsidR="00EE4915" w:rsidRPr="00FF02A3" w:rsidRDefault="00DB28ED" w:rsidP="0040049C">
      <w:pPr>
        <w:pStyle w:val="SDText"/>
        <w:spacing w:after="0"/>
        <w:contextualSpacing/>
      </w:pPr>
      <w:r>
        <w:t xml:space="preserve">В исследовании </w:t>
      </w:r>
      <w:r w:rsidRPr="00A242AF">
        <w:t>05</w:t>
      </w:r>
      <w:r w:rsidRPr="00DB28ED">
        <w:rPr>
          <w:lang w:val="en-US"/>
        </w:rPr>
        <w:t>GR</w:t>
      </w:r>
      <w:r w:rsidRPr="00A242AF">
        <w:t>051</w:t>
      </w:r>
      <w:r>
        <w:t xml:space="preserve"> </w:t>
      </w:r>
      <w:r w:rsidR="00EC5ED4">
        <w:t>на крысах линии Спрег-Доули (</w:t>
      </w:r>
      <w:r w:rsidR="005303ED">
        <w:t xml:space="preserve">по 20 самцов и 20 самок на </w:t>
      </w:r>
      <w:r w:rsidR="00424966">
        <w:t xml:space="preserve">дозовую </w:t>
      </w:r>
      <w:r w:rsidR="005303ED">
        <w:t xml:space="preserve">группу для оценки токсичности, </w:t>
      </w:r>
      <w:r w:rsidR="00424966">
        <w:t xml:space="preserve">по 4 крысы из каждой дозовой группы) </w:t>
      </w:r>
      <w:r w:rsidR="00A242AF">
        <w:t xml:space="preserve">установили, что </w:t>
      </w:r>
      <w:r w:rsidR="002043D4">
        <w:t xml:space="preserve">у самок, которым вводили высокую дозу 100 мг/кг/сут, наблюдали снижение частоты наступления беременности на 25%. Пероральное введение </w:t>
      </w:r>
      <w:r w:rsidR="002A5C58" w:rsidRPr="002A5C58">
        <w:t xml:space="preserve">тофацитиниба </w:t>
      </w:r>
      <w:r w:rsidR="002043D4">
        <w:t xml:space="preserve">не оказало влияния на эстральный цикл или </w:t>
      </w:r>
      <w:r w:rsidR="004F22DA">
        <w:t>частоту спаривания</w:t>
      </w:r>
      <w:r w:rsidR="002043D4">
        <w:t xml:space="preserve">. </w:t>
      </w:r>
      <w:r w:rsidR="004F22DA">
        <w:t>У с</w:t>
      </w:r>
      <w:r w:rsidR="002043D4">
        <w:t>ам</w:t>
      </w:r>
      <w:r w:rsidR="004F22DA">
        <w:t>ок</w:t>
      </w:r>
      <w:r w:rsidR="002043D4">
        <w:t>, получавши</w:t>
      </w:r>
      <w:r w:rsidR="004F22DA">
        <w:t>х</w:t>
      </w:r>
      <w:r w:rsidR="002043D4">
        <w:t xml:space="preserve"> дозу 100 мг/кг/</w:t>
      </w:r>
      <w:r w:rsidR="004F22DA">
        <w:t>сут,</w:t>
      </w:r>
      <w:r w:rsidR="002043D4">
        <w:t xml:space="preserve"> в связи со снижением частоты наступления беременности</w:t>
      </w:r>
      <w:r w:rsidR="004F22DA">
        <w:t xml:space="preserve"> </w:t>
      </w:r>
      <w:r w:rsidR="002043D4">
        <w:t>уменьшилось количество желтых тел, мест имплантации и жизнеспособных</w:t>
      </w:r>
      <w:r w:rsidR="004F22DA">
        <w:t xml:space="preserve"> </w:t>
      </w:r>
      <w:r w:rsidR="002043D4">
        <w:t>плод</w:t>
      </w:r>
      <w:r w:rsidR="004F22DA">
        <w:t>ов</w:t>
      </w:r>
      <w:r w:rsidR="002043D4">
        <w:t>; увеличива</w:t>
      </w:r>
      <w:r w:rsidR="004F22DA">
        <w:t xml:space="preserve">лась частота </w:t>
      </w:r>
      <w:r w:rsidR="002043D4">
        <w:t>ранн</w:t>
      </w:r>
      <w:r w:rsidR="004F22DA">
        <w:t>ей</w:t>
      </w:r>
      <w:r w:rsidR="002043D4">
        <w:t xml:space="preserve"> резорбци</w:t>
      </w:r>
      <w:r w:rsidR="004F22DA">
        <w:t>и</w:t>
      </w:r>
      <w:r w:rsidR="002043D4">
        <w:t>, преимплантационн</w:t>
      </w:r>
      <w:r w:rsidR="004F22DA">
        <w:t>ых</w:t>
      </w:r>
      <w:r w:rsidR="002043D4">
        <w:t xml:space="preserve"> </w:t>
      </w:r>
      <w:r w:rsidR="004F22DA">
        <w:t xml:space="preserve">и </w:t>
      </w:r>
      <w:r w:rsidR="002043D4">
        <w:t>постимплантационны</w:t>
      </w:r>
      <w:r w:rsidR="004F22DA">
        <w:t>х</w:t>
      </w:r>
      <w:r w:rsidR="002043D4">
        <w:t xml:space="preserve"> потер</w:t>
      </w:r>
      <w:r w:rsidR="004F22DA">
        <w:t>ь</w:t>
      </w:r>
      <w:r w:rsidR="002043D4">
        <w:t>. Доза 10 мг/кг/</w:t>
      </w:r>
      <w:r w:rsidR="004F22DA">
        <w:t xml:space="preserve">сут </w:t>
      </w:r>
      <w:r w:rsidR="002043D4">
        <w:t>привела к увеличению</w:t>
      </w:r>
      <w:r w:rsidR="004F22DA">
        <w:t xml:space="preserve"> </w:t>
      </w:r>
      <w:r w:rsidR="002043D4">
        <w:t>постимплантационны</w:t>
      </w:r>
      <w:r w:rsidR="004F22DA">
        <w:t>х</w:t>
      </w:r>
      <w:r w:rsidR="002043D4">
        <w:t xml:space="preserve"> потер</w:t>
      </w:r>
      <w:r w:rsidR="004F22DA">
        <w:t>ь</w:t>
      </w:r>
      <w:r w:rsidR="002043D4">
        <w:t>.</w:t>
      </w:r>
      <w:r w:rsidR="00A242AF">
        <w:t xml:space="preserve"> </w:t>
      </w:r>
      <w:r w:rsidR="009331CF">
        <w:t xml:space="preserve">Не </w:t>
      </w:r>
      <w:r w:rsidR="00FF02A3">
        <w:t>выявили</w:t>
      </w:r>
      <w:r w:rsidR="009331CF">
        <w:t xml:space="preserve"> влияния на частоту наступления беременности</w:t>
      </w:r>
      <w:r w:rsidR="00FF02A3">
        <w:t xml:space="preserve"> при введении</w:t>
      </w:r>
      <w:r w:rsidR="009331CF">
        <w:t xml:space="preserve"> самц</w:t>
      </w:r>
      <w:r w:rsidR="00FF02A3">
        <w:t>ам лекарственного средства</w:t>
      </w:r>
      <w:r w:rsidR="009331CF">
        <w:t xml:space="preserve"> </w:t>
      </w:r>
      <w:r w:rsidR="00FF02A3">
        <w:t xml:space="preserve">в дозе </w:t>
      </w:r>
      <w:r w:rsidR="009331CF">
        <w:t>100 мг/кг/</w:t>
      </w:r>
      <w:r w:rsidR="00FF02A3">
        <w:t>сут</w:t>
      </w:r>
      <w:r w:rsidR="009331CF">
        <w:t xml:space="preserve">, но спаривание обработанных самцов происходило до </w:t>
      </w:r>
      <w:r w:rsidR="00205F1A">
        <w:t>того, как экспозиция могла повлиять на п</w:t>
      </w:r>
      <w:r w:rsidR="009331CF">
        <w:t xml:space="preserve">олный цикл сперматогенеза. </w:t>
      </w:r>
      <w:r w:rsidR="00205F1A">
        <w:t xml:space="preserve">Введение </w:t>
      </w:r>
      <w:r w:rsidR="002A5C58" w:rsidRPr="002A5C58">
        <w:t xml:space="preserve">тофацитиниба </w:t>
      </w:r>
      <w:r w:rsidR="00205F1A">
        <w:t>н</w:t>
      </w:r>
      <w:r w:rsidR="009331CF">
        <w:t>е влия</w:t>
      </w:r>
      <w:r w:rsidR="00205F1A">
        <w:t>ло</w:t>
      </w:r>
      <w:r w:rsidR="009331CF">
        <w:t xml:space="preserve"> на подвижность и количество сперматозоидов. Морфологию сперматозоидов не оценивали. NOAEL для женской фертильности составлял</w:t>
      </w:r>
      <w:r w:rsidR="00205F1A">
        <w:t>а</w:t>
      </w:r>
      <w:r w:rsidR="009331CF">
        <w:t xml:space="preserve"> 1 мг/кг/</w:t>
      </w:r>
      <w:r w:rsidR="00205F1A">
        <w:t>сут</w:t>
      </w:r>
      <w:r w:rsidR="009331CF">
        <w:t>. NOAEL для параметров</w:t>
      </w:r>
      <w:r w:rsidR="00205F1A">
        <w:t>, характеризующих</w:t>
      </w:r>
      <w:r w:rsidR="009331CF">
        <w:t xml:space="preserve"> мужск</w:t>
      </w:r>
      <w:r w:rsidR="00205F1A">
        <w:t>ую</w:t>
      </w:r>
      <w:r w:rsidR="009331CF">
        <w:t xml:space="preserve"> фертильность (подвижность и количество сперматозоидов)</w:t>
      </w:r>
      <w:r w:rsidR="00B8734F">
        <w:t>,</w:t>
      </w:r>
      <w:r w:rsidR="009331CF">
        <w:t xml:space="preserve"> составляла 100 мг/кг/</w:t>
      </w:r>
      <w:r w:rsidR="00205F1A">
        <w:t>сут</w:t>
      </w:r>
      <w:r w:rsidR="009331CF">
        <w:t>, но влияние на последующ</w:t>
      </w:r>
      <w:r w:rsidR="00205F1A">
        <w:t>ую</w:t>
      </w:r>
      <w:r w:rsidR="009331CF">
        <w:t xml:space="preserve"> фертильность у не</w:t>
      </w:r>
      <w:r w:rsidR="00205F1A">
        <w:t>обработанных</w:t>
      </w:r>
      <w:r w:rsidR="009331CF">
        <w:t xml:space="preserve"> самок должным образом не тестировал</w:t>
      </w:r>
      <w:r w:rsidR="005B6E2E">
        <w:t>о</w:t>
      </w:r>
      <w:r w:rsidR="009331CF">
        <w:t xml:space="preserve">сь. </w:t>
      </w:r>
      <w:r w:rsidR="009A4974">
        <w:t>Д</w:t>
      </w:r>
      <w:r w:rsidR="009331CF">
        <w:t xml:space="preserve">изайн исследования в отношении </w:t>
      </w:r>
      <w:r w:rsidR="009A4974">
        <w:t xml:space="preserve">экспозиции </w:t>
      </w:r>
      <w:r w:rsidR="009331CF">
        <w:t xml:space="preserve">CP690550 при пероральном </w:t>
      </w:r>
      <w:r w:rsidR="009A4974">
        <w:t>введении</w:t>
      </w:r>
      <w:r w:rsidR="009331CF">
        <w:t xml:space="preserve"> и спаривани</w:t>
      </w:r>
      <w:r w:rsidR="009A4974">
        <w:t>я</w:t>
      </w:r>
      <w:r w:rsidR="009331CF">
        <w:t xml:space="preserve"> был неподходящим для адекватного определения эффектов </w:t>
      </w:r>
      <w:r w:rsidR="002A5C58" w:rsidRPr="002A5C58">
        <w:t xml:space="preserve">тофацитиниба </w:t>
      </w:r>
      <w:r w:rsidR="009A4974">
        <w:t xml:space="preserve">в отношении мужской фертильности </w:t>
      </w:r>
      <w:r w:rsidR="009331CF">
        <w:t>при спаривании</w:t>
      </w:r>
      <w:r w:rsidR="009A4974">
        <w:t xml:space="preserve">. </w:t>
      </w:r>
      <w:r w:rsidR="009331CF">
        <w:t xml:space="preserve">Однако </w:t>
      </w:r>
      <w:r w:rsidR="009A4974">
        <w:t xml:space="preserve">методы оценки </w:t>
      </w:r>
      <w:r w:rsidR="009331CF">
        <w:t>други</w:t>
      </w:r>
      <w:r w:rsidR="009A4974">
        <w:t>х</w:t>
      </w:r>
      <w:r w:rsidR="009331CF">
        <w:t xml:space="preserve"> </w:t>
      </w:r>
      <w:r w:rsidR="00FF02A3">
        <w:t>измеренны</w:t>
      </w:r>
      <w:r w:rsidR="009A4974">
        <w:t>х</w:t>
      </w:r>
      <w:r w:rsidR="00FF02A3">
        <w:t xml:space="preserve"> параметр</w:t>
      </w:r>
      <w:r w:rsidR="009A4974">
        <w:t xml:space="preserve">ов, в том числе </w:t>
      </w:r>
      <w:r w:rsidR="00FF02A3">
        <w:t xml:space="preserve">характеристик сперматозоидов в конце </w:t>
      </w:r>
      <w:r w:rsidR="009A4974">
        <w:t xml:space="preserve">периода </w:t>
      </w:r>
      <w:r w:rsidR="00FF02A3">
        <w:t>дозирования</w:t>
      </w:r>
      <w:r w:rsidR="009A4974">
        <w:t>,</w:t>
      </w:r>
      <w:r w:rsidR="00FF02A3">
        <w:t xml:space="preserve"> </w:t>
      </w:r>
      <w:r w:rsidR="009A4974">
        <w:t xml:space="preserve">являются </w:t>
      </w:r>
      <w:r w:rsidR="00FF02A3">
        <w:t>приемлемы</w:t>
      </w:r>
      <w:r w:rsidR="009A4974">
        <w:t>ми</w:t>
      </w:r>
      <w:r w:rsidR="00FF02A3">
        <w:t xml:space="preserve"> </w:t>
      </w:r>
      <w:r w:rsidR="00EE4915">
        <w:rPr>
          <w:lang w:val="en-US"/>
        </w:rPr>
        <w:fldChar w:fldCharType="begin"/>
      </w:r>
      <w:r w:rsidR="00044A89">
        <w:instrText xml:space="preserve"> ADDIN ZOTERO_ITEM CSL_CITATION {"citationID":"Djn4zbKt","properties":{"formattedCitation":"[12]","plainCitation":"[12]","noteIndex":0},"citationItems":[{"id":87803,"uris":["http://zotero.org/groups/4742804/items/DMZ5DFPG"],"itemData":{"id":87803,"type":"webpage","title":"Xeljanz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FF02A3">
        <w:t>.</w:t>
      </w:r>
    </w:p>
    <w:p w14:paraId="1C6A3D09" w14:textId="3A25FD85" w:rsidR="00CC466E" w:rsidRDefault="007B2850" w:rsidP="0040049C">
      <w:pPr>
        <w:pStyle w:val="SDText"/>
        <w:spacing w:after="0"/>
        <w:contextualSpacing/>
      </w:pPr>
      <w:r>
        <w:t>В</w:t>
      </w:r>
      <w:r w:rsidRPr="00C67737">
        <w:t xml:space="preserve"> </w:t>
      </w:r>
      <w:r>
        <w:t>исследовании</w:t>
      </w:r>
      <w:r w:rsidRPr="00C67737">
        <w:t xml:space="preserve"> 09</w:t>
      </w:r>
      <w:r w:rsidRPr="00C67737">
        <w:rPr>
          <w:lang w:val="en-US"/>
        </w:rPr>
        <w:t>GR</w:t>
      </w:r>
      <w:r w:rsidRPr="00C67737">
        <w:t xml:space="preserve">250 </w:t>
      </w:r>
      <w:r>
        <w:t>оценивали</w:t>
      </w:r>
      <w:r w:rsidRPr="00C67737">
        <w:t xml:space="preserve"> </w:t>
      </w:r>
      <w:r w:rsidR="00C67737">
        <w:t>влияние</w:t>
      </w:r>
      <w:r w:rsidR="00C67737" w:rsidRPr="00C67737">
        <w:t xml:space="preserve"> </w:t>
      </w:r>
      <w:r w:rsidR="00C67737" w:rsidRPr="00C67737">
        <w:rPr>
          <w:lang w:val="en-US"/>
        </w:rPr>
        <w:t>CP</w:t>
      </w:r>
      <w:r w:rsidR="00C67737" w:rsidRPr="00C67737">
        <w:t xml:space="preserve">-690550-10 </w:t>
      </w:r>
      <w:r w:rsidR="00C67737">
        <w:t xml:space="preserve">при </w:t>
      </w:r>
      <w:r w:rsidR="00E316AC">
        <w:t>внутрижелудочном введении</w:t>
      </w:r>
      <w:r w:rsidR="00C67737" w:rsidRPr="00C67737">
        <w:t xml:space="preserve"> </w:t>
      </w:r>
      <w:r w:rsidR="00E316AC">
        <w:t>в дозах</w:t>
      </w:r>
      <w:r w:rsidR="00C67737" w:rsidRPr="00C67737">
        <w:t xml:space="preserve"> 1, 10 </w:t>
      </w:r>
      <w:r w:rsidR="00E316AC">
        <w:t xml:space="preserve">или </w:t>
      </w:r>
      <w:r w:rsidR="00C67737" w:rsidRPr="00C67737">
        <w:t xml:space="preserve">100 </w:t>
      </w:r>
      <w:r w:rsidR="00E316AC">
        <w:t>мг</w:t>
      </w:r>
      <w:r w:rsidR="00C67737" w:rsidRPr="00C67737">
        <w:t>/</w:t>
      </w:r>
      <w:r w:rsidR="00E316AC">
        <w:t>кг</w:t>
      </w:r>
      <w:r w:rsidR="00C67737" w:rsidRPr="00C67737">
        <w:t>/</w:t>
      </w:r>
      <w:r w:rsidR="00E316AC">
        <w:t xml:space="preserve">сут на фертильность </w:t>
      </w:r>
      <w:r w:rsidR="00151A52">
        <w:t>неполовозрелых крыс линии Спрег-Доули (</w:t>
      </w:r>
      <w:r w:rsidR="00395BF1">
        <w:t>по 20 самцов и 20 самок на группу для оценки токсичности</w:t>
      </w:r>
      <w:r w:rsidR="00A1229B">
        <w:t xml:space="preserve"> </w:t>
      </w:r>
      <w:r w:rsidR="00255BAE">
        <w:t xml:space="preserve">и 1 контрольная группа, включавшая </w:t>
      </w:r>
      <w:r w:rsidR="00763E86">
        <w:t xml:space="preserve">10 самцов и 10 самок). Лекарственное средство или носитель вводили с 21 по 55 день после рождения для самок и с </w:t>
      </w:r>
      <w:r w:rsidR="008E23A0">
        <w:t xml:space="preserve">21 по 70 день после рождения для самцов. </w:t>
      </w:r>
      <w:r w:rsidR="0049094C">
        <w:t>Спаривание</w:t>
      </w:r>
      <w:r w:rsidR="006A2F51">
        <w:t xml:space="preserve"> </w:t>
      </w:r>
      <w:r w:rsidR="0049094C">
        <w:t>обработанных самок с необработанными самцами и обработанных самцов с необработанными</w:t>
      </w:r>
      <w:r w:rsidR="006A2F51">
        <w:t xml:space="preserve"> </w:t>
      </w:r>
      <w:r w:rsidR="005366D5">
        <w:t>самками</w:t>
      </w:r>
      <w:r w:rsidR="0049094C">
        <w:t xml:space="preserve"> нач</w:t>
      </w:r>
      <w:r w:rsidR="005366D5">
        <w:t>ин</w:t>
      </w:r>
      <w:r w:rsidR="0049094C">
        <w:t xml:space="preserve">али с 84 дня </w:t>
      </w:r>
      <w:r w:rsidR="00D62571">
        <w:t>после рождения</w:t>
      </w:r>
      <w:r w:rsidR="0049094C">
        <w:t xml:space="preserve">. </w:t>
      </w:r>
      <w:r w:rsidR="00D62571">
        <w:t xml:space="preserve">Дизайн исследования в отношении экспозиции CP690550 при пероральном введении и спаривания был неподходящим для адекватного определения эффектов </w:t>
      </w:r>
      <w:r w:rsidR="002A5C58" w:rsidRPr="002A5C58">
        <w:t xml:space="preserve">тофацитиниба </w:t>
      </w:r>
      <w:r w:rsidR="00D62571">
        <w:t xml:space="preserve">в отношении мужской фертильности при спаривании. Однако методы оценки других измеренных </w:t>
      </w:r>
      <w:r w:rsidR="00D62571">
        <w:lastRenderedPageBreak/>
        <w:t xml:space="preserve">параметров, в том числе характеристик сперматозоидов </w:t>
      </w:r>
      <w:r w:rsidR="00684907">
        <w:t>и эстрального цикла</w:t>
      </w:r>
      <w:r w:rsidR="00D62571">
        <w:t>, являются приемлемыми</w:t>
      </w:r>
      <w:r w:rsidR="00684907">
        <w:t xml:space="preserve">. </w:t>
      </w:r>
      <w:r w:rsidR="00AC27B3">
        <w:t>Введение</w:t>
      </w:r>
      <w:r w:rsidR="006A2F51">
        <w:t xml:space="preserve"> </w:t>
      </w:r>
      <w:r w:rsidR="002A5C58" w:rsidRPr="002A5C58">
        <w:t xml:space="preserve">тофацитиниба </w:t>
      </w:r>
      <w:r w:rsidR="006A2F51">
        <w:t>не повлияло на признаки полового развития</w:t>
      </w:r>
      <w:r w:rsidR="004A1F7D">
        <w:t xml:space="preserve"> </w:t>
      </w:r>
      <w:r w:rsidR="006A2F51">
        <w:t>(сред</w:t>
      </w:r>
      <w:r w:rsidR="004A1F7D">
        <w:t>нее время</w:t>
      </w:r>
      <w:r w:rsidR="006A2F51">
        <w:t xml:space="preserve"> </w:t>
      </w:r>
      <w:r w:rsidR="004A1F7D" w:rsidRPr="004A1F7D">
        <w:t>отделени</w:t>
      </w:r>
      <w:r w:rsidR="004A1F7D">
        <w:t>я</w:t>
      </w:r>
      <w:r w:rsidR="004A1F7D" w:rsidRPr="004A1F7D">
        <w:t xml:space="preserve"> слизистой оболочки препуция от основания полового члена</w:t>
      </w:r>
      <w:r w:rsidR="004775D4">
        <w:t xml:space="preserve"> </w:t>
      </w:r>
      <w:r w:rsidR="00F66373">
        <w:t xml:space="preserve">– </w:t>
      </w:r>
      <w:r w:rsidR="006A2F51">
        <w:t>40</w:t>
      </w:r>
      <w:r w:rsidR="004775D4">
        <w:t>–</w:t>
      </w:r>
      <w:r w:rsidR="006A2F51">
        <w:t xml:space="preserve">43 </w:t>
      </w:r>
      <w:r w:rsidR="008417AF">
        <w:t xml:space="preserve">дни </w:t>
      </w:r>
      <w:r w:rsidR="004775D4">
        <w:t xml:space="preserve">после рождения </w:t>
      </w:r>
      <w:r w:rsidR="006A2F51">
        <w:t>или средн</w:t>
      </w:r>
      <w:r w:rsidR="004775D4">
        <w:t xml:space="preserve">ее время до </w:t>
      </w:r>
      <w:r w:rsidR="006A2F51">
        <w:t>открытия влагалища</w:t>
      </w:r>
      <w:r w:rsidR="004775D4">
        <w:t xml:space="preserve"> – </w:t>
      </w:r>
      <w:r w:rsidR="006A2F51">
        <w:t>33</w:t>
      </w:r>
      <w:r w:rsidR="004775D4">
        <w:t xml:space="preserve"> день после рождения</w:t>
      </w:r>
      <w:r w:rsidR="006A2F51">
        <w:t>) или спаривание и фертильност</w:t>
      </w:r>
      <w:r w:rsidR="00327FC3">
        <w:t>ь</w:t>
      </w:r>
      <w:r w:rsidR="006A2F51">
        <w:t xml:space="preserve"> (оценива</w:t>
      </w:r>
      <w:r w:rsidR="00327FC3">
        <w:t xml:space="preserve">ли </w:t>
      </w:r>
      <w:r w:rsidR="006A2F51">
        <w:t>через 35 дней после последне</w:t>
      </w:r>
      <w:r w:rsidR="00327FC3">
        <w:t>го введения</w:t>
      </w:r>
      <w:r w:rsidR="006A2F51">
        <w:t xml:space="preserve"> у самок</w:t>
      </w:r>
      <w:r w:rsidR="00327FC3">
        <w:t xml:space="preserve"> </w:t>
      </w:r>
      <w:r w:rsidR="006A2F51">
        <w:t xml:space="preserve">и через 21 день после </w:t>
      </w:r>
      <w:r w:rsidR="00327FC3">
        <w:t xml:space="preserve">последнего </w:t>
      </w:r>
      <w:r w:rsidR="006A2F51">
        <w:t>введения у самцов)</w:t>
      </w:r>
      <w:r w:rsidR="008417AF">
        <w:t>,</w:t>
      </w:r>
      <w:r w:rsidR="006A2F51">
        <w:t xml:space="preserve"> и </w:t>
      </w:r>
      <w:r w:rsidR="00327FC3">
        <w:t>масс</w:t>
      </w:r>
      <w:r w:rsidR="008417AF">
        <w:t>у</w:t>
      </w:r>
      <w:r w:rsidR="006A2F51">
        <w:t xml:space="preserve"> мужских половых органов, количество и подвижность сперматозоидов (оценивали через 60 дней после </w:t>
      </w:r>
      <w:r w:rsidR="00327FC3">
        <w:t xml:space="preserve">последнего </w:t>
      </w:r>
      <w:r w:rsidR="006A2F51">
        <w:t>введения)</w:t>
      </w:r>
      <w:r w:rsidR="008417AF">
        <w:t>.</w:t>
      </w:r>
      <w:r w:rsidR="006A2F51">
        <w:t xml:space="preserve"> Дозирование от отъема (21</w:t>
      </w:r>
      <w:r w:rsidR="00C43E31">
        <w:t xml:space="preserve"> день после рождения</w:t>
      </w:r>
      <w:r w:rsidR="006A2F51">
        <w:t>) до ожидаемого периода полового созревания для самцов и до перипубертатного периода у самок не влиял</w:t>
      </w:r>
      <w:r w:rsidR="001D55FC">
        <w:t>о</w:t>
      </w:r>
      <w:r w:rsidR="006A2F51">
        <w:t xml:space="preserve"> на </w:t>
      </w:r>
      <w:r w:rsidR="001D55FC">
        <w:t xml:space="preserve">параметры </w:t>
      </w:r>
      <w:r w:rsidR="006A2F51">
        <w:t>фертильност</w:t>
      </w:r>
      <w:r w:rsidR="001D55FC">
        <w:t>и</w:t>
      </w:r>
      <w:r w:rsidR="006A2F51">
        <w:t xml:space="preserve"> и спаривани</w:t>
      </w:r>
      <w:r w:rsidR="001D55FC">
        <w:t>я</w:t>
      </w:r>
      <w:r w:rsidR="006A2F51">
        <w:t xml:space="preserve"> при оценке через 21 день после окончания лечения у самцов</w:t>
      </w:r>
      <w:r w:rsidR="008417AF">
        <w:t>,</w:t>
      </w:r>
      <w:r w:rsidR="006A2F51">
        <w:t xml:space="preserve"> и через 35 дней после окончания лечения у самок</w:t>
      </w:r>
      <w:r w:rsidR="0095479B">
        <w:t>. Однако дизайн данного исследования также не соответствовал требованиям</w:t>
      </w:r>
      <w:r w:rsidR="00DC513D">
        <w:t xml:space="preserve"> для оценки всех исследуемых показателей</w:t>
      </w:r>
      <w:r w:rsidR="0095479B">
        <w:t xml:space="preserve"> </w:t>
      </w:r>
      <w:r w:rsidR="006A2F51">
        <w:rPr>
          <w:lang w:val="en-US"/>
        </w:rPr>
        <w:fldChar w:fldCharType="begin"/>
      </w:r>
      <w:r w:rsidR="00044A89">
        <w:instrText xml:space="preserve"> ADDIN ZOTERO_ITEM CSL_CITATION {"citationID":"0inaV31R","properties":{"formattedCitation":"[12]","plainCitation":"[12]","noteIndex":0},"citationItems":[{"id":87803,"uris":["http://zotero.org/groups/4742804/items/DMZ5DFPG"],"itemData":{"id":87803,"type":"webpage","title":"Xeljanz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6A2F51">
        <w:rPr>
          <w:lang w:val="en-US"/>
        </w:rPr>
        <w:fldChar w:fldCharType="separate"/>
      </w:r>
      <w:r w:rsidR="00D46D1F">
        <w:rPr>
          <w:rFonts w:cs="Times New Roman"/>
        </w:rPr>
        <w:t>[1</w:t>
      </w:r>
      <w:r w:rsidR="00044A89" w:rsidRPr="00044A89">
        <w:rPr>
          <w:rFonts w:cs="Times New Roman"/>
        </w:rPr>
        <w:t>]</w:t>
      </w:r>
      <w:r w:rsidR="006A2F51">
        <w:rPr>
          <w:lang w:val="en-US"/>
        </w:rPr>
        <w:fldChar w:fldCharType="end"/>
      </w:r>
      <w:r w:rsidR="006A2F51">
        <w:t>.</w:t>
      </w:r>
    </w:p>
    <w:p w14:paraId="5E7BA637" w14:textId="77777777" w:rsidR="0040049C" w:rsidRPr="00E316AC" w:rsidRDefault="0040049C" w:rsidP="0040049C">
      <w:pPr>
        <w:pStyle w:val="SDText"/>
        <w:spacing w:after="0"/>
        <w:contextualSpacing/>
      </w:pPr>
    </w:p>
    <w:p w14:paraId="1DF48BFE" w14:textId="3ABCF28F" w:rsidR="00F928EE" w:rsidRPr="00BD2318" w:rsidRDefault="00D62B3D" w:rsidP="00D62B3D">
      <w:pPr>
        <w:pStyle w:val="4"/>
        <w:numPr>
          <w:ilvl w:val="0"/>
          <w:numId w:val="0"/>
        </w:numPr>
        <w:ind w:left="864" w:hanging="864"/>
      </w:pPr>
      <w:bookmarkStart w:id="164" w:name="_Ref113953914"/>
      <w:bookmarkStart w:id="165" w:name="_Toc115421050"/>
      <w:bookmarkStart w:id="166" w:name="_Toc121592583"/>
      <w:r>
        <w:t xml:space="preserve">3.3.5.2. </w:t>
      </w:r>
      <w:r w:rsidR="001F32EB" w:rsidRPr="00BD2318">
        <w:t xml:space="preserve">Эмбрио-фетальная </w:t>
      </w:r>
      <w:r w:rsidR="001F32EB" w:rsidRPr="00B20C48">
        <w:t>токсичность</w:t>
      </w:r>
      <w:bookmarkEnd w:id="164"/>
      <w:bookmarkEnd w:id="165"/>
      <w:bookmarkEnd w:id="166"/>
    </w:p>
    <w:p w14:paraId="5963DD0D" w14:textId="77777777" w:rsidR="00BD2318" w:rsidRDefault="00BD2318" w:rsidP="0040049C">
      <w:pPr>
        <w:pStyle w:val="SDText"/>
        <w:spacing w:after="0"/>
        <w:contextualSpacing/>
      </w:pPr>
    </w:p>
    <w:p w14:paraId="4138045E" w14:textId="40B9A3F2" w:rsidR="00CC466E" w:rsidRDefault="008104EE" w:rsidP="0040049C">
      <w:pPr>
        <w:pStyle w:val="SDText"/>
        <w:spacing w:after="0"/>
        <w:contextualSpacing/>
      </w:pPr>
      <w:r>
        <w:t xml:space="preserve">В исследовании </w:t>
      </w:r>
      <w:r w:rsidR="00027191" w:rsidRPr="00027191">
        <w:t xml:space="preserve">по подбору доз </w:t>
      </w:r>
      <w:r w:rsidRPr="00855116">
        <w:t xml:space="preserve">04-2063-22 </w:t>
      </w:r>
      <w:r w:rsidR="00113009">
        <w:t xml:space="preserve">у </w:t>
      </w:r>
      <w:r w:rsidR="00395B51">
        <w:t>беременны</w:t>
      </w:r>
      <w:r w:rsidR="00113009">
        <w:t>х</w:t>
      </w:r>
      <w:r w:rsidR="00395B51">
        <w:t xml:space="preserve"> сам</w:t>
      </w:r>
      <w:r w:rsidR="00113009">
        <w:t>ок</w:t>
      </w:r>
      <w:r w:rsidR="00395B51">
        <w:t xml:space="preserve"> крыс </w:t>
      </w:r>
      <w:r w:rsidR="00855116">
        <w:t>линии Спрег-Доули (</w:t>
      </w:r>
      <w:r w:rsidR="001B22B6">
        <w:t>по 6 самок на группу) внутрижелудочно</w:t>
      </w:r>
      <w:r w:rsidR="001C30D4">
        <w:t>е</w:t>
      </w:r>
      <w:r w:rsidR="001B22B6">
        <w:t xml:space="preserve"> вв</w:t>
      </w:r>
      <w:r w:rsidR="001C30D4">
        <w:t xml:space="preserve">едение </w:t>
      </w:r>
      <w:r w:rsidR="002A5C58" w:rsidRPr="002A5C58">
        <w:t xml:space="preserve">тофацитиниба </w:t>
      </w:r>
      <w:r w:rsidR="00AE3954">
        <w:t>с 6 до 18 день гестации привело к полной постимплантационной потер</w:t>
      </w:r>
      <w:r w:rsidR="00DF4E46">
        <w:t>е</w:t>
      </w:r>
      <w:r w:rsidR="00AE3954">
        <w:t xml:space="preserve"> за счет раннего рассасывания всех пометов </w:t>
      </w:r>
      <w:r w:rsidR="00DF4E46">
        <w:t xml:space="preserve">у самок, получавших лекарственное средство </w:t>
      </w:r>
      <w:r w:rsidR="00AE3954">
        <w:t>в дозах 500 и 300 мг/кг/сут</w:t>
      </w:r>
      <w:r w:rsidR="00954C97">
        <w:t>,</w:t>
      </w:r>
      <w:r w:rsidR="00AE3954">
        <w:t xml:space="preserve"> и увеличени</w:t>
      </w:r>
      <w:r w:rsidR="00DF4E46">
        <w:t>я</w:t>
      </w:r>
      <w:r w:rsidR="00AE3954">
        <w:t xml:space="preserve"> постимплантационных потерь при дозах 100 и 30 мг/кг. Таким образом, не было жизнеспособных плодов для оценки </w:t>
      </w:r>
      <w:r w:rsidR="00DF4E46">
        <w:t>в группах</w:t>
      </w:r>
      <w:r w:rsidR="00AE3954">
        <w:t xml:space="preserve"> 500 и 300 мг/кг, а количество жизнеспособных плодов снижалось при дозах 100 и 30 мг/кг. Средняя масса беременной матки также снижалась при всех доз</w:t>
      </w:r>
      <w:r w:rsidR="00DF4E46">
        <w:t>ах</w:t>
      </w:r>
      <w:r w:rsidR="00AE3954">
        <w:t xml:space="preserve">. </w:t>
      </w:r>
      <w:r w:rsidR="00DF4E46">
        <w:t>Масса тела плодов</w:t>
      </w:r>
      <w:r w:rsidR="00AE3954">
        <w:t xml:space="preserve"> сни</w:t>
      </w:r>
      <w:r w:rsidR="00DF4E46">
        <w:t>жалась</w:t>
      </w:r>
      <w:r w:rsidR="00AE3954">
        <w:t xml:space="preserve"> </w:t>
      </w:r>
      <w:r w:rsidR="00DF4E46">
        <w:t>у животных из</w:t>
      </w:r>
      <w:r w:rsidR="00AE3954">
        <w:t xml:space="preserve"> групп</w:t>
      </w:r>
      <w:r w:rsidR="00DF4E46">
        <w:t>ы</w:t>
      </w:r>
      <w:r w:rsidR="00AE3954">
        <w:t xml:space="preserve"> доз</w:t>
      </w:r>
      <w:r w:rsidR="00DF4E46">
        <w:t>ы</w:t>
      </w:r>
      <w:r w:rsidR="00AE3954">
        <w:t xml:space="preserve"> 100 мг/кг на 81%, не </w:t>
      </w:r>
      <w:r w:rsidR="00DF4E46">
        <w:t>наблюдали</w:t>
      </w:r>
      <w:r w:rsidR="00AE3954">
        <w:t xml:space="preserve"> эффекта </w:t>
      </w:r>
      <w:r w:rsidR="00DF4E46">
        <w:t>у крыс из группы</w:t>
      </w:r>
      <w:r w:rsidR="00AE3954">
        <w:t xml:space="preserve"> доз</w:t>
      </w:r>
      <w:r w:rsidR="00DF4E46">
        <w:t>ы</w:t>
      </w:r>
      <w:r w:rsidR="00AE3954">
        <w:t xml:space="preserve"> 30 мг/кг. Анасарка развилась у 2 плодов и отек плода у 1 плода при дозе 100 мг/кг/</w:t>
      </w:r>
      <w:r w:rsidR="00E053CA">
        <w:t>сут</w:t>
      </w:r>
      <w:r w:rsidR="00AE3954">
        <w:t xml:space="preserve">. Плоды с внешними признаками </w:t>
      </w:r>
      <w:r w:rsidR="000A1473">
        <w:t xml:space="preserve">нарушения внутриутробного развития </w:t>
      </w:r>
      <w:r w:rsidR="00AE3954">
        <w:t xml:space="preserve">присутствовали </w:t>
      </w:r>
      <w:r w:rsidR="0097260B">
        <w:t>у животных с</w:t>
      </w:r>
      <w:r w:rsidR="00AE3954">
        <w:t xml:space="preserve"> наиболее тяжелы</w:t>
      </w:r>
      <w:r w:rsidR="0097260B">
        <w:t>ми</w:t>
      </w:r>
      <w:r w:rsidR="00AE3954">
        <w:t xml:space="preserve"> постимплантационны</w:t>
      </w:r>
      <w:r w:rsidR="0097260B">
        <w:t>ми</w:t>
      </w:r>
      <w:r w:rsidR="00AE3954">
        <w:t xml:space="preserve"> потер</w:t>
      </w:r>
      <w:r w:rsidR="0097260B">
        <w:t>ями</w:t>
      </w:r>
      <w:r w:rsidR="00AE3954">
        <w:t xml:space="preserve"> </w:t>
      </w:r>
      <w:r w:rsidR="00EE4915">
        <w:rPr>
          <w:lang w:val="en-US"/>
        </w:rPr>
        <w:fldChar w:fldCharType="begin"/>
      </w:r>
      <w:r w:rsidR="00044A89">
        <w:instrText xml:space="preserve"> ADDIN ZOTERO_ITEM CSL_CITATION {"citationID":"Pxir6JBk","properties":{"formattedCitation":"[12]","plainCitation":"[12]","noteIndex":0},"citationItems":[{"id":87803,"uris":["http://zotero.org/groups/4742804/items/DMZ5DFPG"],"itemData":{"id":87803,"type":"webpage","title":"Xeljanz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AE3954">
        <w:t>.</w:t>
      </w:r>
    </w:p>
    <w:p w14:paraId="5FC8E086" w14:textId="40BDD4ED" w:rsidR="00A5196E" w:rsidRDefault="00F67B34" w:rsidP="00D36ADC">
      <w:pPr>
        <w:pStyle w:val="SDText"/>
        <w:contextualSpacing/>
      </w:pPr>
      <w:r>
        <w:t xml:space="preserve">В исследовании </w:t>
      </w:r>
      <w:r w:rsidRPr="00F67B34">
        <w:t>09GR353</w:t>
      </w:r>
      <w:r w:rsidR="001760FA">
        <w:t xml:space="preserve"> </w:t>
      </w:r>
      <w:r w:rsidR="00C75C57">
        <w:t xml:space="preserve">влияния </w:t>
      </w:r>
      <w:r w:rsidR="00E94CF0">
        <w:t xml:space="preserve">внутрижелудочного введения </w:t>
      </w:r>
      <w:r w:rsidR="008B2DA7" w:rsidRPr="008B2DA7">
        <w:t>CP-690550-10</w:t>
      </w:r>
      <w:r w:rsidR="00113009">
        <w:t xml:space="preserve"> </w:t>
      </w:r>
      <w:r w:rsidR="0028201B">
        <w:t xml:space="preserve">с 6 по 17 дни гестации </w:t>
      </w:r>
      <w:r w:rsidR="00E94CF0">
        <w:t xml:space="preserve">на </w:t>
      </w:r>
      <w:r w:rsidR="00BC2166">
        <w:t xml:space="preserve">эмбриофетальное развитие у крыс </w:t>
      </w:r>
      <w:r w:rsidR="0080354A">
        <w:t>гибель самок</w:t>
      </w:r>
      <w:r w:rsidR="005653C2">
        <w:t xml:space="preserve"> </w:t>
      </w:r>
      <w:r w:rsidR="0080354A">
        <w:t xml:space="preserve">отмечали </w:t>
      </w:r>
      <w:r w:rsidR="005653C2">
        <w:t>в группе</w:t>
      </w:r>
      <w:r w:rsidR="0080354A">
        <w:t xml:space="preserve"> лекарственного средства </w:t>
      </w:r>
      <w:r w:rsidR="005653C2">
        <w:t>300 мг/кг/</w:t>
      </w:r>
      <w:r w:rsidR="005B7F66">
        <w:t>сут</w:t>
      </w:r>
      <w:r w:rsidR="005653C2">
        <w:t xml:space="preserve"> (13 из 20 животных</w:t>
      </w:r>
      <w:r w:rsidR="005B7F66">
        <w:t xml:space="preserve"> из группы оценки токсичности</w:t>
      </w:r>
      <w:r w:rsidR="005653C2">
        <w:t xml:space="preserve">) и еще 3 из 5 животных </w:t>
      </w:r>
      <w:r w:rsidR="002301A8">
        <w:t xml:space="preserve">из </w:t>
      </w:r>
      <w:r w:rsidR="005653C2">
        <w:t xml:space="preserve">группы </w:t>
      </w:r>
      <w:r w:rsidR="005B7F66">
        <w:t>оценки токсико</w:t>
      </w:r>
      <w:r w:rsidR="0039460E">
        <w:t>ки</w:t>
      </w:r>
      <w:r w:rsidR="005B7F66">
        <w:t>нети</w:t>
      </w:r>
      <w:r w:rsidR="0039460E">
        <w:t>ки</w:t>
      </w:r>
      <w:r w:rsidR="005653C2">
        <w:t xml:space="preserve"> погибли или были </w:t>
      </w:r>
      <w:r w:rsidR="0039460E">
        <w:t>умерщвлены в агональном состоянии</w:t>
      </w:r>
      <w:r w:rsidR="005653C2">
        <w:t xml:space="preserve">. </w:t>
      </w:r>
      <w:r w:rsidR="0039460E">
        <w:t>У в</w:t>
      </w:r>
      <w:r w:rsidR="005653C2">
        <w:t>се</w:t>
      </w:r>
      <w:r w:rsidR="0039460E">
        <w:t>х</w:t>
      </w:r>
      <w:r w:rsidR="005653C2">
        <w:t xml:space="preserve"> выживши</w:t>
      </w:r>
      <w:r w:rsidR="0039460E">
        <w:t>х</w:t>
      </w:r>
      <w:r w:rsidR="005653C2">
        <w:t xml:space="preserve"> </w:t>
      </w:r>
      <w:r w:rsidR="0039460E">
        <w:t>крыс отмечали</w:t>
      </w:r>
      <w:r w:rsidR="005653C2">
        <w:t xml:space="preserve"> полную потерю помета. Семь самок в группе 100 мг/кг также полностью потеряли потомство. В группе 300 мг/кг клинически</w:t>
      </w:r>
      <w:r w:rsidR="003870E8">
        <w:t>ми</w:t>
      </w:r>
      <w:r w:rsidR="005653C2">
        <w:t xml:space="preserve"> признак</w:t>
      </w:r>
      <w:r w:rsidR="003870E8">
        <w:t>ами</w:t>
      </w:r>
      <w:r w:rsidR="005653C2">
        <w:t>, связанны</w:t>
      </w:r>
      <w:r w:rsidR="003870E8">
        <w:t>ми</w:t>
      </w:r>
      <w:r w:rsidR="005653C2">
        <w:t xml:space="preserve"> с </w:t>
      </w:r>
      <w:r w:rsidR="002A5C58" w:rsidRPr="002A5C58">
        <w:t>тофацитиниб</w:t>
      </w:r>
      <w:r w:rsidR="002A5C58">
        <w:t>ом</w:t>
      </w:r>
      <w:r w:rsidR="005653C2">
        <w:t xml:space="preserve">, </w:t>
      </w:r>
      <w:r w:rsidR="003870E8">
        <w:t xml:space="preserve">были </w:t>
      </w:r>
      <w:r w:rsidR="005653C2">
        <w:t>уменьш</w:t>
      </w:r>
      <w:r w:rsidR="003870E8">
        <w:t>ение</w:t>
      </w:r>
      <w:r w:rsidR="005653C2">
        <w:t xml:space="preserve"> активност</w:t>
      </w:r>
      <w:r w:rsidR="003870E8">
        <w:t>и</w:t>
      </w:r>
      <w:r w:rsidR="005653C2">
        <w:t xml:space="preserve">, пилоэрекция, выделения из влагалища, птоз, частично закрытые глаза, </w:t>
      </w:r>
      <w:r w:rsidR="00985954">
        <w:t>язвы в ротовой полости, ссадины</w:t>
      </w:r>
      <w:r w:rsidR="005653C2">
        <w:t xml:space="preserve"> и снижение тургора кожи. При дозе 100 мг/кг/сут </w:t>
      </w:r>
      <w:r w:rsidR="004F3918">
        <w:t>наблюдали</w:t>
      </w:r>
      <w:r w:rsidR="007A7D2B">
        <w:t xml:space="preserve"> </w:t>
      </w:r>
      <w:r w:rsidR="005653C2">
        <w:t>снижение частоты выделений из влагалища, выделений из носа, учащенно</w:t>
      </w:r>
      <w:r w:rsidR="00B77529">
        <w:t>е</w:t>
      </w:r>
      <w:r w:rsidR="005653C2">
        <w:t xml:space="preserve"> дыхани</w:t>
      </w:r>
      <w:r w:rsidR="00B77529">
        <w:t>е</w:t>
      </w:r>
      <w:r w:rsidR="005653C2">
        <w:t>,</w:t>
      </w:r>
      <w:r w:rsidR="007A7D2B">
        <w:t xml:space="preserve"> </w:t>
      </w:r>
      <w:r w:rsidR="005653C2">
        <w:t>снижение тургора кожи, пилоэрекци</w:t>
      </w:r>
      <w:r w:rsidR="00B77529">
        <w:t>ю</w:t>
      </w:r>
      <w:r w:rsidR="007A7D2B">
        <w:t xml:space="preserve">. Снижение массы тела или увеличение массы тела происходило </w:t>
      </w:r>
      <w:r w:rsidR="00B77529">
        <w:t>на фоне введения в</w:t>
      </w:r>
      <w:r w:rsidR="007A7D2B">
        <w:t xml:space="preserve"> дозах 100 и 300 мг/кг/сут. Это </w:t>
      </w:r>
      <w:r w:rsidR="00B77529">
        <w:t>ассоциировалось с</w:t>
      </w:r>
      <w:r w:rsidR="007A7D2B">
        <w:t xml:space="preserve"> уменьшением потребления </w:t>
      </w:r>
      <w:r w:rsidR="00B77529">
        <w:t>корма</w:t>
      </w:r>
      <w:r w:rsidR="007A7D2B">
        <w:t xml:space="preserve">, а также </w:t>
      </w:r>
      <w:r w:rsidR="00B77529">
        <w:t xml:space="preserve">с </w:t>
      </w:r>
      <w:r w:rsidR="007A7D2B">
        <w:t>пре- и постимплантационны</w:t>
      </w:r>
      <w:r w:rsidR="00B77529">
        <w:t>ми</w:t>
      </w:r>
      <w:r w:rsidR="007A7D2B">
        <w:t xml:space="preserve"> потер</w:t>
      </w:r>
      <w:r w:rsidR="00B77529">
        <w:t>ями</w:t>
      </w:r>
      <w:r w:rsidR="007A7D2B">
        <w:t xml:space="preserve">. Семь самок в группе 100 мг/кг также полностью потеряли потомство. Даже исключая животных с полной потерей </w:t>
      </w:r>
      <w:r w:rsidR="00C46804">
        <w:t>помет</w:t>
      </w:r>
      <w:r w:rsidR="007A7D2B">
        <w:t xml:space="preserve">а, </w:t>
      </w:r>
      <w:r w:rsidR="00C46804">
        <w:t>частота гибели</w:t>
      </w:r>
      <w:r w:rsidR="007A7D2B">
        <w:t xml:space="preserve"> плод</w:t>
      </w:r>
      <w:r w:rsidR="00C46804">
        <w:t>ов</w:t>
      </w:r>
      <w:r w:rsidR="007A7D2B">
        <w:t xml:space="preserve"> была резко повышенной (ранняя и поздняя резорбция), со средней постимплантационной потерей</w:t>
      </w:r>
      <w:r w:rsidR="00282555">
        <w:t>, равной</w:t>
      </w:r>
      <w:r w:rsidR="00AD7C07">
        <w:t xml:space="preserve"> </w:t>
      </w:r>
      <w:r w:rsidR="007A7D2B">
        <w:t xml:space="preserve">56,8% в группе 100 мг/кг по сравнению с 4,0% в контрольной группе. </w:t>
      </w:r>
      <w:r w:rsidR="00016F9F">
        <w:t>Масса т</w:t>
      </w:r>
      <w:r w:rsidR="007A7D2B">
        <w:t>ел</w:t>
      </w:r>
      <w:r w:rsidR="00016F9F">
        <w:t>а</w:t>
      </w:r>
      <w:r w:rsidR="007A7D2B">
        <w:t xml:space="preserve"> плод</w:t>
      </w:r>
      <w:r w:rsidR="00016F9F">
        <w:t>ов</w:t>
      </w:r>
      <w:r w:rsidR="007A7D2B">
        <w:t xml:space="preserve"> значительно снизил</w:t>
      </w:r>
      <w:r w:rsidR="00016F9F">
        <w:t>ась</w:t>
      </w:r>
      <w:r w:rsidR="007A7D2B">
        <w:t xml:space="preserve"> </w:t>
      </w:r>
      <w:r w:rsidR="00016F9F">
        <w:t xml:space="preserve">у животных, </w:t>
      </w:r>
      <w:r w:rsidR="007A7D2B">
        <w:t>п</w:t>
      </w:r>
      <w:r w:rsidR="00016F9F">
        <w:t>олучавших</w:t>
      </w:r>
      <w:r w:rsidR="007A7D2B">
        <w:t xml:space="preserve"> </w:t>
      </w:r>
      <w:r w:rsidR="002A5C58" w:rsidRPr="002A5C58">
        <w:t>тофацитиниб</w:t>
      </w:r>
      <w:r w:rsidR="002A5C58">
        <w:t xml:space="preserve"> </w:t>
      </w:r>
      <w:r w:rsidR="00016F9F">
        <w:t xml:space="preserve">в дозе </w:t>
      </w:r>
      <w:r w:rsidR="007A7D2B">
        <w:t>100 мг/кг (77,6% от контрольной группы).</w:t>
      </w:r>
      <w:r w:rsidR="00AD7C07">
        <w:t xml:space="preserve"> При дозе 100 мг/кг наблюдали связанные с лечением внешние пороки развития </w:t>
      </w:r>
      <w:r w:rsidR="006D1D09">
        <w:t>(</w:t>
      </w:r>
      <w:r w:rsidR="00AD7C07">
        <w:t>анасарк</w:t>
      </w:r>
      <w:r w:rsidR="006D1D09">
        <w:t>у)</w:t>
      </w:r>
      <w:r w:rsidR="00AD7C07">
        <w:t>. Единственн</w:t>
      </w:r>
      <w:r w:rsidR="007C68F5">
        <w:t>ым</w:t>
      </w:r>
      <w:r w:rsidR="00AD7C07">
        <w:t xml:space="preserve"> наблюдаем</w:t>
      </w:r>
      <w:r w:rsidR="007C68F5">
        <w:t xml:space="preserve">ым нарушением развития </w:t>
      </w:r>
      <w:r w:rsidR="007C68F5">
        <w:lastRenderedPageBreak/>
        <w:t>внутренних органов</w:t>
      </w:r>
      <w:r w:rsidR="00AD7C07">
        <w:t>, связанн</w:t>
      </w:r>
      <w:r w:rsidR="007C68F5">
        <w:t>ым</w:t>
      </w:r>
      <w:r w:rsidR="00AD7C07">
        <w:t xml:space="preserve"> с </w:t>
      </w:r>
      <w:r w:rsidR="007C68F5">
        <w:t>введением лекарственного средства</w:t>
      </w:r>
      <w:r w:rsidR="00AD7C07">
        <w:t>, был мембранозн</w:t>
      </w:r>
      <w:r w:rsidR="007C68F5">
        <w:t>ы</w:t>
      </w:r>
      <w:r w:rsidR="00AD7C07">
        <w:t xml:space="preserve">й дефект межжелудочковой перегородки. </w:t>
      </w:r>
      <w:r w:rsidR="007C68F5">
        <w:t>У животных из группы</w:t>
      </w:r>
      <w:r w:rsidR="00AD7C07">
        <w:t xml:space="preserve"> 100 мг/кг порок</w:t>
      </w:r>
      <w:r w:rsidR="00792F5F">
        <w:t>ами</w:t>
      </w:r>
      <w:r w:rsidR="00AD7C07">
        <w:t xml:space="preserve"> развития скелета, связанны</w:t>
      </w:r>
      <w:r w:rsidR="00792F5F">
        <w:t>ми</w:t>
      </w:r>
      <w:r w:rsidR="00AD7C07">
        <w:t xml:space="preserve"> с </w:t>
      </w:r>
      <w:r w:rsidR="00792F5F">
        <w:t xml:space="preserve">введением </w:t>
      </w:r>
      <w:r w:rsidR="002A5C58" w:rsidRPr="002A5C58">
        <w:t>тофацитиниба</w:t>
      </w:r>
      <w:r w:rsidR="00AD7C07">
        <w:t xml:space="preserve">, </w:t>
      </w:r>
      <w:r w:rsidR="00792F5F">
        <w:t xml:space="preserve">являлись </w:t>
      </w:r>
      <w:r w:rsidR="00AD7C07">
        <w:t>отсутст</w:t>
      </w:r>
      <w:r w:rsidR="00683F86">
        <w:t>вие дуги шейных позвонков</w:t>
      </w:r>
      <w:r w:rsidR="00AD7C07">
        <w:t xml:space="preserve">, </w:t>
      </w:r>
      <w:r w:rsidR="00683F86">
        <w:t>искривленные бедренные</w:t>
      </w:r>
      <w:r w:rsidR="00981D57">
        <w:t xml:space="preserve">, </w:t>
      </w:r>
      <w:r w:rsidR="00AD7C07">
        <w:t>малоберцов</w:t>
      </w:r>
      <w:r w:rsidR="00981D57">
        <w:t xml:space="preserve">ые, </w:t>
      </w:r>
      <w:r w:rsidR="00AD7C07">
        <w:t>плечев</w:t>
      </w:r>
      <w:r w:rsidR="00981D57">
        <w:t>ые</w:t>
      </w:r>
      <w:r w:rsidR="00AD7C07">
        <w:t>, лучев</w:t>
      </w:r>
      <w:r w:rsidR="00981D57">
        <w:t>ы</w:t>
      </w:r>
      <w:r w:rsidR="0002219A">
        <w:t>е</w:t>
      </w:r>
      <w:r w:rsidR="00AD7C07">
        <w:t xml:space="preserve"> кост</w:t>
      </w:r>
      <w:r w:rsidR="0002219A">
        <w:t>и</w:t>
      </w:r>
      <w:r w:rsidR="00AD7C07">
        <w:t>, лопатк</w:t>
      </w:r>
      <w:r w:rsidR="0002219A">
        <w:t>и</w:t>
      </w:r>
      <w:r w:rsidR="00AD7C07">
        <w:t>, большеберцов</w:t>
      </w:r>
      <w:r w:rsidR="0002219A">
        <w:t>ые</w:t>
      </w:r>
      <w:r w:rsidR="00AD7C07">
        <w:t xml:space="preserve"> и локтев</w:t>
      </w:r>
      <w:r w:rsidR="0002219A">
        <w:t>ые</w:t>
      </w:r>
      <w:r w:rsidR="00AD7C07">
        <w:t xml:space="preserve"> кост</w:t>
      </w:r>
      <w:r w:rsidR="0002219A">
        <w:t>и</w:t>
      </w:r>
      <w:r w:rsidR="00AD7C07">
        <w:t>, а также стерношизис, отсутст</w:t>
      </w:r>
      <w:r w:rsidR="00AA3138">
        <w:t>вующие</w:t>
      </w:r>
      <w:r w:rsidR="00AD7C07">
        <w:t xml:space="preserve"> ребра, деформированная бедренная кость, разветвленное ребро, сросшиеся ребра, сросшиеся </w:t>
      </w:r>
      <w:r w:rsidR="00723E40">
        <w:t>сегменты грудины</w:t>
      </w:r>
      <w:r w:rsidR="00AD7C07">
        <w:t xml:space="preserve"> и гемицентрический центр грудной клетки. Повышенная </w:t>
      </w:r>
      <w:r w:rsidR="00722AF2">
        <w:t>частота выявления</w:t>
      </w:r>
      <w:r w:rsidR="00AD7C07">
        <w:t xml:space="preserve"> скелетных вариантов </w:t>
      </w:r>
      <w:r w:rsidR="00A60B92" w:rsidRPr="00A60B92">
        <w:t>неоссифицированн</w:t>
      </w:r>
      <w:r w:rsidR="00A60B92">
        <w:t xml:space="preserve">ого центра </w:t>
      </w:r>
      <w:r w:rsidR="00AD7C07">
        <w:t>7 шейного</w:t>
      </w:r>
      <w:r w:rsidR="00A60B92">
        <w:t xml:space="preserve"> позвонка</w:t>
      </w:r>
      <w:r w:rsidR="00AD7C07">
        <w:t>, волнистое ребро, смещен</w:t>
      </w:r>
      <w:r w:rsidR="00A36BD9">
        <w:t>ие</w:t>
      </w:r>
      <w:r w:rsidR="00AD7C07">
        <w:t xml:space="preserve"> </w:t>
      </w:r>
      <w:r w:rsidR="00DE5383">
        <w:t>грудин</w:t>
      </w:r>
      <w:r w:rsidR="00A36BD9">
        <w:t>ы</w:t>
      </w:r>
      <w:r w:rsidR="00DE5383">
        <w:t>, неполное окостенение центра</w:t>
      </w:r>
      <w:r w:rsidR="00A36BD9" w:rsidRPr="00A36BD9">
        <w:t xml:space="preserve"> </w:t>
      </w:r>
      <w:r w:rsidR="00A36BD9">
        <w:t>грудной клетки</w:t>
      </w:r>
      <w:r w:rsidR="00DE5383">
        <w:t xml:space="preserve">, </w:t>
      </w:r>
      <w:r w:rsidR="00A36BD9">
        <w:t xml:space="preserve">неоссифицированные </w:t>
      </w:r>
      <w:r w:rsidR="00DE5383">
        <w:t xml:space="preserve">плюсневые и пястные кости, короткое ребро, </w:t>
      </w:r>
      <w:r w:rsidR="00A36BD9">
        <w:t>неоссифицированн</w:t>
      </w:r>
      <w:r w:rsidR="00FE1460">
        <w:t>ые</w:t>
      </w:r>
      <w:r w:rsidR="00DE5383">
        <w:t xml:space="preserve"> </w:t>
      </w:r>
      <w:r w:rsidR="009A0D8A">
        <w:t>сегменты 1</w:t>
      </w:r>
      <w:r w:rsidR="00FE1460">
        <w:t>–</w:t>
      </w:r>
      <w:r w:rsidR="009A0D8A">
        <w:t xml:space="preserve">4 </w:t>
      </w:r>
      <w:r w:rsidR="00DE5383">
        <w:t>грудин</w:t>
      </w:r>
      <w:r w:rsidR="009A0D8A">
        <w:t>ы</w:t>
      </w:r>
      <w:r w:rsidR="00DE5383">
        <w:t xml:space="preserve"> и неполн</w:t>
      </w:r>
      <w:r w:rsidR="009A0D8A">
        <w:t>ая</w:t>
      </w:r>
      <w:r w:rsidR="00DE5383">
        <w:t xml:space="preserve"> </w:t>
      </w:r>
      <w:r w:rsidR="009A0D8A">
        <w:t xml:space="preserve">оссификация </w:t>
      </w:r>
      <w:r w:rsidR="00DE5383">
        <w:t>надзатылочной</w:t>
      </w:r>
      <w:r w:rsidR="008E3312">
        <w:t xml:space="preserve"> области</w:t>
      </w:r>
      <w:r w:rsidR="00DE5383">
        <w:t xml:space="preserve">, вероятно, </w:t>
      </w:r>
      <w:r w:rsidR="008E3312">
        <w:t xml:space="preserve">ассоциирующиеся </w:t>
      </w:r>
      <w:r w:rsidR="00DE5383">
        <w:t xml:space="preserve">с уменьшением </w:t>
      </w:r>
      <w:r w:rsidR="008E3312">
        <w:t>массы тела</w:t>
      </w:r>
      <w:r w:rsidR="00AD7D9A">
        <w:t xml:space="preserve"> плодов</w:t>
      </w:r>
      <w:r w:rsidR="008E3312">
        <w:t>,</w:t>
      </w:r>
      <w:r w:rsidR="00DE5383">
        <w:t xml:space="preserve"> наблюдаемого </w:t>
      </w:r>
      <w:r w:rsidR="00AD7D9A">
        <w:t>у самок из</w:t>
      </w:r>
      <w:r w:rsidR="00DE5383">
        <w:t xml:space="preserve"> этой групп</w:t>
      </w:r>
      <w:r w:rsidR="00AD7D9A">
        <w:t>ы</w:t>
      </w:r>
      <w:r w:rsidR="00DE5383">
        <w:t xml:space="preserve">. Отсутствовало влияние </w:t>
      </w:r>
      <w:r w:rsidR="002A5C58" w:rsidRPr="002A5C58">
        <w:t xml:space="preserve">тофацитиниба </w:t>
      </w:r>
      <w:r w:rsidR="00DE5383">
        <w:t xml:space="preserve">на </w:t>
      </w:r>
      <w:r w:rsidR="00AD7D9A">
        <w:t>летальность</w:t>
      </w:r>
      <w:r w:rsidR="00DE5383">
        <w:t>, клинические признаки, масс</w:t>
      </w:r>
      <w:r w:rsidR="00A5685B">
        <w:t>у</w:t>
      </w:r>
      <w:r w:rsidR="00DE5383">
        <w:t xml:space="preserve"> тела, потребление </w:t>
      </w:r>
      <w:r w:rsidR="00A5685B">
        <w:t>корма</w:t>
      </w:r>
      <w:r w:rsidR="00DE5383">
        <w:t xml:space="preserve">, макроскопические наблюдения, </w:t>
      </w:r>
      <w:r w:rsidR="00A5685B">
        <w:t xml:space="preserve">параметры </w:t>
      </w:r>
      <w:r w:rsidR="00DE5383">
        <w:t>кесарев</w:t>
      </w:r>
      <w:r w:rsidR="00A5685B">
        <w:t>а</w:t>
      </w:r>
      <w:r w:rsidR="00DE5383">
        <w:t xml:space="preserve"> сечени</w:t>
      </w:r>
      <w:r w:rsidR="00A5685B">
        <w:t>я</w:t>
      </w:r>
      <w:r w:rsidR="00DE5383">
        <w:t xml:space="preserve"> или массу тела плод</w:t>
      </w:r>
      <w:r w:rsidR="00FE1460">
        <w:t>ов</w:t>
      </w:r>
      <w:r w:rsidR="00DE5383">
        <w:t xml:space="preserve"> </w:t>
      </w:r>
      <w:r w:rsidR="00FE1460">
        <w:t>у животных из</w:t>
      </w:r>
      <w:r w:rsidR="00DE5383">
        <w:t xml:space="preserve"> групп</w:t>
      </w:r>
      <w:r w:rsidR="00FE1460">
        <w:t>ы</w:t>
      </w:r>
      <w:r w:rsidR="00DE5383">
        <w:t xml:space="preserve"> 30 мг/кг. NOAEL </w:t>
      </w:r>
      <w:r w:rsidR="00FE1460">
        <w:t xml:space="preserve">в отношении </w:t>
      </w:r>
      <w:r w:rsidR="00155397">
        <w:t>беременных самок</w:t>
      </w:r>
      <w:r w:rsidR="00FE1460">
        <w:t xml:space="preserve"> </w:t>
      </w:r>
      <w:r w:rsidR="00DE5383">
        <w:t>составлял</w:t>
      </w:r>
      <w:r w:rsidR="00D7223A">
        <w:t>а</w:t>
      </w:r>
      <w:r w:rsidR="00DE5383">
        <w:t xml:space="preserve"> 30 мг/кг/</w:t>
      </w:r>
      <w:r w:rsidR="00155397">
        <w:t>сут</w:t>
      </w:r>
      <w:r w:rsidR="00DE5383">
        <w:t xml:space="preserve">. </w:t>
      </w:r>
      <w:r w:rsidR="00155397">
        <w:t>NOAEL</w:t>
      </w:r>
      <w:r w:rsidR="00DE5383">
        <w:t xml:space="preserve"> </w:t>
      </w:r>
      <w:r w:rsidR="00D7223A">
        <w:t>в отношении нарушений</w:t>
      </w:r>
      <w:r w:rsidR="00DE5383">
        <w:t xml:space="preserve"> развития также составля</w:t>
      </w:r>
      <w:r w:rsidR="00D7223A">
        <w:t>ла</w:t>
      </w:r>
      <w:r w:rsidR="00DE5383">
        <w:t xml:space="preserve"> 30 мг/кг/сут из-за эмбриофетальной токсичности</w:t>
      </w:r>
      <w:r w:rsidR="00D7223A">
        <w:t>,</w:t>
      </w:r>
      <w:r w:rsidR="00DE5383">
        <w:t xml:space="preserve"> проявля</w:t>
      </w:r>
      <w:r w:rsidR="00D7223A">
        <w:t>ющейся</w:t>
      </w:r>
      <w:r w:rsidR="00DE5383">
        <w:t xml:space="preserve"> у</w:t>
      </w:r>
      <w:r w:rsidR="00D7223A">
        <w:t>величением частоты</w:t>
      </w:r>
      <w:r w:rsidR="00DE5383">
        <w:t xml:space="preserve"> аномалий развития плода при дозе 100 мг/кг/</w:t>
      </w:r>
      <w:r w:rsidR="00D7223A">
        <w:t>сут</w:t>
      </w:r>
      <w:r w:rsidR="00DE5383">
        <w:t>, 7 полностью расс</w:t>
      </w:r>
      <w:r w:rsidR="007E03A6">
        <w:t>о</w:t>
      </w:r>
      <w:r w:rsidR="00DE5383">
        <w:t>с</w:t>
      </w:r>
      <w:r w:rsidR="007E03A6">
        <w:t>а</w:t>
      </w:r>
      <w:r w:rsidR="00DE5383">
        <w:t>в</w:t>
      </w:r>
      <w:r w:rsidR="007E03A6">
        <w:t>ши</w:t>
      </w:r>
      <w:r w:rsidR="0048582B">
        <w:t>мися</w:t>
      </w:r>
      <w:r w:rsidR="00DE5383">
        <w:t xml:space="preserve"> помет</w:t>
      </w:r>
      <w:r w:rsidR="0048582B">
        <w:t>ами</w:t>
      </w:r>
      <w:r w:rsidR="00DE5383">
        <w:t>, повышенн</w:t>
      </w:r>
      <w:r w:rsidR="007E03A6">
        <w:t>ы</w:t>
      </w:r>
      <w:r w:rsidR="0048582B">
        <w:t>ми</w:t>
      </w:r>
      <w:r w:rsidR="00DE5383">
        <w:t xml:space="preserve"> постимплантационн</w:t>
      </w:r>
      <w:r w:rsidR="007E03A6">
        <w:t>ы</w:t>
      </w:r>
      <w:r w:rsidR="0048582B">
        <w:t>ми</w:t>
      </w:r>
      <w:r w:rsidR="00DE5383">
        <w:t xml:space="preserve"> потер</w:t>
      </w:r>
      <w:r w:rsidR="0048582B">
        <w:t>ями</w:t>
      </w:r>
      <w:r w:rsidR="00DE5383">
        <w:t>, снижение</w:t>
      </w:r>
      <w:r w:rsidR="0048582B">
        <w:t>м</w:t>
      </w:r>
      <w:r w:rsidR="00DE5383">
        <w:t xml:space="preserve"> числа живых плодов</w:t>
      </w:r>
      <w:r w:rsidR="0048582B">
        <w:t xml:space="preserve"> и </w:t>
      </w:r>
      <w:r w:rsidR="00DE5383">
        <w:t>снижение</w:t>
      </w:r>
      <w:r w:rsidR="0048582B">
        <w:t>м</w:t>
      </w:r>
      <w:r w:rsidR="00DE5383">
        <w:t xml:space="preserve"> массы тела плод</w:t>
      </w:r>
      <w:r w:rsidR="0048582B">
        <w:t>ов</w:t>
      </w:r>
      <w:r w:rsidR="00DE5383">
        <w:t xml:space="preserve">. Пометов для оценки при дозе 300 мг/кг/день не было </w:t>
      </w:r>
      <w:r w:rsidR="00DE5383">
        <w:rPr>
          <w:lang w:val="en-US"/>
        </w:rPr>
        <w:fldChar w:fldCharType="begin"/>
      </w:r>
      <w:r w:rsidR="00044A89">
        <w:instrText xml:space="preserve"> ADDIN ZOTERO_ITEM CSL_CITATION {"citationID":"7oWR8dbF","properties":{"formattedCitation":"[12]","plainCitation":"[12]","noteIndex":0},"citationItems":[{"id":87803,"uris":["http://zotero.org/groups/4742804/items/DMZ5DFPG"],"itemData":{"id":87803,"type":"webpage","title":"Xeljanz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E5383">
        <w:rPr>
          <w:lang w:val="en-US"/>
        </w:rPr>
        <w:fldChar w:fldCharType="separate"/>
      </w:r>
      <w:r w:rsidR="00D46D1F">
        <w:rPr>
          <w:rFonts w:cs="Times New Roman"/>
        </w:rPr>
        <w:t>[1</w:t>
      </w:r>
      <w:r w:rsidR="00044A89" w:rsidRPr="00044A89">
        <w:rPr>
          <w:rFonts w:cs="Times New Roman"/>
        </w:rPr>
        <w:t>]</w:t>
      </w:r>
      <w:r w:rsidR="00DE5383">
        <w:rPr>
          <w:lang w:val="en-US"/>
        </w:rPr>
        <w:fldChar w:fldCharType="end"/>
      </w:r>
      <w:r w:rsidR="00DE5383">
        <w:t>.</w:t>
      </w:r>
    </w:p>
    <w:p w14:paraId="4F1602EA" w14:textId="4F794D5C" w:rsidR="00E76C0E" w:rsidRDefault="00D71AF0" w:rsidP="00D36ADC">
      <w:pPr>
        <w:pStyle w:val="SDText"/>
        <w:contextualSpacing/>
      </w:pPr>
      <w:r>
        <w:t xml:space="preserve">В исследовании </w:t>
      </w:r>
      <w:r w:rsidRPr="00D71AF0">
        <w:t>05-2063-24</w:t>
      </w:r>
      <w:r>
        <w:t xml:space="preserve"> </w:t>
      </w:r>
      <w:r w:rsidR="002A5C58" w:rsidRPr="002A5C58">
        <w:t>тофацитиниб</w:t>
      </w:r>
      <w:r w:rsidR="002A5C58">
        <w:t xml:space="preserve"> </w:t>
      </w:r>
      <w:r w:rsidR="00CF2A6B">
        <w:t xml:space="preserve">в дозе 1, 10 или 30 мг/кг </w:t>
      </w:r>
      <w:r w:rsidR="00CE02BE">
        <w:t xml:space="preserve">вводили перорально </w:t>
      </w:r>
      <w:r w:rsidR="00FD5D45">
        <w:t xml:space="preserve">с 6 по 17 день гестации беременным самкам крыс </w:t>
      </w:r>
      <w:r w:rsidR="003061EA">
        <w:t>линии Спрег-Доули (по 20 самок на группу для оценки токсич</w:t>
      </w:r>
      <w:r w:rsidR="003934C5">
        <w:t>нос</w:t>
      </w:r>
      <w:r w:rsidR="003061EA">
        <w:t>ти)</w:t>
      </w:r>
      <w:r w:rsidR="00CE02BE">
        <w:t>. Животные из контрольной группы получали носитель.</w:t>
      </w:r>
      <w:r w:rsidR="003061EA">
        <w:t xml:space="preserve"> </w:t>
      </w:r>
      <w:r w:rsidR="00CE02BE">
        <w:t>В</w:t>
      </w:r>
      <w:r w:rsidR="003934C5">
        <w:t xml:space="preserve">лияние </w:t>
      </w:r>
      <w:r w:rsidR="002A5C58" w:rsidRPr="002A5C58">
        <w:t xml:space="preserve">тофацитиниба </w:t>
      </w:r>
      <w:r w:rsidR="003934C5">
        <w:t xml:space="preserve">на среднее количество желтых тел, места имплантации, </w:t>
      </w:r>
      <w:r w:rsidR="00F00DEC">
        <w:t xml:space="preserve">количество </w:t>
      </w:r>
      <w:r w:rsidR="003934C5">
        <w:t>жизнеспособны</w:t>
      </w:r>
      <w:r w:rsidR="00F00DEC">
        <w:t>х</w:t>
      </w:r>
      <w:r w:rsidR="003934C5">
        <w:t xml:space="preserve"> </w:t>
      </w:r>
      <w:r w:rsidR="00F00DEC">
        <w:t>и</w:t>
      </w:r>
      <w:r w:rsidR="003934C5">
        <w:t xml:space="preserve"> мертвы</w:t>
      </w:r>
      <w:r w:rsidR="00F00DEC">
        <w:t>х</w:t>
      </w:r>
      <w:r w:rsidR="003934C5">
        <w:t xml:space="preserve"> плод</w:t>
      </w:r>
      <w:r w:rsidR="00F00DEC">
        <w:t>ов</w:t>
      </w:r>
      <w:r w:rsidR="003934C5">
        <w:t xml:space="preserve">, </w:t>
      </w:r>
      <w:r w:rsidR="00F00DEC">
        <w:t xml:space="preserve">частоту </w:t>
      </w:r>
      <w:r w:rsidR="003934C5">
        <w:t>ранн</w:t>
      </w:r>
      <w:r w:rsidR="00F00DEC">
        <w:t>ей</w:t>
      </w:r>
      <w:r w:rsidR="003934C5">
        <w:t xml:space="preserve"> резорбции, поздн</w:t>
      </w:r>
      <w:r w:rsidR="006525A5">
        <w:t>ей</w:t>
      </w:r>
      <w:r w:rsidR="003934C5">
        <w:t xml:space="preserve"> резорбции, </w:t>
      </w:r>
      <w:r w:rsidR="00CC0092">
        <w:t xml:space="preserve">количество </w:t>
      </w:r>
      <w:r w:rsidR="003934C5">
        <w:t>предимплантационн</w:t>
      </w:r>
      <w:r w:rsidR="006525A5">
        <w:t>ых</w:t>
      </w:r>
      <w:r w:rsidR="003934C5">
        <w:t xml:space="preserve"> потер</w:t>
      </w:r>
      <w:r w:rsidR="006525A5">
        <w:t>ь</w:t>
      </w:r>
      <w:r w:rsidR="003934C5">
        <w:t>, постимплантационн</w:t>
      </w:r>
      <w:r w:rsidR="006525A5">
        <w:t>ых</w:t>
      </w:r>
      <w:r w:rsidR="003934C5">
        <w:t xml:space="preserve"> потер</w:t>
      </w:r>
      <w:r w:rsidR="006525A5">
        <w:t>ь</w:t>
      </w:r>
      <w:r w:rsidR="003934C5">
        <w:t>, масс</w:t>
      </w:r>
      <w:r w:rsidR="006525A5">
        <w:t>у</w:t>
      </w:r>
      <w:r w:rsidR="003934C5">
        <w:t xml:space="preserve"> беременной матки или </w:t>
      </w:r>
      <w:r w:rsidR="00CC0092">
        <w:t xml:space="preserve">на </w:t>
      </w:r>
      <w:r w:rsidR="003934C5">
        <w:t>соотношение полов плода</w:t>
      </w:r>
      <w:r w:rsidR="003934C5" w:rsidRPr="003934C5">
        <w:t xml:space="preserve"> </w:t>
      </w:r>
      <w:r w:rsidR="003934C5">
        <w:t xml:space="preserve">отсутствовало. Отсутствовало влияние </w:t>
      </w:r>
      <w:r w:rsidR="002A5C58" w:rsidRPr="002A5C58">
        <w:t xml:space="preserve">тофацитиниба </w:t>
      </w:r>
      <w:r w:rsidR="003934C5">
        <w:t xml:space="preserve">на массу тела плода, </w:t>
      </w:r>
      <w:r w:rsidR="009D3210">
        <w:t>или частоту внешних, скелетных аномалий или аномалий внутренних органов</w:t>
      </w:r>
      <w:r w:rsidR="003934C5">
        <w:t xml:space="preserve">. NOAEL для материнской токсичности и токсичности для развития </w:t>
      </w:r>
      <w:r w:rsidR="009D3210">
        <w:t xml:space="preserve">плода </w:t>
      </w:r>
      <w:r w:rsidR="003934C5">
        <w:t>составил</w:t>
      </w:r>
      <w:r w:rsidR="009D3210">
        <w:t>а</w:t>
      </w:r>
      <w:r w:rsidR="003934C5">
        <w:t xml:space="preserve"> 30 мг/кг, </w:t>
      </w:r>
      <w:r w:rsidR="009D3210">
        <w:t xml:space="preserve">что являлось </w:t>
      </w:r>
      <w:r w:rsidR="003934C5">
        <w:t>максимальн</w:t>
      </w:r>
      <w:r w:rsidR="009D3210">
        <w:t>ой</w:t>
      </w:r>
      <w:r w:rsidR="005755B7">
        <w:t xml:space="preserve"> исследуемой</w:t>
      </w:r>
      <w:r w:rsidR="003934C5">
        <w:t xml:space="preserve"> доз</w:t>
      </w:r>
      <w:r w:rsidR="005755B7">
        <w:t>ой</w:t>
      </w:r>
      <w:r w:rsidR="003934C5">
        <w:t>. Однако результаты исследования были признаны неубедительным</w:t>
      </w:r>
      <w:r w:rsidR="005755B7">
        <w:t>и</w:t>
      </w:r>
      <w:r w:rsidR="003934C5">
        <w:t>, потому что самая высокая доза не была токсичной для беременных самок крыс</w:t>
      </w:r>
      <w:r w:rsidR="00CE02BE">
        <w:t xml:space="preserve"> </w:t>
      </w:r>
      <w:r w:rsidR="003934C5">
        <w:rPr>
          <w:lang w:val="en-US"/>
        </w:rPr>
        <w:fldChar w:fldCharType="begin"/>
      </w:r>
      <w:r w:rsidR="00044A89">
        <w:instrText xml:space="preserve"> ADDIN ZOTERO_ITEM CSL_CITATION {"citationID":"IgLecE0x","properties":{"formattedCitation":"[12]","plainCitation":"[12]","noteIndex":0},"citationItems":[{"id":87803,"uris":["http://zotero.org/groups/4742804/items/DMZ5DFPG"],"itemData":{"id":87803,"type":"webpage","title":"Xeljanz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3934C5">
        <w:rPr>
          <w:lang w:val="en-US"/>
        </w:rPr>
        <w:fldChar w:fldCharType="separate"/>
      </w:r>
      <w:r w:rsidR="00D46D1F">
        <w:rPr>
          <w:rFonts w:cs="Times New Roman"/>
        </w:rPr>
        <w:t>[1</w:t>
      </w:r>
      <w:r w:rsidR="00044A89" w:rsidRPr="00044A89">
        <w:rPr>
          <w:rFonts w:cs="Times New Roman"/>
        </w:rPr>
        <w:t>]</w:t>
      </w:r>
      <w:r w:rsidR="003934C5">
        <w:rPr>
          <w:lang w:val="en-US"/>
        </w:rPr>
        <w:fldChar w:fldCharType="end"/>
      </w:r>
      <w:r w:rsidR="003934C5">
        <w:t>.</w:t>
      </w:r>
    </w:p>
    <w:p w14:paraId="43E127F2" w14:textId="504E7987" w:rsidR="00B47391" w:rsidRDefault="00B47391" w:rsidP="00D36ADC">
      <w:pPr>
        <w:pStyle w:val="SDText"/>
        <w:contextualSpacing/>
      </w:pPr>
      <w:r>
        <w:t xml:space="preserve">В исследовании </w:t>
      </w:r>
      <w:r w:rsidRPr="00B47391">
        <w:t>04-2063-23</w:t>
      </w:r>
      <w:r>
        <w:t xml:space="preserve"> </w:t>
      </w:r>
      <w:r w:rsidR="00470306">
        <w:t xml:space="preserve">пероральное введение </w:t>
      </w:r>
      <w:r w:rsidR="002A5C58" w:rsidRPr="002A5C58">
        <w:t xml:space="preserve">тофацитиниба </w:t>
      </w:r>
      <w:r w:rsidR="004560A4">
        <w:t xml:space="preserve">в дозе 30 мг/кг/сут </w:t>
      </w:r>
      <w:r w:rsidR="00656705">
        <w:t xml:space="preserve">с 7 по 19 день гестации </w:t>
      </w:r>
      <w:r w:rsidR="004560A4">
        <w:t>приводил</w:t>
      </w:r>
      <w:r w:rsidR="00655945">
        <w:t>о</w:t>
      </w:r>
      <w:r w:rsidR="004560A4">
        <w:t xml:space="preserve"> к снижению массы тела плод</w:t>
      </w:r>
      <w:r w:rsidR="00A612B4">
        <w:t>ов у новозеландских белых кроликов</w:t>
      </w:r>
      <w:r w:rsidR="004560A4">
        <w:t xml:space="preserve">. Доза 100 мг/кг/сут привела к </w:t>
      </w:r>
      <w:r w:rsidR="00A612B4">
        <w:t>самопроизвольному прерыванию беременности</w:t>
      </w:r>
      <w:r w:rsidR="004560A4">
        <w:t xml:space="preserve"> у 1 из 6 самок, увеличению постимплантационных потерь, проявляющихся ранней и поздней резорбцией, и снижени</w:t>
      </w:r>
      <w:r w:rsidR="00A612B4">
        <w:t>ю</w:t>
      </w:r>
      <w:r w:rsidR="004560A4">
        <w:t xml:space="preserve"> средней массы беременной матки и массы тела плод</w:t>
      </w:r>
      <w:r w:rsidR="00A612B4">
        <w:t>ов</w:t>
      </w:r>
      <w:r w:rsidR="004560A4">
        <w:t xml:space="preserve">. Доза 300 мг/кг/сут привела к гибели 3 из 6 самок, уменьшению прибавки массы тела в течение первых 3 дней приема, снижению потребления корма, снижению средней массы матки во время беременности, полным постимплантационным потерям, маленькому размеру тимуса у 3 </w:t>
      </w:r>
      <w:r w:rsidR="00CC0092">
        <w:t xml:space="preserve">из </w:t>
      </w:r>
      <w:r w:rsidR="004560A4">
        <w:t xml:space="preserve">6 </w:t>
      </w:r>
      <w:r w:rsidR="001037E3">
        <w:t xml:space="preserve">животных </w:t>
      </w:r>
      <w:r w:rsidR="004560A4">
        <w:t>и раздражени</w:t>
      </w:r>
      <w:r w:rsidR="001037E3">
        <w:t>ю</w:t>
      </w:r>
      <w:r w:rsidR="004560A4">
        <w:t xml:space="preserve"> желудка.</w:t>
      </w:r>
      <w:r w:rsidR="00B73D6E">
        <w:t xml:space="preserve"> </w:t>
      </w:r>
      <w:r w:rsidR="004560A4">
        <w:t xml:space="preserve">Основываясь на этих результатах, </w:t>
      </w:r>
      <w:r w:rsidR="00B73D6E">
        <w:t xml:space="preserve">в дальнейших </w:t>
      </w:r>
      <w:r w:rsidR="004560A4">
        <w:t>исследовани</w:t>
      </w:r>
      <w:r w:rsidR="00B73D6E">
        <w:t>ях эмбриофетальной токсичности на</w:t>
      </w:r>
      <w:r w:rsidR="0001589C">
        <w:t xml:space="preserve"> </w:t>
      </w:r>
      <w:r w:rsidR="004560A4">
        <w:t>кролик</w:t>
      </w:r>
      <w:r w:rsidR="00B73D6E">
        <w:t>ах</w:t>
      </w:r>
      <w:r w:rsidR="004560A4">
        <w:t xml:space="preserve"> использовал</w:t>
      </w:r>
      <w:r w:rsidR="00B73D6E">
        <w:t>и</w:t>
      </w:r>
      <w:r w:rsidR="004560A4">
        <w:t xml:space="preserve"> дозы </w:t>
      </w:r>
      <w:r w:rsidR="00B73D6E">
        <w:t>CP-690550-10</w:t>
      </w:r>
      <w:r w:rsidR="008C6940">
        <w:t>, составившие</w:t>
      </w:r>
      <w:r w:rsidR="00B73D6E">
        <w:t xml:space="preserve"> </w:t>
      </w:r>
      <w:r w:rsidR="004560A4">
        <w:t>10, 30 и 100 мг/кг/</w:t>
      </w:r>
      <w:r w:rsidR="00B73D6E">
        <w:t xml:space="preserve">сут </w:t>
      </w:r>
      <w:r w:rsidR="00B73D6E">
        <w:rPr>
          <w:lang w:val="en-US"/>
        </w:rPr>
        <w:fldChar w:fldCharType="begin"/>
      </w:r>
      <w:r w:rsidR="00044A89">
        <w:instrText xml:space="preserve"> ADDIN ZOTERO_ITEM CSL_CITATION {"citationID":"ejVPwp2B","properties":{"formattedCitation":"[12]","plainCitation":"[12]","noteIndex":0},"citationItems":[{"id":87803,"uris":["http://zotero.org/groups/4742804/items/DMZ5DFPG"],"itemData":{"id":87803,"type":"webpage","title":"Xeljanz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B73D6E">
        <w:rPr>
          <w:lang w:val="en-US"/>
        </w:rPr>
        <w:fldChar w:fldCharType="separate"/>
      </w:r>
      <w:r w:rsidR="00D46D1F">
        <w:rPr>
          <w:rFonts w:cs="Times New Roman"/>
        </w:rPr>
        <w:t>[1</w:t>
      </w:r>
      <w:r w:rsidR="00044A89" w:rsidRPr="00044A89">
        <w:rPr>
          <w:rFonts w:cs="Times New Roman"/>
        </w:rPr>
        <w:t>]</w:t>
      </w:r>
      <w:r w:rsidR="00B73D6E">
        <w:rPr>
          <w:lang w:val="en-US"/>
        </w:rPr>
        <w:fldChar w:fldCharType="end"/>
      </w:r>
      <w:r w:rsidR="00B73D6E">
        <w:t>.</w:t>
      </w:r>
    </w:p>
    <w:p w14:paraId="4B4E1218" w14:textId="22DDB79F" w:rsidR="00D76414" w:rsidRDefault="00D9159B" w:rsidP="00D76414">
      <w:pPr>
        <w:pStyle w:val="SDText"/>
        <w:contextualSpacing/>
      </w:pPr>
      <w:r>
        <w:t>В иссл</w:t>
      </w:r>
      <w:r w:rsidR="00DB5314">
        <w:t xml:space="preserve">едовании </w:t>
      </w:r>
      <w:r w:rsidRPr="00D9159B">
        <w:t>05-2063-25</w:t>
      </w:r>
      <w:r w:rsidR="005E3FFE">
        <w:t xml:space="preserve"> на новозеландских белых кроликах (</w:t>
      </w:r>
      <w:r w:rsidR="00C3128E">
        <w:t>по 20 беременных самок на группу</w:t>
      </w:r>
      <w:r w:rsidR="00627776">
        <w:t xml:space="preserve">) </w:t>
      </w:r>
      <w:r w:rsidR="00DE2B81">
        <w:t xml:space="preserve">перорально с 7 по 19 дни гестации </w:t>
      </w:r>
      <w:r w:rsidR="007573AF">
        <w:t xml:space="preserve">вводили </w:t>
      </w:r>
      <w:r w:rsidR="00DE2B81">
        <w:t xml:space="preserve">CP-690550-10 в дозе </w:t>
      </w:r>
      <w:r w:rsidR="009C4EC0">
        <w:t>10, 30 или 100 мг/кг</w:t>
      </w:r>
      <w:r w:rsidR="00B86409">
        <w:t>/сут</w:t>
      </w:r>
      <w:r w:rsidR="00DC3DCE">
        <w:t>,</w:t>
      </w:r>
      <w:r w:rsidR="009C4EC0">
        <w:t xml:space="preserve"> или носитель. </w:t>
      </w:r>
      <w:r w:rsidR="00B86409">
        <w:t xml:space="preserve">Признаков материнской токсичности не наблюдали, </w:t>
      </w:r>
      <w:r w:rsidR="00B86409">
        <w:rPr>
          <w:lang w:val="en-US"/>
        </w:rPr>
        <w:t>NOAEL</w:t>
      </w:r>
      <w:r w:rsidR="00B86409" w:rsidRPr="00B86409">
        <w:t xml:space="preserve"> </w:t>
      </w:r>
      <w:r w:rsidR="00B86409">
        <w:t xml:space="preserve">составила 100 мг/кг/сут. </w:t>
      </w:r>
      <w:r w:rsidR="00E37A47">
        <w:t xml:space="preserve">Неблагоприятные эффекты включали: </w:t>
      </w:r>
      <w:r w:rsidR="007573AF">
        <w:t xml:space="preserve">при дозах 30 и 100 </w:t>
      </w:r>
      <w:r w:rsidR="007573AF">
        <w:lastRenderedPageBreak/>
        <w:t xml:space="preserve">мг/кг/сут </w:t>
      </w:r>
      <w:r w:rsidR="00E37A47">
        <w:t>повышение постимплантационных потерь, при дозах 30 и 100 мг/кг/день увеличение пороков развития плода (</w:t>
      </w:r>
      <w:r w:rsidR="007573AF">
        <w:t xml:space="preserve">дефекты </w:t>
      </w:r>
      <w:r w:rsidR="00E37A47">
        <w:t>сердечно-сосудист</w:t>
      </w:r>
      <w:r w:rsidR="007573AF">
        <w:t>ой системы</w:t>
      </w:r>
      <w:r w:rsidR="00E37A47">
        <w:t>, дефекты</w:t>
      </w:r>
      <w:r w:rsidR="007573AF">
        <w:t xml:space="preserve"> костей черепа и лицевого скелета</w:t>
      </w:r>
      <w:r w:rsidR="00E37A47">
        <w:t>, дефекты средней линии и хвоста), при дозе 100 мг/кг/</w:t>
      </w:r>
      <w:r w:rsidR="008B46FD">
        <w:t>сут</w:t>
      </w:r>
      <w:r w:rsidR="00E37A47">
        <w:t xml:space="preserve"> увеличение отклонений в развитии плода (отсутствие желчн</w:t>
      </w:r>
      <w:r w:rsidR="008B46FD">
        <w:t>ого</w:t>
      </w:r>
      <w:r w:rsidR="00E37A47">
        <w:t xml:space="preserve"> пузыр</w:t>
      </w:r>
      <w:r w:rsidR="008B46FD">
        <w:t>я</w:t>
      </w:r>
      <w:r w:rsidR="00E37A47">
        <w:t>, дефект</w:t>
      </w:r>
      <w:r w:rsidR="008B46FD">
        <w:t>ы</w:t>
      </w:r>
      <w:r w:rsidR="00E37A47">
        <w:t xml:space="preserve"> скелета), снижение массы тела плода. NOAEL в отношении токсичности для развития плода составляла 10 мг/кг/сут </w:t>
      </w:r>
      <w:r w:rsidR="007F35E0">
        <w:rPr>
          <w:lang w:val="en-US"/>
        </w:rPr>
        <w:fldChar w:fldCharType="begin"/>
      </w:r>
      <w:r w:rsidR="00044A89">
        <w:instrText xml:space="preserve"> ADDIN ZOTERO_ITEM CSL_CITATION {"citationID":"29sx0mPJ","properties":{"formattedCitation":"[12]","plainCitation":"[12]","noteIndex":0},"citationItems":[{"id":87803,"uris":["http://zotero.org/groups/4742804/items/DMZ5DFPG"],"itemData":{"id":87803,"type":"webpage","title":"Xeljanz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7F35E0">
        <w:rPr>
          <w:lang w:val="en-US"/>
        </w:rPr>
        <w:fldChar w:fldCharType="separate"/>
      </w:r>
      <w:r w:rsidR="00D46D1F">
        <w:rPr>
          <w:rFonts w:cs="Times New Roman"/>
        </w:rPr>
        <w:t>[1</w:t>
      </w:r>
      <w:r w:rsidR="00044A89" w:rsidRPr="00044A89">
        <w:rPr>
          <w:rFonts w:cs="Times New Roman"/>
        </w:rPr>
        <w:t>]</w:t>
      </w:r>
      <w:r w:rsidR="007F35E0">
        <w:rPr>
          <w:lang w:val="en-US"/>
        </w:rPr>
        <w:fldChar w:fldCharType="end"/>
      </w:r>
      <w:r w:rsidR="007F35E0">
        <w:t>.</w:t>
      </w:r>
      <w:bookmarkStart w:id="167" w:name="_Toc115421051"/>
    </w:p>
    <w:p w14:paraId="1202929C" w14:textId="77777777" w:rsidR="00D76414" w:rsidRDefault="00D76414" w:rsidP="0040049C">
      <w:pPr>
        <w:pStyle w:val="SDText"/>
        <w:spacing w:after="0"/>
        <w:contextualSpacing/>
      </w:pPr>
    </w:p>
    <w:p w14:paraId="2FA513AD" w14:textId="797D7648" w:rsidR="00F928EE" w:rsidRPr="00D76414" w:rsidRDefault="00D62B3D" w:rsidP="00D62B3D">
      <w:pPr>
        <w:pStyle w:val="4"/>
        <w:numPr>
          <w:ilvl w:val="0"/>
          <w:numId w:val="0"/>
        </w:numPr>
        <w:ind w:left="864" w:hanging="864"/>
      </w:pPr>
      <w:bookmarkStart w:id="168" w:name="_Toc121592584"/>
      <w:r>
        <w:t xml:space="preserve">3.3.5.3. </w:t>
      </w:r>
      <w:r w:rsidR="00B02BF4" w:rsidRPr="00D76414">
        <w:t>Влияние на пренатальное и постнатальное развитие</w:t>
      </w:r>
      <w:bookmarkEnd w:id="167"/>
      <w:bookmarkEnd w:id="168"/>
    </w:p>
    <w:p w14:paraId="07BF160F" w14:textId="77777777" w:rsidR="00D76414" w:rsidRDefault="00D76414" w:rsidP="0040049C">
      <w:pPr>
        <w:pStyle w:val="SDText"/>
        <w:spacing w:after="0"/>
        <w:contextualSpacing/>
      </w:pPr>
    </w:p>
    <w:p w14:paraId="150818B2" w14:textId="3ADA3949" w:rsidR="00CC466E" w:rsidRDefault="00D55834" w:rsidP="0040049C">
      <w:pPr>
        <w:pStyle w:val="SDText"/>
        <w:spacing w:after="0"/>
        <w:contextualSpacing/>
      </w:pPr>
      <w:r>
        <w:t>В исследовании 08</w:t>
      </w:r>
      <w:r>
        <w:rPr>
          <w:lang w:val="en-US"/>
        </w:rPr>
        <w:t>GR</w:t>
      </w:r>
      <w:r w:rsidR="00DD0EE6">
        <w:t xml:space="preserve">095 </w:t>
      </w:r>
      <w:r w:rsidR="008B7F69">
        <w:t xml:space="preserve">беременным крысам линии Спрег-Доули </w:t>
      </w:r>
      <w:r w:rsidR="00F213A7">
        <w:t xml:space="preserve">(по 25 особей на группу) </w:t>
      </w:r>
      <w:r w:rsidR="008B7F69">
        <w:t xml:space="preserve">с 6 дня гестации начинали вводить </w:t>
      </w:r>
      <w:r w:rsidR="00081E41">
        <w:t>CP-690550-10 в дозе 1, 10 или 50 мг/кг/сут</w:t>
      </w:r>
      <w:r w:rsidR="00CC0092">
        <w:t>,</w:t>
      </w:r>
      <w:r w:rsidR="00081E41">
        <w:t xml:space="preserve"> или носитель</w:t>
      </w:r>
      <w:r w:rsidR="00DD0EE6">
        <w:t xml:space="preserve"> </w:t>
      </w:r>
      <w:r w:rsidR="00081E41">
        <w:t xml:space="preserve">и продолжали введение до </w:t>
      </w:r>
      <w:r w:rsidR="00F213A7">
        <w:t xml:space="preserve">20 дня </w:t>
      </w:r>
      <w:r w:rsidR="001151DA">
        <w:t xml:space="preserve">лактации. </w:t>
      </w:r>
      <w:r w:rsidR="001151DA">
        <w:rPr>
          <w:lang w:val="en-US"/>
        </w:rPr>
        <w:t>NOAEL</w:t>
      </w:r>
      <w:r w:rsidR="001151DA" w:rsidRPr="005D0C39">
        <w:t xml:space="preserve"> </w:t>
      </w:r>
      <w:r w:rsidR="001151DA">
        <w:t xml:space="preserve">в отношении материнского организма составила 50 мг/кг/сут. </w:t>
      </w:r>
      <w:r w:rsidR="005D0C39">
        <w:t xml:space="preserve">Снижение потребления корма отмечали в период лактации при введении лекарственного средства в дозе 50 мг/кг/сут, </w:t>
      </w:r>
      <w:r w:rsidR="00380CE4">
        <w:t>что не влияло на массу тела или прибавку массы тела самок</w:t>
      </w:r>
      <w:r w:rsidR="00F213A7">
        <w:t xml:space="preserve"> </w:t>
      </w:r>
      <w:r w:rsidR="00380CE4">
        <w:t>и сочли связанным с</w:t>
      </w:r>
      <w:r w:rsidR="00052E0D">
        <w:t xml:space="preserve">о снижением энергетических потребностей в связи с малым количеством крысят в помете. </w:t>
      </w:r>
      <w:r w:rsidR="00196092">
        <w:rPr>
          <w:lang w:val="en-US"/>
        </w:rPr>
        <w:t>NOAEL</w:t>
      </w:r>
      <w:r w:rsidR="00196092" w:rsidRPr="00EF433A">
        <w:t xml:space="preserve"> </w:t>
      </w:r>
      <w:r w:rsidR="00196092">
        <w:t xml:space="preserve">у самок в отношении репродуктивной функции составила </w:t>
      </w:r>
      <w:r w:rsidR="00EF433A">
        <w:t xml:space="preserve">10 мг/кг/сут. При дозе 50 мг/кг/сут </w:t>
      </w:r>
      <w:r w:rsidR="003E13EB">
        <w:t xml:space="preserve">среднее количество родившихся крысят и количество живорожденных крысят снижалось. </w:t>
      </w:r>
      <w:r w:rsidR="00682776">
        <w:rPr>
          <w:lang w:val="en-US"/>
        </w:rPr>
        <w:t>NOAEL</w:t>
      </w:r>
      <w:r w:rsidR="00682776" w:rsidRPr="00682776">
        <w:t xml:space="preserve"> </w:t>
      </w:r>
      <w:r w:rsidR="00682776">
        <w:t xml:space="preserve">для жизнеспособности и роста потомства равнялась 10 мг/кг/сут. </w:t>
      </w:r>
      <w:r w:rsidR="000D5B58">
        <w:t>При дозе 50 мг/кг/сут жизнеспособность потомства с 1 по 4 дни после рождения была резко снижена</w:t>
      </w:r>
      <w:r w:rsidR="00555704">
        <w:t xml:space="preserve"> с последующим уменьшением </w:t>
      </w:r>
      <w:r w:rsidR="00F06E88">
        <w:t>выживаемости</w:t>
      </w:r>
      <w:r w:rsidR="00555704">
        <w:t xml:space="preserve"> с </w:t>
      </w:r>
      <w:r w:rsidR="00F06E88">
        <w:t xml:space="preserve">4 по 21 день после рождения. </w:t>
      </w:r>
      <w:r w:rsidR="00A27280">
        <w:t xml:space="preserve">Это привело к </w:t>
      </w:r>
      <w:r w:rsidR="009362D0">
        <w:t>прекращению использования в исследовании</w:t>
      </w:r>
      <w:r w:rsidR="00A27280">
        <w:t xml:space="preserve"> всех крысят, полученных от самок из группы 50 мг/кг/сут, к моменту отъема от груд</w:t>
      </w:r>
      <w:r w:rsidR="006A337C">
        <w:t>ного вскармливания</w:t>
      </w:r>
      <w:r w:rsidR="009362D0">
        <w:t xml:space="preserve"> из-за </w:t>
      </w:r>
      <w:r w:rsidR="00384185">
        <w:t>повышенной летальности</w:t>
      </w:r>
      <w:r w:rsidR="006A337C">
        <w:t xml:space="preserve">. Оценку роста, полового созревания и поведения провели только для крысят, рожденных самками из групп </w:t>
      </w:r>
      <w:r w:rsidR="001C450E">
        <w:t xml:space="preserve">лекарственного средства в дозе 1, 10 мг/кг/сут или </w:t>
      </w:r>
      <w:r w:rsidR="00D365E9">
        <w:t xml:space="preserve">самками из группы носителя. </w:t>
      </w:r>
      <w:r w:rsidR="00E30B53">
        <w:t>Снижение массы тела крысят</w:t>
      </w:r>
      <w:r w:rsidR="001705C5">
        <w:t xml:space="preserve"> самок, получавших CP-690550-10</w:t>
      </w:r>
      <w:r w:rsidR="00A1229B">
        <w:t xml:space="preserve"> </w:t>
      </w:r>
      <w:r w:rsidR="001705C5">
        <w:t xml:space="preserve">в дозе 10 мг/кг/сут до отъема от грудного вскармливания, привела к </w:t>
      </w:r>
      <w:r w:rsidR="00C8001A">
        <w:t>снижению массы тела самцов крысят в периоде после грудного вскармливания</w:t>
      </w:r>
      <w:r w:rsidR="003578FD">
        <w:t xml:space="preserve">, тем не менее прибавка массы тела в период после отлучения от груди была сопоставимой со значениями у крысят из контрольной группы в это период. </w:t>
      </w:r>
      <w:r w:rsidR="004E23F1">
        <w:t xml:space="preserve">CP-690550-10 не влиял на </w:t>
      </w:r>
      <w:r w:rsidR="00E030EA">
        <w:t>половое созревание, обучение и память</w:t>
      </w:r>
      <w:r w:rsidR="00B87BA0">
        <w:t xml:space="preserve">, старт-реакцию, </w:t>
      </w:r>
      <w:r w:rsidR="00462A89">
        <w:t>двигательную активность, эстральный цикл, спаривание и фертильность самок первого поколения</w:t>
      </w:r>
      <w:r w:rsidR="00BE4505">
        <w:t>,</w:t>
      </w:r>
      <w:r w:rsidR="00462A89">
        <w:t xml:space="preserve"> и жизнеспособность потомства второго поколения</w:t>
      </w:r>
      <w:r w:rsidR="00196092" w:rsidRPr="00196092">
        <w:t xml:space="preserve"> </w:t>
      </w:r>
      <w:r w:rsidR="00EE4915">
        <w:rPr>
          <w:lang w:val="en-US"/>
        </w:rPr>
        <w:fldChar w:fldCharType="begin"/>
      </w:r>
      <w:r w:rsidR="00044A89">
        <w:instrText xml:space="preserve"> ADDIN ZOTERO_ITEM CSL_CITATION {"citationID":"SB5bCU2I","properties":{"formattedCitation":"[12]","plainCitation":"[12]","noteIndex":0},"citationItems":[{"id":87803,"uris":["http://zotero.org/groups/4742804/items/DMZ5DFPG"],"itemData":{"id":87803,"type":"webpage","title":"Xeljanz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EE4915">
        <w:rPr>
          <w:lang w:val="en-US"/>
        </w:rPr>
        <w:fldChar w:fldCharType="separate"/>
      </w:r>
      <w:r w:rsidR="00D46D1F">
        <w:rPr>
          <w:rFonts w:cs="Times New Roman"/>
        </w:rPr>
        <w:t>[1</w:t>
      </w:r>
      <w:r w:rsidR="00044A89" w:rsidRPr="00044A89">
        <w:rPr>
          <w:rFonts w:cs="Times New Roman"/>
        </w:rPr>
        <w:t>]</w:t>
      </w:r>
      <w:r w:rsidR="00EE4915">
        <w:rPr>
          <w:lang w:val="en-US"/>
        </w:rPr>
        <w:fldChar w:fldCharType="end"/>
      </w:r>
      <w:r w:rsidR="00462A89">
        <w:t>.</w:t>
      </w:r>
    </w:p>
    <w:p w14:paraId="60D47ED5" w14:textId="77777777" w:rsidR="00017DA2" w:rsidRPr="00CC466E" w:rsidRDefault="00017DA2" w:rsidP="0040049C">
      <w:pPr>
        <w:pStyle w:val="SDText"/>
        <w:spacing w:after="0"/>
        <w:contextualSpacing/>
      </w:pPr>
    </w:p>
    <w:p w14:paraId="345E10B1" w14:textId="51A9212D" w:rsidR="00B02BF4" w:rsidRPr="00BD2318" w:rsidRDefault="00BE2417" w:rsidP="00BE2417">
      <w:pPr>
        <w:pStyle w:val="4"/>
        <w:numPr>
          <w:ilvl w:val="0"/>
          <w:numId w:val="0"/>
        </w:numPr>
        <w:ind w:left="864" w:hanging="864"/>
      </w:pPr>
      <w:bookmarkStart w:id="169" w:name="_Ref113954566"/>
      <w:bookmarkStart w:id="170" w:name="_Toc115421052"/>
      <w:bookmarkStart w:id="171" w:name="_Toc121592585"/>
      <w:r>
        <w:t xml:space="preserve">3.3.5.4. </w:t>
      </w:r>
      <w:r w:rsidR="00CC466E" w:rsidRPr="00B20C48">
        <w:t>Ювенильная</w:t>
      </w:r>
      <w:r w:rsidR="00CC466E" w:rsidRPr="00BD2318">
        <w:t xml:space="preserve"> токсичность</w:t>
      </w:r>
      <w:bookmarkEnd w:id="169"/>
      <w:bookmarkEnd w:id="170"/>
      <w:bookmarkEnd w:id="171"/>
    </w:p>
    <w:p w14:paraId="3C55E1FB" w14:textId="77777777" w:rsidR="00BD2318" w:rsidRDefault="00BD2318" w:rsidP="0040049C">
      <w:pPr>
        <w:pStyle w:val="SDText"/>
        <w:spacing w:after="0"/>
        <w:contextualSpacing/>
      </w:pPr>
    </w:p>
    <w:p w14:paraId="31DAD23C" w14:textId="181E535E" w:rsidR="00684DF9" w:rsidRPr="00E82CA2" w:rsidRDefault="00572EFE" w:rsidP="0040049C">
      <w:pPr>
        <w:pStyle w:val="SDText"/>
        <w:spacing w:after="0"/>
        <w:contextualSpacing/>
      </w:pPr>
      <w:r>
        <w:t xml:space="preserve">В исследовании </w:t>
      </w:r>
      <w:r w:rsidRPr="00DC2FB2">
        <w:t>09</w:t>
      </w:r>
      <w:r w:rsidRPr="00572EFE">
        <w:rPr>
          <w:lang w:val="en-US"/>
        </w:rPr>
        <w:t>GR</w:t>
      </w:r>
      <w:r w:rsidRPr="00DC2FB2">
        <w:t>249</w:t>
      </w:r>
      <w:r>
        <w:t xml:space="preserve"> использовали </w:t>
      </w:r>
      <w:r w:rsidR="00DC2FB2">
        <w:t>крыс линии Спрег-Доули (</w:t>
      </w:r>
      <w:r w:rsidR="001B2949">
        <w:t xml:space="preserve">масса тела 42,8–66,9 г для самцов, </w:t>
      </w:r>
      <w:r w:rsidR="001E7A58">
        <w:t>44,3–67,8 г для самок, по 10 самцов и 1 самк</w:t>
      </w:r>
      <w:r w:rsidR="00BE4505">
        <w:t>е</w:t>
      </w:r>
      <w:r w:rsidR="001E7A58">
        <w:t xml:space="preserve"> на группу)</w:t>
      </w:r>
      <w:r w:rsidR="007735C7">
        <w:t xml:space="preserve">. Животные получали </w:t>
      </w:r>
      <w:r w:rsidR="007735C7" w:rsidRPr="007735C7">
        <w:t>CP-690550-10</w:t>
      </w:r>
      <w:r w:rsidR="007735C7">
        <w:t xml:space="preserve"> </w:t>
      </w:r>
      <w:r w:rsidR="00B438FC">
        <w:t xml:space="preserve">в дозе </w:t>
      </w:r>
      <w:r w:rsidR="009D3BFA">
        <w:t>1, 10 или 100 мг/кг</w:t>
      </w:r>
      <w:r w:rsidR="00BE4505">
        <w:t>,</w:t>
      </w:r>
      <w:r w:rsidR="009D3BFA">
        <w:t xml:space="preserve"> или носитель </w:t>
      </w:r>
      <w:r w:rsidR="00B438FC">
        <w:t xml:space="preserve">перорально с 12 </w:t>
      </w:r>
      <w:r w:rsidR="009D3BFA">
        <w:t xml:space="preserve">по 35 день после рождения. Гибели животных, а также </w:t>
      </w:r>
      <w:r w:rsidR="008263CD">
        <w:t xml:space="preserve">клинических признаков интоксикации, изменений массы тела или прибавки массы тела не наблюдали. </w:t>
      </w:r>
      <w:r w:rsidR="00701F6C">
        <w:t xml:space="preserve">Оценку клинической и анатомической патологии не проводили. </w:t>
      </w:r>
      <w:r w:rsidR="00115223">
        <w:t xml:space="preserve">Концентрации </w:t>
      </w:r>
      <w:r w:rsidR="002A5C58" w:rsidRPr="002A5C58">
        <w:t xml:space="preserve">тофацитиниба </w:t>
      </w:r>
      <w:r w:rsidR="00115223">
        <w:t xml:space="preserve">в плазме крови, определенные через 0,5 ч после введения, увеличивались при повышении дозы. </w:t>
      </w:r>
      <w:r w:rsidR="00665D66">
        <w:t>Экспозиция на 35 день у самок была выше, чем у самцов (</w:t>
      </w:r>
      <w:r w:rsidR="00D5271D">
        <w:t>в 2 раза при введении в низкой и средней дозах, в 1,3 раза при введении в высокой дозе)</w:t>
      </w:r>
      <w:r w:rsidR="00E82CA2">
        <w:t xml:space="preserve">, свидетельства кумуляции </w:t>
      </w:r>
      <w:r w:rsidR="002A5C58" w:rsidRPr="002A5C58">
        <w:t xml:space="preserve">тофацитиниба </w:t>
      </w:r>
      <w:r w:rsidR="00E82CA2">
        <w:t xml:space="preserve">с 12 по 35 день не выявили </w:t>
      </w:r>
      <w:r w:rsidR="00684DF9">
        <w:rPr>
          <w:lang w:val="en-US"/>
        </w:rPr>
        <w:fldChar w:fldCharType="begin"/>
      </w:r>
      <w:r w:rsidR="00044A89">
        <w:instrText xml:space="preserve"> ADDIN ZOTERO_ITEM CSL_CITATION {"citationID":"ugCjXM4B","properties":{"formattedCitation":"[12]","plainCitation":"[12]","noteIndex":0},"citationItems":[{"id":87803,"uris":["http://zotero.org/groups/4742804/items/DMZ5DFPG"],"itemData":{"id":87803,"type":"webpage","title":"Xeljanz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684DF9">
        <w:rPr>
          <w:lang w:val="en-US"/>
        </w:rPr>
        <w:fldChar w:fldCharType="separate"/>
      </w:r>
      <w:r w:rsidR="00D46D1F">
        <w:rPr>
          <w:rFonts w:cs="Times New Roman"/>
        </w:rPr>
        <w:t>[1</w:t>
      </w:r>
      <w:r w:rsidR="00044A89" w:rsidRPr="00044A89">
        <w:rPr>
          <w:rFonts w:cs="Times New Roman"/>
        </w:rPr>
        <w:t>]</w:t>
      </w:r>
      <w:r w:rsidR="00684DF9">
        <w:rPr>
          <w:lang w:val="en-US"/>
        </w:rPr>
        <w:fldChar w:fldCharType="end"/>
      </w:r>
      <w:r w:rsidR="00E82CA2">
        <w:t>.</w:t>
      </w:r>
    </w:p>
    <w:p w14:paraId="5B090818" w14:textId="49AC6016" w:rsidR="00CC466E" w:rsidRDefault="006D1188" w:rsidP="0040049C">
      <w:pPr>
        <w:pStyle w:val="SDText"/>
        <w:spacing w:after="0"/>
        <w:contextualSpacing/>
      </w:pPr>
      <w:r>
        <w:t xml:space="preserve">В исследовании </w:t>
      </w:r>
      <w:r w:rsidR="000D0E20" w:rsidRPr="000D0E20">
        <w:t>10GR307</w:t>
      </w:r>
      <w:r w:rsidR="000D0E20">
        <w:t xml:space="preserve"> </w:t>
      </w:r>
      <w:r w:rsidR="00361EBC">
        <w:t xml:space="preserve">крысам линии Спрег-Доули </w:t>
      </w:r>
      <w:r w:rsidR="00917C84">
        <w:t xml:space="preserve">(масса тела </w:t>
      </w:r>
      <w:r w:rsidR="00917C84" w:rsidRPr="00917C84">
        <w:t>47</w:t>
      </w:r>
      <w:r w:rsidR="00917C84">
        <w:t>,</w:t>
      </w:r>
      <w:r w:rsidR="00917C84" w:rsidRPr="00917C84">
        <w:t>7</w:t>
      </w:r>
      <w:r w:rsidR="00917C84">
        <w:t>–</w:t>
      </w:r>
      <w:r w:rsidR="00917C84" w:rsidRPr="00917C84">
        <w:t>68</w:t>
      </w:r>
      <w:r w:rsidR="00917C84">
        <w:t>,</w:t>
      </w:r>
      <w:r w:rsidR="00917C84" w:rsidRPr="00917C84">
        <w:t>2</w:t>
      </w:r>
      <w:r w:rsidR="00917C84">
        <w:t xml:space="preserve"> </w:t>
      </w:r>
      <w:r w:rsidR="00BE4505">
        <w:t xml:space="preserve">г </w:t>
      </w:r>
      <w:r w:rsidR="00917C84">
        <w:t xml:space="preserve">для самцов, </w:t>
      </w:r>
      <w:r w:rsidR="00426DA9" w:rsidRPr="00426DA9">
        <w:t>44</w:t>
      </w:r>
      <w:r w:rsidR="00426DA9">
        <w:t>,</w:t>
      </w:r>
      <w:r w:rsidR="00426DA9" w:rsidRPr="00426DA9">
        <w:t>7</w:t>
      </w:r>
      <w:r w:rsidR="00426DA9">
        <w:t>–</w:t>
      </w:r>
      <w:r w:rsidR="00426DA9" w:rsidRPr="00426DA9">
        <w:t>66</w:t>
      </w:r>
      <w:r w:rsidR="00426DA9">
        <w:t>,</w:t>
      </w:r>
      <w:r w:rsidR="00426DA9" w:rsidRPr="00426DA9">
        <w:t>6</w:t>
      </w:r>
      <w:r w:rsidR="00426DA9">
        <w:t xml:space="preserve"> </w:t>
      </w:r>
      <w:r w:rsidR="00BE4505">
        <w:t xml:space="preserve">г </w:t>
      </w:r>
      <w:r w:rsidR="00426DA9">
        <w:t>для самок</w:t>
      </w:r>
      <w:r w:rsidR="00DF3CC6">
        <w:t xml:space="preserve">, по 16 самцов и 16 самок на группу) с 21 по 49 день после </w:t>
      </w:r>
      <w:r w:rsidR="00DF3CC6">
        <w:lastRenderedPageBreak/>
        <w:t xml:space="preserve">рождения </w:t>
      </w:r>
      <w:r w:rsidR="006B5099">
        <w:t xml:space="preserve">вводили внутрижелудочно </w:t>
      </w:r>
      <w:r w:rsidR="002A5C58" w:rsidRPr="002A5C58">
        <w:t>тофацитиниб</w:t>
      </w:r>
      <w:r w:rsidR="002A5C58">
        <w:t xml:space="preserve"> </w:t>
      </w:r>
      <w:r w:rsidR="008130E5">
        <w:t>в дозе 1, 10 или 100 мг/кг/сут</w:t>
      </w:r>
      <w:r w:rsidR="00DC3DCE">
        <w:t>,</w:t>
      </w:r>
      <w:r w:rsidR="006B5099">
        <w:t xml:space="preserve"> или носитель. </w:t>
      </w:r>
      <w:r w:rsidR="00247CFA">
        <w:t xml:space="preserve">Период восстановления составил 2 мес. </w:t>
      </w:r>
      <w:r w:rsidR="0083256E">
        <w:t xml:space="preserve">Масса тела немного снижалась </w:t>
      </w:r>
      <w:r w:rsidR="0085044D">
        <w:t>у животных из групп введения в дозах</w:t>
      </w:r>
      <w:r w:rsidR="0083256E">
        <w:t xml:space="preserve"> 10 </w:t>
      </w:r>
      <w:r w:rsidR="0085044D">
        <w:t>и</w:t>
      </w:r>
      <w:r w:rsidR="0083256E">
        <w:t xml:space="preserve"> 100 мг/кг/</w:t>
      </w:r>
      <w:r w:rsidR="0085044D">
        <w:t>сут</w:t>
      </w:r>
      <w:r w:rsidR="00BE4505">
        <w:t>,</w:t>
      </w:r>
      <w:r w:rsidR="0083256E">
        <w:t xml:space="preserve"> и все еще был</w:t>
      </w:r>
      <w:r w:rsidR="0085044D">
        <w:t>а</w:t>
      </w:r>
      <w:r w:rsidR="0083256E">
        <w:t xml:space="preserve"> ниже, чем </w:t>
      </w:r>
      <w:r w:rsidR="0085044D">
        <w:t>у животных из</w:t>
      </w:r>
      <w:r w:rsidR="0083256E">
        <w:t xml:space="preserve"> контрольной групп</w:t>
      </w:r>
      <w:r w:rsidR="0085044D">
        <w:t>ы</w:t>
      </w:r>
      <w:r w:rsidR="0083256E">
        <w:t xml:space="preserve"> в конце </w:t>
      </w:r>
      <w:r w:rsidR="0085044D">
        <w:t>периода восстановления</w:t>
      </w:r>
      <w:r w:rsidR="0083256E">
        <w:t xml:space="preserve"> для группы с дозой 100 мг/кг/</w:t>
      </w:r>
      <w:r w:rsidR="00982493">
        <w:t>сут</w:t>
      </w:r>
      <w:r w:rsidR="0083256E">
        <w:t xml:space="preserve"> (</w:t>
      </w:r>
      <w:r w:rsidR="00982493">
        <w:t>самцы</w:t>
      </w:r>
      <w:r w:rsidR="0083256E">
        <w:t>/</w:t>
      </w:r>
      <w:r w:rsidR="00982493">
        <w:t>самки</w:t>
      </w:r>
      <w:r w:rsidR="0083256E">
        <w:t xml:space="preserve"> 97%/92% </w:t>
      </w:r>
      <w:r w:rsidR="00982493">
        <w:t xml:space="preserve">от </w:t>
      </w:r>
      <w:r w:rsidR="0083256E">
        <w:t xml:space="preserve">контроля). Введение </w:t>
      </w:r>
      <w:r w:rsidR="002A5C58" w:rsidRPr="002A5C58">
        <w:t xml:space="preserve">тофацитиниба </w:t>
      </w:r>
      <w:r w:rsidR="0083256E">
        <w:t xml:space="preserve">вызывало дозозависимое снижение и времязависимое снижение гематологических параметров, хотя </w:t>
      </w:r>
      <w:r w:rsidR="00982493">
        <w:t>изменения</w:t>
      </w:r>
      <w:r w:rsidR="0083256E">
        <w:t xml:space="preserve"> не были значительными</w:t>
      </w:r>
      <w:r w:rsidR="00335C99">
        <w:t>: количество</w:t>
      </w:r>
      <w:r w:rsidR="0083256E">
        <w:t xml:space="preserve"> эритроцитов </w:t>
      </w:r>
      <w:r w:rsidR="00335C99">
        <w:t xml:space="preserve">снижалось </w:t>
      </w:r>
      <w:r w:rsidR="0083256E">
        <w:t>к 30 дню (50</w:t>
      </w:r>
      <w:r w:rsidR="00335C99">
        <w:t xml:space="preserve"> день после рождения</w:t>
      </w:r>
      <w:r w:rsidR="0083256E">
        <w:t xml:space="preserve">, </w:t>
      </w:r>
      <w:r w:rsidR="00335C99">
        <w:t xml:space="preserve">самцы/самки </w:t>
      </w:r>
      <w:r w:rsidR="0083256E">
        <w:t>93%/95%</w:t>
      </w:r>
      <w:r w:rsidR="00335C99">
        <w:t xml:space="preserve"> от контроля</w:t>
      </w:r>
      <w:r w:rsidR="0083256E">
        <w:t>)</w:t>
      </w:r>
      <w:r w:rsidR="00335C99">
        <w:t>, а количество</w:t>
      </w:r>
      <w:r w:rsidR="0083256E">
        <w:t xml:space="preserve"> ретикулоцит</w:t>
      </w:r>
      <w:r w:rsidR="00CD44B8">
        <w:t>ов</w:t>
      </w:r>
      <w:r w:rsidR="009C756A">
        <w:t xml:space="preserve"> – </w:t>
      </w:r>
      <w:r w:rsidR="0083256E">
        <w:t>на 15 день (</w:t>
      </w:r>
      <w:r w:rsidR="00335C99">
        <w:t>самцы/самки</w:t>
      </w:r>
      <w:r w:rsidR="0083256E">
        <w:t xml:space="preserve">, 85%/83%). </w:t>
      </w:r>
      <w:r w:rsidR="001B159C">
        <w:t>Среднее количество лейкоцитов снижалось дозозависимым образом при введени</w:t>
      </w:r>
      <w:r w:rsidR="00335C99">
        <w:t>и</w:t>
      </w:r>
      <w:r w:rsidR="001B159C">
        <w:t xml:space="preserve"> </w:t>
      </w:r>
      <w:r w:rsidR="002A5C58" w:rsidRPr="002A5C58">
        <w:t>тофацитиниба</w:t>
      </w:r>
      <w:r w:rsidR="001B159C">
        <w:t xml:space="preserve">, и это было связано с дозозависимым снижением </w:t>
      </w:r>
      <w:r w:rsidR="00335C99">
        <w:t>количества</w:t>
      </w:r>
      <w:r w:rsidR="001B159C">
        <w:t xml:space="preserve"> лимфоцит</w:t>
      </w:r>
      <w:r w:rsidR="00335C99">
        <w:t>ов</w:t>
      </w:r>
      <w:r w:rsidR="001B159C">
        <w:t xml:space="preserve"> (максимальное снижение при высокой дозе: </w:t>
      </w:r>
      <w:r w:rsidR="00335C99">
        <w:t xml:space="preserve">самцы/самки </w:t>
      </w:r>
      <w:r w:rsidR="001B159C">
        <w:t>34%/24% от контроля на 30 день), эозинофил</w:t>
      </w:r>
      <w:r w:rsidR="00335C99">
        <w:t>ов</w:t>
      </w:r>
      <w:r w:rsidR="001B159C">
        <w:t xml:space="preserve"> (высокая доза: </w:t>
      </w:r>
      <w:r w:rsidR="00335C99">
        <w:t xml:space="preserve">самцы/самки </w:t>
      </w:r>
      <w:r w:rsidR="001B159C">
        <w:t>29%/19% от контроля на 30 день) и базофил</w:t>
      </w:r>
      <w:r w:rsidR="00335C99">
        <w:t>ов</w:t>
      </w:r>
      <w:r w:rsidR="001B159C">
        <w:t xml:space="preserve"> (высокая доза: </w:t>
      </w:r>
      <w:r w:rsidR="00335C99" w:rsidRPr="00335C99">
        <w:t xml:space="preserve">самцы/самки </w:t>
      </w:r>
      <w:r w:rsidR="001B159C">
        <w:t xml:space="preserve">25%/17% от контроля на 15 день). Эти эффекты были обычно обратимы к концу восстановительного периода. </w:t>
      </w:r>
      <w:r w:rsidR="00335C99">
        <w:t xml:space="preserve">Введение </w:t>
      </w:r>
      <w:r w:rsidR="002A5C58" w:rsidRPr="002A5C58">
        <w:t>тофацитиниба</w:t>
      </w:r>
      <w:r w:rsidR="001B159C">
        <w:t xml:space="preserve"> уменьш</w:t>
      </w:r>
      <w:r w:rsidR="00335C99">
        <w:t>ало</w:t>
      </w:r>
      <w:r w:rsidR="001B159C">
        <w:t xml:space="preserve"> средний процент субпопуляций лимфоцитов. Эти эффекты иногда зависели от дозы или времени с дальнейшим снижением на 30 день (50</w:t>
      </w:r>
      <w:r w:rsidR="00335C99">
        <w:t xml:space="preserve"> день после рождения</w:t>
      </w:r>
      <w:r w:rsidR="001B159C">
        <w:t>) по сравнению с 15 днем ​​(35</w:t>
      </w:r>
      <w:r w:rsidR="00335C99">
        <w:t xml:space="preserve"> день после рождения</w:t>
      </w:r>
      <w:r w:rsidR="001B159C">
        <w:t>). Максимальн</w:t>
      </w:r>
      <w:r w:rsidR="00335C99">
        <w:t>ое снижение при введении в</w:t>
      </w:r>
      <w:r w:rsidR="001B159C">
        <w:t xml:space="preserve"> высок</w:t>
      </w:r>
      <w:r w:rsidR="00335C99">
        <w:t>ой</w:t>
      </w:r>
      <w:r w:rsidR="001B159C">
        <w:t xml:space="preserve"> доз</w:t>
      </w:r>
      <w:r w:rsidR="00335C99">
        <w:t>е</w:t>
      </w:r>
      <w:r w:rsidR="001B159C">
        <w:t xml:space="preserve"> для </w:t>
      </w:r>
      <w:r w:rsidR="00335C99">
        <w:t>самцов и самок</w:t>
      </w:r>
      <w:r w:rsidR="001B159C">
        <w:t xml:space="preserve"> по сравнению с контрольными значениями </w:t>
      </w:r>
      <w:r w:rsidR="00335C99">
        <w:t>приходилось на</w:t>
      </w:r>
      <w:r w:rsidR="001B159C">
        <w:t xml:space="preserve"> общ</w:t>
      </w:r>
      <w:r w:rsidR="00335C99">
        <w:t>ее количество</w:t>
      </w:r>
      <w:r w:rsidR="001B159C">
        <w:t xml:space="preserve"> Т-клет</w:t>
      </w:r>
      <w:r w:rsidR="00335C99">
        <w:t>ок</w:t>
      </w:r>
      <w:r w:rsidR="001B159C">
        <w:t xml:space="preserve"> (</w:t>
      </w:r>
      <w:r w:rsidR="00335C99">
        <w:t xml:space="preserve">самцы/самки </w:t>
      </w:r>
      <w:r w:rsidR="001B159C">
        <w:t>90%/88% на 15 день), цитотоксические Т-клетки (</w:t>
      </w:r>
      <w:r w:rsidR="00F12B53" w:rsidRPr="00F12B53">
        <w:t xml:space="preserve">самцы/самки </w:t>
      </w:r>
      <w:r w:rsidR="001B159C">
        <w:t xml:space="preserve">48%/44% на 30 день), </w:t>
      </w:r>
      <w:r w:rsidR="00F12B53">
        <w:rPr>
          <w:lang w:val="en-US"/>
        </w:rPr>
        <w:t>NK</w:t>
      </w:r>
      <w:r w:rsidR="00F12B53" w:rsidRPr="00F12B53">
        <w:t>-</w:t>
      </w:r>
      <w:r w:rsidR="001B159C">
        <w:t>клетки</w:t>
      </w:r>
      <w:r w:rsidR="00F12B53" w:rsidRPr="00F12B53">
        <w:t xml:space="preserve"> </w:t>
      </w:r>
      <w:r w:rsidR="001B159C">
        <w:t>(</w:t>
      </w:r>
      <w:r w:rsidR="00F12B53">
        <w:t xml:space="preserve">самцы/самки </w:t>
      </w:r>
      <w:r w:rsidR="001B159C">
        <w:t xml:space="preserve">28%/41% на 15 день) и </w:t>
      </w:r>
      <w:r w:rsidR="00B96294">
        <w:t xml:space="preserve">естественные киллерные </w:t>
      </w:r>
      <w:r w:rsidR="00B96294">
        <w:rPr>
          <w:lang w:val="en-US"/>
        </w:rPr>
        <w:t>T</w:t>
      </w:r>
      <w:r w:rsidR="008B2D62">
        <w:t>-клетки (</w:t>
      </w:r>
      <w:r w:rsidR="008B2D62" w:rsidRPr="008B2D62">
        <w:t>Natural Killer T Cells</w:t>
      </w:r>
      <w:r w:rsidR="008B2D62">
        <w:t xml:space="preserve">, </w:t>
      </w:r>
      <w:r w:rsidR="001B159C">
        <w:t>NKT-клетки</w:t>
      </w:r>
      <w:r w:rsidR="008B2D62">
        <w:t>)</w:t>
      </w:r>
      <w:r w:rsidR="001B159C">
        <w:t xml:space="preserve"> (</w:t>
      </w:r>
      <w:r w:rsidR="008B2D62" w:rsidRPr="00F12B53">
        <w:t xml:space="preserve">самцы/самки </w:t>
      </w:r>
      <w:r w:rsidR="001B159C">
        <w:t>31%/23% на 30 день). Влияния на В-лимфоциты не наблюдал</w:t>
      </w:r>
      <w:r w:rsidR="008B2D62">
        <w:t>и</w:t>
      </w:r>
      <w:r w:rsidR="001B159C">
        <w:t>.</w:t>
      </w:r>
      <w:r w:rsidR="002B7150" w:rsidRPr="002B7150">
        <w:t xml:space="preserve"> </w:t>
      </w:r>
      <w:r w:rsidR="002B7150">
        <w:t xml:space="preserve">Масса тимуса и селезенки была снижена дозозависимым образом по сравнению с контрольными значениями у самцов и самок, с максимальным снижением </w:t>
      </w:r>
      <w:r w:rsidR="008B2D62">
        <w:t>при</w:t>
      </w:r>
      <w:r w:rsidR="002B7150">
        <w:t xml:space="preserve"> высок</w:t>
      </w:r>
      <w:r w:rsidR="008B2D62">
        <w:t>ой</w:t>
      </w:r>
      <w:r w:rsidR="002B7150">
        <w:t xml:space="preserve"> доз</w:t>
      </w:r>
      <w:r w:rsidR="008B2D62">
        <w:t>е</w:t>
      </w:r>
      <w:r w:rsidR="002B7150">
        <w:t>: селезенка (</w:t>
      </w:r>
      <w:r w:rsidR="008B2D62" w:rsidRPr="00F12B53">
        <w:t xml:space="preserve">самцы/самки </w:t>
      </w:r>
      <w:r w:rsidR="002B7150">
        <w:t xml:space="preserve">50%/45% </w:t>
      </w:r>
      <w:r w:rsidR="008B2D62">
        <w:t xml:space="preserve">от </w:t>
      </w:r>
      <w:r w:rsidR="002B7150">
        <w:t>контроля) и тимус (</w:t>
      </w:r>
      <w:r w:rsidR="008B2D62" w:rsidRPr="00F12B53">
        <w:t xml:space="preserve">самцы/самки </w:t>
      </w:r>
      <w:r w:rsidR="002B7150">
        <w:t>63%/49%</w:t>
      </w:r>
      <w:r w:rsidR="008B2D62">
        <w:t xml:space="preserve"> от</w:t>
      </w:r>
      <w:r w:rsidR="002B7150">
        <w:t xml:space="preserve"> контрол</w:t>
      </w:r>
      <w:r w:rsidR="008B2D62">
        <w:t>я</w:t>
      </w:r>
      <w:r w:rsidR="002B7150">
        <w:t xml:space="preserve">). Уменьшение </w:t>
      </w:r>
      <w:r w:rsidR="008B2D62">
        <w:t>массы</w:t>
      </w:r>
      <w:r w:rsidR="002B7150">
        <w:t xml:space="preserve"> органов отражалось в результатах гистопатологического исследования всех исслед</w:t>
      </w:r>
      <w:r w:rsidR="00D36E3E">
        <w:t>ованных</w:t>
      </w:r>
      <w:r w:rsidR="002B7150">
        <w:t xml:space="preserve"> лимфоидны</w:t>
      </w:r>
      <w:r w:rsidR="00D36E3E">
        <w:t>х</w:t>
      </w:r>
      <w:r w:rsidR="002B7150">
        <w:t xml:space="preserve"> орган</w:t>
      </w:r>
      <w:r w:rsidR="00D36E3E">
        <w:t>ов</w:t>
      </w:r>
      <w:r w:rsidR="002B7150">
        <w:t xml:space="preserve"> (тимус, селезенка, брыжеечный лимфатический узел, пахово-бедренный лимфатический узел и нижнечелюстной лимфатический узел)</w:t>
      </w:r>
      <w:r w:rsidR="00D36E3E">
        <w:t>, которые</w:t>
      </w:r>
      <w:r w:rsidR="002B7150">
        <w:t xml:space="preserve"> имели сниженную клеточность. Эт</w:t>
      </w:r>
      <w:r w:rsidR="00D36E3E">
        <w:t>и изменения были</w:t>
      </w:r>
      <w:r w:rsidR="002B7150">
        <w:t xml:space="preserve"> обратим</w:t>
      </w:r>
      <w:r w:rsidR="00D36E3E">
        <w:t>ы</w:t>
      </w:r>
      <w:r w:rsidR="002B7150">
        <w:t xml:space="preserve"> к концу 2-месячного периода восстановления.</w:t>
      </w:r>
      <w:r w:rsidR="00C33038">
        <w:t xml:space="preserve"> Влияние на гематологи</w:t>
      </w:r>
      <w:r w:rsidR="00D36E3E">
        <w:t>ческие показатели</w:t>
      </w:r>
      <w:r w:rsidR="00C33038">
        <w:t xml:space="preserve"> и массу лимфоидных органов было сходным с наблюдае</w:t>
      </w:r>
      <w:r w:rsidR="00D36E3E">
        <w:t xml:space="preserve">мым </w:t>
      </w:r>
      <w:r w:rsidR="00C33038">
        <w:t>у взрослых крыс (</w:t>
      </w:r>
      <w:r w:rsidR="00D36E3E">
        <w:t xml:space="preserve">исследования </w:t>
      </w:r>
      <w:r w:rsidR="00C33038">
        <w:t>01-2063-06 и 02-2063-20</w:t>
      </w:r>
      <w:r w:rsidR="00C60754">
        <w:t xml:space="preserve">, Раздел </w:t>
      </w:r>
      <w:r w:rsidR="00C60754">
        <w:fldChar w:fldCharType="begin"/>
      </w:r>
      <w:r w:rsidR="00C60754">
        <w:instrText xml:space="preserve"> REF _Ref113785389 \n \h </w:instrText>
      </w:r>
      <w:r w:rsidR="0040049C">
        <w:instrText xml:space="preserve"> \* MERGEFORMAT </w:instrText>
      </w:r>
      <w:r w:rsidR="00C60754">
        <w:fldChar w:fldCharType="separate"/>
      </w:r>
      <w:r w:rsidR="00383E6F">
        <w:t>3.3.2</w:t>
      </w:r>
      <w:r w:rsidR="00C60754">
        <w:fldChar w:fldCharType="end"/>
      </w:r>
      <w:r w:rsidR="00C33038">
        <w:t xml:space="preserve">). Так как подобные дозы вводили в исследованиях у взрослых и </w:t>
      </w:r>
      <w:r w:rsidR="00C60754">
        <w:t>молодых</w:t>
      </w:r>
      <w:r w:rsidR="00F24E8F">
        <w:t xml:space="preserve"> животных</w:t>
      </w:r>
      <w:r w:rsidR="00C33038">
        <w:t xml:space="preserve">, и в целом </w:t>
      </w:r>
      <w:r w:rsidR="00F24E8F">
        <w:t>выраженность изменений</w:t>
      </w:r>
      <w:r w:rsidR="00C33038">
        <w:t xml:space="preserve"> был</w:t>
      </w:r>
      <w:r w:rsidR="00F24E8F">
        <w:t>а</w:t>
      </w:r>
      <w:r w:rsidR="00C33038">
        <w:t xml:space="preserve"> одинаков</w:t>
      </w:r>
      <w:r w:rsidR="00F24E8F">
        <w:t>ой,</w:t>
      </w:r>
      <w:r w:rsidR="00C33038">
        <w:t xml:space="preserve"> </w:t>
      </w:r>
      <w:r w:rsidR="00B07240">
        <w:t xml:space="preserve">по-видимому, чувствительность к </w:t>
      </w:r>
      <w:r w:rsidR="002A5C58" w:rsidRPr="002A5C58">
        <w:t>тофацитиниб</w:t>
      </w:r>
      <w:r w:rsidR="002A5C58">
        <w:t>у</w:t>
      </w:r>
      <w:r w:rsidR="002A5C58" w:rsidRPr="002A5C58">
        <w:t xml:space="preserve"> </w:t>
      </w:r>
      <w:r w:rsidR="00B07240">
        <w:t xml:space="preserve">для </w:t>
      </w:r>
      <w:r w:rsidR="004D6B3A">
        <w:t>неполовозрелы</w:t>
      </w:r>
      <w:r w:rsidR="00B07240">
        <w:t>х</w:t>
      </w:r>
      <w:r w:rsidR="00C33038">
        <w:t xml:space="preserve"> и взросл</w:t>
      </w:r>
      <w:r w:rsidR="00B07240">
        <w:t>ых</w:t>
      </w:r>
      <w:r w:rsidR="00C33038">
        <w:t xml:space="preserve"> кры</w:t>
      </w:r>
      <w:r w:rsidR="00B07240">
        <w:t>с была сопоставимой</w:t>
      </w:r>
      <w:r w:rsidR="00C33038">
        <w:t xml:space="preserve">. </w:t>
      </w:r>
      <w:r w:rsidR="00B07240">
        <w:t>Наименьшая доза, оказывающая явное нежелательное воздействие (</w:t>
      </w:r>
      <w:r w:rsidR="00610D4C" w:rsidRPr="00610D4C">
        <w:t>lowest-observed adverse effect level</w:t>
      </w:r>
      <w:r w:rsidR="00610D4C">
        <w:t xml:space="preserve">, </w:t>
      </w:r>
      <w:r w:rsidR="00B07240">
        <w:rPr>
          <w:lang w:val="en-US"/>
        </w:rPr>
        <w:t>L</w:t>
      </w:r>
      <w:r w:rsidR="00F24E8F">
        <w:t>OAEL</w:t>
      </w:r>
      <w:r w:rsidR="00610D4C">
        <w:t>)</w:t>
      </w:r>
      <w:r w:rsidR="00C33038">
        <w:t xml:space="preserve"> для этого исследования на </w:t>
      </w:r>
      <w:r w:rsidR="00245591">
        <w:t>неполовозрелых</w:t>
      </w:r>
      <w:r w:rsidR="00C33038">
        <w:t xml:space="preserve"> крысах составля</w:t>
      </w:r>
      <w:r w:rsidR="00610D4C">
        <w:t>ла</w:t>
      </w:r>
      <w:r w:rsidR="00C33038">
        <w:t xml:space="preserve"> 100 мг/кг/</w:t>
      </w:r>
      <w:r w:rsidR="00610D4C">
        <w:t>сут</w:t>
      </w:r>
      <w:r w:rsidR="00C33038">
        <w:t>, основываясь на результатах обратимост</w:t>
      </w:r>
      <w:r w:rsidR="00610D4C">
        <w:t>и</w:t>
      </w:r>
      <w:r w:rsidR="00C33038">
        <w:t xml:space="preserve"> эффектов, связанных с СР-90550, и отсутстви</w:t>
      </w:r>
      <w:r w:rsidR="00610D4C">
        <w:t>и</w:t>
      </w:r>
      <w:r w:rsidR="00C33038">
        <w:t xml:space="preserve"> клинических признаков неблагоприятного </w:t>
      </w:r>
      <w:r w:rsidR="00610D4C">
        <w:t>влияния</w:t>
      </w:r>
      <w:r w:rsidR="00C33038">
        <w:t xml:space="preserve"> или </w:t>
      </w:r>
      <w:r w:rsidR="00610D4C">
        <w:t>гибели животных</w:t>
      </w:r>
      <w:r w:rsidR="00C33038">
        <w:t xml:space="preserve">. Поскольку исследование было сосредоточено на гематологических аспектах </w:t>
      </w:r>
      <w:r w:rsidR="00610D4C">
        <w:t xml:space="preserve">действия СР-90550 </w:t>
      </w:r>
      <w:r w:rsidR="00C33038">
        <w:t>и биохими</w:t>
      </w:r>
      <w:r w:rsidR="00610D4C">
        <w:t>ческий анализ</w:t>
      </w:r>
      <w:r w:rsidR="00C33038">
        <w:t xml:space="preserve"> </w:t>
      </w:r>
      <w:r w:rsidR="00610D4C">
        <w:t>крови</w:t>
      </w:r>
      <w:r w:rsidR="00C33038">
        <w:t xml:space="preserve">, анализ мочи, полный </w:t>
      </w:r>
      <w:r w:rsidR="00A86966">
        <w:t>патолого</w:t>
      </w:r>
      <w:r w:rsidR="00C33038">
        <w:t xml:space="preserve">анатомический </w:t>
      </w:r>
      <w:r w:rsidR="00772D44">
        <w:t>и токсикокинетический</w:t>
      </w:r>
      <w:r w:rsidR="00772D44" w:rsidRPr="00772D44">
        <w:t xml:space="preserve"> </w:t>
      </w:r>
      <w:r w:rsidR="00C33038">
        <w:t>анализ</w:t>
      </w:r>
      <w:r w:rsidR="00772D44">
        <w:t>ы</w:t>
      </w:r>
      <w:r w:rsidR="00772D44" w:rsidRPr="00772D44">
        <w:t xml:space="preserve"> </w:t>
      </w:r>
      <w:r w:rsidR="00772D44">
        <w:t>не проводили</w:t>
      </w:r>
      <w:r w:rsidR="00C33038">
        <w:t xml:space="preserve">, это исследование не </w:t>
      </w:r>
      <w:r w:rsidR="00A86966">
        <w:t xml:space="preserve">подходит для </w:t>
      </w:r>
      <w:r w:rsidR="00C33038">
        <w:t>поддерж</w:t>
      </w:r>
      <w:r w:rsidR="00A86966">
        <w:t>ки возможности проведения</w:t>
      </w:r>
      <w:r w:rsidR="00C33038">
        <w:t xml:space="preserve"> клинически</w:t>
      </w:r>
      <w:r w:rsidR="00A86966">
        <w:t>х</w:t>
      </w:r>
      <w:r w:rsidR="00C33038">
        <w:t xml:space="preserve"> исследовани</w:t>
      </w:r>
      <w:r w:rsidR="00A86966">
        <w:t>й</w:t>
      </w:r>
      <w:r w:rsidR="00C33038">
        <w:t xml:space="preserve"> </w:t>
      </w:r>
      <w:r w:rsidR="00A86966">
        <w:t>у детей</w:t>
      </w:r>
      <w:r w:rsidR="00C33038">
        <w:t xml:space="preserve"> </w:t>
      </w:r>
      <w:r w:rsidR="00C33038">
        <w:rPr>
          <w:lang w:val="en-US"/>
        </w:rPr>
        <w:fldChar w:fldCharType="begin"/>
      </w:r>
      <w:r w:rsidR="00044A89">
        <w:instrText xml:space="preserve"> ADDIN ZOTERO_ITEM CSL_CITATION {"citationID":"fdFFG59q","properties":{"formattedCitation":"[12]","plainCitation":"[12]","noteIndex":0},"citationItems":[{"id":87803,"uris":["http://zotero.org/groups/4742804/items/DMZ5DFPG"],"itemData":{"id":87803,"type":"webpage","title":"Xeljanz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C33038">
        <w:rPr>
          <w:lang w:val="en-US"/>
        </w:rPr>
        <w:fldChar w:fldCharType="separate"/>
      </w:r>
      <w:r w:rsidR="00D46D1F">
        <w:rPr>
          <w:rFonts w:cs="Times New Roman"/>
        </w:rPr>
        <w:t>[1</w:t>
      </w:r>
      <w:r w:rsidR="00044A89" w:rsidRPr="00044A89">
        <w:rPr>
          <w:rFonts w:cs="Times New Roman"/>
        </w:rPr>
        <w:t>]</w:t>
      </w:r>
      <w:r w:rsidR="00C33038">
        <w:rPr>
          <w:lang w:val="en-US"/>
        </w:rPr>
        <w:fldChar w:fldCharType="end"/>
      </w:r>
      <w:r w:rsidR="00C33038">
        <w:t>.</w:t>
      </w:r>
    </w:p>
    <w:p w14:paraId="5180383E" w14:textId="2CF5ED24" w:rsidR="00103429" w:rsidRDefault="00136FC4" w:rsidP="0040049C">
      <w:pPr>
        <w:pStyle w:val="SDText"/>
        <w:spacing w:after="0"/>
        <w:contextualSpacing/>
      </w:pPr>
      <w:r>
        <w:t>В исс</w:t>
      </w:r>
      <w:r w:rsidR="004B54A7">
        <w:t xml:space="preserve">ледовании </w:t>
      </w:r>
      <w:r w:rsidR="00890AAE">
        <w:t>09</w:t>
      </w:r>
      <w:r w:rsidR="004B54A7" w:rsidRPr="004B54A7">
        <w:t>GR</w:t>
      </w:r>
      <w:r w:rsidR="00890AAE">
        <w:t>248</w:t>
      </w:r>
      <w:r w:rsidR="006F4DB9">
        <w:t xml:space="preserve"> </w:t>
      </w:r>
      <w:r w:rsidR="003B2932">
        <w:t xml:space="preserve">использовали неполовозрелых яванских макак </w:t>
      </w:r>
      <w:r w:rsidR="007031BF">
        <w:t xml:space="preserve">(возраст 13–14 </w:t>
      </w:r>
      <w:r w:rsidR="0069178D">
        <w:t>мес., масса тела 1,6–2,4 кг</w:t>
      </w:r>
      <w:r w:rsidR="008E69DD">
        <w:t>, по 4 самца и 4 самки на группу, по 3 самца и 3 самки на группу для периода восстановления</w:t>
      </w:r>
      <w:r w:rsidR="00C93DA0">
        <w:t>,</w:t>
      </w:r>
      <w:r w:rsidR="008E69DD">
        <w:t xml:space="preserve"> за исключением </w:t>
      </w:r>
      <w:r w:rsidR="00F471E3">
        <w:t xml:space="preserve">группы дозы </w:t>
      </w:r>
      <w:r w:rsidR="008C4D5E">
        <w:t xml:space="preserve">0,5 мг/кг/сут). Животные получали </w:t>
      </w:r>
      <w:r w:rsidR="002178DB">
        <w:t xml:space="preserve">СР-90550 в дозе </w:t>
      </w:r>
      <w:r w:rsidR="002178DB" w:rsidRPr="002178DB">
        <w:t>0</w:t>
      </w:r>
      <w:r w:rsidR="002178DB">
        <w:t>,</w:t>
      </w:r>
      <w:r w:rsidR="002178DB" w:rsidRPr="002178DB">
        <w:t>5, 2</w:t>
      </w:r>
      <w:r w:rsidR="002178DB">
        <w:t xml:space="preserve"> или</w:t>
      </w:r>
      <w:r w:rsidR="002178DB" w:rsidRPr="002178DB">
        <w:t xml:space="preserve"> 10</w:t>
      </w:r>
      <w:r w:rsidR="002178DB">
        <w:t xml:space="preserve"> мг/кг/сут</w:t>
      </w:r>
      <w:r w:rsidR="00C93DA0">
        <w:t>,</w:t>
      </w:r>
      <w:r w:rsidR="002178DB">
        <w:t xml:space="preserve"> или носитель в течение </w:t>
      </w:r>
      <w:r w:rsidR="006B791B">
        <w:t xml:space="preserve">39 недель, период восстановления составил </w:t>
      </w:r>
      <w:r w:rsidR="000C2FBB">
        <w:t xml:space="preserve">26 недель. </w:t>
      </w:r>
      <w:r w:rsidR="0031373F">
        <w:t xml:space="preserve">Не было обнаружено влияния </w:t>
      </w:r>
      <w:r w:rsidR="002A5C58" w:rsidRPr="002A5C58">
        <w:lastRenderedPageBreak/>
        <w:t xml:space="preserve">тофацитиниба </w:t>
      </w:r>
      <w:r w:rsidR="0031373F">
        <w:t xml:space="preserve">на смертность, массу тела или </w:t>
      </w:r>
      <w:r w:rsidR="00617475">
        <w:t>прибавку</w:t>
      </w:r>
      <w:r w:rsidR="0031373F">
        <w:t xml:space="preserve"> массы тела</w:t>
      </w:r>
      <w:r w:rsidR="00617475">
        <w:t>, показатели</w:t>
      </w:r>
      <w:r w:rsidR="0031373F">
        <w:t xml:space="preserve"> </w:t>
      </w:r>
      <w:r w:rsidR="00617475">
        <w:t>биохимического анализа крови,</w:t>
      </w:r>
      <w:r w:rsidR="0031373F">
        <w:t xml:space="preserve"> параметры коагуляции, рост костей, </w:t>
      </w:r>
      <w:r w:rsidR="005B7F2F">
        <w:t xml:space="preserve">функции </w:t>
      </w:r>
      <w:r w:rsidR="0031373F">
        <w:t>сердечно-сосудист</w:t>
      </w:r>
      <w:r w:rsidR="005B7F2F">
        <w:t xml:space="preserve">ой системы, в том числе, определяемые по </w:t>
      </w:r>
      <w:r w:rsidR="0031373F">
        <w:t>параметр</w:t>
      </w:r>
      <w:r w:rsidR="005B7F2F">
        <w:t>ам</w:t>
      </w:r>
      <w:r w:rsidR="0031373F">
        <w:t xml:space="preserve"> ЭКГ. Средние и высокие дозы приводили к уменьшению </w:t>
      </w:r>
      <w:r w:rsidR="005B7F2F">
        <w:t xml:space="preserve">массы </w:t>
      </w:r>
      <w:r w:rsidR="0031373F">
        <w:t xml:space="preserve">тимуса (50% от контроля) и селезенки (66% от контроля), с полным восстановлением у самок и частичным восстановлением у </w:t>
      </w:r>
      <w:r w:rsidR="005B7F2F">
        <w:t>самцов</w:t>
      </w:r>
      <w:r w:rsidR="0031373F">
        <w:t xml:space="preserve">. </w:t>
      </w:r>
      <w:r w:rsidR="007121F2">
        <w:t>К</w:t>
      </w:r>
      <w:r w:rsidR="0031373F">
        <w:t>орреля</w:t>
      </w:r>
      <w:r w:rsidR="007121F2">
        <w:t>ции</w:t>
      </w:r>
      <w:r w:rsidR="0031373F">
        <w:t xml:space="preserve"> этих изменений </w:t>
      </w:r>
      <w:r w:rsidR="007121F2">
        <w:t xml:space="preserve">с гистопатологической картиной </w:t>
      </w:r>
      <w:r w:rsidR="0031373F">
        <w:t xml:space="preserve">не было. </w:t>
      </w:r>
      <w:r w:rsidR="00377E70">
        <w:t xml:space="preserve">По сравнению с эффектами </w:t>
      </w:r>
      <w:r w:rsidR="006B7DA6">
        <w:t>у животных из</w:t>
      </w:r>
      <w:r w:rsidR="00377E70">
        <w:t xml:space="preserve"> контрольной групп</w:t>
      </w:r>
      <w:r w:rsidR="006B7DA6">
        <w:t>ы</w:t>
      </w:r>
      <w:r w:rsidR="00C93DA0">
        <w:t>,</w:t>
      </w:r>
      <w:r w:rsidR="00377E70">
        <w:t xml:space="preserve"> </w:t>
      </w:r>
      <w:r w:rsidR="00F2644A">
        <w:t>введение</w:t>
      </w:r>
      <w:r w:rsidR="00377E70">
        <w:t xml:space="preserve"> </w:t>
      </w:r>
      <w:r w:rsidR="002A5C58" w:rsidRPr="002A5C58">
        <w:t xml:space="preserve">тофацитиниба </w:t>
      </w:r>
      <w:r w:rsidR="00377E70">
        <w:t>привело к повышен</w:t>
      </w:r>
      <w:r w:rsidR="00F2644A">
        <w:t>и</w:t>
      </w:r>
      <w:r w:rsidR="002B6F7F">
        <w:t>ю</w:t>
      </w:r>
      <w:r w:rsidR="00377E70">
        <w:t xml:space="preserve"> </w:t>
      </w:r>
      <w:r w:rsidR="002B6F7F">
        <w:t>частоты обнаружения очагов инфильтрации</w:t>
      </w:r>
      <w:r w:rsidR="00377E70">
        <w:t xml:space="preserve"> воспалительн</w:t>
      </w:r>
      <w:r w:rsidR="002B6F7F">
        <w:t xml:space="preserve">ыми </w:t>
      </w:r>
      <w:r w:rsidR="00377E70">
        <w:t>клет</w:t>
      </w:r>
      <w:r w:rsidR="002B6F7F">
        <w:t>ками в</w:t>
      </w:r>
      <w:r w:rsidR="00377E70">
        <w:t xml:space="preserve"> сердц</w:t>
      </w:r>
      <w:r w:rsidR="002B6F7F">
        <w:t>е</w:t>
      </w:r>
      <w:r w:rsidR="00377E70">
        <w:t xml:space="preserve"> при высоких дозах, увеличени</w:t>
      </w:r>
      <w:r w:rsidR="002D0089">
        <w:t>ю частоты образования</w:t>
      </w:r>
      <w:r w:rsidR="00377E70">
        <w:t xml:space="preserve"> язв хвоста при средних и высоких дозах</w:t>
      </w:r>
      <w:r w:rsidR="00C93DA0">
        <w:t>,</w:t>
      </w:r>
      <w:r w:rsidR="00377E70">
        <w:t xml:space="preserve"> и </w:t>
      </w:r>
      <w:r w:rsidR="00C93DA0">
        <w:t xml:space="preserve">к </w:t>
      </w:r>
      <w:r w:rsidR="00377E70">
        <w:t>увеличени</w:t>
      </w:r>
      <w:r w:rsidR="002D0089">
        <w:t>ю</w:t>
      </w:r>
      <w:r w:rsidR="00DC7812">
        <w:t xml:space="preserve"> </w:t>
      </w:r>
      <w:r w:rsidR="00377E70">
        <w:t>лимфоидн</w:t>
      </w:r>
      <w:r w:rsidR="002D0089">
        <w:t>ой</w:t>
      </w:r>
      <w:r w:rsidR="00377E70">
        <w:t xml:space="preserve"> гиперплази</w:t>
      </w:r>
      <w:r w:rsidR="002D0089">
        <w:t>и</w:t>
      </w:r>
      <w:r w:rsidR="00377E70">
        <w:t xml:space="preserve"> при средних и высоких дозах. Полная гистопатологи</w:t>
      </w:r>
      <w:r w:rsidR="002D0089">
        <w:t>ческая</w:t>
      </w:r>
      <w:r w:rsidR="00DC7812">
        <w:t xml:space="preserve"> </w:t>
      </w:r>
      <w:r w:rsidR="00377E70">
        <w:t>оценка не проводилась из-за отсутствия результатов предыдущ</w:t>
      </w:r>
      <w:r w:rsidR="002D0089">
        <w:t>их</w:t>
      </w:r>
      <w:r w:rsidR="00377E70">
        <w:t xml:space="preserve"> исследовани</w:t>
      </w:r>
      <w:r w:rsidR="002D0089">
        <w:t>й у</w:t>
      </w:r>
      <w:r w:rsidR="00377E70">
        <w:t xml:space="preserve"> взрослых обезьян при этих дозах.</w:t>
      </w:r>
      <w:r w:rsidR="00DC7812">
        <w:t xml:space="preserve"> </w:t>
      </w:r>
      <w:r w:rsidR="002466CE">
        <w:t xml:space="preserve">Наблюдали дозозависимые изменения </w:t>
      </w:r>
      <w:r w:rsidR="00C9063A">
        <w:t xml:space="preserve">показателей </w:t>
      </w:r>
      <w:r w:rsidR="002466CE">
        <w:t>как эритроцит</w:t>
      </w:r>
      <w:r w:rsidR="00573194">
        <w:t>ов</w:t>
      </w:r>
      <w:r w:rsidR="002466CE">
        <w:t>, так и лейкоцит</w:t>
      </w:r>
      <w:r w:rsidR="00C9063A">
        <w:t>ов: количество э</w:t>
      </w:r>
      <w:r w:rsidR="002466CE">
        <w:t>ритроцит</w:t>
      </w:r>
      <w:r w:rsidR="00C9063A">
        <w:t>ов</w:t>
      </w:r>
      <w:r w:rsidR="002466CE">
        <w:t xml:space="preserve">, </w:t>
      </w:r>
      <w:r w:rsidR="00C9063A">
        <w:t xml:space="preserve">уровень </w:t>
      </w:r>
      <w:r w:rsidR="002466CE">
        <w:t>гемоглоб</w:t>
      </w:r>
      <w:r w:rsidR="00C9063A">
        <w:t>ина</w:t>
      </w:r>
      <w:r w:rsidR="002466CE">
        <w:t xml:space="preserve"> и гематокрит </w:t>
      </w:r>
      <w:r w:rsidR="00C9063A">
        <w:t>составляли</w:t>
      </w:r>
      <w:r w:rsidR="002466CE">
        <w:t xml:space="preserve"> 84</w:t>
      </w:r>
      <w:r w:rsidR="00C9063A">
        <w:t>–</w:t>
      </w:r>
      <w:r w:rsidR="002466CE">
        <w:t>86% от контрольных значений при высокой дозе</w:t>
      </w:r>
      <w:r w:rsidR="00573194">
        <w:t>; о</w:t>
      </w:r>
      <w:r w:rsidR="002466CE">
        <w:t>бщее количество лейкоцитов не изменилось, но общее количество лимфоцитов уменьшилось</w:t>
      </w:r>
      <w:r w:rsidR="001C03FA">
        <w:t xml:space="preserve"> </w:t>
      </w:r>
      <w:r w:rsidR="002466CE">
        <w:t xml:space="preserve">(69% </w:t>
      </w:r>
      <w:r w:rsidR="001C03FA">
        <w:t xml:space="preserve">от </w:t>
      </w:r>
      <w:r w:rsidR="002466CE">
        <w:t xml:space="preserve">контроля у самцов, 81,5% у самок). </w:t>
      </w:r>
      <w:r w:rsidR="001C03FA">
        <w:t>В ходе и</w:t>
      </w:r>
      <w:r w:rsidR="002466CE">
        <w:t>ммунофенотипировани</w:t>
      </w:r>
      <w:r w:rsidR="001C03FA">
        <w:t>я</w:t>
      </w:r>
      <w:r w:rsidR="002466CE">
        <w:t xml:space="preserve"> показали, что большинство субпопуляций лимфоцитов было уменьшено (NK-клетки 9% </w:t>
      </w:r>
      <w:r w:rsidR="001C03FA">
        <w:t xml:space="preserve">от </w:t>
      </w:r>
      <w:r w:rsidR="002466CE">
        <w:t>уровн</w:t>
      </w:r>
      <w:r w:rsidR="001C03FA">
        <w:t>я</w:t>
      </w:r>
      <w:r w:rsidR="002466CE">
        <w:t xml:space="preserve"> перед дозиров</w:t>
      </w:r>
      <w:r w:rsidR="001C03FA">
        <w:t>анием</w:t>
      </w:r>
      <w:r w:rsidR="002466CE">
        <w:t>; CD4+ Т-клетки 52%, CD8+ Т-клетки 49%, CD4+ наивные Т-клетки 42%, CD8+ наивные Т-клетки 32%, центральные CD8+ Т-клетки памяти 48% и эффекторные CD8+ Т-клетки памяти 69%)</w:t>
      </w:r>
      <w:r w:rsidR="00C9022A">
        <w:t>;</w:t>
      </w:r>
      <w:r w:rsidR="002466CE">
        <w:t xml:space="preserve"> произошло полное или частичное восстановление субпопуляции лимфоцитов в течение 6-месячно</w:t>
      </w:r>
      <w:r w:rsidR="00C9022A">
        <w:t>го</w:t>
      </w:r>
      <w:r w:rsidR="002466CE">
        <w:t xml:space="preserve"> </w:t>
      </w:r>
      <w:r w:rsidR="00AD5051">
        <w:t>периода</w:t>
      </w:r>
      <w:r w:rsidR="002466CE">
        <w:t xml:space="preserve"> восстановления у самок</w:t>
      </w:r>
      <w:r w:rsidR="00AD5051">
        <w:t>, у которых</w:t>
      </w:r>
      <w:r w:rsidR="002466CE">
        <w:t xml:space="preserve"> </w:t>
      </w:r>
      <w:r w:rsidR="00AD5051">
        <w:t>про</w:t>
      </w:r>
      <w:r w:rsidR="002466CE">
        <w:t>демонстр</w:t>
      </w:r>
      <w:r w:rsidR="00AD5051">
        <w:t>ировали</w:t>
      </w:r>
      <w:r w:rsidR="002466CE">
        <w:t xml:space="preserve"> полно</w:t>
      </w:r>
      <w:r w:rsidR="00AD5051">
        <w:t>е</w:t>
      </w:r>
      <w:r w:rsidR="002466CE">
        <w:t xml:space="preserve"> </w:t>
      </w:r>
      <w:r w:rsidR="00AD5051">
        <w:t>восстановление</w:t>
      </w:r>
      <w:r w:rsidR="002466CE">
        <w:t xml:space="preserve"> или более полно</w:t>
      </w:r>
      <w:r w:rsidR="00AD5051">
        <w:t>е</w:t>
      </w:r>
      <w:r w:rsidR="002466CE">
        <w:t xml:space="preserve"> </w:t>
      </w:r>
      <w:r w:rsidR="00AD5051">
        <w:t>восстановление</w:t>
      </w:r>
      <w:r w:rsidR="002466CE">
        <w:t xml:space="preserve">, чем у </w:t>
      </w:r>
      <w:r w:rsidR="00AD5051">
        <w:t>самцов</w:t>
      </w:r>
      <w:r w:rsidR="002466CE">
        <w:t xml:space="preserve">. </w:t>
      </w:r>
      <w:r w:rsidR="00AD5051">
        <w:t>При а</w:t>
      </w:r>
      <w:r w:rsidR="00A00FE7">
        <w:t>нализ</w:t>
      </w:r>
      <w:r w:rsidR="00AD5051">
        <w:t>е</w:t>
      </w:r>
      <w:r w:rsidR="00A00FE7">
        <w:t xml:space="preserve"> костного мозга не выявил</w:t>
      </w:r>
      <w:r w:rsidR="00AD5051">
        <w:t>и</w:t>
      </w:r>
      <w:r w:rsidR="00A00FE7">
        <w:t xml:space="preserve"> изменений клеточной морфологии или признаков значительн</w:t>
      </w:r>
      <w:r w:rsidR="00D11B31">
        <w:t>ых изменений</w:t>
      </w:r>
      <w:r w:rsidR="00A00FE7">
        <w:t xml:space="preserve"> эритроидн</w:t>
      </w:r>
      <w:r w:rsidR="00C93DA0">
        <w:t>ых</w:t>
      </w:r>
      <w:r w:rsidR="00A00FE7">
        <w:t xml:space="preserve"> или миелоидн</w:t>
      </w:r>
      <w:r w:rsidR="00C93DA0">
        <w:t>ых</w:t>
      </w:r>
      <w:r w:rsidR="00A00FE7">
        <w:t xml:space="preserve"> клеточн</w:t>
      </w:r>
      <w:r w:rsidR="00D11B31">
        <w:t>ых</w:t>
      </w:r>
      <w:r w:rsidR="00A00FE7">
        <w:t xml:space="preserve"> </w:t>
      </w:r>
      <w:r w:rsidR="00D11B31">
        <w:t>ростков</w:t>
      </w:r>
      <w:r w:rsidR="00A00FE7">
        <w:t xml:space="preserve">, хотя </w:t>
      </w:r>
      <w:r w:rsidR="00D11B31">
        <w:t>при</w:t>
      </w:r>
      <w:r w:rsidR="00A00FE7">
        <w:t xml:space="preserve"> высоких дозах </w:t>
      </w:r>
      <w:r w:rsidR="00D11B31">
        <w:t>определили</w:t>
      </w:r>
      <w:r w:rsidR="00A00FE7">
        <w:t xml:space="preserve"> снижение отношения М:Э (77% от контрольного значения) за счет увеличения эритроидны</w:t>
      </w:r>
      <w:r w:rsidR="00B11C0E">
        <w:t>х</w:t>
      </w:r>
      <w:r w:rsidR="00A00FE7">
        <w:t xml:space="preserve"> предшественник</w:t>
      </w:r>
      <w:r w:rsidR="00B11C0E">
        <w:t>ов</w:t>
      </w:r>
      <w:r w:rsidR="00A00FE7">
        <w:t xml:space="preserve">. Дополнительные исследования по изучению иммунотоксичности включали исследование </w:t>
      </w:r>
      <w:r w:rsidR="0007595F">
        <w:t xml:space="preserve">Т-клеточно-зависимой </w:t>
      </w:r>
      <w:r w:rsidR="00A00FE7">
        <w:t>реакции антител с использованием гемоцианина лимфы улитки (</w:t>
      </w:r>
      <w:r w:rsidR="00DA7C14" w:rsidRPr="00DA7C14">
        <w:t>keyhole limpet hemocyanin</w:t>
      </w:r>
      <w:r w:rsidR="00DA7C14">
        <w:t xml:space="preserve">, </w:t>
      </w:r>
      <w:r w:rsidR="00A00FE7">
        <w:t xml:space="preserve">KLH). СР-690550 снижал ответ анти-KLH </w:t>
      </w:r>
      <w:r w:rsidR="0007595F">
        <w:t>иммуноглобулин</w:t>
      </w:r>
      <w:r w:rsidR="008C449E">
        <w:t>а</w:t>
      </w:r>
      <w:r w:rsidR="0007595F">
        <w:t xml:space="preserve"> </w:t>
      </w:r>
      <w:r w:rsidR="00925D56" w:rsidRPr="00925D56">
        <w:t>(</w:t>
      </w:r>
      <w:r w:rsidR="00925D56">
        <w:rPr>
          <w:lang w:val="en-US"/>
        </w:rPr>
        <w:t>immunoglobulin</w:t>
      </w:r>
      <w:r w:rsidR="00925D56" w:rsidRPr="00925D56">
        <w:t xml:space="preserve">, </w:t>
      </w:r>
      <w:r w:rsidR="00A00FE7">
        <w:t>Ig</w:t>
      </w:r>
      <w:r w:rsidR="008C449E">
        <w:t>)</w:t>
      </w:r>
      <w:r w:rsidR="00A00FE7">
        <w:t xml:space="preserve"> </w:t>
      </w:r>
      <w:r w:rsidR="008C449E">
        <w:rPr>
          <w:lang w:val="en-US"/>
        </w:rPr>
        <w:t>M</w:t>
      </w:r>
      <w:r w:rsidR="008C449E" w:rsidRPr="00925D56">
        <w:t xml:space="preserve"> </w:t>
      </w:r>
      <w:r w:rsidR="00A00FE7">
        <w:t xml:space="preserve">и полностью ингибировал </w:t>
      </w:r>
      <w:r w:rsidR="00C93DA0">
        <w:t xml:space="preserve">ответ </w:t>
      </w:r>
      <w:r w:rsidR="00A00FE7">
        <w:t xml:space="preserve">анти-KLH IgG </w:t>
      </w:r>
      <w:r w:rsidR="006633A0">
        <w:t>в</w:t>
      </w:r>
      <w:r w:rsidR="00A00FE7">
        <w:t xml:space="preserve"> высок</w:t>
      </w:r>
      <w:r w:rsidR="006633A0">
        <w:t>ой</w:t>
      </w:r>
      <w:r w:rsidR="00A00FE7">
        <w:t xml:space="preserve"> доз</w:t>
      </w:r>
      <w:r w:rsidR="006633A0">
        <w:t>е</w:t>
      </w:r>
      <w:r w:rsidR="00A00FE7">
        <w:t>. Реакция на KLH была восстановлена ​​</w:t>
      </w:r>
      <w:r w:rsidR="006633A0">
        <w:t>в периоде</w:t>
      </w:r>
      <w:r w:rsidR="00A00FE7">
        <w:t xml:space="preserve"> восстановления. Ответ на вторую провокацию KLH оценивали </w:t>
      </w:r>
      <w:r w:rsidR="00A00FE7" w:rsidRPr="003A426B">
        <w:rPr>
          <w:i/>
          <w:iCs/>
        </w:rPr>
        <w:t>in vitro</w:t>
      </w:r>
      <w:r w:rsidR="00A00FE7">
        <w:t xml:space="preserve"> </w:t>
      </w:r>
      <w:r w:rsidR="00EA4967">
        <w:t>с использованием</w:t>
      </w:r>
      <w:r w:rsidR="00A00FE7">
        <w:t xml:space="preserve"> мононуклеарных клеток периферической крови</w:t>
      </w:r>
      <w:r w:rsidR="00B73550">
        <w:t xml:space="preserve"> (peripheral blood mononuclear cells, </w:t>
      </w:r>
      <w:r w:rsidR="00A00FE7">
        <w:t xml:space="preserve">PBMC), </w:t>
      </w:r>
      <w:r w:rsidR="00B73550">
        <w:t>ото</w:t>
      </w:r>
      <w:r w:rsidR="00A00FE7">
        <w:t>бранны</w:t>
      </w:r>
      <w:r w:rsidR="00DB47DA">
        <w:t>х</w:t>
      </w:r>
      <w:r w:rsidR="00A00FE7">
        <w:t xml:space="preserve"> при вскрытии. </w:t>
      </w:r>
      <w:r w:rsidR="0046714D">
        <w:t>Э</w:t>
      </w:r>
      <w:r w:rsidR="00A00FE7">
        <w:t xml:space="preserve">ффекта </w:t>
      </w:r>
      <w:r w:rsidR="002A5C58" w:rsidRPr="002A5C58">
        <w:t xml:space="preserve">тофацитиниба </w:t>
      </w:r>
      <w:r w:rsidR="0046714D">
        <w:t>в отношении подавления</w:t>
      </w:r>
      <w:r w:rsidR="00A00FE7">
        <w:t xml:space="preserve"> пролиферативн</w:t>
      </w:r>
      <w:r w:rsidR="0046714D">
        <w:t>ого</w:t>
      </w:r>
      <w:r w:rsidR="00A00FE7">
        <w:t xml:space="preserve"> ответ</w:t>
      </w:r>
      <w:r w:rsidR="0046714D">
        <w:t>а</w:t>
      </w:r>
      <w:r w:rsidR="00A00FE7">
        <w:t xml:space="preserve"> РВМС или ответ</w:t>
      </w:r>
      <w:r w:rsidR="00442C7A">
        <w:t>а</w:t>
      </w:r>
      <w:r w:rsidR="00A00FE7">
        <w:t xml:space="preserve"> на митоген конканавалин А</w:t>
      </w:r>
      <w:r w:rsidR="00991F51">
        <w:t xml:space="preserve"> не выявили</w:t>
      </w:r>
      <w:r w:rsidR="00A00FE7">
        <w:t>.</w:t>
      </w:r>
      <w:r w:rsidR="00831ABB">
        <w:t xml:space="preserve"> </w:t>
      </w:r>
      <w:r w:rsidR="00D84CCE">
        <w:t>NOAEL составлял</w:t>
      </w:r>
      <w:r w:rsidR="00442C7A">
        <w:t>а</w:t>
      </w:r>
      <w:r w:rsidR="00D84CCE">
        <w:t xml:space="preserve"> 0,5 мг/кг/</w:t>
      </w:r>
      <w:r w:rsidR="00442C7A">
        <w:t>сут</w:t>
      </w:r>
      <w:r w:rsidR="00D84CCE">
        <w:t>, что соответств</w:t>
      </w:r>
      <w:r w:rsidR="00442C7A">
        <w:t xml:space="preserve">овало </w:t>
      </w:r>
      <w:r w:rsidR="00D84CCE">
        <w:t>AUC</w:t>
      </w:r>
      <w:r w:rsidR="00442C7A" w:rsidRPr="00442C7A">
        <w:rPr>
          <w:vertAlign w:val="subscript"/>
        </w:rPr>
        <w:t>(</w:t>
      </w:r>
      <w:r w:rsidR="00D84CCE" w:rsidRPr="00442C7A">
        <w:rPr>
          <w:vertAlign w:val="subscript"/>
        </w:rPr>
        <w:t>0-24</w:t>
      </w:r>
      <w:r w:rsidR="00442C7A" w:rsidRPr="00442C7A">
        <w:rPr>
          <w:vertAlign w:val="subscript"/>
        </w:rPr>
        <w:t>)</w:t>
      </w:r>
      <w:r w:rsidR="00442C7A">
        <w:t>, равной</w:t>
      </w:r>
      <w:r w:rsidR="00D84CCE" w:rsidRPr="00442C7A">
        <w:rPr>
          <w:vertAlign w:val="subscript"/>
        </w:rPr>
        <w:t xml:space="preserve"> </w:t>
      </w:r>
      <w:r w:rsidR="00D84CCE">
        <w:t>62 нг</w:t>
      </w:r>
      <w:r w:rsidR="00442C7A">
        <w:t>*</w:t>
      </w:r>
      <w:r w:rsidR="00D84CCE">
        <w:t xml:space="preserve">ч/мл </w:t>
      </w:r>
      <w:r w:rsidR="00442C7A">
        <w:t>на</w:t>
      </w:r>
      <w:r w:rsidR="00D84CCE">
        <w:t xml:space="preserve"> недел</w:t>
      </w:r>
      <w:r w:rsidR="00D45899">
        <w:t>е</w:t>
      </w:r>
      <w:r w:rsidR="00D84CCE">
        <w:t xml:space="preserve"> 36 (2</w:t>
      </w:r>
      <w:r w:rsidR="00D45899">
        <w:t>*</w:t>
      </w:r>
      <w:r w:rsidR="000A133E">
        <w:t xml:space="preserve">площади под фармакокинетической кривой «концентрация-время» от начального момента времени до 12 ч </w:t>
      </w:r>
      <w:r w:rsidR="000A133E">
        <w:rPr>
          <w:rFonts w:cs="Times New Roman"/>
        </w:rPr>
        <w:t>[</w:t>
      </w:r>
      <w:r w:rsidR="00D84CCE">
        <w:t>AUC</w:t>
      </w:r>
      <w:r w:rsidR="00D45899" w:rsidRPr="00D45899">
        <w:rPr>
          <w:vertAlign w:val="subscript"/>
        </w:rPr>
        <w:t>(</w:t>
      </w:r>
      <w:r w:rsidR="00D84CCE" w:rsidRPr="00D45899">
        <w:rPr>
          <w:vertAlign w:val="subscript"/>
        </w:rPr>
        <w:t>0-12</w:t>
      </w:r>
      <w:r w:rsidR="00D45899" w:rsidRPr="00D45899">
        <w:rPr>
          <w:vertAlign w:val="subscript"/>
        </w:rPr>
        <w:t>)</w:t>
      </w:r>
      <w:r w:rsidR="000A133E">
        <w:rPr>
          <w:rFonts w:cs="Times New Roman"/>
        </w:rPr>
        <w:t>]</w:t>
      </w:r>
      <w:r w:rsidR="00DB47DA">
        <w:rPr>
          <w:rFonts w:cs="Times New Roman"/>
        </w:rPr>
        <w:t>, равной</w:t>
      </w:r>
      <w:r w:rsidR="00D84CCE">
        <w:t xml:space="preserve"> 31,1 нг</w:t>
      </w:r>
      <w:r w:rsidR="00D45899">
        <w:t>*</w:t>
      </w:r>
      <w:r w:rsidR="00D84CCE">
        <w:t>ч/мл), что примерно в 0,11 раз больше, чем системн</w:t>
      </w:r>
      <w:r w:rsidR="000A133E">
        <w:t xml:space="preserve">ая экспозиция </w:t>
      </w:r>
      <w:r w:rsidR="00DB47DA">
        <w:t>при использовании</w:t>
      </w:r>
      <w:r w:rsidR="00D84CCE">
        <w:t xml:space="preserve"> максимально рекомендуемой дозы </w:t>
      </w:r>
      <w:r w:rsidR="000A133E">
        <w:t xml:space="preserve">(МРД) </w:t>
      </w:r>
      <w:r w:rsidR="00D84CCE">
        <w:t xml:space="preserve">для человека 10 мг </w:t>
      </w:r>
      <w:r w:rsidR="000A133E">
        <w:t>2</w:t>
      </w:r>
      <w:r w:rsidR="00D84CCE">
        <w:t xml:space="preserve"> раза в день </w:t>
      </w:r>
      <w:r w:rsidR="00D84CCE">
        <w:rPr>
          <w:lang w:val="en-US"/>
        </w:rPr>
        <w:fldChar w:fldCharType="begin"/>
      </w:r>
      <w:r w:rsidR="00044A89">
        <w:instrText xml:space="preserve"> ADDIN ZOTERO_ITEM CSL_CITATION {"citationID":"oH6hkD3k","properties":{"formattedCitation":"[12]","plainCitation":"[12]","noteIndex":0},"citationItems":[{"id":87803,"uris":["http://zotero.org/groups/4742804/items/DMZ5DFPG"],"itemData":{"id":87803,"type":"webpage","title":"Xeljanz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84CCE">
        <w:rPr>
          <w:lang w:val="en-US"/>
        </w:rPr>
        <w:fldChar w:fldCharType="separate"/>
      </w:r>
      <w:r w:rsidR="00D46D1F">
        <w:rPr>
          <w:rFonts w:cs="Times New Roman"/>
        </w:rPr>
        <w:t>[1</w:t>
      </w:r>
      <w:r w:rsidR="00044A89" w:rsidRPr="00044A89">
        <w:rPr>
          <w:rFonts w:cs="Times New Roman"/>
        </w:rPr>
        <w:t>]</w:t>
      </w:r>
      <w:r w:rsidR="00D84CCE">
        <w:rPr>
          <w:lang w:val="en-US"/>
        </w:rPr>
        <w:fldChar w:fldCharType="end"/>
      </w:r>
      <w:r w:rsidR="00D84CCE">
        <w:t>.</w:t>
      </w:r>
    </w:p>
    <w:p w14:paraId="638507CD" w14:textId="49A51F0A" w:rsidR="00643C79" w:rsidRDefault="00731059" w:rsidP="0040049C">
      <w:pPr>
        <w:pStyle w:val="SDText"/>
        <w:spacing w:after="0"/>
        <w:contextualSpacing/>
      </w:pPr>
      <w:r>
        <w:t xml:space="preserve">В исследовании на неполовозрелых </w:t>
      </w:r>
      <w:r w:rsidR="00E40369">
        <w:t xml:space="preserve">яванских макаках </w:t>
      </w:r>
      <w:r w:rsidR="00F131F0">
        <w:t xml:space="preserve">развития лимфом не выявили </w:t>
      </w:r>
      <w:r w:rsidR="00F942B2">
        <w:fldChar w:fldCharType="begin"/>
      </w:r>
      <w:r w:rsidR="00F942B2">
        <w:instrText xml:space="preserve"> ADDIN ZOTERO_ITEM CSL_CITATION {"citationID":"rF29KU6V","properties":{"formattedCitation":"[21]","plainCitation":"[21]","noteIndex":0},"citationItems":[{"id":91153,"uris":["http://zotero.org/groups/4742804/items/UAUYPBRD"],"itemData":{"id":91153,"type":"webpage","title":"Xeljanz.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F942B2">
        <w:fldChar w:fldCharType="separate"/>
      </w:r>
      <w:r w:rsidR="00D46D1F">
        <w:rPr>
          <w:rFonts w:cs="Times New Roman"/>
        </w:rPr>
        <w:t>[</w:t>
      </w:r>
      <w:r w:rsidR="00F942B2" w:rsidRPr="00F942B2">
        <w:rPr>
          <w:rFonts w:cs="Times New Roman"/>
        </w:rPr>
        <w:t>1</w:t>
      </w:r>
      <w:r w:rsidR="00D46D1F">
        <w:rPr>
          <w:rFonts w:cs="Times New Roman"/>
        </w:rPr>
        <w:t>0</w:t>
      </w:r>
      <w:r w:rsidR="00F942B2" w:rsidRPr="00F942B2">
        <w:rPr>
          <w:rFonts w:cs="Times New Roman"/>
        </w:rPr>
        <w:t>]</w:t>
      </w:r>
      <w:r w:rsidR="00F942B2">
        <w:fldChar w:fldCharType="end"/>
      </w:r>
      <w:r w:rsidR="00CD6313">
        <w:t>.</w:t>
      </w:r>
    </w:p>
    <w:p w14:paraId="02BA1A2C" w14:textId="5B534136" w:rsidR="001200AA" w:rsidRDefault="009774D9" w:rsidP="0040049C">
      <w:pPr>
        <w:pStyle w:val="SDText"/>
        <w:spacing w:after="0"/>
        <w:contextualSpacing/>
      </w:pPr>
      <w:r w:rsidRPr="009774D9">
        <w:t xml:space="preserve">В исследовании </w:t>
      </w:r>
      <w:r>
        <w:t>на неполовозрелых</w:t>
      </w:r>
      <w:r w:rsidRPr="009774D9">
        <w:t xml:space="preserve"> крыс</w:t>
      </w:r>
      <w:r>
        <w:t>ах</w:t>
      </w:r>
      <w:r w:rsidRPr="009774D9">
        <w:t xml:space="preserve"> не было выявлено признаков токсического воздействия </w:t>
      </w:r>
      <w:r w:rsidR="00BD02C6">
        <w:t xml:space="preserve">тофацитиниба </w:t>
      </w:r>
      <w:r w:rsidRPr="009774D9">
        <w:t xml:space="preserve">на развитие (половые </w:t>
      </w:r>
      <w:r w:rsidR="00BD02C6">
        <w:t>признаки</w:t>
      </w:r>
      <w:r w:rsidRPr="009774D9">
        <w:t xml:space="preserve">) или репродуктивной токсичности (спаривание и фертильность). </w:t>
      </w:r>
      <w:r w:rsidR="00BD02C6">
        <w:t xml:space="preserve">В ходе </w:t>
      </w:r>
      <w:r w:rsidRPr="009774D9">
        <w:t>исследовани</w:t>
      </w:r>
      <w:r w:rsidR="00BD02C6">
        <w:t>я</w:t>
      </w:r>
      <w:r w:rsidRPr="009774D9">
        <w:t xml:space="preserve"> на молодых крысах </w:t>
      </w:r>
      <w:r w:rsidR="00BD02C6">
        <w:t xml:space="preserve">длительностью 1 мес. </w:t>
      </w:r>
      <w:r w:rsidRPr="009774D9">
        <w:t>показал</w:t>
      </w:r>
      <w:r w:rsidR="00BD02C6">
        <w:t>и</w:t>
      </w:r>
      <w:r w:rsidRPr="009774D9">
        <w:t xml:space="preserve"> влияние исследуемого препарата на иммунные и гематологические параметры при всех дозах, которое соответствовало ингибированию JAK1/3 и JAK2 и было обратимым</w:t>
      </w:r>
      <w:r w:rsidR="0068025D">
        <w:t xml:space="preserve"> </w:t>
      </w:r>
      <w:r w:rsidR="0068025D">
        <w:fldChar w:fldCharType="begin"/>
      </w:r>
      <w:r w:rsidR="00CF4A96">
        <w:instrText xml:space="preserve"> ADDIN ZOTERO_ITEM CSL_CITATION {"citationID":"1MKkzOaX","properties":{"formattedCitation":"[21]","plainCitation":"[21]","noteIndex":0},"citationItems":[{"id":91153,"uris":["http://zotero.org/groups/4742804/items/UAUYPBRD"],"itemData":{"id":91153,"type":"webpage","title":"Xeljanz.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68025D">
        <w:fldChar w:fldCharType="separate"/>
      </w:r>
      <w:r w:rsidR="00D46D1F">
        <w:rPr>
          <w:rFonts w:cs="Times New Roman"/>
        </w:rPr>
        <w:t>[</w:t>
      </w:r>
      <w:r w:rsidR="0068025D" w:rsidRPr="00F942B2">
        <w:rPr>
          <w:rFonts w:cs="Times New Roman"/>
        </w:rPr>
        <w:t>1</w:t>
      </w:r>
      <w:r w:rsidR="00D46D1F">
        <w:rPr>
          <w:rFonts w:cs="Times New Roman"/>
        </w:rPr>
        <w:t>0</w:t>
      </w:r>
      <w:r w:rsidR="0068025D" w:rsidRPr="00F942B2">
        <w:rPr>
          <w:rFonts w:cs="Times New Roman"/>
        </w:rPr>
        <w:t>]</w:t>
      </w:r>
      <w:r w:rsidR="0068025D">
        <w:fldChar w:fldCharType="end"/>
      </w:r>
      <w:r w:rsidR="0068025D">
        <w:t>.</w:t>
      </w:r>
    </w:p>
    <w:p w14:paraId="23F98D56" w14:textId="77777777" w:rsidR="00D711E3" w:rsidRPr="00731059" w:rsidRDefault="00D711E3" w:rsidP="0040049C">
      <w:pPr>
        <w:pStyle w:val="SDText"/>
        <w:spacing w:after="0"/>
        <w:contextualSpacing/>
      </w:pPr>
    </w:p>
    <w:p w14:paraId="52246A47" w14:textId="0ED80C77" w:rsidR="00CF7642" w:rsidRPr="00D76414" w:rsidRDefault="00BE2417" w:rsidP="00BE2417">
      <w:pPr>
        <w:pStyle w:val="3"/>
        <w:numPr>
          <w:ilvl w:val="0"/>
          <w:numId w:val="0"/>
        </w:numPr>
        <w:ind w:left="720" w:hanging="720"/>
      </w:pPr>
      <w:bookmarkStart w:id="172" w:name="_Toc115421053"/>
      <w:bookmarkStart w:id="173" w:name="_Toc121592586"/>
      <w:r>
        <w:t xml:space="preserve">3.3.6. </w:t>
      </w:r>
      <w:r w:rsidR="00485D46" w:rsidRPr="00B20C48">
        <w:t>Местн</w:t>
      </w:r>
      <w:r w:rsidR="00CC466E" w:rsidRPr="00B20C48">
        <w:t>ая</w:t>
      </w:r>
      <w:r w:rsidR="00CC466E" w:rsidRPr="00D76414">
        <w:t xml:space="preserve"> переносимость</w:t>
      </w:r>
      <w:bookmarkEnd w:id="172"/>
      <w:bookmarkEnd w:id="173"/>
    </w:p>
    <w:p w14:paraId="53B4C153" w14:textId="77777777" w:rsidR="00BD2318" w:rsidRDefault="00BD2318" w:rsidP="0040049C">
      <w:pPr>
        <w:spacing w:after="0"/>
        <w:contextualSpacing/>
      </w:pPr>
    </w:p>
    <w:p w14:paraId="12F8F79F" w14:textId="71B2A010" w:rsidR="00BD2318" w:rsidRDefault="004628CC" w:rsidP="0040049C">
      <w:pPr>
        <w:spacing w:after="0"/>
        <w:contextualSpacing/>
      </w:pPr>
      <w:r>
        <w:t xml:space="preserve">В исследовании </w:t>
      </w:r>
      <w:r w:rsidR="00D3469D">
        <w:rPr>
          <w:lang w:val="en-US"/>
        </w:rPr>
        <w:t>B</w:t>
      </w:r>
      <w:r w:rsidR="00D3469D" w:rsidRPr="00D3469D">
        <w:t>65</w:t>
      </w:r>
      <w:r w:rsidR="00D3469D">
        <w:t xml:space="preserve">935 </w:t>
      </w:r>
      <w:r w:rsidR="00F4358C">
        <w:t xml:space="preserve">при </w:t>
      </w:r>
      <w:r w:rsidR="006F42B4">
        <w:t xml:space="preserve">нанесении </w:t>
      </w:r>
      <w:r w:rsidR="00F008E5">
        <w:t xml:space="preserve">на 4 ч под полуокклюзионную повязку </w:t>
      </w:r>
      <w:r w:rsidR="0097479F">
        <w:t xml:space="preserve">0,5 г </w:t>
      </w:r>
      <w:r w:rsidR="00F008E5" w:rsidRPr="00F4358C">
        <w:t>CP-690550</w:t>
      </w:r>
      <w:r w:rsidR="00296F00">
        <w:t>-10</w:t>
      </w:r>
      <w:r w:rsidR="00F008E5" w:rsidRPr="00F4358C">
        <w:t xml:space="preserve"> </w:t>
      </w:r>
      <w:r w:rsidR="006F42B4">
        <w:t xml:space="preserve">на кожу </w:t>
      </w:r>
      <w:r w:rsidR="001C6AC3">
        <w:t xml:space="preserve">новозеландских </w:t>
      </w:r>
      <w:r w:rsidR="00E4429F">
        <w:t>белых кроликов (</w:t>
      </w:r>
      <w:r w:rsidR="00E4429F">
        <w:rPr>
          <w:lang w:val="en-US"/>
        </w:rPr>
        <w:t>n</w:t>
      </w:r>
      <w:r w:rsidR="00E4429F" w:rsidRPr="00E4429F">
        <w:t xml:space="preserve"> = 3</w:t>
      </w:r>
      <w:r w:rsidR="00E4429F">
        <w:t xml:space="preserve">, 1 самец и 2 самки, возраст </w:t>
      </w:r>
      <w:r w:rsidR="002467BB">
        <w:t>1</w:t>
      </w:r>
      <w:r w:rsidR="00E9416E">
        <w:t>1</w:t>
      </w:r>
      <w:r w:rsidR="002467BB">
        <w:t>–1</w:t>
      </w:r>
      <w:r w:rsidR="00E9416E">
        <w:t>2</w:t>
      </w:r>
      <w:r w:rsidR="002467BB">
        <w:t xml:space="preserve"> недель</w:t>
      </w:r>
      <w:r w:rsidR="00F9204E">
        <w:t>)</w:t>
      </w:r>
      <w:r w:rsidR="002467BB">
        <w:t xml:space="preserve"> </w:t>
      </w:r>
      <w:r w:rsidR="00A870BD">
        <w:t>установили отсутствие у л</w:t>
      </w:r>
      <w:r w:rsidR="00F9204E">
        <w:t>екарственного средства</w:t>
      </w:r>
      <w:r w:rsidR="001C6AC3">
        <w:t xml:space="preserve"> местно-раздражающе</w:t>
      </w:r>
      <w:r w:rsidR="00F9204E">
        <w:t>го</w:t>
      </w:r>
      <w:r w:rsidR="001C6AC3">
        <w:t xml:space="preserve"> действи</w:t>
      </w:r>
      <w:r w:rsidR="00F9204E">
        <w:t>я</w:t>
      </w:r>
      <w:r w:rsidR="001C6AC3">
        <w:t xml:space="preserve"> </w:t>
      </w:r>
      <w:r w:rsidR="007A01EB">
        <w:rPr>
          <w:lang w:val="en-US"/>
        </w:rPr>
        <w:fldChar w:fldCharType="begin"/>
      </w:r>
      <w:r w:rsidR="00044A89">
        <w:instrText xml:space="preserve"> ADDIN ZOTERO_ITEM CSL_CITATION {"citationID":"S7K1FXBm","properties":{"formattedCitation":"[12]","plainCitation":"[12]","noteIndex":0},"citationItems":[{"id":87803,"uris":["http://zotero.org/groups/4742804/items/DMZ5DFPG"],"itemData":{"id":87803,"type":"webpage","title":"Xeljanz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7A01EB">
        <w:rPr>
          <w:lang w:val="en-US"/>
        </w:rPr>
        <w:fldChar w:fldCharType="separate"/>
      </w:r>
      <w:r w:rsidR="00D46D1F">
        <w:rPr>
          <w:rFonts w:cs="Times New Roman"/>
        </w:rPr>
        <w:t>[1</w:t>
      </w:r>
      <w:r w:rsidR="00044A89" w:rsidRPr="00044A89">
        <w:rPr>
          <w:rFonts w:cs="Times New Roman"/>
        </w:rPr>
        <w:t>]</w:t>
      </w:r>
      <w:r w:rsidR="007A01EB">
        <w:rPr>
          <w:lang w:val="en-US"/>
        </w:rPr>
        <w:fldChar w:fldCharType="end"/>
      </w:r>
      <w:r w:rsidR="0097479F">
        <w:t>.</w:t>
      </w:r>
    </w:p>
    <w:p w14:paraId="1BC6C9DD" w14:textId="3D76E138" w:rsidR="00BD2318" w:rsidRDefault="00705BAE" w:rsidP="0040049C">
      <w:pPr>
        <w:spacing w:after="0"/>
        <w:contextualSpacing/>
      </w:pPr>
      <w:r>
        <w:t xml:space="preserve">В исследовании </w:t>
      </w:r>
      <w:r>
        <w:rPr>
          <w:lang w:val="en-US"/>
        </w:rPr>
        <w:t>B</w:t>
      </w:r>
      <w:r w:rsidRPr="00D3469D">
        <w:t>65</w:t>
      </w:r>
      <w:r>
        <w:t>9</w:t>
      </w:r>
      <w:r w:rsidR="007627DD">
        <w:t>46</w:t>
      </w:r>
      <w:r>
        <w:t xml:space="preserve"> при </w:t>
      </w:r>
      <w:r w:rsidR="00296F00">
        <w:t xml:space="preserve">инстилляции </w:t>
      </w:r>
      <w:r>
        <w:t>0,</w:t>
      </w:r>
      <w:r w:rsidR="007627DD">
        <w:t>1</w:t>
      </w:r>
      <w:r>
        <w:t xml:space="preserve"> г </w:t>
      </w:r>
      <w:r w:rsidRPr="00F4358C">
        <w:t>CP-690550</w:t>
      </w:r>
      <w:r w:rsidR="00296F00">
        <w:t>-10</w:t>
      </w:r>
      <w:r w:rsidRPr="00F4358C">
        <w:t xml:space="preserve"> </w:t>
      </w:r>
      <w:r w:rsidR="007627DD">
        <w:t>в глаза</w:t>
      </w:r>
      <w:r>
        <w:t xml:space="preserve"> новозеландских белых кроликов (</w:t>
      </w:r>
      <w:r>
        <w:rPr>
          <w:lang w:val="en-US"/>
        </w:rPr>
        <w:t>n</w:t>
      </w:r>
      <w:r w:rsidRPr="00E4429F">
        <w:t xml:space="preserve"> = 3</w:t>
      </w:r>
      <w:r>
        <w:t>, 1 самец и 2 самки, возраст 1</w:t>
      </w:r>
      <w:r w:rsidR="002071D2">
        <w:t>3</w:t>
      </w:r>
      <w:r>
        <w:t>–1</w:t>
      </w:r>
      <w:r w:rsidR="002071D2">
        <w:t>4</w:t>
      </w:r>
      <w:r>
        <w:t xml:space="preserve"> недель) выявили </w:t>
      </w:r>
      <w:r w:rsidR="00637CBA">
        <w:t xml:space="preserve">транзиторные изменения: помутнение роговицы, </w:t>
      </w:r>
      <w:r w:rsidR="009609DE">
        <w:t>инъекция сосудов конъюнктивы и склеры, выделения и хемоз</w:t>
      </w:r>
      <w:r w:rsidR="00445EC7">
        <w:t xml:space="preserve"> с ранним началом</w:t>
      </w:r>
      <w:r w:rsidR="00101C5E">
        <w:t>, степень которых варьировала от легкой до выраженной</w:t>
      </w:r>
      <w:r w:rsidR="0020295B">
        <w:t xml:space="preserve">. Эти эффекты были обратимыми и не продолжались более 7–10 дней после применения </w:t>
      </w:r>
      <w:r w:rsidR="00856BC4">
        <w:rPr>
          <w:lang w:val="en-US"/>
        </w:rPr>
        <w:fldChar w:fldCharType="begin"/>
      </w:r>
      <w:r w:rsidR="00044A89">
        <w:instrText xml:space="preserve"> ADDIN ZOTERO_ITEM CSL_CITATION {"citationID":"4KArpJ1F","properties":{"formattedCitation":"[12]","plainCitation":"[12]","noteIndex":0},"citationItems":[{"id":87803,"uris":["http://zotero.org/groups/4742804/items/DMZ5DFPG"],"itemData":{"id":87803,"type":"webpage","title":"Xeljanz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856BC4">
        <w:rPr>
          <w:lang w:val="en-US"/>
        </w:rPr>
        <w:fldChar w:fldCharType="separate"/>
      </w:r>
      <w:r w:rsidR="00D46D1F">
        <w:rPr>
          <w:rFonts w:cs="Times New Roman"/>
        </w:rPr>
        <w:t>[1</w:t>
      </w:r>
      <w:r w:rsidR="00044A89" w:rsidRPr="00044A89">
        <w:rPr>
          <w:rFonts w:cs="Times New Roman"/>
        </w:rPr>
        <w:t>]</w:t>
      </w:r>
      <w:r w:rsidR="00856BC4">
        <w:rPr>
          <w:lang w:val="en-US"/>
        </w:rPr>
        <w:fldChar w:fldCharType="end"/>
      </w:r>
      <w:r w:rsidR="00856BC4">
        <w:t>.</w:t>
      </w:r>
    </w:p>
    <w:p w14:paraId="652D2E1B" w14:textId="30565D08" w:rsidR="00431507" w:rsidRDefault="00856BC4" w:rsidP="0040049C">
      <w:pPr>
        <w:spacing w:after="0"/>
        <w:contextualSpacing/>
      </w:pPr>
      <w:r>
        <w:t xml:space="preserve">В исследовании </w:t>
      </w:r>
      <w:r w:rsidR="009C7DF6">
        <w:t>07</w:t>
      </w:r>
      <w:r w:rsidR="009C7DF6">
        <w:rPr>
          <w:lang w:val="en-US"/>
        </w:rPr>
        <w:t>GR</w:t>
      </w:r>
      <w:r w:rsidR="009C7DF6" w:rsidRPr="009C7DF6">
        <w:t>202</w:t>
      </w:r>
      <w:r w:rsidR="009C7DF6">
        <w:t xml:space="preserve"> на мышах </w:t>
      </w:r>
      <w:r w:rsidR="00AA54C1">
        <w:t xml:space="preserve">линии </w:t>
      </w:r>
      <w:r w:rsidR="00CF3EF8">
        <w:rPr>
          <w:lang w:val="en-US"/>
        </w:rPr>
        <w:t>CBA</w:t>
      </w:r>
      <w:r w:rsidR="00CF3EF8" w:rsidRPr="00CF3EF8">
        <w:t>/</w:t>
      </w:r>
      <w:r w:rsidR="00CF3EF8">
        <w:rPr>
          <w:lang w:val="en-US"/>
        </w:rPr>
        <w:t>J</w:t>
      </w:r>
      <w:r w:rsidR="00CF3EF8" w:rsidRPr="00CF3EF8">
        <w:t xml:space="preserve"> (</w:t>
      </w:r>
      <w:r w:rsidR="00B2660D">
        <w:t xml:space="preserve">возраст 8–9 недель, </w:t>
      </w:r>
      <w:r w:rsidR="00CF3EF8">
        <w:t xml:space="preserve">масса тела </w:t>
      </w:r>
      <w:r w:rsidR="00B2660D">
        <w:t xml:space="preserve">18,1–23,9 г, </w:t>
      </w:r>
      <w:r w:rsidR="00CF3EF8">
        <w:t xml:space="preserve">по 5 самок в каждой дозовой группе) </w:t>
      </w:r>
      <w:r w:rsidR="001F4DD3" w:rsidRPr="001F4DD3">
        <w:t xml:space="preserve">тофацитиниб </w:t>
      </w:r>
      <w:r w:rsidR="0083612A">
        <w:t xml:space="preserve">в концентрации 10, 20 или 33% </w:t>
      </w:r>
      <w:r w:rsidR="003D0AA5">
        <w:t>не вызвал кож</w:t>
      </w:r>
      <w:r w:rsidR="0083612A">
        <w:t>ной</w:t>
      </w:r>
      <w:r w:rsidR="003D0AA5">
        <w:t xml:space="preserve"> </w:t>
      </w:r>
      <w:r w:rsidR="0083612A">
        <w:t xml:space="preserve">сенсибилизации </w:t>
      </w:r>
      <w:r w:rsidR="00EE0366">
        <w:t xml:space="preserve">в ходе </w:t>
      </w:r>
      <w:r w:rsidR="004417BF">
        <w:t>оценки</w:t>
      </w:r>
      <w:r w:rsidR="00EE0366" w:rsidRPr="00EE0366">
        <w:t xml:space="preserve"> </w:t>
      </w:r>
      <w:r w:rsidR="004417BF">
        <w:t xml:space="preserve">локальных </w:t>
      </w:r>
      <w:r w:rsidR="00EE0366" w:rsidRPr="00EE0366">
        <w:t>лимф</w:t>
      </w:r>
      <w:r w:rsidR="004417BF">
        <w:t>атических узлов</w:t>
      </w:r>
      <w:r w:rsidR="00A917DD" w:rsidRPr="00A917DD">
        <w:t xml:space="preserve"> </w:t>
      </w:r>
      <w:r w:rsidR="00A917DD">
        <w:t>(local lymph node assay, LLNA)</w:t>
      </w:r>
      <w:r w:rsidR="004879D0">
        <w:t xml:space="preserve">. </w:t>
      </w:r>
      <w:r w:rsidR="001F4DD3">
        <w:t>Т</w:t>
      </w:r>
      <w:r w:rsidR="001F4DD3" w:rsidRPr="001F4DD3">
        <w:t xml:space="preserve">офацитиниб </w:t>
      </w:r>
      <w:r w:rsidR="004879D0">
        <w:t xml:space="preserve">не индуцировал пролиферацию </w:t>
      </w:r>
      <w:r w:rsidR="003F46E0">
        <w:t xml:space="preserve">лимфоцитов из ушного лимфатического узла </w:t>
      </w:r>
      <w:r w:rsidR="001B7495">
        <w:t xml:space="preserve">при местном нанесении мышам по сравнению со значениями у животных, не </w:t>
      </w:r>
      <w:r w:rsidR="00431507">
        <w:t xml:space="preserve">получавших лекарственное средство </w:t>
      </w:r>
      <w:r w:rsidR="00431507">
        <w:rPr>
          <w:lang w:val="en-US"/>
        </w:rPr>
        <w:fldChar w:fldCharType="begin"/>
      </w:r>
      <w:r w:rsidR="00044A89">
        <w:instrText xml:space="preserve"> ADDIN ZOTERO_ITEM CSL_CITATION {"citationID":"KvIllazs","properties":{"formattedCitation":"[12]","plainCitation":"[12]","noteIndex":0},"citationItems":[{"id":87803,"uris":["http://zotero.org/groups/4742804/items/DMZ5DFPG"],"itemData":{"id":87803,"type":"webpage","title":"Xeljanz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431507">
        <w:rPr>
          <w:lang w:val="en-US"/>
        </w:rPr>
        <w:fldChar w:fldCharType="separate"/>
      </w:r>
      <w:r w:rsidR="00D46D1F">
        <w:rPr>
          <w:rFonts w:cs="Times New Roman"/>
        </w:rPr>
        <w:t>[1</w:t>
      </w:r>
      <w:r w:rsidR="00044A89" w:rsidRPr="00044A89">
        <w:rPr>
          <w:rFonts w:cs="Times New Roman"/>
        </w:rPr>
        <w:t>]</w:t>
      </w:r>
      <w:r w:rsidR="00431507">
        <w:rPr>
          <w:lang w:val="en-US"/>
        </w:rPr>
        <w:fldChar w:fldCharType="end"/>
      </w:r>
      <w:r w:rsidR="00431507">
        <w:t>.</w:t>
      </w:r>
    </w:p>
    <w:p w14:paraId="7C3BD3DE" w14:textId="77777777" w:rsidR="00FD74BD" w:rsidRPr="009C7DF6" w:rsidRDefault="00FD74BD" w:rsidP="0040049C">
      <w:pPr>
        <w:spacing w:after="0"/>
        <w:contextualSpacing/>
      </w:pPr>
    </w:p>
    <w:p w14:paraId="69F74EC6" w14:textId="1CAD6EA7" w:rsidR="00485D46" w:rsidRPr="00D76414" w:rsidRDefault="00BE2417" w:rsidP="00BE2417">
      <w:pPr>
        <w:pStyle w:val="3"/>
        <w:numPr>
          <w:ilvl w:val="0"/>
          <w:numId w:val="0"/>
        </w:numPr>
        <w:ind w:left="720" w:hanging="720"/>
      </w:pPr>
      <w:bookmarkStart w:id="174" w:name="_Toc115421054"/>
      <w:bookmarkStart w:id="175" w:name="_Toc121592587"/>
      <w:r>
        <w:t xml:space="preserve">3.3.7. </w:t>
      </w:r>
      <w:r w:rsidR="00CC466E" w:rsidRPr="00D76414">
        <w:t>Токсикокинетика</w:t>
      </w:r>
      <w:bookmarkEnd w:id="174"/>
      <w:bookmarkEnd w:id="175"/>
    </w:p>
    <w:p w14:paraId="586977D9" w14:textId="77777777" w:rsidR="00BD2318" w:rsidRDefault="00BD2318" w:rsidP="0040049C">
      <w:pPr>
        <w:pStyle w:val="SDText"/>
        <w:spacing w:after="0"/>
        <w:contextualSpacing/>
      </w:pPr>
    </w:p>
    <w:p w14:paraId="5F036AC8" w14:textId="10CDED68" w:rsidR="0093352B" w:rsidRPr="00104CBA" w:rsidRDefault="0093352B" w:rsidP="0040049C">
      <w:pPr>
        <w:pStyle w:val="SDText"/>
        <w:spacing w:after="0"/>
        <w:contextualSpacing/>
      </w:pPr>
      <w:r>
        <w:t xml:space="preserve">В исследовании острой токсичности при пероральном введении </w:t>
      </w:r>
      <w:r w:rsidRPr="002D63DC">
        <w:t>01-2063-07</w:t>
      </w:r>
      <w:r>
        <w:t>, проведенном на крысах</w:t>
      </w:r>
      <w:r w:rsidR="00FD3CC0">
        <w:t xml:space="preserve"> (по 5 самцов и 5 самок в группе для оценки токсикокинетики)</w:t>
      </w:r>
      <w:r>
        <w:t xml:space="preserve">, описанном также в Разделе </w:t>
      </w:r>
      <w:r w:rsidR="00FD3CC0">
        <w:fldChar w:fldCharType="begin"/>
      </w:r>
      <w:r w:rsidR="00FD3CC0">
        <w:instrText xml:space="preserve"> REF _Ref113951885 \n \h </w:instrText>
      </w:r>
      <w:r w:rsidR="0040049C">
        <w:instrText xml:space="preserve"> \* MERGEFORMAT </w:instrText>
      </w:r>
      <w:r w:rsidR="00FD3CC0">
        <w:fldChar w:fldCharType="separate"/>
      </w:r>
      <w:r w:rsidR="00383E6F">
        <w:t>0</w:t>
      </w:r>
      <w:r w:rsidR="00FD3CC0">
        <w:fldChar w:fldCharType="end"/>
      </w:r>
      <w:r w:rsidR="00FD3CC0">
        <w:t>, т</w:t>
      </w:r>
      <w:r>
        <w:t xml:space="preserve">оксикокинетические параметры определили как предварительные, поскольку методы определения тофацитиниба в биологических образцах на момент использования в данном исследовании не были валидированы. </w:t>
      </w:r>
      <w:r w:rsidRPr="00EF34D4">
        <w:t>AUC</w:t>
      </w:r>
      <w:r w:rsidRPr="00EF34D4">
        <w:rPr>
          <w:vertAlign w:val="subscript"/>
        </w:rPr>
        <w:t>(0-24)</w:t>
      </w:r>
      <w:r>
        <w:t xml:space="preserve"> после введения в дозе 500 мг/кг составила 504000 нг*ч/мл. Токсикокинетический анализ для животных из групп средней и высокой доз </w:t>
      </w:r>
      <w:r w:rsidR="00251C6D">
        <w:t>(</w:t>
      </w:r>
      <w:r w:rsidR="00251C6D" w:rsidRPr="00251C6D">
        <w:t>1000 и 2000 мг/кг</w:t>
      </w:r>
      <w:r w:rsidR="00251C6D">
        <w:t>)</w:t>
      </w:r>
      <w:r w:rsidR="00251C6D" w:rsidRPr="00251C6D">
        <w:t xml:space="preserve"> </w:t>
      </w:r>
      <w:r>
        <w:t>был ограничен ранними летальными исходами</w:t>
      </w:r>
      <w:r w:rsidR="00251C6D">
        <w:t xml:space="preserve"> </w:t>
      </w:r>
      <w:r>
        <w:rPr>
          <w:lang w:val="en-US"/>
        </w:rPr>
        <w:fldChar w:fldCharType="begin"/>
      </w:r>
      <w:r w:rsidR="00044A89">
        <w:instrText xml:space="preserve"> ADDIN ZOTERO_ITEM CSL_CITATION {"citationID":"ojsZ2uAX","properties":{"formattedCitation":"[12]","plainCitation":"[12]","noteIndex":0},"citationItems":[{"id":87803,"uris":["http://zotero.org/groups/4742804/items/DMZ5DFPG"],"itemData":{"id":87803,"type":"webpage","title":"Xeljanz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21246249" w14:textId="367631A5" w:rsidR="0093352B" w:rsidRDefault="00251C6D" w:rsidP="0040049C">
      <w:pPr>
        <w:pStyle w:val="SDText"/>
        <w:spacing w:after="0"/>
        <w:contextualSpacing/>
      </w:pPr>
      <w:r>
        <w:t>В и</w:t>
      </w:r>
      <w:r w:rsidR="0093352B">
        <w:t>сследовани</w:t>
      </w:r>
      <w:r>
        <w:t>и</w:t>
      </w:r>
      <w:r w:rsidR="0093352B">
        <w:t xml:space="preserve"> острой токсичности при внутривенном введении </w:t>
      </w:r>
      <w:r w:rsidR="0093352B" w:rsidRPr="002E7A9A">
        <w:t>09GR453</w:t>
      </w:r>
      <w:r w:rsidR="0093352B">
        <w:t xml:space="preserve"> на крысах </w:t>
      </w:r>
      <w:r>
        <w:t>(</w:t>
      </w:r>
      <w:r w:rsidR="0093352B">
        <w:t>по 5 самцов и 5 самок в группе для оценки токсикокинетики)</w:t>
      </w:r>
      <w:r w:rsidR="00ED4ED3">
        <w:t xml:space="preserve">, подробно описанном в Разделе </w:t>
      </w:r>
      <w:r w:rsidR="00ED4ED3">
        <w:fldChar w:fldCharType="begin"/>
      </w:r>
      <w:r w:rsidR="00ED4ED3">
        <w:instrText xml:space="preserve"> REF _Ref113951885 \n \h </w:instrText>
      </w:r>
      <w:r w:rsidR="0040049C">
        <w:instrText xml:space="preserve"> \* MERGEFORMAT </w:instrText>
      </w:r>
      <w:r w:rsidR="00ED4ED3">
        <w:fldChar w:fldCharType="separate"/>
      </w:r>
      <w:r w:rsidR="00383E6F">
        <w:t>0</w:t>
      </w:r>
      <w:r w:rsidR="00ED4ED3">
        <w:fldChar w:fldCharType="end"/>
      </w:r>
      <w:r w:rsidR="00ED4ED3">
        <w:t>,</w:t>
      </w:r>
      <w:r w:rsidR="0093352B">
        <w:t xml:space="preserve"> </w:t>
      </w:r>
      <w:r w:rsidR="00ED4ED3">
        <w:t>ж</w:t>
      </w:r>
      <w:r w:rsidR="0093352B">
        <w:t xml:space="preserve">ивотные из опытных групп получали </w:t>
      </w:r>
      <w:r w:rsidR="001F4DD3" w:rsidRPr="001F4DD3">
        <w:t xml:space="preserve">тофацитиниб </w:t>
      </w:r>
      <w:r w:rsidR="0093352B">
        <w:t xml:space="preserve">в дозе 0,5, 1 или 3 мг/кг, крысам из контрольной группы тофацитиниб не вводили. Концентрация тофацитиниба через 10 мин после введения составила 182–323, 337–569 и 1140–1870 нг/мл у животных из групп </w:t>
      </w:r>
      <w:r w:rsidR="001F4DD3" w:rsidRPr="001F4DD3">
        <w:t xml:space="preserve">тофацитиниба </w:t>
      </w:r>
      <w:r w:rsidR="0093352B">
        <w:t xml:space="preserve">в дозе 0,5, 1 или 3 мг/кг соответственно </w:t>
      </w:r>
      <w:r w:rsidR="0093352B">
        <w:rPr>
          <w:lang w:val="en-US"/>
        </w:rPr>
        <w:fldChar w:fldCharType="begin"/>
      </w:r>
      <w:r w:rsidR="00044A89">
        <w:instrText xml:space="preserve"> ADDIN ZOTERO_ITEM CSL_CITATION {"citationID":"rJPV8qVv","properties":{"formattedCitation":"[12]","plainCitation":"[12]","noteIndex":0},"citationItems":[{"id":87803,"uris":["http://zotero.org/groups/4742804/items/DMZ5DFPG"],"itemData":{"id":87803,"type":"webpage","title":"Xeljanz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93352B">
        <w:rPr>
          <w:lang w:val="en-US"/>
        </w:rPr>
        <w:fldChar w:fldCharType="separate"/>
      </w:r>
      <w:r w:rsidR="00D46D1F">
        <w:rPr>
          <w:rFonts w:cs="Times New Roman"/>
        </w:rPr>
        <w:t>[1</w:t>
      </w:r>
      <w:r w:rsidR="00044A89" w:rsidRPr="00044A89">
        <w:rPr>
          <w:rFonts w:cs="Times New Roman"/>
        </w:rPr>
        <w:t>]</w:t>
      </w:r>
      <w:r w:rsidR="0093352B">
        <w:rPr>
          <w:lang w:val="en-US"/>
        </w:rPr>
        <w:fldChar w:fldCharType="end"/>
      </w:r>
      <w:r w:rsidR="0093352B">
        <w:t>.</w:t>
      </w:r>
    </w:p>
    <w:p w14:paraId="0BDB4604" w14:textId="1FFE65EF" w:rsidR="0093352B" w:rsidRPr="00E71939" w:rsidRDefault="0093352B" w:rsidP="0040049C">
      <w:pPr>
        <w:pStyle w:val="SDText"/>
        <w:spacing w:after="0"/>
        <w:contextualSpacing/>
      </w:pPr>
      <w:r>
        <w:t>Исследование острой токсичности 00-2063-04</w:t>
      </w:r>
      <w:r w:rsidR="0014501D">
        <w:t>, представлен</w:t>
      </w:r>
      <w:r w:rsidR="00DF742A">
        <w:t>н</w:t>
      </w:r>
      <w:r w:rsidR="0014501D">
        <w:t xml:space="preserve">ое также в Разделе </w:t>
      </w:r>
      <w:r w:rsidR="0014501D">
        <w:fldChar w:fldCharType="begin"/>
      </w:r>
      <w:r w:rsidR="0014501D">
        <w:instrText xml:space="preserve"> REF _Ref113951885 \n \h </w:instrText>
      </w:r>
      <w:r w:rsidR="0040049C">
        <w:instrText xml:space="preserve"> \* MERGEFORMAT </w:instrText>
      </w:r>
      <w:r w:rsidR="0014501D">
        <w:fldChar w:fldCharType="separate"/>
      </w:r>
      <w:r w:rsidR="00383E6F">
        <w:t>0</w:t>
      </w:r>
      <w:r w:rsidR="0014501D">
        <w:fldChar w:fldCharType="end"/>
      </w:r>
      <w:r w:rsidR="0014501D">
        <w:t>,</w:t>
      </w:r>
      <w:r w:rsidR="00A1229B">
        <w:t xml:space="preserve"> </w:t>
      </w:r>
      <w:r>
        <w:t xml:space="preserve">проводили на яванских макаках. </w:t>
      </w:r>
      <w:r w:rsidR="001F4DD3">
        <w:t>Т</w:t>
      </w:r>
      <w:r w:rsidR="001F4DD3" w:rsidRPr="001F4DD3">
        <w:t xml:space="preserve">офацитиниб </w:t>
      </w:r>
      <w:r>
        <w:t xml:space="preserve">животным из опытных групп вводили внутрижелудочно в дозе 40, 200 или 1000 мг/кг/сут. Суточная доза была разделена на 3 введения. Обезьяны из контрольной группы тофацитиниб не получали. В ходе предварительной оценки токсикокинетических параметров невалидированным методом определили увеличение экспозиции в плазме крови при повышении дозы без различий между самцами и самками. После введения в низкой дозе при отсутствии признаков токсичности </w:t>
      </w:r>
      <w:r w:rsidRPr="00EF34D4">
        <w:t>AUC</w:t>
      </w:r>
      <w:r w:rsidRPr="00EF34D4">
        <w:rPr>
          <w:vertAlign w:val="subscript"/>
        </w:rPr>
        <w:t>(0-24)</w:t>
      </w:r>
      <w:r>
        <w:t xml:space="preserve"> составила 40200 нг*ч/мл </w:t>
      </w:r>
      <w:r>
        <w:rPr>
          <w:lang w:val="en-US"/>
        </w:rPr>
        <w:fldChar w:fldCharType="begin"/>
      </w:r>
      <w:r w:rsidR="00044A89">
        <w:instrText xml:space="preserve"> ADDIN ZOTERO_ITEM CSL_CITATION {"citationID":"yI1QZhUa","properties":{"formattedCitation":"[12]","plainCitation":"[12]","noteIndex":0},"citationItems":[{"id":87803,"uris":["http://zotero.org/groups/4742804/items/DMZ5DFPG"],"itemData":{"id":87803,"type":"webpage","title":"Xeljanz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4B0501B4" w14:textId="7B8D0666" w:rsidR="00BD2318" w:rsidRDefault="0052301C" w:rsidP="0040049C">
      <w:pPr>
        <w:pStyle w:val="SDText"/>
        <w:spacing w:after="0"/>
        <w:contextualSpacing/>
      </w:pPr>
      <w:r>
        <w:t xml:space="preserve">В исследовании </w:t>
      </w:r>
      <w:r w:rsidRPr="00D264C5">
        <w:t>0</w:t>
      </w:r>
      <w:r>
        <w:t>1</w:t>
      </w:r>
      <w:r w:rsidRPr="00D264C5">
        <w:t>-2063-0</w:t>
      </w:r>
      <w:r>
        <w:t>6 использовали крыс (по 5 самцов и 5 самок на группу для оценки токсикокинетики).</w:t>
      </w:r>
      <w:r w:rsidRPr="00A759FF">
        <w:t xml:space="preserve"> </w:t>
      </w:r>
      <w:r w:rsidR="000036DB">
        <w:t xml:space="preserve">Более подробно исследование описано в Разделе </w:t>
      </w:r>
      <w:r w:rsidR="000036DB">
        <w:fldChar w:fldCharType="begin"/>
      </w:r>
      <w:r w:rsidR="000036DB">
        <w:instrText xml:space="preserve"> REF _Ref113952418 \n \h </w:instrText>
      </w:r>
      <w:r w:rsidR="0040049C">
        <w:instrText xml:space="preserve"> \* MERGEFORMAT </w:instrText>
      </w:r>
      <w:r w:rsidR="000036DB">
        <w:fldChar w:fldCharType="separate"/>
      </w:r>
      <w:r w:rsidR="00383E6F">
        <w:t>3.3.2</w:t>
      </w:r>
      <w:r w:rsidR="000036DB">
        <w:fldChar w:fldCharType="end"/>
      </w:r>
      <w:r w:rsidR="000036DB">
        <w:t xml:space="preserve">. </w:t>
      </w:r>
      <w:r w:rsidR="001F4DD3">
        <w:t>Т</w:t>
      </w:r>
      <w:r w:rsidR="001F4DD3" w:rsidRPr="001F4DD3">
        <w:t xml:space="preserve">офацитиниб </w:t>
      </w:r>
      <w:r>
        <w:t>вводили внутрижелудочно. Длительность введения составила 6 недель.</w:t>
      </w:r>
      <w:r w:rsidR="00EB7B5F">
        <w:t xml:space="preserve"> </w:t>
      </w:r>
      <w:r>
        <w:t xml:space="preserve">Экспозиция была выше у самок, чем у самцов при введении в дозах 1 и 10 мг/кг/сут, но </w:t>
      </w:r>
      <w:r>
        <w:lastRenderedPageBreak/>
        <w:t>был</w:t>
      </w:r>
      <w:r w:rsidR="007D6278">
        <w:t>а</w:t>
      </w:r>
      <w:r>
        <w:t xml:space="preserve"> одинакова для обоих полов при введении в дозе 100 мг/кг/день. В целом экспозиция была более, чем дозопропорциональной в диапазоне доз до 100 мг/кг/сут. Существенной кумуляции с 1 по 44 день не выявили </w:t>
      </w:r>
      <w:r>
        <w:rPr>
          <w:lang w:val="en-US"/>
        </w:rPr>
        <w:fldChar w:fldCharType="begin"/>
      </w:r>
      <w:r w:rsidR="00044A89">
        <w:instrText xml:space="preserve"> ADDIN ZOTERO_ITEM CSL_CITATION {"citationID":"Xi8pQw5V","properties":{"formattedCitation":"[12]","plainCitation":"[12]","noteIndex":0},"citationItems":[{"id":87803,"uris":["http://zotero.org/groups/4742804/items/DMZ5DFPG"],"itemData":{"id":87803,"type":"webpage","title":"Xeljanz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3F17A41A" w14:textId="3D9210CC" w:rsidR="00BD2318" w:rsidRDefault="0052301C" w:rsidP="0040049C">
      <w:pPr>
        <w:pStyle w:val="SDText"/>
        <w:spacing w:after="0"/>
        <w:contextualSpacing/>
      </w:pPr>
      <w:r>
        <w:t>В исследовании 02-2063-20</w:t>
      </w:r>
      <w:r w:rsidR="00892408">
        <w:t xml:space="preserve">, представленном также в Разделе </w:t>
      </w:r>
      <w:r w:rsidR="00892408">
        <w:fldChar w:fldCharType="begin"/>
      </w:r>
      <w:r w:rsidR="00892408">
        <w:instrText xml:space="preserve"> REF _Ref113952418 \n \h </w:instrText>
      </w:r>
      <w:r w:rsidR="0040049C">
        <w:instrText xml:space="preserve"> \* MERGEFORMAT </w:instrText>
      </w:r>
      <w:r w:rsidR="00892408">
        <w:fldChar w:fldCharType="separate"/>
      </w:r>
      <w:r w:rsidR="00383E6F">
        <w:t>3.3.2</w:t>
      </w:r>
      <w:r w:rsidR="00892408">
        <w:fldChar w:fldCharType="end"/>
      </w:r>
      <w:r w:rsidR="00892408">
        <w:t>,</w:t>
      </w:r>
      <w:r>
        <w:t xml:space="preserve"> </w:t>
      </w:r>
      <w:r w:rsidR="00892408">
        <w:t xml:space="preserve">использовали </w:t>
      </w:r>
      <w:r>
        <w:t xml:space="preserve">крыс </w:t>
      </w:r>
      <w:r w:rsidR="00892408">
        <w:t>(</w:t>
      </w:r>
      <w:r>
        <w:t xml:space="preserve">по 6 самцов и 6 самок для оценки токсикокинетики). Лекарственное средство или носитель вводили внутрижелудочно 1 раз в день в течение 26 недель. Системная экспозиция была в среднем в 2,9, 2,2 и 1,6 раза больше у самок, чем у самцов при введении в дозах 1, 10 и 100 мг/кг/сут соответственно. Из-за вариабельности половые различия </w:t>
      </w:r>
      <w:r w:rsidR="00FA4056">
        <w:t>экспозиции</w:t>
      </w:r>
      <w:r>
        <w:t xml:space="preserve"> </w:t>
      </w:r>
      <w:r w:rsidR="001F4DD3" w:rsidRPr="001F4DD3">
        <w:t>тофацитиниб</w:t>
      </w:r>
      <w:r w:rsidR="001F4DD3">
        <w:t>ом</w:t>
      </w:r>
      <w:r>
        <w:t xml:space="preserve"> могут не иметь значимости. В большинстве образцов, полученных после 4 ч у животных из групп низкой и средней доз, содержание </w:t>
      </w:r>
      <w:r w:rsidR="001F4DD3" w:rsidRPr="001F4DD3">
        <w:t xml:space="preserve">тофацитиниба </w:t>
      </w:r>
      <w:r>
        <w:t>было ниже НПКО, что указывает на то, что отсутствие признаков токсичности у крыс из групп низкой и средней доз, вероятно, отража</w:t>
      </w:r>
      <w:r w:rsidR="00FA4056">
        <w:t>ло</w:t>
      </w:r>
      <w:r>
        <w:t xml:space="preserve"> отсутствие у них</w:t>
      </w:r>
      <w:r w:rsidR="00FD74BD">
        <w:t xml:space="preserve"> непрерывной экспозиции (&lt;</w:t>
      </w:r>
      <w:r>
        <w:t>8 ч в сутки).</w:t>
      </w:r>
      <w:r w:rsidRPr="0032741E">
        <w:t xml:space="preserve"> </w:t>
      </w:r>
      <w:r>
        <w:t>При введении в дозе 1 мг/кг/сут на неделе 26 C</w:t>
      </w:r>
      <w:r w:rsidRPr="006717BC">
        <w:rPr>
          <w:vertAlign w:val="subscript"/>
        </w:rPr>
        <w:t>max</w:t>
      </w:r>
      <w:r>
        <w:t xml:space="preserve"> для самцов составила 120 мг/мл, для самок – 382 нг/мл, площадь под фармакокинетической кривой «концентрация-время» от начального момента времени до 8 ч (AUC</w:t>
      </w:r>
      <w:r w:rsidRPr="006717BC">
        <w:rPr>
          <w:vertAlign w:val="subscript"/>
        </w:rPr>
        <w:t>(0-8)</w:t>
      </w:r>
      <w:r>
        <w:t xml:space="preserve">) для самцов равнялась 255 нг*ч/мл, для самок </w:t>
      </w:r>
      <w:r w:rsidR="00112E4D">
        <w:t>-</w:t>
      </w:r>
      <w:r>
        <w:t xml:space="preserve"> 710 нг*ч/мл </w:t>
      </w:r>
      <w:r>
        <w:rPr>
          <w:lang w:val="en-US"/>
        </w:rPr>
        <w:fldChar w:fldCharType="begin"/>
      </w:r>
      <w:r w:rsidR="00044A89">
        <w:instrText xml:space="preserve"> ADDIN ZOTERO_ITEM CSL_CITATION {"citationID":"9y0qOAdp","properties":{"formattedCitation":"[12]","plainCitation":"[12]","noteIndex":0},"citationItems":[{"id":87803,"uris":["http://zotero.org/groups/4742804/items/DMZ5DFPG"],"itemData":{"id":87803,"type":"webpage","title":"Xeljanz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146037AF" w14:textId="0843B75E" w:rsidR="0052301C" w:rsidRDefault="0052301C" w:rsidP="0040049C">
      <w:pPr>
        <w:pStyle w:val="SDText"/>
        <w:spacing w:after="0"/>
        <w:contextualSpacing/>
      </w:pPr>
      <w:r>
        <w:t>В исследовании 01-2063-09</w:t>
      </w:r>
      <w:r w:rsidR="00FB210B">
        <w:t xml:space="preserve">, подробно описанном в Разделе </w:t>
      </w:r>
      <w:r w:rsidR="00FB210B">
        <w:fldChar w:fldCharType="begin"/>
      </w:r>
      <w:r w:rsidR="00FB210B">
        <w:instrText xml:space="preserve"> REF _Ref113952418 \n \h </w:instrText>
      </w:r>
      <w:r w:rsidR="0040049C">
        <w:instrText xml:space="preserve"> \* MERGEFORMAT </w:instrText>
      </w:r>
      <w:r w:rsidR="00FB210B">
        <w:fldChar w:fldCharType="separate"/>
      </w:r>
      <w:r w:rsidR="00383E6F">
        <w:t>3.3.2</w:t>
      </w:r>
      <w:r w:rsidR="00FB210B">
        <w:fldChar w:fldCharType="end"/>
      </w:r>
      <w:r w:rsidR="00FB210B">
        <w:t>,</w:t>
      </w:r>
      <w:r>
        <w:t xml:space="preserve"> использовали яванских макак. Животные получали </w:t>
      </w:r>
      <w:r w:rsidRPr="00C12855">
        <w:t>CP-690550-10</w:t>
      </w:r>
      <w:r>
        <w:t xml:space="preserve"> внутрижелудочно в дозе </w:t>
      </w:r>
      <w:r w:rsidRPr="00C12855">
        <w:t>10, 50</w:t>
      </w:r>
      <w:r>
        <w:t xml:space="preserve"> или</w:t>
      </w:r>
      <w:r w:rsidRPr="00C12855">
        <w:t xml:space="preserve"> 100</w:t>
      </w:r>
      <w:r>
        <w:t xml:space="preserve"> мг/кг/сут, разделенной на 3 введения</w:t>
      </w:r>
      <w:r w:rsidR="00E27194">
        <w:t>,</w:t>
      </w:r>
      <w:r>
        <w:t xml:space="preserve"> или носитель в течение 4 недель. Системное воздействие (AUC</w:t>
      </w:r>
      <w:r w:rsidRPr="00A441B9">
        <w:rPr>
          <w:vertAlign w:val="subscript"/>
        </w:rPr>
        <w:t>(0-24)</w:t>
      </w:r>
      <w:r>
        <w:t xml:space="preserve">) при дозе 10 мг/кг/сут составляло 3440 и 2090 нг*ч/мл для самцов и самок соответственно </w:t>
      </w:r>
      <w:r w:rsidRPr="001C32A8">
        <w:rPr>
          <w:lang w:val="en-US"/>
        </w:rPr>
        <w:fldChar w:fldCharType="begin"/>
      </w:r>
      <w:r w:rsidR="00044A89">
        <w:instrText xml:space="preserve"> ADDIN ZOTERO_ITEM CSL_CITATION {"citationID":"DzucCVHK","properties":{"formattedCitation":"[12]","plainCitation":"[12]","noteIndex":0},"citationItems":[{"id":87803,"uris":["http://zotero.org/groups/4742804/items/DMZ5DFPG"],"itemData":{"id":87803,"type":"webpage","title":"Xeljanz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Pr="001C32A8">
        <w:rPr>
          <w:lang w:val="en-US"/>
        </w:rPr>
        <w:fldChar w:fldCharType="separate"/>
      </w:r>
      <w:r w:rsidR="00D46D1F">
        <w:rPr>
          <w:rFonts w:cs="Times New Roman"/>
        </w:rPr>
        <w:t>[1</w:t>
      </w:r>
      <w:r w:rsidR="00044A89" w:rsidRPr="00044A89">
        <w:rPr>
          <w:rFonts w:cs="Times New Roman"/>
        </w:rPr>
        <w:t>]</w:t>
      </w:r>
      <w:r w:rsidRPr="001C32A8">
        <w:fldChar w:fldCharType="end"/>
      </w:r>
      <w:r w:rsidRPr="001C32A8">
        <w:t>.</w:t>
      </w:r>
      <w:r>
        <w:t xml:space="preserve"> </w:t>
      </w:r>
    </w:p>
    <w:p w14:paraId="4A44EBDF" w14:textId="73B62BE1" w:rsidR="0052301C" w:rsidRDefault="0052301C" w:rsidP="0040049C">
      <w:pPr>
        <w:pStyle w:val="SDText"/>
        <w:spacing w:after="0"/>
        <w:contextualSpacing/>
      </w:pPr>
      <w:r>
        <w:t xml:space="preserve">На яванских макаках проведено исследование токсичности при внутрижелудочном введении длительностью 39 недель. Обезьяны получали </w:t>
      </w:r>
      <w:r w:rsidR="001F4DD3" w:rsidRPr="001F4DD3">
        <w:t xml:space="preserve">тофацитиниб </w:t>
      </w:r>
      <w:r>
        <w:t>в дозе 0,5, 2 или 10 мг/кг/сут</w:t>
      </w:r>
      <w:r w:rsidR="00E27194">
        <w:t>,</w:t>
      </w:r>
      <w:r>
        <w:t xml:space="preserve"> или носитель. </w:t>
      </w:r>
      <w:r w:rsidR="00FB210B">
        <w:t xml:space="preserve">Более подробно исследование описано в Разделе </w:t>
      </w:r>
      <w:r w:rsidR="00FB210B">
        <w:fldChar w:fldCharType="begin"/>
      </w:r>
      <w:r w:rsidR="00FB210B">
        <w:instrText xml:space="preserve"> REF _Ref113952418 \n \h </w:instrText>
      </w:r>
      <w:r w:rsidR="0040049C">
        <w:instrText xml:space="preserve"> \* MERGEFORMAT </w:instrText>
      </w:r>
      <w:r w:rsidR="00FB210B">
        <w:fldChar w:fldCharType="separate"/>
      </w:r>
      <w:r w:rsidR="00383E6F">
        <w:t>3.3.2</w:t>
      </w:r>
      <w:r w:rsidR="00FB210B">
        <w:fldChar w:fldCharType="end"/>
      </w:r>
      <w:r w:rsidR="00FB210B">
        <w:t xml:space="preserve">. </w:t>
      </w:r>
      <w:r>
        <w:t>Экспозиция зависела от дозы и была сходн</w:t>
      </w:r>
      <w:r w:rsidR="00FB210B">
        <w:t>ой</w:t>
      </w:r>
      <w:r>
        <w:t xml:space="preserve"> между полами. Однако ежедневная экспозиция для низкой и средней дозы была ограничен</w:t>
      </w:r>
      <w:r w:rsidR="00FB210B">
        <w:t>а</w:t>
      </w:r>
      <w:r>
        <w:t xml:space="preserve"> двумя ежедневными периодами продолжительностью от 6 до 8 ч, поскольку большинство образцов после 6–8 ч был</w:t>
      </w:r>
      <w:r w:rsidR="00E27194">
        <w:t>о</w:t>
      </w:r>
      <w:r>
        <w:t xml:space="preserve"> ниже НПКО для </w:t>
      </w:r>
      <w:r w:rsidR="001F4DD3" w:rsidRPr="001F4DD3">
        <w:t xml:space="preserve">тофацитиниба </w:t>
      </w:r>
      <w:r w:rsidR="00FD74BD">
        <w:t>(&lt;</w:t>
      </w:r>
      <w:r>
        <w:t xml:space="preserve">5 нг/мл). Системного накопления СР-690550 в ходе исследования не отмечали </w:t>
      </w:r>
      <w:r w:rsidRPr="001C32A8">
        <w:rPr>
          <w:lang w:val="en-US"/>
        </w:rPr>
        <w:fldChar w:fldCharType="begin"/>
      </w:r>
      <w:r w:rsidR="00044A89">
        <w:instrText xml:space="preserve"> ADDIN ZOTERO_ITEM CSL_CITATION {"citationID":"NL80YioH","properties":{"formattedCitation":"[12]","plainCitation":"[12]","noteIndex":0},"citationItems":[{"id":87803,"uris":["http://zotero.org/groups/4742804/items/DMZ5DFPG"],"itemData":{"id":87803,"type":"webpage","title":"Xeljanz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Pr="001C32A8">
        <w:rPr>
          <w:lang w:val="en-US"/>
        </w:rPr>
        <w:fldChar w:fldCharType="separate"/>
      </w:r>
      <w:r w:rsidR="00D46D1F">
        <w:rPr>
          <w:rFonts w:cs="Times New Roman"/>
        </w:rPr>
        <w:t>[1</w:t>
      </w:r>
      <w:r w:rsidR="00044A89" w:rsidRPr="00044A89">
        <w:rPr>
          <w:rFonts w:cs="Times New Roman"/>
        </w:rPr>
        <w:t>]</w:t>
      </w:r>
      <w:r w:rsidRPr="001C32A8">
        <w:fldChar w:fldCharType="end"/>
      </w:r>
      <w:r w:rsidRPr="001C32A8">
        <w:t>.</w:t>
      </w:r>
    </w:p>
    <w:p w14:paraId="712ED2AD" w14:textId="53E9D206" w:rsidR="00BD2318" w:rsidRDefault="001C4EE6" w:rsidP="0040049C">
      <w:pPr>
        <w:pStyle w:val="SDText"/>
        <w:spacing w:after="0"/>
        <w:contextualSpacing/>
      </w:pPr>
      <w:r>
        <w:t xml:space="preserve">В исследовании </w:t>
      </w:r>
      <w:r w:rsidRPr="00C747D4">
        <w:t>01-2063-17</w:t>
      </w:r>
      <w:r>
        <w:t xml:space="preserve">, описанном также в </w:t>
      </w:r>
      <w:r w:rsidR="006E5F8D">
        <w:t>Р</w:t>
      </w:r>
      <w:r>
        <w:t xml:space="preserve">азделе </w:t>
      </w:r>
      <w:r>
        <w:fldChar w:fldCharType="begin"/>
      </w:r>
      <w:r>
        <w:instrText xml:space="preserve"> REF _Ref113953203 \n \h </w:instrText>
      </w:r>
      <w:r w:rsidR="0040049C">
        <w:instrText xml:space="preserve"> \* MERGEFORMAT </w:instrText>
      </w:r>
      <w:r>
        <w:fldChar w:fldCharType="separate"/>
      </w:r>
      <w:r w:rsidR="00383E6F">
        <w:t>3.3.3</w:t>
      </w:r>
      <w:r>
        <w:fldChar w:fldCharType="end"/>
      </w:r>
      <w:r>
        <w:t xml:space="preserve">, </w:t>
      </w:r>
      <w:r w:rsidR="006E5F8D">
        <w:t>в</w:t>
      </w:r>
      <w:r>
        <w:t xml:space="preserve">ысокая доза, 500 мг/кг, приводила к средним концентрациям </w:t>
      </w:r>
      <w:r w:rsidR="001F4DD3" w:rsidRPr="001F4DD3">
        <w:t xml:space="preserve">тофацитиниба </w:t>
      </w:r>
      <w:r w:rsidR="006E7BDC">
        <w:t>в сыворотке крови крыс</w:t>
      </w:r>
      <w:r>
        <w:t xml:space="preserve">, равным 21800 нг/мл через 2–4 ч и 2600 нг/мл через 14–16 ч после введения, соответствующим концентрациям в печени, равным 53200 и 8220 нг/г соответственно </w:t>
      </w:r>
      <w:r>
        <w:rPr>
          <w:lang w:val="en-US"/>
        </w:rPr>
        <w:fldChar w:fldCharType="begin"/>
      </w:r>
      <w:r w:rsidR="00044A89">
        <w:instrText xml:space="preserve"> ADDIN ZOTERO_ITEM CSL_CITATION {"citationID":"FEdyZBJI","properties":{"formattedCitation":"[12]","plainCitation":"[12]","noteIndex":0},"citationItems":[{"id":87803,"uris":["http://zotero.org/groups/4742804/items/DMZ5DFPG"],"itemData":{"id":87803,"type":"webpage","title":"Xeljanz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4FF66233" w14:textId="69680C0E" w:rsidR="006E7BDC" w:rsidRPr="00036284" w:rsidRDefault="006E7BDC" w:rsidP="0040049C">
      <w:pPr>
        <w:pStyle w:val="SDText"/>
        <w:spacing w:after="0"/>
        <w:contextualSpacing/>
      </w:pPr>
      <w:r>
        <w:t>В исследовании канцерогенности 07</w:t>
      </w:r>
      <w:r>
        <w:rPr>
          <w:lang w:val="en-US"/>
        </w:rPr>
        <w:t>GR</w:t>
      </w:r>
      <w:r>
        <w:t xml:space="preserve">439 крысам линии </w:t>
      </w:r>
      <w:r w:rsidRPr="004856F5">
        <w:t>Crl:CD(SD)</w:t>
      </w:r>
      <w:r>
        <w:t xml:space="preserve"> внутрижелудочно вводили </w:t>
      </w:r>
      <w:r w:rsidR="001F4DD3" w:rsidRPr="001F4DD3">
        <w:t xml:space="preserve">тофацитиниб </w:t>
      </w:r>
      <w:r>
        <w:t>в дозе 10, 30 или 75 мг/кг/сут</w:t>
      </w:r>
      <w:r w:rsidR="00E27194">
        <w:t>,</w:t>
      </w:r>
      <w:r>
        <w:t xml:space="preserve"> или плацебо в течение</w:t>
      </w:r>
      <w:r w:rsidRPr="00A153FB">
        <w:t xml:space="preserve"> </w:t>
      </w:r>
      <w:r>
        <w:t>2 лет. Для самок доза 100 мг/кг/сут на неделе 19 была снижена до 75 мг/кг/сут в связи с высокой летальностью, связанн</w:t>
      </w:r>
      <w:r w:rsidR="00E27194">
        <w:t>ой</w:t>
      </w:r>
      <w:r>
        <w:t xml:space="preserve"> с бактериальными инфекциями. </w:t>
      </w:r>
      <w:r w:rsidR="00F53441">
        <w:t xml:space="preserve">Исследование описано также в Разделе </w:t>
      </w:r>
      <w:r w:rsidR="00F53441">
        <w:fldChar w:fldCharType="begin"/>
      </w:r>
      <w:r w:rsidR="00F53441">
        <w:instrText xml:space="preserve"> REF _Ref113953459 \n \h </w:instrText>
      </w:r>
      <w:r w:rsidR="0040049C">
        <w:instrText xml:space="preserve"> \* MERGEFORMAT </w:instrText>
      </w:r>
      <w:r w:rsidR="00F53441">
        <w:fldChar w:fldCharType="separate"/>
      </w:r>
      <w:r w:rsidR="00383E6F">
        <w:t>3.3.4</w:t>
      </w:r>
      <w:r w:rsidR="00F53441">
        <w:fldChar w:fldCharType="end"/>
      </w:r>
      <w:r w:rsidR="00F53441">
        <w:t xml:space="preserve">. </w:t>
      </w:r>
      <w:r>
        <w:t xml:space="preserve">Значения токсикокинетических показателей, полученных на 26 неделе у животных из группы 75 мг/кг/сут, были сопоставимыми со значениями, полученными при введении </w:t>
      </w:r>
      <w:r w:rsidR="001F4DD3" w:rsidRPr="001F4DD3">
        <w:t xml:space="preserve">тофацитиниба </w:t>
      </w:r>
      <w:r>
        <w:t xml:space="preserve">в дозе 100 мг/кг/сут в 6-месячном исследовании общей токсичности (02-2063-20, Раздел </w:t>
      </w:r>
      <w:r>
        <w:fldChar w:fldCharType="begin"/>
      </w:r>
      <w:r>
        <w:instrText xml:space="preserve"> REF _Ref113865146 \n \h </w:instrText>
      </w:r>
      <w:r w:rsidR="0040049C">
        <w:instrText xml:space="preserve"> \* MERGEFORMAT </w:instrText>
      </w:r>
      <w:r>
        <w:fldChar w:fldCharType="separate"/>
      </w:r>
      <w:r w:rsidR="00383E6F">
        <w:t>3.3.2</w:t>
      </w:r>
      <w:r>
        <w:fldChar w:fldCharType="end"/>
      </w:r>
      <w:r>
        <w:t xml:space="preserve">). В обоих исследованиях </w:t>
      </w:r>
      <w:r>
        <w:rPr>
          <w:lang w:val="en-US"/>
        </w:rPr>
        <w:t>AUC</w:t>
      </w:r>
      <w:r w:rsidRPr="005D4852">
        <w:t xml:space="preserve"> </w:t>
      </w:r>
      <w:r w:rsidR="001F4DD3" w:rsidRPr="001F4DD3">
        <w:t xml:space="preserve">тофацитиниба </w:t>
      </w:r>
      <w:r>
        <w:t xml:space="preserve">была выше у самок, чем у самцов. При сравнении экспозиции в дозах, при которых отсутствовали злокачественные новообразования у крыс (3880 нг*ч/мл для самцов, что было ниже средних </w:t>
      </w:r>
      <w:r>
        <w:rPr>
          <w:lang w:val="en-US"/>
        </w:rPr>
        <w:t>AUC</w:t>
      </w:r>
      <w:r w:rsidRPr="0046601C">
        <w:t xml:space="preserve"> </w:t>
      </w:r>
      <w:r>
        <w:t xml:space="preserve">для самцов и самок) и определенной у человека </w:t>
      </w:r>
      <w:r>
        <w:rPr>
          <w:lang w:val="en-US"/>
        </w:rPr>
        <w:t>AUC</w:t>
      </w:r>
      <w:r w:rsidRPr="009A2525">
        <w:rPr>
          <w:vertAlign w:val="subscript"/>
        </w:rPr>
        <w:t>(</w:t>
      </w:r>
      <w:r>
        <w:rPr>
          <w:vertAlign w:val="subscript"/>
        </w:rPr>
        <w:t>0-24)</w:t>
      </w:r>
      <w:r>
        <w:t xml:space="preserve"> при использовании тофацитиниба в максимальной дозе 10 мг 2 раза в день (550 нг*ч/мл), отношение показателей равнял</w:t>
      </w:r>
      <w:r w:rsidR="006A7FC2">
        <w:t>о</w:t>
      </w:r>
      <w:r>
        <w:t>сь 7</w:t>
      </w:r>
      <w:r w:rsidR="006A7FC2">
        <w:t xml:space="preserve"> </w:t>
      </w:r>
      <w:r>
        <w:rPr>
          <w:lang w:val="en-US"/>
        </w:rPr>
        <w:fldChar w:fldCharType="begin"/>
      </w:r>
      <w:r w:rsidR="00044A89">
        <w:instrText xml:space="preserve"> ADDIN ZOTERO_ITEM CSL_CITATION {"citationID":"oU3QOz76","properties":{"formattedCitation":"[12]","plainCitation":"[12]","noteIndex":0},"citationItems":[{"id":87803,"uris":["http://zotero.org/groups/4742804/items/DMZ5DFPG"],"itemData":{"id":87803,"type":"webpage","title":"Xeljanz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20D61E9F" w14:textId="3395780A" w:rsidR="00912246" w:rsidRDefault="006E7BDC" w:rsidP="0040049C">
      <w:pPr>
        <w:pStyle w:val="SDText"/>
        <w:spacing w:after="0"/>
        <w:contextualSpacing/>
      </w:pPr>
      <w:r>
        <w:t>Проведено</w:t>
      </w:r>
      <w:r w:rsidRPr="00960862">
        <w:t xml:space="preserve"> </w:t>
      </w:r>
      <w:r>
        <w:t>исследование</w:t>
      </w:r>
      <w:r w:rsidRPr="00960862">
        <w:t xml:space="preserve"> </w:t>
      </w:r>
      <w:r w:rsidR="006D2E7F">
        <w:t>08</w:t>
      </w:r>
      <w:r w:rsidR="006D2E7F">
        <w:rPr>
          <w:lang w:val="en-US"/>
        </w:rPr>
        <w:t>GR</w:t>
      </w:r>
      <w:r w:rsidR="006D2E7F" w:rsidRPr="006D2E7F">
        <w:t xml:space="preserve">481 </w:t>
      </w:r>
      <w:r w:rsidR="006D2E7F">
        <w:t>для оценки канцерогенности</w:t>
      </w:r>
      <w:r>
        <w:t xml:space="preserve"> на мышах (по 15 самцов и 15 самок на группу для оценки токсикокинетики)</w:t>
      </w:r>
      <w:r w:rsidR="003F386D">
        <w:t xml:space="preserve">, представленное также в </w:t>
      </w:r>
      <w:r w:rsidR="003F386D">
        <w:lastRenderedPageBreak/>
        <w:t xml:space="preserve">Разделе </w:t>
      </w:r>
      <w:r w:rsidR="003F386D">
        <w:fldChar w:fldCharType="begin"/>
      </w:r>
      <w:r w:rsidR="003F386D">
        <w:instrText xml:space="preserve"> REF _Ref113953459 \n \h </w:instrText>
      </w:r>
      <w:r w:rsidR="0040049C">
        <w:instrText xml:space="preserve"> \* MERGEFORMAT </w:instrText>
      </w:r>
      <w:r w:rsidR="003F386D">
        <w:fldChar w:fldCharType="separate"/>
      </w:r>
      <w:r w:rsidR="00383E6F">
        <w:t>3.3.4</w:t>
      </w:r>
      <w:r w:rsidR="003F386D">
        <w:fldChar w:fldCharType="end"/>
      </w:r>
      <w:r w:rsidR="003F386D">
        <w:t>.</w:t>
      </w:r>
      <w:r>
        <w:t xml:space="preserve"> Авторы</w:t>
      </w:r>
      <w:r w:rsidRPr="00C0364B">
        <w:t xml:space="preserve"> </w:t>
      </w:r>
      <w:r>
        <w:t>использовали</w:t>
      </w:r>
      <w:r w:rsidRPr="00C0364B">
        <w:t xml:space="preserve"> </w:t>
      </w:r>
      <w:r>
        <w:t>модель</w:t>
      </w:r>
      <w:r w:rsidRPr="00C0364B">
        <w:t xml:space="preserve"> 001178-</w:t>
      </w:r>
      <w:r w:rsidRPr="00960862">
        <w:rPr>
          <w:lang w:val="en-US"/>
        </w:rPr>
        <w:t>W</w:t>
      </w:r>
      <w:r w:rsidRPr="00C0364B">
        <w:t xml:space="preserve"> (</w:t>
      </w:r>
      <w:r>
        <w:t>гомозиготный «дикий» тип</w:t>
      </w:r>
      <w:r w:rsidRPr="00C0364B">
        <w:t xml:space="preserve">), </w:t>
      </w:r>
      <w:r w:rsidRPr="00960862">
        <w:rPr>
          <w:lang w:val="en-US"/>
        </w:rPr>
        <w:t>CB</w:t>
      </w:r>
      <w:r w:rsidRPr="00C0364B">
        <w:t>6</w:t>
      </w:r>
      <w:r w:rsidRPr="00960862">
        <w:rPr>
          <w:lang w:val="en-US"/>
        </w:rPr>
        <w:t>F</w:t>
      </w:r>
      <w:r w:rsidRPr="00C0364B">
        <w:t>1/</w:t>
      </w:r>
      <w:r w:rsidRPr="00960862">
        <w:rPr>
          <w:lang w:val="en-US"/>
        </w:rPr>
        <w:t>Jic</w:t>
      </w:r>
      <w:r w:rsidRPr="00C0364B">
        <w:t>-</w:t>
      </w:r>
      <w:r w:rsidRPr="00960862">
        <w:rPr>
          <w:lang w:val="en-US"/>
        </w:rPr>
        <w:t>TgrasH</w:t>
      </w:r>
      <w:r w:rsidRPr="00C0364B">
        <w:t>2@</w:t>
      </w:r>
      <w:r w:rsidRPr="00960862">
        <w:rPr>
          <w:lang w:val="en-US"/>
        </w:rPr>
        <w:t>Tac</w:t>
      </w:r>
      <w:r w:rsidR="003F386D">
        <w:t xml:space="preserve"> для оценки токсикокинетики</w:t>
      </w:r>
      <w:r>
        <w:t xml:space="preserve">. Группы </w:t>
      </w:r>
      <w:r w:rsidR="003F386D">
        <w:t>6</w:t>
      </w:r>
      <w:r>
        <w:t>–</w:t>
      </w:r>
      <w:r w:rsidR="003F386D">
        <w:t>9</w:t>
      </w:r>
      <w:r>
        <w:t xml:space="preserve"> являлись группами для оценки токсикокинетики. Животные из групп 6–9 получали внутрижелудочно </w:t>
      </w:r>
      <w:r w:rsidR="001F4DD3" w:rsidRPr="001F4DD3">
        <w:t>тофацитиниб</w:t>
      </w:r>
      <w:r w:rsidR="001F4DD3">
        <w:t xml:space="preserve"> </w:t>
      </w:r>
      <w:r>
        <w:t>в дозе 25, 75 или 200 мг/кг/сут</w:t>
      </w:r>
      <w:r w:rsidR="00E27194">
        <w:t>,</w:t>
      </w:r>
      <w:r>
        <w:t xml:space="preserve"> или носитель</w:t>
      </w:r>
      <w:r w:rsidRPr="00C35125">
        <w:t xml:space="preserve"> </w:t>
      </w:r>
      <w:r>
        <w:t xml:space="preserve">в течение 20 недель. В ходе оценки токсикокинетики определили увеличение </w:t>
      </w:r>
      <w:r>
        <w:rPr>
          <w:lang w:val="en-US"/>
        </w:rPr>
        <w:t>C</w:t>
      </w:r>
      <w:r>
        <w:rPr>
          <w:vertAlign w:val="subscript"/>
          <w:lang w:val="en-US"/>
        </w:rPr>
        <w:t>max</w:t>
      </w:r>
      <w:r w:rsidRPr="00553659">
        <w:rPr>
          <w:vertAlign w:val="subscript"/>
        </w:rPr>
        <w:t xml:space="preserve"> </w:t>
      </w:r>
      <w:r>
        <w:t xml:space="preserve">и </w:t>
      </w:r>
      <w:r>
        <w:rPr>
          <w:lang w:val="en-US"/>
        </w:rPr>
        <w:t>AUC</w:t>
      </w:r>
      <w:r w:rsidRPr="00553659">
        <w:rPr>
          <w:vertAlign w:val="subscript"/>
        </w:rPr>
        <w:t>(0-24)</w:t>
      </w:r>
      <w:r w:rsidRPr="00553659">
        <w:t xml:space="preserve"> </w:t>
      </w:r>
      <w:r>
        <w:t xml:space="preserve">при повышении дозы и отсутствие различий в зависимости от пола. </w:t>
      </w:r>
      <w:r>
        <w:rPr>
          <w:lang w:val="en-US"/>
        </w:rPr>
        <w:t>NOAEL</w:t>
      </w:r>
      <w:r w:rsidRPr="00CA6FD9">
        <w:t xml:space="preserve"> </w:t>
      </w:r>
      <w:r>
        <w:t xml:space="preserve">в отношении развития новообразований, индуцированных </w:t>
      </w:r>
      <w:r w:rsidR="001F4DD3" w:rsidRPr="001F4DD3">
        <w:t>тофацитиниб</w:t>
      </w:r>
      <w:r w:rsidR="001F4DD3">
        <w:t>ом</w:t>
      </w:r>
      <w:r>
        <w:t xml:space="preserve">, составила 200 мг/кг/сут, средние значения </w:t>
      </w:r>
      <w:r w:rsidR="00F033B3">
        <w:rPr>
          <w:lang w:val="en-US"/>
        </w:rPr>
        <w:t>T</w:t>
      </w:r>
      <w:r>
        <w:rPr>
          <w:vertAlign w:val="subscript"/>
          <w:lang w:val="en-US"/>
        </w:rPr>
        <w:t>max</w:t>
      </w:r>
      <w:r>
        <w:t xml:space="preserve">, </w:t>
      </w:r>
      <w:r>
        <w:rPr>
          <w:lang w:val="en-US"/>
        </w:rPr>
        <w:t>C</w:t>
      </w:r>
      <w:r>
        <w:rPr>
          <w:vertAlign w:val="subscript"/>
          <w:lang w:val="en-US"/>
        </w:rPr>
        <w:t>max</w:t>
      </w:r>
      <w:r w:rsidRPr="00E77D70">
        <w:t xml:space="preserve"> </w:t>
      </w:r>
      <w:r>
        <w:t xml:space="preserve">и </w:t>
      </w:r>
      <w:r>
        <w:rPr>
          <w:lang w:val="en-US"/>
        </w:rPr>
        <w:t>AUC</w:t>
      </w:r>
      <w:r w:rsidRPr="00553659">
        <w:rPr>
          <w:vertAlign w:val="subscript"/>
        </w:rPr>
        <w:t>(0-24)</w:t>
      </w:r>
      <w:r w:rsidRPr="00E77D70">
        <w:t xml:space="preserve"> </w:t>
      </w:r>
      <w:r>
        <w:t>равнялись 0,75 ч, 5765 нг/мл и 17250 нг*ч/мл соответственно. При сравнении экспозиции у мышей и экспозиции у человека при использовании в максимальной дозе 10 мг 2 раза в день (550 нг*ч/мл) отношение показателей составил</w:t>
      </w:r>
      <w:r w:rsidR="003F386D">
        <w:t>о</w:t>
      </w:r>
      <w:r>
        <w:t xml:space="preserve"> около 32 </w:t>
      </w:r>
      <w:r>
        <w:rPr>
          <w:lang w:val="en-US"/>
        </w:rPr>
        <w:fldChar w:fldCharType="begin"/>
      </w:r>
      <w:r w:rsidR="00044A89">
        <w:instrText xml:space="preserve"> ADDIN ZOTERO_ITEM CSL_CITATION {"citationID":"TnK3Y79K","properties":{"formattedCitation":"[12]","plainCitation":"[12]","noteIndex":0},"citationItems":[{"id":87803,"uris":["http://zotero.org/groups/4742804/items/DMZ5DFPG"],"itemData":{"id":87803,"type":"webpage","title":"Xeljanz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175B3D6A" w14:textId="729B3F55" w:rsidR="005B6E2E" w:rsidRPr="00E316AC" w:rsidRDefault="005B6E2E" w:rsidP="0040049C">
      <w:pPr>
        <w:pStyle w:val="SDText"/>
        <w:spacing w:after="0"/>
        <w:contextualSpacing/>
      </w:pPr>
      <w:r>
        <w:t>В</w:t>
      </w:r>
      <w:r w:rsidRPr="00C67737">
        <w:t xml:space="preserve"> </w:t>
      </w:r>
      <w:r>
        <w:t>исследовании</w:t>
      </w:r>
      <w:r w:rsidRPr="00C67737">
        <w:t xml:space="preserve"> 09</w:t>
      </w:r>
      <w:r w:rsidRPr="00C67737">
        <w:rPr>
          <w:lang w:val="en-US"/>
        </w:rPr>
        <w:t>GR</w:t>
      </w:r>
      <w:r w:rsidRPr="00C67737">
        <w:t xml:space="preserve">250 </w:t>
      </w:r>
      <w:r>
        <w:t>оценивали</w:t>
      </w:r>
      <w:r w:rsidRPr="00C67737">
        <w:t xml:space="preserve"> </w:t>
      </w:r>
      <w:r>
        <w:t>влияние</w:t>
      </w:r>
      <w:r w:rsidRPr="00C67737">
        <w:t xml:space="preserve"> </w:t>
      </w:r>
      <w:r w:rsidRPr="00C67737">
        <w:rPr>
          <w:lang w:val="en-US"/>
        </w:rPr>
        <w:t>CP</w:t>
      </w:r>
      <w:r w:rsidRPr="00C67737">
        <w:t xml:space="preserve">-690550-10 </w:t>
      </w:r>
      <w:r>
        <w:t>при внутрижелудочном введении</w:t>
      </w:r>
      <w:r w:rsidRPr="00C67737">
        <w:t xml:space="preserve"> </w:t>
      </w:r>
      <w:r>
        <w:t>в дозах</w:t>
      </w:r>
      <w:r w:rsidRPr="00C67737">
        <w:t xml:space="preserve"> 1, 10 </w:t>
      </w:r>
      <w:r>
        <w:t xml:space="preserve">или </w:t>
      </w:r>
      <w:r w:rsidRPr="00C67737">
        <w:t xml:space="preserve">100 </w:t>
      </w:r>
      <w:r>
        <w:t>мг</w:t>
      </w:r>
      <w:r w:rsidRPr="00C67737">
        <w:t>/</w:t>
      </w:r>
      <w:r>
        <w:t>кг</w:t>
      </w:r>
      <w:r w:rsidRPr="00C67737">
        <w:t>/</w:t>
      </w:r>
      <w:r>
        <w:t xml:space="preserve">сут на фертильность неполовозрелых крыс линии Спрег-Доули (по 24 самца и 24 самки для оценки токсикокинетики). </w:t>
      </w:r>
      <w:r w:rsidR="00610334">
        <w:t xml:space="preserve">Подробнее исследование описано в Разделе </w:t>
      </w:r>
      <w:r w:rsidR="00610334">
        <w:fldChar w:fldCharType="begin"/>
      </w:r>
      <w:r w:rsidR="00610334">
        <w:instrText xml:space="preserve"> REF _Ref113954769 \n \h </w:instrText>
      </w:r>
      <w:r w:rsidR="0040049C">
        <w:instrText xml:space="preserve"> \* MERGEFORMAT </w:instrText>
      </w:r>
      <w:r w:rsidR="00610334">
        <w:fldChar w:fldCharType="separate"/>
      </w:r>
      <w:r w:rsidR="00383E6F">
        <w:t>3.3.5.1</w:t>
      </w:r>
      <w:r w:rsidR="00610334">
        <w:fldChar w:fldCharType="end"/>
      </w:r>
      <w:r w:rsidR="00610334">
        <w:t xml:space="preserve">. </w:t>
      </w:r>
      <w:r>
        <w:t>Лекарственное средство или носитель вводили с 21 по 55 день после рождения для самок и с 21 по 70 день после рождения для самцов. Спаривание обработанных самок с необработанными самцами и обработанных самцов с необработанными самками начинали с 84 дня после рождения. Системная экспозиция увеличивалась с увеличением дозы. C</w:t>
      </w:r>
      <w:r w:rsidRPr="00684907">
        <w:rPr>
          <w:vertAlign w:val="subscript"/>
        </w:rPr>
        <w:t xml:space="preserve">max </w:t>
      </w:r>
      <w:r>
        <w:t>и AUC</w:t>
      </w:r>
      <w:r w:rsidRPr="00684907">
        <w:rPr>
          <w:vertAlign w:val="subscript"/>
        </w:rPr>
        <w:t>(0-24)</w:t>
      </w:r>
      <w:r>
        <w:t xml:space="preserve"> у самцов при дозе 100 мг/кг в конце периода дозирования (70 день после рождения) составляли 7480 нг/мл и 67500 нг*ч/мл соответственно. C</w:t>
      </w:r>
      <w:r w:rsidRPr="00462665">
        <w:rPr>
          <w:vertAlign w:val="subscript"/>
        </w:rPr>
        <w:t>max</w:t>
      </w:r>
      <w:r>
        <w:t xml:space="preserve"> и AUC</w:t>
      </w:r>
      <w:r w:rsidRPr="00462665">
        <w:rPr>
          <w:vertAlign w:val="subscript"/>
        </w:rPr>
        <w:t>(0-24)</w:t>
      </w:r>
      <w:r>
        <w:t xml:space="preserve"> у самок при дозе 100 мг/кг в конце периода дозирования (55день после рождения) составляли 10100 нг/мл и 77200 нг*ч/мл </w:t>
      </w:r>
      <w:r w:rsidR="00964A79">
        <w:t>соо</w:t>
      </w:r>
      <w:r>
        <w:t>тветственно</w:t>
      </w:r>
      <w:r w:rsidR="002370E9">
        <w:t xml:space="preserve"> </w:t>
      </w:r>
      <w:r>
        <w:rPr>
          <w:lang w:val="en-US"/>
        </w:rPr>
        <w:fldChar w:fldCharType="begin"/>
      </w:r>
      <w:r w:rsidR="00044A89">
        <w:instrText xml:space="preserve"> ADDIN ZOTERO_ITEM CSL_CITATION {"citationID":"djkjlKIb","properties":{"formattedCitation":"[12]","plainCitation":"[12]","noteIndex":0},"citationItems":[{"id":87803,"uris":["http://zotero.org/groups/4742804/items/DMZ5DFPG"],"itemData":{"id":87803,"type":"webpage","title":"Xeljanz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3D373DB3" w14:textId="5F609D10" w:rsidR="0033234E" w:rsidRDefault="0033234E" w:rsidP="0040049C">
      <w:pPr>
        <w:pStyle w:val="SDText"/>
        <w:spacing w:after="0"/>
        <w:contextualSpacing/>
      </w:pPr>
      <w:r>
        <w:t xml:space="preserve">В исследовании </w:t>
      </w:r>
      <w:r w:rsidRPr="00F67B34">
        <w:t>09GR353</w:t>
      </w:r>
      <w:r>
        <w:t xml:space="preserve"> влияния внутрижелудочного введения </w:t>
      </w:r>
      <w:r w:rsidRPr="008B2DA7">
        <w:t>CP-690550-10</w:t>
      </w:r>
      <w:r>
        <w:t xml:space="preserve"> с 6 по 17 дни гестации на эмбриофетальное развитие у крыс гибель самок отмечали в группе лекарственного средства 300 мг/кг/сут (13 из 20 животных из группы оценки токсичности) и еще 3 из 5 животных </w:t>
      </w:r>
      <w:r w:rsidR="002301A8">
        <w:t xml:space="preserve">из </w:t>
      </w:r>
      <w:r>
        <w:t>группы оценки токсикокинетики погибли или были умерщвлены в агональном состоянии.</w:t>
      </w:r>
      <w:r w:rsidR="009B5417">
        <w:t xml:space="preserve"> Исследование описано также</w:t>
      </w:r>
      <w:r w:rsidR="009B5417" w:rsidRPr="009B5417">
        <w:t xml:space="preserve"> </w:t>
      </w:r>
      <w:r w:rsidR="009B5417">
        <w:t xml:space="preserve">в Разделе </w:t>
      </w:r>
      <w:r w:rsidR="009B5417">
        <w:fldChar w:fldCharType="begin"/>
      </w:r>
      <w:r w:rsidR="009B5417">
        <w:instrText xml:space="preserve"> REF _Ref113953914 \n \h </w:instrText>
      </w:r>
      <w:r w:rsidR="0040049C">
        <w:instrText xml:space="preserve"> \* MERGEFORMAT </w:instrText>
      </w:r>
      <w:r w:rsidR="009B5417">
        <w:fldChar w:fldCharType="separate"/>
      </w:r>
      <w:r w:rsidR="00383E6F">
        <w:t>3.3.5.2</w:t>
      </w:r>
      <w:r w:rsidR="009B5417">
        <w:fldChar w:fldCharType="end"/>
      </w:r>
      <w:r w:rsidR="009B5417">
        <w:t xml:space="preserve">. </w:t>
      </w:r>
      <w:r>
        <w:t>Соответствующими токсикокинетическими значениями при NOAEL 30 мг/кг/день были C</w:t>
      </w:r>
      <w:r w:rsidRPr="00C546A9">
        <w:rPr>
          <w:vertAlign w:val="subscript"/>
        </w:rPr>
        <w:t>max</w:t>
      </w:r>
      <w:r>
        <w:t xml:space="preserve"> 6360 нг/мл и AUC</w:t>
      </w:r>
      <w:r w:rsidRPr="002B501F">
        <w:rPr>
          <w:vertAlign w:val="subscript"/>
        </w:rPr>
        <w:t>(0-24)</w:t>
      </w:r>
      <w:r>
        <w:t xml:space="preserve"> до 29400 нг*ч/мл </w:t>
      </w:r>
      <w:r>
        <w:rPr>
          <w:lang w:val="en-US"/>
        </w:rPr>
        <w:fldChar w:fldCharType="begin"/>
      </w:r>
      <w:r w:rsidR="00044A89">
        <w:instrText xml:space="preserve"> ADDIN ZOTERO_ITEM CSL_CITATION {"citationID":"Yc8Ix5pk","properties":{"formattedCitation":"[12]","plainCitation":"[12]","noteIndex":0},"citationItems":[{"id":87803,"uris":["http://zotero.org/groups/4742804/items/DMZ5DFPG"],"itemData":{"id":87803,"type":"webpage","title":"Xeljanz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0CA9A1E7" w14:textId="11F564FB" w:rsidR="005B6E2E" w:rsidRDefault="0033234E" w:rsidP="0040049C">
      <w:pPr>
        <w:pStyle w:val="SDText"/>
        <w:spacing w:after="0"/>
        <w:contextualSpacing/>
      </w:pPr>
      <w:r>
        <w:t xml:space="preserve">В исследовании </w:t>
      </w:r>
      <w:r w:rsidR="004B3FCA">
        <w:t xml:space="preserve">эмбриофетальной токсичности </w:t>
      </w:r>
      <w:r w:rsidRPr="00D71AF0">
        <w:t>05-2063-24</w:t>
      </w:r>
      <w:r>
        <w:t xml:space="preserve">, описанном также в Разделе </w:t>
      </w:r>
      <w:r>
        <w:fldChar w:fldCharType="begin"/>
      </w:r>
      <w:r>
        <w:instrText xml:space="preserve"> REF _Ref113953914 \n \h </w:instrText>
      </w:r>
      <w:r w:rsidR="0040049C">
        <w:instrText xml:space="preserve"> \* MERGEFORMAT </w:instrText>
      </w:r>
      <w:r>
        <w:fldChar w:fldCharType="separate"/>
      </w:r>
      <w:r w:rsidR="00383E6F">
        <w:t>3.3.5.2</w:t>
      </w:r>
      <w:r>
        <w:fldChar w:fldCharType="end"/>
      </w:r>
      <w:r>
        <w:t xml:space="preserve">, </w:t>
      </w:r>
      <w:r w:rsidR="001F4DD3" w:rsidRPr="001F4DD3">
        <w:t xml:space="preserve">тофацитиниб </w:t>
      </w:r>
      <w:r w:rsidR="009B5417">
        <w:t xml:space="preserve">перорально вводили </w:t>
      </w:r>
      <w:r>
        <w:t>в дозе 1, 10 или 30 мг/кг с 6 по 17 день гестации беременным самкам крыс (5 самок на группу для оценки токсикокинетики)</w:t>
      </w:r>
      <w:r w:rsidR="009B5417">
        <w:t xml:space="preserve">. </w:t>
      </w:r>
      <w:r>
        <w:t xml:space="preserve">Экспозиция </w:t>
      </w:r>
      <w:r w:rsidR="001F4DD3" w:rsidRPr="001F4DD3">
        <w:t>тофацитиниб</w:t>
      </w:r>
      <w:r w:rsidR="001F4DD3">
        <w:t>ом</w:t>
      </w:r>
      <w:r w:rsidR="001F4DD3" w:rsidRPr="001F4DD3">
        <w:t xml:space="preserve"> </w:t>
      </w:r>
      <w:r>
        <w:t>увеличивалась с увеличением дозы, 30-кратное увеличение дозы (с 1 до 30 мг/кг/сут) CP-690550-10 привело к 26,5-кратному увеличению средне</w:t>
      </w:r>
      <w:r w:rsidR="002301A8">
        <w:t>й</w:t>
      </w:r>
      <w:r>
        <w:t xml:space="preserve"> C</w:t>
      </w:r>
      <w:r w:rsidRPr="004B4D28">
        <w:rPr>
          <w:vertAlign w:val="subscript"/>
        </w:rPr>
        <w:t>max</w:t>
      </w:r>
      <w:r>
        <w:t xml:space="preserve"> и </w:t>
      </w:r>
      <w:r w:rsidR="002301A8">
        <w:t xml:space="preserve">к </w:t>
      </w:r>
      <w:r>
        <w:t>46,5-кратному повышению AUC</w:t>
      </w:r>
      <w:r w:rsidRPr="004B4D28">
        <w:rPr>
          <w:vertAlign w:val="subscript"/>
        </w:rPr>
        <w:t xml:space="preserve">(0-24) </w:t>
      </w:r>
      <w:r>
        <w:rPr>
          <w:lang w:val="en-US"/>
        </w:rPr>
        <w:fldChar w:fldCharType="begin"/>
      </w:r>
      <w:r w:rsidR="00044A89">
        <w:instrText xml:space="preserve"> ADDIN ZOTERO_ITEM CSL_CITATION {"citationID":"fO0r4sRz","properties":{"formattedCitation":"[12]","plainCitation":"[12]","noteIndex":0},"citationItems":[{"id":87803,"uris":["http://zotero.org/groups/4742804/items/DMZ5DFPG"],"itemData":{"id":87803,"type":"webpage","title":"Xeljanz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08F230FD" w14:textId="58B7EBEE" w:rsidR="00472D64" w:rsidRPr="00E82CA2" w:rsidRDefault="00472D64" w:rsidP="0040049C">
      <w:pPr>
        <w:pStyle w:val="SDText"/>
        <w:spacing w:after="0"/>
        <w:contextualSpacing/>
      </w:pPr>
      <w:r>
        <w:t xml:space="preserve">В исследовании </w:t>
      </w:r>
      <w:r w:rsidR="003D46FB">
        <w:t xml:space="preserve">ювенильной токсичности </w:t>
      </w:r>
      <w:r w:rsidRPr="00DC2FB2">
        <w:t>09</w:t>
      </w:r>
      <w:r w:rsidRPr="00572EFE">
        <w:rPr>
          <w:lang w:val="en-US"/>
        </w:rPr>
        <w:t>GR</w:t>
      </w:r>
      <w:r w:rsidRPr="00DC2FB2">
        <w:t>249</w:t>
      </w:r>
      <w:r w:rsidR="00AF6F70">
        <w:t xml:space="preserve">, представленном также в Разделе </w:t>
      </w:r>
      <w:r w:rsidR="00AF6F70">
        <w:fldChar w:fldCharType="begin"/>
      </w:r>
      <w:r w:rsidR="00AF6F70">
        <w:instrText xml:space="preserve"> REF _Ref113954566 \n \h </w:instrText>
      </w:r>
      <w:r w:rsidR="0040049C">
        <w:instrText xml:space="preserve"> \* MERGEFORMAT </w:instrText>
      </w:r>
      <w:r w:rsidR="00AF6F70">
        <w:fldChar w:fldCharType="separate"/>
      </w:r>
      <w:r w:rsidR="00383E6F">
        <w:t>3.3.5.4</w:t>
      </w:r>
      <w:r w:rsidR="00AF6F70">
        <w:fldChar w:fldCharType="end"/>
      </w:r>
      <w:r w:rsidR="00AF6F70">
        <w:t>,</w:t>
      </w:r>
      <w:r w:rsidR="00A1229B">
        <w:t xml:space="preserve"> </w:t>
      </w:r>
      <w:r>
        <w:t xml:space="preserve">использовали крыс (по 3 самца и 3 самки на группу для оценки токсикокинетики). Животные получали </w:t>
      </w:r>
      <w:r w:rsidRPr="007735C7">
        <w:t>CP-690550-10</w:t>
      </w:r>
      <w:r>
        <w:t xml:space="preserve"> в дозе 1, 10 или 100 мг/кг</w:t>
      </w:r>
      <w:r w:rsidR="002301A8">
        <w:t>,</w:t>
      </w:r>
      <w:r>
        <w:t xml:space="preserve"> или носитель перорально с 12 по 35 день после рождения. Экспозиция на 35 день у самок была выше, чем у самцов (в 2 раза при введении в низкой и средней дозах, в 1,3 раза при введении в высокой дозе), свидетельства кумуляции </w:t>
      </w:r>
      <w:r w:rsidR="001F4DD3" w:rsidRPr="001F4DD3">
        <w:t xml:space="preserve">тофацитиниба </w:t>
      </w:r>
      <w:r>
        <w:t xml:space="preserve">с 12 по 35 день не выявили </w:t>
      </w:r>
      <w:r>
        <w:rPr>
          <w:lang w:val="en-US"/>
        </w:rPr>
        <w:fldChar w:fldCharType="begin"/>
      </w:r>
      <w:r w:rsidR="00044A89">
        <w:instrText xml:space="preserve"> ADDIN ZOTERO_ITEM CSL_CITATION {"citationID":"bwwzB3wz","properties":{"formattedCitation":"[12]","plainCitation":"[12]","noteIndex":0},"citationItems":[{"id":87803,"uris":["http://zotero.org/groups/4742804/items/DMZ5DFPG"],"itemData":{"id":87803,"type":"webpage","title":"Xeljanz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sidR="00D46D1F">
        <w:rPr>
          <w:rFonts w:cs="Times New Roman"/>
        </w:rPr>
        <w:t>[1</w:t>
      </w:r>
      <w:r w:rsidR="00044A89" w:rsidRPr="00044A89">
        <w:rPr>
          <w:rFonts w:cs="Times New Roman"/>
        </w:rPr>
        <w:t>]</w:t>
      </w:r>
      <w:r>
        <w:rPr>
          <w:lang w:val="en-US"/>
        </w:rPr>
        <w:fldChar w:fldCharType="end"/>
      </w:r>
      <w:r>
        <w:t>.</w:t>
      </w:r>
    </w:p>
    <w:p w14:paraId="6DE89388" w14:textId="77777777" w:rsidR="0086767A" w:rsidRDefault="0086767A" w:rsidP="00C13EBE">
      <w:pPr>
        <w:pStyle w:val="SDText"/>
        <w:spacing w:after="0"/>
        <w:ind w:firstLine="0"/>
        <w:contextualSpacing/>
        <w:sectPr w:rsidR="0086767A" w:rsidSect="00F85178">
          <w:pgSz w:w="11906" w:h="16838"/>
          <w:pgMar w:top="1134" w:right="850" w:bottom="1134" w:left="1701" w:header="708" w:footer="708" w:gutter="0"/>
          <w:cols w:space="708"/>
          <w:docGrid w:linePitch="360"/>
        </w:sectPr>
      </w:pPr>
    </w:p>
    <w:p w14:paraId="52C0639A" w14:textId="7ACED51C" w:rsidR="00EF1073" w:rsidRPr="00D76414" w:rsidRDefault="00652269" w:rsidP="00BE2417">
      <w:pPr>
        <w:pStyle w:val="SDText"/>
        <w:spacing w:after="0"/>
        <w:ind w:firstLine="0"/>
      </w:pPr>
      <w:bookmarkStart w:id="176" w:name="_Ref121140512"/>
      <w:r w:rsidRPr="00652269">
        <w:rPr>
          <w:b/>
          <w:bCs/>
        </w:rPr>
        <w:lastRenderedPageBreak/>
        <w:t xml:space="preserve">Таблица </w:t>
      </w:r>
      <w:r w:rsidRPr="00652269">
        <w:rPr>
          <w:b/>
          <w:bCs/>
        </w:rPr>
        <w:fldChar w:fldCharType="begin"/>
      </w:r>
      <w:r w:rsidRPr="00652269">
        <w:rPr>
          <w:b/>
          <w:bCs/>
        </w:rPr>
        <w:instrText xml:space="preserve"> STYLEREF 1 \s </w:instrText>
      </w:r>
      <w:r w:rsidRPr="00652269">
        <w:rPr>
          <w:b/>
          <w:bCs/>
        </w:rPr>
        <w:fldChar w:fldCharType="separate"/>
      </w:r>
      <w:r w:rsidR="00383E6F">
        <w:rPr>
          <w:b/>
          <w:bCs/>
          <w:noProof/>
        </w:rPr>
        <w:t>3</w:t>
      </w:r>
      <w:r w:rsidRPr="00652269">
        <w:rPr>
          <w:b/>
          <w:bCs/>
        </w:rPr>
        <w:fldChar w:fldCharType="end"/>
      </w:r>
      <w:r w:rsidRPr="00652269">
        <w:rPr>
          <w:b/>
          <w:bCs/>
        </w:rPr>
        <w:noBreakHyphen/>
      </w:r>
      <w:r w:rsidRPr="00652269">
        <w:rPr>
          <w:b/>
          <w:bCs/>
        </w:rPr>
        <w:fldChar w:fldCharType="begin"/>
      </w:r>
      <w:r w:rsidRPr="00652269">
        <w:rPr>
          <w:b/>
          <w:bCs/>
        </w:rPr>
        <w:instrText xml:space="preserve"> SEQ Таблица \* ARABIC \s 1 </w:instrText>
      </w:r>
      <w:r w:rsidRPr="00652269">
        <w:rPr>
          <w:b/>
          <w:bCs/>
        </w:rPr>
        <w:fldChar w:fldCharType="separate"/>
      </w:r>
      <w:r w:rsidR="00383E6F">
        <w:rPr>
          <w:b/>
          <w:bCs/>
          <w:noProof/>
        </w:rPr>
        <w:t>7</w:t>
      </w:r>
      <w:r w:rsidRPr="00652269">
        <w:rPr>
          <w:b/>
          <w:bCs/>
        </w:rPr>
        <w:fldChar w:fldCharType="end"/>
      </w:r>
      <w:bookmarkEnd w:id="176"/>
      <w:r w:rsidRPr="00652269">
        <w:rPr>
          <w:b/>
          <w:bCs/>
        </w:rPr>
        <w:t>.</w:t>
      </w:r>
      <w:r>
        <w:t xml:space="preserve"> </w:t>
      </w:r>
      <w:r w:rsidR="00D76414">
        <w:t xml:space="preserve">Пределы воздействия тофацитиниба на основании </w:t>
      </w:r>
      <w:r w:rsidR="00D76414">
        <w:rPr>
          <w:lang w:val="en-US"/>
        </w:rPr>
        <w:t>AUC</w:t>
      </w:r>
      <w:r w:rsidR="00D76414" w:rsidRPr="00D76414">
        <w:t xml:space="preserve"> </w:t>
      </w:r>
      <w:r w:rsidR="00112E4D">
        <w:t>и</w:t>
      </w:r>
      <w:r w:rsidR="00D76414" w:rsidRPr="00D76414">
        <w:t xml:space="preserve"> </w:t>
      </w:r>
      <w:r w:rsidR="00D76414">
        <w:rPr>
          <w:lang w:val="en-US"/>
        </w:rPr>
        <w:t>C</w:t>
      </w:r>
      <w:r w:rsidR="00D76414" w:rsidRPr="00D76414">
        <w:rPr>
          <w:vertAlign w:val="subscript"/>
          <w:lang w:val="en-US"/>
        </w:rPr>
        <w:t>max</w:t>
      </w:r>
      <w:r w:rsidR="00D76414" w:rsidRPr="00D76414">
        <w:t>.</w:t>
      </w:r>
    </w:p>
    <w:tbl>
      <w:tblPr>
        <w:tblStyle w:val="a4"/>
        <w:tblW w:w="4880" w:type="pct"/>
        <w:tblInd w:w="136" w:type="dxa"/>
        <w:tblLayout w:type="fixed"/>
        <w:tblLook w:val="04A0" w:firstRow="1" w:lastRow="0" w:firstColumn="1" w:lastColumn="0" w:noHBand="0" w:noVBand="1"/>
      </w:tblPr>
      <w:tblGrid>
        <w:gridCol w:w="2514"/>
        <w:gridCol w:w="1426"/>
        <w:gridCol w:w="2553"/>
        <w:gridCol w:w="1701"/>
        <w:gridCol w:w="2126"/>
        <w:gridCol w:w="2126"/>
        <w:gridCol w:w="1276"/>
        <w:gridCol w:w="709"/>
      </w:tblGrid>
      <w:tr w:rsidR="00544CCD" w:rsidRPr="00964A79" w14:paraId="047E92D5" w14:textId="77777777" w:rsidTr="0086767A">
        <w:trPr>
          <w:tblHeader/>
        </w:trPr>
        <w:tc>
          <w:tcPr>
            <w:tcW w:w="2514" w:type="dxa"/>
            <w:vMerge w:val="restart"/>
            <w:shd w:val="clear" w:color="auto" w:fill="D9D9D9" w:themeFill="background1" w:themeFillShade="D9"/>
            <w:vAlign w:val="center"/>
          </w:tcPr>
          <w:p w14:paraId="6471F678" w14:textId="45CA7BAA" w:rsidR="001A599B" w:rsidRPr="00964A79" w:rsidRDefault="001A599B" w:rsidP="0040049C">
            <w:pPr>
              <w:ind w:firstLine="0"/>
              <w:contextualSpacing/>
              <w:jc w:val="center"/>
              <w:rPr>
                <w:b/>
                <w:bCs/>
                <w:sz w:val="20"/>
                <w:szCs w:val="20"/>
              </w:rPr>
            </w:pPr>
            <w:r w:rsidRPr="00964A79">
              <w:rPr>
                <w:b/>
                <w:bCs/>
                <w:sz w:val="20"/>
                <w:szCs w:val="20"/>
              </w:rPr>
              <w:t>Тип исследования</w:t>
            </w:r>
          </w:p>
        </w:tc>
        <w:tc>
          <w:tcPr>
            <w:tcW w:w="1426" w:type="dxa"/>
            <w:vMerge w:val="restart"/>
            <w:shd w:val="clear" w:color="auto" w:fill="D9D9D9" w:themeFill="background1" w:themeFillShade="D9"/>
            <w:vAlign w:val="center"/>
          </w:tcPr>
          <w:p w14:paraId="0309565A" w14:textId="01E0C02B" w:rsidR="001A599B" w:rsidRPr="00964A79" w:rsidRDefault="001A599B" w:rsidP="0040049C">
            <w:pPr>
              <w:ind w:firstLine="0"/>
              <w:contextualSpacing/>
              <w:jc w:val="center"/>
              <w:rPr>
                <w:b/>
                <w:bCs/>
                <w:sz w:val="20"/>
                <w:szCs w:val="20"/>
              </w:rPr>
            </w:pPr>
            <w:r w:rsidRPr="00964A79">
              <w:rPr>
                <w:b/>
                <w:bCs/>
                <w:sz w:val="20"/>
                <w:szCs w:val="20"/>
              </w:rPr>
              <w:t>Виды</w:t>
            </w:r>
          </w:p>
        </w:tc>
        <w:tc>
          <w:tcPr>
            <w:tcW w:w="2553" w:type="dxa"/>
            <w:vMerge w:val="restart"/>
            <w:shd w:val="clear" w:color="auto" w:fill="D9D9D9" w:themeFill="background1" w:themeFillShade="D9"/>
            <w:vAlign w:val="center"/>
          </w:tcPr>
          <w:p w14:paraId="18427EBC" w14:textId="531FC9A6" w:rsidR="001A599B" w:rsidRPr="00964A79" w:rsidRDefault="001A599B" w:rsidP="0040049C">
            <w:pPr>
              <w:ind w:firstLine="0"/>
              <w:contextualSpacing/>
              <w:jc w:val="center"/>
              <w:rPr>
                <w:b/>
                <w:bCs/>
                <w:sz w:val="20"/>
                <w:szCs w:val="20"/>
              </w:rPr>
            </w:pPr>
            <w:r w:rsidRPr="00964A79">
              <w:rPr>
                <w:b/>
                <w:bCs/>
                <w:sz w:val="20"/>
                <w:szCs w:val="20"/>
              </w:rPr>
              <w:t>Продолжительность</w:t>
            </w:r>
          </w:p>
        </w:tc>
        <w:tc>
          <w:tcPr>
            <w:tcW w:w="1701" w:type="dxa"/>
            <w:vMerge w:val="restart"/>
            <w:shd w:val="clear" w:color="auto" w:fill="D9D9D9" w:themeFill="background1" w:themeFillShade="D9"/>
            <w:vAlign w:val="center"/>
          </w:tcPr>
          <w:p w14:paraId="4A04A314" w14:textId="2C5C63A3" w:rsidR="001A599B" w:rsidRPr="00964A79" w:rsidRDefault="004C5550" w:rsidP="0040049C">
            <w:pPr>
              <w:ind w:firstLine="0"/>
              <w:contextualSpacing/>
              <w:jc w:val="center"/>
              <w:rPr>
                <w:b/>
                <w:bCs/>
                <w:sz w:val="20"/>
                <w:szCs w:val="20"/>
              </w:rPr>
            </w:pPr>
            <w:r w:rsidRPr="00964A79">
              <w:rPr>
                <w:b/>
                <w:bCs/>
                <w:sz w:val="20"/>
                <w:szCs w:val="20"/>
              </w:rPr>
              <w:t>NOAEL, мг/кг/сут</w:t>
            </w:r>
          </w:p>
        </w:tc>
        <w:tc>
          <w:tcPr>
            <w:tcW w:w="2126" w:type="dxa"/>
            <w:vMerge w:val="restart"/>
            <w:shd w:val="clear" w:color="auto" w:fill="D9D9D9" w:themeFill="background1" w:themeFillShade="D9"/>
            <w:vAlign w:val="center"/>
          </w:tcPr>
          <w:p w14:paraId="2EF10A43" w14:textId="4564CA84" w:rsidR="001A599B" w:rsidRPr="00964A79" w:rsidRDefault="004F3BCC" w:rsidP="0040049C">
            <w:pPr>
              <w:ind w:firstLine="0"/>
              <w:contextualSpacing/>
              <w:jc w:val="center"/>
              <w:rPr>
                <w:b/>
                <w:bCs/>
                <w:sz w:val="20"/>
                <w:szCs w:val="20"/>
              </w:rPr>
            </w:pPr>
            <w:r w:rsidRPr="00964A79">
              <w:rPr>
                <w:b/>
                <w:bCs/>
                <w:sz w:val="20"/>
                <w:szCs w:val="20"/>
                <w:lang w:val="en-US"/>
              </w:rPr>
              <w:t>AUC</w:t>
            </w:r>
            <w:r w:rsidRPr="00964A79">
              <w:rPr>
                <w:b/>
                <w:bCs/>
                <w:sz w:val="20"/>
                <w:szCs w:val="20"/>
              </w:rPr>
              <w:t xml:space="preserve"> несвязанного тофацитиниба </w:t>
            </w:r>
            <w:r w:rsidR="001C22A3" w:rsidRPr="00964A79">
              <w:rPr>
                <w:b/>
                <w:bCs/>
                <w:sz w:val="20"/>
                <w:szCs w:val="20"/>
              </w:rPr>
              <w:t>(нг*ч/мл) при NOAEL</w:t>
            </w:r>
          </w:p>
        </w:tc>
        <w:tc>
          <w:tcPr>
            <w:tcW w:w="2126" w:type="dxa"/>
            <w:vMerge w:val="restart"/>
            <w:shd w:val="clear" w:color="auto" w:fill="D9D9D9" w:themeFill="background1" w:themeFillShade="D9"/>
            <w:vAlign w:val="center"/>
          </w:tcPr>
          <w:p w14:paraId="70237791" w14:textId="0C7410A8" w:rsidR="001A599B" w:rsidRPr="00964A79" w:rsidRDefault="001C22A3" w:rsidP="0040049C">
            <w:pPr>
              <w:ind w:firstLine="0"/>
              <w:contextualSpacing/>
              <w:jc w:val="center"/>
              <w:rPr>
                <w:b/>
                <w:bCs/>
                <w:sz w:val="20"/>
                <w:szCs w:val="20"/>
              </w:rPr>
            </w:pPr>
            <w:r w:rsidRPr="00964A79">
              <w:rPr>
                <w:b/>
                <w:bCs/>
                <w:sz w:val="20"/>
                <w:szCs w:val="20"/>
              </w:rPr>
              <w:t>C</w:t>
            </w:r>
            <w:r w:rsidRPr="00964A79">
              <w:rPr>
                <w:b/>
                <w:bCs/>
                <w:sz w:val="20"/>
                <w:szCs w:val="20"/>
                <w:vertAlign w:val="subscript"/>
              </w:rPr>
              <w:t>max</w:t>
            </w:r>
            <w:r w:rsidRPr="00964A79">
              <w:rPr>
                <w:b/>
                <w:bCs/>
                <w:sz w:val="20"/>
                <w:szCs w:val="20"/>
              </w:rPr>
              <w:t xml:space="preserve"> несвязанного тофацитиниба (нг*ч/мл) при NOAEL</w:t>
            </w:r>
          </w:p>
        </w:tc>
        <w:tc>
          <w:tcPr>
            <w:tcW w:w="1985" w:type="dxa"/>
            <w:gridSpan w:val="2"/>
            <w:shd w:val="clear" w:color="auto" w:fill="D9D9D9" w:themeFill="background1" w:themeFillShade="D9"/>
            <w:vAlign w:val="center"/>
          </w:tcPr>
          <w:p w14:paraId="1E783464" w14:textId="0B1B26F7" w:rsidR="001A599B" w:rsidRPr="00964A79" w:rsidRDefault="00184960" w:rsidP="0040049C">
            <w:pPr>
              <w:ind w:firstLine="0"/>
              <w:contextualSpacing/>
              <w:jc w:val="center"/>
              <w:rPr>
                <w:b/>
                <w:bCs/>
                <w:sz w:val="20"/>
                <w:szCs w:val="20"/>
              </w:rPr>
            </w:pPr>
            <w:r w:rsidRPr="00964A79">
              <w:rPr>
                <w:b/>
                <w:bCs/>
                <w:sz w:val="20"/>
                <w:szCs w:val="20"/>
              </w:rPr>
              <w:t>Предел воздействия на основании</w:t>
            </w:r>
          </w:p>
        </w:tc>
      </w:tr>
      <w:tr w:rsidR="00311853" w:rsidRPr="00964A79" w14:paraId="47DF6E15" w14:textId="77777777" w:rsidTr="0086767A">
        <w:trPr>
          <w:tblHeader/>
        </w:trPr>
        <w:tc>
          <w:tcPr>
            <w:tcW w:w="2514" w:type="dxa"/>
            <w:vMerge/>
            <w:shd w:val="clear" w:color="auto" w:fill="D9D9D9" w:themeFill="background1" w:themeFillShade="D9"/>
            <w:vAlign w:val="center"/>
          </w:tcPr>
          <w:p w14:paraId="06D3B931" w14:textId="77777777" w:rsidR="001A599B" w:rsidRPr="00964A79" w:rsidRDefault="001A599B" w:rsidP="0040049C">
            <w:pPr>
              <w:ind w:firstLine="0"/>
              <w:contextualSpacing/>
              <w:jc w:val="center"/>
              <w:rPr>
                <w:b/>
                <w:bCs/>
                <w:sz w:val="20"/>
                <w:szCs w:val="20"/>
              </w:rPr>
            </w:pPr>
          </w:p>
        </w:tc>
        <w:tc>
          <w:tcPr>
            <w:tcW w:w="1426" w:type="dxa"/>
            <w:vMerge/>
            <w:shd w:val="clear" w:color="auto" w:fill="D9D9D9" w:themeFill="background1" w:themeFillShade="D9"/>
            <w:vAlign w:val="center"/>
          </w:tcPr>
          <w:p w14:paraId="03744F0B" w14:textId="77777777" w:rsidR="001A599B" w:rsidRPr="00964A79" w:rsidRDefault="001A599B" w:rsidP="0040049C">
            <w:pPr>
              <w:ind w:firstLine="0"/>
              <w:contextualSpacing/>
              <w:jc w:val="center"/>
              <w:rPr>
                <w:b/>
                <w:bCs/>
                <w:sz w:val="20"/>
                <w:szCs w:val="20"/>
              </w:rPr>
            </w:pPr>
          </w:p>
        </w:tc>
        <w:tc>
          <w:tcPr>
            <w:tcW w:w="2553" w:type="dxa"/>
            <w:vMerge/>
            <w:shd w:val="clear" w:color="auto" w:fill="D9D9D9" w:themeFill="background1" w:themeFillShade="D9"/>
            <w:vAlign w:val="center"/>
          </w:tcPr>
          <w:p w14:paraId="2008FBFD" w14:textId="77777777" w:rsidR="001A599B" w:rsidRPr="00964A79" w:rsidRDefault="001A599B" w:rsidP="0040049C">
            <w:pPr>
              <w:ind w:firstLine="0"/>
              <w:contextualSpacing/>
              <w:jc w:val="center"/>
              <w:rPr>
                <w:b/>
                <w:bCs/>
                <w:sz w:val="20"/>
                <w:szCs w:val="20"/>
              </w:rPr>
            </w:pPr>
          </w:p>
        </w:tc>
        <w:tc>
          <w:tcPr>
            <w:tcW w:w="1701" w:type="dxa"/>
            <w:vMerge/>
            <w:shd w:val="clear" w:color="auto" w:fill="D9D9D9" w:themeFill="background1" w:themeFillShade="D9"/>
            <w:vAlign w:val="center"/>
          </w:tcPr>
          <w:p w14:paraId="13B7EC15" w14:textId="77777777" w:rsidR="001A599B" w:rsidRPr="00964A79" w:rsidRDefault="001A599B" w:rsidP="0040049C">
            <w:pPr>
              <w:ind w:firstLine="0"/>
              <w:contextualSpacing/>
              <w:jc w:val="center"/>
              <w:rPr>
                <w:b/>
                <w:bCs/>
                <w:sz w:val="20"/>
                <w:szCs w:val="20"/>
              </w:rPr>
            </w:pPr>
          </w:p>
        </w:tc>
        <w:tc>
          <w:tcPr>
            <w:tcW w:w="2126" w:type="dxa"/>
            <w:vMerge/>
            <w:shd w:val="clear" w:color="auto" w:fill="D9D9D9" w:themeFill="background1" w:themeFillShade="D9"/>
            <w:vAlign w:val="center"/>
          </w:tcPr>
          <w:p w14:paraId="11E8ACEF" w14:textId="77777777" w:rsidR="001A599B" w:rsidRPr="00964A79" w:rsidRDefault="001A599B" w:rsidP="0040049C">
            <w:pPr>
              <w:ind w:firstLine="0"/>
              <w:contextualSpacing/>
              <w:jc w:val="center"/>
              <w:rPr>
                <w:b/>
                <w:bCs/>
                <w:sz w:val="20"/>
                <w:szCs w:val="20"/>
              </w:rPr>
            </w:pPr>
          </w:p>
        </w:tc>
        <w:tc>
          <w:tcPr>
            <w:tcW w:w="2126" w:type="dxa"/>
            <w:vMerge/>
            <w:shd w:val="clear" w:color="auto" w:fill="D9D9D9" w:themeFill="background1" w:themeFillShade="D9"/>
            <w:vAlign w:val="center"/>
          </w:tcPr>
          <w:p w14:paraId="263F155B" w14:textId="77777777" w:rsidR="001A599B" w:rsidRPr="00964A79" w:rsidRDefault="001A599B" w:rsidP="0040049C">
            <w:pPr>
              <w:ind w:firstLine="0"/>
              <w:contextualSpacing/>
              <w:jc w:val="center"/>
              <w:rPr>
                <w:b/>
                <w:bCs/>
                <w:sz w:val="20"/>
                <w:szCs w:val="20"/>
              </w:rPr>
            </w:pPr>
          </w:p>
        </w:tc>
        <w:tc>
          <w:tcPr>
            <w:tcW w:w="1276" w:type="dxa"/>
            <w:shd w:val="clear" w:color="auto" w:fill="D9D9D9" w:themeFill="background1" w:themeFillShade="D9"/>
            <w:vAlign w:val="center"/>
          </w:tcPr>
          <w:p w14:paraId="5D23174D" w14:textId="0D1ED7F7" w:rsidR="001A599B" w:rsidRPr="00964A79" w:rsidRDefault="00184960" w:rsidP="0040049C">
            <w:pPr>
              <w:ind w:firstLine="0"/>
              <w:contextualSpacing/>
              <w:jc w:val="center"/>
              <w:rPr>
                <w:b/>
                <w:bCs/>
                <w:sz w:val="20"/>
                <w:szCs w:val="20"/>
              </w:rPr>
            </w:pPr>
            <w:r w:rsidRPr="00964A79">
              <w:rPr>
                <w:b/>
                <w:bCs/>
                <w:sz w:val="20"/>
                <w:szCs w:val="20"/>
              </w:rPr>
              <w:t>AUC</w:t>
            </w:r>
          </w:p>
        </w:tc>
        <w:tc>
          <w:tcPr>
            <w:tcW w:w="709" w:type="dxa"/>
            <w:shd w:val="clear" w:color="auto" w:fill="D9D9D9" w:themeFill="background1" w:themeFillShade="D9"/>
            <w:vAlign w:val="center"/>
          </w:tcPr>
          <w:p w14:paraId="2641DD9C" w14:textId="51812AB5" w:rsidR="001A599B" w:rsidRPr="00964A79" w:rsidRDefault="00184960" w:rsidP="0040049C">
            <w:pPr>
              <w:ind w:firstLine="0"/>
              <w:contextualSpacing/>
              <w:jc w:val="center"/>
              <w:rPr>
                <w:b/>
                <w:bCs/>
                <w:sz w:val="20"/>
                <w:szCs w:val="20"/>
              </w:rPr>
            </w:pPr>
            <w:r w:rsidRPr="00964A79">
              <w:rPr>
                <w:b/>
                <w:bCs/>
                <w:sz w:val="20"/>
                <w:szCs w:val="20"/>
              </w:rPr>
              <w:t>C</w:t>
            </w:r>
            <w:r w:rsidRPr="00964A79">
              <w:rPr>
                <w:b/>
                <w:bCs/>
                <w:sz w:val="20"/>
                <w:szCs w:val="20"/>
                <w:vertAlign w:val="subscript"/>
              </w:rPr>
              <w:t>max</w:t>
            </w:r>
          </w:p>
        </w:tc>
      </w:tr>
      <w:tr w:rsidR="00544CCD" w:rsidRPr="00964A79" w14:paraId="60A9EF2C" w14:textId="77777777" w:rsidTr="0086767A">
        <w:trPr>
          <w:trHeight w:val="281"/>
        </w:trPr>
        <w:tc>
          <w:tcPr>
            <w:tcW w:w="2514" w:type="dxa"/>
            <w:vMerge w:val="restart"/>
            <w:vAlign w:val="center"/>
          </w:tcPr>
          <w:p w14:paraId="618EEF3F" w14:textId="516FB555" w:rsidR="00544CCD" w:rsidRPr="00964A79" w:rsidRDefault="00544CCD" w:rsidP="0040049C">
            <w:pPr>
              <w:ind w:firstLine="0"/>
              <w:contextualSpacing/>
              <w:rPr>
                <w:sz w:val="20"/>
                <w:szCs w:val="20"/>
              </w:rPr>
            </w:pPr>
            <w:r w:rsidRPr="00964A79">
              <w:rPr>
                <w:sz w:val="20"/>
                <w:szCs w:val="20"/>
              </w:rPr>
              <w:t>Токсичность при многократном введении</w:t>
            </w:r>
          </w:p>
        </w:tc>
        <w:tc>
          <w:tcPr>
            <w:tcW w:w="1426" w:type="dxa"/>
            <w:vMerge w:val="restart"/>
            <w:vAlign w:val="center"/>
          </w:tcPr>
          <w:p w14:paraId="437D3900" w14:textId="1B8C2308" w:rsidR="00544CCD" w:rsidRPr="00964A79" w:rsidRDefault="00544CCD" w:rsidP="0040049C">
            <w:pPr>
              <w:ind w:firstLine="0"/>
              <w:contextualSpacing/>
              <w:rPr>
                <w:sz w:val="20"/>
                <w:szCs w:val="20"/>
              </w:rPr>
            </w:pPr>
            <w:r w:rsidRPr="00964A79">
              <w:rPr>
                <w:sz w:val="20"/>
                <w:szCs w:val="20"/>
              </w:rPr>
              <w:t>Крысы</w:t>
            </w:r>
          </w:p>
        </w:tc>
        <w:tc>
          <w:tcPr>
            <w:tcW w:w="2553" w:type="dxa"/>
            <w:vMerge w:val="restart"/>
            <w:vAlign w:val="center"/>
          </w:tcPr>
          <w:p w14:paraId="36008B2B" w14:textId="0348D7E0" w:rsidR="00544CCD" w:rsidRPr="00964A79" w:rsidRDefault="00544CCD" w:rsidP="0086767A">
            <w:pPr>
              <w:ind w:firstLine="0"/>
              <w:contextualSpacing/>
              <w:jc w:val="center"/>
              <w:rPr>
                <w:sz w:val="20"/>
                <w:szCs w:val="20"/>
              </w:rPr>
            </w:pPr>
            <w:r w:rsidRPr="00964A79">
              <w:rPr>
                <w:sz w:val="20"/>
                <w:szCs w:val="20"/>
              </w:rPr>
              <w:t>6 мес.</w:t>
            </w:r>
          </w:p>
        </w:tc>
        <w:tc>
          <w:tcPr>
            <w:tcW w:w="1701" w:type="dxa"/>
            <w:vAlign w:val="center"/>
          </w:tcPr>
          <w:p w14:paraId="4DE7C61D" w14:textId="5092114C" w:rsidR="00544CCD" w:rsidRPr="00964A79" w:rsidRDefault="00544CCD" w:rsidP="0086767A">
            <w:pPr>
              <w:ind w:firstLine="0"/>
              <w:contextualSpacing/>
              <w:jc w:val="center"/>
              <w:rPr>
                <w:sz w:val="20"/>
                <w:szCs w:val="20"/>
                <w:lang w:val="en-US"/>
              </w:rPr>
            </w:pPr>
            <w:r w:rsidRPr="00964A79">
              <w:rPr>
                <w:sz w:val="20"/>
                <w:szCs w:val="20"/>
                <w:lang w:val="en-US"/>
              </w:rPr>
              <w:t>&lt; 1</w:t>
            </w:r>
            <w:r w:rsidR="008758B0" w:rsidRPr="00964A79">
              <w:rPr>
                <w:sz w:val="20"/>
                <w:szCs w:val="20"/>
                <w:lang w:val="en-US"/>
              </w:rPr>
              <w:t xml:space="preserve"> (</w:t>
            </w:r>
            <w:r w:rsidR="008758B0" w:rsidRPr="00964A79">
              <w:rPr>
                <w:sz w:val="20"/>
                <w:szCs w:val="20"/>
              </w:rPr>
              <w:t>самцы</w:t>
            </w:r>
            <w:r w:rsidR="008758B0" w:rsidRPr="00964A79">
              <w:rPr>
                <w:sz w:val="20"/>
                <w:szCs w:val="20"/>
                <w:lang w:val="en-US"/>
              </w:rPr>
              <w:t>)</w:t>
            </w:r>
          </w:p>
        </w:tc>
        <w:tc>
          <w:tcPr>
            <w:tcW w:w="2126" w:type="dxa"/>
            <w:vAlign w:val="center"/>
          </w:tcPr>
          <w:p w14:paraId="4FA82A0A" w14:textId="6ACA42A3" w:rsidR="00544CCD" w:rsidRPr="00964A79" w:rsidRDefault="00863E58" w:rsidP="0086767A">
            <w:pPr>
              <w:ind w:firstLine="0"/>
              <w:contextualSpacing/>
              <w:jc w:val="center"/>
              <w:rPr>
                <w:sz w:val="20"/>
                <w:szCs w:val="20"/>
              </w:rPr>
            </w:pPr>
            <w:r w:rsidRPr="00964A79">
              <w:rPr>
                <w:sz w:val="20"/>
                <w:szCs w:val="20"/>
              </w:rPr>
              <w:t>217</w:t>
            </w:r>
          </w:p>
        </w:tc>
        <w:tc>
          <w:tcPr>
            <w:tcW w:w="2126" w:type="dxa"/>
            <w:vAlign w:val="center"/>
          </w:tcPr>
          <w:p w14:paraId="0161A3DE" w14:textId="59227378" w:rsidR="00544CCD" w:rsidRPr="00964A79" w:rsidRDefault="00E72653" w:rsidP="0086767A">
            <w:pPr>
              <w:ind w:firstLine="0"/>
              <w:contextualSpacing/>
              <w:jc w:val="center"/>
              <w:rPr>
                <w:sz w:val="20"/>
                <w:szCs w:val="20"/>
              </w:rPr>
            </w:pPr>
            <w:r w:rsidRPr="00964A79">
              <w:rPr>
                <w:sz w:val="20"/>
                <w:szCs w:val="20"/>
              </w:rPr>
              <w:t>96</w:t>
            </w:r>
          </w:p>
        </w:tc>
        <w:tc>
          <w:tcPr>
            <w:tcW w:w="1276" w:type="dxa"/>
            <w:vAlign w:val="center"/>
          </w:tcPr>
          <w:p w14:paraId="19D83426" w14:textId="35AF1DE8" w:rsidR="00544CCD" w:rsidRPr="00964A79" w:rsidRDefault="00E72653" w:rsidP="0086767A">
            <w:pPr>
              <w:ind w:firstLine="0"/>
              <w:contextualSpacing/>
              <w:jc w:val="center"/>
              <w:rPr>
                <w:sz w:val="20"/>
                <w:szCs w:val="20"/>
              </w:rPr>
            </w:pPr>
            <w:r w:rsidRPr="00964A79">
              <w:rPr>
                <w:sz w:val="20"/>
                <w:szCs w:val="20"/>
              </w:rPr>
              <w:t>0,7</w:t>
            </w:r>
          </w:p>
        </w:tc>
        <w:tc>
          <w:tcPr>
            <w:tcW w:w="709" w:type="dxa"/>
            <w:vAlign w:val="center"/>
          </w:tcPr>
          <w:p w14:paraId="165547A3" w14:textId="7E503C93" w:rsidR="00544CCD" w:rsidRPr="00964A79" w:rsidRDefault="00FD11E7" w:rsidP="0086767A">
            <w:pPr>
              <w:ind w:firstLine="0"/>
              <w:contextualSpacing/>
              <w:jc w:val="center"/>
              <w:rPr>
                <w:sz w:val="20"/>
                <w:szCs w:val="20"/>
              </w:rPr>
            </w:pPr>
            <w:r w:rsidRPr="00964A79">
              <w:rPr>
                <w:sz w:val="20"/>
                <w:szCs w:val="20"/>
              </w:rPr>
              <w:t>2,7</w:t>
            </w:r>
          </w:p>
        </w:tc>
      </w:tr>
      <w:tr w:rsidR="00544CCD" w:rsidRPr="00964A79" w14:paraId="19A9D4FA" w14:textId="77777777" w:rsidTr="0086767A">
        <w:trPr>
          <w:trHeight w:val="281"/>
        </w:trPr>
        <w:tc>
          <w:tcPr>
            <w:tcW w:w="2514" w:type="dxa"/>
            <w:vMerge/>
            <w:vAlign w:val="center"/>
          </w:tcPr>
          <w:p w14:paraId="149038DF" w14:textId="77777777" w:rsidR="00544CCD" w:rsidRPr="00964A79" w:rsidRDefault="00544CCD" w:rsidP="0040049C">
            <w:pPr>
              <w:ind w:firstLine="0"/>
              <w:contextualSpacing/>
              <w:rPr>
                <w:sz w:val="20"/>
                <w:szCs w:val="20"/>
              </w:rPr>
            </w:pPr>
          </w:p>
        </w:tc>
        <w:tc>
          <w:tcPr>
            <w:tcW w:w="1426" w:type="dxa"/>
            <w:vMerge/>
            <w:vAlign w:val="center"/>
          </w:tcPr>
          <w:p w14:paraId="7BE287B8" w14:textId="77777777" w:rsidR="00544CCD" w:rsidRPr="00964A79" w:rsidRDefault="00544CCD" w:rsidP="0040049C">
            <w:pPr>
              <w:ind w:firstLine="0"/>
              <w:contextualSpacing/>
              <w:rPr>
                <w:sz w:val="20"/>
                <w:szCs w:val="20"/>
              </w:rPr>
            </w:pPr>
          </w:p>
        </w:tc>
        <w:tc>
          <w:tcPr>
            <w:tcW w:w="2553" w:type="dxa"/>
            <w:vMerge/>
            <w:vAlign w:val="center"/>
          </w:tcPr>
          <w:p w14:paraId="3C7D8D56" w14:textId="77777777" w:rsidR="00544CCD" w:rsidRPr="00964A79" w:rsidRDefault="00544CCD" w:rsidP="0086767A">
            <w:pPr>
              <w:ind w:firstLine="0"/>
              <w:contextualSpacing/>
              <w:jc w:val="center"/>
              <w:rPr>
                <w:sz w:val="20"/>
                <w:szCs w:val="20"/>
              </w:rPr>
            </w:pPr>
          </w:p>
        </w:tc>
        <w:tc>
          <w:tcPr>
            <w:tcW w:w="1701" w:type="dxa"/>
            <w:vAlign w:val="center"/>
          </w:tcPr>
          <w:p w14:paraId="37A400DF" w14:textId="21694A93" w:rsidR="00544CCD" w:rsidRPr="00964A79" w:rsidRDefault="008758B0" w:rsidP="0086767A">
            <w:pPr>
              <w:ind w:firstLine="0"/>
              <w:contextualSpacing/>
              <w:jc w:val="center"/>
              <w:rPr>
                <w:sz w:val="20"/>
                <w:szCs w:val="20"/>
              </w:rPr>
            </w:pPr>
            <w:r w:rsidRPr="00964A79">
              <w:rPr>
                <w:sz w:val="20"/>
                <w:szCs w:val="20"/>
                <w:lang w:val="en-US"/>
              </w:rPr>
              <w:t>&lt; 1 (</w:t>
            </w:r>
            <w:r w:rsidRPr="00964A79">
              <w:rPr>
                <w:sz w:val="20"/>
                <w:szCs w:val="20"/>
              </w:rPr>
              <w:t>самки</w:t>
            </w:r>
            <w:r w:rsidRPr="00964A79">
              <w:rPr>
                <w:sz w:val="20"/>
                <w:szCs w:val="20"/>
                <w:lang w:val="en-US"/>
              </w:rPr>
              <w:t>)</w:t>
            </w:r>
          </w:p>
        </w:tc>
        <w:tc>
          <w:tcPr>
            <w:tcW w:w="2126" w:type="dxa"/>
            <w:vAlign w:val="center"/>
          </w:tcPr>
          <w:p w14:paraId="29C242AE" w14:textId="68CA652A" w:rsidR="00544CCD" w:rsidRPr="00964A79" w:rsidRDefault="00863E58" w:rsidP="0086767A">
            <w:pPr>
              <w:ind w:firstLine="0"/>
              <w:contextualSpacing/>
              <w:jc w:val="center"/>
              <w:rPr>
                <w:sz w:val="20"/>
                <w:szCs w:val="20"/>
              </w:rPr>
            </w:pPr>
            <w:r w:rsidRPr="00964A79">
              <w:rPr>
                <w:sz w:val="20"/>
                <w:szCs w:val="20"/>
              </w:rPr>
              <w:t>604</w:t>
            </w:r>
          </w:p>
        </w:tc>
        <w:tc>
          <w:tcPr>
            <w:tcW w:w="2126" w:type="dxa"/>
            <w:vAlign w:val="center"/>
          </w:tcPr>
          <w:p w14:paraId="1C84D49F" w14:textId="33B30827" w:rsidR="00544CCD" w:rsidRPr="00964A79" w:rsidRDefault="00E72653" w:rsidP="0086767A">
            <w:pPr>
              <w:ind w:firstLine="0"/>
              <w:contextualSpacing/>
              <w:jc w:val="center"/>
              <w:rPr>
                <w:sz w:val="20"/>
                <w:szCs w:val="20"/>
              </w:rPr>
            </w:pPr>
            <w:r w:rsidRPr="00964A79">
              <w:rPr>
                <w:sz w:val="20"/>
                <w:szCs w:val="20"/>
              </w:rPr>
              <w:t>324</w:t>
            </w:r>
          </w:p>
        </w:tc>
        <w:tc>
          <w:tcPr>
            <w:tcW w:w="1276" w:type="dxa"/>
            <w:vAlign w:val="center"/>
          </w:tcPr>
          <w:p w14:paraId="2EDD8F36" w14:textId="2B2A03A3" w:rsidR="00544CCD" w:rsidRPr="00964A79" w:rsidRDefault="00E72653" w:rsidP="0086767A">
            <w:pPr>
              <w:ind w:firstLine="0"/>
              <w:contextualSpacing/>
              <w:jc w:val="center"/>
              <w:rPr>
                <w:sz w:val="20"/>
                <w:szCs w:val="20"/>
              </w:rPr>
            </w:pPr>
            <w:r w:rsidRPr="00964A79">
              <w:rPr>
                <w:sz w:val="20"/>
                <w:szCs w:val="20"/>
              </w:rPr>
              <w:t>2,0</w:t>
            </w:r>
          </w:p>
        </w:tc>
        <w:tc>
          <w:tcPr>
            <w:tcW w:w="709" w:type="dxa"/>
            <w:vAlign w:val="center"/>
          </w:tcPr>
          <w:p w14:paraId="04CBCDFB" w14:textId="65C6C27C" w:rsidR="00544CCD" w:rsidRPr="00964A79" w:rsidRDefault="00FD11E7" w:rsidP="0086767A">
            <w:pPr>
              <w:ind w:firstLine="0"/>
              <w:contextualSpacing/>
              <w:jc w:val="center"/>
              <w:rPr>
                <w:sz w:val="20"/>
                <w:szCs w:val="20"/>
              </w:rPr>
            </w:pPr>
            <w:r w:rsidRPr="00964A79">
              <w:rPr>
                <w:sz w:val="20"/>
                <w:szCs w:val="20"/>
              </w:rPr>
              <w:t>9</w:t>
            </w:r>
          </w:p>
        </w:tc>
      </w:tr>
      <w:tr w:rsidR="00544CCD" w:rsidRPr="00964A79" w14:paraId="3C56FCD2" w14:textId="77777777" w:rsidTr="0086767A">
        <w:tc>
          <w:tcPr>
            <w:tcW w:w="2514" w:type="dxa"/>
            <w:vMerge/>
            <w:vAlign w:val="center"/>
          </w:tcPr>
          <w:p w14:paraId="724960F5" w14:textId="77777777" w:rsidR="00544CCD" w:rsidRPr="00964A79" w:rsidRDefault="00544CCD" w:rsidP="0040049C">
            <w:pPr>
              <w:ind w:firstLine="0"/>
              <w:contextualSpacing/>
              <w:rPr>
                <w:sz w:val="20"/>
                <w:szCs w:val="20"/>
              </w:rPr>
            </w:pPr>
          </w:p>
        </w:tc>
        <w:tc>
          <w:tcPr>
            <w:tcW w:w="1426" w:type="dxa"/>
            <w:vAlign w:val="center"/>
          </w:tcPr>
          <w:p w14:paraId="041983CE" w14:textId="0752F24D" w:rsidR="00544CCD" w:rsidRPr="00964A79" w:rsidRDefault="00544CCD" w:rsidP="0040049C">
            <w:pPr>
              <w:ind w:firstLine="0"/>
              <w:contextualSpacing/>
              <w:rPr>
                <w:sz w:val="20"/>
                <w:szCs w:val="20"/>
              </w:rPr>
            </w:pPr>
            <w:r w:rsidRPr="00964A79">
              <w:rPr>
                <w:sz w:val="20"/>
                <w:szCs w:val="20"/>
              </w:rPr>
              <w:t>Мыши</w:t>
            </w:r>
          </w:p>
        </w:tc>
        <w:tc>
          <w:tcPr>
            <w:tcW w:w="2553" w:type="dxa"/>
            <w:vAlign w:val="center"/>
          </w:tcPr>
          <w:p w14:paraId="61E21F6B" w14:textId="3FA74F31" w:rsidR="00544CCD" w:rsidRPr="00964A79" w:rsidRDefault="00544CCD" w:rsidP="0086767A">
            <w:pPr>
              <w:ind w:firstLine="0"/>
              <w:contextualSpacing/>
              <w:jc w:val="center"/>
              <w:rPr>
                <w:sz w:val="20"/>
                <w:szCs w:val="20"/>
              </w:rPr>
            </w:pPr>
            <w:r w:rsidRPr="00964A79">
              <w:rPr>
                <w:sz w:val="20"/>
                <w:szCs w:val="20"/>
              </w:rPr>
              <w:t>39 недель</w:t>
            </w:r>
          </w:p>
        </w:tc>
        <w:tc>
          <w:tcPr>
            <w:tcW w:w="1701" w:type="dxa"/>
            <w:vAlign w:val="center"/>
          </w:tcPr>
          <w:p w14:paraId="3ADC44CE" w14:textId="4BEC0C42" w:rsidR="00544CCD" w:rsidRPr="00964A79" w:rsidRDefault="00863E58" w:rsidP="0086767A">
            <w:pPr>
              <w:ind w:firstLine="0"/>
              <w:contextualSpacing/>
              <w:jc w:val="center"/>
              <w:rPr>
                <w:sz w:val="20"/>
                <w:szCs w:val="20"/>
              </w:rPr>
            </w:pPr>
            <w:r w:rsidRPr="00964A79">
              <w:rPr>
                <w:sz w:val="20"/>
                <w:szCs w:val="20"/>
                <w:lang w:val="en-US"/>
              </w:rPr>
              <w:t xml:space="preserve">&lt; </w:t>
            </w:r>
            <w:r w:rsidRPr="00964A79">
              <w:rPr>
                <w:sz w:val="20"/>
                <w:szCs w:val="20"/>
              </w:rPr>
              <w:t>0,5</w:t>
            </w:r>
          </w:p>
        </w:tc>
        <w:tc>
          <w:tcPr>
            <w:tcW w:w="2126" w:type="dxa"/>
            <w:vAlign w:val="center"/>
          </w:tcPr>
          <w:p w14:paraId="2F48731F" w14:textId="396CB7F2" w:rsidR="00544CCD" w:rsidRPr="00964A79" w:rsidRDefault="00863E58" w:rsidP="0086767A">
            <w:pPr>
              <w:ind w:firstLine="0"/>
              <w:contextualSpacing/>
              <w:jc w:val="center"/>
              <w:rPr>
                <w:sz w:val="20"/>
                <w:szCs w:val="20"/>
              </w:rPr>
            </w:pPr>
            <w:r w:rsidRPr="00964A79">
              <w:rPr>
                <w:sz w:val="20"/>
                <w:szCs w:val="20"/>
              </w:rPr>
              <w:t>25,6</w:t>
            </w:r>
          </w:p>
        </w:tc>
        <w:tc>
          <w:tcPr>
            <w:tcW w:w="2126" w:type="dxa"/>
            <w:vAlign w:val="center"/>
          </w:tcPr>
          <w:p w14:paraId="09752F67" w14:textId="66FBBEDF" w:rsidR="00544CCD" w:rsidRPr="00964A79" w:rsidRDefault="00E72653" w:rsidP="0086767A">
            <w:pPr>
              <w:ind w:firstLine="0"/>
              <w:contextualSpacing/>
              <w:jc w:val="center"/>
              <w:rPr>
                <w:sz w:val="20"/>
                <w:szCs w:val="20"/>
              </w:rPr>
            </w:pPr>
            <w:r w:rsidRPr="00964A79">
              <w:rPr>
                <w:sz w:val="20"/>
                <w:szCs w:val="20"/>
              </w:rPr>
              <w:t>12,9</w:t>
            </w:r>
          </w:p>
        </w:tc>
        <w:tc>
          <w:tcPr>
            <w:tcW w:w="1276" w:type="dxa"/>
            <w:vAlign w:val="center"/>
          </w:tcPr>
          <w:p w14:paraId="6FA82C4D" w14:textId="0EF57F64" w:rsidR="00544CCD" w:rsidRPr="00964A79" w:rsidRDefault="00E72653" w:rsidP="0086767A">
            <w:pPr>
              <w:ind w:firstLine="0"/>
              <w:contextualSpacing/>
              <w:jc w:val="center"/>
              <w:rPr>
                <w:sz w:val="20"/>
                <w:szCs w:val="20"/>
              </w:rPr>
            </w:pPr>
            <w:r w:rsidRPr="00964A79">
              <w:rPr>
                <w:sz w:val="20"/>
                <w:szCs w:val="20"/>
              </w:rPr>
              <w:t>0,16</w:t>
            </w:r>
          </w:p>
        </w:tc>
        <w:tc>
          <w:tcPr>
            <w:tcW w:w="709" w:type="dxa"/>
            <w:vAlign w:val="center"/>
          </w:tcPr>
          <w:p w14:paraId="21B8746B" w14:textId="13871264" w:rsidR="00544CCD" w:rsidRPr="00964A79" w:rsidRDefault="00FD11E7" w:rsidP="0086767A">
            <w:pPr>
              <w:ind w:firstLine="0"/>
              <w:contextualSpacing/>
              <w:jc w:val="center"/>
              <w:rPr>
                <w:sz w:val="20"/>
                <w:szCs w:val="20"/>
              </w:rPr>
            </w:pPr>
            <w:r w:rsidRPr="00964A79">
              <w:rPr>
                <w:sz w:val="20"/>
                <w:szCs w:val="20"/>
              </w:rPr>
              <w:t>0,4</w:t>
            </w:r>
          </w:p>
        </w:tc>
      </w:tr>
      <w:tr w:rsidR="00A22A67" w:rsidRPr="00964A79" w14:paraId="2A1C7551" w14:textId="77777777" w:rsidTr="0086767A">
        <w:trPr>
          <w:trHeight w:val="281"/>
        </w:trPr>
        <w:tc>
          <w:tcPr>
            <w:tcW w:w="2514" w:type="dxa"/>
            <w:vMerge w:val="restart"/>
            <w:vAlign w:val="center"/>
          </w:tcPr>
          <w:p w14:paraId="702DD6DC" w14:textId="7DC96474" w:rsidR="00A22A67" w:rsidRPr="00964A79" w:rsidRDefault="00A22A67" w:rsidP="0040049C">
            <w:pPr>
              <w:ind w:firstLine="0"/>
              <w:contextualSpacing/>
              <w:rPr>
                <w:sz w:val="20"/>
                <w:szCs w:val="20"/>
              </w:rPr>
            </w:pPr>
            <w:r w:rsidRPr="00964A79">
              <w:rPr>
                <w:sz w:val="20"/>
                <w:szCs w:val="20"/>
              </w:rPr>
              <w:t>Канцерогенность</w:t>
            </w:r>
          </w:p>
        </w:tc>
        <w:tc>
          <w:tcPr>
            <w:tcW w:w="1426" w:type="dxa"/>
            <w:vMerge w:val="restart"/>
            <w:vAlign w:val="center"/>
          </w:tcPr>
          <w:p w14:paraId="29989635" w14:textId="7D26D1E7" w:rsidR="00A22A67" w:rsidRPr="00964A79" w:rsidRDefault="00A22A67" w:rsidP="0040049C">
            <w:pPr>
              <w:ind w:firstLine="0"/>
              <w:contextualSpacing/>
              <w:rPr>
                <w:sz w:val="20"/>
                <w:szCs w:val="20"/>
              </w:rPr>
            </w:pPr>
            <w:r w:rsidRPr="00964A79">
              <w:rPr>
                <w:sz w:val="20"/>
                <w:szCs w:val="20"/>
              </w:rPr>
              <w:t>Крысы</w:t>
            </w:r>
          </w:p>
        </w:tc>
        <w:tc>
          <w:tcPr>
            <w:tcW w:w="2553" w:type="dxa"/>
            <w:vMerge w:val="restart"/>
            <w:vAlign w:val="center"/>
          </w:tcPr>
          <w:p w14:paraId="5DC73277" w14:textId="22FBECD6" w:rsidR="00A22A67" w:rsidRPr="00964A79" w:rsidRDefault="00A22A67" w:rsidP="0086767A">
            <w:pPr>
              <w:ind w:firstLine="0"/>
              <w:contextualSpacing/>
              <w:jc w:val="center"/>
              <w:rPr>
                <w:sz w:val="20"/>
                <w:szCs w:val="20"/>
              </w:rPr>
            </w:pPr>
            <w:r w:rsidRPr="00964A79">
              <w:rPr>
                <w:sz w:val="20"/>
                <w:szCs w:val="20"/>
              </w:rPr>
              <w:t>2 года</w:t>
            </w:r>
          </w:p>
        </w:tc>
        <w:tc>
          <w:tcPr>
            <w:tcW w:w="1701" w:type="dxa"/>
            <w:vAlign w:val="center"/>
          </w:tcPr>
          <w:p w14:paraId="3DE7D673" w14:textId="6A19B7D0" w:rsidR="00A22A67" w:rsidRPr="00964A79" w:rsidRDefault="00A22A67" w:rsidP="0086767A">
            <w:pPr>
              <w:ind w:firstLine="0"/>
              <w:contextualSpacing/>
              <w:jc w:val="center"/>
              <w:rPr>
                <w:sz w:val="20"/>
                <w:szCs w:val="20"/>
              </w:rPr>
            </w:pPr>
            <w:r w:rsidRPr="00964A79">
              <w:rPr>
                <w:sz w:val="20"/>
                <w:szCs w:val="20"/>
                <w:lang w:val="en-US"/>
              </w:rPr>
              <w:t xml:space="preserve">&lt; 10 </w:t>
            </w:r>
            <w:r w:rsidRPr="00964A79">
              <w:rPr>
                <w:sz w:val="20"/>
                <w:szCs w:val="20"/>
              </w:rPr>
              <w:t>(самцы)</w:t>
            </w:r>
          </w:p>
        </w:tc>
        <w:tc>
          <w:tcPr>
            <w:tcW w:w="2126" w:type="dxa"/>
            <w:vAlign w:val="center"/>
          </w:tcPr>
          <w:p w14:paraId="021ABDBE" w14:textId="2287794A" w:rsidR="00A22A67" w:rsidRPr="00964A79" w:rsidRDefault="000F3766" w:rsidP="0086767A">
            <w:pPr>
              <w:ind w:firstLine="0"/>
              <w:contextualSpacing/>
              <w:jc w:val="center"/>
              <w:rPr>
                <w:sz w:val="20"/>
                <w:szCs w:val="20"/>
              </w:rPr>
            </w:pPr>
            <w:r w:rsidRPr="00964A79">
              <w:rPr>
                <w:sz w:val="20"/>
                <w:szCs w:val="20"/>
              </w:rPr>
              <w:t>3298</w:t>
            </w:r>
          </w:p>
        </w:tc>
        <w:tc>
          <w:tcPr>
            <w:tcW w:w="2126" w:type="dxa"/>
            <w:vAlign w:val="center"/>
          </w:tcPr>
          <w:p w14:paraId="56EDCBD5" w14:textId="02B4B033" w:rsidR="00A22A67" w:rsidRPr="00964A79" w:rsidRDefault="000C66C9" w:rsidP="0086767A">
            <w:pPr>
              <w:ind w:firstLine="0"/>
              <w:contextualSpacing/>
              <w:jc w:val="center"/>
              <w:rPr>
                <w:sz w:val="20"/>
                <w:szCs w:val="20"/>
              </w:rPr>
            </w:pPr>
            <w:r w:rsidRPr="00964A79">
              <w:rPr>
                <w:sz w:val="20"/>
                <w:szCs w:val="20"/>
              </w:rPr>
              <w:t>1360</w:t>
            </w:r>
          </w:p>
        </w:tc>
        <w:tc>
          <w:tcPr>
            <w:tcW w:w="1276" w:type="dxa"/>
            <w:vAlign w:val="center"/>
          </w:tcPr>
          <w:p w14:paraId="7BB191DB" w14:textId="22818117" w:rsidR="00A22A67" w:rsidRPr="00964A79" w:rsidRDefault="0050754C" w:rsidP="0086767A">
            <w:pPr>
              <w:ind w:firstLine="0"/>
              <w:contextualSpacing/>
              <w:jc w:val="center"/>
              <w:rPr>
                <w:sz w:val="20"/>
                <w:szCs w:val="20"/>
              </w:rPr>
            </w:pPr>
            <w:r w:rsidRPr="00964A79">
              <w:rPr>
                <w:sz w:val="20"/>
                <w:szCs w:val="20"/>
              </w:rPr>
              <w:t>10,6</w:t>
            </w:r>
          </w:p>
        </w:tc>
        <w:tc>
          <w:tcPr>
            <w:tcW w:w="709" w:type="dxa"/>
            <w:vAlign w:val="center"/>
          </w:tcPr>
          <w:p w14:paraId="6635697B" w14:textId="066DC130" w:rsidR="00A22A67" w:rsidRPr="00964A79" w:rsidRDefault="004664F5" w:rsidP="0086767A">
            <w:pPr>
              <w:ind w:firstLine="0"/>
              <w:contextualSpacing/>
              <w:jc w:val="center"/>
              <w:rPr>
                <w:sz w:val="20"/>
                <w:szCs w:val="20"/>
              </w:rPr>
            </w:pPr>
            <w:r w:rsidRPr="00964A79">
              <w:rPr>
                <w:sz w:val="20"/>
                <w:szCs w:val="20"/>
              </w:rPr>
              <w:t>38,8</w:t>
            </w:r>
          </w:p>
        </w:tc>
      </w:tr>
      <w:tr w:rsidR="00A22A67" w:rsidRPr="00964A79" w14:paraId="52E12489" w14:textId="77777777" w:rsidTr="0086767A">
        <w:trPr>
          <w:trHeight w:val="281"/>
        </w:trPr>
        <w:tc>
          <w:tcPr>
            <w:tcW w:w="2514" w:type="dxa"/>
            <w:vMerge/>
            <w:vAlign w:val="center"/>
          </w:tcPr>
          <w:p w14:paraId="2173D6A9" w14:textId="77777777" w:rsidR="00A22A67" w:rsidRPr="00964A79" w:rsidRDefault="00A22A67" w:rsidP="0040049C">
            <w:pPr>
              <w:ind w:firstLine="0"/>
              <w:contextualSpacing/>
              <w:rPr>
                <w:sz w:val="20"/>
                <w:szCs w:val="20"/>
              </w:rPr>
            </w:pPr>
          </w:p>
        </w:tc>
        <w:tc>
          <w:tcPr>
            <w:tcW w:w="1426" w:type="dxa"/>
            <w:vMerge/>
            <w:vAlign w:val="center"/>
          </w:tcPr>
          <w:p w14:paraId="73FED67A" w14:textId="77777777" w:rsidR="00A22A67" w:rsidRPr="00964A79" w:rsidRDefault="00A22A67" w:rsidP="0040049C">
            <w:pPr>
              <w:ind w:firstLine="0"/>
              <w:contextualSpacing/>
              <w:rPr>
                <w:sz w:val="20"/>
                <w:szCs w:val="20"/>
              </w:rPr>
            </w:pPr>
          </w:p>
        </w:tc>
        <w:tc>
          <w:tcPr>
            <w:tcW w:w="2553" w:type="dxa"/>
            <w:vMerge/>
            <w:vAlign w:val="center"/>
          </w:tcPr>
          <w:p w14:paraId="1276F24C" w14:textId="77777777" w:rsidR="00A22A67" w:rsidRPr="00964A79" w:rsidRDefault="00A22A67" w:rsidP="0086767A">
            <w:pPr>
              <w:ind w:firstLine="0"/>
              <w:contextualSpacing/>
              <w:jc w:val="center"/>
              <w:rPr>
                <w:sz w:val="20"/>
                <w:szCs w:val="20"/>
              </w:rPr>
            </w:pPr>
          </w:p>
        </w:tc>
        <w:tc>
          <w:tcPr>
            <w:tcW w:w="1701" w:type="dxa"/>
            <w:vAlign w:val="center"/>
          </w:tcPr>
          <w:p w14:paraId="7839F757" w14:textId="3CFFAFA9" w:rsidR="00A22A67" w:rsidRPr="00964A79" w:rsidRDefault="00A22A67" w:rsidP="0086767A">
            <w:pPr>
              <w:ind w:firstLine="0"/>
              <w:contextualSpacing/>
              <w:jc w:val="center"/>
              <w:rPr>
                <w:sz w:val="20"/>
                <w:szCs w:val="20"/>
              </w:rPr>
            </w:pPr>
            <w:r w:rsidRPr="00964A79">
              <w:rPr>
                <w:sz w:val="20"/>
                <w:szCs w:val="20"/>
              </w:rPr>
              <w:t>10 (самки)</w:t>
            </w:r>
          </w:p>
        </w:tc>
        <w:tc>
          <w:tcPr>
            <w:tcW w:w="2126" w:type="dxa"/>
            <w:vAlign w:val="center"/>
          </w:tcPr>
          <w:p w14:paraId="62D2CB79" w14:textId="147912F1" w:rsidR="00A22A67" w:rsidRPr="00964A79" w:rsidRDefault="000F3766" w:rsidP="0086767A">
            <w:pPr>
              <w:ind w:firstLine="0"/>
              <w:contextualSpacing/>
              <w:jc w:val="center"/>
              <w:rPr>
                <w:sz w:val="20"/>
                <w:szCs w:val="20"/>
              </w:rPr>
            </w:pPr>
            <w:r w:rsidRPr="00964A79">
              <w:rPr>
                <w:sz w:val="20"/>
                <w:szCs w:val="20"/>
              </w:rPr>
              <w:t>6672</w:t>
            </w:r>
          </w:p>
        </w:tc>
        <w:tc>
          <w:tcPr>
            <w:tcW w:w="2126" w:type="dxa"/>
            <w:vAlign w:val="center"/>
          </w:tcPr>
          <w:p w14:paraId="4BD4DF5C" w14:textId="57C7AAE1" w:rsidR="00A22A67" w:rsidRPr="00964A79" w:rsidRDefault="000C66C9" w:rsidP="0086767A">
            <w:pPr>
              <w:ind w:firstLine="0"/>
              <w:contextualSpacing/>
              <w:jc w:val="center"/>
              <w:rPr>
                <w:sz w:val="20"/>
                <w:szCs w:val="20"/>
              </w:rPr>
            </w:pPr>
            <w:r w:rsidRPr="00964A79">
              <w:rPr>
                <w:sz w:val="20"/>
                <w:szCs w:val="20"/>
              </w:rPr>
              <w:t>2414</w:t>
            </w:r>
          </w:p>
        </w:tc>
        <w:tc>
          <w:tcPr>
            <w:tcW w:w="1276" w:type="dxa"/>
            <w:vAlign w:val="center"/>
          </w:tcPr>
          <w:p w14:paraId="4089B6AC" w14:textId="04F7EDBF" w:rsidR="00A22A67" w:rsidRPr="00964A79" w:rsidRDefault="0050754C" w:rsidP="0086767A">
            <w:pPr>
              <w:ind w:firstLine="0"/>
              <w:contextualSpacing/>
              <w:jc w:val="center"/>
              <w:rPr>
                <w:sz w:val="20"/>
                <w:szCs w:val="20"/>
              </w:rPr>
            </w:pPr>
            <w:r w:rsidRPr="00964A79">
              <w:rPr>
                <w:sz w:val="20"/>
                <w:szCs w:val="20"/>
              </w:rPr>
              <w:t>21,5</w:t>
            </w:r>
          </w:p>
        </w:tc>
        <w:tc>
          <w:tcPr>
            <w:tcW w:w="709" w:type="dxa"/>
            <w:vAlign w:val="center"/>
          </w:tcPr>
          <w:p w14:paraId="7E31ADB0" w14:textId="0B76B7D4" w:rsidR="00A22A67" w:rsidRPr="00964A79" w:rsidRDefault="004664F5" w:rsidP="0086767A">
            <w:pPr>
              <w:ind w:firstLine="0"/>
              <w:contextualSpacing/>
              <w:jc w:val="center"/>
              <w:rPr>
                <w:sz w:val="20"/>
                <w:szCs w:val="20"/>
              </w:rPr>
            </w:pPr>
            <w:r w:rsidRPr="00964A79">
              <w:rPr>
                <w:sz w:val="20"/>
                <w:szCs w:val="20"/>
              </w:rPr>
              <w:t>68</w:t>
            </w:r>
          </w:p>
        </w:tc>
      </w:tr>
      <w:tr w:rsidR="00A22A67" w:rsidRPr="00964A79" w14:paraId="5985D8D5" w14:textId="77777777" w:rsidTr="0086767A">
        <w:trPr>
          <w:trHeight w:val="281"/>
        </w:trPr>
        <w:tc>
          <w:tcPr>
            <w:tcW w:w="2514" w:type="dxa"/>
            <w:vMerge/>
            <w:vAlign w:val="center"/>
          </w:tcPr>
          <w:p w14:paraId="44BE3807" w14:textId="77777777" w:rsidR="00A22A67" w:rsidRPr="00964A79" w:rsidRDefault="00A22A67" w:rsidP="0040049C">
            <w:pPr>
              <w:ind w:firstLine="0"/>
              <w:contextualSpacing/>
              <w:rPr>
                <w:sz w:val="20"/>
                <w:szCs w:val="20"/>
              </w:rPr>
            </w:pPr>
          </w:p>
        </w:tc>
        <w:tc>
          <w:tcPr>
            <w:tcW w:w="1426" w:type="dxa"/>
            <w:vAlign w:val="center"/>
          </w:tcPr>
          <w:p w14:paraId="507843DA" w14:textId="4B55FB60" w:rsidR="00A22A67" w:rsidRPr="00964A79" w:rsidRDefault="00A22A67" w:rsidP="0040049C">
            <w:pPr>
              <w:ind w:firstLine="0"/>
              <w:contextualSpacing/>
              <w:rPr>
                <w:sz w:val="20"/>
                <w:szCs w:val="20"/>
              </w:rPr>
            </w:pPr>
            <w:r w:rsidRPr="00964A79">
              <w:rPr>
                <w:sz w:val="20"/>
                <w:szCs w:val="20"/>
              </w:rPr>
              <w:t>Мыши</w:t>
            </w:r>
          </w:p>
        </w:tc>
        <w:tc>
          <w:tcPr>
            <w:tcW w:w="2553" w:type="dxa"/>
            <w:vAlign w:val="center"/>
          </w:tcPr>
          <w:p w14:paraId="30CFDDD5" w14:textId="448962FC" w:rsidR="00A22A67" w:rsidRPr="00964A79" w:rsidRDefault="00A22A67" w:rsidP="0086767A">
            <w:pPr>
              <w:ind w:firstLine="0"/>
              <w:contextualSpacing/>
              <w:jc w:val="center"/>
              <w:rPr>
                <w:sz w:val="20"/>
                <w:szCs w:val="20"/>
              </w:rPr>
            </w:pPr>
            <w:r w:rsidRPr="00964A79">
              <w:rPr>
                <w:sz w:val="20"/>
                <w:szCs w:val="20"/>
              </w:rPr>
              <w:t>6 мес.</w:t>
            </w:r>
          </w:p>
        </w:tc>
        <w:tc>
          <w:tcPr>
            <w:tcW w:w="1701" w:type="dxa"/>
            <w:vAlign w:val="center"/>
          </w:tcPr>
          <w:p w14:paraId="317E13D7" w14:textId="6C6A35E7" w:rsidR="00A22A67" w:rsidRPr="00964A79" w:rsidRDefault="000F3766" w:rsidP="0086767A">
            <w:pPr>
              <w:ind w:firstLine="0"/>
              <w:contextualSpacing/>
              <w:jc w:val="center"/>
              <w:rPr>
                <w:sz w:val="20"/>
                <w:szCs w:val="20"/>
              </w:rPr>
            </w:pPr>
            <w:r w:rsidRPr="00964A79">
              <w:rPr>
                <w:sz w:val="20"/>
                <w:szCs w:val="20"/>
              </w:rPr>
              <w:t>200</w:t>
            </w:r>
          </w:p>
        </w:tc>
        <w:tc>
          <w:tcPr>
            <w:tcW w:w="2126" w:type="dxa"/>
            <w:vAlign w:val="center"/>
          </w:tcPr>
          <w:p w14:paraId="4CCBE251" w14:textId="6E14688A" w:rsidR="00A22A67" w:rsidRPr="00964A79" w:rsidRDefault="000F3766" w:rsidP="0086767A">
            <w:pPr>
              <w:ind w:firstLine="0"/>
              <w:contextualSpacing/>
              <w:jc w:val="center"/>
              <w:rPr>
                <w:sz w:val="20"/>
                <w:szCs w:val="20"/>
              </w:rPr>
            </w:pPr>
            <w:r w:rsidRPr="00964A79">
              <w:rPr>
                <w:sz w:val="20"/>
                <w:szCs w:val="20"/>
              </w:rPr>
              <w:t>11591</w:t>
            </w:r>
          </w:p>
        </w:tc>
        <w:tc>
          <w:tcPr>
            <w:tcW w:w="2126" w:type="dxa"/>
            <w:vAlign w:val="center"/>
          </w:tcPr>
          <w:p w14:paraId="44B614A4" w14:textId="3CFE358A" w:rsidR="00A22A67" w:rsidRPr="00964A79" w:rsidRDefault="000C66C9" w:rsidP="0086767A">
            <w:pPr>
              <w:ind w:firstLine="0"/>
              <w:contextualSpacing/>
              <w:jc w:val="center"/>
              <w:rPr>
                <w:sz w:val="20"/>
                <w:szCs w:val="20"/>
              </w:rPr>
            </w:pPr>
            <w:r w:rsidRPr="00964A79">
              <w:rPr>
                <w:sz w:val="20"/>
                <w:szCs w:val="20"/>
              </w:rPr>
              <w:t>3672</w:t>
            </w:r>
          </w:p>
        </w:tc>
        <w:tc>
          <w:tcPr>
            <w:tcW w:w="1276" w:type="dxa"/>
            <w:vAlign w:val="center"/>
          </w:tcPr>
          <w:p w14:paraId="1842C1E7" w14:textId="5A187A3C" w:rsidR="00A22A67" w:rsidRPr="00964A79" w:rsidRDefault="0050754C" w:rsidP="0086767A">
            <w:pPr>
              <w:ind w:firstLine="0"/>
              <w:contextualSpacing/>
              <w:jc w:val="center"/>
              <w:rPr>
                <w:sz w:val="20"/>
                <w:szCs w:val="20"/>
              </w:rPr>
            </w:pPr>
            <w:r w:rsidRPr="00964A79">
              <w:rPr>
                <w:sz w:val="20"/>
                <w:szCs w:val="20"/>
              </w:rPr>
              <w:t>37,4</w:t>
            </w:r>
          </w:p>
        </w:tc>
        <w:tc>
          <w:tcPr>
            <w:tcW w:w="709" w:type="dxa"/>
            <w:vAlign w:val="center"/>
          </w:tcPr>
          <w:p w14:paraId="54158B17" w14:textId="3C0D5247" w:rsidR="00A22A67" w:rsidRPr="00964A79" w:rsidRDefault="004664F5" w:rsidP="0086767A">
            <w:pPr>
              <w:ind w:firstLine="0"/>
              <w:contextualSpacing/>
              <w:jc w:val="center"/>
              <w:rPr>
                <w:sz w:val="20"/>
                <w:szCs w:val="20"/>
              </w:rPr>
            </w:pPr>
            <w:r w:rsidRPr="00964A79">
              <w:rPr>
                <w:sz w:val="20"/>
                <w:szCs w:val="20"/>
              </w:rPr>
              <w:t>104</w:t>
            </w:r>
          </w:p>
        </w:tc>
      </w:tr>
      <w:tr w:rsidR="00311853" w:rsidRPr="00964A79" w14:paraId="5F94708C" w14:textId="77777777" w:rsidTr="0086767A">
        <w:trPr>
          <w:trHeight w:val="281"/>
        </w:trPr>
        <w:tc>
          <w:tcPr>
            <w:tcW w:w="2514" w:type="dxa"/>
            <w:vMerge w:val="restart"/>
            <w:vAlign w:val="center"/>
          </w:tcPr>
          <w:p w14:paraId="20CD71E7" w14:textId="5C396EB5" w:rsidR="00311853" w:rsidRPr="00964A79" w:rsidRDefault="00311853" w:rsidP="0040049C">
            <w:pPr>
              <w:ind w:firstLine="0"/>
              <w:contextualSpacing/>
              <w:rPr>
                <w:sz w:val="20"/>
                <w:szCs w:val="20"/>
              </w:rPr>
            </w:pPr>
            <w:r w:rsidRPr="00964A79">
              <w:rPr>
                <w:sz w:val="20"/>
                <w:szCs w:val="20"/>
              </w:rPr>
              <w:t>Репродуктивная токсичность</w:t>
            </w:r>
          </w:p>
        </w:tc>
        <w:tc>
          <w:tcPr>
            <w:tcW w:w="1426" w:type="dxa"/>
            <w:vMerge w:val="restart"/>
            <w:vAlign w:val="center"/>
          </w:tcPr>
          <w:p w14:paraId="04977DB8" w14:textId="2F215F85" w:rsidR="00311853" w:rsidRPr="00964A79" w:rsidRDefault="00311853" w:rsidP="0040049C">
            <w:pPr>
              <w:ind w:firstLine="0"/>
              <w:contextualSpacing/>
              <w:rPr>
                <w:sz w:val="20"/>
                <w:szCs w:val="20"/>
              </w:rPr>
            </w:pPr>
            <w:r w:rsidRPr="00964A79">
              <w:rPr>
                <w:sz w:val="20"/>
                <w:szCs w:val="20"/>
              </w:rPr>
              <w:t>Крысы</w:t>
            </w:r>
          </w:p>
        </w:tc>
        <w:tc>
          <w:tcPr>
            <w:tcW w:w="2553" w:type="dxa"/>
            <w:vMerge w:val="restart"/>
            <w:vAlign w:val="center"/>
          </w:tcPr>
          <w:p w14:paraId="42BEA44E" w14:textId="2DB1D287" w:rsidR="00311853" w:rsidRPr="00964A79" w:rsidRDefault="00311853" w:rsidP="0086767A">
            <w:pPr>
              <w:ind w:firstLine="0"/>
              <w:contextualSpacing/>
              <w:jc w:val="center"/>
              <w:rPr>
                <w:sz w:val="20"/>
                <w:szCs w:val="20"/>
              </w:rPr>
            </w:pPr>
            <w:r w:rsidRPr="00964A79">
              <w:rPr>
                <w:sz w:val="20"/>
                <w:szCs w:val="20"/>
              </w:rPr>
              <w:t>Фертильность</w:t>
            </w:r>
          </w:p>
        </w:tc>
        <w:tc>
          <w:tcPr>
            <w:tcW w:w="1701" w:type="dxa"/>
            <w:vAlign w:val="center"/>
          </w:tcPr>
          <w:p w14:paraId="26B22179" w14:textId="15C621A7" w:rsidR="00311853" w:rsidRPr="00964A79" w:rsidRDefault="00311853" w:rsidP="0086767A">
            <w:pPr>
              <w:ind w:firstLine="0"/>
              <w:contextualSpacing/>
              <w:jc w:val="center"/>
              <w:rPr>
                <w:sz w:val="20"/>
                <w:szCs w:val="20"/>
                <w:lang w:val="en-US"/>
              </w:rPr>
            </w:pPr>
            <w:r w:rsidRPr="00964A79">
              <w:rPr>
                <w:sz w:val="20"/>
                <w:szCs w:val="20"/>
                <w:lang w:val="en-US"/>
              </w:rPr>
              <w:t>100 (</w:t>
            </w:r>
            <w:r w:rsidRPr="00964A79">
              <w:rPr>
                <w:sz w:val="20"/>
                <w:szCs w:val="20"/>
              </w:rPr>
              <w:t>самцы</w:t>
            </w:r>
            <w:r w:rsidRPr="00964A79">
              <w:rPr>
                <w:sz w:val="20"/>
                <w:szCs w:val="20"/>
                <w:lang w:val="en-US"/>
              </w:rPr>
              <w:t>)</w:t>
            </w:r>
          </w:p>
        </w:tc>
        <w:tc>
          <w:tcPr>
            <w:tcW w:w="2126" w:type="dxa"/>
            <w:vAlign w:val="center"/>
          </w:tcPr>
          <w:p w14:paraId="1ABAF055" w14:textId="71F9AB8F" w:rsidR="00311853" w:rsidRPr="00964A79" w:rsidRDefault="00311853" w:rsidP="0086767A">
            <w:pPr>
              <w:ind w:firstLine="0"/>
              <w:contextualSpacing/>
              <w:jc w:val="center"/>
              <w:rPr>
                <w:sz w:val="20"/>
                <w:szCs w:val="20"/>
              </w:rPr>
            </w:pPr>
            <w:r w:rsidRPr="00964A79">
              <w:rPr>
                <w:sz w:val="20"/>
                <w:szCs w:val="20"/>
              </w:rPr>
              <w:t>–</w:t>
            </w:r>
          </w:p>
        </w:tc>
        <w:tc>
          <w:tcPr>
            <w:tcW w:w="2126" w:type="dxa"/>
            <w:vAlign w:val="center"/>
          </w:tcPr>
          <w:p w14:paraId="10A2AA66" w14:textId="1A846F9F" w:rsidR="00311853" w:rsidRPr="00964A79" w:rsidRDefault="00311853" w:rsidP="0086767A">
            <w:pPr>
              <w:ind w:firstLine="0"/>
              <w:contextualSpacing/>
              <w:jc w:val="center"/>
              <w:rPr>
                <w:sz w:val="20"/>
                <w:szCs w:val="20"/>
              </w:rPr>
            </w:pPr>
            <w:r w:rsidRPr="00311853">
              <w:rPr>
                <w:sz w:val="20"/>
                <w:szCs w:val="20"/>
              </w:rPr>
              <w:t>4182</w:t>
            </w:r>
          </w:p>
        </w:tc>
        <w:tc>
          <w:tcPr>
            <w:tcW w:w="1276" w:type="dxa"/>
            <w:vAlign w:val="center"/>
          </w:tcPr>
          <w:p w14:paraId="4B6FC367" w14:textId="0D81BA9A" w:rsidR="00311853" w:rsidRPr="00964A79" w:rsidRDefault="00311853" w:rsidP="0086767A">
            <w:pPr>
              <w:ind w:firstLine="0"/>
              <w:contextualSpacing/>
              <w:jc w:val="center"/>
              <w:rPr>
                <w:sz w:val="20"/>
                <w:szCs w:val="20"/>
              </w:rPr>
            </w:pPr>
            <w:r w:rsidRPr="00964A79">
              <w:rPr>
                <w:sz w:val="20"/>
                <w:szCs w:val="20"/>
              </w:rPr>
              <w:t>–</w:t>
            </w:r>
          </w:p>
        </w:tc>
        <w:tc>
          <w:tcPr>
            <w:tcW w:w="709" w:type="dxa"/>
            <w:vAlign w:val="center"/>
          </w:tcPr>
          <w:p w14:paraId="19A810AD" w14:textId="663C9884" w:rsidR="00311853" w:rsidRPr="00964A79" w:rsidRDefault="00E56516" w:rsidP="0086767A">
            <w:pPr>
              <w:ind w:firstLine="0"/>
              <w:contextualSpacing/>
              <w:jc w:val="center"/>
              <w:rPr>
                <w:sz w:val="20"/>
                <w:szCs w:val="20"/>
              </w:rPr>
            </w:pPr>
            <w:r>
              <w:rPr>
                <w:sz w:val="20"/>
                <w:szCs w:val="20"/>
              </w:rPr>
              <w:t>119</w:t>
            </w:r>
          </w:p>
        </w:tc>
      </w:tr>
      <w:tr w:rsidR="00311853" w:rsidRPr="00964A79" w14:paraId="4DA381FB" w14:textId="77777777" w:rsidTr="0086767A">
        <w:trPr>
          <w:trHeight w:val="281"/>
        </w:trPr>
        <w:tc>
          <w:tcPr>
            <w:tcW w:w="2514" w:type="dxa"/>
            <w:vMerge/>
            <w:vAlign w:val="center"/>
          </w:tcPr>
          <w:p w14:paraId="08481D52" w14:textId="77777777" w:rsidR="00311853" w:rsidRPr="00964A79" w:rsidRDefault="00311853" w:rsidP="0040049C">
            <w:pPr>
              <w:ind w:firstLine="0"/>
              <w:contextualSpacing/>
              <w:rPr>
                <w:sz w:val="20"/>
                <w:szCs w:val="20"/>
              </w:rPr>
            </w:pPr>
          </w:p>
        </w:tc>
        <w:tc>
          <w:tcPr>
            <w:tcW w:w="1426" w:type="dxa"/>
            <w:vMerge/>
            <w:vAlign w:val="center"/>
          </w:tcPr>
          <w:p w14:paraId="5199836B" w14:textId="77777777" w:rsidR="00311853" w:rsidRPr="00964A79" w:rsidRDefault="00311853" w:rsidP="0040049C">
            <w:pPr>
              <w:ind w:firstLine="0"/>
              <w:contextualSpacing/>
              <w:rPr>
                <w:sz w:val="20"/>
                <w:szCs w:val="20"/>
              </w:rPr>
            </w:pPr>
          </w:p>
        </w:tc>
        <w:tc>
          <w:tcPr>
            <w:tcW w:w="2553" w:type="dxa"/>
            <w:vMerge/>
            <w:vAlign w:val="center"/>
          </w:tcPr>
          <w:p w14:paraId="0953754B" w14:textId="77777777" w:rsidR="00311853" w:rsidRPr="00964A79" w:rsidRDefault="00311853" w:rsidP="0086767A">
            <w:pPr>
              <w:ind w:firstLine="0"/>
              <w:contextualSpacing/>
              <w:jc w:val="center"/>
              <w:rPr>
                <w:sz w:val="20"/>
                <w:szCs w:val="20"/>
              </w:rPr>
            </w:pPr>
          </w:p>
        </w:tc>
        <w:tc>
          <w:tcPr>
            <w:tcW w:w="1701" w:type="dxa"/>
            <w:vAlign w:val="center"/>
          </w:tcPr>
          <w:p w14:paraId="61C7746B" w14:textId="1EC6E5A2" w:rsidR="00311853" w:rsidRPr="00964A79" w:rsidRDefault="00311853" w:rsidP="0086767A">
            <w:pPr>
              <w:ind w:firstLine="0"/>
              <w:contextualSpacing/>
              <w:jc w:val="center"/>
              <w:rPr>
                <w:sz w:val="20"/>
                <w:szCs w:val="20"/>
              </w:rPr>
            </w:pPr>
            <w:r w:rsidRPr="00964A79">
              <w:rPr>
                <w:sz w:val="20"/>
                <w:szCs w:val="20"/>
              </w:rPr>
              <w:t>1 (самки)</w:t>
            </w:r>
          </w:p>
        </w:tc>
        <w:tc>
          <w:tcPr>
            <w:tcW w:w="2126" w:type="dxa"/>
            <w:vAlign w:val="center"/>
          </w:tcPr>
          <w:p w14:paraId="3BCA1339" w14:textId="2EDFD92E" w:rsidR="00311853" w:rsidRPr="00964A79" w:rsidRDefault="00311853" w:rsidP="0086767A">
            <w:pPr>
              <w:ind w:firstLine="0"/>
              <w:contextualSpacing/>
              <w:jc w:val="center"/>
              <w:rPr>
                <w:sz w:val="20"/>
                <w:szCs w:val="20"/>
              </w:rPr>
            </w:pPr>
            <w:r w:rsidRPr="00964A79">
              <w:rPr>
                <w:sz w:val="20"/>
                <w:szCs w:val="20"/>
              </w:rPr>
              <w:t>–</w:t>
            </w:r>
          </w:p>
        </w:tc>
        <w:tc>
          <w:tcPr>
            <w:tcW w:w="2126" w:type="dxa"/>
            <w:vAlign w:val="center"/>
          </w:tcPr>
          <w:p w14:paraId="52505031" w14:textId="7D0FE521" w:rsidR="00311853" w:rsidRPr="00964A79" w:rsidRDefault="00311853" w:rsidP="0086767A">
            <w:pPr>
              <w:ind w:firstLine="0"/>
              <w:contextualSpacing/>
              <w:jc w:val="center"/>
              <w:rPr>
                <w:sz w:val="20"/>
                <w:szCs w:val="20"/>
              </w:rPr>
            </w:pPr>
            <w:r>
              <w:rPr>
                <w:sz w:val="20"/>
                <w:szCs w:val="20"/>
              </w:rPr>
              <w:t>222</w:t>
            </w:r>
          </w:p>
        </w:tc>
        <w:tc>
          <w:tcPr>
            <w:tcW w:w="1276" w:type="dxa"/>
            <w:vAlign w:val="center"/>
          </w:tcPr>
          <w:p w14:paraId="6E214383" w14:textId="44E04E2F" w:rsidR="00311853" w:rsidRPr="00964A79" w:rsidRDefault="00311853" w:rsidP="0086767A">
            <w:pPr>
              <w:ind w:firstLine="0"/>
              <w:contextualSpacing/>
              <w:jc w:val="center"/>
              <w:rPr>
                <w:sz w:val="20"/>
                <w:szCs w:val="20"/>
              </w:rPr>
            </w:pPr>
            <w:r w:rsidRPr="00964A79">
              <w:rPr>
                <w:sz w:val="20"/>
                <w:szCs w:val="20"/>
              </w:rPr>
              <w:t>–</w:t>
            </w:r>
          </w:p>
        </w:tc>
        <w:tc>
          <w:tcPr>
            <w:tcW w:w="709" w:type="dxa"/>
            <w:vAlign w:val="center"/>
          </w:tcPr>
          <w:p w14:paraId="0D27DF05" w14:textId="62BC3585" w:rsidR="00311853" w:rsidRPr="00964A79" w:rsidRDefault="00E56516" w:rsidP="0086767A">
            <w:pPr>
              <w:ind w:firstLine="0"/>
              <w:contextualSpacing/>
              <w:jc w:val="center"/>
              <w:rPr>
                <w:sz w:val="20"/>
                <w:szCs w:val="20"/>
              </w:rPr>
            </w:pPr>
            <w:r>
              <w:rPr>
                <w:sz w:val="20"/>
                <w:szCs w:val="20"/>
              </w:rPr>
              <w:t>6,3</w:t>
            </w:r>
          </w:p>
        </w:tc>
      </w:tr>
      <w:tr w:rsidR="00C92FD0" w:rsidRPr="00964A79" w14:paraId="77FB2AD4" w14:textId="77777777" w:rsidTr="0086767A">
        <w:tc>
          <w:tcPr>
            <w:tcW w:w="2514" w:type="dxa"/>
            <w:vMerge/>
            <w:vAlign w:val="center"/>
          </w:tcPr>
          <w:p w14:paraId="5CAE916F" w14:textId="77777777" w:rsidR="00C92FD0" w:rsidRPr="00964A79" w:rsidRDefault="00C92FD0" w:rsidP="0040049C">
            <w:pPr>
              <w:ind w:firstLine="0"/>
              <w:contextualSpacing/>
              <w:rPr>
                <w:sz w:val="20"/>
                <w:szCs w:val="20"/>
              </w:rPr>
            </w:pPr>
          </w:p>
        </w:tc>
        <w:tc>
          <w:tcPr>
            <w:tcW w:w="1426" w:type="dxa"/>
            <w:vAlign w:val="center"/>
          </w:tcPr>
          <w:p w14:paraId="300E42B7" w14:textId="78A044FE" w:rsidR="00C92FD0" w:rsidRPr="00964A79" w:rsidRDefault="00C92FD0" w:rsidP="0040049C">
            <w:pPr>
              <w:ind w:firstLine="0"/>
              <w:contextualSpacing/>
              <w:rPr>
                <w:sz w:val="20"/>
                <w:szCs w:val="20"/>
              </w:rPr>
            </w:pPr>
            <w:r w:rsidRPr="00964A79">
              <w:rPr>
                <w:sz w:val="20"/>
                <w:szCs w:val="20"/>
              </w:rPr>
              <w:t>Крысы</w:t>
            </w:r>
          </w:p>
        </w:tc>
        <w:tc>
          <w:tcPr>
            <w:tcW w:w="2553" w:type="dxa"/>
            <w:vAlign w:val="center"/>
          </w:tcPr>
          <w:p w14:paraId="2E2235D5" w14:textId="7D2E698D" w:rsidR="00C92FD0" w:rsidRPr="00964A79" w:rsidRDefault="00C92FD0" w:rsidP="0086767A">
            <w:pPr>
              <w:ind w:firstLine="0"/>
              <w:contextualSpacing/>
              <w:jc w:val="center"/>
              <w:rPr>
                <w:sz w:val="20"/>
                <w:szCs w:val="20"/>
                <w:lang w:val="en-US"/>
              </w:rPr>
            </w:pPr>
            <w:r w:rsidRPr="00964A79">
              <w:rPr>
                <w:sz w:val="20"/>
                <w:szCs w:val="20"/>
              </w:rPr>
              <w:t xml:space="preserve">Сегмент </w:t>
            </w:r>
            <w:r w:rsidRPr="00964A79">
              <w:rPr>
                <w:sz w:val="20"/>
                <w:szCs w:val="20"/>
                <w:lang w:val="en-US"/>
              </w:rPr>
              <w:t>II</w:t>
            </w:r>
          </w:p>
        </w:tc>
        <w:tc>
          <w:tcPr>
            <w:tcW w:w="1701" w:type="dxa"/>
            <w:vAlign w:val="center"/>
          </w:tcPr>
          <w:p w14:paraId="7177ED90" w14:textId="05DFE355" w:rsidR="00C92FD0" w:rsidRPr="00964A79" w:rsidRDefault="00964A79" w:rsidP="0086767A">
            <w:pPr>
              <w:ind w:firstLine="0"/>
              <w:contextualSpacing/>
              <w:jc w:val="center"/>
              <w:rPr>
                <w:sz w:val="20"/>
                <w:szCs w:val="20"/>
              </w:rPr>
            </w:pPr>
            <w:r w:rsidRPr="00964A79">
              <w:rPr>
                <w:sz w:val="20"/>
                <w:szCs w:val="20"/>
              </w:rPr>
              <w:t>30</w:t>
            </w:r>
          </w:p>
        </w:tc>
        <w:tc>
          <w:tcPr>
            <w:tcW w:w="2126" w:type="dxa"/>
            <w:vAlign w:val="center"/>
          </w:tcPr>
          <w:p w14:paraId="20E1AE91" w14:textId="5CCA682F" w:rsidR="00C92FD0" w:rsidRPr="00964A79" w:rsidRDefault="00CD3AD6" w:rsidP="0086767A">
            <w:pPr>
              <w:ind w:firstLine="0"/>
              <w:contextualSpacing/>
              <w:jc w:val="center"/>
              <w:rPr>
                <w:sz w:val="20"/>
                <w:szCs w:val="20"/>
              </w:rPr>
            </w:pPr>
            <w:r w:rsidRPr="00CD3AD6">
              <w:rPr>
                <w:sz w:val="20"/>
                <w:szCs w:val="20"/>
              </w:rPr>
              <w:t>24990</w:t>
            </w:r>
          </w:p>
        </w:tc>
        <w:tc>
          <w:tcPr>
            <w:tcW w:w="2126" w:type="dxa"/>
            <w:vAlign w:val="center"/>
          </w:tcPr>
          <w:p w14:paraId="0CF2B0E5" w14:textId="0D64F111" w:rsidR="00C92FD0" w:rsidRPr="00964A79" w:rsidRDefault="00311853" w:rsidP="0086767A">
            <w:pPr>
              <w:ind w:firstLine="0"/>
              <w:contextualSpacing/>
              <w:jc w:val="center"/>
              <w:rPr>
                <w:sz w:val="20"/>
                <w:szCs w:val="20"/>
              </w:rPr>
            </w:pPr>
            <w:r w:rsidRPr="00311853">
              <w:rPr>
                <w:sz w:val="20"/>
                <w:szCs w:val="20"/>
              </w:rPr>
              <w:t>5406</w:t>
            </w:r>
          </w:p>
        </w:tc>
        <w:tc>
          <w:tcPr>
            <w:tcW w:w="1276" w:type="dxa"/>
            <w:vAlign w:val="center"/>
          </w:tcPr>
          <w:p w14:paraId="5578E7DA" w14:textId="4074F616" w:rsidR="00C92FD0" w:rsidRPr="00964A79" w:rsidRDefault="00311853" w:rsidP="0086767A">
            <w:pPr>
              <w:ind w:firstLine="0"/>
              <w:contextualSpacing/>
              <w:jc w:val="center"/>
              <w:rPr>
                <w:sz w:val="20"/>
                <w:szCs w:val="20"/>
              </w:rPr>
            </w:pPr>
            <w:r>
              <w:rPr>
                <w:sz w:val="20"/>
                <w:szCs w:val="20"/>
              </w:rPr>
              <w:t>80,8</w:t>
            </w:r>
          </w:p>
        </w:tc>
        <w:tc>
          <w:tcPr>
            <w:tcW w:w="709" w:type="dxa"/>
            <w:vAlign w:val="center"/>
          </w:tcPr>
          <w:p w14:paraId="1A638BE9" w14:textId="2D55B3FE" w:rsidR="00C92FD0" w:rsidRPr="00964A79" w:rsidRDefault="00E56516" w:rsidP="0086767A">
            <w:pPr>
              <w:ind w:firstLine="0"/>
              <w:contextualSpacing/>
              <w:jc w:val="center"/>
              <w:rPr>
                <w:sz w:val="20"/>
                <w:szCs w:val="20"/>
              </w:rPr>
            </w:pPr>
            <w:r>
              <w:rPr>
                <w:sz w:val="20"/>
                <w:szCs w:val="20"/>
              </w:rPr>
              <w:t>154</w:t>
            </w:r>
          </w:p>
        </w:tc>
      </w:tr>
      <w:tr w:rsidR="00C92FD0" w:rsidRPr="00964A79" w14:paraId="43DE8CE4" w14:textId="77777777" w:rsidTr="0086767A">
        <w:tc>
          <w:tcPr>
            <w:tcW w:w="2514" w:type="dxa"/>
            <w:vMerge/>
            <w:vAlign w:val="center"/>
          </w:tcPr>
          <w:p w14:paraId="79A70844" w14:textId="77777777" w:rsidR="00C92FD0" w:rsidRPr="00964A79" w:rsidRDefault="00C92FD0" w:rsidP="0040049C">
            <w:pPr>
              <w:ind w:firstLine="0"/>
              <w:contextualSpacing/>
              <w:rPr>
                <w:sz w:val="20"/>
                <w:szCs w:val="20"/>
              </w:rPr>
            </w:pPr>
          </w:p>
        </w:tc>
        <w:tc>
          <w:tcPr>
            <w:tcW w:w="1426" w:type="dxa"/>
            <w:vAlign w:val="center"/>
          </w:tcPr>
          <w:p w14:paraId="17F4FF48" w14:textId="78995D1B" w:rsidR="00C92FD0" w:rsidRPr="00964A79" w:rsidRDefault="00C92FD0" w:rsidP="0040049C">
            <w:pPr>
              <w:ind w:firstLine="0"/>
              <w:contextualSpacing/>
              <w:rPr>
                <w:sz w:val="20"/>
                <w:szCs w:val="20"/>
              </w:rPr>
            </w:pPr>
            <w:r w:rsidRPr="00964A79">
              <w:rPr>
                <w:sz w:val="20"/>
                <w:szCs w:val="20"/>
              </w:rPr>
              <w:t>Кролики</w:t>
            </w:r>
          </w:p>
        </w:tc>
        <w:tc>
          <w:tcPr>
            <w:tcW w:w="2553" w:type="dxa"/>
            <w:vAlign w:val="center"/>
          </w:tcPr>
          <w:p w14:paraId="2CF23A42" w14:textId="5FEC4F5D" w:rsidR="00C92FD0" w:rsidRPr="00964A79" w:rsidRDefault="00C92FD0" w:rsidP="0086767A">
            <w:pPr>
              <w:ind w:firstLine="0"/>
              <w:contextualSpacing/>
              <w:jc w:val="center"/>
              <w:rPr>
                <w:sz w:val="20"/>
                <w:szCs w:val="20"/>
              </w:rPr>
            </w:pPr>
            <w:r w:rsidRPr="00964A79">
              <w:rPr>
                <w:sz w:val="20"/>
                <w:szCs w:val="20"/>
              </w:rPr>
              <w:t xml:space="preserve">Сегмент </w:t>
            </w:r>
            <w:r w:rsidRPr="00964A79">
              <w:rPr>
                <w:sz w:val="20"/>
                <w:szCs w:val="20"/>
                <w:lang w:val="en-US"/>
              </w:rPr>
              <w:t>II</w:t>
            </w:r>
          </w:p>
        </w:tc>
        <w:tc>
          <w:tcPr>
            <w:tcW w:w="1701" w:type="dxa"/>
            <w:vAlign w:val="center"/>
          </w:tcPr>
          <w:p w14:paraId="63B1CC4B" w14:textId="4E51FC54" w:rsidR="00C92FD0" w:rsidRPr="00964A79" w:rsidRDefault="00964A79" w:rsidP="0086767A">
            <w:pPr>
              <w:ind w:firstLine="0"/>
              <w:contextualSpacing/>
              <w:jc w:val="center"/>
              <w:rPr>
                <w:sz w:val="20"/>
                <w:szCs w:val="20"/>
              </w:rPr>
            </w:pPr>
            <w:r w:rsidRPr="00964A79">
              <w:rPr>
                <w:sz w:val="20"/>
                <w:szCs w:val="20"/>
              </w:rPr>
              <w:t>10</w:t>
            </w:r>
          </w:p>
        </w:tc>
        <w:tc>
          <w:tcPr>
            <w:tcW w:w="2126" w:type="dxa"/>
            <w:vAlign w:val="center"/>
          </w:tcPr>
          <w:p w14:paraId="36F73CAD" w14:textId="00A0DA1A" w:rsidR="00C92FD0" w:rsidRPr="00964A79" w:rsidRDefault="00CD3AD6" w:rsidP="0086767A">
            <w:pPr>
              <w:ind w:firstLine="0"/>
              <w:contextualSpacing/>
              <w:jc w:val="center"/>
              <w:rPr>
                <w:sz w:val="20"/>
                <w:szCs w:val="20"/>
              </w:rPr>
            </w:pPr>
            <w:r w:rsidRPr="00CD3AD6">
              <w:rPr>
                <w:sz w:val="20"/>
                <w:szCs w:val="20"/>
              </w:rPr>
              <w:t>1470</w:t>
            </w:r>
            <w:r>
              <w:rPr>
                <w:sz w:val="20"/>
                <w:szCs w:val="20"/>
              </w:rPr>
              <w:t xml:space="preserve"> (в целом)</w:t>
            </w:r>
          </w:p>
        </w:tc>
        <w:tc>
          <w:tcPr>
            <w:tcW w:w="2126" w:type="dxa"/>
            <w:vAlign w:val="center"/>
          </w:tcPr>
          <w:p w14:paraId="45DF941C" w14:textId="56E7F2BF" w:rsidR="00C92FD0" w:rsidRPr="00964A79" w:rsidRDefault="00311853" w:rsidP="0086767A">
            <w:pPr>
              <w:ind w:firstLine="0"/>
              <w:contextualSpacing/>
              <w:jc w:val="center"/>
              <w:rPr>
                <w:sz w:val="20"/>
                <w:szCs w:val="20"/>
              </w:rPr>
            </w:pPr>
            <w:r>
              <w:rPr>
                <w:sz w:val="20"/>
                <w:szCs w:val="20"/>
              </w:rPr>
              <w:t>610 (в целом)</w:t>
            </w:r>
          </w:p>
        </w:tc>
        <w:tc>
          <w:tcPr>
            <w:tcW w:w="1276" w:type="dxa"/>
            <w:vAlign w:val="center"/>
          </w:tcPr>
          <w:p w14:paraId="2D41D927" w14:textId="08CBBCB0" w:rsidR="00C92FD0" w:rsidRPr="00964A79" w:rsidRDefault="00311853" w:rsidP="0086767A">
            <w:pPr>
              <w:ind w:firstLine="0"/>
              <w:contextualSpacing/>
              <w:jc w:val="center"/>
              <w:rPr>
                <w:sz w:val="20"/>
                <w:szCs w:val="20"/>
              </w:rPr>
            </w:pPr>
            <w:r>
              <w:rPr>
                <w:sz w:val="20"/>
                <w:szCs w:val="20"/>
              </w:rPr>
              <w:t>2,8</w:t>
            </w:r>
          </w:p>
        </w:tc>
        <w:tc>
          <w:tcPr>
            <w:tcW w:w="709" w:type="dxa"/>
            <w:vAlign w:val="center"/>
          </w:tcPr>
          <w:p w14:paraId="523484FC" w14:textId="13FABEE4" w:rsidR="00C92FD0" w:rsidRPr="00964A79" w:rsidRDefault="00E56516" w:rsidP="0086767A">
            <w:pPr>
              <w:ind w:firstLine="0"/>
              <w:contextualSpacing/>
              <w:jc w:val="center"/>
              <w:rPr>
                <w:sz w:val="20"/>
                <w:szCs w:val="20"/>
              </w:rPr>
            </w:pPr>
            <w:r>
              <w:rPr>
                <w:sz w:val="20"/>
                <w:szCs w:val="20"/>
              </w:rPr>
              <w:t>10</w:t>
            </w:r>
          </w:p>
        </w:tc>
      </w:tr>
      <w:tr w:rsidR="00D76414" w:rsidRPr="00964A79" w14:paraId="2C15B9CA" w14:textId="77777777" w:rsidTr="0086767A">
        <w:tc>
          <w:tcPr>
            <w:tcW w:w="14431" w:type="dxa"/>
            <w:gridSpan w:val="8"/>
          </w:tcPr>
          <w:p w14:paraId="58DF629B" w14:textId="332C519A" w:rsidR="00D76414" w:rsidRPr="00D76414" w:rsidRDefault="00D76414" w:rsidP="0040049C">
            <w:pPr>
              <w:pStyle w:val="SDcomments"/>
              <w:ind w:firstLine="0"/>
              <w:contextualSpacing/>
              <w:rPr>
                <w:b/>
                <w:iCs/>
              </w:rPr>
            </w:pPr>
            <w:r w:rsidRPr="00D76414">
              <w:rPr>
                <w:b/>
                <w:iCs/>
              </w:rPr>
              <w:t>Примечани</w:t>
            </w:r>
            <w:r w:rsidR="0086767A">
              <w:rPr>
                <w:b/>
                <w:iCs/>
              </w:rPr>
              <w:t>е</w:t>
            </w:r>
            <w:r w:rsidRPr="00D76414">
              <w:rPr>
                <w:b/>
                <w:iCs/>
              </w:rPr>
              <w:t>:</w:t>
            </w:r>
          </w:p>
          <w:p w14:paraId="60B21D2A" w14:textId="26EE8AEC" w:rsidR="00D76414" w:rsidRPr="00D76414" w:rsidRDefault="00D76414" w:rsidP="0040049C">
            <w:pPr>
              <w:pStyle w:val="SDcomments"/>
              <w:ind w:firstLine="0"/>
              <w:contextualSpacing/>
            </w:pPr>
            <w:r>
              <w:rPr>
                <w:lang w:val="en-US"/>
              </w:rPr>
              <w:t>AUC</w:t>
            </w:r>
            <w:r w:rsidRPr="00353468">
              <w:t xml:space="preserve"> </w:t>
            </w:r>
            <w:r>
              <w:t>–</w:t>
            </w:r>
            <w:r w:rsidRPr="00353468">
              <w:t xml:space="preserve"> </w:t>
            </w:r>
            <w:r>
              <w:t xml:space="preserve">площадь под фармакокинетический кривой «концентрация-время»; </w:t>
            </w:r>
            <w:r w:rsidRPr="00353468">
              <w:t>C</w:t>
            </w:r>
            <w:r w:rsidRPr="00353468">
              <w:rPr>
                <w:vertAlign w:val="subscript"/>
              </w:rPr>
              <w:t>max</w:t>
            </w:r>
            <w:r>
              <w:t xml:space="preserve"> </w:t>
            </w:r>
            <w:bookmarkStart w:id="177" w:name="_Hlk117681313"/>
            <w:r>
              <w:t>–</w:t>
            </w:r>
            <w:bookmarkEnd w:id="177"/>
            <w:r>
              <w:t xml:space="preserve"> максимальная концентрация; </w:t>
            </w:r>
            <w:r w:rsidRPr="00353468">
              <w:t xml:space="preserve">NOAEL </w:t>
            </w:r>
            <w:r>
              <w:t>–</w:t>
            </w:r>
            <w:r w:rsidRPr="00353468">
              <w:t xml:space="preserve"> </w:t>
            </w:r>
            <w:r>
              <w:t>д</w:t>
            </w:r>
            <w:r w:rsidRPr="00353468">
              <w:t>оза, не оказывающая явного нежелательного действия (no observed adverse effect level)</w:t>
            </w:r>
            <w:r>
              <w:t>.</w:t>
            </w:r>
          </w:p>
        </w:tc>
      </w:tr>
    </w:tbl>
    <w:p w14:paraId="15DE70AA" w14:textId="77777777" w:rsidR="0086767A" w:rsidRDefault="0086767A" w:rsidP="0040049C">
      <w:pPr>
        <w:pStyle w:val="SDText"/>
        <w:spacing w:after="0"/>
        <w:contextualSpacing/>
        <w:sectPr w:rsidR="0086767A" w:rsidSect="0086767A">
          <w:headerReference w:type="default" r:id="rId21"/>
          <w:pgSz w:w="16838" w:h="11906" w:orient="landscape"/>
          <w:pgMar w:top="1701" w:right="1134" w:bottom="851" w:left="1134" w:header="709" w:footer="709" w:gutter="0"/>
          <w:cols w:space="708"/>
          <w:docGrid w:linePitch="360"/>
        </w:sectPr>
      </w:pPr>
    </w:p>
    <w:p w14:paraId="79AAE61A" w14:textId="77777777" w:rsidR="00791E09" w:rsidRDefault="00791E09" w:rsidP="00791E09">
      <w:pPr>
        <w:pStyle w:val="SDText"/>
        <w:spacing w:after="0"/>
        <w:contextualSpacing/>
      </w:pPr>
      <w:bookmarkStart w:id="178" w:name="_Toc115421055"/>
      <w:bookmarkStart w:id="179" w:name="_Toc121592588"/>
      <w:r>
        <w:lastRenderedPageBreak/>
        <w:t>В исследовании ювенильной токсичности 09</w:t>
      </w:r>
      <w:r w:rsidRPr="004B54A7">
        <w:t>GR</w:t>
      </w:r>
      <w:r>
        <w:t xml:space="preserve">248, описанном также в Разделе </w:t>
      </w:r>
      <w:r>
        <w:fldChar w:fldCharType="begin"/>
      </w:r>
      <w:r>
        <w:instrText xml:space="preserve"> REF _Ref113954566 \n \h  \* MERGEFORMAT </w:instrText>
      </w:r>
      <w:r>
        <w:fldChar w:fldCharType="separate"/>
      </w:r>
      <w:r>
        <w:t>3.3.5.4</w:t>
      </w:r>
      <w:r>
        <w:fldChar w:fldCharType="end"/>
      </w:r>
      <w:r>
        <w:t xml:space="preserve">, использовали неполовозрелых яванских макак. Животные получали СР-90550 в дозе </w:t>
      </w:r>
      <w:r w:rsidRPr="002178DB">
        <w:t>0</w:t>
      </w:r>
      <w:r>
        <w:t>,</w:t>
      </w:r>
      <w:r w:rsidRPr="002178DB">
        <w:t>5, 2</w:t>
      </w:r>
      <w:r>
        <w:t xml:space="preserve"> или</w:t>
      </w:r>
      <w:r w:rsidRPr="002178DB">
        <w:t xml:space="preserve"> 10</w:t>
      </w:r>
      <w:r>
        <w:t xml:space="preserve"> мг/кг/сут, или носитель в течение 39 недель. NOAEL составляла 0,5 мг/кг/сут, что соответствовало AUC</w:t>
      </w:r>
      <w:r w:rsidRPr="00442C7A">
        <w:rPr>
          <w:vertAlign w:val="subscript"/>
        </w:rPr>
        <w:t>(0-24)</w:t>
      </w:r>
      <w:r>
        <w:t>, равной</w:t>
      </w:r>
      <w:r w:rsidRPr="00442C7A">
        <w:rPr>
          <w:vertAlign w:val="subscript"/>
        </w:rPr>
        <w:t xml:space="preserve"> </w:t>
      </w:r>
      <w:r>
        <w:t xml:space="preserve">62 нг*ч/мл на неделе 36 (2*площади под фармакокинетической кривой «концентрация-время» от начального момента времени до 12 ч </w:t>
      </w:r>
      <w:r>
        <w:rPr>
          <w:rFonts w:cs="Times New Roman"/>
        </w:rPr>
        <w:t>[</w:t>
      </w:r>
      <w:r>
        <w:t>AUC</w:t>
      </w:r>
      <w:r w:rsidRPr="00D45899">
        <w:rPr>
          <w:vertAlign w:val="subscript"/>
        </w:rPr>
        <w:t>(0-12)</w:t>
      </w:r>
      <w:r>
        <w:rPr>
          <w:rFonts w:cs="Times New Roman"/>
        </w:rPr>
        <w:t>], равной</w:t>
      </w:r>
      <w:r>
        <w:t xml:space="preserve"> 31,1 нг*ч/мл), что примерно в 0,11 раз больше, чем системная экспозиция при использовании максимально рекомендуемой дозы (МРД) для человека 10 мг 2 раза в день </w:t>
      </w:r>
      <w:r>
        <w:rPr>
          <w:lang w:val="en-US"/>
        </w:rPr>
        <w:fldChar w:fldCharType="begin"/>
      </w:r>
      <w:r>
        <w:instrText xml:space="preserve"> ADDIN ZOTERO_ITEM CSL_CITATION {"citationID":"C1Vr7Pys","properties":{"formattedCitation":"[12]","plainCitation":"[12]","noteIndex":0},"citationItems":[{"id":87803,"uris":["http://zotero.org/groups/4742804/items/DMZ5DFPG"],"itemData":{"id":87803,"type":"webpage","title":"Xeljanz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Pr>
          <w:lang w:val="en-US"/>
        </w:rPr>
        <w:fldChar w:fldCharType="separate"/>
      </w:r>
      <w:r>
        <w:rPr>
          <w:rFonts w:cs="Times New Roman"/>
        </w:rPr>
        <w:t>[1</w:t>
      </w:r>
      <w:r w:rsidRPr="00044A89">
        <w:rPr>
          <w:rFonts w:cs="Times New Roman"/>
        </w:rPr>
        <w:t>]</w:t>
      </w:r>
      <w:r>
        <w:rPr>
          <w:lang w:val="en-US"/>
        </w:rPr>
        <w:fldChar w:fldCharType="end"/>
      </w:r>
      <w:r>
        <w:t>.</w:t>
      </w:r>
    </w:p>
    <w:p w14:paraId="2C4A7C91" w14:textId="77777777" w:rsidR="00791E09" w:rsidRPr="00BE2417" w:rsidRDefault="00791E09" w:rsidP="00791E09">
      <w:pPr>
        <w:pStyle w:val="SDText"/>
        <w:spacing w:after="0"/>
        <w:contextualSpacing/>
      </w:pPr>
      <w:r>
        <w:t xml:space="preserve">Пределы воздействия для тофацитиниба представлены ниже </w:t>
      </w:r>
      <w:r w:rsidRPr="00BE2417">
        <w:t>(</w:t>
      </w:r>
      <w:r w:rsidRPr="00BE2417">
        <w:fldChar w:fldCharType="begin"/>
      </w:r>
      <w:r w:rsidRPr="00BE2417">
        <w:instrText xml:space="preserve"> REF _Ref121140512 \h  \* MERGEFORMAT </w:instrText>
      </w:r>
      <w:r w:rsidRPr="00BE2417">
        <w:fldChar w:fldCharType="separate"/>
      </w:r>
      <w:r w:rsidRPr="00BE2417">
        <w:rPr>
          <w:bCs/>
        </w:rPr>
        <w:t xml:space="preserve">Таблица </w:t>
      </w:r>
      <w:r w:rsidRPr="00BE2417">
        <w:rPr>
          <w:bCs/>
          <w:noProof/>
        </w:rPr>
        <w:t>3</w:t>
      </w:r>
      <w:r w:rsidRPr="00BE2417">
        <w:rPr>
          <w:bCs/>
        </w:rPr>
        <w:noBreakHyphen/>
      </w:r>
      <w:r w:rsidRPr="00BE2417">
        <w:rPr>
          <w:bCs/>
          <w:noProof/>
        </w:rPr>
        <w:t>7</w:t>
      </w:r>
      <w:r w:rsidRPr="00BE2417">
        <w:fldChar w:fldCharType="end"/>
      </w:r>
      <w:r w:rsidRPr="00BE2417">
        <w:t>).</w:t>
      </w:r>
    </w:p>
    <w:p w14:paraId="0CD62E36" w14:textId="77777777" w:rsidR="00791E09" w:rsidRDefault="00791E09" w:rsidP="00BE2417">
      <w:pPr>
        <w:pStyle w:val="3"/>
        <w:numPr>
          <w:ilvl w:val="0"/>
          <w:numId w:val="0"/>
        </w:numPr>
        <w:ind w:left="720" w:hanging="720"/>
      </w:pPr>
    </w:p>
    <w:p w14:paraId="49EA86A9" w14:textId="79BAC2F5" w:rsidR="00912246" w:rsidRDefault="00BE2417" w:rsidP="00BE2417">
      <w:pPr>
        <w:pStyle w:val="3"/>
        <w:numPr>
          <w:ilvl w:val="0"/>
          <w:numId w:val="0"/>
        </w:numPr>
        <w:ind w:left="720" w:hanging="720"/>
      </w:pPr>
      <w:r>
        <w:t xml:space="preserve">3.3.8. </w:t>
      </w:r>
      <w:r w:rsidR="00912246" w:rsidRPr="00D76414">
        <w:t>Прочие исследования</w:t>
      </w:r>
      <w:bookmarkEnd w:id="178"/>
      <w:bookmarkEnd w:id="179"/>
    </w:p>
    <w:p w14:paraId="3CB59DFB" w14:textId="77777777" w:rsidR="00BD2318" w:rsidRPr="00BD2318" w:rsidRDefault="00BD2318" w:rsidP="0040049C">
      <w:pPr>
        <w:pStyle w:val="SDText"/>
        <w:spacing w:after="0"/>
      </w:pPr>
    </w:p>
    <w:p w14:paraId="184F97DD" w14:textId="37E35317" w:rsidR="00B10FC6" w:rsidRPr="00BD2318" w:rsidRDefault="00BE2417" w:rsidP="00BE2417">
      <w:pPr>
        <w:pStyle w:val="4"/>
        <w:numPr>
          <w:ilvl w:val="0"/>
          <w:numId w:val="0"/>
        </w:numPr>
        <w:ind w:left="864" w:hanging="864"/>
      </w:pPr>
      <w:bookmarkStart w:id="180" w:name="_Toc115421056"/>
      <w:bookmarkStart w:id="181" w:name="_Toc121592589"/>
      <w:r>
        <w:t xml:space="preserve">3.3.8.1. </w:t>
      </w:r>
      <w:r w:rsidR="00B10FC6" w:rsidRPr="00B20C48">
        <w:t>Гемотоксичность</w:t>
      </w:r>
      <w:bookmarkEnd w:id="180"/>
      <w:bookmarkEnd w:id="181"/>
    </w:p>
    <w:p w14:paraId="5E7F817A" w14:textId="77777777" w:rsidR="00BD2318" w:rsidRDefault="00BD2318" w:rsidP="00017DA2">
      <w:pPr>
        <w:pStyle w:val="SDText"/>
        <w:spacing w:after="0"/>
        <w:contextualSpacing/>
      </w:pPr>
    </w:p>
    <w:p w14:paraId="0BA522F6" w14:textId="6E055B60" w:rsidR="001F4DD3" w:rsidRDefault="00800668" w:rsidP="00017DA2">
      <w:pPr>
        <w:pStyle w:val="SDText"/>
        <w:spacing w:after="0"/>
        <w:contextualSpacing/>
      </w:pPr>
      <w:r>
        <w:t xml:space="preserve">В исследовании </w:t>
      </w:r>
      <w:r w:rsidRPr="00A2089F">
        <w:t>09GR482</w:t>
      </w:r>
      <w:r>
        <w:t xml:space="preserve"> </w:t>
      </w:r>
      <w:r w:rsidRPr="00A2089F">
        <w:t>CP-690550-10</w:t>
      </w:r>
      <w:r>
        <w:t xml:space="preserve"> </w:t>
      </w:r>
      <w:r w:rsidRPr="003C355F">
        <w:rPr>
          <w:i/>
          <w:iCs/>
          <w:lang w:val="en-US"/>
        </w:rPr>
        <w:t>in</w:t>
      </w:r>
      <w:r w:rsidRPr="003C355F">
        <w:rPr>
          <w:i/>
          <w:iCs/>
        </w:rPr>
        <w:t xml:space="preserve"> </w:t>
      </w:r>
      <w:r w:rsidRPr="003C355F">
        <w:rPr>
          <w:i/>
          <w:iCs/>
          <w:lang w:val="en-US"/>
        </w:rPr>
        <w:t>vitro</w:t>
      </w:r>
      <w:r w:rsidRPr="003C355F">
        <w:rPr>
          <w:i/>
          <w:iCs/>
        </w:rPr>
        <w:t xml:space="preserve"> </w:t>
      </w:r>
      <w:r>
        <w:t xml:space="preserve">не вызывал гемолиз в цельной крови человека или преципитацию в плазме крови человека при инкубации в течение 1 </w:t>
      </w:r>
      <w:r w:rsidRPr="00D76414">
        <w:t xml:space="preserve">сут </w:t>
      </w:r>
      <w:r w:rsidRPr="00D76414">
        <w:rPr>
          <w:lang w:val="en-US"/>
        </w:rPr>
        <w:fldChar w:fldCharType="begin"/>
      </w:r>
      <w:r w:rsidR="00044A89" w:rsidRPr="00D76414">
        <w:instrText xml:space="preserve"> ADDIN ZOTERO_ITEM CSL_CITATION {"citationID":"sGpKd205","properties":{"formattedCitation":"[12]","plainCitation":"[12]","noteIndex":0},"citationItems":[{"id":87803,"uris":["http://zotero.org/groups/4742804/items/DMZ5DFPG"],"itemData":{"id":87803,"type":"webpage","title":"Xeljanz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Pr="00D76414">
        <w:rPr>
          <w:lang w:val="en-US"/>
        </w:rPr>
        <w:fldChar w:fldCharType="separate"/>
      </w:r>
      <w:r w:rsidR="00D46D1F">
        <w:rPr>
          <w:rFonts w:cs="Times New Roman"/>
        </w:rPr>
        <w:t>[1</w:t>
      </w:r>
      <w:r w:rsidR="00044A89" w:rsidRPr="00D76414">
        <w:rPr>
          <w:rFonts w:cs="Times New Roman"/>
        </w:rPr>
        <w:t>]</w:t>
      </w:r>
      <w:r w:rsidRPr="00D76414">
        <w:rPr>
          <w:lang w:val="en-US"/>
        </w:rPr>
        <w:fldChar w:fldCharType="end"/>
      </w:r>
      <w:r w:rsidRPr="00D76414">
        <w:t>.</w:t>
      </w:r>
    </w:p>
    <w:p w14:paraId="5E8F6DA8" w14:textId="77777777" w:rsidR="0086767A" w:rsidRPr="00D76414" w:rsidRDefault="0086767A" w:rsidP="00017DA2">
      <w:pPr>
        <w:pStyle w:val="SDText"/>
        <w:spacing w:after="0"/>
        <w:contextualSpacing/>
      </w:pPr>
    </w:p>
    <w:p w14:paraId="4F95FB3D" w14:textId="650E997A" w:rsidR="00E71939" w:rsidRPr="00BD2318" w:rsidRDefault="00BE2417" w:rsidP="00BE2417">
      <w:pPr>
        <w:pStyle w:val="4"/>
        <w:numPr>
          <w:ilvl w:val="0"/>
          <w:numId w:val="0"/>
        </w:numPr>
        <w:ind w:left="864" w:hanging="864"/>
      </w:pPr>
      <w:bookmarkStart w:id="182" w:name="_Toc115421057"/>
      <w:bookmarkStart w:id="183" w:name="_Toc121592590"/>
      <w:r>
        <w:t xml:space="preserve">3.3.8.2. </w:t>
      </w:r>
      <w:r w:rsidR="00552403" w:rsidRPr="00B20C48">
        <w:t>Фототоксичность</w:t>
      </w:r>
      <w:bookmarkEnd w:id="182"/>
      <w:bookmarkEnd w:id="183"/>
    </w:p>
    <w:p w14:paraId="2A1A9ECC" w14:textId="77777777" w:rsidR="00BD2318" w:rsidRDefault="00BD2318" w:rsidP="00017DA2">
      <w:pPr>
        <w:pStyle w:val="SDText"/>
        <w:spacing w:after="0"/>
        <w:contextualSpacing/>
      </w:pPr>
    </w:p>
    <w:p w14:paraId="4F3743DE" w14:textId="632E3C53" w:rsidR="00BD5DDA" w:rsidRDefault="00C340E2" w:rsidP="00017DA2">
      <w:pPr>
        <w:pStyle w:val="SDText"/>
        <w:spacing w:after="0"/>
        <w:contextualSpacing/>
      </w:pPr>
      <w:r w:rsidRPr="00C340E2">
        <w:rPr>
          <w:lang w:val="en-US"/>
        </w:rPr>
        <w:t>CP</w:t>
      </w:r>
      <w:r w:rsidRPr="004C1120">
        <w:t>-690550-10</w:t>
      </w:r>
      <w:r>
        <w:t xml:space="preserve"> </w:t>
      </w:r>
      <w:r w:rsidR="00C35C00">
        <w:t>в концентрациях 0</w:t>
      </w:r>
      <w:r w:rsidR="00BD79A2">
        <w:t>,</w:t>
      </w:r>
      <w:r w:rsidR="00C35C00">
        <w:t>061, 0</w:t>
      </w:r>
      <w:r w:rsidR="00BD79A2">
        <w:t>,</w:t>
      </w:r>
      <w:r w:rsidR="00C35C00">
        <w:t>244, 0</w:t>
      </w:r>
      <w:r w:rsidR="00BD79A2">
        <w:t>,</w:t>
      </w:r>
      <w:r w:rsidR="00C35C00">
        <w:t>977, 3</w:t>
      </w:r>
      <w:r w:rsidR="00BD79A2">
        <w:t>,</w:t>
      </w:r>
      <w:r w:rsidR="00C35C00">
        <w:t>906, 15</w:t>
      </w:r>
      <w:r w:rsidR="00BD79A2">
        <w:t>,</w:t>
      </w:r>
      <w:r w:rsidR="00C35C00">
        <w:t>625, 62</w:t>
      </w:r>
      <w:r w:rsidR="00BD79A2">
        <w:t>,</w:t>
      </w:r>
      <w:r w:rsidR="00C35C00">
        <w:t xml:space="preserve">5, 250 или 1000 </w:t>
      </w:r>
      <w:r w:rsidR="0090041D">
        <w:t xml:space="preserve">мкг/мл </w:t>
      </w:r>
      <w:r>
        <w:t>не обладал фототоксическим</w:t>
      </w:r>
      <w:r w:rsidR="004C1120">
        <w:t xml:space="preserve"> потенциалом в </w:t>
      </w:r>
      <w:r w:rsidR="00D02E4F" w:rsidRPr="00D02E4F">
        <w:t>3T3</w:t>
      </w:r>
      <w:r w:rsidR="00D02E4F">
        <w:t xml:space="preserve"> </w:t>
      </w:r>
      <w:r w:rsidR="004C1120">
        <w:t xml:space="preserve">тесте </w:t>
      </w:r>
      <w:r w:rsidR="005E442F">
        <w:t xml:space="preserve">захвата нейтрального красного </w:t>
      </w:r>
      <w:r w:rsidR="00D02E4F">
        <w:t>(</w:t>
      </w:r>
      <w:r w:rsidR="00853FA4" w:rsidRPr="00853FA4">
        <w:t>Neutral Red Uptake</w:t>
      </w:r>
      <w:r w:rsidR="00853FA4">
        <w:t xml:space="preserve">, </w:t>
      </w:r>
      <w:r w:rsidR="00853FA4">
        <w:rPr>
          <w:lang w:val="en-US"/>
        </w:rPr>
        <w:t>NRU</w:t>
      </w:r>
      <w:r w:rsidR="00853FA4" w:rsidRPr="00853FA4">
        <w:t xml:space="preserve">) </w:t>
      </w:r>
      <w:r w:rsidR="00D00EC7">
        <w:rPr>
          <w:lang w:val="en-US"/>
        </w:rPr>
        <w:fldChar w:fldCharType="begin"/>
      </w:r>
      <w:r w:rsidR="00044A89">
        <w:instrText xml:space="preserve"> ADDIN ZOTERO_ITEM CSL_CITATION {"citationID":"bXWwJ8Y5","properties":{"formattedCitation":"[12]","plainCitation":"[12]","noteIndex":0},"citationItems":[{"id":87803,"uris":["http://zotero.org/groups/4742804/items/DMZ5DFPG"],"itemData":{"id":87803,"type":"webpage","title":"Xeljanz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D00EC7">
        <w:rPr>
          <w:lang w:val="en-US"/>
        </w:rPr>
        <w:fldChar w:fldCharType="separate"/>
      </w:r>
      <w:r w:rsidR="00D46D1F">
        <w:rPr>
          <w:rFonts w:cs="Times New Roman"/>
        </w:rPr>
        <w:t>[1</w:t>
      </w:r>
      <w:r w:rsidR="00044A89" w:rsidRPr="00044A89">
        <w:rPr>
          <w:rFonts w:cs="Times New Roman"/>
        </w:rPr>
        <w:t>]</w:t>
      </w:r>
      <w:r w:rsidR="00D00EC7">
        <w:rPr>
          <w:lang w:val="en-US"/>
        </w:rPr>
        <w:fldChar w:fldCharType="end"/>
      </w:r>
      <w:r w:rsidR="00853FA4">
        <w:t>.</w:t>
      </w:r>
    </w:p>
    <w:p w14:paraId="71E573C7" w14:textId="70C72EF3" w:rsidR="00BD5DDA" w:rsidRDefault="00BD79A2" w:rsidP="00017DA2">
      <w:pPr>
        <w:pStyle w:val="SDText"/>
        <w:spacing w:after="0"/>
        <w:contextualSpacing/>
      </w:pPr>
      <w:r>
        <w:t xml:space="preserve">В исследовании </w:t>
      </w:r>
      <w:r w:rsidR="00B71003">
        <w:t>10</w:t>
      </w:r>
      <w:r w:rsidR="00B71003">
        <w:rPr>
          <w:lang w:val="en-US"/>
        </w:rPr>
        <w:t>GR</w:t>
      </w:r>
      <w:r w:rsidR="00B71003" w:rsidRPr="00B71003">
        <w:t xml:space="preserve">350 </w:t>
      </w:r>
      <w:r w:rsidR="00B71003">
        <w:t xml:space="preserve">на </w:t>
      </w:r>
      <w:r w:rsidR="0015320B">
        <w:t xml:space="preserve">пигментированных крысах </w:t>
      </w:r>
      <w:r w:rsidR="00CB7B7F">
        <w:t>линии</w:t>
      </w:r>
      <w:r w:rsidR="00A1229B">
        <w:t xml:space="preserve"> </w:t>
      </w:r>
      <w:r w:rsidR="00CB7B7F">
        <w:t xml:space="preserve">Лонг-Эванс </w:t>
      </w:r>
      <w:r w:rsidR="00EB2EC2">
        <w:t xml:space="preserve">при </w:t>
      </w:r>
      <w:r w:rsidR="00A2514D">
        <w:t>внутрижелудочном</w:t>
      </w:r>
      <w:r w:rsidR="00EB2EC2">
        <w:t xml:space="preserve"> введении </w:t>
      </w:r>
      <w:r w:rsidR="001F4DD3" w:rsidRPr="001F4DD3">
        <w:t>тофацитиниб</w:t>
      </w:r>
      <w:r w:rsidR="001F4DD3">
        <w:t xml:space="preserve"> </w:t>
      </w:r>
      <w:r w:rsidR="00EB2EC2">
        <w:t xml:space="preserve">в дозе </w:t>
      </w:r>
      <w:r w:rsidR="00A2514D">
        <w:t>10, 30 или 100 мг/кг/сут</w:t>
      </w:r>
      <w:r w:rsidR="00B71003" w:rsidRPr="00B71003">
        <w:t xml:space="preserve"> </w:t>
      </w:r>
      <w:r w:rsidR="00A2514D">
        <w:t xml:space="preserve">в течение 7 дней </w:t>
      </w:r>
      <w:r w:rsidR="00CB7B7F">
        <w:t xml:space="preserve">с последующей однократной экспозицией </w:t>
      </w:r>
      <w:r w:rsidR="007476AB">
        <w:t xml:space="preserve">солнечным светом в течение 30 мин признаков </w:t>
      </w:r>
      <w:r w:rsidR="00D13A34">
        <w:t xml:space="preserve">фототоксичности со стороны кожи или глаз не выявили. </w:t>
      </w:r>
      <w:r w:rsidR="004A58FC">
        <w:t>Однако исследование не представляло достаточно адекватной оценки фототоксичности в связи с недостаточн</w:t>
      </w:r>
      <w:r w:rsidR="007F1081">
        <w:t>ой</w:t>
      </w:r>
      <w:r w:rsidR="004A58FC">
        <w:t xml:space="preserve"> </w:t>
      </w:r>
      <w:r w:rsidR="007F1081">
        <w:t xml:space="preserve">интенсивностью облучения </w:t>
      </w:r>
      <w:r w:rsidR="007F1081">
        <w:rPr>
          <w:lang w:val="en-US"/>
        </w:rPr>
        <w:fldChar w:fldCharType="begin"/>
      </w:r>
      <w:r w:rsidR="00044A89">
        <w:instrText xml:space="preserve"> ADDIN ZOTERO_ITEM CSL_CITATION {"citationID":"XZxqoKT8","properties":{"formattedCitation":"[12]","plainCitation":"[12]","noteIndex":0},"citationItems":[{"id":87803,"uris":["http://zotero.org/groups/4742804/items/DMZ5DFPG"],"itemData":{"id":87803,"type":"webpage","title":"Xeljanz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7F1081">
        <w:rPr>
          <w:lang w:val="en-US"/>
        </w:rPr>
        <w:fldChar w:fldCharType="separate"/>
      </w:r>
      <w:r w:rsidR="00D46D1F">
        <w:rPr>
          <w:rFonts w:cs="Times New Roman"/>
        </w:rPr>
        <w:t>[1</w:t>
      </w:r>
      <w:r w:rsidR="00044A89" w:rsidRPr="00044A89">
        <w:rPr>
          <w:rFonts w:cs="Times New Roman"/>
        </w:rPr>
        <w:t>]</w:t>
      </w:r>
      <w:r w:rsidR="007F1081">
        <w:rPr>
          <w:lang w:val="en-US"/>
        </w:rPr>
        <w:fldChar w:fldCharType="end"/>
      </w:r>
      <w:r w:rsidR="007F1081">
        <w:t>.</w:t>
      </w:r>
    </w:p>
    <w:p w14:paraId="246115EB" w14:textId="77777777" w:rsidR="0086767A" w:rsidRDefault="0086767A" w:rsidP="00017DA2">
      <w:pPr>
        <w:pStyle w:val="SDText"/>
        <w:spacing w:after="0"/>
        <w:contextualSpacing/>
      </w:pPr>
    </w:p>
    <w:p w14:paraId="60DA2631" w14:textId="61C30410" w:rsidR="005A1FE6" w:rsidRPr="00BD2318" w:rsidRDefault="00BE2417" w:rsidP="00BE2417">
      <w:pPr>
        <w:pStyle w:val="4"/>
        <w:numPr>
          <w:ilvl w:val="0"/>
          <w:numId w:val="0"/>
        </w:numPr>
        <w:ind w:left="864" w:hanging="864"/>
      </w:pPr>
      <w:bookmarkStart w:id="184" w:name="_Toc115421058"/>
      <w:bookmarkStart w:id="185" w:name="_Toc121592591"/>
      <w:r>
        <w:t xml:space="preserve">3.3.8.3. </w:t>
      </w:r>
      <w:r w:rsidR="00BD5DDA" w:rsidRPr="00B20C48">
        <w:t>Токсичность</w:t>
      </w:r>
      <w:r w:rsidR="00BD5DDA" w:rsidRPr="00BD2318">
        <w:t xml:space="preserve"> примесей</w:t>
      </w:r>
      <w:bookmarkEnd w:id="184"/>
      <w:bookmarkEnd w:id="185"/>
    </w:p>
    <w:p w14:paraId="01F81961" w14:textId="77777777" w:rsidR="00BD2318" w:rsidRDefault="00BD2318" w:rsidP="00017DA2">
      <w:pPr>
        <w:pStyle w:val="SDText"/>
        <w:spacing w:after="0"/>
        <w:contextualSpacing/>
      </w:pPr>
    </w:p>
    <w:p w14:paraId="255B1D09" w14:textId="7701C22D" w:rsidR="004775F1" w:rsidRPr="002928D1" w:rsidRDefault="0090365C" w:rsidP="00017DA2">
      <w:pPr>
        <w:pStyle w:val="SDText"/>
        <w:spacing w:after="0"/>
        <w:contextualSpacing/>
      </w:pPr>
      <w:r>
        <w:t>Обнаружено несколько примесей тофацитиниба:</w:t>
      </w:r>
      <w:r w:rsidR="00FF27C4" w:rsidRPr="00DB238B">
        <w:t xml:space="preserve"> </w:t>
      </w:r>
      <w:r w:rsidR="00577548" w:rsidRPr="00DB238B">
        <w:t xml:space="preserve">в 6-месячном исследовании </w:t>
      </w:r>
      <w:r w:rsidR="008E1C99" w:rsidRPr="00DB238B">
        <w:t xml:space="preserve">токсичности </w:t>
      </w:r>
      <w:r w:rsidR="008E1C99">
        <w:t xml:space="preserve">с 1-месячным периодом восстановления </w:t>
      </w:r>
      <w:r w:rsidR="00577548" w:rsidRPr="00DB238B">
        <w:t>на крыса</w:t>
      </w:r>
      <w:r w:rsidR="00DB238B" w:rsidRPr="00DB238B">
        <w:t xml:space="preserve">х </w:t>
      </w:r>
      <w:r w:rsidR="008E1C99">
        <w:t>и 1</w:t>
      </w:r>
      <w:r w:rsidR="008E1C99" w:rsidRPr="00DB238B">
        <w:t xml:space="preserve">-месячном исследовании токсичности </w:t>
      </w:r>
      <w:r w:rsidR="008E1C99">
        <w:t xml:space="preserve">с 1-месячным периодом восстановления </w:t>
      </w:r>
      <w:r w:rsidR="008E1C99" w:rsidRPr="00DB238B">
        <w:t xml:space="preserve">на </w:t>
      </w:r>
      <w:r w:rsidR="00B1359D">
        <w:t xml:space="preserve">обезьянах </w:t>
      </w:r>
      <w:r>
        <w:t>выявлена примесь</w:t>
      </w:r>
      <w:r w:rsidR="00B1359D">
        <w:t xml:space="preserve"> </w:t>
      </w:r>
      <w:r w:rsidR="00B1359D" w:rsidRPr="00B1359D">
        <w:t>43798-2-1H</w:t>
      </w:r>
      <w:r w:rsidR="00C17F62">
        <w:t xml:space="preserve">, в 6-месячном исследовании на крысах и 39-недельном исследовании на обезьянах – </w:t>
      </w:r>
      <w:r>
        <w:t xml:space="preserve">примесь </w:t>
      </w:r>
      <w:r w:rsidR="005D48BE" w:rsidRPr="005D48BE">
        <w:t>54422-88-1F</w:t>
      </w:r>
      <w:r w:rsidR="00AC2ABC">
        <w:t xml:space="preserve">, в </w:t>
      </w:r>
      <w:r w:rsidR="00A04244">
        <w:t xml:space="preserve">6-месячном исследовании канцерогенности на мышах – </w:t>
      </w:r>
      <w:r>
        <w:t xml:space="preserve">примесь </w:t>
      </w:r>
      <w:r w:rsidR="00A04244">
        <w:rPr>
          <w:lang w:val="en-US"/>
        </w:rPr>
        <w:t>E</w:t>
      </w:r>
      <w:r w:rsidR="00A04244" w:rsidRPr="00A04244">
        <w:t>010</w:t>
      </w:r>
      <w:r w:rsidR="002646B2" w:rsidRPr="002646B2">
        <w:t>008412</w:t>
      </w:r>
      <w:r w:rsidR="002646B2">
        <w:t xml:space="preserve">, а в 2-летнем исследовании канцерогенности на крысах – </w:t>
      </w:r>
      <w:r>
        <w:t xml:space="preserve">примесь </w:t>
      </w:r>
      <w:r w:rsidR="002646B2">
        <w:rPr>
          <w:lang w:val="en-US"/>
        </w:rPr>
        <w:t>E</w:t>
      </w:r>
      <w:r w:rsidR="002646B2" w:rsidRPr="00A04244">
        <w:t>010</w:t>
      </w:r>
      <w:r w:rsidR="002646B2" w:rsidRPr="002646B2">
        <w:t>00</w:t>
      </w:r>
      <w:r w:rsidR="005338F1">
        <w:t>6</w:t>
      </w:r>
      <w:r w:rsidR="002646B2" w:rsidRPr="002646B2">
        <w:t>4</w:t>
      </w:r>
      <w:r w:rsidR="005338F1">
        <w:t xml:space="preserve">88. </w:t>
      </w:r>
      <w:r w:rsidR="0080735F">
        <w:t>На основ</w:t>
      </w:r>
      <w:r w:rsidR="000E41F1">
        <w:t>ании</w:t>
      </w:r>
      <w:r w:rsidR="0080735F">
        <w:t xml:space="preserve"> ожидаемо</w:t>
      </w:r>
      <w:r w:rsidR="000E41F1">
        <w:t>й</w:t>
      </w:r>
      <w:r w:rsidR="0080735F">
        <w:t xml:space="preserve"> </w:t>
      </w:r>
      <w:r w:rsidR="00AC35FB">
        <w:t>экспозиции</w:t>
      </w:r>
      <w:r w:rsidR="0080735F">
        <w:t xml:space="preserve"> примес</w:t>
      </w:r>
      <w:r>
        <w:t>ей</w:t>
      </w:r>
      <w:r w:rsidR="0080735F">
        <w:t xml:space="preserve"> (при условии аналогичных параметров </w:t>
      </w:r>
      <w:r w:rsidR="00887CB2">
        <w:t xml:space="preserve">абсорбции, распределения, метаболизма и экскреции </w:t>
      </w:r>
      <w:r w:rsidR="00BA7E32">
        <w:rPr>
          <w:rFonts w:cs="Times New Roman"/>
        </w:rPr>
        <w:t>[</w:t>
      </w:r>
      <w:r w:rsidR="00887CB2" w:rsidRPr="00887CB2">
        <w:t>Absorbtion Distribution Metabolism and Excretion</w:t>
      </w:r>
      <w:r w:rsidR="00887CB2">
        <w:t xml:space="preserve">, </w:t>
      </w:r>
      <w:r w:rsidR="0080735F">
        <w:t>ADME</w:t>
      </w:r>
      <w:r w:rsidR="00BA7E32">
        <w:rPr>
          <w:rFonts w:cs="Times New Roman"/>
        </w:rPr>
        <w:t>]</w:t>
      </w:r>
      <w:r w:rsidR="0080735F">
        <w:t xml:space="preserve"> и </w:t>
      </w:r>
      <w:r w:rsidR="00887CB2">
        <w:t>показателей фармакокинетики</w:t>
      </w:r>
      <w:r w:rsidR="0080735F">
        <w:t xml:space="preserve"> между исходным соединением и примесью/</w:t>
      </w:r>
      <w:r w:rsidR="002A536F">
        <w:t>продуктом разложения</w:t>
      </w:r>
      <w:r w:rsidR="0080735F">
        <w:t xml:space="preserve">), экспозиция </w:t>
      </w:r>
      <w:r w:rsidR="0018427F">
        <w:t>примес</w:t>
      </w:r>
      <w:r>
        <w:t>ей</w:t>
      </w:r>
      <w:r w:rsidR="0018427F">
        <w:t xml:space="preserve"> </w:t>
      </w:r>
      <w:r w:rsidR="0080735F">
        <w:t xml:space="preserve">в </w:t>
      </w:r>
      <w:r w:rsidR="0018427F">
        <w:t xml:space="preserve">2-летнем </w:t>
      </w:r>
      <w:r w:rsidR="0080735F">
        <w:t>исследовании канцерогенности на крысах намного превышает</w:t>
      </w:r>
      <w:r w:rsidR="009022A9">
        <w:t xml:space="preserve"> </w:t>
      </w:r>
      <w:r w:rsidR="00BE4EC8">
        <w:t>эк</w:t>
      </w:r>
      <w:r w:rsidR="009022A9">
        <w:t>спозицию</w:t>
      </w:r>
      <w:r w:rsidR="0080735F">
        <w:t xml:space="preserve"> примес</w:t>
      </w:r>
      <w:r>
        <w:t>ей</w:t>
      </w:r>
      <w:r w:rsidR="0080735F">
        <w:t>/</w:t>
      </w:r>
      <w:r w:rsidR="002A536F">
        <w:t>продукт</w:t>
      </w:r>
      <w:r>
        <w:t>ов</w:t>
      </w:r>
      <w:r w:rsidR="002A536F">
        <w:t xml:space="preserve"> разложения</w:t>
      </w:r>
      <w:r w:rsidR="0080735F">
        <w:t xml:space="preserve"> </w:t>
      </w:r>
      <w:r w:rsidR="00751082">
        <w:t xml:space="preserve">у </w:t>
      </w:r>
      <w:r w:rsidR="0080735F">
        <w:t xml:space="preserve">пациентов при максимальной клинической дозе. Учитывая эти </w:t>
      </w:r>
      <w:r w:rsidR="00D36DB8">
        <w:t>отношения</w:t>
      </w:r>
      <w:r w:rsidR="0080735F">
        <w:t xml:space="preserve"> системно</w:t>
      </w:r>
      <w:r w:rsidR="00D36DB8">
        <w:t>й</w:t>
      </w:r>
      <w:r w:rsidR="0080735F">
        <w:t xml:space="preserve"> </w:t>
      </w:r>
      <w:r w:rsidR="00D36DB8">
        <w:t>экспозиции</w:t>
      </w:r>
      <w:r w:rsidR="0080735F">
        <w:t xml:space="preserve">, </w:t>
      </w:r>
      <w:r w:rsidR="00D36DB8">
        <w:t xml:space="preserve">содержание </w:t>
      </w:r>
      <w:r w:rsidR="0080735F">
        <w:t>примес</w:t>
      </w:r>
      <w:r w:rsidR="00D36DB8">
        <w:t>ей</w:t>
      </w:r>
      <w:r w:rsidR="0080735F">
        <w:t xml:space="preserve"> соответств</w:t>
      </w:r>
      <w:r w:rsidR="00D36DB8">
        <w:t>овало</w:t>
      </w:r>
      <w:r w:rsidR="0080735F">
        <w:t xml:space="preserve"> заявленн</w:t>
      </w:r>
      <w:r w:rsidR="00D36DB8">
        <w:t>ому в</w:t>
      </w:r>
      <w:r w:rsidR="0080735F">
        <w:t xml:space="preserve"> спецификаци</w:t>
      </w:r>
      <w:r w:rsidR="00D36DB8">
        <w:t>и</w:t>
      </w:r>
      <w:r w:rsidR="002928D1">
        <w:t>.</w:t>
      </w:r>
      <w:r w:rsidR="00A1229B">
        <w:t xml:space="preserve"> </w:t>
      </w:r>
      <w:r w:rsidR="004E011E">
        <w:t>В связи с тем, что</w:t>
      </w:r>
      <w:r w:rsidR="002928D1">
        <w:t xml:space="preserve"> примеси/</w:t>
      </w:r>
      <w:r w:rsidR="002A536F">
        <w:t>продукты разло</w:t>
      </w:r>
      <w:r w:rsidR="004E011E">
        <w:t>жения</w:t>
      </w:r>
      <w:r w:rsidR="002928D1">
        <w:t xml:space="preserve"> </w:t>
      </w:r>
      <w:r w:rsidR="001F4DD3" w:rsidRPr="001F4DD3">
        <w:t xml:space="preserve">тофацитиниба </w:t>
      </w:r>
      <w:r w:rsidR="002928D1">
        <w:t xml:space="preserve">содержат те же структурные </w:t>
      </w:r>
      <w:r w:rsidR="008A4BB3">
        <w:t>признаки токсичности</w:t>
      </w:r>
      <w:r w:rsidR="002928D1">
        <w:t>, что и исход</w:t>
      </w:r>
      <w:r w:rsidR="008A4BB3">
        <w:t>ная молекула,</w:t>
      </w:r>
      <w:r w:rsidR="002928D1">
        <w:t xml:space="preserve"> </w:t>
      </w:r>
      <w:r w:rsidR="008A4BB3">
        <w:t>результаты оценки которой</w:t>
      </w:r>
      <w:r w:rsidR="002928D1">
        <w:t xml:space="preserve"> в батарее генетических токсикологических </w:t>
      </w:r>
      <w:r w:rsidR="008A4BB3">
        <w:t xml:space="preserve">тестов </w:t>
      </w:r>
      <w:r w:rsidR="008A4BB3">
        <w:lastRenderedPageBreak/>
        <w:t>были</w:t>
      </w:r>
      <w:r w:rsidR="008A4BB3" w:rsidRPr="008A4BB3">
        <w:t xml:space="preserve"> </w:t>
      </w:r>
      <w:r w:rsidR="008A4BB3">
        <w:t>отрицательными</w:t>
      </w:r>
      <w:r w:rsidR="002928D1">
        <w:t>, примеси/</w:t>
      </w:r>
      <w:r w:rsidR="008A4BB3">
        <w:t>продукты разложения</w:t>
      </w:r>
      <w:r w:rsidR="002928D1">
        <w:t xml:space="preserve"> также не </w:t>
      </w:r>
      <w:r w:rsidR="008A4BB3">
        <w:t>обладают</w:t>
      </w:r>
      <w:r w:rsidR="002928D1">
        <w:t xml:space="preserve"> генотоксичн</w:t>
      </w:r>
      <w:r w:rsidR="008A4BB3">
        <w:t>остью</w:t>
      </w:r>
      <w:r w:rsidR="002928D1">
        <w:t>. Также на основании выводов в исследования</w:t>
      </w:r>
      <w:r w:rsidR="008A4BB3">
        <w:t>х</w:t>
      </w:r>
      <w:r w:rsidR="002928D1">
        <w:t xml:space="preserve"> канцерогенности и предполагаемо</w:t>
      </w:r>
      <w:r w:rsidR="008A4BB3">
        <w:t>й</w:t>
      </w:r>
      <w:r w:rsidR="002928D1">
        <w:t xml:space="preserve"> </w:t>
      </w:r>
      <w:r w:rsidR="008A4BB3">
        <w:t>экспозиции</w:t>
      </w:r>
      <w:r w:rsidR="002928D1">
        <w:t xml:space="preserve"> примес</w:t>
      </w:r>
      <w:r>
        <w:t>ей</w:t>
      </w:r>
      <w:r w:rsidR="002928D1">
        <w:t xml:space="preserve"> в этих исследованиях, по сравнению с потенциальн</w:t>
      </w:r>
      <w:r w:rsidR="008A4BB3">
        <w:t xml:space="preserve">ой экспозицией </w:t>
      </w:r>
      <w:r w:rsidR="002928D1">
        <w:t xml:space="preserve">у пациентов при максимальной рекомендуемой дозе, существует, по крайней мере, предел </w:t>
      </w:r>
      <w:r w:rsidR="00DE549E">
        <w:t>экспозиции</w:t>
      </w:r>
      <w:r w:rsidR="002928D1">
        <w:t xml:space="preserve"> примес</w:t>
      </w:r>
      <w:r>
        <w:t>ей</w:t>
      </w:r>
      <w:r w:rsidR="002928D1">
        <w:t>/продукт</w:t>
      </w:r>
      <w:r>
        <w:t>ов</w:t>
      </w:r>
      <w:r w:rsidR="002928D1">
        <w:t xml:space="preserve"> разложения.</w:t>
      </w:r>
      <w:r w:rsidR="00A13D45">
        <w:t xml:space="preserve"> Способствуют ли </w:t>
      </w:r>
      <w:r w:rsidR="002928D1">
        <w:t>примеси/деграданты появлению новообразований, неизвестн</w:t>
      </w:r>
      <w:r w:rsidR="00A13D45">
        <w:t>о</w:t>
      </w:r>
      <w:r w:rsidR="002928D1">
        <w:t>, но предлагаемый уровень спецификации этих примесей/продуктов разложения адекватно квалифицирован</w:t>
      </w:r>
      <w:r w:rsidR="00A13D45">
        <w:t xml:space="preserve"> и</w:t>
      </w:r>
      <w:r w:rsidR="002928D1">
        <w:t xml:space="preserve"> включен в токсикологический профиль </w:t>
      </w:r>
      <w:r w:rsidR="00BB7B1C">
        <w:t>активного фармацевтического ингредиента</w:t>
      </w:r>
      <w:r w:rsidR="008E1C99" w:rsidRPr="00DB238B">
        <w:t xml:space="preserve"> </w:t>
      </w:r>
      <w:r w:rsidR="004775F1" w:rsidRPr="00DB238B">
        <w:rPr>
          <w:lang w:val="en-US"/>
        </w:rPr>
        <w:fldChar w:fldCharType="begin"/>
      </w:r>
      <w:r w:rsidR="00044A89">
        <w:instrText xml:space="preserve"> ADDIN ZOTERO_ITEM CSL_CITATION {"citationID":"QiA7qR5w","properties":{"formattedCitation":"[12]","plainCitation":"[12]","noteIndex":0},"citationItems":[{"id":87803,"uris":["http://zotero.org/groups/4742804/items/DMZ5DFPG"],"itemData":{"id":87803,"type":"webpage","title":"Xeljanz (tofacitinib) Tablets. Company:  Pfizer Inc. Application No.:  203214. Approval Date: 11/06/2012. Pharmacology Review","URL":"https://www.accessdata.fda.gov/drugsatfda_docs/nda/2012/203214Orig1s000TOC.cfm","accessed":{"date-parts":[["2022",8,3]]}}}],"schema":"https://github.com/citation-style-language/schema/raw/master/csl-citation.json"} </w:instrText>
      </w:r>
      <w:r w:rsidR="004775F1" w:rsidRPr="00DB238B">
        <w:rPr>
          <w:lang w:val="en-US"/>
        </w:rPr>
        <w:fldChar w:fldCharType="separate"/>
      </w:r>
      <w:r w:rsidR="00D46D1F">
        <w:rPr>
          <w:rFonts w:cs="Times New Roman"/>
        </w:rPr>
        <w:t>[1</w:t>
      </w:r>
      <w:r w:rsidR="00044A89" w:rsidRPr="00044A89">
        <w:rPr>
          <w:rFonts w:cs="Times New Roman"/>
        </w:rPr>
        <w:t>]</w:t>
      </w:r>
      <w:r w:rsidR="004775F1" w:rsidRPr="00DB238B">
        <w:rPr>
          <w:lang w:val="en-US"/>
        </w:rPr>
        <w:fldChar w:fldCharType="end"/>
      </w:r>
      <w:r w:rsidR="002928D1">
        <w:t>.</w:t>
      </w:r>
    </w:p>
    <w:p w14:paraId="3061142E" w14:textId="0DF02852" w:rsidR="00EF16E4" w:rsidRDefault="00EF16E4" w:rsidP="00017DA2">
      <w:pPr>
        <w:pStyle w:val="SDText"/>
        <w:spacing w:after="0"/>
        <w:contextualSpacing/>
      </w:pPr>
      <w:r w:rsidRPr="00EF16E4">
        <w:t xml:space="preserve">В лекарственной субстанции </w:t>
      </w:r>
      <w:r>
        <w:t>определяются</w:t>
      </w:r>
      <w:r w:rsidRPr="00EF16E4">
        <w:t xml:space="preserve"> </w:t>
      </w:r>
      <w:r>
        <w:t>7</w:t>
      </w:r>
      <w:r w:rsidRPr="00EF16E4">
        <w:t xml:space="preserve"> примесей. Во время перв</w:t>
      </w:r>
      <w:r w:rsidR="00631A89">
        <w:t xml:space="preserve">ичной регистрации препарата </w:t>
      </w:r>
      <w:r w:rsidRPr="00EF16E4">
        <w:t>нерешенн</w:t>
      </w:r>
      <w:r w:rsidR="00631A89">
        <w:t>ая проблема</w:t>
      </w:r>
      <w:r w:rsidRPr="00EF16E4">
        <w:t xml:space="preserve"> был</w:t>
      </w:r>
      <w:r w:rsidR="00631A89">
        <w:t>а</w:t>
      </w:r>
      <w:r w:rsidRPr="00EF16E4">
        <w:t xml:space="preserve"> связан</w:t>
      </w:r>
      <w:r w:rsidR="00631A89">
        <w:t>а</w:t>
      </w:r>
      <w:r w:rsidRPr="00EF16E4">
        <w:t xml:space="preserve"> с квалификацией примесей фармацевтических субстанций, </w:t>
      </w:r>
      <w:r w:rsidR="00631A89">
        <w:t>составлявших</w:t>
      </w:r>
      <w:r w:rsidRPr="00EF16E4">
        <w:t xml:space="preserve"> выше 0,15%, в соответствии с </w:t>
      </w:r>
      <w:r w:rsidR="00DF4741" w:rsidRPr="00DF4741">
        <w:t>Международны</w:t>
      </w:r>
      <w:r w:rsidR="00DF4741">
        <w:t>м</w:t>
      </w:r>
      <w:r w:rsidR="00DF4741" w:rsidRPr="00DF4741">
        <w:t xml:space="preserve"> совет</w:t>
      </w:r>
      <w:r w:rsidR="00DF4741">
        <w:t>ом</w:t>
      </w:r>
      <w:r w:rsidR="00DF4741" w:rsidRPr="00DF4741">
        <w:t xml:space="preserve"> по гармонизации технических требований к лекарственным препаратам для медицинского применения у людей (International council for harmonisation of technical requirements for pharmaceuticals for human use</w:t>
      </w:r>
      <w:r w:rsidR="00DF4741">
        <w:t xml:space="preserve">, </w:t>
      </w:r>
      <w:r w:rsidRPr="00EF16E4">
        <w:t>ICH</w:t>
      </w:r>
      <w:r w:rsidR="00DF4741">
        <w:t>)</w:t>
      </w:r>
      <w:r w:rsidRPr="00EF16E4">
        <w:t xml:space="preserve"> Q3A: отсутствовала структурная оценка с помощью инструмента </w:t>
      </w:r>
      <w:r w:rsidRPr="00DF4741">
        <w:rPr>
          <w:i/>
          <w:iCs/>
        </w:rPr>
        <w:t>in silico</w:t>
      </w:r>
      <w:r w:rsidRPr="00EF16E4">
        <w:t xml:space="preserve"> для примеси CP-703058 и поскольку примесь PF 05198213 не присутствовал</w:t>
      </w:r>
      <w:r w:rsidR="00DF4741">
        <w:t>а</w:t>
      </w:r>
      <w:r w:rsidRPr="00EF16E4">
        <w:t xml:space="preserve"> в партиях, использованных в исследованиях генотоксичности, а только в партии, использованной в 39-недельном исследовании молодых обезьян, была запрошена тщательная характеристика генотоксичности на основе анализа мутагенности бактерий в соответствии с ICH M7</w:t>
      </w:r>
      <w:r w:rsidR="00AB71CE">
        <w:t xml:space="preserve"> </w:t>
      </w:r>
      <w:r w:rsidR="00AB71CE">
        <w:fldChar w:fldCharType="begin"/>
      </w:r>
      <w:r w:rsidR="00AB71CE">
        <w:instrText xml:space="preserve"> ADDIN ZOTERO_ITEM CSL_CITATION {"citationID":"DC4UmYDZ","properties":{"formattedCitation":"[21]","plainCitation":"[21]","noteIndex":0},"citationItems":[{"id":91153,"uris":["http://zotero.org/groups/4742804/items/UAUYPBRD"],"itemData":{"id":91153,"type":"webpage","title":"Xeljanz.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AB71CE">
        <w:fldChar w:fldCharType="separate"/>
      </w:r>
      <w:r w:rsidR="00D46D1F">
        <w:rPr>
          <w:rFonts w:cs="Times New Roman"/>
        </w:rPr>
        <w:t>[</w:t>
      </w:r>
      <w:r w:rsidR="00AB71CE" w:rsidRPr="00AB71CE">
        <w:rPr>
          <w:rFonts w:cs="Times New Roman"/>
        </w:rPr>
        <w:t>1</w:t>
      </w:r>
      <w:r w:rsidR="00D46D1F">
        <w:rPr>
          <w:rFonts w:cs="Times New Roman"/>
        </w:rPr>
        <w:t>0</w:t>
      </w:r>
      <w:r w:rsidR="00AB71CE" w:rsidRPr="00AB71CE">
        <w:rPr>
          <w:rFonts w:cs="Times New Roman"/>
        </w:rPr>
        <w:t>]</w:t>
      </w:r>
      <w:r w:rsidR="00AB71CE">
        <w:fldChar w:fldCharType="end"/>
      </w:r>
      <w:r w:rsidR="00737B26">
        <w:t>.</w:t>
      </w:r>
    </w:p>
    <w:p w14:paraId="15D97389" w14:textId="4F424137" w:rsidR="0088281E" w:rsidRDefault="0088281E" w:rsidP="00017DA2">
      <w:pPr>
        <w:pStyle w:val="SDText"/>
        <w:spacing w:after="0"/>
        <w:contextualSpacing/>
      </w:pPr>
      <w:r>
        <w:t xml:space="preserve">После оценки </w:t>
      </w:r>
      <w:r w:rsidRPr="0088281E">
        <w:rPr>
          <w:i/>
          <w:iCs/>
        </w:rPr>
        <w:t>in silico</w:t>
      </w:r>
      <w:r>
        <w:t xml:space="preserve"> отчетов о рисках мутагенности на основе структуры (DEREK и SARAH Nexus с </w:t>
      </w:r>
      <w:r w:rsidRPr="0088281E">
        <w:t>использованием</w:t>
      </w:r>
      <w:r>
        <w:t xml:space="preserve"> параметров ICH M7) </w:t>
      </w:r>
      <w:r w:rsidR="008254AC">
        <w:t xml:space="preserve">примесь </w:t>
      </w:r>
      <w:r>
        <w:t>CP-703058 сочли не обладающ</w:t>
      </w:r>
      <w:r w:rsidR="008254AC">
        <w:t>ей</w:t>
      </w:r>
      <w:r>
        <w:t xml:space="preserve"> мутагенными свойствами </w:t>
      </w:r>
      <w:r>
        <w:fldChar w:fldCharType="begin"/>
      </w:r>
      <w:r w:rsidR="00FC52EB">
        <w:instrText xml:space="preserve"> ADDIN ZOTERO_ITEM CSL_CITATION {"citationID":"O1nAErj7","properties":{"formattedCitation":"[21]","plainCitation":"[21]","noteIndex":0},"citationItems":[{"id":91153,"uris":["http://zotero.org/groups/4742804/items/UAUYPBRD"],"itemData":{"id":91153,"type":"webpage","title":"Xeljanz.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D46D1F">
        <w:rPr>
          <w:rFonts w:cs="Times New Roman"/>
        </w:rPr>
        <w:t>[</w:t>
      </w:r>
      <w:r w:rsidRPr="00AB71CE">
        <w:rPr>
          <w:rFonts w:cs="Times New Roman"/>
        </w:rPr>
        <w:t>1</w:t>
      </w:r>
      <w:r w:rsidR="00D46D1F">
        <w:rPr>
          <w:rFonts w:cs="Times New Roman"/>
        </w:rPr>
        <w:t>0</w:t>
      </w:r>
      <w:r w:rsidRPr="00AB71CE">
        <w:rPr>
          <w:rFonts w:cs="Times New Roman"/>
        </w:rPr>
        <w:t>]</w:t>
      </w:r>
      <w:r>
        <w:fldChar w:fldCharType="end"/>
      </w:r>
      <w:r>
        <w:t>.</w:t>
      </w:r>
    </w:p>
    <w:p w14:paraId="2D0F0B2A" w14:textId="6F840B22" w:rsidR="0088281E" w:rsidRPr="00AA513A" w:rsidRDefault="0088281E" w:rsidP="00017DA2">
      <w:pPr>
        <w:pStyle w:val="SDText"/>
        <w:spacing w:after="0"/>
        <w:contextualSpacing/>
      </w:pPr>
      <w:r>
        <w:t xml:space="preserve">Что касается потенциальной генотоксичности примеси PF-051 98213, </w:t>
      </w:r>
      <w:r w:rsidR="00AF639C">
        <w:t xml:space="preserve">при </w:t>
      </w:r>
      <w:r>
        <w:t>тщательн</w:t>
      </w:r>
      <w:r w:rsidR="00AF639C">
        <w:t>ой</w:t>
      </w:r>
      <w:r>
        <w:t xml:space="preserve"> переоценк</w:t>
      </w:r>
      <w:r w:rsidR="00AF639C">
        <w:t>е</w:t>
      </w:r>
      <w:r>
        <w:t xml:space="preserve"> этого вопроса, в основном сосредоточенн</w:t>
      </w:r>
      <w:r w:rsidR="00AF639C">
        <w:t>ой</w:t>
      </w:r>
      <w:r>
        <w:t xml:space="preserve"> на нитрильном фрагменте, электрофильности и других физико-химических </w:t>
      </w:r>
      <w:r w:rsidR="00AF639C">
        <w:t>свойствах</w:t>
      </w:r>
      <w:r>
        <w:t>, показал</w:t>
      </w:r>
      <w:r w:rsidR="00AF639C">
        <w:t>и</w:t>
      </w:r>
      <w:r>
        <w:t xml:space="preserve">, что примесь </w:t>
      </w:r>
      <w:r w:rsidR="00D65DE6">
        <w:t>не обладала генотоксическими свойствами</w:t>
      </w:r>
      <w:r>
        <w:t xml:space="preserve"> в двух комплементарных </w:t>
      </w:r>
      <w:r w:rsidRPr="0088281E">
        <w:rPr>
          <w:i/>
          <w:iCs/>
        </w:rPr>
        <w:t>in silico</w:t>
      </w:r>
      <w:r>
        <w:t xml:space="preserve"> (DREK и SARAH) </w:t>
      </w:r>
      <w:r w:rsidR="00D65DE6">
        <w:t xml:space="preserve">исследованиях </w:t>
      </w:r>
      <w:r>
        <w:t xml:space="preserve">и что </w:t>
      </w:r>
      <w:r w:rsidR="00880B13">
        <w:t>оценка</w:t>
      </w:r>
      <w:r>
        <w:t xml:space="preserve"> QSAR был</w:t>
      </w:r>
      <w:r w:rsidR="00880B13">
        <w:t>а</w:t>
      </w:r>
      <w:r>
        <w:t xml:space="preserve"> надежн</w:t>
      </w:r>
      <w:r w:rsidR="00880B13">
        <w:t>ой</w:t>
      </w:r>
      <w:r w:rsidRPr="0088281E">
        <w:t xml:space="preserve"> </w:t>
      </w:r>
      <w:r>
        <w:fldChar w:fldCharType="begin"/>
      </w:r>
      <w:r w:rsidR="00FC52EB">
        <w:instrText xml:space="preserve"> ADDIN ZOTERO_ITEM CSL_CITATION {"citationID":"9uQn6d4u","properties":{"formattedCitation":"[21]","plainCitation":"[21]","noteIndex":0},"citationItems":[{"id":91153,"uris":["http://zotero.org/groups/4742804/items/UAUYPBRD"],"itemData":{"id":91153,"type":"webpage","title":"Xeljanz.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D46D1F">
        <w:rPr>
          <w:rFonts w:cs="Times New Roman"/>
        </w:rPr>
        <w:t>[</w:t>
      </w:r>
      <w:r w:rsidRPr="00AB71CE">
        <w:rPr>
          <w:rFonts w:cs="Times New Roman"/>
        </w:rPr>
        <w:t>1</w:t>
      </w:r>
      <w:r w:rsidR="00D46D1F">
        <w:rPr>
          <w:rFonts w:cs="Times New Roman"/>
        </w:rPr>
        <w:t>0</w:t>
      </w:r>
      <w:r w:rsidRPr="00AB71CE">
        <w:rPr>
          <w:rFonts w:cs="Times New Roman"/>
        </w:rPr>
        <w:t>]</w:t>
      </w:r>
      <w:r>
        <w:fldChar w:fldCharType="end"/>
      </w:r>
      <w:r>
        <w:t>.</w:t>
      </w:r>
    </w:p>
    <w:p w14:paraId="393887F5" w14:textId="77777777" w:rsidR="00D76414" w:rsidRPr="00AA513A" w:rsidRDefault="00D76414" w:rsidP="00017DA2">
      <w:pPr>
        <w:pStyle w:val="SDText"/>
        <w:spacing w:after="0"/>
        <w:contextualSpacing/>
      </w:pPr>
    </w:p>
    <w:p w14:paraId="48C493E6" w14:textId="0BF244EE" w:rsidR="00D76414" w:rsidRDefault="00D76414" w:rsidP="000A714E">
      <w:pPr>
        <w:pStyle w:val="2"/>
        <w:numPr>
          <w:ilvl w:val="0"/>
          <w:numId w:val="0"/>
        </w:numPr>
        <w:ind w:left="576" w:hanging="576"/>
      </w:pPr>
      <w:bookmarkStart w:id="186" w:name="_Toc121592592"/>
      <w:r w:rsidRPr="00D76414">
        <w:t xml:space="preserve">Список </w:t>
      </w:r>
      <w:r w:rsidRPr="00B20C48">
        <w:t>литературы</w:t>
      </w:r>
      <w:bookmarkEnd w:id="186"/>
    </w:p>
    <w:p w14:paraId="37AC1B14" w14:textId="77777777" w:rsidR="00D46D1F" w:rsidRDefault="00D46D1F" w:rsidP="00017DA2">
      <w:pPr>
        <w:pStyle w:val="SDText"/>
        <w:spacing w:after="0"/>
      </w:pPr>
    </w:p>
    <w:p w14:paraId="7CE97527" w14:textId="23326D82" w:rsidR="00D46D1F" w:rsidRPr="00512EE4" w:rsidRDefault="00D46D1F" w:rsidP="00017DA2">
      <w:pPr>
        <w:pStyle w:val="ab"/>
        <w:rPr>
          <w:rFonts w:cs="Times New Roman"/>
          <w:lang w:val="en-US"/>
        </w:rPr>
      </w:pPr>
      <w:r w:rsidRPr="00D710DE">
        <w:rPr>
          <w:rFonts w:cs="Times New Roman"/>
        </w:rPr>
        <w:t>1.</w:t>
      </w:r>
      <w:r w:rsidRPr="00D710DE">
        <w:rPr>
          <w:rFonts w:cs="Times New Roman"/>
        </w:rPr>
        <w:tab/>
      </w:r>
      <w:r w:rsidRPr="00512EE4">
        <w:rPr>
          <w:rFonts w:cs="Times New Roman"/>
          <w:lang w:val="en-US"/>
        </w:rPr>
        <w:t>Xeljanz</w:t>
      </w:r>
      <w:r w:rsidRPr="00D710DE">
        <w:rPr>
          <w:rFonts w:cs="Times New Roman"/>
        </w:rPr>
        <w:t xml:space="preserve"> (</w:t>
      </w:r>
      <w:r w:rsidRPr="00512EE4">
        <w:rPr>
          <w:rFonts w:cs="Times New Roman"/>
          <w:lang w:val="en-US"/>
        </w:rPr>
        <w:t>tofacitinib</w:t>
      </w:r>
      <w:r w:rsidRPr="00D710DE">
        <w:rPr>
          <w:rFonts w:cs="Times New Roman"/>
        </w:rPr>
        <w:t xml:space="preserve">) </w:t>
      </w:r>
      <w:r w:rsidRPr="00512EE4">
        <w:rPr>
          <w:rFonts w:cs="Times New Roman"/>
          <w:lang w:val="en-US"/>
        </w:rPr>
        <w:t>Tablets</w:t>
      </w:r>
      <w:r w:rsidRPr="00D710DE">
        <w:rPr>
          <w:rFonts w:cs="Times New Roman"/>
        </w:rPr>
        <w:t xml:space="preserve">. </w:t>
      </w:r>
      <w:r w:rsidRPr="00512EE4">
        <w:rPr>
          <w:rFonts w:cs="Times New Roman"/>
          <w:lang w:val="en-US"/>
        </w:rPr>
        <w:t>Company:</w:t>
      </w:r>
      <w:r w:rsidR="00383E6F">
        <w:rPr>
          <w:rFonts w:cs="Times New Roman"/>
          <w:lang w:val="en-US"/>
        </w:rPr>
        <w:t xml:space="preserve"> </w:t>
      </w:r>
      <w:r w:rsidRPr="00512EE4">
        <w:rPr>
          <w:rFonts w:cs="Times New Roman"/>
          <w:lang w:val="en-US"/>
        </w:rPr>
        <w:t>Pfizer Inc. Application No.:</w:t>
      </w:r>
      <w:r w:rsidR="00383E6F">
        <w:rPr>
          <w:rFonts w:cs="Times New Roman"/>
          <w:lang w:val="en-US"/>
        </w:rPr>
        <w:t xml:space="preserve"> </w:t>
      </w:r>
      <w:r w:rsidRPr="00512EE4">
        <w:rPr>
          <w:rFonts w:cs="Times New Roman"/>
          <w:lang w:val="en-US"/>
        </w:rPr>
        <w:t>203214. Approval Date: 11/06/2012. Pharmacology Review [Electronic resource]. URL: https://www.accessdata.fda.gov/drugsatfda_docs/nda/2012/203214Orig1s000TOC.cfm (accessed: 03.08.2022).</w:t>
      </w:r>
    </w:p>
    <w:p w14:paraId="23405DF1" w14:textId="77777777" w:rsidR="00D46D1F" w:rsidRPr="00512EE4" w:rsidRDefault="00D46D1F" w:rsidP="00017DA2">
      <w:pPr>
        <w:pStyle w:val="ab"/>
        <w:rPr>
          <w:rFonts w:cs="Times New Roman"/>
          <w:lang w:val="en-US"/>
        </w:rPr>
      </w:pPr>
      <w:r w:rsidRPr="00D46D1F">
        <w:rPr>
          <w:rFonts w:cs="Times New Roman"/>
          <w:lang w:val="en-US"/>
        </w:rPr>
        <w:t>2</w:t>
      </w:r>
      <w:r w:rsidRPr="00512EE4">
        <w:rPr>
          <w:rFonts w:cs="Times New Roman"/>
          <w:lang w:val="en-US"/>
        </w:rPr>
        <w:t>.</w:t>
      </w:r>
      <w:r w:rsidRPr="00512EE4">
        <w:rPr>
          <w:rFonts w:cs="Times New Roman"/>
          <w:lang w:val="en-US"/>
        </w:rPr>
        <w:tab/>
        <w:t>Vidal B. et al. Effects of tofacitinib in early arthritis-induced bone loss in an adjuvant-induced arthritis rat model // Rheumatology. Oxford University Press, 2018. Vol. 57, № 8. P. 1461–1471.</w:t>
      </w:r>
    </w:p>
    <w:p w14:paraId="7760BB4B" w14:textId="77777777" w:rsidR="00D46D1F" w:rsidRPr="00512EE4" w:rsidRDefault="00D46D1F" w:rsidP="00017DA2">
      <w:pPr>
        <w:pStyle w:val="ab"/>
        <w:rPr>
          <w:rFonts w:cs="Times New Roman"/>
          <w:lang w:val="en-US"/>
        </w:rPr>
      </w:pPr>
      <w:r w:rsidRPr="00030C06">
        <w:rPr>
          <w:rFonts w:cs="Times New Roman"/>
          <w:lang w:val="en-US"/>
        </w:rPr>
        <w:t>3</w:t>
      </w:r>
      <w:r w:rsidRPr="00512EE4">
        <w:rPr>
          <w:rFonts w:cs="Times New Roman"/>
          <w:lang w:val="en-US"/>
        </w:rPr>
        <w:t>.</w:t>
      </w:r>
      <w:r w:rsidRPr="00512EE4">
        <w:rPr>
          <w:rFonts w:cs="Times New Roman"/>
          <w:lang w:val="en-US"/>
        </w:rPr>
        <w:tab/>
        <w:t>LaBranche T.P. et al. JAK inhibition with tofacitinib suppresses arthritic joint structural damage through decreased RANKL production // Arthritis Rheum. Wiley Online Library, 2012. Vol. 64, № 11. P. 3531–3542.</w:t>
      </w:r>
    </w:p>
    <w:p w14:paraId="54FE16CB" w14:textId="77777777" w:rsidR="00D46D1F" w:rsidRPr="00512EE4" w:rsidRDefault="00D46D1F" w:rsidP="00017DA2">
      <w:pPr>
        <w:pStyle w:val="ab"/>
        <w:rPr>
          <w:rFonts w:cs="Times New Roman"/>
          <w:lang w:val="en-US"/>
        </w:rPr>
      </w:pPr>
      <w:r w:rsidRPr="00D46D1F">
        <w:rPr>
          <w:rFonts w:cs="Times New Roman"/>
          <w:lang w:val="en-US"/>
        </w:rPr>
        <w:t>4</w:t>
      </w:r>
      <w:r w:rsidRPr="00512EE4">
        <w:rPr>
          <w:rFonts w:cs="Times New Roman"/>
          <w:lang w:val="en-US"/>
        </w:rPr>
        <w:t>.</w:t>
      </w:r>
      <w:r w:rsidRPr="00512EE4">
        <w:rPr>
          <w:rFonts w:cs="Times New Roman"/>
          <w:lang w:val="en-US"/>
        </w:rPr>
        <w:tab/>
        <w:t>Gertel S. et al. Tofacitinib attenuates arthritis manifestations and reduces the pathogenic CD4 T cells in adjuvant arthritis rats // Clin. Immunol. 2017. Vol. 184. P. 77–81.</w:t>
      </w:r>
    </w:p>
    <w:p w14:paraId="32BD4ED3" w14:textId="77777777" w:rsidR="00D46D1F" w:rsidRPr="00512EE4" w:rsidRDefault="00D46D1F" w:rsidP="00017DA2">
      <w:pPr>
        <w:pStyle w:val="ab"/>
        <w:rPr>
          <w:rFonts w:cs="Times New Roman"/>
          <w:lang w:val="en-US"/>
        </w:rPr>
      </w:pPr>
      <w:r w:rsidRPr="00D46D1F">
        <w:rPr>
          <w:rFonts w:cs="Times New Roman"/>
          <w:lang w:val="en-US"/>
        </w:rPr>
        <w:t>5</w:t>
      </w:r>
      <w:r w:rsidRPr="00512EE4">
        <w:rPr>
          <w:rFonts w:cs="Times New Roman"/>
          <w:lang w:val="en-US"/>
        </w:rPr>
        <w:t>.</w:t>
      </w:r>
      <w:r w:rsidRPr="00512EE4">
        <w:rPr>
          <w:rFonts w:cs="Times New Roman"/>
          <w:lang w:val="en-US"/>
        </w:rPr>
        <w:tab/>
        <w:t>Yu R. et al. Modeling combined anti-inflammatory effects of dexamethasone and tofacitinib in arthritic rats // AAPS J. Springer, 2019. Vol. 21, № 5. P. 1–9.</w:t>
      </w:r>
    </w:p>
    <w:p w14:paraId="2385CFC4" w14:textId="77777777" w:rsidR="00D46D1F" w:rsidRPr="00512EE4" w:rsidRDefault="00D46D1F" w:rsidP="00017DA2">
      <w:pPr>
        <w:pStyle w:val="ab"/>
        <w:rPr>
          <w:rFonts w:cs="Times New Roman"/>
          <w:lang w:val="en-US"/>
        </w:rPr>
      </w:pPr>
      <w:r w:rsidRPr="00D46D1F">
        <w:rPr>
          <w:rFonts w:cs="Times New Roman"/>
          <w:lang w:val="en-US"/>
        </w:rPr>
        <w:t>6</w:t>
      </w:r>
      <w:r w:rsidRPr="00512EE4">
        <w:rPr>
          <w:rFonts w:cs="Times New Roman"/>
          <w:lang w:val="en-US"/>
        </w:rPr>
        <w:t>.</w:t>
      </w:r>
      <w:r w:rsidRPr="00512EE4">
        <w:rPr>
          <w:rFonts w:cs="Times New Roman"/>
          <w:lang w:val="en-US"/>
        </w:rPr>
        <w:tab/>
        <w:t>Yu R. et al. Interactions of tofacitinib and dexamethasone on lymphocyte proliferation // Pharm. Res. 2020. Vol. 37, № 6. P. 105.</w:t>
      </w:r>
    </w:p>
    <w:p w14:paraId="5F80673F" w14:textId="77777777" w:rsidR="00D46D1F" w:rsidRPr="00512EE4" w:rsidRDefault="00D46D1F" w:rsidP="00017DA2">
      <w:pPr>
        <w:pStyle w:val="ab"/>
        <w:rPr>
          <w:rFonts w:cs="Times New Roman"/>
          <w:lang w:val="en-US"/>
        </w:rPr>
      </w:pPr>
      <w:r w:rsidRPr="00030C06">
        <w:rPr>
          <w:rFonts w:cs="Times New Roman"/>
          <w:lang w:val="en-US"/>
        </w:rPr>
        <w:lastRenderedPageBreak/>
        <w:t>7</w:t>
      </w:r>
      <w:r w:rsidRPr="00512EE4">
        <w:rPr>
          <w:rFonts w:cs="Times New Roman"/>
          <w:lang w:val="en-US"/>
        </w:rPr>
        <w:t>.</w:t>
      </w:r>
      <w:r w:rsidRPr="00512EE4">
        <w:rPr>
          <w:rFonts w:cs="Times New Roman"/>
          <w:lang w:val="en-US"/>
        </w:rPr>
        <w:tab/>
        <w:t>Lee J.S., Kim S.H. Dose-dependent pharmacokinetics of tofacitinib in rats: influence of hepatic and intestinal first-pass metabolism: 7 // Pharmaceutics. Multidisciplinary Digital Publishing Institute, 2019. Vol. 11, № 7. P. 318.</w:t>
      </w:r>
    </w:p>
    <w:p w14:paraId="5C05BBF2" w14:textId="77777777" w:rsidR="00D46D1F" w:rsidRPr="00512EE4" w:rsidRDefault="00D46D1F" w:rsidP="00017DA2">
      <w:pPr>
        <w:pStyle w:val="ab"/>
        <w:rPr>
          <w:rFonts w:cs="Times New Roman"/>
          <w:lang w:val="en-US"/>
        </w:rPr>
      </w:pPr>
      <w:r w:rsidRPr="00D46D1F">
        <w:rPr>
          <w:rFonts w:cs="Times New Roman"/>
          <w:lang w:val="en-US"/>
        </w:rPr>
        <w:t>8</w:t>
      </w:r>
      <w:r w:rsidRPr="00512EE4">
        <w:rPr>
          <w:rFonts w:cs="Times New Roman"/>
          <w:lang w:val="en-US"/>
        </w:rPr>
        <w:t>.</w:t>
      </w:r>
      <w:r w:rsidRPr="00512EE4">
        <w:rPr>
          <w:rFonts w:cs="Times New Roman"/>
          <w:lang w:val="en-US"/>
        </w:rPr>
        <w:tab/>
        <w:t>Wang B. et al. Effects of naringenin on the pharmacokinetics of tofacitinib in rats // Pharm. Biol. Taylor &amp; Francis, 2020. Vol. 58, № 1. P. 225–230.</w:t>
      </w:r>
    </w:p>
    <w:p w14:paraId="63080782" w14:textId="77777777" w:rsidR="00D46D1F" w:rsidRPr="00512EE4" w:rsidRDefault="00D46D1F" w:rsidP="00017DA2">
      <w:pPr>
        <w:pStyle w:val="ab"/>
        <w:rPr>
          <w:rFonts w:cs="Times New Roman"/>
          <w:lang w:val="en-US"/>
        </w:rPr>
      </w:pPr>
      <w:r w:rsidRPr="00D46D1F">
        <w:rPr>
          <w:rFonts w:cs="Times New Roman"/>
          <w:lang w:val="en-US"/>
        </w:rPr>
        <w:t>9</w:t>
      </w:r>
      <w:r w:rsidRPr="00512EE4">
        <w:rPr>
          <w:rFonts w:cs="Times New Roman"/>
          <w:lang w:val="en-US"/>
        </w:rPr>
        <w:t>.</w:t>
      </w:r>
      <w:r w:rsidRPr="00512EE4">
        <w:rPr>
          <w:rFonts w:cs="Times New Roman"/>
          <w:lang w:val="en-US"/>
        </w:rPr>
        <w:tab/>
        <w:t>Lee J.-S. et al. Pharmacokinetic drug interaction between tofacitinib and voriconazole in rats: 5 // Pharmaceutics. Multidisciplinary Digital Publishing Institute, 2021. Vol. 13, № 5. P. 740.</w:t>
      </w:r>
    </w:p>
    <w:p w14:paraId="4614E2D6" w14:textId="77777777" w:rsidR="00D46D1F" w:rsidRPr="00512EE4" w:rsidRDefault="00D46D1F" w:rsidP="00017DA2">
      <w:pPr>
        <w:pStyle w:val="ab"/>
        <w:rPr>
          <w:rFonts w:cs="Times New Roman"/>
          <w:lang w:val="en-US"/>
        </w:rPr>
      </w:pPr>
      <w:r w:rsidRPr="00512EE4">
        <w:rPr>
          <w:rFonts w:cs="Times New Roman"/>
          <w:lang w:val="en-US"/>
        </w:rPr>
        <w:t>1</w:t>
      </w:r>
      <w:r w:rsidRPr="00D46D1F">
        <w:rPr>
          <w:rFonts w:cs="Times New Roman"/>
          <w:lang w:val="en-US"/>
        </w:rPr>
        <w:t>0</w:t>
      </w:r>
      <w:r w:rsidRPr="00512EE4">
        <w:rPr>
          <w:rFonts w:cs="Times New Roman"/>
          <w:lang w:val="en-US"/>
        </w:rPr>
        <w:t>.</w:t>
      </w:r>
      <w:r w:rsidRPr="00512EE4">
        <w:rPr>
          <w:rFonts w:cs="Times New Roman"/>
          <w:lang w:val="en-US"/>
        </w:rPr>
        <w:tab/>
        <w:t>EMA. Xeljanz. Assessment report [Electronic resource]. URL: https://www.ema.europa.eu/en/documents/assessment-report/xeljanz-epar-public-assessment-report_en.pdf.</w:t>
      </w:r>
    </w:p>
    <w:p w14:paraId="60978E2E" w14:textId="3781552D" w:rsidR="00D46D1F" w:rsidRPr="00D46D1F" w:rsidRDefault="00D46D1F" w:rsidP="00017DA2">
      <w:pPr>
        <w:pStyle w:val="ab"/>
        <w:rPr>
          <w:rFonts w:cs="Times New Roman"/>
        </w:rPr>
      </w:pPr>
      <w:r w:rsidRPr="00030C06">
        <w:rPr>
          <w:rFonts w:cs="Times New Roman"/>
          <w:lang w:val="en-US"/>
        </w:rPr>
        <w:t>11</w:t>
      </w:r>
      <w:r w:rsidRPr="00512EE4">
        <w:rPr>
          <w:rFonts w:cs="Times New Roman"/>
          <w:lang w:val="en-US"/>
        </w:rPr>
        <w:t>.</w:t>
      </w:r>
      <w:r w:rsidRPr="00512EE4">
        <w:rPr>
          <w:rFonts w:cs="Times New Roman"/>
          <w:lang w:val="en-US"/>
        </w:rPr>
        <w:tab/>
        <w:t>Gwak E.H., Yoo H.Y., Kim S.H. Effects of diabetes mellitus on the disposition of tofacitinib, a janus kinase inhibitor, in rats // Biomol. Ther</w:t>
      </w:r>
      <w:r w:rsidRPr="00D710DE">
        <w:rPr>
          <w:rFonts w:cs="Times New Roman"/>
        </w:rPr>
        <w:t xml:space="preserve">. 2020. </w:t>
      </w:r>
      <w:r w:rsidRPr="00512EE4">
        <w:rPr>
          <w:rFonts w:cs="Times New Roman"/>
          <w:lang w:val="en-US"/>
        </w:rPr>
        <w:t>Vol</w:t>
      </w:r>
      <w:r w:rsidRPr="00D710DE">
        <w:rPr>
          <w:rFonts w:cs="Times New Roman"/>
        </w:rPr>
        <w:t xml:space="preserve">. 28, № 4. </w:t>
      </w:r>
      <w:r w:rsidRPr="00512EE4">
        <w:rPr>
          <w:rFonts w:cs="Times New Roman"/>
          <w:lang w:val="en-US"/>
        </w:rPr>
        <w:t>P</w:t>
      </w:r>
      <w:r w:rsidRPr="00D710DE">
        <w:rPr>
          <w:rFonts w:cs="Times New Roman"/>
        </w:rPr>
        <w:t>. 361–369.</w:t>
      </w:r>
    </w:p>
    <w:p w14:paraId="3A854436" w14:textId="243D9803" w:rsidR="00AE272D" w:rsidRDefault="00AE272D" w:rsidP="00017DA2">
      <w:pPr>
        <w:pStyle w:val="SDText"/>
        <w:spacing w:after="0"/>
        <w:ind w:firstLine="0"/>
      </w:pPr>
    </w:p>
    <w:p w14:paraId="27F7BA3A" w14:textId="7E6BE4BE" w:rsidR="00BD2318" w:rsidRPr="00BD2318" w:rsidRDefault="00222699" w:rsidP="000A714E">
      <w:pPr>
        <w:pStyle w:val="1"/>
      </w:pPr>
      <w:bookmarkStart w:id="187" w:name="_Toc115421059"/>
      <w:bookmarkStart w:id="188" w:name="_Toc121592593"/>
      <w:r>
        <w:t xml:space="preserve">4. </w:t>
      </w:r>
      <w:r w:rsidR="0022463B" w:rsidRPr="00D76414">
        <w:t>ДЕЙСТВИЕ У ЧЕЛОВЕКА</w:t>
      </w:r>
      <w:bookmarkEnd w:id="187"/>
      <w:bookmarkEnd w:id="188"/>
    </w:p>
    <w:p w14:paraId="5097EC4D" w14:textId="77777777" w:rsidR="00BD2318" w:rsidRDefault="00BD2318" w:rsidP="00017DA2">
      <w:pPr>
        <w:spacing w:after="0"/>
        <w:rPr>
          <w:b/>
          <w:bCs/>
          <w:szCs w:val="24"/>
        </w:rPr>
      </w:pPr>
    </w:p>
    <w:p w14:paraId="76752567" w14:textId="11E1F328" w:rsidR="00C64B86" w:rsidRPr="00D76414" w:rsidRDefault="00C64B86" w:rsidP="000A714E">
      <w:pPr>
        <w:pStyle w:val="2"/>
        <w:numPr>
          <w:ilvl w:val="0"/>
          <w:numId w:val="0"/>
        </w:numPr>
        <w:ind w:left="576" w:hanging="576"/>
      </w:pPr>
      <w:bookmarkStart w:id="189" w:name="_Toc121592594"/>
      <w:r w:rsidRPr="000A714E">
        <w:t>Введение</w:t>
      </w:r>
      <w:r w:rsidRPr="00D76414">
        <w:t xml:space="preserve"> и резюме</w:t>
      </w:r>
      <w:bookmarkEnd w:id="189"/>
    </w:p>
    <w:p w14:paraId="5A81F717" w14:textId="77777777" w:rsidR="00BD2318" w:rsidRDefault="00BD2318" w:rsidP="00017DA2">
      <w:pPr>
        <w:spacing w:after="0"/>
        <w:rPr>
          <w:rFonts w:eastAsia="MS Mincho" w:cs="Times New Roman"/>
          <w:szCs w:val="24"/>
          <w:lang w:eastAsia="ja-JP"/>
        </w:rPr>
      </w:pPr>
    </w:p>
    <w:p w14:paraId="277B0699" w14:textId="05B44420" w:rsidR="0050130C" w:rsidRDefault="0050130C" w:rsidP="00017DA2">
      <w:pPr>
        <w:spacing w:after="0"/>
        <w:rPr>
          <w:rFonts w:eastAsia="MS Mincho" w:cs="Times New Roman"/>
          <w:szCs w:val="24"/>
          <w:lang w:eastAsia="ja-JP"/>
        </w:rPr>
      </w:pPr>
      <w:r w:rsidRPr="001D6ABD">
        <w:rPr>
          <w:rFonts w:eastAsia="MS Mincho" w:cs="Times New Roman"/>
          <w:szCs w:val="24"/>
          <w:lang w:eastAsia="ja-JP"/>
        </w:rPr>
        <w:t xml:space="preserve">Клинических исследований препарата </w:t>
      </w:r>
      <w:r w:rsidR="008F61BF" w:rsidRPr="00005F66">
        <w:rPr>
          <w:lang w:val="en-US"/>
        </w:rPr>
        <w:t>DT</w:t>
      </w:r>
      <w:r w:rsidR="008F61BF" w:rsidRPr="00005F66">
        <w:t>-</w:t>
      </w:r>
      <w:r w:rsidR="008F61BF" w:rsidRPr="00005F66">
        <w:rPr>
          <w:lang w:val="en-US"/>
        </w:rPr>
        <w:t>TFC</w:t>
      </w:r>
      <w:r w:rsidR="008F61BF">
        <w:rPr>
          <w:rFonts w:eastAsia="MS Mincho" w:cs="Times New Roman"/>
          <w:szCs w:val="24"/>
          <w:lang w:eastAsia="ja-JP"/>
        </w:rPr>
        <w:t xml:space="preserve">, </w:t>
      </w:r>
      <w:r w:rsidRPr="001D6ABD">
        <w:rPr>
          <w:rFonts w:eastAsia="MS Mincho" w:cs="Times New Roman"/>
          <w:szCs w:val="24"/>
          <w:lang w:eastAsia="ja-JP"/>
        </w:rPr>
        <w:t>таблетки, покрытые пленочной оболочкой, 5 мг</w:t>
      </w:r>
      <w:r w:rsidR="00775473">
        <w:rPr>
          <w:rFonts w:eastAsia="MS Mincho" w:cs="Times New Roman"/>
          <w:szCs w:val="24"/>
          <w:lang w:eastAsia="ja-JP"/>
        </w:rPr>
        <w:t xml:space="preserve"> и </w:t>
      </w:r>
      <w:r w:rsidRPr="001D6ABD">
        <w:rPr>
          <w:rFonts w:eastAsia="MS Mincho" w:cs="Times New Roman"/>
          <w:szCs w:val="24"/>
          <w:lang w:eastAsia="ja-JP"/>
        </w:rPr>
        <w:t>10 мг</w:t>
      </w:r>
      <w:r w:rsidR="00ED743D">
        <w:rPr>
          <w:rFonts w:eastAsia="MS Mincho" w:cs="Times New Roman"/>
          <w:szCs w:val="24"/>
          <w:lang w:eastAsia="ja-JP"/>
        </w:rPr>
        <w:t>,</w:t>
      </w:r>
      <w:r w:rsidRPr="001D6ABD">
        <w:rPr>
          <w:rFonts w:eastAsia="MS Mincho" w:cs="Times New Roman"/>
          <w:szCs w:val="24"/>
          <w:lang w:eastAsia="ja-JP"/>
        </w:rPr>
        <w:t xml:space="preserve"> не проводилось. Так как препарат </w:t>
      </w:r>
      <w:r w:rsidR="008F61BF" w:rsidRPr="00005F66">
        <w:rPr>
          <w:lang w:val="en-US"/>
        </w:rPr>
        <w:t>DT</w:t>
      </w:r>
      <w:r w:rsidR="008F61BF" w:rsidRPr="00005F66">
        <w:t>-</w:t>
      </w:r>
      <w:r w:rsidR="008F61BF" w:rsidRPr="00005F66">
        <w:rPr>
          <w:lang w:val="en-US"/>
        </w:rPr>
        <w:t>TFC</w:t>
      </w:r>
      <w:r w:rsidR="00D711E3">
        <w:rPr>
          <w:rFonts w:eastAsia="MS Mincho" w:cs="Times New Roman"/>
          <w:szCs w:val="24"/>
          <w:lang w:eastAsia="ja-JP"/>
        </w:rPr>
        <w:t xml:space="preserve"> (АО «Р-Фарм», Россия)</w:t>
      </w:r>
      <w:r w:rsidR="00D711E3" w:rsidRPr="00D711E3">
        <w:rPr>
          <w:rFonts w:eastAsia="MS Mincho" w:cs="Times New Roman"/>
          <w:szCs w:val="24"/>
          <w:lang w:eastAsia="ja-JP"/>
        </w:rPr>
        <w:t xml:space="preserve"> </w:t>
      </w:r>
      <w:r w:rsidRPr="001D6ABD">
        <w:rPr>
          <w:rFonts w:eastAsia="MS Mincho" w:cs="Times New Roman"/>
          <w:szCs w:val="24"/>
          <w:lang w:eastAsia="ja-JP"/>
        </w:rPr>
        <w:t>представляет собой воспроизведенный препарат тофацитиниба, ожидается, что его свойства будут идентичны свойствам оригинального препарата Яквинус</w:t>
      </w:r>
      <w:r w:rsidRPr="001D6ABD">
        <w:rPr>
          <w:rFonts w:eastAsia="MS Mincho" w:cs="Times New Roman"/>
          <w:szCs w:val="24"/>
          <w:vertAlign w:val="superscript"/>
          <w:lang w:eastAsia="ja-JP"/>
        </w:rPr>
        <w:t>®</w:t>
      </w:r>
      <w:r w:rsidRPr="001D6ABD">
        <w:rPr>
          <w:rFonts w:eastAsia="MS Mincho" w:cs="Times New Roman"/>
          <w:szCs w:val="24"/>
          <w:lang w:eastAsia="ja-JP"/>
        </w:rPr>
        <w:t>,</w:t>
      </w:r>
      <w:r w:rsidR="003A05A0" w:rsidRPr="003A05A0">
        <w:rPr>
          <w:rFonts w:eastAsia="MS Mincho" w:cs="Times New Roman"/>
          <w:szCs w:val="24"/>
          <w:lang w:eastAsia="ja-JP"/>
        </w:rPr>
        <w:t xml:space="preserve"> </w:t>
      </w:r>
      <w:r w:rsidR="003A05A0" w:rsidRPr="001D6ABD">
        <w:rPr>
          <w:rFonts w:eastAsia="MS Mincho" w:cs="Times New Roman"/>
          <w:szCs w:val="24"/>
          <w:lang w:eastAsia="ja-JP"/>
        </w:rPr>
        <w:t>таблетки, покрытые пленочной оболочкой, 5 мг</w:t>
      </w:r>
      <w:r w:rsidR="00775473">
        <w:rPr>
          <w:rFonts w:eastAsia="MS Mincho" w:cs="Times New Roman"/>
          <w:szCs w:val="24"/>
          <w:lang w:eastAsia="ja-JP"/>
        </w:rPr>
        <w:t xml:space="preserve"> и</w:t>
      </w:r>
      <w:r w:rsidR="003A05A0" w:rsidRPr="001D6ABD">
        <w:rPr>
          <w:rFonts w:eastAsia="MS Mincho" w:cs="Times New Roman"/>
          <w:szCs w:val="24"/>
          <w:lang w:eastAsia="ja-JP"/>
        </w:rPr>
        <w:t xml:space="preserve"> 10 мг</w:t>
      </w:r>
      <w:r w:rsidR="008F61BF">
        <w:rPr>
          <w:rFonts w:eastAsia="MS Mincho" w:cs="Times New Roman"/>
          <w:szCs w:val="24"/>
          <w:lang w:eastAsia="ja-JP"/>
        </w:rPr>
        <w:t xml:space="preserve"> </w:t>
      </w:r>
      <w:r w:rsidRPr="001D6ABD">
        <w:t>(Пфайзер Инк., США)</w:t>
      </w:r>
      <w:r w:rsidRPr="001D6ABD">
        <w:rPr>
          <w:rFonts w:eastAsia="MS Mincho" w:cs="Times New Roman"/>
          <w:szCs w:val="24"/>
          <w:lang w:eastAsia="ja-JP"/>
        </w:rPr>
        <w:t xml:space="preserve">, которому </w:t>
      </w:r>
      <w:r w:rsidR="008F61BF" w:rsidRPr="00005F66">
        <w:rPr>
          <w:lang w:val="en-US"/>
        </w:rPr>
        <w:t>DT</w:t>
      </w:r>
      <w:r w:rsidR="008F61BF" w:rsidRPr="00005F66">
        <w:t>-</w:t>
      </w:r>
      <w:r w:rsidR="008F61BF" w:rsidRPr="00005F66">
        <w:rPr>
          <w:lang w:val="en-US"/>
        </w:rPr>
        <w:t>TFC</w:t>
      </w:r>
      <w:r w:rsidR="008F61BF" w:rsidRPr="001D6ABD">
        <w:rPr>
          <w:rFonts w:eastAsia="MS Mincho" w:cs="Times New Roman"/>
          <w:szCs w:val="24"/>
          <w:lang w:eastAsia="ja-JP"/>
        </w:rPr>
        <w:t xml:space="preserve"> </w:t>
      </w:r>
      <w:r w:rsidRPr="001D6ABD">
        <w:rPr>
          <w:rFonts w:eastAsia="MS Mincho" w:cs="Times New Roman"/>
          <w:szCs w:val="24"/>
          <w:lang w:eastAsia="ja-JP"/>
        </w:rPr>
        <w:t>полностью соответствует по качественному и количественному составу действующ</w:t>
      </w:r>
      <w:r w:rsidR="006E2A4A">
        <w:rPr>
          <w:rFonts w:eastAsia="MS Mincho" w:cs="Times New Roman"/>
          <w:szCs w:val="24"/>
          <w:lang w:eastAsia="ja-JP"/>
        </w:rPr>
        <w:t>его</w:t>
      </w:r>
      <w:r w:rsidRPr="001D6ABD">
        <w:rPr>
          <w:rFonts w:eastAsia="MS Mincho" w:cs="Times New Roman"/>
          <w:szCs w:val="24"/>
          <w:lang w:eastAsia="ja-JP"/>
        </w:rPr>
        <w:t xml:space="preserve"> и вспомогательных веществ, лекарственн</w:t>
      </w:r>
      <w:r w:rsidR="005E0DE8">
        <w:rPr>
          <w:rFonts w:eastAsia="MS Mincho" w:cs="Times New Roman"/>
          <w:szCs w:val="24"/>
          <w:lang w:eastAsia="ja-JP"/>
        </w:rPr>
        <w:t>ым</w:t>
      </w:r>
      <w:r w:rsidRPr="001D6ABD">
        <w:rPr>
          <w:rFonts w:eastAsia="MS Mincho" w:cs="Times New Roman"/>
          <w:szCs w:val="24"/>
          <w:lang w:eastAsia="ja-JP"/>
        </w:rPr>
        <w:t xml:space="preserve"> форм</w:t>
      </w:r>
      <w:r w:rsidR="005E0DE8">
        <w:rPr>
          <w:rFonts w:eastAsia="MS Mincho" w:cs="Times New Roman"/>
          <w:szCs w:val="24"/>
          <w:lang w:eastAsia="ja-JP"/>
        </w:rPr>
        <w:t>ам</w:t>
      </w:r>
      <w:r w:rsidRPr="001D6ABD">
        <w:rPr>
          <w:rFonts w:eastAsia="MS Mincho" w:cs="Times New Roman"/>
          <w:szCs w:val="24"/>
          <w:lang w:eastAsia="ja-JP"/>
        </w:rPr>
        <w:t xml:space="preserve"> и дозировк</w:t>
      </w:r>
      <w:r w:rsidR="005E0DE8">
        <w:rPr>
          <w:rFonts w:eastAsia="MS Mincho" w:cs="Times New Roman"/>
          <w:szCs w:val="24"/>
          <w:lang w:eastAsia="ja-JP"/>
        </w:rPr>
        <w:t>ам</w:t>
      </w:r>
      <w:r w:rsidR="008F61BF">
        <w:rPr>
          <w:rFonts w:eastAsia="MS Mincho" w:cs="Times New Roman"/>
          <w:szCs w:val="24"/>
          <w:lang w:eastAsia="ja-JP"/>
        </w:rPr>
        <w:t>, имея отличия в качественном и количественном составе пленочной оболочки таблетки</w:t>
      </w:r>
      <w:r w:rsidR="005738A4">
        <w:rPr>
          <w:rFonts w:eastAsia="MS Mincho" w:cs="Times New Roman"/>
          <w:szCs w:val="24"/>
          <w:lang w:eastAsia="ja-JP"/>
        </w:rPr>
        <w:t xml:space="preserve"> </w:t>
      </w:r>
      <w:r w:rsidR="005738A4">
        <w:rPr>
          <w:color w:val="000000"/>
          <w:szCs w:val="24"/>
        </w:rPr>
        <w:t>и типе целлюлозы микрокристаллической, входящей в состав ядра таблетки</w:t>
      </w:r>
      <w:r w:rsidRPr="001D6ABD">
        <w:rPr>
          <w:rFonts w:eastAsia="MS Mincho" w:cs="Times New Roman"/>
          <w:szCs w:val="24"/>
          <w:lang w:eastAsia="ja-JP"/>
        </w:rPr>
        <w:t>. В связи с этим ниже приводятся данные клинических исследований оригинального препарата тофацитиниба.</w:t>
      </w:r>
    </w:p>
    <w:p w14:paraId="40F0BB1C" w14:textId="62172DEE" w:rsidR="00A60523" w:rsidRPr="00A60523" w:rsidRDefault="00527285" w:rsidP="00017DA2">
      <w:pPr>
        <w:spacing w:after="0"/>
      </w:pPr>
      <w:r>
        <w:rPr>
          <w:rFonts w:eastAsia="MS Mincho" w:cs="Times New Roman"/>
          <w:szCs w:val="24"/>
          <w:lang w:eastAsia="ja-JP"/>
        </w:rPr>
        <w:t xml:space="preserve">На основании результатов проведенных фармакокинетических исследований установили, что тофацитиниб имеет высокую растворимость в воде и умеренную проницаемость, что позволило отнести его к </w:t>
      </w:r>
      <w:r w:rsidR="00743662">
        <w:rPr>
          <w:rFonts w:eastAsia="MS Mincho" w:cs="Times New Roman"/>
          <w:szCs w:val="24"/>
          <w:lang w:eastAsia="ja-JP"/>
        </w:rPr>
        <w:t xml:space="preserve">классу 3 Биофармацевтической системы </w:t>
      </w:r>
      <w:r w:rsidR="008C3A65">
        <w:rPr>
          <w:rFonts w:eastAsia="MS Mincho" w:cs="Times New Roman"/>
          <w:szCs w:val="24"/>
          <w:lang w:eastAsia="ja-JP"/>
        </w:rPr>
        <w:t xml:space="preserve">классификации (БКС). После перорального приема </w:t>
      </w:r>
      <w:r w:rsidR="003D6D40">
        <w:rPr>
          <w:rFonts w:eastAsia="MS Mincho" w:cs="Times New Roman"/>
          <w:szCs w:val="24"/>
          <w:lang w:eastAsia="ja-JP"/>
        </w:rPr>
        <w:t>достижение</w:t>
      </w:r>
      <w:r w:rsidR="003D6D40" w:rsidRPr="003D6D40">
        <w:rPr>
          <w:rFonts w:eastAsia="MS Mincho" w:cs="Times New Roman"/>
          <w:szCs w:val="24"/>
          <w:lang w:eastAsia="ja-JP"/>
        </w:rPr>
        <w:t xml:space="preserve"> </w:t>
      </w:r>
      <w:r w:rsidR="008C3A65">
        <w:rPr>
          <w:rFonts w:eastAsia="MS Mincho" w:cs="Times New Roman"/>
          <w:szCs w:val="24"/>
          <w:lang w:val="en-US" w:eastAsia="ja-JP"/>
        </w:rPr>
        <w:t>C</w:t>
      </w:r>
      <w:r w:rsidR="008C3A65">
        <w:rPr>
          <w:rFonts w:eastAsia="MS Mincho" w:cs="Times New Roman"/>
          <w:szCs w:val="24"/>
          <w:vertAlign w:val="subscript"/>
          <w:lang w:val="en-US" w:eastAsia="ja-JP"/>
        </w:rPr>
        <w:t>max</w:t>
      </w:r>
      <w:r w:rsidR="008C3A65" w:rsidRPr="003D6D40">
        <w:rPr>
          <w:rFonts w:eastAsia="MS Mincho" w:cs="Times New Roman"/>
          <w:szCs w:val="24"/>
          <w:lang w:eastAsia="ja-JP"/>
        </w:rPr>
        <w:t xml:space="preserve"> </w:t>
      </w:r>
      <w:r w:rsidR="003D6D40">
        <w:rPr>
          <w:rFonts w:eastAsia="MS Mincho" w:cs="Times New Roman"/>
          <w:szCs w:val="24"/>
          <w:lang w:eastAsia="ja-JP"/>
        </w:rPr>
        <w:t xml:space="preserve">тофацитиниба наблюдали через 0,5–1 ч. </w:t>
      </w:r>
      <w:r w:rsidR="000D2488">
        <w:rPr>
          <w:rFonts w:eastAsia="MS Mincho" w:cs="Times New Roman"/>
          <w:szCs w:val="24"/>
          <w:lang w:eastAsia="ja-JP"/>
        </w:rPr>
        <w:t xml:space="preserve">Абсолютная </w:t>
      </w:r>
      <w:r w:rsidR="000D2488">
        <w:rPr>
          <w:rFonts w:eastAsia="MS Mincho" w:cs="Times New Roman"/>
          <w:szCs w:val="24"/>
          <w:lang w:val="en-US" w:eastAsia="ja-JP"/>
        </w:rPr>
        <w:t>F</w:t>
      </w:r>
      <w:r w:rsidR="000D2488" w:rsidRPr="000D2488">
        <w:rPr>
          <w:rFonts w:eastAsia="MS Mincho" w:cs="Times New Roman"/>
          <w:szCs w:val="24"/>
          <w:lang w:eastAsia="ja-JP"/>
        </w:rPr>
        <w:t xml:space="preserve"> </w:t>
      </w:r>
      <w:r w:rsidR="000D2488">
        <w:rPr>
          <w:rFonts w:eastAsia="MS Mincho" w:cs="Times New Roman"/>
          <w:szCs w:val="24"/>
          <w:lang w:eastAsia="ja-JP"/>
        </w:rPr>
        <w:t xml:space="preserve">тофацитиниба после перорального приема составила около 74%. </w:t>
      </w:r>
      <w:r w:rsidR="00570199">
        <w:rPr>
          <w:rFonts w:eastAsia="MS Mincho" w:cs="Times New Roman"/>
          <w:szCs w:val="24"/>
          <w:lang w:eastAsia="ja-JP"/>
        </w:rPr>
        <w:t xml:space="preserve">В абсорбции тофацитиниба из кишечника принимает участие </w:t>
      </w:r>
      <w:r w:rsidR="00570199">
        <w:rPr>
          <w:rFonts w:eastAsia="MS Mincho" w:cs="Times New Roman"/>
          <w:szCs w:val="24"/>
          <w:lang w:val="en-US" w:eastAsia="ja-JP"/>
        </w:rPr>
        <w:t>P</w:t>
      </w:r>
      <w:r w:rsidR="00570199" w:rsidRPr="00570199">
        <w:rPr>
          <w:rFonts w:eastAsia="MS Mincho" w:cs="Times New Roman"/>
          <w:szCs w:val="24"/>
          <w:lang w:eastAsia="ja-JP"/>
        </w:rPr>
        <w:t>-</w:t>
      </w:r>
      <w:r w:rsidR="00570199">
        <w:rPr>
          <w:rFonts w:eastAsia="MS Mincho" w:cs="Times New Roman"/>
          <w:szCs w:val="24"/>
          <w:lang w:eastAsia="ja-JP"/>
        </w:rPr>
        <w:t xml:space="preserve">гликопротеин. </w:t>
      </w:r>
      <w:r w:rsidR="002B68FF">
        <w:rPr>
          <w:rFonts w:eastAsia="MS Mincho" w:cs="Times New Roman"/>
          <w:szCs w:val="24"/>
          <w:lang w:eastAsia="ja-JP"/>
        </w:rPr>
        <w:t>После приема с пищей скорость абсорбции тофацитиниба снижалась (</w:t>
      </w:r>
      <w:r w:rsidR="002B68FF">
        <w:rPr>
          <w:rFonts w:eastAsia="MS Mincho" w:cs="Times New Roman"/>
          <w:szCs w:val="24"/>
          <w:lang w:val="en-US" w:eastAsia="ja-JP"/>
        </w:rPr>
        <w:t>C</w:t>
      </w:r>
      <w:r w:rsidR="002B68FF">
        <w:rPr>
          <w:rFonts w:eastAsia="MS Mincho" w:cs="Times New Roman"/>
          <w:szCs w:val="24"/>
          <w:vertAlign w:val="subscript"/>
          <w:lang w:val="en-US" w:eastAsia="ja-JP"/>
        </w:rPr>
        <w:t>max</w:t>
      </w:r>
      <w:r w:rsidR="002B68FF">
        <w:rPr>
          <w:rFonts w:eastAsia="MS Mincho" w:cs="Times New Roman"/>
          <w:szCs w:val="24"/>
          <w:vertAlign w:val="subscript"/>
          <w:lang w:eastAsia="ja-JP"/>
        </w:rPr>
        <w:t xml:space="preserve"> </w:t>
      </w:r>
      <w:r w:rsidR="001C7F18">
        <w:rPr>
          <w:rFonts w:eastAsia="MS Mincho" w:cs="Times New Roman"/>
          <w:szCs w:val="24"/>
          <w:lang w:eastAsia="ja-JP"/>
        </w:rPr>
        <w:t>уменьшалась примерно на 32%), однако эффекта приема пищи в отношении степени абсорбции (</w:t>
      </w:r>
      <w:r w:rsidR="001C7F18">
        <w:rPr>
          <w:rFonts w:eastAsia="MS Mincho" w:cs="Times New Roman"/>
          <w:szCs w:val="24"/>
          <w:lang w:val="en-US" w:eastAsia="ja-JP"/>
        </w:rPr>
        <w:t>AUC</w:t>
      </w:r>
      <w:r w:rsidR="001C7F18" w:rsidRPr="001C7F18">
        <w:rPr>
          <w:rFonts w:eastAsia="MS Mincho" w:cs="Times New Roman"/>
          <w:szCs w:val="24"/>
          <w:lang w:eastAsia="ja-JP"/>
        </w:rPr>
        <w:t xml:space="preserve">) </w:t>
      </w:r>
      <w:r w:rsidR="001C7F18">
        <w:rPr>
          <w:rFonts w:eastAsia="MS Mincho" w:cs="Times New Roman"/>
          <w:szCs w:val="24"/>
          <w:lang w:eastAsia="ja-JP"/>
        </w:rPr>
        <w:t xml:space="preserve">не наблюдали. </w:t>
      </w:r>
      <w:r w:rsidR="00390DF9">
        <w:rPr>
          <w:rFonts w:eastAsia="MS Mincho" w:cs="Times New Roman"/>
          <w:szCs w:val="24"/>
          <w:lang w:eastAsia="ja-JP"/>
        </w:rPr>
        <w:t xml:space="preserve">На основании результатов, полученных в исследовании баланса масс, установили, что </w:t>
      </w:r>
      <w:r w:rsidR="00984116">
        <w:rPr>
          <w:rFonts w:eastAsia="MS Mincho" w:cs="Times New Roman"/>
          <w:szCs w:val="24"/>
          <w:lang w:eastAsia="ja-JP"/>
        </w:rPr>
        <w:t xml:space="preserve">основная часть (около 65%) введенного препарата присутствует в плазме крови в виде исходного соединения, а остальная – в виде </w:t>
      </w:r>
      <w:r w:rsidR="001330B4">
        <w:rPr>
          <w:rFonts w:eastAsia="MS Mincho" w:cs="Times New Roman"/>
          <w:szCs w:val="24"/>
          <w:lang w:eastAsia="ja-JP"/>
        </w:rPr>
        <w:t xml:space="preserve">8 метаболитов. На экспозицию каждым из метаболитов приходилось менее </w:t>
      </w:r>
      <w:r w:rsidR="00D33291">
        <w:rPr>
          <w:rFonts w:eastAsia="MS Mincho" w:cs="Times New Roman"/>
          <w:szCs w:val="24"/>
          <w:lang w:eastAsia="ja-JP"/>
        </w:rPr>
        <w:t xml:space="preserve">8% от общей экспозиции, а их потенциал в отношении ингибирования </w:t>
      </w:r>
      <w:r w:rsidR="00D33291">
        <w:rPr>
          <w:rFonts w:eastAsia="MS Mincho" w:cs="Times New Roman"/>
          <w:szCs w:val="24"/>
          <w:lang w:val="en-US" w:eastAsia="ja-JP"/>
        </w:rPr>
        <w:t>JAK</w:t>
      </w:r>
      <w:r w:rsidR="00D33291" w:rsidRPr="00D33291">
        <w:rPr>
          <w:rFonts w:eastAsia="MS Mincho" w:cs="Times New Roman"/>
          <w:szCs w:val="24"/>
          <w:lang w:eastAsia="ja-JP"/>
        </w:rPr>
        <w:t>1/3</w:t>
      </w:r>
      <w:r w:rsidR="00D33291">
        <w:rPr>
          <w:rFonts w:eastAsia="MS Mincho" w:cs="Times New Roman"/>
          <w:szCs w:val="24"/>
          <w:lang w:eastAsia="ja-JP"/>
        </w:rPr>
        <w:t xml:space="preserve"> </w:t>
      </w:r>
      <w:r w:rsidR="00CA5811">
        <w:rPr>
          <w:rFonts w:eastAsia="MS Mincho" w:cs="Times New Roman"/>
          <w:szCs w:val="24"/>
          <w:lang w:eastAsia="ja-JP"/>
        </w:rPr>
        <w:t xml:space="preserve">составлял не более 10% от активности исходного соединения. </w:t>
      </w:r>
      <w:r w:rsidR="00BD09A7">
        <w:rPr>
          <w:rFonts w:eastAsia="MS Mincho" w:cs="Times New Roman"/>
          <w:szCs w:val="24"/>
          <w:lang w:eastAsia="ja-JP"/>
        </w:rPr>
        <w:t>Связывание с белками плазмы крови тофацитиниба умеренное, главным образом с альбумином</w:t>
      </w:r>
      <w:r w:rsidR="00EB33A3">
        <w:rPr>
          <w:rFonts w:eastAsia="MS Mincho" w:cs="Times New Roman"/>
          <w:szCs w:val="24"/>
          <w:lang w:eastAsia="ja-JP"/>
        </w:rPr>
        <w:t xml:space="preserve">, несвязанная фракция составляла 0,61. </w:t>
      </w:r>
      <w:r w:rsidR="00EB33A3">
        <w:rPr>
          <w:rFonts w:eastAsia="MS Mincho" w:cs="Times New Roman"/>
          <w:szCs w:val="24"/>
          <w:lang w:val="en-US" w:eastAsia="ja-JP"/>
        </w:rPr>
        <w:t>V</w:t>
      </w:r>
      <w:r w:rsidR="00EB33A3">
        <w:rPr>
          <w:rFonts w:eastAsia="MS Mincho" w:cs="Times New Roman"/>
          <w:szCs w:val="24"/>
          <w:vertAlign w:val="subscript"/>
          <w:lang w:val="en-US" w:eastAsia="ja-JP"/>
        </w:rPr>
        <w:t>ss</w:t>
      </w:r>
      <w:r w:rsidR="00EB33A3" w:rsidRPr="0030196D">
        <w:rPr>
          <w:rFonts w:eastAsia="MS Mincho" w:cs="Times New Roman"/>
          <w:szCs w:val="24"/>
          <w:lang w:eastAsia="ja-JP"/>
        </w:rPr>
        <w:t xml:space="preserve"> </w:t>
      </w:r>
      <w:r w:rsidR="00EB33A3">
        <w:rPr>
          <w:rFonts w:eastAsia="MS Mincho" w:cs="Times New Roman"/>
          <w:szCs w:val="24"/>
          <w:lang w:eastAsia="ja-JP"/>
        </w:rPr>
        <w:t xml:space="preserve">после </w:t>
      </w:r>
      <w:r w:rsidR="0030196D">
        <w:rPr>
          <w:rFonts w:eastAsia="MS Mincho" w:cs="Times New Roman"/>
          <w:szCs w:val="24"/>
          <w:lang w:eastAsia="ja-JP"/>
        </w:rPr>
        <w:t>внутривенного введения тофацитиниба в дозе 10 мг здоровым добровольцам составлял около 87 л</w:t>
      </w:r>
      <w:r w:rsidR="00884492">
        <w:rPr>
          <w:rFonts w:eastAsia="MS Mincho" w:cs="Times New Roman"/>
          <w:szCs w:val="24"/>
          <w:lang w:eastAsia="ja-JP"/>
        </w:rPr>
        <w:t xml:space="preserve">, что свидетельствовало об экстенсивном распределении в ткани. </w:t>
      </w:r>
      <w:r w:rsidR="00520214">
        <w:rPr>
          <w:rFonts w:eastAsia="MS Mincho" w:cs="Times New Roman"/>
          <w:szCs w:val="24"/>
          <w:lang w:eastAsia="ja-JP"/>
        </w:rPr>
        <w:t xml:space="preserve">Значение </w:t>
      </w:r>
      <w:r w:rsidR="00F033B3">
        <w:rPr>
          <w:rFonts w:eastAsia="MS Mincho" w:cs="Times New Roman"/>
          <w:szCs w:val="24"/>
          <w:lang w:val="en-US" w:eastAsia="ja-JP"/>
        </w:rPr>
        <w:t>T</w:t>
      </w:r>
      <w:r w:rsidR="00520214" w:rsidRPr="00520214">
        <w:rPr>
          <w:rFonts w:eastAsia="MS Mincho" w:cs="Times New Roman"/>
          <w:szCs w:val="24"/>
          <w:vertAlign w:val="subscript"/>
          <w:lang w:eastAsia="ja-JP"/>
        </w:rPr>
        <w:t>1/2</w:t>
      </w:r>
      <w:r w:rsidR="00520214">
        <w:rPr>
          <w:rFonts w:eastAsia="MS Mincho" w:cs="Times New Roman"/>
          <w:szCs w:val="24"/>
          <w:vertAlign w:val="subscript"/>
          <w:lang w:val="en-US" w:eastAsia="ja-JP"/>
        </w:rPr>
        <w:t>β</w:t>
      </w:r>
      <w:r w:rsidR="00520214" w:rsidRPr="00520214">
        <w:rPr>
          <w:rFonts w:eastAsia="MS Mincho" w:cs="Times New Roman"/>
          <w:szCs w:val="24"/>
          <w:lang w:eastAsia="ja-JP"/>
        </w:rPr>
        <w:t xml:space="preserve"> </w:t>
      </w:r>
      <w:r w:rsidR="00520214">
        <w:rPr>
          <w:rFonts w:eastAsia="MS Mincho" w:cs="Times New Roman"/>
          <w:szCs w:val="24"/>
          <w:lang w:eastAsia="ja-JP"/>
        </w:rPr>
        <w:t xml:space="preserve">составляло около 3 ч. </w:t>
      </w:r>
      <w:r w:rsidR="00AC0AA8">
        <w:rPr>
          <w:rFonts w:eastAsia="MS Mincho" w:cs="Times New Roman"/>
          <w:szCs w:val="24"/>
          <w:lang w:eastAsia="ja-JP"/>
        </w:rPr>
        <w:t xml:space="preserve">При использовании 2 раза в день равновесное состояние достигалось в течение 24–48 ч с несущественной кумуляцией. </w:t>
      </w:r>
      <w:r w:rsidR="00CE0D36">
        <w:rPr>
          <w:rFonts w:eastAsia="MS Mincho" w:cs="Times New Roman"/>
          <w:szCs w:val="24"/>
          <w:lang w:eastAsia="ja-JP"/>
        </w:rPr>
        <w:t>Метаболизм являлся основным путем выведения тофацитиниба</w:t>
      </w:r>
      <w:r w:rsidR="005272B2">
        <w:rPr>
          <w:rFonts w:eastAsia="MS Mincho" w:cs="Times New Roman"/>
          <w:szCs w:val="24"/>
          <w:lang w:eastAsia="ja-JP"/>
        </w:rPr>
        <w:t xml:space="preserve">, осуществлялся главным образом с </w:t>
      </w:r>
      <w:r w:rsidR="005272B2">
        <w:rPr>
          <w:rFonts w:eastAsia="MS Mincho" w:cs="Times New Roman"/>
          <w:szCs w:val="24"/>
          <w:lang w:eastAsia="ja-JP"/>
        </w:rPr>
        <w:lastRenderedPageBreak/>
        <w:t xml:space="preserve">участием </w:t>
      </w:r>
      <w:r w:rsidR="005272B2">
        <w:rPr>
          <w:rFonts w:eastAsia="MS Mincho" w:cs="Times New Roman"/>
          <w:szCs w:val="24"/>
          <w:lang w:val="en-US" w:eastAsia="ja-JP"/>
        </w:rPr>
        <w:t>CYP</w:t>
      </w:r>
      <w:r w:rsidR="005272B2" w:rsidRPr="005272B2">
        <w:rPr>
          <w:rFonts w:eastAsia="MS Mincho" w:cs="Times New Roman"/>
          <w:szCs w:val="24"/>
          <w:lang w:eastAsia="ja-JP"/>
        </w:rPr>
        <w:t>3</w:t>
      </w:r>
      <w:r w:rsidR="005272B2">
        <w:rPr>
          <w:rFonts w:eastAsia="MS Mincho" w:cs="Times New Roman"/>
          <w:szCs w:val="24"/>
          <w:lang w:val="en-US" w:eastAsia="ja-JP"/>
        </w:rPr>
        <w:t>A</w:t>
      </w:r>
      <w:r w:rsidR="005272B2" w:rsidRPr="005272B2">
        <w:rPr>
          <w:rFonts w:eastAsia="MS Mincho" w:cs="Times New Roman"/>
          <w:szCs w:val="24"/>
          <w:lang w:eastAsia="ja-JP"/>
        </w:rPr>
        <w:t>4</w:t>
      </w:r>
      <w:r w:rsidR="003B2B99">
        <w:rPr>
          <w:rFonts w:eastAsia="MS Mincho" w:cs="Times New Roman"/>
          <w:szCs w:val="24"/>
          <w:lang w:eastAsia="ja-JP"/>
        </w:rPr>
        <w:t xml:space="preserve"> и незначительным участием </w:t>
      </w:r>
      <w:r w:rsidR="003B2B99">
        <w:rPr>
          <w:rFonts w:eastAsia="MS Mincho" w:cs="Times New Roman"/>
          <w:szCs w:val="24"/>
          <w:lang w:val="en-US" w:eastAsia="ja-JP"/>
        </w:rPr>
        <w:t>CYP</w:t>
      </w:r>
      <w:r w:rsidR="003B2B99">
        <w:rPr>
          <w:rFonts w:eastAsia="MS Mincho" w:cs="Times New Roman"/>
          <w:szCs w:val="24"/>
          <w:lang w:eastAsia="ja-JP"/>
        </w:rPr>
        <w:t>2С19</w:t>
      </w:r>
      <w:r w:rsidR="00BD4056">
        <w:rPr>
          <w:rFonts w:eastAsia="MS Mincho" w:cs="Times New Roman"/>
          <w:szCs w:val="24"/>
          <w:lang w:eastAsia="ja-JP"/>
        </w:rPr>
        <w:t xml:space="preserve">. Около 80% от дозы выводилось с мочой, 29% в виде неизмененного соединения, а </w:t>
      </w:r>
      <w:r w:rsidR="00920D9F">
        <w:rPr>
          <w:rFonts w:eastAsia="MS Mincho" w:cs="Times New Roman"/>
          <w:szCs w:val="24"/>
          <w:lang w:eastAsia="ja-JP"/>
        </w:rPr>
        <w:t xml:space="preserve">51% в виде метаболитов. Выведение с фекалиями </w:t>
      </w:r>
      <w:r w:rsidR="00645E17">
        <w:rPr>
          <w:rFonts w:eastAsia="MS Mincho" w:cs="Times New Roman"/>
          <w:szCs w:val="24"/>
          <w:lang w:eastAsia="ja-JP"/>
        </w:rPr>
        <w:t>было несущественным</w:t>
      </w:r>
      <w:r w:rsidR="00567780">
        <w:rPr>
          <w:rFonts w:eastAsia="MS Mincho" w:cs="Times New Roman"/>
          <w:szCs w:val="24"/>
          <w:lang w:eastAsia="ja-JP"/>
        </w:rPr>
        <w:t xml:space="preserve"> и составляло около 20% от дозы (7% в виде исходного соединения, 13% в виде метаболитов)</w:t>
      </w:r>
      <w:r w:rsidR="002208D8">
        <w:rPr>
          <w:rFonts w:eastAsia="MS Mincho" w:cs="Times New Roman"/>
          <w:szCs w:val="24"/>
          <w:lang w:eastAsia="ja-JP"/>
        </w:rPr>
        <w:t xml:space="preserve">. Тофацитиниб не ингибировал </w:t>
      </w:r>
      <w:r w:rsidR="002208D8">
        <w:rPr>
          <w:rFonts w:eastAsia="MS Mincho" w:cs="Times New Roman"/>
          <w:szCs w:val="24"/>
          <w:lang w:val="en-US" w:eastAsia="ja-JP"/>
        </w:rPr>
        <w:t>CYP</w:t>
      </w:r>
      <w:r w:rsidR="002208D8">
        <w:rPr>
          <w:rFonts w:eastAsia="MS Mincho" w:cs="Times New Roman"/>
          <w:szCs w:val="24"/>
          <w:lang w:eastAsia="ja-JP"/>
        </w:rPr>
        <w:t>1</w:t>
      </w:r>
      <w:r w:rsidR="002208D8">
        <w:rPr>
          <w:rFonts w:eastAsia="MS Mincho" w:cs="Times New Roman"/>
          <w:szCs w:val="24"/>
          <w:lang w:val="en-US" w:eastAsia="ja-JP"/>
        </w:rPr>
        <w:t>A</w:t>
      </w:r>
      <w:r w:rsidR="002208D8" w:rsidRPr="00600FD5">
        <w:rPr>
          <w:rFonts w:eastAsia="MS Mincho" w:cs="Times New Roman"/>
          <w:szCs w:val="24"/>
          <w:lang w:eastAsia="ja-JP"/>
        </w:rPr>
        <w:t>2, 2</w:t>
      </w:r>
      <w:r w:rsidR="002208D8">
        <w:rPr>
          <w:rFonts w:eastAsia="MS Mincho" w:cs="Times New Roman"/>
          <w:szCs w:val="24"/>
          <w:lang w:val="en-US" w:eastAsia="ja-JP"/>
        </w:rPr>
        <w:t>B</w:t>
      </w:r>
      <w:r w:rsidR="002208D8" w:rsidRPr="00600FD5">
        <w:rPr>
          <w:rFonts w:eastAsia="MS Mincho" w:cs="Times New Roman"/>
          <w:szCs w:val="24"/>
          <w:lang w:eastAsia="ja-JP"/>
        </w:rPr>
        <w:t xml:space="preserve">6, </w:t>
      </w:r>
      <w:bookmarkStart w:id="190" w:name="_Hlk114151236"/>
      <w:r w:rsidR="00600FD5" w:rsidRPr="00600FD5">
        <w:rPr>
          <w:rFonts w:eastAsia="MS Mincho" w:cs="Times New Roman"/>
          <w:szCs w:val="24"/>
          <w:lang w:eastAsia="ja-JP"/>
        </w:rPr>
        <w:t>2</w:t>
      </w:r>
      <w:r w:rsidR="00600FD5">
        <w:rPr>
          <w:rFonts w:eastAsia="MS Mincho" w:cs="Times New Roman"/>
          <w:szCs w:val="24"/>
          <w:lang w:val="en-US" w:eastAsia="ja-JP"/>
        </w:rPr>
        <w:t>C</w:t>
      </w:r>
      <w:r w:rsidR="00600FD5" w:rsidRPr="00600FD5">
        <w:rPr>
          <w:rFonts w:eastAsia="MS Mincho" w:cs="Times New Roman"/>
          <w:szCs w:val="24"/>
          <w:lang w:eastAsia="ja-JP"/>
        </w:rPr>
        <w:t xml:space="preserve">8, </w:t>
      </w:r>
      <w:bookmarkEnd w:id="190"/>
      <w:r w:rsidR="00600FD5" w:rsidRPr="00600FD5">
        <w:rPr>
          <w:rFonts w:eastAsia="MS Mincho" w:cs="Times New Roman"/>
          <w:szCs w:val="24"/>
          <w:lang w:eastAsia="ja-JP"/>
        </w:rPr>
        <w:t>2</w:t>
      </w:r>
      <w:r w:rsidR="00600FD5">
        <w:rPr>
          <w:rFonts w:eastAsia="MS Mincho" w:cs="Times New Roman"/>
          <w:szCs w:val="24"/>
          <w:lang w:val="en-US" w:eastAsia="ja-JP"/>
        </w:rPr>
        <w:t>C</w:t>
      </w:r>
      <w:r w:rsidR="00600FD5" w:rsidRPr="00600FD5">
        <w:rPr>
          <w:rFonts w:eastAsia="MS Mincho" w:cs="Times New Roman"/>
          <w:szCs w:val="24"/>
          <w:lang w:eastAsia="ja-JP"/>
        </w:rPr>
        <w:t>9, 2</w:t>
      </w:r>
      <w:r w:rsidR="00600FD5">
        <w:rPr>
          <w:rFonts w:eastAsia="MS Mincho" w:cs="Times New Roman"/>
          <w:szCs w:val="24"/>
          <w:lang w:val="en-US" w:eastAsia="ja-JP"/>
        </w:rPr>
        <w:t>C</w:t>
      </w:r>
      <w:r w:rsidR="00600FD5" w:rsidRPr="00600FD5">
        <w:rPr>
          <w:rFonts w:eastAsia="MS Mincho" w:cs="Times New Roman"/>
          <w:szCs w:val="24"/>
          <w:lang w:eastAsia="ja-JP"/>
        </w:rPr>
        <w:t xml:space="preserve">19, </w:t>
      </w:r>
      <w:r w:rsidR="00600FD5" w:rsidRPr="00D3152F">
        <w:rPr>
          <w:rFonts w:eastAsia="MS Mincho" w:cs="Times New Roman"/>
          <w:szCs w:val="24"/>
          <w:lang w:eastAsia="ja-JP"/>
        </w:rPr>
        <w:t>2</w:t>
      </w:r>
      <w:r w:rsidR="00600FD5">
        <w:rPr>
          <w:rFonts w:eastAsia="MS Mincho" w:cs="Times New Roman"/>
          <w:szCs w:val="24"/>
          <w:lang w:val="en-US" w:eastAsia="ja-JP"/>
        </w:rPr>
        <w:t>D</w:t>
      </w:r>
      <w:r w:rsidR="00600FD5" w:rsidRPr="00D3152F">
        <w:rPr>
          <w:rFonts w:eastAsia="MS Mincho" w:cs="Times New Roman"/>
          <w:szCs w:val="24"/>
          <w:lang w:eastAsia="ja-JP"/>
        </w:rPr>
        <w:t>6</w:t>
      </w:r>
      <w:r w:rsidR="00D3152F" w:rsidRPr="00D3152F">
        <w:rPr>
          <w:rFonts w:eastAsia="MS Mincho" w:cs="Times New Roman"/>
          <w:szCs w:val="24"/>
          <w:lang w:eastAsia="ja-JP"/>
        </w:rPr>
        <w:t xml:space="preserve"> </w:t>
      </w:r>
      <w:r w:rsidR="00D3152F">
        <w:rPr>
          <w:rFonts w:eastAsia="MS Mincho" w:cs="Times New Roman"/>
          <w:szCs w:val="24"/>
          <w:lang w:eastAsia="ja-JP"/>
        </w:rPr>
        <w:t>и</w:t>
      </w:r>
      <w:r w:rsidR="00D3152F" w:rsidRPr="00D3152F">
        <w:rPr>
          <w:rFonts w:eastAsia="MS Mincho" w:cs="Times New Roman"/>
          <w:szCs w:val="24"/>
          <w:lang w:eastAsia="ja-JP"/>
        </w:rPr>
        <w:t xml:space="preserve"> 3</w:t>
      </w:r>
      <w:r w:rsidR="00D3152F">
        <w:rPr>
          <w:rFonts w:eastAsia="MS Mincho" w:cs="Times New Roman"/>
          <w:szCs w:val="24"/>
          <w:lang w:val="en-US" w:eastAsia="ja-JP"/>
        </w:rPr>
        <w:t>A</w:t>
      </w:r>
      <w:r w:rsidR="00D3152F" w:rsidRPr="00D3152F">
        <w:rPr>
          <w:rFonts w:eastAsia="MS Mincho" w:cs="Times New Roman"/>
          <w:szCs w:val="24"/>
          <w:lang w:eastAsia="ja-JP"/>
        </w:rPr>
        <w:t>4</w:t>
      </w:r>
      <w:r w:rsidR="00D3152F">
        <w:rPr>
          <w:rFonts w:eastAsia="MS Mincho" w:cs="Times New Roman"/>
          <w:szCs w:val="24"/>
          <w:lang w:eastAsia="ja-JP"/>
        </w:rPr>
        <w:t xml:space="preserve">. Тофацитиниб </w:t>
      </w:r>
      <w:r w:rsidR="003C6DC7">
        <w:rPr>
          <w:rFonts w:eastAsia="MS Mincho" w:cs="Times New Roman"/>
          <w:szCs w:val="24"/>
          <w:lang w:eastAsia="ja-JP"/>
        </w:rPr>
        <w:t xml:space="preserve">обладал низким потенциалом в отношении ингибирования </w:t>
      </w:r>
      <w:r w:rsidR="002E0BE7">
        <w:rPr>
          <w:rFonts w:eastAsia="MS Mincho" w:cs="Times New Roman"/>
          <w:szCs w:val="24"/>
          <w:lang w:val="en-US" w:eastAsia="ja-JP"/>
        </w:rPr>
        <w:t>P</w:t>
      </w:r>
      <w:r w:rsidR="002E0BE7" w:rsidRPr="002E0BE7">
        <w:rPr>
          <w:rFonts w:eastAsia="MS Mincho" w:cs="Times New Roman"/>
          <w:szCs w:val="24"/>
          <w:lang w:eastAsia="ja-JP"/>
        </w:rPr>
        <w:t>-</w:t>
      </w:r>
      <w:r w:rsidR="002E0BE7">
        <w:rPr>
          <w:rFonts w:eastAsia="MS Mincho" w:cs="Times New Roman"/>
          <w:szCs w:val="24"/>
          <w:lang w:eastAsia="ja-JP"/>
        </w:rPr>
        <w:t xml:space="preserve">гликопротеина, </w:t>
      </w:r>
      <w:r w:rsidR="002E0BE7">
        <w:rPr>
          <w:rFonts w:eastAsia="MS Mincho" w:cs="Times New Roman"/>
          <w:szCs w:val="24"/>
          <w:lang w:val="en-US" w:eastAsia="ja-JP"/>
        </w:rPr>
        <w:t>OCT</w:t>
      </w:r>
      <w:r w:rsidR="002E0BE7" w:rsidRPr="002E0BE7">
        <w:rPr>
          <w:rFonts w:eastAsia="MS Mincho" w:cs="Times New Roman"/>
          <w:szCs w:val="24"/>
          <w:lang w:eastAsia="ja-JP"/>
        </w:rPr>
        <w:t>-2</w:t>
      </w:r>
      <w:r w:rsidR="002E0BE7">
        <w:rPr>
          <w:rFonts w:eastAsia="MS Mincho" w:cs="Times New Roman"/>
          <w:szCs w:val="24"/>
          <w:lang w:eastAsia="ja-JP"/>
        </w:rPr>
        <w:t xml:space="preserve">, </w:t>
      </w:r>
      <w:r w:rsidR="002E0BE7">
        <w:rPr>
          <w:rFonts w:eastAsia="MS Mincho" w:cs="Times New Roman"/>
          <w:szCs w:val="24"/>
          <w:lang w:val="en-US" w:eastAsia="ja-JP"/>
        </w:rPr>
        <w:t>OATP</w:t>
      </w:r>
      <w:r w:rsidR="005747F7" w:rsidRPr="005747F7">
        <w:rPr>
          <w:rFonts w:eastAsia="MS Mincho" w:cs="Times New Roman"/>
          <w:szCs w:val="24"/>
          <w:lang w:eastAsia="ja-JP"/>
        </w:rPr>
        <w:t>1</w:t>
      </w:r>
      <w:r w:rsidR="005747F7">
        <w:rPr>
          <w:rFonts w:eastAsia="MS Mincho" w:cs="Times New Roman"/>
          <w:szCs w:val="24"/>
          <w:lang w:val="en-US" w:eastAsia="ja-JP"/>
        </w:rPr>
        <w:t>B</w:t>
      </w:r>
      <w:r w:rsidR="005747F7" w:rsidRPr="005747F7">
        <w:rPr>
          <w:rFonts w:eastAsia="MS Mincho" w:cs="Times New Roman"/>
          <w:szCs w:val="24"/>
          <w:lang w:eastAsia="ja-JP"/>
        </w:rPr>
        <w:t xml:space="preserve">1 </w:t>
      </w:r>
      <w:r w:rsidR="005747F7">
        <w:rPr>
          <w:rFonts w:eastAsia="MS Mincho" w:cs="Times New Roman"/>
          <w:szCs w:val="24"/>
          <w:lang w:eastAsia="ja-JP"/>
        </w:rPr>
        <w:t xml:space="preserve">и </w:t>
      </w:r>
      <w:r w:rsidR="005747F7">
        <w:rPr>
          <w:rFonts w:eastAsia="MS Mincho" w:cs="Times New Roman"/>
          <w:szCs w:val="24"/>
          <w:lang w:val="en-US" w:eastAsia="ja-JP"/>
        </w:rPr>
        <w:t>OATP</w:t>
      </w:r>
      <w:r w:rsidR="005747F7" w:rsidRPr="005747F7">
        <w:rPr>
          <w:rFonts w:eastAsia="MS Mincho" w:cs="Times New Roman"/>
          <w:szCs w:val="24"/>
          <w:lang w:eastAsia="ja-JP"/>
        </w:rPr>
        <w:t>1</w:t>
      </w:r>
      <w:r w:rsidR="005747F7">
        <w:rPr>
          <w:rFonts w:eastAsia="MS Mincho" w:cs="Times New Roman"/>
          <w:szCs w:val="24"/>
          <w:lang w:val="en-US" w:eastAsia="ja-JP"/>
        </w:rPr>
        <w:t>B</w:t>
      </w:r>
      <w:r w:rsidR="005747F7">
        <w:rPr>
          <w:rFonts w:eastAsia="MS Mincho" w:cs="Times New Roman"/>
          <w:szCs w:val="24"/>
          <w:lang w:eastAsia="ja-JP"/>
        </w:rPr>
        <w:t>3</w:t>
      </w:r>
      <w:r w:rsidR="000129E3">
        <w:rPr>
          <w:rFonts w:eastAsia="MS Mincho" w:cs="Times New Roman"/>
          <w:szCs w:val="24"/>
          <w:lang w:eastAsia="ja-JP"/>
        </w:rPr>
        <w:t xml:space="preserve">. Тофацитиниб не является субстратом </w:t>
      </w:r>
      <w:r w:rsidR="000129E3">
        <w:rPr>
          <w:rFonts w:eastAsia="MS Mincho" w:cs="Times New Roman"/>
          <w:szCs w:val="24"/>
          <w:lang w:val="en-US" w:eastAsia="ja-JP"/>
        </w:rPr>
        <w:t>BCRP</w:t>
      </w:r>
      <w:r w:rsidR="000129E3">
        <w:rPr>
          <w:rFonts w:eastAsia="MS Mincho" w:cs="Times New Roman"/>
          <w:szCs w:val="24"/>
          <w:lang w:eastAsia="ja-JP"/>
        </w:rPr>
        <w:t xml:space="preserve"> </w:t>
      </w:r>
      <w:r w:rsidR="00120122">
        <w:fldChar w:fldCharType="begin"/>
      </w:r>
      <w:r w:rsidR="00044A89">
        <w:instrText xml:space="preserve"> ADDIN ZOTERO_ITEM CSL_CITATION {"citationID":"T5TDYTCt","properties":{"formattedCitation":"[23]","plainCitation":"[23]","noteIndex":0},"citationItems":[{"id":87804,"uris":["http://zotero.org/groups/4742804/items/MQJLNM6K"],"itemData":{"id":87804,"type":"webpage","title":"Xeljanz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120122">
        <w:fldChar w:fldCharType="separate"/>
      </w:r>
      <w:r w:rsidR="00D46D1F">
        <w:rPr>
          <w:rFonts w:cs="Times New Roman"/>
        </w:rPr>
        <w:t>[1</w:t>
      </w:r>
      <w:r w:rsidR="00044A89" w:rsidRPr="00044A89">
        <w:rPr>
          <w:rFonts w:cs="Times New Roman"/>
        </w:rPr>
        <w:t>]</w:t>
      </w:r>
      <w:r w:rsidR="00120122">
        <w:fldChar w:fldCharType="end"/>
      </w:r>
      <w:r w:rsidR="00120122">
        <w:t>.</w:t>
      </w:r>
    </w:p>
    <w:p w14:paraId="5C036CE1" w14:textId="36747C51" w:rsidR="008F61BF" w:rsidRDefault="00B4462E" w:rsidP="00017DA2">
      <w:pPr>
        <w:spacing w:after="0"/>
        <w:contextualSpacing/>
      </w:pPr>
      <w:r w:rsidRPr="006A491D">
        <w:rPr>
          <w:color w:val="000000"/>
          <w:lang w:eastAsia="ja-JP"/>
        </w:rPr>
        <w:t xml:space="preserve">Клиническая эффективность </w:t>
      </w:r>
      <w:r w:rsidRPr="006A491D">
        <w:rPr>
          <w:lang w:eastAsia="ja-JP"/>
        </w:rPr>
        <w:t>тофацитиниба</w:t>
      </w:r>
      <w:r w:rsidRPr="006A491D">
        <w:rPr>
          <w:color w:val="000000"/>
          <w:lang w:eastAsia="ja-JP"/>
        </w:rPr>
        <w:t xml:space="preserve"> была изучена в </w:t>
      </w:r>
      <w:r w:rsidR="000A0376" w:rsidRPr="006A491D">
        <w:rPr>
          <w:color w:val="000000"/>
          <w:lang w:eastAsia="ja-JP"/>
        </w:rPr>
        <w:t xml:space="preserve">2 </w:t>
      </w:r>
      <w:r w:rsidR="000A0376" w:rsidRPr="006A491D">
        <w:rPr>
          <w:lang w:eastAsia="ja-JP"/>
        </w:rPr>
        <w:t xml:space="preserve">исследованиях фазы </w:t>
      </w:r>
      <w:r w:rsidR="000A0376" w:rsidRPr="006A491D">
        <w:rPr>
          <w:lang w:val="en-US" w:eastAsia="ja-JP"/>
        </w:rPr>
        <w:t>II</w:t>
      </w:r>
      <w:r w:rsidR="000A0376" w:rsidRPr="006A491D">
        <w:rPr>
          <w:lang w:eastAsia="ja-JP"/>
        </w:rPr>
        <w:t xml:space="preserve"> и 7</w:t>
      </w:r>
      <w:r w:rsidRPr="006A491D">
        <w:rPr>
          <w:lang w:eastAsia="ja-JP"/>
        </w:rPr>
        <w:t xml:space="preserve"> исследованиях III </w:t>
      </w:r>
      <w:r w:rsidR="000B6B8F" w:rsidRPr="006A491D">
        <w:rPr>
          <w:lang w:eastAsia="ja-JP"/>
        </w:rPr>
        <w:t xml:space="preserve">и </w:t>
      </w:r>
      <w:r w:rsidR="000B6B8F" w:rsidRPr="006A491D">
        <w:rPr>
          <w:lang w:val="en-US" w:eastAsia="ja-JP"/>
        </w:rPr>
        <w:t>IIIb</w:t>
      </w:r>
      <w:r w:rsidR="000B6B8F" w:rsidRPr="006A491D">
        <w:rPr>
          <w:lang w:eastAsia="ja-JP"/>
        </w:rPr>
        <w:t>–</w:t>
      </w:r>
      <w:r w:rsidR="000B6B8F" w:rsidRPr="006A491D">
        <w:rPr>
          <w:lang w:val="en-US" w:eastAsia="ja-JP"/>
        </w:rPr>
        <w:t>IV</w:t>
      </w:r>
      <w:r w:rsidR="000B6B8F" w:rsidRPr="006A491D">
        <w:rPr>
          <w:lang w:eastAsia="ja-JP"/>
        </w:rPr>
        <w:t xml:space="preserve"> </w:t>
      </w:r>
      <w:r w:rsidRPr="006A491D">
        <w:rPr>
          <w:lang w:eastAsia="ja-JP"/>
        </w:rPr>
        <w:t>фаз</w:t>
      </w:r>
      <w:r w:rsidR="00ED743D">
        <w:rPr>
          <w:lang w:eastAsia="ja-JP"/>
        </w:rPr>
        <w:t>,</w:t>
      </w:r>
      <w:r w:rsidR="009659EA" w:rsidRPr="006A491D">
        <w:rPr>
          <w:color w:val="000000"/>
          <w:lang w:eastAsia="ja-JP"/>
        </w:rPr>
        <w:t xml:space="preserve"> </w:t>
      </w:r>
      <w:r w:rsidR="009F30E2">
        <w:rPr>
          <w:color w:val="000000"/>
          <w:lang w:eastAsia="ja-JP"/>
        </w:rPr>
        <w:t xml:space="preserve">и </w:t>
      </w:r>
      <w:r w:rsidR="0033756D">
        <w:rPr>
          <w:color w:val="000000"/>
          <w:lang w:eastAsia="ja-JP"/>
        </w:rPr>
        <w:t xml:space="preserve">в ходе </w:t>
      </w:r>
      <w:r w:rsidR="009F30E2">
        <w:rPr>
          <w:color w:val="000000"/>
          <w:lang w:eastAsia="ja-JP"/>
        </w:rPr>
        <w:t>одного постре</w:t>
      </w:r>
      <w:r w:rsidR="007C6F80">
        <w:rPr>
          <w:color w:val="000000"/>
          <w:lang w:eastAsia="ja-JP"/>
        </w:rPr>
        <w:t xml:space="preserve">гистрационного исследования </w:t>
      </w:r>
      <w:r w:rsidR="009659EA" w:rsidRPr="006A491D">
        <w:rPr>
          <w:color w:val="000000"/>
          <w:lang w:eastAsia="ja-JP"/>
        </w:rPr>
        <w:t>у пациентов с РА</w:t>
      </w:r>
      <w:r w:rsidR="00033ED7">
        <w:rPr>
          <w:color w:val="000000"/>
          <w:lang w:eastAsia="ja-JP"/>
        </w:rPr>
        <w:t xml:space="preserve"> </w:t>
      </w:r>
      <w:r w:rsidR="00033ED7">
        <w:rPr>
          <w:lang w:eastAsia="ja-JP"/>
        </w:rPr>
        <w:fldChar w:fldCharType="begin"/>
      </w:r>
      <w:r w:rsidR="00033ED7">
        <w:rPr>
          <w:lang w:eastAsia="ja-JP"/>
        </w:rPr>
        <w:instrText xml:space="preserve"> ADDIN ZOTERO_ITEM CSL_CITATION {"citationID":"PCCTX32y","properties":{"formattedCitation":"[24]","plainCitation":"[24]","noteIndex":0},"citationItems":[{"id":87800,"uris":["http://zotero.org/groups/4742804/items/TPCQ89X9"],"itemData":{"id":87800,"type":"webpage","title":"Xeljanz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33ED7">
        <w:rPr>
          <w:lang w:eastAsia="ja-JP"/>
        </w:rPr>
        <w:fldChar w:fldCharType="separate"/>
      </w:r>
      <w:r w:rsidR="00D46D1F">
        <w:rPr>
          <w:rFonts w:cs="Times New Roman"/>
        </w:rPr>
        <w:t>[2</w:t>
      </w:r>
      <w:r w:rsidR="00033ED7" w:rsidRPr="008D5290">
        <w:rPr>
          <w:rFonts w:cs="Times New Roman"/>
        </w:rPr>
        <w:t>]</w:t>
      </w:r>
      <w:r w:rsidR="00033ED7">
        <w:rPr>
          <w:lang w:eastAsia="ja-JP"/>
        </w:rPr>
        <w:fldChar w:fldCharType="end"/>
      </w:r>
      <w:r w:rsidR="009659EA" w:rsidRPr="006A491D">
        <w:rPr>
          <w:lang w:eastAsia="ja-JP"/>
        </w:rPr>
        <w:t xml:space="preserve">, в </w:t>
      </w:r>
      <w:r w:rsidR="00E3178E" w:rsidRPr="006A491D">
        <w:rPr>
          <w:lang w:eastAsia="ja-JP"/>
        </w:rPr>
        <w:t>3</w:t>
      </w:r>
      <w:r w:rsidR="009659EA" w:rsidRPr="006A491D">
        <w:rPr>
          <w:lang w:eastAsia="ja-JP"/>
        </w:rPr>
        <w:t xml:space="preserve"> исследованиях </w:t>
      </w:r>
      <w:r w:rsidR="00A95441">
        <w:rPr>
          <w:lang w:val="en-US" w:eastAsia="ja-JP"/>
        </w:rPr>
        <w:t>III</w:t>
      </w:r>
      <w:r w:rsidR="00A95441" w:rsidRPr="00A95441">
        <w:rPr>
          <w:lang w:eastAsia="ja-JP"/>
        </w:rPr>
        <w:t xml:space="preserve"> </w:t>
      </w:r>
      <w:r w:rsidR="00A95441">
        <w:rPr>
          <w:lang w:eastAsia="ja-JP"/>
        </w:rPr>
        <w:t xml:space="preserve">фазы </w:t>
      </w:r>
      <w:r w:rsidR="009659EA" w:rsidRPr="006A491D">
        <w:rPr>
          <w:lang w:eastAsia="ja-JP"/>
        </w:rPr>
        <w:t>у пациентов с</w:t>
      </w:r>
      <w:r w:rsidR="00E3178E" w:rsidRPr="006A491D">
        <w:rPr>
          <w:lang w:eastAsia="ja-JP"/>
        </w:rPr>
        <w:t xml:space="preserve"> псориатическим артритом</w:t>
      </w:r>
      <w:r w:rsidR="00033ED7">
        <w:rPr>
          <w:lang w:eastAsia="ja-JP"/>
        </w:rPr>
        <w:t xml:space="preserve"> </w:t>
      </w:r>
      <w:r w:rsidR="00033ED7">
        <w:rPr>
          <w:lang w:eastAsia="ja-JP"/>
        </w:rPr>
        <w:fldChar w:fldCharType="begin"/>
      </w:r>
      <w:r w:rsidR="00BC2A49">
        <w:rPr>
          <w:lang w:eastAsia="ja-JP"/>
        </w:rPr>
        <w:instrText xml:space="preserve"> ADDIN ZOTERO_ITEM CSL_CITATION {"citationID":"jJWWX5a4","properties":{"formattedCitation":"[24]","plainCitation":"[24]","noteIndex":0},"citationItems":[{"id":87800,"uris":["http://zotero.org/groups/4742804/items/TPCQ89X9"],"itemData":{"id":87800,"type":"webpage","title":"Xeljanz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33ED7">
        <w:rPr>
          <w:lang w:eastAsia="ja-JP"/>
        </w:rPr>
        <w:fldChar w:fldCharType="separate"/>
      </w:r>
      <w:r w:rsidR="00D46D1F">
        <w:rPr>
          <w:rFonts w:cs="Times New Roman"/>
        </w:rPr>
        <w:t>[2</w:t>
      </w:r>
      <w:r w:rsidR="00033ED7" w:rsidRPr="008D5290">
        <w:rPr>
          <w:rFonts w:cs="Times New Roman"/>
        </w:rPr>
        <w:t>]</w:t>
      </w:r>
      <w:r w:rsidR="00033ED7">
        <w:rPr>
          <w:lang w:eastAsia="ja-JP"/>
        </w:rPr>
        <w:fldChar w:fldCharType="end"/>
      </w:r>
      <w:r w:rsidR="007E5933">
        <w:rPr>
          <w:lang w:eastAsia="ja-JP"/>
        </w:rPr>
        <w:t>, одном исследовании</w:t>
      </w:r>
      <w:r w:rsidR="00E3178E" w:rsidRPr="006A491D">
        <w:rPr>
          <w:lang w:eastAsia="ja-JP"/>
        </w:rPr>
        <w:t xml:space="preserve"> </w:t>
      </w:r>
      <w:r w:rsidR="007E5933">
        <w:rPr>
          <w:lang w:eastAsia="ja-JP"/>
        </w:rPr>
        <w:t>у пациентов с анкилозирующим артритом</w:t>
      </w:r>
      <w:r w:rsidR="008D5290">
        <w:rPr>
          <w:lang w:eastAsia="ja-JP"/>
        </w:rPr>
        <w:t xml:space="preserve"> </w:t>
      </w:r>
      <w:r w:rsidR="008D5290">
        <w:rPr>
          <w:lang w:eastAsia="ja-JP"/>
        </w:rPr>
        <w:fldChar w:fldCharType="begin"/>
      </w:r>
      <w:r w:rsidR="00BC2A49">
        <w:rPr>
          <w:lang w:eastAsia="ja-JP"/>
        </w:rPr>
        <w:instrText xml:space="preserve"> ADDIN ZOTERO_ITEM CSL_CITATION {"citationID":"2VSuW2Aj","properties":{"formattedCitation":"[24]","plainCitation":"[24]","noteIndex":0},"citationItems":[{"id":87800,"uris":["http://zotero.org/groups/4742804/items/TPCQ89X9"],"itemData":{"id":87800,"type":"webpage","title":"Xeljanz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D5290">
        <w:rPr>
          <w:lang w:eastAsia="ja-JP"/>
        </w:rPr>
        <w:fldChar w:fldCharType="separate"/>
      </w:r>
      <w:r w:rsidR="00D46D1F">
        <w:rPr>
          <w:rFonts w:cs="Times New Roman"/>
        </w:rPr>
        <w:t>[2</w:t>
      </w:r>
      <w:r w:rsidR="008D5290" w:rsidRPr="008D5290">
        <w:rPr>
          <w:rFonts w:cs="Times New Roman"/>
        </w:rPr>
        <w:t>]</w:t>
      </w:r>
      <w:r w:rsidR="008D5290">
        <w:rPr>
          <w:lang w:eastAsia="ja-JP"/>
        </w:rPr>
        <w:fldChar w:fldCharType="end"/>
      </w:r>
      <w:r w:rsidR="001A06F6">
        <w:rPr>
          <w:lang w:eastAsia="ja-JP"/>
        </w:rPr>
        <w:t xml:space="preserve">, </w:t>
      </w:r>
      <w:r w:rsidR="008D5290">
        <w:rPr>
          <w:lang w:eastAsia="ja-JP"/>
        </w:rPr>
        <w:t xml:space="preserve">в </w:t>
      </w:r>
      <w:r w:rsidR="001A06F6">
        <w:rPr>
          <w:lang w:eastAsia="ja-JP"/>
        </w:rPr>
        <w:t xml:space="preserve">ряде исследований у пациентов с бляшечным псориазом </w:t>
      </w:r>
      <w:r w:rsidR="0062670E">
        <w:rPr>
          <w:lang w:eastAsia="ja-JP"/>
        </w:rPr>
        <w:fldChar w:fldCharType="begin"/>
      </w:r>
      <w:r w:rsidR="008D5290">
        <w:rPr>
          <w:lang w:eastAsia="ja-JP"/>
        </w:rPr>
        <w:instrText xml:space="preserve"> ADDIN ZOTERO_ITEM CSL_CITATION {"citationID":"UNHzZcvU","properties":{"formattedCitation":"[25\\uc0\\u8211{}28]","plainCitation":"[25–28]","noteIndex":0},"citationItems":[{"id":91576,"uris":["http://zotero.org/groups/4742804/items/Z4HDYIIB"],"itemData":{"id":91576,"type":"article-journal","abstract":"BACKGROUND: Tofacitinib is an oral Janus kinase inhibitor being investigated for psoriasis.\nOBJECTIVES: To determine the 16-week efficacy and safety of two oral tofacitinib doses vs. placebo in patients with moderate-to-severe chronic plaque psoriasis.\nMETHODS: Patients in two similarly designed phase III studies (OPT Pivotal 1, NCT01276639, n = 901; OPT Pivotal 2, NCT01309737, n = 960) were initially randomized 2 : 2 : 1 to tofacitinib 10 or 5 mg or placebo, twice daily. Coprimary efficacy end points (week 16) included the proportion of patients achieving Physician's Global Assessment (PGA) of 'clear' or 'almost clear' (PGA response) and the proportion achieving ≥ 75% reduction in Psoriasis Area and Severity Index (PASI 75).\nRESULTS: Across OPT Pivotal 1 and OPT Pivotal 2, 745 patients received tofacitinib 5 mg, 741 received tofacitinib 10 mg and 373 received placebo. At week 16, a greater proportion of patients achieved PGA responses with tofacitinib 5 and 10 mg twice daily vs. placebo (OPT Pivotal 1, 41·9% and 59·2% vs. 9·0%; OPT Pivotal 2, 46·0% and 59·1% vs. 10·9%; all P &lt; 0·001). Higher PASI 75 rates were observed with tofacitinib vs. placebo (OPT Pivotal 1, 39·9%, 59·2% and 6·2%, respectively, for tofacitinib 5 and 10 mg twice daily and placebo; OPT Pivotal 2, 46·0%, 59·6% and 11·4%; all P &lt; 0·001 vs. placebo). Adverse event (AE) rates appeared generally similar across groups; rates of serious AEs, infections, malignancies and discontinuations due to AEs were low. Twelve patients reported herpes zoster across the tofacitinib treatment groups in both studies vs. none in the respective placebo groups. The most common AE across groups was nasopharyngitis.\nCONCLUSIONS: Oral tofacitinib demonstrated significant efficacy vs. placebo during the initial 16 weeks of treatment in patients with moderate-to-severe psoriasis. Safety findings were consistent with prior studies.","container-title":"The British Journal of Dermatology","DOI":"10.1111/bjd.14018","ISSN":"1365-2133","issue":"4","journalAbbreviation":"Br J Dermatol","language":"eng","note":"PMID: 26149717","page":"949-961","source":"PubMed","title":"Tofacitinib, an oral Janus kinase inhibitor, for the treatment of chronic plaque psoriasis: results from two randomized, placebo-controlled, phase III trials","title-short":"Tofacitinib, an oral Janus kinase inhibitor, for the treatment of chronic plaque psoriasis","volume":"173","author":[{"family":"Papp","given":"K. A."},{"family":"Menter","given":"M. A."},{"family":"Abe","given":"M."},{"family":"Elewski","given":"B."},{"family":"Feldman","given":"S. R."},{"family":"Gottlieb","given":"A. B."},{"family":"Langley","given":"R."},{"family":"Luger","given":"T."},{"family":"Thaci","given":"D."},{"family":"Buonanno","given":"M."},{"family":"Gupta","given":"P."},{"family":"Proulx","given":"J."},{"family":"Lan","given":"S."},{"family":"Wolk","given":"R."},{"literal":"OPT Pivotal 1 and OPT Pivotal 2 investigators"}],"issued":{"date-parts":[["2015",10]]}},"label":"page"},{"id":91570,"uris":["http://zotero.org/groups/4742804/items/2TNZYL5V"],"itemData":{"id":91570,"type":"article-journal","abstract":"BACKGROUND: Tofacitinib is an oral Janus kinase inhibitor.\nOBJECTIVE: This study assessed tofacitinib efficacy and safety vs placebo in Asian patients with moderate to severe chronic plaque psoriasis.\nMETHODS: Patients from China mainland, Taiwan, and Korea were randomized 2:2:1:1 to tofacitinib 5mg (N=88), tofacitinib 10mg (N=90), placebo→5mg (N=44), or placebo→10mg (N=44), twice daily (BID) for 52 weeks. Placebo-treated patients advanced to tofacitinib at Week 16. Co-primary efficacy endpoints: proportions of patients achieving Physician's Global Assessment (PGA) response ('clear' or 'almost clear') and proportion achieving ≥75% reduction from baseline Psoriasis Area and Severity Index (PASI75) at Week 16.\nRESULTS: At Week 16, more patients achieved PGA and PASI75 responses with tofacitinib 5mg (52.3%; 54.6%) and 10mg (75.6%; 81.1%) BID vs placebo (19.3%; 12.5%; all p&lt;0.0001). Of patients with a Week 16 response, 73.6% and 75.0% maintained PGA response, and 76.8% and 84.9% maintained PASI75 to Week 52 with tofacitinib 5mg and 10mg BID, respectively. Over 52 weeks, 2.2-4.5% of patients across treatment groups experienced serious adverse events, and 1.1-6.8% discontinued due to adverse events.\nCONCLUSION: Tofacitinib demonstrated efficacy vs placebo at Week 16 in Asian patients with moderate to severe plaque psoriasis; efficacy was maintained through Week 52. No unexpected safety findings were observed. [NCT01815424].","container-title":"Journal of Dermatological Science","DOI":"10.1016/j.jdermsci.2017.05.004","ISSN":"1873-569X","issue":"1","journalAbbreviation":"J Dermatol Sci","language":"eng","note":"PMID: 28558978","page":"36-45","source":"PubMed","title":"The efficacy and safety of tofacitinib in Asian patients with moderate to severe chronic plaque psoriasis: A Phase 3, randomized, double-blind, placebo-controlled study","title-short":"The efficacy and safety of tofacitinib in Asian patients with moderate to severe chronic plaque psoriasis","volume":"88","author":[{"family":"Zhang","given":"JianZhong"},{"family":"Tsai","given":"Tsen-Fang"},{"family":"Lee","given":"Min-Geol"},{"family":"Zheng","given":"Min"},{"family":"Wang","given":"Gang"},{"family":"Jin","given":"HongZhong"},{"family":"Gu","given":"Jun"},{"family":"Li","given":"RuoYu"},{"family":"Liu","given":"QuanZhong"},{"family":"Chen","given":"Jin"},{"family":"Tu","given":"CaiXia"},{"family":"Qi","given":"ChunMei"},{"family":"Zhu","given":"Hua"},{"family":"Ports","given":"William C."},{"family":"Crook","given":"Tim"}],"issued":{"date-parts":[["2017",10]]}},"label":"page"},{"id":91572,"uris":["http://zotero.org/groups/4742804/items/SX3YV42I"],"itemData":{"id":91572,"type":"article-journal","abstract":"BACKGROUND: Tofacitinib is an oral Janus kinase inhibitor. Efficacy and safety of tofacitinib in patients with moderate-to-severe plaque psoriasis have been demonstrated.\nOBJECTIVE: We sought to assess the efficacy of tofacitinib for the treatment of nail psoriasis over a period of 52 weeks.\nMETHODS: In 2 identical phase 3 studies (OPT Pivotal 1 and 2), patients were randomized 2:2:1 to receive tofacitinib 5 mg, tofacitinib 10 mg, or placebo, twice daily. At week 16, placebo-treated patients were re-randomized to tofacitinib. This post hoc analysis of patients with existing nail psoriasis assessed the Nail Psoriasis Severity Index (NAPSI) score and proportions of patients achieving ≥50% reduction in NAPSI from baseline (NAPSI50), NAPSI75, or NAPSI100.\nRESULTS: Baseline mean NAPSI scores for patients treated with tofacitinib 5 mg (N = 487), tofacitinib 10 mg (N = 476), and placebo (N = 233) twice daily were 27.0, 27.3, and 26.9, respectively. At week 16, significantly (all P &lt; .05) more patients receiving tofacitinib 5 mg and tofacitinib 10 mg versus placebo twice daily achieved NAPSI50 (32.8%, 44.2% vs 12.0%), NAPSI75 (16.9%, 28.1% vs 6.8%), and NAPSI100 (10.3%, 18.2% vs 5.1%), respectively. Improvements were sustained to week 52.\nLIMITATIONS: Limitations include discontinuation of clinical nonresponders at week 28.\nCONCLUSIONS: Tofacitinib treatment resulted in improvements in nail psoriasis versus placebo at week 16; improvements were maintained over 52 weeks [NCT01276639; NCT01309737].","container-title":"Journal of the American Academy of Dermatology","DOI":"10.1016/j.jaad.2017.01.053","ISSN":"1097-6787","issue":"1","journalAbbreviation":"J Am Acad Dermatol","language":"eng","note":"PMID: 28396102","page":"79-87.e1","source":"PubMed","title":"Efficacy of tofacitinib for the treatment of nail psoriasis: Two 52-week, randomized, controlled phase 3 studies in patients with moderate-to-severe plaque psoriasis","title-short":"Efficacy of tofacitinib for the treatment of nail psoriasis","volume":"77","author":[{"family":"Merola","given":"Joseph F."},{"family":"Elewski","given":"Boni"},{"family":"Tatulych","given":"Svitlana"},{"family":"Lan","given":"Shuping"},{"family":"Tallman","given":"Anna"},{"family":"Kaur","given":"Mandeep"}],"issued":{"date-parts":[["2017",7]]}},"label":"page"},{"id":91574,"uris":["http://zotero.org/groups/4742804/items/T2FF4INV"],"itemData":{"id":91574,"type":"article-journal","abstract":"Janus kinase (JAK) inhibitors are novel treatment approaches for psoriasis. However, there is no direct comparison of JAK inhibitors in plaque psoriasis. In order to compare the efficacy and safety of JAK inhibitors in psoriasis, we conducted a network meta-analysis using eligible randomized clinical trials (RCTs). The efficacy of JAK inhibitors was evaluated using a 75% improvement in Psoriasis Area and Severity Index (PASI75) from baseline, and the proportion of patients achieving the Physician's Global Assessment (PGA) response. The incidence of treatment-related adverse events (AEs) was also assessed. A total of eight RCTs with tofacitinib, peficitinib, solcitinib, baricitinib, abrocitinib and deucravacitinib were included. A total of 3612 participants who were diagnosed with moderate-to-severe plaque psoriasis were analysed. Overall, JAK inhibitors showed superior PASI75 response over placebo at both 8 and 12 weeks. Among all included JAK inhibitors, tofacitinib 15 mg twice a day (BID) had the highest probability of achieving PASI75 at both 8 and 12 weeks (SUCRA = 0.938 and 0.937, separately), followed by tofacitinib 10 mg BID (SUCRA = 0.905 and 0.908, separately) and deucravacitinib 12 mg once daily (QD) (SUCRA = 0.874 and 0.837, separately). A similar finding was observed for PGA response. Safety assessment showed that all JAK inhibitors had non-inferior safety compared with placebo, except for deucravacitinib 6 mg BID and 12 mg QD. Tofacitinib 2 mg BID was the first-ranked drug for safety profile followed by deucravacitinib 3 mg QD, and tofacitinib 5 mg BID. When comprehensively evaluated the efficacy and safety, tofacitinib (2 mg, 5 mg, 10 mg, 15 mg BID) was superior to other included JAK inhibitors with satisfying PASI75 and PGA response, as well as relatively low incidence of AEs. Our study confirmed that JAK inhibitors had promising treatment efficacy for moderate-to-severe plaque psoriasis. Tofacitinib showed superior efficacy and safety over peficitinib, solcitinib, baricitinib, abrocitinib and deucravacitinib.","container-title":"Journal of the European Academy of Dermatology and Venereology: JEADV","DOI":"10.1111/jdv.18263","ISSN":"1468-3083","issue":"11","journalAbbreviation":"J Eur Acad Dermatol Venereol","language":"eng","note":"PMID: 35608188","page":"1937-1946","source":"PubMed","title":"The efficacy and safety of tofacitinib, peficitinib, solcitinib, baricitinib, abrocitinib and deucravacitinib in plaque psoriasis - A network meta-analysis","volume":"36","author":[{"family":"Zhang","given":"L."},{"family":"Guo","given":"L."},{"family":"Wang","given":"L."},{"family":"Jiang","given":"X."}],"issued":{"date-parts":[["2022",11]]}},"label":"page"}],"schema":"https://github.com/citation-style-language/schema/raw/master/csl-citation.json"} </w:instrText>
      </w:r>
      <w:r w:rsidR="0062670E">
        <w:rPr>
          <w:lang w:eastAsia="ja-JP"/>
        </w:rPr>
        <w:fldChar w:fldCharType="separate"/>
      </w:r>
      <w:r w:rsidR="00D46D1F">
        <w:rPr>
          <w:rFonts w:cs="Times New Roman"/>
          <w:szCs w:val="24"/>
        </w:rPr>
        <w:t>[3–6</w:t>
      </w:r>
      <w:r w:rsidR="008D5290" w:rsidRPr="008D5290">
        <w:rPr>
          <w:rFonts w:cs="Times New Roman"/>
          <w:szCs w:val="24"/>
        </w:rPr>
        <w:t>]</w:t>
      </w:r>
      <w:r w:rsidR="0062670E">
        <w:rPr>
          <w:lang w:eastAsia="ja-JP"/>
        </w:rPr>
        <w:fldChar w:fldCharType="end"/>
      </w:r>
      <w:r w:rsidR="00C03AF9">
        <w:rPr>
          <w:lang w:eastAsia="ja-JP"/>
        </w:rPr>
        <w:t xml:space="preserve">, </w:t>
      </w:r>
      <w:r w:rsidR="00E3178E" w:rsidRPr="006A491D">
        <w:rPr>
          <w:lang w:eastAsia="ja-JP"/>
        </w:rPr>
        <w:t xml:space="preserve">в 3 исследованиях </w:t>
      </w:r>
      <w:r w:rsidR="00A868D1">
        <w:rPr>
          <w:lang w:val="en-US" w:eastAsia="ja-JP"/>
        </w:rPr>
        <w:t>III</w:t>
      </w:r>
      <w:r w:rsidR="00A868D1" w:rsidRPr="00A95441">
        <w:rPr>
          <w:lang w:eastAsia="ja-JP"/>
        </w:rPr>
        <w:t xml:space="preserve"> </w:t>
      </w:r>
      <w:r w:rsidR="00A868D1">
        <w:rPr>
          <w:lang w:eastAsia="ja-JP"/>
        </w:rPr>
        <w:t xml:space="preserve">фазы </w:t>
      </w:r>
      <w:r w:rsidR="00E3178E" w:rsidRPr="006A491D">
        <w:rPr>
          <w:lang w:eastAsia="ja-JP"/>
        </w:rPr>
        <w:t xml:space="preserve">у пациентов с </w:t>
      </w:r>
      <w:r w:rsidR="006A491D" w:rsidRPr="006A491D">
        <w:rPr>
          <w:lang w:eastAsia="ja-JP"/>
        </w:rPr>
        <w:t>ЯК</w:t>
      </w:r>
      <w:r w:rsidR="00033ED7">
        <w:rPr>
          <w:lang w:eastAsia="ja-JP"/>
        </w:rPr>
        <w:t xml:space="preserve"> </w:t>
      </w:r>
      <w:r w:rsidR="00033ED7">
        <w:rPr>
          <w:lang w:eastAsia="ja-JP"/>
        </w:rPr>
        <w:fldChar w:fldCharType="begin"/>
      </w:r>
      <w:r w:rsidR="00BC2A49">
        <w:rPr>
          <w:lang w:eastAsia="ja-JP"/>
        </w:rPr>
        <w:instrText xml:space="preserve"> ADDIN ZOTERO_ITEM CSL_CITATION {"citationID":"IoTU4X7w","properties":{"formattedCitation":"[24]","plainCitation":"[24]","noteIndex":0},"citationItems":[{"id":87800,"uris":["http://zotero.org/groups/4742804/items/TPCQ89X9"],"itemData":{"id":87800,"type":"webpage","title":"Xeljanz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33ED7">
        <w:rPr>
          <w:lang w:eastAsia="ja-JP"/>
        </w:rPr>
        <w:fldChar w:fldCharType="separate"/>
      </w:r>
      <w:r w:rsidR="00D46D1F">
        <w:rPr>
          <w:rFonts w:cs="Times New Roman"/>
        </w:rPr>
        <w:t>[2</w:t>
      </w:r>
      <w:r w:rsidR="00033ED7" w:rsidRPr="008D5290">
        <w:rPr>
          <w:rFonts w:cs="Times New Roman"/>
        </w:rPr>
        <w:t>]</w:t>
      </w:r>
      <w:r w:rsidR="00033ED7">
        <w:rPr>
          <w:lang w:eastAsia="ja-JP"/>
        </w:rPr>
        <w:fldChar w:fldCharType="end"/>
      </w:r>
      <w:r w:rsidR="00C03AF9">
        <w:rPr>
          <w:lang w:eastAsia="ja-JP"/>
        </w:rPr>
        <w:t xml:space="preserve">, а также в одном исследовании </w:t>
      </w:r>
      <w:r w:rsidR="00930944">
        <w:rPr>
          <w:lang w:eastAsia="ja-JP"/>
        </w:rPr>
        <w:t>у пациентов с ЮИА</w:t>
      </w:r>
      <w:r w:rsidR="00033ED7">
        <w:rPr>
          <w:lang w:eastAsia="ja-JP"/>
        </w:rPr>
        <w:t xml:space="preserve"> </w:t>
      </w:r>
      <w:r w:rsidR="00033ED7">
        <w:rPr>
          <w:lang w:eastAsia="ja-JP"/>
        </w:rPr>
        <w:fldChar w:fldCharType="begin"/>
      </w:r>
      <w:r w:rsidR="00BC2A49">
        <w:rPr>
          <w:lang w:eastAsia="ja-JP"/>
        </w:rPr>
        <w:instrText xml:space="preserve"> ADDIN ZOTERO_ITEM CSL_CITATION {"citationID":"1Pyeiem1","properties":{"formattedCitation":"[24]","plainCitation":"[24]","noteIndex":0},"citationItems":[{"id":87800,"uris":["http://zotero.org/groups/4742804/items/TPCQ89X9"],"itemData":{"id":87800,"type":"webpage","title":"Xeljanz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33ED7">
        <w:rPr>
          <w:lang w:eastAsia="ja-JP"/>
        </w:rPr>
        <w:fldChar w:fldCharType="separate"/>
      </w:r>
      <w:r w:rsidR="00D46D1F">
        <w:rPr>
          <w:rFonts w:cs="Times New Roman"/>
        </w:rPr>
        <w:t>[2</w:t>
      </w:r>
      <w:r w:rsidR="00033ED7" w:rsidRPr="008D5290">
        <w:rPr>
          <w:rFonts w:cs="Times New Roman"/>
        </w:rPr>
        <w:t>]</w:t>
      </w:r>
      <w:r w:rsidR="00033ED7">
        <w:rPr>
          <w:lang w:eastAsia="ja-JP"/>
        </w:rPr>
        <w:fldChar w:fldCharType="end"/>
      </w:r>
      <w:r w:rsidRPr="006A491D">
        <w:rPr>
          <w:lang w:eastAsia="ja-JP"/>
        </w:rPr>
        <w:t xml:space="preserve">. </w:t>
      </w:r>
      <w:r w:rsidR="00751D7F" w:rsidRPr="006A491D">
        <w:rPr>
          <w:lang w:eastAsia="ja-JP"/>
        </w:rPr>
        <w:t>Исследования являлись рандомизированными двойными слепыми плацебо контролируемыми</w:t>
      </w:r>
      <w:r w:rsidR="005117DB" w:rsidRPr="006A491D">
        <w:rPr>
          <w:lang w:eastAsia="ja-JP"/>
        </w:rPr>
        <w:t>, в ряде исследовани</w:t>
      </w:r>
      <w:r w:rsidR="006D11F3" w:rsidRPr="006A491D">
        <w:rPr>
          <w:lang w:eastAsia="ja-JP"/>
        </w:rPr>
        <w:t>й</w:t>
      </w:r>
      <w:r w:rsidR="005117DB" w:rsidRPr="006A491D">
        <w:rPr>
          <w:lang w:eastAsia="ja-JP"/>
        </w:rPr>
        <w:t xml:space="preserve"> использовали </w:t>
      </w:r>
      <w:r w:rsidR="006D11F3" w:rsidRPr="006A491D">
        <w:rPr>
          <w:lang w:eastAsia="ja-JP"/>
        </w:rPr>
        <w:t xml:space="preserve">также </w:t>
      </w:r>
      <w:r w:rsidR="005117DB" w:rsidRPr="006A491D">
        <w:rPr>
          <w:lang w:eastAsia="ja-JP"/>
        </w:rPr>
        <w:t xml:space="preserve">препарат активного контроля (адалимумаб). </w:t>
      </w:r>
      <w:r w:rsidR="001D66EA">
        <w:t xml:space="preserve">В исследованиях фаз </w:t>
      </w:r>
      <w:r w:rsidR="001D66EA">
        <w:rPr>
          <w:lang w:val="en-US"/>
        </w:rPr>
        <w:t>II</w:t>
      </w:r>
      <w:r w:rsidR="001D66EA" w:rsidRPr="001867FD">
        <w:t xml:space="preserve"> </w:t>
      </w:r>
      <w:r w:rsidR="001D66EA">
        <w:t xml:space="preserve">и </w:t>
      </w:r>
      <w:r w:rsidR="001D66EA">
        <w:rPr>
          <w:lang w:val="en-US"/>
        </w:rPr>
        <w:t>III</w:t>
      </w:r>
      <w:r w:rsidR="0033756D">
        <w:t>,</w:t>
      </w:r>
      <w:r w:rsidR="001D66EA">
        <w:t xml:space="preserve"> и </w:t>
      </w:r>
      <w:r w:rsidR="0033756D">
        <w:t xml:space="preserve">в </w:t>
      </w:r>
      <w:r w:rsidR="001D66EA">
        <w:t>открытых неконтролируемых расширенных исследовани</w:t>
      </w:r>
      <w:r w:rsidR="0033756D">
        <w:t>ях</w:t>
      </w:r>
      <w:r w:rsidR="001D66EA">
        <w:t xml:space="preserve"> длительностью до 114 мес. приняли участие 4040 пациентов (общая экспозиция 16113 пациенто-лет). </w:t>
      </w:r>
      <w:r w:rsidR="00D031F2">
        <w:rPr>
          <w:lang w:eastAsia="ja-JP"/>
        </w:rPr>
        <w:t xml:space="preserve">В указанных исследованиях установили, что терапия тофацитинибом </w:t>
      </w:r>
      <w:r w:rsidR="00997CFA">
        <w:rPr>
          <w:lang w:eastAsia="ja-JP"/>
        </w:rPr>
        <w:t xml:space="preserve">приводит к повышению частоты достижения ответа согласно критериям </w:t>
      </w:r>
      <w:r w:rsidR="00AF5A31">
        <w:t>Американского колледжа ревматологов (</w:t>
      </w:r>
      <w:r w:rsidR="00997CFA">
        <w:rPr>
          <w:lang w:val="en-US" w:eastAsia="ja-JP"/>
        </w:rPr>
        <w:t>ACR</w:t>
      </w:r>
      <w:r w:rsidR="00AF5A31">
        <w:rPr>
          <w:lang w:eastAsia="ja-JP"/>
        </w:rPr>
        <w:t>)</w:t>
      </w:r>
      <w:r w:rsidR="00997CFA">
        <w:rPr>
          <w:lang w:eastAsia="ja-JP"/>
        </w:rPr>
        <w:t xml:space="preserve">, </w:t>
      </w:r>
      <w:r w:rsidR="00465406">
        <w:rPr>
          <w:lang w:eastAsia="ja-JP"/>
        </w:rPr>
        <w:t>улучшению функции суставов, снижению выраженности структурных изменений</w:t>
      </w:r>
      <w:r w:rsidR="00CA02C9">
        <w:rPr>
          <w:lang w:eastAsia="ja-JP"/>
        </w:rPr>
        <w:t xml:space="preserve"> и улучшению качества жизни</w:t>
      </w:r>
      <w:r w:rsidR="00C65883">
        <w:rPr>
          <w:lang w:eastAsia="ja-JP"/>
        </w:rPr>
        <w:t xml:space="preserve"> </w:t>
      </w:r>
      <w:r w:rsidR="00C65883">
        <w:rPr>
          <w:lang w:val="en-GB"/>
        </w:rPr>
        <w:fldChar w:fldCharType="begin"/>
      </w:r>
      <w:r w:rsidR="008D5290">
        <w:instrText xml:space="preserve"> ADDIN ZOTERO_ITEM CSL_CITATION {"citationID":"9zlilffQ","properties":{"formattedCitation":"[29\\uc0\\u8211{}33]","plainCitation":"[29–33]","noteIndex":0},"citationItems":[{"id":87805,"uris":["http://zotero.org/groups/4742804/items/QUW6NSTM"],"itemData":{"id":87805,"type":"webpage","title":"Xeljanz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label":"page"},{"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C"}],"issued":{"date-parts":[["2019",9,1]]}},"label":"page"},{"id":87796,"uris":["http://zotero.org/groups/4742804/items/68F2QAWZ"],"itemData":{"id":87796,"type":"article-journal","abstract":"Objectives To report the efficacy, safety and patient-reported outcome measures (PROs) of tofacitinib modified-release 11 mg once daily plus methotrexate in patients with rheumatoid arthritis (RA) from the open-label phase of Oral Rheumatoid Arthritis Trial (ORAL) Shift.\nMethods ORAL Shift was a global, 48-week, phase 3b/4 withdrawal study in patients with moderate to severe RA and an inadequate response to methotrexate. Patients received open-label tofacitinib modified-release 11 mg once daily plus methotrexate; those who achieved low disease activity (LDA; Clinical Disease Activity Index (CDAI)≤10) at week 24 were randomised to receive blinded tofacitinib 11 mg once daily plus placebo (ie, blinded methotrexate withdrawal) or continue with blinded tofacitinib 11 mg once daily plus methotrexate for another 24 weeks. Efficacy, PROs and safety from the open-label phase are reported descriptively.\nResults Following screening, 694 patients were enrolled and received tofacitinib plus methotrexate in the open-label phase. At week 24, 527 (84.5%) patients achieved CDAI-defined LDA. Improvements from baseline to weeks 12 and 24 were generally observed for all efficacy outcomes (including measures of disease activity, and response, LDA and remission rates) and PROs. Adverse events (AEs), serious AEs and discontinuations due to AEs were reported by 362 (52.2%), 20 (2.9%) and 41 (5.9%) patients, respectively. No deaths were reported.\nConclusions Tofacitinib modified-release 11 mg once daily plus methotrexate conferred improvements in disease activity measures, functional outcomes and PROs, with most (84.5%) patients achieving CDAI-defined LDA after 24 weeks of open-label treatment; the safety profile was generally consistent with the historic safety profile of tofacitinib.Funded by Pfizer Inc; NCT02831855.","container-title":"RMD Open","DOI":"10.1136/rmdopen-2021-001673","ISSN":"2056-5933","issue":"2","language":"en","license":"© Author(s) (or their employer(s)) 2021.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Specialist Journals\nsection: Rheumatoid arthritis\nPMID: 34103405","page":"e001673","source":"rmdopen.bmj.com","title":"Efficacy and safety of tofacitinib modified-release 11 mg once daily plus methotrexate in adult patients with rheumatoid arthritis: 24-week open-label phase results from a phase 3b/4 methotrexate withdrawal non-inferiority study (ORAL Shift)","title-short":"Efficacy and safety of tofacitinib modified-release 11 mg once daily plus methotrexate in adult patients with rheumatoid arthritis","volume":"7","author":[{"family":"Cohen","given":"Stanley B."},{"family":"Pope","given":"Janet"},{"family":"Haraoui","given":"Boulos"},{"family":"Mysler","given":"Eduardo"},{"family":"Diehl","given":"Annette"},{"family":"Lukic","given":"Tatjana"},{"family":"Liu","given":"Shixue"},{"family":"Stockert","given":"Lori"},{"family":"Germino","given":"Rebecca"},{"family":"Menon","given":"Sujatha"},{"family":"Shi","given":"Harry"},{"family":"Keystone","given":"Edward C."}],"issued":{"date-parts":[["2021",6,1]]}},"label":"page"},{"id":87791,"uris":["http://zotero.org/groups/4742804/items/IA3K49WN"],"itemData":{"id":87791,"type":"article-journal","abstract":"Tofacitinib is an oral Janus kinase inhibitor for the treatment of rheumatoid arthritis (RA). Tofacitinib modulates the signaling of cytokines that are integral to lymphocyte activation, proliferation, and function. Thus, tofacitinib therapy may result in suppression of multiple elements of the immune response. Serious infections have been reported in tofacitinib RA trials. However, limited head-to-head comparator data were available within the tofacitinib RA development program to directly compare rates of serious infections with tofacitinib relative to biologic agents, and specifically adalimumab (employed as an active control agent in two randomized controlled trials of tofacitinib).","container-title":"Arthritis Research &amp; Therapy","DOI":"10.1186/s13075-015-0880-2","ISSN":"1478-6354","issue":"1","journalAbbreviation":"Arthritis Res Ther","language":"en","page":"362","source":"Springer Link","title":"Systematic review and meta-analysis of serious infections with tofacitinib and biologic disease-modifying antirheumatic drug treatment in rheumatoid arthritis clinical trials","volume":"17","author":[{"family":"Strand","given":"Vibeke"},{"family":"Ahadieh","given":"Sima"},{"family":"French","given":"Jonathan"},{"family":"Geier","given":"Jamie"},{"family":"Krishnaswami","given":"Sriram"},{"family":"Menon","given":"Sujatha"},{"family":"Checchio","given":"Tina"},{"family":"Tensfeldt","given":"Thomas G."},{"family":"Hoffman","given":"Elaine"},{"family":"Riese","given":"Richard"},{"family":"Boy","given":"Mary"},{"family":"Gómez-Reino","given":"Juan J."}],"issued":{"date-parts":[["2015",12,15]]}},"label":"page"},{"id":87799,"uris":["http://zotero.org/groups/4742804/items/B3FE5EW9"],"itemData":{"id":87799,"type":"article-journal","abstract":"Background\nTofacitinib is an oral Janus kinase inhibitor for the treatment of rheumatoid arthritis. The Oral Rheumatoid Arthritis triaL (ORAL) Strategy aimed to assess the comparative efficacy of tofacitinib monotherapy, tofacitinib plus methotrexate, and adalimumab plus methotrexate for the treatment of rheumatoid arthritis in patients with a previous inadequate response to methotrexate.\nMethods\nORAL Strategy was a 1 year, double-blind, phase 3b/4, head-to-head, non-inferiority, randomised controlled trial in patients aged 18 years or older with active rheumatoid arthritis despite methotrexate therapy. Patients were randomly assigned (1:1:1) to receive oral tofacitinib (5 mg twice daily) monotherapy, oral tofacitinib (5 mg twice daily) plus methotrexate, or subcutaneous adalimumab (40 mg every other week) plus methotrexate at 194 centres in 25 countries. Eligible patients received live zoster vaccine at investigators' discretion. The primary endpoint was the proportion of patients who attained an American College of Rheumatology response of at least 50% (ACR50) at month 6 in the full analysis set (patients who were randomly assigned to a group and received at least one dose of the study treatment). Non-inferiority between groups was shown if the lower bound of the 98·34% CI of the difference between comparators was larger than −13·0%. This trial is registered with ClinicalTrials.gov, number NCT02187055.\nFindings\n1146 patients received treatment (384 had tofacitinib monotherapy; 376 had tofacitinib and methotrexate; and 386 had adalimumab and methotrexate). At 6 months, ACR50 response was attained in 147 (38%) of 384 patients with tofacitinib monotherapy, 173 (46%) of 376 patients with tofacitinib and methotrexate, and 169 (44%) of 386 patients with adalimumab and methotrexate. Non-inferiority was declared for tofacitinib and methotrexate versus adalimumab and methotrexate (difference 2% [98·34% CI −6 to 11]) but not for tofacitinib monotherapy versus either adalimumab and methotrexate (−6 [−14 to 3]) or tofacitinib and methotrexate (−8 [−16 to 1]). In total, 23 (6%) of 384 patients receiving tofacitinib monotherapy, 26 (7%) of 376 patients receiving tofacitinib plus methotrexate, and 36 (9%) of 386 patients receiving adalimumab plus methotrexate discontinued due to adverse events. Two (1%) of the 384 patients receiving tofacitinib monotherapy died. No new or unexpected safety issues were reported for either treatment in this study for up to 1 year.\nInterpretation\nTofacitinib and methotrexate combination therapy was non-inferior to adalimumab and methotrexate combination therapy in the treatment of rheumatoid arthritis in patients with an inadequate response to methotrexate in this trial. Tofacitinib monotherapy was not shown to be non-inferior to either combination.\nFunding\nPfizer Inc.","container-title":"The Lancet","DOI":"10.1016/S0140-6736(17)31618-5","ISSN":"0140-6736","issue":"10093","journalAbbreviation":"The Lancet","language":"en","page":"457-468","source":"ScienceDirect","title":"Efficacy and safety of tofacitinib monotherapy, tofacitinib with methotrexate, and adalimumab with methotrexate in patients with rheumatoid arthritis (ORAL Strategy): a phase 3b/4, double-blind, head-to-head, randomised controlled trial","title-short":"Efficacy and safety of tofacitinib monotherapy, tofacitinib with methotrexate, and adalimumab with methotrexate in patients with rheumatoid arthritis (ORAL Strategy)","volume":"390","author":[{"family":"Fleischmann","given":"Roy"},{"family":"Mysler","given":"Eduardo"},{"family":"Hall","given":"Stephen"},{"family":"Kivitz","given":"Alan J"},{"family":"Moots","given":"Robert J"},{"family":"Luo","given":"Zhen"},{"family":"DeMasi","given":"Ryan"},{"family":"Soma","given":"Koshika"},{"family":"Zhang","given":"Richard"},{"family":"Takiya","given":"Liza"},{"family":"Tatulych","given":"Svitlana"},{"family":"Mojcik","given":"Christopher"},{"family":"Krishnaswami","given":"Sriram"},{"family":"Menon","given":"Sujatha"},{"family":"Smolen","given":"Josef S"},{"family":"Adams","given":"Luthando"},{"family":"Ally","given":"Mahmood M"},{"family":"Plooy","given":"Maria C","non-dropping-particle":"du"},{"family":"Louw","given":"Ingrid C"},{"family":"Nayiager","given":"Savithree"},{"family":"Nel","given":"Christoffel B"},{"family":"Nel","given":"Debra"},{"family":"Reuter","given":"Helmuth"},{"family":"Soloman","given":"Ahmed S"},{"family":"Spargo","given":"Catherine E"},{"family":"Hall","given":"Stephen"},{"family":"Rischmueller","given":"Maureen"},{"family":"Sharma","given":"Shunil D"},{"family":"Will","given":"Robert K"},{"family":"Youssef","given":"Peter P"},{"family":"Arroyo","given":"Caroline"},{"family":"Baes","given":"Rosario P"},{"family":"Dulos","given":"Roger B"},{"family":"Hao","given":"Llewellyn T"},{"family":"Lanzon","given":"Allan E"},{"family":"Lichauco","given":"Juan Javier T"},{"family":"Mangubat","given":"Jill H"},{"family":"Ramiterre","given":"Edgar B"},{"family":"Reyes","given":"Bernadette Heizel M"},{"family":"Tan","given":"Perry P"},{"family":"Choe","given":"Jung-Yoon"},{"family":"Kang","given":"Young Mo"},{"family":"Kwon","given":"Seong Ryul"},{"family":"Lee","given":"Sang-Heon"},{"family":"Lee","given":"Shin-Seok"},{"family":"Yoo","given":"Dae-Hyun"},{"family":"Lin","given":"Hsiao-Yi"},{"family":"Luo","given":"Shue-Fen"},{"family":"Tsai","given":"Shih-Tzu"},{"family":"Tsai","given":"Wen-Chan"},{"family":"Tseng","given":"Jui-Cheng"},{"family":"Wei","given":"Cheng-Chung C"},{"family":"Asavatanabodee","given":"Paijit"},{"family":"Nantiruj","given":"Kanokrat"},{"family":"Nilganuwong","given":"Surasak"},{"family":"Uea-Areewongsa","given":"Parichat"},{"family":"Majstorovic","given":"Ljubinka Bozic"},{"family":"Bacic","given":"Suada Mulic"},{"family":"Batalov","given":"Anastas Z"},{"family":"Georgieva-Slavcheva","given":"Gabriela"},{"family":"Mihailova","given":"Mariyana"},{"family":"Nikolov","given":"Nikolay G"},{"family":"Penev","given":"Dimitar P"},{"family":"Spasov","given":"Yuliy A"},{"family":"Stanimirova","given":"Krasimira"},{"family":"Todorov","given":"Stoyan"},{"family":"Toncheva","given":"Antoaneta R"},{"family":"Yordanova","given":"Nadezhda"},{"family":"Mosterova","given":"Zdenka"},{"family":"Novosad","given":"Libor"},{"family":"Prochazkova","given":"Leona"},{"family":"Stehlikova","given":"Helena"},{"family":"Stejfova","given":"Zuzana"},{"family":"Kiseleva","given":"Natalia"},{"family":"Pank","given":"Lea"},{"family":"Savi","given":"Triin"},{"family":"Alexandra","given":"Balbir-Gurman"},{"family":"Amital","given":"Howard"},{"family":"Mevorach","given":"Dror"},{"family":"Rosner","given":"Itzhak A"},{"family":"Mihailova","given":"Anna"},{"family":"Stumbra-Stumberga","given":"Evija"},{"family":"Basijokiene","given":"Vida"},{"family":"Lietuvininkiene","given":"Virginija"},{"family":"Unikiene","given":"Dalia"},{"family":"Brzezicki","given":"Jan"},{"family":"Dudek","given":"Anna M"},{"family":"Glowacka-Kulesz","given":"Maria B"},{"family":"Grabowicz-Wasko","given":"Barbara"},{"family":"Hajduk-Kubacka","given":"Sabina"},{"family":"Hilt","given":"Joanna"},{"family":"Hrycaj","given":"Pawel"},{"family":"Jeka","given":"Slawomir"},{"family":"Kolasa","given":"Renata"},{"family":"Krogulec","given":"Marek"},{"family":"Mastalerz","given":"Hanna"},{"family":"Olak-Popko","given":"Anna"},{"family":"Owczarek","given":"Elzbieta"},{"family":"Ruzga","given":"Zofia"},{"family":"Walczak","given":"Alina"},{"family":"Ancuta","given":"Codrina I"},{"family":"Ancuta","given":"Ioan"},{"family":"Balanescu","given":"Andra R"},{"family":"Berghea","given":"Florian"},{"family":"Bojin","given":"Silvia"},{"family":"Arvunescu","given":"Mihaela A Ianuli"},{"family":"Ionescu","given":"Ruxandra M"},{"family":"Mociran","given":"Eugenia"},{"family":"Pavel","given":"Mariana"},{"family":"Rednic","given":"Simona"},{"family":"Voie","given":"Adriana"},{"family":"Zainea","given":"Carmen M"},{"family":"Bugrova","given":"Olga V"},{"family":"Demin","given":"Alexander"},{"family":"Ershova","given":"Olga B"},{"family":"Gavrisheva","given":"Inna A"},{"family":"Krechikova","given":"Diana G"},{"family":"Kuropatkin","given":"Gennady V"},{"family":"Marusenko","given":"Irina M"},{"family":"Menshikova","given":"Irina V"},{"family":"Noskov","given":"Sergey M"},{"family":"Rebrov","given":"Andrey P"},{"family":"Smakotina","given":"Svetlana A"},{"family":"Yakushin","given":"Sergey S"},{"family":"Zhilyaev","given":"Evgeny"},{"family":"Ramos","given":"Juan Jose Amarelo"},{"family":"Garcia","given":"Francisco Javier Blanco"},{"family":"Nebro","given":"Antonio Fernandez"},{"family":"Esteban","given":"Silvia Perez"},{"family":"Burson","given":"Juan Miguel Sanchez"},{"family":"Sala","given":"Raimon Sanmarti"},{"family":"Ataman","given":"Sebnem"},{"family":"Hizmetli","given":"Sami"},{"family":"Kuru","given":"Omer"},{"family":"Douglas","given":"Karen M"},{"family":"Emery","given":"Paul"},{"family":"Moots","given":"Robert J"},{"family":"Ong","given":"Voon H"},{"family":"Sheeran","given":"Thomas P"},{"family":"Faraawi","given":"Rafat Y"},{"family":"Lessard","given":"Clode"},{"family":"Mendoza","given":"Carlos Abud"},{"family":"Avila-Armengol","given":"Hilario Ernesto"},{"family":"Zapata","given":"Francisco I Avila"},{"family":"Irazoque-Palazuelos","given":"Fedra Consuelo"},{"family":"Cecena","given":"Marco Antonio Maradiaga"},{"family":"Pacheco-Tena","given":"Cesar F"},{"family":"Rizo-Rodriguez","given":"Juan C"},{"family":"Rodriguez-Torres","given":"Isaura M"},{"family":"Aelion","given":"Jacob A"},{"family":"Caciolo","given":"Barbara A"},{"family":"Calmes","given":"James M"},{"family":"Chatpar","given":"Prem"},{"family":"Dayal","given":"Nimesh"},{"family":"De Jesus","given":"Alex"},{"family":"Dikranian","given":"Ara H"},{"family":"Diri","given":"Erdal"},{"family":"Fairfax","given":"Michael J"},{"family":"Fenton","given":"Ira F"},{"family":"Fleischmann","given":"Roy M"},{"family":"Gaylis","given":"Norman B"},{"family":"George","given":"Ronald L"},{"family":"Halter","given":"Dale G"},{"family":"Hernandez","given":"Paul"},{"family":"Hole","given":"Susan A"},{"family":"Hou","given":"Antony C"},{"family":"Huff","given":"John P"},{"family":"Kafaja","given":"Suzanne"},{"family":"Kennedy","given":"Alastair C"},{"family":"Kenney","given":"Howard"},{"family":"Kimmel","given":"Steven C"},{"family":"Kirby","given":"Brian S"},{"family":"Kivitz","given":"Alan J"},{"family":"Legerton","given":"Clarence W"},{"family":"Lindsey","given":"Stephen M"},{"family":"Mallepalli","given":"Jyothi R"},{"family":"Mathews","given":"Steven D"},{"family":"Metyas","given":"Samy K"},{"family":"Mizutani","given":"Wesley T"},{"family":"Najam","given":"Sabeen"},{"family":"Nascimento","given":"Joao M"},{"family":"Pang","given":"Shirley W"},{"family":"Patel","given":"Rakesh C"},{"family":"Poiley","given":"Jeffrey E"},{"family":"Ramirez","given":"Carlos E"},{"family":"Reddy","given":"Riteesha"},{"family":"Rehman","given":"Qaiser"},{"family":"Schnitz","given":"William M"},{"family":"Scoville","given":"Craig D"},{"family":"Shergy","given":"William J"},{"family":"Silverfield","given":"Joel C"},{"family":"Singhal","given":"Atul K"},{"family":"Smallwood-Sherrer","given":"Yvonne R"},{"family":"Songcharoen","given":"Suthin N"},{"family":"Stack","given":"Michael T"},{"family":"Stohl","given":"William"},{"family":"Su","given":"Tien-I K"},{"family":"Udell","given":"James"},{"family":"Waraich","given":"Saleem"},{"family":"Weidmann","given":"Charles E"},{"family":"Wei","given":"Nathan"},{"family":"Wiesenhutter","given":"Craig W"},{"family":"Winkler","given":"Anne E"},{"family":"Zagar","given":"Karen E"},{"family":"Berman","given":"Alberto"},{"family":"Mysler","given":"Eduardo F"},{"family":"Hidalgo","given":"Rodolfo A Pardo"},{"family":"Venarotti","given":"Horacio O"},{"family":"Sariego","given":"Irmgadt Annelise Goecke"},{"family":"Calabresse","given":"Renato E Jimenez"},{"family":"Ruiz-Tagle","given":"Juan Ignacio Vargas"},{"family":"Vargas","given":"Luis Fernando M Bellatin"},{"family":"Berrocal","given":"Alfredo E"},{"family":"Portocarrero","given":"Manuel Gustavo Leon"},{"family":"Jesus","given":"Felix"},{"family":"Pena","given":"Romero"}],"issued":{"date-parts":[["2017",7,29]]}},"label":"page"}],"schema":"https://github.com/citation-style-language/schema/raw/master/csl-citation.json"} </w:instrText>
      </w:r>
      <w:r w:rsidR="00C65883">
        <w:rPr>
          <w:lang w:val="en-GB"/>
        </w:rPr>
        <w:fldChar w:fldCharType="separate"/>
      </w:r>
      <w:r w:rsidR="00AD0B20">
        <w:rPr>
          <w:rFonts w:cs="Times New Roman"/>
          <w:szCs w:val="24"/>
        </w:rPr>
        <w:t>[7–11</w:t>
      </w:r>
      <w:r w:rsidR="008D5290" w:rsidRPr="008D5290">
        <w:rPr>
          <w:rFonts w:cs="Times New Roman"/>
          <w:szCs w:val="24"/>
        </w:rPr>
        <w:t>]</w:t>
      </w:r>
      <w:r w:rsidR="00C65883">
        <w:rPr>
          <w:lang w:val="en-GB"/>
        </w:rPr>
        <w:fldChar w:fldCharType="end"/>
      </w:r>
      <w:r w:rsidR="00CA02C9">
        <w:rPr>
          <w:lang w:eastAsia="ja-JP"/>
        </w:rPr>
        <w:t xml:space="preserve">. </w:t>
      </w:r>
      <w:r w:rsidR="00CC24F3">
        <w:rPr>
          <w:lang w:eastAsia="ja-JP"/>
        </w:rPr>
        <w:t>В</w:t>
      </w:r>
      <w:r w:rsidR="001F56E7">
        <w:rPr>
          <w:lang w:eastAsia="ja-JP"/>
        </w:rPr>
        <w:t xml:space="preserve"> ходе </w:t>
      </w:r>
      <w:r w:rsidR="003254D4">
        <w:rPr>
          <w:lang w:eastAsia="ja-JP"/>
        </w:rPr>
        <w:t xml:space="preserve">исследования фазы </w:t>
      </w:r>
      <w:r w:rsidR="003254D4">
        <w:rPr>
          <w:lang w:val="en-US" w:eastAsia="ja-JP"/>
        </w:rPr>
        <w:t>III</w:t>
      </w:r>
      <w:r w:rsidR="00E55CD2">
        <w:rPr>
          <w:lang w:eastAsia="ja-JP"/>
        </w:rPr>
        <w:t>, в котором приняли</w:t>
      </w:r>
      <w:r w:rsidR="00BC54F1">
        <w:rPr>
          <w:lang w:eastAsia="ja-JP"/>
        </w:rPr>
        <w:t xml:space="preserve"> </w:t>
      </w:r>
      <w:r w:rsidR="00E55CD2">
        <w:rPr>
          <w:lang w:eastAsia="ja-JP"/>
        </w:rPr>
        <w:t>участие пациенты с ювенильным псориатическим артритом</w:t>
      </w:r>
      <w:r w:rsidR="00BC54F1">
        <w:rPr>
          <w:lang w:eastAsia="ja-JP"/>
        </w:rPr>
        <w:t>,</w:t>
      </w:r>
      <w:r w:rsidR="003254D4" w:rsidRPr="00E00E97">
        <w:rPr>
          <w:lang w:eastAsia="ja-JP"/>
        </w:rPr>
        <w:t xml:space="preserve"> </w:t>
      </w:r>
      <w:r w:rsidR="003254D4">
        <w:rPr>
          <w:lang w:eastAsia="ja-JP"/>
        </w:rPr>
        <w:t>установили, что</w:t>
      </w:r>
      <w:r w:rsidR="00E00E97">
        <w:rPr>
          <w:lang w:eastAsia="ja-JP"/>
        </w:rPr>
        <w:t xml:space="preserve"> лечение тофацитинибом ассоциируется с улучшением </w:t>
      </w:r>
      <w:r w:rsidR="006A051A">
        <w:rPr>
          <w:lang w:eastAsia="ja-JP"/>
        </w:rPr>
        <w:t xml:space="preserve">ответа по критериям </w:t>
      </w:r>
      <w:r w:rsidR="006A051A">
        <w:rPr>
          <w:lang w:val="en-US" w:eastAsia="ja-JP"/>
        </w:rPr>
        <w:t>ACR</w:t>
      </w:r>
      <w:r w:rsidR="009068C6">
        <w:rPr>
          <w:lang w:eastAsia="ja-JP"/>
        </w:rPr>
        <w:t xml:space="preserve"> и</w:t>
      </w:r>
      <w:r w:rsidR="006A051A">
        <w:rPr>
          <w:lang w:eastAsia="ja-JP"/>
        </w:rPr>
        <w:t xml:space="preserve"> снижением инвалидизации </w:t>
      </w:r>
      <w:r w:rsidR="00FA47B9">
        <w:rPr>
          <w:lang w:eastAsia="ja-JP"/>
        </w:rPr>
        <w:t>у пациентов с ювенильным идиопатическим артритом</w:t>
      </w:r>
      <w:r w:rsidR="00104948">
        <w:rPr>
          <w:lang w:eastAsia="ja-JP"/>
        </w:rPr>
        <w:t xml:space="preserve"> (ЮИА)</w:t>
      </w:r>
      <w:r w:rsidR="00CC24F3">
        <w:rPr>
          <w:lang w:eastAsia="ja-JP"/>
        </w:rPr>
        <w:t xml:space="preserve">. </w:t>
      </w:r>
      <w:r w:rsidR="00CC24F3">
        <w:t>Кроме того, в</w:t>
      </w:r>
      <w:r w:rsidR="008033B4">
        <w:t xml:space="preserve"> двух рандомизированных двойных слепых плацебо-кон</w:t>
      </w:r>
      <w:r w:rsidR="006A491D">
        <w:t>т</w:t>
      </w:r>
      <w:r w:rsidR="008033B4">
        <w:t xml:space="preserve">ролируемых исследованиях </w:t>
      </w:r>
      <w:r w:rsidR="008033B4" w:rsidRPr="008033B4">
        <w:t>PsA-I (OPAL BROADEN) и PsA-II (OPAL BEYOND)</w:t>
      </w:r>
      <w:r w:rsidR="0012475E" w:rsidRPr="0012475E">
        <w:t xml:space="preserve"> </w:t>
      </w:r>
      <w:r w:rsidR="0012475E">
        <w:t xml:space="preserve">с участием пациентов с псориатическим артритом с </w:t>
      </w:r>
      <w:r w:rsidR="0012475E" w:rsidRPr="0012475E">
        <w:t>неадекватны</w:t>
      </w:r>
      <w:r w:rsidR="0012475E">
        <w:t>м</w:t>
      </w:r>
      <w:r w:rsidR="0012475E" w:rsidRPr="0012475E">
        <w:t xml:space="preserve"> ответ</w:t>
      </w:r>
      <w:r w:rsidR="0012475E">
        <w:t>ом</w:t>
      </w:r>
      <w:r w:rsidR="0012475E" w:rsidRPr="0012475E">
        <w:t xml:space="preserve"> на традиционные сБМАРП </w:t>
      </w:r>
      <w:r w:rsidR="0012475E">
        <w:t xml:space="preserve">или </w:t>
      </w:r>
      <w:r w:rsidR="00CC7734" w:rsidRPr="00CC7734">
        <w:t>ингибитор</w:t>
      </w:r>
      <w:r w:rsidR="00CC7734">
        <w:t>ы</w:t>
      </w:r>
      <w:r w:rsidR="00CC7734" w:rsidRPr="00CC7734">
        <w:t xml:space="preserve"> TNF-α </w:t>
      </w:r>
      <w:r w:rsidR="00CC7734">
        <w:t xml:space="preserve">соответственно </w:t>
      </w:r>
      <w:r w:rsidR="00233E59">
        <w:t xml:space="preserve">определили, что прием тофацитиниба улучшает признаки и симптомы заболевания согласно критериям </w:t>
      </w:r>
      <w:r w:rsidR="00233E59">
        <w:rPr>
          <w:lang w:val="en-US" w:eastAsia="ja-JP"/>
        </w:rPr>
        <w:t>ACR</w:t>
      </w:r>
      <w:r w:rsidR="00CC24F3">
        <w:rPr>
          <w:lang w:eastAsia="ja-JP"/>
        </w:rPr>
        <w:t>, физическое функционирование</w:t>
      </w:r>
      <w:r w:rsidR="00233E59">
        <w:t xml:space="preserve"> </w:t>
      </w:r>
      <w:r w:rsidR="00CC24F3">
        <w:t xml:space="preserve">и качество жизни </w:t>
      </w:r>
      <w:r w:rsidR="00164218">
        <w:fldChar w:fldCharType="begin"/>
      </w:r>
      <w:r w:rsidR="008D5290">
        <w:instrText xml:space="preserve"> ADDIN ZOTERO_ITEM CSL_CITATION {"citationID":"4wYaGlUU","properties":{"formattedCitation":"[24]","plainCitation":"[24]","noteIndex":0},"citationItems":[{"id":87800,"uris":["http://zotero.org/groups/4742804/items/TPCQ89X9"],"itemData":{"id":87800,"type":"webpage","title":"Xeljanz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164218">
        <w:fldChar w:fldCharType="separate"/>
      </w:r>
      <w:r w:rsidR="00AD0B20">
        <w:rPr>
          <w:rFonts w:cs="Times New Roman"/>
        </w:rPr>
        <w:t>[2</w:t>
      </w:r>
      <w:r w:rsidR="008D5290" w:rsidRPr="008D5290">
        <w:rPr>
          <w:rFonts w:cs="Times New Roman"/>
        </w:rPr>
        <w:t>]</w:t>
      </w:r>
      <w:r w:rsidR="00164218">
        <w:fldChar w:fldCharType="end"/>
      </w:r>
      <w:r w:rsidR="00164218">
        <w:t>.</w:t>
      </w:r>
      <w:r w:rsidR="00CC24F3" w:rsidRPr="002707EB">
        <w:t xml:space="preserve"> </w:t>
      </w:r>
      <w:r w:rsidR="002707EB">
        <w:t xml:space="preserve">В </w:t>
      </w:r>
      <w:r w:rsidR="00F00C84">
        <w:t xml:space="preserve">2 исследованиях по оценке эффективности индукции ремиссии и 1 исследовании по поддержанию ремиссии у пациентов </w:t>
      </w:r>
      <w:r w:rsidR="00B57B96">
        <w:t xml:space="preserve">с ЯК определили </w:t>
      </w:r>
      <w:r w:rsidR="00414470">
        <w:t>более высокую частоту достижения и поддержания ремиссии на фоне терапии тофацитинибом, чем при использовании плацебо</w:t>
      </w:r>
      <w:r w:rsidR="00C618F5">
        <w:t>, а также улучшение</w:t>
      </w:r>
      <w:r w:rsidR="00414470">
        <w:t xml:space="preserve"> </w:t>
      </w:r>
      <w:r w:rsidR="00C618F5">
        <w:t xml:space="preserve">качества жизни </w:t>
      </w:r>
      <w:r w:rsidR="002707EB">
        <w:rPr>
          <w:lang w:val="en-GB"/>
        </w:rPr>
        <w:fldChar w:fldCharType="begin"/>
      </w:r>
      <w:r w:rsidR="008D5290">
        <w:instrText xml:space="preserve"> ADDIN ZOTERO_ITEM CSL_CITATION {"citationID":"QHp1yTpe","properties":{"formattedCitation":"[29,34]","plainCitation":"[29,34]","noteIndex":0},"citationItems":[{"id":87805,"uris":["http://zotero.org/groups/4742804/items/QUW6NSTM"],"itemData":{"id":87805,"type":"webpage","title":"Xeljanz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label":"page"},{"id":87776,"uris":["http://zotero.org/groups/4742804/items/H7HIR8ER"],"itemData":{"id":87776,"type":"article-journal","abstract":"Tofacitinib is an oral, small molecule Janus kinase inhibitor for the treatment of ulcerative colitis (UC). We examined the effect of tofacitinib induction treatment on Inflammatory Bowel Disease Questionnaire (IBDQ) items in adults with moderate to severe UC.Data were pooled from the randomized, 8‑week, double-blind, phase 3 OCTAVE Induction 1 and 2 studies. The IBDQ was self-administered by patients at baseline, week 4, and week 8, with higher scores indicating better health-related quality of life (HRQoL). Change from baseline in IBDQ items was analyzed for 10 mg of tofacitinib twice daily (BID) vs placebo using a linear mixed-effects model, with no multiplicity adjustment performed. Effect sizes were calculated. Subgroup analyses by tumor necrosis factor inhibitor (TNFi) experience were performed.Significant improvements (nominal P &amp;lt; 0.05) were observed in all IBDQ items with 10 mg of tofacitinib BID vs placebo at weeks 4 and 8. For the overall population, the largest treatment differences across all items were reported for “bowel movements been loose” at weeks 4 and 8, and “problem with rectal bleeding” at week 8 (mean treatment differences all 1.1; both in bowel symptoms domain). These items also showed the largest effect sizes. Treatment benefits were generally slightly numerically higher in TNFi-experienced vs TNFi-naïve patients.Tofacitinib induction therapy improved all IBDQ items vs placebo in patients with UC, reflecting improvements in HRQoL, with greatest benefits reported in bowel symptoms domain items (Funded by Pfizer Inc; OCTAVE Induction 1 and OCTAVE Induction 2; ClinicalTrials.gov, NCT01465763 and NCT01458951, respectively).","container-title":"Inflammatory Bowel Diseases","DOI":"10.1093/ibd/izaa193","ISSN":"1078-0998","issue":"7","journalAbbreviation":"Inflammatory Bowel Diseases","page":"983-993","source":"Silverchair","title":"Tofacitinib in patients with ulcerative colitis: inflammatory bowel disease questionnaire items in phase 3 randomized controlled induction studies","title-short":"Tofacitinib in Patients with Ulcerative Colitis","volume":"27","author":[{"family":"Dubinsky","given":"Marla C"},{"family":"DiBonaventura","given":"Marco"},{"family":"Fan","given":"Haiyun"},{"family":"Bushmakin","given":"Andrew G"},{"family":"Cappelleri","given":"Joseph C"},{"family":"Maller","given":"Eric"},{"family":"Thorpe","given":"Andrew J"},{"family":"Salese","given":"Leonardo"},{"family":"Panés","given":"Julian"}],"issued":{"date-parts":[["2021",7,1]]}},"label":"page"}],"schema":"https://github.com/citation-style-language/schema/raw/master/csl-citation.json"} </w:instrText>
      </w:r>
      <w:r w:rsidR="002707EB">
        <w:rPr>
          <w:lang w:val="en-GB"/>
        </w:rPr>
        <w:fldChar w:fldCharType="separate"/>
      </w:r>
      <w:r w:rsidR="00AD0B20">
        <w:rPr>
          <w:rFonts w:cs="Times New Roman"/>
        </w:rPr>
        <w:t>[7,12</w:t>
      </w:r>
      <w:r w:rsidR="008D5290" w:rsidRPr="008D5290">
        <w:rPr>
          <w:rFonts w:cs="Times New Roman"/>
        </w:rPr>
        <w:t>]</w:t>
      </w:r>
      <w:r w:rsidR="002707EB">
        <w:rPr>
          <w:lang w:val="en-GB"/>
        </w:rPr>
        <w:fldChar w:fldCharType="end"/>
      </w:r>
      <w:r w:rsidR="002707EB">
        <w:t>.</w:t>
      </w:r>
      <w:r w:rsidR="004800B2" w:rsidRPr="004800B2">
        <w:t xml:space="preserve"> </w:t>
      </w:r>
      <w:r w:rsidR="000E3C95">
        <w:t xml:space="preserve">Более </w:t>
      </w:r>
      <w:r w:rsidR="004800B2" w:rsidRPr="001D5239">
        <w:t>высок</w:t>
      </w:r>
      <w:r w:rsidR="004800B2">
        <w:t xml:space="preserve">ую долю пациентов с </w:t>
      </w:r>
      <w:r w:rsidR="000E3C95">
        <w:t xml:space="preserve">ответом по </w:t>
      </w:r>
      <w:r w:rsidR="0033286E" w:rsidRPr="0033286E">
        <w:t xml:space="preserve">Общей оценке врачом (Physician’s Global Assessment, </w:t>
      </w:r>
      <w:r w:rsidR="000E3C95">
        <w:rPr>
          <w:lang w:val="en-US"/>
        </w:rPr>
        <w:t>PGA</w:t>
      </w:r>
      <w:r w:rsidR="0033286E">
        <w:t>)</w:t>
      </w:r>
      <w:r w:rsidR="0060509D">
        <w:t xml:space="preserve">, </w:t>
      </w:r>
      <w:r w:rsidR="00C93951">
        <w:t>и</w:t>
      </w:r>
      <w:r w:rsidR="00442C90" w:rsidRPr="00BF1E71">
        <w:t>ндекс</w:t>
      </w:r>
      <w:r w:rsidR="00442C90">
        <w:t>у</w:t>
      </w:r>
      <w:r w:rsidR="00442C90" w:rsidRPr="00BF1E71">
        <w:t xml:space="preserve"> площади и тяжести псориаза (Psoriasis Area and Severity Index</w:t>
      </w:r>
      <w:r w:rsidR="00442C90">
        <w:t xml:space="preserve">, </w:t>
      </w:r>
      <w:r w:rsidR="00442C90" w:rsidRPr="00BF1E71">
        <w:t>PASI</w:t>
      </w:r>
      <w:r w:rsidR="00442C90">
        <w:t>) и</w:t>
      </w:r>
      <w:r w:rsidR="0060509D" w:rsidRPr="0060509D">
        <w:t xml:space="preserve"> </w:t>
      </w:r>
      <w:r w:rsidR="00BF1E71">
        <w:t xml:space="preserve">индексу тяжести псориаза ногтей (Nail Psoriasis Severity Index, </w:t>
      </w:r>
      <w:r w:rsidR="0060509D">
        <w:t>NAPSI</w:t>
      </w:r>
      <w:r w:rsidR="00BF1E71">
        <w:t>)</w:t>
      </w:r>
      <w:r w:rsidR="004800B2" w:rsidRPr="001D5239">
        <w:t xml:space="preserve"> наблюдали при </w:t>
      </w:r>
      <w:r w:rsidR="004800B2">
        <w:t>использовании</w:t>
      </w:r>
      <w:r w:rsidR="004800B2" w:rsidRPr="001D5239">
        <w:t xml:space="preserve"> тофацитиниба по сравнению с плацебо </w:t>
      </w:r>
      <w:r w:rsidR="004800B2">
        <w:fldChar w:fldCharType="begin"/>
      </w:r>
      <w:r w:rsidR="00512EE4">
        <w:instrText xml:space="preserve"> ADDIN ZOTERO_ITEM CSL_CITATION {"citationID":"4eNpvz0q","properties":{"formattedCitation":"[25\\uc0\\u8211{}28]","plainCitation":"[25–28]","noteIndex":0},"citationItems":[{"id":91576,"uris":["http://zotero.org/groups/4742804/items/Z4HDYIIB"],"itemData":{"id":91576,"type":"article-journal","abstract":"BACKGROUND: Tofacitinib is an oral Janus kinase inhibitor being investigated for psoriasis.\nOBJECTIVES: To determine the 16-week efficacy and safety of two oral tofacitinib doses vs. placebo in patients with moderate-to-severe chronic plaque psoriasis.\nMETHODS: Patients in two similarly designed phase III studies (OPT Pivotal 1, NCT01276639, n = 901; OPT Pivotal 2, NCT01309737, n = 960) were initially randomized 2 : 2 : 1 to tofacitinib 10 or 5 mg or placebo, twice daily. Coprimary efficacy end points (week 16) included the proportion of patients achieving Physician's Global Assessment (PGA) of 'clear' or 'almost clear' (PGA response) and the proportion achieving ≥ 75% reduction in Psoriasis Area and Severity Index (PASI 75).\nRESULTS: Across OPT Pivotal 1 and OPT Pivotal 2, 745 patients received tofacitinib 5 mg, 741 received tofacitinib 10 mg and 373 received placebo. At week 16, a greater proportion of patients achieved PGA responses with tofacitinib 5 and 10 mg twice daily vs. placebo (OPT Pivotal 1, 41·9% and 59·2% vs. 9·0%; OPT Pivotal 2, 46·0% and 59·1% vs. 10·9%; all P &lt; 0·001). Higher PASI 75 rates were observed with tofacitinib vs. placebo (OPT Pivotal 1, 39·9%, 59·2% and 6·2%, respectively, for tofacitinib 5 and 10 mg twice daily and placebo; OPT Pivotal 2, 46·0%, 59·6% and 11·4%; all P &lt; 0·001 vs. placebo). Adverse event (AE) rates appeared generally similar across groups; rates of serious AEs, infections, malignancies and discontinuations due to AEs were low. Twelve patients reported herpes zoster across the tofacitinib treatment groups in both studies vs. none in the respective placebo groups. The most common AE across groups was nasopharyngitis.\nCONCLUSIONS: Oral tofacitinib demonstrated significant efficacy vs. placebo during the initial 16 weeks of treatment in patients with moderate-to-severe psoriasis. Safety findings were consistent with prior studies.","container-title":"The British Journal of Dermatology","DOI":"10.1111/bjd.14018","ISSN":"1365-2133","issue":"4","journalAbbreviation":"Br J Dermatol","language":"eng","note":"PMID: 26149717","page":"949-961","source":"PubMed","title":"Tofacitinib, an oral Janus kinase inhibitor, for the treatment of chronic plaque psoriasis: results from two randomized, placebo-controlled, phase III trials","title-short":"Tofacitinib, an oral Janus kinase inhibitor, for the treatment of chronic plaque psoriasis","volume":"173","author":[{"family":"Papp","given":"K. A."},{"family":"Menter","given":"M. A."},{"family":"Abe","given":"M."},{"family":"Elewski","given":"B."},{"family":"Feldman","given":"S. R."},{"family":"Gottlieb","given":"A. B."},{"family":"Langley","given":"R."},{"family":"Luger","given":"T."},{"family":"Thaci","given":"D."},{"family":"Buonanno","given":"M."},{"family":"Gupta","given":"P."},{"family":"Proulx","given":"J."},{"family":"Lan","given":"S."},{"family":"Wolk","given":"R."},{"literal":"OPT Pivotal 1 and OPT Pivotal 2 investigators"}],"issued":{"date-parts":[["2015",10]]}},"label":"page"},{"id":91570,"uris":["http://zotero.org/groups/4742804/items/2TNZYL5V"],"itemData":{"id":91570,"type":"article-journal","abstract":"BACKGROUND: Tofacitinib is an oral Janus kinase inhibitor.\nOBJECTIVE: This study assessed tofacitinib efficacy and safety vs placebo in Asian patients with moderate to severe chronic plaque psoriasis.\nMETHODS: Patients from China mainland, Taiwan, and Korea were randomized 2:2:1:1 to tofacitinib 5mg (N=88), tofacitinib 10mg (N=90), placebo→5mg (N=44), or placebo→10mg (N=44), twice daily (BID) for 52 weeks. Placebo-treated patients advanced to tofacitinib at Week 16. Co-primary efficacy endpoints: proportions of patients achieving Physician's Global Assessment (PGA) response ('clear' or 'almost clear') and proportion achieving ≥75% reduction from baseline Psoriasis Area and Severity Index (PASI75) at Week 16.\nRESULTS: At Week 16, more patients achieved PGA and PASI75 responses with tofacitinib 5mg (52.3%; 54.6%) and 10mg (75.6%; 81.1%) BID vs placebo (19.3%; 12.5%; all p&lt;0.0001). Of patients with a Week 16 response, 73.6% and 75.0% maintained PGA response, and 76.8% and 84.9% maintained PASI75 to Week 52 with tofacitinib 5mg and 10mg BID, respectively. Over 52 weeks, 2.2-4.5% of patients across treatment groups experienced serious adverse events, and 1.1-6.8% discontinued due to adverse events.\nCONCLUSION: Tofacitinib demonstrated efficacy vs placebo at Week 16 in Asian patients with moderate to severe plaque psoriasis; efficacy was maintained through Week 52. No unexpected safety findings were observed. [NCT01815424].","container-title":"Journal of Dermatological Science","DOI":"10.1016/j.jdermsci.2017.05.004","ISSN":"1873-569X","issue":"1","journalAbbreviation":"J Dermatol Sci","language":"eng","note":"PMID: 28558978","page":"36-45","source":"PubMed","title":"The efficacy and safety of tofacitinib in Asian patients with moderate to severe chronic plaque psoriasis: A Phase 3, randomized, double-blind, placebo-controlled study","title-short":"The efficacy and safety of tofacitinib in Asian patients with moderate to severe chronic plaque psoriasis","volume":"88","author":[{"family":"Zhang","given":"JianZhong"},{"family":"Tsai","given":"Tsen-Fang"},{"family":"Lee","given":"Min-Geol"},{"family":"Zheng","given":"Min"},{"family":"Wang","given":"Gang"},{"family":"Jin","given":"HongZhong"},{"family":"Gu","given":"Jun"},{"family":"Li","given":"RuoYu"},{"family":"Liu","given":"QuanZhong"},{"family":"Chen","given":"Jin"},{"family":"Tu","given":"CaiXia"},{"family":"Qi","given":"ChunMei"},{"family":"Zhu","given":"Hua"},{"family":"Ports","given":"William C."},{"family":"Crook","given":"Tim"}],"issued":{"date-parts":[["2017",10]]}},"label":"page"},{"id":91572,"uris":["http://zotero.org/groups/4742804/items/SX3YV42I"],"itemData":{"id":91572,"type":"article-journal","abstract":"BACKGROUND: Tofacitinib is an oral Janus kinase inhibitor. Efficacy and safety of tofacitinib in patients with moderate-to-severe plaque psoriasis have been demonstrated.\nOBJECTIVE: We sought to assess the efficacy of tofacitinib for the treatment of nail psoriasis over a period of 52 weeks.\nMETHODS: In 2 identical phase 3 studies (OPT Pivotal 1 and 2), patients were randomized 2:2:1 to receive tofacitinib 5 mg, tofacitinib 10 mg, or placebo, twice daily. At week 16, placebo-treated patients were re-randomized to tofacitinib. This post hoc analysis of patients with existing nail psoriasis assessed the Nail Psoriasis Severity Index (NAPSI) score and proportions of patients achieving ≥50% reduction in NAPSI from baseline (NAPSI50), NAPSI75, or NAPSI100.\nRESULTS: Baseline mean NAPSI scores for patients treated with tofacitinib 5 mg (N = 487), tofacitinib 10 mg (N = 476), and placebo (N = 233) twice daily were 27.0, 27.3, and 26.9, respectively. At week 16, significantly (all P &lt; .05) more patients receiving tofacitinib 5 mg and tofacitinib 10 mg versus placebo twice daily achieved NAPSI50 (32.8%, 44.2% vs 12.0%), NAPSI75 (16.9%, 28.1% vs 6.8%), and NAPSI100 (10.3%, 18.2% vs 5.1%), respectively. Improvements were sustained to week 52.\nLIMITATIONS: Limitations include discontinuation of clinical nonresponders at week 28.\nCONCLUSIONS: Tofacitinib treatment resulted in improvements in nail psoriasis versus placebo at week 16; improvements were maintained over 52 weeks [NCT01276639; NCT01309737].","container-title":"Journal of the American Academy of Dermatology","DOI":"10.1016/j.jaad.2017.01.053","ISSN":"1097-6787","issue":"1","journalAbbreviation":"J Am Acad Dermatol","language":"eng","note":"PMID: 28396102","page":"79-87.e1","source":"PubMed","title":"Efficacy of tofacitinib for the treatment of nail psoriasis: Two 52-week, randomized, controlled phase 3 studies in patients with moderate-to-severe plaque psoriasis","title-short":"Efficacy of tofacitinib for the treatment of nail psoriasis","volume":"77","author":[{"family":"Merola","given":"Joseph F."},{"family":"Elewski","given":"Boni"},{"family":"Tatulych","given":"Svitlana"},{"family":"Lan","given":"Shuping"},{"family":"Tallman","given":"Anna"},{"family":"Kaur","given":"Mandeep"}],"issued":{"date-parts":[["2017",7]]}},"label":"page"},{"id":91574,"uris":["http://zotero.org/groups/4742804/items/T2FF4INV"],"itemData":{"id":91574,"type":"article-journal","abstract":"Janus kinase (JAK) inhibitors are novel treatment approaches for psoriasis. However, there is no direct comparison of JAK inhibitors in plaque psoriasis. In order to compare the efficacy and safety of JAK inhibitors in psoriasis, we conducted a network meta-analysis using eligible randomized clinical trials (RCTs). The efficacy of JAK inhibitors was evaluated using a 75% improvement in Psoriasis Area and Severity Index (PASI75) from baseline, and the proportion of patients achieving the Physician's Global Assessment (PGA) response. The incidence of treatment-related adverse events (AEs) was also assessed. A total of eight RCTs with tofacitinib, peficitinib, solcitinib, baricitinib, abrocitinib and deucravacitinib were included. A total of 3612 participants who were diagnosed with moderate-to-severe plaque psoriasis were analysed. Overall, JAK inhibitors showed superior PASI75 response over placebo at both 8 and 12 weeks. Among all included JAK inhibitors, tofacitinib 15 mg twice a day (BID) had the highest probability of achieving PASI75 at both 8 and 12 weeks (SUCRA = 0.938 and 0.937, separately), followed by tofacitinib 10 mg BID (SUCRA = 0.905 and 0.908, separately) and deucravacitinib 12 mg once daily (QD) (SUCRA = 0.874 and 0.837, separately). A similar finding was observed for PGA response. Safety assessment showed that all JAK inhibitors had non-inferior safety compared with placebo, except for deucravacitinib 6 mg BID and 12 mg QD. Tofacitinib 2 mg BID was the first-ranked drug for safety profile followed by deucravacitinib 3 mg QD, and tofacitinib 5 mg BID. When comprehensively evaluated the efficacy and safety, tofacitinib (2 mg, 5 mg, 10 mg, 15 mg BID) was superior to other included JAK inhibitors with satisfying PASI75 and PGA response, as well as relatively low incidence of AEs. Our study confirmed that JAK inhibitors had promising treatment efficacy for moderate-to-severe plaque psoriasis. Tofacitinib showed superior efficacy and safety over peficitinib, solcitinib, baricitinib, abrocitinib and deucravacitinib.","container-title":"Journal of the European Academy of Dermatology and Venereology: JEADV","DOI":"10.1111/jdv.18263","ISSN":"1468-3083","issue":"11","journalAbbreviation":"J Eur Acad Dermatol Venereol","language":"eng","note":"PMID: 35608188","page":"1937-1946","source":"PubMed","title":"The efficacy and safety of tofacitinib, peficitinib, solcitinib, baricitinib, abrocitinib and deucravacitinib in plaque psoriasis - A network meta-analysis","volume":"36","author":[{"family":"Zhang","given":"L."},{"family":"Guo","given":"L."},{"family":"Wang","given":"L."},{"family":"Jiang","given":"X."}],"issued":{"date-parts":[["2022",11]]}},"label":"page"}],"schema":"https://github.com/citation-style-language/schema/raw/master/csl-citation.json"} </w:instrText>
      </w:r>
      <w:r w:rsidR="004800B2">
        <w:fldChar w:fldCharType="separate"/>
      </w:r>
      <w:r w:rsidR="00AD0B20">
        <w:rPr>
          <w:rFonts w:cs="Times New Roman"/>
          <w:szCs w:val="24"/>
        </w:rPr>
        <w:t>[3–6</w:t>
      </w:r>
      <w:r w:rsidR="00512EE4" w:rsidRPr="00512EE4">
        <w:rPr>
          <w:rFonts w:cs="Times New Roman"/>
          <w:szCs w:val="24"/>
        </w:rPr>
        <w:t>]</w:t>
      </w:r>
      <w:r w:rsidR="004800B2">
        <w:fldChar w:fldCharType="end"/>
      </w:r>
      <w:r w:rsidR="004800B2">
        <w:t>.</w:t>
      </w:r>
      <w:r w:rsidR="00BC2A49">
        <w:t xml:space="preserve"> </w:t>
      </w:r>
      <w:r w:rsidR="004800B2">
        <w:t xml:space="preserve">Для тофацитиниба показали более высокую эффективность и безопасность по сравнению с пефицитинибом, солцитинибом, барицитинибом, аброцитинибом и деукравацитинибом </w:t>
      </w:r>
      <w:r w:rsidR="00BC2A49">
        <w:t xml:space="preserve">у пациентов с бляшечным псориазом </w:t>
      </w:r>
      <w:r w:rsidR="004800B2">
        <w:fldChar w:fldCharType="begin"/>
      </w:r>
      <w:r w:rsidR="004800B2">
        <w:instrText xml:space="preserve"> ADDIN ZOTERO_ITEM CSL_CITATION {"citationID":"MkHdE2Gi","properties":{"formattedCitation":"[28]","plainCitation":"[28]","noteIndex":0},"citationItems":[{"id":91574,"uris":["http://zotero.org/groups/4742804/items/T2FF4INV"],"itemData":{"id":91574,"type":"article-journal","abstract":"Janus kinase (JAK) inhibitors are novel treatment approaches for psoriasis. However, there is no direct comparison of JAK inhibitors in plaque psoriasis. In order to compare the efficacy and safety of JAK inhibitors in psoriasis, we conducted a network meta-analysis using eligible randomized clinical trials (RCTs). The efficacy of JAK inhibitors was evaluated using a 75% improvement in Psoriasis Area and Severity Index (PASI75) from baseline, and the proportion of patients achieving the Physician's Global Assessment (PGA) response. The incidence of treatment-related adverse events (AEs) was also assessed. A total of eight RCTs with tofacitinib, peficitinib, solcitinib, baricitinib, abrocitinib and deucravacitinib were included. A total of 3612 participants who were diagnosed with moderate-to-severe plaque psoriasis were analysed. Overall, JAK inhibitors showed superior PASI75 response over placebo at both 8 and 12 weeks. Among all included JAK inhibitors, tofacitinib 15 mg twice a day (BID) had the highest probability of achieving PASI75 at both 8 and 12 weeks (SUCRA = 0.938 and 0.937, separately), followed by tofacitinib 10 mg BID (SUCRA = 0.905 and 0.908, separately) and deucravacitinib 12 mg once daily (QD) (SUCRA = 0.874 and 0.837, separately). A similar finding was observed for PGA response. Safety assessment showed that all JAK inhibitors had non-inferior safety compared with placebo, except for deucravacitinib 6 mg BID and 12 mg QD. Tofacitinib 2 mg BID was the first-ranked drug for safety profile followed by deucravacitinib 3 mg QD, and tofacitinib 5 mg BID. When comprehensively evaluated the efficacy and safety, tofacitinib (2 mg, 5 mg, 10 mg, 15 mg BID) was superior to other included JAK inhibitors with satisfying PASI75 and PGA response, as well as relatively low incidence of AEs. Our study confirmed that JAK inhibitors had promising treatment efficacy for moderate-to-severe plaque psoriasis. Tofacitinib showed superior efficacy and safety over peficitinib, solcitinib, baricitinib, abrocitinib and deucravacitinib.","container-title":"Journal of the European Academy of Dermatology and Venereology: JEADV","DOI":"10.1111/jdv.18263","ISSN":"1468-3083","issue":"11","journalAbbreviation":"J Eur Acad Dermatol Venereol","language":"eng","note":"PMID: 35608188","page":"1937-1946","source":"PubMed","title":"The efficacy and safety of tofacitinib, peficitinib, solcitinib, baricitinib, abrocitinib and deucravacitinib in plaque psoriasis - A network meta-analysis","volume":"36","author":[{"family":"Zhang","given":"L."},{"family":"Guo","given":"L."},{"family":"Wang","given":"L."},{"family":"Jiang","given":"X."}],"issued":{"date-parts":[["2022",11]]}}}],"schema":"https://github.com/citation-style-language/schema/raw/master/csl-citation.json"} </w:instrText>
      </w:r>
      <w:r w:rsidR="004800B2">
        <w:fldChar w:fldCharType="separate"/>
      </w:r>
      <w:r w:rsidR="00AD0B20">
        <w:rPr>
          <w:rFonts w:cs="Times New Roman"/>
        </w:rPr>
        <w:t>[6</w:t>
      </w:r>
      <w:r w:rsidR="004800B2" w:rsidRPr="008D5290">
        <w:rPr>
          <w:rFonts w:cs="Times New Roman"/>
        </w:rPr>
        <w:t>]</w:t>
      </w:r>
      <w:r w:rsidR="004800B2">
        <w:fldChar w:fldCharType="end"/>
      </w:r>
      <w:r w:rsidR="004800B2">
        <w:t>.</w:t>
      </w:r>
    </w:p>
    <w:p w14:paraId="243A06F2" w14:textId="042CD8BD" w:rsidR="0062239C" w:rsidRDefault="00565854" w:rsidP="00017DA2">
      <w:pPr>
        <w:spacing w:after="0"/>
        <w:contextualSpacing/>
      </w:pPr>
      <w:r>
        <w:t xml:space="preserve">Наиболее частые нежелательные реакции (НР) в течение первых 3 мес. двойных слепых плацебо-контролируемых или с активным контролем (метотрексат) исследований с участием пациентов с РА, </w:t>
      </w:r>
      <w:r w:rsidR="00A30823">
        <w:t>АС</w:t>
      </w:r>
      <w:r>
        <w:t xml:space="preserve"> и псориатическим артритом включали головную боль, инфекции верхних дыхательных путей, вирусные инфекции верхних дыхательных путей, диаре</w:t>
      </w:r>
      <w:r w:rsidR="00482E78">
        <w:t>ю</w:t>
      </w:r>
      <w:r>
        <w:t>, тошноту и АГ. Наиболее частыми НР на фоне использования тофацитиниба в дозе 10 мг 2 раза в день в исследования индукции ремиссии у пациентов с ЯК являлись головная боль, назофарингит, тошнота и артралгия</w:t>
      </w:r>
      <w:r w:rsidR="00970270">
        <w:t>.</w:t>
      </w:r>
      <w:r>
        <w:t xml:space="preserve"> </w:t>
      </w:r>
      <w:r w:rsidR="009B3A33">
        <w:t xml:space="preserve">В двойном слепом периоде исследования </w:t>
      </w:r>
      <w:r w:rsidR="009B3A33" w:rsidRPr="00FB022D">
        <w:t>A3921104</w:t>
      </w:r>
      <w:r w:rsidR="009B3A33">
        <w:t xml:space="preserve"> фазы </w:t>
      </w:r>
      <w:r w:rsidR="009B3A33">
        <w:rPr>
          <w:lang w:val="en-US"/>
        </w:rPr>
        <w:t>III</w:t>
      </w:r>
      <w:r w:rsidR="009B3A33">
        <w:t xml:space="preserve"> наиболее частые НР относились к инфекциям (44,3%)</w:t>
      </w:r>
      <w:r w:rsidR="00970270">
        <w:t xml:space="preserve">. </w:t>
      </w:r>
      <w:r w:rsidR="00970270" w:rsidRPr="00FF31EF">
        <w:lastRenderedPageBreak/>
        <w:t xml:space="preserve">Наиболее частыми серьезными </w:t>
      </w:r>
      <w:r w:rsidR="00970270">
        <w:t>НР</w:t>
      </w:r>
      <w:r w:rsidR="00970270" w:rsidRPr="00FF31EF">
        <w:t xml:space="preserve"> </w:t>
      </w:r>
      <w:r w:rsidR="00970270">
        <w:t xml:space="preserve">в исследованиях с участием пациентов с РА </w:t>
      </w:r>
      <w:r w:rsidR="00970270" w:rsidRPr="00FF31EF">
        <w:t>были серьезные инфекции</w:t>
      </w:r>
      <w:r w:rsidR="003E5EE0">
        <w:t xml:space="preserve">. </w:t>
      </w:r>
      <w:r w:rsidR="00ED29D5">
        <w:t>Более высокую частоту тяжелых инфекций у пациентов с РА отмечали для таблеток с пролонгированным высвобождением с дозировкой 11 мг, принимаемых один раз в день, чем для таблеток, покрытых пленочной оболочкой, с дозировкой 5 мг, принимаемых 2 раза в день</w:t>
      </w:r>
      <w:r w:rsidR="00881958" w:rsidRPr="00881958">
        <w:t xml:space="preserve"> </w:t>
      </w:r>
      <w:r w:rsidR="00881958">
        <w:fldChar w:fldCharType="begin"/>
      </w:r>
      <w:r w:rsidR="008D5290">
        <w:instrText xml:space="preserve"> ADDIN ZOTERO_ITEM CSL_CITATION {"citationID":"FEQcGEx5","properties":{"formattedCitation":"[24]","plainCitation":"[24]","noteIndex":0},"citationItems":[{"id":87800,"uris":["http://zotero.org/groups/4742804/items/TPCQ89X9"],"itemData":{"id":87800,"type":"webpage","title":"Xeljanz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81958">
        <w:fldChar w:fldCharType="separate"/>
      </w:r>
      <w:r w:rsidR="00AD0B20">
        <w:rPr>
          <w:rFonts w:cs="Times New Roman"/>
        </w:rPr>
        <w:t>[2</w:t>
      </w:r>
      <w:r w:rsidR="008D5290" w:rsidRPr="008D5290">
        <w:rPr>
          <w:rFonts w:cs="Times New Roman"/>
        </w:rPr>
        <w:t>]</w:t>
      </w:r>
      <w:r w:rsidR="00881958">
        <w:fldChar w:fldCharType="end"/>
      </w:r>
      <w:r w:rsidR="00881958">
        <w:t>.</w:t>
      </w:r>
      <w:r w:rsidR="00A1229B">
        <w:t xml:space="preserve"> </w:t>
      </w:r>
      <w:r w:rsidR="00881958">
        <w:t>Заболеваемость опоясывающим лишаем среди пациентов с ЯК, получавших тофацитиниб, была выше, а заболеваемость тяжелыми инфекциями, оппортунистическими инфекциями, НМРК, ТЭЛА и ТГВ – ниже, чем у больных, получавших</w:t>
      </w:r>
      <w:r w:rsidR="00881958" w:rsidRPr="009226D8">
        <w:t xml:space="preserve"> </w:t>
      </w:r>
      <w:r w:rsidR="00991F51">
        <w:t xml:space="preserve">ингибиторы </w:t>
      </w:r>
      <w:r w:rsidR="00881958" w:rsidRPr="008E502D">
        <w:rPr>
          <w:lang w:val="en-US"/>
        </w:rPr>
        <w:t>TNF</w:t>
      </w:r>
      <w:r w:rsidR="00881958">
        <w:t>-</w:t>
      </w:r>
      <w:r w:rsidR="00881958">
        <w:rPr>
          <w:rFonts w:cs="Times New Roman"/>
        </w:rPr>
        <w:t xml:space="preserve">α </w:t>
      </w:r>
      <w:r w:rsidR="00881958">
        <w:fldChar w:fldCharType="begin"/>
      </w:r>
      <w:r w:rsidR="0062670E">
        <w:instrText xml:space="preserve"> ADDIN ZOTERO_ITEM CSL_CITATION {"citationID":"o81flA4F","properties":{"formattedCitation":"[35]","plainCitation":"[35]","noteIndex":0},"citationItems":[{"id":87781,"uris":["http://zotero.org/groups/4742804/items/NZAYA6GR"],"itemData":{"id":87781,"type":"article-journal","container-title":"Inflammatory Bowel Diseases","issue":"9","note":"publisher: Oxford University Press US","page":"1394–1408","source":"Google Scholar","title":"Tofacitinib treatment safety in moderate to severe ulcerative colitis: comparison of observational population cohort data from the IBM MarketScan® administrative claims database with tofacitinib trial data","title-short":"Tofacitinib treatment safety in moderate to severe ulcerative colitis","volume":"27","author":[{"family":"Curtis","given":"Jeffrey R."},{"family":"Regueiro","given":"Miguel"},{"family":"Yun","given":"Huifeng"},{"family":"Su","given":"Chinyu"},{"family":"DiBonaventura","given":"Marco"},{"family":"Lawendy","given":"Nervin"},{"family":"Nduaka","given":"Chudy I."},{"family":"Koram","given":"Nana"},{"family":"Cappelleri","given":"Joseph C."},{"family":"Chan","given":"Gary"}],"issued":{"date-parts":[["2021"]]}}}],"schema":"https://github.com/citation-style-language/schema/raw/master/csl-citation.json"} </w:instrText>
      </w:r>
      <w:r w:rsidR="00881958">
        <w:fldChar w:fldCharType="separate"/>
      </w:r>
      <w:r w:rsidR="00AD0B20">
        <w:rPr>
          <w:rFonts w:cs="Times New Roman"/>
        </w:rPr>
        <w:t>[13</w:t>
      </w:r>
      <w:r w:rsidR="0062670E" w:rsidRPr="0062670E">
        <w:rPr>
          <w:rFonts w:cs="Times New Roman"/>
        </w:rPr>
        <w:t>]</w:t>
      </w:r>
      <w:r w:rsidR="00881958">
        <w:fldChar w:fldCharType="end"/>
      </w:r>
      <w:r w:rsidR="00881958">
        <w:t xml:space="preserve">. </w:t>
      </w:r>
      <w:r w:rsidR="00F03020">
        <w:t>У пациентов с РА в возрасте 50 лет и старше н</w:t>
      </w:r>
      <w:r w:rsidR="003E5EE0">
        <w:t xml:space="preserve">аблюдали дозозависимое повышение частоты венозной тромбоэмболии (ВТЭ) у пациентов, получавших тофацитиниб, по сравнению с ингибиторами </w:t>
      </w:r>
      <w:r w:rsidR="003E5EE0">
        <w:rPr>
          <w:lang w:val="en-US"/>
        </w:rPr>
        <w:t>TNF</w:t>
      </w:r>
      <w:r w:rsidR="003E5EE0" w:rsidRPr="00A25A33">
        <w:t>-</w:t>
      </w:r>
      <w:r w:rsidR="003E5EE0">
        <w:rPr>
          <w:rFonts w:cs="Times New Roman"/>
        </w:rPr>
        <w:t>α</w:t>
      </w:r>
      <w:r w:rsidR="009B3A33">
        <w:t xml:space="preserve"> </w:t>
      </w:r>
      <w:r w:rsidR="00ED29D5">
        <w:fldChar w:fldCharType="begin"/>
      </w:r>
      <w:r w:rsidR="008D5290">
        <w:instrText xml:space="preserve"> ADDIN ZOTERO_ITEM CSL_CITATION {"citationID":"9u9b9X0H","properties":{"formattedCitation":"[24]","plainCitation":"[24]","noteIndex":0},"citationItems":[{"id":87800,"uris":["http://zotero.org/groups/4742804/items/TPCQ89X9"],"itemData":{"id":87800,"type":"webpage","title":"Xeljanz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D29D5">
        <w:fldChar w:fldCharType="separate"/>
      </w:r>
      <w:r w:rsidR="00AD0B20">
        <w:rPr>
          <w:rFonts w:cs="Times New Roman"/>
        </w:rPr>
        <w:t>[2</w:t>
      </w:r>
      <w:r w:rsidR="008D5290" w:rsidRPr="008D5290">
        <w:rPr>
          <w:rFonts w:cs="Times New Roman"/>
        </w:rPr>
        <w:t>]</w:t>
      </w:r>
      <w:r w:rsidR="00ED29D5">
        <w:fldChar w:fldCharType="end"/>
      </w:r>
      <w:r w:rsidR="00ED29D5">
        <w:t>.</w:t>
      </w:r>
      <w:r w:rsidR="0021327A" w:rsidRPr="0021327A">
        <w:t xml:space="preserve"> </w:t>
      </w:r>
      <w:r w:rsidR="00881958">
        <w:t>В другом исследовании р</w:t>
      </w:r>
      <w:r w:rsidR="00E163EA">
        <w:t>иск развития ВТЭ у пациентов с РА, получающих тофацитиниб</w:t>
      </w:r>
      <w:r w:rsidR="00482E78">
        <w:t>,</w:t>
      </w:r>
      <w:r w:rsidR="00E163EA">
        <w:t xml:space="preserve"> был статистически незначимо выше, по сравнению с пациентами, получающими ингибиторы </w:t>
      </w:r>
      <w:r w:rsidR="00E163EA" w:rsidRPr="002D3746">
        <w:t>TNF-α</w:t>
      </w:r>
      <w:r w:rsidR="00E163EA">
        <w:t xml:space="preserve"> </w:t>
      </w:r>
      <w:r w:rsidR="00E163EA">
        <w:rPr>
          <w:lang w:val="en-GB"/>
        </w:rPr>
        <w:fldChar w:fldCharType="begin"/>
      </w:r>
      <w:r w:rsidR="0062670E">
        <w:instrText xml:space="preserve"> ADDIN ZOTERO_ITEM CSL_CITATION {"citationID":"2uDocmXn","properties":{"formattedCitation":"[36]","plainCitation":"[36]","noteIndex":0},"citationItems":[{"id":87788,"uris":["http://zotero.org/groups/4742804/items/RVJ3T6JY"],"itemData":{"id":87788,"type":"article-journal","abstract":"Objective To evaluate the risk of venous thromboembolism (VTE) in rheumatoid arthritis (RA) patients receiving tofacitinib versus those receiving tumor necrosis factor (TNF) inhibitors. Methods RA patients who were initiating treatment with tofacitinib or a TNF inhibitor and had not previously received any biologic agent or tofacitinib were identified from the Truven MarketScan database (2012–2016) or Medicare claims (parts A, B, and D) database (2012–2015). Patients were followed up until treatment discontinuation, treatment switch, insurance disenrollment, or administrative censoring. The outcome of VTE was identified using inpatient claims for pulmonary embolism or deep vein thrombosis. Hazard ratios (HRs) and 95% confidence intervals (95% CIs) were determined using a Cox proportional hazards model after accounting for confounding through propensity score–based fine-stratification weighting. HRs were pooled across databases using the inverse variance meta-analytic method. Results A total of 34,074 RA patients (mean age 50 years; 5.6% tofacitinib initiators) and 17,086 RA patients (mean age 71 years; 5.8% tofacitinib initiators) were identified from the Truven and Medicare databases, respectively. The crude incidence rates of VTE per 100 person-years were 0.60 (95% CI 0.26–1.19) and 0.34 (95% CI 0.27–0.41) in Truven and 1.12 (95% CI 0.45–2.31) and 0.92 (95% CI 0.76–1.11) in Medicare for patients receiving tofacitinib and patients receiving TNF inhibitors, respectively. Propensity score–adjusted HRs showed no significant differences in the risk of VTE between tofacitinib-treated and TNF inhibitor–treated patients in either database, with a pooled HR of 1.33 (95% CI 0.78–2.24). Conclusion Occurrence of VTE in a total of 50,865 RA patients initiating treatment with tofacitinib or a TNF inhibitor was infrequent (&lt;1 per 100 person-years). We observed a numerically higher, but statistically nonsignificant, risk of VTE in RA patients receiving tofacitinib versus those receiving TNF inhibitors.","container-title":"Arthritis &amp; Rheumatology","DOI":"10.1002/art.40798","ISSN":"2326-5205","issue":"6","language":"en","license":"© 2018, American College of Rheumatology","note":"_eprint: https://onlinelibrary.wiley.com/doi/pdf/10.1002/art.40798","page":"892-900","source":"Wiley Online Library","title":"Comparative risk of venous thromboembolism in rheumatoid arthritis patients receiving tofacitinib versus those receiving tumor necrosis factor inhibitors: An observational cohort study","title-short":"Comparative Risk of Venous Thromboembolism in Rheumatoid Arthritis Patients Receiving Tofacitinib Versus Those Receiving Tumor Necrosis Factor Inhibitors","volume":"71","author":[{"family":"Desai","given":"Rishi J."},{"family":"Pawar","given":"Ajinkya"},{"family":"Weinblatt","given":"Michael E."},{"family":"Kim","given":"Seoyoung C."}],"issued":{"date-parts":[["2019"]]}}}],"schema":"https://github.com/citation-style-language/schema/raw/master/csl-citation.json"} </w:instrText>
      </w:r>
      <w:r w:rsidR="00E163EA">
        <w:rPr>
          <w:lang w:val="en-GB"/>
        </w:rPr>
        <w:fldChar w:fldCharType="separate"/>
      </w:r>
      <w:r w:rsidR="00AD0B20">
        <w:rPr>
          <w:rFonts w:cs="Times New Roman"/>
        </w:rPr>
        <w:t>[14</w:t>
      </w:r>
      <w:r w:rsidR="0062670E" w:rsidRPr="0062670E">
        <w:rPr>
          <w:rFonts w:cs="Times New Roman"/>
        </w:rPr>
        <w:t>]</w:t>
      </w:r>
      <w:r w:rsidR="00E163EA">
        <w:rPr>
          <w:lang w:val="en-GB"/>
        </w:rPr>
        <w:fldChar w:fldCharType="end"/>
      </w:r>
      <w:r w:rsidR="00E163EA">
        <w:t>.</w:t>
      </w:r>
      <w:r w:rsidR="00881958">
        <w:t xml:space="preserve"> </w:t>
      </w:r>
      <w:r w:rsidR="0006782A">
        <w:t xml:space="preserve">У пациентов с РА в возрасте 50 лет и старше, получавших тофацитиниб, наблюдали увеличение частоты </w:t>
      </w:r>
      <w:r w:rsidR="00E819F5">
        <w:t xml:space="preserve">риска </w:t>
      </w:r>
      <w:r w:rsidR="0006782A">
        <w:t xml:space="preserve">нефатального инфаркта миокарда, новообразований, исключая НМРК, особенно рака легких и лимфомы, </w:t>
      </w:r>
      <w:r w:rsidR="00F6498B">
        <w:t xml:space="preserve">и смертности, которая в основном была связана с сердечно-сосудистыми событиями, инфекциями и злокачественными новообразованиями </w:t>
      </w:r>
      <w:r w:rsidR="0006782A">
        <w:t>по сравнению с ингибитор</w:t>
      </w:r>
      <w:r w:rsidR="00F6498B">
        <w:t>ами</w:t>
      </w:r>
      <w:r w:rsidR="0006782A">
        <w:t xml:space="preserve"> </w:t>
      </w:r>
      <w:r w:rsidR="0006782A">
        <w:rPr>
          <w:lang w:val="en-US"/>
        </w:rPr>
        <w:t>TNF</w:t>
      </w:r>
      <w:r w:rsidR="0006782A" w:rsidRPr="002709C8">
        <w:t>-</w:t>
      </w:r>
      <w:r w:rsidR="0006782A">
        <w:rPr>
          <w:rFonts w:cs="Times New Roman"/>
          <w:lang w:val="en-US"/>
        </w:rPr>
        <w:t>α</w:t>
      </w:r>
      <w:r w:rsidR="0006782A">
        <w:rPr>
          <w:rFonts w:cs="Times New Roman"/>
        </w:rPr>
        <w:t xml:space="preserve"> </w:t>
      </w:r>
      <w:r w:rsidR="00F6498B">
        <w:fldChar w:fldCharType="begin"/>
      </w:r>
      <w:r w:rsidR="008D5290">
        <w:instrText xml:space="preserve"> ADDIN ZOTERO_ITEM CSL_CITATION {"citationID":"KWbXjnp8","properties":{"formattedCitation":"[24]","plainCitation":"[24]","noteIndex":0},"citationItems":[{"id":87800,"uris":["http://zotero.org/groups/4742804/items/TPCQ89X9"],"itemData":{"id":87800,"type":"webpage","title":"Xeljanz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F6498B">
        <w:fldChar w:fldCharType="separate"/>
      </w:r>
      <w:r w:rsidR="00AD0B20">
        <w:rPr>
          <w:rFonts w:cs="Times New Roman"/>
        </w:rPr>
        <w:t>[2</w:t>
      </w:r>
      <w:r w:rsidR="008D5290" w:rsidRPr="008D5290">
        <w:rPr>
          <w:rFonts w:cs="Times New Roman"/>
        </w:rPr>
        <w:t>]</w:t>
      </w:r>
      <w:r w:rsidR="00F6498B">
        <w:fldChar w:fldCharType="end"/>
      </w:r>
      <w:r w:rsidR="00F6498B">
        <w:t>.</w:t>
      </w:r>
    </w:p>
    <w:p w14:paraId="454BCC2E" w14:textId="63D93AFA" w:rsidR="007F55BC" w:rsidRDefault="00C625FD" w:rsidP="00017DA2">
      <w:pPr>
        <w:pStyle w:val="SDText"/>
        <w:spacing w:after="0"/>
        <w:contextualSpacing/>
      </w:pPr>
      <w:r>
        <w:t>В ходе пострегистрационных исследований установили</w:t>
      </w:r>
      <w:r w:rsidR="004022CE">
        <w:t>, что</w:t>
      </w:r>
      <w:r>
        <w:t xml:space="preserve"> </w:t>
      </w:r>
      <w:r w:rsidR="004022CE">
        <w:t xml:space="preserve">примерно у трети пациентов с РА можно прекратить прием тофацитиниба без риска обострения. Низкий уровень РФ является прогностическим фактором для возможности сохранения низкой активности заболевания после прекращения приема тофацитиниба </w:t>
      </w:r>
      <w:r w:rsidR="004022CE">
        <w:rPr>
          <w:lang w:val="en-GB"/>
        </w:rPr>
        <w:fldChar w:fldCharType="begin"/>
      </w:r>
      <w:r w:rsidR="0062670E">
        <w:instrText xml:space="preserve"> ADDIN ZOTERO_ITEM CSL_CITATION {"citationID":"GFi82Vg4","properties":{"formattedCitation":"[37]","plainCitation":"[37]","noteIndex":0},"citationItems":[{"id":87780,"uris":["http://zotero.org/groups/4742804/items/XYALZH2Z"],"itemData":{"id":87780,"type":"article-journal","container-title":"Rheumatology","issue":"8","note":"publisher: Oxford University Press","page":"1293–1301","source":"Google Scholar","title":"Discontinuation of tofacitinib after achieving low disease activity in patients with rheumatoid arthritis: a multicentre, observational study","title-short":"Discontinuation of tofacitinib after achieving low disease activity in patients with rheumatoid arthritis","volume":"56","author":[{"family":"Kubo","given":"Satoshi"},{"family":"Yamaoka","given":"Kunihiro"},{"family":"Amano","given":"Koichi"},{"family":"Nagano","given":"Shuji"},{"family":"Tohma","given":"Shigeto"},{"family":"Suematsu","given":"Eiichi"},{"family":"Nagasawa","given":"Hayato"},{"family":"Iwata","given":"Kanako"},{"family":"Tanaka","given":"Yoshiya"}],"issued":{"date-parts":[["2017"]]}}}],"schema":"https://github.com/citation-style-language/schema/raw/master/csl-citation.json"} </w:instrText>
      </w:r>
      <w:r w:rsidR="004022CE">
        <w:rPr>
          <w:lang w:val="en-GB"/>
        </w:rPr>
        <w:fldChar w:fldCharType="separate"/>
      </w:r>
      <w:r w:rsidR="00AD0B20">
        <w:rPr>
          <w:rFonts w:cs="Times New Roman"/>
        </w:rPr>
        <w:t>[15</w:t>
      </w:r>
      <w:r w:rsidR="0062670E" w:rsidRPr="0062670E">
        <w:rPr>
          <w:rFonts w:cs="Times New Roman"/>
        </w:rPr>
        <w:t>]</w:t>
      </w:r>
      <w:r w:rsidR="004022CE">
        <w:rPr>
          <w:lang w:val="en-GB"/>
        </w:rPr>
        <w:fldChar w:fldCharType="end"/>
      </w:r>
      <w:r w:rsidR="004022CE">
        <w:t>.</w:t>
      </w:r>
      <w:r w:rsidR="004022CE" w:rsidRPr="004022CE">
        <w:t xml:space="preserve"> </w:t>
      </w:r>
      <w:r w:rsidR="004022CE">
        <w:t xml:space="preserve">Однако после достижения ремиссии или низкой активности заболевания стратегия снижения дозы предпочтительнее немедленной отмены тофацитиниба. Возобновление исходного режима в случаях обострения может восстановить контроль над РА </w:t>
      </w:r>
      <w:r w:rsidR="004022CE">
        <w:rPr>
          <w:lang w:val="en-GB"/>
        </w:rPr>
        <w:fldChar w:fldCharType="begin"/>
      </w:r>
      <w:r w:rsidR="0062670E">
        <w:instrText xml:space="preserve"> ADDIN ZOTERO_ITEM CSL_CITATION {"citationID":"uO8RK7bU","properties":{"formattedCitation":"[38]","plainCitation":"[38]","noteIndex":0},"citationItems":[{"id":87783,"uris":["http://zotero.org/groups/4742804/items/UH26MXJ8"],"itemData":{"id":87783,"type":"article-journal","abstract":"This study was designed to compare outcomes of dose reduction, withdrawal, and continuation of tofacitinib in patients with rheumatoid arthritis (RA) and to examine effectiveness of rescue with an original treatment regimen for disease flare.","container-title":"Clinical Rheumatology","DOI":"10.1007/s10067-019-04721-z","ISSN":"1434-9949","issue":"12","journalAbbreviation":"Clin Rheumatol","language":"en","page":"3391-3400","source":"Springer Link","title":"Outcomes of dose reduction, withdrawal, and restart of tofacitinib in patients with rheumatoid arthritis: a prospective observational study","title-short":"Outcomes of dose reduction, withdrawal, and restart of tofacitinib in patients with rheumatoid arthritis","volume":"38","author":[{"family":"Mori","given":"Shunsuke"},{"family":"Ueki","given":"Yukitaka"}],"issued":{"date-parts":[["2019",12,1]]}}}],"schema":"https://github.com/citation-style-language/schema/raw/master/csl-citation.json"} </w:instrText>
      </w:r>
      <w:r w:rsidR="004022CE">
        <w:rPr>
          <w:lang w:val="en-GB"/>
        </w:rPr>
        <w:fldChar w:fldCharType="separate"/>
      </w:r>
      <w:r w:rsidR="00AD0B20">
        <w:rPr>
          <w:rFonts w:cs="Times New Roman"/>
        </w:rPr>
        <w:t>[16</w:t>
      </w:r>
      <w:r w:rsidR="0062670E" w:rsidRPr="0062670E">
        <w:rPr>
          <w:rFonts w:cs="Times New Roman"/>
        </w:rPr>
        <w:t>]</w:t>
      </w:r>
      <w:r w:rsidR="004022CE">
        <w:rPr>
          <w:lang w:val="en-GB"/>
        </w:rPr>
        <w:fldChar w:fldCharType="end"/>
      </w:r>
      <w:r w:rsidR="004022CE">
        <w:t>.</w:t>
      </w:r>
      <w:r w:rsidR="004022CE" w:rsidRPr="00EA3DCB">
        <w:t xml:space="preserve"> </w:t>
      </w:r>
      <w:r w:rsidR="006203BB">
        <w:t>У пациентов с РА установлено у</w:t>
      </w:r>
      <w:r w:rsidR="007F55BC">
        <w:t>лучшение приверженности</w:t>
      </w:r>
      <w:r w:rsidR="007F55BC" w:rsidRPr="006C12EE">
        <w:t xml:space="preserve"> </w:t>
      </w:r>
      <w:r w:rsidR="007F55BC">
        <w:t>к терапии и по крайней мере сопоставим</w:t>
      </w:r>
      <w:r w:rsidR="006203BB">
        <w:t>ая</w:t>
      </w:r>
      <w:r w:rsidR="007F55BC">
        <w:t xml:space="preserve"> эффективность при использовании тофацитиниба MR по сравнению с IR в течение</w:t>
      </w:r>
      <w:r w:rsidR="007F55BC" w:rsidRPr="006C12EE">
        <w:t xml:space="preserve"> </w:t>
      </w:r>
      <w:r w:rsidR="007F55BC">
        <w:t>12 мес., особенно у пациентов без</w:t>
      </w:r>
      <w:r w:rsidR="007F55BC" w:rsidRPr="006C12EE">
        <w:t xml:space="preserve"> </w:t>
      </w:r>
      <w:r w:rsidR="007F55BC">
        <w:t>предшествующей расширенной терапии. Установлена не меньшая эффективность тофацитиниба MR по сравнению с IR</w:t>
      </w:r>
      <w:r w:rsidR="006203BB">
        <w:t>,</w:t>
      </w:r>
      <w:r w:rsidR="007F55BC">
        <w:t xml:space="preserve"> продемонстрирова</w:t>
      </w:r>
      <w:r w:rsidR="005B7EAE">
        <w:t>н</w:t>
      </w:r>
      <w:r w:rsidR="00D72676">
        <w:t>н</w:t>
      </w:r>
      <w:r w:rsidR="005B7EAE">
        <w:t>ая</w:t>
      </w:r>
      <w:r w:rsidR="007F55BC">
        <w:t xml:space="preserve"> по CDAI через</w:t>
      </w:r>
      <w:r w:rsidR="007F55BC" w:rsidRPr="006C12EE">
        <w:t xml:space="preserve"> </w:t>
      </w:r>
      <w:r w:rsidR="007F55BC">
        <w:t>6 мес.; надежность этих результатов была подтверждена с использованием всех</w:t>
      </w:r>
      <w:r w:rsidR="007F55BC" w:rsidRPr="006C12EE">
        <w:t xml:space="preserve"> </w:t>
      </w:r>
      <w:r w:rsidR="007F55BC">
        <w:t>множественных анализов чувствительности</w:t>
      </w:r>
      <w:r w:rsidR="007F55BC" w:rsidRPr="00460589">
        <w:t xml:space="preserve"> </w:t>
      </w:r>
      <w:r w:rsidR="007F55BC">
        <w:fldChar w:fldCharType="begin"/>
      </w:r>
      <w:r w:rsidR="0062670E">
        <w:instrText xml:space="preserve"> ADDIN ZOTERO_ITEM CSL_CITATION {"citationID":"YlmsPtb4","properties":{"formattedCitation":"[39]","plainCitation":"[39]","noteIndex":0},"citationItems":[{"id":87794,"uris":["http://zotero.org/groups/4742804/items/VF77C8WU"],"itemData":{"id":87794,"type":"article-journal","abstract":"Tofacitinib is an oral Janus kinase inhibitor for the treatment of rheumatoid arthritis (RA). To provide additional clinical evidence in regulatory submissions for a modified-release (MR) once-daily (QD) tofacitinib formulation, we compared real-world adherence and effectiveness between patients initiating the MR QD formulation and patients initiating an immediate-release (IR) twice-daily (BID) formulation.","container-title":"Advances in Therapy","DOI":"10.1007/s12325-020-01501-z","ISSN":"1865-8652","issue":"1","journalAbbreviation":"Adv Ther","language":"en","page":"226-248","source":"Springer Link","title":"Real-world evidence to contextualize clinical trial results and inform regulatory decisions: tofacitinib modified-release once-daily vs immediate-release twice-daily for rheumatoid arthritis","title-short":"Real-World Evidence to Contextualize Clinical Trial Results and Inform Regulatory Decisions","volume":"38","author":[{"family":"Cohen","given":"Stanley B."},{"family":"Greenberg","given":"Jeffrey D."},{"family":"Harnett","given":"James"},{"family":"Madsen","given":"Ann"},{"family":"Smith","given":"Timothy W."},{"family":"Gruben","given":"David"},{"family":"Zhang","given":"Richard"},{"family":"Lukic","given":"Tatjana"},{"family":"Woolcott","given":"John"},{"family":"Dandreo","given":"Kimberly J."},{"family":"Litman","given":"Heather J."},{"family":"Blachley","given":"Taylor"},{"family":"Lenihan","given":"Anne"},{"family":"Chen","given":"Connie"},{"family":"Rivas","given":"Jose L."},{"family":"Dougados","given":"Maxime"}],"issued":{"date-parts":[["2021",1,1]]}}}],"schema":"https://github.com/citation-style-language/schema/raw/master/csl-citation.json"} </w:instrText>
      </w:r>
      <w:r w:rsidR="007F55BC">
        <w:fldChar w:fldCharType="separate"/>
      </w:r>
      <w:r w:rsidR="00AD0B20">
        <w:rPr>
          <w:rFonts w:cs="Times New Roman"/>
        </w:rPr>
        <w:t>[17</w:t>
      </w:r>
      <w:r w:rsidR="0062670E" w:rsidRPr="0062670E">
        <w:rPr>
          <w:rFonts w:cs="Times New Roman"/>
        </w:rPr>
        <w:t>]</w:t>
      </w:r>
      <w:r w:rsidR="007F55BC">
        <w:fldChar w:fldCharType="end"/>
      </w:r>
      <w:r w:rsidR="007F55BC">
        <w:t>.</w:t>
      </w:r>
    </w:p>
    <w:p w14:paraId="4FA8A833" w14:textId="0BB6DC64" w:rsidR="00C625FD" w:rsidRDefault="00D96564" w:rsidP="00017DA2">
      <w:pPr>
        <w:pStyle w:val="SDText"/>
        <w:spacing w:after="0"/>
        <w:contextualSpacing/>
      </w:pPr>
      <w:r>
        <w:t xml:space="preserve">У пациентов с псориатическим артритом тофацитиниб имел профиль безопасности, сходный с профилями других препаратов системной терапии в ходе применения в клинических условиях, за исключением риска опоясывающего лишая, известного риска для тофацитиниба </w:t>
      </w:r>
      <w:r>
        <w:fldChar w:fldCharType="begin"/>
      </w:r>
      <w:r w:rsidR="0062670E">
        <w:instrText xml:space="preserve"> ADDIN ZOTERO_ITEM CSL_CITATION {"citationID":"OxvNLzMf","properties":{"formattedCitation":"[40]","plainCitation":"[40]","noteIndex":0},"citationItems":[{"id":87789,"uris":["http://zotero.org/groups/4742804/items/ZU4VTLGD"],"itemData":{"id":87789,"type":"article-journal","abstract":"Tofacitinib is an oral Janus kinase inhibitor for the treatment of psoriatic arthritis (PsA).","container-title":"Drug Safety","DOI":"10.1007/s40264-020-00904-9","ISSN":"1179-1942","issue":"4","journalAbbreviation":"Drug Saf","language":"en","page":"379-392","source":"Springer Link","title":"An integrated analysis of the safety of tofacitinib in psoriatic arthritis across phase III and long-term extension studies with comparison to real-world observational data","volume":"43","author":[{"family":"Burmester","given":"Gerd R."},{"family":"Curtis","given":"Jeffrey R."},{"family":"Yun","given":"Huifeng"},{"family":"FitzGerald","given":"Oliver"},{"family":"Winthrop","given":"Kevin L."},{"family":"Azevedo","given":"Valderilio F."},{"family":"Rigby","given":"William F. C."},{"family":"Kanik","given":"Keith S."},{"family":"Wang","given":"Cunshan"},{"family":"Biswas","given":"Pinaki"},{"family":"Jones","given":"Thomas"},{"family":"Palmetto","given":"Niki"},{"family":"Hendrikx","given":"Thijs"},{"family":"Menon","given":"Sujatha"},{"family":"Rojo","given":"Ricardo"}],"issued":{"date-parts":[["2020",4,1]]}}}],"schema":"https://github.com/citation-style-language/schema/raw/master/csl-citation.json"} </w:instrText>
      </w:r>
      <w:r>
        <w:fldChar w:fldCharType="separate"/>
      </w:r>
      <w:r w:rsidR="00AD0B20">
        <w:rPr>
          <w:rFonts w:cs="Times New Roman"/>
        </w:rPr>
        <w:t>[18</w:t>
      </w:r>
      <w:r w:rsidR="0062670E" w:rsidRPr="0062670E">
        <w:rPr>
          <w:rFonts w:cs="Times New Roman"/>
        </w:rPr>
        <w:t>]</w:t>
      </w:r>
      <w:r>
        <w:fldChar w:fldCharType="end"/>
      </w:r>
      <w:r>
        <w:t>.</w:t>
      </w:r>
      <w:r w:rsidRPr="00D96564">
        <w:t xml:space="preserve"> </w:t>
      </w:r>
      <w:r>
        <w:t xml:space="preserve">В ходе изучения </w:t>
      </w:r>
      <w:r w:rsidR="00456F48">
        <w:t>возможности применения тофацитиниба у пациентов с другими нозологиями установили, что и</w:t>
      </w:r>
      <w:r>
        <w:t>нгибирование JAK посредством местной доставки потенциально является многообещающей терапевтической мишенью при лечении пациентов с атопическим дерматитом</w:t>
      </w:r>
      <w:r w:rsidRPr="001F0086">
        <w:t xml:space="preserve"> </w:t>
      </w:r>
      <w:r>
        <w:fldChar w:fldCharType="begin"/>
      </w:r>
      <w:r w:rsidR="0062670E">
        <w:instrText xml:space="preserve"> ADDIN ZOTERO_ITEM CSL_CITATION {"citationID":"jNv7DfeW","properties":{"formattedCitation":"[41]","plainCitation":"[41]","noteIndex":0},"citationItems":[{"id":87778,"uris":["http://zotero.org/groups/4742804/items/EBYYTS2A"],"itemData":{"id":87778,"type":"article-journal","abstract":"Background Despite unmet need, 15 years have passed since a topical therapy with a new mechanism of action for atopic dermatitis (AD) has been approved. Janus kinase (JAK) inhibitor treatment effect via topical application in patients with AD is unknown. Objectives Tofacitinib, a small-molecule JAK inhibitor, was investigated for the topical treatment of AD. Methods In this 4-week, phase IIa, randomized, double-blind, vehicle-controlled study (NCT02001181), 69 adults with mild-to-moderate AD were randomized 1:1 to 2% tofacitinib or vehicle ointment twice daily. Percentage change from baseline (CFB) in Eczema Area and Severity Index (EASI) score at week 4 was the primary end point. Secondary efficacy end points included percentage CFB in body surface area (BSA), CFB in EASI Clinical Signs Severity Sum Score, proportion of patients with Physician's Global Assessment (PGA) response and CFB in patient-reported pruritus. Safety, local tolerability and pharmacokinetics were monitored. Results The mean percentage CFB at week 4 in EASI score was significantly greater (P &lt; 0·001) for tofacitinib (−81·7%) vs. vehicle (−29·9%). Patients treated with tofacitinib showed significant (P &lt; 0·001) improvements vs. vehicle across all prespecified efficacy end points and for pruritus at week 4. Significant improvements in EASI, PGA and BSA were observed by week 1 and improvements in pruritus were observed by day 2. Safety/local tolerability were generally similar for both treatments, although more adverse events were observed for vehicle vs. tofacitinib. Conclusions Tofacitinib ointment showed significantly greater efficacy vs. vehicle across end points, with early onset of effect and comparable safety/local tolerability to vehicle. JAK inhibition through topical delivery is potentially a promising therapeutic target for AD.","container-title":"British Journal of Dermatology","DOI":"10.1111/bjd.14871","ISSN":"1365-2133","issue":"5","language":"en","note":"_eprint: https://onlinelibrary.wiley.com/doi/pdf/10.1111/bjd.14871","page":"902-911","source":"Wiley Online Library","title":"Topical tofacitinib for atopic dermatitis: a phase IIa randomized trial","title-short":"Topical tofacitinib for atopic dermatitis","volume":"175","author":[{"family":"Bissonnette","given":"R."},{"family":"Papp","given":"K.a."},{"family":"Poulin","given":"Y."},{"family":"Gooderham","given":"M."},{"family":"Raman","given":"M."},{"family":"Mallbris","given":"L."},{"family":"Wang","given":"C."},{"family":"Purohit","given":"V."},{"family":"Mamolo","given":"C."},{"family":"Papacharalambous","given":"J."},{"family":"Ports","given":"W.c."}],"issued":{"date-parts":[["2016"]]}}}],"schema":"https://github.com/citation-style-language/schema/raw/master/csl-citation.json"} </w:instrText>
      </w:r>
      <w:r>
        <w:fldChar w:fldCharType="separate"/>
      </w:r>
      <w:r w:rsidR="00AD0B20">
        <w:rPr>
          <w:rFonts w:cs="Times New Roman"/>
        </w:rPr>
        <w:t>[19</w:t>
      </w:r>
      <w:r w:rsidR="0062670E" w:rsidRPr="0062670E">
        <w:rPr>
          <w:rFonts w:cs="Times New Roman"/>
        </w:rPr>
        <w:t>]</w:t>
      </w:r>
      <w:r>
        <w:fldChar w:fldCharType="end"/>
      </w:r>
      <w:r w:rsidR="00456F48">
        <w:t xml:space="preserve">, </w:t>
      </w:r>
      <w:r w:rsidR="00040CBD">
        <w:t xml:space="preserve">предполагает </w:t>
      </w:r>
      <w:r w:rsidR="006E2B86">
        <w:t xml:space="preserve">безопасность и улучшение </w:t>
      </w:r>
      <w:r w:rsidR="00456F48">
        <w:t>кардиометаболически</w:t>
      </w:r>
      <w:r w:rsidR="006E2B86">
        <w:t>х</w:t>
      </w:r>
      <w:r w:rsidR="00456F48">
        <w:t xml:space="preserve"> и иммунологически</w:t>
      </w:r>
      <w:r w:rsidR="006E2B86">
        <w:t>х</w:t>
      </w:r>
      <w:r w:rsidR="00456F48">
        <w:t xml:space="preserve"> показател</w:t>
      </w:r>
      <w:r w:rsidR="006E2B86">
        <w:t>ей</w:t>
      </w:r>
      <w:r w:rsidR="00456F48">
        <w:t>, связанны</w:t>
      </w:r>
      <w:r w:rsidR="006E2B86">
        <w:t>х</w:t>
      </w:r>
      <w:r w:rsidR="00456F48">
        <w:t xml:space="preserve"> с преждевременным атеросклерозом при СКВ</w:t>
      </w:r>
      <w:r w:rsidR="006E2B86">
        <w:t xml:space="preserve"> </w:t>
      </w:r>
      <w:r w:rsidR="006E2B86">
        <w:rPr>
          <w:lang w:val="en-GB"/>
        </w:rPr>
        <w:fldChar w:fldCharType="begin"/>
      </w:r>
      <w:r w:rsidR="0062670E">
        <w:instrText xml:space="preserve"> ADDIN ZOTERO_ITEM CSL_CITATION {"citationID":"xsjzWqIq","properties":{"formattedCitation":"[42]","plainCitation":"[42]","noteIndex":0},"citationItems":[{"id":87775,"uris":["http://zotero.org/groups/4742804/items/ATTQAAJH"],"itemData":{"id":87775,"type":"article-journal","abstract":"Increased risk of premature cardiovascular disease (CVD) is well recognized in systemic lupus erythematosus (SLE). Aberrant type I-Interferon (IFN)-neutrophil interactions contribute to this enhanced CVD risk. In lupus animal models, the Janus kinase (JAK) inhibitor tofacitinib improves clinical features, immune dysregulation and vascular dysfunction. We conducted a randomized, double-blind, placebo-controlled clinical trial of tofacitinib in SLE subjects (ClinicalTrials.gov NCT02535689). In this study, 30 subjects are randomized to tofacitinib (5 mg twice daily) or placebo in 2:1 block. The primary outcome of this study is safety and tolerability of tofacitinib. The secondary outcomes include clinical response and mechanistic studies. The tofacitinib is found to be safe in SLE meeting study’s primary endpoint. We also show that tofacitinib improves cardiometabolic and immunologic parameters associated with the premature atherosclerosis in SLE. Tofacitinib improves high-density lipoprotein cholesterol levels (p = 0.0006, CI 95%: 4.12, 13.32) and particle number (p = 0.0008, CI 95%: 1.58, 5.33); lecithin: cholesterol acyltransferase concentration (p = 0.024, CI 95%: 1.1, −26.5), cholesterol efflux capacity (p = 0.08, CI 95%: −0.01, 0.24), improvements in arterial stiffness and endothelium-dependent vasorelaxation and decrease in type I IFN gene signature, low-density granulocytes and circulating NETs. Some of these improvements are more robust in subjects with STAT4 risk allele.","container-title":"Nature Communications","DOI":"10.1038/s41467-021-23361-z","ISSN":"2041-1723","issue":"1","journalAbbreviation":"Nat Commun","language":"en","license":"2021 This is a U.S. Government work and not under copyright protection in the US; foreign copyright protection may apply","note":"number: 1\npublisher: Nature Publishing Group","page":"3391","source":"www.nature.com","title":"Phase 1 double-blind randomized safety trial of the Janus kinase inhibitor tofacitinib in systemic lupus erythematosus","volume":"12","author":[{"family":"Hasni","given":"Sarfaraz A."},{"family":"Gupta","given":"Sarthak"},{"family":"Davis","given":"Michael"},{"family":"Poncio","given":"Elaine"},{"family":"Temesgen-Oyelakin","given":"Yenealem"},{"family":"Carlucci","given":"Philip M."},{"family":"Wang","given":"Xinghao"},{"family":"Naqi","given":"Mohammad"},{"family":"Playford","given":"Martin P."},{"family":"Goel","given":"Rishi R."},{"family":"Li","given":"Xiaobai"},{"family":"Biehl","given":"Ann J."},{"family":"Ochoa-Navas","given":"Isabel"},{"family":"Manna","given":"Zerai"},{"family":"Shi","given":"Yinghui"},{"family":"Thomas","given":"Donald"},{"family":"Chen","given":"Jinguo"},{"family":"Biancotto","given":"Angélique"},{"family":"Apps","given":"Richard"},{"family":"Cheung","given":"Foo"},{"family":"Kotliarov","given":"Yuri"},{"family":"Babyak","given":"Ashley L."},{"family":"Zhou","given":"Huizhi"},{"family":"Shi","given":"Rongye"},{"family":"Stagliano","given":"Katie"},{"family":"Tsai","given":"Wanxia Li"},{"family":"Vian","given":"Laura"},{"family":"Gazaniga","given":"Nathalia"},{"family":"Giudice","given":"Valentina"},{"family":"Lu","given":"Shajia"},{"family":"Brooks","given":"Stephen R."},{"family":"MacKay","given":"Meggan"},{"family":"Gregersen","given":"Peter"},{"family":"Mehta","given":"Nehal N."},{"family":"Remaley","given":"Alan T."},{"family":"Diamond","given":"Betty"},{"family":"O’Shea","given":"John J."},{"family":"Gadina","given":"Massimo"},{"family":"Kaplan","given":"Mariana J."}],"issued":{"date-parts":[["2021",6,7]]}}}],"schema":"https://github.com/citation-style-language/schema/raw/master/csl-citation.json"} </w:instrText>
      </w:r>
      <w:r w:rsidR="006E2B86">
        <w:rPr>
          <w:lang w:val="en-GB"/>
        </w:rPr>
        <w:fldChar w:fldCharType="separate"/>
      </w:r>
      <w:r w:rsidR="00AD0B20">
        <w:rPr>
          <w:rFonts w:cs="Times New Roman"/>
        </w:rPr>
        <w:t>[20</w:t>
      </w:r>
      <w:r w:rsidR="0062670E" w:rsidRPr="0062670E">
        <w:rPr>
          <w:rFonts w:cs="Times New Roman"/>
        </w:rPr>
        <w:t>]</w:t>
      </w:r>
      <w:r w:rsidR="006E2B86">
        <w:rPr>
          <w:lang w:val="en-GB"/>
        </w:rPr>
        <w:fldChar w:fldCharType="end"/>
      </w:r>
      <w:r w:rsidR="006E2B86">
        <w:t>, а также снижение риска смерти или дыхательной недостаточности у пациентов с и</w:t>
      </w:r>
      <w:r w:rsidR="006E2B86" w:rsidRPr="00DE462B">
        <w:t>нфекци</w:t>
      </w:r>
      <w:r w:rsidR="006E2B86">
        <w:t>ей</w:t>
      </w:r>
      <w:r w:rsidR="006E2B86" w:rsidRPr="00DE462B">
        <w:t>, вызванн</w:t>
      </w:r>
      <w:r w:rsidR="006E2B86">
        <w:t>ой</w:t>
      </w:r>
      <w:r w:rsidR="006E2B86" w:rsidRPr="00DE462B">
        <w:t xml:space="preserve"> новым коронавирусом SARS-CoV-2 </w:t>
      </w:r>
      <w:r w:rsidR="006E2B86">
        <w:t xml:space="preserve">(Covid-19) </w:t>
      </w:r>
      <w:r w:rsidR="006E2B86">
        <w:rPr>
          <w:lang w:val="en-GB"/>
        </w:rPr>
        <w:fldChar w:fldCharType="begin"/>
      </w:r>
      <w:r w:rsidR="0062670E">
        <w:instrText xml:space="preserve"> ADDIN ZOTERO_ITEM CSL_CITATION {"citationID":"4e8mIo03","properties":{"formattedCitation":"[43]","plainCitation":"[43]","noteIndex":0},"citationItems":[{"id":87777,"uris":["http://zotero.org/groups/4742804/items/FAM36KYP"],"itemData":{"id":87777,"type":"article-journal","container-title":"New England Journal of Medicine","DOI":"10.1056/NEJMoa2101643","ISSN":"0028-4793","issue":"5","note":"publisher: Massachusetts Medical Society\n_eprint: https://doi.org/10.1056/NEJMoa2101643\nPMID: 34133856","page":"406-415","source":"Taylor and Francis+NEJM","title":"Tofacitinib in patients hospitalized with Covid-19 pneumonia","volume":"385","author":[{"family":"Guimarães","given":"Patrícia O."},{"family":"Quirk","given":"Daniel"},{"family":"Furtado","given":"Remo H."},{"family":"Maia","given":"Lilia N."},{"family":"Saraiva","given":"José F."},{"family":"Antunes","given":"Murillo O."},{"family":"Kalil Filho","given":"Roberto"},{"family":"Junior","given":"Vagner M."},{"family":"Soeiro","given":"Alexandre M."},{"family":"Tognon","given":"Alexandre P."},{"family":"Veiga","given":"Viviane C."},{"family":"Martins","given":"Priscilla A."},{"family":"Moia","given":"Diogo D.F."},{"family":"Sampaio","given":"Bruna S."},{"family":"Assis","given":"Silvia R.L."},{"family":"Soares","given":"Ronaldo V.P."},{"family":"Piano","given":"Luciana P.A."},{"family":"Castilho","given":"Kleber"},{"family":"Momesso","given":"Roberta G.R.A.P."},{"family":"Monfardini","given":"Frederico"},{"family":"Guimarães","given":"Helio P."},{"family":"Ponce de Leon","given":"Dario"},{"family":"Dulcine","given":"Majori"},{"family":"Pinheiro","given":"Marcia R.T."},{"family":"Gunay","given":"Levent M."},{"family":"Deuring","given":"J. Jasper"},{"family":"Rizzo","given":"Luiz V."},{"family":"Koncz","given":"Tamas"},{"family":"Berwanger","given":"Otavio"}],"issued":{"date-parts":[["2021",7,29]]}}}],"schema":"https://github.com/citation-style-language/schema/raw/master/csl-citation.json"} </w:instrText>
      </w:r>
      <w:r w:rsidR="006E2B86">
        <w:rPr>
          <w:lang w:val="en-GB"/>
        </w:rPr>
        <w:fldChar w:fldCharType="separate"/>
      </w:r>
      <w:r w:rsidR="00AD0B20">
        <w:rPr>
          <w:rFonts w:cs="Times New Roman"/>
        </w:rPr>
        <w:t>[21</w:t>
      </w:r>
      <w:r w:rsidR="0062670E" w:rsidRPr="0062670E">
        <w:rPr>
          <w:rFonts w:cs="Times New Roman"/>
        </w:rPr>
        <w:t>]</w:t>
      </w:r>
      <w:r w:rsidR="006E2B86">
        <w:rPr>
          <w:lang w:val="en-GB"/>
        </w:rPr>
        <w:fldChar w:fldCharType="end"/>
      </w:r>
      <w:r w:rsidR="00040CBD">
        <w:t>,</w:t>
      </w:r>
      <w:r w:rsidR="006E2B86">
        <w:t xml:space="preserve"> или более выраженное снижение маркеров воспаления, по сравнению с группой стандартной терапии </w:t>
      </w:r>
      <w:r w:rsidR="006E2B86">
        <w:rPr>
          <w:lang w:val="en-GB"/>
        </w:rPr>
        <w:fldChar w:fldCharType="begin"/>
      </w:r>
      <w:r w:rsidR="0062670E">
        <w:instrText xml:space="preserve"> ADDIN ZOTERO_ITEM CSL_CITATION {"citationID":"u9pNF46a","properties":{"formattedCitation":"[44]","plainCitation":"[44]","noteIndex":0},"citationItems":[{"id":87774,"uris":["http://zotero.org/groups/4742804/items/F249JX67"],"itemData":{"id":87774,"type":"article-journal","abstract":"Several systemic anti-inflammatory and immunomodulatory agents were tried in the management of hyper inflammatory manifestations of COVID 19. JAK inhibitors have been widely deployed in rheumatology due to their benefits in managing uncontrolled inflammation. Tofacitinib is one of the most widely studied immunomodulators in rheumatology. We assessed the safety and efficacy of Tofacitinib in an open-labeled randomized control study, in addition to the standard of care (SOC) in hospitalized adults with mild to moderate COVID-19 pneumonia. Patients (n=100) with COVID 19 pneumonia admitted during October -December 2020 were randomly assigned to either control (N=50) (SOC treatment alone) or to study groups (N=50) receiving Tofacitinib in addition. Patients, reporting positive RT-PCR for SARS-COV2 and radiological evidence of pneumonia were hospitalized for over 7 days. The study group received Tofacitinib for 14 days irrespective of the discharge status and was followed up to 28 days. There was a greater relative reduction in levels of important markers of inflammation in the Tofacitinib group than in the control group (CRP:78% vs 45%; Ferritin:15% vs 10%; D. Dimer: 37% vs 15%) although there were no differences in duration of hospitalizations or oxygen requirement. Tofacitinib, 10 mg was well-tolerated and was devoid of any serious adverse event. We are the first to record the benefits of Tofacitinib in India to our knowledge although a Brazilian study conducted around the same time showed mortality benefit in severe COVID. We conclude that Tofacitinib use is safe and aids in the reduction of the overwhelming inflammatory response during COVID-19 infections.","container-title":"The Journal of the Association of Physicians of India","ISSN":"0004-5772","issue":"12","journalAbbreviation":"J Assoc Physicians India","language":"eng","note":"PMID: 35057599","page":"11-12","source":"PubMed","title":"An evaluation of efficacy and safety of tofacitinib, a JAK inhibitor in the management of hospitalized patients with mild to moderate COVID-19 - an open-label randomized controlled study","volume":"69","author":[{"family":"Murugesan","given":"Hema"},{"family":"Cs","given":"Gauthaman"},{"family":"Nasreen","given":"H. Sadiqa"},{"family":"Santhanam","given":"Sham"},{"family":"M","given":"Gowrishankar"},{"family":"Ravi","given":"Sailatha"},{"family":"Es","given":"Sharanya Shre"}],"issued":{"date-parts":[["2022",12]]}}}],"schema":"https://github.com/citation-style-language/schema/raw/master/csl-citation.json"} </w:instrText>
      </w:r>
      <w:r w:rsidR="006E2B86">
        <w:rPr>
          <w:lang w:val="en-GB"/>
        </w:rPr>
        <w:fldChar w:fldCharType="separate"/>
      </w:r>
      <w:r w:rsidR="00AD0B20">
        <w:rPr>
          <w:rFonts w:cs="Times New Roman"/>
        </w:rPr>
        <w:t>[22</w:t>
      </w:r>
      <w:r w:rsidR="0062670E" w:rsidRPr="0062670E">
        <w:rPr>
          <w:rFonts w:cs="Times New Roman"/>
        </w:rPr>
        <w:t>]</w:t>
      </w:r>
      <w:r w:rsidR="006E2B86">
        <w:rPr>
          <w:lang w:val="en-GB"/>
        </w:rPr>
        <w:fldChar w:fldCharType="end"/>
      </w:r>
      <w:r w:rsidR="006E2B86">
        <w:t>.</w:t>
      </w:r>
    </w:p>
    <w:p w14:paraId="0131B0B7" w14:textId="77777777" w:rsidR="00B93A35" w:rsidRPr="006E2B86" w:rsidRDefault="00B93A35" w:rsidP="00017DA2">
      <w:pPr>
        <w:pStyle w:val="SDText"/>
        <w:spacing w:after="0"/>
        <w:contextualSpacing/>
      </w:pPr>
    </w:p>
    <w:p w14:paraId="47DD5F81" w14:textId="77777777" w:rsidR="00791E09" w:rsidRDefault="00791E09" w:rsidP="00222699">
      <w:pPr>
        <w:pStyle w:val="2"/>
        <w:numPr>
          <w:ilvl w:val="0"/>
          <w:numId w:val="0"/>
        </w:numPr>
        <w:ind w:left="576" w:hanging="576"/>
        <w:sectPr w:rsidR="00791E09" w:rsidSect="00C13EBE">
          <w:pgSz w:w="11906" w:h="16838"/>
          <w:pgMar w:top="703" w:right="850" w:bottom="1134" w:left="1701" w:header="709" w:footer="708" w:gutter="0"/>
          <w:cols w:space="708"/>
          <w:docGrid w:linePitch="360"/>
        </w:sectPr>
      </w:pPr>
      <w:bookmarkStart w:id="191" w:name="_Toc115421060"/>
      <w:bookmarkStart w:id="192" w:name="_Toc121592595"/>
    </w:p>
    <w:p w14:paraId="781B644D" w14:textId="20FDE8EC" w:rsidR="008F61BF" w:rsidRDefault="00222699" w:rsidP="00222699">
      <w:pPr>
        <w:pStyle w:val="2"/>
        <w:numPr>
          <w:ilvl w:val="0"/>
          <w:numId w:val="0"/>
        </w:numPr>
        <w:ind w:left="576" w:hanging="576"/>
      </w:pPr>
      <w:r>
        <w:lastRenderedPageBreak/>
        <w:t xml:space="preserve">4.1. </w:t>
      </w:r>
      <w:r w:rsidR="008E55BE" w:rsidRPr="000A714E">
        <w:t>Фармакокинетика</w:t>
      </w:r>
      <w:r w:rsidR="008E55BE">
        <w:t xml:space="preserve"> у человека</w:t>
      </w:r>
      <w:bookmarkEnd w:id="191"/>
      <w:bookmarkEnd w:id="192"/>
    </w:p>
    <w:p w14:paraId="279E3669" w14:textId="4DE3CA78" w:rsidR="008E55BE" w:rsidRDefault="008E55BE" w:rsidP="00017DA2">
      <w:pPr>
        <w:pStyle w:val="OT"/>
      </w:pPr>
    </w:p>
    <w:p w14:paraId="36DB3808" w14:textId="19477631" w:rsidR="008F61BF" w:rsidRPr="00222699" w:rsidRDefault="00E8582C" w:rsidP="00222699">
      <w:pPr>
        <w:spacing w:after="0"/>
        <w:ind w:firstLine="0"/>
        <w:rPr>
          <w:b/>
        </w:rPr>
      </w:pPr>
      <w:bookmarkStart w:id="193" w:name="_Toc115421061"/>
      <w:bookmarkStart w:id="194" w:name="_Ref121140729"/>
      <w:bookmarkStart w:id="195" w:name="_Ref463384082"/>
      <w:r w:rsidRPr="00222699">
        <w:rPr>
          <w:b/>
        </w:rPr>
        <w:t>Всасывание</w:t>
      </w:r>
      <w:bookmarkEnd w:id="193"/>
      <w:bookmarkEnd w:id="194"/>
      <w:r w:rsidRPr="00222699">
        <w:rPr>
          <w:b/>
        </w:rPr>
        <w:t xml:space="preserve"> </w:t>
      </w:r>
      <w:bookmarkEnd w:id="195"/>
    </w:p>
    <w:p w14:paraId="38E45527" w14:textId="475C9FC2" w:rsidR="008F61BF" w:rsidRPr="00222699" w:rsidRDefault="008F61BF" w:rsidP="00222699">
      <w:pPr>
        <w:pStyle w:val="OT"/>
        <w:rPr>
          <w:b/>
        </w:rPr>
      </w:pPr>
    </w:p>
    <w:p w14:paraId="105D2500" w14:textId="73C1ECFD" w:rsidR="002A02F7" w:rsidRDefault="00640A34" w:rsidP="00017DA2">
      <w:pPr>
        <w:pStyle w:val="SDText"/>
        <w:spacing w:after="0"/>
        <w:contextualSpacing/>
      </w:pPr>
      <w:r>
        <w:t xml:space="preserve">В исследовании </w:t>
      </w:r>
      <w:r w:rsidR="0033353F">
        <w:rPr>
          <w:lang w:val="en-US"/>
        </w:rPr>
        <w:t>XT</w:t>
      </w:r>
      <w:r w:rsidR="0033353F" w:rsidRPr="0033353F">
        <w:t xml:space="preserve">088024 </w:t>
      </w:r>
      <w:r w:rsidRPr="0093519F">
        <w:rPr>
          <w:i/>
          <w:iCs/>
          <w:lang w:val="en-US"/>
        </w:rPr>
        <w:t>in</w:t>
      </w:r>
      <w:r w:rsidRPr="0093519F">
        <w:rPr>
          <w:i/>
          <w:iCs/>
        </w:rPr>
        <w:t xml:space="preserve"> </w:t>
      </w:r>
      <w:r w:rsidRPr="0093519F">
        <w:rPr>
          <w:i/>
          <w:iCs/>
          <w:lang w:val="en-US"/>
        </w:rPr>
        <w:t>vitro</w:t>
      </w:r>
      <w:r w:rsidRPr="0093519F">
        <w:t xml:space="preserve"> </w:t>
      </w:r>
      <w:r>
        <w:t xml:space="preserve">на клетках </w:t>
      </w:r>
      <w:r w:rsidRPr="00BD7521">
        <w:t>MDCK</w:t>
      </w:r>
      <w:r>
        <w:rPr>
          <w:lang w:val="en-US"/>
        </w:rPr>
        <w:t>II</w:t>
      </w:r>
      <w:r>
        <w:t xml:space="preserve"> со стабильной экспрессией </w:t>
      </w:r>
      <w:r>
        <w:rPr>
          <w:lang w:val="en-US"/>
        </w:rPr>
        <w:t>MDR</w:t>
      </w:r>
      <w:r w:rsidRPr="00CE1E4F">
        <w:t>1</w:t>
      </w:r>
      <w:r w:rsidRPr="00C17F6C">
        <w:t xml:space="preserve"> </w:t>
      </w:r>
      <w:r>
        <w:t>(</w:t>
      </w:r>
      <w:r w:rsidRPr="00C95F04">
        <w:rPr>
          <w:i/>
          <w:iCs/>
        </w:rPr>
        <w:t>ABCB1</w:t>
      </w:r>
      <w:r w:rsidRPr="00AC4E03">
        <w:t>)</w:t>
      </w:r>
      <w:r>
        <w:t xml:space="preserve">, трансфицированных геном, кодирующим </w:t>
      </w:r>
      <w:r w:rsidRPr="00B63C92">
        <w:t>P-гликопротеин</w:t>
      </w:r>
      <w:r>
        <w:t xml:space="preserve"> человека</w:t>
      </w:r>
      <w:r w:rsidR="00083A29">
        <w:t>,</w:t>
      </w:r>
      <w:r w:rsidRPr="00B63C92">
        <w:t xml:space="preserve"> </w:t>
      </w:r>
      <w:r>
        <w:t xml:space="preserve">установили, что </w:t>
      </w:r>
      <w:r w:rsidR="001F4DD3" w:rsidRPr="001F4DD3">
        <w:t>тофацитиниб</w:t>
      </w:r>
      <w:r w:rsidR="001F4DD3">
        <w:t xml:space="preserve"> </w:t>
      </w:r>
      <w:r>
        <w:t xml:space="preserve">является субстратом </w:t>
      </w:r>
      <w:r>
        <w:rPr>
          <w:lang w:val="en-US"/>
        </w:rPr>
        <w:t>P</w:t>
      </w:r>
      <w:r w:rsidRPr="0093519F">
        <w:t>-</w:t>
      </w:r>
      <w:r>
        <w:t xml:space="preserve">гликопротеина </w:t>
      </w:r>
      <w:r w:rsidR="00E23300">
        <w:fldChar w:fldCharType="begin"/>
      </w:r>
      <w:r w:rsidR="00044A89">
        <w:instrText xml:space="preserve"> ADDIN ZOTERO_ITEM CSL_CITATION {"citationID":"XeB08kNU","properties":{"formattedCitation":"[23]","plainCitation":"[23]","noteIndex":0},"citationItems":[{"id":87804,"uris":["http://zotero.org/groups/4742804/items/MQJLNM6K"],"itemData":{"id":87804,"type":"webpage","title":"Xeljanz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E23300">
        <w:fldChar w:fldCharType="separate"/>
      </w:r>
      <w:r w:rsidR="00AD0B20">
        <w:rPr>
          <w:rFonts w:cs="Times New Roman"/>
        </w:rPr>
        <w:t>[1</w:t>
      </w:r>
      <w:r w:rsidR="00044A89" w:rsidRPr="00044A89">
        <w:rPr>
          <w:rFonts w:cs="Times New Roman"/>
        </w:rPr>
        <w:t>]</w:t>
      </w:r>
      <w:r w:rsidR="00E23300">
        <w:fldChar w:fldCharType="end"/>
      </w:r>
      <w:r>
        <w:t>.</w:t>
      </w:r>
    </w:p>
    <w:p w14:paraId="6D626892" w14:textId="77777777" w:rsidR="00AD0B20" w:rsidRDefault="005E71A2" w:rsidP="00017DA2">
      <w:pPr>
        <w:pStyle w:val="SDText"/>
        <w:spacing w:after="0"/>
        <w:contextualSpacing/>
      </w:pPr>
      <w:r>
        <w:t xml:space="preserve">В исследовании 060532 с использованием клеток </w:t>
      </w:r>
      <w:r>
        <w:rPr>
          <w:lang w:val="en-US"/>
        </w:rPr>
        <w:t>Caco</w:t>
      </w:r>
      <w:r w:rsidRPr="0095177C">
        <w:t>-</w:t>
      </w:r>
      <w:r w:rsidRPr="003B4504">
        <w:t>2</w:t>
      </w:r>
      <w:r w:rsidRPr="0095177C">
        <w:t xml:space="preserve"> </w:t>
      </w:r>
      <w:r>
        <w:t xml:space="preserve">установили, что </w:t>
      </w:r>
      <w:r w:rsidR="001F4DD3" w:rsidRPr="001F4DD3">
        <w:t xml:space="preserve">тофацитиниб </w:t>
      </w:r>
      <w:r>
        <w:t xml:space="preserve">является слабым ингибитором </w:t>
      </w:r>
      <w:r>
        <w:rPr>
          <w:lang w:val="en-US"/>
        </w:rPr>
        <w:t>P</w:t>
      </w:r>
      <w:r w:rsidRPr="0095177C">
        <w:t>-</w:t>
      </w:r>
      <w:r>
        <w:t>гликопротеина. Кажущаяся проницаемость для дигоксина без добавления тофацитиниба составила 1,76*10</w:t>
      </w:r>
      <w:r>
        <w:rPr>
          <w:vertAlign w:val="superscript"/>
        </w:rPr>
        <w:t>-6</w:t>
      </w:r>
      <w:r>
        <w:t xml:space="preserve"> см/с в направлении абсорбции и 12,25*10</w:t>
      </w:r>
      <w:r>
        <w:rPr>
          <w:vertAlign w:val="superscript"/>
        </w:rPr>
        <w:t>-6</w:t>
      </w:r>
      <w:r>
        <w:t xml:space="preserve"> в направлении секреции. В присутствии </w:t>
      </w:r>
      <w:r w:rsidR="001F4DD3" w:rsidRPr="001F4DD3">
        <w:t xml:space="preserve">тофацитиниба </w:t>
      </w:r>
      <w:r>
        <w:t>поток дигоксина ингибировалс</w:t>
      </w:r>
      <w:r w:rsidR="00083A29">
        <w:t>я</w:t>
      </w:r>
      <w:r>
        <w:t xml:space="preserve"> на 72%, но не полностью (</w:t>
      </w:r>
      <w:r w:rsidRPr="00F1331B">
        <w:rPr>
          <w:lang w:val="en-US"/>
        </w:rPr>
        <w:t>IC</w:t>
      </w:r>
      <w:r w:rsidRPr="00F1331B">
        <w:rPr>
          <w:vertAlign w:val="subscript"/>
        </w:rPr>
        <w:t>50</w:t>
      </w:r>
      <w:r>
        <w:rPr>
          <w:vertAlign w:val="subscript"/>
        </w:rPr>
        <w:t> </w:t>
      </w:r>
      <w:r>
        <w:t>311 мкмоль/л). Кетоконазол полностью ингибировал поток дигоксина (</w:t>
      </w:r>
      <w:r w:rsidRPr="00F1331B">
        <w:rPr>
          <w:lang w:val="en-US"/>
        </w:rPr>
        <w:t>IC</w:t>
      </w:r>
      <w:r w:rsidRPr="00F1331B">
        <w:rPr>
          <w:vertAlign w:val="subscript"/>
        </w:rPr>
        <w:t>50</w:t>
      </w:r>
      <w:r>
        <w:rPr>
          <w:vertAlign w:val="subscript"/>
        </w:rPr>
        <w:t> </w:t>
      </w:r>
      <w:r>
        <w:t xml:space="preserve">6,3 мкмоль/л) </w:t>
      </w:r>
      <w:r w:rsidR="009D55A1">
        <w:fldChar w:fldCharType="begin"/>
      </w:r>
      <w:r w:rsidR="00044A89">
        <w:instrText xml:space="preserve"> ADDIN ZOTERO_ITEM CSL_CITATION {"citationID":"lKWAzTme","properties":{"formattedCitation":"[23]","plainCitation":"[23]","noteIndex":0},"citationItems":[{"id":87804,"uris":["http://zotero.org/groups/4742804/items/MQJLNM6K"],"itemData":{"id":87804,"type":"webpage","title":"Xeljanz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9D55A1">
        <w:fldChar w:fldCharType="separate"/>
      </w:r>
      <w:r w:rsidR="00AD0B20">
        <w:rPr>
          <w:rFonts w:cs="Times New Roman"/>
        </w:rPr>
        <w:t>[1</w:t>
      </w:r>
      <w:r w:rsidR="00044A89" w:rsidRPr="00044A89">
        <w:rPr>
          <w:rFonts w:cs="Times New Roman"/>
        </w:rPr>
        <w:t>]</w:t>
      </w:r>
      <w:r w:rsidR="009D55A1">
        <w:fldChar w:fldCharType="end"/>
      </w:r>
      <w:r w:rsidR="009D55A1">
        <w:t>.</w:t>
      </w:r>
    </w:p>
    <w:p w14:paraId="5E8EEB61" w14:textId="2DA317F9" w:rsidR="005E71A2" w:rsidRDefault="009D55A1" w:rsidP="00017DA2">
      <w:pPr>
        <w:pStyle w:val="SDText"/>
        <w:spacing w:after="0"/>
        <w:contextualSpacing/>
      </w:pPr>
      <w:r>
        <w:t xml:space="preserve">В исследовании 175813 на клетках </w:t>
      </w:r>
      <w:r w:rsidRPr="000A0F20">
        <w:t>MDCK</w:t>
      </w:r>
      <w:r>
        <w:t>, трансфицированных геном белка резистентности рака молочной железы (</w:t>
      </w:r>
      <w:r w:rsidRPr="0056778C">
        <w:t>breast cancer resistance protein</w:t>
      </w:r>
      <w:r>
        <w:t>,</w:t>
      </w:r>
      <w:r w:rsidRPr="0056778C">
        <w:t xml:space="preserve"> BCRP</w:t>
      </w:r>
      <w:r>
        <w:t>) с низкой нативной эффлюксной активностью</w:t>
      </w:r>
      <w:r w:rsidR="00FB13D0">
        <w:t>,</w:t>
      </w:r>
      <w:r>
        <w:t xml:space="preserve"> определили, что </w:t>
      </w:r>
      <w:r w:rsidR="000C493D" w:rsidRPr="000C493D">
        <w:t>тофацитиниб</w:t>
      </w:r>
      <w:r w:rsidR="000C493D">
        <w:t xml:space="preserve"> </w:t>
      </w:r>
      <w:r w:rsidRPr="00C9027B">
        <w:t xml:space="preserve">не является </w:t>
      </w:r>
      <w:r>
        <w:t xml:space="preserve">субстратом эффлюкса, осуществляемого </w:t>
      </w:r>
      <w:r w:rsidRPr="0056778C">
        <w:t>BCRP</w:t>
      </w:r>
      <w:r>
        <w:t xml:space="preserve"> </w:t>
      </w:r>
      <w:r>
        <w:fldChar w:fldCharType="begin"/>
      </w:r>
      <w:r w:rsidR="00044A89">
        <w:instrText xml:space="preserve"> ADDIN ZOTERO_ITEM CSL_CITATION {"citationID":"WTSOxeMR","properties":{"formattedCitation":"[23]","plainCitation":"[23]","noteIndex":0},"citationItems":[{"id":87804,"uris":["http://zotero.org/groups/4742804/items/MQJLNM6K"],"itemData":{"id":87804,"type":"webpage","title":"Xeljanz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60FEC73A" w14:textId="2EC8E161" w:rsidR="007222ED" w:rsidRDefault="007222ED" w:rsidP="00017DA2">
      <w:pPr>
        <w:pStyle w:val="SDText"/>
        <w:spacing w:after="0"/>
        <w:contextualSpacing/>
      </w:pPr>
      <w:r>
        <w:t>В исследовании 192119 на клетках почки эмбриона человека 293 (</w:t>
      </w:r>
      <w:r w:rsidRPr="000B1340">
        <w:t>Human embryonic kidney</w:t>
      </w:r>
      <w:r>
        <w:t xml:space="preserve"> 293, </w:t>
      </w:r>
      <w:r>
        <w:rPr>
          <w:lang w:val="en-US"/>
        </w:rPr>
        <w:t>HEK</w:t>
      </w:r>
      <w:r w:rsidRPr="0097737C">
        <w:t>293</w:t>
      </w:r>
      <w:r>
        <w:t>)</w:t>
      </w:r>
      <w:r w:rsidRPr="0097737C">
        <w:t xml:space="preserve"> </w:t>
      </w:r>
      <w:r>
        <w:t xml:space="preserve">дикого типа и клетках </w:t>
      </w:r>
      <w:r>
        <w:rPr>
          <w:lang w:val="en-US"/>
        </w:rPr>
        <w:t>HEK</w:t>
      </w:r>
      <w:r w:rsidRPr="0097737C">
        <w:t xml:space="preserve">293 </w:t>
      </w:r>
      <w:r>
        <w:t xml:space="preserve">с увеличенной экспрессией рекомбинантного транспортера печеночного захвата человека </w:t>
      </w:r>
      <w:r w:rsidRPr="001D56B2">
        <w:t>OATP 1B1</w:t>
      </w:r>
      <w:r>
        <w:t xml:space="preserve"> (</w:t>
      </w:r>
      <w:r>
        <w:rPr>
          <w:lang w:val="en-US"/>
        </w:rPr>
        <w:t>HEK</w:t>
      </w:r>
      <w:r w:rsidRPr="00DE1249">
        <w:t xml:space="preserve"> </w:t>
      </w:r>
      <w:r w:rsidRPr="001D56B2">
        <w:t>OATP 1B1</w:t>
      </w:r>
      <w:r w:rsidRPr="00DE1249">
        <w:t xml:space="preserve">) </w:t>
      </w:r>
      <w:r>
        <w:t xml:space="preserve">установили, что </w:t>
      </w:r>
      <w:r w:rsidR="000C493D" w:rsidRPr="000C493D">
        <w:t>тофацитиниб</w:t>
      </w:r>
      <w:r w:rsidR="000C493D">
        <w:t xml:space="preserve"> </w:t>
      </w:r>
      <w:r>
        <w:t xml:space="preserve">является ингибитором </w:t>
      </w:r>
      <w:r>
        <w:rPr>
          <w:lang w:val="en-US"/>
        </w:rPr>
        <w:t>OATP</w:t>
      </w:r>
      <w:r w:rsidRPr="0097737C">
        <w:t xml:space="preserve"> 1</w:t>
      </w:r>
      <w:r>
        <w:rPr>
          <w:lang w:val="en-US"/>
        </w:rPr>
        <w:t>B</w:t>
      </w:r>
      <w:r w:rsidRPr="0097737C">
        <w:t>1</w:t>
      </w:r>
      <w:r>
        <w:t xml:space="preserve">. При концентрации </w:t>
      </w:r>
      <w:r w:rsidR="000C493D" w:rsidRPr="000C493D">
        <w:t>тофацитиниба</w:t>
      </w:r>
      <w:r>
        <w:t xml:space="preserve">, равной 1000 мкмоль/л, ингибирование составило 94%, а </w:t>
      </w:r>
      <w:r w:rsidRPr="00F1331B">
        <w:rPr>
          <w:lang w:val="en-US"/>
        </w:rPr>
        <w:t>IC</w:t>
      </w:r>
      <w:r w:rsidRPr="00F1331B">
        <w:rPr>
          <w:vertAlign w:val="subscript"/>
        </w:rPr>
        <w:t>50</w:t>
      </w:r>
      <w:r>
        <w:rPr>
          <w:vertAlign w:val="subscript"/>
        </w:rPr>
        <w:t xml:space="preserve"> </w:t>
      </w:r>
      <w:r>
        <w:t xml:space="preserve">равнялась 55,3 мкмоль/л. Рифамицин приводил к 100% ингибированию при концентрации 30 мкмоль/л </w:t>
      </w:r>
      <w:r>
        <w:fldChar w:fldCharType="begin"/>
      </w:r>
      <w:r w:rsidR="00044A89">
        <w:instrText xml:space="preserve"> ADDIN ZOTERO_ITEM CSL_CITATION {"citationID":"RJQIY9gI","properties":{"formattedCitation":"[23]","plainCitation":"[23]","noteIndex":0},"citationItems":[{"id":87804,"uris":["http://zotero.org/groups/4742804/items/MQJLNM6K"],"itemData":{"id":87804,"type":"webpage","title":"Xeljanz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33A8E47C" w14:textId="38779350" w:rsidR="00E2093A" w:rsidRPr="007E28AB" w:rsidRDefault="00E2093A" w:rsidP="00017DA2">
      <w:pPr>
        <w:pStyle w:val="SDText"/>
        <w:spacing w:after="0"/>
        <w:contextualSpacing/>
      </w:pPr>
      <w:r>
        <w:t xml:space="preserve">В исследовании 095440 с использованием клеток </w:t>
      </w:r>
      <w:r>
        <w:rPr>
          <w:lang w:val="en-US"/>
        </w:rPr>
        <w:t>HEK</w:t>
      </w:r>
      <w:r w:rsidRPr="0097737C">
        <w:t xml:space="preserve">293 </w:t>
      </w:r>
      <w:r>
        <w:t xml:space="preserve">дикого типа выявили, что </w:t>
      </w:r>
      <w:r w:rsidR="000C493D" w:rsidRPr="000C493D">
        <w:t>тофацитиниб</w:t>
      </w:r>
      <w:r w:rsidR="000C493D">
        <w:t xml:space="preserve"> </w:t>
      </w:r>
      <w:r>
        <w:t xml:space="preserve">не является ингибитором </w:t>
      </w:r>
      <w:r w:rsidRPr="001D56B2">
        <w:t>OATP 1B</w:t>
      </w:r>
      <w:r>
        <w:t xml:space="preserve">3 </w:t>
      </w:r>
      <w:r>
        <w:fldChar w:fldCharType="begin"/>
      </w:r>
      <w:r w:rsidR="00044A89">
        <w:instrText xml:space="preserve"> ADDIN ZOTERO_ITEM CSL_CITATION {"citationID":"PqwQhhQk","properties":{"formattedCitation":"[23]","plainCitation":"[23]","noteIndex":0},"citationItems":[{"id":87804,"uris":["http://zotero.org/groups/4742804/items/MQJLNM6K"],"itemData":{"id":87804,"type":"webpage","title":"Xeljanz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196767F5" w14:textId="060F214C" w:rsidR="00E2093A" w:rsidRDefault="0040386D" w:rsidP="00017DA2">
      <w:pPr>
        <w:pStyle w:val="SDText"/>
        <w:spacing w:after="0"/>
        <w:contextualSpacing/>
      </w:pPr>
      <w:r>
        <w:t xml:space="preserve">В исследовании </w:t>
      </w:r>
      <w:r w:rsidRPr="007E6A6F">
        <w:t>135323</w:t>
      </w:r>
      <w:r>
        <w:t xml:space="preserve">, проведенном на клетках </w:t>
      </w:r>
      <w:r w:rsidRPr="007E6A6F">
        <w:t>HEK293</w:t>
      </w:r>
      <w:r>
        <w:t xml:space="preserve"> с трансфицированным геном транспортера органических катионов 2 (</w:t>
      </w:r>
      <w:r w:rsidRPr="003716B4">
        <w:t>organic cationic transporter</w:t>
      </w:r>
      <w:r>
        <w:t xml:space="preserve"> 2, </w:t>
      </w:r>
      <w:r w:rsidRPr="00B71569">
        <w:t>OCT2</w:t>
      </w:r>
      <w:r>
        <w:t>) почечных канальцев</w:t>
      </w:r>
      <w:r w:rsidR="00083A29">
        <w:t>,</w:t>
      </w:r>
      <w:r>
        <w:t xml:space="preserve"> </w:t>
      </w:r>
      <w:r w:rsidR="000C493D" w:rsidRPr="000C493D">
        <w:t>тофацитиниб</w:t>
      </w:r>
      <w:r w:rsidR="000C493D">
        <w:t xml:space="preserve"> </w:t>
      </w:r>
      <w:r>
        <w:t xml:space="preserve">ингибировал клеточный захват креатинина с </w:t>
      </w:r>
      <w:r w:rsidRPr="00F1331B">
        <w:rPr>
          <w:lang w:val="en-US"/>
        </w:rPr>
        <w:t>IC</w:t>
      </w:r>
      <w:r w:rsidRPr="00F1331B">
        <w:rPr>
          <w:vertAlign w:val="subscript"/>
        </w:rPr>
        <w:t>50</w:t>
      </w:r>
      <w:r>
        <w:t xml:space="preserve">, равной 150 мкмоль/л. В сериях положительного контроля для циметидина </w:t>
      </w:r>
      <w:r w:rsidRPr="00F1331B">
        <w:rPr>
          <w:lang w:val="en-US"/>
        </w:rPr>
        <w:t>IC</w:t>
      </w:r>
      <w:r w:rsidRPr="00F1331B">
        <w:rPr>
          <w:vertAlign w:val="subscript"/>
        </w:rPr>
        <w:t>50</w:t>
      </w:r>
      <w:r>
        <w:rPr>
          <w:vertAlign w:val="subscript"/>
        </w:rPr>
        <w:t xml:space="preserve"> </w:t>
      </w:r>
      <w:r>
        <w:t xml:space="preserve">составила 406 мкмоль/л, а для хинидина – 70 мкмоль/л </w:t>
      </w:r>
      <w:r>
        <w:fldChar w:fldCharType="begin"/>
      </w:r>
      <w:r w:rsidR="00044A89">
        <w:instrText xml:space="preserve"> ADDIN ZOTERO_ITEM CSL_CITATION {"citationID":"oxSW8An0","properties":{"formattedCitation":"[23]","plainCitation":"[23]","noteIndex":0},"citationItems":[{"id":87804,"uris":["http://zotero.org/groups/4742804/items/MQJLNM6K"],"itemData":{"id":87804,"type":"webpage","title":"Xeljanz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136BF5BA" w14:textId="38CD29B3" w:rsidR="0048022E" w:rsidRDefault="0048022E" w:rsidP="00017DA2">
      <w:pPr>
        <w:pStyle w:val="SDText"/>
        <w:spacing w:after="0"/>
        <w:contextualSpacing/>
      </w:pPr>
      <w:r>
        <w:t xml:space="preserve">В нерандомизированном открытом исследовании масс-баланса </w:t>
      </w:r>
      <w:r>
        <w:rPr>
          <w:lang w:val="en-US"/>
        </w:rPr>
        <w:t>A</w:t>
      </w:r>
      <w:r w:rsidRPr="003802E5">
        <w:t>3921010</w:t>
      </w:r>
      <w:r>
        <w:t xml:space="preserve"> изучили метаболический профиль и пути экскреции </w:t>
      </w:r>
      <w:r w:rsidR="000C493D" w:rsidRPr="000C493D">
        <w:t xml:space="preserve">тофацитиниба </w:t>
      </w:r>
      <w:r>
        <w:t xml:space="preserve">у здоровых добровольцев (мужчин, </w:t>
      </w:r>
      <w:r>
        <w:rPr>
          <w:lang w:val="en-US"/>
        </w:rPr>
        <w:t>n</w:t>
      </w:r>
      <w:r w:rsidRPr="00391AFE">
        <w:t xml:space="preserve"> = 6</w:t>
      </w:r>
      <w:r>
        <w:t xml:space="preserve">) после однократного перорального приема </w:t>
      </w:r>
      <w:r w:rsidRPr="00F64B91">
        <w:rPr>
          <w:vertAlign w:val="superscript"/>
        </w:rPr>
        <w:t>14</w:t>
      </w:r>
      <w:r w:rsidRPr="00F64B91">
        <w:t>C</w:t>
      </w:r>
      <w:r>
        <w:t>-</w:t>
      </w:r>
      <w:r w:rsidRPr="00F64B91">
        <w:t>CP-690550</w:t>
      </w:r>
      <w:r>
        <w:t xml:space="preserve"> в дозе 50 мг/кг (163 мкКи).</w:t>
      </w:r>
      <w:r w:rsidR="00CB46AB">
        <w:t xml:space="preserve"> Концентрации в плазме крови как для </w:t>
      </w:r>
      <w:r w:rsidR="000C493D" w:rsidRPr="000C493D">
        <w:t>тофацитиниба</w:t>
      </w:r>
      <w:r w:rsidR="00CB46AB">
        <w:t>, так и для общей радиоактивности достигли пика через 1 ч после перорального приема. Среднее значение C</w:t>
      </w:r>
      <w:r w:rsidR="00CB46AB" w:rsidRPr="00CB46AB">
        <w:rPr>
          <w:vertAlign w:val="subscript"/>
        </w:rPr>
        <w:t>max</w:t>
      </w:r>
      <w:r w:rsidR="00CB46AB">
        <w:t xml:space="preserve"> для исходного соединения составляло 397 нг/мл, а для общей радиоактивности – 611 нг экв/мл. Значения AUC</w:t>
      </w:r>
      <w:r w:rsidR="00CB46AB" w:rsidRPr="00CB46AB">
        <w:rPr>
          <w:vertAlign w:val="subscript"/>
        </w:rPr>
        <w:t>(0-</w:t>
      </w:r>
      <w:r w:rsidR="00CB46AB" w:rsidRPr="00CB46AB">
        <w:rPr>
          <w:rFonts w:cs="Times New Roman"/>
          <w:vertAlign w:val="subscript"/>
        </w:rPr>
        <w:t>∞)</w:t>
      </w:r>
      <w:r w:rsidR="00CB46AB">
        <w:t xml:space="preserve"> для исходного соединения варьировали от 977</w:t>
      </w:r>
      <w:r w:rsidR="00221B5B">
        <w:t xml:space="preserve"> до </w:t>
      </w:r>
      <w:r w:rsidR="00CB46AB">
        <w:t xml:space="preserve">2060 нг*ч/мл, а для общей радиоактивности </w:t>
      </w:r>
      <w:r w:rsidR="00221B5B">
        <w:t xml:space="preserve">– </w:t>
      </w:r>
      <w:r w:rsidR="00CB46AB">
        <w:t>2430</w:t>
      </w:r>
      <w:r w:rsidR="00221B5B">
        <w:t xml:space="preserve"> до </w:t>
      </w:r>
      <w:r w:rsidR="00CB46AB">
        <w:t>4700 нг</w:t>
      </w:r>
      <w:r w:rsidR="00221B5B">
        <w:t xml:space="preserve"> </w:t>
      </w:r>
      <w:r w:rsidR="00CB46AB">
        <w:t>экв*ч/мл с</w:t>
      </w:r>
      <w:r w:rsidR="00221B5B">
        <w:t>о</w:t>
      </w:r>
      <w:r w:rsidR="00CB46AB">
        <w:t xml:space="preserve"> средн</w:t>
      </w:r>
      <w:r w:rsidR="00221B5B">
        <w:t>им</w:t>
      </w:r>
      <w:r w:rsidR="00CB46AB">
        <w:t xml:space="preserve"> значение</w:t>
      </w:r>
      <w:r w:rsidR="00221B5B">
        <w:t>м</w:t>
      </w:r>
      <w:r w:rsidR="00CB46AB">
        <w:t xml:space="preserve"> 3440 нг</w:t>
      </w:r>
      <w:r w:rsidR="00221B5B">
        <w:t xml:space="preserve"> </w:t>
      </w:r>
      <w:r w:rsidR="00CB46AB">
        <w:t xml:space="preserve">экв*ч/мл </w:t>
      </w:r>
      <w:r w:rsidR="00CB46AB">
        <w:fldChar w:fldCharType="begin"/>
      </w:r>
      <w:r w:rsidR="00044A89">
        <w:instrText xml:space="preserve"> ADDIN ZOTERO_ITEM CSL_CITATION {"citationID":"Vosvg0CU","properties":{"formattedCitation":"[23]","plainCitation":"[23]","noteIndex":0},"citationItems":[{"id":87804,"uris":["http://zotero.org/groups/4742804/items/MQJLNM6K"],"itemData":{"id":87804,"type":"webpage","title":"Xeljanz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CB46AB">
        <w:fldChar w:fldCharType="separate"/>
      </w:r>
      <w:r w:rsidR="00AD0B20">
        <w:rPr>
          <w:rFonts w:cs="Times New Roman"/>
        </w:rPr>
        <w:t>[1</w:t>
      </w:r>
      <w:r w:rsidR="00044A89" w:rsidRPr="00044A89">
        <w:rPr>
          <w:rFonts w:cs="Times New Roman"/>
        </w:rPr>
        <w:t>]</w:t>
      </w:r>
      <w:r w:rsidR="00CB46AB">
        <w:fldChar w:fldCharType="end"/>
      </w:r>
      <w:r w:rsidR="00CB46AB">
        <w:t>.</w:t>
      </w:r>
    </w:p>
    <w:p w14:paraId="35DD9D39" w14:textId="044603BD" w:rsidR="00EC177B" w:rsidRDefault="000A4C4D" w:rsidP="00017DA2">
      <w:pPr>
        <w:pStyle w:val="SDText"/>
        <w:spacing w:after="0"/>
        <w:contextualSpacing/>
      </w:pPr>
      <w:r>
        <w:t>В двойном слепом плацебо-контролируемом исследовании</w:t>
      </w:r>
      <w:r w:rsidR="003216A3">
        <w:t xml:space="preserve"> </w:t>
      </w:r>
      <w:r w:rsidR="004B5050" w:rsidRPr="004B5050">
        <w:rPr>
          <w:lang w:val="en-US"/>
        </w:rPr>
        <w:t>A</w:t>
      </w:r>
      <w:r w:rsidR="004B5050" w:rsidRPr="004B5050">
        <w:t>3921002</w:t>
      </w:r>
      <w:r w:rsidR="004B5050">
        <w:t xml:space="preserve"> </w:t>
      </w:r>
      <w:r w:rsidR="003216A3">
        <w:t xml:space="preserve">фазы </w:t>
      </w:r>
      <w:r w:rsidR="003216A3">
        <w:rPr>
          <w:lang w:val="en-US"/>
        </w:rPr>
        <w:t>I</w:t>
      </w:r>
      <w:r w:rsidR="003216A3" w:rsidRPr="003216A3">
        <w:t xml:space="preserve"> </w:t>
      </w:r>
      <w:r w:rsidR="003216A3">
        <w:t xml:space="preserve">с эскалацией доз </w:t>
      </w:r>
      <w:r w:rsidR="00D0168C">
        <w:t xml:space="preserve">оценивали безопасность, переносимость, фармакокинетику и фармакодинамику </w:t>
      </w:r>
      <w:r w:rsidR="000C493D" w:rsidRPr="000C493D">
        <w:t xml:space="preserve">тофацитиниба </w:t>
      </w:r>
      <w:r w:rsidR="00EC177B">
        <w:t xml:space="preserve">при однократном приеме </w:t>
      </w:r>
      <w:r w:rsidR="00D0168C">
        <w:t xml:space="preserve">у здоровых добровольцев. </w:t>
      </w:r>
      <w:r w:rsidR="00E25FBC">
        <w:t xml:space="preserve">Добровольцев разделили на когорты, в каждой когорте </w:t>
      </w:r>
      <w:r w:rsidR="00AF0A61">
        <w:t xml:space="preserve">участники принимали перорально </w:t>
      </w:r>
      <w:r w:rsidR="00E25FBC">
        <w:t>и</w:t>
      </w:r>
      <w:r w:rsidR="000F5FFF">
        <w:t>сследуемое лекарс</w:t>
      </w:r>
      <w:r w:rsidR="00E25FBC">
        <w:t xml:space="preserve">твенное средство в дозе </w:t>
      </w:r>
      <w:r w:rsidR="00AF0A61">
        <w:t>0</w:t>
      </w:r>
      <w:r w:rsidR="007D36C1">
        <w:t>,</w:t>
      </w:r>
      <w:r w:rsidR="00AF0A61">
        <w:t>1, 0</w:t>
      </w:r>
      <w:r w:rsidR="007D36C1">
        <w:t>,</w:t>
      </w:r>
      <w:r w:rsidR="00AF0A61">
        <w:t>3, 1, 3, 10, 30, 60 или 100 мг (</w:t>
      </w:r>
      <w:r w:rsidR="00AF0A61">
        <w:rPr>
          <w:lang w:val="en-US"/>
        </w:rPr>
        <w:t>n</w:t>
      </w:r>
      <w:r w:rsidR="00AF0A61" w:rsidRPr="007D36C1">
        <w:t xml:space="preserve"> = </w:t>
      </w:r>
      <w:r w:rsidR="007D36C1">
        <w:t>8)</w:t>
      </w:r>
      <w:r w:rsidR="001C54E9">
        <w:t>,</w:t>
      </w:r>
      <w:r w:rsidR="007D36C1">
        <w:t xml:space="preserve"> или плацебо (</w:t>
      </w:r>
      <w:r w:rsidR="007D36C1">
        <w:rPr>
          <w:lang w:val="en-US"/>
        </w:rPr>
        <w:t>n</w:t>
      </w:r>
      <w:r w:rsidR="007D36C1" w:rsidRPr="007D36C1">
        <w:t xml:space="preserve"> = 4)</w:t>
      </w:r>
      <w:r w:rsidR="007D36C1">
        <w:t xml:space="preserve">. </w:t>
      </w:r>
      <w:r w:rsidR="00E3502E">
        <w:t>После перорального приема в</w:t>
      </w:r>
      <w:r w:rsidR="00F033B3">
        <w:t xml:space="preserve">о всех исследуемых дозах </w:t>
      </w:r>
      <w:r w:rsidR="00F033B3">
        <w:rPr>
          <w:lang w:val="en-US"/>
        </w:rPr>
        <w:t>T</w:t>
      </w:r>
      <w:r w:rsidR="00E3502E" w:rsidRPr="00E3502E">
        <w:rPr>
          <w:vertAlign w:val="subscript"/>
        </w:rPr>
        <w:t>max</w:t>
      </w:r>
      <w:r w:rsidR="00E3502E">
        <w:t xml:space="preserve"> достигал</w:t>
      </w:r>
      <w:r w:rsidR="001C54E9">
        <w:t>о</w:t>
      </w:r>
      <w:r w:rsidR="00E3502E">
        <w:t xml:space="preserve">сь </w:t>
      </w:r>
      <w:r w:rsidR="00192C30">
        <w:t xml:space="preserve">в течение </w:t>
      </w:r>
      <w:r w:rsidR="00E3502E">
        <w:t>0,5</w:t>
      </w:r>
      <w:r w:rsidR="00192C30">
        <w:t>–</w:t>
      </w:r>
      <w:r w:rsidR="00E3502E">
        <w:t>1 ч</w:t>
      </w:r>
      <w:r w:rsidR="00192C30">
        <w:t xml:space="preserve"> </w:t>
      </w:r>
      <w:r w:rsidR="00192C30" w:rsidRPr="00222699">
        <w:t>(</w:t>
      </w:r>
      <w:r w:rsidR="00EF17F9" w:rsidRPr="00222699">
        <w:fldChar w:fldCharType="begin"/>
      </w:r>
      <w:r w:rsidR="00EF17F9" w:rsidRPr="00222699">
        <w:instrText xml:space="preserve"> REF _Ref114127732 \h </w:instrText>
      </w:r>
      <w:r w:rsidR="00222699" w:rsidRPr="00222699">
        <w:instrText xml:space="preserve"> \* MERGEFORMAT </w:instrText>
      </w:r>
      <w:r w:rsidR="00EF17F9" w:rsidRPr="00222699">
        <w:fldChar w:fldCharType="separate"/>
      </w:r>
      <w:r w:rsidR="00383E6F" w:rsidRPr="00222699">
        <w:t xml:space="preserve">Рисунок </w:t>
      </w:r>
      <w:r w:rsidR="00383E6F" w:rsidRPr="00222699">
        <w:rPr>
          <w:noProof/>
        </w:rPr>
        <w:t>4</w:t>
      </w:r>
      <w:r w:rsidR="00383E6F" w:rsidRPr="00222699">
        <w:noBreakHyphen/>
      </w:r>
      <w:r w:rsidR="00383E6F" w:rsidRPr="00222699">
        <w:rPr>
          <w:noProof/>
        </w:rPr>
        <w:t>1</w:t>
      </w:r>
      <w:r w:rsidR="00EF17F9" w:rsidRPr="00222699">
        <w:fldChar w:fldCharType="end"/>
      </w:r>
      <w:r w:rsidR="00192C30" w:rsidRPr="00222699">
        <w:t xml:space="preserve">) </w:t>
      </w:r>
      <w:r w:rsidR="00192C30" w:rsidRPr="00222699">
        <w:fldChar w:fldCharType="begin"/>
      </w:r>
      <w:r w:rsidR="00044A89" w:rsidRPr="00222699">
        <w:instrText xml:space="preserve"> ADDIN ZOTERO_ITEM CSL_CITATION {"citationID":"bwjJ7hrV","properties":{"formattedCitation":"[23]","plainCitation":"[23]","noteIndex":0},"citationItems":[{"id":87804,"uris":["http://zotero.org/groups/4742804/items/MQJLNM6K"],"itemData":{"id":87804,"type":"webpage","title":"Xeljanz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192C30" w:rsidRPr="00222699">
        <w:fldChar w:fldCharType="separate"/>
      </w:r>
      <w:r w:rsidR="00AD0B20" w:rsidRPr="00222699">
        <w:rPr>
          <w:rFonts w:cs="Times New Roman"/>
        </w:rPr>
        <w:t>[1</w:t>
      </w:r>
      <w:r w:rsidR="00044A89" w:rsidRPr="00222699">
        <w:rPr>
          <w:rFonts w:cs="Times New Roman"/>
        </w:rPr>
        <w:t>]</w:t>
      </w:r>
      <w:r w:rsidR="00192C30" w:rsidRPr="00222699">
        <w:fldChar w:fldCharType="end"/>
      </w:r>
      <w:r w:rsidR="00192C30">
        <w:t>.</w:t>
      </w:r>
    </w:p>
    <w:p w14:paraId="7642AF38" w14:textId="77777777" w:rsidR="00AD0B20" w:rsidRDefault="00AD0B20" w:rsidP="00017DA2">
      <w:pPr>
        <w:pStyle w:val="SDText"/>
        <w:spacing w:after="0"/>
        <w:contextualSpacing/>
      </w:pPr>
    </w:p>
    <w:p w14:paraId="7748ECAE" w14:textId="5D2F6E9F" w:rsidR="00AD0B20" w:rsidRDefault="00AD0B20" w:rsidP="00017DA2">
      <w:pPr>
        <w:pStyle w:val="SDText"/>
        <w:spacing w:after="0"/>
        <w:ind w:firstLine="0"/>
        <w:contextualSpacing/>
      </w:pPr>
      <w:bookmarkStart w:id="196" w:name="_Ref114127732"/>
      <w:bookmarkStart w:id="197" w:name="_Toc115421121"/>
      <w:r w:rsidRPr="00AD0B20">
        <w:rPr>
          <w:b/>
        </w:rPr>
        <w:lastRenderedPageBreak/>
        <w:t xml:space="preserve">Рисунок </w:t>
      </w:r>
      <w:r w:rsidR="001A5232">
        <w:rPr>
          <w:b/>
        </w:rPr>
        <w:fldChar w:fldCharType="begin"/>
      </w:r>
      <w:r w:rsidR="001A5232">
        <w:rPr>
          <w:b/>
        </w:rPr>
        <w:instrText xml:space="preserve"> STYLEREF 1 \s </w:instrText>
      </w:r>
      <w:r w:rsidR="001A5232">
        <w:rPr>
          <w:b/>
        </w:rPr>
        <w:fldChar w:fldCharType="separate"/>
      </w:r>
      <w:r w:rsidR="00383E6F">
        <w:rPr>
          <w:b/>
          <w:noProof/>
        </w:rPr>
        <w:t>4</w:t>
      </w:r>
      <w:r w:rsidR="001A5232">
        <w:rPr>
          <w:b/>
        </w:rPr>
        <w:fldChar w:fldCharType="end"/>
      </w:r>
      <w:r w:rsidR="001A5232">
        <w:rPr>
          <w:b/>
        </w:rPr>
        <w:noBreakHyphen/>
      </w:r>
      <w:r w:rsidR="001A5232">
        <w:rPr>
          <w:b/>
        </w:rPr>
        <w:fldChar w:fldCharType="begin"/>
      </w:r>
      <w:r w:rsidR="001A5232">
        <w:rPr>
          <w:b/>
        </w:rPr>
        <w:instrText xml:space="preserve"> SEQ Рисунок \* ARABIC \s 1 </w:instrText>
      </w:r>
      <w:r w:rsidR="001A5232">
        <w:rPr>
          <w:b/>
        </w:rPr>
        <w:fldChar w:fldCharType="separate"/>
      </w:r>
      <w:r w:rsidR="00383E6F">
        <w:rPr>
          <w:b/>
          <w:noProof/>
        </w:rPr>
        <w:t>1</w:t>
      </w:r>
      <w:r w:rsidR="001A5232">
        <w:rPr>
          <w:b/>
        </w:rPr>
        <w:fldChar w:fldCharType="end"/>
      </w:r>
      <w:bookmarkEnd w:id="196"/>
      <w:r w:rsidRPr="00AD0B20">
        <w:rPr>
          <w:b/>
          <w:noProof/>
        </w:rPr>
        <w:t>.</w:t>
      </w:r>
      <w:r>
        <w:t xml:space="preserve"> </w:t>
      </w:r>
      <w:r w:rsidRPr="00C454CE">
        <w:t>Фармакокинетические кривые «концентрация-время» СР-690550</w:t>
      </w:r>
      <w:r>
        <w:t xml:space="preserve"> после однократного перорального приема в дозе </w:t>
      </w:r>
      <w:r w:rsidRPr="00C454CE">
        <w:t>0,1, 0,3, 1, 3, 10, 30, 60 или 100 мг</w:t>
      </w:r>
      <w:r>
        <w:t xml:space="preserve"> здоровыми добровольцами</w:t>
      </w:r>
      <w:bookmarkEnd w:id="197"/>
      <w:r>
        <w:t>.</w:t>
      </w:r>
    </w:p>
    <w:p w14:paraId="30E84992" w14:textId="66103C36" w:rsidR="00C454CE" w:rsidRDefault="00C26336" w:rsidP="00791E09">
      <w:pPr>
        <w:pStyle w:val="SDText"/>
        <w:spacing w:after="0"/>
        <w:ind w:firstLine="0"/>
        <w:contextualSpacing/>
        <w:jc w:val="center"/>
      </w:pPr>
      <w:r>
        <w:rPr>
          <w:noProof/>
          <w:lang w:eastAsia="ru-RU"/>
        </w:rPr>
        <w:drawing>
          <wp:inline distT="0" distB="0" distL="0" distR="0" wp14:anchorId="2FFB874C" wp14:editId="6EADEF35">
            <wp:extent cx="4356340" cy="3100457"/>
            <wp:effectExtent l="0" t="0" r="635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2">
                      <a:extLst>
                        <a:ext uri="{28A0092B-C50C-407E-A947-70E740481C1C}">
                          <a14:useLocalDpi xmlns:a14="http://schemas.microsoft.com/office/drawing/2010/main" val="0"/>
                        </a:ext>
                      </a:extLst>
                    </a:blip>
                    <a:stretch>
                      <a:fillRect/>
                    </a:stretch>
                  </pic:blipFill>
                  <pic:spPr>
                    <a:xfrm>
                      <a:off x="0" y="0"/>
                      <a:ext cx="4380759" cy="3117836"/>
                    </a:xfrm>
                    <a:prstGeom prst="rect">
                      <a:avLst/>
                    </a:prstGeom>
                  </pic:spPr>
                </pic:pic>
              </a:graphicData>
            </a:graphic>
          </wp:inline>
        </w:drawing>
      </w:r>
    </w:p>
    <w:p w14:paraId="17E2DB48" w14:textId="1A6CBD02" w:rsidR="00AD0B20" w:rsidRPr="00AD0B20" w:rsidRDefault="00AD0B20" w:rsidP="00017DA2">
      <w:pPr>
        <w:pStyle w:val="SDcomments"/>
        <w:ind w:firstLine="0"/>
        <w:contextualSpacing/>
        <w:rPr>
          <w:b/>
          <w:iCs/>
        </w:rPr>
      </w:pPr>
      <w:r w:rsidRPr="00AD0B20">
        <w:rPr>
          <w:b/>
          <w:iCs/>
        </w:rPr>
        <w:t>Примечани</w:t>
      </w:r>
      <w:r w:rsidR="00B93A35">
        <w:rPr>
          <w:b/>
          <w:iCs/>
        </w:rPr>
        <w:t>е</w:t>
      </w:r>
      <w:r w:rsidRPr="00AD0B20">
        <w:rPr>
          <w:b/>
          <w:iCs/>
        </w:rPr>
        <w:t>:</w:t>
      </w:r>
    </w:p>
    <w:p w14:paraId="18130EB0" w14:textId="75030FB3" w:rsidR="00192C30" w:rsidRDefault="00ED55F7" w:rsidP="00017DA2">
      <w:pPr>
        <w:pStyle w:val="SDcomments"/>
        <w:ind w:firstLine="0"/>
        <w:contextualSpacing/>
      </w:pPr>
      <w:r>
        <w:rPr>
          <w:lang w:val="en-US"/>
        </w:rPr>
        <w:t>Serum</w:t>
      </w:r>
      <w:r w:rsidRPr="00ED55F7">
        <w:t xml:space="preserve"> СР-690</w:t>
      </w:r>
      <w:r>
        <w:t>,</w:t>
      </w:r>
      <w:r w:rsidRPr="00ED55F7">
        <w:t>550</w:t>
      </w:r>
      <w:r>
        <w:t xml:space="preserve"> </w:t>
      </w:r>
      <w:r>
        <w:rPr>
          <w:lang w:val="en-US"/>
        </w:rPr>
        <w:t>Concentration</w:t>
      </w:r>
      <w:r w:rsidRPr="00ED55F7">
        <w:t xml:space="preserve"> (</w:t>
      </w:r>
      <w:r>
        <w:rPr>
          <w:lang w:val="en-US"/>
        </w:rPr>
        <w:t>ng</w:t>
      </w:r>
      <w:r w:rsidRPr="00ED55F7">
        <w:t>/</w:t>
      </w:r>
      <w:r>
        <w:rPr>
          <w:lang w:val="en-US"/>
        </w:rPr>
        <w:t>mL</w:t>
      </w:r>
      <w:r w:rsidRPr="00ED55F7">
        <w:t xml:space="preserve">) – </w:t>
      </w:r>
      <w:r>
        <w:t xml:space="preserve">сывороточная концентрация </w:t>
      </w:r>
      <w:r w:rsidRPr="00ED55F7">
        <w:t>СР-690550</w:t>
      </w:r>
      <w:r>
        <w:t xml:space="preserve"> (нг/мл); </w:t>
      </w:r>
      <w:r>
        <w:rPr>
          <w:lang w:val="en-US"/>
        </w:rPr>
        <w:t>Time</w:t>
      </w:r>
      <w:r w:rsidRPr="00ED55F7">
        <w:t xml:space="preserve"> (</w:t>
      </w:r>
      <w:r>
        <w:rPr>
          <w:lang w:val="en-US"/>
        </w:rPr>
        <w:t>hr</w:t>
      </w:r>
      <w:r w:rsidRPr="00ED55F7">
        <w:t xml:space="preserve">) </w:t>
      </w:r>
      <w:r>
        <w:t>–</w:t>
      </w:r>
      <w:r w:rsidRPr="00ED55F7">
        <w:t xml:space="preserve"> </w:t>
      </w:r>
      <w:r>
        <w:t xml:space="preserve">время (ч); </w:t>
      </w:r>
      <w:r>
        <w:rPr>
          <w:lang w:val="en-US"/>
        </w:rPr>
        <w:t>mg</w:t>
      </w:r>
      <w:r w:rsidRPr="00ED55F7">
        <w:t xml:space="preserve"> </w:t>
      </w:r>
      <w:r w:rsidR="0073046D">
        <w:t>–</w:t>
      </w:r>
      <w:r w:rsidRPr="00ED55F7">
        <w:t xml:space="preserve"> </w:t>
      </w:r>
      <w:r w:rsidR="0073046D">
        <w:t>мг.</w:t>
      </w:r>
    </w:p>
    <w:p w14:paraId="72BB8F15" w14:textId="77777777" w:rsidR="00C108D0" w:rsidRDefault="00C108D0" w:rsidP="00017DA2">
      <w:pPr>
        <w:pStyle w:val="SDText"/>
        <w:spacing w:after="0"/>
        <w:contextualSpacing/>
      </w:pPr>
    </w:p>
    <w:p w14:paraId="26C8DC3B" w14:textId="7E853749" w:rsidR="0073046D" w:rsidRDefault="00C108D0" w:rsidP="00017DA2">
      <w:pPr>
        <w:pStyle w:val="SDText"/>
        <w:spacing w:after="0"/>
        <w:contextualSpacing/>
      </w:pPr>
      <w:r>
        <w:t xml:space="preserve">CP-690550, по-видимому, обладал моноэкспоненциальной кинетикой распределения с параллельными конечными фазами для всех исследуемых доз. Значение </w:t>
      </w:r>
      <w:r w:rsidR="00F033B3">
        <w:rPr>
          <w:lang w:val="en-US"/>
        </w:rPr>
        <w:t>T</w:t>
      </w:r>
      <w:r w:rsidRPr="00A44D59">
        <w:rPr>
          <w:vertAlign w:val="subscript"/>
        </w:rPr>
        <w:t>1/2</w:t>
      </w:r>
      <w:r>
        <w:rPr>
          <w:rFonts w:cs="Times New Roman"/>
          <w:vertAlign w:val="subscript"/>
        </w:rPr>
        <w:t>β</w:t>
      </w:r>
      <w:r>
        <w:t xml:space="preserve"> CP-690,550 составляло примерно 3 ч</w:t>
      </w:r>
      <w:r w:rsidR="00391E21">
        <w:t xml:space="preserve"> </w:t>
      </w:r>
      <w:r w:rsidR="00391E21">
        <w:fldChar w:fldCharType="begin"/>
      </w:r>
      <w:r w:rsidR="00044A89">
        <w:instrText xml:space="preserve"> ADDIN ZOTERO_ITEM CSL_CITATION {"citationID":"fjaMUvIW","properties":{"formattedCitation":"[23]","plainCitation":"[23]","noteIndex":0},"citationItems":[{"id":87804,"uris":["http://zotero.org/groups/4742804/items/MQJLNM6K"],"itemData":{"id":87804,"type":"webpage","title":"Xeljanz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391E21">
        <w:fldChar w:fldCharType="separate"/>
      </w:r>
      <w:r w:rsidR="00AD0B20">
        <w:rPr>
          <w:rFonts w:cs="Times New Roman"/>
        </w:rPr>
        <w:t>[1</w:t>
      </w:r>
      <w:r w:rsidR="00044A89" w:rsidRPr="00044A89">
        <w:rPr>
          <w:rFonts w:cs="Times New Roman"/>
        </w:rPr>
        <w:t>]</w:t>
      </w:r>
      <w:r w:rsidR="00391E21">
        <w:fldChar w:fldCharType="end"/>
      </w:r>
      <w:r w:rsidR="00391E21">
        <w:t>.</w:t>
      </w:r>
    </w:p>
    <w:p w14:paraId="68E75F03" w14:textId="760224D7" w:rsidR="00D33DA2" w:rsidRDefault="00124DE5" w:rsidP="00017DA2">
      <w:pPr>
        <w:pStyle w:val="SDText"/>
        <w:spacing w:after="0"/>
        <w:contextualSpacing/>
      </w:pPr>
      <w:r>
        <w:t xml:space="preserve">В </w:t>
      </w:r>
      <w:r w:rsidR="00882D6E">
        <w:t xml:space="preserve">рандомизированном </w:t>
      </w:r>
      <w:r>
        <w:t xml:space="preserve">двойном слепом плацебо-контролируемом исследовании </w:t>
      </w:r>
      <w:r w:rsidR="00D33DA2" w:rsidRPr="00D33DA2">
        <w:t>A392100</w:t>
      </w:r>
      <w:r w:rsidR="00B31A19">
        <w:t>3</w:t>
      </w:r>
      <w:r>
        <w:t xml:space="preserve"> с эскалацией доз изучили </w:t>
      </w:r>
      <w:r w:rsidR="004B36D9">
        <w:t xml:space="preserve">безопасность, переносимость, фармакокинетику и фармакодинамику </w:t>
      </w:r>
      <w:r w:rsidR="000C493D" w:rsidRPr="000C493D">
        <w:t xml:space="preserve">тофацитиниба </w:t>
      </w:r>
      <w:r w:rsidR="004B36D9">
        <w:t xml:space="preserve">при многократном приеме у пациентов с псориазом. </w:t>
      </w:r>
      <w:r w:rsidR="00A95E9A">
        <w:t xml:space="preserve">Участники принимали перорально исследуемое лекарственное средство в дозе </w:t>
      </w:r>
      <w:r w:rsidR="008014E1" w:rsidRPr="008014E1">
        <w:t xml:space="preserve">5, 10, 20 </w:t>
      </w:r>
      <w:r w:rsidR="008014E1">
        <w:t xml:space="preserve">или </w:t>
      </w:r>
      <w:r w:rsidR="008014E1" w:rsidRPr="008014E1">
        <w:t>30</w:t>
      </w:r>
      <w:r w:rsidR="008014E1">
        <w:t xml:space="preserve"> мг в форме порошка в капсулах</w:t>
      </w:r>
      <w:r w:rsidR="001C54E9">
        <w:t>,</w:t>
      </w:r>
      <w:r w:rsidR="008014E1">
        <w:t xml:space="preserve"> или в дозе </w:t>
      </w:r>
      <w:r w:rsidR="004F64D5">
        <w:t>50 или 60 мг в форме таблеток</w:t>
      </w:r>
      <w:r w:rsidR="005C2018">
        <w:t xml:space="preserve"> (</w:t>
      </w:r>
      <w:r w:rsidR="005C2018">
        <w:rPr>
          <w:lang w:val="en-US"/>
        </w:rPr>
        <w:t>n</w:t>
      </w:r>
      <w:r w:rsidR="005C2018" w:rsidRPr="005C2018">
        <w:t xml:space="preserve"> = 4</w:t>
      </w:r>
      <w:r w:rsidR="005C2018">
        <w:t>–</w:t>
      </w:r>
      <w:r w:rsidR="005C2018" w:rsidRPr="005C2018">
        <w:t>9)</w:t>
      </w:r>
      <w:r w:rsidR="004F64D5">
        <w:t xml:space="preserve">. Длительность приема составляла 12 дней. </w:t>
      </w:r>
      <w:r w:rsidR="00D072AF">
        <w:t>Ф</w:t>
      </w:r>
      <w:r w:rsidR="0000087E">
        <w:t>армакокинети</w:t>
      </w:r>
      <w:r w:rsidR="00D072AF">
        <w:t>ческие показатели</w:t>
      </w:r>
      <w:r w:rsidR="0000087E">
        <w:t xml:space="preserve"> тофацитиниба после многократного введения </w:t>
      </w:r>
      <w:r w:rsidR="00D072AF">
        <w:t>были сопо</w:t>
      </w:r>
      <w:r w:rsidR="002D4030">
        <w:t>ставимыми значениям</w:t>
      </w:r>
      <w:r w:rsidR="0000087E">
        <w:t xml:space="preserve">, </w:t>
      </w:r>
      <w:r w:rsidR="002D4030">
        <w:t>определенным</w:t>
      </w:r>
      <w:r w:rsidR="0000087E">
        <w:t xml:space="preserve"> после однократно</w:t>
      </w:r>
      <w:r w:rsidR="002D4030">
        <w:t>го приема</w:t>
      </w:r>
      <w:r w:rsidR="0000087E">
        <w:t xml:space="preserve">. </w:t>
      </w:r>
      <w:r w:rsidR="00F033B3">
        <w:t xml:space="preserve">Значение </w:t>
      </w:r>
      <w:r w:rsidR="00F033B3">
        <w:rPr>
          <w:lang w:val="en-US"/>
        </w:rPr>
        <w:t>T</w:t>
      </w:r>
      <w:r w:rsidR="0000087E" w:rsidRPr="002D4030">
        <w:rPr>
          <w:vertAlign w:val="subscript"/>
        </w:rPr>
        <w:t>max</w:t>
      </w:r>
      <w:r w:rsidR="0000087E">
        <w:t xml:space="preserve"> достигал</w:t>
      </w:r>
      <w:r w:rsidR="00B9323B">
        <w:t>о</w:t>
      </w:r>
      <w:r w:rsidR="0000087E">
        <w:t>с</w:t>
      </w:r>
      <w:r w:rsidR="00F033B3">
        <w:t xml:space="preserve">ь в течение 0,5–1 ч, кажущийся </w:t>
      </w:r>
      <w:r w:rsidR="00F033B3">
        <w:rPr>
          <w:lang w:val="en-US"/>
        </w:rPr>
        <w:t>T</w:t>
      </w:r>
      <w:r w:rsidR="0000087E" w:rsidRPr="002D4030">
        <w:rPr>
          <w:vertAlign w:val="subscript"/>
        </w:rPr>
        <w:t>1/2</w:t>
      </w:r>
      <w:r w:rsidR="002D4030">
        <w:rPr>
          <w:rFonts w:cs="Times New Roman"/>
          <w:vertAlign w:val="subscript"/>
        </w:rPr>
        <w:t>β</w:t>
      </w:r>
      <w:r w:rsidR="0000087E" w:rsidRPr="002D4030">
        <w:t xml:space="preserve"> </w:t>
      </w:r>
      <w:r w:rsidR="0000087E">
        <w:t xml:space="preserve">варьировал от 2,3 до 4,3 ч. </w:t>
      </w:r>
      <w:r w:rsidR="00B9323B">
        <w:t>Кумуляция</w:t>
      </w:r>
      <w:r w:rsidR="0000087E">
        <w:t xml:space="preserve"> после многократного приема был</w:t>
      </w:r>
      <w:r w:rsidR="00B9323B">
        <w:t>а</w:t>
      </w:r>
      <w:r w:rsidR="0000087E">
        <w:t xml:space="preserve"> </w:t>
      </w:r>
      <w:r w:rsidR="00D072AF">
        <w:t>минимальн</w:t>
      </w:r>
      <w:r w:rsidR="00B9323B">
        <w:t>ой</w:t>
      </w:r>
      <w:r w:rsidR="00D072AF">
        <w:t xml:space="preserve">, как и ожидалось, исходя из короткого </w:t>
      </w:r>
      <w:r w:rsidR="00F033B3">
        <w:rPr>
          <w:lang w:val="en-US"/>
        </w:rPr>
        <w:t>T</w:t>
      </w:r>
      <w:r w:rsidR="002D4030" w:rsidRPr="002D4030">
        <w:rPr>
          <w:vertAlign w:val="subscript"/>
        </w:rPr>
        <w:t>1/2</w:t>
      </w:r>
      <w:r w:rsidR="00B9323B">
        <w:rPr>
          <w:vertAlign w:val="subscript"/>
        </w:rPr>
        <w:t xml:space="preserve"> </w:t>
      </w:r>
      <w:r w:rsidR="00D072AF">
        <w:t xml:space="preserve">и режима дозирования </w:t>
      </w:r>
      <w:r w:rsidR="002D4030">
        <w:t>2</w:t>
      </w:r>
      <w:r w:rsidR="00D072AF">
        <w:t xml:space="preserve"> раза в день</w:t>
      </w:r>
      <w:r w:rsidR="007C72D8">
        <w:t xml:space="preserve"> </w:t>
      </w:r>
      <w:r w:rsidR="00D072AF">
        <w:fldChar w:fldCharType="begin"/>
      </w:r>
      <w:r w:rsidR="00044A89">
        <w:instrText xml:space="preserve"> ADDIN ZOTERO_ITEM CSL_CITATION {"citationID":"gHJPsb58","properties":{"formattedCitation":"[23]","plainCitation":"[23]","noteIndex":0},"citationItems":[{"id":87804,"uris":["http://zotero.org/groups/4742804/items/MQJLNM6K"],"itemData":{"id":87804,"type":"webpage","title":"Xeljanz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D072AF">
        <w:fldChar w:fldCharType="separate"/>
      </w:r>
      <w:r w:rsidR="00AD0B20">
        <w:rPr>
          <w:rFonts w:cs="Times New Roman"/>
        </w:rPr>
        <w:t>[1</w:t>
      </w:r>
      <w:r w:rsidR="00044A89" w:rsidRPr="00044A89">
        <w:rPr>
          <w:rFonts w:cs="Times New Roman"/>
        </w:rPr>
        <w:t>]</w:t>
      </w:r>
      <w:r w:rsidR="00D072AF">
        <w:fldChar w:fldCharType="end"/>
      </w:r>
      <w:r w:rsidR="00D072AF">
        <w:t>.</w:t>
      </w:r>
    </w:p>
    <w:p w14:paraId="60FF6068" w14:textId="3EFFEC42" w:rsidR="008F11A1" w:rsidRDefault="008F11A1" w:rsidP="00017DA2">
      <w:pPr>
        <w:pStyle w:val="SDText"/>
        <w:spacing w:after="0"/>
        <w:contextualSpacing/>
      </w:pPr>
      <w:r>
        <w:t xml:space="preserve">В </w:t>
      </w:r>
      <w:r w:rsidR="009233F3">
        <w:t xml:space="preserve">открытом рандомизированном перекрестном </w:t>
      </w:r>
      <w:r>
        <w:t xml:space="preserve">исследовании </w:t>
      </w:r>
      <w:r w:rsidRPr="008F11A1">
        <w:t>A3921077</w:t>
      </w:r>
      <w:r w:rsidR="009233F3">
        <w:t xml:space="preserve"> фазы </w:t>
      </w:r>
      <w:r w:rsidR="009233F3">
        <w:rPr>
          <w:lang w:val="en-US"/>
        </w:rPr>
        <w:t>I</w:t>
      </w:r>
      <w:r w:rsidR="009233F3" w:rsidRPr="009233F3">
        <w:t xml:space="preserve"> </w:t>
      </w:r>
      <w:r w:rsidR="009233F3">
        <w:t xml:space="preserve">изучили абсолютную </w:t>
      </w:r>
      <w:r w:rsidR="00A46226">
        <w:rPr>
          <w:lang w:val="en-US"/>
        </w:rPr>
        <w:t>F</w:t>
      </w:r>
      <w:r w:rsidR="009233F3">
        <w:t xml:space="preserve"> </w:t>
      </w:r>
      <w:r w:rsidR="000C493D" w:rsidRPr="000C493D">
        <w:t xml:space="preserve">тофацитиниба </w:t>
      </w:r>
      <w:r w:rsidR="00B03ECD">
        <w:t xml:space="preserve">после однократного перорального приема здоровыми добровольцами. </w:t>
      </w:r>
      <w:r w:rsidR="00572C62">
        <w:t>В одном из периодо</w:t>
      </w:r>
      <w:r w:rsidR="001C54E9">
        <w:t>в</w:t>
      </w:r>
      <w:r w:rsidR="00572C62">
        <w:t xml:space="preserve"> исследования участники получали CP-6905</w:t>
      </w:r>
      <w:r w:rsidR="000C493D" w:rsidRPr="000C493D">
        <w:t xml:space="preserve"> тофацитиниб</w:t>
      </w:r>
      <w:r w:rsidR="000C493D">
        <w:t xml:space="preserve"> </w:t>
      </w:r>
      <w:r w:rsidR="00572C62">
        <w:t xml:space="preserve">в дозе 10 мг перорально, а в другом периоде – внутривенно. </w:t>
      </w:r>
      <w:r w:rsidR="00A46226">
        <w:t xml:space="preserve">Абсолютная </w:t>
      </w:r>
      <w:r w:rsidR="00A46226">
        <w:rPr>
          <w:lang w:val="en-US"/>
        </w:rPr>
        <w:t>F</w:t>
      </w:r>
      <w:r w:rsidR="00A46226" w:rsidRPr="0038338C">
        <w:t xml:space="preserve"> </w:t>
      </w:r>
      <w:r w:rsidR="00A33FB7">
        <w:t xml:space="preserve">тофацитиниба составила 74% </w:t>
      </w:r>
      <w:r w:rsidR="00A33FB7">
        <w:fldChar w:fldCharType="begin"/>
      </w:r>
      <w:r w:rsidR="00044A89">
        <w:instrText xml:space="preserve"> ADDIN ZOTERO_ITEM CSL_CITATION {"citationID":"9LeajGHo","properties":{"formattedCitation":"[23]","plainCitation":"[23]","noteIndex":0},"citationItems":[{"id":87804,"uris":["http://zotero.org/groups/4742804/items/MQJLNM6K"],"itemData":{"id":87804,"type":"webpage","title":"Xeljanz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A33FB7">
        <w:fldChar w:fldCharType="separate"/>
      </w:r>
      <w:r w:rsidR="00AD0B20">
        <w:rPr>
          <w:rFonts w:cs="Times New Roman"/>
        </w:rPr>
        <w:t>[1</w:t>
      </w:r>
      <w:r w:rsidR="00044A89" w:rsidRPr="00044A89">
        <w:rPr>
          <w:rFonts w:cs="Times New Roman"/>
        </w:rPr>
        <w:t>]</w:t>
      </w:r>
      <w:r w:rsidR="00A33FB7">
        <w:fldChar w:fldCharType="end"/>
      </w:r>
      <w:r w:rsidR="00A33FB7">
        <w:t>.</w:t>
      </w:r>
    </w:p>
    <w:p w14:paraId="72F8104B" w14:textId="4265F4F5" w:rsidR="001135E5" w:rsidRDefault="001135E5" w:rsidP="00017DA2">
      <w:pPr>
        <w:pStyle w:val="SDText"/>
        <w:spacing w:after="0"/>
        <w:contextualSpacing/>
      </w:pPr>
      <w:bookmarkStart w:id="198" w:name="_Hlk114146180"/>
      <w:r>
        <w:t xml:space="preserve">В </w:t>
      </w:r>
      <w:r w:rsidR="00FC05F0">
        <w:t xml:space="preserve">открытом рандомизированном перекрестном </w:t>
      </w:r>
      <w:r>
        <w:t xml:space="preserve">исследовании </w:t>
      </w:r>
      <w:bookmarkEnd w:id="198"/>
      <w:r w:rsidRPr="001135E5">
        <w:t>A3921005</w:t>
      </w:r>
      <w:r>
        <w:t xml:space="preserve"> </w:t>
      </w:r>
      <w:r w:rsidR="00FC05F0">
        <w:t xml:space="preserve">фазы </w:t>
      </w:r>
      <w:r w:rsidR="00FC05F0">
        <w:rPr>
          <w:lang w:val="en-US"/>
        </w:rPr>
        <w:t>I</w:t>
      </w:r>
      <w:r w:rsidR="00FC05F0">
        <w:t xml:space="preserve"> </w:t>
      </w:r>
      <w:r w:rsidR="003B0C41">
        <w:t>провели предварительное изучение</w:t>
      </w:r>
      <w:r w:rsidR="005B2D00">
        <w:t xml:space="preserve"> относительн</w:t>
      </w:r>
      <w:r w:rsidR="001C54E9">
        <w:t>ой</w:t>
      </w:r>
      <w:r w:rsidR="005B2D00">
        <w:t xml:space="preserve"> биодоступност</w:t>
      </w:r>
      <w:r w:rsidR="001C54E9">
        <w:t>и</w:t>
      </w:r>
      <w:r w:rsidR="005B2D00">
        <w:t xml:space="preserve"> </w:t>
      </w:r>
      <w:r w:rsidR="000C493D" w:rsidRPr="000C493D">
        <w:t xml:space="preserve">тофацитиниба </w:t>
      </w:r>
      <w:r w:rsidR="00AF1FB6">
        <w:t>после однократного перорального приема в форме таблеток и порошка для приготовления раствора для приема внутрь</w:t>
      </w:r>
      <w:r w:rsidR="00BF38AC">
        <w:t xml:space="preserve">, а также влияние приема пищи на фармакокинетику тофацитиниба. </w:t>
      </w:r>
      <w:r w:rsidR="005C0077">
        <w:t xml:space="preserve">Здоровые добровольцы принимали </w:t>
      </w:r>
      <w:r w:rsidR="000C493D" w:rsidRPr="000C493D">
        <w:t>тофацитиниб</w:t>
      </w:r>
      <w:r w:rsidR="000C493D">
        <w:t xml:space="preserve"> </w:t>
      </w:r>
      <w:r w:rsidR="005C0077" w:rsidRPr="00F750CE">
        <w:t>в дозе 50 мг</w:t>
      </w:r>
      <w:r w:rsidR="005C0077">
        <w:t xml:space="preserve"> в</w:t>
      </w:r>
      <w:r w:rsidR="00F750CE">
        <w:t xml:space="preserve"> одном из </w:t>
      </w:r>
      <w:r w:rsidR="00F750CE">
        <w:lastRenderedPageBreak/>
        <w:t xml:space="preserve">периодов исследования </w:t>
      </w:r>
      <w:r w:rsidR="00E43956">
        <w:t xml:space="preserve">в форме таблеток натощак, в другом периоде – в форме таблеток после приема пищи, а в третьем периоде – в форме </w:t>
      </w:r>
      <w:r w:rsidR="003B0C41">
        <w:t xml:space="preserve">порошка для приготовления раствора для приема внутрь натощак. </w:t>
      </w:r>
      <w:r w:rsidR="000D6100">
        <w:t xml:space="preserve">После приема </w:t>
      </w:r>
      <w:r w:rsidR="000C493D" w:rsidRPr="000C493D">
        <w:t xml:space="preserve">тофацитиниба </w:t>
      </w:r>
      <w:r w:rsidR="000D6100">
        <w:t xml:space="preserve">в форме таблеток или порошка для приготовления раствора для приема внутрь отмечали сопоставимую </w:t>
      </w:r>
      <w:r w:rsidR="000D6100">
        <w:rPr>
          <w:lang w:val="en-US"/>
        </w:rPr>
        <w:t>AUC</w:t>
      </w:r>
      <w:r w:rsidR="000D6100">
        <w:t xml:space="preserve"> тофацитиниба, однако </w:t>
      </w:r>
      <w:r w:rsidR="00314136" w:rsidRPr="00314136">
        <w:t>C</w:t>
      </w:r>
      <w:r w:rsidR="00314136" w:rsidRPr="00314136">
        <w:rPr>
          <w:vertAlign w:val="subscript"/>
        </w:rPr>
        <w:t>max</w:t>
      </w:r>
      <w:r w:rsidR="00314136">
        <w:t xml:space="preserve"> при использовании таблеток была на 24% ниже, чем после применения </w:t>
      </w:r>
      <w:r w:rsidR="009B74A2">
        <w:t xml:space="preserve">порошка для приготовления раствора для приема внутрь. Пища не оказывала существенного влияния на </w:t>
      </w:r>
      <w:r w:rsidR="009B74A2">
        <w:rPr>
          <w:lang w:val="en-US"/>
        </w:rPr>
        <w:t>AUC</w:t>
      </w:r>
      <w:r w:rsidR="009B74A2" w:rsidRPr="00141B66">
        <w:t xml:space="preserve"> </w:t>
      </w:r>
      <w:r w:rsidR="009B74A2">
        <w:t xml:space="preserve">тофацитиниба, но </w:t>
      </w:r>
      <w:r w:rsidR="00141B66">
        <w:t xml:space="preserve">уменьшала </w:t>
      </w:r>
      <w:r w:rsidR="00141B66" w:rsidRPr="00314136">
        <w:t>C</w:t>
      </w:r>
      <w:r w:rsidR="00141B66" w:rsidRPr="00314136">
        <w:rPr>
          <w:vertAlign w:val="subscript"/>
        </w:rPr>
        <w:t>max</w:t>
      </w:r>
      <w:r w:rsidR="00141B66">
        <w:t xml:space="preserve"> на 26% </w:t>
      </w:r>
      <w:r w:rsidR="00141B66">
        <w:fldChar w:fldCharType="begin"/>
      </w:r>
      <w:r w:rsidR="00044A89">
        <w:instrText xml:space="preserve"> ADDIN ZOTERO_ITEM CSL_CITATION {"citationID":"Em7yTGDd","properties":{"formattedCitation":"[23]","plainCitation":"[23]","noteIndex":0},"citationItems":[{"id":87804,"uris":["http://zotero.org/groups/4742804/items/MQJLNM6K"],"itemData":{"id":87804,"type":"webpage","title":"Xeljanz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141B66">
        <w:fldChar w:fldCharType="separate"/>
      </w:r>
      <w:r w:rsidR="00AD0B20">
        <w:rPr>
          <w:rFonts w:cs="Times New Roman"/>
        </w:rPr>
        <w:t>[1</w:t>
      </w:r>
      <w:r w:rsidR="00044A89" w:rsidRPr="00044A89">
        <w:rPr>
          <w:rFonts w:cs="Times New Roman"/>
        </w:rPr>
        <w:t>]</w:t>
      </w:r>
      <w:r w:rsidR="00141B66">
        <w:fldChar w:fldCharType="end"/>
      </w:r>
      <w:r w:rsidR="00141B66">
        <w:t>.</w:t>
      </w:r>
    </w:p>
    <w:p w14:paraId="3DEBD44D" w14:textId="7B96F333" w:rsidR="00C11DCD" w:rsidRDefault="00C11DCD" w:rsidP="00017DA2">
      <w:pPr>
        <w:pStyle w:val="SDText"/>
        <w:spacing w:after="0"/>
        <w:contextualSpacing/>
      </w:pPr>
      <w:r>
        <w:t>В открытом рандомизированном перекрестном исследовании</w:t>
      </w:r>
      <w:r w:rsidR="002030C1" w:rsidRPr="002030C1">
        <w:t xml:space="preserve"> A3921076</w:t>
      </w:r>
      <w:r w:rsidR="002030C1">
        <w:t xml:space="preserve"> фазы </w:t>
      </w:r>
      <w:r w:rsidR="002030C1">
        <w:rPr>
          <w:lang w:val="en-US"/>
        </w:rPr>
        <w:t>I</w:t>
      </w:r>
      <w:r w:rsidR="00931702">
        <w:t xml:space="preserve"> изучили влияние приема пищи на фармакокинетику </w:t>
      </w:r>
      <w:r w:rsidR="000C493D" w:rsidRPr="000C493D">
        <w:t xml:space="preserve">тофацитиниба </w:t>
      </w:r>
      <w:r w:rsidR="00931702">
        <w:t xml:space="preserve">при пероральном приеме </w:t>
      </w:r>
      <w:r w:rsidR="00DA1756">
        <w:t>в коммерческой лекарственной форме таблетки в дозе 10 мг</w:t>
      </w:r>
      <w:r w:rsidR="00BC0334">
        <w:t xml:space="preserve"> у 8 здоровых добровольцев. Пища не оказывала влияния на </w:t>
      </w:r>
      <w:r w:rsidR="00C55FD6">
        <w:rPr>
          <w:lang w:val="en-US"/>
        </w:rPr>
        <w:t>AUC</w:t>
      </w:r>
      <w:r w:rsidR="00C55FD6" w:rsidRPr="00C55FD6">
        <w:t xml:space="preserve"> </w:t>
      </w:r>
      <w:r w:rsidR="00C55FD6">
        <w:t xml:space="preserve">тофацитиниба, но снижала </w:t>
      </w:r>
      <w:r w:rsidR="00C55FD6" w:rsidRPr="00C55FD6">
        <w:t>C</w:t>
      </w:r>
      <w:r w:rsidR="00C55FD6" w:rsidRPr="00C55FD6">
        <w:rPr>
          <w:vertAlign w:val="subscript"/>
        </w:rPr>
        <w:t>max</w:t>
      </w:r>
      <w:r w:rsidR="00C55FD6">
        <w:t xml:space="preserve"> на 32%, а медиан</w:t>
      </w:r>
      <w:r w:rsidR="00D95929">
        <w:t xml:space="preserve">а </w:t>
      </w:r>
      <w:r w:rsidR="00F033B3">
        <w:rPr>
          <w:lang w:val="en-US"/>
        </w:rPr>
        <w:t>T</w:t>
      </w:r>
      <w:r w:rsidR="00D95929" w:rsidRPr="00D95929">
        <w:rPr>
          <w:vertAlign w:val="subscript"/>
        </w:rPr>
        <w:t>max</w:t>
      </w:r>
      <w:r w:rsidR="00D95929">
        <w:t xml:space="preserve"> увеличивалась с 0,5 до 2 ч </w:t>
      </w:r>
      <w:r w:rsidR="00F0348C">
        <w:fldChar w:fldCharType="begin"/>
      </w:r>
      <w:r w:rsidR="00044A89">
        <w:instrText xml:space="preserve"> ADDIN ZOTERO_ITEM CSL_CITATION {"citationID":"irGjul9C","properties":{"formattedCitation":"[23]","plainCitation":"[23]","noteIndex":0},"citationItems":[{"id":87804,"uris":["http://zotero.org/groups/4742804/items/MQJLNM6K"],"itemData":{"id":87804,"type":"webpage","title":"Xeljanz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F0348C">
        <w:fldChar w:fldCharType="separate"/>
      </w:r>
      <w:r w:rsidR="00AD0B20">
        <w:rPr>
          <w:rFonts w:cs="Times New Roman"/>
        </w:rPr>
        <w:t>[1</w:t>
      </w:r>
      <w:r w:rsidR="00044A89" w:rsidRPr="00044A89">
        <w:rPr>
          <w:rFonts w:cs="Times New Roman"/>
        </w:rPr>
        <w:t>]</w:t>
      </w:r>
      <w:r w:rsidR="00F0348C">
        <w:fldChar w:fldCharType="end"/>
      </w:r>
      <w:r w:rsidR="00F0348C">
        <w:t>.</w:t>
      </w:r>
    </w:p>
    <w:p w14:paraId="2EF2BB3B" w14:textId="63F428E7" w:rsidR="009830DE" w:rsidRDefault="009830DE" w:rsidP="00017DA2">
      <w:pPr>
        <w:pStyle w:val="SDText"/>
        <w:spacing w:after="0"/>
        <w:contextualSpacing/>
      </w:pPr>
      <w:r>
        <w:t>В пилотном исследовании биоэквивале</w:t>
      </w:r>
      <w:r w:rsidR="00792ACA">
        <w:t>н</w:t>
      </w:r>
      <w:r>
        <w:t xml:space="preserve">тности </w:t>
      </w:r>
      <w:r w:rsidRPr="009830DE">
        <w:t>A3921075</w:t>
      </w:r>
      <w:r w:rsidR="00161717">
        <w:t xml:space="preserve"> сравнили </w:t>
      </w:r>
      <w:r w:rsidR="00645D63">
        <w:t xml:space="preserve">таблетки, использующиеся в исследованиях фазы </w:t>
      </w:r>
      <w:r w:rsidR="00645D63">
        <w:rPr>
          <w:lang w:val="en-US"/>
        </w:rPr>
        <w:t>II</w:t>
      </w:r>
      <w:r w:rsidR="00601C8A">
        <w:rPr>
          <w:lang w:val="en-US"/>
        </w:rPr>
        <w:t>b</w:t>
      </w:r>
      <w:r w:rsidR="00601C8A">
        <w:t xml:space="preserve">, </w:t>
      </w:r>
      <w:r w:rsidR="00601C8A">
        <w:rPr>
          <w:lang w:val="en-US"/>
        </w:rPr>
        <w:t>III</w:t>
      </w:r>
      <w:r w:rsidR="001C54E9">
        <w:t>,</w:t>
      </w:r>
      <w:r w:rsidR="00601C8A" w:rsidRPr="00601C8A">
        <w:t xml:space="preserve"> </w:t>
      </w:r>
      <w:r w:rsidR="00601C8A">
        <w:t xml:space="preserve">и коммерческого препарата. </w:t>
      </w:r>
      <w:r w:rsidR="009F45BC">
        <w:t xml:space="preserve">Участники исследования в одном из периодов исследования принимали перорально </w:t>
      </w:r>
      <w:r w:rsidR="00E64F52">
        <w:t xml:space="preserve">1 таблетку 10 мг коммерческого препарата, в другом – 2 таблетки по 5 мг </w:t>
      </w:r>
      <w:r w:rsidR="00595F7E">
        <w:t xml:space="preserve">препарата, использующегося в исследованиях фазы </w:t>
      </w:r>
      <w:r w:rsidR="00595F7E">
        <w:rPr>
          <w:lang w:val="en-US"/>
        </w:rPr>
        <w:t>IIb</w:t>
      </w:r>
      <w:r w:rsidR="001D5BDE">
        <w:t xml:space="preserve">, а в третьем – </w:t>
      </w:r>
      <w:r w:rsidR="001D5BDE" w:rsidRPr="001D5BDE">
        <w:t>2 таблетки по 5 мг препарата, использующегося в исследованиях фазы</w:t>
      </w:r>
      <w:r w:rsidR="00B62C89">
        <w:t xml:space="preserve"> </w:t>
      </w:r>
      <w:r w:rsidR="00B62C89">
        <w:rPr>
          <w:lang w:val="en-US"/>
        </w:rPr>
        <w:t>III</w:t>
      </w:r>
      <w:r w:rsidR="00B62C89">
        <w:t xml:space="preserve">. В ходе исследования установили, что </w:t>
      </w:r>
      <w:r w:rsidR="00074278">
        <w:t xml:space="preserve">таблетки, использующиеся в исследованиях фазы </w:t>
      </w:r>
      <w:r w:rsidR="00074278">
        <w:rPr>
          <w:lang w:val="en-US"/>
        </w:rPr>
        <w:t>IIb</w:t>
      </w:r>
      <w:r w:rsidR="00074278">
        <w:t xml:space="preserve">, </w:t>
      </w:r>
      <w:r w:rsidR="00074278">
        <w:rPr>
          <w:lang w:val="en-US"/>
        </w:rPr>
        <w:t>III</w:t>
      </w:r>
      <w:r w:rsidR="001C54E9">
        <w:t>,</w:t>
      </w:r>
      <w:r w:rsidR="00074278" w:rsidRPr="00601C8A">
        <w:t xml:space="preserve"> </w:t>
      </w:r>
      <w:r w:rsidR="00074278">
        <w:t xml:space="preserve">были биоэквивалентны таблеткам коммерческого препарата, поскольку </w:t>
      </w:r>
      <w:r w:rsidR="00E1560D">
        <w:t xml:space="preserve">90% ДИ для соотношения геометрических средних </w:t>
      </w:r>
      <w:r w:rsidR="00BF0873">
        <w:t xml:space="preserve">значений </w:t>
      </w:r>
      <w:r w:rsidR="00BF0873">
        <w:rPr>
          <w:lang w:val="en-US"/>
        </w:rPr>
        <w:t>AUC</w:t>
      </w:r>
      <w:r w:rsidR="00BF0873" w:rsidRPr="00BF0873">
        <w:rPr>
          <w:vertAlign w:val="subscript"/>
        </w:rPr>
        <w:t>(0-</w:t>
      </w:r>
      <w:r w:rsidR="00BF0873">
        <w:rPr>
          <w:rFonts w:cs="Times New Roman"/>
          <w:vertAlign w:val="subscript"/>
        </w:rPr>
        <w:t>∞</w:t>
      </w:r>
      <w:r w:rsidR="00BF0873" w:rsidRPr="00BF0873">
        <w:rPr>
          <w:rFonts w:cs="Times New Roman"/>
          <w:vertAlign w:val="subscript"/>
        </w:rPr>
        <w:t>)</w:t>
      </w:r>
      <w:r w:rsidR="00BF0873">
        <w:rPr>
          <w:rFonts w:cs="Times New Roman"/>
        </w:rPr>
        <w:t xml:space="preserve">, </w:t>
      </w:r>
      <w:r w:rsidR="00BF0873">
        <w:rPr>
          <w:lang w:val="en-US"/>
        </w:rPr>
        <w:t>AUC</w:t>
      </w:r>
      <w:r w:rsidR="00BF0873" w:rsidRPr="00BF0873">
        <w:rPr>
          <w:vertAlign w:val="subscript"/>
        </w:rPr>
        <w:t>(0-</w:t>
      </w:r>
      <w:r w:rsidR="00805F73">
        <w:rPr>
          <w:rFonts w:cs="Times New Roman"/>
          <w:vertAlign w:val="subscript"/>
          <w:lang w:val="en-US"/>
        </w:rPr>
        <w:t>t</w:t>
      </w:r>
      <w:r w:rsidR="00BF0873" w:rsidRPr="00BF0873">
        <w:rPr>
          <w:rFonts w:cs="Times New Roman"/>
          <w:vertAlign w:val="subscript"/>
        </w:rPr>
        <w:t>)</w:t>
      </w:r>
      <w:r w:rsidR="00BF0873" w:rsidRPr="00BF0873">
        <w:t xml:space="preserve"> </w:t>
      </w:r>
      <w:r w:rsidR="00805F73">
        <w:t xml:space="preserve">и </w:t>
      </w:r>
      <w:r w:rsidR="00805F73" w:rsidRPr="00C55FD6">
        <w:t>C</w:t>
      </w:r>
      <w:r w:rsidR="00805F73" w:rsidRPr="00C55FD6">
        <w:rPr>
          <w:vertAlign w:val="subscript"/>
        </w:rPr>
        <w:t>max</w:t>
      </w:r>
      <w:r w:rsidR="00805F73">
        <w:t xml:space="preserve"> </w:t>
      </w:r>
      <w:r w:rsidR="00074278">
        <w:t xml:space="preserve">находились в границах </w:t>
      </w:r>
      <w:r w:rsidR="001D6DB8">
        <w:t xml:space="preserve">биоэквивалентности </w:t>
      </w:r>
      <w:r w:rsidR="00074278">
        <w:t xml:space="preserve">80–125% </w:t>
      </w:r>
      <w:r w:rsidR="00F54483">
        <w:fldChar w:fldCharType="begin"/>
      </w:r>
      <w:r w:rsidR="00044A89">
        <w:instrText xml:space="preserve"> ADDIN ZOTERO_ITEM CSL_CITATION {"citationID":"Uq4wkjIu","properties":{"formattedCitation":"[23]","plainCitation":"[23]","noteIndex":0},"citationItems":[{"id":87804,"uris":["http://zotero.org/groups/4742804/items/MQJLNM6K"],"itemData":{"id":87804,"type":"webpage","title":"Xeljanz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F54483">
        <w:fldChar w:fldCharType="separate"/>
      </w:r>
      <w:r w:rsidR="00AD0B20">
        <w:rPr>
          <w:rFonts w:cs="Times New Roman"/>
        </w:rPr>
        <w:t>[1</w:t>
      </w:r>
      <w:r w:rsidR="00044A89" w:rsidRPr="00044A89">
        <w:rPr>
          <w:rFonts w:cs="Times New Roman"/>
        </w:rPr>
        <w:t>]</w:t>
      </w:r>
      <w:r w:rsidR="00F54483">
        <w:fldChar w:fldCharType="end"/>
      </w:r>
      <w:r w:rsidR="00F54483">
        <w:t>.</w:t>
      </w:r>
    </w:p>
    <w:p w14:paraId="32A63F73" w14:textId="3FA6A1E8" w:rsidR="00132C25" w:rsidRDefault="00F033B3" w:rsidP="00017DA2">
      <w:pPr>
        <w:pStyle w:val="SDText"/>
        <w:spacing w:after="0"/>
        <w:contextualSpacing/>
      </w:pPr>
      <w:r>
        <w:t>Тофацитиниб быстро (</w:t>
      </w:r>
      <w:r>
        <w:rPr>
          <w:lang w:val="en-US"/>
        </w:rPr>
        <w:t>T</w:t>
      </w:r>
      <w:r w:rsidR="00132C25" w:rsidRPr="002D4030">
        <w:rPr>
          <w:vertAlign w:val="subscript"/>
        </w:rPr>
        <w:t>max</w:t>
      </w:r>
      <w:r w:rsidR="005E502C">
        <w:t xml:space="preserve"> 0,5</w:t>
      </w:r>
      <w:r w:rsidR="00CF2B9C">
        <w:t>–1 ч</w:t>
      </w:r>
      <w:r w:rsidR="00132C25">
        <w:t xml:space="preserve">) и </w:t>
      </w:r>
      <w:r w:rsidR="005E502C">
        <w:t>эффективно всасывался</w:t>
      </w:r>
      <w:r w:rsidR="00AF2DAF">
        <w:t xml:space="preserve">. В исследовании </w:t>
      </w:r>
      <w:r w:rsidR="00AF2DAF" w:rsidRPr="00AF2DAF">
        <w:t>A3921077</w:t>
      </w:r>
      <w:r w:rsidR="00AF2DAF">
        <w:t xml:space="preserve"> определили, что абсолютная </w:t>
      </w:r>
      <w:r w:rsidR="00AF2DAF">
        <w:rPr>
          <w:lang w:val="en-US"/>
        </w:rPr>
        <w:t>F</w:t>
      </w:r>
      <w:r w:rsidR="00AF2DAF" w:rsidRPr="00AF2DAF">
        <w:t xml:space="preserve"> </w:t>
      </w:r>
      <w:r w:rsidR="00484478">
        <w:t xml:space="preserve">тофацитиниба </w:t>
      </w:r>
      <w:r w:rsidR="00143D51">
        <w:t>составила 74%</w:t>
      </w:r>
      <w:r w:rsidR="00484478">
        <w:t xml:space="preserve"> после приема 10 мг в форме коммерческ</w:t>
      </w:r>
      <w:r w:rsidR="00D54C85">
        <w:t xml:space="preserve">ой таблетки по сравнению с внутривенным </w:t>
      </w:r>
      <w:r w:rsidR="00334D84">
        <w:t xml:space="preserve">инфузионным </w:t>
      </w:r>
      <w:r w:rsidR="00D54C85">
        <w:t xml:space="preserve">введением в </w:t>
      </w:r>
      <w:r w:rsidR="00334D84">
        <w:t>дозе 10 мг в течение 30 мин</w:t>
      </w:r>
      <w:r w:rsidR="00FC52EB">
        <w:t xml:space="preserve"> с </w:t>
      </w:r>
      <w:r w:rsidR="00FC52EB">
        <w:rPr>
          <w:lang w:val="en-US"/>
        </w:rPr>
        <w:t>CL</w:t>
      </w:r>
      <w:r w:rsidR="00FC52EB">
        <w:t xml:space="preserve"> после внутривенного введения, составившим 413 мл/мин </w:t>
      </w:r>
      <w:r w:rsidR="00FC52EB">
        <w:fldChar w:fldCharType="begin"/>
      </w:r>
      <w:r w:rsidR="00FC52EB">
        <w:instrText xml:space="preserve"> ADDIN ZOTERO_ITEM CSL_CITATION {"citationID":"MMl9esDx","properties":{"formattedCitation":"[21]","plainCitation":"[21]","noteIndex":0},"citationItems":[{"id":91153,"uris":["http://zotero.org/groups/4742804/items/UAUYPBRD"],"itemData":{"id":91153,"type":"webpage","title":"Xeljanz.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FC52EB">
        <w:fldChar w:fldCharType="separate"/>
      </w:r>
      <w:r w:rsidR="00AD0B20">
        <w:rPr>
          <w:rFonts w:cs="Times New Roman"/>
        </w:rPr>
        <w:t>[23</w:t>
      </w:r>
      <w:r w:rsidR="00FC52EB" w:rsidRPr="00FC52EB">
        <w:rPr>
          <w:rFonts w:cs="Times New Roman"/>
        </w:rPr>
        <w:t>]</w:t>
      </w:r>
      <w:r w:rsidR="00FC52EB">
        <w:fldChar w:fldCharType="end"/>
      </w:r>
      <w:r w:rsidR="0025127B">
        <w:t>.</w:t>
      </w:r>
    </w:p>
    <w:p w14:paraId="7625032E" w14:textId="163AF72D" w:rsidR="0025127B" w:rsidRDefault="0025127B" w:rsidP="00017DA2">
      <w:pPr>
        <w:pStyle w:val="SDText"/>
        <w:spacing w:after="0"/>
        <w:contextualSpacing/>
      </w:pPr>
      <w:r>
        <w:t xml:space="preserve">Ниже представлены фармакокинетические показатели тофацитиниба после однократного или многократного приема здоровыми </w:t>
      </w:r>
      <w:r w:rsidRPr="00222699">
        <w:t>добровольцами (</w:t>
      </w:r>
      <w:r w:rsidR="0094403E" w:rsidRPr="00222699">
        <w:fldChar w:fldCharType="begin"/>
      </w:r>
      <w:r w:rsidR="0094403E" w:rsidRPr="00222699">
        <w:instrText xml:space="preserve"> REF _Ref117684255 \h </w:instrText>
      </w:r>
      <w:r w:rsidR="00222699" w:rsidRPr="00222699">
        <w:instrText xml:space="preserve"> \* MERGEFORMAT </w:instrText>
      </w:r>
      <w:r w:rsidR="0094403E" w:rsidRPr="00222699">
        <w:fldChar w:fldCharType="separate"/>
      </w:r>
      <w:r w:rsidR="00383E6F" w:rsidRPr="00222699">
        <w:t xml:space="preserve">Таблица </w:t>
      </w:r>
      <w:r w:rsidR="00383E6F" w:rsidRPr="00222699">
        <w:rPr>
          <w:noProof/>
        </w:rPr>
        <w:t>4</w:t>
      </w:r>
      <w:r w:rsidR="00383E6F" w:rsidRPr="00222699">
        <w:noBreakHyphen/>
      </w:r>
      <w:r w:rsidR="00383E6F" w:rsidRPr="00222699">
        <w:rPr>
          <w:noProof/>
        </w:rPr>
        <w:t>1</w:t>
      </w:r>
      <w:r w:rsidR="0094403E" w:rsidRPr="00222699">
        <w:fldChar w:fldCharType="end"/>
      </w:r>
      <w:r w:rsidR="00A77BC5" w:rsidRPr="00222699">
        <w:t>)</w:t>
      </w:r>
      <w:r w:rsidR="00A77BC5">
        <w:t xml:space="preserve"> </w:t>
      </w:r>
      <w:r w:rsidR="00A77BC5">
        <w:fldChar w:fldCharType="begin"/>
      </w:r>
      <w:r w:rsidR="00957218">
        <w:instrText xml:space="preserve"> ADDIN ZOTERO_ITEM CSL_CITATION {"citationID":"Pzsu17il","properties":{"formattedCitation":"[21]","plainCitation":"[21]","noteIndex":0},"citationItems":[{"id":91153,"uris":["http://zotero.org/groups/4742804/items/UAUYPBRD"],"itemData":{"id":91153,"type":"webpage","title":"Xeljanz.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A77BC5">
        <w:fldChar w:fldCharType="separate"/>
      </w:r>
      <w:r w:rsidR="00AD0B20">
        <w:rPr>
          <w:rFonts w:cs="Times New Roman"/>
        </w:rPr>
        <w:t>[23</w:t>
      </w:r>
      <w:r w:rsidR="00A77BC5" w:rsidRPr="00FC52EB">
        <w:rPr>
          <w:rFonts w:cs="Times New Roman"/>
        </w:rPr>
        <w:t>]</w:t>
      </w:r>
      <w:r w:rsidR="00A77BC5">
        <w:fldChar w:fldCharType="end"/>
      </w:r>
      <w:r w:rsidR="00A77BC5">
        <w:t>.</w:t>
      </w:r>
    </w:p>
    <w:p w14:paraId="71D35E45" w14:textId="77777777" w:rsidR="00AD0B20" w:rsidRDefault="00AD0B20" w:rsidP="00017DA2">
      <w:pPr>
        <w:pStyle w:val="SDText"/>
        <w:spacing w:after="0"/>
        <w:contextualSpacing/>
      </w:pPr>
    </w:p>
    <w:p w14:paraId="218EA489" w14:textId="157D51A1" w:rsidR="0025127B" w:rsidRDefault="00AD0B20" w:rsidP="00017DA2">
      <w:pPr>
        <w:pStyle w:val="SDText"/>
        <w:spacing w:after="0"/>
        <w:ind w:firstLine="0"/>
        <w:contextualSpacing/>
      </w:pPr>
      <w:bookmarkStart w:id="199" w:name="_Ref117684255"/>
      <w:r w:rsidRPr="00AD0B20">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1</w:t>
      </w:r>
      <w:r w:rsidR="00652269">
        <w:rPr>
          <w:b/>
        </w:rPr>
        <w:fldChar w:fldCharType="end"/>
      </w:r>
      <w:bookmarkEnd w:id="199"/>
      <w:r w:rsidRPr="00AD0B20">
        <w:rPr>
          <w:b/>
          <w:noProof/>
        </w:rPr>
        <w:t>.</w:t>
      </w:r>
      <w:r>
        <w:t xml:space="preserve"> Ф</w:t>
      </w:r>
      <w:r w:rsidRPr="002D074B">
        <w:t>армакокинетические показатели тофацитиниба после однократного или многократного приема здоровыми добровольцами</w:t>
      </w:r>
      <w:r>
        <w:t>.</w:t>
      </w:r>
    </w:p>
    <w:tbl>
      <w:tblPr>
        <w:tblStyle w:val="a4"/>
        <w:tblW w:w="0" w:type="auto"/>
        <w:tblInd w:w="108" w:type="dxa"/>
        <w:tblLook w:val="04A0" w:firstRow="1" w:lastRow="0" w:firstColumn="1" w:lastColumn="0" w:noHBand="0" w:noVBand="1"/>
      </w:tblPr>
      <w:tblGrid>
        <w:gridCol w:w="1636"/>
        <w:gridCol w:w="1031"/>
        <w:gridCol w:w="1969"/>
        <w:gridCol w:w="1106"/>
        <w:gridCol w:w="1287"/>
        <w:gridCol w:w="1153"/>
        <w:gridCol w:w="1163"/>
      </w:tblGrid>
      <w:tr w:rsidR="00096E65" w14:paraId="56EE669D" w14:textId="77777777" w:rsidTr="00791E09">
        <w:trPr>
          <w:tblHeader/>
        </w:trPr>
        <w:tc>
          <w:tcPr>
            <w:tcW w:w="1528" w:type="dxa"/>
            <w:vMerge w:val="restart"/>
            <w:shd w:val="clear" w:color="auto" w:fill="D9D9D9" w:themeFill="background1" w:themeFillShade="D9"/>
            <w:vAlign w:val="center"/>
          </w:tcPr>
          <w:p w14:paraId="0476CC03" w14:textId="669FEFBB" w:rsidR="00B2188B" w:rsidRPr="00B2188B" w:rsidRDefault="00B2188B" w:rsidP="00791E09">
            <w:pPr>
              <w:ind w:firstLine="0"/>
              <w:contextualSpacing/>
              <w:jc w:val="center"/>
              <w:rPr>
                <w:b/>
                <w:bCs/>
              </w:rPr>
            </w:pPr>
            <w:r>
              <w:rPr>
                <w:b/>
                <w:bCs/>
              </w:rPr>
              <w:t>Показатель</w:t>
            </w:r>
          </w:p>
        </w:tc>
        <w:tc>
          <w:tcPr>
            <w:tcW w:w="1031" w:type="dxa"/>
            <w:vMerge w:val="restart"/>
            <w:shd w:val="clear" w:color="auto" w:fill="D9D9D9" w:themeFill="background1" w:themeFillShade="D9"/>
            <w:vAlign w:val="center"/>
          </w:tcPr>
          <w:p w14:paraId="5C7D4975" w14:textId="6E2D3497" w:rsidR="00B2188B" w:rsidRPr="00AD0B20" w:rsidRDefault="00B2188B" w:rsidP="00791E09">
            <w:pPr>
              <w:ind w:firstLine="0"/>
              <w:contextualSpacing/>
              <w:jc w:val="center"/>
              <w:rPr>
                <w:b/>
                <w:bCs/>
              </w:rPr>
            </w:pPr>
            <w:r>
              <w:rPr>
                <w:b/>
                <w:bCs/>
                <w:lang w:val="en-US"/>
              </w:rPr>
              <w:t>N</w:t>
            </w:r>
          </w:p>
        </w:tc>
        <w:tc>
          <w:tcPr>
            <w:tcW w:w="1969" w:type="dxa"/>
            <w:vMerge w:val="restart"/>
            <w:shd w:val="clear" w:color="auto" w:fill="D9D9D9" w:themeFill="background1" w:themeFillShade="D9"/>
            <w:vAlign w:val="center"/>
          </w:tcPr>
          <w:p w14:paraId="4D77FA73" w14:textId="0D820BB0" w:rsidR="00B2188B" w:rsidRPr="00DF7559" w:rsidRDefault="00DF7559" w:rsidP="00791E09">
            <w:pPr>
              <w:ind w:firstLine="0"/>
              <w:contextualSpacing/>
              <w:jc w:val="center"/>
              <w:rPr>
                <w:b/>
                <w:bCs/>
              </w:rPr>
            </w:pPr>
            <w:r>
              <w:rPr>
                <w:b/>
                <w:bCs/>
              </w:rPr>
              <w:t>Геометрическое среднее</w:t>
            </w:r>
          </w:p>
        </w:tc>
        <w:tc>
          <w:tcPr>
            <w:tcW w:w="1106" w:type="dxa"/>
            <w:vMerge w:val="restart"/>
            <w:shd w:val="clear" w:color="auto" w:fill="D9D9D9" w:themeFill="background1" w:themeFillShade="D9"/>
            <w:vAlign w:val="center"/>
          </w:tcPr>
          <w:p w14:paraId="0ECFEBAA" w14:textId="7B10E257" w:rsidR="00B2188B" w:rsidRPr="00DF7559" w:rsidRDefault="00DF7559" w:rsidP="00791E09">
            <w:pPr>
              <w:ind w:firstLine="0"/>
              <w:contextualSpacing/>
              <w:jc w:val="center"/>
              <w:rPr>
                <w:b/>
                <w:bCs/>
              </w:rPr>
            </w:pPr>
            <w:r>
              <w:rPr>
                <w:b/>
                <w:bCs/>
                <w:lang w:val="en-US"/>
              </w:rPr>
              <w:t>CV</w:t>
            </w:r>
            <w:r>
              <w:rPr>
                <w:b/>
                <w:bCs/>
              </w:rPr>
              <w:t>, %</w:t>
            </w:r>
          </w:p>
        </w:tc>
        <w:tc>
          <w:tcPr>
            <w:tcW w:w="1287" w:type="dxa"/>
            <w:vMerge w:val="restart"/>
            <w:shd w:val="clear" w:color="auto" w:fill="D9D9D9" w:themeFill="background1" w:themeFillShade="D9"/>
            <w:vAlign w:val="center"/>
          </w:tcPr>
          <w:p w14:paraId="268490CE" w14:textId="77777777" w:rsidR="00B2188B" w:rsidRDefault="00DF7559" w:rsidP="00791E09">
            <w:pPr>
              <w:ind w:firstLine="0"/>
              <w:contextualSpacing/>
              <w:jc w:val="center"/>
              <w:rPr>
                <w:b/>
                <w:bCs/>
              </w:rPr>
            </w:pPr>
            <w:r>
              <w:rPr>
                <w:b/>
                <w:bCs/>
              </w:rPr>
              <w:t>Медиана</w:t>
            </w:r>
          </w:p>
          <w:p w14:paraId="5990A316" w14:textId="629F1D51" w:rsidR="00096E65" w:rsidRPr="00AD0B20" w:rsidRDefault="00096E65" w:rsidP="00791E09">
            <w:pPr>
              <w:ind w:firstLine="0"/>
              <w:contextualSpacing/>
              <w:jc w:val="center"/>
              <w:rPr>
                <w:b/>
                <w:bCs/>
              </w:rPr>
            </w:pPr>
            <w:r>
              <w:rPr>
                <w:b/>
                <w:bCs/>
                <w:lang w:val="en-US"/>
              </w:rPr>
              <w:t>n</w:t>
            </w:r>
          </w:p>
        </w:tc>
        <w:tc>
          <w:tcPr>
            <w:tcW w:w="2316" w:type="dxa"/>
            <w:gridSpan w:val="2"/>
            <w:shd w:val="clear" w:color="auto" w:fill="D9D9D9" w:themeFill="background1" w:themeFillShade="D9"/>
            <w:vAlign w:val="center"/>
          </w:tcPr>
          <w:p w14:paraId="0E831CA4" w14:textId="45E9C99E" w:rsidR="00B2188B" w:rsidRPr="00096E65" w:rsidRDefault="00096E65" w:rsidP="00791E09">
            <w:pPr>
              <w:ind w:firstLine="0"/>
              <w:contextualSpacing/>
              <w:jc w:val="center"/>
              <w:rPr>
                <w:b/>
                <w:bCs/>
              </w:rPr>
            </w:pPr>
            <w:r>
              <w:rPr>
                <w:b/>
                <w:bCs/>
              </w:rPr>
              <w:t>Процентили</w:t>
            </w:r>
          </w:p>
        </w:tc>
      </w:tr>
      <w:tr w:rsidR="00096E65" w14:paraId="30B5EDCA" w14:textId="77777777" w:rsidTr="00791E09">
        <w:trPr>
          <w:trHeight w:val="64"/>
        </w:trPr>
        <w:tc>
          <w:tcPr>
            <w:tcW w:w="1528" w:type="dxa"/>
            <w:vMerge/>
            <w:shd w:val="clear" w:color="auto" w:fill="D9D9D9" w:themeFill="background1" w:themeFillShade="D9"/>
            <w:vAlign w:val="center"/>
          </w:tcPr>
          <w:p w14:paraId="12E3873B" w14:textId="77777777" w:rsidR="00B2188B" w:rsidRPr="00B2188B" w:rsidRDefault="00B2188B" w:rsidP="00791E09">
            <w:pPr>
              <w:ind w:firstLine="0"/>
              <w:contextualSpacing/>
              <w:jc w:val="center"/>
              <w:rPr>
                <w:b/>
                <w:bCs/>
              </w:rPr>
            </w:pPr>
          </w:p>
        </w:tc>
        <w:tc>
          <w:tcPr>
            <w:tcW w:w="1031" w:type="dxa"/>
            <w:vMerge/>
            <w:shd w:val="clear" w:color="auto" w:fill="D9D9D9" w:themeFill="background1" w:themeFillShade="D9"/>
            <w:vAlign w:val="center"/>
          </w:tcPr>
          <w:p w14:paraId="3DC78F04" w14:textId="77777777" w:rsidR="00B2188B" w:rsidRPr="00B2188B" w:rsidRDefault="00B2188B" w:rsidP="00791E09">
            <w:pPr>
              <w:contextualSpacing/>
              <w:jc w:val="center"/>
              <w:rPr>
                <w:b/>
                <w:bCs/>
              </w:rPr>
            </w:pPr>
          </w:p>
        </w:tc>
        <w:tc>
          <w:tcPr>
            <w:tcW w:w="1969" w:type="dxa"/>
            <w:vMerge/>
            <w:shd w:val="clear" w:color="auto" w:fill="D9D9D9" w:themeFill="background1" w:themeFillShade="D9"/>
            <w:vAlign w:val="center"/>
          </w:tcPr>
          <w:p w14:paraId="2BC66937" w14:textId="77777777" w:rsidR="00B2188B" w:rsidRPr="00B2188B" w:rsidRDefault="00B2188B" w:rsidP="00791E09">
            <w:pPr>
              <w:contextualSpacing/>
              <w:jc w:val="center"/>
              <w:rPr>
                <w:b/>
                <w:bCs/>
              </w:rPr>
            </w:pPr>
          </w:p>
        </w:tc>
        <w:tc>
          <w:tcPr>
            <w:tcW w:w="1106" w:type="dxa"/>
            <w:vMerge/>
            <w:shd w:val="clear" w:color="auto" w:fill="D9D9D9" w:themeFill="background1" w:themeFillShade="D9"/>
            <w:vAlign w:val="center"/>
          </w:tcPr>
          <w:p w14:paraId="75BF37DF" w14:textId="77777777" w:rsidR="00B2188B" w:rsidRPr="00B2188B" w:rsidRDefault="00B2188B" w:rsidP="00791E09">
            <w:pPr>
              <w:contextualSpacing/>
              <w:jc w:val="center"/>
              <w:rPr>
                <w:b/>
                <w:bCs/>
              </w:rPr>
            </w:pPr>
          </w:p>
        </w:tc>
        <w:tc>
          <w:tcPr>
            <w:tcW w:w="1287" w:type="dxa"/>
            <w:vMerge/>
            <w:shd w:val="clear" w:color="auto" w:fill="D9D9D9" w:themeFill="background1" w:themeFillShade="D9"/>
            <w:vAlign w:val="center"/>
          </w:tcPr>
          <w:p w14:paraId="43CF5E7F" w14:textId="77777777" w:rsidR="00B2188B" w:rsidRPr="00B2188B" w:rsidRDefault="00B2188B" w:rsidP="00791E09">
            <w:pPr>
              <w:contextualSpacing/>
              <w:jc w:val="center"/>
              <w:rPr>
                <w:b/>
                <w:bCs/>
              </w:rPr>
            </w:pPr>
          </w:p>
        </w:tc>
        <w:tc>
          <w:tcPr>
            <w:tcW w:w="1153" w:type="dxa"/>
            <w:shd w:val="clear" w:color="auto" w:fill="D9D9D9" w:themeFill="background1" w:themeFillShade="D9"/>
            <w:vAlign w:val="center"/>
          </w:tcPr>
          <w:p w14:paraId="05690AFA" w14:textId="08D889FE" w:rsidR="00B2188B" w:rsidRPr="00B2188B" w:rsidRDefault="00096E65" w:rsidP="00791E09">
            <w:pPr>
              <w:ind w:firstLine="0"/>
              <w:contextualSpacing/>
              <w:jc w:val="center"/>
              <w:rPr>
                <w:b/>
                <w:bCs/>
              </w:rPr>
            </w:pPr>
            <w:r>
              <w:rPr>
                <w:b/>
                <w:bCs/>
              </w:rPr>
              <w:t>2,5</w:t>
            </w:r>
          </w:p>
        </w:tc>
        <w:tc>
          <w:tcPr>
            <w:tcW w:w="1163" w:type="dxa"/>
            <w:shd w:val="clear" w:color="auto" w:fill="D9D9D9" w:themeFill="background1" w:themeFillShade="D9"/>
            <w:vAlign w:val="center"/>
          </w:tcPr>
          <w:p w14:paraId="29D6CE52" w14:textId="2AB63F97" w:rsidR="00B2188B" w:rsidRPr="00B2188B" w:rsidRDefault="00096E65" w:rsidP="00791E09">
            <w:pPr>
              <w:ind w:firstLine="0"/>
              <w:contextualSpacing/>
              <w:jc w:val="center"/>
              <w:rPr>
                <w:b/>
                <w:bCs/>
              </w:rPr>
            </w:pPr>
            <w:r>
              <w:rPr>
                <w:b/>
                <w:bCs/>
              </w:rPr>
              <w:t>97,5</w:t>
            </w:r>
          </w:p>
        </w:tc>
      </w:tr>
      <w:tr w:rsidR="00BE7F95" w14:paraId="59C2A67E" w14:textId="77777777" w:rsidTr="00B93A35">
        <w:tc>
          <w:tcPr>
            <w:tcW w:w="9237" w:type="dxa"/>
            <w:gridSpan w:val="7"/>
          </w:tcPr>
          <w:p w14:paraId="46B99CD6" w14:textId="2483E448" w:rsidR="00BE7F95" w:rsidRDefault="00BE7F95" w:rsidP="00017DA2">
            <w:pPr>
              <w:ind w:firstLine="0"/>
              <w:contextualSpacing/>
            </w:pPr>
            <w:r>
              <w:t>Однократный прием</w:t>
            </w:r>
          </w:p>
        </w:tc>
      </w:tr>
      <w:tr w:rsidR="00096E65" w14:paraId="3F557E67" w14:textId="77777777" w:rsidTr="00B93A35">
        <w:tc>
          <w:tcPr>
            <w:tcW w:w="1528" w:type="dxa"/>
          </w:tcPr>
          <w:p w14:paraId="1B7A0711" w14:textId="45230468" w:rsidR="00B2188B" w:rsidRDefault="007D3061" w:rsidP="00017DA2">
            <w:pPr>
              <w:ind w:firstLine="0"/>
              <w:contextualSpacing/>
            </w:pPr>
            <w:r>
              <w:rPr>
                <w:lang w:val="en-US"/>
              </w:rPr>
              <w:t>AUC</w:t>
            </w:r>
            <w:r w:rsidRPr="00BD6A90">
              <w:rPr>
                <w:vertAlign w:val="subscript"/>
              </w:rPr>
              <w:t>(0-</w:t>
            </w:r>
            <w:r w:rsidRPr="00BD6A90">
              <w:rPr>
                <w:rFonts w:cs="Times New Roman"/>
                <w:vertAlign w:val="subscript"/>
              </w:rPr>
              <w:t>∞)</w:t>
            </w:r>
            <w:r w:rsidR="009C4B4B">
              <w:rPr>
                <w:rFonts w:cs="Times New Roman"/>
                <w:vertAlign w:val="subscript"/>
              </w:rPr>
              <w:t xml:space="preserve"> </w:t>
            </w:r>
            <w:r w:rsidR="009C4B4B">
              <w:rPr>
                <w:rFonts w:cs="Times New Roman"/>
              </w:rPr>
              <w:t>(</w:t>
            </w:r>
            <w:r>
              <w:rPr>
                <w:rFonts w:cs="Times New Roman"/>
              </w:rPr>
              <w:t>нг*ч/мл</w:t>
            </w:r>
            <w:r w:rsidR="00BD6A90">
              <w:rPr>
                <w:rFonts w:cs="Times New Roman"/>
              </w:rPr>
              <w:t>/10 мг)</w:t>
            </w:r>
          </w:p>
        </w:tc>
        <w:tc>
          <w:tcPr>
            <w:tcW w:w="1031" w:type="dxa"/>
            <w:vAlign w:val="center"/>
          </w:tcPr>
          <w:p w14:paraId="336DE21B" w14:textId="5C408355" w:rsidR="00B2188B" w:rsidRDefault="00502837" w:rsidP="00B93A35">
            <w:pPr>
              <w:ind w:firstLine="0"/>
              <w:contextualSpacing/>
              <w:jc w:val="center"/>
            </w:pPr>
            <w:r w:rsidRPr="00502837">
              <w:t>398</w:t>
            </w:r>
          </w:p>
        </w:tc>
        <w:tc>
          <w:tcPr>
            <w:tcW w:w="1969" w:type="dxa"/>
            <w:vAlign w:val="center"/>
          </w:tcPr>
          <w:p w14:paraId="1987F1DD" w14:textId="31C56BCA" w:rsidR="00B2188B" w:rsidRDefault="004C22D9" w:rsidP="00B93A35">
            <w:pPr>
              <w:ind w:firstLine="0"/>
              <w:contextualSpacing/>
              <w:jc w:val="center"/>
            </w:pPr>
            <w:r w:rsidRPr="004C22D9">
              <w:t>282</w:t>
            </w:r>
          </w:p>
        </w:tc>
        <w:tc>
          <w:tcPr>
            <w:tcW w:w="1106" w:type="dxa"/>
            <w:vAlign w:val="center"/>
          </w:tcPr>
          <w:p w14:paraId="0F566CC7" w14:textId="2F7F612A" w:rsidR="00B2188B" w:rsidRDefault="00B8540B" w:rsidP="00B93A35">
            <w:pPr>
              <w:ind w:firstLine="0"/>
              <w:contextualSpacing/>
              <w:jc w:val="center"/>
            </w:pPr>
            <w:r>
              <w:t>28,1</w:t>
            </w:r>
          </w:p>
        </w:tc>
        <w:tc>
          <w:tcPr>
            <w:tcW w:w="1287" w:type="dxa"/>
            <w:vAlign w:val="center"/>
          </w:tcPr>
          <w:p w14:paraId="0197B855" w14:textId="3D876144" w:rsidR="00B2188B" w:rsidRDefault="00CD7C63" w:rsidP="00B93A35">
            <w:pPr>
              <w:ind w:firstLine="0"/>
              <w:contextualSpacing/>
              <w:jc w:val="center"/>
            </w:pPr>
            <w:r w:rsidRPr="00CD7C63">
              <w:t>289</w:t>
            </w:r>
          </w:p>
        </w:tc>
        <w:tc>
          <w:tcPr>
            <w:tcW w:w="1153" w:type="dxa"/>
            <w:vAlign w:val="center"/>
          </w:tcPr>
          <w:p w14:paraId="34874489" w14:textId="38FAE5C4" w:rsidR="00B2188B" w:rsidRDefault="00672DD0" w:rsidP="00B93A35">
            <w:pPr>
              <w:ind w:firstLine="0"/>
              <w:contextualSpacing/>
              <w:jc w:val="center"/>
            </w:pPr>
            <w:r>
              <w:t>159</w:t>
            </w:r>
          </w:p>
        </w:tc>
        <w:tc>
          <w:tcPr>
            <w:tcW w:w="1163" w:type="dxa"/>
            <w:vAlign w:val="center"/>
          </w:tcPr>
          <w:p w14:paraId="445D0354" w14:textId="69F1A768" w:rsidR="00B2188B" w:rsidRDefault="008D21A6" w:rsidP="00B93A35">
            <w:pPr>
              <w:ind w:firstLine="0"/>
              <w:contextualSpacing/>
              <w:jc w:val="center"/>
            </w:pPr>
            <w:r>
              <w:t>483</w:t>
            </w:r>
          </w:p>
        </w:tc>
      </w:tr>
      <w:tr w:rsidR="00096E65" w14:paraId="49094017" w14:textId="77777777" w:rsidTr="00B93A35">
        <w:tc>
          <w:tcPr>
            <w:tcW w:w="1528" w:type="dxa"/>
          </w:tcPr>
          <w:p w14:paraId="4DDEFF26" w14:textId="531F8907" w:rsidR="00B2188B" w:rsidRDefault="009C4B4B" w:rsidP="00017DA2">
            <w:pPr>
              <w:ind w:firstLine="0"/>
            </w:pPr>
            <w:r w:rsidRPr="009C4B4B">
              <w:t>C</w:t>
            </w:r>
            <w:r w:rsidRPr="009C4B4B">
              <w:rPr>
                <w:vertAlign w:val="subscript"/>
              </w:rPr>
              <w:t>max</w:t>
            </w:r>
            <w:r>
              <w:rPr>
                <w:vertAlign w:val="subscript"/>
              </w:rPr>
              <w:t xml:space="preserve"> </w:t>
            </w:r>
            <w:r w:rsidRPr="009C4B4B">
              <w:t>(</w:t>
            </w:r>
            <w:r>
              <w:t>нг</w:t>
            </w:r>
            <w:r w:rsidRPr="009C4B4B">
              <w:t>/</w:t>
            </w:r>
            <w:r>
              <w:t>мл</w:t>
            </w:r>
            <w:r w:rsidRPr="009C4B4B">
              <w:t xml:space="preserve">/10 </w:t>
            </w:r>
            <w:r w:rsidR="00E02D85">
              <w:t>мг</w:t>
            </w:r>
            <w:r w:rsidRPr="009C4B4B">
              <w:t>)</w:t>
            </w:r>
          </w:p>
        </w:tc>
        <w:tc>
          <w:tcPr>
            <w:tcW w:w="1031" w:type="dxa"/>
            <w:vAlign w:val="center"/>
          </w:tcPr>
          <w:p w14:paraId="7EEF2473" w14:textId="4DEAA181" w:rsidR="00B2188B" w:rsidRDefault="00502837" w:rsidP="00B93A35">
            <w:pPr>
              <w:ind w:firstLine="0"/>
              <w:jc w:val="center"/>
            </w:pPr>
            <w:r w:rsidRPr="00502837">
              <w:t>419</w:t>
            </w:r>
          </w:p>
        </w:tc>
        <w:tc>
          <w:tcPr>
            <w:tcW w:w="1969" w:type="dxa"/>
            <w:vAlign w:val="center"/>
          </w:tcPr>
          <w:p w14:paraId="37565334" w14:textId="67650622" w:rsidR="00B2188B" w:rsidRDefault="00B93A35" w:rsidP="00B93A35">
            <w:pPr>
              <w:ind w:firstLine="0"/>
              <w:jc w:val="center"/>
            </w:pPr>
            <w:r>
              <w:t>83,</w:t>
            </w:r>
            <w:r w:rsidR="007820FA" w:rsidRPr="007820FA">
              <w:t>2</w:t>
            </w:r>
          </w:p>
        </w:tc>
        <w:tc>
          <w:tcPr>
            <w:tcW w:w="1106" w:type="dxa"/>
            <w:vAlign w:val="center"/>
          </w:tcPr>
          <w:p w14:paraId="05C2BC73" w14:textId="0DB9541C" w:rsidR="00B2188B" w:rsidRDefault="00B8540B" w:rsidP="00B93A35">
            <w:pPr>
              <w:ind w:firstLine="0"/>
              <w:jc w:val="center"/>
            </w:pPr>
            <w:r>
              <w:t>36,4</w:t>
            </w:r>
          </w:p>
        </w:tc>
        <w:tc>
          <w:tcPr>
            <w:tcW w:w="1287" w:type="dxa"/>
            <w:vAlign w:val="center"/>
          </w:tcPr>
          <w:p w14:paraId="1AC430FE" w14:textId="0A38DA85" w:rsidR="00B2188B" w:rsidRDefault="00CD7C63" w:rsidP="00B93A35">
            <w:pPr>
              <w:ind w:firstLine="0"/>
              <w:jc w:val="center"/>
            </w:pPr>
            <w:r>
              <w:t>83,7</w:t>
            </w:r>
          </w:p>
        </w:tc>
        <w:tc>
          <w:tcPr>
            <w:tcW w:w="1153" w:type="dxa"/>
            <w:vAlign w:val="center"/>
          </w:tcPr>
          <w:p w14:paraId="73983000" w14:textId="53ED799D" w:rsidR="00B2188B" w:rsidRDefault="00672DD0" w:rsidP="00B93A35">
            <w:pPr>
              <w:ind w:firstLine="0"/>
              <w:jc w:val="center"/>
            </w:pPr>
            <w:r>
              <w:t>40,5</w:t>
            </w:r>
          </w:p>
        </w:tc>
        <w:tc>
          <w:tcPr>
            <w:tcW w:w="1163" w:type="dxa"/>
            <w:vAlign w:val="center"/>
          </w:tcPr>
          <w:p w14:paraId="307664E4" w14:textId="72133FAB" w:rsidR="00B2188B" w:rsidRDefault="008D21A6" w:rsidP="00B93A35">
            <w:pPr>
              <w:ind w:firstLine="0"/>
              <w:jc w:val="center"/>
            </w:pPr>
            <w:r>
              <w:t>160</w:t>
            </w:r>
          </w:p>
        </w:tc>
      </w:tr>
      <w:tr w:rsidR="0037692A" w14:paraId="393215ED" w14:textId="77777777" w:rsidTr="00B93A35">
        <w:tc>
          <w:tcPr>
            <w:tcW w:w="1528" w:type="dxa"/>
          </w:tcPr>
          <w:p w14:paraId="4021026D" w14:textId="2BA24E1B" w:rsidR="0037692A" w:rsidRPr="009C4B4B" w:rsidRDefault="00F033B3" w:rsidP="00017DA2">
            <w:pPr>
              <w:ind w:firstLine="0"/>
            </w:pPr>
            <w:r>
              <w:rPr>
                <w:lang w:val="en-US"/>
              </w:rPr>
              <w:t>T</w:t>
            </w:r>
            <w:r w:rsidR="0037692A" w:rsidRPr="0037692A">
              <w:rPr>
                <w:vertAlign w:val="subscript"/>
              </w:rPr>
              <w:t>max</w:t>
            </w:r>
            <w:r w:rsidR="0037692A" w:rsidRPr="0037692A">
              <w:t xml:space="preserve"> (</w:t>
            </w:r>
            <w:r w:rsidR="0037692A">
              <w:t>ч</w:t>
            </w:r>
            <w:r w:rsidR="0037692A" w:rsidRPr="0037692A">
              <w:t>)</w:t>
            </w:r>
          </w:p>
        </w:tc>
        <w:tc>
          <w:tcPr>
            <w:tcW w:w="1031" w:type="dxa"/>
            <w:vAlign w:val="center"/>
          </w:tcPr>
          <w:p w14:paraId="4D66DA87" w14:textId="18692EAE" w:rsidR="0037692A" w:rsidRDefault="00502837" w:rsidP="00B93A35">
            <w:pPr>
              <w:ind w:firstLine="0"/>
              <w:jc w:val="center"/>
            </w:pPr>
            <w:r w:rsidRPr="00502837">
              <w:t>419</w:t>
            </w:r>
          </w:p>
        </w:tc>
        <w:tc>
          <w:tcPr>
            <w:tcW w:w="1969" w:type="dxa"/>
            <w:vAlign w:val="center"/>
          </w:tcPr>
          <w:p w14:paraId="7DDA3917" w14:textId="53B219C9" w:rsidR="0037692A" w:rsidRDefault="007820FA" w:rsidP="00B93A35">
            <w:pPr>
              <w:ind w:firstLine="0"/>
              <w:jc w:val="center"/>
            </w:pPr>
            <w:r>
              <w:t>н/о</w:t>
            </w:r>
          </w:p>
        </w:tc>
        <w:tc>
          <w:tcPr>
            <w:tcW w:w="1106" w:type="dxa"/>
            <w:vAlign w:val="center"/>
          </w:tcPr>
          <w:p w14:paraId="37CD3592" w14:textId="237448F7" w:rsidR="0037692A" w:rsidRDefault="00B8540B" w:rsidP="00B93A35">
            <w:pPr>
              <w:ind w:firstLine="0"/>
              <w:jc w:val="center"/>
            </w:pPr>
            <w:r>
              <w:t>н/о</w:t>
            </w:r>
          </w:p>
        </w:tc>
        <w:tc>
          <w:tcPr>
            <w:tcW w:w="1287" w:type="dxa"/>
            <w:vAlign w:val="center"/>
          </w:tcPr>
          <w:p w14:paraId="568CF296" w14:textId="14D39984" w:rsidR="0037692A" w:rsidRDefault="00CD7C63" w:rsidP="00B93A35">
            <w:pPr>
              <w:ind w:firstLine="0"/>
              <w:jc w:val="center"/>
            </w:pPr>
            <w:r>
              <w:t>0,5</w:t>
            </w:r>
          </w:p>
        </w:tc>
        <w:tc>
          <w:tcPr>
            <w:tcW w:w="1153" w:type="dxa"/>
            <w:vAlign w:val="center"/>
          </w:tcPr>
          <w:p w14:paraId="78434872" w14:textId="6A8BE8D4" w:rsidR="0037692A" w:rsidRDefault="00672DD0" w:rsidP="00B93A35">
            <w:pPr>
              <w:ind w:firstLine="0"/>
              <w:jc w:val="center"/>
            </w:pPr>
            <w:r>
              <w:t>0,25</w:t>
            </w:r>
          </w:p>
        </w:tc>
        <w:tc>
          <w:tcPr>
            <w:tcW w:w="1163" w:type="dxa"/>
            <w:vAlign w:val="center"/>
          </w:tcPr>
          <w:p w14:paraId="483F2317" w14:textId="5E866453" w:rsidR="0037692A" w:rsidRDefault="008D21A6" w:rsidP="00B93A35">
            <w:pPr>
              <w:ind w:firstLine="0"/>
              <w:jc w:val="center"/>
            </w:pPr>
            <w:r>
              <w:t>4,08</w:t>
            </w:r>
          </w:p>
        </w:tc>
      </w:tr>
      <w:tr w:rsidR="00E02D85" w14:paraId="78E9B2DB" w14:textId="77777777" w:rsidTr="00B93A35">
        <w:tc>
          <w:tcPr>
            <w:tcW w:w="9237" w:type="dxa"/>
            <w:gridSpan w:val="7"/>
          </w:tcPr>
          <w:p w14:paraId="178F8B8F" w14:textId="78643589" w:rsidR="00E02D85" w:rsidRDefault="00E02D85" w:rsidP="00017DA2">
            <w:pPr>
              <w:ind w:firstLine="0"/>
            </w:pPr>
            <w:r>
              <w:t>Показатели в равновесном состоянии</w:t>
            </w:r>
          </w:p>
        </w:tc>
      </w:tr>
      <w:tr w:rsidR="00096E65" w14:paraId="7A7E733D" w14:textId="77777777" w:rsidTr="00B93A35">
        <w:tc>
          <w:tcPr>
            <w:tcW w:w="1528" w:type="dxa"/>
          </w:tcPr>
          <w:p w14:paraId="387F6775" w14:textId="138FCF96" w:rsidR="00B2188B" w:rsidRDefault="0037692A" w:rsidP="00017DA2">
            <w:pPr>
              <w:ind w:firstLine="0"/>
            </w:pPr>
            <w:r>
              <w:rPr>
                <w:lang w:val="en-US"/>
              </w:rPr>
              <w:t>AUC</w:t>
            </w:r>
            <w:r w:rsidRPr="00BD6A90">
              <w:rPr>
                <w:vertAlign w:val="subscript"/>
              </w:rPr>
              <w:t>(0-</w:t>
            </w:r>
            <w:r w:rsidR="00DE3F9E" w:rsidRPr="00DE3F9E">
              <w:rPr>
                <w:rFonts w:ascii="Cambria Math" w:hAnsi="Cambria Math" w:cs="Cambria Math"/>
                <w:vertAlign w:val="subscript"/>
              </w:rPr>
              <w:t>𝞽</w:t>
            </w:r>
            <w:r w:rsidRPr="00BD6A90">
              <w:rPr>
                <w:rFonts w:cs="Times New Roman"/>
                <w:vertAlign w:val="subscript"/>
              </w:rPr>
              <w:t>)</w:t>
            </w:r>
            <w:r>
              <w:rPr>
                <w:rFonts w:cs="Times New Roman"/>
                <w:vertAlign w:val="subscript"/>
              </w:rPr>
              <w:t xml:space="preserve"> </w:t>
            </w:r>
            <w:r>
              <w:rPr>
                <w:rFonts w:cs="Times New Roman"/>
              </w:rPr>
              <w:t>(нг*ч/мл/10 мг)</w:t>
            </w:r>
          </w:p>
        </w:tc>
        <w:tc>
          <w:tcPr>
            <w:tcW w:w="1031" w:type="dxa"/>
            <w:vAlign w:val="center"/>
          </w:tcPr>
          <w:p w14:paraId="0AB0BC90" w14:textId="49C8141E" w:rsidR="00B2188B" w:rsidRDefault="00502837" w:rsidP="00B93A35">
            <w:pPr>
              <w:ind w:firstLine="0"/>
              <w:jc w:val="center"/>
            </w:pPr>
            <w:r w:rsidRPr="00502837">
              <w:t>75</w:t>
            </w:r>
          </w:p>
        </w:tc>
        <w:tc>
          <w:tcPr>
            <w:tcW w:w="1969" w:type="dxa"/>
            <w:vAlign w:val="center"/>
          </w:tcPr>
          <w:p w14:paraId="393E979C" w14:textId="7E200D9B" w:rsidR="00B2188B" w:rsidRDefault="0094176B" w:rsidP="00B93A35">
            <w:pPr>
              <w:ind w:firstLine="0"/>
              <w:jc w:val="center"/>
            </w:pPr>
            <w:r>
              <w:t>311</w:t>
            </w:r>
          </w:p>
        </w:tc>
        <w:tc>
          <w:tcPr>
            <w:tcW w:w="1106" w:type="dxa"/>
            <w:vAlign w:val="center"/>
          </w:tcPr>
          <w:p w14:paraId="314B1776" w14:textId="480C5191" w:rsidR="00B2188B" w:rsidRDefault="00B8540B" w:rsidP="00B93A35">
            <w:pPr>
              <w:ind w:firstLine="0"/>
              <w:jc w:val="center"/>
            </w:pPr>
            <w:r>
              <w:t>60,1</w:t>
            </w:r>
          </w:p>
        </w:tc>
        <w:tc>
          <w:tcPr>
            <w:tcW w:w="1287" w:type="dxa"/>
            <w:vAlign w:val="center"/>
          </w:tcPr>
          <w:p w14:paraId="28CFD0E7" w14:textId="630328C5" w:rsidR="00B2188B" w:rsidRDefault="00CD7C63" w:rsidP="00B93A35">
            <w:pPr>
              <w:ind w:firstLine="0"/>
              <w:jc w:val="center"/>
            </w:pPr>
            <w:r>
              <w:t>307</w:t>
            </w:r>
          </w:p>
        </w:tc>
        <w:tc>
          <w:tcPr>
            <w:tcW w:w="1153" w:type="dxa"/>
            <w:vAlign w:val="center"/>
          </w:tcPr>
          <w:p w14:paraId="478DE8E3" w14:textId="37ED5791" w:rsidR="00B2188B" w:rsidRDefault="00672DD0" w:rsidP="00B93A35">
            <w:pPr>
              <w:ind w:firstLine="0"/>
              <w:jc w:val="center"/>
            </w:pPr>
            <w:r>
              <w:t>171</w:t>
            </w:r>
          </w:p>
        </w:tc>
        <w:tc>
          <w:tcPr>
            <w:tcW w:w="1163" w:type="dxa"/>
            <w:vAlign w:val="center"/>
          </w:tcPr>
          <w:p w14:paraId="2A2C246F" w14:textId="032A19D6" w:rsidR="00B2188B" w:rsidRDefault="008D21A6" w:rsidP="00B93A35">
            <w:pPr>
              <w:ind w:firstLine="0"/>
              <w:jc w:val="center"/>
            </w:pPr>
            <w:r>
              <w:t>665</w:t>
            </w:r>
          </w:p>
        </w:tc>
      </w:tr>
      <w:tr w:rsidR="00096E65" w14:paraId="3D1AB114" w14:textId="77777777" w:rsidTr="00B93A35">
        <w:tc>
          <w:tcPr>
            <w:tcW w:w="1528" w:type="dxa"/>
          </w:tcPr>
          <w:p w14:paraId="6017DED9" w14:textId="69093DFB" w:rsidR="00B2188B" w:rsidRDefault="0073618D" w:rsidP="00017DA2">
            <w:pPr>
              <w:ind w:firstLine="0"/>
            </w:pPr>
            <w:r w:rsidRPr="009C4B4B">
              <w:t>C</w:t>
            </w:r>
            <w:r w:rsidRPr="009C4B4B">
              <w:rPr>
                <w:vertAlign w:val="subscript"/>
              </w:rPr>
              <w:t>max</w:t>
            </w:r>
            <w:r>
              <w:rPr>
                <w:vertAlign w:val="subscript"/>
              </w:rPr>
              <w:t xml:space="preserve"> </w:t>
            </w:r>
            <w:r w:rsidRPr="009C4B4B">
              <w:t>(</w:t>
            </w:r>
            <w:r>
              <w:t>нг</w:t>
            </w:r>
            <w:r w:rsidRPr="009C4B4B">
              <w:t>/</w:t>
            </w:r>
            <w:r>
              <w:t>мл</w:t>
            </w:r>
            <w:r w:rsidRPr="009C4B4B">
              <w:t xml:space="preserve">/10 </w:t>
            </w:r>
            <w:r>
              <w:t>мг</w:t>
            </w:r>
            <w:r w:rsidRPr="009C4B4B">
              <w:t>)</w:t>
            </w:r>
          </w:p>
        </w:tc>
        <w:tc>
          <w:tcPr>
            <w:tcW w:w="1031" w:type="dxa"/>
            <w:vAlign w:val="center"/>
          </w:tcPr>
          <w:p w14:paraId="0ECD160F" w14:textId="579767B9" w:rsidR="00B2188B" w:rsidRDefault="00502837" w:rsidP="00B93A35">
            <w:pPr>
              <w:ind w:firstLine="0"/>
              <w:jc w:val="center"/>
            </w:pPr>
            <w:r w:rsidRPr="00502837">
              <w:t>75</w:t>
            </w:r>
          </w:p>
        </w:tc>
        <w:tc>
          <w:tcPr>
            <w:tcW w:w="1969" w:type="dxa"/>
            <w:vAlign w:val="center"/>
          </w:tcPr>
          <w:p w14:paraId="6CD3EE26" w14:textId="4BE9C5F2" w:rsidR="00B2188B" w:rsidRDefault="0094176B" w:rsidP="00B93A35">
            <w:pPr>
              <w:ind w:firstLine="0"/>
              <w:jc w:val="center"/>
            </w:pPr>
            <w:r>
              <w:t>79,4</w:t>
            </w:r>
          </w:p>
        </w:tc>
        <w:tc>
          <w:tcPr>
            <w:tcW w:w="1106" w:type="dxa"/>
            <w:vAlign w:val="center"/>
          </w:tcPr>
          <w:p w14:paraId="19642A8F" w14:textId="2B5AA8BF" w:rsidR="00B2188B" w:rsidRDefault="00B8540B" w:rsidP="00B93A35">
            <w:pPr>
              <w:ind w:firstLine="0"/>
              <w:jc w:val="center"/>
            </w:pPr>
            <w:r>
              <w:t>42,4</w:t>
            </w:r>
          </w:p>
        </w:tc>
        <w:tc>
          <w:tcPr>
            <w:tcW w:w="1287" w:type="dxa"/>
            <w:vAlign w:val="center"/>
          </w:tcPr>
          <w:p w14:paraId="32C16214" w14:textId="2BFC6A22" w:rsidR="00B2188B" w:rsidRDefault="00672DD0" w:rsidP="00B93A35">
            <w:pPr>
              <w:ind w:firstLine="0"/>
              <w:jc w:val="center"/>
            </w:pPr>
            <w:r>
              <w:t>81,3</w:t>
            </w:r>
          </w:p>
        </w:tc>
        <w:tc>
          <w:tcPr>
            <w:tcW w:w="1153" w:type="dxa"/>
            <w:vAlign w:val="center"/>
          </w:tcPr>
          <w:p w14:paraId="3FDC6099" w14:textId="445355DD" w:rsidR="00B2188B" w:rsidRDefault="00D3667B" w:rsidP="00B93A35">
            <w:pPr>
              <w:ind w:firstLine="0"/>
              <w:jc w:val="center"/>
            </w:pPr>
            <w:r>
              <w:t>41,0</w:t>
            </w:r>
          </w:p>
        </w:tc>
        <w:tc>
          <w:tcPr>
            <w:tcW w:w="1163" w:type="dxa"/>
            <w:vAlign w:val="center"/>
          </w:tcPr>
          <w:p w14:paraId="0472A46E" w14:textId="62E66ECA" w:rsidR="00B2188B" w:rsidRDefault="008D21A6" w:rsidP="00B93A35">
            <w:pPr>
              <w:ind w:firstLine="0"/>
              <w:jc w:val="center"/>
            </w:pPr>
            <w:r>
              <w:t>159</w:t>
            </w:r>
          </w:p>
        </w:tc>
      </w:tr>
      <w:tr w:rsidR="0036011F" w14:paraId="68A37C7F" w14:textId="77777777" w:rsidTr="00B93A35">
        <w:tc>
          <w:tcPr>
            <w:tcW w:w="1528" w:type="dxa"/>
          </w:tcPr>
          <w:p w14:paraId="4DDC94F2" w14:textId="4A0BA8F5" w:rsidR="0036011F" w:rsidRPr="009C4B4B" w:rsidRDefault="00F033B3" w:rsidP="00017DA2">
            <w:pPr>
              <w:ind w:firstLine="0"/>
            </w:pPr>
            <w:r>
              <w:rPr>
                <w:lang w:val="en-US"/>
              </w:rPr>
              <w:t>T</w:t>
            </w:r>
            <w:r w:rsidR="0036011F" w:rsidRPr="0037692A">
              <w:rPr>
                <w:vertAlign w:val="subscript"/>
              </w:rPr>
              <w:t>max</w:t>
            </w:r>
            <w:r w:rsidR="0036011F" w:rsidRPr="0037692A">
              <w:t xml:space="preserve"> (</w:t>
            </w:r>
            <w:r w:rsidR="0036011F">
              <w:t>ч</w:t>
            </w:r>
            <w:r w:rsidR="0036011F" w:rsidRPr="0037692A">
              <w:t>)</w:t>
            </w:r>
          </w:p>
        </w:tc>
        <w:tc>
          <w:tcPr>
            <w:tcW w:w="1031" w:type="dxa"/>
            <w:vAlign w:val="center"/>
          </w:tcPr>
          <w:p w14:paraId="224AED98" w14:textId="36CAD6F0" w:rsidR="0036011F" w:rsidRDefault="004C22D9" w:rsidP="00B93A35">
            <w:pPr>
              <w:ind w:firstLine="0"/>
              <w:jc w:val="center"/>
            </w:pPr>
            <w:r w:rsidRPr="004C22D9">
              <w:t>75</w:t>
            </w:r>
          </w:p>
        </w:tc>
        <w:tc>
          <w:tcPr>
            <w:tcW w:w="1969" w:type="dxa"/>
            <w:vAlign w:val="center"/>
          </w:tcPr>
          <w:p w14:paraId="2F89A65A" w14:textId="55D0BAE1" w:rsidR="0036011F" w:rsidRDefault="0094176B" w:rsidP="00B93A35">
            <w:pPr>
              <w:ind w:firstLine="0"/>
              <w:jc w:val="center"/>
            </w:pPr>
            <w:r>
              <w:t>н/о</w:t>
            </w:r>
          </w:p>
        </w:tc>
        <w:tc>
          <w:tcPr>
            <w:tcW w:w="1106" w:type="dxa"/>
            <w:vAlign w:val="center"/>
          </w:tcPr>
          <w:p w14:paraId="4EBFA522" w14:textId="6603E44A" w:rsidR="0036011F" w:rsidRDefault="00B8540B" w:rsidP="00B93A35">
            <w:pPr>
              <w:ind w:firstLine="0"/>
              <w:jc w:val="center"/>
            </w:pPr>
            <w:r>
              <w:t>н/о</w:t>
            </w:r>
          </w:p>
        </w:tc>
        <w:tc>
          <w:tcPr>
            <w:tcW w:w="1287" w:type="dxa"/>
            <w:vAlign w:val="center"/>
          </w:tcPr>
          <w:p w14:paraId="292EEC69" w14:textId="332E6BC9" w:rsidR="0036011F" w:rsidRDefault="00672DD0" w:rsidP="00B93A35">
            <w:pPr>
              <w:ind w:firstLine="0"/>
              <w:jc w:val="center"/>
            </w:pPr>
            <w:r>
              <w:t>1,0</w:t>
            </w:r>
          </w:p>
        </w:tc>
        <w:tc>
          <w:tcPr>
            <w:tcW w:w="1153" w:type="dxa"/>
            <w:vAlign w:val="center"/>
          </w:tcPr>
          <w:p w14:paraId="08303092" w14:textId="126C8895" w:rsidR="0036011F" w:rsidRDefault="00D3667B" w:rsidP="00B93A35">
            <w:pPr>
              <w:ind w:firstLine="0"/>
              <w:jc w:val="center"/>
            </w:pPr>
            <w:r>
              <w:t>0,25</w:t>
            </w:r>
          </w:p>
        </w:tc>
        <w:tc>
          <w:tcPr>
            <w:tcW w:w="1163" w:type="dxa"/>
            <w:vAlign w:val="center"/>
          </w:tcPr>
          <w:p w14:paraId="3BC3FBE6" w14:textId="2C20CC01" w:rsidR="0036011F" w:rsidRDefault="008D21A6" w:rsidP="00B93A35">
            <w:pPr>
              <w:ind w:firstLine="0"/>
              <w:jc w:val="center"/>
            </w:pPr>
            <w:r>
              <w:t>4,0</w:t>
            </w:r>
          </w:p>
        </w:tc>
      </w:tr>
      <w:tr w:rsidR="00DA426E" w14:paraId="53E1F2AF" w14:textId="77777777" w:rsidTr="00B93A35">
        <w:tc>
          <w:tcPr>
            <w:tcW w:w="1528" w:type="dxa"/>
          </w:tcPr>
          <w:p w14:paraId="0310561A" w14:textId="3E4E3597" w:rsidR="00DA426E" w:rsidRPr="00D21965" w:rsidRDefault="00D21965" w:rsidP="00017DA2">
            <w:pPr>
              <w:ind w:firstLine="0"/>
              <w:rPr>
                <w:vertAlign w:val="subscript"/>
                <w:lang w:val="en-US"/>
              </w:rPr>
            </w:pPr>
            <w:r>
              <w:rPr>
                <w:lang w:val="en-US"/>
              </w:rPr>
              <w:lastRenderedPageBreak/>
              <w:t>C</w:t>
            </w:r>
            <w:r>
              <w:rPr>
                <w:vertAlign w:val="subscript"/>
                <w:lang w:val="en-US"/>
              </w:rPr>
              <w:t>trough</w:t>
            </w:r>
            <w:r w:rsidR="00904B60">
              <w:rPr>
                <w:vertAlign w:val="subscript"/>
                <w:lang w:val="en-US"/>
              </w:rPr>
              <w:t xml:space="preserve"> </w:t>
            </w:r>
            <w:r w:rsidR="00904B60" w:rsidRPr="009C4B4B">
              <w:t>(</w:t>
            </w:r>
            <w:r w:rsidR="00904B60">
              <w:t>нг</w:t>
            </w:r>
            <w:r w:rsidR="00904B60" w:rsidRPr="009C4B4B">
              <w:t>/</w:t>
            </w:r>
            <w:r w:rsidR="00904B60">
              <w:t>мл</w:t>
            </w:r>
            <w:r w:rsidR="00904B60" w:rsidRPr="009C4B4B">
              <w:t xml:space="preserve">/10 </w:t>
            </w:r>
            <w:r w:rsidR="00904B60">
              <w:t>мг</w:t>
            </w:r>
            <w:r w:rsidR="00904B60" w:rsidRPr="009C4B4B">
              <w:t>)</w:t>
            </w:r>
          </w:p>
        </w:tc>
        <w:tc>
          <w:tcPr>
            <w:tcW w:w="1031" w:type="dxa"/>
            <w:vAlign w:val="center"/>
          </w:tcPr>
          <w:p w14:paraId="24C3D593" w14:textId="2157A494" w:rsidR="00DA426E" w:rsidRDefault="004C22D9" w:rsidP="00B93A35">
            <w:pPr>
              <w:ind w:firstLine="0"/>
              <w:jc w:val="center"/>
            </w:pPr>
            <w:r w:rsidRPr="004C22D9">
              <w:t>7</w:t>
            </w:r>
            <w:r>
              <w:t>4</w:t>
            </w:r>
          </w:p>
        </w:tc>
        <w:tc>
          <w:tcPr>
            <w:tcW w:w="1969" w:type="dxa"/>
            <w:vAlign w:val="center"/>
          </w:tcPr>
          <w:p w14:paraId="07E52FBD" w14:textId="2BEE4C14" w:rsidR="00DA426E" w:rsidRDefault="0094176B" w:rsidP="00B93A35">
            <w:pPr>
              <w:ind w:firstLine="0"/>
              <w:jc w:val="center"/>
            </w:pPr>
            <w:r>
              <w:t>4,98</w:t>
            </w:r>
          </w:p>
        </w:tc>
        <w:tc>
          <w:tcPr>
            <w:tcW w:w="1106" w:type="dxa"/>
            <w:vAlign w:val="center"/>
          </w:tcPr>
          <w:p w14:paraId="7E652D23" w14:textId="228878BF" w:rsidR="00DA426E" w:rsidRDefault="00CD7C63" w:rsidP="00B93A35">
            <w:pPr>
              <w:ind w:firstLine="0"/>
              <w:jc w:val="center"/>
            </w:pPr>
            <w:r>
              <w:t>111</w:t>
            </w:r>
          </w:p>
        </w:tc>
        <w:tc>
          <w:tcPr>
            <w:tcW w:w="1287" w:type="dxa"/>
            <w:vAlign w:val="center"/>
          </w:tcPr>
          <w:p w14:paraId="0A81A2DC" w14:textId="1BD5FF42" w:rsidR="00DA426E" w:rsidRDefault="00672DD0" w:rsidP="00B93A35">
            <w:pPr>
              <w:ind w:firstLine="0"/>
              <w:jc w:val="center"/>
            </w:pPr>
            <w:r>
              <w:t>4,02</w:t>
            </w:r>
          </w:p>
        </w:tc>
        <w:tc>
          <w:tcPr>
            <w:tcW w:w="1153" w:type="dxa"/>
            <w:vAlign w:val="center"/>
          </w:tcPr>
          <w:p w14:paraId="2A51913D" w14:textId="2839FBF1" w:rsidR="00DA426E" w:rsidRDefault="00D3667B" w:rsidP="00B93A35">
            <w:pPr>
              <w:ind w:firstLine="0"/>
              <w:jc w:val="center"/>
            </w:pPr>
            <w:r>
              <w:t>1,36</w:t>
            </w:r>
          </w:p>
        </w:tc>
        <w:tc>
          <w:tcPr>
            <w:tcW w:w="1163" w:type="dxa"/>
            <w:vAlign w:val="center"/>
          </w:tcPr>
          <w:p w14:paraId="163D974C" w14:textId="6CE58192" w:rsidR="00DA426E" w:rsidRDefault="008D21A6" w:rsidP="00B93A35">
            <w:pPr>
              <w:ind w:firstLine="0"/>
              <w:jc w:val="center"/>
            </w:pPr>
            <w:r>
              <w:t>23,5</w:t>
            </w:r>
          </w:p>
        </w:tc>
      </w:tr>
      <w:tr w:rsidR="00DA426E" w14:paraId="243749B4" w14:textId="77777777" w:rsidTr="00B93A35">
        <w:tc>
          <w:tcPr>
            <w:tcW w:w="1528" w:type="dxa"/>
          </w:tcPr>
          <w:p w14:paraId="1E2806A2" w14:textId="6320E296" w:rsidR="00DA426E" w:rsidRPr="002B311D" w:rsidRDefault="002B311D" w:rsidP="00017DA2">
            <w:pPr>
              <w:ind w:firstLine="0"/>
            </w:pPr>
            <w:r>
              <w:t>Коэффициент накопления</w:t>
            </w:r>
          </w:p>
        </w:tc>
        <w:tc>
          <w:tcPr>
            <w:tcW w:w="1031" w:type="dxa"/>
            <w:vAlign w:val="center"/>
          </w:tcPr>
          <w:p w14:paraId="00932D47" w14:textId="571A50C1" w:rsidR="00DA426E" w:rsidRDefault="004C22D9" w:rsidP="00B93A35">
            <w:pPr>
              <w:ind w:firstLine="0"/>
              <w:jc w:val="center"/>
            </w:pPr>
            <w:r>
              <w:t>51</w:t>
            </w:r>
          </w:p>
        </w:tc>
        <w:tc>
          <w:tcPr>
            <w:tcW w:w="1969" w:type="dxa"/>
            <w:vAlign w:val="center"/>
          </w:tcPr>
          <w:p w14:paraId="293CA7A7" w14:textId="0E04F448" w:rsidR="00DA426E" w:rsidRDefault="0094176B" w:rsidP="00B93A35">
            <w:pPr>
              <w:ind w:firstLine="0"/>
              <w:jc w:val="center"/>
            </w:pPr>
            <w:r>
              <w:t>1,12</w:t>
            </w:r>
          </w:p>
        </w:tc>
        <w:tc>
          <w:tcPr>
            <w:tcW w:w="1106" w:type="dxa"/>
            <w:vAlign w:val="center"/>
          </w:tcPr>
          <w:p w14:paraId="16F8879D" w14:textId="06300719" w:rsidR="00DA426E" w:rsidRDefault="00CD7C63" w:rsidP="00B93A35">
            <w:pPr>
              <w:ind w:firstLine="0"/>
              <w:jc w:val="center"/>
            </w:pPr>
            <w:r>
              <w:t>55,2</w:t>
            </w:r>
          </w:p>
        </w:tc>
        <w:tc>
          <w:tcPr>
            <w:tcW w:w="1287" w:type="dxa"/>
            <w:vAlign w:val="center"/>
          </w:tcPr>
          <w:p w14:paraId="57775E20" w14:textId="0E172D27" w:rsidR="00DA426E" w:rsidRDefault="00672DD0" w:rsidP="00B93A35">
            <w:pPr>
              <w:ind w:firstLine="0"/>
              <w:jc w:val="center"/>
            </w:pPr>
            <w:r>
              <w:t>1,15</w:t>
            </w:r>
          </w:p>
        </w:tc>
        <w:tc>
          <w:tcPr>
            <w:tcW w:w="1153" w:type="dxa"/>
            <w:vAlign w:val="center"/>
          </w:tcPr>
          <w:p w14:paraId="1962C9C8" w14:textId="6FB8014A" w:rsidR="00DA426E" w:rsidRDefault="00D3667B" w:rsidP="00B93A35">
            <w:pPr>
              <w:ind w:firstLine="0"/>
              <w:jc w:val="center"/>
            </w:pPr>
            <w:r>
              <w:t>0,72</w:t>
            </w:r>
          </w:p>
        </w:tc>
        <w:tc>
          <w:tcPr>
            <w:tcW w:w="1163" w:type="dxa"/>
            <w:vAlign w:val="center"/>
          </w:tcPr>
          <w:p w14:paraId="7DE3B8D9" w14:textId="560CE671" w:rsidR="00DA426E" w:rsidRDefault="00201D22" w:rsidP="00B93A35">
            <w:pPr>
              <w:ind w:firstLine="0"/>
              <w:jc w:val="center"/>
            </w:pPr>
            <w:r>
              <w:t>2,19</w:t>
            </w:r>
          </w:p>
        </w:tc>
      </w:tr>
      <w:tr w:rsidR="00DA426E" w14:paraId="565DF0C0" w14:textId="77777777" w:rsidTr="00B93A35">
        <w:tc>
          <w:tcPr>
            <w:tcW w:w="1528" w:type="dxa"/>
          </w:tcPr>
          <w:p w14:paraId="78135561" w14:textId="45B274AE" w:rsidR="00DA426E" w:rsidRPr="00007A9C" w:rsidRDefault="00007A9C" w:rsidP="00017DA2">
            <w:pPr>
              <w:ind w:firstLine="0"/>
              <w:rPr>
                <w:lang w:val="en-US"/>
              </w:rPr>
            </w:pPr>
            <w:r>
              <w:rPr>
                <w:lang w:val="en-US"/>
              </w:rPr>
              <w:t>PTR</w:t>
            </w:r>
          </w:p>
        </w:tc>
        <w:tc>
          <w:tcPr>
            <w:tcW w:w="1031" w:type="dxa"/>
            <w:vAlign w:val="center"/>
          </w:tcPr>
          <w:p w14:paraId="18BF6606" w14:textId="4F198D42" w:rsidR="00DA426E" w:rsidRDefault="004C22D9" w:rsidP="00B93A35">
            <w:pPr>
              <w:ind w:firstLine="0"/>
              <w:jc w:val="center"/>
            </w:pPr>
            <w:r>
              <w:t>74</w:t>
            </w:r>
          </w:p>
        </w:tc>
        <w:tc>
          <w:tcPr>
            <w:tcW w:w="1969" w:type="dxa"/>
            <w:vAlign w:val="center"/>
          </w:tcPr>
          <w:p w14:paraId="01B9AA5B" w14:textId="6BD380E4" w:rsidR="00DA426E" w:rsidRDefault="0094176B" w:rsidP="00B93A35">
            <w:pPr>
              <w:ind w:firstLine="0"/>
              <w:jc w:val="center"/>
            </w:pPr>
            <w:r>
              <w:t>16,7</w:t>
            </w:r>
          </w:p>
        </w:tc>
        <w:tc>
          <w:tcPr>
            <w:tcW w:w="1106" w:type="dxa"/>
            <w:vAlign w:val="center"/>
          </w:tcPr>
          <w:p w14:paraId="4AC9250C" w14:textId="76771B60" w:rsidR="00DA426E" w:rsidRDefault="00CD7C63" w:rsidP="00B93A35">
            <w:pPr>
              <w:ind w:firstLine="0"/>
              <w:jc w:val="center"/>
            </w:pPr>
            <w:r>
              <w:t>101</w:t>
            </w:r>
          </w:p>
        </w:tc>
        <w:tc>
          <w:tcPr>
            <w:tcW w:w="1287" w:type="dxa"/>
            <w:vAlign w:val="center"/>
          </w:tcPr>
          <w:p w14:paraId="219F1BD9" w14:textId="5D4D367D" w:rsidR="00DA426E" w:rsidRDefault="00672DD0" w:rsidP="00B93A35">
            <w:pPr>
              <w:ind w:firstLine="0"/>
              <w:jc w:val="center"/>
            </w:pPr>
            <w:r>
              <w:t>16,1</w:t>
            </w:r>
          </w:p>
        </w:tc>
        <w:tc>
          <w:tcPr>
            <w:tcW w:w="1153" w:type="dxa"/>
            <w:vAlign w:val="center"/>
          </w:tcPr>
          <w:p w14:paraId="6FFC202E" w14:textId="2BEB2A80" w:rsidR="00DA426E" w:rsidRDefault="00D3667B" w:rsidP="00B93A35">
            <w:pPr>
              <w:ind w:firstLine="0"/>
              <w:jc w:val="center"/>
            </w:pPr>
            <w:r>
              <w:t>3,9</w:t>
            </w:r>
          </w:p>
        </w:tc>
        <w:tc>
          <w:tcPr>
            <w:tcW w:w="1163" w:type="dxa"/>
            <w:vAlign w:val="center"/>
          </w:tcPr>
          <w:p w14:paraId="366B8870" w14:textId="77422649" w:rsidR="00DA426E" w:rsidRDefault="00201D22" w:rsidP="00B93A35">
            <w:pPr>
              <w:ind w:firstLine="0"/>
              <w:jc w:val="center"/>
            </w:pPr>
            <w:r>
              <w:t>71,6</w:t>
            </w:r>
          </w:p>
        </w:tc>
      </w:tr>
      <w:tr w:rsidR="00EC66E5" w14:paraId="2122659E" w14:textId="77777777" w:rsidTr="00B93A35">
        <w:tc>
          <w:tcPr>
            <w:tcW w:w="9237" w:type="dxa"/>
            <w:gridSpan w:val="7"/>
            <w:vAlign w:val="center"/>
          </w:tcPr>
          <w:p w14:paraId="6D4592EC" w14:textId="6BAB854C" w:rsidR="00EC66E5" w:rsidRDefault="00EC66E5" w:rsidP="00017DA2">
            <w:pPr>
              <w:ind w:firstLine="0"/>
            </w:pPr>
            <w:r>
              <w:t>Дополнительные параметры</w:t>
            </w:r>
          </w:p>
        </w:tc>
      </w:tr>
      <w:tr w:rsidR="00EC66E5" w14:paraId="0B90CEA2" w14:textId="77777777" w:rsidTr="00B93A35">
        <w:tc>
          <w:tcPr>
            <w:tcW w:w="1528" w:type="dxa"/>
          </w:tcPr>
          <w:p w14:paraId="3FA117DE" w14:textId="5C26C430" w:rsidR="00EC66E5" w:rsidRPr="00F943B9" w:rsidRDefault="00F033B3" w:rsidP="00017DA2">
            <w:pPr>
              <w:ind w:firstLine="0"/>
            </w:pPr>
            <w:r>
              <w:rPr>
                <w:lang w:val="en-US"/>
              </w:rPr>
              <w:t>T</w:t>
            </w:r>
            <w:r w:rsidR="00F943B9" w:rsidRPr="00F943B9">
              <w:rPr>
                <w:vertAlign w:val="subscript"/>
                <w:lang w:val="en-US"/>
              </w:rPr>
              <w:t>1/2</w:t>
            </w:r>
            <w:r w:rsidR="00F943B9">
              <w:t xml:space="preserve"> (ч)</w:t>
            </w:r>
          </w:p>
        </w:tc>
        <w:tc>
          <w:tcPr>
            <w:tcW w:w="1031" w:type="dxa"/>
            <w:vAlign w:val="center"/>
          </w:tcPr>
          <w:p w14:paraId="221D85B4" w14:textId="153BCE0D" w:rsidR="00EC66E5" w:rsidRDefault="004C22D9" w:rsidP="00B93A35">
            <w:pPr>
              <w:ind w:firstLine="0"/>
              <w:jc w:val="center"/>
            </w:pPr>
            <w:r>
              <w:t>472</w:t>
            </w:r>
          </w:p>
        </w:tc>
        <w:tc>
          <w:tcPr>
            <w:tcW w:w="1969" w:type="dxa"/>
            <w:vAlign w:val="center"/>
          </w:tcPr>
          <w:p w14:paraId="619F0D00" w14:textId="1B335417" w:rsidR="00EC66E5" w:rsidRDefault="0094176B" w:rsidP="00B93A35">
            <w:pPr>
              <w:ind w:firstLine="0"/>
              <w:jc w:val="center"/>
            </w:pPr>
            <w:r>
              <w:t>3,04</w:t>
            </w:r>
          </w:p>
        </w:tc>
        <w:tc>
          <w:tcPr>
            <w:tcW w:w="1106" w:type="dxa"/>
            <w:vAlign w:val="center"/>
          </w:tcPr>
          <w:p w14:paraId="2DC2A533" w14:textId="3A41DA94" w:rsidR="00EC66E5" w:rsidRDefault="00CD7C63" w:rsidP="00B93A35">
            <w:pPr>
              <w:ind w:firstLine="0"/>
              <w:jc w:val="center"/>
            </w:pPr>
            <w:r>
              <w:t>24,1</w:t>
            </w:r>
          </w:p>
        </w:tc>
        <w:tc>
          <w:tcPr>
            <w:tcW w:w="1287" w:type="dxa"/>
            <w:vAlign w:val="center"/>
          </w:tcPr>
          <w:p w14:paraId="1F485418" w14:textId="081670AE" w:rsidR="00EC66E5" w:rsidRDefault="00672DD0" w:rsidP="00B93A35">
            <w:pPr>
              <w:ind w:firstLine="0"/>
              <w:jc w:val="center"/>
            </w:pPr>
            <w:r>
              <w:t>3,1</w:t>
            </w:r>
          </w:p>
        </w:tc>
        <w:tc>
          <w:tcPr>
            <w:tcW w:w="1153" w:type="dxa"/>
            <w:vAlign w:val="center"/>
          </w:tcPr>
          <w:p w14:paraId="34CEE9E5" w14:textId="160ACF2E" w:rsidR="00EC66E5" w:rsidRDefault="008D21A6" w:rsidP="00B93A35">
            <w:pPr>
              <w:ind w:firstLine="0"/>
              <w:jc w:val="center"/>
            </w:pPr>
            <w:r>
              <w:t>1,92</w:t>
            </w:r>
          </w:p>
        </w:tc>
        <w:tc>
          <w:tcPr>
            <w:tcW w:w="1163" w:type="dxa"/>
            <w:vAlign w:val="center"/>
          </w:tcPr>
          <w:p w14:paraId="00EFD37B" w14:textId="2484360A" w:rsidR="00EC66E5" w:rsidRDefault="00201D22" w:rsidP="00B93A35">
            <w:pPr>
              <w:ind w:firstLine="0"/>
              <w:jc w:val="center"/>
            </w:pPr>
            <w:r>
              <w:t>4,69</w:t>
            </w:r>
          </w:p>
        </w:tc>
      </w:tr>
      <w:tr w:rsidR="00EC66E5" w14:paraId="5F507CB5" w14:textId="77777777" w:rsidTr="00B93A35">
        <w:tc>
          <w:tcPr>
            <w:tcW w:w="1528" w:type="dxa"/>
          </w:tcPr>
          <w:p w14:paraId="4D53D220" w14:textId="0DEB4E82" w:rsidR="00EC66E5" w:rsidRPr="00F943B9" w:rsidRDefault="00F943B9" w:rsidP="00017DA2">
            <w:pPr>
              <w:ind w:firstLine="0"/>
            </w:pPr>
            <w:r w:rsidRPr="00F943B9">
              <w:rPr>
                <w:lang w:val="en-US"/>
              </w:rPr>
              <w:t>CL/F</w:t>
            </w:r>
            <w:r>
              <w:t xml:space="preserve"> (л/ч)</w:t>
            </w:r>
          </w:p>
        </w:tc>
        <w:tc>
          <w:tcPr>
            <w:tcW w:w="1031" w:type="dxa"/>
            <w:vAlign w:val="center"/>
          </w:tcPr>
          <w:p w14:paraId="23B10096" w14:textId="2F746DCA" w:rsidR="00EC66E5" w:rsidRDefault="004C22D9" w:rsidP="00B93A35">
            <w:pPr>
              <w:ind w:firstLine="0"/>
              <w:jc w:val="center"/>
            </w:pPr>
            <w:r>
              <w:t>467</w:t>
            </w:r>
          </w:p>
        </w:tc>
        <w:tc>
          <w:tcPr>
            <w:tcW w:w="1969" w:type="dxa"/>
            <w:vAlign w:val="center"/>
          </w:tcPr>
          <w:p w14:paraId="58704C50" w14:textId="5B906C37" w:rsidR="00EC66E5" w:rsidRDefault="00B8540B" w:rsidP="00B93A35">
            <w:pPr>
              <w:ind w:firstLine="0"/>
              <w:jc w:val="center"/>
            </w:pPr>
            <w:r>
              <w:t>34,9</w:t>
            </w:r>
          </w:p>
        </w:tc>
        <w:tc>
          <w:tcPr>
            <w:tcW w:w="1106" w:type="dxa"/>
            <w:vAlign w:val="center"/>
          </w:tcPr>
          <w:p w14:paraId="672C8063" w14:textId="418CEE5A" w:rsidR="00EC66E5" w:rsidRDefault="00CD7C63" w:rsidP="00B93A35">
            <w:pPr>
              <w:ind w:firstLine="0"/>
              <w:jc w:val="center"/>
            </w:pPr>
            <w:r>
              <w:t>34,8</w:t>
            </w:r>
          </w:p>
        </w:tc>
        <w:tc>
          <w:tcPr>
            <w:tcW w:w="1287" w:type="dxa"/>
            <w:vAlign w:val="center"/>
          </w:tcPr>
          <w:p w14:paraId="31464250" w14:textId="43ECECB6" w:rsidR="00EC66E5" w:rsidRDefault="00672DD0" w:rsidP="00B93A35">
            <w:pPr>
              <w:ind w:firstLine="0"/>
              <w:jc w:val="center"/>
            </w:pPr>
            <w:r>
              <w:t>34,5</w:t>
            </w:r>
          </w:p>
        </w:tc>
        <w:tc>
          <w:tcPr>
            <w:tcW w:w="1153" w:type="dxa"/>
            <w:vAlign w:val="center"/>
          </w:tcPr>
          <w:p w14:paraId="6F6AC390" w14:textId="46624A94" w:rsidR="00EC66E5" w:rsidRDefault="008D21A6" w:rsidP="00B93A35">
            <w:pPr>
              <w:ind w:firstLine="0"/>
              <w:jc w:val="center"/>
            </w:pPr>
            <w:r>
              <w:t>18,1</w:t>
            </w:r>
          </w:p>
        </w:tc>
        <w:tc>
          <w:tcPr>
            <w:tcW w:w="1163" w:type="dxa"/>
            <w:vAlign w:val="center"/>
          </w:tcPr>
          <w:p w14:paraId="6DDD569B" w14:textId="39F796E5" w:rsidR="00EC66E5" w:rsidRDefault="00201D22" w:rsidP="00B93A35">
            <w:pPr>
              <w:ind w:firstLine="0"/>
              <w:jc w:val="center"/>
            </w:pPr>
            <w:r>
              <w:t>63,2</w:t>
            </w:r>
          </w:p>
        </w:tc>
      </w:tr>
      <w:tr w:rsidR="00AD0B20" w14:paraId="7FDC051C" w14:textId="77777777" w:rsidTr="00B93A35">
        <w:tc>
          <w:tcPr>
            <w:tcW w:w="9237" w:type="dxa"/>
            <w:gridSpan w:val="7"/>
          </w:tcPr>
          <w:p w14:paraId="7389E4CE" w14:textId="23AED6D3" w:rsidR="00AD0B20" w:rsidRPr="00AD0B20" w:rsidRDefault="00AD0B20" w:rsidP="00017DA2">
            <w:pPr>
              <w:pStyle w:val="SDcomments"/>
              <w:ind w:firstLine="0"/>
              <w:rPr>
                <w:b/>
                <w:iCs/>
              </w:rPr>
            </w:pPr>
            <w:r w:rsidRPr="00AD0B20">
              <w:rPr>
                <w:b/>
                <w:iCs/>
              </w:rPr>
              <w:t>Примечани</w:t>
            </w:r>
            <w:r w:rsidR="00B93A35">
              <w:rPr>
                <w:b/>
                <w:iCs/>
              </w:rPr>
              <w:t>е</w:t>
            </w:r>
            <w:r w:rsidRPr="00AD0B20">
              <w:rPr>
                <w:b/>
                <w:iCs/>
              </w:rPr>
              <w:t>:</w:t>
            </w:r>
          </w:p>
          <w:p w14:paraId="4D98F42B" w14:textId="70FBA52D" w:rsidR="00AD0B20" w:rsidRPr="00AD0B20" w:rsidRDefault="00AD0B20" w:rsidP="00017DA2">
            <w:pPr>
              <w:pStyle w:val="SDcomments"/>
              <w:ind w:firstLine="0"/>
              <w:rPr>
                <w:rFonts w:cs="Times New Roman"/>
              </w:rPr>
            </w:pPr>
            <w:r w:rsidRPr="00640D82">
              <w:t>CV</w:t>
            </w:r>
            <w:r w:rsidRPr="00640D82">
              <w:rPr>
                <w:i/>
                <w:iCs/>
              </w:rPr>
              <w:t xml:space="preserve"> </w:t>
            </w:r>
            <w:r>
              <w:t>– коэффициент вариации (</w:t>
            </w:r>
            <w:r>
              <w:rPr>
                <w:lang w:val="en-US"/>
              </w:rPr>
              <w:t>coefficient</w:t>
            </w:r>
            <w:r w:rsidRPr="00640D82">
              <w:t xml:space="preserve"> </w:t>
            </w:r>
            <w:r>
              <w:rPr>
                <w:lang w:val="en-US"/>
              </w:rPr>
              <w:t>of</w:t>
            </w:r>
            <w:r w:rsidRPr="00640D82">
              <w:t xml:space="preserve"> </w:t>
            </w:r>
            <w:r>
              <w:rPr>
                <w:lang w:val="en-US"/>
              </w:rPr>
              <w:t>variation</w:t>
            </w:r>
            <w:r w:rsidRPr="00640D82">
              <w:t>)</w:t>
            </w:r>
            <w:r>
              <w:t xml:space="preserve">; </w:t>
            </w:r>
            <w:r>
              <w:rPr>
                <w:lang w:val="en-US"/>
              </w:rPr>
              <w:t>AUC</w:t>
            </w:r>
            <w:r w:rsidRPr="001D0F35">
              <w:rPr>
                <w:vertAlign w:val="subscript"/>
              </w:rPr>
              <w:t>(0-</w:t>
            </w:r>
            <w:r w:rsidRPr="001D0F35">
              <w:rPr>
                <w:rFonts w:cs="Times New Roman"/>
                <w:vertAlign w:val="subscript"/>
              </w:rPr>
              <w:t xml:space="preserve">∞) </w:t>
            </w:r>
            <w:r w:rsidRPr="001D0F35">
              <w:rPr>
                <w:rFonts w:cs="Times New Roman"/>
              </w:rPr>
              <w:t xml:space="preserve">– </w:t>
            </w:r>
            <w:r>
              <w:rPr>
                <w:rFonts w:cs="Times New Roman"/>
              </w:rPr>
              <w:t xml:space="preserve">площадь под </w:t>
            </w:r>
            <w:r w:rsidRPr="00AD0B20">
              <w:rPr>
                <w:rFonts w:cs="Times New Roman"/>
              </w:rPr>
              <w:t>фармакокинетической кривой от начального момента времени до бесконечности; C</w:t>
            </w:r>
            <w:r w:rsidRPr="00AD0B20">
              <w:rPr>
                <w:rFonts w:cs="Times New Roman"/>
                <w:vertAlign w:val="subscript"/>
              </w:rPr>
              <w:t>max</w:t>
            </w:r>
            <w:r w:rsidR="00383E6F">
              <w:rPr>
                <w:rFonts w:cs="Times New Roman"/>
                <w:vertAlign w:val="subscript"/>
              </w:rPr>
              <w:t xml:space="preserve"> </w:t>
            </w:r>
            <w:r w:rsidR="00F033B3">
              <w:rPr>
                <w:rFonts w:cs="Times New Roman"/>
              </w:rPr>
              <w:t xml:space="preserve">– максимальная концентрация; </w:t>
            </w:r>
            <w:r w:rsidR="00F033B3">
              <w:rPr>
                <w:rFonts w:cs="Times New Roman"/>
                <w:lang w:val="en-US"/>
              </w:rPr>
              <w:t>T</w:t>
            </w:r>
            <w:r w:rsidRPr="00AD0B20">
              <w:rPr>
                <w:rFonts w:cs="Times New Roman"/>
                <w:vertAlign w:val="subscript"/>
              </w:rPr>
              <w:t>max</w:t>
            </w:r>
            <w:r w:rsidRPr="00AD0B20">
              <w:rPr>
                <w:rFonts w:cs="Times New Roman"/>
              </w:rPr>
              <w:t xml:space="preserve"> – время достижения максимальной концентрации; </w:t>
            </w:r>
            <w:r w:rsidRPr="00AD0B20">
              <w:rPr>
                <w:rFonts w:cs="Times New Roman"/>
                <w:lang w:val="en-US"/>
              </w:rPr>
              <w:t>AUC</w:t>
            </w:r>
            <w:r w:rsidRPr="00AD0B20">
              <w:rPr>
                <w:rFonts w:cs="Times New Roman"/>
                <w:vertAlign w:val="subscript"/>
              </w:rPr>
              <w:t>(0-</w:t>
            </w:r>
            <w:r w:rsidRPr="00AD0B20">
              <w:rPr>
                <w:rFonts w:ascii="Cambria Math" w:hAnsi="Cambria Math" w:cs="Cambria Math"/>
                <w:vertAlign w:val="subscript"/>
              </w:rPr>
              <w:t>𝞽</w:t>
            </w:r>
            <w:r w:rsidRPr="00AD0B20">
              <w:rPr>
                <w:rFonts w:cs="Times New Roman"/>
                <w:vertAlign w:val="subscript"/>
              </w:rPr>
              <w:t xml:space="preserve">) </w:t>
            </w:r>
            <w:r w:rsidRPr="00AD0B20">
              <w:rPr>
                <w:rFonts w:cs="Times New Roman"/>
              </w:rPr>
              <w:t xml:space="preserve">– равновесная площадь под кривой в интервале дозирования; </w:t>
            </w:r>
            <w:r w:rsidRPr="00AD0B20">
              <w:rPr>
                <w:rFonts w:cs="Times New Roman"/>
                <w:lang w:val="en-US"/>
              </w:rPr>
              <w:t>C</w:t>
            </w:r>
            <w:r w:rsidRPr="00AD0B20">
              <w:rPr>
                <w:rFonts w:cs="Times New Roman"/>
                <w:vertAlign w:val="subscript"/>
                <w:lang w:val="en-US"/>
              </w:rPr>
              <w:t>trough</w:t>
            </w:r>
            <w:r w:rsidRPr="00AD0B20">
              <w:rPr>
                <w:rFonts w:cs="Times New Roman"/>
              </w:rPr>
              <w:t xml:space="preserve"> – концентрация перед очередным приемом препарата; </w:t>
            </w:r>
            <w:r w:rsidRPr="00AD0B20">
              <w:rPr>
                <w:rFonts w:cs="Times New Roman"/>
                <w:lang w:val="en-US"/>
              </w:rPr>
              <w:t>PTR</w:t>
            </w:r>
            <w:r w:rsidRPr="00AD0B20">
              <w:rPr>
                <w:rFonts w:cs="Times New Roman"/>
              </w:rPr>
              <w:t xml:space="preserve"> – отношение </w:t>
            </w:r>
            <w:r w:rsidRPr="00AD0B20">
              <w:rPr>
                <w:rFonts w:cs="Times New Roman"/>
                <w:lang w:val="en-US"/>
              </w:rPr>
              <w:t>C</w:t>
            </w:r>
            <w:r w:rsidRPr="00AD0B20">
              <w:rPr>
                <w:rFonts w:cs="Times New Roman"/>
                <w:vertAlign w:val="subscript"/>
                <w:lang w:val="en-US"/>
              </w:rPr>
              <w:t>max</w:t>
            </w:r>
            <w:r w:rsidRPr="00AD0B20">
              <w:rPr>
                <w:rFonts w:cs="Times New Roman"/>
              </w:rPr>
              <w:t xml:space="preserve"> к </w:t>
            </w:r>
            <w:r w:rsidRPr="00AD0B20">
              <w:rPr>
                <w:rFonts w:cs="Times New Roman"/>
                <w:lang w:val="en-US"/>
              </w:rPr>
              <w:t>C</w:t>
            </w:r>
            <w:r w:rsidRPr="00AD0B20">
              <w:rPr>
                <w:rFonts w:cs="Times New Roman"/>
                <w:vertAlign w:val="subscript"/>
                <w:lang w:val="en-US"/>
              </w:rPr>
              <w:t>trough</w:t>
            </w:r>
            <w:r w:rsidRPr="00AD0B20">
              <w:rPr>
                <w:rFonts w:cs="Times New Roman"/>
              </w:rPr>
              <w:t xml:space="preserve"> (</w:t>
            </w:r>
            <w:r w:rsidRPr="00AD0B20">
              <w:rPr>
                <w:rFonts w:cs="Times New Roman"/>
                <w:lang w:val="en-US"/>
              </w:rPr>
              <w:t>Peak</w:t>
            </w:r>
            <w:r w:rsidRPr="00AD0B20">
              <w:rPr>
                <w:rFonts w:cs="Times New Roman"/>
              </w:rPr>
              <w:t xml:space="preserve"> </w:t>
            </w:r>
            <w:r w:rsidRPr="00AD0B20">
              <w:rPr>
                <w:rFonts w:cs="Times New Roman"/>
                <w:lang w:val="en-US"/>
              </w:rPr>
              <w:t>to</w:t>
            </w:r>
            <w:r w:rsidRPr="00AD0B20">
              <w:rPr>
                <w:rFonts w:cs="Times New Roman"/>
              </w:rPr>
              <w:t xml:space="preserve"> </w:t>
            </w:r>
            <w:r w:rsidRPr="00AD0B20">
              <w:rPr>
                <w:rFonts w:cs="Times New Roman"/>
                <w:lang w:val="en-US"/>
              </w:rPr>
              <w:t>trough</w:t>
            </w:r>
            <w:r w:rsidRPr="00AD0B20">
              <w:rPr>
                <w:rFonts w:cs="Times New Roman"/>
              </w:rPr>
              <w:t xml:space="preserve"> </w:t>
            </w:r>
            <w:r w:rsidRPr="00AD0B20">
              <w:rPr>
                <w:rFonts w:cs="Times New Roman"/>
                <w:lang w:val="en-US"/>
              </w:rPr>
              <w:t>ratio</w:t>
            </w:r>
            <w:r w:rsidR="00F033B3">
              <w:rPr>
                <w:rFonts w:cs="Times New Roman"/>
              </w:rPr>
              <w:t xml:space="preserve">); </w:t>
            </w:r>
            <w:r w:rsidR="00F033B3">
              <w:rPr>
                <w:rFonts w:cs="Times New Roman"/>
                <w:lang w:val="en-US"/>
              </w:rPr>
              <w:t>T</w:t>
            </w:r>
            <w:r w:rsidRPr="00AD0B20">
              <w:rPr>
                <w:rFonts w:cs="Times New Roman"/>
                <w:vertAlign w:val="subscript"/>
              </w:rPr>
              <w:t>1/2</w:t>
            </w:r>
            <w:r w:rsidRPr="00AD0B20">
              <w:rPr>
                <w:rFonts w:cs="Times New Roman"/>
              </w:rPr>
              <w:t xml:space="preserve"> – период полувыведения; CL/F – общий плазменный клиренс при пероральном приеме; н/о – не определяли.</w:t>
            </w:r>
          </w:p>
        </w:tc>
      </w:tr>
    </w:tbl>
    <w:p w14:paraId="2668870F" w14:textId="77777777" w:rsidR="009F1160" w:rsidRDefault="009F1160" w:rsidP="00017DA2">
      <w:pPr>
        <w:pStyle w:val="SDText"/>
        <w:spacing w:after="0"/>
      </w:pPr>
    </w:p>
    <w:p w14:paraId="6A334F26" w14:textId="2EFB3C2E" w:rsidR="00E8582C" w:rsidRPr="00222699" w:rsidRDefault="00AA5E1A" w:rsidP="00222699">
      <w:pPr>
        <w:spacing w:after="0"/>
        <w:ind w:firstLine="0"/>
        <w:rPr>
          <w:b/>
        </w:rPr>
      </w:pPr>
      <w:bookmarkStart w:id="200" w:name="_Toc115421064"/>
      <w:r w:rsidRPr="00222699">
        <w:rPr>
          <w:b/>
        </w:rPr>
        <w:t>Распределение</w:t>
      </w:r>
      <w:bookmarkEnd w:id="200"/>
    </w:p>
    <w:p w14:paraId="1668A3B2" w14:textId="77777777" w:rsidR="008F61BF" w:rsidRPr="00222699" w:rsidRDefault="008F61BF" w:rsidP="00222699">
      <w:pPr>
        <w:pStyle w:val="SDText"/>
        <w:spacing w:after="0"/>
        <w:ind w:firstLine="0"/>
        <w:contextualSpacing/>
        <w:rPr>
          <w:b/>
        </w:rPr>
      </w:pPr>
    </w:p>
    <w:p w14:paraId="0A446059" w14:textId="0408D2C6" w:rsidR="00763FB0" w:rsidRDefault="00763FB0" w:rsidP="00017DA2">
      <w:pPr>
        <w:pStyle w:val="SDText"/>
        <w:spacing w:after="0"/>
        <w:contextualSpacing/>
      </w:pPr>
      <w:r>
        <w:t xml:space="preserve">В исследовании </w:t>
      </w:r>
      <w:r w:rsidRPr="006E1065">
        <w:t>DM2001-690550-18</w:t>
      </w:r>
      <w:r>
        <w:t xml:space="preserve"> с использованием образцов плазмы крови определили, что связывание тофацитиниба с белками плазмы крови существенно не зависело от концентрации лекарственного средства, средняя доля несвязанной (свободной) фракции </w:t>
      </w:r>
      <w:r w:rsidR="000C493D" w:rsidRPr="000C493D">
        <w:t xml:space="preserve">тофацитиниба </w:t>
      </w:r>
      <w:r>
        <w:t xml:space="preserve">составила 67% для мышей, 84,7% для крыс, 79,9% для собак, </w:t>
      </w:r>
      <w:r w:rsidRPr="00047781">
        <w:t>64</w:t>
      </w:r>
      <w:r>
        <w:t>,</w:t>
      </w:r>
      <w:r w:rsidRPr="00047781">
        <w:t>8</w:t>
      </w:r>
      <w:r w:rsidR="002370E0">
        <w:t>%</w:t>
      </w:r>
      <w:r w:rsidRPr="00047781">
        <w:t xml:space="preserve"> </w:t>
      </w:r>
      <w:r>
        <w:t>для обезьян и</w:t>
      </w:r>
      <w:r w:rsidRPr="00047781">
        <w:t xml:space="preserve"> 61</w:t>
      </w:r>
      <w:r>
        <w:t>,</w:t>
      </w:r>
      <w:r w:rsidRPr="00047781">
        <w:t xml:space="preserve">5% </w:t>
      </w:r>
      <w:r>
        <w:t xml:space="preserve">для человека </w:t>
      </w:r>
      <w:r w:rsidR="00094C81">
        <w:fldChar w:fldCharType="begin"/>
      </w:r>
      <w:r w:rsidR="00044A89">
        <w:instrText xml:space="preserve"> ADDIN ZOTERO_ITEM CSL_CITATION {"citationID":"nkAydR4n","properties":{"formattedCitation":"[23]","plainCitation":"[23]","noteIndex":0},"citationItems":[{"id":87804,"uris":["http://zotero.org/groups/4742804/items/MQJLNM6K"],"itemData":{"id":87804,"type":"webpage","title":"Xeljanz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94C81">
        <w:fldChar w:fldCharType="separate"/>
      </w:r>
      <w:r w:rsidR="00AD0B20">
        <w:rPr>
          <w:rFonts w:cs="Times New Roman"/>
        </w:rPr>
        <w:t>[1</w:t>
      </w:r>
      <w:r w:rsidR="00044A89" w:rsidRPr="00044A89">
        <w:rPr>
          <w:rFonts w:cs="Times New Roman"/>
        </w:rPr>
        <w:t>]</w:t>
      </w:r>
      <w:r w:rsidR="00094C81">
        <w:fldChar w:fldCharType="end"/>
      </w:r>
      <w:r w:rsidR="00094C81">
        <w:t>.</w:t>
      </w:r>
    </w:p>
    <w:p w14:paraId="7C30EC5A" w14:textId="0DBBACF3" w:rsidR="00763FB0" w:rsidRDefault="00763FB0" w:rsidP="00017DA2">
      <w:pPr>
        <w:pStyle w:val="SDText"/>
        <w:spacing w:after="0"/>
        <w:contextualSpacing/>
      </w:pPr>
      <w:r>
        <w:t xml:space="preserve">В исследовании </w:t>
      </w:r>
      <w:r w:rsidRPr="00E0701B">
        <w:t>DM2002-690550-025</w:t>
      </w:r>
      <w:r>
        <w:t xml:space="preserve"> с использованием сывороточного альбумина человека выявили, что </w:t>
      </w:r>
      <w:r w:rsidR="000C493D" w:rsidRPr="000C493D">
        <w:t>тофацитиниб</w:t>
      </w:r>
      <w:r w:rsidR="000C493D">
        <w:t xml:space="preserve"> </w:t>
      </w:r>
      <w:r>
        <w:t>связывается с этим белком (49% связанная фракция, 51% несвязанная фракция). Сопоставив эти данные с результатами оценки связывания тофацитиниба с использованием образцов плазмы крови человека (несвязанная фракция 61,5%)</w:t>
      </w:r>
      <w:r w:rsidR="00127FED">
        <w:t>,</w:t>
      </w:r>
      <w:r>
        <w:t xml:space="preserve"> пришли к выводу, что связывание </w:t>
      </w:r>
      <w:r w:rsidR="000C493D" w:rsidRPr="000C493D">
        <w:t xml:space="preserve">тофацитиниба </w:t>
      </w:r>
      <w:r>
        <w:t xml:space="preserve">с белками плазмы крови происходит преимущественно за счет связывания с альбумином. Тофацитиниб не связывается с </w:t>
      </w:r>
      <w:r>
        <w:rPr>
          <w:rFonts w:cs="Times New Roman"/>
        </w:rPr>
        <w:t>α</w:t>
      </w:r>
      <w:r w:rsidRPr="004456DB">
        <w:rPr>
          <w:vertAlign w:val="subscript"/>
        </w:rPr>
        <w:t>1</w:t>
      </w:r>
      <w:r>
        <w:t xml:space="preserve">-кислым гликопротеином </w:t>
      </w:r>
      <w:r w:rsidR="00094C81">
        <w:fldChar w:fldCharType="begin"/>
      </w:r>
      <w:r w:rsidR="00044A89">
        <w:instrText xml:space="preserve"> ADDIN ZOTERO_ITEM CSL_CITATION {"citationID":"iRhG38S6","properties":{"formattedCitation":"[23]","plainCitation":"[23]","noteIndex":0},"citationItems":[{"id":87804,"uris":["http://zotero.org/groups/4742804/items/MQJLNM6K"],"itemData":{"id":87804,"type":"webpage","title":"Xeljanz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94C81">
        <w:fldChar w:fldCharType="separate"/>
      </w:r>
      <w:r w:rsidR="00AD0B20">
        <w:rPr>
          <w:rFonts w:cs="Times New Roman"/>
        </w:rPr>
        <w:t>[1</w:t>
      </w:r>
      <w:r w:rsidR="00044A89" w:rsidRPr="00044A89">
        <w:rPr>
          <w:rFonts w:cs="Times New Roman"/>
        </w:rPr>
        <w:t>]</w:t>
      </w:r>
      <w:r w:rsidR="00094C81">
        <w:fldChar w:fldCharType="end"/>
      </w:r>
      <w:r w:rsidR="00094C81">
        <w:t>.</w:t>
      </w:r>
    </w:p>
    <w:p w14:paraId="4D705798" w14:textId="72F643BC" w:rsidR="00E8582C" w:rsidRDefault="00094C81" w:rsidP="00017DA2">
      <w:pPr>
        <w:pStyle w:val="SDText"/>
        <w:spacing w:after="0"/>
        <w:contextualSpacing/>
      </w:pPr>
      <w:r>
        <w:t>В исследовании</w:t>
      </w:r>
      <w:r w:rsidRPr="002A7EB8">
        <w:t xml:space="preserve"> 055956</w:t>
      </w:r>
      <w:r>
        <w:t xml:space="preserve"> с использованием образцов, полученных от крыс, обезьян и человека, установили, что среднее отношение концентрации </w:t>
      </w:r>
      <w:r w:rsidR="000C493D" w:rsidRPr="000C493D">
        <w:t xml:space="preserve">тофацитиниба </w:t>
      </w:r>
      <w:r>
        <w:t xml:space="preserve">в крови к концентрации </w:t>
      </w:r>
      <w:r w:rsidR="000C493D" w:rsidRPr="000C493D">
        <w:t xml:space="preserve">тофацитиниба </w:t>
      </w:r>
      <w:r>
        <w:t xml:space="preserve">в плазме крови при использовании в концентрации 1 мкмоль/л (~312 нг/мл активного компонента) составляло 1,2 для каждого вида, что указывает на минимальное поглощение тофацитиниба клетками крови </w:t>
      </w:r>
      <w:r w:rsidR="000505A9">
        <w:fldChar w:fldCharType="begin"/>
      </w:r>
      <w:r w:rsidR="00044A89">
        <w:instrText xml:space="preserve"> ADDIN ZOTERO_ITEM CSL_CITATION {"citationID":"J3XTS0Mo","properties":{"formattedCitation":"[23]","plainCitation":"[23]","noteIndex":0},"citationItems":[{"id":87804,"uris":["http://zotero.org/groups/4742804/items/MQJLNM6K"],"itemData":{"id":87804,"type":"webpage","title":"Xeljanz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505A9">
        <w:fldChar w:fldCharType="separate"/>
      </w:r>
      <w:r w:rsidR="00AD0B20">
        <w:rPr>
          <w:rFonts w:cs="Times New Roman"/>
        </w:rPr>
        <w:t>[1</w:t>
      </w:r>
      <w:r w:rsidR="00044A89" w:rsidRPr="00044A89">
        <w:rPr>
          <w:rFonts w:cs="Times New Roman"/>
        </w:rPr>
        <w:t>]</w:t>
      </w:r>
      <w:r w:rsidR="000505A9">
        <w:fldChar w:fldCharType="end"/>
      </w:r>
      <w:r>
        <w:t>.</w:t>
      </w:r>
    </w:p>
    <w:p w14:paraId="02CB6B7D" w14:textId="50E24F80" w:rsidR="009E3355" w:rsidRDefault="00ED2416" w:rsidP="00017DA2">
      <w:pPr>
        <w:pStyle w:val="SDText"/>
        <w:spacing w:after="0"/>
        <w:contextualSpacing/>
      </w:pPr>
      <w:r w:rsidRPr="00ED2416">
        <w:t xml:space="preserve">После внутривенного введения кажущийся объем распределения </w:t>
      </w:r>
      <w:r>
        <w:t xml:space="preserve">в равновесном состоянии </w:t>
      </w:r>
      <w:r w:rsidRPr="00ED2416">
        <w:t>(V</w:t>
      </w:r>
      <w:r w:rsidRPr="00ED2416">
        <w:rPr>
          <w:vertAlign w:val="subscript"/>
        </w:rPr>
        <w:t>ss</w:t>
      </w:r>
      <w:r w:rsidRPr="00ED2416">
        <w:t xml:space="preserve">) тофацитиниба </w:t>
      </w:r>
      <w:r w:rsidR="0099212C">
        <w:t>равнялся</w:t>
      </w:r>
      <w:r w:rsidRPr="00ED2416">
        <w:t xml:space="preserve"> 87 л, что свидетельствует о распределении в тканях (исследование A3921077). Доля тофацитиниба, не</w:t>
      </w:r>
      <w:r w:rsidR="00A56A65">
        <w:t xml:space="preserve"> </w:t>
      </w:r>
      <w:r w:rsidRPr="00ED2416">
        <w:t xml:space="preserve">связанного с белками плазмы </w:t>
      </w:r>
      <w:r w:rsidR="00A56A65">
        <w:t>(</w:t>
      </w:r>
      <w:r w:rsidR="00A56A65">
        <w:rPr>
          <w:lang w:val="en-US"/>
        </w:rPr>
        <w:t>fu</w:t>
      </w:r>
      <w:r w:rsidR="00A56A65" w:rsidRPr="00A56A65">
        <w:t>)</w:t>
      </w:r>
      <w:r w:rsidRPr="00ED2416">
        <w:t xml:space="preserve">, </w:t>
      </w:r>
      <w:r>
        <w:t>при определении</w:t>
      </w:r>
      <w:r w:rsidRPr="00ED2416">
        <w:t xml:space="preserve"> методами </w:t>
      </w:r>
      <w:r w:rsidRPr="00ED2416">
        <w:rPr>
          <w:i/>
          <w:iCs/>
        </w:rPr>
        <w:t>in vitro</w:t>
      </w:r>
      <w:r w:rsidRPr="00ED2416">
        <w:t>, составила 0,61. Тофацитиниб не связывается с α</w:t>
      </w:r>
      <w:r w:rsidRPr="0099212C">
        <w:rPr>
          <w:vertAlign w:val="subscript"/>
        </w:rPr>
        <w:t>1</w:t>
      </w:r>
      <w:r w:rsidRPr="00ED2416">
        <w:t>-кисл</w:t>
      </w:r>
      <w:r w:rsidR="0099212C">
        <w:t>ым</w:t>
      </w:r>
      <w:r w:rsidRPr="00ED2416">
        <w:t xml:space="preserve"> гликопротеином (fu ~1), но умеренно связывается с сывороточным альбумином человека (fu 0,51). Отношение концентрации тофацитиниба в крови к </w:t>
      </w:r>
      <w:r w:rsidR="00A56A65">
        <w:t xml:space="preserve">концентрации в </w:t>
      </w:r>
      <w:r w:rsidRPr="00ED2416">
        <w:t>плазме</w:t>
      </w:r>
      <w:r w:rsidR="00A56A65">
        <w:t xml:space="preserve"> крови</w:t>
      </w:r>
      <w:r w:rsidRPr="00ED2416">
        <w:t xml:space="preserve">, определенное </w:t>
      </w:r>
      <w:r w:rsidRPr="00A56A65">
        <w:rPr>
          <w:i/>
          <w:iCs/>
        </w:rPr>
        <w:t>in vitro</w:t>
      </w:r>
      <w:r w:rsidRPr="00ED2416">
        <w:t xml:space="preserve"> при концентрации 1 мк</w:t>
      </w:r>
      <w:r w:rsidR="00A56A65">
        <w:t>моль/л</w:t>
      </w:r>
      <w:r w:rsidRPr="00ED2416">
        <w:t xml:space="preserve"> (312 нг/мл), составило 1,2, что свидетельств</w:t>
      </w:r>
      <w:r w:rsidR="00A56A65">
        <w:t>овало</w:t>
      </w:r>
      <w:r w:rsidRPr="00ED2416">
        <w:t xml:space="preserve"> об относительно равном распределении лекарственного средства между эритроцит</w:t>
      </w:r>
      <w:r w:rsidR="00A56A65">
        <w:t>ами</w:t>
      </w:r>
      <w:r w:rsidRPr="00ED2416">
        <w:t xml:space="preserve"> и плазмой</w:t>
      </w:r>
      <w:r w:rsidR="00A56A65">
        <w:t xml:space="preserve"> крови</w:t>
      </w:r>
      <w:r w:rsidRPr="00ED2416">
        <w:t>. Общий клиренс после внутривенного введения (CL</w:t>
      </w:r>
      <w:r w:rsidRPr="00A56A65">
        <w:rPr>
          <w:vertAlign w:val="subscript"/>
        </w:rPr>
        <w:t>iv</w:t>
      </w:r>
      <w:r w:rsidRPr="00ED2416">
        <w:t>) составляет примерно 413 мл/мин</w:t>
      </w:r>
      <w:r w:rsidR="009243B6">
        <w:t xml:space="preserve"> </w:t>
      </w:r>
      <w:r w:rsidR="009243B6">
        <w:fldChar w:fldCharType="begin"/>
      </w:r>
      <w:r w:rsidR="00957218">
        <w:instrText xml:space="preserve"> ADDIN ZOTERO_ITEM CSL_CITATION {"citationID":"C3jYDUrG","properties":{"formattedCitation":"[21]","plainCitation":"[21]","noteIndex":0},"citationItems":[{"id":91153,"uris":["http://zotero.org/groups/4742804/items/UAUYPBRD"],"itemData":{"id":91153,"type":"webpage","title":"Xeljanz.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9243B6">
        <w:fldChar w:fldCharType="separate"/>
      </w:r>
      <w:r w:rsidR="00AD0B20">
        <w:rPr>
          <w:rFonts w:cs="Times New Roman"/>
        </w:rPr>
        <w:t>[23</w:t>
      </w:r>
      <w:r w:rsidR="009243B6" w:rsidRPr="00FC52EB">
        <w:rPr>
          <w:rFonts w:cs="Times New Roman"/>
        </w:rPr>
        <w:t>]</w:t>
      </w:r>
      <w:r w:rsidR="009243B6">
        <w:fldChar w:fldCharType="end"/>
      </w:r>
      <w:r w:rsidR="009243B6">
        <w:t>.</w:t>
      </w:r>
    </w:p>
    <w:p w14:paraId="1510B57F" w14:textId="77777777" w:rsidR="00B93A35" w:rsidRDefault="00B93A35" w:rsidP="00017DA2">
      <w:pPr>
        <w:pStyle w:val="SDText"/>
        <w:spacing w:after="0"/>
        <w:contextualSpacing/>
      </w:pPr>
    </w:p>
    <w:p w14:paraId="7272436E" w14:textId="77777777" w:rsidR="00791E09" w:rsidRDefault="00791E09" w:rsidP="00222699">
      <w:pPr>
        <w:spacing w:after="0"/>
        <w:ind w:firstLine="0"/>
        <w:rPr>
          <w:b/>
        </w:rPr>
        <w:sectPr w:rsidR="00791E09" w:rsidSect="00C13EBE">
          <w:pgSz w:w="11906" w:h="16838"/>
          <w:pgMar w:top="703" w:right="850" w:bottom="1134" w:left="1701" w:header="709" w:footer="708" w:gutter="0"/>
          <w:cols w:space="708"/>
          <w:docGrid w:linePitch="360"/>
        </w:sectPr>
      </w:pPr>
      <w:bookmarkStart w:id="201" w:name="_Toc115421066"/>
    </w:p>
    <w:p w14:paraId="69DD468C" w14:textId="114A8237" w:rsidR="00AA5E1A" w:rsidRPr="00222699" w:rsidRDefault="00AA5E1A" w:rsidP="00222699">
      <w:pPr>
        <w:spacing w:after="0"/>
        <w:ind w:firstLine="0"/>
        <w:rPr>
          <w:b/>
        </w:rPr>
      </w:pPr>
      <w:r w:rsidRPr="00222699">
        <w:rPr>
          <w:b/>
        </w:rPr>
        <w:lastRenderedPageBreak/>
        <w:t>Метаболизм</w:t>
      </w:r>
      <w:bookmarkEnd w:id="201"/>
    </w:p>
    <w:p w14:paraId="3A9A5D91" w14:textId="77777777" w:rsidR="008F61BF" w:rsidRPr="00222699" w:rsidRDefault="008F61BF" w:rsidP="00222699">
      <w:pPr>
        <w:pStyle w:val="SDText"/>
        <w:spacing w:after="0"/>
        <w:contextualSpacing/>
        <w:rPr>
          <w:b/>
        </w:rPr>
      </w:pPr>
    </w:p>
    <w:p w14:paraId="3B3F9951" w14:textId="6F76AC6B" w:rsidR="000505A9" w:rsidRDefault="00732AD7" w:rsidP="00017DA2">
      <w:pPr>
        <w:pStyle w:val="SDText"/>
        <w:spacing w:after="0"/>
        <w:contextualSpacing/>
      </w:pPr>
      <w:r>
        <w:t xml:space="preserve">В исследовании </w:t>
      </w:r>
      <w:r w:rsidRPr="004767D3">
        <w:t>DM2004-690550-046</w:t>
      </w:r>
      <w:r>
        <w:t xml:space="preserve"> с использованием микросом печени человека и рекомбинантных изоферментов </w:t>
      </w:r>
      <w:r>
        <w:rPr>
          <w:lang w:val="en-US"/>
        </w:rPr>
        <w:t>CYP</w:t>
      </w:r>
      <w:r w:rsidRPr="009C564D">
        <w:t xml:space="preserve"> </w:t>
      </w:r>
      <w:r>
        <w:t xml:space="preserve">установили, что </w:t>
      </w:r>
      <w:r w:rsidR="000C493D" w:rsidRPr="000C493D">
        <w:t>тофацитиниб</w:t>
      </w:r>
      <w:r w:rsidR="000C493D">
        <w:t xml:space="preserve"> </w:t>
      </w:r>
      <w:r>
        <w:t xml:space="preserve">метаболизировался главным образом с участием </w:t>
      </w:r>
      <w:r w:rsidRPr="00D06042">
        <w:t xml:space="preserve">CYP3A4/3A5 </w:t>
      </w:r>
      <w:r>
        <w:t>и</w:t>
      </w:r>
      <w:r w:rsidRPr="00D06042">
        <w:t xml:space="preserve"> CYP2C19</w:t>
      </w:r>
      <w:r>
        <w:t xml:space="preserve">. Основные пути окислительного метаболизма включают окисление пирролопиримидинового кольца, окисление пиперидинового кольца, </w:t>
      </w:r>
      <w:r>
        <w:rPr>
          <w:lang w:val="en-US"/>
        </w:rPr>
        <w:t>N</w:t>
      </w:r>
      <w:r w:rsidRPr="00DE10D6">
        <w:t>-</w:t>
      </w:r>
      <w:r>
        <w:t xml:space="preserve">демитилирование и окисление боковых цепей пиперидинового кольца </w:t>
      </w:r>
      <w:r w:rsidR="000505A9">
        <w:fldChar w:fldCharType="begin"/>
      </w:r>
      <w:r w:rsidR="00044A89">
        <w:instrText xml:space="preserve"> ADDIN ZOTERO_ITEM CSL_CITATION {"citationID":"2C6Xs1rC","properties":{"formattedCitation":"[23]","plainCitation":"[23]","noteIndex":0},"citationItems":[{"id":87804,"uris":["http://zotero.org/groups/4742804/items/MQJLNM6K"],"itemData":{"id":87804,"type":"webpage","title":"Xeljanz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505A9">
        <w:fldChar w:fldCharType="separate"/>
      </w:r>
      <w:r w:rsidR="00AD0B20">
        <w:rPr>
          <w:rFonts w:cs="Times New Roman"/>
        </w:rPr>
        <w:t>[1</w:t>
      </w:r>
      <w:r w:rsidR="00044A89" w:rsidRPr="00044A89">
        <w:rPr>
          <w:rFonts w:cs="Times New Roman"/>
        </w:rPr>
        <w:t>]</w:t>
      </w:r>
      <w:r w:rsidR="000505A9">
        <w:fldChar w:fldCharType="end"/>
      </w:r>
      <w:r>
        <w:t>.</w:t>
      </w:r>
    </w:p>
    <w:p w14:paraId="68E84B03" w14:textId="522ACEFF" w:rsidR="00AA5E1A" w:rsidRDefault="00405B2A" w:rsidP="00017DA2">
      <w:pPr>
        <w:pStyle w:val="SDText"/>
        <w:spacing w:after="0"/>
        <w:contextualSpacing/>
      </w:pPr>
      <w:r>
        <w:t xml:space="preserve">В исследовании </w:t>
      </w:r>
      <w:r w:rsidRPr="002C3B63">
        <w:t>DM2007-690550-067</w:t>
      </w:r>
      <w:r>
        <w:t xml:space="preserve"> инкубация </w:t>
      </w:r>
      <w:r w:rsidR="000C493D" w:rsidRPr="000C493D">
        <w:t xml:space="preserve">тофацитиниба </w:t>
      </w:r>
      <w:r>
        <w:t xml:space="preserve">с микросомами печени человека привела к образованию 5 основных метаболитов. В ходе инкубации происходило деметилирование с образованием </w:t>
      </w:r>
      <w:r>
        <w:rPr>
          <w:lang w:val="en-US"/>
        </w:rPr>
        <w:t>M</w:t>
      </w:r>
      <w:r w:rsidRPr="00821E7A">
        <w:t>1</w:t>
      </w:r>
      <w:r>
        <w:t xml:space="preserve">, образование цианогидрина с последующей потерей цианидной группы и образованием </w:t>
      </w:r>
      <w:r>
        <w:rPr>
          <w:lang w:val="en-US"/>
        </w:rPr>
        <w:t>M</w:t>
      </w:r>
      <w:r w:rsidRPr="0032063E">
        <w:t>2</w:t>
      </w:r>
      <w:r>
        <w:t xml:space="preserve">, гидроксилирование </w:t>
      </w:r>
      <w:r>
        <w:rPr>
          <w:lang w:val="en-US"/>
        </w:rPr>
        <w:t>M</w:t>
      </w:r>
      <w:r w:rsidRPr="00BD2F10">
        <w:t>2</w:t>
      </w:r>
      <w:r>
        <w:t xml:space="preserve"> до</w:t>
      </w:r>
      <w:r w:rsidRPr="00BD2F10">
        <w:t xml:space="preserve"> </w:t>
      </w:r>
      <w:r>
        <w:rPr>
          <w:lang w:val="en-US"/>
        </w:rPr>
        <w:t>M</w:t>
      </w:r>
      <w:r w:rsidRPr="00BD2F10">
        <w:t>5</w:t>
      </w:r>
      <w:r>
        <w:t xml:space="preserve">, окисление пирролопиримидиновой группы с образованием </w:t>
      </w:r>
      <w:r>
        <w:rPr>
          <w:lang w:val="en-US"/>
        </w:rPr>
        <w:t>M</w:t>
      </w:r>
      <w:r w:rsidRPr="003222A2">
        <w:t>8</w:t>
      </w:r>
      <w:r>
        <w:t xml:space="preserve"> и окисление пирроловой группы с образованием </w:t>
      </w:r>
      <w:r>
        <w:rPr>
          <w:lang w:val="en-US"/>
        </w:rPr>
        <w:t>M</w:t>
      </w:r>
      <w:r w:rsidRPr="003222A2">
        <w:t>9</w:t>
      </w:r>
      <w:r>
        <w:t>.</w:t>
      </w:r>
      <w:r w:rsidRPr="00BD2F10">
        <w:t xml:space="preserve"> </w:t>
      </w:r>
      <w:r>
        <w:t xml:space="preserve">В ходе экспериментов с использованием рекомбинантных изоферментов </w:t>
      </w:r>
      <w:r>
        <w:rPr>
          <w:lang w:val="en-US"/>
        </w:rPr>
        <w:t>CYP</w:t>
      </w:r>
      <w:r w:rsidRPr="00927101">
        <w:t xml:space="preserve"> </w:t>
      </w:r>
      <w:r>
        <w:t xml:space="preserve">установили, что </w:t>
      </w:r>
      <w:r w:rsidRPr="004137B3">
        <w:t>CYP3A4</w:t>
      </w:r>
      <w:r>
        <w:t xml:space="preserve"> играет основную роль в образовании этих метаболитов, а </w:t>
      </w:r>
      <w:r w:rsidRPr="00296EE7">
        <w:t>CYP1A2</w:t>
      </w:r>
      <w:r>
        <w:t xml:space="preserve"> является следующим по значимости ферментом. Константа Михаэлиса (</w:t>
      </w:r>
      <w:r w:rsidRPr="00BE36DC">
        <w:t>K</w:t>
      </w:r>
      <w:r w:rsidRPr="00BE36DC">
        <w:rPr>
          <w:vertAlign w:val="subscript"/>
        </w:rPr>
        <w:t>m</w:t>
      </w:r>
      <w:r>
        <w:t>)</w:t>
      </w:r>
      <w:r w:rsidRPr="00BE36DC">
        <w:t xml:space="preserve"> </w:t>
      </w:r>
      <w:r>
        <w:t>и максимальная скорость реакции</w:t>
      </w:r>
      <w:r w:rsidRPr="00BE36DC">
        <w:t xml:space="preserve"> </w:t>
      </w:r>
      <w:r>
        <w:t>(</w:t>
      </w:r>
      <w:r w:rsidRPr="00BE36DC">
        <w:t>V</w:t>
      </w:r>
      <w:r w:rsidRPr="00BE36DC">
        <w:rPr>
          <w:vertAlign w:val="subscript"/>
        </w:rPr>
        <w:t>max</w:t>
      </w:r>
      <w:r>
        <w:t xml:space="preserve">) для образования этих метаболитов составили 132 мкмоль/л и 517 пмоль/мин/мг белка соответственно </w:t>
      </w:r>
      <w:r>
        <w:fldChar w:fldCharType="begin"/>
      </w:r>
      <w:r w:rsidR="00044A89">
        <w:instrText xml:space="preserve"> ADDIN ZOTERO_ITEM CSL_CITATION {"citationID":"rscvRh5a","properties":{"formattedCitation":"[23]","plainCitation":"[23]","noteIndex":0},"citationItems":[{"id":87804,"uris":["http://zotero.org/groups/4742804/items/MQJLNM6K"],"itemData":{"id":87804,"type":"webpage","title":"Xeljanz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67891C3C" w14:textId="30629F3E" w:rsidR="00405B2A" w:rsidRDefault="006F505E" w:rsidP="00017DA2">
      <w:pPr>
        <w:pStyle w:val="SDText"/>
        <w:spacing w:after="0"/>
        <w:contextualSpacing/>
      </w:pPr>
      <w:r>
        <w:t xml:space="preserve">В исследовании </w:t>
      </w:r>
      <w:r w:rsidRPr="00974453">
        <w:t>DM2001-690550-020</w:t>
      </w:r>
      <w:r>
        <w:t xml:space="preserve"> </w:t>
      </w:r>
      <w:r w:rsidRPr="007628C9">
        <w:rPr>
          <w:i/>
          <w:iCs/>
          <w:lang w:val="en-US"/>
        </w:rPr>
        <w:t>in</w:t>
      </w:r>
      <w:r w:rsidRPr="007628C9">
        <w:rPr>
          <w:i/>
          <w:iCs/>
        </w:rPr>
        <w:t xml:space="preserve"> </w:t>
      </w:r>
      <w:r w:rsidRPr="007628C9">
        <w:rPr>
          <w:i/>
          <w:iCs/>
          <w:lang w:val="en-US"/>
        </w:rPr>
        <w:t>vitro</w:t>
      </w:r>
      <w:r w:rsidRPr="00584BAD">
        <w:t xml:space="preserve"> </w:t>
      </w:r>
      <w:r>
        <w:t xml:space="preserve">с использованием изоферментов </w:t>
      </w:r>
      <w:r>
        <w:rPr>
          <w:lang w:val="en-US"/>
        </w:rPr>
        <w:t>CYP</w:t>
      </w:r>
      <w:r w:rsidRPr="007628C9">
        <w:t xml:space="preserve"> </w:t>
      </w:r>
      <w:r>
        <w:t xml:space="preserve">установили, что </w:t>
      </w:r>
      <w:r w:rsidR="000C493D" w:rsidRPr="000C493D">
        <w:t>тофацитиниб</w:t>
      </w:r>
      <w:r w:rsidR="000C493D">
        <w:t xml:space="preserve"> </w:t>
      </w:r>
      <w:r>
        <w:t xml:space="preserve">не оказывал эффекта в отношении активности CYP1A2, CYP2B6, CYP2C8, CYP2C9, CYP2C19, CYP2D6 и CYP3A </w:t>
      </w:r>
      <w:r>
        <w:fldChar w:fldCharType="begin"/>
      </w:r>
      <w:r w:rsidR="00044A89">
        <w:instrText xml:space="preserve"> ADDIN ZOTERO_ITEM CSL_CITATION {"citationID":"VOmYFMxx","properties":{"formattedCitation":"[23]","plainCitation":"[23]","noteIndex":0},"citationItems":[{"id":87804,"uris":["http://zotero.org/groups/4742804/items/MQJLNM6K"],"itemData":{"id":87804,"type":"webpage","title":"Xeljanz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5CF2931B" w14:textId="4EC8E1EB" w:rsidR="006F505E" w:rsidRDefault="00C046B1" w:rsidP="00017DA2">
      <w:pPr>
        <w:pStyle w:val="SDText"/>
        <w:spacing w:after="0"/>
        <w:contextualSpacing/>
      </w:pPr>
      <w:r>
        <w:t xml:space="preserve">В другом </w:t>
      </w:r>
      <w:r w:rsidRPr="00241B9D">
        <w:rPr>
          <w:i/>
          <w:iCs/>
          <w:lang w:val="en-US"/>
        </w:rPr>
        <w:t>in</w:t>
      </w:r>
      <w:r w:rsidRPr="000C0803">
        <w:rPr>
          <w:i/>
          <w:iCs/>
        </w:rPr>
        <w:t xml:space="preserve"> </w:t>
      </w:r>
      <w:r w:rsidRPr="00241B9D">
        <w:rPr>
          <w:i/>
          <w:iCs/>
          <w:lang w:val="en-US"/>
        </w:rPr>
        <w:t>vitro</w:t>
      </w:r>
      <w:r w:rsidRPr="000C0803">
        <w:t xml:space="preserve"> </w:t>
      </w:r>
      <w:r>
        <w:t xml:space="preserve">исследовании на иммортализированных гепатоцитах человека </w:t>
      </w:r>
      <w:r>
        <w:rPr>
          <w:lang w:val="en-US"/>
        </w:rPr>
        <w:t>Fa</w:t>
      </w:r>
      <w:r w:rsidRPr="00ED4FAB">
        <w:t>2</w:t>
      </w:r>
      <w:r>
        <w:rPr>
          <w:lang w:val="en-US"/>
        </w:rPr>
        <w:t>N</w:t>
      </w:r>
      <w:r w:rsidRPr="00ED4FAB">
        <w:t xml:space="preserve">-4 </w:t>
      </w:r>
      <w:r>
        <w:t xml:space="preserve">и криоконсервированных гепатоцитах человека установили, что </w:t>
      </w:r>
      <w:r w:rsidR="000C493D" w:rsidRPr="000C493D">
        <w:t xml:space="preserve">тофацитиниб </w:t>
      </w:r>
      <w:r>
        <w:t>индуцировал CYP3A4, но не CYP1A2. Индукцию</w:t>
      </w:r>
      <w:r w:rsidRPr="00590EEE">
        <w:t xml:space="preserve"> </w:t>
      </w:r>
      <w:r>
        <w:t>CYP3A4, зависимую от концентрации, в ходе определения содержания мРНК продемонстрировали в обоих типах клеток, а индукцию активности по тестостерон-6</w:t>
      </w:r>
      <w:r>
        <w:rPr>
          <w:rFonts w:cs="Times New Roman"/>
        </w:rPr>
        <w:t>β-гидроксилазе – только в клетках</w:t>
      </w:r>
      <w:r w:rsidR="00A1229B">
        <w:rPr>
          <w:rFonts w:cs="Times New Roman"/>
        </w:rPr>
        <w:t xml:space="preserve"> </w:t>
      </w:r>
      <w:r>
        <w:rPr>
          <w:lang w:val="en-US"/>
        </w:rPr>
        <w:t>Fa</w:t>
      </w:r>
      <w:r w:rsidRPr="00ED4FAB">
        <w:t>2</w:t>
      </w:r>
      <w:r>
        <w:rPr>
          <w:lang w:val="en-US"/>
        </w:rPr>
        <w:t>N</w:t>
      </w:r>
      <w:r w:rsidRPr="00ED4FAB">
        <w:t>-4</w:t>
      </w:r>
      <w:r>
        <w:t xml:space="preserve">. </w:t>
      </w:r>
      <w:r w:rsidR="000C493D">
        <w:t>Т</w:t>
      </w:r>
      <w:r w:rsidR="000C493D" w:rsidRPr="000C493D">
        <w:t xml:space="preserve">офацитиниб </w:t>
      </w:r>
      <w:r>
        <w:t>не влиял на этоксирезоруфин-О-дезэтилирование</w:t>
      </w:r>
      <w:r w:rsidR="000D44EB">
        <w:t xml:space="preserve">. На криоконсервированных гепатоцитах человека определили </w:t>
      </w:r>
      <w:r w:rsidR="0098148D">
        <w:t xml:space="preserve">концентрационно-зависимое </w:t>
      </w:r>
      <w:r w:rsidR="009642E9">
        <w:t xml:space="preserve">увеличение мРНК CYP3A4 при концентрациях </w:t>
      </w:r>
      <w:r w:rsidR="000C493D" w:rsidRPr="000C493D">
        <w:t xml:space="preserve">тофацитиниба </w:t>
      </w:r>
      <w:r w:rsidR="009642E9">
        <w:t xml:space="preserve">в интервале от 6,25 до </w:t>
      </w:r>
      <w:r w:rsidR="0098148D">
        <w:t xml:space="preserve">100 мкмоль/л. </w:t>
      </w:r>
      <w:r w:rsidR="00E50924">
        <w:t>Однако клинически значимые концентрации при пероральном приеме человеком в дозе 10 мг 2 раза в день</w:t>
      </w:r>
      <w:r w:rsidR="005C5BD6">
        <w:t xml:space="preserve"> (0,31 мкмоль/л)</w:t>
      </w:r>
      <w:r w:rsidR="00A1229B">
        <w:t xml:space="preserve"> </w:t>
      </w:r>
      <w:r w:rsidR="00E62E80">
        <w:t xml:space="preserve">были ниже, чем 6,25 мкмоль/л </w:t>
      </w:r>
      <w:r>
        <w:fldChar w:fldCharType="begin"/>
      </w:r>
      <w:r w:rsidR="00044A89">
        <w:instrText xml:space="preserve"> ADDIN ZOTERO_ITEM CSL_CITATION {"citationID":"6otZgEj0","properties":{"formattedCitation":"[23]","plainCitation":"[23]","noteIndex":0},"citationItems":[{"id":87804,"uris":["http://zotero.org/groups/4742804/items/MQJLNM6K"],"itemData":{"id":87804,"type":"webpage","title":"Xeljanz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15200019" w14:textId="08F73648" w:rsidR="00D914AC" w:rsidRDefault="00D914AC" w:rsidP="00017DA2">
      <w:pPr>
        <w:pStyle w:val="SDText"/>
        <w:spacing w:after="0"/>
        <w:contextualSpacing/>
      </w:pPr>
      <w:r>
        <w:t xml:space="preserve">В исследовании </w:t>
      </w:r>
      <w:r>
        <w:rPr>
          <w:lang w:val="en-US"/>
        </w:rPr>
        <w:t>A</w:t>
      </w:r>
      <w:r w:rsidRPr="003802E5">
        <w:t>3921010</w:t>
      </w:r>
      <w:r>
        <w:t>, описанном также в Разделе</w:t>
      </w:r>
      <w:r w:rsidR="004F12C1">
        <w:t xml:space="preserve"> </w:t>
      </w:r>
      <w:r w:rsidR="004F12C1">
        <w:fldChar w:fldCharType="begin"/>
      </w:r>
      <w:r w:rsidR="004F12C1">
        <w:instrText xml:space="preserve"> REF _Ref121140729 \n \h </w:instrText>
      </w:r>
      <w:r w:rsidR="004F12C1">
        <w:fldChar w:fldCharType="separate"/>
      </w:r>
      <w:r w:rsidR="00383E6F">
        <w:t>4.1.1</w:t>
      </w:r>
      <w:r w:rsidR="004F12C1">
        <w:fldChar w:fldCharType="end"/>
      </w:r>
      <w:r>
        <w:t xml:space="preserve">, изучили метаболический профиль и пути экскреции </w:t>
      </w:r>
      <w:r w:rsidR="000C493D" w:rsidRPr="000C493D">
        <w:t xml:space="preserve">тофацитиниба </w:t>
      </w:r>
      <w:r>
        <w:t xml:space="preserve">у </w:t>
      </w:r>
      <w:r w:rsidR="00152CBD">
        <w:t xml:space="preserve">6 </w:t>
      </w:r>
      <w:r>
        <w:t xml:space="preserve">здоровых добровольцев после однократного перорального приема </w:t>
      </w:r>
      <w:r w:rsidRPr="00F64B91">
        <w:rPr>
          <w:vertAlign w:val="superscript"/>
        </w:rPr>
        <w:t>14</w:t>
      </w:r>
      <w:r w:rsidRPr="00F64B91">
        <w:t>C</w:t>
      </w:r>
      <w:r>
        <w:t>-</w:t>
      </w:r>
      <w:r w:rsidRPr="00F64B91">
        <w:t>CP-690550</w:t>
      </w:r>
      <w:r>
        <w:t xml:space="preserve"> в дозе 50 мг/кг (163 мкКи). Основные первичные метаболические пути </w:t>
      </w:r>
      <w:r w:rsidR="000C493D" w:rsidRPr="000C493D">
        <w:t xml:space="preserve">тофацитиниба </w:t>
      </w:r>
      <w:r>
        <w:t>включали окисление пирролопиримидинового кольца (М8 и М9), окисление пиперидинового кольца (М18), окисление боковой цепи пиперидинового кольца (M2 и M4) и глюкуронирование (M20). Второстепенный путь метаболизма был связан с N-деметилированием с образованием M1. Другой метаболиты образовывались за счет комбинации этих первичных метаболических путей. Помимо неизмененного соединения</w:t>
      </w:r>
      <w:r w:rsidR="009B7077">
        <w:t>,</w:t>
      </w:r>
      <w:r>
        <w:t xml:space="preserve"> в фекалиях методом ЖХ-МС/МС было идентифицировано в общей сложности 7 метаболитов. Основными метаболитами в фекалиях были два гидроксилированных метаболита (M9, М18), 2-карбоксиэтанон (М4), 2-гидроксиэтанон (М2) и два дигидроксилированных метаболита (М11 и М14). Методом ЖХ/МС/МС в моче было идентифицировано в общей сложности 10 метаболитов, основными метаболитами в моче являлись гидроксилированный метаболит (М9, 19,6%), 2-карбоксиэтанон (М4, 8,2%), 2-гидроксиэтанон (М2, 3,6%) и его глюкуронид (М29), два дигидроксилированных метаболита (М11 и М14) и глюкуронид СР-690,550 (М20)</w:t>
      </w:r>
      <w:r w:rsidRPr="00D914AC">
        <w:t xml:space="preserve"> </w:t>
      </w:r>
      <w:r>
        <w:fldChar w:fldCharType="begin"/>
      </w:r>
      <w:r w:rsidR="00044A89">
        <w:instrText xml:space="preserve"> ADDIN ZOTERO_ITEM CSL_CITATION {"citationID":"MB9HHnVp","properties":{"formattedCitation":"[23]","plainCitation":"[23]","noteIndex":0},"citationItems":[{"id":87804,"uris":["http://zotero.org/groups/4742804/items/MQJLNM6K"],"itemData":{"id":87804,"type":"webpage","title":"Xeljanz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3292B058" w14:textId="1477087C" w:rsidR="00AA5E1A" w:rsidRPr="00222699" w:rsidRDefault="00AA5E1A" w:rsidP="00222699">
      <w:pPr>
        <w:spacing w:after="0"/>
        <w:ind w:firstLine="0"/>
        <w:rPr>
          <w:b/>
        </w:rPr>
      </w:pPr>
      <w:bookmarkStart w:id="202" w:name="_Toc115421068"/>
      <w:r w:rsidRPr="00222699">
        <w:rPr>
          <w:b/>
        </w:rPr>
        <w:lastRenderedPageBreak/>
        <w:t>Выведение</w:t>
      </w:r>
      <w:bookmarkEnd w:id="202"/>
    </w:p>
    <w:p w14:paraId="28F4E168" w14:textId="77777777" w:rsidR="00735205" w:rsidRDefault="00735205" w:rsidP="00222699">
      <w:pPr>
        <w:spacing w:after="0"/>
      </w:pPr>
    </w:p>
    <w:p w14:paraId="18A5A690" w14:textId="472FDC25" w:rsidR="000505A9" w:rsidRDefault="002D3E5E" w:rsidP="00017DA2">
      <w:pPr>
        <w:pStyle w:val="SDText"/>
        <w:spacing w:after="0"/>
        <w:contextualSpacing/>
      </w:pPr>
      <w:r>
        <w:t xml:space="preserve">В исследовании </w:t>
      </w:r>
      <w:r>
        <w:rPr>
          <w:lang w:val="en-US"/>
        </w:rPr>
        <w:t>A</w:t>
      </w:r>
      <w:r w:rsidRPr="003802E5">
        <w:t>3921010</w:t>
      </w:r>
      <w:r>
        <w:t>, описанном также в Разделе</w:t>
      </w:r>
      <w:r w:rsidR="004F12C1">
        <w:t xml:space="preserve"> </w:t>
      </w:r>
      <w:r w:rsidR="004F12C1">
        <w:fldChar w:fldCharType="begin"/>
      </w:r>
      <w:r w:rsidR="004F12C1">
        <w:instrText xml:space="preserve"> REF _Ref121140729 \n \h </w:instrText>
      </w:r>
      <w:r w:rsidR="004F12C1">
        <w:fldChar w:fldCharType="separate"/>
      </w:r>
      <w:r w:rsidR="00383E6F">
        <w:t>4.1.1</w:t>
      </w:r>
      <w:r w:rsidR="004F12C1">
        <w:fldChar w:fldCharType="end"/>
      </w:r>
      <w:r>
        <w:t xml:space="preserve">, изучили метаболический профиль и пути экскреции </w:t>
      </w:r>
      <w:r w:rsidR="000C493D" w:rsidRPr="000C493D">
        <w:t xml:space="preserve">тофацитиниба </w:t>
      </w:r>
      <w:r>
        <w:t xml:space="preserve">у 6 здоровых добровольцев после однократного перорального приема </w:t>
      </w:r>
      <w:r w:rsidRPr="00F64B91">
        <w:rPr>
          <w:vertAlign w:val="superscript"/>
        </w:rPr>
        <w:t>14</w:t>
      </w:r>
      <w:r w:rsidRPr="00F64B91">
        <w:t>C</w:t>
      </w:r>
      <w:r>
        <w:t>-</w:t>
      </w:r>
      <w:r w:rsidRPr="00F64B91">
        <w:t>CP-690550</w:t>
      </w:r>
      <w:r>
        <w:t xml:space="preserve"> в дозе 50 мг/кг (163 мкКи). </w:t>
      </w:r>
      <w:r w:rsidR="00001830">
        <w:t>Основная часть (примерно 80%) введенной радиоактивности выводил</w:t>
      </w:r>
      <w:r w:rsidR="009B7077">
        <w:t>а</w:t>
      </w:r>
      <w:r w:rsidR="00001830">
        <w:t xml:space="preserve">сь с мочой, что свидетельствует о том, что выведение с мочой было основным путем выведения </w:t>
      </w:r>
      <w:r w:rsidR="000C493D" w:rsidRPr="000C493D">
        <w:t xml:space="preserve">тофацитиниба </w:t>
      </w:r>
      <w:r w:rsidR="00001830">
        <w:t xml:space="preserve">у человека </w:t>
      </w:r>
      <w:r w:rsidR="000505A9">
        <w:fldChar w:fldCharType="begin"/>
      </w:r>
      <w:r w:rsidR="00044A89">
        <w:instrText xml:space="preserve"> ADDIN ZOTERO_ITEM CSL_CITATION {"citationID":"dRUsQeaD","properties":{"formattedCitation":"[23]","plainCitation":"[23]","noteIndex":0},"citationItems":[{"id":87804,"uris":["http://zotero.org/groups/4742804/items/MQJLNM6K"],"itemData":{"id":87804,"type":"webpage","title":"Xeljanz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505A9">
        <w:fldChar w:fldCharType="separate"/>
      </w:r>
      <w:r w:rsidR="00AD0B20">
        <w:rPr>
          <w:rFonts w:cs="Times New Roman"/>
        </w:rPr>
        <w:t>[1</w:t>
      </w:r>
      <w:r w:rsidR="00044A89" w:rsidRPr="00044A89">
        <w:rPr>
          <w:rFonts w:cs="Times New Roman"/>
        </w:rPr>
        <w:t>]</w:t>
      </w:r>
      <w:r w:rsidR="000505A9">
        <w:fldChar w:fldCharType="end"/>
      </w:r>
      <w:r w:rsidR="0048022E">
        <w:t>.</w:t>
      </w:r>
    </w:p>
    <w:p w14:paraId="27E5E175" w14:textId="0717E79D" w:rsidR="00674214" w:rsidRDefault="00674214" w:rsidP="00017DA2">
      <w:pPr>
        <w:pStyle w:val="SDText"/>
        <w:spacing w:after="0"/>
        <w:contextualSpacing/>
      </w:pPr>
      <w:r>
        <w:t>В исследовании</w:t>
      </w:r>
      <w:r w:rsidR="004B5050">
        <w:t xml:space="preserve"> </w:t>
      </w:r>
      <w:r w:rsidR="004B5050">
        <w:rPr>
          <w:lang w:val="en-US"/>
        </w:rPr>
        <w:t>A</w:t>
      </w:r>
      <w:r w:rsidR="004B5050" w:rsidRPr="004B5050">
        <w:t>3921002</w:t>
      </w:r>
      <w:r>
        <w:t xml:space="preserve">, описанном также в Разделе </w:t>
      </w:r>
      <w:r w:rsidR="004F12C1">
        <w:fldChar w:fldCharType="begin"/>
      </w:r>
      <w:r w:rsidR="004F12C1">
        <w:instrText xml:space="preserve"> REF _Ref121140729 \n \h </w:instrText>
      </w:r>
      <w:r w:rsidR="004F12C1">
        <w:fldChar w:fldCharType="separate"/>
      </w:r>
      <w:r w:rsidR="00383E6F">
        <w:t>4.1.1</w:t>
      </w:r>
      <w:r w:rsidR="004F12C1">
        <w:fldChar w:fldCharType="end"/>
      </w:r>
      <w:r w:rsidR="004B5050">
        <w:t xml:space="preserve">, </w:t>
      </w:r>
      <w:r>
        <w:t xml:space="preserve">оценивали безопасность, переносимость, фармакокинетику и фармакодинамику </w:t>
      </w:r>
      <w:r w:rsidR="000C493D" w:rsidRPr="000C493D">
        <w:t xml:space="preserve">тофацитиниба </w:t>
      </w:r>
      <w:r>
        <w:t>при однократном приеме у здоровых добровольцев. Добровольцев разделили на когорты, в каждой когорте участники принимали перорально исследуемое лекарственное средство в дозе 0,1, 0,3, 1, 3, 10, 30, 60 или 100 мг (</w:t>
      </w:r>
      <w:r>
        <w:rPr>
          <w:lang w:val="en-US"/>
        </w:rPr>
        <w:t>n</w:t>
      </w:r>
      <w:r w:rsidRPr="007D36C1">
        <w:t xml:space="preserve"> = </w:t>
      </w:r>
      <w:r>
        <w:t>8)</w:t>
      </w:r>
      <w:r w:rsidR="009B7077">
        <w:t>,</w:t>
      </w:r>
      <w:r>
        <w:t xml:space="preserve"> или плацебо (</w:t>
      </w:r>
      <w:r>
        <w:rPr>
          <w:lang w:val="en-US"/>
        </w:rPr>
        <w:t>n</w:t>
      </w:r>
      <w:r w:rsidRPr="007D36C1">
        <w:t xml:space="preserve"> = 4)</w:t>
      </w:r>
      <w:r>
        <w:t xml:space="preserve">. </w:t>
      </w:r>
      <w:r w:rsidR="004B5050">
        <w:t>Средний почечный клиренс (</w:t>
      </w:r>
      <w:r w:rsidR="004B5050">
        <w:rPr>
          <w:lang w:val="en-US"/>
        </w:rPr>
        <w:t>CL</w:t>
      </w:r>
      <w:r w:rsidR="004B5050">
        <w:rPr>
          <w:vertAlign w:val="subscript"/>
          <w:lang w:val="en-US"/>
        </w:rPr>
        <w:t>R</w:t>
      </w:r>
      <w:r w:rsidR="004B5050" w:rsidRPr="00F96E60">
        <w:t>)</w:t>
      </w:r>
      <w:r w:rsidR="004B5050" w:rsidRPr="004B5050">
        <w:t xml:space="preserve"> </w:t>
      </w:r>
      <w:r w:rsidR="004B5050">
        <w:t xml:space="preserve">составлял около 136 мл/мин и был немного выше, чем клиренс креатинина, что свидетельствовало об активной канальцевой секреции </w:t>
      </w:r>
      <w:r>
        <w:fldChar w:fldCharType="begin"/>
      </w:r>
      <w:r w:rsidR="00044A89">
        <w:instrText xml:space="preserve"> ADDIN ZOTERO_ITEM CSL_CITATION {"citationID":"Vzo4EoFl","properties":{"formattedCitation":"[23]","plainCitation":"[23]","noteIndex":0},"citationItems":[{"id":87804,"uris":["http://zotero.org/groups/4742804/items/MQJLNM6K"],"itemData":{"id":87804,"type":"webpage","title":"Xeljanz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4083FC48" w14:textId="2646C662" w:rsidR="00A7420A" w:rsidRDefault="00B9323B" w:rsidP="00222699">
      <w:pPr>
        <w:pStyle w:val="SDText"/>
        <w:spacing w:after="0"/>
        <w:contextualSpacing/>
      </w:pPr>
      <w:r>
        <w:t xml:space="preserve">В исследовании </w:t>
      </w:r>
      <w:r w:rsidRPr="00D33DA2">
        <w:t>A392100</w:t>
      </w:r>
      <w:r>
        <w:t xml:space="preserve">3, представленном также в Разделе </w:t>
      </w:r>
      <w:r w:rsidR="004F12C1">
        <w:fldChar w:fldCharType="begin"/>
      </w:r>
      <w:r w:rsidR="004F12C1">
        <w:instrText xml:space="preserve"> REF _Ref121140729 \n \h </w:instrText>
      </w:r>
      <w:r w:rsidR="004F12C1">
        <w:fldChar w:fldCharType="separate"/>
      </w:r>
      <w:r w:rsidR="00383E6F">
        <w:t>4.1.1</w:t>
      </w:r>
      <w:r w:rsidR="004F12C1">
        <w:fldChar w:fldCharType="end"/>
      </w:r>
      <w:r>
        <w:t xml:space="preserve">, изучили безопасность, переносимость, фармакокинетику и фармакодинамику </w:t>
      </w:r>
      <w:r w:rsidR="000C493D" w:rsidRPr="000C493D">
        <w:t xml:space="preserve">тофацитиниба </w:t>
      </w:r>
      <w:r>
        <w:t xml:space="preserve">при многократном приеме у пациентов с псориазом. Участники принимали перорально исследуемое лекарственное средство в дозе </w:t>
      </w:r>
      <w:r w:rsidRPr="008014E1">
        <w:t xml:space="preserve">5, 10, 20 </w:t>
      </w:r>
      <w:r>
        <w:t xml:space="preserve">или </w:t>
      </w:r>
      <w:r w:rsidRPr="008014E1">
        <w:t>30</w:t>
      </w:r>
      <w:r>
        <w:t xml:space="preserve"> мг в форме порошка в капсулах</w:t>
      </w:r>
      <w:r w:rsidR="009B7077">
        <w:t>,</w:t>
      </w:r>
      <w:r>
        <w:t xml:space="preserve"> или в дозе 50 или 60 мг в форме таблеток (</w:t>
      </w:r>
      <w:r>
        <w:rPr>
          <w:lang w:val="en-US"/>
        </w:rPr>
        <w:t>n</w:t>
      </w:r>
      <w:r w:rsidRPr="005C2018">
        <w:t xml:space="preserve"> = 4</w:t>
      </w:r>
      <w:r>
        <w:t>–</w:t>
      </w:r>
      <w:r w:rsidRPr="005C2018">
        <w:t>9)</w:t>
      </w:r>
      <w:r>
        <w:t>. Длительность приема составляла 12 дней. Средни</w:t>
      </w:r>
      <w:r w:rsidR="007C72D8">
        <w:t>е значения</w:t>
      </w:r>
      <w:r>
        <w:t xml:space="preserve"> </w:t>
      </w:r>
      <w:r w:rsidR="007C72D8">
        <w:rPr>
          <w:lang w:val="en-US"/>
        </w:rPr>
        <w:t>CL</w:t>
      </w:r>
      <w:r w:rsidR="007C72D8">
        <w:rPr>
          <w:vertAlign w:val="subscript"/>
          <w:lang w:val="en-US"/>
        </w:rPr>
        <w:t>R</w:t>
      </w:r>
      <w:r w:rsidR="007C72D8">
        <w:t xml:space="preserve"> для несвязанного тофацитиниба </w:t>
      </w:r>
      <w:r>
        <w:t xml:space="preserve">были несколько выше скорости клубочковой фильтрации для </w:t>
      </w:r>
      <w:r w:rsidR="007C72D8">
        <w:t xml:space="preserve">пациентов из </w:t>
      </w:r>
      <w:r>
        <w:t xml:space="preserve">всех когорт. </w:t>
      </w:r>
      <w:r w:rsidR="007C72D8">
        <w:t>Доля от</w:t>
      </w:r>
      <w:r>
        <w:t xml:space="preserve"> введенной дозы, выводим</w:t>
      </w:r>
      <w:r w:rsidR="007C72D8">
        <w:t>ая</w:t>
      </w:r>
      <w:r>
        <w:t xml:space="preserve"> в неизмененном виде с мочой, </w:t>
      </w:r>
      <w:r w:rsidR="007C72D8">
        <w:t>находилась в интервале</w:t>
      </w:r>
      <w:r>
        <w:t xml:space="preserve"> от 18,3 до 27,2% </w:t>
      </w:r>
      <w:r>
        <w:fldChar w:fldCharType="begin"/>
      </w:r>
      <w:r w:rsidR="00044A89">
        <w:instrText xml:space="preserve"> ADDIN ZOTERO_ITEM CSL_CITATION {"citationID":"OO8TvasU","properties":{"formattedCitation":"[23]","plainCitation":"[23]","noteIndex":0},"citationItems":[{"id":87804,"uris":["http://zotero.org/groups/4742804/items/MQJLNM6K"],"itemData":{"id":87804,"type":"webpage","title":"Xeljanz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6FD6B559" w14:textId="77777777" w:rsidR="00222699" w:rsidRDefault="00222699" w:rsidP="00222699">
      <w:pPr>
        <w:spacing w:after="0"/>
        <w:ind w:firstLine="0"/>
      </w:pPr>
    </w:p>
    <w:p w14:paraId="68B80332" w14:textId="739D2D10" w:rsidR="00E84511" w:rsidRPr="00222699" w:rsidRDefault="00E84511" w:rsidP="00222699">
      <w:pPr>
        <w:spacing w:after="0"/>
        <w:ind w:firstLine="0"/>
        <w:rPr>
          <w:b/>
        </w:rPr>
      </w:pPr>
      <w:r w:rsidRPr="00222699">
        <w:rPr>
          <w:b/>
        </w:rPr>
        <w:t>Интерконверсия</w:t>
      </w:r>
    </w:p>
    <w:p w14:paraId="143D2D2F" w14:textId="77777777" w:rsidR="00735205" w:rsidRDefault="00735205" w:rsidP="00222699">
      <w:pPr>
        <w:pStyle w:val="SDText"/>
        <w:spacing w:after="0"/>
        <w:contextualSpacing/>
      </w:pPr>
    </w:p>
    <w:p w14:paraId="503D1143" w14:textId="4DB08F24" w:rsidR="00496073" w:rsidRDefault="00496073" w:rsidP="00735205">
      <w:pPr>
        <w:pStyle w:val="SDText"/>
        <w:contextualSpacing/>
      </w:pPr>
      <w:r>
        <w:t>П</w:t>
      </w:r>
      <w:r w:rsidR="00650561">
        <w:t xml:space="preserve">ри переоценке данных проведенных </w:t>
      </w:r>
      <w:r>
        <w:t>исследовани</w:t>
      </w:r>
      <w:r w:rsidR="00650561">
        <w:t>й</w:t>
      </w:r>
      <w:r>
        <w:t xml:space="preserve"> возникли опасения относительно того, может ли тофацитиниб подвергаться стереоконверсии </w:t>
      </w:r>
      <w:r w:rsidRPr="00496073">
        <w:rPr>
          <w:i/>
          <w:iCs/>
        </w:rPr>
        <w:t>in vivo</w:t>
      </w:r>
      <w:r>
        <w:t>, что, в свою очередь, может привести к нецелевым эффектам</w:t>
      </w:r>
      <w:r w:rsidR="00DC08F9" w:rsidRPr="00DC08F9">
        <w:t xml:space="preserve"> </w:t>
      </w:r>
      <w:r w:rsidR="00DC08F9">
        <w:fldChar w:fldCharType="begin"/>
      </w:r>
      <w:r w:rsidR="00DC08F9">
        <w:instrText xml:space="preserve"> ADDIN ZOTERO_ITEM CSL_CITATION {"citationID":"RQmC9CTD","properties":{"formattedCitation":"[21]","plainCitation":"[21]","noteIndex":0},"citationItems":[{"id":91153,"uris":["http://zotero.org/groups/4742804/items/UAUYPBRD"],"itemData":{"id":91153,"type":"webpage","title":"Xeljanz.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DC08F9">
        <w:fldChar w:fldCharType="separate"/>
      </w:r>
      <w:r w:rsidR="00AD0B20">
        <w:rPr>
          <w:rFonts w:cs="Times New Roman"/>
        </w:rPr>
        <w:t>[23</w:t>
      </w:r>
      <w:r w:rsidR="00DC08F9" w:rsidRPr="00957218">
        <w:rPr>
          <w:rFonts w:cs="Times New Roman"/>
        </w:rPr>
        <w:t>]</w:t>
      </w:r>
      <w:r w:rsidR="00DC08F9">
        <w:fldChar w:fldCharType="end"/>
      </w:r>
      <w:r w:rsidR="00DC08F9">
        <w:t>.</w:t>
      </w:r>
    </w:p>
    <w:p w14:paraId="51CC08C9" w14:textId="7CBBB78E" w:rsidR="00496073" w:rsidRDefault="00496073" w:rsidP="00735205">
      <w:pPr>
        <w:pStyle w:val="SDText"/>
        <w:contextualSpacing/>
      </w:pPr>
      <w:r>
        <w:t xml:space="preserve">Тофацитиниб синтезируется в виде энантиомера 3R,4R с менее чем 0,2% альтернативных стереоизомерных форм в </w:t>
      </w:r>
      <w:r w:rsidR="00415550">
        <w:t>активной фармакологической субстанции</w:t>
      </w:r>
      <w:r>
        <w:t xml:space="preserve">. Только энантиомер 3R,4R обладает фармакологической активностью в отношении киназ JAK. В ответ на </w:t>
      </w:r>
      <w:r w:rsidR="006524B8">
        <w:t xml:space="preserve">указанные </w:t>
      </w:r>
      <w:r>
        <w:t>опасения</w:t>
      </w:r>
      <w:r w:rsidR="006524B8">
        <w:t xml:space="preserve"> </w:t>
      </w:r>
      <w:r>
        <w:t xml:space="preserve">заявитель разработал биоаналитические методы, подходящие для анализа </w:t>
      </w:r>
      <w:r w:rsidR="009A1476">
        <w:t>био</w:t>
      </w:r>
      <w:r>
        <w:t>образцов, специфичные для трех альтернативных стереоизомерных форм (3R,4S; 3S,4R; и 3S,4S) для исключ</w:t>
      </w:r>
      <w:r w:rsidR="009A1476">
        <w:t>ения</w:t>
      </w:r>
      <w:r>
        <w:t xml:space="preserve"> возможност</w:t>
      </w:r>
      <w:r w:rsidR="009A1476">
        <w:t>и</w:t>
      </w:r>
      <w:r>
        <w:t xml:space="preserve"> стереоконверсии </w:t>
      </w:r>
      <w:r w:rsidRPr="009A1476">
        <w:rPr>
          <w:i/>
          <w:iCs/>
        </w:rPr>
        <w:t>in vivo</w:t>
      </w:r>
      <w:r w:rsidR="00DC08F9" w:rsidRPr="00DC08F9">
        <w:t xml:space="preserve"> </w:t>
      </w:r>
      <w:r w:rsidR="00DC08F9">
        <w:fldChar w:fldCharType="begin"/>
      </w:r>
      <w:r w:rsidR="00244AC8">
        <w:instrText xml:space="preserve"> ADDIN ZOTERO_ITEM CSL_CITATION {"citationID":"vGkN5wOC","properties":{"formattedCitation":"[21]","plainCitation":"[21]","noteIndex":0},"citationItems":[{"id":91153,"uris":["http://zotero.org/groups/4742804/items/UAUYPBRD"],"itemData":{"id":91153,"type":"webpage","title":"Xeljanz.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DC08F9">
        <w:fldChar w:fldCharType="separate"/>
      </w:r>
      <w:r w:rsidR="00AD0B20">
        <w:rPr>
          <w:rFonts w:cs="Times New Roman"/>
        </w:rPr>
        <w:t>[23</w:t>
      </w:r>
      <w:r w:rsidR="00DC08F9" w:rsidRPr="00957218">
        <w:rPr>
          <w:rFonts w:cs="Times New Roman"/>
        </w:rPr>
        <w:t>]</w:t>
      </w:r>
      <w:r w:rsidR="00DC08F9">
        <w:fldChar w:fldCharType="end"/>
      </w:r>
      <w:r w:rsidR="00DC08F9">
        <w:t>.</w:t>
      </w:r>
    </w:p>
    <w:p w14:paraId="0F36C56A" w14:textId="7D9AC528" w:rsidR="00E84511" w:rsidRDefault="00496073" w:rsidP="00AC3B44">
      <w:pPr>
        <w:pStyle w:val="SDText"/>
        <w:spacing w:after="0"/>
        <w:contextualSpacing/>
      </w:pPr>
      <w:r>
        <w:t>Репрезентативные клинические образцы</w:t>
      </w:r>
      <w:r w:rsidR="009A1476">
        <w:t>, отобранные</w:t>
      </w:r>
      <w:r>
        <w:t xml:space="preserve"> в </w:t>
      </w:r>
      <w:r w:rsidR="009A1476">
        <w:t>равновесном</w:t>
      </w:r>
      <w:r>
        <w:t xml:space="preserve"> состоянии </w:t>
      </w:r>
      <w:r w:rsidR="009A1476">
        <w:t>у</w:t>
      </w:r>
      <w:r>
        <w:t xml:space="preserve"> 14 пациентов с РА, получавших тофацитиниб в дозе 5 мг </w:t>
      </w:r>
      <w:r w:rsidR="009A1476">
        <w:t>2</w:t>
      </w:r>
      <w:r>
        <w:t xml:space="preserve"> раза в день</w:t>
      </w:r>
      <w:r w:rsidR="009A1476">
        <w:t>,</w:t>
      </w:r>
      <w:r>
        <w:t xml:space="preserve"> подвергали стереоизомер-специфичному анализу</w:t>
      </w:r>
      <w:r w:rsidR="00957218">
        <w:t xml:space="preserve">. Установлено, что </w:t>
      </w:r>
      <w:r>
        <w:t>3R, 4S; 3S,4R и 3S,4S не подда</w:t>
      </w:r>
      <w:r w:rsidR="00957218">
        <w:t xml:space="preserve">вались </w:t>
      </w:r>
      <w:r>
        <w:t>обнаружению, при этом предел анализа позволя</w:t>
      </w:r>
      <w:r w:rsidR="00957218">
        <w:t>л</w:t>
      </w:r>
      <w:r>
        <w:t xml:space="preserve"> обнаружить 1% альтернативных стереоизомеров по отношению к тофацитинибу (3R,4R-энантиомер</w:t>
      </w:r>
      <w:r w:rsidR="00957218">
        <w:t>у</w:t>
      </w:r>
      <w:r>
        <w:t xml:space="preserve">). </w:t>
      </w:r>
      <w:r w:rsidR="00957218">
        <w:t>авторы</w:t>
      </w:r>
      <w:r>
        <w:t xml:space="preserve"> сдела</w:t>
      </w:r>
      <w:r w:rsidR="00957218">
        <w:t>ли</w:t>
      </w:r>
      <w:r>
        <w:t xml:space="preserve"> вывод, что в соответствии с </w:t>
      </w:r>
      <w:r w:rsidR="00957218">
        <w:t>расчетами</w:t>
      </w:r>
      <w:r>
        <w:t xml:space="preserve">, полученными на основании данных </w:t>
      </w:r>
      <w:r w:rsidRPr="00957218">
        <w:rPr>
          <w:i/>
          <w:iCs/>
        </w:rPr>
        <w:t>in vitro</w:t>
      </w:r>
      <w:r>
        <w:t xml:space="preserve">, соответствующей стереоконверсии </w:t>
      </w:r>
      <w:r w:rsidRPr="00957218">
        <w:rPr>
          <w:i/>
          <w:iCs/>
        </w:rPr>
        <w:t>in vivo</w:t>
      </w:r>
      <w:r>
        <w:t xml:space="preserve"> не происходит</w:t>
      </w:r>
      <w:r w:rsidR="00957218">
        <w:t xml:space="preserve"> </w:t>
      </w:r>
      <w:r w:rsidR="00957218">
        <w:fldChar w:fldCharType="begin"/>
      </w:r>
      <w:r w:rsidR="00244AC8">
        <w:instrText xml:space="preserve"> ADDIN ZOTERO_ITEM CSL_CITATION {"citationID":"etvXBsgg","properties":{"formattedCitation":"[21]","plainCitation":"[21]","noteIndex":0},"citationItems":[{"id":91153,"uris":["http://zotero.org/groups/4742804/items/UAUYPBRD"],"itemData":{"id":91153,"type":"webpage","title":"Xeljanz.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957218">
        <w:fldChar w:fldCharType="separate"/>
      </w:r>
      <w:r w:rsidR="00AD0B20">
        <w:rPr>
          <w:rFonts w:cs="Times New Roman"/>
        </w:rPr>
        <w:t>[23</w:t>
      </w:r>
      <w:r w:rsidR="00957218" w:rsidRPr="00957218">
        <w:rPr>
          <w:rFonts w:cs="Times New Roman"/>
        </w:rPr>
        <w:t>]</w:t>
      </w:r>
      <w:r w:rsidR="00957218">
        <w:fldChar w:fldCharType="end"/>
      </w:r>
      <w:r w:rsidR="00DC08F9">
        <w:t>.</w:t>
      </w:r>
    </w:p>
    <w:p w14:paraId="4B1D5FC1" w14:textId="77777777" w:rsidR="00AC3B44" w:rsidRDefault="00AC3B44" w:rsidP="00AC3B44">
      <w:pPr>
        <w:spacing w:after="0"/>
        <w:ind w:firstLine="0"/>
      </w:pPr>
    </w:p>
    <w:p w14:paraId="4CE8EF2B" w14:textId="77777777" w:rsidR="00791E09" w:rsidRDefault="00791E09" w:rsidP="00AC3B44">
      <w:pPr>
        <w:spacing w:after="0"/>
        <w:ind w:firstLine="0"/>
        <w:rPr>
          <w:b/>
        </w:rPr>
        <w:sectPr w:rsidR="00791E09" w:rsidSect="00C13EBE">
          <w:pgSz w:w="11906" w:h="16838"/>
          <w:pgMar w:top="703" w:right="850" w:bottom="1134" w:left="1701" w:header="709" w:footer="708" w:gutter="0"/>
          <w:cols w:space="708"/>
          <w:docGrid w:linePitch="360"/>
        </w:sectPr>
      </w:pPr>
    </w:p>
    <w:p w14:paraId="22B4356E" w14:textId="0D9CA169" w:rsidR="002B7DC3" w:rsidRPr="00AC3B44" w:rsidRDefault="002B7DC3" w:rsidP="00AC3B44">
      <w:pPr>
        <w:spacing w:after="0"/>
        <w:ind w:firstLine="0"/>
        <w:rPr>
          <w:b/>
        </w:rPr>
      </w:pPr>
      <w:r w:rsidRPr="00AC3B44">
        <w:rPr>
          <w:b/>
        </w:rPr>
        <w:lastRenderedPageBreak/>
        <w:t>Возможное влияние генетического полиморфизма</w:t>
      </w:r>
    </w:p>
    <w:p w14:paraId="09FB238B" w14:textId="77777777" w:rsidR="00735205" w:rsidRDefault="00735205" w:rsidP="00AC3B44">
      <w:pPr>
        <w:pStyle w:val="SDText"/>
        <w:spacing w:after="0"/>
        <w:contextualSpacing/>
      </w:pPr>
    </w:p>
    <w:p w14:paraId="4151E309" w14:textId="525EE16A" w:rsidR="00AC3B44" w:rsidRPr="002B7DC3" w:rsidRDefault="00F7759E" w:rsidP="00AC3B44">
      <w:pPr>
        <w:pStyle w:val="SDText"/>
        <w:spacing w:after="0"/>
        <w:contextualSpacing/>
      </w:pPr>
      <w:r w:rsidRPr="00F7759E">
        <w:t xml:space="preserve">Чтобы понять </w:t>
      </w:r>
      <w:r>
        <w:t>роль</w:t>
      </w:r>
      <w:r w:rsidRPr="00F7759E">
        <w:t xml:space="preserve"> CYP2C19 в клиренс</w:t>
      </w:r>
      <w:r>
        <w:t>е</w:t>
      </w:r>
      <w:r w:rsidRPr="00F7759E">
        <w:t xml:space="preserve"> тофацитиниба, в исследовании A3921028 было проведено генотипирование, в котором сравнивались слабые, интенсивные и сверхинтенсивные метаболизаторы CYP2C19. </w:t>
      </w:r>
      <w:r w:rsidR="006576B9">
        <w:t>По р</w:t>
      </w:r>
      <w:r w:rsidRPr="00F7759E">
        <w:t>езультат</w:t>
      </w:r>
      <w:r w:rsidR="006576B9">
        <w:t>ам</w:t>
      </w:r>
      <w:r w:rsidRPr="00F7759E">
        <w:t xml:space="preserve"> показали, что CYP2C19 играет относительно незначительную роль в клиренсе тофацитиниба, и нет необходимости корректировать дозу на основе генотипа </w:t>
      </w:r>
      <w:r w:rsidR="006576B9">
        <w:t xml:space="preserve">по </w:t>
      </w:r>
      <w:r w:rsidRPr="00F7759E">
        <w:t>CYP2C19</w:t>
      </w:r>
      <w:r w:rsidR="006576B9">
        <w:t xml:space="preserve"> </w:t>
      </w:r>
      <w:r w:rsidR="006576B9">
        <w:fldChar w:fldCharType="begin"/>
      </w:r>
      <w:r w:rsidR="00244AC8">
        <w:instrText xml:space="preserve"> ADDIN ZOTERO_ITEM CSL_CITATION {"citationID":"9UQfL6o5","properties":{"formattedCitation":"[21]","plainCitation":"[21]","noteIndex":0},"citationItems":[{"id":91153,"uris":["http://zotero.org/groups/4742804/items/UAUYPBRD"],"itemData":{"id":91153,"type":"webpage","title":"Xeljanz.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6576B9">
        <w:fldChar w:fldCharType="separate"/>
      </w:r>
      <w:r w:rsidR="00AD0B20">
        <w:rPr>
          <w:rFonts w:cs="Times New Roman"/>
        </w:rPr>
        <w:t>[23</w:t>
      </w:r>
      <w:r w:rsidR="006576B9" w:rsidRPr="00957218">
        <w:rPr>
          <w:rFonts w:cs="Times New Roman"/>
        </w:rPr>
        <w:t>]</w:t>
      </w:r>
      <w:r w:rsidR="006576B9">
        <w:fldChar w:fldCharType="end"/>
      </w:r>
      <w:r w:rsidR="006576B9">
        <w:t>.</w:t>
      </w:r>
    </w:p>
    <w:p w14:paraId="6432545A" w14:textId="77777777" w:rsidR="00AC3B44" w:rsidRDefault="00AC3B44" w:rsidP="00AC3B44">
      <w:pPr>
        <w:spacing w:after="0"/>
        <w:ind w:firstLine="0"/>
      </w:pPr>
      <w:bookmarkStart w:id="203" w:name="_Toc115421070"/>
    </w:p>
    <w:p w14:paraId="0D152A36" w14:textId="4D26CA79" w:rsidR="008747B0" w:rsidRPr="00AC3B44" w:rsidRDefault="008747B0" w:rsidP="00AC3B44">
      <w:pPr>
        <w:spacing w:after="0"/>
        <w:ind w:firstLine="0"/>
        <w:rPr>
          <w:b/>
        </w:rPr>
      </w:pPr>
      <w:r w:rsidRPr="00AC3B44">
        <w:rPr>
          <w:b/>
        </w:rPr>
        <w:t>Линейность фармакокинетики</w:t>
      </w:r>
      <w:bookmarkEnd w:id="203"/>
    </w:p>
    <w:p w14:paraId="028F3935" w14:textId="77777777" w:rsidR="00735205" w:rsidRDefault="00735205" w:rsidP="00735205">
      <w:pPr>
        <w:pStyle w:val="SDText"/>
        <w:contextualSpacing/>
      </w:pPr>
    </w:p>
    <w:p w14:paraId="272F6C08" w14:textId="620EE0ED" w:rsidR="00B674AB" w:rsidRDefault="00F96E60" w:rsidP="00735205">
      <w:pPr>
        <w:pStyle w:val="SDText"/>
        <w:contextualSpacing/>
      </w:pPr>
      <w:r>
        <w:t xml:space="preserve">В исследовании </w:t>
      </w:r>
      <w:r>
        <w:rPr>
          <w:lang w:val="en-US"/>
        </w:rPr>
        <w:t>A</w:t>
      </w:r>
      <w:r w:rsidRPr="004B5050">
        <w:t>3921002</w:t>
      </w:r>
      <w:r>
        <w:t>, описанном также в Разделе</w:t>
      </w:r>
      <w:r w:rsidR="00437392">
        <w:t xml:space="preserve"> </w:t>
      </w:r>
      <w:r w:rsidR="00437392">
        <w:fldChar w:fldCharType="begin"/>
      </w:r>
      <w:r w:rsidR="00437392">
        <w:instrText xml:space="preserve"> REF _Ref121140729 \n \h </w:instrText>
      </w:r>
      <w:r w:rsidR="00437392">
        <w:fldChar w:fldCharType="separate"/>
      </w:r>
      <w:r w:rsidR="00383E6F">
        <w:t>4.1.1</w:t>
      </w:r>
      <w:r w:rsidR="00437392">
        <w:fldChar w:fldCharType="end"/>
      </w:r>
      <w:r>
        <w:t xml:space="preserve">, оценивали безопасность, переносимость, фармакокинетику и фармакодинамику </w:t>
      </w:r>
      <w:r w:rsidR="000C493D" w:rsidRPr="000C493D">
        <w:t xml:space="preserve">тофацитиниба </w:t>
      </w:r>
      <w:r>
        <w:t>при однократном приеме у здоровых добровольцев.</w:t>
      </w:r>
      <w:r w:rsidRPr="00F96E60">
        <w:t xml:space="preserve"> </w:t>
      </w:r>
      <w:r>
        <w:t xml:space="preserve">В ходе исследования установили, что </w:t>
      </w:r>
      <w:r w:rsidR="00C108D0">
        <w:t>с</w:t>
      </w:r>
      <w:r>
        <w:t xml:space="preserve">истемная экспозиция </w:t>
      </w:r>
      <w:r w:rsidR="000C493D" w:rsidRPr="000C493D">
        <w:t xml:space="preserve">тофацитиниба </w:t>
      </w:r>
      <w:r>
        <w:t>увеличивалась дозопропорционально, что приводило к примерно одинаковым нормированным по дозе значениям AUC</w:t>
      </w:r>
      <w:r w:rsidRPr="00632F43">
        <w:rPr>
          <w:vertAlign w:val="subscript"/>
        </w:rPr>
        <w:t>(0-</w:t>
      </w:r>
      <w:r w:rsidRPr="00632F43">
        <w:rPr>
          <w:rFonts w:cs="Times New Roman"/>
          <w:vertAlign w:val="subscript"/>
        </w:rPr>
        <w:t>∞)</w:t>
      </w:r>
      <w:r>
        <w:t xml:space="preserve">, что указывало на линейность фармакокинетики </w:t>
      </w:r>
      <w:r>
        <w:fldChar w:fldCharType="begin"/>
      </w:r>
      <w:r w:rsidR="00044A89">
        <w:instrText xml:space="preserve"> ADDIN ZOTERO_ITEM CSL_CITATION {"citationID":"bcvMyjln","properties":{"formattedCitation":"[23]","plainCitation":"[23]","noteIndex":0},"citationItems":[{"id":87804,"uris":["http://zotero.org/groups/4742804/items/MQJLNM6K"],"itemData":{"id":87804,"type":"webpage","title":"Xeljanz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3A9525C9" w14:textId="79B93748" w:rsidR="0040629C" w:rsidRDefault="0040629C" w:rsidP="00735205">
      <w:pPr>
        <w:pStyle w:val="SDText"/>
        <w:contextualSpacing/>
      </w:pPr>
      <w:r>
        <w:t>В целом фармакокинетика тофацитиниба харак</w:t>
      </w:r>
      <w:r w:rsidR="00F033B3">
        <w:t>теризуется быстрой абсорбцией (</w:t>
      </w:r>
      <w:r w:rsidR="00F033B3">
        <w:rPr>
          <w:lang w:val="en-US"/>
        </w:rPr>
        <w:t>T</w:t>
      </w:r>
      <w:r w:rsidRPr="0040629C">
        <w:rPr>
          <w:vertAlign w:val="subscript"/>
        </w:rPr>
        <w:t>max</w:t>
      </w:r>
      <w:r>
        <w:t xml:space="preserve"> примерно </w:t>
      </w:r>
      <w:r w:rsidR="00F033B3">
        <w:t>0,5–1 ч) и быстрым выведением (</w:t>
      </w:r>
      <w:r w:rsidR="00F033B3">
        <w:rPr>
          <w:lang w:val="en-US"/>
        </w:rPr>
        <w:t>T</w:t>
      </w:r>
      <w:r w:rsidRPr="0040629C">
        <w:rPr>
          <w:vertAlign w:val="subscript"/>
        </w:rPr>
        <w:t xml:space="preserve">1/2 </w:t>
      </w:r>
      <w:r>
        <w:t xml:space="preserve">примерно 3 ч) без признаков зависимости от дозы </w:t>
      </w:r>
      <w:r w:rsidR="002D6216">
        <w:fldChar w:fldCharType="begin"/>
      </w:r>
      <w:r w:rsidR="00244AC8">
        <w:instrText xml:space="preserve"> ADDIN ZOTERO_ITEM CSL_CITATION {"citationID":"VqDK4uVZ","properties":{"formattedCitation":"[21]","plainCitation":"[21]","noteIndex":0},"citationItems":[{"id":91153,"uris":["http://zotero.org/groups/4742804/items/UAUYPBRD"],"itemData":{"id":91153,"type":"webpage","title":"Xeljanz.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2D6216">
        <w:fldChar w:fldCharType="separate"/>
      </w:r>
      <w:r w:rsidR="00AD0B20">
        <w:rPr>
          <w:rFonts w:cs="Times New Roman"/>
        </w:rPr>
        <w:t>[23</w:t>
      </w:r>
      <w:r w:rsidR="002D6216" w:rsidRPr="00957218">
        <w:rPr>
          <w:rFonts w:cs="Times New Roman"/>
        </w:rPr>
        <w:t>]</w:t>
      </w:r>
      <w:r w:rsidR="002D6216">
        <w:fldChar w:fldCharType="end"/>
      </w:r>
      <w:r w:rsidR="002D6216">
        <w:t>.</w:t>
      </w:r>
    </w:p>
    <w:p w14:paraId="76A8D2CB" w14:textId="5A96F2A9" w:rsidR="0040629C" w:rsidRPr="00B674AB" w:rsidRDefault="0040629C" w:rsidP="00735205">
      <w:pPr>
        <w:pStyle w:val="SDText"/>
        <w:contextualSpacing/>
      </w:pPr>
      <w:r>
        <w:t>Наблюдается пропорциональность дозы до 10</w:t>
      </w:r>
      <w:r w:rsidR="002D6216">
        <w:t>-кратного повышения дозы</w:t>
      </w:r>
      <w:r>
        <w:t xml:space="preserve"> 5 мг без признаков зависящего от времени накопления при начале приема </w:t>
      </w:r>
      <w:r w:rsidR="002D6216">
        <w:t>2 раза</w:t>
      </w:r>
      <w:r>
        <w:t xml:space="preserve"> в день</w:t>
      </w:r>
      <w:r w:rsidR="002D6216">
        <w:t xml:space="preserve"> </w:t>
      </w:r>
      <w:r w:rsidR="002D6216">
        <w:fldChar w:fldCharType="begin"/>
      </w:r>
      <w:r w:rsidR="00244AC8">
        <w:instrText xml:space="preserve"> ADDIN ZOTERO_ITEM CSL_CITATION {"citationID":"EKvgWMsl","properties":{"formattedCitation":"[21]","plainCitation":"[21]","noteIndex":0},"citationItems":[{"id":91153,"uris":["http://zotero.org/groups/4742804/items/UAUYPBRD"],"itemData":{"id":91153,"type":"webpage","title":"Xeljanz.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2D6216">
        <w:fldChar w:fldCharType="separate"/>
      </w:r>
      <w:r w:rsidR="00AD0B20">
        <w:rPr>
          <w:rFonts w:cs="Times New Roman"/>
        </w:rPr>
        <w:t>[23</w:t>
      </w:r>
      <w:r w:rsidR="002D6216" w:rsidRPr="00957218">
        <w:rPr>
          <w:rFonts w:cs="Times New Roman"/>
        </w:rPr>
        <w:t>]</w:t>
      </w:r>
      <w:r w:rsidR="002D6216">
        <w:fldChar w:fldCharType="end"/>
      </w:r>
      <w:r w:rsidR="002D6216">
        <w:t>.</w:t>
      </w:r>
    </w:p>
    <w:p w14:paraId="4763F9CD" w14:textId="7220D7F6" w:rsidR="00735205" w:rsidRPr="00D03104" w:rsidRDefault="008D5737" w:rsidP="00D03104">
      <w:pPr>
        <w:spacing w:after="0"/>
        <w:ind w:firstLine="0"/>
        <w:rPr>
          <w:b/>
        </w:rPr>
      </w:pPr>
      <w:bookmarkStart w:id="204" w:name="_Toc115421071"/>
      <w:r w:rsidRPr="00D03104">
        <w:rPr>
          <w:b/>
        </w:rPr>
        <w:t>Фармакокинетика у особых групп пациентов</w:t>
      </w:r>
      <w:bookmarkEnd w:id="204"/>
    </w:p>
    <w:p w14:paraId="3FC6AF0F" w14:textId="77777777" w:rsidR="00B93A35" w:rsidRPr="00B93A35" w:rsidRDefault="00B93A35" w:rsidP="00D03104">
      <w:pPr>
        <w:pStyle w:val="SDText"/>
        <w:spacing w:after="0"/>
      </w:pPr>
    </w:p>
    <w:p w14:paraId="6172F5DA" w14:textId="089D50DB" w:rsidR="00735205" w:rsidRPr="00D03104" w:rsidRDefault="00B674AB" w:rsidP="00D03104">
      <w:pPr>
        <w:spacing w:after="0"/>
        <w:ind w:firstLine="0"/>
        <w:rPr>
          <w:b/>
          <w:i/>
        </w:rPr>
      </w:pPr>
      <w:bookmarkStart w:id="205" w:name="_Toc115421072"/>
      <w:r w:rsidRPr="00D03104">
        <w:rPr>
          <w:b/>
          <w:i/>
        </w:rPr>
        <w:t>Влияние возраста, массы тела, пола и расы</w:t>
      </w:r>
      <w:bookmarkEnd w:id="205"/>
    </w:p>
    <w:p w14:paraId="1AF344F7" w14:textId="4DCBB039" w:rsidR="00735205" w:rsidRDefault="000567B7" w:rsidP="00D03104">
      <w:pPr>
        <w:pStyle w:val="SDText"/>
        <w:spacing w:after="0"/>
        <w:contextualSpacing/>
      </w:pPr>
      <w:r>
        <w:t xml:space="preserve">В рандомизированном </w:t>
      </w:r>
      <w:r w:rsidR="00C00D22">
        <w:t xml:space="preserve">двойном слепом плацебо-контролируемом исследовании </w:t>
      </w:r>
      <w:r w:rsidRPr="000567B7">
        <w:t>A3921036</w:t>
      </w:r>
      <w:r w:rsidR="00C00D22">
        <w:t xml:space="preserve"> фазы </w:t>
      </w:r>
      <w:r w:rsidR="00C00D22">
        <w:rPr>
          <w:lang w:val="en-US"/>
        </w:rPr>
        <w:t>I</w:t>
      </w:r>
      <w:r w:rsidR="00C00D22" w:rsidRPr="00C00D22">
        <w:t xml:space="preserve"> </w:t>
      </w:r>
      <w:r w:rsidR="00C00D22">
        <w:t xml:space="preserve">с эскалацией </w:t>
      </w:r>
      <w:r w:rsidR="00F13CA6">
        <w:t xml:space="preserve">доз сравнили фармакокинетику, безопасность и переносимость </w:t>
      </w:r>
      <w:r w:rsidR="000C493D" w:rsidRPr="000C493D">
        <w:t xml:space="preserve">тофацитиниба </w:t>
      </w:r>
      <w:r w:rsidR="00DC22F9">
        <w:t>у здоровых добровольцев-японцев и здоровых добровольцев</w:t>
      </w:r>
      <w:r w:rsidR="00565111">
        <w:t xml:space="preserve"> из западных стран. </w:t>
      </w:r>
      <w:r w:rsidR="004F585E">
        <w:t xml:space="preserve">В когорте </w:t>
      </w:r>
      <w:r w:rsidR="004F585E">
        <w:rPr>
          <w:lang w:val="en-US"/>
        </w:rPr>
        <w:t>A</w:t>
      </w:r>
      <w:r w:rsidR="004F585E" w:rsidRPr="004F585E">
        <w:t xml:space="preserve"> </w:t>
      </w:r>
      <w:r w:rsidR="004F585E">
        <w:t xml:space="preserve">японцы перорально принимали исследуемое лекарственное средство в дозе </w:t>
      </w:r>
      <w:r w:rsidR="00FA0939">
        <w:t>1, 5 или 30 мг (</w:t>
      </w:r>
      <w:r w:rsidR="00FA0939">
        <w:rPr>
          <w:lang w:val="en-US"/>
        </w:rPr>
        <w:t>n</w:t>
      </w:r>
      <w:r w:rsidR="00FA0939" w:rsidRPr="00FA0939">
        <w:t xml:space="preserve"> = </w:t>
      </w:r>
      <w:r w:rsidR="00C92C5E">
        <w:t>6)</w:t>
      </w:r>
      <w:r w:rsidR="009B7077">
        <w:t>,</w:t>
      </w:r>
      <w:r w:rsidR="00C92C5E">
        <w:t xml:space="preserve"> или плацебо (</w:t>
      </w:r>
      <w:r w:rsidR="00C92C5E">
        <w:rPr>
          <w:lang w:val="en-US"/>
        </w:rPr>
        <w:t>n</w:t>
      </w:r>
      <w:r w:rsidR="00C92C5E" w:rsidRPr="00C92C5E">
        <w:t xml:space="preserve"> = 2)</w:t>
      </w:r>
      <w:r w:rsidR="00A137C5">
        <w:t>, добровольцы из западных стран также перорально принимали тофацитиниб в дозе 1, 5 или 30 мг (</w:t>
      </w:r>
      <w:r w:rsidR="00A137C5">
        <w:rPr>
          <w:lang w:val="en-US"/>
        </w:rPr>
        <w:t>n</w:t>
      </w:r>
      <w:r w:rsidR="00A137C5" w:rsidRPr="00FA0939">
        <w:t xml:space="preserve"> = </w:t>
      </w:r>
      <w:r w:rsidR="00A137C5">
        <w:t>6)</w:t>
      </w:r>
      <w:r w:rsidR="009B7077">
        <w:t>,</w:t>
      </w:r>
      <w:r w:rsidR="00A137C5">
        <w:t xml:space="preserve"> или плацебо (</w:t>
      </w:r>
      <w:r w:rsidR="00A137C5">
        <w:rPr>
          <w:lang w:val="en-US"/>
        </w:rPr>
        <w:t>n</w:t>
      </w:r>
      <w:r w:rsidR="00A137C5" w:rsidRPr="00C92C5E">
        <w:t xml:space="preserve"> = 2)</w:t>
      </w:r>
      <w:r w:rsidR="00A137C5">
        <w:t xml:space="preserve">. В когорте </w:t>
      </w:r>
      <w:r w:rsidR="00A137C5">
        <w:rPr>
          <w:lang w:val="en-US"/>
        </w:rPr>
        <w:t>B</w:t>
      </w:r>
      <w:r w:rsidR="00A137C5" w:rsidRPr="00954894">
        <w:t xml:space="preserve"> </w:t>
      </w:r>
      <w:r w:rsidR="00E0558C">
        <w:t xml:space="preserve">японцы </w:t>
      </w:r>
      <w:r w:rsidR="00811586">
        <w:t xml:space="preserve">многократно </w:t>
      </w:r>
      <w:r w:rsidR="00DD6F90">
        <w:t xml:space="preserve">перорально принимали </w:t>
      </w:r>
      <w:r w:rsidR="000C493D" w:rsidRPr="000C493D">
        <w:t xml:space="preserve">тофацитиниба </w:t>
      </w:r>
      <w:r w:rsidR="00954894">
        <w:t xml:space="preserve">в дозе 15 мг </w:t>
      </w:r>
      <w:r w:rsidR="00811586">
        <w:t>(</w:t>
      </w:r>
      <w:r w:rsidR="00811586">
        <w:rPr>
          <w:lang w:val="en-US"/>
        </w:rPr>
        <w:t>n</w:t>
      </w:r>
      <w:r w:rsidR="00811586" w:rsidRPr="00FA0939">
        <w:t xml:space="preserve"> = </w:t>
      </w:r>
      <w:r w:rsidR="00811586">
        <w:t>6) или плацебо (</w:t>
      </w:r>
      <w:r w:rsidR="00811586">
        <w:rPr>
          <w:lang w:val="en-US"/>
        </w:rPr>
        <w:t>n</w:t>
      </w:r>
      <w:r w:rsidR="00811586" w:rsidRPr="00C92C5E">
        <w:t xml:space="preserve"> = 2)</w:t>
      </w:r>
      <w:r w:rsidR="00811586">
        <w:t xml:space="preserve">. </w:t>
      </w:r>
      <w:r w:rsidR="00CF521B">
        <w:t xml:space="preserve">Фармакокинетические кривые «концентрация-время» тофацитиниба у японцев и </w:t>
      </w:r>
      <w:r w:rsidR="00326B83">
        <w:t xml:space="preserve">добровольцев из западных стран </w:t>
      </w:r>
      <w:r w:rsidR="00D542F7">
        <w:t>были сопоставимыми</w:t>
      </w:r>
      <w:r w:rsidR="001E3DBF">
        <w:t xml:space="preserve"> при использовании всех трех доз. </w:t>
      </w:r>
      <w:r w:rsidR="00D9024B">
        <w:t xml:space="preserve">Отношения геометрических средних </w:t>
      </w:r>
      <w:r w:rsidR="00657E09">
        <w:t>фармакокинетических показателей у представителей разных популяций</w:t>
      </w:r>
      <w:r w:rsidR="00092A97">
        <w:t xml:space="preserve"> был</w:t>
      </w:r>
      <w:r w:rsidR="009B7077">
        <w:t>и</w:t>
      </w:r>
      <w:r w:rsidR="00092A97">
        <w:t xml:space="preserve"> близк</w:t>
      </w:r>
      <w:r w:rsidR="009B7077">
        <w:t>и</w:t>
      </w:r>
      <w:r w:rsidR="00092A97">
        <w:t xml:space="preserve"> к 1</w:t>
      </w:r>
      <w:r w:rsidR="00475164">
        <w:t xml:space="preserve">. Фармакокинетический профиль тофацитиниба после однократного и многократного приема </w:t>
      </w:r>
      <w:r w:rsidR="0064094A">
        <w:t xml:space="preserve">у японцев также был сопоставимым, коэффициент накопления </w:t>
      </w:r>
      <w:r w:rsidR="00F31C02">
        <w:t xml:space="preserve">составил 1,15 </w:t>
      </w:r>
      <w:r w:rsidR="00F31C02" w:rsidRPr="00F31C02">
        <w:t>(</w:t>
      </w:r>
      <w:r w:rsidR="00F31C02">
        <w:t xml:space="preserve">интервал </w:t>
      </w:r>
      <w:r w:rsidR="00F31C02" w:rsidRPr="00F31C02">
        <w:t>0</w:t>
      </w:r>
      <w:r w:rsidR="00F31C02">
        <w:t>,</w:t>
      </w:r>
      <w:r w:rsidR="00F31C02" w:rsidRPr="00F31C02">
        <w:t>997</w:t>
      </w:r>
      <w:r w:rsidR="00F31C02">
        <w:t>–</w:t>
      </w:r>
      <w:r w:rsidR="00F31C02" w:rsidRPr="00F31C02">
        <w:t>1</w:t>
      </w:r>
      <w:r w:rsidR="00F31C02">
        <w:t>,</w:t>
      </w:r>
      <w:r w:rsidR="00F31C02" w:rsidRPr="00F31C02">
        <w:t>31)</w:t>
      </w:r>
      <w:r w:rsidR="004F7A07">
        <w:t xml:space="preserve">, что </w:t>
      </w:r>
      <w:r w:rsidR="00E31664">
        <w:t>существенно не отличалось от значени</w:t>
      </w:r>
      <w:r w:rsidR="00BD3F38">
        <w:t xml:space="preserve">я, полученного в исследовании </w:t>
      </w:r>
      <w:r w:rsidR="00BD3F38" w:rsidRPr="00BD3F38">
        <w:t>A3921003</w:t>
      </w:r>
      <w:r w:rsidR="00BD3F38">
        <w:t xml:space="preserve"> </w:t>
      </w:r>
      <w:r w:rsidR="000505A9">
        <w:fldChar w:fldCharType="begin"/>
      </w:r>
      <w:r w:rsidR="00044A89">
        <w:instrText xml:space="preserve"> ADDIN ZOTERO_ITEM CSL_CITATION {"citationID":"FUGcBtjv","properties":{"formattedCitation":"[23]","plainCitation":"[23]","noteIndex":0},"citationItems":[{"id":87804,"uris":["http://zotero.org/groups/4742804/items/MQJLNM6K"],"itemData":{"id":87804,"type":"webpage","title":"Xeljanz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505A9">
        <w:fldChar w:fldCharType="separate"/>
      </w:r>
      <w:r w:rsidR="00AD0B20">
        <w:rPr>
          <w:rFonts w:cs="Times New Roman"/>
        </w:rPr>
        <w:t>[1</w:t>
      </w:r>
      <w:r w:rsidR="00044A89" w:rsidRPr="00044A89">
        <w:rPr>
          <w:rFonts w:cs="Times New Roman"/>
        </w:rPr>
        <w:t>]</w:t>
      </w:r>
      <w:r w:rsidR="000505A9">
        <w:fldChar w:fldCharType="end"/>
      </w:r>
      <w:r w:rsidR="00BD3F38">
        <w:t>.</w:t>
      </w:r>
    </w:p>
    <w:p w14:paraId="397ED826" w14:textId="7C218D11" w:rsidR="00735205" w:rsidRDefault="00C20EC2" w:rsidP="00735205">
      <w:pPr>
        <w:pStyle w:val="SDText"/>
        <w:contextualSpacing/>
      </w:pPr>
      <w:r>
        <w:t xml:space="preserve">В </w:t>
      </w:r>
      <w:r w:rsidR="000A49D8">
        <w:t xml:space="preserve">открытом </w:t>
      </w:r>
      <w:r w:rsidR="009B7077">
        <w:t xml:space="preserve">исследовании </w:t>
      </w:r>
      <w:r w:rsidRPr="00C20EC2">
        <w:t>A3921065</w:t>
      </w:r>
      <w:r w:rsidR="000A49D8">
        <w:t xml:space="preserve"> изучили фармакокинетику, безопасность и переносимость </w:t>
      </w:r>
      <w:r w:rsidR="000C493D" w:rsidRPr="000C493D">
        <w:t xml:space="preserve">тофацитиниба </w:t>
      </w:r>
      <w:r w:rsidR="009314EF">
        <w:t>у здоровых добровольцев (китайцев</w:t>
      </w:r>
      <w:r w:rsidR="00B3335B">
        <w:t>, мужчин и женщин</w:t>
      </w:r>
      <w:r w:rsidR="009314EF">
        <w:t xml:space="preserve">) </w:t>
      </w:r>
      <w:r w:rsidR="00B3335B">
        <w:t xml:space="preserve">при </w:t>
      </w:r>
      <w:r w:rsidR="000A49D8">
        <w:t>однократно</w:t>
      </w:r>
      <w:r w:rsidR="00B3335B">
        <w:t>м</w:t>
      </w:r>
      <w:r w:rsidR="000A49D8">
        <w:t xml:space="preserve"> </w:t>
      </w:r>
      <w:r w:rsidR="00B3335B">
        <w:t xml:space="preserve">пероральном </w:t>
      </w:r>
      <w:r w:rsidR="000A49D8">
        <w:t>прием</w:t>
      </w:r>
      <w:r w:rsidR="00B3335B">
        <w:t>е в дозе 10 мг</w:t>
      </w:r>
      <w:r w:rsidR="00A03AE3" w:rsidRPr="00A03AE3">
        <w:t xml:space="preserve"> </w:t>
      </w:r>
      <w:r w:rsidR="00A03AE3">
        <w:t xml:space="preserve">или многократном пероральном приеме в дозе </w:t>
      </w:r>
      <w:r w:rsidR="00B86159">
        <w:t>10</w:t>
      </w:r>
      <w:r w:rsidR="00A03AE3">
        <w:t xml:space="preserve"> мг </w:t>
      </w:r>
      <w:r w:rsidR="00B86159">
        <w:t>каждые 12 ч (всего 9 приемов)</w:t>
      </w:r>
      <w:r w:rsidR="001D1518">
        <w:t xml:space="preserve">. Фармакокинетические показатели тофацитиниба у китайцев существенно не отличались от значений, полученных </w:t>
      </w:r>
      <w:r w:rsidR="00CE366D">
        <w:t xml:space="preserve">у японцев или лиц из западных стран </w:t>
      </w:r>
      <w:r w:rsidR="00476935">
        <w:fldChar w:fldCharType="begin"/>
      </w:r>
      <w:r w:rsidR="00044A89">
        <w:instrText xml:space="preserve"> ADDIN ZOTERO_ITEM CSL_CITATION {"citationID":"7W4zXnQ1","properties":{"formattedCitation":"[23]","plainCitation":"[23]","noteIndex":0},"citationItems":[{"id":87804,"uris":["http://zotero.org/groups/4742804/items/MQJLNM6K"],"itemData":{"id":87804,"type":"webpage","title":"Xeljanz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476935">
        <w:fldChar w:fldCharType="separate"/>
      </w:r>
      <w:r w:rsidR="00AD0B20">
        <w:rPr>
          <w:rFonts w:cs="Times New Roman"/>
        </w:rPr>
        <w:t>[1</w:t>
      </w:r>
      <w:r w:rsidR="00044A89" w:rsidRPr="00044A89">
        <w:rPr>
          <w:rFonts w:cs="Times New Roman"/>
        </w:rPr>
        <w:t>]</w:t>
      </w:r>
      <w:r w:rsidR="00476935">
        <w:fldChar w:fldCharType="end"/>
      </w:r>
      <w:r w:rsidR="00476935">
        <w:t>.</w:t>
      </w:r>
    </w:p>
    <w:p w14:paraId="743592EA" w14:textId="6B801280" w:rsidR="00735205" w:rsidRDefault="00F924CD" w:rsidP="00735205">
      <w:pPr>
        <w:pStyle w:val="SDText"/>
        <w:contextualSpacing/>
      </w:pPr>
      <w:r>
        <w:lastRenderedPageBreak/>
        <w:t xml:space="preserve">В ходе обновленного фармакокинетического анализа популяции в целом подтвердили отсутствие необходимости корректировки дозы тофацитиниба у лиц разных рас </w:t>
      </w:r>
      <w:r w:rsidR="00917F30">
        <w:fldChar w:fldCharType="begin"/>
      </w:r>
      <w:r w:rsidR="00244AC8">
        <w:instrText xml:space="preserve"> ADDIN ZOTERO_ITEM CSL_CITATION {"citationID":"Hj1aMRHS","properties":{"formattedCitation":"[21]","plainCitation":"[21]","noteIndex":0},"citationItems":[{"id":91153,"uris":["http://zotero.org/groups/4742804/items/UAUYPBRD"],"itemData":{"id":91153,"type":"webpage","title":"Xeljanz.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917F30">
        <w:fldChar w:fldCharType="separate"/>
      </w:r>
      <w:r w:rsidR="00AD0B20">
        <w:rPr>
          <w:rFonts w:cs="Times New Roman"/>
        </w:rPr>
        <w:t>[23</w:t>
      </w:r>
      <w:r w:rsidR="00917F30" w:rsidRPr="00957218">
        <w:rPr>
          <w:rFonts w:cs="Times New Roman"/>
        </w:rPr>
        <w:t>]</w:t>
      </w:r>
      <w:r w:rsidR="00917F30">
        <w:fldChar w:fldCharType="end"/>
      </w:r>
      <w:r w:rsidR="00917F30">
        <w:t>.</w:t>
      </w:r>
    </w:p>
    <w:p w14:paraId="66A2F5B7" w14:textId="73C8F171" w:rsidR="00735205" w:rsidRDefault="00F924CD" w:rsidP="00735205">
      <w:pPr>
        <w:pStyle w:val="SDText"/>
        <w:contextualSpacing/>
      </w:pPr>
      <w:r>
        <w:t xml:space="preserve">Хотя у афроамериканских пациентов наблюдается снижение </w:t>
      </w:r>
      <w:r w:rsidR="00917F30">
        <w:t>экспозиции</w:t>
      </w:r>
      <w:r>
        <w:t xml:space="preserve"> (снижение AUC примерно на 20%), </w:t>
      </w:r>
      <w:r w:rsidR="00917F30">
        <w:t xml:space="preserve">в ходе </w:t>
      </w:r>
      <w:r>
        <w:t>анализ</w:t>
      </w:r>
      <w:r w:rsidR="00917F30">
        <w:t>а</w:t>
      </w:r>
      <w:r>
        <w:t xml:space="preserve"> эффективности с использованием непрерывных переменных, а не бинарных переменных, показ</w:t>
      </w:r>
      <w:r w:rsidR="00917F30">
        <w:t>али</w:t>
      </w:r>
      <w:r>
        <w:t>, что доза 5 мг два раза в день. эффектив</w:t>
      </w:r>
      <w:r w:rsidR="00917F30">
        <w:t>на</w:t>
      </w:r>
      <w:r>
        <w:t xml:space="preserve"> у афроамериканских пациентов</w:t>
      </w:r>
      <w:r w:rsidR="00917F30">
        <w:t xml:space="preserve"> </w:t>
      </w:r>
      <w:r w:rsidR="00917F30">
        <w:fldChar w:fldCharType="begin"/>
      </w:r>
      <w:r w:rsidR="00244AC8">
        <w:instrText xml:space="preserve"> ADDIN ZOTERO_ITEM CSL_CITATION {"citationID":"imEJY9ay","properties":{"formattedCitation":"[21]","plainCitation":"[21]","noteIndex":0},"citationItems":[{"id":91153,"uris":["http://zotero.org/groups/4742804/items/UAUYPBRD"],"itemData":{"id":91153,"type":"webpage","title":"Xeljanz.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917F30">
        <w:fldChar w:fldCharType="separate"/>
      </w:r>
      <w:r w:rsidR="00AD0B20">
        <w:rPr>
          <w:rFonts w:cs="Times New Roman"/>
        </w:rPr>
        <w:t>[23</w:t>
      </w:r>
      <w:r w:rsidR="00917F30" w:rsidRPr="00957218">
        <w:rPr>
          <w:rFonts w:cs="Times New Roman"/>
        </w:rPr>
        <w:t>]</w:t>
      </w:r>
      <w:r w:rsidR="00917F30">
        <w:fldChar w:fldCharType="end"/>
      </w:r>
      <w:r w:rsidR="00917F30">
        <w:t>.</w:t>
      </w:r>
    </w:p>
    <w:p w14:paraId="7BCB347A" w14:textId="25E3C667" w:rsidR="00735205" w:rsidRDefault="00B77C2F" w:rsidP="00735205">
      <w:pPr>
        <w:pStyle w:val="SDText"/>
        <w:contextualSpacing/>
      </w:pPr>
      <w:r w:rsidRPr="00B77C2F">
        <w:t>В соответствии с одн</w:t>
      </w:r>
      <w:r>
        <w:t>о</w:t>
      </w:r>
      <w:r w:rsidRPr="00B77C2F">
        <w:t>компартмент</w:t>
      </w:r>
      <w:r>
        <w:t>ной моделью</w:t>
      </w:r>
      <w:r w:rsidRPr="00B77C2F">
        <w:t xml:space="preserve"> низкая масса тела (40 кг) связана с высокой C</w:t>
      </w:r>
      <w:r w:rsidRPr="00B77C2F">
        <w:rPr>
          <w:vertAlign w:val="subscript"/>
        </w:rPr>
        <w:t>max</w:t>
      </w:r>
      <w:r w:rsidRPr="00B77C2F">
        <w:t xml:space="preserve"> и, наоборот, большая масса тела (140 кг) связана с низкой C</w:t>
      </w:r>
      <w:r w:rsidRPr="00B77C2F">
        <w:rPr>
          <w:vertAlign w:val="subscript"/>
        </w:rPr>
        <w:t>max</w:t>
      </w:r>
      <w:r w:rsidRPr="00B77C2F">
        <w:t xml:space="preserve">. </w:t>
      </w:r>
      <w:r>
        <w:t>Средняя концентрация (</w:t>
      </w:r>
      <w:r w:rsidRPr="00B77C2F">
        <w:rPr>
          <w:lang w:val="en-US"/>
        </w:rPr>
        <w:t>C</w:t>
      </w:r>
      <w:r w:rsidRPr="00B77C2F">
        <w:rPr>
          <w:vertAlign w:val="subscript"/>
          <w:lang w:val="en-US"/>
        </w:rPr>
        <w:t>av</w:t>
      </w:r>
      <w:r>
        <w:t>) важна</w:t>
      </w:r>
      <w:r w:rsidRPr="00B77C2F">
        <w:t xml:space="preserve"> для </w:t>
      </w:r>
      <w:r>
        <w:t xml:space="preserve">оценки </w:t>
      </w:r>
      <w:r w:rsidRPr="00B77C2F">
        <w:t>эффективност</w:t>
      </w:r>
      <w:r>
        <w:t>и</w:t>
      </w:r>
      <w:r w:rsidRPr="00B77C2F">
        <w:t xml:space="preserve">, и хотя различия </w:t>
      </w:r>
      <w:r w:rsidRPr="00B77C2F">
        <w:rPr>
          <w:lang w:val="en-US"/>
        </w:rPr>
        <w:t>C</w:t>
      </w:r>
      <w:r w:rsidRPr="00B77C2F">
        <w:rPr>
          <w:vertAlign w:val="subscript"/>
          <w:lang w:val="en-US"/>
        </w:rPr>
        <w:t>max</w:t>
      </w:r>
      <w:r w:rsidRPr="00B77C2F">
        <w:t xml:space="preserve">, зависящие от массы тела, могут влиять на профиль токсичности, данные по нижнему квартилю массы тела указывают на то, что любой эффект </w:t>
      </w:r>
      <w:r>
        <w:t xml:space="preserve">массы </w:t>
      </w:r>
      <w:r w:rsidRPr="00B77C2F">
        <w:t>тела является умеренным</w:t>
      </w:r>
      <w:r w:rsidR="00BF678D">
        <w:t xml:space="preserve"> </w:t>
      </w:r>
      <w:r w:rsidR="00BF678D">
        <w:fldChar w:fldCharType="begin"/>
      </w:r>
      <w:r w:rsidR="00244AC8">
        <w:instrText xml:space="preserve"> ADDIN ZOTERO_ITEM CSL_CITATION {"citationID":"fjN8KZdR","properties":{"formattedCitation":"[21]","plainCitation":"[21]","noteIndex":0},"citationItems":[{"id":91153,"uris":["http://zotero.org/groups/4742804/items/UAUYPBRD"],"itemData":{"id":91153,"type":"webpage","title":"Xeljanz.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BF678D">
        <w:fldChar w:fldCharType="separate"/>
      </w:r>
      <w:r w:rsidR="00AD0B20">
        <w:rPr>
          <w:rFonts w:cs="Times New Roman"/>
        </w:rPr>
        <w:t>[23</w:t>
      </w:r>
      <w:r w:rsidR="00BF678D" w:rsidRPr="00957218">
        <w:rPr>
          <w:rFonts w:cs="Times New Roman"/>
        </w:rPr>
        <w:t>]</w:t>
      </w:r>
      <w:r w:rsidR="00BF678D">
        <w:fldChar w:fldCharType="end"/>
      </w:r>
      <w:r w:rsidR="00BF678D">
        <w:t>.</w:t>
      </w:r>
    </w:p>
    <w:p w14:paraId="0B542222" w14:textId="6BA39977" w:rsidR="00735205" w:rsidRDefault="00393FCC" w:rsidP="00735205">
      <w:pPr>
        <w:pStyle w:val="SDText"/>
        <w:contextualSpacing/>
      </w:pPr>
      <w:r>
        <w:t>Ко</w:t>
      </w:r>
      <w:r w:rsidR="00406686">
        <w:t>р</w:t>
      </w:r>
      <w:r>
        <w:t xml:space="preserve">ректировка дозы тофацитиниба в зависимости от пола не требуется </w:t>
      </w:r>
      <w:r w:rsidR="00406686">
        <w:fldChar w:fldCharType="begin"/>
      </w:r>
      <w:r w:rsidR="00244AC8">
        <w:instrText xml:space="preserve"> ADDIN ZOTERO_ITEM CSL_CITATION {"citationID":"rhPyYOnP","properties":{"formattedCitation":"[21]","plainCitation":"[21]","noteIndex":0},"citationItems":[{"id":91153,"uris":["http://zotero.org/groups/4742804/items/UAUYPBRD"],"itemData":{"id":91153,"type":"webpage","title":"Xeljanz.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406686">
        <w:fldChar w:fldCharType="separate"/>
      </w:r>
      <w:r w:rsidR="00AD0B20">
        <w:rPr>
          <w:rFonts w:cs="Times New Roman"/>
        </w:rPr>
        <w:t>[23</w:t>
      </w:r>
      <w:r w:rsidR="00406686" w:rsidRPr="00957218">
        <w:rPr>
          <w:rFonts w:cs="Times New Roman"/>
        </w:rPr>
        <w:t>]</w:t>
      </w:r>
      <w:r w:rsidR="00406686">
        <w:fldChar w:fldCharType="end"/>
      </w:r>
      <w:r w:rsidR="00406686">
        <w:t>.</w:t>
      </w:r>
    </w:p>
    <w:p w14:paraId="21EF8E70" w14:textId="065B32D8" w:rsidR="009C2F3C" w:rsidRDefault="009C2F3C" w:rsidP="00B93A35">
      <w:pPr>
        <w:pStyle w:val="SDText"/>
        <w:spacing w:after="0"/>
        <w:contextualSpacing/>
      </w:pPr>
      <w:r>
        <w:t>В ходе п</w:t>
      </w:r>
      <w:r w:rsidRPr="009C2F3C">
        <w:t>опуляционн</w:t>
      </w:r>
      <w:r>
        <w:t>ого</w:t>
      </w:r>
      <w:r w:rsidRPr="009C2F3C">
        <w:t xml:space="preserve"> фармакокинети</w:t>
      </w:r>
      <w:r>
        <w:t>ческого</w:t>
      </w:r>
      <w:r w:rsidRPr="009C2F3C">
        <w:t xml:space="preserve"> анализ</w:t>
      </w:r>
      <w:r>
        <w:t>а</w:t>
      </w:r>
      <w:r w:rsidRPr="009C2F3C">
        <w:t xml:space="preserve"> оценивал</w:t>
      </w:r>
      <w:r>
        <w:t>и</w:t>
      </w:r>
      <w:r w:rsidRPr="009C2F3C">
        <w:t xml:space="preserve"> влияние возраста на фармакокинетику тофацитиниба. В анализ были включены 165 пожилых (≥</w:t>
      </w:r>
      <w:r>
        <w:t xml:space="preserve"> </w:t>
      </w:r>
      <w:r w:rsidRPr="009C2F3C">
        <w:t>65 лет) и 905 не пожилых (&lt;</w:t>
      </w:r>
      <w:r>
        <w:t xml:space="preserve"> </w:t>
      </w:r>
      <w:r w:rsidRPr="009C2F3C">
        <w:t xml:space="preserve">65 лет) </w:t>
      </w:r>
      <w:r>
        <w:t>лиц</w:t>
      </w:r>
      <w:r w:rsidRPr="009C2F3C">
        <w:t xml:space="preserve">. </w:t>
      </w:r>
      <w:r>
        <w:t>У п</w:t>
      </w:r>
      <w:r w:rsidRPr="009C2F3C">
        <w:t>ожил</w:t>
      </w:r>
      <w:r>
        <w:t>ых лиц</w:t>
      </w:r>
      <w:r w:rsidRPr="009C2F3C">
        <w:t xml:space="preserve"> в возрасте 80 лет </w:t>
      </w:r>
      <w:r>
        <w:t>определили</w:t>
      </w:r>
      <w:r w:rsidRPr="009C2F3C">
        <w:t xml:space="preserve"> </w:t>
      </w:r>
      <w:r w:rsidR="006E54D3" w:rsidRPr="006E54D3">
        <w:t>общий плазменный клиренс при пероральном приеме (</w:t>
      </w:r>
      <w:r w:rsidRPr="009C2F3C">
        <w:t>CL/F</w:t>
      </w:r>
      <w:r w:rsidR="006E54D3" w:rsidRPr="006E54D3">
        <w:t>)</w:t>
      </w:r>
      <w:r w:rsidRPr="009C2F3C">
        <w:t xml:space="preserve"> на 2% ниже по сравнению с типичным 55-летним </w:t>
      </w:r>
      <w:r w:rsidR="00AE3B9C">
        <w:t>пациентом</w:t>
      </w:r>
      <w:r w:rsidRPr="009C2F3C">
        <w:t xml:space="preserve"> с 90% ДИ, исключающим снижение на ≥</w:t>
      </w:r>
      <w:r w:rsidR="00AE3B9C">
        <w:t xml:space="preserve"> </w:t>
      </w:r>
      <w:r w:rsidRPr="009C2F3C">
        <w:t xml:space="preserve">10%. </w:t>
      </w:r>
      <w:r w:rsidR="006E54D3">
        <w:t>О</w:t>
      </w:r>
      <w:r w:rsidR="00630146">
        <w:t>бъем распределения при пероральном приеме (</w:t>
      </w:r>
      <w:r w:rsidRPr="009C2F3C">
        <w:t>V</w:t>
      </w:r>
      <w:r w:rsidR="00630146">
        <w:rPr>
          <w:vertAlign w:val="subscript"/>
          <w:lang w:val="en-US"/>
        </w:rPr>
        <w:t>d</w:t>
      </w:r>
      <w:r w:rsidRPr="009C2F3C">
        <w:t>/F</w:t>
      </w:r>
      <w:r w:rsidR="00630146">
        <w:t>)</w:t>
      </w:r>
      <w:r w:rsidRPr="009C2F3C">
        <w:t xml:space="preserve">, </w:t>
      </w:r>
      <w:r w:rsidR="00AE3B9C">
        <w:t xml:space="preserve">для </w:t>
      </w:r>
      <w:r w:rsidRPr="009C2F3C">
        <w:t>типичн</w:t>
      </w:r>
      <w:r w:rsidR="00AE3B9C">
        <w:t>ого</w:t>
      </w:r>
      <w:r w:rsidRPr="009C2F3C">
        <w:t xml:space="preserve"> пожило</w:t>
      </w:r>
      <w:r w:rsidR="00AE3B9C">
        <w:t>го</w:t>
      </w:r>
      <w:r w:rsidRPr="009C2F3C">
        <w:t xml:space="preserve"> </w:t>
      </w:r>
      <w:r w:rsidR="00AE3B9C">
        <w:t>пациен</w:t>
      </w:r>
      <w:r w:rsidRPr="009C2F3C">
        <w:t>т</w:t>
      </w:r>
      <w:r w:rsidR="00AE3B9C">
        <w:t>а</w:t>
      </w:r>
      <w:r w:rsidRPr="009C2F3C">
        <w:t xml:space="preserve"> в возрасте 80 лет </w:t>
      </w:r>
      <w:r w:rsidR="006E54D3">
        <w:t xml:space="preserve">был </w:t>
      </w:r>
      <w:r w:rsidRPr="009C2F3C">
        <w:t>на 11% ниже по сравнению с</w:t>
      </w:r>
      <w:r w:rsidR="006E54D3">
        <w:t>о значением показателя у</w:t>
      </w:r>
      <w:r w:rsidRPr="009C2F3C">
        <w:t xml:space="preserve"> 55-летн</w:t>
      </w:r>
      <w:r w:rsidR="006E54D3">
        <w:t>его</w:t>
      </w:r>
      <w:r w:rsidRPr="009C2F3C">
        <w:t xml:space="preserve"> </w:t>
      </w:r>
      <w:r w:rsidR="00AE3B9C">
        <w:t>пациент</w:t>
      </w:r>
      <w:r w:rsidR="006E54D3">
        <w:t>а</w:t>
      </w:r>
      <w:r w:rsidRPr="009C2F3C">
        <w:t>. При анализе двух групп (пожилые и не пожилые) средн</w:t>
      </w:r>
      <w:r w:rsidR="00AE3B9C">
        <w:t>и</w:t>
      </w:r>
      <w:r w:rsidRPr="009C2F3C">
        <w:t>е геометрическ</w:t>
      </w:r>
      <w:r w:rsidR="00AE3B9C">
        <w:t>и</w:t>
      </w:r>
      <w:r w:rsidRPr="009C2F3C">
        <w:t>е C</w:t>
      </w:r>
      <w:r w:rsidRPr="00AE3B9C">
        <w:rPr>
          <w:vertAlign w:val="subscript"/>
        </w:rPr>
        <w:t>max</w:t>
      </w:r>
      <w:r w:rsidRPr="009C2F3C">
        <w:t xml:space="preserve"> (121 против 116 нг/мл) и C</w:t>
      </w:r>
      <w:r w:rsidRPr="00AE3B9C">
        <w:rPr>
          <w:vertAlign w:val="subscript"/>
        </w:rPr>
        <w:t>av</w:t>
      </w:r>
      <w:r w:rsidRPr="009C2F3C">
        <w:t xml:space="preserve"> (45,2 против 42,2 нг/мл) были приблизительно на 4 и 7% выше, соответственно, у пожилых </w:t>
      </w:r>
      <w:r w:rsidR="00AE3B9C">
        <w:t>лиц</w:t>
      </w:r>
      <w:r w:rsidRPr="009C2F3C">
        <w:t>. Аналогичные результаты были получены при включении дополнительных фармакокинетических данных из исследования LTE (PMAR-00297)</w:t>
      </w:r>
      <w:r w:rsidR="00630146">
        <w:t xml:space="preserve"> </w:t>
      </w:r>
      <w:r w:rsidR="00630146">
        <w:fldChar w:fldCharType="begin"/>
      </w:r>
      <w:r w:rsidR="00244AC8">
        <w:instrText xml:space="preserve"> ADDIN ZOTERO_ITEM CSL_CITATION {"citationID":"iSGl5kL1","properties":{"formattedCitation":"[21]","plainCitation":"[21]","noteIndex":0},"citationItems":[{"id":91153,"uris":["http://zotero.org/groups/4742804/items/UAUYPBRD"],"itemData":{"id":91153,"type":"webpage","title":"Xeljanz.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630146">
        <w:fldChar w:fldCharType="separate"/>
      </w:r>
      <w:r w:rsidR="00AD0B20">
        <w:rPr>
          <w:rFonts w:cs="Times New Roman"/>
        </w:rPr>
        <w:t>[23</w:t>
      </w:r>
      <w:r w:rsidR="00630146" w:rsidRPr="00957218">
        <w:rPr>
          <w:rFonts w:cs="Times New Roman"/>
        </w:rPr>
        <w:t>]</w:t>
      </w:r>
      <w:r w:rsidR="00630146">
        <w:fldChar w:fldCharType="end"/>
      </w:r>
      <w:r w:rsidR="00630146">
        <w:t>.</w:t>
      </w:r>
    </w:p>
    <w:p w14:paraId="73BA3666" w14:textId="77777777" w:rsidR="00B93A35" w:rsidRDefault="00B93A35" w:rsidP="00B93A35">
      <w:pPr>
        <w:pStyle w:val="SDText"/>
        <w:spacing w:after="0"/>
        <w:contextualSpacing/>
      </w:pPr>
    </w:p>
    <w:p w14:paraId="01F8E986" w14:textId="371F85F3" w:rsidR="00735205" w:rsidRPr="00D03104" w:rsidRDefault="00B92829" w:rsidP="00D03104">
      <w:pPr>
        <w:spacing w:after="0"/>
        <w:ind w:firstLine="0"/>
        <w:rPr>
          <w:b/>
          <w:i/>
        </w:rPr>
      </w:pPr>
      <w:bookmarkStart w:id="206" w:name="_Toc115421073"/>
      <w:r w:rsidRPr="00D03104">
        <w:rPr>
          <w:b/>
          <w:i/>
        </w:rPr>
        <w:t>Почечная недостаточность</w:t>
      </w:r>
      <w:bookmarkEnd w:id="206"/>
    </w:p>
    <w:p w14:paraId="772542DE" w14:textId="7EE09B07" w:rsidR="00BF0CC5" w:rsidRDefault="005C0329" w:rsidP="00B93A35">
      <w:pPr>
        <w:pStyle w:val="SDText"/>
        <w:spacing w:after="0"/>
        <w:contextualSpacing/>
      </w:pPr>
      <w:r>
        <w:t xml:space="preserve">В </w:t>
      </w:r>
      <w:r w:rsidR="00E1751A">
        <w:t xml:space="preserve">открытом </w:t>
      </w:r>
      <w:r>
        <w:t xml:space="preserve">исследовании </w:t>
      </w:r>
      <w:r w:rsidRPr="005C0329">
        <w:t>A3921006</w:t>
      </w:r>
      <w:r w:rsidR="00E1751A">
        <w:t xml:space="preserve"> фазы </w:t>
      </w:r>
      <w:r w:rsidR="00E1751A">
        <w:rPr>
          <w:lang w:val="en-US"/>
        </w:rPr>
        <w:t>I</w:t>
      </w:r>
      <w:r w:rsidR="00E1751A" w:rsidRPr="00E1751A">
        <w:t xml:space="preserve"> </w:t>
      </w:r>
      <w:r w:rsidR="00971F57">
        <w:t>сравнили</w:t>
      </w:r>
      <w:r w:rsidR="00E1751A">
        <w:t xml:space="preserve"> фармакокинетику, безопасность и переносимость </w:t>
      </w:r>
      <w:r w:rsidR="000C493D" w:rsidRPr="000C493D">
        <w:t xml:space="preserve">тофацитиниба </w:t>
      </w:r>
      <w:r w:rsidR="00E1751A">
        <w:t>у пациентов с почечной недостаточностью</w:t>
      </w:r>
      <w:r w:rsidR="00971F57">
        <w:t xml:space="preserve"> и лиц с нормальной функцией почек</w:t>
      </w:r>
      <w:r w:rsidR="00670280">
        <w:t xml:space="preserve">. </w:t>
      </w:r>
      <w:r w:rsidR="00304C81">
        <w:t>В зависимости от функции почек у</w:t>
      </w:r>
      <w:r w:rsidR="00670280">
        <w:t xml:space="preserve">частников разделили на </w:t>
      </w:r>
      <w:r w:rsidR="00304C81">
        <w:t xml:space="preserve">4 </w:t>
      </w:r>
      <w:r w:rsidR="00670280">
        <w:t>группы</w:t>
      </w:r>
      <w:r w:rsidR="00304C81">
        <w:t xml:space="preserve"> по 6 человек в каждой</w:t>
      </w:r>
      <w:r w:rsidR="00670280">
        <w:t xml:space="preserve">, в первую группу включили </w:t>
      </w:r>
      <w:r w:rsidR="00B14B26">
        <w:t xml:space="preserve">здоровых добровольцев, во вторую – пациентов с легкой почечной недостаточностью (клиренс креатинина </w:t>
      </w:r>
      <w:r w:rsidR="00B93A35">
        <w:t>&gt;</w:t>
      </w:r>
      <w:r w:rsidR="009B598D" w:rsidRPr="009B598D">
        <w:t xml:space="preserve">50 </w:t>
      </w:r>
      <w:r w:rsidR="009B598D">
        <w:t xml:space="preserve">и </w:t>
      </w:r>
      <w:r w:rsidR="009B598D">
        <w:rPr>
          <w:rFonts w:cs="Times New Roman"/>
        </w:rPr>
        <w:t>≤</w:t>
      </w:r>
      <w:r w:rsidR="009B598D">
        <w:t xml:space="preserve">80 мл/мин), в третью группу – пациентов с умеренной почечной недостаточностью (клиренс креатинина </w:t>
      </w:r>
      <w:r w:rsidR="004B020D">
        <w:rPr>
          <w:rFonts w:cs="Times New Roman"/>
        </w:rPr>
        <w:t>≥</w:t>
      </w:r>
      <w:r w:rsidR="004B020D">
        <w:t xml:space="preserve">30 и </w:t>
      </w:r>
      <w:r w:rsidR="004B020D">
        <w:rPr>
          <w:rFonts w:cs="Times New Roman"/>
        </w:rPr>
        <w:t>≤</w:t>
      </w:r>
      <w:r w:rsidR="004B020D">
        <w:t xml:space="preserve">50 мл/мин), а в четвертую группу – пациентов с тяжелой почечной недостаточностью (клиренс креатинина </w:t>
      </w:r>
      <w:r w:rsidR="00B93A35">
        <w:t>&lt;</w:t>
      </w:r>
      <w:r w:rsidR="004B020D">
        <w:t xml:space="preserve">30 мл/мин). </w:t>
      </w:r>
      <w:r w:rsidR="00D61D6B">
        <w:t xml:space="preserve">Деление на группы проводили в соответствии с классификацией спонсора. </w:t>
      </w:r>
      <w:r w:rsidR="007C4BE6">
        <w:t xml:space="preserve">Исследуемое лекарственное средство участники принимали перорально однократно в дозе </w:t>
      </w:r>
      <w:r w:rsidR="00894086">
        <w:t xml:space="preserve">10 мг. </w:t>
      </w:r>
      <w:r w:rsidR="00D61D6B">
        <w:t xml:space="preserve">Среднее относительное изменение AUC (90% </w:t>
      </w:r>
      <w:r w:rsidR="00A76BCD">
        <w:t xml:space="preserve">доверительный интервал </w:t>
      </w:r>
      <w:r w:rsidR="00A76BCD">
        <w:rPr>
          <w:rFonts w:cs="Times New Roman"/>
        </w:rPr>
        <w:t>[</w:t>
      </w:r>
      <w:r w:rsidR="00D61D6B">
        <w:t>ДИ</w:t>
      </w:r>
      <w:r w:rsidR="00A76BCD">
        <w:rPr>
          <w:rFonts w:cs="Times New Roman"/>
        </w:rPr>
        <w:t>]</w:t>
      </w:r>
      <w:r w:rsidR="00D61D6B">
        <w:t xml:space="preserve">) для пациентов с легкой, умеренной и тяжелой почечной недостаточностью по сравнению с </w:t>
      </w:r>
      <w:r w:rsidR="005A459A">
        <w:t xml:space="preserve">добровольцами с </w:t>
      </w:r>
      <w:r w:rsidR="00D61D6B">
        <w:t>нормальной функцией почек составил</w:t>
      </w:r>
      <w:r w:rsidR="005A459A">
        <w:t>о</w:t>
      </w:r>
      <w:r w:rsidR="00D61D6B">
        <w:t xml:space="preserve"> 41% (-5%, 109%), 71% (14%, 157%) и 156% (69%, 287%)</w:t>
      </w:r>
      <w:r w:rsidR="005A459A" w:rsidRPr="005A459A">
        <w:t xml:space="preserve"> </w:t>
      </w:r>
      <w:r w:rsidR="005A459A">
        <w:t>соответственно</w:t>
      </w:r>
      <w:r w:rsidR="00D61D6B">
        <w:t>. Средн</w:t>
      </w:r>
      <w:r w:rsidR="005A459A">
        <w:t xml:space="preserve">ее относительное </w:t>
      </w:r>
      <w:r w:rsidR="00D61D6B">
        <w:t>изменени</w:t>
      </w:r>
      <w:r w:rsidR="005A459A">
        <w:t>е</w:t>
      </w:r>
      <w:r w:rsidR="00D61D6B">
        <w:t xml:space="preserve"> C</w:t>
      </w:r>
      <w:r w:rsidR="00D61D6B" w:rsidRPr="005A459A">
        <w:rPr>
          <w:vertAlign w:val="subscript"/>
        </w:rPr>
        <w:t>max</w:t>
      </w:r>
      <w:r w:rsidR="00D61D6B">
        <w:t xml:space="preserve"> (90% ДИ) </w:t>
      </w:r>
      <w:r w:rsidR="005A459A">
        <w:t xml:space="preserve">для пациентов с легкой, умеренной и тяжелой почечной недостаточностью по сравнению с добровольцами с нормальной функцией почек </w:t>
      </w:r>
      <w:r w:rsidR="00FB1384">
        <w:t xml:space="preserve">равнялось </w:t>
      </w:r>
      <w:r w:rsidR="00D61D6B">
        <w:t>1% (-31%, 49%),</w:t>
      </w:r>
      <w:r w:rsidR="00FB1384">
        <w:t xml:space="preserve"> </w:t>
      </w:r>
      <w:r w:rsidR="00D61D6B">
        <w:t>2% (-31%, 52%) и 21% (-19%, 81%)</w:t>
      </w:r>
      <w:r w:rsidR="00FB1384" w:rsidRPr="00FB1384">
        <w:t xml:space="preserve"> </w:t>
      </w:r>
      <w:r w:rsidR="00FB1384">
        <w:t>соответственно. Н</w:t>
      </w:r>
      <w:r w:rsidR="00D61D6B">
        <w:t>аблюдал</w:t>
      </w:r>
      <w:r w:rsidR="00FB1384">
        <w:t>и</w:t>
      </w:r>
      <w:r w:rsidR="00D61D6B">
        <w:t xml:space="preserve"> увеличение AUC</w:t>
      </w:r>
      <w:r w:rsidR="00FB1384">
        <w:rPr>
          <w:vertAlign w:val="subscript"/>
        </w:rPr>
        <w:t>0-</w:t>
      </w:r>
      <w:r w:rsidR="00FB1384">
        <w:rPr>
          <w:rFonts w:cs="Times New Roman"/>
          <w:vertAlign w:val="subscript"/>
        </w:rPr>
        <w:t>∞</w:t>
      </w:r>
      <w:r w:rsidR="00D61D6B">
        <w:t xml:space="preserve"> при снижении</w:t>
      </w:r>
      <w:r w:rsidR="00FB1384">
        <w:t xml:space="preserve"> </w:t>
      </w:r>
      <w:r w:rsidR="00D61D6B">
        <w:t>функци</w:t>
      </w:r>
      <w:r w:rsidR="00FB1384">
        <w:t>и</w:t>
      </w:r>
      <w:r w:rsidR="00D61D6B">
        <w:t xml:space="preserve"> почек</w:t>
      </w:r>
      <w:r w:rsidR="00FB1384">
        <w:t xml:space="preserve">. </w:t>
      </w:r>
      <w:r w:rsidR="001E7E81">
        <w:rPr>
          <w:lang w:val="en-US"/>
        </w:rPr>
        <w:t>CL</w:t>
      </w:r>
      <w:r w:rsidR="001E7E81">
        <w:rPr>
          <w:vertAlign w:val="subscript"/>
          <w:lang w:val="en-US"/>
        </w:rPr>
        <w:t>R</w:t>
      </w:r>
      <w:r w:rsidR="001E7E81">
        <w:t xml:space="preserve"> для несвязанного тофацитиниба </w:t>
      </w:r>
      <w:r w:rsidR="00D61D6B">
        <w:t xml:space="preserve">почти у всех </w:t>
      </w:r>
      <w:r w:rsidR="001E7E81">
        <w:t>участников</w:t>
      </w:r>
      <w:r w:rsidR="00D61D6B">
        <w:t xml:space="preserve"> превышал</w:t>
      </w:r>
      <w:r w:rsidR="00FB1384">
        <w:t xml:space="preserve"> </w:t>
      </w:r>
      <w:r w:rsidR="00D61D6B">
        <w:t xml:space="preserve">индивидуальный расчетный </w:t>
      </w:r>
      <w:r w:rsidR="001E7E81">
        <w:t>клиренс креатинина</w:t>
      </w:r>
      <w:r w:rsidR="00D61D6B">
        <w:t>, что позвол</w:t>
      </w:r>
      <w:r w:rsidR="001E7E81">
        <w:t>ило</w:t>
      </w:r>
      <w:r w:rsidR="00D61D6B">
        <w:t xml:space="preserve"> </w:t>
      </w:r>
      <w:r w:rsidR="001E7E81">
        <w:t xml:space="preserve">исследователям </w:t>
      </w:r>
      <w:r w:rsidR="00D61D6B">
        <w:t>предположить, что активная канальцевая секреция</w:t>
      </w:r>
      <w:r w:rsidR="00FB1384">
        <w:t xml:space="preserve"> </w:t>
      </w:r>
      <w:r w:rsidR="00D61D6B">
        <w:t xml:space="preserve">может играть некоторую роль в почечной экскреции </w:t>
      </w:r>
      <w:r w:rsidR="000C493D" w:rsidRPr="000C493D">
        <w:t xml:space="preserve">тофацитиниба </w:t>
      </w:r>
      <w:r w:rsidR="00BF0CC5">
        <w:fldChar w:fldCharType="begin"/>
      </w:r>
      <w:r w:rsidR="00044A89">
        <w:instrText xml:space="preserve"> ADDIN ZOTERO_ITEM CSL_CITATION {"citationID":"AR2I3GIn","properties":{"formattedCitation":"[23]","plainCitation":"[23]","noteIndex":0},"citationItems":[{"id":87804,"uris":["http://zotero.org/groups/4742804/items/MQJLNM6K"],"itemData":{"id":87804,"type":"webpage","title":"Xeljanz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BF0CC5">
        <w:fldChar w:fldCharType="separate"/>
      </w:r>
      <w:r w:rsidR="00AD0B20">
        <w:rPr>
          <w:rFonts w:cs="Times New Roman"/>
        </w:rPr>
        <w:t>[1</w:t>
      </w:r>
      <w:r w:rsidR="00044A89" w:rsidRPr="00044A89">
        <w:rPr>
          <w:rFonts w:cs="Times New Roman"/>
        </w:rPr>
        <w:t>]</w:t>
      </w:r>
      <w:r w:rsidR="00BF0CC5">
        <w:fldChar w:fldCharType="end"/>
      </w:r>
      <w:r w:rsidR="001E7E81">
        <w:t>.</w:t>
      </w:r>
    </w:p>
    <w:p w14:paraId="5F89C738" w14:textId="1B16A2AC" w:rsidR="0018758A" w:rsidRDefault="00956FC1" w:rsidP="00735205">
      <w:pPr>
        <w:pStyle w:val="SDText"/>
        <w:contextualSpacing/>
      </w:pPr>
      <w:r>
        <w:lastRenderedPageBreak/>
        <w:t xml:space="preserve">В исследовании </w:t>
      </w:r>
      <w:r w:rsidRPr="00956FC1">
        <w:t>A3921004</w:t>
      </w:r>
      <w:r>
        <w:t xml:space="preserve"> изучили фармакокинетику </w:t>
      </w:r>
      <w:r w:rsidR="000C493D" w:rsidRPr="000C493D">
        <w:t xml:space="preserve">тофацитиниба </w:t>
      </w:r>
      <w:r>
        <w:t>у пациентов с терминальной стадией почечной недостаточности</w:t>
      </w:r>
      <w:r w:rsidR="001E71FD">
        <w:t xml:space="preserve">, получающих гемодиализ. </w:t>
      </w:r>
      <w:r w:rsidR="005B0250">
        <w:t xml:space="preserve">В периоде 1 приняли участие </w:t>
      </w:r>
      <w:r w:rsidR="00730EA3">
        <w:t xml:space="preserve">12 пациентов, которые принимали </w:t>
      </w:r>
      <w:r w:rsidR="000C493D" w:rsidRPr="000C493D">
        <w:t>тофацитиниб</w:t>
      </w:r>
      <w:r w:rsidR="000C493D">
        <w:t xml:space="preserve"> </w:t>
      </w:r>
      <w:r w:rsidR="00565AB8">
        <w:t xml:space="preserve">в дозе 10 мг в форме порошка для приготовления раствора </w:t>
      </w:r>
      <w:r w:rsidR="007E6904">
        <w:t xml:space="preserve">для приема внутрь через 1–2 ч после проведения гемодиализа. </w:t>
      </w:r>
      <w:r w:rsidR="00A40300">
        <w:t xml:space="preserve">В периоде 2 приняли участие 11 пациентов, которые принимали </w:t>
      </w:r>
      <w:r w:rsidR="000C493D" w:rsidRPr="005E01F3">
        <w:t>тофацитиниб</w:t>
      </w:r>
      <w:r w:rsidR="000C493D">
        <w:t xml:space="preserve"> </w:t>
      </w:r>
      <w:r w:rsidR="00A40300">
        <w:t>в дозе 10 мг в форме порошка для приготовления раствора для приема внутрь за 4 ч до проведения гемодиализа.</w:t>
      </w:r>
      <w:r w:rsidR="008549A4" w:rsidRPr="008549A4">
        <w:t xml:space="preserve"> </w:t>
      </w:r>
      <w:r w:rsidR="00595BAC">
        <w:t>У пациентов наблюдали б</w:t>
      </w:r>
      <w:r w:rsidR="008549A4">
        <w:t xml:space="preserve">ыстрое всасывание и выведение </w:t>
      </w:r>
      <w:r w:rsidR="000C493D" w:rsidRPr="005E01F3">
        <w:t>тофацитиниб</w:t>
      </w:r>
      <w:r w:rsidR="000C493D">
        <w:t>а</w:t>
      </w:r>
      <w:r w:rsidR="008549A4">
        <w:t xml:space="preserve">, </w:t>
      </w:r>
      <w:r w:rsidR="00184A92">
        <w:t xml:space="preserve">на основании чего </w:t>
      </w:r>
      <w:r w:rsidR="008549A4">
        <w:t>предпол</w:t>
      </w:r>
      <w:r w:rsidR="00184A92">
        <w:t>ожили существенный</w:t>
      </w:r>
      <w:r w:rsidR="008549A4">
        <w:t xml:space="preserve"> </w:t>
      </w:r>
      <w:r w:rsidR="00184A92">
        <w:rPr>
          <w:lang w:val="en-US"/>
        </w:rPr>
        <w:t>CL</w:t>
      </w:r>
      <w:r w:rsidR="00184A92" w:rsidRPr="00EB305D">
        <w:rPr>
          <w:vertAlign w:val="subscript"/>
          <w:lang w:val="en-US"/>
        </w:rPr>
        <w:t>N</w:t>
      </w:r>
      <w:r w:rsidR="00184A92">
        <w:rPr>
          <w:vertAlign w:val="subscript"/>
          <w:lang w:val="en-US"/>
        </w:rPr>
        <w:t>R</w:t>
      </w:r>
      <w:r w:rsidR="008549A4">
        <w:t xml:space="preserve">. </w:t>
      </w:r>
      <w:r w:rsidR="00EB305D">
        <w:t xml:space="preserve">Значение </w:t>
      </w:r>
      <w:r w:rsidR="00F033B3">
        <w:rPr>
          <w:lang w:val="en-US"/>
        </w:rPr>
        <w:t>T</w:t>
      </w:r>
      <w:r w:rsidR="00EB305D" w:rsidRPr="00C21B43">
        <w:rPr>
          <w:vertAlign w:val="subscript"/>
        </w:rPr>
        <w:t>1/2</w:t>
      </w:r>
      <w:r w:rsidR="00EB305D" w:rsidRPr="00C21B43">
        <w:rPr>
          <w:rFonts w:cs="Times New Roman"/>
          <w:vertAlign w:val="subscript"/>
          <w:lang w:val="en-US"/>
        </w:rPr>
        <w:t>β</w:t>
      </w:r>
      <w:r w:rsidR="00EB305D">
        <w:t xml:space="preserve"> составляло </w:t>
      </w:r>
      <w:r w:rsidR="008549A4">
        <w:t>примерно 3,5 ч. AUC и C</w:t>
      </w:r>
      <w:r w:rsidR="008549A4" w:rsidRPr="00EB305D">
        <w:rPr>
          <w:vertAlign w:val="subscript"/>
        </w:rPr>
        <w:t>max</w:t>
      </w:r>
      <w:r w:rsidR="008549A4">
        <w:t xml:space="preserve"> у пациентов с терминальной почечной недостаточностью </w:t>
      </w:r>
      <w:r w:rsidR="00EB305D">
        <w:t>были на</w:t>
      </w:r>
      <w:r w:rsidR="008549A4">
        <w:t xml:space="preserve"> 37 и 20% </w:t>
      </w:r>
      <w:r w:rsidR="00DB25B7">
        <w:t xml:space="preserve">соответственно </w:t>
      </w:r>
      <w:r w:rsidR="008549A4">
        <w:t xml:space="preserve">выше </w:t>
      </w:r>
      <w:r w:rsidR="00DB25B7">
        <w:t xml:space="preserve">значений, определенных </w:t>
      </w:r>
      <w:r w:rsidR="008549A4">
        <w:t>в исследовании A3921002</w:t>
      </w:r>
      <w:r w:rsidR="00DB25B7">
        <w:t xml:space="preserve"> с участием здоровых добровольцев</w:t>
      </w:r>
      <w:r w:rsidR="005405E9">
        <w:t>. Данные периода</w:t>
      </w:r>
      <w:r w:rsidR="00C521ED">
        <w:t xml:space="preserve"> 2</w:t>
      </w:r>
      <w:r w:rsidR="005405E9">
        <w:t xml:space="preserve">, </w:t>
      </w:r>
      <w:r w:rsidR="00C521ED">
        <w:t>в ходе которого</w:t>
      </w:r>
      <w:r w:rsidR="005405E9">
        <w:t xml:space="preserve"> CP-690,550 вводили за 4 ч до диализа, использовали для измерения диализируемости </w:t>
      </w:r>
      <w:r w:rsidR="000C493D" w:rsidRPr="005E01F3">
        <w:t>тофацитиниб</w:t>
      </w:r>
      <w:r w:rsidR="000C493D">
        <w:t>а</w:t>
      </w:r>
      <w:r w:rsidR="005405E9">
        <w:t xml:space="preserve">. СР-690550 </w:t>
      </w:r>
      <w:r w:rsidR="00953C76">
        <w:t>в существенной степени</w:t>
      </w:r>
      <w:r w:rsidR="005405E9">
        <w:t xml:space="preserve"> </w:t>
      </w:r>
      <w:r w:rsidR="00953C76">
        <w:t>выводился</w:t>
      </w:r>
      <w:r w:rsidR="005405E9">
        <w:t xml:space="preserve"> во время гемодиализа</w:t>
      </w:r>
      <w:r w:rsidR="00953C76">
        <w:t>, что установили</w:t>
      </w:r>
      <w:r w:rsidR="005405E9">
        <w:t xml:space="preserve"> на основ</w:t>
      </w:r>
      <w:r w:rsidR="00953C76">
        <w:t>ании</w:t>
      </w:r>
      <w:r w:rsidR="005405E9">
        <w:t xml:space="preserve"> наблюдаемого клиренса диализатора и </w:t>
      </w:r>
      <w:r w:rsidR="00562154">
        <w:t>результатов оцениваемых показателей</w:t>
      </w:r>
      <w:r w:rsidR="005405E9">
        <w:t xml:space="preserve"> </w:t>
      </w:r>
      <w:r w:rsidR="00562154">
        <w:t>у</w:t>
      </w:r>
      <w:r w:rsidR="005405E9">
        <w:t xml:space="preserve"> </w:t>
      </w:r>
      <w:r w:rsidR="00562154">
        <w:t>пациентов с</w:t>
      </w:r>
      <w:r w:rsidR="005405E9">
        <w:t xml:space="preserve"> </w:t>
      </w:r>
      <w:r w:rsidR="00562154">
        <w:t>почечной недостаточностью</w:t>
      </w:r>
      <w:r w:rsidR="005405E9">
        <w:t>. Значительное количество СР-690550</w:t>
      </w:r>
      <w:r w:rsidR="00562154">
        <w:t xml:space="preserve"> (</w:t>
      </w:r>
      <w:r w:rsidR="005405E9">
        <w:t>около 73% от количества, которое выводился через почки</w:t>
      </w:r>
      <w:r w:rsidR="00562154">
        <w:t>)</w:t>
      </w:r>
      <w:r w:rsidR="005405E9">
        <w:t xml:space="preserve"> экстрагировал</w:t>
      </w:r>
      <w:r w:rsidR="00562154">
        <w:t xml:space="preserve">ось </w:t>
      </w:r>
      <w:r w:rsidR="005405E9">
        <w:t xml:space="preserve">в диализат. </w:t>
      </w:r>
      <w:r w:rsidR="00562154">
        <w:t>К</w:t>
      </w:r>
      <w:r w:rsidR="005405E9">
        <w:t xml:space="preserve">лиренс диализатора </w:t>
      </w:r>
      <w:r w:rsidR="000C493D" w:rsidRPr="005E01F3">
        <w:t>тофацитиниб</w:t>
      </w:r>
      <w:r w:rsidR="000C493D">
        <w:t xml:space="preserve">а </w:t>
      </w:r>
      <w:r w:rsidR="005405E9">
        <w:t xml:space="preserve">оставался постоянным у каждого </w:t>
      </w:r>
      <w:r w:rsidR="00562154">
        <w:t>пациента</w:t>
      </w:r>
      <w:r w:rsidR="005405E9">
        <w:t xml:space="preserve"> в течение сеанса гемодиализа. Однако существовал</w:t>
      </w:r>
      <w:r w:rsidR="00A047D4">
        <w:t>а</w:t>
      </w:r>
      <w:r w:rsidR="005405E9">
        <w:t xml:space="preserve"> значительн</w:t>
      </w:r>
      <w:r w:rsidR="00E22F57">
        <w:t>ая</w:t>
      </w:r>
      <w:r w:rsidR="005405E9">
        <w:t xml:space="preserve"> меж</w:t>
      </w:r>
      <w:r w:rsidR="00A047D4">
        <w:t>индивидуальная</w:t>
      </w:r>
      <w:r w:rsidR="005405E9">
        <w:t xml:space="preserve"> вариабельность клиренса диализатора</w:t>
      </w:r>
      <w:r w:rsidR="00557FB3">
        <w:t>, который находился</w:t>
      </w:r>
      <w:r w:rsidR="005405E9">
        <w:t xml:space="preserve"> в </w:t>
      </w:r>
      <w:r w:rsidR="00557FB3">
        <w:t>интервале</w:t>
      </w:r>
      <w:r w:rsidR="005405E9">
        <w:t xml:space="preserve"> от 174 до 527 мл/мин </w:t>
      </w:r>
      <w:r w:rsidR="005405E9">
        <w:fldChar w:fldCharType="begin"/>
      </w:r>
      <w:r w:rsidR="00044A89">
        <w:instrText xml:space="preserve"> ADDIN ZOTERO_ITEM CSL_CITATION {"citationID":"1S6dGbRi","properties":{"formattedCitation":"[23]","plainCitation":"[23]","noteIndex":0},"citationItems":[{"id":87804,"uris":["http://zotero.org/groups/4742804/items/MQJLNM6K"],"itemData":{"id":87804,"type":"webpage","title":"Xeljanz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5405E9">
        <w:fldChar w:fldCharType="separate"/>
      </w:r>
      <w:r w:rsidR="00AD0B20">
        <w:rPr>
          <w:rFonts w:cs="Times New Roman"/>
        </w:rPr>
        <w:t>[1</w:t>
      </w:r>
      <w:r w:rsidR="00044A89" w:rsidRPr="00044A89">
        <w:rPr>
          <w:rFonts w:cs="Times New Roman"/>
        </w:rPr>
        <w:t>]</w:t>
      </w:r>
      <w:r w:rsidR="005405E9">
        <w:fldChar w:fldCharType="end"/>
      </w:r>
      <w:r w:rsidR="005405E9">
        <w:t>.</w:t>
      </w:r>
    </w:p>
    <w:p w14:paraId="2209D8D3" w14:textId="6CFE5C82" w:rsidR="006864A2" w:rsidRDefault="006864A2" w:rsidP="00735205">
      <w:pPr>
        <w:pStyle w:val="SDText"/>
        <w:contextualSpacing/>
      </w:pPr>
      <w:r>
        <w:t xml:space="preserve">В рандомизированном двойном слепом плацебо-контролируемом исследовании </w:t>
      </w:r>
      <w:r w:rsidRPr="007007B5">
        <w:t>A3921033</w:t>
      </w:r>
      <w:r>
        <w:t xml:space="preserve"> фазы </w:t>
      </w:r>
      <w:r>
        <w:rPr>
          <w:lang w:val="en-US"/>
        </w:rPr>
        <w:t>I</w:t>
      </w:r>
      <w:r>
        <w:t xml:space="preserve"> изучили влияние многократного приема </w:t>
      </w:r>
      <w:r w:rsidR="000C493D" w:rsidRPr="005E01F3">
        <w:t>тофацитиниб</w:t>
      </w:r>
      <w:r w:rsidR="000C493D">
        <w:t xml:space="preserve">а </w:t>
      </w:r>
      <w:r>
        <w:t xml:space="preserve">на скорость клубочковой фильтрации, измеряемой при оценке клиренса йогексола из сыворотки крови, у здоровых добровольцев. Добровольцы перорально принимали </w:t>
      </w:r>
      <w:r w:rsidR="000C493D" w:rsidRPr="005E01F3">
        <w:t>тофацитиниб</w:t>
      </w:r>
      <w:r w:rsidR="000C493D">
        <w:t xml:space="preserve"> </w:t>
      </w:r>
      <w:r>
        <w:t xml:space="preserve">в дозе 15 мг в форме таблеток или плацебо в течение 14 дней с последующим периодом наблюдения, составлявшим около 29 дней. Скорректированные средние и геометрические отношения для различных конечных точек и сравнений были в пределах от 0,9 до 1,1 с достаточно узкими ДИ. На основании полученных результатов показали, что 14-дневное </w:t>
      </w:r>
      <w:r w:rsidR="000C493D" w:rsidRPr="005E01F3">
        <w:t>тофацитиниб</w:t>
      </w:r>
      <w:r w:rsidR="000C493D">
        <w:t>а</w:t>
      </w:r>
      <w:r>
        <w:t xml:space="preserve"> не влияло на скорость клубочковой фильтрации (СКФ), почечную секрецию креатинина или эффективный почечный плазмоток у здоровых добровольцев. Таким образом, </w:t>
      </w:r>
      <w:r w:rsidR="000C493D" w:rsidRPr="005E01F3">
        <w:t>тофацитиниб</w:t>
      </w:r>
      <w:r>
        <w:t xml:space="preserve"> не влиял на функцию почек </w:t>
      </w:r>
      <w:r>
        <w:fldChar w:fldCharType="begin"/>
      </w:r>
      <w:r w:rsidR="00044A89">
        <w:instrText xml:space="preserve"> ADDIN ZOTERO_ITEM CSL_CITATION {"citationID":"NUXradjs","properties":{"formattedCitation":"[23]","plainCitation":"[23]","noteIndex":0},"citationItems":[{"id":87804,"uris":["http://zotero.org/groups/4742804/items/MQJLNM6K"],"itemData":{"id":87804,"type":"webpage","title":"Xeljanz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fldChar w:fldCharType="separate"/>
      </w:r>
      <w:r w:rsidR="00AD0B20">
        <w:rPr>
          <w:rFonts w:cs="Times New Roman"/>
        </w:rPr>
        <w:t>[1</w:t>
      </w:r>
      <w:r w:rsidR="00044A89" w:rsidRPr="00044A89">
        <w:rPr>
          <w:rFonts w:cs="Times New Roman"/>
        </w:rPr>
        <w:t>]</w:t>
      </w:r>
      <w:r>
        <w:fldChar w:fldCharType="end"/>
      </w:r>
      <w:r>
        <w:t>.</w:t>
      </w:r>
    </w:p>
    <w:p w14:paraId="44509CD8" w14:textId="0D9378CF" w:rsidR="004C3BFF" w:rsidRDefault="004C3BFF" w:rsidP="00735205">
      <w:pPr>
        <w:pStyle w:val="SDText"/>
        <w:contextualSpacing/>
      </w:pPr>
      <w:r w:rsidRPr="00F536FD">
        <w:t>Специа</w:t>
      </w:r>
      <w:r>
        <w:t>льных</w:t>
      </w:r>
      <w:r w:rsidRPr="00F536FD">
        <w:t xml:space="preserve"> фармакокинетических исследований у пациентов с РА с почечной недостаточностью не проводилось. </w:t>
      </w:r>
      <w:r>
        <w:t>Фармакокинетику изучали у</w:t>
      </w:r>
      <w:r w:rsidRPr="00F536FD">
        <w:t xml:space="preserve"> пациент</w:t>
      </w:r>
      <w:r>
        <w:t>ов</w:t>
      </w:r>
      <w:r w:rsidRPr="00F536FD">
        <w:t xml:space="preserve"> без РА со всеми степенями почечной недостаточности, в том числе с терминальной стадией почечной недостаточности. Популяционные фармакокинетические данные пациентов с РА с легкой и умеренной почечной недостаточностью сравнивали с данными пациентов без РА в специальных исследованиях почечной недостаточности. Больные РА с тяжелой почечной недостаточностью исключались из всех клинических исследований. Рекомендации по дозировке</w:t>
      </w:r>
      <w:r>
        <w:t xml:space="preserve"> у</w:t>
      </w:r>
      <w:r w:rsidRPr="00F536FD">
        <w:t xml:space="preserve"> </w:t>
      </w:r>
      <w:r>
        <w:t>пациентов</w:t>
      </w:r>
      <w:r w:rsidRPr="00F536FD">
        <w:t xml:space="preserve"> </w:t>
      </w:r>
      <w:r>
        <w:t xml:space="preserve">из </w:t>
      </w:r>
      <w:r w:rsidRPr="00F536FD">
        <w:t>этой подгрупп</w:t>
      </w:r>
      <w:r>
        <w:t>ы</w:t>
      </w:r>
      <w:r w:rsidRPr="00F536FD">
        <w:t xml:space="preserve"> основаны на экстраполяции результатов специальных исследований у пациентов без РА с тяжелой почечной недостаточностью</w:t>
      </w:r>
      <w:r>
        <w:t xml:space="preserve"> </w:t>
      </w:r>
      <w:r>
        <w:fldChar w:fldCharType="begin"/>
      </w:r>
      <w:r w:rsidR="00244AC8">
        <w:instrText xml:space="preserve"> ADDIN ZOTERO_ITEM CSL_CITATION {"citationID":"Mc5dJAk5","properties":{"formattedCitation":"[21]","plainCitation":"[21]","noteIndex":0},"citationItems":[{"id":91153,"uris":["http://zotero.org/groups/4742804/items/UAUYPBRD"],"itemData":{"id":91153,"type":"webpage","title":"Xeljanz.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AD0B20">
        <w:rPr>
          <w:rFonts w:cs="Times New Roman"/>
        </w:rPr>
        <w:t>[23</w:t>
      </w:r>
      <w:r w:rsidRPr="00957218">
        <w:rPr>
          <w:rFonts w:cs="Times New Roman"/>
        </w:rPr>
        <w:t>]</w:t>
      </w:r>
      <w:r>
        <w:fldChar w:fldCharType="end"/>
      </w:r>
      <w:r>
        <w:t>.</w:t>
      </w:r>
    </w:p>
    <w:p w14:paraId="639DE91A" w14:textId="50A36BB5" w:rsidR="004C3BFF" w:rsidRDefault="004C3BFF" w:rsidP="00735205">
      <w:pPr>
        <w:pStyle w:val="SDText"/>
        <w:contextualSpacing/>
      </w:pPr>
      <w:r>
        <w:t>У пациентов с РА и легкой и умеренной почечной недостаточностью наблюдается относительно умеренное увеличение AUC тофацитиниба на 8% (90% ДИ 4%, 15%) и 29% (90% ДИ 15%, 61%) соответственно</w:t>
      </w:r>
      <w:r w:rsidRPr="00112263">
        <w:t xml:space="preserve"> </w:t>
      </w:r>
      <w:r>
        <w:fldChar w:fldCharType="begin"/>
      </w:r>
      <w:r w:rsidR="00244AC8">
        <w:instrText xml:space="preserve"> ADDIN ZOTERO_ITEM CSL_CITATION {"citationID":"I5yiMVyI","properties":{"formattedCitation":"[21]","plainCitation":"[21]","noteIndex":0},"citationItems":[{"id":91153,"uris":["http://zotero.org/groups/4742804/items/UAUYPBRD"],"itemData":{"id":91153,"type":"webpage","title":"Xeljanz.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AD0B20">
        <w:rPr>
          <w:rFonts w:cs="Times New Roman"/>
        </w:rPr>
        <w:t>[23</w:t>
      </w:r>
      <w:r w:rsidRPr="00957218">
        <w:rPr>
          <w:rFonts w:cs="Times New Roman"/>
        </w:rPr>
        <w:t>]</w:t>
      </w:r>
      <w:r>
        <w:fldChar w:fldCharType="end"/>
      </w:r>
      <w:r>
        <w:t>.</w:t>
      </w:r>
    </w:p>
    <w:p w14:paraId="0A0CD0D4" w14:textId="25F66C9E" w:rsidR="004C3BFF" w:rsidRPr="005B0250" w:rsidRDefault="004C3BFF" w:rsidP="00735205">
      <w:pPr>
        <w:pStyle w:val="SDText"/>
        <w:contextualSpacing/>
      </w:pPr>
      <w:r>
        <w:t>Дозу тофацитиниба рекомендуется снизить до 5 мг один раз в сутки у пациентов с тяжелой почечной недостаточностью (&lt; 30 мл/мин), учитывая, что AUC тофацитиниба увеличивается примерно в два раза в этой популяции пациентов и что пациенты должны оставаться на сниженной дозе даже после гемодиализа</w:t>
      </w:r>
      <w:r w:rsidRPr="00112263">
        <w:t xml:space="preserve"> </w:t>
      </w:r>
      <w:r>
        <w:fldChar w:fldCharType="begin"/>
      </w:r>
      <w:r w:rsidR="00244AC8">
        <w:instrText xml:space="preserve"> ADDIN ZOTERO_ITEM CSL_CITATION {"citationID":"S9wqMtyM","properties":{"formattedCitation":"[21]","plainCitation":"[21]","noteIndex":0},"citationItems":[{"id":91153,"uris":["http://zotero.org/groups/4742804/items/UAUYPBRD"],"itemData":{"id":91153,"type":"webpage","title":"Xeljanz.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AD0B20">
        <w:rPr>
          <w:rFonts w:cs="Times New Roman"/>
        </w:rPr>
        <w:t>[23</w:t>
      </w:r>
      <w:r w:rsidRPr="00957218">
        <w:rPr>
          <w:rFonts w:cs="Times New Roman"/>
        </w:rPr>
        <w:t>]</w:t>
      </w:r>
      <w:r>
        <w:fldChar w:fldCharType="end"/>
      </w:r>
      <w:r>
        <w:t>.</w:t>
      </w:r>
    </w:p>
    <w:p w14:paraId="0E844523" w14:textId="41D8C1C1" w:rsidR="00735205" w:rsidRPr="00D03104" w:rsidRDefault="0018758A" w:rsidP="00D03104">
      <w:pPr>
        <w:spacing w:after="0"/>
        <w:ind w:firstLine="0"/>
        <w:rPr>
          <w:b/>
          <w:i/>
        </w:rPr>
      </w:pPr>
      <w:bookmarkStart w:id="207" w:name="_Toc115421074"/>
      <w:r w:rsidRPr="00D03104">
        <w:rPr>
          <w:b/>
          <w:i/>
        </w:rPr>
        <w:lastRenderedPageBreak/>
        <w:t>Печеночная недостаточность</w:t>
      </w:r>
      <w:bookmarkEnd w:id="207"/>
    </w:p>
    <w:p w14:paraId="1C41282C" w14:textId="602F2DA9" w:rsidR="0068724D" w:rsidRDefault="005962F3" w:rsidP="00735205">
      <w:pPr>
        <w:pStyle w:val="SDText"/>
        <w:contextualSpacing/>
      </w:pPr>
      <w:r w:rsidRPr="005962F3">
        <w:t>Пациент</w:t>
      </w:r>
      <w:r>
        <w:t>ов</w:t>
      </w:r>
      <w:r w:rsidRPr="005962F3">
        <w:t xml:space="preserve"> с РА и печеночной недостаточностью </w:t>
      </w:r>
      <w:r>
        <w:t>ни в одно из</w:t>
      </w:r>
      <w:r w:rsidRPr="005962F3">
        <w:t xml:space="preserve"> клинических исследований</w:t>
      </w:r>
      <w:r>
        <w:t xml:space="preserve"> не включали</w:t>
      </w:r>
      <w:r w:rsidRPr="005962F3">
        <w:t xml:space="preserve">. </w:t>
      </w:r>
      <w:r>
        <w:t>Фармакокинетику тофацитиниба у лиц</w:t>
      </w:r>
      <w:r w:rsidRPr="005962F3">
        <w:t xml:space="preserve"> без РА с легкой и умеренной печеночной недостаточностью исследова</w:t>
      </w:r>
      <w:r>
        <w:t>ли</w:t>
      </w:r>
      <w:r w:rsidRPr="005962F3">
        <w:t xml:space="preserve"> в специальном фармакокинетическом исследовании. </w:t>
      </w:r>
      <w:r>
        <w:t>Фармакокинетику тофацитиниба у лиц</w:t>
      </w:r>
      <w:r w:rsidRPr="005962F3">
        <w:t xml:space="preserve"> с тяжелой печеночной недостаточностью не исследовали</w:t>
      </w:r>
      <w:r>
        <w:t xml:space="preserve"> </w:t>
      </w:r>
      <w:r>
        <w:fldChar w:fldCharType="begin"/>
      </w:r>
      <w:r w:rsidR="00244AC8">
        <w:instrText xml:space="preserve"> ADDIN ZOTERO_ITEM CSL_CITATION {"citationID":"YrzPKmKv","properties":{"formattedCitation":"[21]","plainCitation":"[21]","noteIndex":0},"citationItems":[{"id":91153,"uris":["http://zotero.org/groups/4742804/items/UAUYPBRD"],"itemData":{"id":91153,"type":"webpage","title":"Xeljanz.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AD0B20">
        <w:rPr>
          <w:rFonts w:cs="Times New Roman"/>
        </w:rPr>
        <w:t>[23</w:t>
      </w:r>
      <w:r w:rsidRPr="00957218">
        <w:rPr>
          <w:rFonts w:cs="Times New Roman"/>
        </w:rPr>
        <w:t>]</w:t>
      </w:r>
      <w:r>
        <w:fldChar w:fldCharType="end"/>
      </w:r>
      <w:r>
        <w:t>.</w:t>
      </w:r>
    </w:p>
    <w:p w14:paraId="3340DBA7" w14:textId="6B5E633E" w:rsidR="0018758A" w:rsidRDefault="00BB5C93" w:rsidP="00735205">
      <w:pPr>
        <w:pStyle w:val="SDText"/>
        <w:contextualSpacing/>
      </w:pPr>
      <w:r>
        <w:t xml:space="preserve">В </w:t>
      </w:r>
      <w:r w:rsidR="000A1D1E">
        <w:t xml:space="preserve">нерандомизированном </w:t>
      </w:r>
      <w:r w:rsidR="00B64E7F">
        <w:t xml:space="preserve">открытом </w:t>
      </w:r>
      <w:r>
        <w:t xml:space="preserve">исследовании </w:t>
      </w:r>
      <w:r w:rsidRPr="00BB5C93">
        <w:t>A3921015</w:t>
      </w:r>
      <w:r>
        <w:t xml:space="preserve"> </w:t>
      </w:r>
      <w:r w:rsidR="00B64E7F">
        <w:t xml:space="preserve">фазы </w:t>
      </w:r>
      <w:r w:rsidR="00B64E7F">
        <w:rPr>
          <w:lang w:val="en-US"/>
        </w:rPr>
        <w:t>I</w:t>
      </w:r>
      <w:r w:rsidR="00B64E7F" w:rsidRPr="00B64E7F">
        <w:t xml:space="preserve"> </w:t>
      </w:r>
      <w:r w:rsidR="00722742">
        <w:t xml:space="preserve">сравнили фармакокинетику, безопасность и переносимость </w:t>
      </w:r>
      <w:r w:rsidR="000C493D" w:rsidRPr="005E01F3">
        <w:t>тофацитиниб</w:t>
      </w:r>
      <w:r w:rsidR="000C493D">
        <w:t xml:space="preserve">а </w:t>
      </w:r>
      <w:r w:rsidR="00ED059A">
        <w:t xml:space="preserve">у </w:t>
      </w:r>
      <w:r w:rsidR="00561EAD">
        <w:t xml:space="preserve">лиц с нарушением или нормальной </w:t>
      </w:r>
      <w:r w:rsidR="00810C15">
        <w:t xml:space="preserve">функцией печени. </w:t>
      </w:r>
      <w:r w:rsidR="00C13351">
        <w:t>В зависимости от функции печени участников разделили на 3 группы</w:t>
      </w:r>
      <w:r w:rsidR="00D16689">
        <w:t xml:space="preserve"> по 6 человек в каждой</w:t>
      </w:r>
      <w:r w:rsidR="00C13351">
        <w:t xml:space="preserve">: </w:t>
      </w:r>
      <w:r w:rsidR="00607873">
        <w:t xml:space="preserve">в первую группу вошли </w:t>
      </w:r>
      <w:r w:rsidR="00C13351">
        <w:t xml:space="preserve">лица </w:t>
      </w:r>
      <w:r w:rsidR="00607873">
        <w:t>с нормальной функцией печени, во вторую группу – пациенты с легким нарушением функции печени</w:t>
      </w:r>
      <w:r w:rsidR="00D16689">
        <w:t xml:space="preserve">, а в третью группу – пациенты с умеренным нарушением функции печени. </w:t>
      </w:r>
      <w:r w:rsidR="009469F9">
        <w:t xml:space="preserve">Все участники принимали перорально однократно исследуемое лекарственное средство в дозе 10 мг. </w:t>
      </w:r>
      <w:r w:rsidR="00CB6058">
        <w:t xml:space="preserve">У пациентов с легкой и умеренной печеночной недостаточностью определили незначимое увеличение </w:t>
      </w:r>
      <w:r w:rsidR="00CB6058">
        <w:rPr>
          <w:lang w:val="en-US"/>
        </w:rPr>
        <w:t>C</w:t>
      </w:r>
      <w:r w:rsidR="00CB6058">
        <w:rPr>
          <w:vertAlign w:val="subscript"/>
          <w:lang w:val="en-US"/>
        </w:rPr>
        <w:t>max</w:t>
      </w:r>
      <w:r w:rsidR="00CB6058" w:rsidRPr="00CB6058">
        <w:t xml:space="preserve"> </w:t>
      </w:r>
      <w:r w:rsidR="00CB6058">
        <w:t xml:space="preserve">и </w:t>
      </w:r>
      <w:r w:rsidR="00CB6058">
        <w:rPr>
          <w:lang w:val="en-US"/>
        </w:rPr>
        <w:t>AUC</w:t>
      </w:r>
      <w:r w:rsidR="00CB6058" w:rsidRPr="00CB6058">
        <w:t xml:space="preserve"> </w:t>
      </w:r>
      <w:r w:rsidR="00CB6058">
        <w:t xml:space="preserve">на </w:t>
      </w:r>
      <w:r w:rsidR="00F71616">
        <w:t xml:space="preserve">49 и 65% соответственно </w:t>
      </w:r>
      <w:r w:rsidR="00BF0CC5">
        <w:fldChar w:fldCharType="begin"/>
      </w:r>
      <w:r w:rsidR="00044A89">
        <w:instrText xml:space="preserve"> ADDIN ZOTERO_ITEM CSL_CITATION {"citationID":"RXKVB5Us","properties":{"formattedCitation":"[23]","plainCitation":"[23]","noteIndex":0},"citationItems":[{"id":87804,"uris":["http://zotero.org/groups/4742804/items/MQJLNM6K"],"itemData":{"id":87804,"type":"webpage","title":"Xeljanz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BF0CC5">
        <w:fldChar w:fldCharType="separate"/>
      </w:r>
      <w:r w:rsidR="00AD0B20">
        <w:rPr>
          <w:rFonts w:cs="Times New Roman"/>
        </w:rPr>
        <w:t>[1</w:t>
      </w:r>
      <w:r w:rsidR="00044A89" w:rsidRPr="00044A89">
        <w:rPr>
          <w:rFonts w:cs="Times New Roman"/>
        </w:rPr>
        <w:t>]</w:t>
      </w:r>
      <w:r w:rsidR="00BF0CC5">
        <w:fldChar w:fldCharType="end"/>
      </w:r>
      <w:r w:rsidR="00F71616">
        <w:t>.</w:t>
      </w:r>
    </w:p>
    <w:p w14:paraId="58434A6B" w14:textId="485F8DC3" w:rsidR="004C573D" w:rsidRPr="0018758A" w:rsidRDefault="00671659" w:rsidP="00735205">
      <w:pPr>
        <w:pStyle w:val="SDText"/>
        <w:contextualSpacing/>
      </w:pPr>
      <w:r>
        <w:t xml:space="preserve">У пациентов с легкой печеночной недостаточностью корректировка дозы тофацитиниба не требуется. Для пациентов с умеренной печеночной недостаточностью необходимо снижение дозы тофацитиниба до </w:t>
      </w:r>
      <w:r w:rsidR="00F829F0">
        <w:t xml:space="preserve">5 мг 1 раз в день </w:t>
      </w:r>
      <w:r w:rsidR="00F829F0">
        <w:fldChar w:fldCharType="begin"/>
      </w:r>
      <w:r w:rsidR="00244AC8">
        <w:instrText xml:space="preserve"> ADDIN ZOTERO_ITEM CSL_CITATION {"citationID":"mmP6swsd","properties":{"formattedCitation":"[21]","plainCitation":"[21]","noteIndex":0},"citationItems":[{"id":91153,"uris":["http://zotero.org/groups/4742804/items/UAUYPBRD"],"itemData":{"id":91153,"type":"webpage","title":"Xeljanz.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rsidR="00F829F0">
        <w:fldChar w:fldCharType="separate"/>
      </w:r>
      <w:r w:rsidR="00AD0B20">
        <w:rPr>
          <w:rFonts w:cs="Times New Roman"/>
        </w:rPr>
        <w:t>[23</w:t>
      </w:r>
      <w:r w:rsidR="00F829F0" w:rsidRPr="00957218">
        <w:rPr>
          <w:rFonts w:cs="Times New Roman"/>
        </w:rPr>
        <w:t>]</w:t>
      </w:r>
      <w:r w:rsidR="00F829F0">
        <w:fldChar w:fldCharType="end"/>
      </w:r>
      <w:r w:rsidR="00F829F0">
        <w:t>.</w:t>
      </w:r>
    </w:p>
    <w:p w14:paraId="250AC10C" w14:textId="5CDC5351" w:rsidR="00735205" w:rsidRPr="00D03104" w:rsidRDefault="00A46414" w:rsidP="00D03104">
      <w:pPr>
        <w:spacing w:after="0"/>
        <w:ind w:firstLine="0"/>
        <w:rPr>
          <w:b/>
          <w:i/>
        </w:rPr>
      </w:pPr>
      <w:bookmarkStart w:id="208" w:name="_Toc115421075"/>
      <w:r w:rsidRPr="00D03104">
        <w:rPr>
          <w:b/>
          <w:i/>
        </w:rPr>
        <w:t>Фармакокинетические лекарственные взаимодействия</w:t>
      </w:r>
      <w:bookmarkEnd w:id="208"/>
      <w:r w:rsidRPr="00D03104">
        <w:rPr>
          <w:b/>
          <w:i/>
        </w:rPr>
        <w:t xml:space="preserve"> </w:t>
      </w:r>
    </w:p>
    <w:p w14:paraId="72FEB785" w14:textId="27AB3768" w:rsidR="00BF0CC5" w:rsidRDefault="00E90FDE" w:rsidP="00735205">
      <w:pPr>
        <w:pStyle w:val="SDText"/>
        <w:contextualSpacing/>
      </w:pPr>
      <w:r>
        <w:t xml:space="preserve">В открытом </w:t>
      </w:r>
      <w:r w:rsidR="00400CD2">
        <w:t xml:space="preserve">перекрестном </w:t>
      </w:r>
      <w:r w:rsidR="008938E0">
        <w:t xml:space="preserve">исследовании </w:t>
      </w:r>
      <w:r w:rsidRPr="00E90FDE">
        <w:t>A3921054</w:t>
      </w:r>
      <w:r w:rsidR="008938E0">
        <w:t xml:space="preserve"> фазы </w:t>
      </w:r>
      <w:r w:rsidR="008938E0">
        <w:rPr>
          <w:lang w:val="en-US"/>
        </w:rPr>
        <w:t>I</w:t>
      </w:r>
      <w:r w:rsidR="008938E0">
        <w:t xml:space="preserve"> </w:t>
      </w:r>
      <w:r w:rsidR="00E633D5">
        <w:t xml:space="preserve">изучили эффект кетоконазола в отношении </w:t>
      </w:r>
      <w:r w:rsidR="0058558B">
        <w:t xml:space="preserve">фармакокинетики </w:t>
      </w:r>
      <w:r w:rsidR="00E633D5">
        <w:t>тофацитиниба</w:t>
      </w:r>
      <w:r w:rsidR="007E210A">
        <w:t xml:space="preserve"> у здоровых добровольцев (</w:t>
      </w:r>
      <w:r w:rsidR="007E210A">
        <w:rPr>
          <w:lang w:val="en-US"/>
        </w:rPr>
        <w:t>n</w:t>
      </w:r>
      <w:r w:rsidR="007E210A" w:rsidRPr="007E210A">
        <w:t xml:space="preserve"> = 12)</w:t>
      </w:r>
      <w:r w:rsidR="00E633D5">
        <w:t xml:space="preserve">. </w:t>
      </w:r>
      <w:r w:rsidR="002C2F0E">
        <w:t xml:space="preserve">В одном из периодов исследования </w:t>
      </w:r>
      <w:r w:rsidR="007E210A">
        <w:t xml:space="preserve">участники принимали перорально </w:t>
      </w:r>
      <w:r w:rsidR="000C493D" w:rsidRPr="005E01F3">
        <w:t>тофацитиниб</w:t>
      </w:r>
      <w:r w:rsidR="000C493D">
        <w:t xml:space="preserve"> </w:t>
      </w:r>
      <w:r w:rsidR="007E210A">
        <w:t xml:space="preserve">в дозе </w:t>
      </w:r>
      <w:r w:rsidR="001A311B">
        <w:t xml:space="preserve">10 мг, а во втором периоде – кетоконазол в дозе 400 мг/сут в течение 3 дней, на 3 день также принимали перорально </w:t>
      </w:r>
      <w:r w:rsidR="000C493D" w:rsidRPr="000C493D">
        <w:t>тофацитиниб</w:t>
      </w:r>
      <w:r w:rsidR="000C493D">
        <w:t xml:space="preserve"> </w:t>
      </w:r>
      <w:r w:rsidR="001A311B">
        <w:t>в дозе 10 мг</w:t>
      </w:r>
      <w:r w:rsidR="00F43893">
        <w:t xml:space="preserve">. Прием с кетоконазолом увеличивал </w:t>
      </w:r>
      <w:r w:rsidR="00F43893" w:rsidRPr="00F43893">
        <w:t>C</w:t>
      </w:r>
      <w:r w:rsidR="00F43893" w:rsidRPr="00F43893">
        <w:rPr>
          <w:vertAlign w:val="subscript"/>
        </w:rPr>
        <w:t>max</w:t>
      </w:r>
      <w:r w:rsidR="002C2F0E">
        <w:t xml:space="preserve"> </w:t>
      </w:r>
      <w:r w:rsidR="00B54147">
        <w:t xml:space="preserve">тофацитиниба и снижал </w:t>
      </w:r>
      <w:r w:rsidR="00B54147">
        <w:rPr>
          <w:lang w:val="en-US"/>
        </w:rPr>
        <w:t>CL</w:t>
      </w:r>
      <w:r w:rsidR="00B54147" w:rsidRPr="00B54147">
        <w:t xml:space="preserve"> </w:t>
      </w:r>
      <w:r w:rsidR="00B54147">
        <w:t xml:space="preserve">с увеличением </w:t>
      </w:r>
      <w:r w:rsidR="00F033B3">
        <w:rPr>
          <w:lang w:val="en-US"/>
        </w:rPr>
        <w:t>T</w:t>
      </w:r>
      <w:r w:rsidR="00A76BCD" w:rsidRPr="00A76BCD">
        <w:rPr>
          <w:vertAlign w:val="subscript"/>
        </w:rPr>
        <w:t>1/2</w:t>
      </w:r>
      <w:r w:rsidR="00A76BCD">
        <w:rPr>
          <w:rFonts w:cs="Times New Roman"/>
          <w:vertAlign w:val="subscript"/>
        </w:rPr>
        <w:t>β</w:t>
      </w:r>
      <w:r w:rsidR="00923D81">
        <w:rPr>
          <w:rFonts w:cs="Times New Roman"/>
        </w:rPr>
        <w:t xml:space="preserve">. На фоне совместного приема с кетоконазолом </w:t>
      </w:r>
      <w:r w:rsidR="004C43AC">
        <w:rPr>
          <w:rFonts w:cs="Times New Roman"/>
          <w:lang w:val="en-US"/>
        </w:rPr>
        <w:t>AUC</w:t>
      </w:r>
      <w:r w:rsidR="004C43AC" w:rsidRPr="005B5A05">
        <w:rPr>
          <w:rFonts w:cs="Times New Roman"/>
        </w:rPr>
        <w:t xml:space="preserve"> </w:t>
      </w:r>
      <w:r w:rsidR="004C43AC">
        <w:rPr>
          <w:rFonts w:cs="Times New Roman"/>
        </w:rPr>
        <w:t xml:space="preserve">тофацитиниба </w:t>
      </w:r>
      <w:r w:rsidR="005B5A05">
        <w:rPr>
          <w:rFonts w:cs="Times New Roman"/>
        </w:rPr>
        <w:t>повышалась примерно на 10</w:t>
      </w:r>
      <w:r w:rsidR="00F72362">
        <w:rPr>
          <w:rFonts w:cs="Times New Roman"/>
        </w:rPr>
        <w:t>3</w:t>
      </w:r>
      <w:r w:rsidR="005B5A05">
        <w:rPr>
          <w:rFonts w:cs="Times New Roman"/>
        </w:rPr>
        <w:t xml:space="preserve">%, а </w:t>
      </w:r>
      <w:r w:rsidR="005B5A05" w:rsidRPr="00F43893">
        <w:t>C</w:t>
      </w:r>
      <w:r w:rsidR="005B5A05" w:rsidRPr="00F43893">
        <w:rPr>
          <w:vertAlign w:val="subscript"/>
        </w:rPr>
        <w:t>max</w:t>
      </w:r>
      <w:r w:rsidR="005B5A05">
        <w:t xml:space="preserve"> – примерно на 16% </w:t>
      </w:r>
      <w:r w:rsidR="00BF0CC5">
        <w:fldChar w:fldCharType="begin"/>
      </w:r>
      <w:r w:rsidR="00044A89">
        <w:instrText xml:space="preserve"> ADDIN ZOTERO_ITEM CSL_CITATION {"citationID":"gUbJdnar","properties":{"formattedCitation":"[23]","plainCitation":"[23]","noteIndex":0},"citationItems":[{"id":87804,"uris":["http://zotero.org/groups/4742804/items/MQJLNM6K"],"itemData":{"id":87804,"type":"webpage","title":"Xeljanz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BF0CC5">
        <w:fldChar w:fldCharType="separate"/>
      </w:r>
      <w:r w:rsidR="00AD0B20">
        <w:rPr>
          <w:rFonts w:cs="Times New Roman"/>
        </w:rPr>
        <w:t>[1</w:t>
      </w:r>
      <w:r w:rsidR="00044A89" w:rsidRPr="00044A89">
        <w:rPr>
          <w:rFonts w:cs="Times New Roman"/>
        </w:rPr>
        <w:t>]</w:t>
      </w:r>
      <w:r w:rsidR="00BF0CC5">
        <w:fldChar w:fldCharType="end"/>
      </w:r>
      <w:r w:rsidR="00F72362">
        <w:t>.</w:t>
      </w:r>
    </w:p>
    <w:p w14:paraId="106629CC" w14:textId="40401CAC" w:rsidR="00AA5E1A" w:rsidRDefault="00400CD2" w:rsidP="00735205">
      <w:pPr>
        <w:pStyle w:val="SDText"/>
        <w:contextualSpacing/>
      </w:pPr>
      <w:r>
        <w:t xml:space="preserve">В открытом перекрестном исследовании </w:t>
      </w:r>
      <w:r w:rsidRPr="00400CD2">
        <w:t>A3921014</w:t>
      </w:r>
      <w:r>
        <w:t xml:space="preserve"> </w:t>
      </w:r>
      <w:r w:rsidR="006F42E2">
        <w:t xml:space="preserve">фазы </w:t>
      </w:r>
      <w:r w:rsidR="006F42E2">
        <w:rPr>
          <w:lang w:val="en-US"/>
        </w:rPr>
        <w:t>I</w:t>
      </w:r>
      <w:r w:rsidR="006F42E2">
        <w:t xml:space="preserve"> </w:t>
      </w:r>
      <w:r w:rsidR="0012086E">
        <w:t xml:space="preserve">изучили влияние флуконазола на фармакокинетику, безопасность и переносимость </w:t>
      </w:r>
      <w:r w:rsidR="000C493D" w:rsidRPr="000C493D">
        <w:t xml:space="preserve">тофацитиниба </w:t>
      </w:r>
      <w:r w:rsidR="0058558B">
        <w:t>у здоровых добровольцев</w:t>
      </w:r>
      <w:r w:rsidR="001B48DA">
        <w:t xml:space="preserve"> (</w:t>
      </w:r>
      <w:r w:rsidR="001B48DA">
        <w:rPr>
          <w:lang w:val="en-US"/>
        </w:rPr>
        <w:t>n</w:t>
      </w:r>
      <w:r w:rsidR="001B48DA" w:rsidRPr="007E210A">
        <w:t xml:space="preserve"> = 12)</w:t>
      </w:r>
      <w:r w:rsidR="0058558B">
        <w:t xml:space="preserve">. </w:t>
      </w:r>
      <w:r w:rsidR="00EF3F77">
        <w:t xml:space="preserve">В одном из периодов исследования </w:t>
      </w:r>
      <w:r w:rsidR="00994413">
        <w:t xml:space="preserve">в первый день </w:t>
      </w:r>
      <w:r w:rsidR="00EF3F77">
        <w:t xml:space="preserve">участники принимали перорально </w:t>
      </w:r>
      <w:r w:rsidR="000C493D" w:rsidRPr="000C493D">
        <w:t>тофацитиниб</w:t>
      </w:r>
      <w:r w:rsidR="000C493D">
        <w:t xml:space="preserve"> </w:t>
      </w:r>
      <w:r w:rsidR="00EF3F77">
        <w:t xml:space="preserve">в дозе </w:t>
      </w:r>
      <w:r w:rsidR="00994413">
        <w:t>30</w:t>
      </w:r>
      <w:r w:rsidR="00EF3F77">
        <w:t xml:space="preserve"> мг, </w:t>
      </w:r>
      <w:r w:rsidR="00994413">
        <w:t>а на второй и третий день не принимали лекарственные средства. В</w:t>
      </w:r>
      <w:r w:rsidR="00EF3F77">
        <w:t xml:space="preserve">о втором периоде </w:t>
      </w:r>
      <w:r w:rsidR="00994413">
        <w:t xml:space="preserve">участники перорально принимали </w:t>
      </w:r>
      <w:r w:rsidR="00D8165D">
        <w:t>флуконазол</w:t>
      </w:r>
      <w:r w:rsidR="00EF3F77">
        <w:t xml:space="preserve"> в дозе </w:t>
      </w:r>
      <w:r w:rsidR="00D8165D">
        <w:t>2</w:t>
      </w:r>
      <w:r w:rsidR="00EF3F77">
        <w:t>00 мг</w:t>
      </w:r>
      <w:r w:rsidR="00D8165D">
        <w:t xml:space="preserve"> один раз в день</w:t>
      </w:r>
      <w:r w:rsidR="00EF3F77">
        <w:t xml:space="preserve"> в течение </w:t>
      </w:r>
      <w:r w:rsidR="00D8165D">
        <w:t>первых 4</w:t>
      </w:r>
      <w:r w:rsidR="00EF3F77">
        <w:t xml:space="preserve"> дней, на </w:t>
      </w:r>
      <w:r w:rsidR="00D8165D">
        <w:t>5</w:t>
      </w:r>
      <w:r w:rsidR="00EF3F77">
        <w:t xml:space="preserve"> день также принимали перорально </w:t>
      </w:r>
      <w:r w:rsidR="00D8165D">
        <w:t>флуконазол в дозе 200 мг</w:t>
      </w:r>
      <w:r w:rsidR="005F20D9">
        <w:t xml:space="preserve"> 1 раз в день и</w:t>
      </w:r>
      <w:r w:rsidR="00D8165D">
        <w:t xml:space="preserve"> </w:t>
      </w:r>
      <w:r w:rsidR="000C493D" w:rsidRPr="000C493D">
        <w:t>тофацитиниб</w:t>
      </w:r>
      <w:r w:rsidR="000C493D">
        <w:t xml:space="preserve"> </w:t>
      </w:r>
      <w:r w:rsidR="00EF3F77">
        <w:t xml:space="preserve">в дозе </w:t>
      </w:r>
      <w:r w:rsidR="005F20D9">
        <w:t>3</w:t>
      </w:r>
      <w:r w:rsidR="00EF3F77">
        <w:t>0 мг</w:t>
      </w:r>
      <w:r w:rsidR="005F20D9">
        <w:t xml:space="preserve">, на 6 и 7 день перорально принимали флуконазол в дозе 200 мг 1 раз в день, а на 8 день не принимали лекарственные средства. </w:t>
      </w:r>
      <w:r w:rsidR="00706CAF">
        <w:t xml:space="preserve">Прием с флуконазолом увеличивал </w:t>
      </w:r>
      <w:r w:rsidR="00706CAF" w:rsidRPr="00F43893">
        <w:t>C</w:t>
      </w:r>
      <w:r w:rsidR="00706CAF" w:rsidRPr="00F43893">
        <w:rPr>
          <w:vertAlign w:val="subscript"/>
        </w:rPr>
        <w:t>max</w:t>
      </w:r>
      <w:r w:rsidR="00706CAF">
        <w:t xml:space="preserve"> тофацитиниба и снижал </w:t>
      </w:r>
      <w:r w:rsidR="00706CAF">
        <w:rPr>
          <w:lang w:val="en-US"/>
        </w:rPr>
        <w:t>CL</w:t>
      </w:r>
      <w:r w:rsidR="00706CAF" w:rsidRPr="00B54147">
        <w:t xml:space="preserve"> </w:t>
      </w:r>
      <w:r w:rsidR="00706CAF">
        <w:t xml:space="preserve">с увеличением </w:t>
      </w:r>
      <w:r w:rsidR="00F033B3">
        <w:rPr>
          <w:lang w:val="en-US"/>
        </w:rPr>
        <w:t>T</w:t>
      </w:r>
      <w:r w:rsidR="00706CAF" w:rsidRPr="00A76BCD">
        <w:rPr>
          <w:vertAlign w:val="subscript"/>
        </w:rPr>
        <w:t>1/2</w:t>
      </w:r>
      <w:r w:rsidR="00706CAF">
        <w:rPr>
          <w:rFonts w:cs="Times New Roman"/>
          <w:vertAlign w:val="subscript"/>
        </w:rPr>
        <w:t>β</w:t>
      </w:r>
      <w:r w:rsidR="00706CAF">
        <w:rPr>
          <w:rFonts w:cs="Times New Roman"/>
        </w:rPr>
        <w:t xml:space="preserve">. На фоне совместного приема с кетоконазолом </w:t>
      </w:r>
      <w:r w:rsidR="00706CAF">
        <w:rPr>
          <w:rFonts w:cs="Times New Roman"/>
          <w:lang w:val="en-US"/>
        </w:rPr>
        <w:t>AUC</w:t>
      </w:r>
      <w:r w:rsidR="00706CAF" w:rsidRPr="005B5A05">
        <w:rPr>
          <w:rFonts w:cs="Times New Roman"/>
        </w:rPr>
        <w:t xml:space="preserve"> </w:t>
      </w:r>
      <w:r w:rsidR="00706CAF">
        <w:rPr>
          <w:rFonts w:cs="Times New Roman"/>
        </w:rPr>
        <w:t xml:space="preserve">тофацитиниба повышалась примерно на </w:t>
      </w:r>
      <w:r w:rsidR="00F93614">
        <w:rPr>
          <w:rFonts w:cs="Times New Roman"/>
        </w:rPr>
        <w:t>79</w:t>
      </w:r>
      <w:r w:rsidR="00706CAF">
        <w:rPr>
          <w:rFonts w:cs="Times New Roman"/>
        </w:rPr>
        <w:t xml:space="preserve">%, а </w:t>
      </w:r>
      <w:r w:rsidR="00706CAF" w:rsidRPr="00F43893">
        <w:t>C</w:t>
      </w:r>
      <w:r w:rsidR="00706CAF" w:rsidRPr="00F43893">
        <w:rPr>
          <w:vertAlign w:val="subscript"/>
        </w:rPr>
        <w:t>max</w:t>
      </w:r>
      <w:r w:rsidR="00706CAF">
        <w:t xml:space="preserve"> – примерно на </w:t>
      </w:r>
      <w:r w:rsidR="00F93614">
        <w:t>27</w:t>
      </w:r>
      <w:r w:rsidR="00706CAF">
        <w:t>%</w:t>
      </w:r>
      <w:r w:rsidR="00F93614">
        <w:t xml:space="preserve"> </w:t>
      </w:r>
      <w:r w:rsidR="00F93614">
        <w:fldChar w:fldCharType="begin"/>
      </w:r>
      <w:r w:rsidR="00044A89">
        <w:instrText xml:space="preserve"> ADDIN ZOTERO_ITEM CSL_CITATION {"citationID":"jvvw6dKr","properties":{"formattedCitation":"[23]","plainCitation":"[23]","noteIndex":0},"citationItems":[{"id":87804,"uris":["http://zotero.org/groups/4742804/items/MQJLNM6K"],"itemData":{"id":87804,"type":"webpage","title":"Xeljanz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F93614">
        <w:fldChar w:fldCharType="separate"/>
      </w:r>
      <w:r w:rsidR="00AD0B20">
        <w:rPr>
          <w:rFonts w:cs="Times New Roman"/>
        </w:rPr>
        <w:t>[1</w:t>
      </w:r>
      <w:r w:rsidR="00044A89" w:rsidRPr="00044A89">
        <w:rPr>
          <w:rFonts w:cs="Times New Roman"/>
        </w:rPr>
        <w:t>]</w:t>
      </w:r>
      <w:r w:rsidR="00F93614">
        <w:fldChar w:fldCharType="end"/>
      </w:r>
      <w:r w:rsidR="00F93614">
        <w:t>.</w:t>
      </w:r>
    </w:p>
    <w:p w14:paraId="05A964A5" w14:textId="79CEB704" w:rsidR="006F42E2" w:rsidRDefault="006F42E2" w:rsidP="00735205">
      <w:pPr>
        <w:pStyle w:val="SDText"/>
        <w:contextualSpacing/>
      </w:pPr>
      <w:r>
        <w:t xml:space="preserve">В открытом перекрестном исследовании </w:t>
      </w:r>
      <w:r w:rsidRPr="006F42E2">
        <w:t>A3921056</w:t>
      </w:r>
      <w:r w:rsidR="0009553A">
        <w:t xml:space="preserve"> фазы </w:t>
      </w:r>
      <w:r w:rsidR="0009553A">
        <w:rPr>
          <w:lang w:val="en-US"/>
        </w:rPr>
        <w:t>I</w:t>
      </w:r>
      <w:r w:rsidR="0009553A">
        <w:t xml:space="preserve"> изучили влияние рифампицина на фармакокинетику </w:t>
      </w:r>
      <w:r w:rsidR="00523C1A">
        <w:t>тофацитиниба</w:t>
      </w:r>
      <w:r w:rsidR="000A7034">
        <w:t xml:space="preserve"> у здоровых добровольцев</w:t>
      </w:r>
      <w:r w:rsidR="00523C1A">
        <w:t xml:space="preserve">. </w:t>
      </w:r>
      <w:r w:rsidR="000A7034">
        <w:t xml:space="preserve">В одном из периодов исследования участники принимали перорально </w:t>
      </w:r>
      <w:r w:rsidR="000C493D" w:rsidRPr="000C493D">
        <w:t>тофацитиниб</w:t>
      </w:r>
      <w:r w:rsidR="000C493D">
        <w:t xml:space="preserve"> </w:t>
      </w:r>
      <w:r w:rsidR="000A7034">
        <w:t xml:space="preserve">в дозе 30 мг. Во втором периоде участники перорально принимали </w:t>
      </w:r>
      <w:r w:rsidR="003D2A51">
        <w:t>рифампицин</w:t>
      </w:r>
      <w:r w:rsidR="000A7034">
        <w:t xml:space="preserve"> в дозе </w:t>
      </w:r>
      <w:r w:rsidR="003D2A51">
        <w:t>6</w:t>
      </w:r>
      <w:r w:rsidR="000A7034">
        <w:t xml:space="preserve">00 мг один раз в день в течение первых </w:t>
      </w:r>
      <w:r w:rsidR="000A4241">
        <w:t>7</w:t>
      </w:r>
      <w:r w:rsidR="000A7034">
        <w:t xml:space="preserve"> дней, а на 8 день </w:t>
      </w:r>
      <w:r w:rsidR="000A4241">
        <w:t xml:space="preserve">принимали перорально </w:t>
      </w:r>
      <w:r w:rsidR="000C493D" w:rsidRPr="000C493D">
        <w:t>тофацитиниб</w:t>
      </w:r>
      <w:r w:rsidR="000C493D">
        <w:t xml:space="preserve"> </w:t>
      </w:r>
      <w:r w:rsidR="000A4241">
        <w:t>в дозе 30 мг</w:t>
      </w:r>
      <w:r w:rsidR="000A7034">
        <w:t xml:space="preserve">. </w:t>
      </w:r>
      <w:r w:rsidR="000A7034">
        <w:rPr>
          <w:rFonts w:cs="Times New Roman"/>
        </w:rPr>
        <w:t xml:space="preserve">На фоне совместного приема с </w:t>
      </w:r>
      <w:r w:rsidR="00864518">
        <w:rPr>
          <w:rFonts w:cs="Times New Roman"/>
        </w:rPr>
        <w:t>рифампицином</w:t>
      </w:r>
      <w:r w:rsidR="000A7034">
        <w:rPr>
          <w:rFonts w:cs="Times New Roman"/>
        </w:rPr>
        <w:t xml:space="preserve"> </w:t>
      </w:r>
      <w:r w:rsidR="000A7034">
        <w:rPr>
          <w:rFonts w:cs="Times New Roman"/>
          <w:lang w:val="en-US"/>
        </w:rPr>
        <w:t>AUC</w:t>
      </w:r>
      <w:r w:rsidR="000A7034" w:rsidRPr="005B5A05">
        <w:rPr>
          <w:rFonts w:cs="Times New Roman"/>
        </w:rPr>
        <w:t xml:space="preserve"> </w:t>
      </w:r>
      <w:r w:rsidR="000A7034">
        <w:rPr>
          <w:rFonts w:cs="Times New Roman"/>
        </w:rPr>
        <w:t xml:space="preserve">тофацитиниба </w:t>
      </w:r>
      <w:r w:rsidR="000F0F84">
        <w:rPr>
          <w:rFonts w:cs="Times New Roman"/>
        </w:rPr>
        <w:t>снижалась</w:t>
      </w:r>
      <w:r w:rsidR="000A7034">
        <w:rPr>
          <w:rFonts w:cs="Times New Roman"/>
        </w:rPr>
        <w:t xml:space="preserve"> примерно на </w:t>
      </w:r>
      <w:r w:rsidR="00864518">
        <w:rPr>
          <w:rFonts w:cs="Times New Roman"/>
        </w:rPr>
        <w:t>84</w:t>
      </w:r>
      <w:r w:rsidR="000A7034">
        <w:rPr>
          <w:rFonts w:cs="Times New Roman"/>
        </w:rPr>
        <w:t xml:space="preserve">%, а </w:t>
      </w:r>
      <w:r w:rsidR="000A7034" w:rsidRPr="00F43893">
        <w:t>C</w:t>
      </w:r>
      <w:r w:rsidR="000A7034" w:rsidRPr="00F43893">
        <w:rPr>
          <w:vertAlign w:val="subscript"/>
        </w:rPr>
        <w:t>max</w:t>
      </w:r>
      <w:r w:rsidR="000A7034">
        <w:t xml:space="preserve"> – примерно на </w:t>
      </w:r>
      <w:r w:rsidR="000F0F84">
        <w:t>74</w:t>
      </w:r>
      <w:r w:rsidR="000A7034">
        <w:t>%</w:t>
      </w:r>
      <w:r w:rsidR="000F0F84">
        <w:t xml:space="preserve"> </w:t>
      </w:r>
      <w:r w:rsidR="000F0F84">
        <w:fldChar w:fldCharType="begin"/>
      </w:r>
      <w:r w:rsidR="00044A89">
        <w:instrText xml:space="preserve"> ADDIN ZOTERO_ITEM CSL_CITATION {"citationID":"0ZR6ySSt","properties":{"formattedCitation":"[23]","plainCitation":"[23]","noteIndex":0},"citationItems":[{"id":87804,"uris":["http://zotero.org/groups/4742804/items/MQJLNM6K"],"itemData":{"id":87804,"type":"webpage","title":"Xeljanz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F0F84">
        <w:fldChar w:fldCharType="separate"/>
      </w:r>
      <w:r w:rsidR="00AD0B20">
        <w:rPr>
          <w:rFonts w:cs="Times New Roman"/>
        </w:rPr>
        <w:t>[1</w:t>
      </w:r>
      <w:r w:rsidR="00044A89" w:rsidRPr="00044A89">
        <w:rPr>
          <w:rFonts w:cs="Times New Roman"/>
        </w:rPr>
        <w:t>]</w:t>
      </w:r>
      <w:r w:rsidR="000F0F84">
        <w:fldChar w:fldCharType="end"/>
      </w:r>
      <w:r w:rsidR="000F0F84">
        <w:t>.</w:t>
      </w:r>
    </w:p>
    <w:p w14:paraId="296ED995" w14:textId="73CC44B2" w:rsidR="001B7F10" w:rsidRDefault="001B7F10" w:rsidP="00735205">
      <w:pPr>
        <w:pStyle w:val="SDText"/>
        <w:contextualSpacing/>
      </w:pPr>
      <w:r>
        <w:lastRenderedPageBreak/>
        <w:t xml:space="preserve">В </w:t>
      </w:r>
      <w:r w:rsidR="00E75489">
        <w:t xml:space="preserve">открытом </w:t>
      </w:r>
      <w:r>
        <w:t xml:space="preserve">исследовании </w:t>
      </w:r>
      <w:r w:rsidRPr="001B7F10">
        <w:t>A3921013</w:t>
      </w:r>
      <w:r>
        <w:t xml:space="preserve"> </w:t>
      </w:r>
      <w:bookmarkStart w:id="209" w:name="_Hlk114140435"/>
      <w:r w:rsidR="00E75489">
        <w:t xml:space="preserve">фазы </w:t>
      </w:r>
      <w:r w:rsidR="00E75489">
        <w:rPr>
          <w:lang w:val="en-US"/>
        </w:rPr>
        <w:t>I</w:t>
      </w:r>
      <w:r w:rsidR="00E75489">
        <w:t xml:space="preserve"> </w:t>
      </w:r>
      <w:bookmarkEnd w:id="209"/>
      <w:r w:rsidR="00E75489">
        <w:t xml:space="preserve">изучили влияние однократного приема метотрексата </w:t>
      </w:r>
      <w:r w:rsidR="00A412AD">
        <w:t xml:space="preserve">на фармакокинетику тофацитиниба, принимаемого многократно, у пациентов с ревматоидным артритом. </w:t>
      </w:r>
      <w:r w:rsidR="00384015">
        <w:t xml:space="preserve">В исследование включили пациентов, которые </w:t>
      </w:r>
      <w:r w:rsidR="003462C0">
        <w:t xml:space="preserve">по крайней мере в течение 28 дней перорально </w:t>
      </w:r>
      <w:r w:rsidR="00384015">
        <w:t xml:space="preserve">принимали метотрексат в </w:t>
      </w:r>
      <w:r w:rsidR="003462C0">
        <w:t>стабильн</w:t>
      </w:r>
      <w:r w:rsidR="003D451E">
        <w:t>ой</w:t>
      </w:r>
      <w:r w:rsidR="003462C0">
        <w:t xml:space="preserve"> </w:t>
      </w:r>
      <w:r w:rsidR="003D451E">
        <w:t>дозе</w:t>
      </w:r>
      <w:r w:rsidR="00384015">
        <w:t xml:space="preserve"> (15–25 мг/неделю)</w:t>
      </w:r>
      <w:r w:rsidR="003D451E">
        <w:t xml:space="preserve">. </w:t>
      </w:r>
      <w:r w:rsidR="007A3B07">
        <w:t xml:space="preserve">В первый день исследования </w:t>
      </w:r>
      <w:r w:rsidR="003D451E">
        <w:t>участники получали перорально метотрексат в индивидуально</w:t>
      </w:r>
      <w:r w:rsidR="00B53BD5">
        <w:t xml:space="preserve"> подобранной</w:t>
      </w:r>
      <w:r w:rsidR="003D451E">
        <w:t xml:space="preserve"> дозе, </w:t>
      </w:r>
      <w:r w:rsidR="00420D6F">
        <w:t xml:space="preserve">на второй день лекарственных средств не получали, с 3 по 6 дни пациенты принимали перорально </w:t>
      </w:r>
      <w:r w:rsidR="000C493D" w:rsidRPr="000C493D">
        <w:t>тофацитиниб</w:t>
      </w:r>
      <w:r w:rsidR="000C493D">
        <w:t xml:space="preserve"> </w:t>
      </w:r>
      <w:r w:rsidR="001E35CE">
        <w:t xml:space="preserve">в дозе 30 мг каждые 12 ч, утром на 7 день участники принимали перорально </w:t>
      </w:r>
      <w:r w:rsidR="000C493D" w:rsidRPr="000C493D">
        <w:t>тофацитиниб</w:t>
      </w:r>
      <w:r w:rsidR="000C493D">
        <w:t xml:space="preserve"> </w:t>
      </w:r>
      <w:r w:rsidR="001E35CE">
        <w:t>в дозе 30 мг</w:t>
      </w:r>
      <w:r w:rsidR="00B53BD5">
        <w:t>, а через 5 мин – метотрексат в индивидуально подобранной дозе</w:t>
      </w:r>
      <w:r w:rsidR="00E44BD2">
        <w:t xml:space="preserve">, а на 8 и 9 дни лекарственные средства не получали. </w:t>
      </w:r>
      <w:r w:rsidR="00B269C5">
        <w:t xml:space="preserve">Существенных изменений фармакокинетики </w:t>
      </w:r>
      <w:r w:rsidR="00777A7E">
        <w:t>тофацитиниба и метотрексата при одновременном использовании в ходе исследовани</w:t>
      </w:r>
      <w:r w:rsidR="00E000C0">
        <w:t>я</w:t>
      </w:r>
      <w:r w:rsidR="00777A7E">
        <w:t xml:space="preserve"> не зарегистрировали </w:t>
      </w:r>
      <w:r w:rsidR="00777A7E">
        <w:fldChar w:fldCharType="begin"/>
      </w:r>
      <w:r w:rsidR="00044A89">
        <w:instrText xml:space="preserve"> ADDIN ZOTERO_ITEM CSL_CITATION {"citationID":"2Cr2XSkh","properties":{"formattedCitation":"[23]","plainCitation":"[23]","noteIndex":0},"citationItems":[{"id":87804,"uris":["http://zotero.org/groups/4742804/items/MQJLNM6K"],"itemData":{"id":87804,"type":"webpage","title":"Xeljanz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777A7E">
        <w:fldChar w:fldCharType="separate"/>
      </w:r>
      <w:r w:rsidR="00AD0B20">
        <w:rPr>
          <w:rFonts w:cs="Times New Roman"/>
        </w:rPr>
        <w:t>[1</w:t>
      </w:r>
      <w:r w:rsidR="00044A89" w:rsidRPr="00044A89">
        <w:rPr>
          <w:rFonts w:cs="Times New Roman"/>
        </w:rPr>
        <w:t>]</w:t>
      </w:r>
      <w:r w:rsidR="00777A7E">
        <w:fldChar w:fldCharType="end"/>
      </w:r>
      <w:r w:rsidR="00777A7E">
        <w:t>.</w:t>
      </w:r>
    </w:p>
    <w:p w14:paraId="546A779A" w14:textId="76658509" w:rsidR="00226461" w:rsidRDefault="00226461" w:rsidP="00735205">
      <w:pPr>
        <w:pStyle w:val="SDText"/>
        <w:contextualSpacing/>
      </w:pPr>
      <w:r>
        <w:t xml:space="preserve">В </w:t>
      </w:r>
      <w:r w:rsidR="0092769E">
        <w:t xml:space="preserve">открытом </w:t>
      </w:r>
      <w:r>
        <w:t xml:space="preserve">исследовании </w:t>
      </w:r>
      <w:r w:rsidRPr="00226461">
        <w:t>A3921020</w:t>
      </w:r>
      <w:r w:rsidR="0092769E" w:rsidRPr="0092769E">
        <w:t xml:space="preserve"> </w:t>
      </w:r>
      <w:r w:rsidR="0092769E">
        <w:t xml:space="preserve">фазы </w:t>
      </w:r>
      <w:r w:rsidR="0092769E">
        <w:rPr>
          <w:lang w:val="en-US"/>
        </w:rPr>
        <w:t>I</w:t>
      </w:r>
      <w:r w:rsidR="0092769E">
        <w:t xml:space="preserve"> изучили влияние такролимуса и циклоспорина на фармакокинетику тофацитиниба у здоровых добровольцев. </w:t>
      </w:r>
      <w:r w:rsidR="00CD1B6A">
        <w:t xml:space="preserve">Исследование </w:t>
      </w:r>
      <w:r w:rsidR="00C57B18">
        <w:t>проводили в 2 когортах: когорт</w:t>
      </w:r>
      <w:r w:rsidR="000D148D">
        <w:t xml:space="preserve">е </w:t>
      </w:r>
      <w:r w:rsidR="000D148D">
        <w:rPr>
          <w:lang w:val="en-US"/>
        </w:rPr>
        <w:t>A</w:t>
      </w:r>
      <w:r w:rsidR="000D148D" w:rsidRPr="000D148D">
        <w:t xml:space="preserve"> </w:t>
      </w:r>
      <w:r w:rsidR="000D148D">
        <w:t xml:space="preserve">такролимуса и когорте </w:t>
      </w:r>
      <w:r w:rsidR="000D148D">
        <w:rPr>
          <w:lang w:val="en-US"/>
        </w:rPr>
        <w:t>B</w:t>
      </w:r>
      <w:r w:rsidR="000D148D" w:rsidRPr="000D148D">
        <w:t xml:space="preserve"> </w:t>
      </w:r>
      <w:r w:rsidR="000D148D">
        <w:t xml:space="preserve">циклоспорина. </w:t>
      </w:r>
      <w:r w:rsidR="00816E18">
        <w:t xml:space="preserve">Добровольцы из когорты </w:t>
      </w:r>
      <w:r w:rsidR="00816E18">
        <w:rPr>
          <w:lang w:val="en-US"/>
        </w:rPr>
        <w:t>A</w:t>
      </w:r>
      <w:r w:rsidR="00816E18" w:rsidRPr="00816E18">
        <w:t xml:space="preserve"> </w:t>
      </w:r>
      <w:r w:rsidR="006D5400">
        <w:t xml:space="preserve">в первом периоде </w:t>
      </w:r>
      <w:r w:rsidR="00816E18">
        <w:t xml:space="preserve">получали перорально </w:t>
      </w:r>
      <w:r w:rsidR="000C493D" w:rsidRPr="000C493D">
        <w:t xml:space="preserve">тофацитиниба </w:t>
      </w:r>
      <w:r w:rsidR="008A40FF">
        <w:t>в дозе 10 мг</w:t>
      </w:r>
      <w:r w:rsidR="00D9352A" w:rsidRPr="00D9352A">
        <w:t xml:space="preserve"> </w:t>
      </w:r>
      <w:r w:rsidR="00D9352A">
        <w:t>однократно</w:t>
      </w:r>
      <w:r w:rsidR="009B1E97">
        <w:t>. Во</w:t>
      </w:r>
      <w:r w:rsidR="00816E18">
        <w:t xml:space="preserve"> второ</w:t>
      </w:r>
      <w:r w:rsidR="009B1E97">
        <w:t xml:space="preserve">м периоде </w:t>
      </w:r>
      <w:r w:rsidR="009F3812">
        <w:t xml:space="preserve">с 1 по 7 день </w:t>
      </w:r>
      <w:r w:rsidR="009B1E97">
        <w:t>добровольцы перорально принимали такролимус в дозе 5 мг каждые 12 ч</w:t>
      </w:r>
      <w:r w:rsidR="009F3812">
        <w:t xml:space="preserve">, </w:t>
      </w:r>
      <w:r w:rsidR="00816E18">
        <w:t xml:space="preserve">на </w:t>
      </w:r>
      <w:r w:rsidR="00EF7220">
        <w:t>8</w:t>
      </w:r>
      <w:r w:rsidR="00816E18">
        <w:t xml:space="preserve"> день участники </w:t>
      </w:r>
      <w:r w:rsidR="00EF7220">
        <w:t xml:space="preserve">однократно </w:t>
      </w:r>
      <w:r w:rsidR="00816E18">
        <w:t xml:space="preserve">перорально </w:t>
      </w:r>
      <w:r w:rsidR="00EF7220">
        <w:t xml:space="preserve">принимали такролимус в дозе 5 мг и </w:t>
      </w:r>
      <w:r w:rsidR="000C493D" w:rsidRPr="000C493D">
        <w:t>тофацитиниб</w:t>
      </w:r>
      <w:r w:rsidR="000C493D">
        <w:t xml:space="preserve"> </w:t>
      </w:r>
      <w:r w:rsidR="00816E18">
        <w:t xml:space="preserve">в дозе </w:t>
      </w:r>
      <w:r w:rsidR="00DF0369">
        <w:t>10</w:t>
      </w:r>
      <w:r w:rsidR="00816E18">
        <w:t xml:space="preserve"> мг</w:t>
      </w:r>
      <w:r w:rsidR="00DF0369">
        <w:t xml:space="preserve">, </w:t>
      </w:r>
      <w:r w:rsidR="00816E18">
        <w:t>а на 9 д</w:t>
      </w:r>
      <w:r w:rsidR="00157605">
        <w:t>ень</w:t>
      </w:r>
      <w:r w:rsidR="00816E18">
        <w:t xml:space="preserve"> лекарственные средства не получали.</w:t>
      </w:r>
      <w:r w:rsidR="00DF0369">
        <w:t xml:space="preserve"> Добровольцы из когорты </w:t>
      </w:r>
      <w:r w:rsidR="00DF0369">
        <w:rPr>
          <w:lang w:val="en-US"/>
        </w:rPr>
        <w:t>B</w:t>
      </w:r>
      <w:r w:rsidR="00DF0369" w:rsidRPr="00816E18">
        <w:t xml:space="preserve"> </w:t>
      </w:r>
      <w:r w:rsidR="00DF0369">
        <w:t xml:space="preserve">в первом периоде получали перорально </w:t>
      </w:r>
      <w:r w:rsidR="000C493D" w:rsidRPr="000C493D">
        <w:t>тофацитиниб</w:t>
      </w:r>
      <w:r w:rsidR="000C493D">
        <w:t xml:space="preserve"> </w:t>
      </w:r>
      <w:r w:rsidR="00DF0369">
        <w:t>в дозе 10 мг</w:t>
      </w:r>
      <w:r w:rsidR="00D9352A" w:rsidRPr="00D9352A">
        <w:t xml:space="preserve"> </w:t>
      </w:r>
      <w:r w:rsidR="00D9352A">
        <w:t>однократно</w:t>
      </w:r>
      <w:r w:rsidR="00DF0369">
        <w:t xml:space="preserve">. Во втором периоде с 1 по </w:t>
      </w:r>
      <w:r w:rsidR="008738B2">
        <w:t>5</w:t>
      </w:r>
      <w:r w:rsidR="00DF0369">
        <w:t xml:space="preserve"> день добровольцы перорально принимали </w:t>
      </w:r>
      <w:r w:rsidR="008738B2">
        <w:t>циклоспорин</w:t>
      </w:r>
      <w:r w:rsidR="00DF0369">
        <w:t xml:space="preserve"> в дозе </w:t>
      </w:r>
      <w:r w:rsidR="008738B2">
        <w:t>200</w:t>
      </w:r>
      <w:r w:rsidR="00DF0369">
        <w:t xml:space="preserve"> мг каждые 12 ч, на </w:t>
      </w:r>
      <w:r w:rsidR="00050E77">
        <w:t>6</w:t>
      </w:r>
      <w:r w:rsidR="00DF0369">
        <w:t xml:space="preserve"> день участники однократно перорально принимали </w:t>
      </w:r>
      <w:r w:rsidR="00050E77">
        <w:t xml:space="preserve">циклоспорин в дозе 200 мг </w:t>
      </w:r>
      <w:r w:rsidR="00DF0369">
        <w:t xml:space="preserve">и </w:t>
      </w:r>
      <w:r w:rsidR="000C493D" w:rsidRPr="000C493D">
        <w:t>тофацитиниб</w:t>
      </w:r>
      <w:r w:rsidR="000C493D">
        <w:t xml:space="preserve"> </w:t>
      </w:r>
      <w:r w:rsidR="00DF0369">
        <w:t xml:space="preserve">в дозе 10 мг, а на </w:t>
      </w:r>
      <w:r w:rsidR="00157605">
        <w:t>7</w:t>
      </w:r>
      <w:r w:rsidR="00DF0369">
        <w:t xml:space="preserve"> д</w:t>
      </w:r>
      <w:r w:rsidR="00157605">
        <w:t>ень</w:t>
      </w:r>
      <w:r w:rsidR="00DF0369">
        <w:t xml:space="preserve"> лекарственные средства не получали.</w:t>
      </w:r>
      <w:r w:rsidR="00C06912">
        <w:t xml:space="preserve"> На фоне </w:t>
      </w:r>
      <w:r w:rsidR="00FD6298">
        <w:t xml:space="preserve">одновременного использования такролимуса </w:t>
      </w:r>
      <w:r w:rsidR="00FD6633">
        <w:t xml:space="preserve">отмечали несущественное снижение </w:t>
      </w:r>
      <w:r w:rsidR="00FD6633">
        <w:rPr>
          <w:lang w:val="en-US"/>
        </w:rPr>
        <w:t>CL</w:t>
      </w:r>
      <w:r w:rsidR="00E35D4C" w:rsidRPr="00E35D4C">
        <w:t xml:space="preserve"> </w:t>
      </w:r>
      <w:r w:rsidR="00B37196">
        <w:t xml:space="preserve">для </w:t>
      </w:r>
      <w:r w:rsidR="005E01F3" w:rsidRPr="005E01F3">
        <w:t>тофацитиниба</w:t>
      </w:r>
      <w:r w:rsidR="00A22651">
        <w:t xml:space="preserve">, что привело к увеличению </w:t>
      </w:r>
      <w:r w:rsidR="00E427B6">
        <w:rPr>
          <w:lang w:val="en-US"/>
        </w:rPr>
        <w:t>AUC</w:t>
      </w:r>
      <w:r w:rsidR="00E427B6" w:rsidRPr="00B37196">
        <w:t xml:space="preserve"> </w:t>
      </w:r>
      <w:r w:rsidR="00E427B6">
        <w:t>приблизительно на</w:t>
      </w:r>
      <w:r w:rsidR="00E427B6" w:rsidRPr="00B37196">
        <w:t xml:space="preserve"> </w:t>
      </w:r>
      <w:r w:rsidR="00B37196">
        <w:t xml:space="preserve">10% при неизменной </w:t>
      </w:r>
      <w:r w:rsidR="00B37196" w:rsidRPr="00483596">
        <w:t>C</w:t>
      </w:r>
      <w:r w:rsidR="00B37196" w:rsidRPr="00483596">
        <w:rPr>
          <w:vertAlign w:val="subscript"/>
        </w:rPr>
        <w:t>max</w:t>
      </w:r>
      <w:r w:rsidR="00B37196">
        <w:t xml:space="preserve">. </w:t>
      </w:r>
      <w:r w:rsidR="00C82B5C">
        <w:t xml:space="preserve">На фоне одновременного использования с циклоспорином отмечали более выраженное снижение </w:t>
      </w:r>
      <w:r w:rsidR="00C82B5C">
        <w:rPr>
          <w:lang w:val="en-US"/>
        </w:rPr>
        <w:t>CL</w:t>
      </w:r>
      <w:r w:rsidR="00C82B5C" w:rsidRPr="00E35D4C">
        <w:t xml:space="preserve"> </w:t>
      </w:r>
      <w:r w:rsidR="00C82B5C">
        <w:t xml:space="preserve">для </w:t>
      </w:r>
      <w:r w:rsidR="005E01F3" w:rsidRPr="005E01F3">
        <w:t>тофацитиниба</w:t>
      </w:r>
      <w:r w:rsidR="00C82B5C">
        <w:t xml:space="preserve">, что привело к повышению </w:t>
      </w:r>
      <w:r w:rsidR="00C82B5C">
        <w:rPr>
          <w:lang w:val="en-US"/>
        </w:rPr>
        <w:t>AUC</w:t>
      </w:r>
      <w:r w:rsidR="00C82B5C" w:rsidRPr="00DA77C4">
        <w:t xml:space="preserve"> </w:t>
      </w:r>
      <w:r w:rsidR="00C82B5C">
        <w:t xml:space="preserve">на </w:t>
      </w:r>
      <w:r w:rsidR="00E427B6" w:rsidRPr="00B37196">
        <w:t>73%</w:t>
      </w:r>
      <w:r w:rsidR="00483596">
        <w:t xml:space="preserve"> с уменьшением </w:t>
      </w:r>
      <w:r w:rsidR="00483596" w:rsidRPr="00483596">
        <w:t>C</w:t>
      </w:r>
      <w:r w:rsidR="00483596" w:rsidRPr="00483596">
        <w:rPr>
          <w:vertAlign w:val="subscript"/>
        </w:rPr>
        <w:t>max</w:t>
      </w:r>
      <w:r w:rsidR="00483596">
        <w:t xml:space="preserve"> на 17% </w:t>
      </w:r>
      <w:r w:rsidR="00483596">
        <w:fldChar w:fldCharType="begin"/>
      </w:r>
      <w:r w:rsidR="00044A89">
        <w:instrText xml:space="preserve"> ADDIN ZOTERO_ITEM CSL_CITATION {"citationID":"kyjsLYLW","properties":{"formattedCitation":"[23]","plainCitation":"[23]","noteIndex":0},"citationItems":[{"id":87804,"uris":["http://zotero.org/groups/4742804/items/MQJLNM6K"],"itemData":{"id":87804,"type":"webpage","title":"Xeljanz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483596">
        <w:fldChar w:fldCharType="separate"/>
      </w:r>
      <w:r w:rsidR="00AD0B20">
        <w:rPr>
          <w:rFonts w:cs="Times New Roman"/>
        </w:rPr>
        <w:t>[1</w:t>
      </w:r>
      <w:r w:rsidR="00044A89" w:rsidRPr="00044A89">
        <w:rPr>
          <w:rFonts w:cs="Times New Roman"/>
        </w:rPr>
        <w:t>]</w:t>
      </w:r>
      <w:r w:rsidR="00483596">
        <w:fldChar w:fldCharType="end"/>
      </w:r>
      <w:r w:rsidR="00483596">
        <w:t>.</w:t>
      </w:r>
    </w:p>
    <w:p w14:paraId="6A906CE1" w14:textId="7946A3F4" w:rsidR="00483596" w:rsidRDefault="00003DE5" w:rsidP="00735205">
      <w:pPr>
        <w:pStyle w:val="SDText"/>
        <w:contextualSpacing/>
      </w:pPr>
      <w:r>
        <w:t xml:space="preserve">В </w:t>
      </w:r>
      <w:r w:rsidR="00DA77C4">
        <w:t xml:space="preserve">открытом рандомизированном перекрестном </w:t>
      </w:r>
      <w:r>
        <w:t xml:space="preserve">исследовании </w:t>
      </w:r>
      <w:r w:rsidRPr="00003DE5">
        <w:t>A3921059</w:t>
      </w:r>
      <w:r w:rsidR="00DA77C4">
        <w:t xml:space="preserve"> фазы </w:t>
      </w:r>
      <w:r w:rsidR="00DA77C4">
        <w:rPr>
          <w:lang w:val="en-US"/>
        </w:rPr>
        <w:t>I</w:t>
      </w:r>
      <w:r w:rsidR="00DA77C4" w:rsidRPr="00DA77C4">
        <w:t xml:space="preserve"> </w:t>
      </w:r>
      <w:r w:rsidR="00DA77C4">
        <w:t xml:space="preserve">изучили </w:t>
      </w:r>
      <w:r w:rsidR="00EB3CF9">
        <w:t xml:space="preserve">эффект </w:t>
      </w:r>
      <w:r w:rsidR="00C65687">
        <w:t xml:space="preserve">многократного перорального приема </w:t>
      </w:r>
      <w:r w:rsidR="005E01F3" w:rsidRPr="005E01F3">
        <w:t xml:space="preserve">тофацитиниба </w:t>
      </w:r>
      <w:r w:rsidR="00EB3CF9">
        <w:t xml:space="preserve">в отношении фармакокинетики мидазолама </w:t>
      </w:r>
      <w:r w:rsidR="00C65687">
        <w:t xml:space="preserve">при однократном приеме </w:t>
      </w:r>
      <w:r w:rsidR="00EB3CF9">
        <w:t xml:space="preserve">у </w:t>
      </w:r>
      <w:r w:rsidR="00473B69">
        <w:t xml:space="preserve">12 </w:t>
      </w:r>
      <w:r w:rsidR="00EB3CF9">
        <w:t>здоровых добровольцев</w:t>
      </w:r>
      <w:r w:rsidR="00DF013D">
        <w:t xml:space="preserve">. </w:t>
      </w:r>
      <w:r w:rsidR="00FE3864">
        <w:t xml:space="preserve">В </w:t>
      </w:r>
      <w:r w:rsidR="00D52926">
        <w:t>одном из</w:t>
      </w:r>
      <w:r w:rsidR="00FE3864">
        <w:t xml:space="preserve"> период</w:t>
      </w:r>
      <w:r w:rsidR="00D52926">
        <w:t>ов</w:t>
      </w:r>
      <w:r w:rsidR="00FE3864">
        <w:t xml:space="preserve"> исследования </w:t>
      </w:r>
      <w:r w:rsidR="0005369B">
        <w:t>участники получали перорально</w:t>
      </w:r>
      <w:r w:rsidR="0072362A">
        <w:t xml:space="preserve"> однократно</w:t>
      </w:r>
      <w:r w:rsidR="00A1229B">
        <w:t xml:space="preserve"> </w:t>
      </w:r>
      <w:r w:rsidR="0005369B">
        <w:t>мидазолам в дозе 2 мг в форме сиропа</w:t>
      </w:r>
      <w:r w:rsidR="00D52926">
        <w:t>, а в</w:t>
      </w:r>
      <w:r w:rsidR="00715DFA">
        <w:t xml:space="preserve"> другом периоде </w:t>
      </w:r>
      <w:r w:rsidR="005E01F3" w:rsidRPr="005E01F3">
        <w:t>тофацитиниб</w:t>
      </w:r>
      <w:r w:rsidR="005E01F3">
        <w:t xml:space="preserve"> </w:t>
      </w:r>
      <w:r w:rsidR="00715DFA">
        <w:t xml:space="preserve">в дозе </w:t>
      </w:r>
      <w:r w:rsidR="00523FB2">
        <w:t xml:space="preserve">30 мг 2 раза в день в течение </w:t>
      </w:r>
      <w:r w:rsidR="00D51971">
        <w:t>7</w:t>
      </w:r>
      <w:r w:rsidR="00523FB2">
        <w:t xml:space="preserve"> дней, а на 7 день </w:t>
      </w:r>
      <w:r w:rsidR="0072362A">
        <w:t xml:space="preserve">утром </w:t>
      </w:r>
      <w:r w:rsidR="00523FB2">
        <w:t xml:space="preserve">– </w:t>
      </w:r>
      <w:r w:rsidR="0072362A">
        <w:t>однократно перорально мидазолам в дозе 2 мг в форме сиропа</w:t>
      </w:r>
      <w:r w:rsidR="00D51971">
        <w:t xml:space="preserve">. </w:t>
      </w:r>
      <w:r w:rsidR="00E3628D">
        <w:t xml:space="preserve">Статистически значимых различий </w:t>
      </w:r>
      <w:r w:rsidR="00E3628D" w:rsidRPr="00E3628D">
        <w:t xml:space="preserve">AUC </w:t>
      </w:r>
      <w:r w:rsidR="00E3628D">
        <w:t xml:space="preserve">и </w:t>
      </w:r>
      <w:r w:rsidR="00E3628D" w:rsidRPr="00E3628D">
        <w:t>C</w:t>
      </w:r>
      <w:r w:rsidR="00E3628D" w:rsidRPr="00E3628D">
        <w:rPr>
          <w:vertAlign w:val="subscript"/>
        </w:rPr>
        <w:t>max</w:t>
      </w:r>
      <w:r w:rsidR="00E3628D">
        <w:t xml:space="preserve"> при использовании </w:t>
      </w:r>
      <w:r w:rsidR="00A87F99">
        <w:t xml:space="preserve">мидазолама отдельно или после приема тофацитиниба исследователи не выявили </w:t>
      </w:r>
      <w:r w:rsidR="00080CBC">
        <w:fldChar w:fldCharType="begin"/>
      </w:r>
      <w:r w:rsidR="00044A89">
        <w:instrText xml:space="preserve"> ADDIN ZOTERO_ITEM CSL_CITATION {"citationID":"ENmohvcn","properties":{"formattedCitation":"[23]","plainCitation":"[23]","noteIndex":0},"citationItems":[{"id":87804,"uris":["http://zotero.org/groups/4742804/items/MQJLNM6K"],"itemData":{"id":87804,"type":"webpage","title":"Xeljanz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080CBC">
        <w:fldChar w:fldCharType="separate"/>
      </w:r>
      <w:r w:rsidR="00AD0B20">
        <w:rPr>
          <w:rFonts w:cs="Times New Roman"/>
        </w:rPr>
        <w:t>[1</w:t>
      </w:r>
      <w:r w:rsidR="00044A89" w:rsidRPr="00044A89">
        <w:rPr>
          <w:rFonts w:cs="Times New Roman"/>
        </w:rPr>
        <w:t>]</w:t>
      </w:r>
      <w:r w:rsidR="00080CBC">
        <w:fldChar w:fldCharType="end"/>
      </w:r>
      <w:r w:rsidR="00080CBC">
        <w:t>.</w:t>
      </w:r>
    </w:p>
    <w:p w14:paraId="7431DF70" w14:textId="72A6CAE8" w:rsidR="00080CBC" w:rsidRPr="008A40C3" w:rsidRDefault="00080CBC" w:rsidP="00791E09">
      <w:pPr>
        <w:pStyle w:val="SDText"/>
        <w:spacing w:after="0"/>
      </w:pPr>
      <w:r>
        <w:t xml:space="preserve">В </w:t>
      </w:r>
      <w:r w:rsidR="00D35DB1">
        <w:t xml:space="preserve">открытом рандомизированном перекрестном </w:t>
      </w:r>
      <w:r>
        <w:t xml:space="preserve">исследовании </w:t>
      </w:r>
      <w:r w:rsidRPr="00080CBC">
        <w:t>A3921071</w:t>
      </w:r>
      <w:r>
        <w:t xml:space="preserve"> </w:t>
      </w:r>
      <w:r w:rsidR="00D35DB1">
        <w:t xml:space="preserve">фазы </w:t>
      </w:r>
      <w:r w:rsidR="00D35DB1">
        <w:rPr>
          <w:lang w:val="en-US"/>
        </w:rPr>
        <w:t>I</w:t>
      </w:r>
      <w:r w:rsidR="00D35DB1" w:rsidRPr="00DA77C4">
        <w:t xml:space="preserve"> </w:t>
      </w:r>
      <w:r>
        <w:t xml:space="preserve">изучили </w:t>
      </w:r>
      <w:r w:rsidR="00ED7DE9">
        <w:t xml:space="preserve">влияние многократного перорального приема </w:t>
      </w:r>
      <w:r w:rsidR="005E01F3" w:rsidRPr="005E01F3">
        <w:t xml:space="preserve">тофацитиниба </w:t>
      </w:r>
      <w:r w:rsidR="00ED7DE9">
        <w:t xml:space="preserve">на фармакокинетику пероральных контрацептивов </w:t>
      </w:r>
      <w:r w:rsidR="002A2313">
        <w:t>при однократном пероральном приеме здоровыми добровольцами (женщинами</w:t>
      </w:r>
      <w:r w:rsidR="008A40C3">
        <w:t xml:space="preserve">, </w:t>
      </w:r>
      <w:r w:rsidR="008A40C3">
        <w:rPr>
          <w:lang w:val="en-US"/>
        </w:rPr>
        <w:t>n</w:t>
      </w:r>
      <w:r w:rsidR="008A40C3" w:rsidRPr="008A40C3">
        <w:t xml:space="preserve"> = 10)</w:t>
      </w:r>
      <w:r w:rsidR="008A40C3">
        <w:t>. В одном из периодов исследования участницы получали перорально однократно</w:t>
      </w:r>
      <w:r w:rsidR="00A1229B">
        <w:t xml:space="preserve"> </w:t>
      </w:r>
      <w:r w:rsidR="005207E4">
        <w:t>1 таблетку препарата Микрогенон 30</w:t>
      </w:r>
      <w:r w:rsidR="008A40C3">
        <w:t xml:space="preserve">, </w:t>
      </w:r>
      <w:r w:rsidR="00306231">
        <w:t xml:space="preserve">содержащую 30 мкг этинилэстрадиола и 150 мкг левоноргестрела, </w:t>
      </w:r>
      <w:r w:rsidR="008A40C3">
        <w:t xml:space="preserve">а в другом периоде </w:t>
      </w:r>
      <w:r w:rsidR="005E01F3" w:rsidRPr="005E01F3">
        <w:t>тофацитиниб</w:t>
      </w:r>
      <w:r w:rsidR="005E01F3">
        <w:t xml:space="preserve"> </w:t>
      </w:r>
      <w:r w:rsidR="008A40C3">
        <w:t xml:space="preserve">в дозе 30 мг 2 раза в день в течение </w:t>
      </w:r>
      <w:r w:rsidR="00644870">
        <w:t>11</w:t>
      </w:r>
      <w:r w:rsidR="008A40C3">
        <w:t xml:space="preserve"> дней, а на </w:t>
      </w:r>
      <w:r w:rsidR="00401CDB">
        <w:t>10</w:t>
      </w:r>
      <w:r w:rsidR="008A40C3">
        <w:t xml:space="preserve"> день утром – однократно перорально </w:t>
      </w:r>
      <w:r w:rsidR="00401CDB">
        <w:t>1 таблетку препарата Микрогенон 30</w:t>
      </w:r>
      <w:r w:rsidR="008A40C3">
        <w:t>.</w:t>
      </w:r>
      <w:r w:rsidR="00D6137E" w:rsidRPr="00D6137E">
        <w:t xml:space="preserve"> </w:t>
      </w:r>
      <w:r w:rsidR="00D6137E">
        <w:t xml:space="preserve">Фармакокинетические кривые «концентрация-время» </w:t>
      </w:r>
      <w:r w:rsidR="00AC7FE3">
        <w:t xml:space="preserve">этинилэстрадиола и левоноргестрела после приема препарата Микрогенон 30 </w:t>
      </w:r>
      <w:r w:rsidR="001A17D5">
        <w:t xml:space="preserve">отдельно или после приема тофацитиниба были сопоставимыми. </w:t>
      </w:r>
      <w:r w:rsidR="00D6137E">
        <w:t xml:space="preserve">Статистически значимых различий </w:t>
      </w:r>
      <w:r w:rsidR="00D6137E" w:rsidRPr="00E3628D">
        <w:lastRenderedPageBreak/>
        <w:t xml:space="preserve">AUC </w:t>
      </w:r>
      <w:r w:rsidR="00D6137E">
        <w:t xml:space="preserve">и </w:t>
      </w:r>
      <w:r w:rsidR="00D6137E" w:rsidRPr="00E3628D">
        <w:t>C</w:t>
      </w:r>
      <w:r w:rsidR="00D6137E" w:rsidRPr="00E3628D">
        <w:rPr>
          <w:vertAlign w:val="subscript"/>
        </w:rPr>
        <w:t>max</w:t>
      </w:r>
      <w:r w:rsidR="00D6137E">
        <w:t xml:space="preserve"> </w:t>
      </w:r>
      <w:r w:rsidR="001A17D5">
        <w:t xml:space="preserve">этинилэстрадиола и левоноргестрела </w:t>
      </w:r>
      <w:r w:rsidR="00D6137E">
        <w:t>при использовании препарата Микрогенон 30 отдельно или после приема тофацитиниба исследователи не выявили</w:t>
      </w:r>
      <w:r w:rsidR="001A17D5">
        <w:t xml:space="preserve"> </w:t>
      </w:r>
      <w:r w:rsidR="001A17D5">
        <w:fldChar w:fldCharType="begin"/>
      </w:r>
      <w:r w:rsidR="00044A89">
        <w:instrText xml:space="preserve"> ADDIN ZOTERO_ITEM CSL_CITATION {"citationID":"j8HaBWQe","properties":{"formattedCitation":"[23]","plainCitation":"[23]","noteIndex":0},"citationItems":[{"id":87804,"uris":["http://zotero.org/groups/4742804/items/MQJLNM6K"],"itemData":{"id":87804,"type":"webpage","title":"Xeljanz (tofacitinib) Tablets. Company:  Pfizer Inc. Application No.:  203214. Approval Date: 11/06/2012. Clinical Pharmacology Biopharmaceutics Review","URL":"https://www.accessdata.fda.gov/drugsatfda_docs/nda/2012/203214Orig1s000TOC.cfm","accessed":{"date-parts":[["2022",8,3]]}}}],"schema":"https://github.com/citation-style-language/schema/raw/master/csl-citation.json"} </w:instrText>
      </w:r>
      <w:r w:rsidR="001A17D5">
        <w:fldChar w:fldCharType="separate"/>
      </w:r>
      <w:r w:rsidR="00AD0B20">
        <w:rPr>
          <w:rFonts w:cs="Times New Roman"/>
        </w:rPr>
        <w:t>[1</w:t>
      </w:r>
      <w:r w:rsidR="00044A89" w:rsidRPr="00044A89">
        <w:rPr>
          <w:rFonts w:cs="Times New Roman"/>
        </w:rPr>
        <w:t>]</w:t>
      </w:r>
      <w:r w:rsidR="001A17D5">
        <w:fldChar w:fldCharType="end"/>
      </w:r>
      <w:r w:rsidR="001A17D5">
        <w:t>.</w:t>
      </w:r>
    </w:p>
    <w:p w14:paraId="6C35CAEC" w14:textId="77777777" w:rsidR="00791E09" w:rsidRDefault="00791E09" w:rsidP="00791E09">
      <w:pPr>
        <w:spacing w:after="0"/>
        <w:ind w:firstLine="0"/>
        <w:rPr>
          <w:b/>
          <w:i/>
        </w:rPr>
      </w:pPr>
      <w:bookmarkStart w:id="210" w:name="_Toc115421076"/>
    </w:p>
    <w:p w14:paraId="05EEB3BE" w14:textId="58345F38" w:rsidR="00735205" w:rsidRPr="00D03104" w:rsidRDefault="00AA5E1A" w:rsidP="00791E09">
      <w:pPr>
        <w:spacing w:after="0"/>
        <w:ind w:firstLine="0"/>
        <w:rPr>
          <w:b/>
          <w:i/>
        </w:rPr>
      </w:pPr>
      <w:r w:rsidRPr="00D03104">
        <w:rPr>
          <w:b/>
          <w:i/>
        </w:rPr>
        <w:t>Особенности фармакокинетики у различных групп пациентов</w:t>
      </w:r>
      <w:bookmarkEnd w:id="210"/>
    </w:p>
    <w:p w14:paraId="308001FE" w14:textId="6D9A57F8" w:rsidR="00BF0CC5" w:rsidRDefault="00D60651" w:rsidP="00791E09">
      <w:pPr>
        <w:pStyle w:val="SDText"/>
        <w:spacing w:after="0"/>
      </w:pPr>
      <w:r>
        <w:t xml:space="preserve">Активность ферментов CYP у больных РА из-за хронического воспаления снижена. У пациентов с РА </w:t>
      </w:r>
      <w:r>
        <w:rPr>
          <w:lang w:val="en-US"/>
        </w:rPr>
        <w:t>CL</w:t>
      </w:r>
      <w:r w:rsidRPr="00D60651">
        <w:t xml:space="preserve"> </w:t>
      </w:r>
      <w:r>
        <w:t xml:space="preserve">тофацитиниба при пероральном приеме не </w:t>
      </w:r>
      <w:r w:rsidR="002221FE">
        <w:t>из</w:t>
      </w:r>
      <w:r>
        <w:t>меня</w:t>
      </w:r>
      <w:r w:rsidR="002221FE">
        <w:t>лся</w:t>
      </w:r>
      <w:r>
        <w:t xml:space="preserve"> со временем, что указыва</w:t>
      </w:r>
      <w:r w:rsidR="002221FE">
        <w:t>ло</w:t>
      </w:r>
      <w:r>
        <w:t xml:space="preserve"> на то, что лечение тофацитинибом не изменя</w:t>
      </w:r>
      <w:r w:rsidR="002221FE">
        <w:t>ло</w:t>
      </w:r>
      <w:r>
        <w:t xml:space="preserve"> активность ферментов CYP </w:t>
      </w:r>
      <w:r w:rsidR="00E46C5E">
        <w:fldChar w:fldCharType="begin"/>
      </w:r>
      <w:r w:rsidR="008D5290">
        <w:instrText xml:space="preserve"> ADDIN ZOTERO_ITEM CSL_CITATION {"citationID":"Ucd76dV0","properties":{"formattedCitation":"[24]","plainCitation":"[24]","noteIndex":0},"citationItems":[{"id":87800,"uris":["http://zotero.org/groups/4742804/items/TPCQ89X9"],"itemData":{"id":87800,"type":"webpage","title":"Xeljanz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46C5E">
        <w:fldChar w:fldCharType="separate"/>
      </w:r>
      <w:r w:rsidR="00AD0B20">
        <w:rPr>
          <w:rFonts w:cs="Times New Roman"/>
        </w:rPr>
        <w:t>[2</w:t>
      </w:r>
      <w:r w:rsidR="008D5290" w:rsidRPr="008D5290">
        <w:rPr>
          <w:rFonts w:cs="Times New Roman"/>
        </w:rPr>
        <w:t>]</w:t>
      </w:r>
      <w:r w:rsidR="00E46C5E">
        <w:fldChar w:fldCharType="end"/>
      </w:r>
      <w:r>
        <w:t>.</w:t>
      </w:r>
    </w:p>
    <w:p w14:paraId="2896AB44" w14:textId="54730EC2" w:rsidR="00D60651" w:rsidRPr="00D60651" w:rsidRDefault="002221FE" w:rsidP="00735205">
      <w:pPr>
        <w:pStyle w:val="SDText"/>
        <w:contextualSpacing/>
      </w:pPr>
      <w:r>
        <w:t>В ходе п</w:t>
      </w:r>
      <w:r w:rsidR="002B3046">
        <w:t>опуляционн</w:t>
      </w:r>
      <w:r>
        <w:t>ого</w:t>
      </w:r>
      <w:r w:rsidR="002B3046">
        <w:t xml:space="preserve"> фармакокинетическ</w:t>
      </w:r>
      <w:r>
        <w:t>ого</w:t>
      </w:r>
      <w:r w:rsidR="002B3046">
        <w:t xml:space="preserve"> анализ</w:t>
      </w:r>
      <w:r>
        <w:t>а</w:t>
      </w:r>
      <w:r w:rsidR="002B3046">
        <w:t xml:space="preserve"> у пациентов с РА показал</w:t>
      </w:r>
      <w:r>
        <w:t>и</w:t>
      </w:r>
      <w:r w:rsidR="002B3046">
        <w:t xml:space="preserve">, что системная экспозиция (AUC) тофацитиниба </w:t>
      </w:r>
      <w:r>
        <w:t>при</w:t>
      </w:r>
      <w:r w:rsidR="002B3046">
        <w:t xml:space="preserve"> крайни</w:t>
      </w:r>
      <w:r>
        <w:t>х</w:t>
      </w:r>
      <w:r w:rsidR="002B3046">
        <w:t xml:space="preserve"> значения</w:t>
      </w:r>
      <w:r>
        <w:t>х</w:t>
      </w:r>
      <w:r w:rsidR="002B3046">
        <w:t xml:space="preserve"> массы тела (40 кг, 140 кг) был</w:t>
      </w:r>
      <w:r w:rsidR="00A07305">
        <w:t>а</w:t>
      </w:r>
      <w:r w:rsidR="002B3046">
        <w:t xml:space="preserve"> аналогичн</w:t>
      </w:r>
      <w:r w:rsidR="00A07305">
        <w:t>а</w:t>
      </w:r>
      <w:r w:rsidR="002B3046">
        <w:t xml:space="preserve"> (в пределах 5%) </w:t>
      </w:r>
      <w:r>
        <w:t xml:space="preserve">значениям, полученным у </w:t>
      </w:r>
      <w:r w:rsidR="002B3046">
        <w:t>пациент</w:t>
      </w:r>
      <w:r>
        <w:t>ов</w:t>
      </w:r>
      <w:r w:rsidR="002B3046">
        <w:t xml:space="preserve"> с массой тела 70 кг. </w:t>
      </w:r>
      <w:r>
        <w:t>У</w:t>
      </w:r>
      <w:r w:rsidR="002B3046">
        <w:t xml:space="preserve"> </w:t>
      </w:r>
      <w:r>
        <w:t xml:space="preserve">пожилых </w:t>
      </w:r>
      <w:r w:rsidR="002B3046">
        <w:t xml:space="preserve">пациентов </w:t>
      </w:r>
      <w:r w:rsidR="00AC7C24">
        <w:t>(</w:t>
      </w:r>
      <w:r w:rsidR="00A07305">
        <w:t xml:space="preserve">в </w:t>
      </w:r>
      <w:r w:rsidR="002B3046">
        <w:t>возрасте 80 лет</w:t>
      </w:r>
      <w:r w:rsidR="00AC7C24">
        <w:t>)</w:t>
      </w:r>
      <w:r w:rsidR="002B3046">
        <w:t xml:space="preserve"> AUC была менее чем на 5% выше по сравнению со</w:t>
      </w:r>
      <w:r w:rsidR="00AC7C24">
        <w:t xml:space="preserve"> значением пок</w:t>
      </w:r>
      <w:r w:rsidR="00ED4620">
        <w:t>а</w:t>
      </w:r>
      <w:r w:rsidR="00AC7C24">
        <w:t>зателя у больных</w:t>
      </w:r>
      <w:r w:rsidR="00ED4620">
        <w:t>,</w:t>
      </w:r>
      <w:r w:rsidR="002B3046">
        <w:t xml:space="preserve"> средни</w:t>
      </w:r>
      <w:r w:rsidR="00ED4620">
        <w:t>й</w:t>
      </w:r>
      <w:r w:rsidR="002B3046">
        <w:t xml:space="preserve"> возраст</w:t>
      </w:r>
      <w:r w:rsidR="00ED4620">
        <w:t xml:space="preserve"> которых равнялся</w:t>
      </w:r>
      <w:r w:rsidR="002B3046">
        <w:t xml:space="preserve"> 55 лет. </w:t>
      </w:r>
      <w:r w:rsidR="00ED4620">
        <w:t>У</w:t>
      </w:r>
      <w:r w:rsidR="002B3046">
        <w:t xml:space="preserve"> женщин AUC </w:t>
      </w:r>
      <w:r w:rsidR="00ED4620">
        <w:t xml:space="preserve">была </w:t>
      </w:r>
      <w:r w:rsidR="002B3046">
        <w:t xml:space="preserve">на 7% ниже, чем у мужчин. </w:t>
      </w:r>
      <w:r w:rsidR="00ED4620">
        <w:t>Кроме того, установлено отсутствие</w:t>
      </w:r>
      <w:r w:rsidR="002B3046">
        <w:t xml:space="preserve"> существенных различий AUC тофацитиниба между </w:t>
      </w:r>
      <w:r w:rsidR="00ED4620">
        <w:t>пациентами, относящимися к европеоидной, негроидной или монголоидной расам</w:t>
      </w:r>
      <w:r w:rsidR="002B3046">
        <w:t xml:space="preserve">. </w:t>
      </w:r>
      <w:r w:rsidR="00ED4620">
        <w:t>Наблюдали п</w:t>
      </w:r>
      <w:r w:rsidR="002B3046">
        <w:t>риблизительн</w:t>
      </w:r>
      <w:r w:rsidR="00ED4620">
        <w:t>о</w:t>
      </w:r>
      <w:r w:rsidR="002B3046">
        <w:t xml:space="preserve"> линейн</w:t>
      </w:r>
      <w:r w:rsidR="00ED4620">
        <w:t>ую</w:t>
      </w:r>
      <w:r w:rsidR="002B3046">
        <w:t xml:space="preserve"> зависимость между массой тела и объемом распределения</w:t>
      </w:r>
      <w:r w:rsidR="00ED4620">
        <w:t xml:space="preserve"> (</w:t>
      </w:r>
      <w:r w:rsidR="00ED4620">
        <w:rPr>
          <w:lang w:val="en-US"/>
        </w:rPr>
        <w:t>V</w:t>
      </w:r>
      <w:r w:rsidR="00ED4620">
        <w:rPr>
          <w:vertAlign w:val="subscript"/>
          <w:lang w:val="en-US"/>
        </w:rPr>
        <w:t>d</w:t>
      </w:r>
      <w:r w:rsidR="00ED4620" w:rsidRPr="00ED4620">
        <w:t>)</w:t>
      </w:r>
      <w:r w:rsidR="002B3046">
        <w:t>, что приводи</w:t>
      </w:r>
      <w:r w:rsidR="00ED4620">
        <w:t>ло</w:t>
      </w:r>
      <w:r w:rsidR="002B3046">
        <w:t xml:space="preserve"> к более высокой C</w:t>
      </w:r>
      <w:r w:rsidR="002B3046" w:rsidRPr="00ED4620">
        <w:rPr>
          <w:vertAlign w:val="subscript"/>
        </w:rPr>
        <w:t>max</w:t>
      </w:r>
      <w:r w:rsidR="002B3046">
        <w:t xml:space="preserve"> и более низкой C</w:t>
      </w:r>
      <w:r w:rsidR="002B3046" w:rsidRPr="00ED4620">
        <w:rPr>
          <w:vertAlign w:val="subscript"/>
        </w:rPr>
        <w:t>min</w:t>
      </w:r>
      <w:r w:rsidR="002B3046">
        <w:t xml:space="preserve"> </w:t>
      </w:r>
      <w:r w:rsidR="00A07305">
        <w:t xml:space="preserve">у </w:t>
      </w:r>
      <w:r w:rsidR="002B3046">
        <w:t>пациентов</w:t>
      </w:r>
      <w:r w:rsidR="00ED4620">
        <w:t xml:space="preserve"> с более низкой массой тела</w:t>
      </w:r>
      <w:r w:rsidR="002B3046">
        <w:t>. Однако эт</w:t>
      </w:r>
      <w:r w:rsidR="001A2048">
        <w:t>и</w:t>
      </w:r>
      <w:r w:rsidR="002B3046">
        <w:t xml:space="preserve"> различи</w:t>
      </w:r>
      <w:r w:rsidR="001A2048">
        <w:t>я</w:t>
      </w:r>
      <w:r w:rsidR="002B3046">
        <w:t xml:space="preserve"> не </w:t>
      </w:r>
      <w:r w:rsidR="00ED4620">
        <w:t>являлось</w:t>
      </w:r>
      <w:r w:rsidR="002B3046">
        <w:t xml:space="preserve"> клинически значимым</w:t>
      </w:r>
      <w:r w:rsidR="001A2048">
        <w:t>и</w:t>
      </w:r>
      <w:r w:rsidR="002B3046">
        <w:t xml:space="preserve">. </w:t>
      </w:r>
      <w:r w:rsidR="001A2048">
        <w:t>Межиндивидуальная в</w:t>
      </w:r>
      <w:r w:rsidR="002B3046">
        <w:t xml:space="preserve">ариабельность (коэффициент вариации) AUC тофацитиниба </w:t>
      </w:r>
      <w:r w:rsidR="00B251B4">
        <w:t>составляла</w:t>
      </w:r>
      <w:r w:rsidR="002B3046">
        <w:t xml:space="preserve"> примерно 27%</w:t>
      </w:r>
      <w:r w:rsidR="001F799F">
        <w:t xml:space="preserve"> </w:t>
      </w:r>
      <w:r w:rsidR="00D60651">
        <w:fldChar w:fldCharType="begin"/>
      </w:r>
      <w:r w:rsidR="008D5290">
        <w:instrText xml:space="preserve"> ADDIN ZOTERO_ITEM CSL_CITATION {"citationID":"mJRVJ9Lo","properties":{"formattedCitation":"[24]","plainCitation":"[24]","noteIndex":0},"citationItems":[{"id":87800,"uris":["http://zotero.org/groups/4742804/items/TPCQ89X9"],"itemData":{"id":87800,"type":"webpage","title":"Xeljanz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D60651">
        <w:fldChar w:fldCharType="separate"/>
      </w:r>
      <w:r w:rsidR="00AD0B20">
        <w:rPr>
          <w:rFonts w:cs="Times New Roman"/>
        </w:rPr>
        <w:t>[2</w:t>
      </w:r>
      <w:r w:rsidR="008D5290" w:rsidRPr="008D5290">
        <w:rPr>
          <w:rFonts w:cs="Times New Roman"/>
        </w:rPr>
        <w:t>]</w:t>
      </w:r>
      <w:r w:rsidR="00D60651">
        <w:fldChar w:fldCharType="end"/>
      </w:r>
      <w:r w:rsidR="00D60651">
        <w:t>.</w:t>
      </w:r>
    </w:p>
    <w:p w14:paraId="49B14CDF" w14:textId="297D968A" w:rsidR="00E8582C" w:rsidRDefault="001F799F" w:rsidP="00B93A35">
      <w:pPr>
        <w:pStyle w:val="SDText"/>
        <w:spacing w:after="0"/>
        <w:contextualSpacing/>
      </w:pPr>
      <w:r>
        <w:t xml:space="preserve">Результаты популяционного фармакокинетического анализа у пациентов с активным </w:t>
      </w:r>
      <w:r w:rsidR="001333C4">
        <w:t>псориатическим артритом</w:t>
      </w:r>
      <w:r>
        <w:t>, умеренным или тяжелым ЯК</w:t>
      </w:r>
      <w:r w:rsidR="00A07305">
        <w:t>,</w:t>
      </w:r>
      <w:r>
        <w:t xml:space="preserve"> или </w:t>
      </w:r>
      <w:r w:rsidR="00A30823">
        <w:t>АС</w:t>
      </w:r>
      <w:r>
        <w:t xml:space="preserve"> соответств</w:t>
      </w:r>
      <w:r w:rsidR="001333C4">
        <w:t>овали</w:t>
      </w:r>
      <w:r>
        <w:t xml:space="preserve"> таковым у пациентов с РА </w:t>
      </w:r>
      <w:r>
        <w:fldChar w:fldCharType="begin"/>
      </w:r>
      <w:r w:rsidR="008D5290">
        <w:instrText xml:space="preserve"> ADDIN ZOTERO_ITEM CSL_CITATION {"citationID":"Cf09PH4h","properties":{"formattedCitation":"[24]","plainCitation":"[24]","noteIndex":0},"citationItems":[{"id":87800,"uris":["http://zotero.org/groups/4742804/items/TPCQ89X9"],"itemData":{"id":87800,"type":"webpage","title":"Xeljanz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AD0B20">
        <w:rPr>
          <w:rFonts w:cs="Times New Roman"/>
        </w:rPr>
        <w:t>[2</w:t>
      </w:r>
      <w:r w:rsidR="008D5290" w:rsidRPr="008D5290">
        <w:rPr>
          <w:rFonts w:cs="Times New Roman"/>
        </w:rPr>
        <w:t>]</w:t>
      </w:r>
      <w:r>
        <w:fldChar w:fldCharType="end"/>
      </w:r>
      <w:r>
        <w:t>.</w:t>
      </w:r>
    </w:p>
    <w:p w14:paraId="5204ED78" w14:textId="77777777" w:rsidR="00B93A35" w:rsidRPr="00D60651" w:rsidRDefault="00B93A35" w:rsidP="00B93A35">
      <w:pPr>
        <w:pStyle w:val="SDText"/>
        <w:spacing w:after="0"/>
        <w:contextualSpacing/>
      </w:pPr>
    </w:p>
    <w:p w14:paraId="3A73FA08" w14:textId="4E4C1101" w:rsidR="00771618" w:rsidRDefault="00D03104" w:rsidP="00D03104">
      <w:pPr>
        <w:pStyle w:val="2"/>
        <w:numPr>
          <w:ilvl w:val="0"/>
          <w:numId w:val="0"/>
        </w:numPr>
        <w:ind w:left="576" w:hanging="576"/>
      </w:pPr>
      <w:bookmarkStart w:id="211" w:name="_Toc115421077"/>
      <w:bookmarkStart w:id="212" w:name="_Toc121592596"/>
      <w:r>
        <w:t xml:space="preserve">4.2. </w:t>
      </w:r>
      <w:r w:rsidR="00771618" w:rsidRPr="00771618">
        <w:t>Фармакодинамика у человека</w:t>
      </w:r>
      <w:bookmarkEnd w:id="211"/>
      <w:bookmarkEnd w:id="212"/>
    </w:p>
    <w:p w14:paraId="4EABB970" w14:textId="77777777" w:rsidR="00735205" w:rsidRPr="00735205" w:rsidRDefault="00735205" w:rsidP="00B93A35">
      <w:pPr>
        <w:pStyle w:val="SDText"/>
        <w:spacing w:after="0"/>
        <w:ind w:left="540" w:firstLine="0"/>
      </w:pPr>
    </w:p>
    <w:p w14:paraId="64F8BEE1" w14:textId="782EB7D6" w:rsidR="00C261CE" w:rsidRDefault="00D03104" w:rsidP="00D03104">
      <w:pPr>
        <w:pStyle w:val="3"/>
        <w:numPr>
          <w:ilvl w:val="0"/>
          <w:numId w:val="0"/>
        </w:numPr>
        <w:ind w:left="720" w:hanging="720"/>
      </w:pPr>
      <w:bookmarkStart w:id="213" w:name="_Toc115421078"/>
      <w:bookmarkStart w:id="214" w:name="_Toc121592597"/>
      <w:r>
        <w:t xml:space="preserve">4.2.1. </w:t>
      </w:r>
      <w:r w:rsidR="00C261CE">
        <w:t>Фармакодинамические эффекты</w:t>
      </w:r>
      <w:bookmarkEnd w:id="213"/>
      <w:bookmarkEnd w:id="214"/>
    </w:p>
    <w:p w14:paraId="6E1AEA8F" w14:textId="77777777" w:rsidR="00735205" w:rsidRDefault="00735205" w:rsidP="00B93A35">
      <w:pPr>
        <w:pStyle w:val="SDText"/>
        <w:spacing w:after="0"/>
      </w:pPr>
    </w:p>
    <w:p w14:paraId="4D206A13" w14:textId="363F9EA6" w:rsidR="00793BA2" w:rsidRPr="00961B0E" w:rsidRDefault="00961B0E" w:rsidP="00B93A35">
      <w:pPr>
        <w:pStyle w:val="SDText"/>
        <w:spacing w:after="0"/>
        <w:contextualSpacing/>
      </w:pPr>
      <w:r w:rsidRPr="00961B0E">
        <w:t xml:space="preserve">Тофацитиниб является мощным селективным ингибитором </w:t>
      </w:r>
      <w:r w:rsidR="000E634E">
        <w:t xml:space="preserve">ферментов </w:t>
      </w:r>
      <w:r w:rsidRPr="00961B0E">
        <w:t xml:space="preserve">семейства JAK. </w:t>
      </w:r>
      <w:r w:rsidR="00230720">
        <w:t>В ходе оценки ферментативной активности т</w:t>
      </w:r>
      <w:r w:rsidRPr="00961B0E">
        <w:t>офацитиниб ингибир</w:t>
      </w:r>
      <w:r w:rsidR="00230720">
        <w:t>овал</w:t>
      </w:r>
      <w:r>
        <w:t xml:space="preserve"> </w:t>
      </w:r>
      <w:r w:rsidRPr="00961B0E">
        <w:t xml:space="preserve">JAK1, JAK2, JAK3 и в меньшей степени TyK2. Напротив, тофацитиниб </w:t>
      </w:r>
      <w:r w:rsidR="00230720">
        <w:t>обладал</w:t>
      </w:r>
      <w:r w:rsidRPr="00961B0E">
        <w:t xml:space="preserve"> высок</w:t>
      </w:r>
      <w:r w:rsidR="00230720">
        <w:t>ой</w:t>
      </w:r>
      <w:r w:rsidRPr="00961B0E">
        <w:t xml:space="preserve"> степень</w:t>
      </w:r>
      <w:r w:rsidR="00230720">
        <w:t>ю</w:t>
      </w:r>
      <w:r>
        <w:t xml:space="preserve"> </w:t>
      </w:r>
      <w:r w:rsidRPr="00961B0E">
        <w:t>селективност</w:t>
      </w:r>
      <w:r w:rsidR="00D608CF">
        <w:t>и</w:t>
      </w:r>
      <w:r w:rsidRPr="00961B0E">
        <w:t xml:space="preserve"> в отношении других киназ человека. В клетках человека тофацитиниб преимущественно</w:t>
      </w:r>
      <w:r>
        <w:t xml:space="preserve"> </w:t>
      </w:r>
      <w:r w:rsidRPr="00961B0E">
        <w:t>ингибир</w:t>
      </w:r>
      <w:r w:rsidR="006D6488">
        <w:t>овал</w:t>
      </w:r>
      <w:r w:rsidRPr="00961B0E">
        <w:t xml:space="preserve"> передачу сигналов гетеродимерными цитокиновыми рецепторами, связан</w:t>
      </w:r>
      <w:r w:rsidR="006D6488">
        <w:t>н</w:t>
      </w:r>
      <w:r w:rsidRPr="00961B0E">
        <w:t>ы</w:t>
      </w:r>
      <w:r w:rsidR="006D6488">
        <w:t xml:space="preserve">ми </w:t>
      </w:r>
      <w:r w:rsidRPr="00961B0E">
        <w:t>с JAK3 и/или JAK1 с</w:t>
      </w:r>
      <w:r>
        <w:t xml:space="preserve"> </w:t>
      </w:r>
      <w:r w:rsidRPr="00961B0E">
        <w:t>функциональн</w:t>
      </w:r>
      <w:r w:rsidR="006D6488">
        <w:t>ой</w:t>
      </w:r>
      <w:r w:rsidRPr="00961B0E">
        <w:t xml:space="preserve"> селективность</w:t>
      </w:r>
      <w:r w:rsidR="006D6488">
        <w:t>ю</w:t>
      </w:r>
      <w:r w:rsidRPr="00961B0E">
        <w:t xml:space="preserve"> по отношению к рецепторам цитокинов, которые передают сигналы через пары JAK2. Ингибирование JAK1 и</w:t>
      </w:r>
      <w:r>
        <w:t xml:space="preserve"> </w:t>
      </w:r>
      <w:r w:rsidRPr="00961B0E">
        <w:t>JAK3 тофацитиниб</w:t>
      </w:r>
      <w:r w:rsidR="00574A0C">
        <w:t>ом</w:t>
      </w:r>
      <w:r w:rsidRPr="00961B0E">
        <w:t xml:space="preserve"> ослабляет передачу сигналов </w:t>
      </w:r>
      <w:r w:rsidR="00C61552">
        <w:rPr>
          <w:lang w:val="en-US"/>
        </w:rPr>
        <w:t>IL</w:t>
      </w:r>
      <w:r w:rsidRPr="00961B0E">
        <w:t xml:space="preserve">-2, -4, -6, -7, -9, -15, -21 и </w:t>
      </w:r>
      <w:r w:rsidR="00FD117F">
        <w:rPr>
          <w:lang w:val="en-US"/>
        </w:rPr>
        <w:t>IFN</w:t>
      </w:r>
      <w:r w:rsidR="001A1B4F" w:rsidRPr="00961B0E">
        <w:t xml:space="preserve"> </w:t>
      </w:r>
      <w:r w:rsidRPr="00961B0E">
        <w:t>типа I</w:t>
      </w:r>
      <w:r w:rsidR="00AF0088">
        <w:t>,</w:t>
      </w:r>
      <w:r w:rsidRPr="00961B0E">
        <w:t xml:space="preserve"> и</w:t>
      </w:r>
      <w:r>
        <w:t xml:space="preserve"> </w:t>
      </w:r>
      <w:r w:rsidRPr="00961B0E">
        <w:t>типа II, что прив</w:t>
      </w:r>
      <w:r w:rsidR="001A1B4F">
        <w:t>одит</w:t>
      </w:r>
      <w:r w:rsidRPr="00961B0E">
        <w:t xml:space="preserve"> к модуляции иммунного и воспалительного ответа </w:t>
      </w:r>
      <w:r w:rsidR="00793BA2">
        <w:fldChar w:fldCharType="begin"/>
      </w:r>
      <w:r w:rsidR="008D5290">
        <w:instrText xml:space="preserve"> ADDIN ZOTERO_ITEM CSL_CITATION {"citationID":"NlgQQGZq","properties":{"formattedCitation":"[24]","plainCitation":"[24]","noteIndex":0},"citationItems":[{"id":87800,"uris":["http://zotero.org/groups/4742804/items/TPCQ89X9"],"itemData":{"id":87800,"type":"webpage","title":"Xeljanz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793BA2">
        <w:fldChar w:fldCharType="separate"/>
      </w:r>
      <w:r w:rsidR="00AD0B20">
        <w:rPr>
          <w:rFonts w:cs="Times New Roman"/>
        </w:rPr>
        <w:t>[2</w:t>
      </w:r>
      <w:r w:rsidR="008D5290" w:rsidRPr="008D5290">
        <w:rPr>
          <w:rFonts w:cs="Times New Roman"/>
        </w:rPr>
        <w:t>]</w:t>
      </w:r>
      <w:r w:rsidR="00793BA2">
        <w:fldChar w:fldCharType="end"/>
      </w:r>
      <w:r w:rsidR="000E634E">
        <w:t>.</w:t>
      </w:r>
    </w:p>
    <w:p w14:paraId="3E30BA48" w14:textId="026963B7" w:rsidR="00774743" w:rsidRDefault="00603C60" w:rsidP="00B93A35">
      <w:pPr>
        <w:pStyle w:val="SDText"/>
        <w:spacing w:after="0"/>
        <w:contextualSpacing/>
      </w:pPr>
      <w:r>
        <w:t>У пациентов с РА лечение тофацитинибом до 6 мес</w:t>
      </w:r>
      <w:r w:rsidR="009413FB">
        <w:t>.</w:t>
      </w:r>
      <w:r>
        <w:t xml:space="preserve"> </w:t>
      </w:r>
      <w:r w:rsidR="009413FB">
        <w:t>ассоциировалось</w:t>
      </w:r>
      <w:r>
        <w:t xml:space="preserve"> с дозозависимым снижение</w:t>
      </w:r>
      <w:r w:rsidR="00CE4677">
        <w:t>м</w:t>
      </w:r>
      <w:r>
        <w:t xml:space="preserve"> количества циркулирующих CD16/56+ NK</w:t>
      </w:r>
      <w:r w:rsidR="00CE4677">
        <w:t>-клеток</w:t>
      </w:r>
      <w:r w:rsidR="00DD184F">
        <w:t xml:space="preserve">, максимальным </w:t>
      </w:r>
      <w:r>
        <w:t>через 8</w:t>
      </w:r>
      <w:r w:rsidR="00DD184F">
        <w:t>–</w:t>
      </w:r>
      <w:r>
        <w:t xml:space="preserve">10 недель после начала терапии. Эти изменения </w:t>
      </w:r>
      <w:r w:rsidR="00A03C25">
        <w:t>обычно</w:t>
      </w:r>
      <w:r>
        <w:t xml:space="preserve"> разреш</w:t>
      </w:r>
      <w:r w:rsidR="00DD184F">
        <w:t>а</w:t>
      </w:r>
      <w:r>
        <w:t>лись в течение 2</w:t>
      </w:r>
      <w:r w:rsidR="00DD184F">
        <w:t>–</w:t>
      </w:r>
      <w:r>
        <w:t>6 недель после прекращения лечения. Лечение тофацитинибом было связано с дозозависим</w:t>
      </w:r>
      <w:r w:rsidR="00A03C25">
        <w:t>ым</w:t>
      </w:r>
      <w:r>
        <w:t xml:space="preserve"> увеличение</w:t>
      </w:r>
      <w:r w:rsidR="00A03C25">
        <w:t>м</w:t>
      </w:r>
      <w:r>
        <w:t xml:space="preserve"> количества В-клеток. Изменения количества циркулирующих Т-лимфоцитов и </w:t>
      </w:r>
      <w:r w:rsidR="00A03C25">
        <w:t>с</w:t>
      </w:r>
      <w:r>
        <w:t>убпопуляци</w:t>
      </w:r>
      <w:r w:rsidR="00A03C25">
        <w:t>й</w:t>
      </w:r>
      <w:r>
        <w:t xml:space="preserve"> Т-лимфоцитов (CD3+, CD4+ и CD8+) были не</w:t>
      </w:r>
      <w:r w:rsidR="00A03C25">
        <w:t>существенными</w:t>
      </w:r>
      <w:r>
        <w:t xml:space="preserve"> и непостоянными </w:t>
      </w:r>
      <w:r w:rsidR="00EC3310">
        <w:fldChar w:fldCharType="begin"/>
      </w:r>
      <w:r w:rsidR="008D5290">
        <w:instrText xml:space="preserve"> ADDIN ZOTERO_ITEM CSL_CITATION {"citationID":"dqUUkcUp","properties":{"formattedCitation":"[24]","plainCitation":"[24]","noteIndex":0},"citationItems":[{"id":87800,"uris":["http://zotero.org/groups/4742804/items/TPCQ89X9"],"itemData":{"id":87800,"type":"webpage","title":"Xeljanz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C3310">
        <w:fldChar w:fldCharType="separate"/>
      </w:r>
      <w:r w:rsidR="00AD0B20">
        <w:rPr>
          <w:rFonts w:cs="Times New Roman"/>
        </w:rPr>
        <w:t>[2</w:t>
      </w:r>
      <w:r w:rsidR="008D5290" w:rsidRPr="008D5290">
        <w:rPr>
          <w:rFonts w:cs="Times New Roman"/>
        </w:rPr>
        <w:t>]</w:t>
      </w:r>
      <w:r w:rsidR="00EC3310">
        <w:fldChar w:fldCharType="end"/>
      </w:r>
      <w:r w:rsidR="00EC3310">
        <w:t>.</w:t>
      </w:r>
    </w:p>
    <w:p w14:paraId="5473D3B2" w14:textId="7A23C9FB" w:rsidR="00C261CE" w:rsidRDefault="00603C60" w:rsidP="00735205">
      <w:pPr>
        <w:pStyle w:val="SDText"/>
        <w:contextualSpacing/>
      </w:pPr>
      <w:r>
        <w:t xml:space="preserve">После длительного лечения </w:t>
      </w:r>
      <w:r w:rsidR="00F97534">
        <w:t xml:space="preserve">тофацитинибом </w:t>
      </w:r>
      <w:r>
        <w:t xml:space="preserve">(средняя продолжительность около 5 лет) </w:t>
      </w:r>
      <w:r w:rsidR="00F97534">
        <w:t>к</w:t>
      </w:r>
      <w:r>
        <w:t xml:space="preserve">оличество CD4+ и CD8+ </w:t>
      </w:r>
      <w:r w:rsidR="00F97534">
        <w:t>лимфоцитов снижалось в среднем</w:t>
      </w:r>
      <w:r>
        <w:t xml:space="preserve"> на 28 и 27% соответственно по сравнению с исходным уровнем. В отличие от наблюдаемого снижения </w:t>
      </w:r>
      <w:r>
        <w:lastRenderedPageBreak/>
        <w:t xml:space="preserve">после краткосрочного приема, </w:t>
      </w:r>
      <w:r w:rsidR="004B7DB4">
        <w:t xml:space="preserve">для </w:t>
      </w:r>
      <w:r>
        <w:t>количеств</w:t>
      </w:r>
      <w:r w:rsidR="004B7DB4">
        <w:t>а</w:t>
      </w:r>
      <w:r>
        <w:t xml:space="preserve"> CD16/56+ </w:t>
      </w:r>
      <w:r w:rsidR="004B7DB4">
        <w:t xml:space="preserve">NK-клеток </w:t>
      </w:r>
      <w:r>
        <w:t>показал</w:t>
      </w:r>
      <w:r w:rsidR="004B7DB4">
        <w:t>и</w:t>
      </w:r>
      <w:r>
        <w:t xml:space="preserve"> среднее увеличение на 73% от исходного уровня. Количество В-клеток CD19+ </w:t>
      </w:r>
      <w:r w:rsidR="004B7DB4">
        <w:t xml:space="preserve">после длительного лечения тофацитинибом </w:t>
      </w:r>
      <w:r>
        <w:t>больше не увеличивалось. Все эти изменения субпопуляции лимфоцитов возвращались к исходному уровню после</w:t>
      </w:r>
      <w:r w:rsidR="00250831">
        <w:t xml:space="preserve"> </w:t>
      </w:r>
      <w:r>
        <w:t>временно</w:t>
      </w:r>
      <w:r w:rsidR="004B7DB4">
        <w:t>го</w:t>
      </w:r>
      <w:r>
        <w:t xml:space="preserve"> прекращени</w:t>
      </w:r>
      <w:r w:rsidR="004B7DB4">
        <w:t>я</w:t>
      </w:r>
      <w:r>
        <w:t xml:space="preserve"> лечения. Не было доказательств связи между серьезными или</w:t>
      </w:r>
      <w:r w:rsidR="00250831">
        <w:t xml:space="preserve"> </w:t>
      </w:r>
      <w:r>
        <w:t>оппортунистически</w:t>
      </w:r>
      <w:r w:rsidR="004B7DB4">
        <w:t>ми</w:t>
      </w:r>
      <w:r>
        <w:t xml:space="preserve"> инфекци</w:t>
      </w:r>
      <w:r w:rsidR="004B7DB4">
        <w:t>ями</w:t>
      </w:r>
      <w:r w:rsidR="00AF0088">
        <w:t>,</w:t>
      </w:r>
      <w:r>
        <w:t xml:space="preserve"> или опоясывающи</w:t>
      </w:r>
      <w:r w:rsidR="004B7DB4">
        <w:t>м</w:t>
      </w:r>
      <w:r>
        <w:t xml:space="preserve"> герпес</w:t>
      </w:r>
      <w:r w:rsidR="004B7DB4">
        <w:t>ом</w:t>
      </w:r>
      <w:r>
        <w:t xml:space="preserve"> и субпопуляци</w:t>
      </w:r>
      <w:r w:rsidR="004B7DB4">
        <w:t>ями</w:t>
      </w:r>
      <w:r>
        <w:t xml:space="preserve"> лимфоцитов </w:t>
      </w:r>
      <w:r w:rsidR="00EC3310">
        <w:fldChar w:fldCharType="begin"/>
      </w:r>
      <w:r w:rsidR="008D5290">
        <w:instrText xml:space="preserve"> ADDIN ZOTERO_ITEM CSL_CITATION {"citationID":"m7djRYks","properties":{"formattedCitation":"[24]","plainCitation":"[24]","noteIndex":0},"citationItems":[{"id":87800,"uris":["http://zotero.org/groups/4742804/items/TPCQ89X9"],"itemData":{"id":87800,"type":"webpage","title":"Xeljanz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C3310">
        <w:fldChar w:fldCharType="separate"/>
      </w:r>
      <w:r w:rsidR="00AD0B20">
        <w:rPr>
          <w:rFonts w:cs="Times New Roman"/>
        </w:rPr>
        <w:t>[2</w:t>
      </w:r>
      <w:r w:rsidR="008D5290" w:rsidRPr="008D5290">
        <w:rPr>
          <w:rFonts w:cs="Times New Roman"/>
        </w:rPr>
        <w:t>]</w:t>
      </w:r>
      <w:r w:rsidR="00EC3310">
        <w:fldChar w:fldCharType="end"/>
      </w:r>
      <w:r w:rsidR="00EC3310">
        <w:t>.</w:t>
      </w:r>
    </w:p>
    <w:p w14:paraId="2FD63463" w14:textId="3C0DCDD0" w:rsidR="00EF0BE4" w:rsidRDefault="00774743" w:rsidP="00735205">
      <w:pPr>
        <w:pStyle w:val="SDText"/>
        <w:contextualSpacing/>
      </w:pPr>
      <w:r>
        <w:t>Изменения уровней общего сывороточного IgG, IgM и IgA в течение 6 мес</w:t>
      </w:r>
      <w:r w:rsidR="00336577">
        <w:t>.</w:t>
      </w:r>
      <w:r>
        <w:t xml:space="preserve"> </w:t>
      </w:r>
      <w:r w:rsidR="00336577">
        <w:t>применения</w:t>
      </w:r>
      <w:r>
        <w:t xml:space="preserve"> тофацитиниба у пациентов с РА были не</w:t>
      </w:r>
      <w:r w:rsidR="00336577">
        <w:t>существенными</w:t>
      </w:r>
      <w:r>
        <w:t xml:space="preserve">, не зависели от дозы и были подобны </w:t>
      </w:r>
      <w:r w:rsidR="00336577">
        <w:t>изменениям</w:t>
      </w:r>
      <w:r w:rsidR="00544C93">
        <w:t>,</w:t>
      </w:r>
      <w:r w:rsidR="00544C93" w:rsidRPr="00544C93">
        <w:t xml:space="preserve"> </w:t>
      </w:r>
      <w:r w:rsidR="00544C93">
        <w:t>наблюдаемым</w:t>
      </w:r>
      <w:r w:rsidR="00336577">
        <w:t xml:space="preserve"> на фоне </w:t>
      </w:r>
      <w:r>
        <w:t>прием</w:t>
      </w:r>
      <w:r w:rsidR="00E84758">
        <w:t>а</w:t>
      </w:r>
      <w:r>
        <w:t xml:space="preserve"> плацебо, что указыва</w:t>
      </w:r>
      <w:r w:rsidR="00E84758">
        <w:t>ло</w:t>
      </w:r>
      <w:r>
        <w:t xml:space="preserve"> на отсутствие системного </w:t>
      </w:r>
      <w:r w:rsidR="00E84758">
        <w:t xml:space="preserve">подавления </w:t>
      </w:r>
      <w:r>
        <w:t>гуморально</w:t>
      </w:r>
      <w:r w:rsidR="00615984">
        <w:t>го им</w:t>
      </w:r>
      <w:r w:rsidR="007D5AE0">
        <w:t>м</w:t>
      </w:r>
      <w:r w:rsidR="00615984">
        <w:t>унитета</w:t>
      </w:r>
      <w:r>
        <w:t xml:space="preserve">. </w:t>
      </w:r>
      <w:r w:rsidR="00615984">
        <w:t>На фоне</w:t>
      </w:r>
      <w:r>
        <w:t xml:space="preserve"> лечения тофацитинибом у пациентов с РА </w:t>
      </w:r>
      <w:r w:rsidR="00615984">
        <w:t xml:space="preserve">наблюдали </w:t>
      </w:r>
      <w:r>
        <w:t xml:space="preserve">быстрое снижение уровня </w:t>
      </w:r>
      <w:r w:rsidR="00104CC6">
        <w:rPr>
          <w:lang w:val="en-US"/>
        </w:rPr>
        <w:t>C</w:t>
      </w:r>
      <w:r w:rsidR="00104CC6">
        <w:t xml:space="preserve">РБ </w:t>
      </w:r>
      <w:r>
        <w:t>в сыворотке крови</w:t>
      </w:r>
      <w:r w:rsidR="00615984">
        <w:t xml:space="preserve">, которое </w:t>
      </w:r>
      <w:r>
        <w:t>поддерживал</w:t>
      </w:r>
      <w:r w:rsidR="00615984">
        <w:t>о</w:t>
      </w:r>
      <w:r>
        <w:t xml:space="preserve">сь на протяжении всего </w:t>
      </w:r>
      <w:r w:rsidR="00615984">
        <w:t>периода терапии</w:t>
      </w:r>
      <w:r>
        <w:t xml:space="preserve">. Изменения </w:t>
      </w:r>
      <w:r w:rsidR="00615984">
        <w:t xml:space="preserve">уровня </w:t>
      </w:r>
      <w:r w:rsidR="00104CC6">
        <w:rPr>
          <w:lang w:val="en-US"/>
        </w:rPr>
        <w:t>C</w:t>
      </w:r>
      <w:r w:rsidR="00104CC6">
        <w:t>РБ</w:t>
      </w:r>
      <w:r>
        <w:t>, наблюдаемые при лечении тофацитинибом</w:t>
      </w:r>
      <w:r w:rsidR="00AF0088">
        <w:t>,</w:t>
      </w:r>
      <w:r>
        <w:t xml:space="preserve"> не </w:t>
      </w:r>
      <w:r w:rsidR="00391124">
        <w:t>разрешались</w:t>
      </w:r>
      <w:r>
        <w:t xml:space="preserve"> полностью в течение 2 недель после прекращения приема, что указыва</w:t>
      </w:r>
      <w:r w:rsidR="00391124">
        <w:t>ло</w:t>
      </w:r>
      <w:r>
        <w:t xml:space="preserve"> на большую продолжительность </w:t>
      </w:r>
      <w:r w:rsidR="00391124">
        <w:t>ф</w:t>
      </w:r>
      <w:r>
        <w:t>армакодинамическ</w:t>
      </w:r>
      <w:r w:rsidR="00391124">
        <w:t>ой</w:t>
      </w:r>
      <w:r>
        <w:t xml:space="preserve"> активност</w:t>
      </w:r>
      <w:r w:rsidR="00391124">
        <w:t>и</w:t>
      </w:r>
      <w:r>
        <w:t xml:space="preserve"> по сравнению с </w:t>
      </w:r>
      <w:r w:rsidR="00F033B3">
        <w:rPr>
          <w:lang w:val="en-US"/>
        </w:rPr>
        <w:t>T</w:t>
      </w:r>
      <w:r w:rsidR="00391124" w:rsidRPr="00391124">
        <w:rPr>
          <w:vertAlign w:val="subscript"/>
        </w:rPr>
        <w:t>1/2</w:t>
      </w:r>
      <w:r>
        <w:t xml:space="preserve"> </w:t>
      </w:r>
      <w:r w:rsidR="00EC3310">
        <w:fldChar w:fldCharType="begin"/>
      </w:r>
      <w:r w:rsidR="008D5290">
        <w:instrText xml:space="preserve"> ADDIN ZOTERO_ITEM CSL_CITATION {"citationID":"eUookmbn","properties":{"formattedCitation":"[24]","plainCitation":"[24]","noteIndex":0},"citationItems":[{"id":87800,"uris":["http://zotero.org/groups/4742804/items/TPCQ89X9"],"itemData":{"id":87800,"type":"webpage","title":"Xeljanz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C3310">
        <w:fldChar w:fldCharType="separate"/>
      </w:r>
      <w:r w:rsidR="00AD0B20">
        <w:rPr>
          <w:rFonts w:cs="Times New Roman"/>
        </w:rPr>
        <w:t>[2</w:t>
      </w:r>
      <w:r w:rsidR="008D5290" w:rsidRPr="008D5290">
        <w:rPr>
          <w:rFonts w:cs="Times New Roman"/>
        </w:rPr>
        <w:t>]</w:t>
      </w:r>
      <w:r w:rsidR="00EC3310">
        <w:fldChar w:fldCharType="end"/>
      </w:r>
      <w:r w:rsidR="00EC3310">
        <w:t>.</w:t>
      </w:r>
    </w:p>
    <w:p w14:paraId="43AF6427" w14:textId="33E1F8EB" w:rsidR="00C261CE" w:rsidRDefault="00D03104" w:rsidP="00D03104">
      <w:pPr>
        <w:pStyle w:val="3"/>
        <w:numPr>
          <w:ilvl w:val="0"/>
          <w:numId w:val="0"/>
        </w:numPr>
        <w:ind w:left="720" w:hanging="720"/>
      </w:pPr>
      <w:bookmarkStart w:id="215" w:name="_Toc115421079"/>
      <w:bookmarkStart w:id="216" w:name="_Toc121592598"/>
      <w:r>
        <w:t xml:space="preserve">4.2.2. </w:t>
      </w:r>
      <w:r w:rsidR="00C261CE" w:rsidRPr="00C261CE">
        <w:t>Фармакодинамические лекарственные взаимодействия</w:t>
      </w:r>
      <w:bookmarkEnd w:id="215"/>
      <w:bookmarkEnd w:id="216"/>
    </w:p>
    <w:p w14:paraId="4B99913C" w14:textId="77777777" w:rsidR="00735205" w:rsidRDefault="00735205" w:rsidP="00735205">
      <w:pPr>
        <w:pStyle w:val="SDText"/>
        <w:contextualSpacing/>
      </w:pPr>
    </w:p>
    <w:p w14:paraId="756BE7EF" w14:textId="5FF76080" w:rsidR="00B12F85" w:rsidRDefault="00B12F85" w:rsidP="00735205">
      <w:pPr>
        <w:pStyle w:val="SDText"/>
        <w:contextualSpacing/>
      </w:pPr>
      <w:r>
        <w:t>В контролируемом клиническом исследовании среди пациентов с РА, начавших принимать тофацитиниб в дозе 10 мг два раза в день или плацебо, количество ответивших на вакцину против гриппа было одинаковым в обеих группах: тофацитиниб (57%) и плацебо (62%). Для пневмококковой полисахаридной вакцины количество ответивших было следующим: 32% у пациентов, получавших одновременно тофацитиниб и метотрексат; 62% для монотерапии тофацитинибом; 62% для монотерапии метотрексатом; и 77% для плацебо. Клиническое значение этого наблюдения неизвестно, однако подобные результаты были получены в отдельном исследовании вакцин против гриппа и пневмококковой полисахаридной вакцины у пациентов, длительно получающих тофацитиниб в дозе 10 мг два раза в сутки</w:t>
      </w:r>
      <w:r w:rsidRPr="002706F9">
        <w:t xml:space="preserve"> </w:t>
      </w:r>
      <w:r>
        <w:fldChar w:fldCharType="begin"/>
      </w:r>
      <w:r w:rsidR="008D5290">
        <w:instrText xml:space="preserve"> ADDIN ZOTERO_ITEM CSL_CITATION {"citationID":"0TsYKmsM","properties":{"formattedCitation":"[24]","plainCitation":"[24]","noteIndex":0},"citationItems":[{"id":87800,"uris":["http://zotero.org/groups/4742804/items/TPCQ89X9"],"itemData":{"id":87800,"type":"webpage","title":"Xeljanz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AD0B20">
        <w:rPr>
          <w:rFonts w:cs="Times New Roman"/>
        </w:rPr>
        <w:t>[2</w:t>
      </w:r>
      <w:r w:rsidR="008D5290" w:rsidRPr="008D5290">
        <w:rPr>
          <w:rFonts w:cs="Times New Roman"/>
        </w:rPr>
        <w:t>]</w:t>
      </w:r>
      <w:r>
        <w:fldChar w:fldCharType="end"/>
      </w:r>
      <w:r>
        <w:t>.</w:t>
      </w:r>
    </w:p>
    <w:p w14:paraId="47ADB6C8" w14:textId="55F53603" w:rsidR="00B12F85" w:rsidRPr="00961B0E" w:rsidRDefault="00B12F85" w:rsidP="00735205">
      <w:pPr>
        <w:pStyle w:val="SDText"/>
        <w:contextualSpacing/>
      </w:pPr>
      <w:r>
        <w:t xml:space="preserve">Контролируемое исследование было проведено у больных РА, получавших метотрексат и иммунизированных живой аттенуированной </w:t>
      </w:r>
      <w:r w:rsidRPr="00505FB5">
        <w:t>вакцин</w:t>
      </w:r>
      <w:r>
        <w:t>ой против вируса герпеса</w:t>
      </w:r>
      <w:r w:rsidR="00716928">
        <w:t>,</w:t>
      </w:r>
      <w:r>
        <w:t xml:space="preserve"> за 2–3 недели до начала 12-недельного лечения тофацитинибом в дозе 5 мг два раза в день или плацебо. Наблюдали доказательства гуморального и клеточно-опосредованного ответа на вакцину как у пациентов, получавших тофацитиниб, так и у пациентов, получавших плацебо, через 6 недель. Эти ответы были аналогичны тем, которые наблюдались у здоровых добровольцев в возрасте 50 лет и старше. У пациента без ветряной оспы в анамнезе с отсутствием антител против ветряной оспы исходно выявили диссеминацию вакцинного штамма ветряной оспы через 16 дней после вакцинации. Применение тофацитиниба было прекращено, и пациент выздоровел после лечения стандартными дозами противовирусного лекарственного средства. У этого пациента впоследствии определили устойчивый, хотя и отсроченный, гуморальный и клеточный ответ на вакцину </w:t>
      </w:r>
      <w:r>
        <w:fldChar w:fldCharType="begin"/>
      </w:r>
      <w:r w:rsidR="008D5290">
        <w:instrText xml:space="preserve"> ADDIN ZOTERO_ITEM CSL_CITATION {"citationID":"XKnbEcON","properties":{"formattedCitation":"[24]","plainCitation":"[24]","noteIndex":0},"citationItems":[{"id":87800,"uris":["http://zotero.org/groups/4742804/items/TPCQ89X9"],"itemData":{"id":87800,"type":"webpage","title":"Xeljanz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AD0B20">
        <w:rPr>
          <w:rFonts w:cs="Times New Roman"/>
        </w:rPr>
        <w:t>[2</w:t>
      </w:r>
      <w:r w:rsidR="008D5290" w:rsidRPr="008D5290">
        <w:rPr>
          <w:rFonts w:cs="Times New Roman"/>
        </w:rPr>
        <w:t>]</w:t>
      </w:r>
      <w:r>
        <w:fldChar w:fldCharType="end"/>
      </w:r>
      <w:r>
        <w:t>.</w:t>
      </w:r>
    </w:p>
    <w:p w14:paraId="31DEDD8E" w14:textId="213132F1" w:rsidR="0032771F" w:rsidRDefault="00D03104" w:rsidP="00D03104">
      <w:pPr>
        <w:pStyle w:val="2"/>
        <w:numPr>
          <w:ilvl w:val="0"/>
          <w:numId w:val="0"/>
        </w:numPr>
        <w:ind w:left="576" w:hanging="576"/>
      </w:pPr>
      <w:bookmarkStart w:id="217" w:name="_Toc115421080"/>
      <w:bookmarkStart w:id="218" w:name="_Toc121592599"/>
      <w:r>
        <w:t xml:space="preserve">4.3. </w:t>
      </w:r>
      <w:r w:rsidR="0032771F">
        <w:t>Безопасность и эффективность</w:t>
      </w:r>
      <w:bookmarkEnd w:id="217"/>
      <w:bookmarkEnd w:id="218"/>
    </w:p>
    <w:p w14:paraId="1C55E6C8" w14:textId="77777777" w:rsidR="00735205" w:rsidRDefault="00735205" w:rsidP="00735205">
      <w:pPr>
        <w:pStyle w:val="SDText"/>
        <w:contextualSpacing/>
      </w:pPr>
    </w:p>
    <w:p w14:paraId="4F37E13A" w14:textId="54B16FCA" w:rsidR="00587455" w:rsidRDefault="00244AC8" w:rsidP="00735205">
      <w:pPr>
        <w:pStyle w:val="SDText"/>
        <w:contextualSpacing/>
      </w:pPr>
      <w:r>
        <w:t xml:space="preserve">Перечень клинических исследований тофацитиниба представлен ниже </w:t>
      </w:r>
      <w:r w:rsidRPr="00D03104">
        <w:t>(</w:t>
      </w:r>
      <w:r w:rsidR="002C1791" w:rsidRPr="00D03104">
        <w:fldChar w:fldCharType="begin"/>
      </w:r>
      <w:r w:rsidR="002C1791" w:rsidRPr="00D03104">
        <w:instrText xml:space="preserve"> REF _Ref121140992 \h </w:instrText>
      </w:r>
      <w:r w:rsidR="00D03104" w:rsidRPr="00D03104">
        <w:instrText xml:space="preserve"> \* MERGEFORMAT </w:instrText>
      </w:r>
      <w:r w:rsidR="002C1791" w:rsidRPr="00D03104">
        <w:fldChar w:fldCharType="separate"/>
      </w:r>
      <w:r w:rsidR="00383E6F" w:rsidRPr="00D03104">
        <w:t xml:space="preserve">Таблица </w:t>
      </w:r>
      <w:r w:rsidR="00383E6F" w:rsidRPr="00D03104">
        <w:rPr>
          <w:noProof/>
        </w:rPr>
        <w:t>4</w:t>
      </w:r>
      <w:r w:rsidR="00383E6F" w:rsidRPr="00D03104">
        <w:noBreakHyphen/>
      </w:r>
      <w:r w:rsidR="00383E6F" w:rsidRPr="00D03104">
        <w:rPr>
          <w:noProof/>
        </w:rPr>
        <w:t>2</w:t>
      </w:r>
      <w:r w:rsidR="002C1791" w:rsidRPr="00D03104">
        <w:fldChar w:fldCharType="end"/>
      </w:r>
      <w:r w:rsidR="00875F86" w:rsidRPr="00D03104">
        <w:t xml:space="preserve"> и </w:t>
      </w:r>
      <w:r w:rsidR="00875F86" w:rsidRPr="00D03104">
        <w:fldChar w:fldCharType="begin"/>
      </w:r>
      <w:r w:rsidR="00875F86" w:rsidRPr="00D03104">
        <w:instrText xml:space="preserve"> REF _Ref121141094 \h </w:instrText>
      </w:r>
      <w:r w:rsidR="00D03104" w:rsidRPr="00D03104">
        <w:instrText xml:space="preserve"> \* MERGEFORMAT </w:instrText>
      </w:r>
      <w:r w:rsidR="00875F86" w:rsidRPr="00D03104">
        <w:fldChar w:fldCharType="separate"/>
      </w:r>
      <w:r w:rsidR="00383E6F" w:rsidRPr="00D03104">
        <w:t xml:space="preserve">Таблица </w:t>
      </w:r>
      <w:r w:rsidR="00383E6F" w:rsidRPr="00D03104">
        <w:rPr>
          <w:noProof/>
        </w:rPr>
        <w:t>4</w:t>
      </w:r>
      <w:r w:rsidR="00383E6F" w:rsidRPr="00D03104">
        <w:noBreakHyphen/>
      </w:r>
      <w:r w:rsidR="00383E6F" w:rsidRPr="00D03104">
        <w:rPr>
          <w:noProof/>
        </w:rPr>
        <w:t>3</w:t>
      </w:r>
      <w:r w:rsidR="00875F86" w:rsidRPr="00D03104">
        <w:fldChar w:fldCharType="end"/>
      </w:r>
      <w:r w:rsidRPr="00D03104">
        <w:t>)</w:t>
      </w:r>
      <w:r>
        <w:t xml:space="preserve"> </w:t>
      </w:r>
      <w:r>
        <w:fldChar w:fldCharType="begin"/>
      </w:r>
      <w:r>
        <w:instrText xml:space="preserve"> ADDIN ZOTERO_ITEM CSL_CITATION {"citationID":"8bN1tl3V","properties":{"formattedCitation":"[21]","plainCitation":"[21]","noteIndex":0},"citationItems":[{"id":91153,"uris":["http://zotero.org/groups/4742804/items/UAUYPBRD"],"itemData":{"id":91153,"type":"webpage","title":"Xeljanz. Assessment report","URL":"https://www.ema.europa.eu/en/documents/assessment-report/xeljanz-epar-public-assessment-report_en.pdf","author":[{"literal":"EMA"}]}}],"schema":"https://github.com/citation-style-language/schema/raw/master/csl-citation.json"} </w:instrText>
      </w:r>
      <w:r>
        <w:fldChar w:fldCharType="separate"/>
      </w:r>
      <w:r w:rsidR="00AD0B20">
        <w:rPr>
          <w:rFonts w:cs="Times New Roman"/>
        </w:rPr>
        <w:t>[23</w:t>
      </w:r>
      <w:r w:rsidRPr="00244AC8">
        <w:rPr>
          <w:rFonts w:cs="Times New Roman"/>
        </w:rPr>
        <w:t>]</w:t>
      </w:r>
      <w:r>
        <w:fldChar w:fldCharType="end"/>
      </w:r>
      <w:r w:rsidR="009B6579">
        <w:t>.</w:t>
      </w:r>
    </w:p>
    <w:p w14:paraId="5481FEBB" w14:textId="77777777" w:rsidR="00735205" w:rsidRDefault="00735205" w:rsidP="00735205">
      <w:pPr>
        <w:pStyle w:val="SDText"/>
        <w:contextualSpacing/>
      </w:pPr>
    </w:p>
    <w:p w14:paraId="1EC7401B" w14:textId="77777777" w:rsidR="00791E09" w:rsidRDefault="00791E09" w:rsidP="002A64E2">
      <w:pPr>
        <w:pStyle w:val="SDText"/>
        <w:spacing w:after="0"/>
        <w:ind w:firstLine="0"/>
        <w:contextualSpacing/>
        <w:rPr>
          <w:b/>
        </w:rPr>
        <w:sectPr w:rsidR="00791E09" w:rsidSect="00C13EBE">
          <w:pgSz w:w="11906" w:h="16838"/>
          <w:pgMar w:top="703" w:right="850" w:bottom="1134" w:left="1701" w:header="709" w:footer="708" w:gutter="0"/>
          <w:cols w:space="708"/>
          <w:docGrid w:linePitch="360"/>
        </w:sectPr>
      </w:pPr>
      <w:bookmarkStart w:id="219" w:name="_Ref121140992"/>
    </w:p>
    <w:p w14:paraId="08B427BA" w14:textId="1C3E581E" w:rsidR="00244AC8" w:rsidRDefault="00735205" w:rsidP="002A64E2">
      <w:pPr>
        <w:pStyle w:val="SDText"/>
        <w:spacing w:after="0"/>
        <w:ind w:firstLine="0"/>
        <w:contextualSpacing/>
      </w:pPr>
      <w:r w:rsidRPr="00735205">
        <w:rPr>
          <w:b/>
        </w:rPr>
        <w:lastRenderedPageBreak/>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2</w:t>
      </w:r>
      <w:r w:rsidR="00652269">
        <w:rPr>
          <w:b/>
        </w:rPr>
        <w:fldChar w:fldCharType="end"/>
      </w:r>
      <w:bookmarkEnd w:id="219"/>
      <w:r w:rsidRPr="00735205">
        <w:rPr>
          <w:b/>
          <w:noProof/>
        </w:rPr>
        <w:t>.</w:t>
      </w:r>
      <w:r>
        <w:t xml:space="preserve"> </w:t>
      </w:r>
      <w:r w:rsidRPr="009B6579">
        <w:t>Перечень клинических исследований тофацитиниба</w:t>
      </w:r>
      <w:r>
        <w:t>.</w:t>
      </w:r>
    </w:p>
    <w:tbl>
      <w:tblPr>
        <w:tblStyle w:val="a4"/>
        <w:tblW w:w="4888" w:type="pct"/>
        <w:tblInd w:w="108" w:type="dxa"/>
        <w:tblLayout w:type="fixed"/>
        <w:tblLook w:val="04A0" w:firstRow="1" w:lastRow="0" w:firstColumn="1" w:lastColumn="0" w:noHBand="0" w:noVBand="1"/>
      </w:tblPr>
      <w:tblGrid>
        <w:gridCol w:w="3219"/>
        <w:gridCol w:w="2613"/>
        <w:gridCol w:w="2287"/>
        <w:gridCol w:w="1238"/>
      </w:tblGrid>
      <w:tr w:rsidR="00FA084B" w14:paraId="2A0B1136" w14:textId="77777777" w:rsidTr="00791E09">
        <w:trPr>
          <w:tblHeader/>
        </w:trPr>
        <w:tc>
          <w:tcPr>
            <w:tcW w:w="3218" w:type="dxa"/>
            <w:shd w:val="clear" w:color="auto" w:fill="D9D9D9" w:themeFill="background1" w:themeFillShade="D9"/>
            <w:vAlign w:val="center"/>
          </w:tcPr>
          <w:p w14:paraId="5A22C97A" w14:textId="106B0680" w:rsidR="009B6579" w:rsidRPr="00735205" w:rsidRDefault="00AB2166" w:rsidP="00791E09">
            <w:pPr>
              <w:ind w:firstLine="0"/>
              <w:contextualSpacing/>
              <w:jc w:val="center"/>
              <w:rPr>
                <w:rFonts w:cs="Times New Roman"/>
                <w:b/>
                <w:bCs/>
                <w:sz w:val="22"/>
              </w:rPr>
            </w:pPr>
            <w:r w:rsidRPr="00735205">
              <w:rPr>
                <w:rFonts w:cs="Times New Roman"/>
                <w:b/>
                <w:bCs/>
                <w:sz w:val="22"/>
              </w:rPr>
              <w:t>Исследование/продолжительность/фоновая терапия БМАРП</w:t>
            </w:r>
            <w:r w:rsidR="00830CA5" w:rsidRPr="00735205">
              <w:rPr>
                <w:rFonts w:cs="Times New Roman"/>
                <w:b/>
                <w:bCs/>
                <w:sz w:val="22"/>
              </w:rPr>
              <w:t>/предшествующая терапия БМАРП</w:t>
            </w:r>
          </w:p>
        </w:tc>
        <w:tc>
          <w:tcPr>
            <w:tcW w:w="2613" w:type="dxa"/>
            <w:shd w:val="clear" w:color="auto" w:fill="D9D9D9" w:themeFill="background1" w:themeFillShade="D9"/>
            <w:vAlign w:val="center"/>
          </w:tcPr>
          <w:p w14:paraId="03984270" w14:textId="75606477" w:rsidR="009B6579" w:rsidRPr="00735205" w:rsidRDefault="00FA084B" w:rsidP="00791E09">
            <w:pPr>
              <w:ind w:firstLine="0"/>
              <w:contextualSpacing/>
              <w:jc w:val="center"/>
              <w:rPr>
                <w:rFonts w:cs="Times New Roman"/>
                <w:b/>
                <w:bCs/>
                <w:sz w:val="22"/>
              </w:rPr>
            </w:pPr>
            <w:r w:rsidRPr="00735205">
              <w:rPr>
                <w:rFonts w:cs="Times New Roman"/>
                <w:b/>
                <w:bCs/>
                <w:sz w:val="22"/>
              </w:rPr>
              <w:t>Исследуемая терапия, изменение терапии</w:t>
            </w:r>
          </w:p>
        </w:tc>
        <w:tc>
          <w:tcPr>
            <w:tcW w:w="2287" w:type="dxa"/>
            <w:shd w:val="clear" w:color="auto" w:fill="D9D9D9" w:themeFill="background1" w:themeFillShade="D9"/>
            <w:vAlign w:val="center"/>
          </w:tcPr>
          <w:p w14:paraId="0339727F" w14:textId="53D64145" w:rsidR="009B6579" w:rsidRPr="00735205" w:rsidRDefault="00FA084B" w:rsidP="00791E09">
            <w:pPr>
              <w:ind w:firstLine="0"/>
              <w:contextualSpacing/>
              <w:jc w:val="center"/>
              <w:rPr>
                <w:rFonts w:cs="Times New Roman"/>
                <w:b/>
                <w:bCs/>
                <w:sz w:val="22"/>
              </w:rPr>
            </w:pPr>
            <w:r w:rsidRPr="00735205">
              <w:rPr>
                <w:rFonts w:cs="Times New Roman"/>
                <w:b/>
                <w:bCs/>
                <w:sz w:val="22"/>
              </w:rPr>
              <w:t>Группы</w:t>
            </w:r>
          </w:p>
        </w:tc>
        <w:tc>
          <w:tcPr>
            <w:tcW w:w="1238" w:type="dxa"/>
            <w:shd w:val="clear" w:color="auto" w:fill="D9D9D9" w:themeFill="background1" w:themeFillShade="D9"/>
            <w:vAlign w:val="center"/>
          </w:tcPr>
          <w:p w14:paraId="4DEA2144" w14:textId="28D261EE" w:rsidR="009B6579" w:rsidRPr="00735205" w:rsidRDefault="00FA084B" w:rsidP="00791E09">
            <w:pPr>
              <w:ind w:firstLine="0"/>
              <w:contextualSpacing/>
              <w:jc w:val="center"/>
              <w:rPr>
                <w:rFonts w:cs="Times New Roman"/>
                <w:b/>
                <w:bCs/>
                <w:sz w:val="22"/>
              </w:rPr>
            </w:pPr>
            <w:r w:rsidRPr="00735205">
              <w:rPr>
                <w:rFonts w:cs="Times New Roman"/>
                <w:b/>
                <w:bCs/>
                <w:sz w:val="22"/>
              </w:rPr>
              <w:t>Количество пациентов</w:t>
            </w:r>
          </w:p>
        </w:tc>
      </w:tr>
      <w:tr w:rsidR="000821FF" w14:paraId="3D0001E7" w14:textId="77777777" w:rsidTr="00F13A65">
        <w:tc>
          <w:tcPr>
            <w:tcW w:w="9356" w:type="dxa"/>
            <w:gridSpan w:val="4"/>
          </w:tcPr>
          <w:p w14:paraId="6DCF1907" w14:textId="34232F4E" w:rsidR="000821FF" w:rsidRPr="00735205" w:rsidRDefault="000821FF" w:rsidP="00735205">
            <w:pPr>
              <w:ind w:firstLine="0"/>
              <w:contextualSpacing/>
              <w:rPr>
                <w:rFonts w:cs="Times New Roman"/>
                <w:sz w:val="22"/>
              </w:rPr>
            </w:pPr>
            <w:r w:rsidRPr="00735205">
              <w:rPr>
                <w:rFonts w:cs="Times New Roman"/>
                <w:sz w:val="22"/>
              </w:rPr>
              <w:t xml:space="preserve">Исследования фазы </w:t>
            </w:r>
            <w:r w:rsidRPr="00735205">
              <w:rPr>
                <w:rFonts w:cs="Times New Roman"/>
                <w:sz w:val="22"/>
                <w:lang w:val="en-US"/>
              </w:rPr>
              <w:t>III</w:t>
            </w:r>
          </w:p>
        </w:tc>
      </w:tr>
      <w:tr w:rsidR="00FA084B" w14:paraId="39921255" w14:textId="77777777" w:rsidTr="00F13A65">
        <w:tc>
          <w:tcPr>
            <w:tcW w:w="3218" w:type="dxa"/>
          </w:tcPr>
          <w:p w14:paraId="5066BE69" w14:textId="77777777" w:rsidR="009B6579" w:rsidRPr="00735205" w:rsidRDefault="00BC38E6" w:rsidP="00735205">
            <w:pPr>
              <w:ind w:firstLine="0"/>
              <w:contextualSpacing/>
              <w:rPr>
                <w:rFonts w:cs="Times New Roman"/>
                <w:sz w:val="22"/>
              </w:rPr>
            </w:pPr>
            <w:r w:rsidRPr="00735205">
              <w:rPr>
                <w:rFonts w:cs="Times New Roman"/>
                <w:sz w:val="22"/>
                <w:lang w:val="en-US"/>
              </w:rPr>
              <w:t>A</w:t>
            </w:r>
            <w:r w:rsidRPr="00735205">
              <w:rPr>
                <w:rFonts w:cs="Times New Roman"/>
                <w:sz w:val="22"/>
              </w:rPr>
              <w:t>3921032</w:t>
            </w:r>
          </w:p>
          <w:p w14:paraId="3A0C1001" w14:textId="77777777" w:rsidR="00FD23D9" w:rsidRPr="00735205" w:rsidRDefault="00FD23D9" w:rsidP="00735205">
            <w:pPr>
              <w:ind w:firstLine="0"/>
              <w:contextualSpacing/>
              <w:rPr>
                <w:rFonts w:cs="Times New Roman"/>
                <w:sz w:val="22"/>
              </w:rPr>
            </w:pPr>
            <w:r w:rsidRPr="00735205">
              <w:rPr>
                <w:rFonts w:cs="Times New Roman"/>
                <w:sz w:val="22"/>
                <w:lang w:val="en-US"/>
              </w:rPr>
              <w:t>ORAL</w:t>
            </w:r>
            <w:r w:rsidRPr="00735205">
              <w:rPr>
                <w:rFonts w:cs="Times New Roman"/>
                <w:sz w:val="22"/>
              </w:rPr>
              <w:t xml:space="preserve"> </w:t>
            </w:r>
            <w:r w:rsidRPr="00735205">
              <w:rPr>
                <w:rFonts w:cs="Times New Roman"/>
                <w:sz w:val="22"/>
                <w:lang w:val="en-US"/>
              </w:rPr>
              <w:t>STEP</w:t>
            </w:r>
          </w:p>
          <w:p w14:paraId="3423AEAC" w14:textId="77777777" w:rsidR="00FD23D9" w:rsidRPr="00735205" w:rsidRDefault="00FD23D9" w:rsidP="00735205">
            <w:pPr>
              <w:ind w:firstLine="0"/>
              <w:contextualSpacing/>
              <w:rPr>
                <w:rFonts w:cs="Times New Roman"/>
                <w:sz w:val="22"/>
              </w:rPr>
            </w:pPr>
            <w:r w:rsidRPr="00735205">
              <w:rPr>
                <w:rFonts w:cs="Times New Roman"/>
                <w:sz w:val="22"/>
              </w:rPr>
              <w:t>6 мес.</w:t>
            </w:r>
          </w:p>
          <w:p w14:paraId="41B047AF" w14:textId="40A7B579" w:rsidR="00FD23D9" w:rsidRPr="00735205" w:rsidRDefault="00FD23D9" w:rsidP="00735205">
            <w:pPr>
              <w:ind w:firstLine="0"/>
              <w:contextualSpacing/>
              <w:rPr>
                <w:rFonts w:cs="Times New Roman"/>
                <w:sz w:val="22"/>
              </w:rPr>
            </w:pPr>
            <w:r w:rsidRPr="00735205">
              <w:rPr>
                <w:rFonts w:cs="Times New Roman"/>
                <w:sz w:val="22"/>
              </w:rPr>
              <w:t>Базовая терапия метот</w:t>
            </w:r>
            <w:r w:rsidR="00393BAC" w:rsidRPr="00735205">
              <w:rPr>
                <w:rFonts w:cs="Times New Roman"/>
                <w:sz w:val="22"/>
              </w:rPr>
              <w:t>р</w:t>
            </w:r>
            <w:r w:rsidRPr="00735205">
              <w:rPr>
                <w:rFonts w:cs="Times New Roman"/>
                <w:sz w:val="22"/>
              </w:rPr>
              <w:t>ексатом</w:t>
            </w:r>
          </w:p>
          <w:p w14:paraId="4455C52C" w14:textId="219D4712" w:rsidR="00CC777F" w:rsidRPr="00735205" w:rsidRDefault="00CC777F" w:rsidP="00735205">
            <w:pPr>
              <w:ind w:firstLine="0"/>
              <w:contextualSpacing/>
              <w:rPr>
                <w:rFonts w:cs="Times New Roman"/>
                <w:sz w:val="22"/>
              </w:rPr>
            </w:pPr>
            <w:r w:rsidRPr="00735205">
              <w:rPr>
                <w:rFonts w:cs="Times New Roman"/>
                <w:sz w:val="22"/>
              </w:rPr>
              <w:t xml:space="preserve">Недостаточный ответ на терапию ингибиторами </w:t>
            </w:r>
            <w:r w:rsidRPr="00735205">
              <w:rPr>
                <w:rFonts w:cs="Times New Roman"/>
                <w:sz w:val="22"/>
                <w:lang w:val="en-US"/>
              </w:rPr>
              <w:t>TNF</w:t>
            </w:r>
            <w:r w:rsidRPr="00735205">
              <w:rPr>
                <w:rFonts w:cs="Times New Roman"/>
                <w:sz w:val="22"/>
              </w:rPr>
              <w:t>-α</w:t>
            </w:r>
          </w:p>
        </w:tc>
        <w:tc>
          <w:tcPr>
            <w:tcW w:w="2613" w:type="dxa"/>
          </w:tcPr>
          <w:p w14:paraId="297A030D" w14:textId="4AF9231B" w:rsidR="009B6579" w:rsidRPr="00735205" w:rsidRDefault="0056001E" w:rsidP="00735205">
            <w:pPr>
              <w:ind w:firstLine="0"/>
              <w:contextualSpacing/>
              <w:rPr>
                <w:rFonts w:cs="Times New Roman"/>
                <w:sz w:val="22"/>
              </w:rPr>
            </w:pPr>
            <w:r w:rsidRPr="00735205">
              <w:rPr>
                <w:rFonts w:cs="Times New Roman"/>
                <w:sz w:val="22"/>
              </w:rPr>
              <w:t>Все пациенты, получавшие плацебо через 3 мес. переводились на тофацитиниб</w:t>
            </w:r>
          </w:p>
        </w:tc>
        <w:tc>
          <w:tcPr>
            <w:tcW w:w="2287" w:type="dxa"/>
          </w:tcPr>
          <w:p w14:paraId="64B1ABA3" w14:textId="77777777" w:rsidR="009B6579" w:rsidRPr="00735205" w:rsidRDefault="00A31C68" w:rsidP="00735205">
            <w:pPr>
              <w:ind w:firstLine="0"/>
              <w:contextualSpacing/>
              <w:rPr>
                <w:rFonts w:cs="Times New Roman"/>
                <w:sz w:val="22"/>
              </w:rPr>
            </w:pPr>
            <w:r w:rsidRPr="00735205">
              <w:rPr>
                <w:rFonts w:cs="Times New Roman"/>
                <w:sz w:val="22"/>
              </w:rPr>
              <w:t>Тофацитиниб 5 мг 2 раза в день</w:t>
            </w:r>
          </w:p>
          <w:p w14:paraId="1D22BB14" w14:textId="25A9761A" w:rsidR="00A31C68" w:rsidRPr="00735205" w:rsidRDefault="00A31C68" w:rsidP="00735205">
            <w:pPr>
              <w:ind w:firstLine="0"/>
              <w:contextualSpacing/>
              <w:rPr>
                <w:rFonts w:cs="Times New Roman"/>
                <w:sz w:val="22"/>
              </w:rPr>
            </w:pPr>
            <w:r w:rsidRPr="00735205">
              <w:rPr>
                <w:rFonts w:cs="Times New Roman"/>
                <w:sz w:val="22"/>
              </w:rPr>
              <w:t>Тофацитиниб 10 мг 2 раза в день</w:t>
            </w:r>
          </w:p>
          <w:p w14:paraId="7124908B" w14:textId="521B0554" w:rsidR="00A31C68" w:rsidRPr="00735205" w:rsidRDefault="00A31C68" w:rsidP="00735205">
            <w:pPr>
              <w:ind w:firstLine="0"/>
              <w:contextualSpacing/>
              <w:rPr>
                <w:rFonts w:cs="Times New Roman"/>
                <w:sz w:val="22"/>
              </w:rPr>
            </w:pPr>
            <w:r w:rsidRPr="00735205">
              <w:rPr>
                <w:rFonts w:cs="Times New Roman"/>
                <w:sz w:val="22"/>
              </w:rPr>
              <w:t>Плацебо-тофацитиниб 5 мг 2 раза в день</w:t>
            </w:r>
          </w:p>
          <w:p w14:paraId="48D3C9F0" w14:textId="1F208C3A" w:rsidR="00A31C68" w:rsidRPr="00735205" w:rsidRDefault="00470F61" w:rsidP="00735205">
            <w:pPr>
              <w:ind w:firstLine="0"/>
              <w:contextualSpacing/>
              <w:rPr>
                <w:rFonts w:cs="Times New Roman"/>
                <w:sz w:val="22"/>
              </w:rPr>
            </w:pPr>
            <w:r w:rsidRPr="00735205">
              <w:rPr>
                <w:rFonts w:cs="Times New Roman"/>
                <w:sz w:val="22"/>
              </w:rPr>
              <w:t>Плацебо-тофацитиниб 10 мг 2 раза в день</w:t>
            </w:r>
          </w:p>
        </w:tc>
        <w:tc>
          <w:tcPr>
            <w:tcW w:w="1238" w:type="dxa"/>
          </w:tcPr>
          <w:p w14:paraId="6EB2F3E9" w14:textId="77777777" w:rsidR="009B6579" w:rsidRPr="00735205" w:rsidRDefault="00470F61" w:rsidP="00F13A65">
            <w:pPr>
              <w:ind w:firstLine="0"/>
              <w:contextualSpacing/>
              <w:jc w:val="center"/>
              <w:rPr>
                <w:rFonts w:cs="Times New Roman"/>
                <w:sz w:val="22"/>
              </w:rPr>
            </w:pPr>
            <w:r w:rsidRPr="00735205">
              <w:rPr>
                <w:rFonts w:cs="Times New Roman"/>
                <w:sz w:val="22"/>
              </w:rPr>
              <w:t>133</w:t>
            </w:r>
          </w:p>
          <w:p w14:paraId="30D393AF" w14:textId="77777777" w:rsidR="002A64E2" w:rsidRDefault="002A64E2" w:rsidP="00F13A65">
            <w:pPr>
              <w:ind w:firstLine="0"/>
              <w:contextualSpacing/>
              <w:jc w:val="center"/>
              <w:rPr>
                <w:rFonts w:cs="Times New Roman"/>
                <w:sz w:val="22"/>
              </w:rPr>
            </w:pPr>
          </w:p>
          <w:p w14:paraId="0683E1C0" w14:textId="09879108" w:rsidR="00470F61" w:rsidRPr="00735205" w:rsidRDefault="00470F61" w:rsidP="00F13A65">
            <w:pPr>
              <w:ind w:firstLine="0"/>
              <w:contextualSpacing/>
              <w:jc w:val="center"/>
              <w:rPr>
                <w:rFonts w:cs="Times New Roman"/>
                <w:sz w:val="22"/>
              </w:rPr>
            </w:pPr>
            <w:r w:rsidRPr="00735205">
              <w:rPr>
                <w:rFonts w:cs="Times New Roman"/>
                <w:sz w:val="22"/>
              </w:rPr>
              <w:t>134</w:t>
            </w:r>
          </w:p>
          <w:p w14:paraId="2414775E" w14:textId="77777777" w:rsidR="002A64E2" w:rsidRDefault="002A64E2" w:rsidP="00F13A65">
            <w:pPr>
              <w:ind w:firstLine="0"/>
              <w:contextualSpacing/>
              <w:jc w:val="center"/>
              <w:rPr>
                <w:rFonts w:cs="Times New Roman"/>
                <w:sz w:val="22"/>
              </w:rPr>
            </w:pPr>
          </w:p>
          <w:p w14:paraId="41E3B951" w14:textId="77777777" w:rsidR="002A64E2" w:rsidRDefault="002A64E2" w:rsidP="00F13A65">
            <w:pPr>
              <w:ind w:firstLine="0"/>
              <w:contextualSpacing/>
              <w:jc w:val="center"/>
              <w:rPr>
                <w:rFonts w:cs="Times New Roman"/>
                <w:sz w:val="22"/>
              </w:rPr>
            </w:pPr>
          </w:p>
          <w:p w14:paraId="5BB5B77B" w14:textId="16226E07" w:rsidR="00470F61" w:rsidRPr="00735205" w:rsidRDefault="00470F61" w:rsidP="00F13A65">
            <w:pPr>
              <w:ind w:firstLine="0"/>
              <w:contextualSpacing/>
              <w:jc w:val="center"/>
              <w:rPr>
                <w:rFonts w:cs="Times New Roman"/>
                <w:sz w:val="22"/>
              </w:rPr>
            </w:pPr>
            <w:r w:rsidRPr="00735205">
              <w:rPr>
                <w:rFonts w:cs="Times New Roman"/>
                <w:sz w:val="22"/>
              </w:rPr>
              <w:t>66</w:t>
            </w:r>
          </w:p>
          <w:p w14:paraId="0736BC70" w14:textId="77777777" w:rsidR="002A64E2" w:rsidRDefault="002A64E2" w:rsidP="00F13A65">
            <w:pPr>
              <w:ind w:firstLine="0"/>
              <w:contextualSpacing/>
              <w:jc w:val="center"/>
              <w:rPr>
                <w:rFonts w:cs="Times New Roman"/>
                <w:sz w:val="22"/>
              </w:rPr>
            </w:pPr>
          </w:p>
          <w:p w14:paraId="61D01F8A" w14:textId="77777777" w:rsidR="002A64E2" w:rsidRDefault="002A64E2" w:rsidP="00F13A65">
            <w:pPr>
              <w:ind w:firstLine="0"/>
              <w:contextualSpacing/>
              <w:jc w:val="center"/>
              <w:rPr>
                <w:rFonts w:cs="Times New Roman"/>
                <w:sz w:val="22"/>
              </w:rPr>
            </w:pPr>
          </w:p>
          <w:p w14:paraId="7FF6C936" w14:textId="6FB0844B" w:rsidR="00470F61" w:rsidRPr="00735205" w:rsidRDefault="00470F61" w:rsidP="00F13A65">
            <w:pPr>
              <w:ind w:firstLine="0"/>
              <w:contextualSpacing/>
              <w:jc w:val="center"/>
              <w:rPr>
                <w:rFonts w:cs="Times New Roman"/>
                <w:sz w:val="22"/>
              </w:rPr>
            </w:pPr>
            <w:r w:rsidRPr="00735205">
              <w:rPr>
                <w:rFonts w:cs="Times New Roman"/>
                <w:sz w:val="22"/>
              </w:rPr>
              <w:t>66</w:t>
            </w:r>
          </w:p>
        </w:tc>
      </w:tr>
      <w:tr w:rsidR="009A0816" w14:paraId="4E3B1BE3" w14:textId="77777777" w:rsidTr="00F13A65">
        <w:tc>
          <w:tcPr>
            <w:tcW w:w="3218" w:type="dxa"/>
          </w:tcPr>
          <w:p w14:paraId="54FD5B9F" w14:textId="70A12C69" w:rsidR="009A0816" w:rsidRPr="00735205" w:rsidRDefault="009A0816" w:rsidP="00735205">
            <w:pPr>
              <w:ind w:firstLine="0"/>
              <w:contextualSpacing/>
              <w:rPr>
                <w:rFonts w:cs="Times New Roman"/>
                <w:sz w:val="22"/>
              </w:rPr>
            </w:pPr>
            <w:r w:rsidRPr="00735205">
              <w:rPr>
                <w:rFonts w:cs="Times New Roman"/>
                <w:sz w:val="22"/>
                <w:lang w:val="en-US"/>
              </w:rPr>
              <w:t>A</w:t>
            </w:r>
            <w:r w:rsidRPr="00735205">
              <w:rPr>
                <w:rFonts w:cs="Times New Roman"/>
                <w:sz w:val="22"/>
              </w:rPr>
              <w:t>39210</w:t>
            </w:r>
            <w:r w:rsidR="0051462E" w:rsidRPr="00735205">
              <w:rPr>
                <w:rFonts w:cs="Times New Roman"/>
                <w:sz w:val="22"/>
              </w:rPr>
              <w:t>44</w:t>
            </w:r>
          </w:p>
          <w:p w14:paraId="16B0B436" w14:textId="3230BD2E" w:rsidR="009A0816" w:rsidRPr="00735205" w:rsidRDefault="009A0816" w:rsidP="00735205">
            <w:pPr>
              <w:ind w:firstLine="0"/>
              <w:contextualSpacing/>
              <w:rPr>
                <w:rFonts w:cs="Times New Roman"/>
                <w:sz w:val="22"/>
              </w:rPr>
            </w:pPr>
            <w:r w:rsidRPr="00735205">
              <w:rPr>
                <w:rFonts w:cs="Times New Roman"/>
                <w:sz w:val="22"/>
                <w:lang w:val="en-US"/>
              </w:rPr>
              <w:t>ORAL</w:t>
            </w:r>
            <w:r w:rsidRPr="00735205">
              <w:rPr>
                <w:rFonts w:cs="Times New Roman"/>
                <w:sz w:val="22"/>
              </w:rPr>
              <w:t xml:space="preserve"> </w:t>
            </w:r>
            <w:r w:rsidRPr="00735205">
              <w:rPr>
                <w:rFonts w:cs="Times New Roman"/>
                <w:sz w:val="22"/>
                <w:lang w:val="en-US"/>
              </w:rPr>
              <w:t>SCAN</w:t>
            </w:r>
          </w:p>
          <w:p w14:paraId="13FE401B" w14:textId="4FAD0E8D" w:rsidR="009A0816" w:rsidRPr="00735205" w:rsidRDefault="009A0816" w:rsidP="00735205">
            <w:pPr>
              <w:ind w:firstLine="0"/>
              <w:contextualSpacing/>
              <w:rPr>
                <w:rFonts w:cs="Times New Roman"/>
                <w:sz w:val="22"/>
              </w:rPr>
            </w:pPr>
            <w:r w:rsidRPr="00735205">
              <w:rPr>
                <w:rFonts w:cs="Times New Roman"/>
                <w:sz w:val="22"/>
              </w:rPr>
              <w:t>24 мес.</w:t>
            </w:r>
          </w:p>
          <w:p w14:paraId="1BEE0009" w14:textId="0A03195A" w:rsidR="009A0816" w:rsidRPr="00735205" w:rsidRDefault="009A0816" w:rsidP="00735205">
            <w:pPr>
              <w:ind w:firstLine="0"/>
              <w:contextualSpacing/>
              <w:rPr>
                <w:rFonts w:cs="Times New Roman"/>
                <w:sz w:val="22"/>
              </w:rPr>
            </w:pPr>
            <w:r w:rsidRPr="00735205">
              <w:rPr>
                <w:rFonts w:cs="Times New Roman"/>
                <w:sz w:val="22"/>
              </w:rPr>
              <w:t>Базовая терапия метот</w:t>
            </w:r>
            <w:r w:rsidR="00393BAC" w:rsidRPr="00735205">
              <w:rPr>
                <w:rFonts w:cs="Times New Roman"/>
                <w:sz w:val="22"/>
              </w:rPr>
              <w:t>р</w:t>
            </w:r>
            <w:r w:rsidRPr="00735205">
              <w:rPr>
                <w:rFonts w:cs="Times New Roman"/>
                <w:sz w:val="22"/>
              </w:rPr>
              <w:t>ексатом</w:t>
            </w:r>
          </w:p>
          <w:p w14:paraId="33D60824" w14:textId="7EBBD749" w:rsidR="009A0816" w:rsidRPr="00735205" w:rsidRDefault="009A0816" w:rsidP="00735205">
            <w:pPr>
              <w:ind w:firstLine="0"/>
              <w:contextualSpacing/>
              <w:rPr>
                <w:rFonts w:cs="Times New Roman"/>
                <w:sz w:val="22"/>
              </w:rPr>
            </w:pPr>
            <w:r w:rsidRPr="00735205">
              <w:rPr>
                <w:rFonts w:cs="Times New Roman"/>
                <w:sz w:val="22"/>
              </w:rPr>
              <w:t xml:space="preserve">Недостаточный ответ на терапию ингибиторами </w:t>
            </w:r>
            <w:r w:rsidR="008C0778" w:rsidRPr="00735205">
              <w:rPr>
                <w:rFonts w:cs="Times New Roman"/>
                <w:sz w:val="22"/>
              </w:rPr>
              <w:t>метотрексатом</w:t>
            </w:r>
          </w:p>
        </w:tc>
        <w:tc>
          <w:tcPr>
            <w:tcW w:w="2613" w:type="dxa"/>
          </w:tcPr>
          <w:p w14:paraId="35032EEF" w14:textId="5AEC05BB" w:rsidR="009A0816" w:rsidRPr="00735205" w:rsidRDefault="00271868" w:rsidP="00735205">
            <w:pPr>
              <w:ind w:firstLine="0"/>
              <w:contextualSpacing/>
              <w:rPr>
                <w:rFonts w:cs="Times New Roman"/>
                <w:sz w:val="22"/>
              </w:rPr>
            </w:pPr>
            <w:r w:rsidRPr="00735205">
              <w:rPr>
                <w:rFonts w:cs="Times New Roman"/>
                <w:sz w:val="22"/>
              </w:rPr>
              <w:t>П</w:t>
            </w:r>
            <w:r w:rsidR="009A0816" w:rsidRPr="00735205">
              <w:rPr>
                <w:rFonts w:cs="Times New Roman"/>
                <w:sz w:val="22"/>
              </w:rPr>
              <w:t>ациенты</w:t>
            </w:r>
            <w:r w:rsidRPr="00735205">
              <w:rPr>
                <w:rFonts w:cs="Times New Roman"/>
                <w:sz w:val="22"/>
              </w:rPr>
              <w:t xml:space="preserve"> с недостаточным ответом</w:t>
            </w:r>
            <w:r w:rsidR="009A0816" w:rsidRPr="00735205">
              <w:rPr>
                <w:rFonts w:cs="Times New Roman"/>
                <w:sz w:val="22"/>
              </w:rPr>
              <w:t>, получавшие плацебо через 3 мес. переводились на тофацитиниб</w:t>
            </w:r>
            <w:r w:rsidR="001B1B55" w:rsidRPr="00735205">
              <w:rPr>
                <w:rFonts w:cs="Times New Roman"/>
                <w:sz w:val="22"/>
              </w:rPr>
              <w:t>, все оставшиеся пациенты оставались на тофацитинибе до 6 мес.</w:t>
            </w:r>
          </w:p>
        </w:tc>
        <w:tc>
          <w:tcPr>
            <w:tcW w:w="2287" w:type="dxa"/>
          </w:tcPr>
          <w:p w14:paraId="476A620E" w14:textId="77777777" w:rsidR="009A0816" w:rsidRPr="00735205" w:rsidRDefault="009A0816" w:rsidP="00735205">
            <w:pPr>
              <w:ind w:firstLine="0"/>
              <w:contextualSpacing/>
              <w:rPr>
                <w:rFonts w:cs="Times New Roman"/>
                <w:sz w:val="22"/>
              </w:rPr>
            </w:pPr>
            <w:r w:rsidRPr="00735205">
              <w:rPr>
                <w:rFonts w:cs="Times New Roman"/>
                <w:sz w:val="22"/>
              </w:rPr>
              <w:t>Тофацитиниб 5 мг 2 раза в день</w:t>
            </w:r>
          </w:p>
          <w:p w14:paraId="574081FC" w14:textId="77777777" w:rsidR="009A0816" w:rsidRPr="00735205" w:rsidRDefault="009A0816" w:rsidP="00735205">
            <w:pPr>
              <w:ind w:firstLine="0"/>
              <w:contextualSpacing/>
              <w:rPr>
                <w:rFonts w:cs="Times New Roman"/>
                <w:sz w:val="22"/>
              </w:rPr>
            </w:pPr>
            <w:r w:rsidRPr="00735205">
              <w:rPr>
                <w:rFonts w:cs="Times New Roman"/>
                <w:sz w:val="22"/>
              </w:rPr>
              <w:t>Тофацитиниб 10 мг 2 раза в день</w:t>
            </w:r>
          </w:p>
          <w:p w14:paraId="60C784A6" w14:textId="77777777" w:rsidR="009A0816" w:rsidRPr="00735205" w:rsidRDefault="009A0816" w:rsidP="00735205">
            <w:pPr>
              <w:ind w:firstLine="0"/>
              <w:contextualSpacing/>
              <w:rPr>
                <w:rFonts w:cs="Times New Roman"/>
                <w:sz w:val="22"/>
              </w:rPr>
            </w:pPr>
            <w:r w:rsidRPr="00735205">
              <w:rPr>
                <w:rFonts w:cs="Times New Roman"/>
                <w:sz w:val="22"/>
              </w:rPr>
              <w:t>Плацебо-тофацитиниб 5 мг 2 раза в день</w:t>
            </w:r>
          </w:p>
          <w:p w14:paraId="562C6934" w14:textId="6138C7EB" w:rsidR="009A0816" w:rsidRPr="00735205" w:rsidRDefault="009A0816" w:rsidP="00735205">
            <w:pPr>
              <w:ind w:firstLine="0"/>
              <w:contextualSpacing/>
              <w:rPr>
                <w:rFonts w:cs="Times New Roman"/>
                <w:sz w:val="22"/>
              </w:rPr>
            </w:pPr>
            <w:r w:rsidRPr="00735205">
              <w:rPr>
                <w:rFonts w:cs="Times New Roman"/>
                <w:sz w:val="22"/>
              </w:rPr>
              <w:t>Плацебо-тофацитиниб 10 мг 2 раза в день</w:t>
            </w:r>
          </w:p>
        </w:tc>
        <w:tc>
          <w:tcPr>
            <w:tcW w:w="1238" w:type="dxa"/>
          </w:tcPr>
          <w:p w14:paraId="5A5A66A0" w14:textId="2948C35B" w:rsidR="009A0816" w:rsidRPr="00735205" w:rsidRDefault="00087AC8" w:rsidP="00F13A65">
            <w:pPr>
              <w:ind w:firstLine="0"/>
              <w:contextualSpacing/>
              <w:jc w:val="center"/>
              <w:rPr>
                <w:rFonts w:cs="Times New Roman"/>
                <w:sz w:val="22"/>
              </w:rPr>
            </w:pPr>
            <w:r w:rsidRPr="00735205">
              <w:rPr>
                <w:rFonts w:cs="Times New Roman"/>
                <w:sz w:val="22"/>
              </w:rPr>
              <w:t>321</w:t>
            </w:r>
          </w:p>
          <w:p w14:paraId="6A2BB0AF" w14:textId="77777777" w:rsidR="00F13A65" w:rsidRDefault="00F13A65" w:rsidP="00F13A65">
            <w:pPr>
              <w:ind w:firstLine="0"/>
              <w:contextualSpacing/>
              <w:jc w:val="center"/>
              <w:rPr>
                <w:rFonts w:cs="Times New Roman"/>
                <w:sz w:val="22"/>
              </w:rPr>
            </w:pPr>
          </w:p>
          <w:p w14:paraId="591FE350" w14:textId="458A6AB0" w:rsidR="009A0816" w:rsidRPr="00735205" w:rsidRDefault="00087AC8" w:rsidP="00F13A65">
            <w:pPr>
              <w:ind w:firstLine="0"/>
              <w:contextualSpacing/>
              <w:jc w:val="center"/>
              <w:rPr>
                <w:rFonts w:cs="Times New Roman"/>
                <w:sz w:val="22"/>
              </w:rPr>
            </w:pPr>
            <w:r w:rsidRPr="00735205">
              <w:rPr>
                <w:rFonts w:cs="Times New Roman"/>
                <w:sz w:val="22"/>
              </w:rPr>
              <w:t>319</w:t>
            </w:r>
          </w:p>
          <w:p w14:paraId="7E694CFE" w14:textId="77777777" w:rsidR="00F13A65" w:rsidRDefault="00F13A65" w:rsidP="00F13A65">
            <w:pPr>
              <w:ind w:firstLine="0"/>
              <w:contextualSpacing/>
              <w:jc w:val="center"/>
              <w:rPr>
                <w:rFonts w:cs="Times New Roman"/>
                <w:sz w:val="22"/>
              </w:rPr>
            </w:pPr>
          </w:p>
          <w:p w14:paraId="01A71F93" w14:textId="77777777" w:rsidR="00F13A65" w:rsidRDefault="00F13A65" w:rsidP="00F13A65">
            <w:pPr>
              <w:ind w:firstLine="0"/>
              <w:contextualSpacing/>
              <w:jc w:val="center"/>
              <w:rPr>
                <w:rFonts w:cs="Times New Roman"/>
                <w:sz w:val="22"/>
              </w:rPr>
            </w:pPr>
          </w:p>
          <w:p w14:paraId="37605013" w14:textId="597892DD" w:rsidR="009A0816" w:rsidRPr="00735205" w:rsidRDefault="00087AC8" w:rsidP="00F13A65">
            <w:pPr>
              <w:ind w:firstLine="0"/>
              <w:contextualSpacing/>
              <w:jc w:val="center"/>
              <w:rPr>
                <w:rFonts w:cs="Times New Roman"/>
                <w:sz w:val="22"/>
              </w:rPr>
            </w:pPr>
            <w:r w:rsidRPr="00735205">
              <w:rPr>
                <w:rFonts w:cs="Times New Roman"/>
                <w:sz w:val="22"/>
              </w:rPr>
              <w:t>81</w:t>
            </w:r>
          </w:p>
          <w:p w14:paraId="760A2366" w14:textId="77777777" w:rsidR="00F13A65" w:rsidRDefault="00F13A65" w:rsidP="00F13A65">
            <w:pPr>
              <w:ind w:firstLine="0"/>
              <w:contextualSpacing/>
              <w:jc w:val="center"/>
              <w:rPr>
                <w:rFonts w:cs="Times New Roman"/>
                <w:sz w:val="22"/>
              </w:rPr>
            </w:pPr>
          </w:p>
          <w:p w14:paraId="4CA522B1" w14:textId="77777777" w:rsidR="00F13A65" w:rsidRDefault="00F13A65" w:rsidP="00F13A65">
            <w:pPr>
              <w:ind w:firstLine="0"/>
              <w:contextualSpacing/>
              <w:jc w:val="center"/>
              <w:rPr>
                <w:rFonts w:cs="Times New Roman"/>
                <w:sz w:val="22"/>
              </w:rPr>
            </w:pPr>
          </w:p>
          <w:p w14:paraId="00CCDCB1" w14:textId="203FDA44" w:rsidR="009A0816" w:rsidRPr="00735205" w:rsidRDefault="00087AC8" w:rsidP="00F13A65">
            <w:pPr>
              <w:ind w:firstLine="0"/>
              <w:contextualSpacing/>
              <w:jc w:val="center"/>
              <w:rPr>
                <w:rFonts w:cs="Times New Roman"/>
                <w:sz w:val="22"/>
              </w:rPr>
            </w:pPr>
            <w:r w:rsidRPr="00735205">
              <w:rPr>
                <w:rFonts w:cs="Times New Roman"/>
                <w:sz w:val="22"/>
              </w:rPr>
              <w:t>79</w:t>
            </w:r>
          </w:p>
        </w:tc>
      </w:tr>
      <w:tr w:rsidR="0051462E" w14:paraId="11FF819C" w14:textId="77777777" w:rsidTr="00F13A65">
        <w:tc>
          <w:tcPr>
            <w:tcW w:w="3218" w:type="dxa"/>
          </w:tcPr>
          <w:p w14:paraId="26618007" w14:textId="2FA626D2" w:rsidR="0051462E" w:rsidRPr="00735205" w:rsidRDefault="0051462E" w:rsidP="00735205">
            <w:pPr>
              <w:ind w:firstLine="0"/>
              <w:contextualSpacing/>
              <w:rPr>
                <w:rFonts w:cs="Times New Roman"/>
                <w:sz w:val="22"/>
              </w:rPr>
            </w:pPr>
            <w:r w:rsidRPr="00735205">
              <w:rPr>
                <w:rFonts w:cs="Times New Roman"/>
                <w:sz w:val="22"/>
                <w:lang w:val="en-US"/>
              </w:rPr>
              <w:t>A</w:t>
            </w:r>
            <w:r w:rsidRPr="00735205">
              <w:rPr>
                <w:rFonts w:cs="Times New Roman"/>
                <w:sz w:val="22"/>
              </w:rPr>
              <w:t>392104</w:t>
            </w:r>
            <w:r w:rsidR="005F27F7" w:rsidRPr="00735205">
              <w:rPr>
                <w:rFonts w:cs="Times New Roman"/>
                <w:sz w:val="22"/>
              </w:rPr>
              <w:t>5</w:t>
            </w:r>
          </w:p>
          <w:p w14:paraId="05794A23" w14:textId="700E2443" w:rsidR="0051462E" w:rsidRPr="00735205" w:rsidRDefault="0051462E" w:rsidP="00735205">
            <w:pPr>
              <w:ind w:firstLine="0"/>
              <w:contextualSpacing/>
              <w:rPr>
                <w:rFonts w:cs="Times New Roman"/>
                <w:sz w:val="22"/>
              </w:rPr>
            </w:pPr>
            <w:r w:rsidRPr="00735205">
              <w:rPr>
                <w:rFonts w:cs="Times New Roman"/>
                <w:sz w:val="22"/>
                <w:lang w:val="en-US"/>
              </w:rPr>
              <w:t>ORAL</w:t>
            </w:r>
            <w:r w:rsidRPr="00735205">
              <w:rPr>
                <w:rFonts w:cs="Times New Roman"/>
                <w:sz w:val="22"/>
              </w:rPr>
              <w:t xml:space="preserve"> </w:t>
            </w:r>
            <w:r w:rsidRPr="00735205">
              <w:rPr>
                <w:rFonts w:cs="Times New Roman"/>
                <w:sz w:val="22"/>
                <w:lang w:val="en-US"/>
              </w:rPr>
              <w:t>SOLO</w:t>
            </w:r>
          </w:p>
          <w:p w14:paraId="191DE008" w14:textId="5ECAB018" w:rsidR="0051462E" w:rsidRPr="00735205" w:rsidRDefault="0051462E" w:rsidP="00735205">
            <w:pPr>
              <w:ind w:firstLine="0"/>
              <w:contextualSpacing/>
              <w:rPr>
                <w:rFonts w:cs="Times New Roman"/>
                <w:sz w:val="22"/>
              </w:rPr>
            </w:pPr>
            <w:r w:rsidRPr="00735205">
              <w:rPr>
                <w:rFonts w:cs="Times New Roman"/>
                <w:sz w:val="22"/>
              </w:rPr>
              <w:t>6 мес.</w:t>
            </w:r>
          </w:p>
          <w:p w14:paraId="2A28590A" w14:textId="3BB1B4BB" w:rsidR="0051462E" w:rsidRPr="00735205" w:rsidRDefault="0051462E" w:rsidP="00735205">
            <w:pPr>
              <w:ind w:firstLine="0"/>
              <w:contextualSpacing/>
              <w:rPr>
                <w:rFonts w:cs="Times New Roman"/>
                <w:sz w:val="22"/>
              </w:rPr>
            </w:pPr>
            <w:r w:rsidRPr="00735205">
              <w:rPr>
                <w:rFonts w:cs="Times New Roman"/>
                <w:sz w:val="22"/>
              </w:rPr>
              <w:t>Отсутствовала (монотерапия тофацитинибом)</w:t>
            </w:r>
          </w:p>
          <w:p w14:paraId="4CA9A609" w14:textId="344E5FE1" w:rsidR="0051462E" w:rsidRPr="00735205" w:rsidRDefault="0051462E" w:rsidP="00735205">
            <w:pPr>
              <w:ind w:firstLine="0"/>
              <w:contextualSpacing/>
              <w:rPr>
                <w:rFonts w:cs="Times New Roman"/>
                <w:sz w:val="22"/>
              </w:rPr>
            </w:pPr>
            <w:r w:rsidRPr="00735205">
              <w:rPr>
                <w:rFonts w:cs="Times New Roman"/>
                <w:sz w:val="22"/>
              </w:rPr>
              <w:t xml:space="preserve">Недостаточный ответ на терапию </w:t>
            </w:r>
            <w:r w:rsidR="00D17DF7" w:rsidRPr="00735205">
              <w:rPr>
                <w:rFonts w:cs="Times New Roman"/>
                <w:sz w:val="22"/>
              </w:rPr>
              <w:t>БМАРП</w:t>
            </w:r>
          </w:p>
        </w:tc>
        <w:tc>
          <w:tcPr>
            <w:tcW w:w="2613" w:type="dxa"/>
          </w:tcPr>
          <w:p w14:paraId="23539305" w14:textId="5B052898" w:rsidR="0051462E" w:rsidRPr="00735205" w:rsidRDefault="0051462E" w:rsidP="00735205">
            <w:pPr>
              <w:ind w:firstLine="0"/>
              <w:contextualSpacing/>
              <w:rPr>
                <w:rFonts w:cs="Times New Roman"/>
                <w:sz w:val="22"/>
              </w:rPr>
            </w:pPr>
            <w:r w:rsidRPr="00735205">
              <w:rPr>
                <w:rFonts w:cs="Times New Roman"/>
                <w:sz w:val="22"/>
              </w:rPr>
              <w:t>Пациенты с недостаточным ответом, получавшие плацебо через 3 мес. переводились на тофацитиниб, все оставшиеся пациенты оставались на тофацитинибе до 6 мес.</w:t>
            </w:r>
          </w:p>
        </w:tc>
        <w:tc>
          <w:tcPr>
            <w:tcW w:w="2287" w:type="dxa"/>
          </w:tcPr>
          <w:p w14:paraId="6FF32E00" w14:textId="77777777" w:rsidR="0051462E" w:rsidRPr="00735205" w:rsidRDefault="0051462E" w:rsidP="00735205">
            <w:pPr>
              <w:ind w:firstLine="0"/>
              <w:contextualSpacing/>
              <w:rPr>
                <w:rFonts w:cs="Times New Roman"/>
                <w:sz w:val="22"/>
              </w:rPr>
            </w:pPr>
            <w:r w:rsidRPr="00735205">
              <w:rPr>
                <w:rFonts w:cs="Times New Roman"/>
                <w:sz w:val="22"/>
              </w:rPr>
              <w:t>Тофацитиниб 5 мг 2 раза в день</w:t>
            </w:r>
          </w:p>
          <w:p w14:paraId="5F38AD95" w14:textId="77777777" w:rsidR="0051462E" w:rsidRPr="00735205" w:rsidRDefault="0051462E" w:rsidP="00735205">
            <w:pPr>
              <w:ind w:firstLine="0"/>
              <w:contextualSpacing/>
              <w:rPr>
                <w:rFonts w:cs="Times New Roman"/>
                <w:sz w:val="22"/>
              </w:rPr>
            </w:pPr>
            <w:r w:rsidRPr="00735205">
              <w:rPr>
                <w:rFonts w:cs="Times New Roman"/>
                <w:sz w:val="22"/>
              </w:rPr>
              <w:t>Тофацитиниб 10 мг 2 раза в день</w:t>
            </w:r>
          </w:p>
          <w:p w14:paraId="1C682970" w14:textId="77777777" w:rsidR="0051462E" w:rsidRPr="00735205" w:rsidRDefault="0051462E" w:rsidP="00735205">
            <w:pPr>
              <w:ind w:firstLine="0"/>
              <w:contextualSpacing/>
              <w:rPr>
                <w:rFonts w:cs="Times New Roman"/>
                <w:sz w:val="22"/>
              </w:rPr>
            </w:pPr>
            <w:r w:rsidRPr="00735205">
              <w:rPr>
                <w:rFonts w:cs="Times New Roman"/>
                <w:sz w:val="22"/>
              </w:rPr>
              <w:t>Плацебо-тофацитиниб 5 мг 2 раза в день</w:t>
            </w:r>
          </w:p>
          <w:p w14:paraId="583BE1EF" w14:textId="630A6E46" w:rsidR="0051462E" w:rsidRPr="00735205" w:rsidRDefault="0051462E" w:rsidP="00735205">
            <w:pPr>
              <w:ind w:firstLine="0"/>
              <w:contextualSpacing/>
              <w:rPr>
                <w:rFonts w:cs="Times New Roman"/>
                <w:sz w:val="22"/>
              </w:rPr>
            </w:pPr>
            <w:r w:rsidRPr="00735205">
              <w:rPr>
                <w:rFonts w:cs="Times New Roman"/>
                <w:sz w:val="22"/>
              </w:rPr>
              <w:t>Плацебо-тофацитиниб 10 мг 2 раза в день</w:t>
            </w:r>
          </w:p>
        </w:tc>
        <w:tc>
          <w:tcPr>
            <w:tcW w:w="1238" w:type="dxa"/>
          </w:tcPr>
          <w:p w14:paraId="2235634D" w14:textId="22DC68C7" w:rsidR="0051462E" w:rsidRPr="00735205" w:rsidRDefault="001C113E" w:rsidP="00F13A65">
            <w:pPr>
              <w:ind w:firstLine="0"/>
              <w:contextualSpacing/>
              <w:jc w:val="center"/>
              <w:rPr>
                <w:rFonts w:cs="Times New Roman"/>
                <w:sz w:val="22"/>
              </w:rPr>
            </w:pPr>
            <w:r w:rsidRPr="00735205">
              <w:rPr>
                <w:rFonts w:cs="Times New Roman"/>
                <w:sz w:val="22"/>
              </w:rPr>
              <w:t>244</w:t>
            </w:r>
          </w:p>
          <w:p w14:paraId="1025498F" w14:textId="77777777" w:rsidR="00F13A65" w:rsidRDefault="00F13A65" w:rsidP="00F13A65">
            <w:pPr>
              <w:ind w:firstLine="0"/>
              <w:contextualSpacing/>
              <w:jc w:val="center"/>
              <w:rPr>
                <w:rFonts w:cs="Times New Roman"/>
                <w:sz w:val="22"/>
              </w:rPr>
            </w:pPr>
          </w:p>
          <w:p w14:paraId="752F3BB7" w14:textId="373F3D74" w:rsidR="0051462E" w:rsidRPr="00735205" w:rsidRDefault="001C113E" w:rsidP="00F13A65">
            <w:pPr>
              <w:ind w:firstLine="0"/>
              <w:contextualSpacing/>
              <w:jc w:val="center"/>
              <w:rPr>
                <w:rFonts w:cs="Times New Roman"/>
                <w:sz w:val="22"/>
              </w:rPr>
            </w:pPr>
            <w:r w:rsidRPr="00735205">
              <w:rPr>
                <w:rFonts w:cs="Times New Roman"/>
                <w:sz w:val="22"/>
              </w:rPr>
              <w:t>245</w:t>
            </w:r>
          </w:p>
          <w:p w14:paraId="365E7054" w14:textId="77777777" w:rsidR="00F13A65" w:rsidRDefault="00F13A65" w:rsidP="00F13A65">
            <w:pPr>
              <w:ind w:firstLine="0"/>
              <w:contextualSpacing/>
              <w:jc w:val="center"/>
              <w:rPr>
                <w:rFonts w:cs="Times New Roman"/>
                <w:sz w:val="22"/>
              </w:rPr>
            </w:pPr>
          </w:p>
          <w:p w14:paraId="4AFCFAE3" w14:textId="77777777" w:rsidR="00F13A65" w:rsidRDefault="00F13A65" w:rsidP="00F13A65">
            <w:pPr>
              <w:ind w:firstLine="0"/>
              <w:contextualSpacing/>
              <w:jc w:val="center"/>
              <w:rPr>
                <w:rFonts w:cs="Times New Roman"/>
                <w:sz w:val="22"/>
              </w:rPr>
            </w:pPr>
          </w:p>
          <w:p w14:paraId="3012C4E8" w14:textId="03937505" w:rsidR="0051462E" w:rsidRPr="00735205" w:rsidRDefault="001C113E" w:rsidP="00F13A65">
            <w:pPr>
              <w:ind w:firstLine="0"/>
              <w:contextualSpacing/>
              <w:jc w:val="center"/>
              <w:rPr>
                <w:rFonts w:cs="Times New Roman"/>
                <w:sz w:val="22"/>
              </w:rPr>
            </w:pPr>
            <w:r w:rsidRPr="00735205">
              <w:rPr>
                <w:rFonts w:cs="Times New Roman"/>
                <w:sz w:val="22"/>
              </w:rPr>
              <w:t>61</w:t>
            </w:r>
          </w:p>
          <w:p w14:paraId="39F3F172" w14:textId="77777777" w:rsidR="00F13A65" w:rsidRDefault="00F13A65" w:rsidP="00F13A65">
            <w:pPr>
              <w:ind w:firstLine="0"/>
              <w:contextualSpacing/>
              <w:jc w:val="center"/>
              <w:rPr>
                <w:rFonts w:cs="Times New Roman"/>
                <w:sz w:val="22"/>
              </w:rPr>
            </w:pPr>
          </w:p>
          <w:p w14:paraId="6E3D4C33" w14:textId="77777777" w:rsidR="00F13A65" w:rsidRDefault="00F13A65" w:rsidP="00F13A65">
            <w:pPr>
              <w:ind w:firstLine="0"/>
              <w:contextualSpacing/>
              <w:jc w:val="center"/>
              <w:rPr>
                <w:rFonts w:cs="Times New Roman"/>
                <w:sz w:val="22"/>
              </w:rPr>
            </w:pPr>
          </w:p>
          <w:p w14:paraId="0C5773BB" w14:textId="77937004" w:rsidR="0051462E" w:rsidRPr="00735205" w:rsidRDefault="001C113E" w:rsidP="00F13A65">
            <w:pPr>
              <w:ind w:firstLine="0"/>
              <w:contextualSpacing/>
              <w:jc w:val="center"/>
              <w:rPr>
                <w:rFonts w:cs="Times New Roman"/>
                <w:sz w:val="22"/>
              </w:rPr>
            </w:pPr>
            <w:r w:rsidRPr="00735205">
              <w:rPr>
                <w:rFonts w:cs="Times New Roman"/>
                <w:sz w:val="22"/>
              </w:rPr>
              <w:t>61</w:t>
            </w:r>
          </w:p>
        </w:tc>
      </w:tr>
      <w:tr w:rsidR="00D17DF7" w14:paraId="1FF520B8" w14:textId="77777777" w:rsidTr="00F13A65">
        <w:tc>
          <w:tcPr>
            <w:tcW w:w="3218" w:type="dxa"/>
          </w:tcPr>
          <w:p w14:paraId="16BE73AA" w14:textId="38BE73EA" w:rsidR="00D17DF7" w:rsidRPr="00735205" w:rsidRDefault="00D17DF7" w:rsidP="00735205">
            <w:pPr>
              <w:ind w:firstLine="0"/>
              <w:contextualSpacing/>
              <w:rPr>
                <w:rFonts w:cs="Times New Roman"/>
                <w:sz w:val="22"/>
              </w:rPr>
            </w:pPr>
            <w:r w:rsidRPr="00735205">
              <w:rPr>
                <w:rFonts w:cs="Times New Roman"/>
                <w:sz w:val="22"/>
                <w:lang w:val="en-US"/>
              </w:rPr>
              <w:t>A</w:t>
            </w:r>
            <w:r w:rsidRPr="00735205">
              <w:rPr>
                <w:rFonts w:cs="Times New Roman"/>
                <w:sz w:val="22"/>
              </w:rPr>
              <w:t>39214</w:t>
            </w:r>
            <w:r w:rsidR="005F27F7" w:rsidRPr="00735205">
              <w:rPr>
                <w:rFonts w:cs="Times New Roman"/>
                <w:sz w:val="22"/>
              </w:rPr>
              <w:t>6</w:t>
            </w:r>
          </w:p>
          <w:p w14:paraId="2367F86E" w14:textId="78E441F0" w:rsidR="00D17DF7" w:rsidRPr="00735205" w:rsidRDefault="00D17DF7" w:rsidP="00735205">
            <w:pPr>
              <w:ind w:firstLine="0"/>
              <w:contextualSpacing/>
              <w:rPr>
                <w:rFonts w:cs="Times New Roman"/>
                <w:sz w:val="22"/>
              </w:rPr>
            </w:pPr>
            <w:r w:rsidRPr="00735205">
              <w:rPr>
                <w:rFonts w:cs="Times New Roman"/>
                <w:sz w:val="22"/>
                <w:lang w:val="en-US"/>
              </w:rPr>
              <w:t>ORAL</w:t>
            </w:r>
            <w:r w:rsidRPr="00735205">
              <w:rPr>
                <w:rFonts w:cs="Times New Roman"/>
                <w:sz w:val="22"/>
              </w:rPr>
              <w:t xml:space="preserve"> </w:t>
            </w:r>
            <w:r w:rsidRPr="00735205">
              <w:rPr>
                <w:rFonts w:cs="Times New Roman"/>
                <w:sz w:val="22"/>
                <w:lang w:val="en-US"/>
              </w:rPr>
              <w:t>S</w:t>
            </w:r>
            <w:r w:rsidR="0087510A" w:rsidRPr="00735205">
              <w:rPr>
                <w:rFonts w:cs="Times New Roman"/>
                <w:sz w:val="22"/>
                <w:lang w:val="en-US"/>
              </w:rPr>
              <w:t>YNC</w:t>
            </w:r>
          </w:p>
          <w:p w14:paraId="66B26C39" w14:textId="3CB32C4C" w:rsidR="00D17DF7" w:rsidRPr="00735205" w:rsidRDefault="0087510A" w:rsidP="00735205">
            <w:pPr>
              <w:ind w:firstLine="0"/>
              <w:contextualSpacing/>
              <w:rPr>
                <w:rFonts w:cs="Times New Roman"/>
                <w:sz w:val="22"/>
              </w:rPr>
            </w:pPr>
            <w:r w:rsidRPr="00735205">
              <w:rPr>
                <w:rFonts w:cs="Times New Roman"/>
                <w:sz w:val="22"/>
              </w:rPr>
              <w:t>12</w:t>
            </w:r>
            <w:r w:rsidR="00D17DF7" w:rsidRPr="00735205">
              <w:rPr>
                <w:rFonts w:cs="Times New Roman"/>
                <w:sz w:val="22"/>
              </w:rPr>
              <w:t xml:space="preserve"> мес.</w:t>
            </w:r>
          </w:p>
          <w:p w14:paraId="3D461CD1" w14:textId="215FDC22" w:rsidR="008A49CB" w:rsidRPr="00735205" w:rsidRDefault="00924528" w:rsidP="00735205">
            <w:pPr>
              <w:ind w:firstLine="0"/>
              <w:contextualSpacing/>
              <w:rPr>
                <w:rFonts w:cs="Times New Roman"/>
                <w:sz w:val="22"/>
              </w:rPr>
            </w:pPr>
            <w:r w:rsidRPr="00735205">
              <w:rPr>
                <w:rFonts w:cs="Times New Roman"/>
                <w:sz w:val="22"/>
              </w:rPr>
              <w:t xml:space="preserve">Базовая терапия </w:t>
            </w:r>
            <w:r w:rsidR="008A49CB" w:rsidRPr="00735205">
              <w:rPr>
                <w:rFonts w:cs="Times New Roman"/>
                <w:sz w:val="22"/>
              </w:rPr>
              <w:t>т</w:t>
            </w:r>
            <w:r w:rsidR="005D48A1" w:rsidRPr="00735205">
              <w:rPr>
                <w:rFonts w:cs="Times New Roman"/>
                <w:sz w:val="22"/>
              </w:rPr>
              <w:t xml:space="preserve">радиционными синтетическими </w:t>
            </w:r>
            <w:r w:rsidR="008A49CB" w:rsidRPr="00735205">
              <w:rPr>
                <w:rFonts w:cs="Times New Roman"/>
                <w:sz w:val="22"/>
              </w:rPr>
              <w:t xml:space="preserve">БМАРП </w:t>
            </w:r>
          </w:p>
          <w:p w14:paraId="121C0BC0" w14:textId="193C2960" w:rsidR="00D17DF7" w:rsidRPr="00735205" w:rsidRDefault="00D17DF7" w:rsidP="00735205">
            <w:pPr>
              <w:ind w:firstLine="0"/>
              <w:contextualSpacing/>
              <w:rPr>
                <w:rFonts w:cs="Times New Roman"/>
                <w:sz w:val="22"/>
              </w:rPr>
            </w:pPr>
            <w:r w:rsidRPr="00735205">
              <w:rPr>
                <w:rFonts w:cs="Times New Roman"/>
                <w:sz w:val="22"/>
              </w:rPr>
              <w:t>Недостаточный ответ на терапию БМАРП</w:t>
            </w:r>
          </w:p>
        </w:tc>
        <w:tc>
          <w:tcPr>
            <w:tcW w:w="2613" w:type="dxa"/>
          </w:tcPr>
          <w:p w14:paraId="58FB8291" w14:textId="1425F459" w:rsidR="00D17DF7" w:rsidRPr="00735205" w:rsidRDefault="00D17DF7" w:rsidP="00735205">
            <w:pPr>
              <w:ind w:firstLine="0"/>
              <w:contextualSpacing/>
              <w:rPr>
                <w:rFonts w:cs="Times New Roman"/>
                <w:sz w:val="22"/>
              </w:rPr>
            </w:pPr>
            <w:r w:rsidRPr="00735205">
              <w:rPr>
                <w:rFonts w:cs="Times New Roman"/>
                <w:sz w:val="22"/>
              </w:rPr>
              <w:t>Пациенты с недостаточным ответом, получавшие плацебо через 3 мес. переводились на тофацитиниб, все оставшиеся пациенты оставались на тофацитинибе до 6 мес.</w:t>
            </w:r>
          </w:p>
        </w:tc>
        <w:tc>
          <w:tcPr>
            <w:tcW w:w="2287" w:type="dxa"/>
          </w:tcPr>
          <w:p w14:paraId="0F1BC351" w14:textId="77777777" w:rsidR="00D17DF7" w:rsidRPr="00735205" w:rsidRDefault="00D17DF7" w:rsidP="00735205">
            <w:pPr>
              <w:ind w:firstLine="0"/>
              <w:contextualSpacing/>
              <w:rPr>
                <w:rFonts w:cs="Times New Roman"/>
                <w:sz w:val="22"/>
              </w:rPr>
            </w:pPr>
            <w:r w:rsidRPr="00735205">
              <w:rPr>
                <w:rFonts w:cs="Times New Roman"/>
                <w:sz w:val="22"/>
              </w:rPr>
              <w:t>Тофацитиниб 5 мг 2 раза в день</w:t>
            </w:r>
          </w:p>
          <w:p w14:paraId="3720AAC1" w14:textId="77777777" w:rsidR="00D17DF7" w:rsidRPr="00735205" w:rsidRDefault="00D17DF7" w:rsidP="00735205">
            <w:pPr>
              <w:ind w:firstLine="0"/>
              <w:contextualSpacing/>
              <w:rPr>
                <w:rFonts w:cs="Times New Roman"/>
                <w:sz w:val="22"/>
              </w:rPr>
            </w:pPr>
            <w:r w:rsidRPr="00735205">
              <w:rPr>
                <w:rFonts w:cs="Times New Roman"/>
                <w:sz w:val="22"/>
              </w:rPr>
              <w:t>Тофацитиниб 10 мг 2 раза в день</w:t>
            </w:r>
          </w:p>
          <w:p w14:paraId="7B438E05" w14:textId="77777777" w:rsidR="00D17DF7" w:rsidRPr="00735205" w:rsidRDefault="00D17DF7" w:rsidP="00735205">
            <w:pPr>
              <w:ind w:firstLine="0"/>
              <w:contextualSpacing/>
              <w:rPr>
                <w:rFonts w:cs="Times New Roman"/>
                <w:sz w:val="22"/>
              </w:rPr>
            </w:pPr>
            <w:r w:rsidRPr="00735205">
              <w:rPr>
                <w:rFonts w:cs="Times New Roman"/>
                <w:sz w:val="22"/>
              </w:rPr>
              <w:t>Плацебо-тофацитиниб 5 мг 2 раза в день</w:t>
            </w:r>
          </w:p>
          <w:p w14:paraId="43CCC8E5" w14:textId="69AC42D6" w:rsidR="00D17DF7" w:rsidRPr="00735205" w:rsidRDefault="00D17DF7" w:rsidP="00735205">
            <w:pPr>
              <w:ind w:firstLine="0"/>
              <w:contextualSpacing/>
              <w:rPr>
                <w:rFonts w:cs="Times New Roman"/>
                <w:sz w:val="22"/>
              </w:rPr>
            </w:pPr>
            <w:r w:rsidRPr="00735205">
              <w:rPr>
                <w:rFonts w:cs="Times New Roman"/>
                <w:sz w:val="22"/>
              </w:rPr>
              <w:t>Плацебо-тофацитиниб 10 мг 2 раза в день</w:t>
            </w:r>
          </w:p>
        </w:tc>
        <w:tc>
          <w:tcPr>
            <w:tcW w:w="1238" w:type="dxa"/>
          </w:tcPr>
          <w:p w14:paraId="108CF0AC" w14:textId="77777777" w:rsidR="00D17DF7" w:rsidRPr="00735205" w:rsidRDefault="00D17DF7" w:rsidP="00F13A65">
            <w:pPr>
              <w:ind w:firstLine="0"/>
              <w:contextualSpacing/>
              <w:jc w:val="center"/>
              <w:rPr>
                <w:rFonts w:cs="Times New Roman"/>
                <w:sz w:val="22"/>
              </w:rPr>
            </w:pPr>
            <w:r w:rsidRPr="00735205">
              <w:rPr>
                <w:rFonts w:cs="Times New Roman"/>
                <w:sz w:val="22"/>
              </w:rPr>
              <w:t>318</w:t>
            </w:r>
          </w:p>
          <w:p w14:paraId="7D802F92" w14:textId="77777777" w:rsidR="00F13A65" w:rsidRDefault="00F13A65" w:rsidP="00F13A65">
            <w:pPr>
              <w:ind w:firstLine="0"/>
              <w:contextualSpacing/>
              <w:jc w:val="center"/>
              <w:rPr>
                <w:rFonts w:cs="Times New Roman"/>
                <w:sz w:val="22"/>
              </w:rPr>
            </w:pPr>
          </w:p>
          <w:p w14:paraId="09F9C3AA" w14:textId="201FC2C8" w:rsidR="00D17DF7" w:rsidRPr="00735205" w:rsidRDefault="00D17DF7" w:rsidP="00F13A65">
            <w:pPr>
              <w:ind w:firstLine="0"/>
              <w:contextualSpacing/>
              <w:jc w:val="center"/>
              <w:rPr>
                <w:rFonts w:cs="Times New Roman"/>
                <w:sz w:val="22"/>
              </w:rPr>
            </w:pPr>
            <w:r w:rsidRPr="00735205">
              <w:rPr>
                <w:rFonts w:cs="Times New Roman"/>
                <w:sz w:val="22"/>
              </w:rPr>
              <w:t>318</w:t>
            </w:r>
          </w:p>
          <w:p w14:paraId="3A409B53" w14:textId="77777777" w:rsidR="00F13A65" w:rsidRDefault="00F13A65" w:rsidP="00F13A65">
            <w:pPr>
              <w:ind w:firstLine="0"/>
              <w:contextualSpacing/>
              <w:jc w:val="center"/>
              <w:rPr>
                <w:rFonts w:cs="Times New Roman"/>
                <w:sz w:val="22"/>
              </w:rPr>
            </w:pPr>
          </w:p>
          <w:p w14:paraId="18E02D4E" w14:textId="77777777" w:rsidR="00F13A65" w:rsidRDefault="00F13A65" w:rsidP="00F13A65">
            <w:pPr>
              <w:ind w:firstLine="0"/>
              <w:contextualSpacing/>
              <w:jc w:val="center"/>
              <w:rPr>
                <w:rFonts w:cs="Times New Roman"/>
                <w:sz w:val="22"/>
              </w:rPr>
            </w:pPr>
          </w:p>
          <w:p w14:paraId="4DD407AE" w14:textId="17184372" w:rsidR="00D17DF7" w:rsidRPr="00735205" w:rsidRDefault="00D17DF7" w:rsidP="00F13A65">
            <w:pPr>
              <w:ind w:firstLine="0"/>
              <w:contextualSpacing/>
              <w:jc w:val="center"/>
              <w:rPr>
                <w:rFonts w:cs="Times New Roman"/>
                <w:sz w:val="22"/>
              </w:rPr>
            </w:pPr>
            <w:r w:rsidRPr="00735205">
              <w:rPr>
                <w:rFonts w:cs="Times New Roman"/>
                <w:sz w:val="22"/>
              </w:rPr>
              <w:t>79</w:t>
            </w:r>
          </w:p>
          <w:p w14:paraId="623DB10D" w14:textId="77777777" w:rsidR="00F13A65" w:rsidRDefault="00F13A65" w:rsidP="00F13A65">
            <w:pPr>
              <w:ind w:firstLine="0"/>
              <w:contextualSpacing/>
              <w:jc w:val="center"/>
              <w:rPr>
                <w:rFonts w:cs="Times New Roman"/>
                <w:sz w:val="22"/>
              </w:rPr>
            </w:pPr>
          </w:p>
          <w:p w14:paraId="222266AB" w14:textId="77777777" w:rsidR="00F13A65" w:rsidRDefault="00F13A65" w:rsidP="00F13A65">
            <w:pPr>
              <w:ind w:firstLine="0"/>
              <w:contextualSpacing/>
              <w:jc w:val="center"/>
              <w:rPr>
                <w:rFonts w:cs="Times New Roman"/>
                <w:sz w:val="22"/>
              </w:rPr>
            </w:pPr>
          </w:p>
          <w:p w14:paraId="2243D954" w14:textId="4CD8542F" w:rsidR="00D17DF7" w:rsidRPr="00735205" w:rsidRDefault="00D17DF7" w:rsidP="00F13A65">
            <w:pPr>
              <w:ind w:firstLine="0"/>
              <w:contextualSpacing/>
              <w:jc w:val="center"/>
              <w:rPr>
                <w:rFonts w:cs="Times New Roman"/>
                <w:sz w:val="22"/>
              </w:rPr>
            </w:pPr>
            <w:r w:rsidRPr="00735205">
              <w:rPr>
                <w:rFonts w:cs="Times New Roman"/>
                <w:sz w:val="22"/>
              </w:rPr>
              <w:t>80</w:t>
            </w:r>
          </w:p>
        </w:tc>
      </w:tr>
      <w:tr w:rsidR="005F27F7" w14:paraId="05E03101" w14:textId="77777777" w:rsidTr="00F13A65">
        <w:tc>
          <w:tcPr>
            <w:tcW w:w="3218" w:type="dxa"/>
          </w:tcPr>
          <w:p w14:paraId="414ACB35" w14:textId="6B914A41" w:rsidR="005F27F7" w:rsidRPr="00735205" w:rsidRDefault="005F27F7" w:rsidP="00735205">
            <w:pPr>
              <w:ind w:firstLine="0"/>
              <w:contextualSpacing/>
              <w:rPr>
                <w:rFonts w:cs="Times New Roman"/>
                <w:sz w:val="22"/>
              </w:rPr>
            </w:pPr>
            <w:r w:rsidRPr="00735205">
              <w:rPr>
                <w:rFonts w:cs="Times New Roman"/>
                <w:sz w:val="22"/>
                <w:lang w:val="en-US"/>
              </w:rPr>
              <w:t>A</w:t>
            </w:r>
            <w:r w:rsidRPr="00735205">
              <w:rPr>
                <w:rFonts w:cs="Times New Roman"/>
                <w:sz w:val="22"/>
              </w:rPr>
              <w:t>39210</w:t>
            </w:r>
            <w:r w:rsidR="00924528" w:rsidRPr="00735205">
              <w:rPr>
                <w:rFonts w:cs="Times New Roman"/>
                <w:sz w:val="22"/>
              </w:rPr>
              <w:t>64</w:t>
            </w:r>
          </w:p>
          <w:p w14:paraId="6D627EED" w14:textId="2D1B4C17" w:rsidR="005F27F7" w:rsidRPr="00735205" w:rsidRDefault="005F27F7" w:rsidP="00735205">
            <w:pPr>
              <w:ind w:firstLine="0"/>
              <w:contextualSpacing/>
              <w:rPr>
                <w:rFonts w:cs="Times New Roman"/>
                <w:sz w:val="22"/>
              </w:rPr>
            </w:pPr>
            <w:r w:rsidRPr="00735205">
              <w:rPr>
                <w:rFonts w:cs="Times New Roman"/>
                <w:sz w:val="22"/>
                <w:lang w:val="en-US"/>
              </w:rPr>
              <w:t>ORAL</w:t>
            </w:r>
            <w:r w:rsidRPr="00735205">
              <w:rPr>
                <w:rFonts w:cs="Times New Roman"/>
                <w:sz w:val="22"/>
              </w:rPr>
              <w:t xml:space="preserve"> </w:t>
            </w:r>
            <w:r w:rsidRPr="00735205">
              <w:rPr>
                <w:rFonts w:cs="Times New Roman"/>
                <w:sz w:val="22"/>
                <w:lang w:val="en-US"/>
              </w:rPr>
              <w:t>S</w:t>
            </w:r>
            <w:r w:rsidR="00924528" w:rsidRPr="00735205">
              <w:rPr>
                <w:rFonts w:cs="Times New Roman"/>
                <w:sz w:val="22"/>
                <w:lang w:val="en-US"/>
              </w:rPr>
              <w:t>TANDARD</w:t>
            </w:r>
          </w:p>
          <w:p w14:paraId="76AC3FA8" w14:textId="77777777" w:rsidR="005F27F7" w:rsidRPr="00735205" w:rsidRDefault="005F27F7" w:rsidP="00735205">
            <w:pPr>
              <w:ind w:firstLine="0"/>
              <w:contextualSpacing/>
              <w:rPr>
                <w:rFonts w:cs="Times New Roman"/>
                <w:sz w:val="22"/>
              </w:rPr>
            </w:pPr>
            <w:r w:rsidRPr="00735205">
              <w:rPr>
                <w:rFonts w:cs="Times New Roman"/>
                <w:sz w:val="22"/>
              </w:rPr>
              <w:t>12 мес.</w:t>
            </w:r>
          </w:p>
          <w:p w14:paraId="5A2DB292" w14:textId="6A030724" w:rsidR="00924528" w:rsidRPr="00735205" w:rsidRDefault="00924528" w:rsidP="00735205">
            <w:pPr>
              <w:ind w:firstLine="0"/>
              <w:contextualSpacing/>
              <w:rPr>
                <w:rFonts w:cs="Times New Roman"/>
                <w:sz w:val="22"/>
              </w:rPr>
            </w:pPr>
            <w:r w:rsidRPr="00735205">
              <w:rPr>
                <w:rFonts w:cs="Times New Roman"/>
                <w:sz w:val="22"/>
              </w:rPr>
              <w:t>Базовая терапия метот</w:t>
            </w:r>
            <w:r w:rsidR="00B14A7D">
              <w:rPr>
                <w:rFonts w:cs="Times New Roman"/>
                <w:sz w:val="22"/>
              </w:rPr>
              <w:t>р</w:t>
            </w:r>
            <w:r w:rsidRPr="00735205">
              <w:rPr>
                <w:rFonts w:cs="Times New Roman"/>
                <w:sz w:val="22"/>
              </w:rPr>
              <w:t>ексатом</w:t>
            </w:r>
          </w:p>
          <w:p w14:paraId="19F4E4F9" w14:textId="68C1D79B" w:rsidR="005F27F7" w:rsidRPr="00735205" w:rsidRDefault="005F27F7" w:rsidP="00735205">
            <w:pPr>
              <w:ind w:firstLine="0"/>
              <w:contextualSpacing/>
              <w:rPr>
                <w:rFonts w:cs="Times New Roman"/>
                <w:sz w:val="22"/>
              </w:rPr>
            </w:pPr>
            <w:r w:rsidRPr="00735205">
              <w:rPr>
                <w:rFonts w:cs="Times New Roman"/>
                <w:sz w:val="22"/>
              </w:rPr>
              <w:t xml:space="preserve">Недостаточный ответ на терапию </w:t>
            </w:r>
            <w:r w:rsidR="00924528" w:rsidRPr="00735205">
              <w:rPr>
                <w:rFonts w:cs="Times New Roman"/>
                <w:sz w:val="22"/>
              </w:rPr>
              <w:t>метот</w:t>
            </w:r>
            <w:r w:rsidR="002C4AF2" w:rsidRPr="00735205">
              <w:rPr>
                <w:rFonts w:cs="Times New Roman"/>
                <w:sz w:val="22"/>
              </w:rPr>
              <w:t>р</w:t>
            </w:r>
            <w:r w:rsidR="00924528" w:rsidRPr="00735205">
              <w:rPr>
                <w:rFonts w:cs="Times New Roman"/>
                <w:sz w:val="22"/>
              </w:rPr>
              <w:t>ексатом</w:t>
            </w:r>
          </w:p>
        </w:tc>
        <w:tc>
          <w:tcPr>
            <w:tcW w:w="2613" w:type="dxa"/>
          </w:tcPr>
          <w:p w14:paraId="6300EBC9" w14:textId="3502A413" w:rsidR="005F27F7" w:rsidRPr="00735205" w:rsidRDefault="005F27F7" w:rsidP="00735205">
            <w:pPr>
              <w:ind w:firstLine="0"/>
              <w:contextualSpacing/>
              <w:rPr>
                <w:rFonts w:cs="Times New Roman"/>
                <w:sz w:val="22"/>
              </w:rPr>
            </w:pPr>
            <w:r w:rsidRPr="00735205">
              <w:rPr>
                <w:rFonts w:cs="Times New Roman"/>
                <w:sz w:val="22"/>
              </w:rPr>
              <w:t xml:space="preserve">Пациенты с недостаточным ответом, получавшие плацебо через 3 мес. переводились на тофацитиниб, все </w:t>
            </w:r>
            <w:r w:rsidRPr="00735205">
              <w:rPr>
                <w:rFonts w:cs="Times New Roman"/>
                <w:sz w:val="22"/>
              </w:rPr>
              <w:lastRenderedPageBreak/>
              <w:t>оставшиеся пациенты оставались на тофацитинибе до 6 мес.</w:t>
            </w:r>
          </w:p>
        </w:tc>
        <w:tc>
          <w:tcPr>
            <w:tcW w:w="2287" w:type="dxa"/>
          </w:tcPr>
          <w:p w14:paraId="415D3642" w14:textId="77777777" w:rsidR="005F27F7" w:rsidRPr="00735205" w:rsidRDefault="005F27F7" w:rsidP="00735205">
            <w:pPr>
              <w:ind w:firstLine="0"/>
              <w:contextualSpacing/>
              <w:rPr>
                <w:rFonts w:cs="Times New Roman"/>
                <w:sz w:val="22"/>
              </w:rPr>
            </w:pPr>
            <w:r w:rsidRPr="00735205">
              <w:rPr>
                <w:rFonts w:cs="Times New Roman"/>
                <w:sz w:val="22"/>
              </w:rPr>
              <w:lastRenderedPageBreak/>
              <w:t>Тофацитиниб 5 мг 2 раза в день</w:t>
            </w:r>
          </w:p>
          <w:p w14:paraId="2FF75526" w14:textId="77777777" w:rsidR="005F27F7" w:rsidRPr="00735205" w:rsidRDefault="005F27F7" w:rsidP="00735205">
            <w:pPr>
              <w:ind w:firstLine="0"/>
              <w:contextualSpacing/>
              <w:rPr>
                <w:rFonts w:cs="Times New Roman"/>
                <w:sz w:val="22"/>
              </w:rPr>
            </w:pPr>
            <w:r w:rsidRPr="00735205">
              <w:rPr>
                <w:rFonts w:cs="Times New Roman"/>
                <w:sz w:val="22"/>
              </w:rPr>
              <w:t>Тофацитиниб 10 мг 2 раза в день</w:t>
            </w:r>
          </w:p>
          <w:p w14:paraId="3E8A5E1C" w14:textId="61BB7861" w:rsidR="005F27F7" w:rsidRPr="00735205" w:rsidRDefault="005F27F7" w:rsidP="00735205">
            <w:pPr>
              <w:ind w:firstLine="0"/>
              <w:contextualSpacing/>
              <w:rPr>
                <w:rFonts w:cs="Times New Roman"/>
                <w:sz w:val="22"/>
              </w:rPr>
            </w:pPr>
            <w:r w:rsidRPr="00735205">
              <w:rPr>
                <w:rFonts w:cs="Times New Roman"/>
                <w:sz w:val="22"/>
              </w:rPr>
              <w:t xml:space="preserve">Плацебо-тофацитиниб 5 мг 2 </w:t>
            </w:r>
            <w:r w:rsidRPr="00735205">
              <w:rPr>
                <w:rFonts w:cs="Times New Roman"/>
                <w:sz w:val="22"/>
              </w:rPr>
              <w:lastRenderedPageBreak/>
              <w:t>раза в день</w:t>
            </w:r>
          </w:p>
          <w:p w14:paraId="5166FC3C" w14:textId="77777777" w:rsidR="005F27F7" w:rsidRPr="00735205" w:rsidRDefault="005F27F7" w:rsidP="00735205">
            <w:pPr>
              <w:ind w:firstLine="0"/>
              <w:contextualSpacing/>
              <w:rPr>
                <w:rFonts w:cs="Times New Roman"/>
                <w:sz w:val="22"/>
              </w:rPr>
            </w:pPr>
            <w:r w:rsidRPr="00735205">
              <w:rPr>
                <w:rFonts w:cs="Times New Roman"/>
                <w:sz w:val="22"/>
              </w:rPr>
              <w:t>Плацебо-тофацитиниб 10 мг 2 раза в день</w:t>
            </w:r>
          </w:p>
          <w:p w14:paraId="35627B3A" w14:textId="568FBDEB" w:rsidR="00B024F1" w:rsidRPr="00735205" w:rsidRDefault="00B024F1" w:rsidP="00735205">
            <w:pPr>
              <w:ind w:firstLine="0"/>
              <w:contextualSpacing/>
              <w:rPr>
                <w:rFonts w:cs="Times New Roman"/>
                <w:sz w:val="22"/>
              </w:rPr>
            </w:pPr>
            <w:r w:rsidRPr="00735205">
              <w:rPr>
                <w:rFonts w:cs="Times New Roman"/>
                <w:sz w:val="22"/>
              </w:rPr>
              <w:t xml:space="preserve">Адалимумаб 40 мг </w:t>
            </w:r>
            <w:r w:rsidR="00702875" w:rsidRPr="00735205">
              <w:rPr>
                <w:rFonts w:cs="Times New Roman"/>
                <w:sz w:val="22"/>
              </w:rPr>
              <w:t>каждую</w:t>
            </w:r>
            <w:r w:rsidRPr="00735205">
              <w:rPr>
                <w:rFonts w:cs="Times New Roman"/>
                <w:sz w:val="22"/>
              </w:rPr>
              <w:t xml:space="preserve"> в</w:t>
            </w:r>
            <w:r w:rsidR="00702875" w:rsidRPr="00735205">
              <w:rPr>
                <w:rFonts w:cs="Times New Roman"/>
                <w:sz w:val="22"/>
              </w:rPr>
              <w:t>торую</w:t>
            </w:r>
            <w:r w:rsidRPr="00735205">
              <w:rPr>
                <w:rFonts w:cs="Times New Roman"/>
                <w:sz w:val="22"/>
              </w:rPr>
              <w:t xml:space="preserve"> неделю подкожно</w:t>
            </w:r>
          </w:p>
        </w:tc>
        <w:tc>
          <w:tcPr>
            <w:tcW w:w="1238" w:type="dxa"/>
          </w:tcPr>
          <w:p w14:paraId="59786CA2" w14:textId="2CCEA661" w:rsidR="005F27F7" w:rsidRPr="00735205" w:rsidRDefault="00B45B88" w:rsidP="00F13A65">
            <w:pPr>
              <w:ind w:firstLine="0"/>
              <w:contextualSpacing/>
              <w:jc w:val="center"/>
              <w:rPr>
                <w:rFonts w:cs="Times New Roman"/>
                <w:sz w:val="22"/>
              </w:rPr>
            </w:pPr>
            <w:r w:rsidRPr="00735205">
              <w:rPr>
                <w:rFonts w:cs="Times New Roman"/>
                <w:sz w:val="22"/>
              </w:rPr>
              <w:lastRenderedPageBreak/>
              <w:t>204</w:t>
            </w:r>
          </w:p>
          <w:p w14:paraId="27ADC580" w14:textId="77777777" w:rsidR="00F13A65" w:rsidRDefault="00F13A65" w:rsidP="00F13A65">
            <w:pPr>
              <w:ind w:firstLine="0"/>
              <w:contextualSpacing/>
              <w:jc w:val="center"/>
              <w:rPr>
                <w:rFonts w:cs="Times New Roman"/>
                <w:sz w:val="22"/>
              </w:rPr>
            </w:pPr>
          </w:p>
          <w:p w14:paraId="7BEC7B7C" w14:textId="610C15D0" w:rsidR="005F27F7" w:rsidRPr="00735205" w:rsidRDefault="00B45B88" w:rsidP="00F13A65">
            <w:pPr>
              <w:ind w:firstLine="0"/>
              <w:contextualSpacing/>
              <w:jc w:val="center"/>
              <w:rPr>
                <w:rFonts w:cs="Times New Roman"/>
                <w:sz w:val="22"/>
              </w:rPr>
            </w:pPr>
            <w:r w:rsidRPr="00735205">
              <w:rPr>
                <w:rFonts w:cs="Times New Roman"/>
                <w:sz w:val="22"/>
              </w:rPr>
              <w:t>201</w:t>
            </w:r>
          </w:p>
          <w:p w14:paraId="21176670" w14:textId="77777777" w:rsidR="00F13A65" w:rsidRDefault="00F13A65" w:rsidP="00F13A65">
            <w:pPr>
              <w:ind w:firstLine="0"/>
              <w:contextualSpacing/>
              <w:jc w:val="center"/>
              <w:rPr>
                <w:rFonts w:cs="Times New Roman"/>
                <w:sz w:val="22"/>
              </w:rPr>
            </w:pPr>
          </w:p>
          <w:p w14:paraId="2B8DC884" w14:textId="77777777" w:rsidR="00F13A65" w:rsidRDefault="00F13A65" w:rsidP="00F13A65">
            <w:pPr>
              <w:ind w:firstLine="0"/>
              <w:contextualSpacing/>
              <w:jc w:val="center"/>
              <w:rPr>
                <w:rFonts w:cs="Times New Roman"/>
                <w:sz w:val="22"/>
              </w:rPr>
            </w:pPr>
          </w:p>
          <w:p w14:paraId="3A4A2ED2" w14:textId="58D62D1E" w:rsidR="005F27F7" w:rsidRPr="00735205" w:rsidRDefault="00130DDA" w:rsidP="00F13A65">
            <w:pPr>
              <w:ind w:firstLine="0"/>
              <w:contextualSpacing/>
              <w:jc w:val="center"/>
              <w:rPr>
                <w:rFonts w:cs="Times New Roman"/>
                <w:sz w:val="22"/>
              </w:rPr>
            </w:pPr>
            <w:r w:rsidRPr="00735205">
              <w:rPr>
                <w:rFonts w:cs="Times New Roman"/>
                <w:sz w:val="22"/>
              </w:rPr>
              <w:t>56</w:t>
            </w:r>
          </w:p>
          <w:p w14:paraId="37A4BBF0" w14:textId="77777777" w:rsidR="00F13A65" w:rsidRDefault="00F13A65" w:rsidP="00F13A65">
            <w:pPr>
              <w:ind w:firstLine="0"/>
              <w:contextualSpacing/>
              <w:jc w:val="center"/>
              <w:rPr>
                <w:rFonts w:cs="Times New Roman"/>
                <w:sz w:val="22"/>
              </w:rPr>
            </w:pPr>
          </w:p>
          <w:p w14:paraId="21681C1D" w14:textId="77777777" w:rsidR="00F13A65" w:rsidRDefault="00F13A65" w:rsidP="00F13A65">
            <w:pPr>
              <w:ind w:firstLine="0"/>
              <w:contextualSpacing/>
              <w:jc w:val="center"/>
              <w:rPr>
                <w:rFonts w:cs="Times New Roman"/>
                <w:sz w:val="22"/>
              </w:rPr>
            </w:pPr>
          </w:p>
          <w:p w14:paraId="59A58D74" w14:textId="009CFB7A" w:rsidR="005F27F7" w:rsidRPr="00735205" w:rsidRDefault="00130DDA" w:rsidP="00F13A65">
            <w:pPr>
              <w:ind w:firstLine="0"/>
              <w:contextualSpacing/>
              <w:jc w:val="center"/>
              <w:rPr>
                <w:rFonts w:cs="Times New Roman"/>
                <w:sz w:val="22"/>
              </w:rPr>
            </w:pPr>
            <w:r w:rsidRPr="00735205">
              <w:rPr>
                <w:rFonts w:cs="Times New Roman"/>
                <w:sz w:val="22"/>
              </w:rPr>
              <w:t>52</w:t>
            </w:r>
          </w:p>
          <w:p w14:paraId="41E50CBC" w14:textId="77777777" w:rsidR="00F13A65" w:rsidRDefault="00F13A65" w:rsidP="00F13A65">
            <w:pPr>
              <w:ind w:firstLine="0"/>
              <w:contextualSpacing/>
              <w:jc w:val="center"/>
              <w:rPr>
                <w:rFonts w:cs="Times New Roman"/>
                <w:sz w:val="22"/>
              </w:rPr>
            </w:pPr>
          </w:p>
          <w:p w14:paraId="27EA1B9F" w14:textId="77777777" w:rsidR="00F13A65" w:rsidRDefault="00F13A65" w:rsidP="00F13A65">
            <w:pPr>
              <w:ind w:firstLine="0"/>
              <w:contextualSpacing/>
              <w:jc w:val="center"/>
              <w:rPr>
                <w:rFonts w:cs="Times New Roman"/>
                <w:sz w:val="22"/>
              </w:rPr>
            </w:pPr>
          </w:p>
          <w:p w14:paraId="1E1E278E" w14:textId="35B6265A" w:rsidR="00130DDA" w:rsidRPr="00735205" w:rsidRDefault="00130DDA" w:rsidP="00F13A65">
            <w:pPr>
              <w:ind w:firstLine="0"/>
              <w:contextualSpacing/>
              <w:jc w:val="center"/>
              <w:rPr>
                <w:rFonts w:cs="Times New Roman"/>
                <w:sz w:val="22"/>
              </w:rPr>
            </w:pPr>
            <w:r w:rsidRPr="00735205">
              <w:rPr>
                <w:rFonts w:cs="Times New Roman"/>
                <w:sz w:val="22"/>
              </w:rPr>
              <w:t>204</w:t>
            </w:r>
          </w:p>
        </w:tc>
      </w:tr>
      <w:tr w:rsidR="00885AAA" w14:paraId="23051A29" w14:textId="77777777" w:rsidTr="00F13A65">
        <w:tc>
          <w:tcPr>
            <w:tcW w:w="3218" w:type="dxa"/>
          </w:tcPr>
          <w:p w14:paraId="530C0A47" w14:textId="4767C5D9" w:rsidR="00885AAA" w:rsidRPr="00735205" w:rsidRDefault="00885AAA" w:rsidP="00735205">
            <w:pPr>
              <w:ind w:firstLine="0"/>
              <w:contextualSpacing/>
              <w:rPr>
                <w:rFonts w:cs="Times New Roman"/>
                <w:sz w:val="22"/>
              </w:rPr>
            </w:pPr>
            <w:r w:rsidRPr="00735205">
              <w:rPr>
                <w:rFonts w:cs="Times New Roman"/>
                <w:sz w:val="22"/>
                <w:lang w:val="en-US"/>
              </w:rPr>
              <w:lastRenderedPageBreak/>
              <w:t>A</w:t>
            </w:r>
            <w:r w:rsidRPr="00735205">
              <w:rPr>
                <w:rFonts w:cs="Times New Roman"/>
                <w:sz w:val="22"/>
              </w:rPr>
              <w:t>392106</w:t>
            </w:r>
            <w:r w:rsidR="006E20CB" w:rsidRPr="00735205">
              <w:rPr>
                <w:rFonts w:cs="Times New Roman"/>
                <w:sz w:val="22"/>
              </w:rPr>
              <w:t>9</w:t>
            </w:r>
          </w:p>
          <w:p w14:paraId="0FF327BA" w14:textId="1881CDAE" w:rsidR="00885AAA" w:rsidRPr="00735205" w:rsidRDefault="00885AAA" w:rsidP="00735205">
            <w:pPr>
              <w:ind w:firstLine="0"/>
              <w:contextualSpacing/>
              <w:rPr>
                <w:rFonts w:cs="Times New Roman"/>
                <w:sz w:val="22"/>
              </w:rPr>
            </w:pPr>
            <w:r w:rsidRPr="00735205">
              <w:rPr>
                <w:rFonts w:cs="Times New Roman"/>
                <w:sz w:val="22"/>
                <w:lang w:val="en-US"/>
              </w:rPr>
              <w:t>ORAL</w:t>
            </w:r>
            <w:r w:rsidRPr="00735205">
              <w:rPr>
                <w:rFonts w:cs="Times New Roman"/>
                <w:sz w:val="22"/>
              </w:rPr>
              <w:t xml:space="preserve"> </w:t>
            </w:r>
            <w:r w:rsidRPr="00735205">
              <w:rPr>
                <w:rFonts w:cs="Times New Roman"/>
                <w:sz w:val="22"/>
                <w:lang w:val="en-US"/>
              </w:rPr>
              <w:t>STAR</w:t>
            </w:r>
            <w:r w:rsidR="006E20CB" w:rsidRPr="00735205">
              <w:rPr>
                <w:rFonts w:cs="Times New Roman"/>
                <w:sz w:val="22"/>
                <w:lang w:val="en-US"/>
              </w:rPr>
              <w:t>T</w:t>
            </w:r>
          </w:p>
          <w:p w14:paraId="7E47CD8D" w14:textId="1EB9B868" w:rsidR="00885AAA" w:rsidRPr="00735205" w:rsidRDefault="006E20CB" w:rsidP="00735205">
            <w:pPr>
              <w:ind w:firstLine="0"/>
              <w:contextualSpacing/>
              <w:rPr>
                <w:rFonts w:cs="Times New Roman"/>
                <w:sz w:val="22"/>
              </w:rPr>
            </w:pPr>
            <w:r w:rsidRPr="00735205">
              <w:rPr>
                <w:rFonts w:cs="Times New Roman"/>
                <w:sz w:val="22"/>
              </w:rPr>
              <w:t>24</w:t>
            </w:r>
            <w:r w:rsidR="00885AAA" w:rsidRPr="00735205">
              <w:rPr>
                <w:rFonts w:cs="Times New Roman"/>
                <w:sz w:val="22"/>
              </w:rPr>
              <w:t xml:space="preserve"> мес.</w:t>
            </w:r>
          </w:p>
          <w:p w14:paraId="75060868" w14:textId="77777777" w:rsidR="006E20CB" w:rsidRPr="00735205" w:rsidRDefault="006E20CB" w:rsidP="00735205">
            <w:pPr>
              <w:ind w:firstLine="0"/>
              <w:contextualSpacing/>
              <w:rPr>
                <w:rFonts w:cs="Times New Roman"/>
                <w:sz w:val="22"/>
              </w:rPr>
            </w:pPr>
            <w:r w:rsidRPr="00735205">
              <w:rPr>
                <w:rFonts w:cs="Times New Roman"/>
                <w:sz w:val="22"/>
              </w:rPr>
              <w:t>Отсутствовала (монотерапия тофацитинибом)</w:t>
            </w:r>
          </w:p>
          <w:p w14:paraId="04C4B29B" w14:textId="0A16DC4D" w:rsidR="00885AAA" w:rsidRPr="00735205" w:rsidRDefault="006624F6" w:rsidP="00735205">
            <w:pPr>
              <w:ind w:firstLine="0"/>
              <w:contextualSpacing/>
              <w:rPr>
                <w:rFonts w:cs="Times New Roman"/>
                <w:sz w:val="22"/>
              </w:rPr>
            </w:pPr>
            <w:r w:rsidRPr="00735205">
              <w:rPr>
                <w:rFonts w:cs="Times New Roman"/>
                <w:sz w:val="22"/>
              </w:rPr>
              <w:t xml:space="preserve">Пациенты, не получавшие терапию </w:t>
            </w:r>
            <w:r w:rsidR="00885AAA" w:rsidRPr="00735205">
              <w:rPr>
                <w:rFonts w:cs="Times New Roman"/>
                <w:sz w:val="22"/>
              </w:rPr>
              <w:t>метот</w:t>
            </w:r>
            <w:r w:rsidR="00756138" w:rsidRPr="00735205">
              <w:rPr>
                <w:rFonts w:cs="Times New Roman"/>
                <w:sz w:val="22"/>
              </w:rPr>
              <w:t>р</w:t>
            </w:r>
            <w:r w:rsidR="00885AAA" w:rsidRPr="00735205">
              <w:rPr>
                <w:rFonts w:cs="Times New Roman"/>
                <w:sz w:val="22"/>
              </w:rPr>
              <w:t>ексатом</w:t>
            </w:r>
          </w:p>
        </w:tc>
        <w:tc>
          <w:tcPr>
            <w:tcW w:w="2613" w:type="dxa"/>
          </w:tcPr>
          <w:p w14:paraId="0904A37A" w14:textId="7559B90D" w:rsidR="00885AAA" w:rsidRPr="00735205" w:rsidRDefault="007E65A4" w:rsidP="00735205">
            <w:pPr>
              <w:ind w:firstLine="0"/>
              <w:contextualSpacing/>
              <w:rPr>
                <w:rFonts w:cs="Times New Roman"/>
                <w:sz w:val="22"/>
              </w:rPr>
            </w:pPr>
            <w:r w:rsidRPr="00735205">
              <w:rPr>
                <w:rFonts w:cs="Times New Roman"/>
                <w:sz w:val="22"/>
              </w:rPr>
              <w:t>Терапия не изменялась</w:t>
            </w:r>
          </w:p>
        </w:tc>
        <w:tc>
          <w:tcPr>
            <w:tcW w:w="2287" w:type="dxa"/>
          </w:tcPr>
          <w:p w14:paraId="4831D9C4" w14:textId="77777777" w:rsidR="00885AAA" w:rsidRPr="00735205" w:rsidRDefault="00885AAA" w:rsidP="00735205">
            <w:pPr>
              <w:ind w:firstLine="0"/>
              <w:contextualSpacing/>
              <w:rPr>
                <w:rFonts w:cs="Times New Roman"/>
                <w:sz w:val="22"/>
              </w:rPr>
            </w:pPr>
            <w:r w:rsidRPr="00735205">
              <w:rPr>
                <w:rFonts w:cs="Times New Roman"/>
                <w:sz w:val="22"/>
              </w:rPr>
              <w:t>Тофацитиниб 5 мг 2 раза в день</w:t>
            </w:r>
          </w:p>
          <w:p w14:paraId="3B7C1FF3" w14:textId="77777777" w:rsidR="00885AAA" w:rsidRPr="00735205" w:rsidRDefault="00885AAA" w:rsidP="00735205">
            <w:pPr>
              <w:ind w:firstLine="0"/>
              <w:contextualSpacing/>
              <w:rPr>
                <w:rFonts w:cs="Times New Roman"/>
                <w:sz w:val="22"/>
              </w:rPr>
            </w:pPr>
            <w:r w:rsidRPr="00735205">
              <w:rPr>
                <w:rFonts w:cs="Times New Roman"/>
                <w:sz w:val="22"/>
              </w:rPr>
              <w:t>Тофацитиниб 10 мг 2 раза в день</w:t>
            </w:r>
          </w:p>
          <w:p w14:paraId="12003785" w14:textId="0CBA98CF" w:rsidR="00885AAA" w:rsidRPr="00735205" w:rsidRDefault="007E65A4" w:rsidP="00735205">
            <w:pPr>
              <w:ind w:firstLine="0"/>
              <w:contextualSpacing/>
              <w:rPr>
                <w:rFonts w:cs="Times New Roman"/>
                <w:sz w:val="22"/>
              </w:rPr>
            </w:pPr>
            <w:r w:rsidRPr="00735205">
              <w:rPr>
                <w:rFonts w:cs="Times New Roman"/>
                <w:sz w:val="22"/>
              </w:rPr>
              <w:t xml:space="preserve">Метотрексат </w:t>
            </w:r>
            <w:r w:rsidR="00C8356E" w:rsidRPr="00735205">
              <w:rPr>
                <w:rFonts w:cs="Times New Roman"/>
                <w:sz w:val="22"/>
              </w:rPr>
              <w:t>с титрацией до 20 мг/неделю</w:t>
            </w:r>
          </w:p>
        </w:tc>
        <w:tc>
          <w:tcPr>
            <w:tcW w:w="1238" w:type="dxa"/>
          </w:tcPr>
          <w:p w14:paraId="194B43DF" w14:textId="1EF70ACE" w:rsidR="00885AAA" w:rsidRPr="00735205" w:rsidRDefault="00C8356E" w:rsidP="00F13A65">
            <w:pPr>
              <w:ind w:firstLine="0"/>
              <w:contextualSpacing/>
              <w:jc w:val="center"/>
              <w:rPr>
                <w:rFonts w:cs="Times New Roman"/>
                <w:sz w:val="22"/>
              </w:rPr>
            </w:pPr>
            <w:r w:rsidRPr="00735205">
              <w:rPr>
                <w:rFonts w:cs="Times New Roman"/>
                <w:sz w:val="22"/>
              </w:rPr>
              <w:t>374</w:t>
            </w:r>
          </w:p>
          <w:p w14:paraId="4902A602" w14:textId="77777777" w:rsidR="00F13A65" w:rsidRDefault="00F13A65" w:rsidP="00F13A65">
            <w:pPr>
              <w:ind w:firstLine="0"/>
              <w:contextualSpacing/>
              <w:jc w:val="center"/>
              <w:rPr>
                <w:rFonts w:cs="Times New Roman"/>
                <w:sz w:val="22"/>
              </w:rPr>
            </w:pPr>
          </w:p>
          <w:p w14:paraId="77777FD3" w14:textId="442B37A6" w:rsidR="00885AAA" w:rsidRPr="00735205" w:rsidRDefault="00C8356E" w:rsidP="00F13A65">
            <w:pPr>
              <w:ind w:firstLine="0"/>
              <w:contextualSpacing/>
              <w:jc w:val="center"/>
              <w:rPr>
                <w:rFonts w:cs="Times New Roman"/>
                <w:sz w:val="22"/>
              </w:rPr>
            </w:pPr>
            <w:r w:rsidRPr="00735205">
              <w:rPr>
                <w:rFonts w:cs="Times New Roman"/>
                <w:sz w:val="22"/>
              </w:rPr>
              <w:t>398</w:t>
            </w:r>
          </w:p>
          <w:p w14:paraId="6F419484" w14:textId="77777777" w:rsidR="00F13A65" w:rsidRDefault="00F13A65" w:rsidP="00F13A65">
            <w:pPr>
              <w:ind w:firstLine="0"/>
              <w:contextualSpacing/>
              <w:jc w:val="center"/>
              <w:rPr>
                <w:rFonts w:cs="Times New Roman"/>
                <w:sz w:val="22"/>
              </w:rPr>
            </w:pPr>
          </w:p>
          <w:p w14:paraId="49005AB3" w14:textId="77777777" w:rsidR="00F13A65" w:rsidRDefault="00F13A65" w:rsidP="00F13A65">
            <w:pPr>
              <w:ind w:firstLine="0"/>
              <w:contextualSpacing/>
              <w:jc w:val="center"/>
              <w:rPr>
                <w:rFonts w:cs="Times New Roman"/>
                <w:sz w:val="22"/>
              </w:rPr>
            </w:pPr>
          </w:p>
          <w:p w14:paraId="2D5EA5A3" w14:textId="62ED69CA" w:rsidR="00885AAA" w:rsidRPr="00735205" w:rsidRDefault="00C8356E" w:rsidP="00F13A65">
            <w:pPr>
              <w:ind w:firstLine="0"/>
              <w:contextualSpacing/>
              <w:jc w:val="center"/>
              <w:rPr>
                <w:rFonts w:cs="Times New Roman"/>
                <w:sz w:val="22"/>
              </w:rPr>
            </w:pPr>
            <w:r w:rsidRPr="00735205">
              <w:rPr>
                <w:rFonts w:cs="Times New Roman"/>
                <w:sz w:val="22"/>
              </w:rPr>
              <w:t>186</w:t>
            </w:r>
          </w:p>
        </w:tc>
      </w:tr>
      <w:tr w:rsidR="00756138" w14:paraId="4A7FED73" w14:textId="77777777" w:rsidTr="00F13A65">
        <w:tc>
          <w:tcPr>
            <w:tcW w:w="9356" w:type="dxa"/>
            <w:gridSpan w:val="4"/>
          </w:tcPr>
          <w:p w14:paraId="33F7F507" w14:textId="6721C422" w:rsidR="00756138" w:rsidRPr="00735205" w:rsidRDefault="00756138" w:rsidP="00735205">
            <w:pPr>
              <w:ind w:firstLine="0"/>
              <w:contextualSpacing/>
              <w:rPr>
                <w:rFonts w:cs="Times New Roman"/>
                <w:sz w:val="22"/>
              </w:rPr>
            </w:pPr>
            <w:r w:rsidRPr="00735205">
              <w:rPr>
                <w:rFonts w:cs="Times New Roman"/>
                <w:sz w:val="22"/>
              </w:rPr>
              <w:t xml:space="preserve">Исследования фазы </w:t>
            </w:r>
            <w:r w:rsidRPr="00735205">
              <w:rPr>
                <w:rFonts w:cs="Times New Roman"/>
                <w:sz w:val="22"/>
                <w:lang w:val="en-US"/>
              </w:rPr>
              <w:t>II</w:t>
            </w:r>
          </w:p>
        </w:tc>
      </w:tr>
      <w:tr w:rsidR="00264A8E" w14:paraId="52A84E27" w14:textId="77777777" w:rsidTr="00F13A65">
        <w:tc>
          <w:tcPr>
            <w:tcW w:w="3218" w:type="dxa"/>
          </w:tcPr>
          <w:p w14:paraId="0FFE9F41" w14:textId="585B31C5" w:rsidR="00264A8E" w:rsidRPr="00735205" w:rsidRDefault="00264A8E" w:rsidP="00735205">
            <w:pPr>
              <w:ind w:firstLine="0"/>
              <w:contextualSpacing/>
              <w:rPr>
                <w:rFonts w:cs="Times New Roman"/>
                <w:sz w:val="22"/>
              </w:rPr>
            </w:pPr>
            <w:r w:rsidRPr="00735205">
              <w:rPr>
                <w:rFonts w:cs="Times New Roman"/>
                <w:sz w:val="22"/>
                <w:lang w:val="en-US"/>
              </w:rPr>
              <w:t>A</w:t>
            </w:r>
            <w:r w:rsidRPr="00735205">
              <w:rPr>
                <w:rFonts w:cs="Times New Roman"/>
                <w:sz w:val="22"/>
              </w:rPr>
              <w:t>39210</w:t>
            </w:r>
            <w:r w:rsidR="00B866A6" w:rsidRPr="00735205">
              <w:rPr>
                <w:rFonts w:cs="Times New Roman"/>
                <w:sz w:val="22"/>
              </w:rPr>
              <w:t>1</w:t>
            </w:r>
            <w:r w:rsidRPr="00735205">
              <w:rPr>
                <w:rFonts w:cs="Times New Roman"/>
                <w:sz w:val="22"/>
              </w:rPr>
              <w:t>9</w:t>
            </w:r>
          </w:p>
          <w:p w14:paraId="746173FF" w14:textId="21FF2CDD" w:rsidR="00264A8E" w:rsidRPr="00735205" w:rsidRDefault="00E30449" w:rsidP="00735205">
            <w:pPr>
              <w:ind w:firstLine="0"/>
              <w:contextualSpacing/>
              <w:rPr>
                <w:rFonts w:cs="Times New Roman"/>
                <w:sz w:val="22"/>
              </w:rPr>
            </w:pPr>
            <w:r w:rsidRPr="00735205">
              <w:rPr>
                <w:rFonts w:cs="Times New Roman"/>
                <w:sz w:val="22"/>
              </w:rPr>
              <w:t>6</w:t>
            </w:r>
            <w:r w:rsidR="00B866A6" w:rsidRPr="00735205">
              <w:rPr>
                <w:rFonts w:cs="Times New Roman"/>
                <w:sz w:val="22"/>
              </w:rPr>
              <w:t xml:space="preserve"> недель</w:t>
            </w:r>
          </w:p>
          <w:p w14:paraId="59ABEC61" w14:textId="77777777" w:rsidR="00264A8E" w:rsidRPr="00735205" w:rsidRDefault="00264A8E" w:rsidP="00735205">
            <w:pPr>
              <w:ind w:firstLine="0"/>
              <w:contextualSpacing/>
              <w:rPr>
                <w:rFonts w:cs="Times New Roman"/>
                <w:sz w:val="22"/>
              </w:rPr>
            </w:pPr>
            <w:r w:rsidRPr="00735205">
              <w:rPr>
                <w:rFonts w:cs="Times New Roman"/>
                <w:sz w:val="22"/>
              </w:rPr>
              <w:t>Отсутствовала (монотерапия тофацитинибом)</w:t>
            </w:r>
          </w:p>
          <w:p w14:paraId="28C541CD" w14:textId="5E8233B2" w:rsidR="00264A8E" w:rsidRPr="00735205" w:rsidRDefault="00B866A6" w:rsidP="00735205">
            <w:pPr>
              <w:ind w:firstLine="0"/>
              <w:contextualSpacing/>
              <w:rPr>
                <w:rFonts w:cs="Times New Roman"/>
                <w:sz w:val="22"/>
              </w:rPr>
            </w:pPr>
            <w:r w:rsidRPr="00735205">
              <w:rPr>
                <w:rFonts w:cs="Times New Roman"/>
                <w:sz w:val="22"/>
              </w:rPr>
              <w:t>Недостаточный ответ на терапию метот</w:t>
            </w:r>
            <w:r w:rsidR="002C4AF2" w:rsidRPr="00735205">
              <w:rPr>
                <w:rFonts w:cs="Times New Roman"/>
                <w:sz w:val="22"/>
              </w:rPr>
              <w:t>р</w:t>
            </w:r>
            <w:r w:rsidRPr="00735205">
              <w:rPr>
                <w:rFonts w:cs="Times New Roman"/>
                <w:sz w:val="22"/>
              </w:rPr>
              <w:t xml:space="preserve">ексатом или </w:t>
            </w:r>
            <w:r w:rsidR="002C4AF2" w:rsidRPr="00735205">
              <w:rPr>
                <w:rFonts w:cs="Times New Roman"/>
                <w:sz w:val="22"/>
              </w:rPr>
              <w:t xml:space="preserve">ингибиторами </w:t>
            </w:r>
            <w:r w:rsidR="002C4AF2" w:rsidRPr="00735205">
              <w:rPr>
                <w:rFonts w:cs="Times New Roman"/>
                <w:sz w:val="22"/>
                <w:lang w:val="en-US"/>
              </w:rPr>
              <w:t>TNF</w:t>
            </w:r>
            <w:r w:rsidR="002C4AF2" w:rsidRPr="00735205">
              <w:rPr>
                <w:rFonts w:cs="Times New Roman"/>
                <w:sz w:val="22"/>
              </w:rPr>
              <w:t>-α</w:t>
            </w:r>
          </w:p>
        </w:tc>
        <w:tc>
          <w:tcPr>
            <w:tcW w:w="2613" w:type="dxa"/>
          </w:tcPr>
          <w:p w14:paraId="327A13F7" w14:textId="709EF4E6" w:rsidR="00264A8E" w:rsidRPr="00735205" w:rsidRDefault="00264A8E" w:rsidP="00735205">
            <w:pPr>
              <w:ind w:firstLine="0"/>
              <w:contextualSpacing/>
              <w:rPr>
                <w:rFonts w:cs="Times New Roman"/>
                <w:sz w:val="22"/>
              </w:rPr>
            </w:pPr>
            <w:r w:rsidRPr="00735205">
              <w:rPr>
                <w:rFonts w:cs="Times New Roman"/>
                <w:sz w:val="22"/>
              </w:rPr>
              <w:t>Терапия не изменялась</w:t>
            </w:r>
          </w:p>
        </w:tc>
        <w:tc>
          <w:tcPr>
            <w:tcW w:w="2287" w:type="dxa"/>
          </w:tcPr>
          <w:p w14:paraId="1D25FD57" w14:textId="77777777" w:rsidR="00264A8E" w:rsidRPr="00735205" w:rsidRDefault="00264A8E" w:rsidP="00735205">
            <w:pPr>
              <w:ind w:firstLine="0"/>
              <w:contextualSpacing/>
              <w:rPr>
                <w:rFonts w:cs="Times New Roman"/>
                <w:sz w:val="22"/>
              </w:rPr>
            </w:pPr>
            <w:r w:rsidRPr="00735205">
              <w:rPr>
                <w:rFonts w:cs="Times New Roman"/>
                <w:sz w:val="22"/>
              </w:rPr>
              <w:t>Тофацитиниб 5 мг 2 раза в день</w:t>
            </w:r>
          </w:p>
          <w:p w14:paraId="5574A7BB" w14:textId="15742D06" w:rsidR="00264A8E" w:rsidRPr="00735205" w:rsidRDefault="00264A8E" w:rsidP="00735205">
            <w:pPr>
              <w:ind w:firstLine="0"/>
              <w:contextualSpacing/>
              <w:rPr>
                <w:rFonts w:cs="Times New Roman"/>
                <w:sz w:val="22"/>
              </w:rPr>
            </w:pPr>
            <w:r w:rsidRPr="00735205">
              <w:rPr>
                <w:rFonts w:cs="Times New Roman"/>
                <w:sz w:val="22"/>
              </w:rPr>
              <w:t>Тофацитиниб 1</w:t>
            </w:r>
            <w:r w:rsidR="00C97B84" w:rsidRPr="00735205">
              <w:rPr>
                <w:rFonts w:cs="Times New Roman"/>
                <w:sz w:val="22"/>
              </w:rPr>
              <w:t>5</w:t>
            </w:r>
            <w:r w:rsidRPr="00735205">
              <w:rPr>
                <w:rFonts w:cs="Times New Roman"/>
                <w:sz w:val="22"/>
              </w:rPr>
              <w:t xml:space="preserve"> мг 2 раза в день</w:t>
            </w:r>
          </w:p>
          <w:p w14:paraId="2489FD38" w14:textId="7D61C8AF" w:rsidR="00C97B84" w:rsidRPr="00735205" w:rsidRDefault="00C97B84" w:rsidP="00735205">
            <w:pPr>
              <w:ind w:firstLine="0"/>
              <w:contextualSpacing/>
              <w:rPr>
                <w:rFonts w:cs="Times New Roman"/>
                <w:sz w:val="22"/>
              </w:rPr>
            </w:pPr>
            <w:r w:rsidRPr="00735205">
              <w:rPr>
                <w:rFonts w:cs="Times New Roman"/>
                <w:sz w:val="22"/>
              </w:rPr>
              <w:t>Тофацитиниб 30 мг 2 раза в день</w:t>
            </w:r>
          </w:p>
          <w:p w14:paraId="105CB0F1" w14:textId="2D0F3BC1" w:rsidR="00264A8E" w:rsidRPr="00735205" w:rsidRDefault="00C97B84" w:rsidP="00735205">
            <w:pPr>
              <w:ind w:firstLine="0"/>
              <w:contextualSpacing/>
              <w:rPr>
                <w:rFonts w:cs="Times New Roman"/>
                <w:sz w:val="22"/>
              </w:rPr>
            </w:pPr>
            <w:r w:rsidRPr="00735205">
              <w:rPr>
                <w:rFonts w:cs="Times New Roman"/>
                <w:sz w:val="22"/>
              </w:rPr>
              <w:t>Плацебо</w:t>
            </w:r>
          </w:p>
        </w:tc>
        <w:tc>
          <w:tcPr>
            <w:tcW w:w="1238" w:type="dxa"/>
          </w:tcPr>
          <w:p w14:paraId="59C08DF5" w14:textId="083F15A3" w:rsidR="00264A8E" w:rsidRPr="00735205" w:rsidRDefault="00C97B84" w:rsidP="00F13A65">
            <w:pPr>
              <w:ind w:firstLine="0"/>
              <w:contextualSpacing/>
              <w:jc w:val="center"/>
              <w:rPr>
                <w:rFonts w:cs="Times New Roman"/>
                <w:sz w:val="22"/>
              </w:rPr>
            </w:pPr>
            <w:r w:rsidRPr="00735205">
              <w:rPr>
                <w:rFonts w:cs="Times New Roman"/>
                <w:sz w:val="22"/>
              </w:rPr>
              <w:t>61</w:t>
            </w:r>
          </w:p>
          <w:p w14:paraId="5431AD00" w14:textId="77777777" w:rsidR="00F13A65" w:rsidRDefault="00F13A65" w:rsidP="00F13A65">
            <w:pPr>
              <w:ind w:firstLine="0"/>
              <w:contextualSpacing/>
              <w:jc w:val="center"/>
              <w:rPr>
                <w:rFonts w:cs="Times New Roman"/>
                <w:sz w:val="22"/>
              </w:rPr>
            </w:pPr>
          </w:p>
          <w:p w14:paraId="4B12C68C" w14:textId="2B075AC3" w:rsidR="00264A8E" w:rsidRPr="00735205" w:rsidRDefault="004E69D6" w:rsidP="00F13A65">
            <w:pPr>
              <w:ind w:firstLine="0"/>
              <w:contextualSpacing/>
              <w:jc w:val="center"/>
              <w:rPr>
                <w:rFonts w:cs="Times New Roman"/>
                <w:sz w:val="22"/>
              </w:rPr>
            </w:pPr>
            <w:r w:rsidRPr="00735205">
              <w:rPr>
                <w:rFonts w:cs="Times New Roman"/>
                <w:sz w:val="22"/>
              </w:rPr>
              <w:t>69</w:t>
            </w:r>
          </w:p>
          <w:p w14:paraId="5E7335B1" w14:textId="77777777" w:rsidR="00F13A65" w:rsidRDefault="00F13A65" w:rsidP="00F13A65">
            <w:pPr>
              <w:ind w:firstLine="0"/>
              <w:contextualSpacing/>
              <w:jc w:val="center"/>
              <w:rPr>
                <w:rFonts w:cs="Times New Roman"/>
                <w:sz w:val="22"/>
              </w:rPr>
            </w:pPr>
          </w:p>
          <w:p w14:paraId="49B37396" w14:textId="0A4A462F" w:rsidR="00264A8E" w:rsidRPr="00735205" w:rsidRDefault="004E69D6" w:rsidP="00F13A65">
            <w:pPr>
              <w:ind w:firstLine="0"/>
              <w:contextualSpacing/>
              <w:jc w:val="center"/>
              <w:rPr>
                <w:rFonts w:cs="Times New Roman"/>
                <w:sz w:val="22"/>
              </w:rPr>
            </w:pPr>
            <w:r w:rsidRPr="00735205">
              <w:rPr>
                <w:rFonts w:cs="Times New Roman"/>
                <w:sz w:val="22"/>
              </w:rPr>
              <w:t>69</w:t>
            </w:r>
          </w:p>
          <w:p w14:paraId="1DF07DFD" w14:textId="77777777" w:rsidR="00F13A65" w:rsidRDefault="00F13A65" w:rsidP="00F13A65">
            <w:pPr>
              <w:ind w:firstLine="0"/>
              <w:contextualSpacing/>
              <w:jc w:val="center"/>
              <w:rPr>
                <w:rFonts w:cs="Times New Roman"/>
                <w:sz w:val="22"/>
              </w:rPr>
            </w:pPr>
          </w:p>
          <w:p w14:paraId="4EFCC898" w14:textId="04C1E811" w:rsidR="004E69D6" w:rsidRPr="00735205" w:rsidRDefault="004E69D6" w:rsidP="00F13A65">
            <w:pPr>
              <w:ind w:firstLine="0"/>
              <w:contextualSpacing/>
              <w:jc w:val="center"/>
              <w:rPr>
                <w:rFonts w:cs="Times New Roman"/>
                <w:sz w:val="22"/>
              </w:rPr>
            </w:pPr>
            <w:r w:rsidRPr="00735205">
              <w:rPr>
                <w:rFonts w:cs="Times New Roman"/>
                <w:sz w:val="22"/>
              </w:rPr>
              <w:t>65</w:t>
            </w:r>
          </w:p>
        </w:tc>
      </w:tr>
      <w:tr w:rsidR="00E30449" w14:paraId="2B2A6188" w14:textId="77777777" w:rsidTr="00F13A65">
        <w:tc>
          <w:tcPr>
            <w:tcW w:w="3218" w:type="dxa"/>
          </w:tcPr>
          <w:p w14:paraId="2B48BA82" w14:textId="5EC562E8" w:rsidR="00E30449" w:rsidRPr="00735205" w:rsidRDefault="00E30449" w:rsidP="00735205">
            <w:pPr>
              <w:ind w:firstLine="0"/>
              <w:contextualSpacing/>
              <w:rPr>
                <w:rFonts w:cs="Times New Roman"/>
                <w:sz w:val="22"/>
              </w:rPr>
            </w:pPr>
            <w:r w:rsidRPr="00735205">
              <w:rPr>
                <w:rFonts w:cs="Times New Roman"/>
                <w:sz w:val="22"/>
                <w:lang w:val="en-US"/>
              </w:rPr>
              <w:t>A</w:t>
            </w:r>
            <w:r w:rsidRPr="00735205">
              <w:rPr>
                <w:rFonts w:cs="Times New Roman"/>
                <w:sz w:val="22"/>
              </w:rPr>
              <w:t>39210</w:t>
            </w:r>
            <w:r w:rsidR="00FF3568" w:rsidRPr="00735205">
              <w:rPr>
                <w:rFonts w:cs="Times New Roman"/>
                <w:sz w:val="22"/>
              </w:rPr>
              <w:t>25</w:t>
            </w:r>
          </w:p>
          <w:p w14:paraId="2027D469" w14:textId="7BB7B893" w:rsidR="00E30449" w:rsidRPr="00735205" w:rsidRDefault="00E30449" w:rsidP="00735205">
            <w:pPr>
              <w:ind w:firstLine="0"/>
              <w:contextualSpacing/>
              <w:rPr>
                <w:rFonts w:cs="Times New Roman"/>
                <w:sz w:val="22"/>
              </w:rPr>
            </w:pPr>
            <w:r w:rsidRPr="00735205">
              <w:rPr>
                <w:rFonts w:cs="Times New Roman"/>
                <w:sz w:val="22"/>
              </w:rPr>
              <w:t>6 недель</w:t>
            </w:r>
          </w:p>
          <w:p w14:paraId="330C890D" w14:textId="6B9F69C1" w:rsidR="00E30449" w:rsidRPr="00735205" w:rsidRDefault="00E30449" w:rsidP="00735205">
            <w:pPr>
              <w:ind w:firstLine="0"/>
              <w:contextualSpacing/>
              <w:rPr>
                <w:rFonts w:cs="Times New Roman"/>
                <w:sz w:val="22"/>
              </w:rPr>
            </w:pPr>
            <w:r w:rsidRPr="00735205">
              <w:rPr>
                <w:rFonts w:cs="Times New Roman"/>
                <w:sz w:val="22"/>
              </w:rPr>
              <w:t>Базовая терапия метотрексатом</w:t>
            </w:r>
          </w:p>
          <w:p w14:paraId="1DCB0D54" w14:textId="10C32182" w:rsidR="00E30449" w:rsidRPr="00735205" w:rsidRDefault="00E30449" w:rsidP="00735205">
            <w:pPr>
              <w:ind w:firstLine="0"/>
              <w:contextualSpacing/>
              <w:rPr>
                <w:rFonts w:cs="Times New Roman"/>
                <w:sz w:val="22"/>
              </w:rPr>
            </w:pPr>
            <w:r w:rsidRPr="00735205">
              <w:rPr>
                <w:rFonts w:cs="Times New Roman"/>
                <w:sz w:val="22"/>
              </w:rPr>
              <w:t xml:space="preserve">Недостаточный ответ на терапию метотрексатом </w:t>
            </w:r>
          </w:p>
        </w:tc>
        <w:tc>
          <w:tcPr>
            <w:tcW w:w="2613" w:type="dxa"/>
          </w:tcPr>
          <w:p w14:paraId="11CB1D38" w14:textId="025E3D6E" w:rsidR="00E30449" w:rsidRPr="00735205" w:rsidRDefault="00F57B23" w:rsidP="00735205">
            <w:pPr>
              <w:ind w:firstLine="0"/>
              <w:contextualSpacing/>
              <w:rPr>
                <w:rFonts w:cs="Times New Roman"/>
                <w:sz w:val="22"/>
              </w:rPr>
            </w:pPr>
            <w:r w:rsidRPr="00735205">
              <w:rPr>
                <w:rFonts w:cs="Times New Roman"/>
                <w:sz w:val="22"/>
              </w:rPr>
              <w:t>Пациенты, не ответившие на терапию плацеб</w:t>
            </w:r>
            <w:r w:rsidR="00C56A1B" w:rsidRPr="00735205">
              <w:rPr>
                <w:rFonts w:cs="Times New Roman"/>
                <w:sz w:val="22"/>
              </w:rPr>
              <w:t xml:space="preserve">о или </w:t>
            </w:r>
            <w:r w:rsidRPr="00735205">
              <w:rPr>
                <w:rFonts w:cs="Times New Roman"/>
                <w:sz w:val="22"/>
              </w:rPr>
              <w:t>тофацитинибом в до</w:t>
            </w:r>
            <w:r w:rsidR="00C56A1B" w:rsidRPr="00735205">
              <w:rPr>
                <w:rFonts w:cs="Times New Roman"/>
                <w:sz w:val="22"/>
              </w:rPr>
              <w:t>зе</w:t>
            </w:r>
            <w:r w:rsidRPr="00735205">
              <w:rPr>
                <w:rFonts w:cs="Times New Roman"/>
                <w:sz w:val="22"/>
              </w:rPr>
              <w:t xml:space="preserve"> 1 мг 2 раза в день, </w:t>
            </w:r>
            <w:r w:rsidR="00C56A1B" w:rsidRPr="00735205">
              <w:rPr>
                <w:rFonts w:cs="Times New Roman"/>
                <w:sz w:val="22"/>
              </w:rPr>
              <w:t xml:space="preserve">тофацитинибом в дозе 3 мг 2 раза в день или тофацитинибом в дозе 20 мг 1 раз в день, переводились на терапию </w:t>
            </w:r>
            <w:r w:rsidR="00D64AAD" w:rsidRPr="00735205">
              <w:rPr>
                <w:rFonts w:cs="Times New Roman"/>
                <w:sz w:val="22"/>
              </w:rPr>
              <w:t>тофацитинибом в дозе 5 мг 2 раза в день через 3 мес.</w:t>
            </w:r>
          </w:p>
        </w:tc>
        <w:tc>
          <w:tcPr>
            <w:tcW w:w="2287" w:type="dxa"/>
          </w:tcPr>
          <w:p w14:paraId="7F0E4FB2" w14:textId="680993F4" w:rsidR="00E30449" w:rsidRPr="00735205" w:rsidRDefault="00E30449" w:rsidP="00735205">
            <w:pPr>
              <w:ind w:firstLine="0"/>
              <w:contextualSpacing/>
              <w:rPr>
                <w:rFonts w:cs="Times New Roman"/>
                <w:sz w:val="22"/>
              </w:rPr>
            </w:pPr>
            <w:r w:rsidRPr="00735205">
              <w:rPr>
                <w:rFonts w:cs="Times New Roman"/>
                <w:sz w:val="22"/>
              </w:rPr>
              <w:t xml:space="preserve">Тофацитиниб </w:t>
            </w:r>
            <w:r w:rsidR="00D64AAD" w:rsidRPr="00735205">
              <w:rPr>
                <w:rFonts w:cs="Times New Roman"/>
                <w:sz w:val="22"/>
              </w:rPr>
              <w:t>1</w:t>
            </w:r>
            <w:r w:rsidRPr="00735205">
              <w:rPr>
                <w:rFonts w:cs="Times New Roman"/>
                <w:sz w:val="22"/>
              </w:rPr>
              <w:t xml:space="preserve"> мг 2 раза в день</w:t>
            </w:r>
          </w:p>
          <w:p w14:paraId="63145F0A" w14:textId="787AE43B" w:rsidR="00E30449" w:rsidRPr="00735205" w:rsidRDefault="00E30449" w:rsidP="00735205">
            <w:pPr>
              <w:ind w:firstLine="0"/>
              <w:contextualSpacing/>
              <w:rPr>
                <w:rFonts w:cs="Times New Roman"/>
                <w:sz w:val="22"/>
              </w:rPr>
            </w:pPr>
            <w:r w:rsidRPr="00735205">
              <w:rPr>
                <w:rFonts w:cs="Times New Roman"/>
                <w:sz w:val="22"/>
              </w:rPr>
              <w:t xml:space="preserve">Тофацитиниб </w:t>
            </w:r>
            <w:r w:rsidR="00D64AAD" w:rsidRPr="00735205">
              <w:rPr>
                <w:rFonts w:cs="Times New Roman"/>
                <w:sz w:val="22"/>
              </w:rPr>
              <w:t>3</w:t>
            </w:r>
            <w:r w:rsidRPr="00735205">
              <w:rPr>
                <w:rFonts w:cs="Times New Roman"/>
                <w:sz w:val="22"/>
              </w:rPr>
              <w:t xml:space="preserve"> мг 2 раза в день</w:t>
            </w:r>
          </w:p>
          <w:p w14:paraId="1F8EFABF" w14:textId="0B6B4EA5" w:rsidR="00E30449" w:rsidRPr="00735205" w:rsidRDefault="00E30449" w:rsidP="00735205">
            <w:pPr>
              <w:ind w:firstLine="0"/>
              <w:contextualSpacing/>
              <w:rPr>
                <w:rFonts w:cs="Times New Roman"/>
                <w:sz w:val="22"/>
              </w:rPr>
            </w:pPr>
            <w:r w:rsidRPr="00735205">
              <w:rPr>
                <w:rFonts w:cs="Times New Roman"/>
                <w:sz w:val="22"/>
              </w:rPr>
              <w:t xml:space="preserve">Тофацитиниб </w:t>
            </w:r>
            <w:r w:rsidR="00D64AAD" w:rsidRPr="00735205">
              <w:rPr>
                <w:rFonts w:cs="Times New Roman"/>
                <w:sz w:val="22"/>
              </w:rPr>
              <w:t>5</w:t>
            </w:r>
            <w:r w:rsidRPr="00735205">
              <w:rPr>
                <w:rFonts w:cs="Times New Roman"/>
                <w:sz w:val="22"/>
              </w:rPr>
              <w:t xml:space="preserve"> мг 2 раза в день</w:t>
            </w:r>
          </w:p>
          <w:p w14:paraId="2EB4D999" w14:textId="64E99B55" w:rsidR="00D943A3" w:rsidRPr="00735205" w:rsidRDefault="00D943A3" w:rsidP="00735205">
            <w:pPr>
              <w:ind w:firstLine="0"/>
              <w:contextualSpacing/>
              <w:rPr>
                <w:rFonts w:cs="Times New Roman"/>
                <w:sz w:val="22"/>
              </w:rPr>
            </w:pPr>
            <w:r w:rsidRPr="00735205">
              <w:rPr>
                <w:rFonts w:cs="Times New Roman"/>
                <w:sz w:val="22"/>
              </w:rPr>
              <w:t>Тофацитиниб 10 мг 2 раза в день</w:t>
            </w:r>
          </w:p>
          <w:p w14:paraId="65083119" w14:textId="3363F857" w:rsidR="00D64AAD" w:rsidRPr="00735205" w:rsidRDefault="00D64AAD" w:rsidP="00735205">
            <w:pPr>
              <w:ind w:firstLine="0"/>
              <w:contextualSpacing/>
              <w:rPr>
                <w:rFonts w:cs="Times New Roman"/>
                <w:sz w:val="22"/>
              </w:rPr>
            </w:pPr>
            <w:r w:rsidRPr="00735205">
              <w:rPr>
                <w:rFonts w:cs="Times New Roman"/>
                <w:sz w:val="22"/>
              </w:rPr>
              <w:t xml:space="preserve">Тофацитиниб </w:t>
            </w:r>
            <w:r w:rsidR="006F6721" w:rsidRPr="00735205">
              <w:rPr>
                <w:rFonts w:cs="Times New Roman"/>
                <w:sz w:val="22"/>
              </w:rPr>
              <w:t>1</w:t>
            </w:r>
            <w:r w:rsidRPr="00735205">
              <w:rPr>
                <w:rFonts w:cs="Times New Roman"/>
                <w:sz w:val="22"/>
              </w:rPr>
              <w:t>5 мг 2 раза в день</w:t>
            </w:r>
          </w:p>
          <w:p w14:paraId="094764F3" w14:textId="509DFF36" w:rsidR="006F6721" w:rsidRPr="00735205" w:rsidRDefault="006F6721" w:rsidP="00735205">
            <w:pPr>
              <w:ind w:firstLine="0"/>
              <w:contextualSpacing/>
              <w:rPr>
                <w:rFonts w:cs="Times New Roman"/>
                <w:sz w:val="22"/>
              </w:rPr>
            </w:pPr>
            <w:r w:rsidRPr="00735205">
              <w:rPr>
                <w:rFonts w:cs="Times New Roman"/>
                <w:sz w:val="22"/>
              </w:rPr>
              <w:t>Тофацитиниб 20 мг 1 раз в день</w:t>
            </w:r>
          </w:p>
          <w:p w14:paraId="382CAEAF" w14:textId="4B362B62" w:rsidR="00E30449" w:rsidRPr="00735205" w:rsidRDefault="00E30449" w:rsidP="00735205">
            <w:pPr>
              <w:ind w:firstLine="0"/>
              <w:contextualSpacing/>
              <w:rPr>
                <w:rFonts w:cs="Times New Roman"/>
                <w:sz w:val="22"/>
              </w:rPr>
            </w:pPr>
            <w:r w:rsidRPr="00735205">
              <w:rPr>
                <w:rFonts w:cs="Times New Roman"/>
                <w:sz w:val="22"/>
              </w:rPr>
              <w:t>Плацебо</w:t>
            </w:r>
          </w:p>
        </w:tc>
        <w:tc>
          <w:tcPr>
            <w:tcW w:w="1238" w:type="dxa"/>
          </w:tcPr>
          <w:p w14:paraId="782B18B4" w14:textId="5E5F8E9F" w:rsidR="00E30449" w:rsidRPr="00735205" w:rsidRDefault="006F6721" w:rsidP="00F13A65">
            <w:pPr>
              <w:ind w:firstLine="0"/>
              <w:contextualSpacing/>
              <w:jc w:val="center"/>
              <w:rPr>
                <w:rFonts w:cs="Times New Roman"/>
                <w:sz w:val="22"/>
              </w:rPr>
            </w:pPr>
            <w:r w:rsidRPr="00735205">
              <w:rPr>
                <w:rFonts w:cs="Times New Roman"/>
                <w:sz w:val="22"/>
              </w:rPr>
              <w:t>71</w:t>
            </w:r>
          </w:p>
          <w:p w14:paraId="1D759B2A" w14:textId="77777777" w:rsidR="00F13A65" w:rsidRDefault="00F13A65" w:rsidP="00F13A65">
            <w:pPr>
              <w:ind w:firstLine="0"/>
              <w:contextualSpacing/>
              <w:jc w:val="center"/>
              <w:rPr>
                <w:rFonts w:cs="Times New Roman"/>
                <w:sz w:val="22"/>
              </w:rPr>
            </w:pPr>
          </w:p>
          <w:p w14:paraId="285FA3E2" w14:textId="45E280D7" w:rsidR="00E30449" w:rsidRPr="00735205" w:rsidRDefault="00E30449" w:rsidP="00F13A65">
            <w:pPr>
              <w:ind w:firstLine="0"/>
              <w:contextualSpacing/>
              <w:jc w:val="center"/>
              <w:rPr>
                <w:rFonts w:cs="Times New Roman"/>
                <w:sz w:val="22"/>
              </w:rPr>
            </w:pPr>
            <w:r w:rsidRPr="00735205">
              <w:rPr>
                <w:rFonts w:cs="Times New Roman"/>
                <w:sz w:val="22"/>
              </w:rPr>
              <w:t>6</w:t>
            </w:r>
            <w:r w:rsidR="006F6721" w:rsidRPr="00735205">
              <w:rPr>
                <w:rFonts w:cs="Times New Roman"/>
                <w:sz w:val="22"/>
              </w:rPr>
              <w:t>8</w:t>
            </w:r>
          </w:p>
          <w:p w14:paraId="4E042F02" w14:textId="77777777" w:rsidR="00F13A65" w:rsidRDefault="00F13A65" w:rsidP="00F13A65">
            <w:pPr>
              <w:ind w:firstLine="0"/>
              <w:contextualSpacing/>
              <w:jc w:val="center"/>
              <w:rPr>
                <w:rFonts w:cs="Times New Roman"/>
                <w:sz w:val="22"/>
              </w:rPr>
            </w:pPr>
          </w:p>
          <w:p w14:paraId="781EDD8E" w14:textId="04ABCDD6" w:rsidR="00E30449" w:rsidRPr="00735205" w:rsidRDefault="006F6721" w:rsidP="00F13A65">
            <w:pPr>
              <w:ind w:firstLine="0"/>
              <w:contextualSpacing/>
              <w:jc w:val="center"/>
              <w:rPr>
                <w:rFonts w:cs="Times New Roman"/>
                <w:sz w:val="22"/>
              </w:rPr>
            </w:pPr>
            <w:r w:rsidRPr="00735205">
              <w:rPr>
                <w:rFonts w:cs="Times New Roman"/>
                <w:sz w:val="22"/>
              </w:rPr>
              <w:t>71</w:t>
            </w:r>
          </w:p>
          <w:p w14:paraId="01D65DCD" w14:textId="77777777" w:rsidR="00F13A65" w:rsidRDefault="00F13A65" w:rsidP="00F13A65">
            <w:pPr>
              <w:ind w:firstLine="0"/>
              <w:contextualSpacing/>
              <w:jc w:val="center"/>
              <w:rPr>
                <w:rFonts w:cs="Times New Roman"/>
                <w:sz w:val="22"/>
              </w:rPr>
            </w:pPr>
          </w:p>
          <w:p w14:paraId="694B356F" w14:textId="270EE791" w:rsidR="00E30449" w:rsidRPr="00735205" w:rsidRDefault="006F6721" w:rsidP="00F13A65">
            <w:pPr>
              <w:ind w:firstLine="0"/>
              <w:contextualSpacing/>
              <w:jc w:val="center"/>
              <w:rPr>
                <w:rFonts w:cs="Times New Roman"/>
                <w:sz w:val="22"/>
              </w:rPr>
            </w:pPr>
            <w:r w:rsidRPr="00735205">
              <w:rPr>
                <w:rFonts w:cs="Times New Roman"/>
                <w:sz w:val="22"/>
              </w:rPr>
              <w:t>7</w:t>
            </w:r>
            <w:r w:rsidR="00E30449" w:rsidRPr="00735205">
              <w:rPr>
                <w:rFonts w:cs="Times New Roman"/>
                <w:sz w:val="22"/>
              </w:rPr>
              <w:t>5</w:t>
            </w:r>
          </w:p>
          <w:p w14:paraId="0DA98545" w14:textId="77777777" w:rsidR="00F13A65" w:rsidRDefault="00F13A65" w:rsidP="00F13A65">
            <w:pPr>
              <w:ind w:firstLine="0"/>
              <w:contextualSpacing/>
              <w:jc w:val="center"/>
              <w:rPr>
                <w:rFonts w:cs="Times New Roman"/>
                <w:sz w:val="22"/>
              </w:rPr>
            </w:pPr>
          </w:p>
          <w:p w14:paraId="10635A45" w14:textId="64E3AE7B" w:rsidR="006F6721" w:rsidRPr="00735205" w:rsidRDefault="00FF3568" w:rsidP="00F13A65">
            <w:pPr>
              <w:ind w:firstLine="0"/>
              <w:contextualSpacing/>
              <w:jc w:val="center"/>
              <w:rPr>
                <w:rFonts w:cs="Times New Roman"/>
                <w:sz w:val="22"/>
              </w:rPr>
            </w:pPr>
            <w:r w:rsidRPr="00735205">
              <w:rPr>
                <w:rFonts w:cs="Times New Roman"/>
                <w:sz w:val="22"/>
              </w:rPr>
              <w:t>75</w:t>
            </w:r>
          </w:p>
          <w:p w14:paraId="28425C5F" w14:textId="77777777" w:rsidR="00F13A65" w:rsidRDefault="00F13A65" w:rsidP="00F13A65">
            <w:pPr>
              <w:ind w:firstLine="0"/>
              <w:contextualSpacing/>
              <w:jc w:val="center"/>
              <w:rPr>
                <w:rFonts w:cs="Times New Roman"/>
                <w:sz w:val="22"/>
              </w:rPr>
            </w:pPr>
          </w:p>
          <w:p w14:paraId="0B66EEB9" w14:textId="04897461" w:rsidR="00FF3568" w:rsidRPr="00735205" w:rsidRDefault="00FF3568" w:rsidP="00F13A65">
            <w:pPr>
              <w:ind w:firstLine="0"/>
              <w:contextualSpacing/>
              <w:jc w:val="center"/>
              <w:rPr>
                <w:rFonts w:cs="Times New Roman"/>
                <w:sz w:val="22"/>
              </w:rPr>
            </w:pPr>
            <w:r w:rsidRPr="00735205">
              <w:rPr>
                <w:rFonts w:cs="Times New Roman"/>
                <w:sz w:val="22"/>
              </w:rPr>
              <w:t>80</w:t>
            </w:r>
          </w:p>
          <w:p w14:paraId="0E176897" w14:textId="77777777" w:rsidR="00F13A65" w:rsidRDefault="00F13A65" w:rsidP="00F13A65">
            <w:pPr>
              <w:ind w:firstLine="0"/>
              <w:contextualSpacing/>
              <w:jc w:val="center"/>
              <w:rPr>
                <w:rFonts w:cs="Times New Roman"/>
                <w:sz w:val="22"/>
              </w:rPr>
            </w:pPr>
          </w:p>
          <w:p w14:paraId="2536320A" w14:textId="53DE3155" w:rsidR="00FF3568" w:rsidRPr="00735205" w:rsidRDefault="00FF3568" w:rsidP="00F13A65">
            <w:pPr>
              <w:ind w:firstLine="0"/>
              <w:contextualSpacing/>
              <w:jc w:val="center"/>
              <w:rPr>
                <w:rFonts w:cs="Times New Roman"/>
                <w:sz w:val="22"/>
              </w:rPr>
            </w:pPr>
            <w:r w:rsidRPr="00735205">
              <w:rPr>
                <w:rFonts w:cs="Times New Roman"/>
                <w:sz w:val="22"/>
              </w:rPr>
              <w:t>69</w:t>
            </w:r>
          </w:p>
        </w:tc>
      </w:tr>
      <w:tr w:rsidR="00C1345A" w14:paraId="4D3CECD4" w14:textId="77777777" w:rsidTr="00F13A65">
        <w:tc>
          <w:tcPr>
            <w:tcW w:w="3218" w:type="dxa"/>
          </w:tcPr>
          <w:p w14:paraId="1A751665" w14:textId="277E35A2" w:rsidR="00C1345A" w:rsidRPr="00735205" w:rsidRDefault="00C1345A" w:rsidP="00735205">
            <w:pPr>
              <w:ind w:firstLine="0"/>
              <w:contextualSpacing/>
              <w:rPr>
                <w:rFonts w:cs="Times New Roman"/>
                <w:sz w:val="22"/>
              </w:rPr>
            </w:pPr>
            <w:r w:rsidRPr="00735205">
              <w:rPr>
                <w:rFonts w:cs="Times New Roman"/>
                <w:sz w:val="22"/>
                <w:lang w:val="en-US"/>
              </w:rPr>
              <w:t>A</w:t>
            </w:r>
            <w:r w:rsidRPr="00735205">
              <w:rPr>
                <w:rFonts w:cs="Times New Roman"/>
                <w:sz w:val="22"/>
              </w:rPr>
              <w:t>3921035</w:t>
            </w:r>
          </w:p>
          <w:p w14:paraId="18E8EFAB" w14:textId="59F874A6" w:rsidR="00C1345A" w:rsidRPr="00735205" w:rsidRDefault="00C1345A" w:rsidP="00735205">
            <w:pPr>
              <w:ind w:firstLine="0"/>
              <w:contextualSpacing/>
              <w:rPr>
                <w:rFonts w:cs="Times New Roman"/>
                <w:sz w:val="22"/>
              </w:rPr>
            </w:pPr>
            <w:r w:rsidRPr="00735205">
              <w:rPr>
                <w:rFonts w:cs="Times New Roman"/>
                <w:sz w:val="22"/>
              </w:rPr>
              <w:t xml:space="preserve">6 </w:t>
            </w:r>
            <w:r w:rsidR="0030218D" w:rsidRPr="00735205">
              <w:rPr>
                <w:rFonts w:cs="Times New Roman"/>
                <w:sz w:val="22"/>
              </w:rPr>
              <w:t>мес.</w:t>
            </w:r>
          </w:p>
          <w:p w14:paraId="4A228844" w14:textId="77777777" w:rsidR="0030218D" w:rsidRPr="00735205" w:rsidRDefault="0030218D" w:rsidP="00735205">
            <w:pPr>
              <w:ind w:firstLine="0"/>
              <w:contextualSpacing/>
              <w:rPr>
                <w:rFonts w:cs="Times New Roman"/>
                <w:sz w:val="22"/>
              </w:rPr>
            </w:pPr>
            <w:r w:rsidRPr="00735205">
              <w:rPr>
                <w:rFonts w:cs="Times New Roman"/>
                <w:sz w:val="22"/>
              </w:rPr>
              <w:t>Отсутствовала (монотерапия тофацитинибом)</w:t>
            </w:r>
          </w:p>
          <w:p w14:paraId="12776B2F" w14:textId="655CD79A" w:rsidR="00C1345A" w:rsidRPr="00735205" w:rsidRDefault="00C1345A" w:rsidP="00735205">
            <w:pPr>
              <w:ind w:firstLine="0"/>
              <w:contextualSpacing/>
              <w:rPr>
                <w:rFonts w:cs="Times New Roman"/>
                <w:sz w:val="22"/>
              </w:rPr>
            </w:pPr>
            <w:r w:rsidRPr="00735205">
              <w:rPr>
                <w:rFonts w:cs="Times New Roman"/>
                <w:sz w:val="22"/>
              </w:rPr>
              <w:t xml:space="preserve">Недостаточный ответ на терапию </w:t>
            </w:r>
            <w:r w:rsidR="0030218D" w:rsidRPr="00735205">
              <w:rPr>
                <w:rFonts w:cs="Times New Roman"/>
                <w:sz w:val="22"/>
              </w:rPr>
              <w:t>БМАРП</w:t>
            </w:r>
            <w:r w:rsidRPr="00735205">
              <w:rPr>
                <w:rFonts w:cs="Times New Roman"/>
                <w:sz w:val="22"/>
              </w:rPr>
              <w:t xml:space="preserve"> </w:t>
            </w:r>
          </w:p>
        </w:tc>
        <w:tc>
          <w:tcPr>
            <w:tcW w:w="2613" w:type="dxa"/>
          </w:tcPr>
          <w:p w14:paraId="51ED00BB" w14:textId="77777777" w:rsidR="00C1345A" w:rsidRPr="00735205" w:rsidRDefault="00C1345A" w:rsidP="00735205">
            <w:pPr>
              <w:ind w:firstLine="0"/>
              <w:contextualSpacing/>
              <w:rPr>
                <w:rFonts w:cs="Times New Roman"/>
                <w:sz w:val="22"/>
              </w:rPr>
            </w:pPr>
            <w:r w:rsidRPr="00735205">
              <w:rPr>
                <w:rFonts w:cs="Times New Roman"/>
                <w:sz w:val="22"/>
              </w:rPr>
              <w:t>Пациенты, не ответившие на терапию плацебо или тофацитинибом в дозе 1 мг 2 раза в день</w:t>
            </w:r>
            <w:r w:rsidR="00DA5510" w:rsidRPr="00735205">
              <w:rPr>
                <w:rFonts w:cs="Times New Roman"/>
                <w:sz w:val="22"/>
              </w:rPr>
              <w:t xml:space="preserve"> или</w:t>
            </w:r>
            <w:r w:rsidRPr="00735205">
              <w:rPr>
                <w:rFonts w:cs="Times New Roman"/>
                <w:sz w:val="22"/>
              </w:rPr>
              <w:t xml:space="preserve"> тофацитинибом в дозе 3 мг 2 раза в день, переводились на терапию тофацитинибом в дозе 5 мг 2 раза в день через 3 мес.</w:t>
            </w:r>
          </w:p>
          <w:p w14:paraId="0A579F94" w14:textId="14807A7F" w:rsidR="00D0684A" w:rsidRPr="00735205" w:rsidRDefault="00D0684A" w:rsidP="00735205">
            <w:pPr>
              <w:ind w:firstLine="0"/>
              <w:contextualSpacing/>
              <w:rPr>
                <w:rFonts w:cs="Times New Roman"/>
                <w:sz w:val="22"/>
              </w:rPr>
            </w:pPr>
            <w:r w:rsidRPr="00735205">
              <w:rPr>
                <w:rFonts w:cs="Times New Roman"/>
                <w:sz w:val="22"/>
              </w:rPr>
              <w:t xml:space="preserve">Пациенты, получавшие адилимумаб, </w:t>
            </w:r>
            <w:r w:rsidRPr="00735205">
              <w:rPr>
                <w:rFonts w:cs="Times New Roman"/>
                <w:sz w:val="22"/>
              </w:rPr>
              <w:lastRenderedPageBreak/>
              <w:t>переводились на терапию тофацитинибом в дозе 5 мг 2 раза в день через 3 мес.</w:t>
            </w:r>
          </w:p>
        </w:tc>
        <w:tc>
          <w:tcPr>
            <w:tcW w:w="2287" w:type="dxa"/>
          </w:tcPr>
          <w:p w14:paraId="473B933A" w14:textId="77777777" w:rsidR="00C1345A" w:rsidRPr="00735205" w:rsidRDefault="00C1345A" w:rsidP="00735205">
            <w:pPr>
              <w:ind w:firstLine="0"/>
              <w:contextualSpacing/>
              <w:rPr>
                <w:rFonts w:cs="Times New Roman"/>
                <w:sz w:val="22"/>
              </w:rPr>
            </w:pPr>
            <w:r w:rsidRPr="00735205">
              <w:rPr>
                <w:rFonts w:cs="Times New Roman"/>
                <w:sz w:val="22"/>
              </w:rPr>
              <w:lastRenderedPageBreak/>
              <w:t>Тофацитиниб 1 мг 2 раза в день</w:t>
            </w:r>
          </w:p>
          <w:p w14:paraId="538BF67B" w14:textId="77777777" w:rsidR="00C1345A" w:rsidRPr="00735205" w:rsidRDefault="00C1345A" w:rsidP="00735205">
            <w:pPr>
              <w:ind w:firstLine="0"/>
              <w:contextualSpacing/>
              <w:rPr>
                <w:rFonts w:cs="Times New Roman"/>
                <w:sz w:val="22"/>
              </w:rPr>
            </w:pPr>
            <w:r w:rsidRPr="00735205">
              <w:rPr>
                <w:rFonts w:cs="Times New Roman"/>
                <w:sz w:val="22"/>
              </w:rPr>
              <w:t>Тофацитиниб 3 мг 2 раза в день</w:t>
            </w:r>
          </w:p>
          <w:p w14:paraId="3B7BA16E" w14:textId="77777777" w:rsidR="00C1345A" w:rsidRPr="00735205" w:rsidRDefault="00C1345A" w:rsidP="00735205">
            <w:pPr>
              <w:ind w:firstLine="0"/>
              <w:contextualSpacing/>
              <w:rPr>
                <w:rFonts w:cs="Times New Roman"/>
                <w:sz w:val="22"/>
              </w:rPr>
            </w:pPr>
            <w:r w:rsidRPr="00735205">
              <w:rPr>
                <w:rFonts w:cs="Times New Roman"/>
                <w:sz w:val="22"/>
              </w:rPr>
              <w:t>Тофацитиниб 5 мг 2 раза в день</w:t>
            </w:r>
          </w:p>
          <w:p w14:paraId="10ECBD26" w14:textId="13822341" w:rsidR="00C1345A" w:rsidRPr="00735205" w:rsidRDefault="00C1345A" w:rsidP="00735205">
            <w:pPr>
              <w:ind w:firstLine="0"/>
              <w:contextualSpacing/>
              <w:rPr>
                <w:rFonts w:cs="Times New Roman"/>
                <w:sz w:val="22"/>
              </w:rPr>
            </w:pPr>
            <w:r w:rsidRPr="00735205">
              <w:rPr>
                <w:rFonts w:cs="Times New Roman"/>
                <w:sz w:val="22"/>
              </w:rPr>
              <w:t>Тофацитиниб 1</w:t>
            </w:r>
            <w:r w:rsidR="00BC7FF2" w:rsidRPr="00735205">
              <w:rPr>
                <w:rFonts w:cs="Times New Roman"/>
                <w:sz w:val="22"/>
              </w:rPr>
              <w:t>0</w:t>
            </w:r>
            <w:r w:rsidRPr="00735205">
              <w:rPr>
                <w:rFonts w:cs="Times New Roman"/>
                <w:sz w:val="22"/>
              </w:rPr>
              <w:t xml:space="preserve"> мг 2 раза в день</w:t>
            </w:r>
          </w:p>
          <w:p w14:paraId="65211985" w14:textId="34ADFD10" w:rsidR="00C1345A" w:rsidRPr="00735205" w:rsidRDefault="00C1345A" w:rsidP="00735205">
            <w:pPr>
              <w:ind w:firstLine="0"/>
              <w:contextualSpacing/>
              <w:rPr>
                <w:rFonts w:cs="Times New Roman"/>
                <w:sz w:val="22"/>
              </w:rPr>
            </w:pPr>
            <w:r w:rsidRPr="00735205">
              <w:rPr>
                <w:rFonts w:cs="Times New Roman"/>
                <w:sz w:val="22"/>
              </w:rPr>
              <w:t xml:space="preserve">Тофацитиниб </w:t>
            </w:r>
            <w:r w:rsidR="00BC7FF2" w:rsidRPr="00735205">
              <w:rPr>
                <w:rFonts w:cs="Times New Roman"/>
                <w:sz w:val="22"/>
              </w:rPr>
              <w:t>15</w:t>
            </w:r>
            <w:r w:rsidRPr="00735205">
              <w:rPr>
                <w:rFonts w:cs="Times New Roman"/>
                <w:sz w:val="22"/>
              </w:rPr>
              <w:t xml:space="preserve"> мг 1 раз в день</w:t>
            </w:r>
          </w:p>
          <w:p w14:paraId="11D215D9" w14:textId="79F6A7E3" w:rsidR="00BC7FF2" w:rsidRPr="00735205" w:rsidRDefault="00BC7FF2" w:rsidP="00735205">
            <w:pPr>
              <w:ind w:firstLine="0"/>
              <w:contextualSpacing/>
              <w:rPr>
                <w:rFonts w:cs="Times New Roman"/>
                <w:sz w:val="22"/>
              </w:rPr>
            </w:pPr>
            <w:r w:rsidRPr="00735205">
              <w:rPr>
                <w:rFonts w:cs="Times New Roman"/>
                <w:sz w:val="22"/>
              </w:rPr>
              <w:t xml:space="preserve">Адалимумаб 40 мг </w:t>
            </w:r>
            <w:r w:rsidR="00702875" w:rsidRPr="00735205">
              <w:rPr>
                <w:rFonts w:cs="Times New Roman"/>
                <w:sz w:val="22"/>
              </w:rPr>
              <w:t xml:space="preserve">каждую вторую неделю </w:t>
            </w:r>
            <w:r w:rsidRPr="00735205">
              <w:rPr>
                <w:rFonts w:cs="Times New Roman"/>
                <w:sz w:val="22"/>
              </w:rPr>
              <w:t>подкожно</w:t>
            </w:r>
            <w:r w:rsidR="00200F86" w:rsidRPr="00735205">
              <w:rPr>
                <w:rFonts w:cs="Times New Roman"/>
                <w:sz w:val="22"/>
              </w:rPr>
              <w:t xml:space="preserve"> в </w:t>
            </w:r>
            <w:r w:rsidR="00200F86" w:rsidRPr="00735205">
              <w:rPr>
                <w:rFonts w:cs="Times New Roman"/>
                <w:sz w:val="22"/>
              </w:rPr>
              <w:lastRenderedPageBreak/>
              <w:t>течение 10 недель</w:t>
            </w:r>
          </w:p>
          <w:p w14:paraId="5E919867" w14:textId="41DCDE6E" w:rsidR="00C1345A" w:rsidRPr="00735205" w:rsidRDefault="00C1345A" w:rsidP="00735205">
            <w:pPr>
              <w:ind w:firstLine="0"/>
              <w:contextualSpacing/>
              <w:rPr>
                <w:rFonts w:cs="Times New Roman"/>
                <w:sz w:val="22"/>
              </w:rPr>
            </w:pPr>
            <w:r w:rsidRPr="00735205">
              <w:rPr>
                <w:rFonts w:cs="Times New Roman"/>
                <w:sz w:val="22"/>
              </w:rPr>
              <w:t>Плацебо</w:t>
            </w:r>
          </w:p>
        </w:tc>
        <w:tc>
          <w:tcPr>
            <w:tcW w:w="1238" w:type="dxa"/>
          </w:tcPr>
          <w:p w14:paraId="514DF701" w14:textId="10A02E3E" w:rsidR="00C1345A" w:rsidRPr="00735205" w:rsidRDefault="00200F86" w:rsidP="00F13A65">
            <w:pPr>
              <w:ind w:firstLine="0"/>
              <w:contextualSpacing/>
              <w:jc w:val="center"/>
              <w:rPr>
                <w:rFonts w:cs="Times New Roman"/>
                <w:sz w:val="22"/>
              </w:rPr>
            </w:pPr>
            <w:r w:rsidRPr="00735205">
              <w:rPr>
                <w:rFonts w:cs="Times New Roman"/>
                <w:sz w:val="22"/>
              </w:rPr>
              <w:lastRenderedPageBreak/>
              <w:t>54</w:t>
            </w:r>
          </w:p>
          <w:p w14:paraId="4384538C" w14:textId="77777777" w:rsidR="00F13A65" w:rsidRDefault="00F13A65" w:rsidP="00F13A65">
            <w:pPr>
              <w:ind w:firstLine="0"/>
              <w:contextualSpacing/>
              <w:jc w:val="center"/>
              <w:rPr>
                <w:rFonts w:cs="Times New Roman"/>
                <w:sz w:val="22"/>
              </w:rPr>
            </w:pPr>
          </w:p>
          <w:p w14:paraId="3709C16C" w14:textId="48D58CB8" w:rsidR="00C1345A" w:rsidRPr="00735205" w:rsidRDefault="00200F86" w:rsidP="00F13A65">
            <w:pPr>
              <w:ind w:firstLine="0"/>
              <w:contextualSpacing/>
              <w:jc w:val="center"/>
              <w:rPr>
                <w:rFonts w:cs="Times New Roman"/>
                <w:sz w:val="22"/>
              </w:rPr>
            </w:pPr>
            <w:r w:rsidRPr="00735205">
              <w:rPr>
                <w:rFonts w:cs="Times New Roman"/>
                <w:sz w:val="22"/>
              </w:rPr>
              <w:t>52</w:t>
            </w:r>
          </w:p>
          <w:p w14:paraId="6413C725" w14:textId="77777777" w:rsidR="00F13A65" w:rsidRDefault="00F13A65" w:rsidP="00F13A65">
            <w:pPr>
              <w:ind w:firstLine="0"/>
              <w:contextualSpacing/>
              <w:jc w:val="center"/>
              <w:rPr>
                <w:rFonts w:cs="Times New Roman"/>
                <w:sz w:val="22"/>
              </w:rPr>
            </w:pPr>
          </w:p>
          <w:p w14:paraId="0C4E20D5" w14:textId="02A08B7C" w:rsidR="00C1345A" w:rsidRPr="00735205" w:rsidRDefault="00200F86" w:rsidP="00F13A65">
            <w:pPr>
              <w:ind w:firstLine="0"/>
              <w:contextualSpacing/>
              <w:jc w:val="center"/>
              <w:rPr>
                <w:rFonts w:cs="Times New Roman"/>
                <w:sz w:val="22"/>
              </w:rPr>
            </w:pPr>
            <w:r w:rsidRPr="00735205">
              <w:rPr>
                <w:rFonts w:cs="Times New Roman"/>
                <w:sz w:val="22"/>
              </w:rPr>
              <w:t>50</w:t>
            </w:r>
          </w:p>
          <w:p w14:paraId="661CD925" w14:textId="77777777" w:rsidR="00F13A65" w:rsidRDefault="00F13A65" w:rsidP="00F13A65">
            <w:pPr>
              <w:ind w:firstLine="0"/>
              <w:contextualSpacing/>
              <w:jc w:val="center"/>
              <w:rPr>
                <w:rFonts w:cs="Times New Roman"/>
                <w:sz w:val="22"/>
              </w:rPr>
            </w:pPr>
          </w:p>
          <w:p w14:paraId="2C4E41A1" w14:textId="6DA82192" w:rsidR="00C1345A" w:rsidRPr="00735205" w:rsidRDefault="00200F86" w:rsidP="00F13A65">
            <w:pPr>
              <w:ind w:firstLine="0"/>
              <w:contextualSpacing/>
              <w:jc w:val="center"/>
              <w:rPr>
                <w:rFonts w:cs="Times New Roman"/>
                <w:sz w:val="22"/>
              </w:rPr>
            </w:pPr>
            <w:r w:rsidRPr="00735205">
              <w:rPr>
                <w:rFonts w:cs="Times New Roman"/>
                <w:sz w:val="22"/>
              </w:rPr>
              <w:t>61</w:t>
            </w:r>
          </w:p>
          <w:p w14:paraId="3DE5CDD4" w14:textId="77777777" w:rsidR="00F13A65" w:rsidRDefault="00F13A65" w:rsidP="00F13A65">
            <w:pPr>
              <w:ind w:firstLine="0"/>
              <w:contextualSpacing/>
              <w:jc w:val="center"/>
              <w:rPr>
                <w:rFonts w:cs="Times New Roman"/>
                <w:sz w:val="22"/>
              </w:rPr>
            </w:pPr>
          </w:p>
          <w:p w14:paraId="51388472" w14:textId="5AA3183D" w:rsidR="00C1345A" w:rsidRPr="00735205" w:rsidRDefault="00200F86" w:rsidP="00F13A65">
            <w:pPr>
              <w:ind w:firstLine="0"/>
              <w:contextualSpacing/>
              <w:jc w:val="center"/>
              <w:rPr>
                <w:rFonts w:cs="Times New Roman"/>
                <w:sz w:val="22"/>
              </w:rPr>
            </w:pPr>
            <w:r w:rsidRPr="00735205">
              <w:rPr>
                <w:rFonts w:cs="Times New Roman"/>
                <w:sz w:val="22"/>
              </w:rPr>
              <w:t>57</w:t>
            </w:r>
          </w:p>
          <w:p w14:paraId="606DD9B6" w14:textId="77777777" w:rsidR="00F13A65" w:rsidRDefault="00F13A65" w:rsidP="00F13A65">
            <w:pPr>
              <w:ind w:firstLine="0"/>
              <w:contextualSpacing/>
              <w:jc w:val="center"/>
              <w:rPr>
                <w:rFonts w:cs="Times New Roman"/>
                <w:sz w:val="22"/>
              </w:rPr>
            </w:pPr>
          </w:p>
          <w:p w14:paraId="3241C66E" w14:textId="77777777" w:rsidR="00F13A65" w:rsidRDefault="00F13A65" w:rsidP="00F13A65">
            <w:pPr>
              <w:ind w:firstLine="0"/>
              <w:contextualSpacing/>
              <w:jc w:val="center"/>
              <w:rPr>
                <w:rFonts w:cs="Times New Roman"/>
                <w:sz w:val="22"/>
              </w:rPr>
            </w:pPr>
          </w:p>
          <w:p w14:paraId="003DE3C8" w14:textId="4FF2D77D" w:rsidR="00C1345A" w:rsidRPr="00735205" w:rsidRDefault="009A2D2C" w:rsidP="00F13A65">
            <w:pPr>
              <w:ind w:firstLine="0"/>
              <w:contextualSpacing/>
              <w:jc w:val="center"/>
              <w:rPr>
                <w:rFonts w:cs="Times New Roman"/>
                <w:sz w:val="22"/>
              </w:rPr>
            </w:pPr>
            <w:r w:rsidRPr="00735205">
              <w:rPr>
                <w:rFonts w:cs="Times New Roman"/>
                <w:sz w:val="22"/>
              </w:rPr>
              <w:t>53</w:t>
            </w:r>
          </w:p>
          <w:p w14:paraId="63006E46" w14:textId="77777777" w:rsidR="00F13A65" w:rsidRDefault="00F13A65" w:rsidP="00F13A65">
            <w:pPr>
              <w:ind w:firstLine="0"/>
              <w:contextualSpacing/>
              <w:jc w:val="center"/>
              <w:rPr>
                <w:rFonts w:cs="Times New Roman"/>
                <w:sz w:val="22"/>
              </w:rPr>
            </w:pPr>
          </w:p>
          <w:p w14:paraId="66AAF5C2" w14:textId="77777777" w:rsidR="00F13A65" w:rsidRDefault="00F13A65" w:rsidP="00F13A65">
            <w:pPr>
              <w:ind w:firstLine="0"/>
              <w:contextualSpacing/>
              <w:jc w:val="center"/>
              <w:rPr>
                <w:rFonts w:cs="Times New Roman"/>
                <w:sz w:val="22"/>
              </w:rPr>
            </w:pPr>
          </w:p>
          <w:p w14:paraId="129084A2" w14:textId="5B910CF5" w:rsidR="00C1345A" w:rsidRPr="00735205" w:rsidRDefault="009A2D2C" w:rsidP="00F13A65">
            <w:pPr>
              <w:ind w:firstLine="0"/>
              <w:contextualSpacing/>
              <w:jc w:val="center"/>
              <w:rPr>
                <w:rFonts w:cs="Times New Roman"/>
                <w:sz w:val="22"/>
              </w:rPr>
            </w:pPr>
            <w:r w:rsidRPr="00735205">
              <w:rPr>
                <w:rFonts w:cs="Times New Roman"/>
                <w:sz w:val="22"/>
              </w:rPr>
              <w:t>59</w:t>
            </w:r>
          </w:p>
        </w:tc>
      </w:tr>
      <w:tr w:rsidR="004F4294" w14:paraId="46E50EA4" w14:textId="77777777" w:rsidTr="00F13A65">
        <w:tc>
          <w:tcPr>
            <w:tcW w:w="3218" w:type="dxa"/>
          </w:tcPr>
          <w:p w14:paraId="08422C7E" w14:textId="3BC34839" w:rsidR="004F4294" w:rsidRPr="00735205" w:rsidRDefault="004F4294" w:rsidP="00735205">
            <w:pPr>
              <w:ind w:firstLine="0"/>
              <w:contextualSpacing/>
              <w:rPr>
                <w:rFonts w:cs="Times New Roman"/>
                <w:sz w:val="22"/>
              </w:rPr>
            </w:pPr>
            <w:r w:rsidRPr="00735205">
              <w:rPr>
                <w:rFonts w:cs="Times New Roman"/>
                <w:sz w:val="22"/>
                <w:lang w:val="en-US"/>
              </w:rPr>
              <w:lastRenderedPageBreak/>
              <w:t>A</w:t>
            </w:r>
            <w:r w:rsidRPr="00735205">
              <w:rPr>
                <w:rFonts w:cs="Times New Roman"/>
                <w:sz w:val="22"/>
              </w:rPr>
              <w:t>3921039</w:t>
            </w:r>
          </w:p>
          <w:p w14:paraId="6DB1937F" w14:textId="6F663424" w:rsidR="004F4294" w:rsidRPr="00735205" w:rsidRDefault="004F4294" w:rsidP="00735205">
            <w:pPr>
              <w:ind w:firstLine="0"/>
              <w:contextualSpacing/>
              <w:rPr>
                <w:rFonts w:cs="Times New Roman"/>
                <w:sz w:val="22"/>
              </w:rPr>
            </w:pPr>
            <w:r w:rsidRPr="00735205">
              <w:rPr>
                <w:rFonts w:cs="Times New Roman"/>
                <w:sz w:val="22"/>
              </w:rPr>
              <w:t>3 мес.</w:t>
            </w:r>
          </w:p>
          <w:p w14:paraId="02B83EE3" w14:textId="77777777" w:rsidR="003263C6" w:rsidRPr="00735205" w:rsidRDefault="003263C6" w:rsidP="00735205">
            <w:pPr>
              <w:ind w:firstLine="0"/>
              <w:contextualSpacing/>
              <w:rPr>
                <w:rFonts w:cs="Times New Roman"/>
                <w:sz w:val="22"/>
              </w:rPr>
            </w:pPr>
            <w:r w:rsidRPr="00735205">
              <w:rPr>
                <w:rFonts w:cs="Times New Roman"/>
                <w:sz w:val="22"/>
              </w:rPr>
              <w:t>Базовая терапия метотрексатом</w:t>
            </w:r>
          </w:p>
          <w:p w14:paraId="355660C6" w14:textId="306C0530" w:rsidR="004F4294" w:rsidRPr="00735205" w:rsidRDefault="004F4294" w:rsidP="00735205">
            <w:pPr>
              <w:ind w:firstLine="0"/>
              <w:contextualSpacing/>
              <w:rPr>
                <w:rFonts w:cs="Times New Roman"/>
                <w:sz w:val="22"/>
              </w:rPr>
            </w:pPr>
            <w:r w:rsidRPr="00735205">
              <w:rPr>
                <w:rFonts w:cs="Times New Roman"/>
                <w:sz w:val="22"/>
              </w:rPr>
              <w:t xml:space="preserve">Недостаточный ответ на терапию </w:t>
            </w:r>
            <w:r w:rsidR="003263C6" w:rsidRPr="00735205">
              <w:rPr>
                <w:rFonts w:cs="Times New Roman"/>
                <w:sz w:val="22"/>
              </w:rPr>
              <w:t>метотрексатом</w:t>
            </w:r>
          </w:p>
        </w:tc>
        <w:tc>
          <w:tcPr>
            <w:tcW w:w="2613" w:type="dxa"/>
          </w:tcPr>
          <w:p w14:paraId="4DCB6B03" w14:textId="542603B4" w:rsidR="004F4294" w:rsidRPr="00735205" w:rsidRDefault="00A979EA" w:rsidP="00735205">
            <w:pPr>
              <w:ind w:firstLine="0"/>
              <w:contextualSpacing/>
              <w:rPr>
                <w:rFonts w:cs="Times New Roman"/>
                <w:sz w:val="22"/>
              </w:rPr>
            </w:pPr>
            <w:r w:rsidRPr="00735205">
              <w:rPr>
                <w:rFonts w:cs="Times New Roman"/>
                <w:sz w:val="22"/>
              </w:rPr>
              <w:t>Терапия не изменялась</w:t>
            </w:r>
          </w:p>
        </w:tc>
        <w:tc>
          <w:tcPr>
            <w:tcW w:w="2287" w:type="dxa"/>
          </w:tcPr>
          <w:p w14:paraId="46E64473" w14:textId="77777777" w:rsidR="004F4294" w:rsidRPr="00735205" w:rsidRDefault="004F4294" w:rsidP="00735205">
            <w:pPr>
              <w:ind w:firstLine="0"/>
              <w:contextualSpacing/>
              <w:rPr>
                <w:rFonts w:cs="Times New Roman"/>
                <w:sz w:val="22"/>
              </w:rPr>
            </w:pPr>
            <w:r w:rsidRPr="00735205">
              <w:rPr>
                <w:rFonts w:cs="Times New Roman"/>
                <w:sz w:val="22"/>
              </w:rPr>
              <w:t>Тофацитиниб 1 мг 2 раза в день</w:t>
            </w:r>
          </w:p>
          <w:p w14:paraId="0ADCBC22" w14:textId="77777777" w:rsidR="004F4294" w:rsidRPr="00735205" w:rsidRDefault="004F4294" w:rsidP="00735205">
            <w:pPr>
              <w:ind w:firstLine="0"/>
              <w:contextualSpacing/>
              <w:rPr>
                <w:rFonts w:cs="Times New Roman"/>
                <w:sz w:val="22"/>
              </w:rPr>
            </w:pPr>
            <w:r w:rsidRPr="00735205">
              <w:rPr>
                <w:rFonts w:cs="Times New Roman"/>
                <w:sz w:val="22"/>
              </w:rPr>
              <w:t>Тофацитиниб 3 мг 2 раза в день</w:t>
            </w:r>
          </w:p>
          <w:p w14:paraId="512A1B59" w14:textId="77777777" w:rsidR="004F4294" w:rsidRPr="00735205" w:rsidRDefault="004F4294" w:rsidP="00735205">
            <w:pPr>
              <w:ind w:firstLine="0"/>
              <w:contextualSpacing/>
              <w:rPr>
                <w:rFonts w:cs="Times New Roman"/>
                <w:sz w:val="22"/>
              </w:rPr>
            </w:pPr>
            <w:r w:rsidRPr="00735205">
              <w:rPr>
                <w:rFonts w:cs="Times New Roman"/>
                <w:sz w:val="22"/>
              </w:rPr>
              <w:t>Тофацитиниб 5 мг 2 раза в день</w:t>
            </w:r>
          </w:p>
          <w:p w14:paraId="57680B9C" w14:textId="77777777" w:rsidR="004F4294" w:rsidRPr="00735205" w:rsidRDefault="004F4294" w:rsidP="00735205">
            <w:pPr>
              <w:ind w:firstLine="0"/>
              <w:contextualSpacing/>
              <w:rPr>
                <w:rFonts w:cs="Times New Roman"/>
                <w:sz w:val="22"/>
              </w:rPr>
            </w:pPr>
            <w:r w:rsidRPr="00735205">
              <w:rPr>
                <w:rFonts w:cs="Times New Roman"/>
                <w:sz w:val="22"/>
              </w:rPr>
              <w:t>Тофацитиниб 10 мг 2 раза в день</w:t>
            </w:r>
          </w:p>
          <w:p w14:paraId="0FD53F30" w14:textId="4F4F991E" w:rsidR="004F4294" w:rsidRPr="00735205" w:rsidRDefault="004F4294" w:rsidP="00735205">
            <w:pPr>
              <w:ind w:firstLine="0"/>
              <w:contextualSpacing/>
              <w:rPr>
                <w:rFonts w:cs="Times New Roman"/>
                <w:sz w:val="22"/>
              </w:rPr>
            </w:pPr>
            <w:r w:rsidRPr="00735205">
              <w:rPr>
                <w:rFonts w:cs="Times New Roman"/>
                <w:sz w:val="22"/>
              </w:rPr>
              <w:t>Плацебо</w:t>
            </w:r>
          </w:p>
        </w:tc>
        <w:tc>
          <w:tcPr>
            <w:tcW w:w="1238" w:type="dxa"/>
          </w:tcPr>
          <w:p w14:paraId="3BB1FD06" w14:textId="73198A4D" w:rsidR="004F4294" w:rsidRPr="00735205" w:rsidRDefault="00376604" w:rsidP="00F13A65">
            <w:pPr>
              <w:ind w:firstLine="0"/>
              <w:contextualSpacing/>
              <w:jc w:val="center"/>
              <w:rPr>
                <w:rFonts w:cs="Times New Roman"/>
                <w:sz w:val="22"/>
              </w:rPr>
            </w:pPr>
            <w:r w:rsidRPr="00735205">
              <w:rPr>
                <w:rFonts w:cs="Times New Roman"/>
                <w:sz w:val="22"/>
              </w:rPr>
              <w:t>28</w:t>
            </w:r>
          </w:p>
          <w:p w14:paraId="31001A61" w14:textId="77777777" w:rsidR="00F13A65" w:rsidRDefault="00F13A65" w:rsidP="00F13A65">
            <w:pPr>
              <w:ind w:firstLine="0"/>
              <w:contextualSpacing/>
              <w:jc w:val="center"/>
              <w:rPr>
                <w:rFonts w:cs="Times New Roman"/>
                <w:sz w:val="22"/>
              </w:rPr>
            </w:pPr>
          </w:p>
          <w:p w14:paraId="3644A2F3" w14:textId="28FA9A59" w:rsidR="004F4294" w:rsidRPr="00735205" w:rsidRDefault="00376604" w:rsidP="00F13A65">
            <w:pPr>
              <w:ind w:firstLine="0"/>
              <w:contextualSpacing/>
              <w:jc w:val="center"/>
              <w:rPr>
                <w:rFonts w:cs="Times New Roman"/>
                <w:sz w:val="22"/>
              </w:rPr>
            </w:pPr>
            <w:r w:rsidRPr="00735205">
              <w:rPr>
                <w:rFonts w:cs="Times New Roman"/>
                <w:sz w:val="22"/>
              </w:rPr>
              <w:t>28</w:t>
            </w:r>
          </w:p>
          <w:p w14:paraId="2DCAFA1F" w14:textId="77777777" w:rsidR="00F13A65" w:rsidRDefault="00F13A65" w:rsidP="00F13A65">
            <w:pPr>
              <w:ind w:firstLine="0"/>
              <w:contextualSpacing/>
              <w:jc w:val="center"/>
              <w:rPr>
                <w:rFonts w:cs="Times New Roman"/>
                <w:sz w:val="22"/>
              </w:rPr>
            </w:pPr>
          </w:p>
          <w:p w14:paraId="7843A5F5" w14:textId="16C20F20" w:rsidR="00376604" w:rsidRPr="00735205" w:rsidRDefault="00376604" w:rsidP="00F13A65">
            <w:pPr>
              <w:ind w:firstLine="0"/>
              <w:contextualSpacing/>
              <w:jc w:val="center"/>
              <w:rPr>
                <w:rFonts w:cs="Times New Roman"/>
                <w:sz w:val="22"/>
              </w:rPr>
            </w:pPr>
            <w:r w:rsidRPr="00735205">
              <w:rPr>
                <w:rFonts w:cs="Times New Roman"/>
                <w:sz w:val="22"/>
              </w:rPr>
              <w:t>28</w:t>
            </w:r>
          </w:p>
          <w:p w14:paraId="4894456B" w14:textId="77777777" w:rsidR="00F13A65" w:rsidRDefault="00F13A65" w:rsidP="00F13A65">
            <w:pPr>
              <w:ind w:firstLine="0"/>
              <w:contextualSpacing/>
              <w:jc w:val="center"/>
              <w:rPr>
                <w:rFonts w:cs="Times New Roman"/>
                <w:sz w:val="22"/>
              </w:rPr>
            </w:pPr>
          </w:p>
          <w:p w14:paraId="2D751B36" w14:textId="618F1137" w:rsidR="00376604" w:rsidRPr="00735205" w:rsidRDefault="00376604" w:rsidP="00F13A65">
            <w:pPr>
              <w:ind w:firstLine="0"/>
              <w:contextualSpacing/>
              <w:jc w:val="center"/>
              <w:rPr>
                <w:rFonts w:cs="Times New Roman"/>
                <w:sz w:val="22"/>
              </w:rPr>
            </w:pPr>
            <w:r w:rsidRPr="00735205">
              <w:rPr>
                <w:rFonts w:cs="Times New Roman"/>
                <w:sz w:val="22"/>
              </w:rPr>
              <w:t>28</w:t>
            </w:r>
          </w:p>
          <w:p w14:paraId="0480EF9A" w14:textId="77777777" w:rsidR="00F13A65" w:rsidRDefault="00F13A65" w:rsidP="00F13A65">
            <w:pPr>
              <w:ind w:firstLine="0"/>
              <w:contextualSpacing/>
              <w:rPr>
                <w:rFonts w:cs="Times New Roman"/>
                <w:sz w:val="22"/>
              </w:rPr>
            </w:pPr>
          </w:p>
          <w:p w14:paraId="02E5D9E6" w14:textId="6F2B6611" w:rsidR="004F4294" w:rsidRPr="00735205" w:rsidRDefault="00376604" w:rsidP="00F13A65">
            <w:pPr>
              <w:ind w:firstLine="0"/>
              <w:contextualSpacing/>
              <w:jc w:val="center"/>
              <w:rPr>
                <w:rFonts w:cs="Times New Roman"/>
                <w:sz w:val="22"/>
              </w:rPr>
            </w:pPr>
            <w:r w:rsidRPr="00735205">
              <w:rPr>
                <w:rFonts w:cs="Times New Roman"/>
                <w:sz w:val="22"/>
              </w:rPr>
              <w:t>28</w:t>
            </w:r>
          </w:p>
        </w:tc>
      </w:tr>
      <w:tr w:rsidR="009B7C32" w14:paraId="533C016A" w14:textId="77777777" w:rsidTr="00F13A65">
        <w:tc>
          <w:tcPr>
            <w:tcW w:w="3218" w:type="dxa"/>
          </w:tcPr>
          <w:p w14:paraId="4E5BCBBA" w14:textId="6BD0A492" w:rsidR="009B7C32" w:rsidRPr="00735205" w:rsidRDefault="009B7C32" w:rsidP="00735205">
            <w:pPr>
              <w:ind w:firstLine="0"/>
              <w:contextualSpacing/>
              <w:rPr>
                <w:rFonts w:cs="Times New Roman"/>
                <w:sz w:val="22"/>
              </w:rPr>
            </w:pPr>
            <w:r w:rsidRPr="00735205">
              <w:rPr>
                <w:rFonts w:cs="Times New Roman"/>
                <w:sz w:val="22"/>
                <w:lang w:val="en-US"/>
              </w:rPr>
              <w:t>A</w:t>
            </w:r>
            <w:r w:rsidRPr="00735205">
              <w:rPr>
                <w:rFonts w:cs="Times New Roman"/>
                <w:sz w:val="22"/>
              </w:rPr>
              <w:t>3921040</w:t>
            </w:r>
          </w:p>
          <w:p w14:paraId="32A36C7F" w14:textId="77777777" w:rsidR="009B7C32" w:rsidRPr="00735205" w:rsidRDefault="009B7C32" w:rsidP="00735205">
            <w:pPr>
              <w:ind w:firstLine="0"/>
              <w:contextualSpacing/>
              <w:rPr>
                <w:rFonts w:cs="Times New Roman"/>
                <w:sz w:val="22"/>
              </w:rPr>
            </w:pPr>
            <w:r w:rsidRPr="00735205">
              <w:rPr>
                <w:rFonts w:cs="Times New Roman"/>
                <w:sz w:val="22"/>
              </w:rPr>
              <w:t>3 мес.</w:t>
            </w:r>
          </w:p>
          <w:p w14:paraId="718DDCF8" w14:textId="77777777" w:rsidR="009B7C32" w:rsidRPr="00735205" w:rsidRDefault="009B7C32" w:rsidP="00735205">
            <w:pPr>
              <w:ind w:firstLine="0"/>
              <w:contextualSpacing/>
              <w:rPr>
                <w:rFonts w:cs="Times New Roman"/>
                <w:sz w:val="22"/>
              </w:rPr>
            </w:pPr>
            <w:r w:rsidRPr="00735205">
              <w:rPr>
                <w:rFonts w:cs="Times New Roman"/>
                <w:sz w:val="22"/>
              </w:rPr>
              <w:t>Отсутствовала (монотерапия тофацитинибом)</w:t>
            </w:r>
          </w:p>
          <w:p w14:paraId="5C6F8B5C" w14:textId="1E4B577B" w:rsidR="009B7C32" w:rsidRPr="00735205" w:rsidRDefault="009B7C32" w:rsidP="00735205">
            <w:pPr>
              <w:ind w:firstLine="0"/>
              <w:contextualSpacing/>
              <w:rPr>
                <w:rFonts w:cs="Times New Roman"/>
                <w:sz w:val="22"/>
              </w:rPr>
            </w:pPr>
            <w:r w:rsidRPr="00735205">
              <w:rPr>
                <w:rFonts w:cs="Times New Roman"/>
                <w:sz w:val="22"/>
              </w:rPr>
              <w:t xml:space="preserve">Недостаточный ответ на терапию </w:t>
            </w:r>
            <w:r w:rsidR="00766798" w:rsidRPr="00735205">
              <w:rPr>
                <w:rFonts w:cs="Times New Roman"/>
                <w:sz w:val="22"/>
              </w:rPr>
              <w:t>БМАРП</w:t>
            </w:r>
          </w:p>
        </w:tc>
        <w:tc>
          <w:tcPr>
            <w:tcW w:w="2613" w:type="dxa"/>
          </w:tcPr>
          <w:p w14:paraId="3E423AD6" w14:textId="2795CD6A" w:rsidR="009B7C32" w:rsidRPr="00735205" w:rsidRDefault="009B7C32" w:rsidP="00735205">
            <w:pPr>
              <w:ind w:firstLine="0"/>
              <w:contextualSpacing/>
              <w:rPr>
                <w:rFonts w:cs="Times New Roman"/>
                <w:sz w:val="22"/>
              </w:rPr>
            </w:pPr>
            <w:r w:rsidRPr="00735205">
              <w:rPr>
                <w:rFonts w:cs="Times New Roman"/>
                <w:sz w:val="22"/>
              </w:rPr>
              <w:t>Терапия не изменялась</w:t>
            </w:r>
          </w:p>
        </w:tc>
        <w:tc>
          <w:tcPr>
            <w:tcW w:w="2287" w:type="dxa"/>
          </w:tcPr>
          <w:p w14:paraId="38F617C0" w14:textId="77777777" w:rsidR="009B7C32" w:rsidRPr="00735205" w:rsidRDefault="009B7C32" w:rsidP="00735205">
            <w:pPr>
              <w:ind w:firstLine="0"/>
              <w:contextualSpacing/>
              <w:rPr>
                <w:rFonts w:cs="Times New Roman"/>
                <w:sz w:val="22"/>
              </w:rPr>
            </w:pPr>
            <w:r w:rsidRPr="00735205">
              <w:rPr>
                <w:rFonts w:cs="Times New Roman"/>
                <w:sz w:val="22"/>
              </w:rPr>
              <w:t>Тофацитиниб 1 мг 2 раза в день</w:t>
            </w:r>
          </w:p>
          <w:p w14:paraId="53F9FC16" w14:textId="77777777" w:rsidR="009B7C32" w:rsidRPr="00735205" w:rsidRDefault="009B7C32" w:rsidP="00735205">
            <w:pPr>
              <w:ind w:firstLine="0"/>
              <w:contextualSpacing/>
              <w:rPr>
                <w:rFonts w:cs="Times New Roman"/>
                <w:sz w:val="22"/>
              </w:rPr>
            </w:pPr>
            <w:r w:rsidRPr="00735205">
              <w:rPr>
                <w:rFonts w:cs="Times New Roman"/>
                <w:sz w:val="22"/>
              </w:rPr>
              <w:t>Тофацитиниб 3 мг 2 раза в день</w:t>
            </w:r>
          </w:p>
          <w:p w14:paraId="3848C1F1" w14:textId="77777777" w:rsidR="009B7C32" w:rsidRPr="00735205" w:rsidRDefault="009B7C32" w:rsidP="00735205">
            <w:pPr>
              <w:ind w:firstLine="0"/>
              <w:contextualSpacing/>
              <w:rPr>
                <w:rFonts w:cs="Times New Roman"/>
                <w:sz w:val="22"/>
              </w:rPr>
            </w:pPr>
            <w:r w:rsidRPr="00735205">
              <w:rPr>
                <w:rFonts w:cs="Times New Roman"/>
                <w:sz w:val="22"/>
              </w:rPr>
              <w:t>Тофацитиниб 5 мг 2 раза в день</w:t>
            </w:r>
          </w:p>
          <w:p w14:paraId="5A450E3F" w14:textId="12B3704F" w:rsidR="009B7C32" w:rsidRPr="00735205" w:rsidRDefault="009B7C32" w:rsidP="00735205">
            <w:pPr>
              <w:ind w:firstLine="0"/>
              <w:contextualSpacing/>
              <w:rPr>
                <w:rFonts w:cs="Times New Roman"/>
                <w:sz w:val="22"/>
              </w:rPr>
            </w:pPr>
            <w:r w:rsidRPr="00735205">
              <w:rPr>
                <w:rFonts w:cs="Times New Roman"/>
                <w:sz w:val="22"/>
              </w:rPr>
              <w:t>Тофацитиниб 10 мг 2 раза в день</w:t>
            </w:r>
          </w:p>
          <w:p w14:paraId="08E834C9" w14:textId="15C4DC23" w:rsidR="00766798" w:rsidRPr="00735205" w:rsidRDefault="00766798" w:rsidP="00735205">
            <w:pPr>
              <w:ind w:firstLine="0"/>
              <w:contextualSpacing/>
              <w:rPr>
                <w:rFonts w:cs="Times New Roman"/>
                <w:sz w:val="22"/>
              </w:rPr>
            </w:pPr>
            <w:r w:rsidRPr="00735205">
              <w:rPr>
                <w:rFonts w:cs="Times New Roman"/>
                <w:sz w:val="22"/>
              </w:rPr>
              <w:t>Тофацитиниб 15 мг 2 раза в день</w:t>
            </w:r>
          </w:p>
          <w:p w14:paraId="0DD80B99" w14:textId="26405C9B" w:rsidR="009B7C32" w:rsidRPr="00735205" w:rsidRDefault="009B7C32" w:rsidP="00735205">
            <w:pPr>
              <w:ind w:firstLine="0"/>
              <w:contextualSpacing/>
              <w:rPr>
                <w:rFonts w:cs="Times New Roman"/>
                <w:sz w:val="22"/>
              </w:rPr>
            </w:pPr>
            <w:r w:rsidRPr="00735205">
              <w:rPr>
                <w:rFonts w:cs="Times New Roman"/>
                <w:sz w:val="22"/>
              </w:rPr>
              <w:t>Плацебо</w:t>
            </w:r>
          </w:p>
        </w:tc>
        <w:tc>
          <w:tcPr>
            <w:tcW w:w="1238" w:type="dxa"/>
          </w:tcPr>
          <w:p w14:paraId="0E2D785C" w14:textId="05D2C91C" w:rsidR="009B7C32" w:rsidRPr="00735205" w:rsidRDefault="00E844EE" w:rsidP="00F13A65">
            <w:pPr>
              <w:ind w:firstLine="0"/>
              <w:contextualSpacing/>
              <w:jc w:val="center"/>
              <w:rPr>
                <w:rFonts w:cs="Times New Roman"/>
                <w:sz w:val="22"/>
              </w:rPr>
            </w:pPr>
            <w:r w:rsidRPr="00735205">
              <w:rPr>
                <w:rFonts w:cs="Times New Roman"/>
                <w:sz w:val="22"/>
              </w:rPr>
              <w:t>53</w:t>
            </w:r>
          </w:p>
          <w:p w14:paraId="37B461EA" w14:textId="77777777" w:rsidR="00F13A65" w:rsidRDefault="00F13A65" w:rsidP="00F13A65">
            <w:pPr>
              <w:ind w:firstLine="0"/>
              <w:contextualSpacing/>
              <w:jc w:val="center"/>
              <w:rPr>
                <w:rFonts w:cs="Times New Roman"/>
                <w:sz w:val="22"/>
              </w:rPr>
            </w:pPr>
          </w:p>
          <w:p w14:paraId="016F10EE" w14:textId="120728C9" w:rsidR="009B7C32" w:rsidRPr="00735205" w:rsidRDefault="00E844EE" w:rsidP="00F13A65">
            <w:pPr>
              <w:ind w:firstLine="0"/>
              <w:contextualSpacing/>
              <w:jc w:val="center"/>
              <w:rPr>
                <w:rFonts w:cs="Times New Roman"/>
                <w:sz w:val="22"/>
              </w:rPr>
            </w:pPr>
            <w:r w:rsidRPr="00735205">
              <w:rPr>
                <w:rFonts w:cs="Times New Roman"/>
                <w:sz w:val="22"/>
              </w:rPr>
              <w:t>53</w:t>
            </w:r>
          </w:p>
          <w:p w14:paraId="703EDC81" w14:textId="77777777" w:rsidR="00F13A65" w:rsidRDefault="00F13A65" w:rsidP="00F13A65">
            <w:pPr>
              <w:ind w:firstLine="0"/>
              <w:contextualSpacing/>
              <w:jc w:val="center"/>
              <w:rPr>
                <w:rFonts w:cs="Times New Roman"/>
                <w:sz w:val="22"/>
              </w:rPr>
            </w:pPr>
          </w:p>
          <w:p w14:paraId="1CE93415" w14:textId="5311E303" w:rsidR="009B7C32" w:rsidRPr="00735205" w:rsidRDefault="00E844EE" w:rsidP="00F13A65">
            <w:pPr>
              <w:ind w:firstLine="0"/>
              <w:contextualSpacing/>
              <w:jc w:val="center"/>
              <w:rPr>
                <w:rFonts w:cs="Times New Roman"/>
                <w:sz w:val="22"/>
              </w:rPr>
            </w:pPr>
            <w:r w:rsidRPr="00735205">
              <w:rPr>
                <w:rFonts w:cs="Times New Roman"/>
                <w:sz w:val="22"/>
              </w:rPr>
              <w:t>52</w:t>
            </w:r>
          </w:p>
          <w:p w14:paraId="2D11EEED" w14:textId="77777777" w:rsidR="00F13A65" w:rsidRDefault="00F13A65" w:rsidP="00F13A65">
            <w:pPr>
              <w:ind w:firstLine="0"/>
              <w:contextualSpacing/>
              <w:jc w:val="center"/>
              <w:rPr>
                <w:rFonts w:cs="Times New Roman"/>
                <w:sz w:val="22"/>
              </w:rPr>
            </w:pPr>
          </w:p>
          <w:p w14:paraId="397FD742" w14:textId="632F6A67" w:rsidR="009B7C32" w:rsidRPr="00735205" w:rsidRDefault="00E844EE" w:rsidP="00F13A65">
            <w:pPr>
              <w:ind w:firstLine="0"/>
              <w:contextualSpacing/>
              <w:jc w:val="center"/>
              <w:rPr>
                <w:rFonts w:cs="Times New Roman"/>
                <w:sz w:val="22"/>
              </w:rPr>
            </w:pPr>
            <w:r w:rsidRPr="00735205">
              <w:rPr>
                <w:rFonts w:cs="Times New Roman"/>
                <w:sz w:val="22"/>
              </w:rPr>
              <w:t>53</w:t>
            </w:r>
          </w:p>
          <w:p w14:paraId="1F1D7ABA" w14:textId="77777777" w:rsidR="00F13A65" w:rsidRDefault="00F13A65" w:rsidP="00F13A65">
            <w:pPr>
              <w:ind w:firstLine="0"/>
              <w:contextualSpacing/>
              <w:jc w:val="center"/>
              <w:rPr>
                <w:rFonts w:cs="Times New Roman"/>
                <w:sz w:val="22"/>
              </w:rPr>
            </w:pPr>
          </w:p>
          <w:p w14:paraId="7871C4D8" w14:textId="6F22A4E9" w:rsidR="009B7C32" w:rsidRPr="00735205" w:rsidRDefault="00E844EE" w:rsidP="00F13A65">
            <w:pPr>
              <w:ind w:firstLine="0"/>
              <w:contextualSpacing/>
              <w:jc w:val="center"/>
              <w:rPr>
                <w:rFonts w:cs="Times New Roman"/>
                <w:sz w:val="22"/>
              </w:rPr>
            </w:pPr>
            <w:r w:rsidRPr="00735205">
              <w:rPr>
                <w:rFonts w:cs="Times New Roman"/>
                <w:sz w:val="22"/>
              </w:rPr>
              <w:t>54</w:t>
            </w:r>
          </w:p>
          <w:p w14:paraId="5FBC9CBB" w14:textId="77777777" w:rsidR="00F13A65" w:rsidRDefault="00F13A65" w:rsidP="00F13A65">
            <w:pPr>
              <w:ind w:firstLine="0"/>
              <w:contextualSpacing/>
              <w:jc w:val="center"/>
              <w:rPr>
                <w:rFonts w:cs="Times New Roman"/>
                <w:sz w:val="22"/>
              </w:rPr>
            </w:pPr>
          </w:p>
          <w:p w14:paraId="3441969E" w14:textId="469BBD5E" w:rsidR="009B7C32" w:rsidRPr="00735205" w:rsidRDefault="00E844EE" w:rsidP="00F13A65">
            <w:pPr>
              <w:ind w:firstLine="0"/>
              <w:contextualSpacing/>
              <w:jc w:val="center"/>
              <w:rPr>
                <w:rFonts w:cs="Times New Roman"/>
                <w:sz w:val="22"/>
              </w:rPr>
            </w:pPr>
            <w:r w:rsidRPr="00735205">
              <w:rPr>
                <w:rFonts w:cs="Times New Roman"/>
                <w:sz w:val="22"/>
              </w:rPr>
              <w:t>53</w:t>
            </w:r>
          </w:p>
        </w:tc>
      </w:tr>
      <w:tr w:rsidR="00ED7DC1" w14:paraId="1FDC4640" w14:textId="77777777" w:rsidTr="00F13A65">
        <w:tc>
          <w:tcPr>
            <w:tcW w:w="3218" w:type="dxa"/>
          </w:tcPr>
          <w:p w14:paraId="04C954BE" w14:textId="1DE2862C" w:rsidR="00ED7DC1" w:rsidRPr="00735205" w:rsidRDefault="00ED7DC1" w:rsidP="00735205">
            <w:pPr>
              <w:ind w:firstLine="0"/>
              <w:contextualSpacing/>
              <w:rPr>
                <w:rFonts w:cs="Times New Roman"/>
                <w:sz w:val="22"/>
              </w:rPr>
            </w:pPr>
            <w:r w:rsidRPr="00735205">
              <w:rPr>
                <w:rFonts w:cs="Times New Roman"/>
                <w:sz w:val="22"/>
                <w:lang w:val="en-US"/>
              </w:rPr>
              <w:t>A</w:t>
            </w:r>
            <w:r w:rsidRPr="00735205">
              <w:rPr>
                <w:rFonts w:cs="Times New Roman"/>
                <w:sz w:val="22"/>
              </w:rPr>
              <w:t>39210</w:t>
            </w:r>
            <w:r w:rsidR="0070694F" w:rsidRPr="00735205">
              <w:rPr>
                <w:rFonts w:cs="Times New Roman"/>
                <w:sz w:val="22"/>
              </w:rPr>
              <w:t>68</w:t>
            </w:r>
          </w:p>
          <w:p w14:paraId="3AC4AB1B" w14:textId="130D5095" w:rsidR="00ED7DC1" w:rsidRPr="00735205" w:rsidRDefault="00ED7DC1" w:rsidP="00735205">
            <w:pPr>
              <w:ind w:firstLine="0"/>
              <w:contextualSpacing/>
              <w:rPr>
                <w:rFonts w:cs="Times New Roman"/>
                <w:sz w:val="22"/>
              </w:rPr>
            </w:pPr>
            <w:r w:rsidRPr="00735205">
              <w:rPr>
                <w:rFonts w:cs="Times New Roman"/>
                <w:sz w:val="22"/>
              </w:rPr>
              <w:t>12 мес.</w:t>
            </w:r>
          </w:p>
          <w:p w14:paraId="25E4F97C" w14:textId="7324B764" w:rsidR="00ED7DC1" w:rsidRPr="00735205" w:rsidRDefault="00ED7DC1" w:rsidP="00735205">
            <w:pPr>
              <w:ind w:firstLine="0"/>
              <w:contextualSpacing/>
              <w:rPr>
                <w:rFonts w:cs="Times New Roman"/>
                <w:sz w:val="22"/>
              </w:rPr>
            </w:pPr>
            <w:r w:rsidRPr="00735205">
              <w:rPr>
                <w:rFonts w:cs="Times New Roman"/>
                <w:sz w:val="22"/>
              </w:rPr>
              <w:t xml:space="preserve">Отсутствовала </w:t>
            </w:r>
          </w:p>
          <w:p w14:paraId="400F2D6E" w14:textId="0197CCD7" w:rsidR="00ED7DC1" w:rsidRPr="00735205" w:rsidRDefault="00DB7D87" w:rsidP="00735205">
            <w:pPr>
              <w:ind w:firstLine="0"/>
              <w:contextualSpacing/>
              <w:rPr>
                <w:rFonts w:cs="Times New Roman"/>
                <w:sz w:val="22"/>
              </w:rPr>
            </w:pPr>
            <w:r w:rsidRPr="00735205">
              <w:rPr>
                <w:rFonts w:cs="Times New Roman"/>
                <w:sz w:val="22"/>
              </w:rPr>
              <w:t>Пациенты, не получавшие терапию метотрексатом</w:t>
            </w:r>
          </w:p>
        </w:tc>
        <w:tc>
          <w:tcPr>
            <w:tcW w:w="2613" w:type="dxa"/>
          </w:tcPr>
          <w:p w14:paraId="214E9A59" w14:textId="31F21F81" w:rsidR="00ED7DC1" w:rsidRPr="00735205" w:rsidRDefault="00ED7DC1" w:rsidP="00735205">
            <w:pPr>
              <w:ind w:firstLine="0"/>
              <w:contextualSpacing/>
              <w:rPr>
                <w:rFonts w:cs="Times New Roman"/>
                <w:sz w:val="22"/>
              </w:rPr>
            </w:pPr>
            <w:r w:rsidRPr="00735205">
              <w:rPr>
                <w:rFonts w:cs="Times New Roman"/>
                <w:sz w:val="22"/>
              </w:rPr>
              <w:t>Терапия не изменялась</w:t>
            </w:r>
          </w:p>
        </w:tc>
        <w:tc>
          <w:tcPr>
            <w:tcW w:w="2287" w:type="dxa"/>
          </w:tcPr>
          <w:p w14:paraId="30AF54A2" w14:textId="11D03D27" w:rsidR="00ED7DC1" w:rsidRPr="00735205" w:rsidRDefault="00ED7DC1" w:rsidP="00735205">
            <w:pPr>
              <w:ind w:firstLine="0"/>
              <w:contextualSpacing/>
              <w:rPr>
                <w:rFonts w:cs="Times New Roman"/>
                <w:sz w:val="22"/>
              </w:rPr>
            </w:pPr>
            <w:r w:rsidRPr="00735205">
              <w:rPr>
                <w:rFonts w:cs="Times New Roman"/>
                <w:sz w:val="22"/>
              </w:rPr>
              <w:t>Тофацитиниб 1</w:t>
            </w:r>
            <w:r w:rsidR="0070694F" w:rsidRPr="00735205">
              <w:rPr>
                <w:rFonts w:cs="Times New Roman"/>
                <w:sz w:val="22"/>
              </w:rPr>
              <w:t>0</w:t>
            </w:r>
            <w:r w:rsidRPr="00735205">
              <w:rPr>
                <w:rFonts w:cs="Times New Roman"/>
                <w:sz w:val="22"/>
              </w:rPr>
              <w:t xml:space="preserve"> мг 2 раза в день</w:t>
            </w:r>
            <w:r w:rsidR="0070694F" w:rsidRPr="00735205">
              <w:rPr>
                <w:rFonts w:cs="Times New Roman"/>
                <w:sz w:val="22"/>
              </w:rPr>
              <w:t xml:space="preserve"> + метотрексат </w:t>
            </w:r>
            <w:r w:rsidR="004B045C" w:rsidRPr="00735205">
              <w:rPr>
                <w:rFonts w:cs="Times New Roman"/>
                <w:sz w:val="22"/>
              </w:rPr>
              <w:t>с титрацией до 20 мг/неделю</w:t>
            </w:r>
          </w:p>
          <w:p w14:paraId="4D1A39A0" w14:textId="66EFD878" w:rsidR="00ED7DC1" w:rsidRPr="00735205" w:rsidRDefault="00ED7DC1" w:rsidP="00735205">
            <w:pPr>
              <w:ind w:firstLine="0"/>
              <w:contextualSpacing/>
              <w:rPr>
                <w:rFonts w:cs="Times New Roman"/>
                <w:sz w:val="22"/>
              </w:rPr>
            </w:pPr>
            <w:r w:rsidRPr="00735205">
              <w:rPr>
                <w:rFonts w:cs="Times New Roman"/>
                <w:sz w:val="22"/>
              </w:rPr>
              <w:t xml:space="preserve">Тофацитиниб </w:t>
            </w:r>
            <w:r w:rsidR="00F04EE1" w:rsidRPr="00735205">
              <w:rPr>
                <w:rFonts w:cs="Times New Roman"/>
                <w:sz w:val="22"/>
              </w:rPr>
              <w:t>10</w:t>
            </w:r>
            <w:r w:rsidRPr="00735205">
              <w:rPr>
                <w:rFonts w:cs="Times New Roman"/>
                <w:sz w:val="22"/>
              </w:rPr>
              <w:t xml:space="preserve"> мг 2 раза в день</w:t>
            </w:r>
          </w:p>
          <w:p w14:paraId="5F840373" w14:textId="4D28A5CD" w:rsidR="00ED7DC1" w:rsidRPr="00735205" w:rsidRDefault="00ED7DC1" w:rsidP="00735205">
            <w:pPr>
              <w:ind w:firstLine="0"/>
              <w:contextualSpacing/>
              <w:rPr>
                <w:rFonts w:cs="Times New Roman"/>
                <w:sz w:val="22"/>
              </w:rPr>
            </w:pPr>
            <w:r w:rsidRPr="00735205">
              <w:rPr>
                <w:rFonts w:cs="Times New Roman"/>
                <w:sz w:val="22"/>
              </w:rPr>
              <w:t>Плацебо</w:t>
            </w:r>
            <w:r w:rsidR="006A4AF6" w:rsidRPr="00735205">
              <w:rPr>
                <w:rFonts w:cs="Times New Roman"/>
                <w:sz w:val="22"/>
              </w:rPr>
              <w:t xml:space="preserve"> + метотрексат с титрацией до 20 мг/неделю</w:t>
            </w:r>
          </w:p>
        </w:tc>
        <w:tc>
          <w:tcPr>
            <w:tcW w:w="1238" w:type="dxa"/>
          </w:tcPr>
          <w:p w14:paraId="2E7DE2A4" w14:textId="77777777" w:rsidR="00F13A65" w:rsidRDefault="00F13A65" w:rsidP="00F13A65">
            <w:pPr>
              <w:ind w:firstLine="0"/>
              <w:contextualSpacing/>
              <w:jc w:val="center"/>
              <w:rPr>
                <w:rFonts w:cs="Times New Roman"/>
                <w:sz w:val="22"/>
              </w:rPr>
            </w:pPr>
          </w:p>
          <w:p w14:paraId="37B9331B" w14:textId="77777777" w:rsidR="00F13A65" w:rsidRDefault="00F13A65" w:rsidP="00F13A65">
            <w:pPr>
              <w:ind w:firstLine="0"/>
              <w:contextualSpacing/>
              <w:jc w:val="center"/>
              <w:rPr>
                <w:rFonts w:cs="Times New Roman"/>
                <w:sz w:val="22"/>
              </w:rPr>
            </w:pPr>
          </w:p>
          <w:p w14:paraId="1677AA36" w14:textId="2D215786" w:rsidR="00F13A65" w:rsidRDefault="00F13A65" w:rsidP="00F13A65">
            <w:pPr>
              <w:ind w:firstLine="0"/>
              <w:contextualSpacing/>
              <w:jc w:val="center"/>
              <w:rPr>
                <w:rFonts w:cs="Times New Roman"/>
                <w:sz w:val="22"/>
              </w:rPr>
            </w:pPr>
            <w:r>
              <w:rPr>
                <w:rFonts w:cs="Times New Roman"/>
                <w:sz w:val="22"/>
              </w:rPr>
              <w:t>36</w:t>
            </w:r>
          </w:p>
          <w:p w14:paraId="40BD4428" w14:textId="77777777" w:rsidR="00F13A65" w:rsidRDefault="00F13A65" w:rsidP="00F13A65">
            <w:pPr>
              <w:ind w:firstLine="0"/>
              <w:contextualSpacing/>
              <w:jc w:val="center"/>
              <w:rPr>
                <w:rFonts w:cs="Times New Roman"/>
                <w:sz w:val="22"/>
              </w:rPr>
            </w:pPr>
          </w:p>
          <w:p w14:paraId="7872BCD7" w14:textId="77777777" w:rsidR="00F13A65" w:rsidRDefault="00F13A65" w:rsidP="00F13A65">
            <w:pPr>
              <w:ind w:firstLine="0"/>
              <w:contextualSpacing/>
              <w:jc w:val="center"/>
              <w:rPr>
                <w:rFonts w:cs="Times New Roman"/>
                <w:sz w:val="22"/>
              </w:rPr>
            </w:pPr>
          </w:p>
          <w:p w14:paraId="6A1B6F4D" w14:textId="47D95A87" w:rsidR="00ED7DC1" w:rsidRPr="00735205" w:rsidRDefault="00272C5F" w:rsidP="00F13A65">
            <w:pPr>
              <w:ind w:firstLine="0"/>
              <w:contextualSpacing/>
              <w:jc w:val="center"/>
              <w:rPr>
                <w:rFonts w:cs="Times New Roman"/>
                <w:sz w:val="22"/>
              </w:rPr>
            </w:pPr>
            <w:r w:rsidRPr="00735205">
              <w:rPr>
                <w:rFonts w:cs="Times New Roman"/>
                <w:sz w:val="22"/>
              </w:rPr>
              <w:t>36</w:t>
            </w:r>
          </w:p>
          <w:p w14:paraId="49498257" w14:textId="77777777" w:rsidR="00F13A65" w:rsidRDefault="00F13A65" w:rsidP="00F13A65">
            <w:pPr>
              <w:ind w:firstLine="0"/>
              <w:contextualSpacing/>
              <w:jc w:val="center"/>
              <w:rPr>
                <w:rFonts w:cs="Times New Roman"/>
                <w:sz w:val="22"/>
              </w:rPr>
            </w:pPr>
          </w:p>
          <w:p w14:paraId="0332EABE" w14:textId="77777777" w:rsidR="00F13A65" w:rsidRDefault="00F13A65" w:rsidP="00F13A65">
            <w:pPr>
              <w:ind w:firstLine="0"/>
              <w:contextualSpacing/>
              <w:jc w:val="center"/>
              <w:rPr>
                <w:rFonts w:cs="Times New Roman"/>
                <w:sz w:val="22"/>
              </w:rPr>
            </w:pPr>
          </w:p>
          <w:p w14:paraId="3989D994" w14:textId="39C6302C" w:rsidR="00ED7DC1" w:rsidRPr="00735205" w:rsidRDefault="00272C5F" w:rsidP="00F13A65">
            <w:pPr>
              <w:ind w:firstLine="0"/>
              <w:contextualSpacing/>
              <w:jc w:val="center"/>
              <w:rPr>
                <w:rFonts w:cs="Times New Roman"/>
                <w:sz w:val="22"/>
              </w:rPr>
            </w:pPr>
            <w:r w:rsidRPr="00735205">
              <w:rPr>
                <w:rFonts w:cs="Times New Roman"/>
                <w:sz w:val="22"/>
              </w:rPr>
              <w:t>37</w:t>
            </w:r>
          </w:p>
          <w:p w14:paraId="668538AE" w14:textId="38141BDC" w:rsidR="00ED7DC1" w:rsidRPr="00735205" w:rsidRDefault="00ED7DC1" w:rsidP="00F13A65">
            <w:pPr>
              <w:ind w:firstLine="0"/>
              <w:contextualSpacing/>
              <w:jc w:val="center"/>
              <w:rPr>
                <w:rFonts w:cs="Times New Roman"/>
                <w:sz w:val="22"/>
              </w:rPr>
            </w:pPr>
          </w:p>
        </w:tc>
      </w:tr>
      <w:tr w:rsidR="00272C5F" w14:paraId="61379C8B" w14:textId="77777777" w:rsidTr="00F13A65">
        <w:tc>
          <w:tcPr>
            <w:tcW w:w="3218" w:type="dxa"/>
          </w:tcPr>
          <w:p w14:paraId="7543D00D" w14:textId="03257270" w:rsidR="00272C5F" w:rsidRPr="00735205" w:rsidRDefault="00272C5F" w:rsidP="00735205">
            <w:pPr>
              <w:ind w:firstLine="0"/>
              <w:contextualSpacing/>
              <w:rPr>
                <w:rFonts w:cs="Times New Roman"/>
                <w:sz w:val="22"/>
              </w:rPr>
            </w:pPr>
            <w:r w:rsidRPr="00735205">
              <w:rPr>
                <w:rFonts w:cs="Times New Roman"/>
                <w:sz w:val="22"/>
                <w:lang w:val="en-US"/>
              </w:rPr>
              <w:t>A</w:t>
            </w:r>
            <w:r w:rsidRPr="00735205">
              <w:rPr>
                <w:rFonts w:cs="Times New Roman"/>
                <w:sz w:val="22"/>
              </w:rPr>
              <w:t>39210</w:t>
            </w:r>
            <w:r w:rsidR="003D115E" w:rsidRPr="00735205">
              <w:rPr>
                <w:rFonts w:cs="Times New Roman"/>
                <w:sz w:val="22"/>
              </w:rPr>
              <w:t>73</w:t>
            </w:r>
          </w:p>
          <w:p w14:paraId="4591815A" w14:textId="50B22A32" w:rsidR="00272C5F" w:rsidRPr="00735205" w:rsidRDefault="003D115E" w:rsidP="00735205">
            <w:pPr>
              <w:ind w:firstLine="0"/>
              <w:contextualSpacing/>
              <w:rPr>
                <w:rFonts w:cs="Times New Roman"/>
                <w:sz w:val="22"/>
              </w:rPr>
            </w:pPr>
            <w:r w:rsidRPr="00735205">
              <w:rPr>
                <w:rFonts w:cs="Times New Roman"/>
                <w:sz w:val="22"/>
              </w:rPr>
              <w:t>4</w:t>
            </w:r>
            <w:r w:rsidR="00272C5F" w:rsidRPr="00735205">
              <w:rPr>
                <w:rFonts w:cs="Times New Roman"/>
                <w:sz w:val="22"/>
              </w:rPr>
              <w:t xml:space="preserve"> </w:t>
            </w:r>
            <w:r w:rsidRPr="00735205">
              <w:rPr>
                <w:rFonts w:cs="Times New Roman"/>
                <w:sz w:val="22"/>
              </w:rPr>
              <w:t>недели</w:t>
            </w:r>
          </w:p>
          <w:p w14:paraId="7A1C32A2" w14:textId="36E1744F" w:rsidR="00272C5F" w:rsidRPr="00735205" w:rsidRDefault="003D115E" w:rsidP="00735205">
            <w:pPr>
              <w:ind w:firstLine="0"/>
              <w:contextualSpacing/>
              <w:rPr>
                <w:rFonts w:cs="Times New Roman"/>
                <w:sz w:val="22"/>
              </w:rPr>
            </w:pPr>
            <w:r w:rsidRPr="00735205">
              <w:rPr>
                <w:rFonts w:cs="Times New Roman"/>
                <w:sz w:val="22"/>
              </w:rPr>
              <w:t>Базовая терапия метотрексатом</w:t>
            </w:r>
          </w:p>
          <w:p w14:paraId="607FD353" w14:textId="3F718555" w:rsidR="00272C5F" w:rsidRPr="00735205" w:rsidRDefault="00272C5F" w:rsidP="00735205">
            <w:pPr>
              <w:ind w:firstLine="0"/>
              <w:contextualSpacing/>
              <w:rPr>
                <w:rFonts w:cs="Times New Roman"/>
                <w:sz w:val="22"/>
              </w:rPr>
            </w:pPr>
            <w:r w:rsidRPr="00735205">
              <w:rPr>
                <w:rFonts w:cs="Times New Roman"/>
                <w:sz w:val="22"/>
              </w:rPr>
              <w:t>Пациенты</w:t>
            </w:r>
            <w:r w:rsidR="005312C9" w:rsidRPr="00735205">
              <w:rPr>
                <w:rFonts w:cs="Times New Roman"/>
                <w:sz w:val="22"/>
              </w:rPr>
              <w:t xml:space="preserve"> с недостаточным ответом на терапию </w:t>
            </w:r>
            <w:r w:rsidRPr="00735205">
              <w:rPr>
                <w:rFonts w:cs="Times New Roman"/>
                <w:sz w:val="22"/>
              </w:rPr>
              <w:t>метотрексатом</w:t>
            </w:r>
          </w:p>
        </w:tc>
        <w:tc>
          <w:tcPr>
            <w:tcW w:w="2613" w:type="dxa"/>
          </w:tcPr>
          <w:p w14:paraId="22DAFB55" w14:textId="7CEF31E6" w:rsidR="00272C5F" w:rsidRPr="00735205" w:rsidRDefault="00272C5F" w:rsidP="00735205">
            <w:pPr>
              <w:ind w:firstLine="0"/>
              <w:contextualSpacing/>
              <w:rPr>
                <w:rFonts w:cs="Times New Roman"/>
                <w:sz w:val="22"/>
              </w:rPr>
            </w:pPr>
            <w:r w:rsidRPr="00735205">
              <w:rPr>
                <w:rFonts w:cs="Times New Roman"/>
                <w:sz w:val="22"/>
              </w:rPr>
              <w:t>Терапия не изменялась</w:t>
            </w:r>
          </w:p>
        </w:tc>
        <w:tc>
          <w:tcPr>
            <w:tcW w:w="2287" w:type="dxa"/>
          </w:tcPr>
          <w:p w14:paraId="5A7CF8A6" w14:textId="77777777" w:rsidR="00F13A65" w:rsidRDefault="00272C5F" w:rsidP="00735205">
            <w:pPr>
              <w:ind w:firstLine="0"/>
              <w:contextualSpacing/>
              <w:rPr>
                <w:rFonts w:cs="Times New Roman"/>
                <w:sz w:val="22"/>
              </w:rPr>
            </w:pPr>
            <w:r w:rsidRPr="00735205">
              <w:rPr>
                <w:rFonts w:cs="Times New Roman"/>
                <w:sz w:val="22"/>
              </w:rPr>
              <w:t xml:space="preserve">Тофацитиниб 10 мг 2 раза в день </w:t>
            </w:r>
          </w:p>
          <w:p w14:paraId="45E8C019" w14:textId="3CAD2BFA" w:rsidR="00272C5F" w:rsidRPr="00735205" w:rsidRDefault="00272C5F" w:rsidP="00735205">
            <w:pPr>
              <w:ind w:firstLine="0"/>
              <w:contextualSpacing/>
              <w:rPr>
                <w:rFonts w:cs="Times New Roman"/>
                <w:sz w:val="22"/>
              </w:rPr>
            </w:pPr>
            <w:r w:rsidRPr="00735205">
              <w:rPr>
                <w:rFonts w:cs="Times New Roman"/>
                <w:sz w:val="22"/>
              </w:rPr>
              <w:t xml:space="preserve">Плацебо </w:t>
            </w:r>
          </w:p>
        </w:tc>
        <w:tc>
          <w:tcPr>
            <w:tcW w:w="1238" w:type="dxa"/>
          </w:tcPr>
          <w:p w14:paraId="1978C12A" w14:textId="1D93A533" w:rsidR="00272C5F" w:rsidRPr="00735205" w:rsidRDefault="002D4B0A" w:rsidP="00F13A65">
            <w:pPr>
              <w:ind w:firstLine="0"/>
              <w:contextualSpacing/>
              <w:jc w:val="center"/>
              <w:rPr>
                <w:rFonts w:cs="Times New Roman"/>
                <w:sz w:val="22"/>
              </w:rPr>
            </w:pPr>
            <w:r w:rsidRPr="00735205">
              <w:rPr>
                <w:rFonts w:cs="Times New Roman"/>
                <w:sz w:val="22"/>
              </w:rPr>
              <w:t>15</w:t>
            </w:r>
          </w:p>
          <w:p w14:paraId="3B724CAF" w14:textId="77777777" w:rsidR="00F13A65" w:rsidRDefault="00F13A65" w:rsidP="00F13A65">
            <w:pPr>
              <w:ind w:firstLine="0"/>
              <w:contextualSpacing/>
              <w:jc w:val="center"/>
              <w:rPr>
                <w:rFonts w:cs="Times New Roman"/>
                <w:sz w:val="22"/>
              </w:rPr>
            </w:pPr>
          </w:p>
          <w:p w14:paraId="489723AD" w14:textId="186024D9" w:rsidR="00272C5F" w:rsidRPr="00735205" w:rsidRDefault="002D4B0A" w:rsidP="00F13A65">
            <w:pPr>
              <w:ind w:firstLine="0"/>
              <w:contextualSpacing/>
              <w:jc w:val="center"/>
              <w:rPr>
                <w:rFonts w:cs="Times New Roman"/>
                <w:sz w:val="22"/>
              </w:rPr>
            </w:pPr>
            <w:r w:rsidRPr="00735205">
              <w:rPr>
                <w:rFonts w:cs="Times New Roman"/>
                <w:sz w:val="22"/>
              </w:rPr>
              <w:t>14</w:t>
            </w:r>
          </w:p>
          <w:p w14:paraId="0D1E5F38" w14:textId="77777777" w:rsidR="00272C5F" w:rsidRPr="00735205" w:rsidRDefault="00272C5F" w:rsidP="00F13A65">
            <w:pPr>
              <w:ind w:firstLine="0"/>
              <w:contextualSpacing/>
              <w:jc w:val="center"/>
              <w:rPr>
                <w:rFonts w:cs="Times New Roman"/>
                <w:sz w:val="22"/>
              </w:rPr>
            </w:pPr>
          </w:p>
        </w:tc>
      </w:tr>
      <w:tr w:rsidR="002D4B0A" w14:paraId="4174846B" w14:textId="77777777" w:rsidTr="00F13A65">
        <w:tc>
          <w:tcPr>
            <w:tcW w:w="9356" w:type="dxa"/>
            <w:gridSpan w:val="4"/>
          </w:tcPr>
          <w:p w14:paraId="69B78BA1" w14:textId="16C69610" w:rsidR="002D4B0A" w:rsidRPr="00735205" w:rsidRDefault="002D4B0A" w:rsidP="00F13A65">
            <w:pPr>
              <w:ind w:firstLine="0"/>
              <w:contextualSpacing/>
              <w:jc w:val="left"/>
              <w:rPr>
                <w:rFonts w:cs="Times New Roman"/>
                <w:sz w:val="22"/>
              </w:rPr>
            </w:pPr>
            <w:r w:rsidRPr="00735205">
              <w:rPr>
                <w:rFonts w:cs="Times New Roman"/>
                <w:sz w:val="22"/>
              </w:rPr>
              <w:t>Длительные расширенные исследования</w:t>
            </w:r>
          </w:p>
        </w:tc>
      </w:tr>
      <w:tr w:rsidR="00332A45" w14:paraId="2580A600" w14:textId="77777777" w:rsidTr="00F13A65">
        <w:tc>
          <w:tcPr>
            <w:tcW w:w="3218" w:type="dxa"/>
          </w:tcPr>
          <w:p w14:paraId="68FA6EE7" w14:textId="7C61E040" w:rsidR="00332A45" w:rsidRPr="00735205" w:rsidRDefault="00332A45" w:rsidP="00735205">
            <w:pPr>
              <w:ind w:firstLine="0"/>
              <w:contextualSpacing/>
              <w:rPr>
                <w:rFonts w:cs="Times New Roman"/>
                <w:sz w:val="22"/>
              </w:rPr>
            </w:pPr>
            <w:r w:rsidRPr="00735205">
              <w:rPr>
                <w:rFonts w:cs="Times New Roman"/>
                <w:sz w:val="22"/>
                <w:lang w:val="en-US"/>
              </w:rPr>
              <w:t>A</w:t>
            </w:r>
            <w:r w:rsidRPr="00735205">
              <w:rPr>
                <w:rFonts w:cs="Times New Roman"/>
                <w:sz w:val="22"/>
              </w:rPr>
              <w:t>3921024</w:t>
            </w:r>
          </w:p>
          <w:p w14:paraId="2E08CA0C" w14:textId="4CED17CF" w:rsidR="00332A45" w:rsidRPr="00735205" w:rsidRDefault="00332A45" w:rsidP="00735205">
            <w:pPr>
              <w:ind w:firstLine="0"/>
              <w:contextualSpacing/>
              <w:rPr>
                <w:rFonts w:cs="Times New Roman"/>
                <w:sz w:val="22"/>
              </w:rPr>
            </w:pPr>
          </w:p>
        </w:tc>
        <w:tc>
          <w:tcPr>
            <w:tcW w:w="2613" w:type="dxa"/>
          </w:tcPr>
          <w:p w14:paraId="223C0BA6" w14:textId="13EFEEFA" w:rsidR="00332A45" w:rsidRPr="00735205" w:rsidRDefault="00332A45" w:rsidP="00735205">
            <w:pPr>
              <w:ind w:firstLine="0"/>
              <w:contextualSpacing/>
              <w:rPr>
                <w:rFonts w:cs="Times New Roman"/>
                <w:sz w:val="22"/>
              </w:rPr>
            </w:pPr>
            <w:r w:rsidRPr="00735205">
              <w:rPr>
                <w:rFonts w:cs="Times New Roman"/>
                <w:sz w:val="22"/>
              </w:rPr>
              <w:t>Корректировка дозы в соответствии с протоколом</w:t>
            </w:r>
          </w:p>
        </w:tc>
        <w:tc>
          <w:tcPr>
            <w:tcW w:w="2287" w:type="dxa"/>
          </w:tcPr>
          <w:p w14:paraId="32372206" w14:textId="63CF2D58" w:rsidR="00332A45" w:rsidRPr="00735205" w:rsidRDefault="00332A45" w:rsidP="00735205">
            <w:pPr>
              <w:ind w:firstLine="0"/>
              <w:contextualSpacing/>
              <w:rPr>
                <w:rFonts w:cs="Times New Roman"/>
                <w:sz w:val="22"/>
              </w:rPr>
            </w:pPr>
            <w:r w:rsidRPr="00735205">
              <w:rPr>
                <w:rFonts w:cs="Times New Roman"/>
                <w:sz w:val="22"/>
              </w:rPr>
              <w:t xml:space="preserve">Тофацитиниб </w:t>
            </w:r>
            <w:r w:rsidR="00230D35" w:rsidRPr="00735205">
              <w:rPr>
                <w:rFonts w:cs="Times New Roman"/>
                <w:sz w:val="22"/>
              </w:rPr>
              <w:t>5</w:t>
            </w:r>
            <w:r w:rsidRPr="00735205">
              <w:rPr>
                <w:rFonts w:cs="Times New Roman"/>
                <w:sz w:val="22"/>
              </w:rPr>
              <w:t xml:space="preserve"> мг 2 раза в день </w:t>
            </w:r>
          </w:p>
          <w:p w14:paraId="7497983F" w14:textId="45D7988F" w:rsidR="00230D35" w:rsidRPr="00735205" w:rsidRDefault="00230D35" w:rsidP="00735205">
            <w:pPr>
              <w:ind w:firstLine="0"/>
              <w:contextualSpacing/>
              <w:rPr>
                <w:rFonts w:cs="Times New Roman"/>
                <w:sz w:val="22"/>
              </w:rPr>
            </w:pPr>
            <w:r w:rsidRPr="00735205">
              <w:rPr>
                <w:rFonts w:cs="Times New Roman"/>
                <w:sz w:val="22"/>
              </w:rPr>
              <w:t>Тофацитиниб 10 мг 2 раза в день</w:t>
            </w:r>
          </w:p>
        </w:tc>
        <w:tc>
          <w:tcPr>
            <w:tcW w:w="1238" w:type="dxa"/>
          </w:tcPr>
          <w:p w14:paraId="286166B5" w14:textId="7B5952F0" w:rsidR="00332A45" w:rsidRPr="00735205" w:rsidRDefault="00332A45" w:rsidP="00F13A65">
            <w:pPr>
              <w:ind w:firstLine="0"/>
              <w:contextualSpacing/>
              <w:jc w:val="center"/>
              <w:rPr>
                <w:rFonts w:cs="Times New Roman"/>
                <w:sz w:val="22"/>
              </w:rPr>
            </w:pPr>
            <w:r w:rsidRPr="00735205">
              <w:rPr>
                <w:rFonts w:cs="Times New Roman"/>
                <w:sz w:val="22"/>
              </w:rPr>
              <w:t>1</w:t>
            </w:r>
            <w:r w:rsidR="00230D35" w:rsidRPr="00735205">
              <w:rPr>
                <w:rFonts w:cs="Times New Roman"/>
                <w:sz w:val="22"/>
              </w:rPr>
              <w:t>059</w:t>
            </w:r>
          </w:p>
          <w:p w14:paraId="778A7DD4" w14:textId="77777777" w:rsidR="00F13A65" w:rsidRDefault="00F13A65" w:rsidP="00F13A65">
            <w:pPr>
              <w:ind w:firstLine="0"/>
              <w:contextualSpacing/>
              <w:jc w:val="center"/>
              <w:rPr>
                <w:rFonts w:cs="Times New Roman"/>
                <w:sz w:val="22"/>
              </w:rPr>
            </w:pPr>
          </w:p>
          <w:p w14:paraId="3BADF3BD" w14:textId="37B00A5E" w:rsidR="00332A45" w:rsidRPr="00735205" w:rsidRDefault="00230D35" w:rsidP="00F13A65">
            <w:pPr>
              <w:ind w:firstLine="0"/>
              <w:contextualSpacing/>
              <w:jc w:val="center"/>
              <w:rPr>
                <w:rFonts w:cs="Times New Roman"/>
                <w:sz w:val="22"/>
              </w:rPr>
            </w:pPr>
            <w:r w:rsidRPr="00735205">
              <w:rPr>
                <w:rFonts w:cs="Times New Roman"/>
                <w:sz w:val="22"/>
              </w:rPr>
              <w:t>3322</w:t>
            </w:r>
          </w:p>
          <w:p w14:paraId="76B8AAE2" w14:textId="77777777" w:rsidR="00332A45" w:rsidRPr="00735205" w:rsidRDefault="00332A45" w:rsidP="00F13A65">
            <w:pPr>
              <w:ind w:firstLine="0"/>
              <w:contextualSpacing/>
              <w:jc w:val="center"/>
              <w:rPr>
                <w:rFonts w:cs="Times New Roman"/>
                <w:sz w:val="22"/>
              </w:rPr>
            </w:pPr>
          </w:p>
        </w:tc>
      </w:tr>
      <w:tr w:rsidR="00230D35" w14:paraId="532A5979" w14:textId="77777777" w:rsidTr="00F13A65">
        <w:tc>
          <w:tcPr>
            <w:tcW w:w="3218" w:type="dxa"/>
          </w:tcPr>
          <w:p w14:paraId="1C536D6E" w14:textId="59664F5F" w:rsidR="00230D35" w:rsidRPr="00735205" w:rsidRDefault="00230D35" w:rsidP="00735205">
            <w:pPr>
              <w:ind w:firstLine="0"/>
              <w:contextualSpacing/>
              <w:rPr>
                <w:rFonts w:cs="Times New Roman"/>
                <w:sz w:val="22"/>
              </w:rPr>
            </w:pPr>
            <w:r w:rsidRPr="00735205">
              <w:rPr>
                <w:rFonts w:cs="Times New Roman"/>
                <w:sz w:val="22"/>
                <w:lang w:val="en-US"/>
              </w:rPr>
              <w:t>A</w:t>
            </w:r>
            <w:r w:rsidRPr="00735205">
              <w:rPr>
                <w:rFonts w:cs="Times New Roman"/>
                <w:sz w:val="22"/>
              </w:rPr>
              <w:t>3921041</w:t>
            </w:r>
          </w:p>
          <w:p w14:paraId="536D1841" w14:textId="29A4A2C9" w:rsidR="00230D35" w:rsidRPr="00735205" w:rsidRDefault="00230D35" w:rsidP="00735205">
            <w:pPr>
              <w:ind w:firstLine="0"/>
              <w:contextualSpacing/>
              <w:rPr>
                <w:rFonts w:cs="Times New Roman"/>
                <w:sz w:val="22"/>
              </w:rPr>
            </w:pPr>
          </w:p>
        </w:tc>
        <w:tc>
          <w:tcPr>
            <w:tcW w:w="2613" w:type="dxa"/>
          </w:tcPr>
          <w:p w14:paraId="1B484FAE" w14:textId="79A6DEAC" w:rsidR="00230D35" w:rsidRPr="00735205" w:rsidRDefault="00230D35" w:rsidP="00735205">
            <w:pPr>
              <w:ind w:firstLine="0"/>
              <w:contextualSpacing/>
              <w:rPr>
                <w:rFonts w:cs="Times New Roman"/>
                <w:sz w:val="22"/>
              </w:rPr>
            </w:pPr>
            <w:r w:rsidRPr="00735205">
              <w:rPr>
                <w:rFonts w:cs="Times New Roman"/>
                <w:sz w:val="22"/>
              </w:rPr>
              <w:t xml:space="preserve">Корректировка дозы в соответствии с </w:t>
            </w:r>
            <w:r w:rsidRPr="00735205">
              <w:rPr>
                <w:rFonts w:cs="Times New Roman"/>
                <w:sz w:val="22"/>
              </w:rPr>
              <w:lastRenderedPageBreak/>
              <w:t>протоколом</w:t>
            </w:r>
          </w:p>
        </w:tc>
        <w:tc>
          <w:tcPr>
            <w:tcW w:w="2287" w:type="dxa"/>
          </w:tcPr>
          <w:p w14:paraId="11B95DB4" w14:textId="77777777" w:rsidR="00230D35" w:rsidRPr="00735205" w:rsidRDefault="00230D35" w:rsidP="00735205">
            <w:pPr>
              <w:ind w:firstLine="0"/>
              <w:contextualSpacing/>
              <w:rPr>
                <w:rFonts w:cs="Times New Roman"/>
                <w:sz w:val="22"/>
              </w:rPr>
            </w:pPr>
            <w:r w:rsidRPr="00735205">
              <w:rPr>
                <w:rFonts w:cs="Times New Roman"/>
                <w:sz w:val="22"/>
              </w:rPr>
              <w:lastRenderedPageBreak/>
              <w:t xml:space="preserve">Тофацитиниб 5 мг 2 раза в день </w:t>
            </w:r>
          </w:p>
          <w:p w14:paraId="4025866D" w14:textId="0F4C878E" w:rsidR="00230D35" w:rsidRPr="00735205" w:rsidRDefault="00230D35" w:rsidP="00735205">
            <w:pPr>
              <w:ind w:firstLine="0"/>
              <w:contextualSpacing/>
              <w:rPr>
                <w:rFonts w:cs="Times New Roman"/>
                <w:sz w:val="22"/>
              </w:rPr>
            </w:pPr>
            <w:r w:rsidRPr="00735205">
              <w:rPr>
                <w:rFonts w:cs="Times New Roman"/>
                <w:sz w:val="22"/>
              </w:rPr>
              <w:lastRenderedPageBreak/>
              <w:t>Тофацитиниб 10 мг 2 раза в день</w:t>
            </w:r>
          </w:p>
        </w:tc>
        <w:tc>
          <w:tcPr>
            <w:tcW w:w="1238" w:type="dxa"/>
          </w:tcPr>
          <w:p w14:paraId="05F8F8CE" w14:textId="42DF4205" w:rsidR="00230D35" w:rsidRPr="00735205" w:rsidRDefault="00FB06E6" w:rsidP="00F13A65">
            <w:pPr>
              <w:ind w:firstLine="0"/>
              <w:contextualSpacing/>
              <w:jc w:val="center"/>
              <w:rPr>
                <w:rFonts w:cs="Times New Roman"/>
                <w:sz w:val="22"/>
              </w:rPr>
            </w:pPr>
            <w:r w:rsidRPr="00735205">
              <w:rPr>
                <w:rFonts w:cs="Times New Roman"/>
                <w:sz w:val="22"/>
              </w:rPr>
              <w:lastRenderedPageBreak/>
              <w:t>381</w:t>
            </w:r>
          </w:p>
          <w:p w14:paraId="7060F173" w14:textId="77777777" w:rsidR="00F13A65" w:rsidRDefault="00F13A65" w:rsidP="00F13A65">
            <w:pPr>
              <w:ind w:firstLine="0"/>
              <w:contextualSpacing/>
              <w:jc w:val="center"/>
              <w:rPr>
                <w:rFonts w:cs="Times New Roman"/>
                <w:sz w:val="22"/>
              </w:rPr>
            </w:pPr>
          </w:p>
          <w:p w14:paraId="3B6D9C60" w14:textId="2C346059" w:rsidR="00230D35" w:rsidRPr="00735205" w:rsidRDefault="00FB06E6" w:rsidP="00F13A65">
            <w:pPr>
              <w:ind w:firstLine="0"/>
              <w:contextualSpacing/>
              <w:jc w:val="center"/>
              <w:rPr>
                <w:rFonts w:cs="Times New Roman"/>
                <w:sz w:val="22"/>
              </w:rPr>
            </w:pPr>
            <w:r w:rsidRPr="00735205">
              <w:rPr>
                <w:rFonts w:cs="Times New Roman"/>
                <w:sz w:val="22"/>
              </w:rPr>
              <w:lastRenderedPageBreak/>
              <w:t>105</w:t>
            </w:r>
          </w:p>
          <w:p w14:paraId="7AA2D09F" w14:textId="77777777" w:rsidR="00230D35" w:rsidRPr="00735205" w:rsidRDefault="00230D35" w:rsidP="00F13A65">
            <w:pPr>
              <w:ind w:firstLine="0"/>
              <w:contextualSpacing/>
              <w:jc w:val="center"/>
              <w:rPr>
                <w:rFonts w:cs="Times New Roman"/>
                <w:sz w:val="22"/>
              </w:rPr>
            </w:pPr>
          </w:p>
        </w:tc>
      </w:tr>
      <w:tr w:rsidR="00735205" w14:paraId="38C507FF" w14:textId="77777777" w:rsidTr="00F13A65">
        <w:tc>
          <w:tcPr>
            <w:tcW w:w="9356" w:type="dxa"/>
            <w:gridSpan w:val="4"/>
          </w:tcPr>
          <w:p w14:paraId="023B0D06" w14:textId="7EC8FF87" w:rsidR="00735205" w:rsidRPr="00735205" w:rsidRDefault="00735205" w:rsidP="00735205">
            <w:pPr>
              <w:pStyle w:val="SDcomments"/>
              <w:ind w:firstLine="0"/>
              <w:contextualSpacing/>
              <w:rPr>
                <w:b/>
              </w:rPr>
            </w:pPr>
            <w:r w:rsidRPr="00735205">
              <w:rPr>
                <w:b/>
                <w:iCs/>
              </w:rPr>
              <w:lastRenderedPageBreak/>
              <w:t>Примечани</w:t>
            </w:r>
            <w:r w:rsidR="00F13A65">
              <w:rPr>
                <w:b/>
                <w:iCs/>
              </w:rPr>
              <w:t>е</w:t>
            </w:r>
            <w:r w:rsidRPr="00735205">
              <w:rPr>
                <w:b/>
                <w:iCs/>
              </w:rPr>
              <w:t>:</w:t>
            </w:r>
          </w:p>
          <w:p w14:paraId="01691E88" w14:textId="2E6F42FF" w:rsidR="00735205" w:rsidRPr="00735205" w:rsidRDefault="00735205" w:rsidP="00735205">
            <w:pPr>
              <w:pStyle w:val="SDcomments"/>
              <w:ind w:firstLine="0"/>
              <w:contextualSpacing/>
            </w:pPr>
            <w:r w:rsidRPr="007278DC">
              <w:t>БМАРП</w:t>
            </w:r>
            <w:r>
              <w:t xml:space="preserve"> – б</w:t>
            </w:r>
            <w:r w:rsidRPr="00FB5F0E">
              <w:t>олезньмодифицирующие антиревматические препараты</w:t>
            </w:r>
            <w:r>
              <w:t xml:space="preserve">; </w:t>
            </w:r>
            <w:r w:rsidRPr="00CE1519">
              <w:t>TNF-α</w:t>
            </w:r>
            <w:r>
              <w:t xml:space="preserve"> – фактор некроза опухоли-</w:t>
            </w:r>
            <w:r>
              <w:rPr>
                <w:rFonts w:cs="Times New Roman"/>
              </w:rPr>
              <w:t>α</w:t>
            </w:r>
            <w:r>
              <w:t xml:space="preserve"> (</w:t>
            </w:r>
            <w:r w:rsidRPr="003C43F3">
              <w:t>tumor necrosis factor-</w:t>
            </w:r>
            <w:r>
              <w:rPr>
                <w:rFonts w:cs="Times New Roman"/>
              </w:rPr>
              <w:t>α</w:t>
            </w:r>
            <w:r>
              <w:t>).</w:t>
            </w:r>
          </w:p>
        </w:tc>
      </w:tr>
    </w:tbl>
    <w:p w14:paraId="20402FAF" w14:textId="2F33B6DF" w:rsidR="00CE1519" w:rsidRDefault="00CE1519" w:rsidP="00735205">
      <w:pPr>
        <w:pStyle w:val="SDText"/>
        <w:contextualSpacing/>
      </w:pPr>
    </w:p>
    <w:p w14:paraId="6DFB4E3E" w14:textId="6A465286" w:rsidR="005D48A1" w:rsidRDefault="00735205" w:rsidP="00F13A65">
      <w:pPr>
        <w:pStyle w:val="SDText"/>
        <w:spacing w:after="0"/>
        <w:ind w:firstLine="0"/>
        <w:contextualSpacing/>
      </w:pPr>
      <w:bookmarkStart w:id="220" w:name="_Ref121141094"/>
      <w:r w:rsidRPr="00735205">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3</w:t>
      </w:r>
      <w:r w:rsidR="00652269">
        <w:rPr>
          <w:b/>
        </w:rPr>
        <w:fldChar w:fldCharType="end"/>
      </w:r>
      <w:bookmarkEnd w:id="220"/>
      <w:r w:rsidRPr="00735205">
        <w:rPr>
          <w:b/>
          <w:noProof/>
        </w:rPr>
        <w:t>.</w:t>
      </w:r>
      <w:r>
        <w:t xml:space="preserve"> </w:t>
      </w:r>
      <w:r w:rsidRPr="009B6579">
        <w:t>Перечень клинических исследований тофацитиниба</w:t>
      </w:r>
      <w:r>
        <w:t xml:space="preserve"> у пациентов с ювенильным идиопатическим полиартритом.</w:t>
      </w:r>
    </w:p>
    <w:tbl>
      <w:tblPr>
        <w:tblStyle w:val="a4"/>
        <w:tblW w:w="4873" w:type="pct"/>
        <w:tblInd w:w="136" w:type="dxa"/>
        <w:tblLook w:val="04A0" w:firstRow="1" w:lastRow="0" w:firstColumn="1" w:lastColumn="0" w:noHBand="0" w:noVBand="1"/>
      </w:tblPr>
      <w:tblGrid>
        <w:gridCol w:w="2047"/>
        <w:gridCol w:w="3771"/>
        <w:gridCol w:w="2371"/>
        <w:gridCol w:w="1139"/>
      </w:tblGrid>
      <w:tr w:rsidR="00E55EF2" w14:paraId="14793A89" w14:textId="77777777" w:rsidTr="006965B5">
        <w:trPr>
          <w:tblHeader/>
        </w:trPr>
        <w:tc>
          <w:tcPr>
            <w:tcW w:w="2047" w:type="dxa"/>
            <w:shd w:val="clear" w:color="auto" w:fill="D9D9D9" w:themeFill="background1" w:themeFillShade="D9"/>
          </w:tcPr>
          <w:p w14:paraId="3559BAD0" w14:textId="6A16C027" w:rsidR="00154621" w:rsidRPr="0015518C" w:rsidRDefault="00CB3B31" w:rsidP="00735205">
            <w:pPr>
              <w:ind w:firstLine="0"/>
              <w:contextualSpacing/>
              <w:jc w:val="center"/>
              <w:rPr>
                <w:b/>
                <w:bCs/>
              </w:rPr>
            </w:pPr>
            <w:r w:rsidRPr="0015518C">
              <w:rPr>
                <w:b/>
                <w:bCs/>
              </w:rPr>
              <w:t>№ исследования</w:t>
            </w:r>
          </w:p>
        </w:tc>
        <w:tc>
          <w:tcPr>
            <w:tcW w:w="3771" w:type="dxa"/>
            <w:shd w:val="clear" w:color="auto" w:fill="D9D9D9" w:themeFill="background1" w:themeFillShade="D9"/>
          </w:tcPr>
          <w:p w14:paraId="4E609DFF" w14:textId="59F55C21" w:rsidR="00154621" w:rsidRPr="0015518C" w:rsidRDefault="00CB3B31" w:rsidP="00735205">
            <w:pPr>
              <w:ind w:firstLine="0"/>
              <w:contextualSpacing/>
              <w:jc w:val="center"/>
              <w:rPr>
                <w:b/>
                <w:bCs/>
              </w:rPr>
            </w:pPr>
            <w:r w:rsidRPr="0015518C">
              <w:rPr>
                <w:b/>
                <w:bCs/>
              </w:rPr>
              <w:t>Дизайн исследования/основная цель/</w:t>
            </w:r>
            <w:r w:rsidR="0015518C" w:rsidRPr="0015518C">
              <w:rPr>
                <w:b/>
                <w:bCs/>
              </w:rPr>
              <w:t>первичная конечная точка/продолжительность/дозы</w:t>
            </w:r>
          </w:p>
        </w:tc>
        <w:tc>
          <w:tcPr>
            <w:tcW w:w="2371" w:type="dxa"/>
            <w:shd w:val="clear" w:color="auto" w:fill="D9D9D9" w:themeFill="background1" w:themeFillShade="D9"/>
          </w:tcPr>
          <w:p w14:paraId="6B9A10B5" w14:textId="20BF4181" w:rsidR="00154621" w:rsidRPr="0015518C" w:rsidRDefault="0015518C" w:rsidP="00735205">
            <w:pPr>
              <w:ind w:firstLine="0"/>
              <w:contextualSpacing/>
              <w:jc w:val="center"/>
              <w:rPr>
                <w:b/>
                <w:bCs/>
              </w:rPr>
            </w:pPr>
            <w:r w:rsidRPr="0015518C">
              <w:rPr>
                <w:b/>
                <w:bCs/>
              </w:rPr>
              <w:t>Группы</w:t>
            </w:r>
          </w:p>
        </w:tc>
        <w:tc>
          <w:tcPr>
            <w:tcW w:w="1139" w:type="dxa"/>
            <w:shd w:val="clear" w:color="auto" w:fill="D9D9D9" w:themeFill="background1" w:themeFillShade="D9"/>
          </w:tcPr>
          <w:p w14:paraId="107FDE20" w14:textId="7C4F13AA" w:rsidR="00154621" w:rsidRPr="0015518C" w:rsidRDefault="0015518C" w:rsidP="00735205">
            <w:pPr>
              <w:ind w:firstLine="0"/>
              <w:contextualSpacing/>
              <w:jc w:val="center"/>
              <w:rPr>
                <w:b/>
                <w:bCs/>
              </w:rPr>
            </w:pPr>
            <w:r w:rsidRPr="0015518C">
              <w:rPr>
                <w:b/>
                <w:bCs/>
                <w:lang w:val="en-US"/>
              </w:rPr>
              <w:t>N</w:t>
            </w:r>
          </w:p>
        </w:tc>
      </w:tr>
      <w:tr w:rsidR="0095528D" w14:paraId="44A2D8A9" w14:textId="77777777" w:rsidTr="006965B5">
        <w:tc>
          <w:tcPr>
            <w:tcW w:w="9328" w:type="dxa"/>
            <w:gridSpan w:val="4"/>
          </w:tcPr>
          <w:p w14:paraId="2619BE36" w14:textId="541E8DF5" w:rsidR="0095528D" w:rsidRPr="00B21796" w:rsidRDefault="0095528D" w:rsidP="00735205">
            <w:pPr>
              <w:ind w:firstLine="0"/>
              <w:contextualSpacing/>
              <w:jc w:val="left"/>
            </w:pPr>
            <w:r w:rsidRPr="00B21796">
              <w:t xml:space="preserve">Фаза </w:t>
            </w:r>
            <w:r w:rsidRPr="00B21796">
              <w:rPr>
                <w:lang w:val="en-US"/>
              </w:rPr>
              <w:t>I</w:t>
            </w:r>
            <w:r w:rsidR="00C75E7E" w:rsidRPr="00B21796">
              <w:t xml:space="preserve"> (оценка фармакокинетики и безопасности)</w:t>
            </w:r>
          </w:p>
        </w:tc>
      </w:tr>
      <w:tr w:rsidR="00E55EF2" w14:paraId="7CAD2550" w14:textId="77777777" w:rsidTr="006965B5">
        <w:tc>
          <w:tcPr>
            <w:tcW w:w="2047" w:type="dxa"/>
          </w:tcPr>
          <w:p w14:paraId="09C74322" w14:textId="4BBD9EC2" w:rsidR="00154621" w:rsidRPr="00BF2980" w:rsidRDefault="00BF2980" w:rsidP="00735205">
            <w:pPr>
              <w:ind w:firstLine="0"/>
              <w:contextualSpacing/>
              <w:rPr>
                <w:lang w:val="en-US"/>
              </w:rPr>
            </w:pPr>
            <w:r>
              <w:rPr>
                <w:lang w:val="en-US"/>
              </w:rPr>
              <w:t>A3921103</w:t>
            </w:r>
          </w:p>
        </w:tc>
        <w:tc>
          <w:tcPr>
            <w:tcW w:w="3771" w:type="dxa"/>
          </w:tcPr>
          <w:p w14:paraId="55582DBE" w14:textId="77777777" w:rsidR="00154621" w:rsidRDefault="00BF2980" w:rsidP="00735205">
            <w:pPr>
              <w:ind w:firstLine="0"/>
              <w:contextualSpacing/>
            </w:pPr>
            <w:r>
              <w:t>Открытое исследование многократного приема</w:t>
            </w:r>
            <w:r w:rsidRPr="004D0499">
              <w:t xml:space="preserve"> </w:t>
            </w:r>
            <w:r w:rsidR="004D0499">
              <w:t>для оценки фармакокинетики, безопасности и переносимости тофацитиниба у пациентов с ювенильным идиопатическим артритом</w:t>
            </w:r>
            <w:r w:rsidR="00FD522F">
              <w:t xml:space="preserve"> в возрасте от 2 до 18 лет.</w:t>
            </w:r>
          </w:p>
          <w:p w14:paraId="6CBE3BEE" w14:textId="1EE7467F" w:rsidR="00FD522F" w:rsidRDefault="00FD522F" w:rsidP="00735205">
            <w:pPr>
              <w:ind w:firstLine="0"/>
              <w:contextualSpacing/>
            </w:pPr>
            <w:r>
              <w:t xml:space="preserve">Основная цель: </w:t>
            </w:r>
            <w:r w:rsidR="00DB07CF">
              <w:t>характеристика фармакокинетики и безопасности тофацитиниба при многократном пероральном прием у детей в возрасте от 2 до 18 лет</w:t>
            </w:r>
            <w:r w:rsidR="00231B8F">
              <w:t xml:space="preserve"> </w:t>
            </w:r>
            <w:r w:rsidR="00E55EF2">
              <w:t>с</w:t>
            </w:r>
            <w:r w:rsidR="00231B8F">
              <w:t xml:space="preserve"> активным ювенильным идиопатическим артритом (положительным или отрицательным по РФ</w:t>
            </w:r>
            <w:r w:rsidR="00A6426A">
              <w:t>, распространенным олигоартритом, псориатическим артритом или</w:t>
            </w:r>
            <w:r w:rsidR="00657D50" w:rsidRPr="00657D50">
              <w:t xml:space="preserve"> </w:t>
            </w:r>
            <w:r w:rsidR="00657D50">
              <w:t>энтезит-ассоциированным артритом</w:t>
            </w:r>
            <w:r w:rsidR="00231B8F">
              <w:t>)</w:t>
            </w:r>
            <w:r w:rsidR="0064145F">
              <w:t>.</w:t>
            </w:r>
          </w:p>
          <w:p w14:paraId="05E57AF9" w14:textId="77777777" w:rsidR="0064145F" w:rsidRDefault="0064145F" w:rsidP="00735205">
            <w:pPr>
              <w:ind w:firstLine="0"/>
              <w:contextualSpacing/>
            </w:pPr>
            <w:r>
              <w:t>Первичная конечная точка: клиренс тофацитиниба при пероральном прием на 5 день.</w:t>
            </w:r>
          </w:p>
          <w:p w14:paraId="72FDBADC" w14:textId="77777777" w:rsidR="0064145F" w:rsidRDefault="00D072F6" w:rsidP="00735205">
            <w:pPr>
              <w:ind w:firstLine="0"/>
              <w:contextualSpacing/>
            </w:pPr>
            <w:r>
              <w:t>Продолжительность исследования: 5 дней.</w:t>
            </w:r>
          </w:p>
          <w:p w14:paraId="3C672D05" w14:textId="5F3C15AE" w:rsidR="00D072F6" w:rsidRPr="004D0499" w:rsidRDefault="00D072F6" w:rsidP="00735205">
            <w:pPr>
              <w:ind w:firstLine="0"/>
              <w:contextualSpacing/>
            </w:pPr>
            <w:r>
              <w:t>Доза: 5 мг 2 раза в день или в эквиваленте по массе тела.</w:t>
            </w:r>
          </w:p>
        </w:tc>
        <w:tc>
          <w:tcPr>
            <w:tcW w:w="2371" w:type="dxa"/>
          </w:tcPr>
          <w:p w14:paraId="72CCBEBA" w14:textId="59772901" w:rsidR="00154621" w:rsidRDefault="00E55EF2" w:rsidP="00735205">
            <w:pPr>
              <w:ind w:firstLine="0"/>
              <w:contextualSpacing/>
            </w:pPr>
            <w:r>
              <w:t xml:space="preserve">Когорта 1: </w:t>
            </w:r>
            <w:r w:rsidR="006B3C73">
              <w:t xml:space="preserve">от </w:t>
            </w:r>
            <w:r>
              <w:t>12</w:t>
            </w:r>
            <w:r w:rsidR="006B3C73">
              <w:t xml:space="preserve"> до </w:t>
            </w:r>
            <w:r w:rsidR="006B3C73" w:rsidRPr="006B3C73">
              <w:t xml:space="preserve">&lt; </w:t>
            </w:r>
            <w:r>
              <w:t>18 лет</w:t>
            </w:r>
          </w:p>
          <w:p w14:paraId="5EFE4231" w14:textId="77777777" w:rsidR="00E55EF2" w:rsidRDefault="00E55EF2" w:rsidP="00735205">
            <w:pPr>
              <w:ind w:firstLine="0"/>
              <w:contextualSpacing/>
            </w:pPr>
            <w:r>
              <w:t xml:space="preserve">Когорта 2: </w:t>
            </w:r>
            <w:r w:rsidR="006B3C73">
              <w:t xml:space="preserve">от 6 до </w:t>
            </w:r>
            <w:r w:rsidR="006B3C73" w:rsidRPr="00205D0D">
              <w:t xml:space="preserve">&lt; 12 </w:t>
            </w:r>
            <w:r w:rsidR="006B3C73">
              <w:t>лет</w:t>
            </w:r>
          </w:p>
          <w:p w14:paraId="5D36DF19" w14:textId="5A6C3002" w:rsidR="006B3C73" w:rsidRPr="006B3C73" w:rsidRDefault="006B3C73" w:rsidP="00735205">
            <w:pPr>
              <w:ind w:firstLine="0"/>
              <w:contextualSpacing/>
              <w:rPr>
                <w:lang w:val="en-US"/>
              </w:rPr>
            </w:pPr>
            <w:r>
              <w:t xml:space="preserve">Когорта 3: от 2 до </w:t>
            </w:r>
            <w:r>
              <w:rPr>
                <w:lang w:val="en-US"/>
              </w:rPr>
              <w:t xml:space="preserve">&lt; </w:t>
            </w:r>
            <w:r>
              <w:t>6 лет</w:t>
            </w:r>
          </w:p>
        </w:tc>
        <w:tc>
          <w:tcPr>
            <w:tcW w:w="1139" w:type="dxa"/>
          </w:tcPr>
          <w:p w14:paraId="09B523AD" w14:textId="77777777" w:rsidR="00154621" w:rsidRDefault="006B3C73" w:rsidP="00F13A65">
            <w:pPr>
              <w:ind w:firstLine="0"/>
              <w:contextualSpacing/>
              <w:jc w:val="center"/>
              <w:rPr>
                <w:lang w:val="en-US"/>
              </w:rPr>
            </w:pPr>
            <w:r>
              <w:rPr>
                <w:lang w:val="en-US"/>
              </w:rPr>
              <w:t>8</w:t>
            </w:r>
          </w:p>
          <w:p w14:paraId="0C96A13F" w14:textId="77777777" w:rsidR="00F13A65" w:rsidRDefault="00F13A65" w:rsidP="00F13A65">
            <w:pPr>
              <w:ind w:firstLine="0"/>
              <w:contextualSpacing/>
              <w:jc w:val="center"/>
              <w:rPr>
                <w:lang w:val="en-US"/>
              </w:rPr>
            </w:pPr>
          </w:p>
          <w:p w14:paraId="7893BB15" w14:textId="79ECCD8D" w:rsidR="006B3C73" w:rsidRDefault="006B3C73" w:rsidP="00F13A65">
            <w:pPr>
              <w:ind w:firstLine="0"/>
              <w:contextualSpacing/>
              <w:jc w:val="center"/>
              <w:rPr>
                <w:lang w:val="en-US"/>
              </w:rPr>
            </w:pPr>
            <w:r>
              <w:rPr>
                <w:lang w:val="en-US"/>
              </w:rPr>
              <w:t>9</w:t>
            </w:r>
          </w:p>
          <w:p w14:paraId="516B4E2E" w14:textId="77777777" w:rsidR="00F13A65" w:rsidRDefault="00F13A65" w:rsidP="00F13A65">
            <w:pPr>
              <w:ind w:firstLine="0"/>
              <w:contextualSpacing/>
              <w:jc w:val="center"/>
              <w:rPr>
                <w:lang w:val="en-US"/>
              </w:rPr>
            </w:pPr>
          </w:p>
          <w:p w14:paraId="1D19AA76" w14:textId="581C5164" w:rsidR="006B3C73" w:rsidRPr="006B3C73" w:rsidRDefault="006B3C73" w:rsidP="00F13A65">
            <w:pPr>
              <w:ind w:firstLine="0"/>
              <w:contextualSpacing/>
              <w:jc w:val="center"/>
              <w:rPr>
                <w:lang w:val="en-US"/>
              </w:rPr>
            </w:pPr>
            <w:r>
              <w:rPr>
                <w:lang w:val="en-US"/>
              </w:rPr>
              <w:t>9</w:t>
            </w:r>
          </w:p>
        </w:tc>
      </w:tr>
      <w:tr w:rsidR="00C75E7E" w14:paraId="2CAAB034" w14:textId="77777777" w:rsidTr="006965B5">
        <w:tc>
          <w:tcPr>
            <w:tcW w:w="9328" w:type="dxa"/>
            <w:gridSpan w:val="4"/>
          </w:tcPr>
          <w:p w14:paraId="4EBFBC61" w14:textId="75114C78" w:rsidR="00C75E7E" w:rsidRPr="00B21796" w:rsidRDefault="00B21796" w:rsidP="00735205">
            <w:pPr>
              <w:ind w:firstLine="0"/>
              <w:contextualSpacing/>
            </w:pPr>
            <w:r w:rsidRPr="00B21796">
              <w:t xml:space="preserve">Фаза </w:t>
            </w:r>
            <w:r w:rsidRPr="00B21796">
              <w:rPr>
                <w:lang w:val="en-US"/>
              </w:rPr>
              <w:t>I</w:t>
            </w:r>
            <w:r>
              <w:rPr>
                <w:lang w:val="en-US"/>
              </w:rPr>
              <w:t>II</w:t>
            </w:r>
            <w:r w:rsidRPr="00B21796">
              <w:t xml:space="preserve"> (</w:t>
            </w:r>
            <w:r>
              <w:t>пилотное исследование</w:t>
            </w:r>
            <w:r w:rsidRPr="00B21796">
              <w:t>)</w:t>
            </w:r>
          </w:p>
        </w:tc>
      </w:tr>
      <w:tr w:rsidR="00E55EF2" w14:paraId="6188A644" w14:textId="77777777" w:rsidTr="006965B5">
        <w:tc>
          <w:tcPr>
            <w:tcW w:w="2047" w:type="dxa"/>
          </w:tcPr>
          <w:p w14:paraId="2B368200" w14:textId="238F2CF2" w:rsidR="00154621" w:rsidRDefault="00C75E7E" w:rsidP="00735205">
            <w:pPr>
              <w:ind w:firstLine="0"/>
              <w:contextualSpacing/>
            </w:pPr>
            <w:r>
              <w:rPr>
                <w:lang w:val="en-US"/>
              </w:rPr>
              <w:t>A3921104</w:t>
            </w:r>
          </w:p>
        </w:tc>
        <w:tc>
          <w:tcPr>
            <w:tcW w:w="3771" w:type="dxa"/>
          </w:tcPr>
          <w:p w14:paraId="69F4639B" w14:textId="6267B753" w:rsidR="00B32C84" w:rsidRDefault="00EB2CD0" w:rsidP="00735205">
            <w:pPr>
              <w:ind w:firstLine="0"/>
              <w:contextualSpacing/>
            </w:pPr>
            <w:r>
              <w:t xml:space="preserve">Открытая вводная часть с последующей рандомизированной двойной слепой плацебо-контролируемой частью </w:t>
            </w:r>
            <w:r w:rsidR="00B32C84">
              <w:t xml:space="preserve">для оценки эффективности, </w:t>
            </w:r>
            <w:r w:rsidR="00B32C84">
              <w:lastRenderedPageBreak/>
              <w:t>безопасности и переносимости у пациентов с ювенильным идиопатическим артритом в возрасте от 2 до 18 лет.</w:t>
            </w:r>
          </w:p>
          <w:p w14:paraId="7B9A9430" w14:textId="77777777" w:rsidR="00154621" w:rsidRDefault="00C024C2" w:rsidP="00735205">
            <w:pPr>
              <w:ind w:firstLine="0"/>
              <w:contextualSpacing/>
            </w:pPr>
            <w:r>
              <w:t>Основная цель: сравнение эффективности и безопасности тофацитиниба и плацебо у пациентов с ювенильным идиопатическим артритом</w:t>
            </w:r>
            <w:r w:rsidR="00DD14B3">
              <w:t>.</w:t>
            </w:r>
          </w:p>
          <w:p w14:paraId="61236761" w14:textId="1E706573" w:rsidR="00DD14B3" w:rsidRDefault="00DD14B3" w:rsidP="00735205">
            <w:pPr>
              <w:ind w:firstLine="0"/>
              <w:contextualSpacing/>
            </w:pPr>
            <w:r>
              <w:t>Первичная конечная точка: частота обострений (в соответствии с критериями</w:t>
            </w:r>
            <w:r w:rsidR="004E16F2" w:rsidRPr="004E16F2">
              <w:t xml:space="preserve"> </w:t>
            </w:r>
            <w:r w:rsidR="004E16F2">
              <w:t>обострения заболевания</w:t>
            </w:r>
            <w:r w:rsidR="00383E6F">
              <w:t xml:space="preserve"> </w:t>
            </w:r>
            <w:r>
              <w:rPr>
                <w:lang w:val="en-US"/>
              </w:rPr>
              <w:t>PRCSG</w:t>
            </w:r>
            <w:r w:rsidRPr="00DD14B3">
              <w:t>/</w:t>
            </w:r>
            <w:r w:rsidR="004E16F2">
              <w:rPr>
                <w:lang w:val="en-US"/>
              </w:rPr>
              <w:t>PRINTO</w:t>
            </w:r>
            <w:r w:rsidR="004E16F2" w:rsidRPr="004E16F2">
              <w:t xml:space="preserve">) </w:t>
            </w:r>
            <w:r w:rsidR="00C71CE7">
              <w:t>на неделе 44/по завершению исследования (неделя 26 двойной слепой части)</w:t>
            </w:r>
            <w:r w:rsidR="00B62F10">
              <w:t>.</w:t>
            </w:r>
          </w:p>
          <w:p w14:paraId="49725E4B" w14:textId="77777777" w:rsidR="00B62F10" w:rsidRDefault="00B62F10" w:rsidP="00735205">
            <w:pPr>
              <w:ind w:firstLine="0"/>
              <w:contextualSpacing/>
            </w:pPr>
            <w:r>
              <w:t>Продолжительность исследования: 44 недели.</w:t>
            </w:r>
          </w:p>
          <w:p w14:paraId="6525FBEF" w14:textId="5D63A37E" w:rsidR="00B62F10" w:rsidRPr="004E16F2" w:rsidRDefault="00B62F10" w:rsidP="00735205">
            <w:pPr>
              <w:ind w:firstLine="0"/>
              <w:contextualSpacing/>
            </w:pPr>
            <w:r>
              <w:t>Доза: 5 мг 2 раза в день или в эквиваленте по массе тела.</w:t>
            </w:r>
          </w:p>
        </w:tc>
        <w:tc>
          <w:tcPr>
            <w:tcW w:w="2371" w:type="dxa"/>
          </w:tcPr>
          <w:p w14:paraId="09E7F1DD" w14:textId="2D140591" w:rsidR="00154621" w:rsidRDefault="00370C7E" w:rsidP="00735205">
            <w:pPr>
              <w:ind w:firstLine="0"/>
              <w:contextualSpacing/>
            </w:pPr>
            <w:r>
              <w:lastRenderedPageBreak/>
              <w:t>Все пациенты (включенные в открытую часть и получившие препарат)</w:t>
            </w:r>
          </w:p>
          <w:p w14:paraId="0BEEA2F0" w14:textId="77777777" w:rsidR="00370C7E" w:rsidRDefault="00370C7E" w:rsidP="00735205">
            <w:pPr>
              <w:ind w:firstLine="0"/>
              <w:contextualSpacing/>
            </w:pPr>
            <w:r>
              <w:lastRenderedPageBreak/>
              <w:t>Рандомизированные в двойную слепую часть</w:t>
            </w:r>
          </w:p>
          <w:p w14:paraId="77F32F34" w14:textId="77777777" w:rsidR="00DF6B69" w:rsidRDefault="00DF6B69" w:rsidP="00735205">
            <w:pPr>
              <w:ind w:firstLine="0"/>
              <w:contextualSpacing/>
            </w:pPr>
            <w:r>
              <w:t>Тофацитиниб</w:t>
            </w:r>
          </w:p>
          <w:p w14:paraId="7D3EFA07" w14:textId="4041ABCC" w:rsidR="00DF6B69" w:rsidRDefault="00DF6B69" w:rsidP="00735205">
            <w:pPr>
              <w:ind w:firstLine="0"/>
              <w:contextualSpacing/>
            </w:pPr>
            <w:r>
              <w:t>Плацебо</w:t>
            </w:r>
          </w:p>
        </w:tc>
        <w:tc>
          <w:tcPr>
            <w:tcW w:w="1139" w:type="dxa"/>
          </w:tcPr>
          <w:p w14:paraId="4989046E" w14:textId="77777777" w:rsidR="00154621" w:rsidRDefault="00DF6B69" w:rsidP="00F13A65">
            <w:pPr>
              <w:ind w:firstLine="0"/>
              <w:contextualSpacing/>
              <w:jc w:val="center"/>
            </w:pPr>
            <w:r>
              <w:lastRenderedPageBreak/>
              <w:t>225</w:t>
            </w:r>
          </w:p>
          <w:p w14:paraId="568B2B62" w14:textId="77777777" w:rsidR="00F13A65" w:rsidRDefault="00F13A65" w:rsidP="00F13A65">
            <w:pPr>
              <w:ind w:firstLine="0"/>
              <w:contextualSpacing/>
              <w:jc w:val="center"/>
            </w:pPr>
          </w:p>
          <w:p w14:paraId="04628B25" w14:textId="77777777" w:rsidR="00F13A65" w:rsidRDefault="00F13A65" w:rsidP="00F13A65">
            <w:pPr>
              <w:ind w:firstLine="0"/>
              <w:contextualSpacing/>
              <w:jc w:val="center"/>
            </w:pPr>
          </w:p>
          <w:p w14:paraId="28E97122" w14:textId="77777777" w:rsidR="00F13A65" w:rsidRDefault="00F13A65" w:rsidP="00F13A65">
            <w:pPr>
              <w:ind w:firstLine="0"/>
              <w:contextualSpacing/>
              <w:jc w:val="center"/>
            </w:pPr>
          </w:p>
          <w:p w14:paraId="38D06002" w14:textId="77777777" w:rsidR="00F13A65" w:rsidRDefault="00F13A65" w:rsidP="00F13A65">
            <w:pPr>
              <w:ind w:firstLine="0"/>
              <w:contextualSpacing/>
              <w:jc w:val="center"/>
            </w:pPr>
          </w:p>
          <w:p w14:paraId="6DD3C5D8" w14:textId="7AE185A1" w:rsidR="00DF6B69" w:rsidRDefault="00DF6B69" w:rsidP="00F13A65">
            <w:pPr>
              <w:ind w:firstLine="0"/>
              <w:contextualSpacing/>
              <w:jc w:val="center"/>
            </w:pPr>
            <w:r>
              <w:lastRenderedPageBreak/>
              <w:t>173</w:t>
            </w:r>
          </w:p>
          <w:p w14:paraId="64D25691" w14:textId="77777777" w:rsidR="00F13A65" w:rsidRDefault="00F13A65" w:rsidP="00F13A65">
            <w:pPr>
              <w:ind w:firstLine="0"/>
              <w:contextualSpacing/>
              <w:jc w:val="center"/>
            </w:pPr>
          </w:p>
          <w:p w14:paraId="05C8EDD3" w14:textId="77777777" w:rsidR="00F13A65" w:rsidRDefault="00F13A65" w:rsidP="00F13A65">
            <w:pPr>
              <w:ind w:firstLine="0"/>
              <w:contextualSpacing/>
              <w:jc w:val="center"/>
            </w:pPr>
          </w:p>
          <w:p w14:paraId="2AC351DB" w14:textId="36055635" w:rsidR="00DF6B69" w:rsidRDefault="00DF6B69" w:rsidP="00F13A65">
            <w:pPr>
              <w:ind w:firstLine="0"/>
              <w:contextualSpacing/>
              <w:jc w:val="center"/>
            </w:pPr>
            <w:r>
              <w:t>88</w:t>
            </w:r>
          </w:p>
          <w:p w14:paraId="740AE88F" w14:textId="53F8CDD6" w:rsidR="00DF6B69" w:rsidRDefault="00DF6B69" w:rsidP="00F13A65">
            <w:pPr>
              <w:ind w:firstLine="0"/>
              <w:contextualSpacing/>
              <w:jc w:val="center"/>
            </w:pPr>
            <w:r>
              <w:t>85</w:t>
            </w:r>
          </w:p>
        </w:tc>
      </w:tr>
      <w:tr w:rsidR="00FF31F7" w14:paraId="067CD779" w14:textId="77777777" w:rsidTr="006965B5">
        <w:tc>
          <w:tcPr>
            <w:tcW w:w="9328" w:type="dxa"/>
            <w:gridSpan w:val="4"/>
          </w:tcPr>
          <w:p w14:paraId="3990E3B8" w14:textId="236241F3" w:rsidR="00FF31F7" w:rsidRDefault="0071703B" w:rsidP="00735205">
            <w:pPr>
              <w:ind w:firstLine="0"/>
              <w:contextualSpacing/>
            </w:pPr>
            <w:r w:rsidRPr="00B21796">
              <w:lastRenderedPageBreak/>
              <w:t xml:space="preserve">Фаза </w:t>
            </w:r>
            <w:r>
              <w:rPr>
                <w:lang w:val="en-US"/>
              </w:rPr>
              <w:t>II</w:t>
            </w:r>
            <w:r w:rsidRPr="0071703B">
              <w:t>/</w:t>
            </w:r>
            <w:r w:rsidRPr="00B21796">
              <w:rPr>
                <w:lang w:val="en-US"/>
              </w:rPr>
              <w:t>I</w:t>
            </w:r>
            <w:r>
              <w:rPr>
                <w:lang w:val="en-US"/>
              </w:rPr>
              <w:t>II</w:t>
            </w:r>
            <w:r w:rsidRPr="00B21796">
              <w:t xml:space="preserve"> (</w:t>
            </w:r>
            <w:r>
              <w:t>длительное расширенное исследование</w:t>
            </w:r>
            <w:r w:rsidRPr="00B21796">
              <w:t>)</w:t>
            </w:r>
          </w:p>
        </w:tc>
      </w:tr>
      <w:tr w:rsidR="00E06B65" w14:paraId="5624AA50" w14:textId="77777777" w:rsidTr="006965B5">
        <w:tc>
          <w:tcPr>
            <w:tcW w:w="2047" w:type="dxa"/>
          </w:tcPr>
          <w:p w14:paraId="525F6355" w14:textId="7E4196E6" w:rsidR="00E06B65" w:rsidRPr="00E06B65" w:rsidRDefault="00E06B65" w:rsidP="00735205">
            <w:pPr>
              <w:ind w:firstLine="0"/>
              <w:contextualSpacing/>
            </w:pPr>
            <w:r>
              <w:rPr>
                <w:lang w:val="en-US"/>
              </w:rPr>
              <w:t>A39211</w:t>
            </w:r>
            <w:r>
              <w:t>45</w:t>
            </w:r>
          </w:p>
        </w:tc>
        <w:tc>
          <w:tcPr>
            <w:tcW w:w="3771" w:type="dxa"/>
          </w:tcPr>
          <w:p w14:paraId="29D23502" w14:textId="6194B72E" w:rsidR="00E06B65" w:rsidRDefault="00E06B65" w:rsidP="00735205">
            <w:pPr>
              <w:ind w:firstLine="0"/>
              <w:contextualSpacing/>
            </w:pPr>
            <w:r>
              <w:t>Открыт</w:t>
            </w:r>
            <w:r w:rsidR="008D29F6">
              <w:t xml:space="preserve">ое длительное исследование последующего наблюдения </w:t>
            </w:r>
            <w:r>
              <w:t>для пациентов с ювенильным идиопатическим артритом в возрасте от 2 до 18 лет</w:t>
            </w:r>
            <w:r w:rsidR="004B784C">
              <w:t>, участвовавших в предшествующих исследованиях тофацитиниба у пациентов с ювенильным идиопатическим артритом</w:t>
            </w:r>
            <w:r w:rsidR="00A200F8">
              <w:t>.</w:t>
            </w:r>
          </w:p>
          <w:p w14:paraId="00485AC2" w14:textId="51F72B0E" w:rsidR="00E06B65" w:rsidRDefault="00E06B65" w:rsidP="00735205">
            <w:pPr>
              <w:ind w:firstLine="0"/>
              <w:contextualSpacing/>
            </w:pPr>
            <w:r>
              <w:t xml:space="preserve">Основная цель: </w:t>
            </w:r>
            <w:r w:rsidR="00A200F8">
              <w:t xml:space="preserve">оценка </w:t>
            </w:r>
            <w:r>
              <w:t xml:space="preserve">эффективности и безопасности тофацитиниба </w:t>
            </w:r>
            <w:r w:rsidR="00A200F8">
              <w:t>при длительном использовании</w:t>
            </w:r>
            <w:r>
              <w:t xml:space="preserve"> у пациентов с ювенильным идиопатическим артритом.</w:t>
            </w:r>
          </w:p>
          <w:p w14:paraId="72CE6D76" w14:textId="4CC264A1" w:rsidR="00E06B65" w:rsidRDefault="00E06B65" w:rsidP="00735205">
            <w:pPr>
              <w:ind w:firstLine="0"/>
              <w:contextualSpacing/>
            </w:pPr>
            <w:r>
              <w:t xml:space="preserve">Первичная конечная точка: частота </w:t>
            </w:r>
            <w:r w:rsidR="00E246DF">
              <w:t xml:space="preserve">и тяжесть НЯ, отклонений и изменений от исходных значений лабораторных показателей, </w:t>
            </w:r>
            <w:r w:rsidR="006019CF">
              <w:t>и показателей жизненно-важных</w:t>
            </w:r>
            <w:r w:rsidR="00E246DF">
              <w:t xml:space="preserve"> </w:t>
            </w:r>
            <w:r w:rsidR="006019CF">
              <w:t>функций, частота отклонений данных физикального обследования</w:t>
            </w:r>
            <w:r w:rsidR="00400C32">
              <w:t xml:space="preserve"> и </w:t>
            </w:r>
            <w:r w:rsidR="00400C32">
              <w:lastRenderedPageBreak/>
              <w:t>измеренных валидированными методами показателей роста и полового развития.</w:t>
            </w:r>
          </w:p>
          <w:p w14:paraId="744A2F6B" w14:textId="54B0B60D" w:rsidR="00E06B65" w:rsidRDefault="00E06B65" w:rsidP="00735205">
            <w:pPr>
              <w:ind w:firstLine="0"/>
              <w:contextualSpacing/>
            </w:pPr>
            <w:r>
              <w:t xml:space="preserve">Продолжительность исследования: </w:t>
            </w:r>
            <w:r w:rsidR="00996A6F">
              <w:t xml:space="preserve">на </w:t>
            </w:r>
            <w:r w:rsidR="00FF31F7">
              <w:t>04.06.2019 – 5 лет.</w:t>
            </w:r>
          </w:p>
          <w:p w14:paraId="30728B8C" w14:textId="5D0A0525" w:rsidR="00E06B65" w:rsidRDefault="00E06B65" w:rsidP="00735205">
            <w:pPr>
              <w:ind w:firstLine="0"/>
              <w:contextualSpacing/>
            </w:pPr>
            <w:r>
              <w:t>Доза: 5 мг 2 раза в день или в эквиваленте по массе тела.</w:t>
            </w:r>
          </w:p>
        </w:tc>
        <w:tc>
          <w:tcPr>
            <w:tcW w:w="2371" w:type="dxa"/>
          </w:tcPr>
          <w:p w14:paraId="64743E39" w14:textId="77777777" w:rsidR="00E06B65" w:rsidRDefault="00E06B65" w:rsidP="00735205">
            <w:pPr>
              <w:ind w:firstLine="0"/>
              <w:contextualSpacing/>
            </w:pPr>
            <w:r>
              <w:lastRenderedPageBreak/>
              <w:t>Все пациенты (включенные в открытую часть и получившие препарат)</w:t>
            </w:r>
          </w:p>
          <w:p w14:paraId="0A39D9B5" w14:textId="11513336" w:rsidR="00920F4E" w:rsidRDefault="00920F4E" w:rsidP="00735205">
            <w:pPr>
              <w:ind w:firstLine="0"/>
              <w:contextualSpacing/>
            </w:pPr>
            <w:r>
              <w:t>Все пациенты (включенные и получившие препарат)</w:t>
            </w:r>
          </w:p>
          <w:p w14:paraId="51EB40DB" w14:textId="77777777" w:rsidR="00E06B65" w:rsidRDefault="000171E0" w:rsidP="00735205">
            <w:pPr>
              <w:ind w:firstLine="0"/>
              <w:contextualSpacing/>
            </w:pPr>
            <w:r>
              <w:t>Все пациенты (включенные и получившие препарат) из исследований:</w:t>
            </w:r>
          </w:p>
          <w:p w14:paraId="7A841D23" w14:textId="77777777" w:rsidR="000171E0" w:rsidRDefault="000171E0" w:rsidP="00735205">
            <w:pPr>
              <w:ind w:firstLine="0"/>
              <w:contextualSpacing/>
              <w:rPr>
                <w:lang w:val="en-US"/>
              </w:rPr>
            </w:pPr>
            <w:r>
              <w:rPr>
                <w:lang w:val="en-US"/>
              </w:rPr>
              <w:t>A3921103</w:t>
            </w:r>
          </w:p>
          <w:p w14:paraId="2A9A877D" w14:textId="77777777" w:rsidR="000171E0" w:rsidRDefault="000171E0" w:rsidP="00735205">
            <w:pPr>
              <w:ind w:firstLine="0"/>
              <w:contextualSpacing/>
            </w:pPr>
            <w:r>
              <w:rPr>
                <w:lang w:val="en-US"/>
              </w:rPr>
              <w:t>A392110</w:t>
            </w:r>
            <w:r>
              <w:t>4</w:t>
            </w:r>
          </w:p>
          <w:p w14:paraId="35604144" w14:textId="0A2EDFE4" w:rsidR="000171E0" w:rsidRPr="000171E0" w:rsidRDefault="000171E0" w:rsidP="00735205">
            <w:pPr>
              <w:ind w:firstLine="0"/>
              <w:contextualSpacing/>
            </w:pPr>
            <w:r>
              <w:rPr>
                <w:lang w:val="en-US"/>
              </w:rPr>
              <w:t>A39211</w:t>
            </w:r>
            <w:r>
              <w:t>65</w:t>
            </w:r>
          </w:p>
        </w:tc>
        <w:tc>
          <w:tcPr>
            <w:tcW w:w="1139" w:type="dxa"/>
          </w:tcPr>
          <w:p w14:paraId="50A4C498" w14:textId="0BCF78DB" w:rsidR="00E06B65" w:rsidRDefault="00E06B65" w:rsidP="00F13A65">
            <w:pPr>
              <w:ind w:firstLine="0"/>
              <w:contextualSpacing/>
              <w:jc w:val="center"/>
            </w:pPr>
            <w:r>
              <w:t>22</w:t>
            </w:r>
            <w:r w:rsidR="000171E0">
              <w:t>7</w:t>
            </w:r>
          </w:p>
          <w:p w14:paraId="08B01B25" w14:textId="77777777" w:rsidR="00F13A65" w:rsidRDefault="00F13A65" w:rsidP="00F13A65">
            <w:pPr>
              <w:ind w:firstLine="0"/>
              <w:contextualSpacing/>
              <w:jc w:val="center"/>
            </w:pPr>
          </w:p>
          <w:p w14:paraId="61616CCC" w14:textId="77777777" w:rsidR="00F13A65" w:rsidRDefault="00F13A65" w:rsidP="00F13A65">
            <w:pPr>
              <w:ind w:firstLine="0"/>
              <w:contextualSpacing/>
              <w:jc w:val="center"/>
            </w:pPr>
          </w:p>
          <w:p w14:paraId="3FE01C80" w14:textId="77777777" w:rsidR="00F13A65" w:rsidRDefault="00F13A65" w:rsidP="00F13A65">
            <w:pPr>
              <w:ind w:firstLine="0"/>
              <w:contextualSpacing/>
              <w:jc w:val="center"/>
            </w:pPr>
          </w:p>
          <w:p w14:paraId="0FC7D123" w14:textId="77777777" w:rsidR="00F13A65" w:rsidRDefault="00F13A65" w:rsidP="00F13A65">
            <w:pPr>
              <w:ind w:firstLine="0"/>
              <w:contextualSpacing/>
              <w:jc w:val="center"/>
            </w:pPr>
          </w:p>
          <w:p w14:paraId="5C16C9BE" w14:textId="08F73C0F" w:rsidR="00E06B65" w:rsidRDefault="000171E0" w:rsidP="00F13A65">
            <w:pPr>
              <w:ind w:firstLine="0"/>
              <w:contextualSpacing/>
              <w:jc w:val="center"/>
            </w:pPr>
            <w:r>
              <w:t>225</w:t>
            </w:r>
          </w:p>
          <w:p w14:paraId="46867FB7" w14:textId="77777777" w:rsidR="00F13A65" w:rsidRDefault="00F13A65" w:rsidP="00F13A65">
            <w:pPr>
              <w:ind w:firstLine="0"/>
              <w:contextualSpacing/>
              <w:jc w:val="center"/>
            </w:pPr>
          </w:p>
          <w:p w14:paraId="3D4CBEFA" w14:textId="77777777" w:rsidR="00F13A65" w:rsidRDefault="00F13A65" w:rsidP="00F13A65">
            <w:pPr>
              <w:ind w:firstLine="0"/>
              <w:contextualSpacing/>
              <w:jc w:val="center"/>
            </w:pPr>
          </w:p>
          <w:p w14:paraId="751A618A" w14:textId="77777777" w:rsidR="00F13A65" w:rsidRDefault="00F13A65" w:rsidP="00F13A65">
            <w:pPr>
              <w:ind w:firstLine="0"/>
              <w:contextualSpacing/>
              <w:jc w:val="center"/>
            </w:pPr>
          </w:p>
          <w:p w14:paraId="4312E1DF" w14:textId="77777777" w:rsidR="00F13A65" w:rsidRDefault="00F13A65" w:rsidP="00F13A65">
            <w:pPr>
              <w:ind w:firstLine="0"/>
              <w:contextualSpacing/>
              <w:jc w:val="center"/>
            </w:pPr>
          </w:p>
          <w:p w14:paraId="5F3844E9" w14:textId="77777777" w:rsidR="00F13A65" w:rsidRDefault="00F13A65" w:rsidP="00F13A65">
            <w:pPr>
              <w:ind w:firstLine="0"/>
              <w:contextualSpacing/>
              <w:jc w:val="center"/>
            </w:pPr>
          </w:p>
          <w:p w14:paraId="5866E33A" w14:textId="77777777" w:rsidR="00F13A65" w:rsidRDefault="00F13A65" w:rsidP="00F13A65">
            <w:pPr>
              <w:ind w:firstLine="0"/>
              <w:contextualSpacing/>
              <w:jc w:val="center"/>
            </w:pPr>
          </w:p>
          <w:p w14:paraId="0FC5974D" w14:textId="77777777" w:rsidR="00F13A65" w:rsidRDefault="00F13A65" w:rsidP="00F13A65">
            <w:pPr>
              <w:ind w:firstLine="0"/>
              <w:contextualSpacing/>
              <w:jc w:val="center"/>
            </w:pPr>
          </w:p>
          <w:p w14:paraId="58BC13C8" w14:textId="77777777" w:rsidR="00F13A65" w:rsidRDefault="00F13A65" w:rsidP="00F13A65">
            <w:pPr>
              <w:ind w:firstLine="0"/>
              <w:contextualSpacing/>
              <w:jc w:val="center"/>
            </w:pPr>
          </w:p>
          <w:p w14:paraId="714665A6" w14:textId="19EA9E00" w:rsidR="00E06B65" w:rsidRDefault="00E56CFE" w:rsidP="00F13A65">
            <w:pPr>
              <w:ind w:firstLine="0"/>
              <w:contextualSpacing/>
              <w:jc w:val="center"/>
            </w:pPr>
            <w:r>
              <w:t>26</w:t>
            </w:r>
          </w:p>
          <w:p w14:paraId="642052FB" w14:textId="77777777" w:rsidR="00E06B65" w:rsidRDefault="00E56CFE" w:rsidP="00F13A65">
            <w:pPr>
              <w:ind w:firstLine="0"/>
              <w:contextualSpacing/>
              <w:jc w:val="center"/>
            </w:pPr>
            <w:r>
              <w:t>197</w:t>
            </w:r>
          </w:p>
          <w:p w14:paraId="48B4AB83" w14:textId="19E3CD4C" w:rsidR="00E56CFE" w:rsidRDefault="00E56CFE" w:rsidP="00F13A65">
            <w:pPr>
              <w:ind w:firstLine="0"/>
              <w:contextualSpacing/>
              <w:jc w:val="center"/>
            </w:pPr>
            <w:r>
              <w:t>2</w:t>
            </w:r>
          </w:p>
        </w:tc>
      </w:tr>
      <w:tr w:rsidR="006B412A" w14:paraId="581B1D01" w14:textId="77777777" w:rsidTr="006965B5">
        <w:tc>
          <w:tcPr>
            <w:tcW w:w="9328" w:type="dxa"/>
            <w:gridSpan w:val="4"/>
          </w:tcPr>
          <w:p w14:paraId="004AFEBC" w14:textId="3C320E82" w:rsidR="006B412A" w:rsidRPr="00484558" w:rsidRDefault="00484558" w:rsidP="00735205">
            <w:pPr>
              <w:ind w:firstLine="0"/>
              <w:contextualSpacing/>
            </w:pPr>
            <w:r>
              <w:t xml:space="preserve">Фаза </w:t>
            </w:r>
            <w:r>
              <w:rPr>
                <w:lang w:val="en-US"/>
              </w:rPr>
              <w:t xml:space="preserve">I </w:t>
            </w:r>
            <w:r>
              <w:t>(исследование биоэквивалентности)</w:t>
            </w:r>
          </w:p>
        </w:tc>
      </w:tr>
      <w:tr w:rsidR="00E55EF2" w14:paraId="334EE830" w14:textId="77777777" w:rsidTr="006965B5">
        <w:tc>
          <w:tcPr>
            <w:tcW w:w="2047" w:type="dxa"/>
          </w:tcPr>
          <w:p w14:paraId="23349DBC" w14:textId="65F994F5" w:rsidR="00154621" w:rsidRPr="00B2106A" w:rsidRDefault="00B2106A" w:rsidP="00735205">
            <w:pPr>
              <w:ind w:firstLine="0"/>
              <w:contextualSpacing/>
            </w:pPr>
            <w:r>
              <w:rPr>
                <w:lang w:val="en-US"/>
              </w:rPr>
              <w:t>A3921</w:t>
            </w:r>
            <w:r>
              <w:t>354</w:t>
            </w:r>
          </w:p>
        </w:tc>
        <w:tc>
          <w:tcPr>
            <w:tcW w:w="3771" w:type="dxa"/>
          </w:tcPr>
          <w:p w14:paraId="3A3878F3" w14:textId="77777777" w:rsidR="00154621" w:rsidRDefault="00B2106A" w:rsidP="00735205">
            <w:pPr>
              <w:ind w:firstLine="0"/>
              <w:contextualSpacing/>
            </w:pPr>
            <w:r>
              <w:t>Рандомизированное, открытое, перекрестное, состоящее из 2 периодов</w:t>
            </w:r>
            <w:r w:rsidR="00CF7DF2">
              <w:t xml:space="preserve">, однократного приема для определения эквивалентности </w:t>
            </w:r>
            <w:r w:rsidR="00CF7DF2">
              <w:rPr>
                <w:lang w:val="en-US"/>
              </w:rPr>
              <w:t>AUC</w:t>
            </w:r>
            <w:r w:rsidR="00CF7DF2" w:rsidRPr="00CF7DF2">
              <w:t xml:space="preserve"> </w:t>
            </w:r>
            <w:r w:rsidR="005A29DD">
              <w:t>тофацитиниба при использовании в форме раствора для перорального приема и таблеток у здоровых добровольцев натощак</w:t>
            </w:r>
            <w:r w:rsidR="004D5B9A">
              <w:t>.</w:t>
            </w:r>
          </w:p>
          <w:p w14:paraId="37EFB93C" w14:textId="2CBD9840" w:rsidR="004D5B9A" w:rsidRDefault="004D5B9A" w:rsidP="00735205">
            <w:pPr>
              <w:ind w:firstLine="0"/>
              <w:contextualSpacing/>
            </w:pPr>
            <w:r>
              <w:t xml:space="preserve">Основная цель: доказательство эквивалентности степени экспозиции </w:t>
            </w:r>
            <w:r w:rsidR="005F556B">
              <w:t>при однократном приеме тофацитиниба в форме раствора для перорального приема (5 мл</w:t>
            </w:r>
            <w:r w:rsidR="00583763">
              <w:t xml:space="preserve"> с концентрацией 1 мг/мл) или 1 таблетки с дозировкой 5 мг. </w:t>
            </w:r>
          </w:p>
          <w:p w14:paraId="761D892C" w14:textId="77777777" w:rsidR="00583763" w:rsidRDefault="00832B1C" w:rsidP="00735205">
            <w:pPr>
              <w:ind w:firstLine="0"/>
              <w:contextualSpacing/>
            </w:pPr>
            <w:r>
              <w:t>Продолжительность исследования: 48 ч.</w:t>
            </w:r>
          </w:p>
          <w:p w14:paraId="34940C84" w14:textId="408BC150" w:rsidR="00832B1C" w:rsidRPr="00CF7DF2" w:rsidRDefault="00832B1C" w:rsidP="00735205">
            <w:pPr>
              <w:ind w:firstLine="0"/>
              <w:contextualSpacing/>
            </w:pPr>
            <w:r>
              <w:t xml:space="preserve">Доза: 5 мг </w:t>
            </w:r>
          </w:p>
        </w:tc>
        <w:tc>
          <w:tcPr>
            <w:tcW w:w="2371" w:type="dxa"/>
          </w:tcPr>
          <w:p w14:paraId="73ADECD1" w14:textId="77777777" w:rsidR="00154621" w:rsidRDefault="009F2E0B" w:rsidP="00735205">
            <w:pPr>
              <w:ind w:firstLine="0"/>
              <w:contextualSpacing/>
            </w:pPr>
            <w:r>
              <w:t xml:space="preserve">Группа </w:t>
            </w:r>
            <w:r>
              <w:rPr>
                <w:lang w:val="en-US"/>
              </w:rPr>
              <w:t>A</w:t>
            </w:r>
            <w:r>
              <w:t>: период 1 – тофацитиниб 5 мл, раствор для перорального приема, период 2 – тофацитиниб, 1 таблетка, 5 мг.</w:t>
            </w:r>
          </w:p>
          <w:p w14:paraId="10563D94" w14:textId="7B3E6658" w:rsidR="009F2E0B" w:rsidRDefault="009F2E0B" w:rsidP="00735205">
            <w:pPr>
              <w:ind w:firstLine="0"/>
              <w:contextualSpacing/>
            </w:pPr>
            <w:r>
              <w:t xml:space="preserve">Группа </w:t>
            </w:r>
            <w:r>
              <w:rPr>
                <w:lang w:val="en-US"/>
              </w:rPr>
              <w:t>B</w:t>
            </w:r>
            <w:r>
              <w:t xml:space="preserve">: период 1 – тофацитиниб </w:t>
            </w:r>
            <w:r w:rsidR="009749D7">
              <w:t>1 таблетка, 5 мг</w:t>
            </w:r>
            <w:r>
              <w:t xml:space="preserve">, период 2 – тофацитиниб, </w:t>
            </w:r>
            <w:r w:rsidR="009749D7">
              <w:t>5 м</w:t>
            </w:r>
            <w:r w:rsidR="009749D7">
              <w:rPr>
                <w:lang w:val="en-US"/>
              </w:rPr>
              <w:t>k</w:t>
            </w:r>
            <w:r w:rsidR="009749D7">
              <w:t>, раствор для перорального приема</w:t>
            </w:r>
          </w:p>
          <w:p w14:paraId="2EB0E7EA" w14:textId="40DCDA42" w:rsidR="009F2E0B" w:rsidRPr="009F2E0B" w:rsidRDefault="009F2E0B" w:rsidP="00735205">
            <w:pPr>
              <w:ind w:firstLine="0"/>
              <w:contextualSpacing/>
            </w:pPr>
          </w:p>
        </w:tc>
        <w:tc>
          <w:tcPr>
            <w:tcW w:w="1139" w:type="dxa"/>
          </w:tcPr>
          <w:p w14:paraId="2E09E5F1" w14:textId="77777777" w:rsidR="00154621" w:rsidRDefault="009749D7" w:rsidP="00F13A65">
            <w:pPr>
              <w:ind w:firstLine="0"/>
              <w:contextualSpacing/>
              <w:jc w:val="center"/>
              <w:rPr>
                <w:lang w:val="en-US"/>
              </w:rPr>
            </w:pPr>
            <w:r>
              <w:rPr>
                <w:lang w:val="en-US"/>
              </w:rPr>
              <w:t>5</w:t>
            </w:r>
          </w:p>
          <w:p w14:paraId="2CA1B89A" w14:textId="77777777" w:rsidR="00F13A65" w:rsidRDefault="00F13A65" w:rsidP="00F13A65">
            <w:pPr>
              <w:ind w:firstLine="0"/>
              <w:contextualSpacing/>
              <w:jc w:val="center"/>
              <w:rPr>
                <w:lang w:val="en-US"/>
              </w:rPr>
            </w:pPr>
          </w:p>
          <w:p w14:paraId="30D32FDE" w14:textId="77777777" w:rsidR="00F13A65" w:rsidRDefault="00F13A65" w:rsidP="00F13A65">
            <w:pPr>
              <w:ind w:firstLine="0"/>
              <w:contextualSpacing/>
              <w:jc w:val="center"/>
              <w:rPr>
                <w:lang w:val="en-US"/>
              </w:rPr>
            </w:pPr>
          </w:p>
          <w:p w14:paraId="106A6BF2" w14:textId="77777777" w:rsidR="00F13A65" w:rsidRDefault="00F13A65" w:rsidP="00F13A65">
            <w:pPr>
              <w:ind w:firstLine="0"/>
              <w:contextualSpacing/>
              <w:jc w:val="center"/>
              <w:rPr>
                <w:lang w:val="en-US"/>
              </w:rPr>
            </w:pPr>
          </w:p>
          <w:p w14:paraId="1BEE9DB5" w14:textId="77777777" w:rsidR="00F13A65" w:rsidRDefault="00F13A65" w:rsidP="00F13A65">
            <w:pPr>
              <w:ind w:firstLine="0"/>
              <w:contextualSpacing/>
              <w:jc w:val="center"/>
              <w:rPr>
                <w:lang w:val="en-US"/>
              </w:rPr>
            </w:pPr>
          </w:p>
          <w:p w14:paraId="28F17231" w14:textId="77777777" w:rsidR="00F13A65" w:rsidRDefault="00F13A65" w:rsidP="00F13A65">
            <w:pPr>
              <w:ind w:firstLine="0"/>
              <w:contextualSpacing/>
              <w:jc w:val="center"/>
              <w:rPr>
                <w:lang w:val="en-US"/>
              </w:rPr>
            </w:pPr>
          </w:p>
          <w:p w14:paraId="41F35D24" w14:textId="77777777" w:rsidR="00F13A65" w:rsidRDefault="00F13A65" w:rsidP="00F13A65">
            <w:pPr>
              <w:ind w:firstLine="0"/>
              <w:contextualSpacing/>
              <w:jc w:val="center"/>
              <w:rPr>
                <w:lang w:val="en-US"/>
              </w:rPr>
            </w:pPr>
          </w:p>
          <w:p w14:paraId="53BDCC2E" w14:textId="4E3AD467" w:rsidR="009749D7" w:rsidRPr="009749D7" w:rsidRDefault="009749D7" w:rsidP="00F13A65">
            <w:pPr>
              <w:ind w:firstLine="0"/>
              <w:contextualSpacing/>
              <w:jc w:val="center"/>
              <w:rPr>
                <w:lang w:val="en-US"/>
              </w:rPr>
            </w:pPr>
            <w:r>
              <w:rPr>
                <w:lang w:val="en-US"/>
              </w:rPr>
              <w:t>6</w:t>
            </w:r>
          </w:p>
        </w:tc>
      </w:tr>
      <w:tr w:rsidR="00280A39" w14:paraId="05ABD068" w14:textId="77777777" w:rsidTr="006965B5">
        <w:tc>
          <w:tcPr>
            <w:tcW w:w="9328" w:type="dxa"/>
            <w:gridSpan w:val="4"/>
          </w:tcPr>
          <w:p w14:paraId="441F73D7" w14:textId="2B27745F" w:rsidR="00280A39" w:rsidRPr="003C312E" w:rsidRDefault="00280A39" w:rsidP="00735205">
            <w:pPr>
              <w:ind w:firstLine="0"/>
              <w:contextualSpacing/>
            </w:pPr>
            <w:r w:rsidRPr="00B21796">
              <w:t xml:space="preserve">Фаза </w:t>
            </w:r>
            <w:r w:rsidRPr="00B21796">
              <w:rPr>
                <w:lang w:val="en-US"/>
              </w:rPr>
              <w:t>I</w:t>
            </w:r>
            <w:r>
              <w:rPr>
                <w:lang w:val="en-US"/>
              </w:rPr>
              <w:t>II</w:t>
            </w:r>
            <w:r w:rsidRPr="00B21796">
              <w:t xml:space="preserve"> </w:t>
            </w:r>
            <w:r w:rsidR="003C312E" w:rsidRPr="003C312E">
              <w:t>(</w:t>
            </w:r>
            <w:r w:rsidR="003C312E">
              <w:t xml:space="preserve">системный </w:t>
            </w:r>
            <w:r w:rsidR="003C312E" w:rsidRPr="003C312E">
              <w:t>ювенильны</w:t>
            </w:r>
            <w:r w:rsidR="003C312E">
              <w:t xml:space="preserve">й </w:t>
            </w:r>
            <w:r w:rsidR="003C312E" w:rsidRPr="003C312E">
              <w:t>идиопатически</w:t>
            </w:r>
            <w:r w:rsidR="003C312E">
              <w:t>й</w:t>
            </w:r>
            <w:r w:rsidR="003C312E" w:rsidRPr="003C312E">
              <w:t xml:space="preserve"> артрит</w:t>
            </w:r>
            <w:r w:rsidR="003C312E">
              <w:t>)</w:t>
            </w:r>
          </w:p>
        </w:tc>
      </w:tr>
      <w:tr w:rsidR="00F96A80" w14:paraId="45A86F58" w14:textId="77777777" w:rsidTr="006965B5">
        <w:tc>
          <w:tcPr>
            <w:tcW w:w="2047" w:type="dxa"/>
          </w:tcPr>
          <w:p w14:paraId="2AF23896" w14:textId="0BE76E49" w:rsidR="00F96A80" w:rsidRDefault="00F96A80" w:rsidP="00735205">
            <w:pPr>
              <w:ind w:firstLine="0"/>
              <w:contextualSpacing/>
            </w:pPr>
            <w:r>
              <w:rPr>
                <w:lang w:val="en-US"/>
              </w:rPr>
              <w:t>A3921</w:t>
            </w:r>
            <w:r>
              <w:t>365</w:t>
            </w:r>
          </w:p>
        </w:tc>
        <w:tc>
          <w:tcPr>
            <w:tcW w:w="3771" w:type="dxa"/>
          </w:tcPr>
          <w:p w14:paraId="234CEA02" w14:textId="76B1CDCF" w:rsidR="00F96A80" w:rsidRDefault="00F96A80" w:rsidP="00735205">
            <w:pPr>
              <w:ind w:firstLine="0"/>
              <w:contextualSpacing/>
            </w:pPr>
            <w:r>
              <w:t>Рандомизированное двойно</w:t>
            </w:r>
            <w:r w:rsidR="004702DE">
              <w:t>е</w:t>
            </w:r>
            <w:r>
              <w:t xml:space="preserve"> слепо</w:t>
            </w:r>
            <w:r w:rsidR="004702DE">
              <w:t>е</w:t>
            </w:r>
            <w:r>
              <w:t xml:space="preserve"> плацебо-контролируемо</w:t>
            </w:r>
            <w:r w:rsidR="004702DE">
              <w:t>е</w:t>
            </w:r>
            <w:r>
              <w:t xml:space="preserve"> </w:t>
            </w:r>
            <w:r w:rsidR="004702DE">
              <w:t xml:space="preserve">исследование </w:t>
            </w:r>
            <w:r>
              <w:t>для оценки эффективности, безопасности</w:t>
            </w:r>
            <w:r w:rsidR="00A80B52">
              <w:t>,</w:t>
            </w:r>
            <w:r>
              <w:t xml:space="preserve"> переносимости </w:t>
            </w:r>
            <w:r w:rsidR="00A80B52">
              <w:t xml:space="preserve">и фармакокинетики </w:t>
            </w:r>
            <w:r>
              <w:t xml:space="preserve">у пациентов с </w:t>
            </w:r>
            <w:r w:rsidR="00A80B52">
              <w:t xml:space="preserve">системным </w:t>
            </w:r>
            <w:r>
              <w:t>ювенильным идиопатическим артритом в возрасте от 2 до 18 лет.</w:t>
            </w:r>
          </w:p>
          <w:p w14:paraId="58BA221F" w14:textId="6ACEEE38" w:rsidR="00F96A80" w:rsidRDefault="00F96A80" w:rsidP="00735205">
            <w:pPr>
              <w:ind w:firstLine="0"/>
              <w:contextualSpacing/>
            </w:pPr>
            <w:r>
              <w:t xml:space="preserve">Основная цель: </w:t>
            </w:r>
            <w:r w:rsidR="00A80B52">
              <w:t xml:space="preserve">оценка </w:t>
            </w:r>
            <w:r w:rsidR="0097153B">
              <w:t>устойчивости</w:t>
            </w:r>
            <w:r>
              <w:t xml:space="preserve"> эффективности тофацитиниба </w:t>
            </w:r>
            <w:r w:rsidR="0097153B">
              <w:t>в сравнении с</w:t>
            </w:r>
            <w:r>
              <w:t xml:space="preserve"> плацебо у пациентов с </w:t>
            </w:r>
            <w:r w:rsidR="004A3E5F">
              <w:t xml:space="preserve">системным </w:t>
            </w:r>
            <w:r>
              <w:t>ювенильным идиопатическим артритом</w:t>
            </w:r>
            <w:r w:rsidR="004A3E5F">
              <w:t xml:space="preserve"> по времени до развития </w:t>
            </w:r>
            <w:r w:rsidR="004A3E5F">
              <w:lastRenderedPageBreak/>
              <w:t>обострения</w:t>
            </w:r>
            <w:r w:rsidR="00E84134">
              <w:t>.</w:t>
            </w:r>
          </w:p>
          <w:p w14:paraId="77BBF678" w14:textId="70F88853" w:rsidR="00F96A80" w:rsidRDefault="00F96A80" w:rsidP="00735205">
            <w:pPr>
              <w:ind w:firstLine="0"/>
              <w:contextualSpacing/>
            </w:pPr>
            <w:r>
              <w:t xml:space="preserve">Первичная конечная точка: </w:t>
            </w:r>
            <w:r w:rsidR="00E84134">
              <w:t>времени до развития обострения.</w:t>
            </w:r>
          </w:p>
          <w:p w14:paraId="29718E10" w14:textId="37002D45" w:rsidR="00F96A80" w:rsidRDefault="00F96A80" w:rsidP="00735205">
            <w:pPr>
              <w:ind w:firstLine="0"/>
              <w:contextualSpacing/>
            </w:pPr>
            <w:r>
              <w:t xml:space="preserve">Продолжительность исследования: </w:t>
            </w:r>
            <w:r w:rsidR="00F5014C">
              <w:t>на 29.03.2019 примерно 2 года</w:t>
            </w:r>
          </w:p>
        </w:tc>
        <w:tc>
          <w:tcPr>
            <w:tcW w:w="2371" w:type="dxa"/>
          </w:tcPr>
          <w:p w14:paraId="0463BECD" w14:textId="4998DD28" w:rsidR="00F96A80" w:rsidRDefault="00E84134" w:rsidP="00735205">
            <w:pPr>
              <w:ind w:firstLine="0"/>
              <w:contextualSpacing/>
            </w:pPr>
            <w:r>
              <w:lastRenderedPageBreak/>
              <w:t>Тофацитиниб 5 мг 2 раза в день</w:t>
            </w:r>
          </w:p>
        </w:tc>
        <w:tc>
          <w:tcPr>
            <w:tcW w:w="1139" w:type="dxa"/>
          </w:tcPr>
          <w:p w14:paraId="019B80CA" w14:textId="402F0EF3" w:rsidR="00F96A80" w:rsidRDefault="00F5014C" w:rsidP="00D711E3">
            <w:pPr>
              <w:ind w:firstLine="0"/>
              <w:contextualSpacing/>
              <w:jc w:val="center"/>
            </w:pPr>
            <w:r>
              <w:t>8</w:t>
            </w:r>
          </w:p>
        </w:tc>
      </w:tr>
      <w:tr w:rsidR="00735205" w14:paraId="4C490CFF" w14:textId="77777777" w:rsidTr="006965B5">
        <w:tc>
          <w:tcPr>
            <w:tcW w:w="9328" w:type="dxa"/>
            <w:gridSpan w:val="4"/>
          </w:tcPr>
          <w:p w14:paraId="5186BC3D" w14:textId="1A19B001" w:rsidR="00735205" w:rsidRPr="00735205" w:rsidRDefault="00735205" w:rsidP="00382C19">
            <w:pPr>
              <w:pStyle w:val="SDcomments"/>
              <w:ind w:firstLine="0"/>
              <w:contextualSpacing/>
              <w:rPr>
                <w:b/>
                <w:iCs/>
              </w:rPr>
            </w:pPr>
            <w:r w:rsidRPr="00735205">
              <w:rPr>
                <w:b/>
                <w:iCs/>
              </w:rPr>
              <w:t>Примечани</w:t>
            </w:r>
            <w:r w:rsidR="00F13A65">
              <w:rPr>
                <w:b/>
                <w:iCs/>
              </w:rPr>
              <w:t>е</w:t>
            </w:r>
            <w:r w:rsidRPr="00735205">
              <w:rPr>
                <w:b/>
                <w:iCs/>
              </w:rPr>
              <w:t>:</w:t>
            </w:r>
          </w:p>
          <w:p w14:paraId="06036BBE" w14:textId="38F0414F" w:rsidR="00735205" w:rsidRDefault="00735205" w:rsidP="00382C19">
            <w:pPr>
              <w:pStyle w:val="SDcomments"/>
              <w:ind w:firstLine="0"/>
              <w:contextualSpacing/>
            </w:pPr>
            <w:r>
              <w:t xml:space="preserve">РФ – ревматоидный </w:t>
            </w:r>
            <w:r w:rsidRPr="00682CE8">
              <w:t xml:space="preserve">фактор; НЯ – нежелательное явление; </w:t>
            </w:r>
            <w:r w:rsidRPr="000A2D4A">
              <w:t xml:space="preserve">AUC </w:t>
            </w:r>
            <w:r>
              <w:t xml:space="preserve">– площадь под фармакокинетической кривой «концентрация-время»; </w:t>
            </w:r>
            <w:r w:rsidRPr="00682CE8">
              <w:t xml:space="preserve">PRCSG/PRINTO – педиатрическая ревматологическая группа клинических исследований/организация международных педиатрических ревматологических исследований </w:t>
            </w:r>
            <w:r>
              <w:t>(</w:t>
            </w:r>
            <w:r w:rsidRPr="00682CE8">
              <w:rPr>
                <w:lang w:val="en-US"/>
              </w:rPr>
              <w:t>Pediatric</w:t>
            </w:r>
            <w:r w:rsidRPr="00682CE8">
              <w:t xml:space="preserve"> </w:t>
            </w:r>
            <w:r w:rsidRPr="00682CE8">
              <w:rPr>
                <w:lang w:val="en-US"/>
              </w:rPr>
              <w:t>Rheumatology</w:t>
            </w:r>
            <w:r w:rsidRPr="00682CE8">
              <w:t xml:space="preserve"> </w:t>
            </w:r>
            <w:r w:rsidRPr="00682CE8">
              <w:rPr>
                <w:lang w:val="en-US"/>
              </w:rPr>
              <w:t>Clinical</w:t>
            </w:r>
            <w:r w:rsidRPr="00682CE8">
              <w:t xml:space="preserve"> </w:t>
            </w:r>
            <w:r w:rsidRPr="00682CE8">
              <w:rPr>
                <w:lang w:val="en-US"/>
              </w:rPr>
              <w:t>Study</w:t>
            </w:r>
            <w:r w:rsidRPr="00682CE8">
              <w:t xml:space="preserve"> </w:t>
            </w:r>
            <w:r w:rsidRPr="00682CE8">
              <w:rPr>
                <w:lang w:val="en-US"/>
              </w:rPr>
              <w:t>Group</w:t>
            </w:r>
            <w:r w:rsidRPr="00682CE8">
              <w:t xml:space="preserve">/Pediatric Rheumatology </w:t>
            </w:r>
            <w:r w:rsidRPr="00682CE8">
              <w:rPr>
                <w:lang w:val="en-US"/>
              </w:rPr>
              <w:t>International</w:t>
            </w:r>
            <w:r w:rsidRPr="00682CE8">
              <w:t xml:space="preserve"> </w:t>
            </w:r>
            <w:r w:rsidRPr="00682CE8">
              <w:rPr>
                <w:lang w:val="en-US"/>
              </w:rPr>
              <w:t>Trials</w:t>
            </w:r>
            <w:r w:rsidRPr="00682CE8">
              <w:t xml:space="preserve"> </w:t>
            </w:r>
            <w:r w:rsidRPr="00682CE8">
              <w:rPr>
                <w:lang w:val="en-US"/>
              </w:rPr>
              <w:t>Organization</w:t>
            </w:r>
            <w:r>
              <w:t>)</w:t>
            </w:r>
            <w:r w:rsidRPr="00682CE8">
              <w:t>.</w:t>
            </w:r>
            <w:r>
              <w:t xml:space="preserve"> </w:t>
            </w:r>
          </w:p>
        </w:tc>
      </w:tr>
    </w:tbl>
    <w:p w14:paraId="0AC5F5B8" w14:textId="77777777" w:rsidR="008F0B41" w:rsidRPr="008F0B41" w:rsidRDefault="008F0B41" w:rsidP="00F13A65">
      <w:pPr>
        <w:pStyle w:val="SDText"/>
        <w:spacing w:after="0"/>
        <w:contextualSpacing/>
      </w:pPr>
    </w:p>
    <w:p w14:paraId="4DE6628F" w14:textId="460EA5A8" w:rsidR="0032771F" w:rsidRDefault="006965B5" w:rsidP="006965B5">
      <w:pPr>
        <w:pStyle w:val="3"/>
        <w:numPr>
          <w:ilvl w:val="0"/>
          <w:numId w:val="0"/>
        </w:numPr>
        <w:ind w:left="720" w:hanging="720"/>
      </w:pPr>
      <w:bookmarkStart w:id="221" w:name="_Toc115421081"/>
      <w:bookmarkStart w:id="222" w:name="_Toc121592600"/>
      <w:r>
        <w:t xml:space="preserve">4.3.1. </w:t>
      </w:r>
      <w:r w:rsidR="00FC11C8" w:rsidRPr="00FC11C8">
        <w:t>Клиническая эффективность</w:t>
      </w:r>
      <w:bookmarkEnd w:id="221"/>
      <w:bookmarkEnd w:id="222"/>
      <w:r w:rsidR="00FC11C8" w:rsidRPr="00FC11C8">
        <w:t xml:space="preserve"> </w:t>
      </w:r>
    </w:p>
    <w:p w14:paraId="096801C5" w14:textId="77777777" w:rsidR="00382C19" w:rsidRPr="00382C19" w:rsidRDefault="00382C19" w:rsidP="00F13A65">
      <w:pPr>
        <w:pStyle w:val="SDText"/>
        <w:spacing w:after="0"/>
        <w:contextualSpacing/>
      </w:pPr>
    </w:p>
    <w:p w14:paraId="3B389DE5" w14:textId="1A767257" w:rsidR="002A02F7" w:rsidRDefault="009E14FC" w:rsidP="00F13A65">
      <w:pPr>
        <w:pStyle w:val="4"/>
        <w:numPr>
          <w:ilvl w:val="0"/>
          <w:numId w:val="0"/>
        </w:numPr>
        <w:ind w:left="864" w:hanging="864"/>
        <w:contextualSpacing/>
      </w:pPr>
      <w:bookmarkStart w:id="223" w:name="_Toc115421082"/>
      <w:bookmarkStart w:id="224" w:name="_Toc121592601"/>
      <w:r>
        <w:t xml:space="preserve">4.3.1.1. </w:t>
      </w:r>
      <w:r w:rsidR="002A02F7" w:rsidRPr="002A02F7">
        <w:t>Ревматоидный артрит</w:t>
      </w:r>
      <w:bookmarkEnd w:id="223"/>
      <w:bookmarkEnd w:id="224"/>
    </w:p>
    <w:p w14:paraId="76188FBF" w14:textId="77777777" w:rsidR="00382C19" w:rsidRPr="00382C19" w:rsidRDefault="00382C19" w:rsidP="00F13A65">
      <w:pPr>
        <w:spacing w:after="0"/>
        <w:contextualSpacing/>
      </w:pPr>
    </w:p>
    <w:p w14:paraId="5CB25CA6" w14:textId="5DA941DB" w:rsidR="005F064C" w:rsidRPr="00382C19" w:rsidRDefault="009E14FC" w:rsidP="00F13A65">
      <w:pPr>
        <w:pStyle w:val="5"/>
        <w:numPr>
          <w:ilvl w:val="0"/>
          <w:numId w:val="0"/>
        </w:numPr>
        <w:contextualSpacing/>
        <w:rPr>
          <w:b/>
          <w:i w:val="0"/>
        </w:rPr>
      </w:pPr>
      <w:r>
        <w:rPr>
          <w:b/>
          <w:i w:val="0"/>
        </w:rPr>
        <w:t xml:space="preserve">4.3.1.1.1. </w:t>
      </w:r>
      <w:r w:rsidR="005F064C" w:rsidRPr="00382C19">
        <w:rPr>
          <w:b/>
          <w:i w:val="0"/>
        </w:rPr>
        <w:t>Таблетки, покрытые пленочной оболочкой</w:t>
      </w:r>
    </w:p>
    <w:p w14:paraId="453AFD1F" w14:textId="77777777" w:rsidR="00382C19" w:rsidRDefault="00382C19" w:rsidP="00F13A65">
      <w:pPr>
        <w:pStyle w:val="SDText"/>
        <w:spacing w:after="0"/>
        <w:contextualSpacing/>
      </w:pPr>
    </w:p>
    <w:p w14:paraId="4502BDEB" w14:textId="362E0F0D" w:rsidR="00A25639" w:rsidRDefault="00E42669" w:rsidP="00F13A65">
      <w:pPr>
        <w:pStyle w:val="SDText"/>
        <w:spacing w:after="0"/>
        <w:contextualSpacing/>
      </w:pPr>
      <w:r>
        <w:t>Эффективность и безопасность тофацитиниба в таблетках, покрытых пленочной оболочкой, оценивали в 6 рандомизированных, двойных слепых контролируемы</w:t>
      </w:r>
      <w:r w:rsidR="00093FC6">
        <w:t>х</w:t>
      </w:r>
      <w:r>
        <w:t xml:space="preserve"> многоцентровы</w:t>
      </w:r>
      <w:r w:rsidR="00093FC6">
        <w:t>х</w:t>
      </w:r>
      <w:r>
        <w:t xml:space="preserve"> </w:t>
      </w:r>
      <w:r w:rsidRPr="006965B5">
        <w:t>исследования</w:t>
      </w:r>
      <w:r w:rsidR="00093FC6" w:rsidRPr="006965B5">
        <w:t>х</w:t>
      </w:r>
      <w:r w:rsidRPr="006965B5">
        <w:t xml:space="preserve"> </w:t>
      </w:r>
      <w:r w:rsidR="009F10A8" w:rsidRPr="006965B5">
        <w:t>(</w:t>
      </w:r>
      <w:r w:rsidR="003B6088" w:rsidRPr="006965B5">
        <w:fldChar w:fldCharType="begin"/>
      </w:r>
      <w:r w:rsidR="003B6088" w:rsidRPr="006965B5">
        <w:instrText xml:space="preserve"> REF _Ref120609890 \h </w:instrText>
      </w:r>
      <w:r w:rsidR="006965B5" w:rsidRPr="006965B5">
        <w:instrText xml:space="preserve"> \* MERGEFORMAT </w:instrText>
      </w:r>
      <w:r w:rsidR="003B6088" w:rsidRPr="006965B5">
        <w:fldChar w:fldCharType="separate"/>
      </w:r>
      <w:r w:rsidR="00383E6F" w:rsidRPr="006965B5">
        <w:rPr>
          <w:bCs/>
        </w:rPr>
        <w:t xml:space="preserve">Таблица </w:t>
      </w:r>
      <w:r w:rsidR="00383E6F" w:rsidRPr="006965B5">
        <w:rPr>
          <w:bCs/>
          <w:noProof/>
        </w:rPr>
        <w:t>4</w:t>
      </w:r>
      <w:r w:rsidR="00383E6F" w:rsidRPr="006965B5">
        <w:rPr>
          <w:bCs/>
        </w:rPr>
        <w:noBreakHyphen/>
      </w:r>
      <w:r w:rsidR="00383E6F" w:rsidRPr="006965B5">
        <w:rPr>
          <w:bCs/>
          <w:noProof/>
        </w:rPr>
        <w:t>4</w:t>
      </w:r>
      <w:r w:rsidR="003B6088" w:rsidRPr="006965B5">
        <w:fldChar w:fldCharType="end"/>
      </w:r>
      <w:r w:rsidR="009F10A8" w:rsidRPr="006965B5">
        <w:t>)</w:t>
      </w:r>
      <w:r w:rsidR="009F10A8">
        <w:t xml:space="preserve"> </w:t>
      </w:r>
      <w:r>
        <w:t>у пациентов старше 18 лет с диагностированным активным РА согласно критериям ACR</w:t>
      </w:r>
      <w:r w:rsidR="009F10A8">
        <w:t xml:space="preserve"> </w:t>
      </w:r>
      <w:r w:rsidR="000920E4">
        <w:fldChar w:fldCharType="begin"/>
      </w:r>
      <w:r w:rsidR="008D5290">
        <w:instrText xml:space="preserve"> ADDIN ZOTERO_ITEM CSL_CITATION {"citationID":"I9WyDZbM","properties":{"formattedCitation":"[24]","plainCitation":"[24]","noteIndex":0},"citationItems":[{"id":87800,"uris":["http://zotero.org/groups/4742804/items/TPCQ89X9"],"itemData":{"id":87800,"type":"webpage","title":"Xeljanz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920E4">
        <w:fldChar w:fldCharType="separate"/>
      </w:r>
      <w:r w:rsidR="00AD0B20">
        <w:rPr>
          <w:rFonts w:cs="Times New Roman"/>
        </w:rPr>
        <w:t>[2</w:t>
      </w:r>
      <w:r w:rsidR="008D5290" w:rsidRPr="008D5290">
        <w:rPr>
          <w:rFonts w:cs="Times New Roman"/>
        </w:rPr>
        <w:t>]</w:t>
      </w:r>
      <w:r w:rsidR="000920E4">
        <w:fldChar w:fldCharType="end"/>
      </w:r>
      <w:r>
        <w:t>.</w:t>
      </w:r>
    </w:p>
    <w:p w14:paraId="4C720644" w14:textId="4CA4CAF1" w:rsidR="005A79AC" w:rsidRDefault="005A79AC" w:rsidP="00F13A65">
      <w:pPr>
        <w:pStyle w:val="SDText"/>
        <w:spacing w:after="0"/>
        <w:contextualSpacing/>
      </w:pPr>
    </w:p>
    <w:p w14:paraId="0C5D03BC" w14:textId="7001B7A6" w:rsidR="00BA4987" w:rsidRDefault="00BA4987" w:rsidP="006965B5">
      <w:pPr>
        <w:pStyle w:val="SDText"/>
        <w:spacing w:after="0"/>
        <w:ind w:firstLine="0"/>
      </w:pPr>
      <w:bookmarkStart w:id="225" w:name="_Ref120609890"/>
      <w:r w:rsidRPr="003B6088">
        <w:rPr>
          <w:b/>
          <w:bCs/>
        </w:rPr>
        <w:t xml:space="preserve">Таблица </w:t>
      </w:r>
      <w:r w:rsidR="00652269" w:rsidRPr="003B6088">
        <w:rPr>
          <w:b/>
          <w:bCs/>
        </w:rPr>
        <w:fldChar w:fldCharType="begin"/>
      </w:r>
      <w:r w:rsidR="00652269" w:rsidRPr="003B6088">
        <w:rPr>
          <w:b/>
          <w:bCs/>
        </w:rPr>
        <w:instrText xml:space="preserve"> STYLEREF 1 \s </w:instrText>
      </w:r>
      <w:r w:rsidR="00652269" w:rsidRPr="003B6088">
        <w:rPr>
          <w:b/>
          <w:bCs/>
        </w:rPr>
        <w:fldChar w:fldCharType="separate"/>
      </w:r>
      <w:r w:rsidR="00383E6F">
        <w:rPr>
          <w:b/>
          <w:bCs/>
          <w:noProof/>
        </w:rPr>
        <w:t>4</w:t>
      </w:r>
      <w:r w:rsidR="00652269" w:rsidRPr="003B6088">
        <w:rPr>
          <w:b/>
          <w:bCs/>
        </w:rPr>
        <w:fldChar w:fldCharType="end"/>
      </w:r>
      <w:r w:rsidR="00652269" w:rsidRPr="003B6088">
        <w:rPr>
          <w:b/>
          <w:bCs/>
        </w:rPr>
        <w:noBreakHyphen/>
      </w:r>
      <w:r w:rsidR="00652269" w:rsidRPr="003B6088">
        <w:rPr>
          <w:b/>
          <w:bCs/>
        </w:rPr>
        <w:fldChar w:fldCharType="begin"/>
      </w:r>
      <w:r w:rsidR="00652269" w:rsidRPr="003B6088">
        <w:rPr>
          <w:b/>
          <w:bCs/>
        </w:rPr>
        <w:instrText xml:space="preserve"> SEQ Таблица \* ARABIC \s 1 </w:instrText>
      </w:r>
      <w:r w:rsidR="00652269" w:rsidRPr="003B6088">
        <w:rPr>
          <w:b/>
          <w:bCs/>
        </w:rPr>
        <w:fldChar w:fldCharType="separate"/>
      </w:r>
      <w:r w:rsidR="00383E6F">
        <w:rPr>
          <w:b/>
          <w:bCs/>
          <w:noProof/>
        </w:rPr>
        <w:t>4</w:t>
      </w:r>
      <w:r w:rsidR="00652269" w:rsidRPr="003B6088">
        <w:rPr>
          <w:b/>
          <w:bCs/>
        </w:rPr>
        <w:fldChar w:fldCharType="end"/>
      </w:r>
      <w:bookmarkEnd w:id="225"/>
      <w:r w:rsidR="003B6088">
        <w:rPr>
          <w:b/>
          <w:bCs/>
        </w:rPr>
        <w:t>.</w:t>
      </w:r>
      <w:r w:rsidRPr="00F932AB">
        <w:t xml:space="preserve"> </w:t>
      </w:r>
      <w:r w:rsidR="00F932AB">
        <w:t xml:space="preserve">Клинические исследования </w:t>
      </w:r>
      <w:r w:rsidR="00F932AB">
        <w:rPr>
          <w:lang w:val="en-US"/>
        </w:rPr>
        <w:t>III</w:t>
      </w:r>
      <w:r w:rsidR="00F932AB" w:rsidRPr="00F932AB">
        <w:t xml:space="preserve"> </w:t>
      </w:r>
      <w:r w:rsidR="00F932AB">
        <w:t>фазы, в которых пациенты с РА получали тофацитиниб в дозе 5 или 10 мг</w:t>
      </w:r>
      <w:r w:rsidR="00C46D47">
        <w:t xml:space="preserve"> 2 раза в день</w:t>
      </w:r>
      <w:r w:rsidR="003B6088">
        <w:t>.</w:t>
      </w:r>
    </w:p>
    <w:tbl>
      <w:tblPr>
        <w:tblStyle w:val="a4"/>
        <w:tblW w:w="0" w:type="auto"/>
        <w:tblInd w:w="108" w:type="dxa"/>
        <w:tblLayout w:type="fixed"/>
        <w:tblLook w:val="04A0" w:firstRow="1" w:lastRow="0" w:firstColumn="1" w:lastColumn="0" w:noHBand="0" w:noVBand="1"/>
      </w:tblPr>
      <w:tblGrid>
        <w:gridCol w:w="1494"/>
        <w:gridCol w:w="1162"/>
        <w:gridCol w:w="1025"/>
        <w:gridCol w:w="935"/>
        <w:gridCol w:w="1338"/>
        <w:gridCol w:w="814"/>
        <w:gridCol w:w="1329"/>
        <w:gridCol w:w="1259"/>
      </w:tblGrid>
      <w:tr w:rsidR="009F5914" w14:paraId="2164C10E" w14:textId="77777777" w:rsidTr="00791E09">
        <w:trPr>
          <w:tblHeader/>
        </w:trPr>
        <w:tc>
          <w:tcPr>
            <w:tcW w:w="1494" w:type="dxa"/>
            <w:shd w:val="clear" w:color="auto" w:fill="D9D9D9" w:themeFill="background1" w:themeFillShade="D9"/>
            <w:vAlign w:val="center"/>
          </w:tcPr>
          <w:p w14:paraId="339BA494" w14:textId="58E4F17C" w:rsidR="00C46D47" w:rsidRPr="00C13EBE" w:rsidRDefault="00C46D47" w:rsidP="00791E09">
            <w:pPr>
              <w:ind w:firstLine="0"/>
              <w:jc w:val="center"/>
              <w:rPr>
                <w:b/>
                <w:bCs/>
                <w:sz w:val="22"/>
              </w:rPr>
            </w:pPr>
            <w:r w:rsidRPr="00C13EBE">
              <w:rPr>
                <w:b/>
                <w:bCs/>
                <w:sz w:val="22"/>
              </w:rPr>
              <w:t>Исследование</w:t>
            </w:r>
          </w:p>
        </w:tc>
        <w:tc>
          <w:tcPr>
            <w:tcW w:w="1162" w:type="dxa"/>
            <w:shd w:val="clear" w:color="auto" w:fill="D9D9D9" w:themeFill="background1" w:themeFillShade="D9"/>
            <w:vAlign w:val="center"/>
          </w:tcPr>
          <w:p w14:paraId="1AB6821D" w14:textId="77777777" w:rsidR="009E4903" w:rsidRPr="00C13EBE" w:rsidRDefault="009E4903" w:rsidP="00791E09">
            <w:pPr>
              <w:ind w:firstLine="0"/>
              <w:jc w:val="center"/>
              <w:rPr>
                <w:b/>
                <w:bCs/>
                <w:sz w:val="22"/>
              </w:rPr>
            </w:pPr>
            <w:r w:rsidRPr="00C13EBE">
              <w:rPr>
                <w:b/>
                <w:bCs/>
                <w:sz w:val="22"/>
              </w:rPr>
              <w:t>Study I</w:t>
            </w:r>
          </w:p>
          <w:p w14:paraId="66AA5C7D" w14:textId="77777777" w:rsidR="009E4903" w:rsidRPr="00C13EBE" w:rsidRDefault="009E4903" w:rsidP="00791E09">
            <w:pPr>
              <w:ind w:firstLine="0"/>
              <w:jc w:val="center"/>
              <w:rPr>
                <w:b/>
                <w:bCs/>
                <w:sz w:val="22"/>
              </w:rPr>
            </w:pPr>
            <w:r w:rsidRPr="00C13EBE">
              <w:rPr>
                <w:b/>
                <w:bCs/>
                <w:sz w:val="22"/>
              </w:rPr>
              <w:t>(ORAL</w:t>
            </w:r>
          </w:p>
          <w:p w14:paraId="75059DD9" w14:textId="74605B3C" w:rsidR="00C46D47" w:rsidRPr="00C13EBE" w:rsidRDefault="009E4903" w:rsidP="00791E09">
            <w:pPr>
              <w:ind w:firstLine="0"/>
              <w:jc w:val="center"/>
              <w:rPr>
                <w:b/>
                <w:bCs/>
                <w:sz w:val="22"/>
              </w:rPr>
            </w:pPr>
            <w:r w:rsidRPr="00C13EBE">
              <w:rPr>
                <w:b/>
                <w:bCs/>
                <w:sz w:val="22"/>
              </w:rPr>
              <w:t>Solo)</w:t>
            </w:r>
          </w:p>
        </w:tc>
        <w:tc>
          <w:tcPr>
            <w:tcW w:w="1025" w:type="dxa"/>
            <w:shd w:val="clear" w:color="auto" w:fill="D9D9D9" w:themeFill="background1" w:themeFillShade="D9"/>
            <w:vAlign w:val="center"/>
          </w:tcPr>
          <w:p w14:paraId="2406C1C1" w14:textId="77777777" w:rsidR="009E4903" w:rsidRPr="00C13EBE" w:rsidRDefault="009E4903" w:rsidP="00791E09">
            <w:pPr>
              <w:ind w:firstLine="0"/>
              <w:jc w:val="center"/>
              <w:rPr>
                <w:b/>
                <w:bCs/>
                <w:sz w:val="22"/>
              </w:rPr>
            </w:pPr>
            <w:r w:rsidRPr="00C13EBE">
              <w:rPr>
                <w:b/>
                <w:bCs/>
                <w:sz w:val="22"/>
              </w:rPr>
              <w:t>Study II</w:t>
            </w:r>
          </w:p>
          <w:p w14:paraId="3243CA27" w14:textId="77777777" w:rsidR="009E4903" w:rsidRPr="00C13EBE" w:rsidRDefault="009E4903" w:rsidP="00791E09">
            <w:pPr>
              <w:ind w:firstLine="0"/>
              <w:jc w:val="center"/>
              <w:rPr>
                <w:b/>
                <w:bCs/>
                <w:sz w:val="22"/>
              </w:rPr>
            </w:pPr>
            <w:r w:rsidRPr="00C13EBE">
              <w:rPr>
                <w:b/>
                <w:bCs/>
                <w:sz w:val="22"/>
              </w:rPr>
              <w:t>(ORAL</w:t>
            </w:r>
          </w:p>
          <w:p w14:paraId="73859719" w14:textId="21166D00" w:rsidR="00C46D47" w:rsidRPr="00C13EBE" w:rsidRDefault="009E4903" w:rsidP="00791E09">
            <w:pPr>
              <w:ind w:firstLine="0"/>
              <w:jc w:val="center"/>
              <w:rPr>
                <w:b/>
                <w:bCs/>
                <w:sz w:val="22"/>
              </w:rPr>
            </w:pPr>
            <w:r w:rsidRPr="00C13EBE">
              <w:rPr>
                <w:b/>
                <w:bCs/>
                <w:sz w:val="22"/>
              </w:rPr>
              <w:t>Sync)</w:t>
            </w:r>
          </w:p>
        </w:tc>
        <w:tc>
          <w:tcPr>
            <w:tcW w:w="935" w:type="dxa"/>
            <w:shd w:val="clear" w:color="auto" w:fill="D9D9D9" w:themeFill="background1" w:themeFillShade="D9"/>
            <w:vAlign w:val="center"/>
          </w:tcPr>
          <w:p w14:paraId="6C307B02" w14:textId="77777777" w:rsidR="009E4903" w:rsidRPr="00C13EBE" w:rsidRDefault="009E4903" w:rsidP="00791E09">
            <w:pPr>
              <w:ind w:firstLine="0"/>
              <w:jc w:val="center"/>
              <w:rPr>
                <w:b/>
                <w:bCs/>
                <w:sz w:val="22"/>
              </w:rPr>
            </w:pPr>
            <w:r w:rsidRPr="00C13EBE">
              <w:rPr>
                <w:b/>
                <w:bCs/>
                <w:sz w:val="22"/>
              </w:rPr>
              <w:t>Study III</w:t>
            </w:r>
          </w:p>
          <w:p w14:paraId="1AEBEA19" w14:textId="77777777" w:rsidR="009E4903" w:rsidRPr="00C13EBE" w:rsidRDefault="009E4903" w:rsidP="00791E09">
            <w:pPr>
              <w:ind w:firstLine="0"/>
              <w:jc w:val="center"/>
              <w:rPr>
                <w:b/>
                <w:bCs/>
                <w:sz w:val="22"/>
              </w:rPr>
            </w:pPr>
            <w:r w:rsidRPr="00C13EBE">
              <w:rPr>
                <w:b/>
                <w:bCs/>
                <w:sz w:val="22"/>
              </w:rPr>
              <w:t>(ORAL</w:t>
            </w:r>
          </w:p>
          <w:p w14:paraId="6702914A" w14:textId="678089FC" w:rsidR="00C46D47" w:rsidRPr="00C13EBE" w:rsidRDefault="009E4903" w:rsidP="00791E09">
            <w:pPr>
              <w:ind w:firstLine="0"/>
              <w:jc w:val="center"/>
              <w:rPr>
                <w:b/>
                <w:bCs/>
                <w:sz w:val="22"/>
              </w:rPr>
            </w:pPr>
            <w:r w:rsidRPr="00C13EBE">
              <w:rPr>
                <w:b/>
                <w:bCs/>
                <w:sz w:val="22"/>
              </w:rPr>
              <w:t>Standard)</w:t>
            </w:r>
          </w:p>
        </w:tc>
        <w:tc>
          <w:tcPr>
            <w:tcW w:w="1338" w:type="dxa"/>
            <w:shd w:val="clear" w:color="auto" w:fill="D9D9D9" w:themeFill="background1" w:themeFillShade="D9"/>
            <w:vAlign w:val="center"/>
          </w:tcPr>
          <w:p w14:paraId="420368FF" w14:textId="77777777" w:rsidR="009E4903" w:rsidRPr="00C13EBE" w:rsidRDefault="009E4903" w:rsidP="00791E09">
            <w:pPr>
              <w:ind w:firstLine="0"/>
              <w:jc w:val="center"/>
              <w:rPr>
                <w:b/>
                <w:bCs/>
                <w:sz w:val="22"/>
              </w:rPr>
            </w:pPr>
            <w:r w:rsidRPr="00C13EBE">
              <w:rPr>
                <w:b/>
                <w:bCs/>
                <w:sz w:val="22"/>
              </w:rPr>
              <w:t>Study IV</w:t>
            </w:r>
          </w:p>
          <w:p w14:paraId="17DFE212" w14:textId="77777777" w:rsidR="009E4903" w:rsidRPr="00C13EBE" w:rsidRDefault="009E4903" w:rsidP="00791E09">
            <w:pPr>
              <w:ind w:firstLine="0"/>
              <w:jc w:val="center"/>
              <w:rPr>
                <w:b/>
                <w:bCs/>
                <w:sz w:val="22"/>
              </w:rPr>
            </w:pPr>
            <w:r w:rsidRPr="00C13EBE">
              <w:rPr>
                <w:b/>
                <w:bCs/>
                <w:sz w:val="22"/>
              </w:rPr>
              <w:t>(ORAL</w:t>
            </w:r>
          </w:p>
          <w:p w14:paraId="688CC3C9" w14:textId="617D5AEF" w:rsidR="00C46D47" w:rsidRPr="00C13EBE" w:rsidRDefault="009E4903" w:rsidP="00791E09">
            <w:pPr>
              <w:ind w:firstLine="0"/>
              <w:jc w:val="center"/>
              <w:rPr>
                <w:b/>
                <w:bCs/>
                <w:sz w:val="22"/>
              </w:rPr>
            </w:pPr>
            <w:r w:rsidRPr="00C13EBE">
              <w:rPr>
                <w:b/>
                <w:bCs/>
                <w:sz w:val="22"/>
              </w:rPr>
              <w:t>Scan)</w:t>
            </w:r>
          </w:p>
        </w:tc>
        <w:tc>
          <w:tcPr>
            <w:tcW w:w="814" w:type="dxa"/>
            <w:shd w:val="clear" w:color="auto" w:fill="D9D9D9" w:themeFill="background1" w:themeFillShade="D9"/>
            <w:vAlign w:val="center"/>
          </w:tcPr>
          <w:p w14:paraId="1F635220" w14:textId="77777777" w:rsidR="009E4903" w:rsidRPr="00C13EBE" w:rsidRDefault="009E4903" w:rsidP="00791E09">
            <w:pPr>
              <w:ind w:firstLine="0"/>
              <w:jc w:val="center"/>
              <w:rPr>
                <w:b/>
                <w:bCs/>
                <w:sz w:val="22"/>
              </w:rPr>
            </w:pPr>
            <w:r w:rsidRPr="00C13EBE">
              <w:rPr>
                <w:b/>
                <w:bCs/>
                <w:sz w:val="22"/>
              </w:rPr>
              <w:t>Study V</w:t>
            </w:r>
          </w:p>
          <w:p w14:paraId="4052565D" w14:textId="77777777" w:rsidR="009E4903" w:rsidRPr="00C13EBE" w:rsidRDefault="009E4903" w:rsidP="00791E09">
            <w:pPr>
              <w:ind w:firstLine="0"/>
              <w:jc w:val="center"/>
              <w:rPr>
                <w:b/>
                <w:bCs/>
                <w:sz w:val="22"/>
              </w:rPr>
            </w:pPr>
            <w:r w:rsidRPr="00C13EBE">
              <w:rPr>
                <w:b/>
                <w:bCs/>
                <w:sz w:val="22"/>
              </w:rPr>
              <w:t>(ORAL</w:t>
            </w:r>
          </w:p>
          <w:p w14:paraId="7B3FD22E" w14:textId="31C8053A" w:rsidR="00C46D47" w:rsidRPr="00C13EBE" w:rsidRDefault="009E4903" w:rsidP="00791E09">
            <w:pPr>
              <w:ind w:firstLine="0"/>
              <w:jc w:val="center"/>
              <w:rPr>
                <w:b/>
                <w:bCs/>
                <w:sz w:val="22"/>
              </w:rPr>
            </w:pPr>
            <w:r w:rsidRPr="00C13EBE">
              <w:rPr>
                <w:b/>
                <w:bCs/>
                <w:sz w:val="22"/>
              </w:rPr>
              <w:t>Step)</w:t>
            </w:r>
          </w:p>
        </w:tc>
        <w:tc>
          <w:tcPr>
            <w:tcW w:w="1329" w:type="dxa"/>
            <w:shd w:val="clear" w:color="auto" w:fill="D9D9D9" w:themeFill="background1" w:themeFillShade="D9"/>
            <w:vAlign w:val="center"/>
          </w:tcPr>
          <w:p w14:paraId="263961AA" w14:textId="77777777" w:rsidR="0090535F" w:rsidRPr="00C13EBE" w:rsidRDefault="0090535F" w:rsidP="00791E09">
            <w:pPr>
              <w:ind w:firstLine="0"/>
              <w:jc w:val="center"/>
              <w:rPr>
                <w:b/>
                <w:bCs/>
                <w:sz w:val="22"/>
              </w:rPr>
            </w:pPr>
            <w:r w:rsidRPr="00C13EBE">
              <w:rPr>
                <w:b/>
                <w:bCs/>
                <w:sz w:val="22"/>
              </w:rPr>
              <w:t>Study VI</w:t>
            </w:r>
          </w:p>
          <w:p w14:paraId="02646C8F" w14:textId="77777777" w:rsidR="0090535F" w:rsidRPr="00C13EBE" w:rsidRDefault="0090535F" w:rsidP="00791E09">
            <w:pPr>
              <w:ind w:firstLine="0"/>
              <w:jc w:val="center"/>
              <w:rPr>
                <w:b/>
                <w:bCs/>
                <w:sz w:val="22"/>
              </w:rPr>
            </w:pPr>
            <w:r w:rsidRPr="00C13EBE">
              <w:rPr>
                <w:b/>
                <w:bCs/>
                <w:sz w:val="22"/>
              </w:rPr>
              <w:t>(ORAL</w:t>
            </w:r>
          </w:p>
          <w:p w14:paraId="5A6F1895" w14:textId="365E5C5B" w:rsidR="00C46D47" w:rsidRPr="00C13EBE" w:rsidRDefault="0090535F" w:rsidP="00791E09">
            <w:pPr>
              <w:ind w:firstLine="0"/>
              <w:jc w:val="center"/>
              <w:rPr>
                <w:b/>
                <w:bCs/>
                <w:sz w:val="22"/>
              </w:rPr>
            </w:pPr>
            <w:r w:rsidRPr="00C13EBE">
              <w:rPr>
                <w:b/>
                <w:bCs/>
                <w:sz w:val="22"/>
              </w:rPr>
              <w:t>Start)</w:t>
            </w:r>
          </w:p>
        </w:tc>
        <w:tc>
          <w:tcPr>
            <w:tcW w:w="1259" w:type="dxa"/>
            <w:shd w:val="clear" w:color="auto" w:fill="D9D9D9" w:themeFill="background1" w:themeFillShade="D9"/>
            <w:vAlign w:val="center"/>
          </w:tcPr>
          <w:p w14:paraId="41310ECB" w14:textId="77777777" w:rsidR="0090535F" w:rsidRPr="00C13EBE" w:rsidRDefault="0090535F" w:rsidP="00791E09">
            <w:pPr>
              <w:ind w:firstLine="0"/>
              <w:jc w:val="center"/>
              <w:rPr>
                <w:b/>
                <w:bCs/>
                <w:sz w:val="22"/>
              </w:rPr>
            </w:pPr>
            <w:r w:rsidRPr="00C13EBE">
              <w:rPr>
                <w:b/>
                <w:bCs/>
                <w:sz w:val="22"/>
              </w:rPr>
              <w:t>Study VII</w:t>
            </w:r>
          </w:p>
          <w:p w14:paraId="121161F5" w14:textId="77777777" w:rsidR="0090535F" w:rsidRPr="00C13EBE" w:rsidRDefault="0090535F" w:rsidP="00791E09">
            <w:pPr>
              <w:ind w:firstLine="0"/>
              <w:jc w:val="center"/>
              <w:rPr>
                <w:b/>
                <w:bCs/>
                <w:sz w:val="22"/>
              </w:rPr>
            </w:pPr>
            <w:r w:rsidRPr="00C13EBE">
              <w:rPr>
                <w:b/>
                <w:bCs/>
                <w:sz w:val="22"/>
              </w:rPr>
              <w:t>(ORAL</w:t>
            </w:r>
          </w:p>
          <w:p w14:paraId="730EFF4A" w14:textId="3FE7B02C" w:rsidR="00C46D47" w:rsidRPr="00C13EBE" w:rsidRDefault="0090535F" w:rsidP="00791E09">
            <w:pPr>
              <w:ind w:firstLine="0"/>
              <w:jc w:val="center"/>
              <w:rPr>
                <w:b/>
                <w:bCs/>
                <w:sz w:val="22"/>
              </w:rPr>
            </w:pPr>
            <w:r w:rsidRPr="00C13EBE">
              <w:rPr>
                <w:b/>
                <w:bCs/>
                <w:sz w:val="22"/>
              </w:rPr>
              <w:t>Strategy)</w:t>
            </w:r>
          </w:p>
        </w:tc>
      </w:tr>
      <w:tr w:rsidR="009F5914" w14:paraId="471589A2" w14:textId="77777777" w:rsidTr="006965B5">
        <w:tc>
          <w:tcPr>
            <w:tcW w:w="1494" w:type="dxa"/>
            <w:vAlign w:val="center"/>
          </w:tcPr>
          <w:p w14:paraId="314F03A3" w14:textId="1DCEE145" w:rsidR="00C46D47" w:rsidRPr="00C13EBE" w:rsidRDefault="00EC7CD7" w:rsidP="00C46D47">
            <w:pPr>
              <w:ind w:firstLine="0"/>
              <w:rPr>
                <w:sz w:val="22"/>
              </w:rPr>
            </w:pPr>
            <w:r w:rsidRPr="00C13EBE">
              <w:rPr>
                <w:sz w:val="22"/>
              </w:rPr>
              <w:t>Популяция</w:t>
            </w:r>
          </w:p>
        </w:tc>
        <w:tc>
          <w:tcPr>
            <w:tcW w:w="1162" w:type="dxa"/>
            <w:vAlign w:val="center"/>
          </w:tcPr>
          <w:p w14:paraId="3F4B5DFB" w14:textId="40675138" w:rsidR="00C46D47" w:rsidRPr="00C13EBE" w:rsidRDefault="0078672F" w:rsidP="00C46D47">
            <w:pPr>
              <w:ind w:firstLine="0"/>
              <w:rPr>
                <w:sz w:val="22"/>
              </w:rPr>
            </w:pPr>
            <w:r w:rsidRPr="00C13EBE">
              <w:rPr>
                <w:sz w:val="22"/>
              </w:rPr>
              <w:t>DMARD-IR</w:t>
            </w:r>
          </w:p>
        </w:tc>
        <w:tc>
          <w:tcPr>
            <w:tcW w:w="1025" w:type="dxa"/>
            <w:vAlign w:val="center"/>
          </w:tcPr>
          <w:p w14:paraId="496130E3" w14:textId="670D7CD9" w:rsidR="00C46D47" w:rsidRPr="00C13EBE" w:rsidRDefault="0078672F" w:rsidP="00C46D47">
            <w:pPr>
              <w:ind w:firstLine="0"/>
              <w:rPr>
                <w:sz w:val="22"/>
              </w:rPr>
            </w:pPr>
            <w:r w:rsidRPr="00C13EBE">
              <w:rPr>
                <w:sz w:val="22"/>
              </w:rPr>
              <w:t>DMARD</w:t>
            </w:r>
            <w:r w:rsidR="00F95415" w:rsidRPr="00C13EBE">
              <w:rPr>
                <w:sz w:val="22"/>
              </w:rPr>
              <w:t>-</w:t>
            </w:r>
            <w:r w:rsidRPr="00C13EBE">
              <w:rPr>
                <w:sz w:val="22"/>
              </w:rPr>
              <w:t>IR</w:t>
            </w:r>
          </w:p>
        </w:tc>
        <w:tc>
          <w:tcPr>
            <w:tcW w:w="935" w:type="dxa"/>
            <w:vAlign w:val="center"/>
          </w:tcPr>
          <w:p w14:paraId="309D51FA" w14:textId="0547C98A" w:rsidR="00C46D47" w:rsidRPr="00C13EBE" w:rsidRDefault="0078672F" w:rsidP="00C46D47">
            <w:pPr>
              <w:ind w:firstLine="0"/>
              <w:rPr>
                <w:sz w:val="22"/>
              </w:rPr>
            </w:pPr>
            <w:r w:rsidRPr="00C13EBE">
              <w:rPr>
                <w:sz w:val="22"/>
              </w:rPr>
              <w:t>MTX-IR</w:t>
            </w:r>
          </w:p>
        </w:tc>
        <w:tc>
          <w:tcPr>
            <w:tcW w:w="1338" w:type="dxa"/>
            <w:vAlign w:val="center"/>
          </w:tcPr>
          <w:p w14:paraId="1E5EB1AC" w14:textId="427CB1C1" w:rsidR="00C46D47" w:rsidRPr="00C13EBE" w:rsidRDefault="00EB04B0" w:rsidP="00C46D47">
            <w:pPr>
              <w:ind w:firstLine="0"/>
              <w:rPr>
                <w:sz w:val="22"/>
              </w:rPr>
            </w:pPr>
            <w:r w:rsidRPr="00C13EBE">
              <w:rPr>
                <w:sz w:val="22"/>
              </w:rPr>
              <w:t>MTX-IR</w:t>
            </w:r>
          </w:p>
        </w:tc>
        <w:tc>
          <w:tcPr>
            <w:tcW w:w="814" w:type="dxa"/>
            <w:vAlign w:val="center"/>
          </w:tcPr>
          <w:p w14:paraId="31D2E2C2" w14:textId="60221687" w:rsidR="00C46D47" w:rsidRPr="00C13EBE" w:rsidRDefault="00EB04B0" w:rsidP="00C46D47">
            <w:pPr>
              <w:ind w:firstLine="0"/>
              <w:rPr>
                <w:sz w:val="22"/>
              </w:rPr>
            </w:pPr>
            <w:r w:rsidRPr="00C13EBE">
              <w:rPr>
                <w:sz w:val="22"/>
              </w:rPr>
              <w:t>TNFi-IR</w:t>
            </w:r>
          </w:p>
        </w:tc>
        <w:tc>
          <w:tcPr>
            <w:tcW w:w="1329" w:type="dxa"/>
            <w:vAlign w:val="center"/>
          </w:tcPr>
          <w:p w14:paraId="02520D10" w14:textId="2BD294EB" w:rsidR="00C46D47" w:rsidRPr="00C13EBE" w:rsidRDefault="00EB04B0" w:rsidP="00C46D47">
            <w:pPr>
              <w:ind w:firstLine="0"/>
              <w:rPr>
                <w:sz w:val="22"/>
              </w:rPr>
            </w:pPr>
            <w:r w:rsidRPr="00C13EBE">
              <w:rPr>
                <w:sz w:val="22"/>
              </w:rPr>
              <w:t>MTX-наивные</w:t>
            </w:r>
          </w:p>
        </w:tc>
        <w:tc>
          <w:tcPr>
            <w:tcW w:w="1259" w:type="dxa"/>
            <w:vAlign w:val="center"/>
          </w:tcPr>
          <w:p w14:paraId="20CBD776" w14:textId="3D95DFD9" w:rsidR="00C46D47" w:rsidRPr="00C13EBE" w:rsidRDefault="005E7F63" w:rsidP="00C46D47">
            <w:pPr>
              <w:ind w:firstLine="0"/>
              <w:rPr>
                <w:sz w:val="22"/>
              </w:rPr>
            </w:pPr>
            <w:r w:rsidRPr="00C13EBE">
              <w:rPr>
                <w:sz w:val="22"/>
              </w:rPr>
              <w:t>MTX-IR</w:t>
            </w:r>
          </w:p>
        </w:tc>
      </w:tr>
      <w:tr w:rsidR="00A66DFC" w14:paraId="530A3A6A" w14:textId="77777777" w:rsidTr="006965B5">
        <w:tc>
          <w:tcPr>
            <w:tcW w:w="1494" w:type="dxa"/>
            <w:vAlign w:val="center"/>
          </w:tcPr>
          <w:p w14:paraId="204DEC70" w14:textId="33A55102" w:rsidR="005E7F63" w:rsidRPr="00C13EBE" w:rsidRDefault="005E7F63" w:rsidP="005E7F63">
            <w:pPr>
              <w:ind w:firstLine="0"/>
              <w:rPr>
                <w:sz w:val="22"/>
              </w:rPr>
            </w:pPr>
            <w:r w:rsidRPr="00C13EBE">
              <w:rPr>
                <w:sz w:val="22"/>
              </w:rPr>
              <w:t>Контроль</w:t>
            </w:r>
          </w:p>
        </w:tc>
        <w:tc>
          <w:tcPr>
            <w:tcW w:w="1162" w:type="dxa"/>
            <w:vAlign w:val="center"/>
          </w:tcPr>
          <w:p w14:paraId="68743D55" w14:textId="665C351D" w:rsidR="005E7F63" w:rsidRPr="00C13EBE" w:rsidRDefault="005E7F63" w:rsidP="005E7F63">
            <w:pPr>
              <w:ind w:firstLine="0"/>
              <w:rPr>
                <w:sz w:val="22"/>
              </w:rPr>
            </w:pPr>
            <w:r w:rsidRPr="00C13EBE">
              <w:rPr>
                <w:sz w:val="22"/>
              </w:rPr>
              <w:t>Плацебо</w:t>
            </w:r>
          </w:p>
        </w:tc>
        <w:tc>
          <w:tcPr>
            <w:tcW w:w="1025" w:type="dxa"/>
            <w:vAlign w:val="center"/>
          </w:tcPr>
          <w:p w14:paraId="4E61CC01" w14:textId="2CA739EF" w:rsidR="005E7F63" w:rsidRPr="00C13EBE" w:rsidRDefault="005E7F63" w:rsidP="005E7F63">
            <w:pPr>
              <w:ind w:firstLine="0"/>
              <w:rPr>
                <w:sz w:val="22"/>
              </w:rPr>
            </w:pPr>
            <w:r w:rsidRPr="00C13EBE">
              <w:rPr>
                <w:sz w:val="22"/>
              </w:rPr>
              <w:t>Плацебо</w:t>
            </w:r>
          </w:p>
        </w:tc>
        <w:tc>
          <w:tcPr>
            <w:tcW w:w="935" w:type="dxa"/>
            <w:vAlign w:val="center"/>
          </w:tcPr>
          <w:p w14:paraId="18DC324F" w14:textId="26663F85" w:rsidR="005E7F63" w:rsidRPr="00C13EBE" w:rsidRDefault="005E7F63" w:rsidP="005E7F63">
            <w:pPr>
              <w:ind w:firstLine="0"/>
              <w:rPr>
                <w:sz w:val="22"/>
              </w:rPr>
            </w:pPr>
            <w:r w:rsidRPr="00C13EBE">
              <w:rPr>
                <w:sz w:val="22"/>
              </w:rPr>
              <w:t>Плацебо</w:t>
            </w:r>
          </w:p>
        </w:tc>
        <w:tc>
          <w:tcPr>
            <w:tcW w:w="1338" w:type="dxa"/>
            <w:vAlign w:val="center"/>
          </w:tcPr>
          <w:p w14:paraId="5282C269" w14:textId="3B9FA5E9" w:rsidR="005E7F63" w:rsidRPr="00C13EBE" w:rsidRDefault="005E7F63" w:rsidP="005E7F63">
            <w:pPr>
              <w:ind w:firstLine="0"/>
              <w:rPr>
                <w:sz w:val="22"/>
              </w:rPr>
            </w:pPr>
            <w:r w:rsidRPr="00C13EBE">
              <w:rPr>
                <w:sz w:val="22"/>
              </w:rPr>
              <w:t>Плацебо</w:t>
            </w:r>
          </w:p>
        </w:tc>
        <w:tc>
          <w:tcPr>
            <w:tcW w:w="814" w:type="dxa"/>
            <w:vAlign w:val="center"/>
          </w:tcPr>
          <w:p w14:paraId="7D691B72" w14:textId="76ACB841" w:rsidR="005E7F63" w:rsidRPr="00C13EBE" w:rsidRDefault="005E7F63" w:rsidP="005E7F63">
            <w:pPr>
              <w:ind w:firstLine="0"/>
              <w:rPr>
                <w:sz w:val="22"/>
              </w:rPr>
            </w:pPr>
            <w:r w:rsidRPr="00C13EBE">
              <w:rPr>
                <w:sz w:val="22"/>
              </w:rPr>
              <w:t>Плацебо</w:t>
            </w:r>
          </w:p>
        </w:tc>
        <w:tc>
          <w:tcPr>
            <w:tcW w:w="1329" w:type="dxa"/>
            <w:vAlign w:val="center"/>
          </w:tcPr>
          <w:p w14:paraId="444ED46F" w14:textId="080D58CE" w:rsidR="005E7F63" w:rsidRPr="00C13EBE" w:rsidRDefault="005E7F63" w:rsidP="005E7F63">
            <w:pPr>
              <w:ind w:firstLine="0"/>
              <w:rPr>
                <w:sz w:val="22"/>
              </w:rPr>
            </w:pPr>
            <w:r w:rsidRPr="00C13EBE">
              <w:rPr>
                <w:sz w:val="22"/>
              </w:rPr>
              <w:t>MTX</w:t>
            </w:r>
          </w:p>
        </w:tc>
        <w:tc>
          <w:tcPr>
            <w:tcW w:w="1259" w:type="dxa"/>
            <w:vAlign w:val="center"/>
          </w:tcPr>
          <w:p w14:paraId="1F386F15" w14:textId="6089665B" w:rsidR="005E7F63" w:rsidRPr="00C13EBE" w:rsidRDefault="005E7F63" w:rsidP="005E7F63">
            <w:pPr>
              <w:ind w:firstLine="0"/>
              <w:rPr>
                <w:sz w:val="22"/>
                <w:lang w:val="en-US"/>
              </w:rPr>
            </w:pPr>
            <w:r w:rsidRPr="00C13EBE">
              <w:rPr>
                <w:sz w:val="22"/>
              </w:rPr>
              <w:t xml:space="preserve">MTX, </w:t>
            </w:r>
            <w:r w:rsidR="00065472" w:rsidRPr="00C13EBE">
              <w:rPr>
                <w:sz w:val="22"/>
                <w:lang w:val="en-US"/>
              </w:rPr>
              <w:t>ADA</w:t>
            </w:r>
          </w:p>
        </w:tc>
      </w:tr>
      <w:tr w:rsidR="00A66DFC" w14:paraId="0EEE2367" w14:textId="77777777" w:rsidTr="006965B5">
        <w:tc>
          <w:tcPr>
            <w:tcW w:w="1494" w:type="dxa"/>
            <w:vAlign w:val="center"/>
          </w:tcPr>
          <w:p w14:paraId="4A6FE0C7" w14:textId="6B61DD22" w:rsidR="00065472" w:rsidRPr="00C13EBE" w:rsidRDefault="00065472" w:rsidP="00065472">
            <w:pPr>
              <w:ind w:firstLine="0"/>
              <w:rPr>
                <w:sz w:val="22"/>
              </w:rPr>
            </w:pPr>
            <w:r w:rsidRPr="00C13EBE">
              <w:rPr>
                <w:sz w:val="22"/>
              </w:rPr>
              <w:t>Базовая терапия</w:t>
            </w:r>
          </w:p>
        </w:tc>
        <w:tc>
          <w:tcPr>
            <w:tcW w:w="1162" w:type="dxa"/>
            <w:vAlign w:val="center"/>
          </w:tcPr>
          <w:p w14:paraId="410F1E31" w14:textId="74050BAA" w:rsidR="00065472" w:rsidRPr="00C13EBE" w:rsidRDefault="00065472" w:rsidP="00065472">
            <w:pPr>
              <w:ind w:firstLine="0"/>
              <w:rPr>
                <w:sz w:val="22"/>
              </w:rPr>
            </w:pPr>
            <w:r w:rsidRPr="00C13EBE">
              <w:rPr>
                <w:sz w:val="22"/>
              </w:rPr>
              <w:t>Отсутствие</w:t>
            </w:r>
          </w:p>
        </w:tc>
        <w:tc>
          <w:tcPr>
            <w:tcW w:w="1025" w:type="dxa"/>
            <w:vAlign w:val="center"/>
          </w:tcPr>
          <w:p w14:paraId="7C0606DA" w14:textId="214BC174" w:rsidR="00065472" w:rsidRPr="00C13EBE" w:rsidRDefault="00065472" w:rsidP="00065472">
            <w:pPr>
              <w:ind w:firstLine="0"/>
              <w:rPr>
                <w:sz w:val="22"/>
              </w:rPr>
            </w:pPr>
            <w:r w:rsidRPr="00C13EBE">
              <w:rPr>
                <w:sz w:val="22"/>
              </w:rPr>
              <w:t>csDMARDs</w:t>
            </w:r>
          </w:p>
        </w:tc>
        <w:tc>
          <w:tcPr>
            <w:tcW w:w="935" w:type="dxa"/>
            <w:vAlign w:val="center"/>
          </w:tcPr>
          <w:p w14:paraId="0E41DD39" w14:textId="4000534B" w:rsidR="00065472" w:rsidRPr="00C13EBE" w:rsidRDefault="00065472" w:rsidP="00065472">
            <w:pPr>
              <w:ind w:firstLine="0"/>
              <w:rPr>
                <w:sz w:val="22"/>
              </w:rPr>
            </w:pPr>
            <w:r w:rsidRPr="00C13EBE">
              <w:rPr>
                <w:sz w:val="22"/>
              </w:rPr>
              <w:t xml:space="preserve">MTX </w:t>
            </w:r>
          </w:p>
        </w:tc>
        <w:tc>
          <w:tcPr>
            <w:tcW w:w="1338" w:type="dxa"/>
            <w:vAlign w:val="center"/>
          </w:tcPr>
          <w:p w14:paraId="0FD08949" w14:textId="44C0A9B7" w:rsidR="00065472" w:rsidRPr="00C13EBE" w:rsidRDefault="00065472" w:rsidP="00065472">
            <w:pPr>
              <w:ind w:firstLine="0"/>
              <w:rPr>
                <w:sz w:val="22"/>
              </w:rPr>
            </w:pPr>
            <w:r w:rsidRPr="00C13EBE">
              <w:rPr>
                <w:sz w:val="22"/>
              </w:rPr>
              <w:t xml:space="preserve">MTX </w:t>
            </w:r>
          </w:p>
        </w:tc>
        <w:tc>
          <w:tcPr>
            <w:tcW w:w="814" w:type="dxa"/>
            <w:vAlign w:val="center"/>
          </w:tcPr>
          <w:p w14:paraId="4E2F6420" w14:textId="6E897D45" w:rsidR="00065472" w:rsidRPr="00C13EBE" w:rsidRDefault="00065472" w:rsidP="00065472">
            <w:pPr>
              <w:ind w:firstLine="0"/>
              <w:rPr>
                <w:sz w:val="22"/>
              </w:rPr>
            </w:pPr>
            <w:r w:rsidRPr="00C13EBE">
              <w:rPr>
                <w:sz w:val="22"/>
              </w:rPr>
              <w:t xml:space="preserve">MTX </w:t>
            </w:r>
          </w:p>
        </w:tc>
        <w:tc>
          <w:tcPr>
            <w:tcW w:w="1329" w:type="dxa"/>
            <w:vAlign w:val="center"/>
          </w:tcPr>
          <w:p w14:paraId="0B20F8B8" w14:textId="7891FD4D" w:rsidR="00065472" w:rsidRPr="00C13EBE" w:rsidRDefault="00053250" w:rsidP="00065472">
            <w:pPr>
              <w:ind w:firstLine="0"/>
              <w:rPr>
                <w:sz w:val="22"/>
              </w:rPr>
            </w:pPr>
            <w:r w:rsidRPr="00C13EBE">
              <w:rPr>
                <w:sz w:val="22"/>
              </w:rPr>
              <w:t>Отсутствие</w:t>
            </w:r>
          </w:p>
        </w:tc>
        <w:tc>
          <w:tcPr>
            <w:tcW w:w="1259" w:type="dxa"/>
            <w:vAlign w:val="center"/>
          </w:tcPr>
          <w:p w14:paraId="36DC0063" w14:textId="77777777" w:rsidR="00065472" w:rsidRPr="00C13EBE" w:rsidRDefault="00053250" w:rsidP="00065472">
            <w:pPr>
              <w:ind w:firstLine="0"/>
              <w:rPr>
                <w:sz w:val="22"/>
              </w:rPr>
            </w:pPr>
            <w:r w:rsidRPr="00C13EBE">
              <w:rPr>
                <w:sz w:val="22"/>
              </w:rPr>
              <w:t>3 параллельные группы:</w:t>
            </w:r>
          </w:p>
          <w:p w14:paraId="0AF25D33" w14:textId="646FE65A" w:rsidR="007903E8" w:rsidRPr="00C13EBE" w:rsidRDefault="007903E8" w:rsidP="00065472">
            <w:pPr>
              <w:ind w:firstLine="0"/>
              <w:rPr>
                <w:sz w:val="22"/>
              </w:rPr>
            </w:pPr>
            <w:r w:rsidRPr="00C13EBE">
              <w:rPr>
                <w:sz w:val="22"/>
              </w:rPr>
              <w:t>монотерапия тофацитинибом, тофацитиниб + MTX</w:t>
            </w:r>
            <w:r w:rsidR="00810DA0" w:rsidRPr="00C13EBE">
              <w:rPr>
                <w:sz w:val="22"/>
              </w:rPr>
              <w:t xml:space="preserve">, </w:t>
            </w:r>
            <w:r w:rsidR="00810DA0" w:rsidRPr="00C13EBE">
              <w:rPr>
                <w:sz w:val="22"/>
                <w:lang w:val="en-US"/>
              </w:rPr>
              <w:t>ADA</w:t>
            </w:r>
            <w:r w:rsidR="00810DA0" w:rsidRPr="00C13EBE">
              <w:rPr>
                <w:sz w:val="22"/>
              </w:rPr>
              <w:t xml:space="preserve"> + MTX</w:t>
            </w:r>
          </w:p>
        </w:tc>
      </w:tr>
      <w:tr w:rsidR="009F5914" w14:paraId="3C419961" w14:textId="77777777" w:rsidTr="006965B5">
        <w:tc>
          <w:tcPr>
            <w:tcW w:w="1494" w:type="dxa"/>
            <w:vAlign w:val="center"/>
          </w:tcPr>
          <w:p w14:paraId="60D0F0E5" w14:textId="5B9F7467" w:rsidR="00C46D47" w:rsidRPr="00C13EBE" w:rsidRDefault="00A8277B" w:rsidP="00C46D47">
            <w:pPr>
              <w:ind w:firstLine="0"/>
              <w:rPr>
                <w:sz w:val="22"/>
              </w:rPr>
            </w:pPr>
            <w:r w:rsidRPr="00C13EBE">
              <w:rPr>
                <w:sz w:val="22"/>
              </w:rPr>
              <w:lastRenderedPageBreak/>
              <w:t>Основные характеристики</w:t>
            </w:r>
          </w:p>
        </w:tc>
        <w:tc>
          <w:tcPr>
            <w:tcW w:w="1162" w:type="dxa"/>
            <w:vAlign w:val="center"/>
          </w:tcPr>
          <w:p w14:paraId="4AB67029" w14:textId="7DF9C23D" w:rsidR="00C46D47" w:rsidRPr="00C13EBE" w:rsidRDefault="00810DA0" w:rsidP="00C46D47">
            <w:pPr>
              <w:ind w:firstLine="0"/>
              <w:rPr>
                <w:sz w:val="22"/>
              </w:rPr>
            </w:pPr>
            <w:r w:rsidRPr="00C13EBE">
              <w:rPr>
                <w:sz w:val="22"/>
              </w:rPr>
              <w:t>Монотерапия</w:t>
            </w:r>
          </w:p>
        </w:tc>
        <w:tc>
          <w:tcPr>
            <w:tcW w:w="1025" w:type="dxa"/>
            <w:vAlign w:val="center"/>
          </w:tcPr>
          <w:p w14:paraId="53F9AF1B" w14:textId="4B826D2C" w:rsidR="00C46D47" w:rsidRPr="00C13EBE" w:rsidRDefault="00810DA0" w:rsidP="00C46D47">
            <w:pPr>
              <w:ind w:firstLine="0"/>
              <w:rPr>
                <w:sz w:val="22"/>
              </w:rPr>
            </w:pPr>
            <w:r w:rsidRPr="00C13EBE">
              <w:rPr>
                <w:sz w:val="22"/>
              </w:rPr>
              <w:t xml:space="preserve">Различные </w:t>
            </w:r>
            <w:r w:rsidR="00371A3B" w:rsidRPr="00C13EBE">
              <w:rPr>
                <w:sz w:val="22"/>
              </w:rPr>
              <w:t>csDMARDs</w:t>
            </w:r>
          </w:p>
        </w:tc>
        <w:tc>
          <w:tcPr>
            <w:tcW w:w="935" w:type="dxa"/>
            <w:vAlign w:val="center"/>
          </w:tcPr>
          <w:p w14:paraId="2CBF9353" w14:textId="10724636" w:rsidR="00C46D47" w:rsidRPr="00C13EBE" w:rsidRDefault="00371A3B" w:rsidP="00C46D47">
            <w:pPr>
              <w:ind w:firstLine="0"/>
              <w:rPr>
                <w:sz w:val="22"/>
                <w:lang w:val="en-US"/>
              </w:rPr>
            </w:pPr>
            <w:r w:rsidRPr="00C13EBE">
              <w:rPr>
                <w:sz w:val="22"/>
              </w:rPr>
              <w:t>Активный контроль (</w:t>
            </w:r>
            <w:r w:rsidRPr="00C13EBE">
              <w:rPr>
                <w:sz w:val="22"/>
                <w:lang w:val="en-US"/>
              </w:rPr>
              <w:t>ADA)</w:t>
            </w:r>
          </w:p>
        </w:tc>
        <w:tc>
          <w:tcPr>
            <w:tcW w:w="1338" w:type="dxa"/>
            <w:vAlign w:val="center"/>
          </w:tcPr>
          <w:p w14:paraId="4C839BF0" w14:textId="47B49ADA" w:rsidR="00C46D47" w:rsidRPr="00C13EBE" w:rsidRDefault="00371A3B" w:rsidP="00C46D47">
            <w:pPr>
              <w:ind w:firstLine="0"/>
              <w:rPr>
                <w:sz w:val="22"/>
              </w:rPr>
            </w:pPr>
            <w:r w:rsidRPr="00C13EBE">
              <w:rPr>
                <w:sz w:val="22"/>
              </w:rPr>
              <w:t>Рентгенография</w:t>
            </w:r>
          </w:p>
        </w:tc>
        <w:tc>
          <w:tcPr>
            <w:tcW w:w="814" w:type="dxa"/>
            <w:vAlign w:val="center"/>
          </w:tcPr>
          <w:p w14:paraId="70021649" w14:textId="2043A3F4" w:rsidR="00C46D47" w:rsidRPr="00C13EBE" w:rsidRDefault="00A66DFC" w:rsidP="00C46D47">
            <w:pPr>
              <w:ind w:firstLine="0"/>
              <w:rPr>
                <w:sz w:val="22"/>
              </w:rPr>
            </w:pPr>
            <w:r w:rsidRPr="00C13EBE">
              <w:rPr>
                <w:sz w:val="22"/>
              </w:rPr>
              <w:t>TNFi-IR</w:t>
            </w:r>
          </w:p>
        </w:tc>
        <w:tc>
          <w:tcPr>
            <w:tcW w:w="1329" w:type="dxa"/>
            <w:vAlign w:val="center"/>
          </w:tcPr>
          <w:p w14:paraId="1B1DCF08" w14:textId="3B4F1C73" w:rsidR="00C46D47" w:rsidRPr="00C13EBE" w:rsidRDefault="00A66DFC" w:rsidP="00C46D47">
            <w:pPr>
              <w:ind w:firstLine="0"/>
              <w:rPr>
                <w:sz w:val="22"/>
              </w:rPr>
            </w:pPr>
            <w:r w:rsidRPr="00C13EBE">
              <w:rPr>
                <w:sz w:val="22"/>
              </w:rPr>
              <w:t>Монотерапия, препарат активного контроля (MTX), рентгенография</w:t>
            </w:r>
          </w:p>
        </w:tc>
        <w:tc>
          <w:tcPr>
            <w:tcW w:w="1259" w:type="dxa"/>
            <w:vAlign w:val="center"/>
          </w:tcPr>
          <w:p w14:paraId="619C1795" w14:textId="35FC4E42" w:rsidR="00C46D47" w:rsidRPr="00C13EBE" w:rsidRDefault="00570A83" w:rsidP="00C46D47">
            <w:pPr>
              <w:ind w:firstLine="0"/>
              <w:rPr>
                <w:sz w:val="22"/>
              </w:rPr>
            </w:pPr>
            <w:r w:rsidRPr="00C13EBE">
              <w:rPr>
                <w:sz w:val="22"/>
              </w:rPr>
              <w:t xml:space="preserve">Тофацитиниб с или без MTX в сравнении с </w:t>
            </w:r>
            <w:r w:rsidRPr="00C13EBE">
              <w:rPr>
                <w:sz w:val="22"/>
                <w:lang w:val="en-US"/>
              </w:rPr>
              <w:t>ADA</w:t>
            </w:r>
            <w:r w:rsidRPr="00C13EBE">
              <w:rPr>
                <w:sz w:val="22"/>
              </w:rPr>
              <w:t xml:space="preserve"> с </w:t>
            </w:r>
            <w:r w:rsidR="006E669F" w:rsidRPr="00C13EBE">
              <w:rPr>
                <w:sz w:val="22"/>
              </w:rPr>
              <w:t>MTX</w:t>
            </w:r>
          </w:p>
        </w:tc>
      </w:tr>
      <w:tr w:rsidR="009F5914" w14:paraId="0521620A" w14:textId="77777777" w:rsidTr="006965B5">
        <w:tc>
          <w:tcPr>
            <w:tcW w:w="1494" w:type="dxa"/>
            <w:vAlign w:val="center"/>
          </w:tcPr>
          <w:p w14:paraId="3BA5E772" w14:textId="07DAB0B4" w:rsidR="00C46D47" w:rsidRPr="00C13EBE" w:rsidRDefault="00A8277B" w:rsidP="00C46D47">
            <w:pPr>
              <w:ind w:firstLine="0"/>
              <w:rPr>
                <w:sz w:val="22"/>
              </w:rPr>
            </w:pPr>
            <w:r w:rsidRPr="00C13EBE">
              <w:rPr>
                <w:sz w:val="22"/>
              </w:rPr>
              <w:t>Количество пациентов, получавших терапию</w:t>
            </w:r>
          </w:p>
        </w:tc>
        <w:tc>
          <w:tcPr>
            <w:tcW w:w="1162" w:type="dxa"/>
            <w:vAlign w:val="center"/>
          </w:tcPr>
          <w:p w14:paraId="66ACC5A5" w14:textId="7E62904A" w:rsidR="00C46D47" w:rsidRPr="00C13EBE" w:rsidRDefault="006E669F" w:rsidP="00C46D47">
            <w:pPr>
              <w:ind w:firstLine="0"/>
              <w:rPr>
                <w:sz w:val="22"/>
              </w:rPr>
            </w:pPr>
            <w:r w:rsidRPr="00C13EBE">
              <w:rPr>
                <w:sz w:val="22"/>
              </w:rPr>
              <w:t>610</w:t>
            </w:r>
          </w:p>
        </w:tc>
        <w:tc>
          <w:tcPr>
            <w:tcW w:w="1025" w:type="dxa"/>
            <w:vAlign w:val="center"/>
          </w:tcPr>
          <w:p w14:paraId="0D2744DA" w14:textId="1DCEE635" w:rsidR="00C46D47" w:rsidRPr="00C13EBE" w:rsidRDefault="006E669F" w:rsidP="00C46D47">
            <w:pPr>
              <w:ind w:firstLine="0"/>
              <w:rPr>
                <w:sz w:val="22"/>
              </w:rPr>
            </w:pPr>
            <w:r w:rsidRPr="00C13EBE">
              <w:rPr>
                <w:sz w:val="22"/>
              </w:rPr>
              <w:t>792</w:t>
            </w:r>
          </w:p>
        </w:tc>
        <w:tc>
          <w:tcPr>
            <w:tcW w:w="935" w:type="dxa"/>
            <w:vAlign w:val="center"/>
          </w:tcPr>
          <w:p w14:paraId="368926FA" w14:textId="7C94588F" w:rsidR="00C46D47" w:rsidRPr="00C13EBE" w:rsidRDefault="004B0B91" w:rsidP="00C46D47">
            <w:pPr>
              <w:ind w:firstLine="0"/>
              <w:rPr>
                <w:sz w:val="22"/>
              </w:rPr>
            </w:pPr>
            <w:r w:rsidRPr="00C13EBE">
              <w:rPr>
                <w:sz w:val="22"/>
              </w:rPr>
              <w:t>717</w:t>
            </w:r>
          </w:p>
        </w:tc>
        <w:tc>
          <w:tcPr>
            <w:tcW w:w="1338" w:type="dxa"/>
            <w:vAlign w:val="center"/>
          </w:tcPr>
          <w:p w14:paraId="46A91F1C" w14:textId="3398239C" w:rsidR="00C46D47" w:rsidRPr="00C13EBE" w:rsidRDefault="004B0B91" w:rsidP="00C46D47">
            <w:pPr>
              <w:ind w:firstLine="0"/>
              <w:rPr>
                <w:sz w:val="22"/>
              </w:rPr>
            </w:pPr>
            <w:r w:rsidRPr="00C13EBE">
              <w:rPr>
                <w:sz w:val="22"/>
              </w:rPr>
              <w:t>797</w:t>
            </w:r>
          </w:p>
        </w:tc>
        <w:tc>
          <w:tcPr>
            <w:tcW w:w="814" w:type="dxa"/>
            <w:vAlign w:val="center"/>
          </w:tcPr>
          <w:p w14:paraId="611B4A4A" w14:textId="5137B9F9" w:rsidR="00C46D47" w:rsidRPr="00C13EBE" w:rsidRDefault="004B0B91" w:rsidP="00C46D47">
            <w:pPr>
              <w:ind w:firstLine="0"/>
              <w:rPr>
                <w:sz w:val="22"/>
              </w:rPr>
            </w:pPr>
            <w:r w:rsidRPr="00C13EBE">
              <w:rPr>
                <w:sz w:val="22"/>
              </w:rPr>
              <w:t>399</w:t>
            </w:r>
          </w:p>
        </w:tc>
        <w:tc>
          <w:tcPr>
            <w:tcW w:w="1329" w:type="dxa"/>
            <w:vAlign w:val="center"/>
          </w:tcPr>
          <w:p w14:paraId="6EFDDFE8" w14:textId="44CC109C" w:rsidR="00C46D47" w:rsidRPr="00C13EBE" w:rsidRDefault="004B0B91" w:rsidP="00C46D47">
            <w:pPr>
              <w:ind w:firstLine="0"/>
              <w:rPr>
                <w:sz w:val="22"/>
              </w:rPr>
            </w:pPr>
            <w:r w:rsidRPr="00C13EBE">
              <w:rPr>
                <w:sz w:val="22"/>
              </w:rPr>
              <w:t>956</w:t>
            </w:r>
          </w:p>
        </w:tc>
        <w:tc>
          <w:tcPr>
            <w:tcW w:w="1259" w:type="dxa"/>
            <w:vAlign w:val="center"/>
          </w:tcPr>
          <w:p w14:paraId="1C83BE1F" w14:textId="4CC28F16" w:rsidR="00C46D47" w:rsidRPr="00C13EBE" w:rsidRDefault="004B0B91" w:rsidP="00C46D47">
            <w:pPr>
              <w:ind w:firstLine="0"/>
              <w:rPr>
                <w:sz w:val="22"/>
              </w:rPr>
            </w:pPr>
            <w:r w:rsidRPr="00C13EBE">
              <w:rPr>
                <w:sz w:val="22"/>
              </w:rPr>
              <w:t>1146</w:t>
            </w:r>
          </w:p>
        </w:tc>
      </w:tr>
      <w:tr w:rsidR="009F5914" w14:paraId="5964B408" w14:textId="77777777" w:rsidTr="006965B5">
        <w:tc>
          <w:tcPr>
            <w:tcW w:w="1494" w:type="dxa"/>
            <w:vAlign w:val="center"/>
          </w:tcPr>
          <w:p w14:paraId="6CBAC4A4" w14:textId="02C35FA6" w:rsidR="00C46D47" w:rsidRPr="00C13EBE" w:rsidRDefault="00316A48" w:rsidP="00C46D47">
            <w:pPr>
              <w:ind w:firstLine="0"/>
              <w:rPr>
                <w:sz w:val="22"/>
              </w:rPr>
            </w:pPr>
            <w:r w:rsidRPr="00C13EBE">
              <w:rPr>
                <w:sz w:val="22"/>
              </w:rPr>
              <w:t>Общая продолжительность исследования</w:t>
            </w:r>
          </w:p>
        </w:tc>
        <w:tc>
          <w:tcPr>
            <w:tcW w:w="1162" w:type="dxa"/>
            <w:vAlign w:val="center"/>
          </w:tcPr>
          <w:p w14:paraId="5416AB75" w14:textId="5A4103AD" w:rsidR="00C46D47" w:rsidRPr="00C13EBE" w:rsidRDefault="004B0B91" w:rsidP="00C46D47">
            <w:pPr>
              <w:ind w:firstLine="0"/>
              <w:rPr>
                <w:sz w:val="22"/>
              </w:rPr>
            </w:pPr>
            <w:r w:rsidRPr="00C13EBE">
              <w:rPr>
                <w:sz w:val="22"/>
              </w:rPr>
              <w:t>6 мес.</w:t>
            </w:r>
          </w:p>
        </w:tc>
        <w:tc>
          <w:tcPr>
            <w:tcW w:w="1025" w:type="dxa"/>
            <w:vAlign w:val="center"/>
          </w:tcPr>
          <w:p w14:paraId="04BC864B" w14:textId="0BC7B270" w:rsidR="00C46D47" w:rsidRPr="00C13EBE" w:rsidRDefault="004B0B91" w:rsidP="00C46D47">
            <w:pPr>
              <w:ind w:firstLine="0"/>
              <w:rPr>
                <w:sz w:val="22"/>
              </w:rPr>
            </w:pPr>
            <w:r w:rsidRPr="00C13EBE">
              <w:rPr>
                <w:sz w:val="22"/>
              </w:rPr>
              <w:t>1 год</w:t>
            </w:r>
          </w:p>
        </w:tc>
        <w:tc>
          <w:tcPr>
            <w:tcW w:w="935" w:type="dxa"/>
            <w:vAlign w:val="center"/>
          </w:tcPr>
          <w:p w14:paraId="4F78961B" w14:textId="48C90CB6" w:rsidR="00C46D47" w:rsidRPr="00C13EBE" w:rsidRDefault="004B0B91" w:rsidP="00C46D47">
            <w:pPr>
              <w:ind w:firstLine="0"/>
              <w:rPr>
                <w:sz w:val="22"/>
              </w:rPr>
            </w:pPr>
            <w:r w:rsidRPr="00C13EBE">
              <w:rPr>
                <w:sz w:val="22"/>
              </w:rPr>
              <w:t>1 год</w:t>
            </w:r>
          </w:p>
        </w:tc>
        <w:tc>
          <w:tcPr>
            <w:tcW w:w="1338" w:type="dxa"/>
            <w:vAlign w:val="center"/>
          </w:tcPr>
          <w:p w14:paraId="60235FC0" w14:textId="47F8F367" w:rsidR="00C46D47" w:rsidRPr="00C13EBE" w:rsidRDefault="004B0B91" w:rsidP="00C46D47">
            <w:pPr>
              <w:ind w:firstLine="0"/>
              <w:rPr>
                <w:sz w:val="22"/>
              </w:rPr>
            </w:pPr>
            <w:r w:rsidRPr="00C13EBE">
              <w:rPr>
                <w:sz w:val="22"/>
              </w:rPr>
              <w:t>2 года</w:t>
            </w:r>
          </w:p>
        </w:tc>
        <w:tc>
          <w:tcPr>
            <w:tcW w:w="814" w:type="dxa"/>
            <w:vAlign w:val="center"/>
          </w:tcPr>
          <w:p w14:paraId="481D2FB4" w14:textId="066F14CB" w:rsidR="00C46D47" w:rsidRPr="00C13EBE" w:rsidRDefault="0080204A" w:rsidP="00C46D47">
            <w:pPr>
              <w:ind w:firstLine="0"/>
              <w:rPr>
                <w:sz w:val="22"/>
              </w:rPr>
            </w:pPr>
            <w:r w:rsidRPr="00C13EBE">
              <w:rPr>
                <w:sz w:val="22"/>
              </w:rPr>
              <w:t>6 мес.</w:t>
            </w:r>
          </w:p>
        </w:tc>
        <w:tc>
          <w:tcPr>
            <w:tcW w:w="1329" w:type="dxa"/>
            <w:vAlign w:val="center"/>
          </w:tcPr>
          <w:p w14:paraId="22BBD5E6" w14:textId="4B227086" w:rsidR="00C46D47" w:rsidRPr="00C13EBE" w:rsidRDefault="0080204A" w:rsidP="00C46D47">
            <w:pPr>
              <w:ind w:firstLine="0"/>
              <w:rPr>
                <w:sz w:val="22"/>
              </w:rPr>
            </w:pPr>
            <w:r w:rsidRPr="00C13EBE">
              <w:rPr>
                <w:sz w:val="22"/>
              </w:rPr>
              <w:t>2 года</w:t>
            </w:r>
          </w:p>
        </w:tc>
        <w:tc>
          <w:tcPr>
            <w:tcW w:w="1259" w:type="dxa"/>
            <w:vAlign w:val="center"/>
          </w:tcPr>
          <w:p w14:paraId="1B09934D" w14:textId="735F572C" w:rsidR="00C46D47" w:rsidRPr="00C13EBE" w:rsidRDefault="0080204A" w:rsidP="00C46D47">
            <w:pPr>
              <w:ind w:firstLine="0"/>
              <w:rPr>
                <w:sz w:val="22"/>
              </w:rPr>
            </w:pPr>
            <w:r w:rsidRPr="00C13EBE">
              <w:rPr>
                <w:sz w:val="22"/>
              </w:rPr>
              <w:t>1 год</w:t>
            </w:r>
          </w:p>
        </w:tc>
      </w:tr>
      <w:tr w:rsidR="009F5914" w14:paraId="3AAE0BB7" w14:textId="77777777" w:rsidTr="006965B5">
        <w:tc>
          <w:tcPr>
            <w:tcW w:w="1494" w:type="dxa"/>
            <w:vAlign w:val="center"/>
          </w:tcPr>
          <w:p w14:paraId="075B868E" w14:textId="5AA29042" w:rsidR="00C46D47" w:rsidRPr="00C13EBE" w:rsidRDefault="00316A48" w:rsidP="00C46D47">
            <w:pPr>
              <w:ind w:firstLine="0"/>
              <w:rPr>
                <w:sz w:val="22"/>
              </w:rPr>
            </w:pPr>
            <w:r w:rsidRPr="00C13EBE">
              <w:rPr>
                <w:sz w:val="22"/>
              </w:rPr>
              <w:t>Со-первичные конечные точки эффективности</w:t>
            </w:r>
          </w:p>
        </w:tc>
        <w:tc>
          <w:tcPr>
            <w:tcW w:w="1162" w:type="dxa"/>
            <w:vAlign w:val="center"/>
          </w:tcPr>
          <w:p w14:paraId="63AEA4B6" w14:textId="69BCD252" w:rsidR="0080204A" w:rsidRPr="00C13EBE" w:rsidRDefault="009F5914" w:rsidP="0080204A">
            <w:pPr>
              <w:ind w:firstLine="0"/>
              <w:rPr>
                <w:sz w:val="22"/>
              </w:rPr>
            </w:pPr>
            <w:r w:rsidRPr="00C13EBE">
              <w:rPr>
                <w:sz w:val="22"/>
              </w:rPr>
              <w:t>Месяц</w:t>
            </w:r>
            <w:r w:rsidR="0080204A" w:rsidRPr="00C13EBE">
              <w:rPr>
                <w:sz w:val="22"/>
              </w:rPr>
              <w:t xml:space="preserve"> 3:</w:t>
            </w:r>
          </w:p>
          <w:p w14:paraId="3DF1D334" w14:textId="77777777" w:rsidR="0080204A" w:rsidRPr="00C13EBE" w:rsidRDefault="0080204A" w:rsidP="0080204A">
            <w:pPr>
              <w:ind w:firstLine="0"/>
              <w:rPr>
                <w:sz w:val="22"/>
              </w:rPr>
            </w:pPr>
            <w:r w:rsidRPr="00C13EBE">
              <w:rPr>
                <w:sz w:val="22"/>
                <w:lang w:val="en-US"/>
              </w:rPr>
              <w:t>ACR</w:t>
            </w:r>
            <w:r w:rsidRPr="00C13EBE">
              <w:rPr>
                <w:sz w:val="22"/>
              </w:rPr>
              <w:t>20</w:t>
            </w:r>
          </w:p>
          <w:p w14:paraId="014039C0" w14:textId="77777777" w:rsidR="0080204A" w:rsidRPr="00C13EBE" w:rsidRDefault="0080204A" w:rsidP="0080204A">
            <w:pPr>
              <w:ind w:firstLine="0"/>
              <w:rPr>
                <w:sz w:val="22"/>
              </w:rPr>
            </w:pPr>
            <w:r w:rsidRPr="00C13EBE">
              <w:rPr>
                <w:sz w:val="22"/>
                <w:lang w:val="en-US"/>
              </w:rPr>
              <w:t>HAQ</w:t>
            </w:r>
            <w:r w:rsidRPr="00C13EBE">
              <w:rPr>
                <w:sz w:val="22"/>
              </w:rPr>
              <w:t>-</w:t>
            </w:r>
            <w:r w:rsidRPr="00C13EBE">
              <w:rPr>
                <w:sz w:val="22"/>
                <w:lang w:val="en-US"/>
              </w:rPr>
              <w:t>DI</w:t>
            </w:r>
          </w:p>
          <w:p w14:paraId="17F435A5" w14:textId="77777777" w:rsidR="0080204A" w:rsidRPr="00C13EBE" w:rsidRDefault="0080204A" w:rsidP="0080204A">
            <w:pPr>
              <w:ind w:firstLine="0"/>
              <w:rPr>
                <w:sz w:val="22"/>
              </w:rPr>
            </w:pPr>
            <w:r w:rsidRPr="00C13EBE">
              <w:rPr>
                <w:sz w:val="22"/>
                <w:lang w:val="en-US"/>
              </w:rPr>
              <w:t>DAS</w:t>
            </w:r>
            <w:r w:rsidRPr="00C13EBE">
              <w:rPr>
                <w:sz w:val="22"/>
              </w:rPr>
              <w:t>28-</w:t>
            </w:r>
          </w:p>
          <w:p w14:paraId="5D459B6C" w14:textId="62C3DFA7" w:rsidR="00C46D47" w:rsidRPr="00C13EBE" w:rsidRDefault="0080204A" w:rsidP="0080204A">
            <w:pPr>
              <w:ind w:firstLine="0"/>
              <w:rPr>
                <w:sz w:val="22"/>
              </w:rPr>
            </w:pPr>
            <w:r w:rsidRPr="00C13EBE">
              <w:rPr>
                <w:sz w:val="22"/>
              </w:rPr>
              <w:t>4(ESR)</w:t>
            </w:r>
            <w:r w:rsidR="009F5914" w:rsidRPr="00C13EBE">
              <w:rPr>
                <w:sz w:val="22"/>
              </w:rPr>
              <w:t xml:space="preserve"> </w:t>
            </w:r>
            <w:r w:rsidRPr="00C13EBE">
              <w:rPr>
                <w:sz w:val="22"/>
              </w:rPr>
              <w:t>&lt;</w:t>
            </w:r>
            <w:r w:rsidR="009F5914" w:rsidRPr="00C13EBE">
              <w:rPr>
                <w:sz w:val="22"/>
              </w:rPr>
              <w:t xml:space="preserve"> </w:t>
            </w:r>
            <w:r w:rsidRPr="00C13EBE">
              <w:rPr>
                <w:sz w:val="22"/>
              </w:rPr>
              <w:t>2</w:t>
            </w:r>
            <w:r w:rsidR="009F5914" w:rsidRPr="00C13EBE">
              <w:rPr>
                <w:sz w:val="22"/>
              </w:rPr>
              <w:t>,</w:t>
            </w:r>
            <w:r w:rsidRPr="00C13EBE">
              <w:rPr>
                <w:sz w:val="22"/>
              </w:rPr>
              <w:t>6</w:t>
            </w:r>
          </w:p>
        </w:tc>
        <w:tc>
          <w:tcPr>
            <w:tcW w:w="1025" w:type="dxa"/>
            <w:vAlign w:val="center"/>
          </w:tcPr>
          <w:p w14:paraId="706E6AC9" w14:textId="2978121E" w:rsidR="0080204A" w:rsidRPr="00C13EBE" w:rsidRDefault="009F5914" w:rsidP="0080204A">
            <w:pPr>
              <w:ind w:firstLine="0"/>
              <w:rPr>
                <w:sz w:val="22"/>
              </w:rPr>
            </w:pPr>
            <w:r w:rsidRPr="00C13EBE">
              <w:rPr>
                <w:sz w:val="22"/>
              </w:rPr>
              <w:t>Месяц</w:t>
            </w:r>
            <w:r w:rsidR="0080204A" w:rsidRPr="00C13EBE">
              <w:rPr>
                <w:sz w:val="22"/>
              </w:rPr>
              <w:t xml:space="preserve"> 6:</w:t>
            </w:r>
          </w:p>
          <w:p w14:paraId="5703942F" w14:textId="77777777" w:rsidR="0080204A" w:rsidRPr="00C13EBE" w:rsidRDefault="0080204A" w:rsidP="0080204A">
            <w:pPr>
              <w:ind w:firstLine="0"/>
              <w:rPr>
                <w:sz w:val="22"/>
              </w:rPr>
            </w:pPr>
            <w:r w:rsidRPr="00C13EBE">
              <w:rPr>
                <w:sz w:val="22"/>
                <w:lang w:val="en-US"/>
              </w:rPr>
              <w:t>ACR</w:t>
            </w:r>
            <w:r w:rsidRPr="00C13EBE">
              <w:rPr>
                <w:sz w:val="22"/>
              </w:rPr>
              <w:t>20</w:t>
            </w:r>
          </w:p>
          <w:p w14:paraId="3F58AFF5" w14:textId="77777777" w:rsidR="0080204A" w:rsidRPr="00C13EBE" w:rsidRDefault="0080204A" w:rsidP="0080204A">
            <w:pPr>
              <w:ind w:firstLine="0"/>
              <w:rPr>
                <w:sz w:val="22"/>
              </w:rPr>
            </w:pPr>
            <w:r w:rsidRPr="00C13EBE">
              <w:rPr>
                <w:sz w:val="22"/>
                <w:lang w:val="en-US"/>
              </w:rPr>
              <w:t>DAS</w:t>
            </w:r>
            <w:r w:rsidRPr="00C13EBE">
              <w:rPr>
                <w:sz w:val="22"/>
              </w:rPr>
              <w:t>28-</w:t>
            </w:r>
          </w:p>
          <w:p w14:paraId="48631E86" w14:textId="2072E526" w:rsidR="0080204A" w:rsidRPr="00C13EBE" w:rsidRDefault="0080204A" w:rsidP="0080204A">
            <w:pPr>
              <w:ind w:firstLine="0"/>
              <w:rPr>
                <w:sz w:val="22"/>
              </w:rPr>
            </w:pPr>
            <w:r w:rsidRPr="00C13EBE">
              <w:rPr>
                <w:sz w:val="22"/>
              </w:rPr>
              <w:t>4(</w:t>
            </w:r>
            <w:r w:rsidRPr="00C13EBE">
              <w:rPr>
                <w:sz w:val="22"/>
                <w:lang w:val="en-US"/>
              </w:rPr>
              <w:t>ESR</w:t>
            </w:r>
            <w:r w:rsidRPr="00C13EBE">
              <w:rPr>
                <w:sz w:val="22"/>
              </w:rPr>
              <w:t>)</w:t>
            </w:r>
            <w:r w:rsidR="009F5914" w:rsidRPr="00C13EBE">
              <w:rPr>
                <w:sz w:val="22"/>
              </w:rPr>
              <w:t xml:space="preserve"> </w:t>
            </w:r>
            <w:r w:rsidRPr="00C13EBE">
              <w:rPr>
                <w:sz w:val="22"/>
              </w:rPr>
              <w:t>&lt;</w:t>
            </w:r>
            <w:r w:rsidR="009F5914" w:rsidRPr="00C13EBE">
              <w:rPr>
                <w:sz w:val="22"/>
              </w:rPr>
              <w:t xml:space="preserve"> </w:t>
            </w:r>
            <w:r w:rsidRPr="00C13EBE">
              <w:rPr>
                <w:sz w:val="22"/>
              </w:rPr>
              <w:t>2</w:t>
            </w:r>
            <w:r w:rsidR="009F5914" w:rsidRPr="00C13EBE">
              <w:rPr>
                <w:sz w:val="22"/>
              </w:rPr>
              <w:t>,</w:t>
            </w:r>
            <w:r w:rsidRPr="00C13EBE">
              <w:rPr>
                <w:sz w:val="22"/>
              </w:rPr>
              <w:t>6</w:t>
            </w:r>
          </w:p>
          <w:p w14:paraId="1D96D053" w14:textId="7F2C4AEE" w:rsidR="0080204A" w:rsidRPr="00C13EBE" w:rsidRDefault="00AC04C5" w:rsidP="0080204A">
            <w:pPr>
              <w:ind w:firstLine="0"/>
              <w:rPr>
                <w:sz w:val="22"/>
              </w:rPr>
            </w:pPr>
            <w:r w:rsidRPr="00C13EBE">
              <w:rPr>
                <w:sz w:val="22"/>
              </w:rPr>
              <w:t>Месяц</w:t>
            </w:r>
            <w:r w:rsidR="0080204A" w:rsidRPr="00C13EBE">
              <w:rPr>
                <w:sz w:val="22"/>
              </w:rPr>
              <w:t xml:space="preserve"> 3:</w:t>
            </w:r>
          </w:p>
          <w:p w14:paraId="52687405" w14:textId="27FE41E4" w:rsidR="00C46D47" w:rsidRPr="00C13EBE" w:rsidRDefault="0080204A" w:rsidP="0080204A">
            <w:pPr>
              <w:ind w:firstLine="0"/>
              <w:rPr>
                <w:sz w:val="22"/>
                <w:lang w:val="en-US"/>
              </w:rPr>
            </w:pPr>
            <w:r w:rsidRPr="00C13EBE">
              <w:rPr>
                <w:sz w:val="22"/>
                <w:lang w:val="en-US"/>
              </w:rPr>
              <w:t>HAQ-DI</w:t>
            </w:r>
          </w:p>
        </w:tc>
        <w:tc>
          <w:tcPr>
            <w:tcW w:w="935" w:type="dxa"/>
            <w:vAlign w:val="center"/>
          </w:tcPr>
          <w:p w14:paraId="2F9EE636" w14:textId="21E04ED5" w:rsidR="009F5914" w:rsidRPr="00C13EBE" w:rsidRDefault="009F5914" w:rsidP="009F5914">
            <w:pPr>
              <w:ind w:firstLine="0"/>
              <w:rPr>
                <w:sz w:val="22"/>
                <w:lang w:val="en-US"/>
              </w:rPr>
            </w:pPr>
            <w:r w:rsidRPr="00C13EBE">
              <w:rPr>
                <w:sz w:val="22"/>
              </w:rPr>
              <w:t>Месяц</w:t>
            </w:r>
            <w:r w:rsidRPr="00C13EBE">
              <w:rPr>
                <w:sz w:val="22"/>
                <w:lang w:val="en-US"/>
              </w:rPr>
              <w:t xml:space="preserve"> 6:</w:t>
            </w:r>
          </w:p>
          <w:p w14:paraId="7DF273B0" w14:textId="77777777" w:rsidR="009F5914" w:rsidRPr="00C13EBE" w:rsidRDefault="009F5914" w:rsidP="009F5914">
            <w:pPr>
              <w:ind w:firstLine="0"/>
              <w:rPr>
                <w:sz w:val="22"/>
                <w:lang w:val="en-US"/>
              </w:rPr>
            </w:pPr>
            <w:r w:rsidRPr="00C13EBE">
              <w:rPr>
                <w:sz w:val="22"/>
                <w:lang w:val="en-US"/>
              </w:rPr>
              <w:t>ACR20</w:t>
            </w:r>
          </w:p>
          <w:p w14:paraId="594D317B" w14:textId="77777777" w:rsidR="009F5914" w:rsidRPr="00C13EBE" w:rsidRDefault="009F5914" w:rsidP="009F5914">
            <w:pPr>
              <w:ind w:firstLine="0"/>
              <w:rPr>
                <w:sz w:val="22"/>
                <w:lang w:val="en-US"/>
              </w:rPr>
            </w:pPr>
            <w:r w:rsidRPr="00C13EBE">
              <w:rPr>
                <w:sz w:val="22"/>
                <w:lang w:val="en-US"/>
              </w:rPr>
              <w:t>DAS28-</w:t>
            </w:r>
          </w:p>
          <w:p w14:paraId="01700FFB" w14:textId="7BDB58B9" w:rsidR="009F5914" w:rsidRPr="00C13EBE" w:rsidRDefault="009F5914" w:rsidP="009F5914">
            <w:pPr>
              <w:ind w:firstLine="0"/>
              <w:rPr>
                <w:sz w:val="22"/>
                <w:lang w:val="en-US"/>
              </w:rPr>
            </w:pPr>
            <w:r w:rsidRPr="00C13EBE">
              <w:rPr>
                <w:sz w:val="22"/>
                <w:lang w:val="en-US"/>
              </w:rPr>
              <w:t>4(ESR) &lt; 2,6</w:t>
            </w:r>
          </w:p>
          <w:p w14:paraId="4321D0EC" w14:textId="77777777" w:rsidR="009F5914" w:rsidRPr="00C13EBE" w:rsidRDefault="009F5914" w:rsidP="009F5914">
            <w:pPr>
              <w:ind w:firstLine="0"/>
              <w:rPr>
                <w:sz w:val="22"/>
                <w:lang w:val="en-US"/>
              </w:rPr>
            </w:pPr>
            <w:r w:rsidRPr="00C13EBE">
              <w:rPr>
                <w:sz w:val="22"/>
                <w:lang w:val="en-US"/>
              </w:rPr>
              <w:t>Month 3:</w:t>
            </w:r>
          </w:p>
          <w:p w14:paraId="0C37D257" w14:textId="068B45B7" w:rsidR="00C46D47" w:rsidRPr="00C13EBE" w:rsidRDefault="009F5914" w:rsidP="009F5914">
            <w:pPr>
              <w:ind w:firstLine="0"/>
              <w:rPr>
                <w:sz w:val="22"/>
              </w:rPr>
            </w:pPr>
            <w:r w:rsidRPr="00C13EBE">
              <w:rPr>
                <w:sz w:val="22"/>
              </w:rPr>
              <w:t>HAQ-DI</w:t>
            </w:r>
          </w:p>
        </w:tc>
        <w:tc>
          <w:tcPr>
            <w:tcW w:w="1338" w:type="dxa"/>
            <w:vAlign w:val="center"/>
          </w:tcPr>
          <w:p w14:paraId="659503F5" w14:textId="001CB521" w:rsidR="009F5914" w:rsidRPr="00C13EBE" w:rsidRDefault="009F5914" w:rsidP="009F5914">
            <w:pPr>
              <w:ind w:firstLine="0"/>
              <w:rPr>
                <w:sz w:val="22"/>
                <w:lang w:val="en-US"/>
              </w:rPr>
            </w:pPr>
            <w:r w:rsidRPr="00C13EBE">
              <w:rPr>
                <w:sz w:val="22"/>
              </w:rPr>
              <w:t>Месяц</w:t>
            </w:r>
            <w:r w:rsidRPr="00C13EBE">
              <w:rPr>
                <w:sz w:val="22"/>
                <w:lang w:val="en-US"/>
              </w:rPr>
              <w:t xml:space="preserve"> 6:</w:t>
            </w:r>
          </w:p>
          <w:p w14:paraId="20C5B555" w14:textId="77777777" w:rsidR="009F5914" w:rsidRPr="00C13EBE" w:rsidRDefault="009F5914" w:rsidP="009F5914">
            <w:pPr>
              <w:ind w:firstLine="0"/>
              <w:rPr>
                <w:sz w:val="22"/>
                <w:lang w:val="en-US"/>
              </w:rPr>
            </w:pPr>
            <w:r w:rsidRPr="00C13EBE">
              <w:rPr>
                <w:sz w:val="22"/>
                <w:lang w:val="en-US"/>
              </w:rPr>
              <w:t>ACR20</w:t>
            </w:r>
          </w:p>
          <w:p w14:paraId="5BCA43DC" w14:textId="77777777" w:rsidR="009F5914" w:rsidRPr="00C13EBE" w:rsidRDefault="009F5914" w:rsidP="009F5914">
            <w:pPr>
              <w:ind w:firstLine="0"/>
              <w:rPr>
                <w:sz w:val="22"/>
                <w:lang w:val="en-US"/>
              </w:rPr>
            </w:pPr>
            <w:r w:rsidRPr="00C13EBE">
              <w:rPr>
                <w:sz w:val="22"/>
                <w:lang w:val="en-US"/>
              </w:rPr>
              <w:t>mTSS</w:t>
            </w:r>
          </w:p>
          <w:p w14:paraId="799A41C9" w14:textId="77777777" w:rsidR="009F5914" w:rsidRPr="00C13EBE" w:rsidRDefault="009F5914" w:rsidP="009F5914">
            <w:pPr>
              <w:ind w:firstLine="0"/>
              <w:rPr>
                <w:sz w:val="22"/>
                <w:lang w:val="en-US"/>
              </w:rPr>
            </w:pPr>
            <w:r w:rsidRPr="00C13EBE">
              <w:rPr>
                <w:sz w:val="22"/>
                <w:lang w:val="en-US"/>
              </w:rPr>
              <w:t>DAS28-</w:t>
            </w:r>
          </w:p>
          <w:p w14:paraId="2DDAA751" w14:textId="0638EC4B" w:rsidR="009F5914" w:rsidRPr="00C13EBE" w:rsidRDefault="009F5914" w:rsidP="009F5914">
            <w:pPr>
              <w:ind w:firstLine="0"/>
              <w:rPr>
                <w:sz w:val="22"/>
                <w:lang w:val="en-US"/>
              </w:rPr>
            </w:pPr>
            <w:r w:rsidRPr="00C13EBE">
              <w:rPr>
                <w:sz w:val="22"/>
                <w:lang w:val="en-US"/>
              </w:rPr>
              <w:t>4(ESR) &lt; 2,6</w:t>
            </w:r>
          </w:p>
          <w:p w14:paraId="3851AC76" w14:textId="1CC735F4" w:rsidR="009F5914" w:rsidRPr="00C13EBE" w:rsidRDefault="009F5914" w:rsidP="009F5914">
            <w:pPr>
              <w:ind w:firstLine="0"/>
              <w:rPr>
                <w:sz w:val="22"/>
              </w:rPr>
            </w:pPr>
            <w:r w:rsidRPr="00C13EBE">
              <w:rPr>
                <w:sz w:val="22"/>
              </w:rPr>
              <w:t>Месяц 3:</w:t>
            </w:r>
          </w:p>
          <w:p w14:paraId="548D0402" w14:textId="60329B72" w:rsidR="00C46D47" w:rsidRPr="00C13EBE" w:rsidRDefault="009F5914" w:rsidP="009F5914">
            <w:pPr>
              <w:ind w:firstLine="0"/>
              <w:rPr>
                <w:sz w:val="22"/>
              </w:rPr>
            </w:pPr>
            <w:r w:rsidRPr="00C13EBE">
              <w:rPr>
                <w:sz w:val="22"/>
              </w:rPr>
              <w:t>HAQ-DI</w:t>
            </w:r>
          </w:p>
        </w:tc>
        <w:tc>
          <w:tcPr>
            <w:tcW w:w="814" w:type="dxa"/>
            <w:vAlign w:val="center"/>
          </w:tcPr>
          <w:p w14:paraId="282AE1FE" w14:textId="4E722889" w:rsidR="009F5914" w:rsidRPr="00C13EBE" w:rsidRDefault="009F5914" w:rsidP="009F5914">
            <w:pPr>
              <w:ind w:firstLine="0"/>
              <w:rPr>
                <w:sz w:val="22"/>
              </w:rPr>
            </w:pPr>
            <w:r w:rsidRPr="00C13EBE">
              <w:rPr>
                <w:sz w:val="22"/>
              </w:rPr>
              <w:t>Месяц 3:</w:t>
            </w:r>
          </w:p>
          <w:p w14:paraId="102CA192" w14:textId="77777777" w:rsidR="009F5914" w:rsidRPr="00C13EBE" w:rsidRDefault="009F5914" w:rsidP="009F5914">
            <w:pPr>
              <w:ind w:firstLine="0"/>
              <w:rPr>
                <w:sz w:val="22"/>
              </w:rPr>
            </w:pPr>
            <w:r w:rsidRPr="00C13EBE">
              <w:rPr>
                <w:sz w:val="22"/>
                <w:lang w:val="en-US"/>
              </w:rPr>
              <w:t>ACR</w:t>
            </w:r>
            <w:r w:rsidRPr="00C13EBE">
              <w:rPr>
                <w:sz w:val="22"/>
              </w:rPr>
              <w:t>20</w:t>
            </w:r>
          </w:p>
          <w:p w14:paraId="1B3F1EC8" w14:textId="77777777" w:rsidR="009F5914" w:rsidRPr="00C13EBE" w:rsidRDefault="009F5914" w:rsidP="009F5914">
            <w:pPr>
              <w:ind w:firstLine="0"/>
              <w:rPr>
                <w:sz w:val="22"/>
              </w:rPr>
            </w:pPr>
            <w:r w:rsidRPr="00C13EBE">
              <w:rPr>
                <w:sz w:val="22"/>
                <w:lang w:val="en-US"/>
              </w:rPr>
              <w:t>HAQ</w:t>
            </w:r>
            <w:r w:rsidRPr="00C13EBE">
              <w:rPr>
                <w:sz w:val="22"/>
              </w:rPr>
              <w:t>-</w:t>
            </w:r>
            <w:r w:rsidRPr="00C13EBE">
              <w:rPr>
                <w:sz w:val="22"/>
                <w:lang w:val="en-US"/>
              </w:rPr>
              <w:t>DI</w:t>
            </w:r>
          </w:p>
          <w:p w14:paraId="5F8C8FBC" w14:textId="77777777" w:rsidR="009F5914" w:rsidRPr="00C13EBE" w:rsidRDefault="009F5914" w:rsidP="009F5914">
            <w:pPr>
              <w:ind w:firstLine="0"/>
              <w:rPr>
                <w:sz w:val="22"/>
              </w:rPr>
            </w:pPr>
            <w:r w:rsidRPr="00C13EBE">
              <w:rPr>
                <w:sz w:val="22"/>
                <w:lang w:val="en-US"/>
              </w:rPr>
              <w:t>DAS</w:t>
            </w:r>
            <w:r w:rsidRPr="00C13EBE">
              <w:rPr>
                <w:sz w:val="22"/>
              </w:rPr>
              <w:t>28-</w:t>
            </w:r>
          </w:p>
          <w:p w14:paraId="40DFA79A" w14:textId="72CDA184" w:rsidR="00C46D47" w:rsidRPr="00C13EBE" w:rsidRDefault="009F5914" w:rsidP="009F5914">
            <w:pPr>
              <w:ind w:firstLine="0"/>
              <w:rPr>
                <w:sz w:val="22"/>
              </w:rPr>
            </w:pPr>
            <w:r w:rsidRPr="00C13EBE">
              <w:rPr>
                <w:sz w:val="22"/>
              </w:rPr>
              <w:t>4(ESR) &lt; 2,6</w:t>
            </w:r>
          </w:p>
        </w:tc>
        <w:tc>
          <w:tcPr>
            <w:tcW w:w="1329" w:type="dxa"/>
            <w:vAlign w:val="center"/>
          </w:tcPr>
          <w:p w14:paraId="4E395C57" w14:textId="23A86244" w:rsidR="009F5914" w:rsidRPr="00C13EBE" w:rsidRDefault="009F5914" w:rsidP="009F5914">
            <w:pPr>
              <w:ind w:firstLine="0"/>
              <w:rPr>
                <w:sz w:val="22"/>
              </w:rPr>
            </w:pPr>
            <w:r w:rsidRPr="00C13EBE">
              <w:rPr>
                <w:sz w:val="22"/>
              </w:rPr>
              <w:t>Месяц 6:</w:t>
            </w:r>
          </w:p>
          <w:p w14:paraId="09984E10" w14:textId="77777777" w:rsidR="009F5914" w:rsidRPr="00C13EBE" w:rsidRDefault="009F5914" w:rsidP="009F5914">
            <w:pPr>
              <w:ind w:firstLine="0"/>
              <w:rPr>
                <w:sz w:val="22"/>
              </w:rPr>
            </w:pPr>
            <w:r w:rsidRPr="00C13EBE">
              <w:rPr>
                <w:sz w:val="22"/>
              </w:rPr>
              <w:t>mTSS</w:t>
            </w:r>
          </w:p>
          <w:p w14:paraId="5F2DA7D8" w14:textId="6D398F8D" w:rsidR="00C46D47" w:rsidRPr="00C13EBE" w:rsidRDefault="009F5914" w:rsidP="009F5914">
            <w:pPr>
              <w:ind w:firstLine="0"/>
              <w:rPr>
                <w:sz w:val="22"/>
              </w:rPr>
            </w:pPr>
            <w:r w:rsidRPr="00C13EBE">
              <w:rPr>
                <w:sz w:val="22"/>
              </w:rPr>
              <w:t>ACR70</w:t>
            </w:r>
          </w:p>
        </w:tc>
        <w:tc>
          <w:tcPr>
            <w:tcW w:w="1259" w:type="dxa"/>
            <w:vAlign w:val="center"/>
          </w:tcPr>
          <w:p w14:paraId="724750F5" w14:textId="488BBCB3" w:rsidR="009F5914" w:rsidRPr="00C13EBE" w:rsidRDefault="009F5914" w:rsidP="009F5914">
            <w:pPr>
              <w:ind w:firstLine="0"/>
              <w:rPr>
                <w:sz w:val="22"/>
              </w:rPr>
            </w:pPr>
            <w:r w:rsidRPr="00C13EBE">
              <w:rPr>
                <w:sz w:val="22"/>
              </w:rPr>
              <w:t>Месяц 6:</w:t>
            </w:r>
          </w:p>
          <w:p w14:paraId="758CEEB2" w14:textId="5444FFAB" w:rsidR="00C46D47" w:rsidRPr="00C13EBE" w:rsidRDefault="009F5914" w:rsidP="009F5914">
            <w:pPr>
              <w:ind w:firstLine="0"/>
              <w:rPr>
                <w:sz w:val="22"/>
              </w:rPr>
            </w:pPr>
            <w:r w:rsidRPr="00C13EBE">
              <w:rPr>
                <w:sz w:val="22"/>
              </w:rPr>
              <w:t>ACR50</w:t>
            </w:r>
          </w:p>
        </w:tc>
      </w:tr>
      <w:tr w:rsidR="00AC04C5" w14:paraId="41B61646" w14:textId="77777777" w:rsidTr="006965B5">
        <w:tc>
          <w:tcPr>
            <w:tcW w:w="1494" w:type="dxa"/>
            <w:vAlign w:val="center"/>
          </w:tcPr>
          <w:p w14:paraId="364F27C5" w14:textId="537758B7" w:rsidR="00AC04C5" w:rsidRPr="00C13EBE" w:rsidRDefault="00AC04C5" w:rsidP="00C46D47">
            <w:pPr>
              <w:ind w:firstLine="0"/>
              <w:rPr>
                <w:sz w:val="22"/>
              </w:rPr>
            </w:pPr>
            <w:r w:rsidRPr="00C13EBE">
              <w:rPr>
                <w:sz w:val="22"/>
              </w:rPr>
              <w:t>Время до обязательной замены плацебо на тофацитиниб в дозе 5 или 10 мг 2 раза в день</w:t>
            </w:r>
          </w:p>
        </w:tc>
        <w:tc>
          <w:tcPr>
            <w:tcW w:w="1162" w:type="dxa"/>
            <w:vAlign w:val="center"/>
          </w:tcPr>
          <w:p w14:paraId="15B57C06" w14:textId="4A9B17D5" w:rsidR="00AC04C5" w:rsidRPr="00C13EBE" w:rsidRDefault="00AC04C5" w:rsidP="00C46D47">
            <w:pPr>
              <w:ind w:firstLine="0"/>
              <w:rPr>
                <w:sz w:val="22"/>
              </w:rPr>
            </w:pPr>
            <w:r w:rsidRPr="00C13EBE">
              <w:rPr>
                <w:sz w:val="22"/>
              </w:rPr>
              <w:t>Месяц 3</w:t>
            </w:r>
          </w:p>
        </w:tc>
        <w:tc>
          <w:tcPr>
            <w:tcW w:w="3298" w:type="dxa"/>
            <w:gridSpan w:val="3"/>
            <w:vAlign w:val="center"/>
          </w:tcPr>
          <w:p w14:paraId="115608C7" w14:textId="209728C9" w:rsidR="00AC04C5" w:rsidRPr="00C13EBE" w:rsidRDefault="00AC04C5" w:rsidP="00C46D47">
            <w:pPr>
              <w:ind w:firstLine="0"/>
              <w:rPr>
                <w:sz w:val="22"/>
              </w:rPr>
            </w:pPr>
            <w:r w:rsidRPr="00C13EBE">
              <w:rPr>
                <w:sz w:val="22"/>
              </w:rPr>
              <w:t>Месяц 6</w:t>
            </w:r>
            <w:r w:rsidR="0094344D" w:rsidRPr="00C13EBE">
              <w:rPr>
                <w:sz w:val="22"/>
              </w:rPr>
              <w:t xml:space="preserve"> (пациент</w:t>
            </w:r>
            <w:r w:rsidR="00EE1AE3" w:rsidRPr="00C13EBE">
              <w:rPr>
                <w:sz w:val="22"/>
              </w:rPr>
              <w:t>ов из групп плацебо</w:t>
            </w:r>
            <w:r w:rsidR="0094344D" w:rsidRPr="00C13EBE">
              <w:rPr>
                <w:sz w:val="22"/>
              </w:rPr>
              <w:t xml:space="preserve"> со снижением </w:t>
            </w:r>
            <w:r w:rsidR="00824019" w:rsidRPr="00C13EBE">
              <w:rPr>
                <w:sz w:val="22"/>
              </w:rPr>
              <w:t>количества</w:t>
            </w:r>
            <w:r w:rsidR="0094344D" w:rsidRPr="00C13EBE">
              <w:rPr>
                <w:sz w:val="22"/>
              </w:rPr>
              <w:t xml:space="preserve"> отекших и болезненных суставов менее чем на 20%</w:t>
            </w:r>
            <w:r w:rsidR="00EE1AE3" w:rsidRPr="00C13EBE">
              <w:rPr>
                <w:sz w:val="22"/>
              </w:rPr>
              <w:t xml:space="preserve"> переводили на терапию тофацитинибом на 3 месяц)</w:t>
            </w:r>
          </w:p>
        </w:tc>
        <w:tc>
          <w:tcPr>
            <w:tcW w:w="814" w:type="dxa"/>
            <w:vAlign w:val="center"/>
          </w:tcPr>
          <w:p w14:paraId="2C9B7EB4" w14:textId="1E85F29E" w:rsidR="00AC04C5" w:rsidRPr="00C13EBE" w:rsidRDefault="00EE1AE3" w:rsidP="00C46D47">
            <w:pPr>
              <w:ind w:firstLine="0"/>
              <w:rPr>
                <w:sz w:val="22"/>
              </w:rPr>
            </w:pPr>
            <w:r w:rsidRPr="00C13EBE">
              <w:rPr>
                <w:sz w:val="22"/>
              </w:rPr>
              <w:t>Месяц 3</w:t>
            </w:r>
          </w:p>
        </w:tc>
        <w:tc>
          <w:tcPr>
            <w:tcW w:w="1329" w:type="dxa"/>
            <w:vAlign w:val="center"/>
          </w:tcPr>
          <w:p w14:paraId="64589302" w14:textId="5D9E9AD0" w:rsidR="00AC04C5" w:rsidRPr="00C13EBE" w:rsidRDefault="00EE1AE3" w:rsidP="00C46D47">
            <w:pPr>
              <w:ind w:firstLine="0"/>
              <w:rPr>
                <w:sz w:val="22"/>
              </w:rPr>
            </w:pPr>
            <w:r w:rsidRPr="00C13EBE">
              <w:rPr>
                <w:sz w:val="22"/>
              </w:rPr>
              <w:t>н/п</w:t>
            </w:r>
          </w:p>
        </w:tc>
        <w:tc>
          <w:tcPr>
            <w:tcW w:w="1259" w:type="dxa"/>
            <w:vAlign w:val="center"/>
          </w:tcPr>
          <w:p w14:paraId="350CA8D7" w14:textId="25842F03" w:rsidR="00AC04C5" w:rsidRPr="00C13EBE" w:rsidRDefault="00EE1AE3" w:rsidP="00C46D47">
            <w:pPr>
              <w:ind w:firstLine="0"/>
              <w:rPr>
                <w:sz w:val="22"/>
              </w:rPr>
            </w:pPr>
            <w:r w:rsidRPr="00C13EBE">
              <w:rPr>
                <w:sz w:val="22"/>
              </w:rPr>
              <w:t>н/п</w:t>
            </w:r>
          </w:p>
        </w:tc>
      </w:tr>
      <w:tr w:rsidR="006965B5" w14:paraId="652EC71F" w14:textId="77777777" w:rsidTr="006965B5">
        <w:tc>
          <w:tcPr>
            <w:tcW w:w="9356" w:type="dxa"/>
            <w:gridSpan w:val="8"/>
          </w:tcPr>
          <w:p w14:paraId="337CC5BE" w14:textId="77777777" w:rsidR="006965B5" w:rsidRDefault="006965B5" w:rsidP="006965B5">
            <w:pPr>
              <w:pStyle w:val="SDcomments"/>
              <w:ind w:firstLine="0"/>
            </w:pPr>
            <w:r w:rsidRPr="006965B5">
              <w:rPr>
                <w:b/>
                <w:iCs/>
              </w:rPr>
              <w:t>Примечание:</w:t>
            </w:r>
            <w:r>
              <w:rPr>
                <w:i/>
                <w:iCs/>
              </w:rPr>
              <w:t xml:space="preserve"> </w:t>
            </w:r>
          </w:p>
          <w:p w14:paraId="6AE4C38C" w14:textId="4A7C3312" w:rsidR="006965B5" w:rsidRDefault="006965B5" w:rsidP="006965B5">
            <w:pPr>
              <w:pStyle w:val="SDcomments"/>
              <w:ind w:firstLine="0"/>
            </w:pPr>
            <w:r w:rsidRPr="006A0F7E">
              <w:t>DMARD-IR</w:t>
            </w:r>
            <w:r>
              <w:t xml:space="preserve"> – пациенты с недостаточным ответом на болезнь-модифицирующие антиревматические препараты; </w:t>
            </w:r>
            <w:r w:rsidRPr="00F95415">
              <w:t>MTX-IR</w:t>
            </w:r>
            <w:r>
              <w:t xml:space="preserve"> – пациенты с недостаточным ответом на терапию метотрексатом; </w:t>
            </w:r>
            <w:r w:rsidRPr="00F95415">
              <w:t>TNFi-IR</w:t>
            </w:r>
            <w:r>
              <w:t xml:space="preserve"> – пациенты с недостаточным ответом на терапию ингибиторами фактора некроза опухоли </w:t>
            </w:r>
            <w:r>
              <w:rPr>
                <w:rFonts w:cs="Times New Roman"/>
              </w:rPr>
              <w:t>α</w:t>
            </w:r>
            <w:r>
              <w:t xml:space="preserve">; </w:t>
            </w:r>
            <w:r w:rsidRPr="00F95415">
              <w:t>MTX</w:t>
            </w:r>
            <w:r>
              <w:t xml:space="preserve"> – метотрексат; </w:t>
            </w:r>
            <w:r w:rsidRPr="00F95415">
              <w:t>ADA</w:t>
            </w:r>
            <w:r>
              <w:t xml:space="preserve"> – адалимумаб; </w:t>
            </w:r>
            <w:r w:rsidRPr="00F95415">
              <w:t>csDMARDs</w:t>
            </w:r>
            <w:r>
              <w:t xml:space="preserve"> – традиционные синтетические </w:t>
            </w:r>
            <w:r w:rsidRPr="00F95415">
              <w:t>болезнь-модифицирующие антиревматические препараты</w:t>
            </w:r>
            <w:r>
              <w:t xml:space="preserve">; </w:t>
            </w:r>
            <w:r w:rsidRPr="00F95415">
              <w:t>ACR20</w:t>
            </w:r>
            <w:r>
              <w:t xml:space="preserve"> – д</w:t>
            </w:r>
            <w:r w:rsidRPr="00F95415">
              <w:t>остижение 20% улучшения в соответствии с критериями Американского колледжа ревматологии</w:t>
            </w:r>
            <w:r>
              <w:t xml:space="preserve">; </w:t>
            </w:r>
            <w:r w:rsidRPr="00F95415">
              <w:t>HAQ-DI</w:t>
            </w:r>
            <w:r>
              <w:t xml:space="preserve"> – и</w:t>
            </w:r>
            <w:r w:rsidRPr="00F95415">
              <w:t>ндекс инвалидизации по опроснику оценки состояния здоровья</w:t>
            </w:r>
            <w:r>
              <w:t xml:space="preserve">; DAS28-4(ESR) – </w:t>
            </w:r>
            <w:r w:rsidRPr="00F95415">
              <w:t>четыре переменны</w:t>
            </w:r>
            <w:r>
              <w:t>е</w:t>
            </w:r>
            <w:r w:rsidRPr="00F95415">
              <w:t xml:space="preserve"> для 28 суставов по шкале активности заболевания, включая скорость оседания эритроцитов</w:t>
            </w:r>
            <w:r>
              <w:t xml:space="preserve">; </w:t>
            </w:r>
            <w:r w:rsidRPr="00F95415">
              <w:t>ACR70</w:t>
            </w:r>
            <w:r>
              <w:t xml:space="preserve"> – </w:t>
            </w:r>
            <w:r w:rsidRPr="00F95415">
              <w:t xml:space="preserve">достижение </w:t>
            </w:r>
            <w:r>
              <w:t>7</w:t>
            </w:r>
            <w:r w:rsidRPr="00F95415">
              <w:t>0% улучшения в соответствии с критериями Американского колледжа ревматологии; ACR50</w:t>
            </w:r>
            <w:r>
              <w:t xml:space="preserve"> – д</w:t>
            </w:r>
            <w:r w:rsidRPr="00F95415">
              <w:t xml:space="preserve">остижение </w:t>
            </w:r>
            <w:r>
              <w:t>5</w:t>
            </w:r>
            <w:r w:rsidRPr="00F95415">
              <w:t>0% улучшения в соответствии с критериями Американского колледжа ревматологии</w:t>
            </w:r>
            <w:r>
              <w:t>.</w:t>
            </w:r>
          </w:p>
        </w:tc>
      </w:tr>
    </w:tbl>
    <w:p w14:paraId="11DDB856" w14:textId="77777777" w:rsidR="00FA3C53" w:rsidRPr="006A0F7E" w:rsidRDefault="00FA3C53" w:rsidP="006965B5">
      <w:pPr>
        <w:pStyle w:val="SDText"/>
        <w:spacing w:after="0"/>
        <w:ind w:firstLine="0"/>
      </w:pPr>
    </w:p>
    <w:p w14:paraId="585DFFB5" w14:textId="6D8D46B5" w:rsidR="00783BC7" w:rsidRDefault="00783BC7" w:rsidP="006965B5">
      <w:pPr>
        <w:pStyle w:val="SDText"/>
        <w:spacing w:after="0"/>
        <w:contextualSpacing/>
      </w:pPr>
      <w:r>
        <w:lastRenderedPageBreak/>
        <w:t>Во</w:t>
      </w:r>
      <w:r w:rsidRPr="006A0F7E">
        <w:t xml:space="preserve"> </w:t>
      </w:r>
      <w:r>
        <w:t>всех</w:t>
      </w:r>
      <w:r w:rsidRPr="006A0F7E">
        <w:t xml:space="preserve"> </w:t>
      </w:r>
      <w:r>
        <w:t>исследованиях</w:t>
      </w:r>
      <w:r w:rsidRPr="006A0F7E">
        <w:t xml:space="preserve"> </w:t>
      </w:r>
      <w:r w:rsidR="003E6CC9" w:rsidRPr="006A0F7E">
        <w:t>(</w:t>
      </w:r>
      <w:r w:rsidR="003E6CC9" w:rsidRPr="00F932AB">
        <w:rPr>
          <w:lang w:val="en-US"/>
        </w:rPr>
        <w:t>ORAL</w:t>
      </w:r>
      <w:r w:rsidR="003E6CC9" w:rsidRPr="006A0F7E">
        <w:t xml:space="preserve"> </w:t>
      </w:r>
      <w:r w:rsidR="003E6CC9" w:rsidRPr="00F932AB">
        <w:rPr>
          <w:lang w:val="en-US"/>
        </w:rPr>
        <w:t>Solo</w:t>
      </w:r>
      <w:r w:rsidR="003E6CC9" w:rsidRPr="006A0F7E">
        <w:t xml:space="preserve">, </w:t>
      </w:r>
      <w:r w:rsidR="003E6CC9" w:rsidRPr="00F932AB">
        <w:rPr>
          <w:lang w:val="en-US"/>
        </w:rPr>
        <w:t>ORAL</w:t>
      </w:r>
      <w:r w:rsidR="003E6CC9" w:rsidRPr="006A0F7E">
        <w:t xml:space="preserve"> </w:t>
      </w:r>
      <w:r w:rsidR="003E6CC9" w:rsidRPr="00F932AB">
        <w:rPr>
          <w:lang w:val="en-US"/>
        </w:rPr>
        <w:t>Sync</w:t>
      </w:r>
      <w:r w:rsidR="003E6CC9" w:rsidRPr="006A0F7E">
        <w:t xml:space="preserve">, </w:t>
      </w:r>
      <w:r w:rsidR="003E6CC9" w:rsidRPr="00F932AB">
        <w:rPr>
          <w:lang w:val="en-US"/>
        </w:rPr>
        <w:t>ORAL</w:t>
      </w:r>
      <w:r w:rsidR="003E6CC9" w:rsidRPr="006A0F7E">
        <w:t xml:space="preserve"> </w:t>
      </w:r>
      <w:r w:rsidR="003E6CC9" w:rsidRPr="00F932AB">
        <w:rPr>
          <w:lang w:val="en-US"/>
        </w:rPr>
        <w:t>Standard</w:t>
      </w:r>
      <w:r w:rsidR="003E6CC9" w:rsidRPr="006A0F7E">
        <w:t xml:space="preserve">, </w:t>
      </w:r>
      <w:r w:rsidR="003E6CC9" w:rsidRPr="00F932AB">
        <w:rPr>
          <w:lang w:val="en-US"/>
        </w:rPr>
        <w:t>ORAL</w:t>
      </w:r>
      <w:r w:rsidR="003E6CC9" w:rsidRPr="006A0F7E">
        <w:t xml:space="preserve"> </w:t>
      </w:r>
      <w:r w:rsidR="003E6CC9" w:rsidRPr="00F932AB">
        <w:rPr>
          <w:lang w:val="en-US"/>
        </w:rPr>
        <w:t>Scan</w:t>
      </w:r>
      <w:r w:rsidR="003E6CC9" w:rsidRPr="006A0F7E">
        <w:t xml:space="preserve">, </w:t>
      </w:r>
      <w:r w:rsidR="003E6CC9" w:rsidRPr="00F932AB">
        <w:rPr>
          <w:lang w:val="en-US"/>
        </w:rPr>
        <w:t>ORAL</w:t>
      </w:r>
      <w:r w:rsidR="003E6CC9" w:rsidRPr="006A0F7E">
        <w:t xml:space="preserve"> </w:t>
      </w:r>
      <w:r w:rsidR="003E6CC9" w:rsidRPr="00F932AB">
        <w:rPr>
          <w:lang w:val="en-US"/>
        </w:rPr>
        <w:t>Step</w:t>
      </w:r>
      <w:r w:rsidR="003E6CC9" w:rsidRPr="006A0F7E">
        <w:t xml:space="preserve">, </w:t>
      </w:r>
      <w:r w:rsidR="003E6CC9" w:rsidRPr="00F932AB">
        <w:rPr>
          <w:lang w:val="en-US"/>
        </w:rPr>
        <w:t>ORAL</w:t>
      </w:r>
      <w:r w:rsidR="003E6CC9" w:rsidRPr="006A0F7E">
        <w:t xml:space="preserve"> </w:t>
      </w:r>
      <w:r w:rsidR="003E6CC9" w:rsidRPr="00F932AB">
        <w:rPr>
          <w:lang w:val="en-US"/>
        </w:rPr>
        <w:t>Start</w:t>
      </w:r>
      <w:r w:rsidR="003E6CC9" w:rsidRPr="006A0F7E">
        <w:t xml:space="preserve"> </w:t>
      </w:r>
      <w:r w:rsidR="003E6CC9" w:rsidRPr="003E6CC9">
        <w:t>и</w:t>
      </w:r>
      <w:r w:rsidR="003E6CC9" w:rsidRPr="006A0F7E">
        <w:t xml:space="preserve"> </w:t>
      </w:r>
      <w:r w:rsidR="003E6CC9" w:rsidRPr="00F932AB">
        <w:rPr>
          <w:lang w:val="en-US"/>
        </w:rPr>
        <w:t>ORAL</w:t>
      </w:r>
      <w:r w:rsidR="003E6CC9" w:rsidRPr="006A0F7E">
        <w:t xml:space="preserve"> </w:t>
      </w:r>
      <w:r w:rsidR="003E6CC9" w:rsidRPr="00F932AB">
        <w:rPr>
          <w:lang w:val="en-US"/>
        </w:rPr>
        <w:t>Strategy</w:t>
      </w:r>
      <w:r w:rsidR="003E6CC9" w:rsidRPr="006A0F7E">
        <w:t xml:space="preserve">) </w:t>
      </w:r>
      <w:r>
        <w:t>пациенты</w:t>
      </w:r>
      <w:r w:rsidRPr="006A0F7E">
        <w:t xml:space="preserve"> </w:t>
      </w:r>
      <w:r>
        <w:t>получали</w:t>
      </w:r>
      <w:r w:rsidRPr="006A0F7E">
        <w:t xml:space="preserve"> </w:t>
      </w:r>
      <w:r w:rsidR="009355B8">
        <w:t>тофацитиниб</w:t>
      </w:r>
      <w:r w:rsidR="009355B8" w:rsidRPr="006A0F7E">
        <w:t xml:space="preserve"> </w:t>
      </w:r>
      <w:r w:rsidR="009355B8">
        <w:t>в</w:t>
      </w:r>
      <w:r w:rsidR="009355B8" w:rsidRPr="006A0F7E">
        <w:t xml:space="preserve"> </w:t>
      </w:r>
      <w:r w:rsidR="009355B8">
        <w:t>дозе</w:t>
      </w:r>
      <w:r w:rsidRPr="006A0F7E">
        <w:t xml:space="preserve"> 5</w:t>
      </w:r>
      <w:r w:rsidR="009355B8" w:rsidRPr="006A0F7E">
        <w:t xml:space="preserve"> </w:t>
      </w:r>
      <w:r w:rsidR="009355B8">
        <w:t>или</w:t>
      </w:r>
      <w:r w:rsidRPr="006A0F7E">
        <w:t xml:space="preserve"> 10 </w:t>
      </w:r>
      <w:r>
        <w:t>мг</w:t>
      </w:r>
      <w:r w:rsidRPr="006A0F7E">
        <w:t xml:space="preserve"> </w:t>
      </w:r>
      <w:r w:rsidR="002A2177" w:rsidRPr="006A0F7E">
        <w:t xml:space="preserve">2 </w:t>
      </w:r>
      <w:r w:rsidR="002A2177">
        <w:t>раза</w:t>
      </w:r>
      <w:r w:rsidR="002A2177" w:rsidRPr="006A0F7E">
        <w:t xml:space="preserve"> </w:t>
      </w:r>
      <w:r w:rsidR="002A2177">
        <w:t>в</w:t>
      </w:r>
      <w:r w:rsidR="002A2177" w:rsidRPr="006A0F7E">
        <w:t xml:space="preserve"> </w:t>
      </w:r>
      <w:r w:rsidR="002A2177">
        <w:t>день</w:t>
      </w:r>
      <w:r w:rsidR="009355B8" w:rsidRPr="006A0F7E">
        <w:t xml:space="preserve">. </w:t>
      </w:r>
      <w:r w:rsidR="009355B8">
        <w:t>Н</w:t>
      </w:r>
      <w:r w:rsidR="006105B6">
        <w:t>а</w:t>
      </w:r>
      <w:r w:rsidR="002A2177">
        <w:t xml:space="preserve"> фоне</w:t>
      </w:r>
      <w:r>
        <w:t xml:space="preserve"> ежедневн</w:t>
      </w:r>
      <w:r w:rsidR="002A2177">
        <w:t>ого</w:t>
      </w:r>
      <w:r>
        <w:t xml:space="preserve"> прием</w:t>
      </w:r>
      <w:r w:rsidR="002A2177">
        <w:t>а</w:t>
      </w:r>
      <w:r>
        <w:t xml:space="preserve"> тофацитиниба </w:t>
      </w:r>
      <w:r w:rsidR="002A2177">
        <w:t xml:space="preserve">определили </w:t>
      </w:r>
      <w:r>
        <w:t>статистически значим</w:t>
      </w:r>
      <w:r w:rsidR="002A2177">
        <w:t xml:space="preserve">ое улучшение </w:t>
      </w:r>
      <w:r>
        <w:t xml:space="preserve">ответа </w:t>
      </w:r>
      <w:r w:rsidR="002A2177">
        <w:t xml:space="preserve">по </w:t>
      </w:r>
      <w:r w:rsidR="003E6CC9">
        <w:t xml:space="preserve">критериям </w:t>
      </w:r>
      <w:r>
        <w:t>ACR через 3 мес</w:t>
      </w:r>
      <w:r w:rsidR="002A2177">
        <w:t>.</w:t>
      </w:r>
      <w:r>
        <w:t xml:space="preserve"> и 6</w:t>
      </w:r>
      <w:r w:rsidR="002A2177">
        <w:t xml:space="preserve"> </w:t>
      </w:r>
      <w:r>
        <w:t>мес</w:t>
      </w:r>
      <w:r w:rsidR="003E6CC9">
        <w:t>.</w:t>
      </w:r>
      <w:r>
        <w:t xml:space="preserve"> по сравнению с плацебо (или по сравнению с метотрексатом в ORAL Start) у пациентов, получавших лечение</w:t>
      </w:r>
      <w:r w:rsidR="00774C8D">
        <w:t>. Кроме того, на фоне терапии тофацитинибом определили улучшение по ч</w:t>
      </w:r>
      <w:r w:rsidR="00774C8D" w:rsidRPr="00774C8D">
        <w:t>етыре</w:t>
      </w:r>
      <w:r w:rsidR="00774C8D">
        <w:t>м</w:t>
      </w:r>
      <w:r w:rsidR="00774C8D" w:rsidRPr="00774C8D">
        <w:t xml:space="preserve"> переменны</w:t>
      </w:r>
      <w:r w:rsidR="00774C8D">
        <w:t>м</w:t>
      </w:r>
      <w:r w:rsidR="00774C8D" w:rsidRPr="00774C8D">
        <w:t xml:space="preserve"> для 28 суставов по шкале активности заболевания (disease activity score), включая скорость оседания эритроцитов </w:t>
      </w:r>
      <w:r w:rsidR="00774C8D">
        <w:t>(</w:t>
      </w:r>
      <w:r w:rsidR="00774C8D" w:rsidRPr="00774C8D">
        <w:t>DAS28-4(ESR)</w:t>
      </w:r>
      <w:r w:rsidR="00774C8D">
        <w:t xml:space="preserve">) в исследованиях </w:t>
      </w:r>
      <w:r w:rsidR="00D96231" w:rsidRPr="00D96231">
        <w:t>ORAL Step</w:t>
      </w:r>
      <w:r w:rsidR="00774C8D">
        <w:t xml:space="preserve">, </w:t>
      </w:r>
      <w:r w:rsidR="00254A5E" w:rsidRPr="00254A5E">
        <w:t>ORAL Sync</w:t>
      </w:r>
      <w:r w:rsidR="00254A5E">
        <w:t xml:space="preserve"> и </w:t>
      </w:r>
      <w:r w:rsidR="00254A5E" w:rsidRPr="00254A5E">
        <w:t>ORAL Standard</w:t>
      </w:r>
      <w:r w:rsidR="00CB2356">
        <w:t xml:space="preserve">, </w:t>
      </w:r>
      <w:r w:rsidR="00254A5E">
        <w:t>улучшение радиологической картины в исследованиях</w:t>
      </w:r>
      <w:r w:rsidR="00BE0E75" w:rsidRPr="00BE0E75">
        <w:t xml:space="preserve"> ORAL Scan</w:t>
      </w:r>
      <w:r w:rsidR="00BE0E75">
        <w:t xml:space="preserve"> и</w:t>
      </w:r>
      <w:r w:rsidR="00383E6F">
        <w:t xml:space="preserve"> </w:t>
      </w:r>
      <w:r w:rsidR="00CB2356" w:rsidRPr="00CB2356">
        <w:t>ORAL Start</w:t>
      </w:r>
      <w:r w:rsidR="0060746A" w:rsidRPr="0060746A">
        <w:t xml:space="preserve"> </w:t>
      </w:r>
      <w:r w:rsidR="00CB2356">
        <w:t>и улучшение качества жизни в исследованиях</w:t>
      </w:r>
      <w:r w:rsidR="00A21DB7" w:rsidRPr="00A21DB7">
        <w:t xml:space="preserve"> </w:t>
      </w:r>
      <w:r w:rsidR="00A21DB7" w:rsidRPr="003E6CC9">
        <w:t>ORAL Solo, ORAL Sync, ORAL Standard, ORAL Step, ORAL Start и ORAL Strategy</w:t>
      </w:r>
      <w:r w:rsidR="00CB2356">
        <w:t xml:space="preserve"> </w:t>
      </w:r>
      <w:r w:rsidR="0060746A">
        <w:fldChar w:fldCharType="begin"/>
      </w:r>
      <w:r w:rsidR="008D5290">
        <w:instrText xml:space="preserve"> ADDIN ZOTERO_ITEM CSL_CITATION {"citationID":"oprYfbOg","properties":{"formattedCitation":"[24]","plainCitation":"[24]","noteIndex":0},"citationItems":[{"id":87800,"uris":["http://zotero.org/groups/4742804/items/TPCQ89X9"],"itemData":{"id":87800,"type":"webpage","title":"Xeljanz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60746A">
        <w:fldChar w:fldCharType="separate"/>
      </w:r>
      <w:r w:rsidR="00AD0B20">
        <w:rPr>
          <w:rFonts w:cs="Times New Roman"/>
        </w:rPr>
        <w:t>[2</w:t>
      </w:r>
      <w:r w:rsidR="008D5290" w:rsidRPr="008D5290">
        <w:rPr>
          <w:rFonts w:cs="Times New Roman"/>
        </w:rPr>
        <w:t>]</w:t>
      </w:r>
      <w:r w:rsidR="0060746A">
        <w:fldChar w:fldCharType="end"/>
      </w:r>
      <w:r w:rsidR="0060746A">
        <w:t>.</w:t>
      </w:r>
    </w:p>
    <w:p w14:paraId="10941398" w14:textId="7BC71C43" w:rsidR="0064416B" w:rsidRDefault="00DA29B5" w:rsidP="00382C19">
      <w:pPr>
        <w:pStyle w:val="SDText"/>
        <w:contextualSpacing/>
      </w:pPr>
      <w:r>
        <w:t xml:space="preserve">В </w:t>
      </w:r>
      <w:r w:rsidR="006D69AE">
        <w:t xml:space="preserve">рандомизированном двойном слепом плацебо-контролируемом </w:t>
      </w:r>
      <w:r>
        <w:t xml:space="preserve">исследовании </w:t>
      </w:r>
      <w:r w:rsidR="005D1383" w:rsidRPr="005D1383">
        <w:t>A3921025</w:t>
      </w:r>
      <w:r w:rsidR="00DC2966" w:rsidRPr="006D69AE">
        <w:t xml:space="preserve"> </w:t>
      </w:r>
      <w:r w:rsidR="006D69AE">
        <w:t xml:space="preserve">фазы </w:t>
      </w:r>
      <w:r w:rsidR="006D69AE">
        <w:rPr>
          <w:lang w:val="en-US"/>
        </w:rPr>
        <w:t>II</w:t>
      </w:r>
      <w:r w:rsidR="005A31CD">
        <w:rPr>
          <w:lang w:val="en-US"/>
        </w:rPr>
        <w:t>b</w:t>
      </w:r>
      <w:r w:rsidR="005A31CD">
        <w:t xml:space="preserve"> </w:t>
      </w:r>
      <w:r w:rsidR="00C95A6E">
        <w:t xml:space="preserve">по подбору доз </w:t>
      </w:r>
      <w:r w:rsidR="004E6C46">
        <w:t xml:space="preserve">в параллельных группах </w:t>
      </w:r>
      <w:r w:rsidR="005A31CD">
        <w:t>приняли участие пациент</w:t>
      </w:r>
      <w:r w:rsidR="00124000">
        <w:t>ы</w:t>
      </w:r>
      <w:r w:rsidR="005A31CD">
        <w:t xml:space="preserve"> с РА</w:t>
      </w:r>
      <w:r w:rsidR="0012637D">
        <w:t xml:space="preserve"> </w:t>
      </w:r>
      <w:bookmarkStart w:id="226" w:name="_Hlk114302136"/>
      <w:r w:rsidR="0012637D">
        <w:t>с недостаточным ответом на терапию метотрексатом</w:t>
      </w:r>
      <w:bookmarkEnd w:id="226"/>
      <w:r w:rsidR="00A90965">
        <w:t xml:space="preserve">. Больных </w:t>
      </w:r>
      <w:r w:rsidR="00124000">
        <w:t>(</w:t>
      </w:r>
      <w:r w:rsidR="00124000">
        <w:rPr>
          <w:lang w:val="en-US"/>
        </w:rPr>
        <w:t>n</w:t>
      </w:r>
      <w:r w:rsidR="00124000" w:rsidRPr="00124000">
        <w:t xml:space="preserve"> = 509) </w:t>
      </w:r>
      <w:r w:rsidR="00A90965">
        <w:t xml:space="preserve">рандомизировали </w:t>
      </w:r>
      <w:r w:rsidR="001E14B4">
        <w:t xml:space="preserve">на 6 групп </w:t>
      </w:r>
      <w:r w:rsidR="00A90965">
        <w:t xml:space="preserve">в соотношении 1:1:1:1:1:1 </w:t>
      </w:r>
      <w:r w:rsidR="00D1215B">
        <w:t xml:space="preserve">для перорального приема </w:t>
      </w:r>
      <w:r w:rsidR="005E01F3" w:rsidRPr="005E01F3">
        <w:t xml:space="preserve">тофацитиниба </w:t>
      </w:r>
      <w:r w:rsidR="00D1215B">
        <w:t>в дозе 20 мг 1 раз в день</w:t>
      </w:r>
      <w:r w:rsidR="001E14B4">
        <w:t xml:space="preserve"> или</w:t>
      </w:r>
      <w:r w:rsidR="00D1215B">
        <w:t xml:space="preserve"> </w:t>
      </w:r>
      <w:r w:rsidR="001E14B4" w:rsidRPr="001E14B4">
        <w:t>15, 10, 5, 3</w:t>
      </w:r>
      <w:r w:rsidR="00716928">
        <w:t>,</w:t>
      </w:r>
      <w:r w:rsidR="001E14B4" w:rsidRPr="001E14B4">
        <w:t xml:space="preserve"> </w:t>
      </w:r>
      <w:r w:rsidR="001E14B4">
        <w:t>или</w:t>
      </w:r>
      <w:r w:rsidR="001E14B4" w:rsidRPr="001E14B4">
        <w:t xml:space="preserve"> 1</w:t>
      </w:r>
      <w:r w:rsidR="001E14B4">
        <w:t xml:space="preserve"> мг 2 раза в день</w:t>
      </w:r>
      <w:r w:rsidR="00716928">
        <w:t>,</w:t>
      </w:r>
      <w:r w:rsidR="001E14B4">
        <w:t xml:space="preserve"> или плацебо. </w:t>
      </w:r>
      <w:r w:rsidR="00B0279A">
        <w:t xml:space="preserve">Доля женщин среди групп составила 74–88%, </w:t>
      </w:r>
      <w:r w:rsidR="009F020C">
        <w:t xml:space="preserve">средний </w:t>
      </w:r>
      <w:r w:rsidR="00B0279A">
        <w:t>воз</w:t>
      </w:r>
      <w:r w:rsidR="009F020C">
        <w:t>ра</w:t>
      </w:r>
      <w:r w:rsidR="00B0279A">
        <w:t xml:space="preserve">ст </w:t>
      </w:r>
      <w:r w:rsidR="009F020C">
        <w:t xml:space="preserve">пациентов находился в интервале от 50,8 до 56,0 лет. </w:t>
      </w:r>
      <w:r w:rsidR="00507A6D">
        <w:t>Пациентов из групп</w:t>
      </w:r>
      <w:r w:rsidR="004F76D7">
        <w:t xml:space="preserve"> </w:t>
      </w:r>
      <w:r w:rsidR="005E01F3" w:rsidRPr="005E01F3">
        <w:t xml:space="preserve">тофацитиниба </w:t>
      </w:r>
      <w:r w:rsidR="00507A6D">
        <w:t xml:space="preserve">в дозе </w:t>
      </w:r>
      <w:r w:rsidR="004F76D7">
        <w:t xml:space="preserve">3 мг два раза в день, 1 мг два раза в день, 20 мг один раз в день и плацебо, </w:t>
      </w:r>
      <w:r w:rsidR="00507A6D">
        <w:t xml:space="preserve">у </w:t>
      </w:r>
      <w:r w:rsidR="004F76D7">
        <w:t>которы</w:t>
      </w:r>
      <w:r w:rsidR="00507A6D">
        <w:t>х</w:t>
      </w:r>
      <w:r w:rsidR="004F76D7">
        <w:t xml:space="preserve"> не удалось добиться минимального улучшения в виде </w:t>
      </w:r>
      <w:r w:rsidR="00507A6D">
        <w:t>снижения</w:t>
      </w:r>
      <w:r w:rsidR="004F76D7">
        <w:t xml:space="preserve"> не менее чем на 20% количеств</w:t>
      </w:r>
      <w:r w:rsidR="00507A6D">
        <w:t>а</w:t>
      </w:r>
      <w:r w:rsidR="004F76D7">
        <w:t xml:space="preserve"> о</w:t>
      </w:r>
      <w:r w:rsidR="00507A6D">
        <w:t>текших</w:t>
      </w:r>
      <w:r w:rsidR="004F76D7">
        <w:t xml:space="preserve"> и болезненных суставов по сравнению с исходным уровнем на 12 неделе, </w:t>
      </w:r>
      <w:r w:rsidR="00507A6D">
        <w:t xml:space="preserve">считали </w:t>
      </w:r>
      <w:r w:rsidR="004F76D7">
        <w:t>не ответивши</w:t>
      </w:r>
      <w:r w:rsidR="00507A6D">
        <w:t>ми</w:t>
      </w:r>
      <w:r w:rsidR="00807F39">
        <w:t xml:space="preserve"> на терапию</w:t>
      </w:r>
      <w:r w:rsidR="00716928">
        <w:t>,</w:t>
      </w:r>
      <w:r w:rsidR="004F76D7">
        <w:t xml:space="preserve"> и на оставшиеся 12 недель </w:t>
      </w:r>
      <w:r w:rsidR="00807F39">
        <w:t xml:space="preserve">исследования </w:t>
      </w:r>
      <w:r w:rsidR="004F76D7">
        <w:t>доз</w:t>
      </w:r>
      <w:r w:rsidR="00807F39">
        <w:t>у исследуемого препарата для них меняли на</w:t>
      </w:r>
      <w:r w:rsidR="004F76D7">
        <w:t xml:space="preserve"> 5 мг два раза в день.</w:t>
      </w:r>
      <w:r w:rsidR="00807F39">
        <w:t xml:space="preserve"> </w:t>
      </w:r>
      <w:r w:rsidR="001375B2">
        <w:t>Первичной конечной точкой эффективности являл</w:t>
      </w:r>
      <w:r w:rsidR="004073DD">
        <w:t>а</w:t>
      </w:r>
      <w:r w:rsidR="001375B2">
        <w:t xml:space="preserve">сь </w:t>
      </w:r>
      <w:r w:rsidR="004073DD">
        <w:t xml:space="preserve">доля пациентов с </w:t>
      </w:r>
      <w:r w:rsidR="001375B2">
        <w:t>достижение</w:t>
      </w:r>
      <w:r w:rsidR="004073DD">
        <w:t>м</w:t>
      </w:r>
      <w:r w:rsidR="001375B2">
        <w:t xml:space="preserve"> </w:t>
      </w:r>
      <w:r w:rsidR="00F22F51">
        <w:t xml:space="preserve">20% улучшения в соответствии с критериями </w:t>
      </w:r>
      <w:r w:rsidR="00E11700">
        <w:t>А</w:t>
      </w:r>
      <w:r w:rsidR="00F22F51">
        <w:t>мериканского колледжа ревматоло</w:t>
      </w:r>
      <w:r w:rsidR="006B2662">
        <w:t>гии (</w:t>
      </w:r>
      <w:r w:rsidR="006B2662">
        <w:rPr>
          <w:lang w:val="en-US"/>
        </w:rPr>
        <w:t>American</w:t>
      </w:r>
      <w:r w:rsidR="006B2662" w:rsidRPr="006B2662">
        <w:t xml:space="preserve"> </w:t>
      </w:r>
      <w:r w:rsidR="006B2662">
        <w:rPr>
          <w:lang w:val="en-US"/>
        </w:rPr>
        <w:t>college</w:t>
      </w:r>
      <w:r w:rsidR="006B2662" w:rsidRPr="006B2662">
        <w:t xml:space="preserve"> </w:t>
      </w:r>
      <w:r w:rsidR="006B2662">
        <w:rPr>
          <w:lang w:val="en-US"/>
        </w:rPr>
        <w:t>r</w:t>
      </w:r>
      <w:r w:rsidR="00E11700">
        <w:rPr>
          <w:lang w:val="en-US"/>
        </w:rPr>
        <w:t>heumatology</w:t>
      </w:r>
      <w:r w:rsidR="00E11700" w:rsidRPr="00E11700">
        <w:t xml:space="preserve">, </w:t>
      </w:r>
      <w:r w:rsidR="001375B2">
        <w:rPr>
          <w:lang w:val="en-US"/>
        </w:rPr>
        <w:t>ACR</w:t>
      </w:r>
      <w:r w:rsidR="00E11700" w:rsidRPr="00E11700">
        <w:t xml:space="preserve">) </w:t>
      </w:r>
      <w:r w:rsidR="00E11700">
        <w:t xml:space="preserve">– </w:t>
      </w:r>
      <w:r w:rsidR="00E11700">
        <w:rPr>
          <w:lang w:val="en-US"/>
        </w:rPr>
        <w:t>ACR</w:t>
      </w:r>
      <w:r w:rsidR="001375B2" w:rsidRPr="001375B2">
        <w:t xml:space="preserve">20 </w:t>
      </w:r>
      <w:r w:rsidR="001375B2">
        <w:t>на 12 неделе терапии</w:t>
      </w:r>
      <w:r w:rsidR="00137962">
        <w:t xml:space="preserve">. В соответствии с протоколом завершили исследование 420 пациентов. </w:t>
      </w:r>
      <w:r w:rsidR="004073DD">
        <w:t xml:space="preserve">Доля пациентов </w:t>
      </w:r>
      <w:r w:rsidR="00DC45B0">
        <w:t xml:space="preserve">с </w:t>
      </w:r>
      <w:r w:rsidR="00DC45B0">
        <w:rPr>
          <w:lang w:val="en-US"/>
        </w:rPr>
        <w:t>ACR</w:t>
      </w:r>
      <w:r w:rsidR="00DC45B0" w:rsidRPr="00AF062E">
        <w:t xml:space="preserve">20 </w:t>
      </w:r>
      <w:r w:rsidR="00DC45B0">
        <w:t xml:space="preserve">составила </w:t>
      </w:r>
      <w:r w:rsidR="00AF062E">
        <w:t xml:space="preserve">47, 56, 56, 58, 56, 56 и 36% в группах </w:t>
      </w:r>
      <w:r w:rsidR="005E01F3" w:rsidRPr="005E01F3">
        <w:t xml:space="preserve">тофацитиниба </w:t>
      </w:r>
      <w:r w:rsidR="0097623C">
        <w:t xml:space="preserve">1, 3, 5, </w:t>
      </w:r>
      <w:r w:rsidR="00EE6CE3">
        <w:t>10 или 15</w:t>
      </w:r>
      <w:r w:rsidR="00AF062E">
        <w:t xml:space="preserve"> мг 2 раза в день</w:t>
      </w:r>
      <w:r w:rsidR="00716928">
        <w:t>,</w:t>
      </w:r>
      <w:r w:rsidR="00AF062E">
        <w:t xml:space="preserve"> </w:t>
      </w:r>
      <w:r w:rsidR="00EE6CE3">
        <w:t>или в дозе 20 мг 1 раз в день</w:t>
      </w:r>
      <w:r w:rsidR="00716928">
        <w:t>,</w:t>
      </w:r>
      <w:r w:rsidR="00EE6CE3">
        <w:t xml:space="preserve"> </w:t>
      </w:r>
      <w:r w:rsidR="00AF062E">
        <w:t>или плацебо</w:t>
      </w:r>
      <w:r w:rsidR="001375B2">
        <w:t xml:space="preserve"> </w:t>
      </w:r>
      <w:r w:rsidR="00EE6CE3">
        <w:t>соответственно, доля пациентов с достижение</w:t>
      </w:r>
      <w:r w:rsidR="002B465A">
        <w:t>м</w:t>
      </w:r>
      <w:r w:rsidR="00EE6CE3">
        <w:t xml:space="preserve"> 50% улучшения в соответствии с критериями </w:t>
      </w:r>
      <w:r w:rsidR="00EE6CE3">
        <w:rPr>
          <w:lang w:val="en-US"/>
        </w:rPr>
        <w:t>ACR</w:t>
      </w:r>
      <w:r w:rsidR="00EE6CE3" w:rsidRPr="00EE6CE3">
        <w:t xml:space="preserve"> (</w:t>
      </w:r>
      <w:r w:rsidR="00EE6CE3">
        <w:rPr>
          <w:lang w:val="en-US"/>
        </w:rPr>
        <w:t>ACR</w:t>
      </w:r>
      <w:r w:rsidR="00EE6CE3" w:rsidRPr="00EE6CE3">
        <w:t xml:space="preserve">50) </w:t>
      </w:r>
      <w:r w:rsidR="002B465A">
        <w:t>–</w:t>
      </w:r>
      <w:r w:rsidR="00EE6CE3" w:rsidRPr="00EE6CE3">
        <w:t xml:space="preserve"> </w:t>
      </w:r>
      <w:r w:rsidR="002B465A">
        <w:t xml:space="preserve">23, 29, 37, 28, 44, 36 и 17% соответственно, а доля пациентов с достижением </w:t>
      </w:r>
      <w:r w:rsidR="00DA49CF">
        <w:t>7</w:t>
      </w:r>
      <w:r w:rsidR="002B465A">
        <w:t xml:space="preserve">0% улучшения в соответствии с критериями </w:t>
      </w:r>
      <w:r w:rsidR="002B465A">
        <w:rPr>
          <w:lang w:val="en-US"/>
        </w:rPr>
        <w:t>ACR</w:t>
      </w:r>
      <w:r w:rsidR="002B465A" w:rsidRPr="002B465A">
        <w:t xml:space="preserve"> </w:t>
      </w:r>
      <w:r w:rsidR="002B465A">
        <w:t>(</w:t>
      </w:r>
      <w:r w:rsidR="002B465A">
        <w:rPr>
          <w:lang w:val="en-US"/>
        </w:rPr>
        <w:t>ACR</w:t>
      </w:r>
      <w:r w:rsidR="002B465A" w:rsidRPr="002B465A">
        <w:t>70</w:t>
      </w:r>
      <w:r w:rsidR="002B465A">
        <w:t xml:space="preserve">) </w:t>
      </w:r>
      <w:r w:rsidR="007C1B4B">
        <w:t>–</w:t>
      </w:r>
      <w:r w:rsidR="002B465A">
        <w:t xml:space="preserve"> </w:t>
      </w:r>
      <w:r w:rsidR="007C1B4B">
        <w:t xml:space="preserve">4, 21, 18, 12, 24, 24 и 6% соответственно </w:t>
      </w:r>
      <w:r w:rsidR="003D682C">
        <w:rPr>
          <w:lang w:val="en-GB"/>
        </w:rPr>
        <w:fldChar w:fldCharType="begin"/>
      </w:r>
      <w:r w:rsidR="008D5290">
        <w:instrText xml:space="preserve"> ADDIN ZOTERO_ITEM CSL_CITATION {"citationID":"h2joVrhH","properties":{"formattedCitation":"[29]","plainCitation":"[29]","noteIndex":0},"citationItems":[{"id":87805,"uris":["http://zotero.org/groups/4742804/items/QUW6NSTM"],"itemData":{"id":87805,"type":"webpage","title":"Xeljanz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Review","URL":"https://www.accessdata.fda.gov/drugsatfda_docs/nda/2012/203214Orig1s000TOC.cfm","accessed":{"date-parts":[["2022",8,3]]}}}],"schema":"https://github.com/citation-style-language/schema/raw/master/csl-citation.json"} </w:instrText>
      </w:r>
      <w:r w:rsidR="003D682C">
        <w:rPr>
          <w:lang w:val="en-GB"/>
        </w:rPr>
        <w:fldChar w:fldCharType="separate"/>
      </w:r>
      <w:r w:rsidR="00AD0B20">
        <w:rPr>
          <w:rFonts w:cs="Times New Roman"/>
        </w:rPr>
        <w:t>[7</w:t>
      </w:r>
      <w:r w:rsidR="008D5290" w:rsidRPr="008D5290">
        <w:rPr>
          <w:rFonts w:cs="Times New Roman"/>
        </w:rPr>
        <w:t>]</w:t>
      </w:r>
      <w:r w:rsidR="003D682C">
        <w:rPr>
          <w:lang w:val="en-GB"/>
        </w:rPr>
        <w:fldChar w:fldCharType="end"/>
      </w:r>
      <w:r w:rsidR="000B40A1">
        <w:t>.</w:t>
      </w:r>
    </w:p>
    <w:p w14:paraId="68E754EC" w14:textId="69DD63A7" w:rsidR="00282212" w:rsidRPr="008F79B2" w:rsidRDefault="00282212" w:rsidP="00382C19">
      <w:pPr>
        <w:pStyle w:val="SDText"/>
        <w:contextualSpacing/>
        <w:rPr>
          <w:rFonts w:cs="Times New Roman"/>
        </w:rPr>
      </w:pPr>
      <w:r>
        <w:t xml:space="preserve">В </w:t>
      </w:r>
      <w:r w:rsidR="004E6C46">
        <w:t xml:space="preserve">рандомизированном двойном слепом плацебо-контролируемом </w:t>
      </w:r>
      <w:r w:rsidR="00862F03">
        <w:t xml:space="preserve">6-месячном </w:t>
      </w:r>
      <w:r>
        <w:t xml:space="preserve">исследовании </w:t>
      </w:r>
      <w:r w:rsidRPr="00282212">
        <w:t>A3921032</w:t>
      </w:r>
      <w:r w:rsidR="006D2766">
        <w:t xml:space="preserve"> </w:t>
      </w:r>
      <w:r w:rsidR="004416C8">
        <w:t xml:space="preserve">фазы </w:t>
      </w:r>
      <w:r w:rsidR="004416C8">
        <w:rPr>
          <w:lang w:val="en-US"/>
        </w:rPr>
        <w:t>III</w:t>
      </w:r>
      <w:r w:rsidR="004416C8" w:rsidRPr="004416C8">
        <w:t xml:space="preserve"> </w:t>
      </w:r>
      <w:r w:rsidR="004416C8">
        <w:t xml:space="preserve">в параллельных группах </w:t>
      </w:r>
      <w:r w:rsidR="00B85831">
        <w:t>пациент</w:t>
      </w:r>
      <w:r w:rsidR="00FF07DC">
        <w:t>ов</w:t>
      </w:r>
      <w:r w:rsidR="00314023" w:rsidRPr="00314023">
        <w:t xml:space="preserve"> </w:t>
      </w:r>
      <w:r w:rsidR="00314023">
        <w:t>с РА</w:t>
      </w:r>
      <w:r w:rsidR="00B85831">
        <w:t>, получа</w:t>
      </w:r>
      <w:r w:rsidR="00221855">
        <w:t>вших</w:t>
      </w:r>
      <w:r w:rsidR="00B85831">
        <w:t xml:space="preserve"> метотрексат в адекватных дозах </w:t>
      </w:r>
      <w:r w:rsidR="006F23B1">
        <w:t>(7,5–25 мг в неделю)</w:t>
      </w:r>
      <w:r w:rsidR="00C01C22">
        <w:t>,</w:t>
      </w:r>
      <w:r w:rsidR="006F23B1">
        <w:t xml:space="preserve"> с недостаточным ответом на терапию</w:t>
      </w:r>
      <w:r w:rsidR="00B85831">
        <w:t xml:space="preserve"> </w:t>
      </w:r>
      <w:r w:rsidR="007F1F81">
        <w:t xml:space="preserve">или непереносимостью ранее назначенного </w:t>
      </w:r>
      <w:r w:rsidR="0020101E">
        <w:t xml:space="preserve">ингибитора </w:t>
      </w:r>
      <w:r w:rsidR="0020101E">
        <w:rPr>
          <w:lang w:val="en-US"/>
        </w:rPr>
        <w:t>TNF</w:t>
      </w:r>
      <w:r w:rsidR="0020101E">
        <w:t>-</w:t>
      </w:r>
      <w:r w:rsidR="0020101E">
        <w:rPr>
          <w:rFonts w:cs="Times New Roman"/>
        </w:rPr>
        <w:t>α</w:t>
      </w:r>
      <w:r w:rsidR="00221855">
        <w:rPr>
          <w:rFonts w:cs="Times New Roman"/>
        </w:rPr>
        <w:t>,</w:t>
      </w:r>
      <w:r w:rsidR="007F1F81">
        <w:rPr>
          <w:rFonts w:cs="Times New Roman"/>
        </w:rPr>
        <w:t xml:space="preserve"> </w:t>
      </w:r>
      <w:r w:rsidR="00221855">
        <w:rPr>
          <w:rFonts w:cs="Times New Roman"/>
        </w:rPr>
        <w:t xml:space="preserve">рандомизировали на </w:t>
      </w:r>
      <w:r w:rsidR="00615D66">
        <w:rPr>
          <w:rFonts w:cs="Times New Roman"/>
        </w:rPr>
        <w:t>4</w:t>
      </w:r>
      <w:r w:rsidR="00221855">
        <w:rPr>
          <w:rFonts w:cs="Times New Roman"/>
        </w:rPr>
        <w:t xml:space="preserve"> группы </w:t>
      </w:r>
      <w:r w:rsidR="00AA4627">
        <w:rPr>
          <w:rFonts w:cs="Times New Roman"/>
        </w:rPr>
        <w:t xml:space="preserve">в соотношении 2:2:1:1 </w:t>
      </w:r>
      <w:r w:rsidR="00221855">
        <w:rPr>
          <w:rFonts w:cs="Times New Roman"/>
        </w:rPr>
        <w:t>для получения</w:t>
      </w:r>
      <w:r w:rsidR="00FF07DC">
        <w:rPr>
          <w:rFonts w:cs="Times New Roman"/>
        </w:rPr>
        <w:t xml:space="preserve"> </w:t>
      </w:r>
      <w:r w:rsidR="00221855">
        <w:rPr>
          <w:rFonts w:cs="Times New Roman"/>
        </w:rPr>
        <w:t xml:space="preserve">перорально </w:t>
      </w:r>
      <w:r w:rsidR="005E01F3" w:rsidRPr="005E01F3">
        <w:rPr>
          <w:rFonts w:cs="Times New Roman"/>
        </w:rPr>
        <w:t xml:space="preserve">тофацитиниба </w:t>
      </w:r>
      <w:r w:rsidR="00221855">
        <w:rPr>
          <w:rFonts w:cs="Times New Roman"/>
        </w:rPr>
        <w:t xml:space="preserve">в дозе </w:t>
      </w:r>
      <w:r w:rsidR="006B340A">
        <w:rPr>
          <w:rFonts w:cs="Times New Roman"/>
        </w:rPr>
        <w:t>5 или 10 мг 2 раз</w:t>
      </w:r>
      <w:r w:rsidR="00C01C22">
        <w:rPr>
          <w:rFonts w:cs="Times New Roman"/>
        </w:rPr>
        <w:t>а</w:t>
      </w:r>
      <w:r w:rsidR="006B340A">
        <w:rPr>
          <w:rFonts w:cs="Times New Roman"/>
        </w:rPr>
        <w:t xml:space="preserve"> в день</w:t>
      </w:r>
      <w:r w:rsidR="00615D66">
        <w:rPr>
          <w:rFonts w:cs="Times New Roman"/>
        </w:rPr>
        <w:t xml:space="preserve">, </w:t>
      </w:r>
      <w:r w:rsidR="006B340A">
        <w:rPr>
          <w:rFonts w:cs="Times New Roman"/>
        </w:rPr>
        <w:t>плацебо</w:t>
      </w:r>
      <w:r w:rsidR="00615D66" w:rsidRPr="00615D66">
        <w:rPr>
          <w:rFonts w:cs="Times New Roman"/>
        </w:rPr>
        <w:t xml:space="preserve"> </w:t>
      </w:r>
      <w:r w:rsidR="005E01F3" w:rsidRPr="005E01F3">
        <w:rPr>
          <w:rFonts w:cs="Times New Roman"/>
        </w:rPr>
        <w:t xml:space="preserve">тофацитиниба </w:t>
      </w:r>
      <w:r w:rsidR="00615D66">
        <w:rPr>
          <w:rFonts w:cs="Times New Roman"/>
        </w:rPr>
        <w:t>в дозе 5</w:t>
      </w:r>
      <w:r w:rsidR="0081784D">
        <w:rPr>
          <w:rFonts w:cs="Times New Roman"/>
        </w:rPr>
        <w:t xml:space="preserve"> </w:t>
      </w:r>
      <w:r w:rsidR="006348DC">
        <w:rPr>
          <w:rFonts w:cs="Times New Roman"/>
        </w:rPr>
        <w:t>мг 2 раз</w:t>
      </w:r>
      <w:r w:rsidR="00C01C22">
        <w:rPr>
          <w:rFonts w:cs="Times New Roman"/>
        </w:rPr>
        <w:t>а</w:t>
      </w:r>
      <w:r w:rsidR="006348DC">
        <w:rPr>
          <w:rFonts w:cs="Times New Roman"/>
        </w:rPr>
        <w:t xml:space="preserve"> в день</w:t>
      </w:r>
      <w:r w:rsidR="00C01C22">
        <w:rPr>
          <w:rFonts w:cs="Times New Roman"/>
        </w:rPr>
        <w:t>,</w:t>
      </w:r>
      <w:r w:rsidR="006348DC">
        <w:rPr>
          <w:rFonts w:cs="Times New Roman"/>
        </w:rPr>
        <w:t xml:space="preserve"> </w:t>
      </w:r>
      <w:r w:rsidR="0081784D">
        <w:rPr>
          <w:rFonts w:cs="Times New Roman"/>
        </w:rPr>
        <w:t xml:space="preserve">или плацебо </w:t>
      </w:r>
      <w:r w:rsidR="005E01F3" w:rsidRPr="005E01F3">
        <w:rPr>
          <w:rFonts w:cs="Times New Roman"/>
        </w:rPr>
        <w:t xml:space="preserve">тофацитиниба </w:t>
      </w:r>
      <w:r w:rsidR="0081784D">
        <w:rPr>
          <w:rFonts w:cs="Times New Roman"/>
        </w:rPr>
        <w:t>10 мг 2 раз</w:t>
      </w:r>
      <w:r w:rsidR="00C01C22">
        <w:rPr>
          <w:rFonts w:cs="Times New Roman"/>
        </w:rPr>
        <w:t>а</w:t>
      </w:r>
      <w:r w:rsidR="0081784D">
        <w:rPr>
          <w:rFonts w:cs="Times New Roman"/>
        </w:rPr>
        <w:t xml:space="preserve"> в день</w:t>
      </w:r>
      <w:r w:rsidR="00862F03">
        <w:rPr>
          <w:rFonts w:cs="Times New Roman"/>
        </w:rPr>
        <w:t xml:space="preserve">. Первичной </w:t>
      </w:r>
      <w:r w:rsidR="00E91B7A">
        <w:rPr>
          <w:rFonts w:cs="Times New Roman"/>
        </w:rPr>
        <w:t xml:space="preserve">конечной точкой эффективности являлось </w:t>
      </w:r>
      <w:r w:rsidR="00E457F1">
        <w:rPr>
          <w:rFonts w:cs="Times New Roman"/>
        </w:rPr>
        <w:t xml:space="preserve">количество </w:t>
      </w:r>
      <w:bookmarkStart w:id="227" w:name="_Hlk114242719"/>
      <w:r w:rsidR="00E457F1">
        <w:rPr>
          <w:rFonts w:cs="Times New Roman"/>
        </w:rPr>
        <w:t xml:space="preserve">пациентов с </w:t>
      </w:r>
      <w:r w:rsidR="00E457F1">
        <w:rPr>
          <w:rFonts w:cs="Times New Roman"/>
          <w:lang w:val="en-US"/>
        </w:rPr>
        <w:t>ACR</w:t>
      </w:r>
      <w:r w:rsidR="00E457F1" w:rsidRPr="00E457F1">
        <w:rPr>
          <w:rFonts w:cs="Times New Roman"/>
        </w:rPr>
        <w:t>20</w:t>
      </w:r>
      <w:r w:rsidR="00E457F1">
        <w:rPr>
          <w:rFonts w:cs="Times New Roman"/>
        </w:rPr>
        <w:t xml:space="preserve"> </w:t>
      </w:r>
      <w:bookmarkEnd w:id="227"/>
      <w:r w:rsidR="00E457F1">
        <w:rPr>
          <w:rFonts w:cs="Times New Roman"/>
        </w:rPr>
        <w:t>через 3 мес. от начала лечения</w:t>
      </w:r>
      <w:r w:rsidR="00F631AF">
        <w:rPr>
          <w:rFonts w:cs="Times New Roman"/>
        </w:rPr>
        <w:t xml:space="preserve">; </w:t>
      </w:r>
      <w:r w:rsidR="00202E37">
        <w:rPr>
          <w:rFonts w:cs="Times New Roman"/>
        </w:rPr>
        <w:t xml:space="preserve">изменение от исходного значения </w:t>
      </w:r>
      <w:r w:rsidR="00F631AF">
        <w:rPr>
          <w:rFonts w:cs="Times New Roman"/>
        </w:rPr>
        <w:t>индекс</w:t>
      </w:r>
      <w:r w:rsidR="00C01C22">
        <w:rPr>
          <w:rFonts w:cs="Times New Roman"/>
        </w:rPr>
        <w:t>а</w:t>
      </w:r>
      <w:r w:rsidR="00F631AF">
        <w:rPr>
          <w:rFonts w:cs="Times New Roman"/>
        </w:rPr>
        <w:t xml:space="preserve"> инвалидизации по опроснику </w:t>
      </w:r>
      <w:r w:rsidR="005647C4">
        <w:rPr>
          <w:rFonts w:cs="Times New Roman"/>
        </w:rPr>
        <w:t>оценки состояния здоровья (</w:t>
      </w:r>
      <w:r w:rsidR="00971753" w:rsidRPr="00971753">
        <w:rPr>
          <w:rFonts w:cs="Times New Roman"/>
        </w:rPr>
        <w:t>Health Assessment Questionnaire-Disability Index</w:t>
      </w:r>
      <w:r w:rsidR="00971753">
        <w:rPr>
          <w:rFonts w:cs="Times New Roman"/>
        </w:rPr>
        <w:t xml:space="preserve">, </w:t>
      </w:r>
      <w:r w:rsidR="00971753" w:rsidRPr="00971753">
        <w:rPr>
          <w:rFonts w:cs="Times New Roman"/>
        </w:rPr>
        <w:t>HAQ-DI</w:t>
      </w:r>
      <w:r w:rsidR="00971753">
        <w:rPr>
          <w:rFonts w:cs="Times New Roman"/>
        </w:rPr>
        <w:t>)</w:t>
      </w:r>
      <w:r w:rsidR="000D66EB">
        <w:rPr>
          <w:rFonts w:cs="Times New Roman"/>
        </w:rPr>
        <w:t xml:space="preserve"> в сравнении со значением у пациентов из группы плацебо; </w:t>
      </w:r>
      <w:r w:rsidR="005F4DDC">
        <w:rPr>
          <w:rFonts w:cs="Times New Roman"/>
        </w:rPr>
        <w:t xml:space="preserve">доля пациентов, достигших </w:t>
      </w:r>
      <w:r w:rsidR="00744392" w:rsidRPr="00744392">
        <w:rPr>
          <w:rFonts w:cs="Times New Roman"/>
        </w:rPr>
        <w:t>оценк</w:t>
      </w:r>
      <w:r w:rsidR="00744392">
        <w:rPr>
          <w:rFonts w:cs="Times New Roman"/>
        </w:rPr>
        <w:t>и по</w:t>
      </w:r>
      <w:r w:rsidR="00744392" w:rsidRPr="00744392">
        <w:rPr>
          <w:rFonts w:cs="Times New Roman"/>
        </w:rPr>
        <w:t xml:space="preserve"> четыре</w:t>
      </w:r>
      <w:r w:rsidR="00744392">
        <w:rPr>
          <w:rFonts w:cs="Times New Roman"/>
        </w:rPr>
        <w:t>м</w:t>
      </w:r>
      <w:r w:rsidR="00744392" w:rsidRPr="00744392">
        <w:rPr>
          <w:rFonts w:cs="Times New Roman"/>
        </w:rPr>
        <w:t xml:space="preserve"> переменны</w:t>
      </w:r>
      <w:r w:rsidR="00744392">
        <w:rPr>
          <w:rFonts w:cs="Times New Roman"/>
        </w:rPr>
        <w:t>м</w:t>
      </w:r>
      <w:r w:rsidR="006F6AF5" w:rsidRPr="00744392">
        <w:rPr>
          <w:rFonts w:cs="Times New Roman"/>
        </w:rPr>
        <w:t>, включая СОЭ</w:t>
      </w:r>
      <w:r w:rsidR="00C01C22">
        <w:rPr>
          <w:rFonts w:cs="Times New Roman"/>
        </w:rPr>
        <w:t>,</w:t>
      </w:r>
      <w:r w:rsidR="006F6AF5">
        <w:rPr>
          <w:rFonts w:cs="Times New Roman"/>
        </w:rPr>
        <w:t xml:space="preserve"> </w:t>
      </w:r>
      <w:r w:rsidR="00744392" w:rsidRPr="00744392">
        <w:rPr>
          <w:rFonts w:cs="Times New Roman"/>
        </w:rPr>
        <w:t xml:space="preserve">для 28 суставов </w:t>
      </w:r>
      <w:r w:rsidR="00E64E1D">
        <w:rPr>
          <w:rFonts w:cs="Times New Roman"/>
        </w:rPr>
        <w:t xml:space="preserve">по шкале </w:t>
      </w:r>
      <w:r w:rsidR="00601AEF">
        <w:rPr>
          <w:rFonts w:cs="Times New Roman"/>
        </w:rPr>
        <w:t>активности заболевания</w:t>
      </w:r>
      <w:r w:rsidR="00F126A6">
        <w:rPr>
          <w:rFonts w:cs="Times New Roman"/>
        </w:rPr>
        <w:t xml:space="preserve"> (</w:t>
      </w:r>
      <w:r w:rsidR="00A20899">
        <w:rPr>
          <w:rFonts w:cs="Times New Roman"/>
        </w:rPr>
        <w:t>[</w:t>
      </w:r>
      <w:r w:rsidR="00F126A6" w:rsidRPr="00601AEF">
        <w:rPr>
          <w:rFonts w:cs="Times New Roman"/>
        </w:rPr>
        <w:t>disease activity score</w:t>
      </w:r>
      <w:r w:rsidR="00F126A6">
        <w:rPr>
          <w:rFonts w:cs="Times New Roman"/>
        </w:rPr>
        <w:t>,</w:t>
      </w:r>
      <w:r w:rsidR="00F126A6" w:rsidRPr="00C61552">
        <w:rPr>
          <w:rFonts w:cs="Times New Roman"/>
        </w:rPr>
        <w:t xml:space="preserve"> </w:t>
      </w:r>
      <w:r w:rsidR="00F126A6">
        <w:rPr>
          <w:rFonts w:cs="Times New Roman"/>
          <w:lang w:val="en-US"/>
        </w:rPr>
        <w:t>DAS</w:t>
      </w:r>
      <w:r w:rsidR="00A20899">
        <w:rPr>
          <w:rFonts w:cs="Times New Roman"/>
        </w:rPr>
        <w:t>]</w:t>
      </w:r>
      <w:r w:rsidR="00F126A6">
        <w:rPr>
          <w:rFonts w:cs="Times New Roman"/>
        </w:rPr>
        <w:t>28</w:t>
      </w:r>
      <w:r w:rsidR="006F6AF5">
        <w:rPr>
          <w:rFonts w:cs="Times New Roman"/>
        </w:rPr>
        <w:t>-4</w:t>
      </w:r>
      <w:r w:rsidR="00D25FD1">
        <w:rPr>
          <w:rFonts w:cs="Times New Roman"/>
        </w:rPr>
        <w:t xml:space="preserve"> (СОЭ)</w:t>
      </w:r>
      <w:r w:rsidR="00A20899">
        <w:rPr>
          <w:rFonts w:cs="Times New Roman"/>
        </w:rPr>
        <w:t>)</w:t>
      </w:r>
      <w:r w:rsidR="00D25FD1">
        <w:rPr>
          <w:rFonts w:cs="Times New Roman"/>
        </w:rPr>
        <w:t xml:space="preserve"> </w:t>
      </w:r>
      <w:r w:rsidR="00D25FD1" w:rsidRPr="00D25FD1">
        <w:rPr>
          <w:rFonts w:cs="Times New Roman"/>
        </w:rPr>
        <w:t xml:space="preserve">&lt; </w:t>
      </w:r>
      <w:r w:rsidR="00D25FD1">
        <w:rPr>
          <w:rFonts w:cs="Times New Roman"/>
        </w:rPr>
        <w:t>2,6 через 3 мес. от начала терапии.</w:t>
      </w:r>
      <w:r w:rsidR="00F113CA">
        <w:rPr>
          <w:rFonts w:cs="Times New Roman"/>
        </w:rPr>
        <w:t xml:space="preserve"> Вторичными</w:t>
      </w:r>
      <w:r w:rsidR="00F113CA" w:rsidRPr="00DB3E19">
        <w:rPr>
          <w:rFonts w:cs="Times New Roman"/>
        </w:rPr>
        <w:t xml:space="preserve"> </w:t>
      </w:r>
      <w:r w:rsidR="00F113CA">
        <w:rPr>
          <w:rFonts w:cs="Times New Roman"/>
        </w:rPr>
        <w:t>конечными</w:t>
      </w:r>
      <w:r w:rsidR="00F113CA" w:rsidRPr="00DB3E19">
        <w:rPr>
          <w:rFonts w:cs="Times New Roman"/>
        </w:rPr>
        <w:t xml:space="preserve"> </w:t>
      </w:r>
      <w:r w:rsidR="00F113CA">
        <w:rPr>
          <w:rFonts w:cs="Times New Roman"/>
        </w:rPr>
        <w:t>точками</w:t>
      </w:r>
      <w:r w:rsidR="00F113CA" w:rsidRPr="00DB3E19">
        <w:rPr>
          <w:rFonts w:cs="Times New Roman"/>
        </w:rPr>
        <w:t xml:space="preserve"> </w:t>
      </w:r>
      <w:r w:rsidR="00F113CA">
        <w:rPr>
          <w:rFonts w:cs="Times New Roman"/>
        </w:rPr>
        <w:t>являлись</w:t>
      </w:r>
      <w:r w:rsidR="00F113CA" w:rsidRPr="00DB3E19">
        <w:rPr>
          <w:rFonts w:cs="Times New Roman"/>
        </w:rPr>
        <w:t xml:space="preserve"> </w:t>
      </w:r>
      <w:r w:rsidR="00283E35">
        <w:rPr>
          <w:rFonts w:cs="Times New Roman"/>
        </w:rPr>
        <w:t>доля</w:t>
      </w:r>
      <w:r w:rsidR="00283E35" w:rsidRPr="00DB3E19">
        <w:rPr>
          <w:rFonts w:cs="Times New Roman"/>
        </w:rPr>
        <w:t xml:space="preserve"> </w:t>
      </w:r>
      <w:r w:rsidR="00283E35">
        <w:rPr>
          <w:rFonts w:cs="Times New Roman"/>
        </w:rPr>
        <w:t>пациентов</w:t>
      </w:r>
      <w:r w:rsidR="00283E35" w:rsidRPr="00DB3E19">
        <w:rPr>
          <w:rFonts w:cs="Times New Roman"/>
        </w:rPr>
        <w:t xml:space="preserve"> </w:t>
      </w:r>
      <w:r w:rsidR="00283E35">
        <w:rPr>
          <w:rFonts w:cs="Times New Roman"/>
        </w:rPr>
        <w:t>с</w:t>
      </w:r>
      <w:r w:rsidR="00283E35" w:rsidRPr="00DB3E19">
        <w:rPr>
          <w:rFonts w:cs="Times New Roman"/>
        </w:rPr>
        <w:t xml:space="preserve"> </w:t>
      </w:r>
      <w:r w:rsidR="00F113CA" w:rsidRPr="00F113CA">
        <w:rPr>
          <w:rFonts w:cs="Times New Roman"/>
          <w:lang w:val="en-US"/>
        </w:rPr>
        <w:t>ACR</w:t>
      </w:r>
      <w:r w:rsidR="00F113CA" w:rsidRPr="00DB3E19">
        <w:rPr>
          <w:rFonts w:cs="Times New Roman"/>
        </w:rPr>
        <w:t xml:space="preserve">20 </w:t>
      </w:r>
      <w:r w:rsidR="00283E35">
        <w:rPr>
          <w:rFonts w:cs="Times New Roman"/>
        </w:rPr>
        <w:t>во</w:t>
      </w:r>
      <w:r w:rsidR="00283E35" w:rsidRPr="00DB3E19">
        <w:rPr>
          <w:rFonts w:cs="Times New Roman"/>
        </w:rPr>
        <w:t xml:space="preserve"> </w:t>
      </w:r>
      <w:r w:rsidR="00283E35">
        <w:rPr>
          <w:rFonts w:cs="Times New Roman"/>
        </w:rPr>
        <w:t>все</w:t>
      </w:r>
      <w:r w:rsidR="00283E35" w:rsidRPr="00DB3E19">
        <w:rPr>
          <w:rFonts w:cs="Times New Roman"/>
        </w:rPr>
        <w:t xml:space="preserve"> </w:t>
      </w:r>
      <w:r w:rsidR="00283E35">
        <w:rPr>
          <w:rFonts w:cs="Times New Roman"/>
        </w:rPr>
        <w:t>временные</w:t>
      </w:r>
      <w:r w:rsidR="00283E35" w:rsidRPr="00DB3E19">
        <w:rPr>
          <w:rFonts w:cs="Times New Roman"/>
        </w:rPr>
        <w:t xml:space="preserve"> </w:t>
      </w:r>
      <w:r w:rsidR="00283E35">
        <w:rPr>
          <w:rFonts w:cs="Times New Roman"/>
        </w:rPr>
        <w:t>точки</w:t>
      </w:r>
      <w:r w:rsidR="00283E35" w:rsidRPr="00DB3E19">
        <w:rPr>
          <w:rFonts w:cs="Times New Roman"/>
        </w:rPr>
        <w:t>,</w:t>
      </w:r>
      <w:r w:rsidR="00DB3E19" w:rsidRPr="00DB3E19">
        <w:rPr>
          <w:rFonts w:cs="Times New Roman"/>
        </w:rPr>
        <w:t xml:space="preserve"> </w:t>
      </w:r>
      <w:r w:rsidR="00DB3E19">
        <w:rPr>
          <w:rFonts w:cs="Times New Roman"/>
        </w:rPr>
        <w:t>кроме</w:t>
      </w:r>
      <w:r w:rsidR="00DB3E19" w:rsidRPr="00DB3E19">
        <w:rPr>
          <w:rFonts w:cs="Times New Roman"/>
        </w:rPr>
        <w:t xml:space="preserve"> 3 </w:t>
      </w:r>
      <w:r w:rsidR="00DB3E19">
        <w:rPr>
          <w:rFonts w:cs="Times New Roman"/>
        </w:rPr>
        <w:t>мес. от</w:t>
      </w:r>
      <w:r w:rsidR="00DB3E19" w:rsidRPr="00DB3E19">
        <w:rPr>
          <w:rFonts w:cs="Times New Roman"/>
        </w:rPr>
        <w:t xml:space="preserve"> </w:t>
      </w:r>
      <w:r w:rsidR="00DB3E19">
        <w:rPr>
          <w:rFonts w:cs="Times New Roman"/>
        </w:rPr>
        <w:t>начала</w:t>
      </w:r>
      <w:r w:rsidR="00DB3E19" w:rsidRPr="00DB3E19">
        <w:rPr>
          <w:rFonts w:cs="Times New Roman"/>
        </w:rPr>
        <w:t xml:space="preserve"> </w:t>
      </w:r>
      <w:r w:rsidR="00DB3E19">
        <w:rPr>
          <w:rFonts w:cs="Times New Roman"/>
        </w:rPr>
        <w:t>терапии</w:t>
      </w:r>
      <w:r w:rsidR="00F113CA" w:rsidRPr="00DB3E19">
        <w:rPr>
          <w:rFonts w:cs="Times New Roman"/>
        </w:rPr>
        <w:t xml:space="preserve">; </w:t>
      </w:r>
      <w:r w:rsidR="00DB3E19">
        <w:rPr>
          <w:rFonts w:cs="Times New Roman"/>
        </w:rPr>
        <w:t xml:space="preserve">доля пациентов с </w:t>
      </w:r>
      <w:r w:rsidR="00F113CA" w:rsidRPr="00F113CA">
        <w:rPr>
          <w:rFonts w:cs="Times New Roman"/>
          <w:lang w:val="en-US"/>
        </w:rPr>
        <w:t>ACR</w:t>
      </w:r>
      <w:r w:rsidR="00F113CA" w:rsidRPr="00DB3E19">
        <w:rPr>
          <w:rFonts w:cs="Times New Roman"/>
        </w:rPr>
        <w:t xml:space="preserve"> 50 </w:t>
      </w:r>
      <w:r w:rsidR="00DB3E19">
        <w:rPr>
          <w:rFonts w:cs="Times New Roman"/>
        </w:rPr>
        <w:t>и</w:t>
      </w:r>
      <w:r w:rsidR="00F113CA" w:rsidRPr="00DB3E19">
        <w:rPr>
          <w:rFonts w:cs="Times New Roman"/>
        </w:rPr>
        <w:t xml:space="preserve"> </w:t>
      </w:r>
      <w:r w:rsidR="00F113CA" w:rsidRPr="00F113CA">
        <w:rPr>
          <w:rFonts w:cs="Times New Roman"/>
          <w:lang w:val="en-US"/>
        </w:rPr>
        <w:t>ACR</w:t>
      </w:r>
      <w:r w:rsidR="00F113CA" w:rsidRPr="00DB3E19">
        <w:rPr>
          <w:rFonts w:cs="Times New Roman"/>
        </w:rPr>
        <w:t xml:space="preserve"> 70 </w:t>
      </w:r>
      <w:r w:rsidR="00B07B1B">
        <w:rPr>
          <w:rFonts w:cs="Times New Roman"/>
        </w:rPr>
        <w:t>во все временные точки</w:t>
      </w:r>
      <w:r w:rsidR="00F113CA" w:rsidRPr="00DB3E19">
        <w:rPr>
          <w:rFonts w:cs="Times New Roman"/>
        </w:rPr>
        <w:t xml:space="preserve">; </w:t>
      </w:r>
      <w:r w:rsidR="0089498B" w:rsidRPr="0013519B">
        <w:t>DAS28-4(</w:t>
      </w:r>
      <w:r w:rsidR="0089498B">
        <w:t>СОЭ</w:t>
      </w:r>
      <w:r w:rsidR="0089498B" w:rsidRPr="0013519B">
        <w:t xml:space="preserve">) </w:t>
      </w:r>
      <w:r w:rsidR="00B07B1B">
        <w:rPr>
          <w:rFonts w:cs="Times New Roman"/>
        </w:rPr>
        <w:t>во все временные точки</w:t>
      </w:r>
      <w:r w:rsidR="00F113CA" w:rsidRPr="00DB3E19">
        <w:rPr>
          <w:rFonts w:cs="Times New Roman"/>
        </w:rPr>
        <w:t xml:space="preserve">; </w:t>
      </w:r>
      <w:r w:rsidR="00F113CA" w:rsidRPr="00F113CA">
        <w:rPr>
          <w:rFonts w:cs="Times New Roman"/>
          <w:lang w:val="en-US"/>
        </w:rPr>
        <w:t>HAQ</w:t>
      </w:r>
      <w:r w:rsidR="00F113CA" w:rsidRPr="00DB3E19">
        <w:rPr>
          <w:rFonts w:cs="Times New Roman"/>
        </w:rPr>
        <w:t>-</w:t>
      </w:r>
      <w:r w:rsidR="00F113CA" w:rsidRPr="00F113CA">
        <w:rPr>
          <w:rFonts w:cs="Times New Roman"/>
          <w:lang w:val="en-US"/>
        </w:rPr>
        <w:t>DI</w:t>
      </w:r>
      <w:r w:rsidR="00F113CA" w:rsidRPr="00DB3E19">
        <w:rPr>
          <w:rFonts w:cs="Times New Roman"/>
        </w:rPr>
        <w:t xml:space="preserve"> </w:t>
      </w:r>
      <w:r w:rsidR="007C4F35">
        <w:rPr>
          <w:rFonts w:cs="Times New Roman"/>
        </w:rPr>
        <w:t>во все временные точки, кроме</w:t>
      </w:r>
      <w:r w:rsidR="00F113CA" w:rsidRPr="00DB3E19">
        <w:rPr>
          <w:rFonts w:cs="Times New Roman"/>
        </w:rPr>
        <w:t xml:space="preserve"> 3</w:t>
      </w:r>
      <w:r w:rsidR="007C4F35">
        <w:rPr>
          <w:rFonts w:cs="Times New Roman"/>
        </w:rPr>
        <w:t xml:space="preserve"> мес. от начала терапии</w:t>
      </w:r>
      <w:r w:rsidR="00F113CA" w:rsidRPr="00DB3E19">
        <w:rPr>
          <w:rFonts w:cs="Times New Roman"/>
        </w:rPr>
        <w:t>.</w:t>
      </w:r>
      <w:r w:rsidR="007C4F35">
        <w:rPr>
          <w:rFonts w:cs="Times New Roman"/>
        </w:rPr>
        <w:t xml:space="preserve"> </w:t>
      </w:r>
      <w:r w:rsidR="00947CCF">
        <w:rPr>
          <w:rFonts w:cs="Times New Roman"/>
        </w:rPr>
        <w:t xml:space="preserve">Через 3 мес. от </w:t>
      </w:r>
      <w:r w:rsidR="00947CCF">
        <w:rPr>
          <w:rFonts w:cs="Times New Roman"/>
        </w:rPr>
        <w:lastRenderedPageBreak/>
        <w:t>начала терапии д</w:t>
      </w:r>
      <w:r w:rsidR="00760EEB">
        <w:rPr>
          <w:rFonts w:cs="Times New Roman"/>
        </w:rPr>
        <w:t xml:space="preserve">оля пациентов с </w:t>
      </w:r>
      <w:r w:rsidR="00760EEB" w:rsidRPr="00760EEB">
        <w:rPr>
          <w:rFonts w:cs="Times New Roman"/>
        </w:rPr>
        <w:t>ACR20</w:t>
      </w:r>
      <w:r w:rsidR="00760EEB">
        <w:rPr>
          <w:rFonts w:cs="Times New Roman"/>
        </w:rPr>
        <w:t xml:space="preserve"> составила </w:t>
      </w:r>
      <w:r w:rsidR="00C86D92">
        <w:rPr>
          <w:rFonts w:cs="Times New Roman"/>
        </w:rPr>
        <w:t>24</w:t>
      </w:r>
      <w:r w:rsidR="0067244E">
        <w:rPr>
          <w:rFonts w:cs="Times New Roman"/>
        </w:rPr>
        <w:t>, 42 и 48% в объединенной группе плацебо</w:t>
      </w:r>
      <w:r w:rsidR="005D42D2">
        <w:rPr>
          <w:rFonts w:cs="Times New Roman"/>
        </w:rPr>
        <w:t>, группах тофацитиниба в дозе 5 мг 2 раза в день и 10 мг 2 раза в день</w:t>
      </w:r>
      <w:r w:rsidR="00865370">
        <w:rPr>
          <w:rFonts w:cs="Times New Roman"/>
        </w:rPr>
        <w:t xml:space="preserve"> </w:t>
      </w:r>
      <w:r w:rsidR="005D42D2">
        <w:rPr>
          <w:rFonts w:cs="Times New Roman"/>
        </w:rPr>
        <w:t xml:space="preserve">соответственно </w:t>
      </w:r>
      <w:r w:rsidR="00865370">
        <w:rPr>
          <w:rFonts w:cs="Times New Roman"/>
        </w:rPr>
        <w:t>(</w:t>
      </w:r>
      <w:r w:rsidR="00865370">
        <w:rPr>
          <w:rFonts w:cs="Times New Roman"/>
          <w:lang w:val="en-US"/>
        </w:rPr>
        <w:t>p</w:t>
      </w:r>
      <w:r w:rsidR="00865370" w:rsidRPr="00865370">
        <w:rPr>
          <w:rFonts w:cs="Times New Roman"/>
        </w:rPr>
        <w:t xml:space="preserve"> = </w:t>
      </w:r>
      <w:r w:rsidR="00865370">
        <w:rPr>
          <w:rFonts w:cs="Times New Roman"/>
        </w:rPr>
        <w:t>0,00</w:t>
      </w:r>
      <w:r w:rsidR="005C53E0">
        <w:rPr>
          <w:rFonts w:cs="Times New Roman"/>
        </w:rPr>
        <w:t xml:space="preserve">25 при сравнении показателя у пациентов из групп тофацитиниба в дозе 5 мг 2 раза в день и плацебо, </w:t>
      </w:r>
      <w:r w:rsidR="003F4469">
        <w:rPr>
          <w:rFonts w:cs="Times New Roman"/>
          <w:lang w:val="en-US"/>
        </w:rPr>
        <w:t>p</w:t>
      </w:r>
      <w:r w:rsidR="003F4469" w:rsidRPr="003F4469">
        <w:rPr>
          <w:rFonts w:cs="Times New Roman"/>
        </w:rPr>
        <w:t xml:space="preserve"> &lt; </w:t>
      </w:r>
      <w:r w:rsidR="003F4469">
        <w:rPr>
          <w:rFonts w:cs="Times New Roman"/>
        </w:rPr>
        <w:t xml:space="preserve">0,0001 при сравнении показателя у пациентов из групп тофацитиниба в дозе 10 мг 2 раза в день и плацебо). </w:t>
      </w:r>
      <w:r w:rsidR="003F33A5">
        <w:rPr>
          <w:rFonts w:cs="Times New Roman"/>
        </w:rPr>
        <w:t xml:space="preserve">Доля пациентов с </w:t>
      </w:r>
      <w:r w:rsidR="003F4469" w:rsidRPr="00760EEB">
        <w:rPr>
          <w:rFonts w:cs="Times New Roman"/>
        </w:rPr>
        <w:t>ACR</w:t>
      </w:r>
      <w:r w:rsidR="003F4469">
        <w:rPr>
          <w:rFonts w:cs="Times New Roman"/>
        </w:rPr>
        <w:t xml:space="preserve">50 через 3 мес. от начала терапии равнялась </w:t>
      </w:r>
      <w:r w:rsidR="005D42D2">
        <w:rPr>
          <w:rFonts w:cs="Times New Roman"/>
        </w:rPr>
        <w:t>8, 26 и 28% в объединенной группе плацебо, группах тофацитиниба в дозе 5 мг 2 раза в день и 10 мг 2 раза в день соответственно (</w:t>
      </w:r>
      <w:r w:rsidR="00AB12F6">
        <w:rPr>
          <w:rFonts w:cs="Times New Roman"/>
          <w:lang w:val="en-US"/>
        </w:rPr>
        <w:t>p</w:t>
      </w:r>
      <w:r w:rsidR="00AB12F6" w:rsidRPr="003F4469">
        <w:rPr>
          <w:rFonts w:cs="Times New Roman"/>
        </w:rPr>
        <w:t xml:space="preserve"> &lt; </w:t>
      </w:r>
      <w:r w:rsidR="00AB12F6">
        <w:rPr>
          <w:rFonts w:cs="Times New Roman"/>
        </w:rPr>
        <w:t xml:space="preserve">0,0001 </w:t>
      </w:r>
      <w:r w:rsidR="005D42D2">
        <w:rPr>
          <w:rFonts w:cs="Times New Roman"/>
        </w:rPr>
        <w:t xml:space="preserve">при сравнении показателя у пациентов из групп тофацитиниба в дозе 5 мг 2 раза в день и плацебо, </w:t>
      </w:r>
      <w:r w:rsidR="005D42D2">
        <w:rPr>
          <w:rFonts w:cs="Times New Roman"/>
          <w:lang w:val="en-US"/>
        </w:rPr>
        <w:t>p</w:t>
      </w:r>
      <w:r w:rsidR="005D42D2" w:rsidRPr="003F4469">
        <w:rPr>
          <w:rFonts w:cs="Times New Roman"/>
        </w:rPr>
        <w:t xml:space="preserve"> &lt; </w:t>
      </w:r>
      <w:r w:rsidR="005D42D2">
        <w:rPr>
          <w:rFonts w:cs="Times New Roman"/>
        </w:rPr>
        <w:t>0,0001 при сравнении показателя у пациентов из групп тофацитиниба в дозе 10 мг 2 раза в день и плацебо).</w:t>
      </w:r>
      <w:r w:rsidR="00AB12F6">
        <w:rPr>
          <w:rFonts w:cs="Times New Roman"/>
        </w:rPr>
        <w:t xml:space="preserve"> Доля пациентов с </w:t>
      </w:r>
      <w:r w:rsidR="00AB12F6" w:rsidRPr="00760EEB">
        <w:rPr>
          <w:rFonts w:cs="Times New Roman"/>
        </w:rPr>
        <w:t>ACR</w:t>
      </w:r>
      <w:r w:rsidR="00AB12F6">
        <w:rPr>
          <w:rFonts w:cs="Times New Roman"/>
        </w:rPr>
        <w:t xml:space="preserve">70 через 3 мес. от начала лечения составила </w:t>
      </w:r>
      <w:r w:rsidR="00A745B9">
        <w:rPr>
          <w:rFonts w:cs="Times New Roman"/>
        </w:rPr>
        <w:t>2</w:t>
      </w:r>
      <w:r w:rsidR="00AB12F6">
        <w:rPr>
          <w:rFonts w:cs="Times New Roman"/>
        </w:rPr>
        <w:t xml:space="preserve">, </w:t>
      </w:r>
      <w:r w:rsidR="00A745B9">
        <w:rPr>
          <w:rFonts w:cs="Times New Roman"/>
        </w:rPr>
        <w:t>14</w:t>
      </w:r>
      <w:r w:rsidR="00AB12F6">
        <w:rPr>
          <w:rFonts w:cs="Times New Roman"/>
        </w:rPr>
        <w:t xml:space="preserve"> и </w:t>
      </w:r>
      <w:r w:rsidR="00A745B9">
        <w:rPr>
          <w:rFonts w:cs="Times New Roman"/>
        </w:rPr>
        <w:t>11</w:t>
      </w:r>
      <w:r w:rsidR="00AB12F6">
        <w:rPr>
          <w:rFonts w:cs="Times New Roman"/>
        </w:rPr>
        <w:t>% в объединенной группе плацебо, группах тофацитиниба в дозе 5 мг 2 раза в день и 10 мг 2 раза в день соответственно (</w:t>
      </w:r>
      <w:r w:rsidR="00AB12F6">
        <w:rPr>
          <w:rFonts w:cs="Times New Roman"/>
          <w:lang w:val="en-US"/>
        </w:rPr>
        <w:t>p</w:t>
      </w:r>
      <w:r w:rsidR="00AB12F6" w:rsidRPr="003F4469">
        <w:rPr>
          <w:rFonts w:cs="Times New Roman"/>
        </w:rPr>
        <w:t xml:space="preserve"> </w:t>
      </w:r>
      <w:r w:rsidR="00A745B9">
        <w:rPr>
          <w:rFonts w:cs="Times New Roman"/>
        </w:rPr>
        <w:t>=</w:t>
      </w:r>
      <w:r w:rsidR="00AB12F6" w:rsidRPr="003F4469">
        <w:rPr>
          <w:rFonts w:cs="Times New Roman"/>
        </w:rPr>
        <w:t xml:space="preserve"> </w:t>
      </w:r>
      <w:r w:rsidR="00AB12F6">
        <w:rPr>
          <w:rFonts w:cs="Times New Roman"/>
        </w:rPr>
        <w:t xml:space="preserve">0,0001 при сравнении показателя у пациентов из групп тофацитиниба в дозе 5 мг 2 раза в день и плацебо, </w:t>
      </w:r>
      <w:r w:rsidR="00AB12F6">
        <w:rPr>
          <w:rFonts w:cs="Times New Roman"/>
          <w:lang w:val="en-US"/>
        </w:rPr>
        <w:t>p</w:t>
      </w:r>
      <w:r w:rsidR="00AB12F6" w:rsidRPr="003F4469">
        <w:rPr>
          <w:rFonts w:cs="Times New Roman"/>
        </w:rPr>
        <w:t xml:space="preserve"> &lt; </w:t>
      </w:r>
      <w:r w:rsidR="00AB12F6">
        <w:rPr>
          <w:rFonts w:cs="Times New Roman"/>
        </w:rPr>
        <w:t>0,00</w:t>
      </w:r>
      <w:r w:rsidR="00A745B9">
        <w:rPr>
          <w:rFonts w:cs="Times New Roman"/>
        </w:rPr>
        <w:t>17</w:t>
      </w:r>
      <w:r w:rsidR="00AB12F6">
        <w:rPr>
          <w:rFonts w:cs="Times New Roman"/>
        </w:rPr>
        <w:t xml:space="preserve"> при сравнении показателя у пациентов из групп тофацитиниба в дозе 10 мг 2 раза в день и плацебо)</w:t>
      </w:r>
      <w:r w:rsidR="00BB0631">
        <w:rPr>
          <w:rFonts w:cs="Times New Roman"/>
        </w:rPr>
        <w:t xml:space="preserve">. </w:t>
      </w:r>
      <w:r w:rsidR="00D91BF2">
        <w:t>Через 3 мес. от начала терапии д</w:t>
      </w:r>
      <w:r w:rsidR="00BB0631">
        <w:t xml:space="preserve">оля пациентов с </w:t>
      </w:r>
      <w:r w:rsidR="00BB0631" w:rsidRPr="0013519B">
        <w:t>DAS28-4(</w:t>
      </w:r>
      <w:r w:rsidR="00BB0631">
        <w:t>СОЭ</w:t>
      </w:r>
      <w:r w:rsidR="00BB0631" w:rsidRPr="0013519B">
        <w:t>) &lt;</w:t>
      </w:r>
      <w:r w:rsidR="00BB0631">
        <w:t xml:space="preserve"> </w:t>
      </w:r>
      <w:r w:rsidR="00BB0631" w:rsidRPr="0013519B">
        <w:t>2</w:t>
      </w:r>
      <w:r w:rsidR="00BB0631">
        <w:t>,</w:t>
      </w:r>
      <w:r w:rsidR="00BB0631" w:rsidRPr="0013519B">
        <w:t>6</w:t>
      </w:r>
      <w:r w:rsidR="00BB0631">
        <w:t xml:space="preserve"> составила 2, 7 и </w:t>
      </w:r>
      <w:r w:rsidR="00EB6C87">
        <w:t>9</w:t>
      </w:r>
      <w:r w:rsidR="00BB0631">
        <w:t xml:space="preserve">% в объединенной группе плацебо, группах </w:t>
      </w:r>
      <w:r w:rsidR="005E01F3" w:rsidRPr="005E01F3">
        <w:t xml:space="preserve">тофацитиниба </w:t>
      </w:r>
      <w:r w:rsidR="00BB0631">
        <w:t xml:space="preserve">в дозе 5 мг 2 раза в день и </w:t>
      </w:r>
      <w:r w:rsidR="005E01F3" w:rsidRPr="005E01F3">
        <w:t xml:space="preserve">тофацитиниба </w:t>
      </w:r>
      <w:r w:rsidR="00BB0631">
        <w:t>в дозе 10 мг 2 раза в день соответственно</w:t>
      </w:r>
      <w:r w:rsidR="00A745B9">
        <w:rPr>
          <w:rFonts w:cs="Times New Roman"/>
        </w:rPr>
        <w:t xml:space="preserve"> </w:t>
      </w:r>
      <w:r w:rsidR="00647760">
        <w:rPr>
          <w:rFonts w:cs="Times New Roman"/>
        </w:rPr>
        <w:t>(</w:t>
      </w:r>
      <w:r w:rsidR="00647760">
        <w:rPr>
          <w:lang w:val="en-US"/>
        </w:rPr>
        <w:t>p</w:t>
      </w:r>
      <w:r w:rsidR="00647760" w:rsidRPr="00395627">
        <w:t xml:space="preserve"> = 0</w:t>
      </w:r>
      <w:r w:rsidR="00647760">
        <w:t>,0</w:t>
      </w:r>
      <w:r w:rsidR="00E20006">
        <w:t>497</w:t>
      </w:r>
      <w:r w:rsidR="00647760">
        <w:t xml:space="preserve"> для сравнения показателя в группах </w:t>
      </w:r>
      <w:r w:rsidR="005E01F3" w:rsidRPr="005E01F3">
        <w:t xml:space="preserve">тофацитиниба </w:t>
      </w:r>
      <w:r w:rsidR="00647760">
        <w:t xml:space="preserve">в дозе 5 мг 2 раза в день и плацебо, </w:t>
      </w:r>
      <w:r w:rsidR="00647760">
        <w:rPr>
          <w:lang w:val="en-US"/>
        </w:rPr>
        <w:t>p</w:t>
      </w:r>
      <w:r w:rsidR="00647760" w:rsidRPr="00395627">
        <w:t xml:space="preserve"> &lt; </w:t>
      </w:r>
      <w:r w:rsidR="00647760">
        <w:t>0,0</w:t>
      </w:r>
      <w:r w:rsidR="00E20006">
        <w:t>105</w:t>
      </w:r>
      <w:r w:rsidR="00647760">
        <w:t xml:space="preserve"> для сравнения показателя в группах </w:t>
      </w:r>
      <w:r w:rsidR="005E01F3" w:rsidRPr="005E01F3">
        <w:t xml:space="preserve">тофацитиниба </w:t>
      </w:r>
      <w:r w:rsidR="00647760">
        <w:t xml:space="preserve">в дозе 10 мг 2 раза в день и плацебо). </w:t>
      </w:r>
      <w:r w:rsidR="00B74A84">
        <w:t xml:space="preserve">Среднее изменение </w:t>
      </w:r>
      <w:r w:rsidR="00817C10" w:rsidRPr="00F113CA">
        <w:rPr>
          <w:rFonts w:cs="Times New Roman"/>
          <w:lang w:val="en-US"/>
        </w:rPr>
        <w:t>HAQ</w:t>
      </w:r>
      <w:r w:rsidR="00817C10" w:rsidRPr="00DB3E19">
        <w:rPr>
          <w:rFonts w:cs="Times New Roman"/>
        </w:rPr>
        <w:t>-</w:t>
      </w:r>
      <w:r w:rsidR="00817C10" w:rsidRPr="00F113CA">
        <w:rPr>
          <w:rFonts w:cs="Times New Roman"/>
          <w:lang w:val="en-US"/>
        </w:rPr>
        <w:t>DI</w:t>
      </w:r>
      <w:r w:rsidR="00817C10" w:rsidRPr="00DB3E19">
        <w:rPr>
          <w:rFonts w:cs="Times New Roman"/>
        </w:rPr>
        <w:t xml:space="preserve"> </w:t>
      </w:r>
      <w:r w:rsidR="00817C10">
        <w:rPr>
          <w:rFonts w:cs="Times New Roman"/>
        </w:rPr>
        <w:t xml:space="preserve">от исходного значения через </w:t>
      </w:r>
      <w:r w:rsidR="00395627">
        <w:rPr>
          <w:rFonts w:cs="Times New Roman"/>
        </w:rPr>
        <w:t xml:space="preserve">3 мес. от начала терапии </w:t>
      </w:r>
      <w:r w:rsidR="004A2842">
        <w:rPr>
          <w:rFonts w:cs="Times New Roman"/>
        </w:rPr>
        <w:t xml:space="preserve">составило -0,23, </w:t>
      </w:r>
      <w:r w:rsidR="00B73CD8">
        <w:rPr>
          <w:rFonts w:cs="Times New Roman"/>
        </w:rPr>
        <w:t xml:space="preserve">-0,47 и -0,49 </w:t>
      </w:r>
      <w:r w:rsidR="0003123D">
        <w:rPr>
          <w:rFonts w:cs="Times New Roman"/>
        </w:rPr>
        <w:t>(</w:t>
      </w:r>
      <w:r w:rsidR="0003123D">
        <w:rPr>
          <w:lang w:val="en-US"/>
        </w:rPr>
        <w:t>p</w:t>
      </w:r>
      <w:r w:rsidR="0003123D" w:rsidRPr="00395627">
        <w:t xml:space="preserve"> = 0</w:t>
      </w:r>
      <w:r w:rsidR="0003123D">
        <w:t>,0</w:t>
      </w:r>
      <w:r w:rsidR="00BD5065">
        <w:t>002</w:t>
      </w:r>
      <w:r w:rsidR="0003123D">
        <w:t xml:space="preserve"> для сравнения показателя в группах </w:t>
      </w:r>
      <w:r w:rsidR="005E01F3" w:rsidRPr="005E01F3">
        <w:t xml:space="preserve">тофацитиниба </w:t>
      </w:r>
      <w:r w:rsidR="0003123D">
        <w:t xml:space="preserve">в дозе 5 мг 2 раза в день и плацебо, </w:t>
      </w:r>
      <w:r w:rsidR="0003123D">
        <w:rPr>
          <w:lang w:val="en-US"/>
        </w:rPr>
        <w:t>p</w:t>
      </w:r>
      <w:r w:rsidR="0003123D" w:rsidRPr="00395627">
        <w:t xml:space="preserve"> &lt; </w:t>
      </w:r>
      <w:r w:rsidR="0003123D">
        <w:t>0,0</w:t>
      </w:r>
      <w:r w:rsidR="00BD5065">
        <w:t>001</w:t>
      </w:r>
      <w:r w:rsidR="0003123D">
        <w:t xml:space="preserve"> для сравнения показателя в группах </w:t>
      </w:r>
      <w:r w:rsidR="005E01F3" w:rsidRPr="005E01F3">
        <w:t xml:space="preserve">тофацитиниба </w:t>
      </w:r>
      <w:r w:rsidR="0003123D">
        <w:t xml:space="preserve">в дозе 10 мг 2 раза в день и плацебо) </w:t>
      </w:r>
      <w:r w:rsidR="0049046C">
        <w:rPr>
          <w:lang w:val="en-GB"/>
        </w:rPr>
        <w:fldChar w:fldCharType="begin"/>
      </w:r>
      <w:r w:rsidR="008D5290">
        <w:instrText xml:space="preserve"> ADDIN ZOTERO_ITEM CSL_CITATION {"citationID":"q5BABVax","properties":{"formattedCitation":"[29]","plainCitation":"[29]","noteIndex":0},"citationItems":[{"id":87805,"uris":["http://zotero.org/groups/4742804/items/QUW6NSTM"],"itemData":{"id":87805,"type":"webpage","title":"Xeljanz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Review","URL":"https://www.accessdata.fda.gov/drugsatfda_docs/nda/2012/203214Orig1s000TOC.cfm","accessed":{"date-parts":[["2022",8,3]]}}}],"schema":"https://github.com/citation-style-language/schema/raw/master/csl-citation.json"} </w:instrText>
      </w:r>
      <w:r w:rsidR="0049046C">
        <w:rPr>
          <w:lang w:val="en-GB"/>
        </w:rPr>
        <w:fldChar w:fldCharType="separate"/>
      </w:r>
      <w:r w:rsidR="00AD0B20">
        <w:rPr>
          <w:rFonts w:cs="Times New Roman"/>
        </w:rPr>
        <w:t>[7</w:t>
      </w:r>
      <w:r w:rsidR="008D5290" w:rsidRPr="008D5290">
        <w:rPr>
          <w:rFonts w:cs="Times New Roman"/>
        </w:rPr>
        <w:t>]</w:t>
      </w:r>
      <w:r w:rsidR="0049046C">
        <w:rPr>
          <w:lang w:val="en-GB"/>
        </w:rPr>
        <w:fldChar w:fldCharType="end"/>
      </w:r>
      <w:r w:rsidR="0049046C">
        <w:t>.</w:t>
      </w:r>
    </w:p>
    <w:p w14:paraId="1CFF0F4F" w14:textId="4E608397" w:rsidR="00BC716E" w:rsidRDefault="006D7DB3" w:rsidP="00382C19">
      <w:pPr>
        <w:pStyle w:val="SDText"/>
        <w:contextualSpacing/>
      </w:pPr>
      <w:r>
        <w:t xml:space="preserve">В </w:t>
      </w:r>
      <w:r w:rsidR="00ED588F">
        <w:t xml:space="preserve">рандомизированном двойном слепом плацебо-контролируемом </w:t>
      </w:r>
      <w:r>
        <w:t xml:space="preserve">исследовании </w:t>
      </w:r>
      <w:r w:rsidRPr="006D7DB3">
        <w:rPr>
          <w:lang w:val="en-GB"/>
        </w:rPr>
        <w:t>A</w:t>
      </w:r>
      <w:r w:rsidRPr="00ED588F">
        <w:t xml:space="preserve">3921035 </w:t>
      </w:r>
      <w:r w:rsidR="00657DA0">
        <w:t xml:space="preserve">с активным контролем в параллельных группах </w:t>
      </w:r>
      <w:r w:rsidR="00ED588F">
        <w:t xml:space="preserve">фазы </w:t>
      </w:r>
      <w:r w:rsidR="00ED588F" w:rsidRPr="00ED588F">
        <w:t>2</w:t>
      </w:r>
      <w:r w:rsidR="00ED588F">
        <w:rPr>
          <w:lang w:val="en-US"/>
        </w:rPr>
        <w:t>b</w:t>
      </w:r>
      <w:r w:rsidR="004A762D">
        <w:t xml:space="preserve"> пациентов </w:t>
      </w:r>
      <w:r w:rsidR="00314023">
        <w:t xml:space="preserve">с РА </w:t>
      </w:r>
      <w:r w:rsidR="0081424C">
        <w:t xml:space="preserve">с недостаточным ответом на терапию </w:t>
      </w:r>
      <w:r w:rsidR="004F35DB">
        <w:t xml:space="preserve">БМАРП </w:t>
      </w:r>
      <w:r w:rsidR="00FD0A91">
        <w:t xml:space="preserve">рандомизировали на </w:t>
      </w:r>
      <w:r w:rsidR="00521A93">
        <w:t>7 групп</w:t>
      </w:r>
      <w:r w:rsidR="00A33C23">
        <w:t xml:space="preserve">: </w:t>
      </w:r>
      <w:bookmarkStart w:id="228" w:name="_Hlk114245763"/>
      <w:r w:rsidR="005E01F3" w:rsidRPr="005E01F3">
        <w:t xml:space="preserve">тофацитиниба </w:t>
      </w:r>
      <w:r w:rsidR="00A33C23">
        <w:t xml:space="preserve">в дозе </w:t>
      </w:r>
      <w:r w:rsidR="00480C6E">
        <w:t>1, 3, 5, 10 или 15 мг 2 раза в день перорально</w:t>
      </w:r>
      <w:r w:rsidR="00885A71">
        <w:t>,</w:t>
      </w:r>
      <w:r w:rsidR="00480C6E">
        <w:t xml:space="preserve"> или адалимумаба в дозе </w:t>
      </w:r>
      <w:r w:rsidR="00D71F16">
        <w:t xml:space="preserve">40 мг 1 раз в неделю подкожно в течение 10 недель с последующим пероральным приемом </w:t>
      </w:r>
      <w:r w:rsidR="005E01F3" w:rsidRPr="005E01F3">
        <w:t xml:space="preserve">тофацитиниба </w:t>
      </w:r>
      <w:r w:rsidR="00D71F16">
        <w:t>в дозе</w:t>
      </w:r>
      <w:r w:rsidR="00533133">
        <w:t xml:space="preserve"> 5 мг 2 раза в день</w:t>
      </w:r>
      <w:r w:rsidR="00885A71">
        <w:t>,</w:t>
      </w:r>
      <w:r w:rsidR="00533133">
        <w:t xml:space="preserve"> или плацебо</w:t>
      </w:r>
      <w:bookmarkEnd w:id="228"/>
      <w:r w:rsidR="008F7306">
        <w:t xml:space="preserve">. </w:t>
      </w:r>
      <w:r w:rsidR="005A4B92">
        <w:t xml:space="preserve">Кроме того, все пациенты также получали БМАРП. </w:t>
      </w:r>
      <w:r w:rsidR="0057118D">
        <w:t xml:space="preserve">Среди рандомизированных пациентов доля женщин составляла </w:t>
      </w:r>
      <w:r w:rsidR="00836300">
        <w:t>85–88% в зависимости от группы, а средний возраст – 52,4–55,1 год</w:t>
      </w:r>
      <w:r w:rsidR="00885A71">
        <w:t>а</w:t>
      </w:r>
      <w:r w:rsidR="00836300">
        <w:t xml:space="preserve">. </w:t>
      </w:r>
      <w:r w:rsidR="00FB7ED8">
        <w:t>Оценку эффективности провели для 54, 52, 50, 61, 57</w:t>
      </w:r>
      <w:r w:rsidR="00C67099">
        <w:t xml:space="preserve">, 53 и 59 пациентов из групп </w:t>
      </w:r>
      <w:r w:rsidR="005E01F3" w:rsidRPr="005E01F3">
        <w:t xml:space="preserve">тофацитиниба </w:t>
      </w:r>
      <w:r w:rsidR="00C67099">
        <w:t>в дозе 1, 3, 5, 10 или 15 мг 2 раза в день перорально</w:t>
      </w:r>
      <w:r w:rsidR="00885A71">
        <w:t>,</w:t>
      </w:r>
      <w:r w:rsidR="00C67099">
        <w:t xml:space="preserve"> или адалимумаба в дозе 40 мг 1 раз в неделю подкожно в течение 10 недель с последующим пероральным приемом </w:t>
      </w:r>
      <w:r w:rsidR="005E01F3" w:rsidRPr="005E01F3">
        <w:t xml:space="preserve">тофацитиниба </w:t>
      </w:r>
      <w:r w:rsidR="00C67099">
        <w:t>в дозе 5 мг 2 раза в день</w:t>
      </w:r>
      <w:r w:rsidR="00885A71">
        <w:t>,</w:t>
      </w:r>
      <w:r w:rsidR="00C67099">
        <w:t xml:space="preserve"> или плацебо соответственно. </w:t>
      </w:r>
      <w:r w:rsidR="008F7306">
        <w:t xml:space="preserve">Доля пациентов с </w:t>
      </w:r>
      <w:r w:rsidR="008F7306">
        <w:rPr>
          <w:lang w:val="en-US"/>
        </w:rPr>
        <w:t>ACR</w:t>
      </w:r>
      <w:r w:rsidR="008F7306" w:rsidRPr="009D3C70">
        <w:t>20</w:t>
      </w:r>
      <w:r w:rsidR="00657DA0">
        <w:t xml:space="preserve"> </w:t>
      </w:r>
      <w:r w:rsidR="008F7306">
        <w:t xml:space="preserve">составила </w:t>
      </w:r>
      <w:r w:rsidR="009F13B6">
        <w:t>31</w:t>
      </w:r>
      <w:r w:rsidR="002D3FA2">
        <w:t xml:space="preserve">, </w:t>
      </w:r>
      <w:r w:rsidR="009F13B6">
        <w:t>4</w:t>
      </w:r>
      <w:r w:rsidR="002D3FA2">
        <w:t xml:space="preserve">5, </w:t>
      </w:r>
      <w:r w:rsidR="009F13B6">
        <w:t>61</w:t>
      </w:r>
      <w:r w:rsidR="002D3FA2">
        <w:t xml:space="preserve">, </w:t>
      </w:r>
      <w:r w:rsidR="009F13B6">
        <w:t>72</w:t>
      </w:r>
      <w:r w:rsidR="002D3FA2">
        <w:t xml:space="preserve">, </w:t>
      </w:r>
      <w:r w:rsidR="009F13B6">
        <w:t>72</w:t>
      </w:r>
      <w:r w:rsidR="002D3FA2">
        <w:t xml:space="preserve">, </w:t>
      </w:r>
      <w:r w:rsidR="009D3C70">
        <w:t>3</w:t>
      </w:r>
      <w:r w:rsidR="00F114AC">
        <w:t>9</w:t>
      </w:r>
      <w:r w:rsidR="009D3C70">
        <w:t xml:space="preserve"> и 2</w:t>
      </w:r>
      <w:r w:rsidR="00F114AC">
        <w:t>4</w:t>
      </w:r>
      <w:r w:rsidR="009D3C70">
        <w:t xml:space="preserve">% в группах </w:t>
      </w:r>
      <w:r w:rsidR="005E01F3" w:rsidRPr="005E01F3">
        <w:t xml:space="preserve">тофацитиниба </w:t>
      </w:r>
      <w:r w:rsidR="009D3C70">
        <w:t>в дозе 1, 3, 5, 10 или 15 мг 2 раза в день перорально</w:t>
      </w:r>
      <w:r w:rsidR="00885A71">
        <w:t>,</w:t>
      </w:r>
      <w:r w:rsidR="009D3C70">
        <w:t xml:space="preserve"> или адалимумаба в дозе 40 мг 1 раз в неделю подкожно в течение 10 недель с последующим пероральным приемом </w:t>
      </w:r>
      <w:r w:rsidR="005E01F3" w:rsidRPr="005E01F3">
        <w:t xml:space="preserve">тофацитиниба </w:t>
      </w:r>
      <w:r w:rsidR="009D3C70">
        <w:t>в дозе 5 мг 2 раза в день</w:t>
      </w:r>
      <w:r w:rsidR="00885A71">
        <w:t>,</w:t>
      </w:r>
      <w:r w:rsidR="009D3C70">
        <w:t xml:space="preserve"> или плацебо соответственно, доля больных с </w:t>
      </w:r>
      <w:r w:rsidR="009D3C70">
        <w:rPr>
          <w:lang w:val="en-US"/>
        </w:rPr>
        <w:t>ACR</w:t>
      </w:r>
      <w:r w:rsidR="009D3C70">
        <w:t>5</w:t>
      </w:r>
      <w:r w:rsidR="009D3C70" w:rsidRPr="009D3C70">
        <w:t>0</w:t>
      </w:r>
      <w:r w:rsidR="009D3C70">
        <w:t xml:space="preserve"> – </w:t>
      </w:r>
      <w:r w:rsidR="00F114AC">
        <w:t>11, 25, 39, 46, 51, 21 и 10% соответственно, а доля пациентов с</w:t>
      </w:r>
      <w:r w:rsidR="00F114AC" w:rsidRPr="00F114AC">
        <w:t xml:space="preserve"> </w:t>
      </w:r>
      <w:r w:rsidR="00F114AC">
        <w:rPr>
          <w:lang w:val="en-US"/>
        </w:rPr>
        <w:t>ACR</w:t>
      </w:r>
      <w:r w:rsidR="00F114AC">
        <w:t xml:space="preserve">70 – </w:t>
      </w:r>
      <w:r w:rsidR="005125CC">
        <w:t xml:space="preserve">6, 12, 14, 25, 26, 4 и 3% соответственно </w:t>
      </w:r>
      <w:r w:rsidR="003D682C">
        <w:rPr>
          <w:lang w:val="en-GB"/>
        </w:rPr>
        <w:fldChar w:fldCharType="begin"/>
      </w:r>
      <w:r w:rsidR="008D5290">
        <w:instrText xml:space="preserve"> ADDIN ZOTERO_ITEM CSL_CITATION {"citationID":"WEIuzc7j","properties":{"formattedCitation":"[29]","plainCitation":"[29]","noteIndex":0},"citationItems":[{"id":87805,"uris":["http://zotero.org/groups/4742804/items/QUW6NSTM"],"itemData":{"id":87805,"type":"webpage","title":"Xeljanz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Review","URL":"https://www.accessdata.fda.gov/drugsatfda_docs/nda/2012/203214Orig1s000TOC.cfm","accessed":{"date-parts":[["2022",8,3]]}}}],"schema":"https://github.com/citation-style-language/schema/raw/master/csl-citation.json"} </w:instrText>
      </w:r>
      <w:r w:rsidR="003D682C">
        <w:rPr>
          <w:lang w:val="en-GB"/>
        </w:rPr>
        <w:fldChar w:fldCharType="separate"/>
      </w:r>
      <w:r w:rsidR="00AD0B20">
        <w:rPr>
          <w:rFonts w:cs="Times New Roman"/>
        </w:rPr>
        <w:t>[7</w:t>
      </w:r>
      <w:r w:rsidR="008D5290" w:rsidRPr="008D5290">
        <w:rPr>
          <w:rFonts w:cs="Times New Roman"/>
        </w:rPr>
        <w:t>]</w:t>
      </w:r>
      <w:r w:rsidR="003D682C">
        <w:rPr>
          <w:lang w:val="en-GB"/>
        </w:rPr>
        <w:fldChar w:fldCharType="end"/>
      </w:r>
      <w:r w:rsidR="002405D5">
        <w:t>.</w:t>
      </w:r>
    </w:p>
    <w:p w14:paraId="777F864A" w14:textId="005A83E9" w:rsidR="00E40A18" w:rsidRDefault="001D7B0E" w:rsidP="00382C19">
      <w:pPr>
        <w:pStyle w:val="SDText"/>
        <w:contextualSpacing/>
      </w:pPr>
      <w:r>
        <w:t xml:space="preserve">В </w:t>
      </w:r>
      <w:r w:rsidR="002F500C">
        <w:t xml:space="preserve">2-летнем </w:t>
      </w:r>
      <w:r>
        <w:t xml:space="preserve">рандомизированном двойном слепом плацебо-контролируемом исследовании </w:t>
      </w:r>
      <w:r w:rsidRPr="001D7B0E">
        <w:t>A3921044</w:t>
      </w:r>
      <w:r>
        <w:t xml:space="preserve"> фазы </w:t>
      </w:r>
      <w:r>
        <w:rPr>
          <w:lang w:val="en-US"/>
        </w:rPr>
        <w:t>III</w:t>
      </w:r>
      <w:r>
        <w:t xml:space="preserve"> </w:t>
      </w:r>
      <w:r w:rsidR="002F500C">
        <w:t xml:space="preserve">пациентов </w:t>
      </w:r>
      <w:r w:rsidR="00314023">
        <w:t xml:space="preserve">с РА </w:t>
      </w:r>
      <w:r w:rsidR="00CA796A">
        <w:t xml:space="preserve">с недостаточным ответом на терапию метотрексатом </w:t>
      </w:r>
      <w:r w:rsidR="002F500C">
        <w:t xml:space="preserve">рандомизировали </w:t>
      </w:r>
      <w:r w:rsidR="004201A6">
        <w:t xml:space="preserve">на 4 группы </w:t>
      </w:r>
      <w:r w:rsidR="002F500C">
        <w:t xml:space="preserve">в соотношении </w:t>
      </w:r>
      <w:r w:rsidR="006A6348">
        <w:t>4:4:1:1</w:t>
      </w:r>
      <w:r w:rsidR="002D10A3">
        <w:t xml:space="preserve">. Пациенты из первой, второй, третьей и четвертой групп получали перорально </w:t>
      </w:r>
      <w:r w:rsidR="005E01F3" w:rsidRPr="005E01F3">
        <w:t>тофацитиниб</w:t>
      </w:r>
      <w:r w:rsidR="005E01F3">
        <w:t xml:space="preserve"> </w:t>
      </w:r>
      <w:r w:rsidR="002D10A3">
        <w:t xml:space="preserve">в дозе </w:t>
      </w:r>
      <w:r w:rsidR="00A91D8A">
        <w:t xml:space="preserve">5 мг 2 раза в день, </w:t>
      </w:r>
      <w:r w:rsidR="005E01F3" w:rsidRPr="005E01F3">
        <w:t>тофацитиниб</w:t>
      </w:r>
      <w:r w:rsidR="005E01F3">
        <w:t xml:space="preserve"> </w:t>
      </w:r>
      <w:r w:rsidR="00A91D8A">
        <w:t xml:space="preserve">в дозе 10 мг 2 раза в день, плацебо </w:t>
      </w:r>
      <w:bookmarkStart w:id="229" w:name="_Hlk117584984"/>
      <w:r w:rsidR="005E01F3" w:rsidRPr="005E01F3">
        <w:t>тофацитиниб</w:t>
      </w:r>
      <w:r w:rsidR="005E01F3">
        <w:t>а</w:t>
      </w:r>
      <w:bookmarkEnd w:id="229"/>
      <w:r w:rsidR="005E01F3">
        <w:t xml:space="preserve"> </w:t>
      </w:r>
      <w:r w:rsidR="00A91D8A">
        <w:t xml:space="preserve">в дозе 5 мг 2 раза в день и плацебо </w:t>
      </w:r>
      <w:r w:rsidR="005E01F3" w:rsidRPr="005E01F3">
        <w:t>тофацитиниб</w:t>
      </w:r>
      <w:r w:rsidR="005E01F3">
        <w:t xml:space="preserve">а </w:t>
      </w:r>
      <w:r w:rsidR="00A91D8A">
        <w:t xml:space="preserve">в дозе 10 мг 2 раза в день соответственно. </w:t>
      </w:r>
      <w:r w:rsidR="001517F3">
        <w:t xml:space="preserve">Через 3 мес. терапии в случае отсутствия достижения </w:t>
      </w:r>
      <w:r w:rsidR="00164A2C">
        <w:t xml:space="preserve">по крайней мере </w:t>
      </w:r>
      <w:r w:rsidR="00164A2C">
        <w:rPr>
          <w:lang w:val="en-US"/>
        </w:rPr>
        <w:t>ACR</w:t>
      </w:r>
      <w:r w:rsidR="00164A2C" w:rsidRPr="00164A2C">
        <w:t>20</w:t>
      </w:r>
      <w:r w:rsidR="005F025A">
        <w:t xml:space="preserve"> пациенты из третьей группы начинали получать перорально </w:t>
      </w:r>
      <w:r w:rsidR="005E01F3" w:rsidRPr="005E01F3">
        <w:t>тофацитиниб</w:t>
      </w:r>
      <w:r w:rsidR="005E01F3">
        <w:t xml:space="preserve"> </w:t>
      </w:r>
      <w:r w:rsidR="005F025A">
        <w:t xml:space="preserve">в дозе 5 мг 2 раза в день, </w:t>
      </w:r>
      <w:r w:rsidR="000C4512">
        <w:t xml:space="preserve">а больные </w:t>
      </w:r>
      <w:r w:rsidR="000C4512">
        <w:lastRenderedPageBreak/>
        <w:t xml:space="preserve">из четвертой группы – </w:t>
      </w:r>
      <w:r w:rsidR="005E01F3" w:rsidRPr="005E01F3">
        <w:t xml:space="preserve">тофацитиниб </w:t>
      </w:r>
      <w:r w:rsidR="000C4512">
        <w:t>в дозе 10 мг 2 раза в день</w:t>
      </w:r>
      <w:r w:rsidR="00A63ACC">
        <w:t>.</w:t>
      </w:r>
      <w:r w:rsidR="007F5381">
        <w:t xml:space="preserve"> </w:t>
      </w:r>
      <w:r w:rsidR="00720327">
        <w:t xml:space="preserve">Кроме того, </w:t>
      </w:r>
      <w:r w:rsidR="00891E44">
        <w:t>все пациенты также получали БМАРП</w:t>
      </w:r>
      <w:r w:rsidR="005A4B92">
        <w:t>.</w:t>
      </w:r>
      <w:r w:rsidR="00891E44">
        <w:t xml:space="preserve"> </w:t>
      </w:r>
      <w:r w:rsidR="007F5381">
        <w:t xml:space="preserve">Первичными конечными точками эффективности являлись </w:t>
      </w:r>
      <w:r w:rsidR="00DA4DC7">
        <w:t xml:space="preserve">признаки и симптомы, определяемые по </w:t>
      </w:r>
      <w:r w:rsidR="00DA4DC7">
        <w:rPr>
          <w:lang w:val="en-US"/>
        </w:rPr>
        <w:t>ACR</w:t>
      </w:r>
      <w:r w:rsidR="00DA4DC7" w:rsidRPr="00DA4DC7">
        <w:t xml:space="preserve">20 </w:t>
      </w:r>
      <w:r w:rsidR="00DA4DC7">
        <w:t xml:space="preserve">через 6 мес. от начала терапии, </w:t>
      </w:r>
      <w:r w:rsidR="00263D99">
        <w:t xml:space="preserve">сохранение структуры суставов при оценке по модифицированному </w:t>
      </w:r>
      <w:r w:rsidR="00C223A9">
        <w:t>счету Шарпа (</w:t>
      </w:r>
      <w:r w:rsidR="00C223A9" w:rsidRPr="00C223A9">
        <w:t>Total Sharp Score</w:t>
      </w:r>
      <w:r w:rsidR="00C223A9">
        <w:t xml:space="preserve">, </w:t>
      </w:r>
      <w:r w:rsidR="005154B6" w:rsidRPr="005154B6">
        <w:t>mTSS</w:t>
      </w:r>
      <w:r w:rsidR="005154B6">
        <w:t xml:space="preserve">) от исходного значения до 6 мес. от начала терапии, </w:t>
      </w:r>
      <w:r w:rsidR="00410B12">
        <w:t>функциональный статус</w:t>
      </w:r>
      <w:r w:rsidR="00443859">
        <w:t xml:space="preserve">, определяемый по изменению </w:t>
      </w:r>
      <w:r w:rsidR="00443859" w:rsidRPr="00443859">
        <w:t>HAQ-DI</w:t>
      </w:r>
      <w:r w:rsidR="00443859">
        <w:t xml:space="preserve"> от исходного значения </w:t>
      </w:r>
      <w:r w:rsidR="0013519B">
        <w:t>через</w:t>
      </w:r>
      <w:r w:rsidR="00443859">
        <w:t xml:space="preserve"> 3 мес. </w:t>
      </w:r>
      <w:r w:rsidR="0013519B">
        <w:t xml:space="preserve">после начала терапии и частота достижения </w:t>
      </w:r>
      <w:r w:rsidR="0013519B" w:rsidRPr="0013519B">
        <w:t>DAS28-4(</w:t>
      </w:r>
      <w:r w:rsidR="0013519B">
        <w:t>СОЭ</w:t>
      </w:r>
      <w:r w:rsidR="0013519B" w:rsidRPr="0013519B">
        <w:t>) &lt;</w:t>
      </w:r>
      <w:r w:rsidR="0013519B">
        <w:t xml:space="preserve"> </w:t>
      </w:r>
      <w:r w:rsidR="0013519B" w:rsidRPr="0013519B">
        <w:t>2</w:t>
      </w:r>
      <w:r w:rsidR="0013519B">
        <w:t>,</w:t>
      </w:r>
      <w:r w:rsidR="0013519B" w:rsidRPr="0013519B">
        <w:t>6</w:t>
      </w:r>
      <w:r w:rsidR="0013519B">
        <w:t xml:space="preserve"> через 6 мес. от начала лечения. </w:t>
      </w:r>
      <w:r w:rsidR="001F1CB2">
        <w:t xml:space="preserve">Оценку эффективности </w:t>
      </w:r>
      <w:r w:rsidR="00F763A0">
        <w:t>в соответствии с критериями</w:t>
      </w:r>
      <w:r w:rsidR="00A1229B">
        <w:t xml:space="preserve"> </w:t>
      </w:r>
      <w:r w:rsidR="00F763A0">
        <w:rPr>
          <w:lang w:val="en-US"/>
        </w:rPr>
        <w:t>ACR</w:t>
      </w:r>
      <w:r w:rsidR="00F763A0" w:rsidRPr="00F763A0">
        <w:t xml:space="preserve"> </w:t>
      </w:r>
      <w:r w:rsidR="001F1CB2">
        <w:t xml:space="preserve">провели для </w:t>
      </w:r>
      <w:r w:rsidR="00FE3C0A">
        <w:t xml:space="preserve">154 пациентов из групп плацебо, 309 больных из группы </w:t>
      </w:r>
      <w:r w:rsidR="005E01F3" w:rsidRPr="005E01F3">
        <w:t xml:space="preserve">тофацитиниба </w:t>
      </w:r>
      <w:r w:rsidR="00FE3C0A">
        <w:t xml:space="preserve">в дозе 5 мг 2 раза в день и </w:t>
      </w:r>
      <w:r w:rsidR="005A24C6">
        <w:t xml:space="preserve">309 пациентов из группы </w:t>
      </w:r>
      <w:r w:rsidR="005E01F3" w:rsidRPr="005E01F3">
        <w:t xml:space="preserve">тофацитиниба </w:t>
      </w:r>
      <w:r w:rsidR="005A24C6">
        <w:t xml:space="preserve">в дозе 10 мг 2 раза в день. Доля пациентов с </w:t>
      </w:r>
      <w:r w:rsidR="005A24C6">
        <w:rPr>
          <w:lang w:val="en-US"/>
        </w:rPr>
        <w:t>ACR</w:t>
      </w:r>
      <w:r w:rsidR="005A24C6" w:rsidRPr="009D3C70">
        <w:t>20</w:t>
      </w:r>
      <w:r w:rsidR="005A24C6">
        <w:t xml:space="preserve"> составила </w:t>
      </w:r>
      <w:r w:rsidR="003E38B3">
        <w:t>25</w:t>
      </w:r>
      <w:r w:rsidR="005A24C6">
        <w:t xml:space="preserve">, </w:t>
      </w:r>
      <w:r w:rsidR="003E38B3">
        <w:t xml:space="preserve">51 и </w:t>
      </w:r>
      <w:r w:rsidR="005A24C6">
        <w:t>6</w:t>
      </w:r>
      <w:r w:rsidR="003E38B3">
        <w:t>2</w:t>
      </w:r>
      <w:r w:rsidR="005A24C6">
        <w:t xml:space="preserve">% в </w:t>
      </w:r>
      <w:r w:rsidR="003E38B3">
        <w:t xml:space="preserve">объединенной группе плацебо, </w:t>
      </w:r>
      <w:r w:rsidR="005A24C6">
        <w:t xml:space="preserve">группах </w:t>
      </w:r>
      <w:r w:rsidR="005E01F3" w:rsidRPr="005E01F3">
        <w:t xml:space="preserve">тофацитиниба </w:t>
      </w:r>
      <w:r w:rsidR="005A24C6">
        <w:t>в дозе 5</w:t>
      </w:r>
      <w:r w:rsidR="003E38B3">
        <w:t xml:space="preserve"> мг 2 раза в день и </w:t>
      </w:r>
      <w:r w:rsidR="005E01F3" w:rsidRPr="005E01F3">
        <w:t xml:space="preserve">тофацитиниба </w:t>
      </w:r>
      <w:r w:rsidR="003E38B3">
        <w:t xml:space="preserve">в дозе </w:t>
      </w:r>
      <w:r w:rsidR="005A24C6">
        <w:t>1</w:t>
      </w:r>
      <w:r w:rsidR="003E38B3">
        <w:t>0</w:t>
      </w:r>
      <w:r w:rsidR="005A24C6">
        <w:t xml:space="preserve"> мг 2 раза в день соответственно</w:t>
      </w:r>
      <w:r w:rsidR="003E38B3">
        <w:t xml:space="preserve">, доля больных с </w:t>
      </w:r>
      <w:r w:rsidR="003E38B3">
        <w:rPr>
          <w:lang w:val="en-US"/>
        </w:rPr>
        <w:t>ACR</w:t>
      </w:r>
      <w:r w:rsidR="003E38B3">
        <w:t>5</w:t>
      </w:r>
      <w:r w:rsidR="003E38B3" w:rsidRPr="009D3C70">
        <w:t>0</w:t>
      </w:r>
      <w:r w:rsidR="003E38B3">
        <w:t xml:space="preserve"> – </w:t>
      </w:r>
      <w:r w:rsidR="00FB48D4">
        <w:t xml:space="preserve">8, 32 и 44% соответственно, а доля больных с </w:t>
      </w:r>
      <w:r w:rsidR="00FB48D4">
        <w:rPr>
          <w:lang w:val="en-US"/>
        </w:rPr>
        <w:t>ACR</w:t>
      </w:r>
      <w:r w:rsidR="00FB48D4" w:rsidRPr="00FB48D4">
        <w:t xml:space="preserve">70 </w:t>
      </w:r>
      <w:r w:rsidR="00FB48D4">
        <w:t>–</w:t>
      </w:r>
      <w:r w:rsidR="00FB48D4" w:rsidRPr="00FB48D4">
        <w:t xml:space="preserve"> </w:t>
      </w:r>
      <w:r w:rsidR="001732D0" w:rsidRPr="001732D0">
        <w:t>1</w:t>
      </w:r>
      <w:r w:rsidR="001732D0">
        <w:t>,</w:t>
      </w:r>
      <w:r w:rsidR="001732D0" w:rsidRPr="001732D0">
        <w:t xml:space="preserve"> 15 </w:t>
      </w:r>
      <w:r w:rsidR="001732D0">
        <w:t>и</w:t>
      </w:r>
      <w:r w:rsidR="001732D0" w:rsidRPr="001732D0">
        <w:t xml:space="preserve"> 22</w:t>
      </w:r>
      <w:r w:rsidR="001732D0">
        <w:t>% соответственно</w:t>
      </w:r>
      <w:r w:rsidR="0074361B">
        <w:t xml:space="preserve"> (</w:t>
      </w:r>
      <w:r w:rsidR="0074361B">
        <w:rPr>
          <w:lang w:val="en-US"/>
        </w:rPr>
        <w:t>p</w:t>
      </w:r>
      <w:r w:rsidR="0074361B" w:rsidRPr="0074361B">
        <w:t xml:space="preserve"> &lt; </w:t>
      </w:r>
      <w:r w:rsidR="0074361B">
        <w:t xml:space="preserve">0,0001 </w:t>
      </w:r>
      <w:r w:rsidR="00904BD8">
        <w:t xml:space="preserve">для каждого сравнения показателей в группах активной терапии с результатами в группе плацебо). </w:t>
      </w:r>
      <w:bookmarkStart w:id="230" w:name="_Hlk114247710"/>
      <w:r w:rsidR="00C4614F">
        <w:t>Через 6 мес. от начала терапии д</w:t>
      </w:r>
      <w:r w:rsidR="001E0E22">
        <w:t xml:space="preserve">оля пациентов с </w:t>
      </w:r>
      <w:r w:rsidR="001E0E22" w:rsidRPr="0013519B">
        <w:t>DAS28-4(</w:t>
      </w:r>
      <w:r w:rsidR="001E0E22">
        <w:t>СОЭ</w:t>
      </w:r>
      <w:r w:rsidR="001E0E22" w:rsidRPr="0013519B">
        <w:t>) &lt;</w:t>
      </w:r>
      <w:r w:rsidR="001E0E22">
        <w:t xml:space="preserve"> </w:t>
      </w:r>
      <w:r w:rsidR="001E0E22" w:rsidRPr="0013519B">
        <w:t>2</w:t>
      </w:r>
      <w:r w:rsidR="001E0E22">
        <w:t>,</w:t>
      </w:r>
      <w:r w:rsidR="001E0E22" w:rsidRPr="0013519B">
        <w:t>6</w:t>
      </w:r>
      <w:r w:rsidR="001E0E22">
        <w:t xml:space="preserve"> </w:t>
      </w:r>
      <w:r w:rsidR="00B71564">
        <w:t xml:space="preserve">составила 2, 7 и 18% в объединенной группе плацебо, группах </w:t>
      </w:r>
      <w:r w:rsidR="005E01F3" w:rsidRPr="005E01F3">
        <w:t xml:space="preserve">тофацитиниба </w:t>
      </w:r>
      <w:r w:rsidR="00B71564">
        <w:t xml:space="preserve">в дозе 5 мг 2 раза в день и </w:t>
      </w:r>
      <w:r w:rsidR="005E01F3" w:rsidRPr="005E01F3">
        <w:t xml:space="preserve">тофацитиниба </w:t>
      </w:r>
      <w:r w:rsidR="00B71564">
        <w:t>в дозе 10 мг 2 раза в день соответственно</w:t>
      </w:r>
      <w:bookmarkEnd w:id="230"/>
      <w:r w:rsidR="00001B89">
        <w:t xml:space="preserve"> (</w:t>
      </w:r>
      <w:r w:rsidR="00001B89">
        <w:rPr>
          <w:lang w:val="en-US"/>
        </w:rPr>
        <w:t>p</w:t>
      </w:r>
      <w:r w:rsidR="00001B89" w:rsidRPr="00395627">
        <w:t xml:space="preserve"> </w:t>
      </w:r>
      <w:r w:rsidR="008F3FF8" w:rsidRPr="00395627">
        <w:t>= 0</w:t>
      </w:r>
      <w:r w:rsidR="008F3FF8">
        <w:t xml:space="preserve">,0035 для сравнения показателя в группах </w:t>
      </w:r>
      <w:r w:rsidR="005E01F3" w:rsidRPr="005E01F3">
        <w:t xml:space="preserve">тофацитиниба </w:t>
      </w:r>
      <w:r w:rsidR="008F3FF8">
        <w:t xml:space="preserve">в дозе 5 мг 2 раза в день и плацебо, </w:t>
      </w:r>
      <w:r w:rsidR="004A1E6C">
        <w:rPr>
          <w:lang w:val="en-US"/>
        </w:rPr>
        <w:t>p</w:t>
      </w:r>
      <w:r w:rsidR="004A1E6C" w:rsidRPr="00395627">
        <w:t xml:space="preserve"> &lt; </w:t>
      </w:r>
      <w:r w:rsidR="004A1E6C">
        <w:t xml:space="preserve">0,0001 для сравнения показателя в группах </w:t>
      </w:r>
      <w:r w:rsidR="005E01F3" w:rsidRPr="005E01F3">
        <w:t xml:space="preserve">тофацитиниба </w:t>
      </w:r>
      <w:r w:rsidR="004A1E6C">
        <w:t>в дозе 10 мг 2 раза в день и плацебо)</w:t>
      </w:r>
      <w:r w:rsidR="00B71564">
        <w:t xml:space="preserve">. </w:t>
      </w:r>
      <w:r w:rsidR="00BD5065">
        <w:t xml:space="preserve">Среднее изменение </w:t>
      </w:r>
      <w:r w:rsidR="00BD5065" w:rsidRPr="00F113CA">
        <w:rPr>
          <w:rFonts w:cs="Times New Roman"/>
          <w:lang w:val="en-US"/>
        </w:rPr>
        <w:t>HAQ</w:t>
      </w:r>
      <w:r w:rsidR="00BD5065" w:rsidRPr="00DB3E19">
        <w:rPr>
          <w:rFonts w:cs="Times New Roman"/>
        </w:rPr>
        <w:t>-</w:t>
      </w:r>
      <w:r w:rsidR="00BD5065" w:rsidRPr="00F113CA">
        <w:rPr>
          <w:rFonts w:cs="Times New Roman"/>
          <w:lang w:val="en-US"/>
        </w:rPr>
        <w:t>DI</w:t>
      </w:r>
      <w:r w:rsidR="00BD5065" w:rsidRPr="00DB3E19">
        <w:rPr>
          <w:rFonts w:cs="Times New Roman"/>
        </w:rPr>
        <w:t xml:space="preserve"> </w:t>
      </w:r>
      <w:r w:rsidR="00BD5065">
        <w:rPr>
          <w:rFonts w:cs="Times New Roman"/>
        </w:rPr>
        <w:t>от исходного значения через 3 мес. от начала терапии составило -0,</w:t>
      </w:r>
      <w:r w:rsidR="00A617E4">
        <w:rPr>
          <w:rFonts w:cs="Times New Roman"/>
        </w:rPr>
        <w:t>15</w:t>
      </w:r>
      <w:r w:rsidR="00BD5065">
        <w:rPr>
          <w:rFonts w:cs="Times New Roman"/>
        </w:rPr>
        <w:t>, -0,4 и -0,</w:t>
      </w:r>
      <w:r w:rsidR="00A617E4">
        <w:rPr>
          <w:rFonts w:cs="Times New Roman"/>
        </w:rPr>
        <w:t>57</w:t>
      </w:r>
      <w:r w:rsidR="00BD5065">
        <w:rPr>
          <w:rFonts w:cs="Times New Roman"/>
        </w:rPr>
        <w:t xml:space="preserve"> (</w:t>
      </w:r>
      <w:r w:rsidR="00BD5065">
        <w:rPr>
          <w:lang w:val="en-US"/>
        </w:rPr>
        <w:t>p</w:t>
      </w:r>
      <w:r w:rsidR="00BD5065" w:rsidRPr="00395627">
        <w:t xml:space="preserve"> &lt; </w:t>
      </w:r>
      <w:r w:rsidR="00BD5065">
        <w:t xml:space="preserve">0,0001 для сравнения показателя в </w:t>
      </w:r>
      <w:r w:rsidR="00752F49">
        <w:t xml:space="preserve">обеих </w:t>
      </w:r>
      <w:r w:rsidR="00BD5065">
        <w:t xml:space="preserve">группах </w:t>
      </w:r>
      <w:r w:rsidR="005E01F3" w:rsidRPr="005E01F3">
        <w:t xml:space="preserve">тофацитиниба </w:t>
      </w:r>
      <w:r w:rsidR="00BD5065">
        <w:t>и плацебо)</w:t>
      </w:r>
      <w:r w:rsidR="00FD4FAA">
        <w:t xml:space="preserve">. </w:t>
      </w:r>
      <w:r w:rsidR="001D58AA">
        <w:t xml:space="preserve">Улучшение по </w:t>
      </w:r>
      <w:r w:rsidR="001D58AA" w:rsidRPr="005154B6">
        <w:t>mTSS</w:t>
      </w:r>
      <w:r w:rsidR="001D58AA">
        <w:t xml:space="preserve"> определили у </w:t>
      </w:r>
      <w:r w:rsidR="00BD3F13">
        <w:t xml:space="preserve">14, 18 и 16% пациентов из </w:t>
      </w:r>
      <w:r w:rsidR="00B349FA">
        <w:t xml:space="preserve">объединенной группы плацебо, групп </w:t>
      </w:r>
      <w:r w:rsidR="005E01F3" w:rsidRPr="005E01F3">
        <w:t xml:space="preserve">тофацитиниба </w:t>
      </w:r>
      <w:r w:rsidR="00B349FA">
        <w:t xml:space="preserve">в дозе 5 мг 2 раза в день и </w:t>
      </w:r>
      <w:r w:rsidR="005E01F3" w:rsidRPr="005E01F3">
        <w:t>тофацитиниб</w:t>
      </w:r>
      <w:r w:rsidR="005E01F3">
        <w:t>а</w:t>
      </w:r>
      <w:r w:rsidR="005E01F3" w:rsidRPr="005E01F3">
        <w:t xml:space="preserve"> </w:t>
      </w:r>
      <w:r w:rsidR="00B349FA">
        <w:t xml:space="preserve">в дозе 10 мг 2 раза в день соответственно, отсутствие изменений – у 60, 66 и 63% больных соответственно, а ухудшение – у </w:t>
      </w:r>
      <w:r w:rsidR="007151F9">
        <w:t>26, 16 и 21% пациентов соответственно</w:t>
      </w:r>
      <w:r w:rsidR="00BD5065">
        <w:t xml:space="preserve"> </w:t>
      </w:r>
      <w:r w:rsidR="00904BD8">
        <w:rPr>
          <w:lang w:val="en-GB"/>
        </w:rPr>
        <w:fldChar w:fldCharType="begin"/>
      </w:r>
      <w:r w:rsidR="008D5290">
        <w:instrText xml:space="preserve"> ADDIN ZOTERO_ITEM CSL_CITATION {"citationID":"rI0JSHoo","properties":{"formattedCitation":"[29]","plainCitation":"[29]","noteIndex":0},"citationItems":[{"id":87805,"uris":["http://zotero.org/groups/4742804/items/QUW6NSTM"],"itemData":{"id":87805,"type":"webpage","title":"Xeljanz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Review","URL":"https://www.accessdata.fda.gov/drugsatfda_docs/nda/2012/203214Orig1s000TOC.cfm","accessed":{"date-parts":[["2022",8,3]]}}}],"schema":"https://github.com/citation-style-language/schema/raw/master/csl-citation.json"} </w:instrText>
      </w:r>
      <w:r w:rsidR="00904BD8">
        <w:rPr>
          <w:lang w:val="en-GB"/>
        </w:rPr>
        <w:fldChar w:fldCharType="separate"/>
      </w:r>
      <w:r w:rsidR="00AD0B20">
        <w:rPr>
          <w:rFonts w:cs="Times New Roman"/>
        </w:rPr>
        <w:t>[7</w:t>
      </w:r>
      <w:r w:rsidR="008D5290" w:rsidRPr="008D5290">
        <w:rPr>
          <w:rFonts w:cs="Times New Roman"/>
        </w:rPr>
        <w:t>]</w:t>
      </w:r>
      <w:r w:rsidR="00904BD8">
        <w:rPr>
          <w:lang w:val="en-GB"/>
        </w:rPr>
        <w:fldChar w:fldCharType="end"/>
      </w:r>
      <w:r w:rsidR="00904BD8">
        <w:t>.</w:t>
      </w:r>
    </w:p>
    <w:p w14:paraId="1AEF650E" w14:textId="03BAC61C" w:rsidR="00750D39" w:rsidRDefault="00750D39" w:rsidP="00382C19">
      <w:pPr>
        <w:pStyle w:val="SDText"/>
        <w:contextualSpacing/>
      </w:pPr>
      <w:r>
        <w:t xml:space="preserve">В </w:t>
      </w:r>
      <w:r w:rsidR="0057692D">
        <w:t>6</w:t>
      </w:r>
      <w:r>
        <w:t>-</w:t>
      </w:r>
      <w:r w:rsidR="0057692D">
        <w:t>месячном</w:t>
      </w:r>
      <w:r>
        <w:t xml:space="preserve"> рандомизированном двойном слепом плацебо-контролируемом исследовании </w:t>
      </w:r>
      <w:r w:rsidRPr="00750D39">
        <w:t>A3921045</w:t>
      </w:r>
      <w:r>
        <w:t xml:space="preserve"> фазы </w:t>
      </w:r>
      <w:r>
        <w:rPr>
          <w:lang w:val="en-US"/>
        </w:rPr>
        <w:t>III</w:t>
      </w:r>
      <w:r>
        <w:t xml:space="preserve"> </w:t>
      </w:r>
      <w:r w:rsidR="007D7E66">
        <w:t xml:space="preserve">пациентов </w:t>
      </w:r>
      <w:r w:rsidR="00314023">
        <w:t xml:space="preserve">с РА </w:t>
      </w:r>
      <w:r w:rsidR="00FA49EF">
        <w:t xml:space="preserve">с недостаточным ответом на терапию БМАРП </w:t>
      </w:r>
      <w:r w:rsidR="007D7E66">
        <w:t>рандомизировали на 4 группы в соотношении 4:4:1:1</w:t>
      </w:r>
      <w:r w:rsidR="00575370">
        <w:t>.</w:t>
      </w:r>
      <w:r w:rsidR="0063552A">
        <w:t xml:space="preserve"> </w:t>
      </w:r>
      <w:r w:rsidR="00575370">
        <w:t xml:space="preserve">Пациенты из первой, второй, третьей и четвертой групп получали перорально </w:t>
      </w:r>
      <w:r w:rsidR="005E01F3" w:rsidRPr="005E01F3">
        <w:t>тофацитиниб</w:t>
      </w:r>
      <w:r w:rsidR="005E01F3">
        <w:t xml:space="preserve"> </w:t>
      </w:r>
      <w:r w:rsidR="00575370">
        <w:t xml:space="preserve">в дозе 5 мг 2 раза в день, </w:t>
      </w:r>
      <w:r w:rsidR="005E01F3" w:rsidRPr="005E01F3">
        <w:t>тофацитиниб</w:t>
      </w:r>
      <w:r w:rsidR="00575370">
        <w:t xml:space="preserve"> в дозе 10 мг 2 раза в день, плацебо </w:t>
      </w:r>
      <w:r w:rsidR="005E01F3" w:rsidRPr="005E01F3">
        <w:t xml:space="preserve">тофацитиниба </w:t>
      </w:r>
      <w:r w:rsidR="00575370">
        <w:t xml:space="preserve">в дозе 5 мг 2 раза в день и плацебо </w:t>
      </w:r>
      <w:r w:rsidR="000C493D" w:rsidRPr="000C493D">
        <w:t xml:space="preserve">тофацитиниба </w:t>
      </w:r>
      <w:r w:rsidR="00575370">
        <w:t xml:space="preserve">в дозе 10 мг 2 раза в день соответственно. </w:t>
      </w:r>
      <w:r w:rsidR="005A4B92">
        <w:t xml:space="preserve">Пациенты из групп плацебо также получали БМАРП. </w:t>
      </w:r>
      <w:r w:rsidR="00575370">
        <w:t xml:space="preserve">Через 3 мес. терапии в случае отсутствия </w:t>
      </w:r>
      <w:r w:rsidR="00862FE0">
        <w:t>адекватного ответа</w:t>
      </w:r>
      <w:r w:rsidR="00575370">
        <w:t xml:space="preserve"> пациенты из третьей группы начинали получать перорально </w:t>
      </w:r>
      <w:r w:rsidR="005E01F3" w:rsidRPr="005E01F3">
        <w:t>тофацитиниб</w:t>
      </w:r>
      <w:r w:rsidR="005E01F3">
        <w:t xml:space="preserve"> </w:t>
      </w:r>
      <w:r w:rsidR="00575370">
        <w:t xml:space="preserve">в дозе 5 мг 2 раза в день, а больные из четвертой группы – </w:t>
      </w:r>
      <w:r w:rsidR="005E01F3" w:rsidRPr="005E01F3">
        <w:t>тофацитиниб</w:t>
      </w:r>
      <w:r w:rsidR="005E01F3">
        <w:t xml:space="preserve"> </w:t>
      </w:r>
      <w:r w:rsidR="00575370">
        <w:t xml:space="preserve">в дозе 10 мг 2 раза в день. Первичными конечными точками эффективности являлись </w:t>
      </w:r>
      <w:r w:rsidR="0014120F">
        <w:t>доля пациентов с</w:t>
      </w:r>
      <w:r w:rsidR="00575370">
        <w:t xml:space="preserve"> </w:t>
      </w:r>
      <w:r w:rsidR="00575370">
        <w:rPr>
          <w:lang w:val="en-US"/>
        </w:rPr>
        <w:t>ACR</w:t>
      </w:r>
      <w:r w:rsidR="00575370" w:rsidRPr="00DA4DC7">
        <w:t xml:space="preserve">20 </w:t>
      </w:r>
      <w:r w:rsidR="00575370">
        <w:t xml:space="preserve">через </w:t>
      </w:r>
      <w:r w:rsidR="0014120F">
        <w:t>3</w:t>
      </w:r>
      <w:r w:rsidR="00575370">
        <w:t xml:space="preserve"> мес. от начала терапии, изменени</w:t>
      </w:r>
      <w:r w:rsidR="008752F7">
        <w:t>е</w:t>
      </w:r>
      <w:r w:rsidR="00575370">
        <w:t xml:space="preserve"> </w:t>
      </w:r>
      <w:r w:rsidR="00575370" w:rsidRPr="00443859">
        <w:t>HAQ-DI</w:t>
      </w:r>
      <w:r w:rsidR="00575370">
        <w:t xml:space="preserve"> от исходного значения через 3 мес. после начала терапии и частота достижения </w:t>
      </w:r>
      <w:r w:rsidR="00575370" w:rsidRPr="0013519B">
        <w:t>DAS28-4(</w:t>
      </w:r>
      <w:r w:rsidR="00575370">
        <w:t>СОЭ</w:t>
      </w:r>
      <w:r w:rsidR="00575370" w:rsidRPr="0013519B">
        <w:t>) &lt;</w:t>
      </w:r>
      <w:r w:rsidR="00575370">
        <w:t xml:space="preserve"> </w:t>
      </w:r>
      <w:r w:rsidR="00575370" w:rsidRPr="0013519B">
        <w:t>2</w:t>
      </w:r>
      <w:r w:rsidR="00575370">
        <w:t>,</w:t>
      </w:r>
      <w:r w:rsidR="00575370" w:rsidRPr="0013519B">
        <w:t>6</w:t>
      </w:r>
      <w:r w:rsidR="00575370">
        <w:t xml:space="preserve"> через 6 мес. от начала лечения. Оценку эффективности провели для 1</w:t>
      </w:r>
      <w:r w:rsidR="00ED0EF6">
        <w:t>20</w:t>
      </w:r>
      <w:r w:rsidR="00575370">
        <w:t xml:space="preserve"> пациентов из групп плацебо, </w:t>
      </w:r>
      <w:r w:rsidR="00ED0EF6">
        <w:t>241</w:t>
      </w:r>
      <w:r w:rsidR="00575370">
        <w:t xml:space="preserve"> больн</w:t>
      </w:r>
      <w:r w:rsidR="00426E0C">
        <w:t>ого</w:t>
      </w:r>
      <w:r w:rsidR="00575370">
        <w:t xml:space="preserve"> из группы </w:t>
      </w:r>
      <w:r w:rsidR="005E01F3" w:rsidRPr="005E01F3">
        <w:t>тофацитиниба</w:t>
      </w:r>
      <w:r w:rsidR="00575370">
        <w:t xml:space="preserve"> в дозе 5 мг 2 раза в день и </w:t>
      </w:r>
      <w:r w:rsidR="009A1E5A">
        <w:t>242</w:t>
      </w:r>
      <w:r w:rsidR="00575370">
        <w:t xml:space="preserve"> пациентов из группы </w:t>
      </w:r>
      <w:r w:rsidR="005E01F3" w:rsidRPr="005E01F3">
        <w:t xml:space="preserve">тофацитиниба </w:t>
      </w:r>
      <w:r w:rsidR="00575370">
        <w:t>в дозе 10 мг 2 раза в день.</w:t>
      </w:r>
      <w:r w:rsidR="00A34BAC">
        <w:t xml:space="preserve"> Доля пациентов с </w:t>
      </w:r>
      <w:r w:rsidR="00A34BAC">
        <w:rPr>
          <w:lang w:val="en-US"/>
        </w:rPr>
        <w:t>ACR</w:t>
      </w:r>
      <w:r w:rsidR="00A34BAC" w:rsidRPr="009D3C70">
        <w:t>20</w:t>
      </w:r>
      <w:r w:rsidR="00A34BAC">
        <w:t xml:space="preserve"> составила 2</w:t>
      </w:r>
      <w:r w:rsidR="0091238E">
        <w:t>7</w:t>
      </w:r>
      <w:r w:rsidR="00A34BAC">
        <w:t xml:space="preserve">, </w:t>
      </w:r>
      <w:r w:rsidR="0091238E">
        <w:t>60</w:t>
      </w:r>
      <w:r w:rsidR="00A34BAC">
        <w:t xml:space="preserve"> и 6</w:t>
      </w:r>
      <w:r w:rsidR="0091238E">
        <w:t>6</w:t>
      </w:r>
      <w:r w:rsidR="00A34BAC">
        <w:t>% в объединенной группе плацебо</w:t>
      </w:r>
      <w:r w:rsidR="0069499F">
        <w:t xml:space="preserve"> (</w:t>
      </w:r>
      <w:r w:rsidR="0069499F">
        <w:rPr>
          <w:lang w:val="en-US"/>
        </w:rPr>
        <w:t>p</w:t>
      </w:r>
      <w:r w:rsidR="0069499F" w:rsidRPr="0074361B">
        <w:t xml:space="preserve"> &lt; </w:t>
      </w:r>
      <w:r w:rsidR="0069499F">
        <w:t>0,0001 для каждого сравнения показателей в группах активной терапии с результатами в группе плацебо)</w:t>
      </w:r>
      <w:r w:rsidR="00A34BAC">
        <w:t xml:space="preserve">, группах </w:t>
      </w:r>
      <w:r w:rsidR="005E01F3" w:rsidRPr="005E01F3">
        <w:t xml:space="preserve">тофацитиниба </w:t>
      </w:r>
      <w:r w:rsidR="00A34BAC">
        <w:t xml:space="preserve">в дозе 5 мг 2 раза в день и </w:t>
      </w:r>
      <w:r w:rsidR="005E01F3" w:rsidRPr="005E01F3">
        <w:t xml:space="preserve">тофацитиниба </w:t>
      </w:r>
      <w:r w:rsidR="00A34BAC">
        <w:t>в дозе 10 мг 2 раза в день соответственно</w:t>
      </w:r>
      <w:r w:rsidR="0069499F">
        <w:t xml:space="preserve"> (</w:t>
      </w:r>
      <w:r w:rsidR="0069499F">
        <w:rPr>
          <w:lang w:val="en-US"/>
        </w:rPr>
        <w:t>p</w:t>
      </w:r>
      <w:r w:rsidR="0069499F" w:rsidRPr="0074361B">
        <w:t xml:space="preserve"> &lt; </w:t>
      </w:r>
      <w:r w:rsidR="0069499F">
        <w:t>0,0001 для каждого сравнения показателей в группах активной терапии с результатами в группе плацебо)</w:t>
      </w:r>
      <w:r w:rsidR="00A34BAC">
        <w:t xml:space="preserve">, доля больных с </w:t>
      </w:r>
      <w:r w:rsidR="00A34BAC">
        <w:rPr>
          <w:lang w:val="en-US"/>
        </w:rPr>
        <w:t>ACR</w:t>
      </w:r>
      <w:r w:rsidR="00A34BAC">
        <w:t>5</w:t>
      </w:r>
      <w:r w:rsidR="00A34BAC" w:rsidRPr="009D3C70">
        <w:t>0</w:t>
      </w:r>
      <w:r w:rsidR="00A34BAC">
        <w:t xml:space="preserve"> – </w:t>
      </w:r>
      <w:r w:rsidR="0091238E">
        <w:t>13</w:t>
      </w:r>
      <w:r w:rsidR="00A34BAC">
        <w:t>, 3</w:t>
      </w:r>
      <w:r w:rsidR="0091238E">
        <w:t>1</w:t>
      </w:r>
      <w:r w:rsidR="00A34BAC">
        <w:t xml:space="preserve"> и </w:t>
      </w:r>
      <w:r w:rsidR="0091238E">
        <w:t>37</w:t>
      </w:r>
      <w:r w:rsidR="00A34BAC">
        <w:t xml:space="preserve">% соответственно, а доля больных с </w:t>
      </w:r>
      <w:r w:rsidR="00A34BAC">
        <w:rPr>
          <w:lang w:val="en-US"/>
        </w:rPr>
        <w:t>ACR</w:t>
      </w:r>
      <w:r w:rsidR="00A34BAC" w:rsidRPr="00FB48D4">
        <w:t xml:space="preserve">70 </w:t>
      </w:r>
      <w:r w:rsidR="00A34BAC">
        <w:t>–</w:t>
      </w:r>
      <w:r w:rsidR="00A34BAC" w:rsidRPr="00FB48D4">
        <w:t xml:space="preserve"> </w:t>
      </w:r>
      <w:r w:rsidR="0091238E">
        <w:t>6</w:t>
      </w:r>
      <w:r w:rsidR="00A34BAC">
        <w:t>,</w:t>
      </w:r>
      <w:r w:rsidR="00A34BAC" w:rsidRPr="001732D0">
        <w:t xml:space="preserve"> 15 </w:t>
      </w:r>
      <w:r w:rsidR="00A34BAC">
        <w:t>и</w:t>
      </w:r>
      <w:r w:rsidR="00A34BAC" w:rsidRPr="001732D0">
        <w:t xml:space="preserve"> 2</w:t>
      </w:r>
      <w:r w:rsidR="0091238E">
        <w:t>0</w:t>
      </w:r>
      <w:r w:rsidR="00A34BAC">
        <w:t>% соответственно (</w:t>
      </w:r>
      <w:r w:rsidR="00D025DE">
        <w:rPr>
          <w:lang w:val="en-US"/>
        </w:rPr>
        <w:t>p</w:t>
      </w:r>
      <w:r w:rsidR="00D025DE" w:rsidRPr="00395627">
        <w:t xml:space="preserve"> = 0</w:t>
      </w:r>
      <w:r w:rsidR="00D025DE">
        <w:t xml:space="preserve">,0026 для сравнения показателя в группах </w:t>
      </w:r>
      <w:r w:rsidR="005E01F3" w:rsidRPr="005E01F3">
        <w:t xml:space="preserve">тофацитиниба </w:t>
      </w:r>
      <w:r w:rsidR="00D025DE">
        <w:t xml:space="preserve">в дозе 5 мг 2 раза в день и плацебо, </w:t>
      </w:r>
      <w:r w:rsidR="00D025DE">
        <w:rPr>
          <w:lang w:val="en-US"/>
        </w:rPr>
        <w:t>p</w:t>
      </w:r>
      <w:r w:rsidR="00D025DE" w:rsidRPr="00395627">
        <w:t xml:space="preserve"> &lt; </w:t>
      </w:r>
      <w:r w:rsidR="00D025DE">
        <w:lastRenderedPageBreak/>
        <w:t xml:space="preserve">0,0001 для сравнения показателя в группах </w:t>
      </w:r>
      <w:r w:rsidR="005E01F3" w:rsidRPr="005E01F3">
        <w:t xml:space="preserve">тофацитиниба </w:t>
      </w:r>
      <w:r w:rsidR="00D025DE">
        <w:t>в дозе 10 мг 2 раза в день и плацебо</w:t>
      </w:r>
      <w:r w:rsidR="00A34BAC">
        <w:t xml:space="preserve">). Через 6 мес. от начала терапии доля пациентов с </w:t>
      </w:r>
      <w:r w:rsidR="00A34BAC" w:rsidRPr="0013519B">
        <w:t>DAS28-4(</w:t>
      </w:r>
      <w:r w:rsidR="00A34BAC">
        <w:t>СОЭ</w:t>
      </w:r>
      <w:r w:rsidR="00A34BAC" w:rsidRPr="0013519B">
        <w:t>) &lt;</w:t>
      </w:r>
      <w:r w:rsidR="00A34BAC">
        <w:t xml:space="preserve"> </w:t>
      </w:r>
      <w:r w:rsidR="00A34BAC" w:rsidRPr="0013519B">
        <w:t>2</w:t>
      </w:r>
      <w:r w:rsidR="00A34BAC">
        <w:t>,</w:t>
      </w:r>
      <w:r w:rsidR="00A34BAC" w:rsidRPr="0013519B">
        <w:t>6</w:t>
      </w:r>
      <w:r w:rsidR="00A34BAC">
        <w:t xml:space="preserve"> составила </w:t>
      </w:r>
      <w:r w:rsidR="008A6221">
        <w:t>4</w:t>
      </w:r>
      <w:r w:rsidR="00A34BAC">
        <w:t xml:space="preserve">, </w:t>
      </w:r>
      <w:r w:rsidR="008A6221">
        <w:t>6</w:t>
      </w:r>
      <w:r w:rsidR="00A34BAC">
        <w:t xml:space="preserve"> и </w:t>
      </w:r>
      <w:r w:rsidR="008A6221">
        <w:t>9</w:t>
      </w:r>
      <w:r w:rsidR="00A34BAC">
        <w:t xml:space="preserve">% в объединенной группе плацебо, группах </w:t>
      </w:r>
      <w:r w:rsidR="005E01F3" w:rsidRPr="005E01F3">
        <w:t xml:space="preserve">тофацитиниба </w:t>
      </w:r>
      <w:r w:rsidR="00A34BAC">
        <w:t xml:space="preserve">в дозе 5 мг 2 раза в день и </w:t>
      </w:r>
      <w:r w:rsidR="005E01F3" w:rsidRPr="005E01F3">
        <w:t xml:space="preserve">тофацитиниба </w:t>
      </w:r>
      <w:r w:rsidR="00A34BAC">
        <w:t>в дозе 10 мг 2 раза в день соответственно (</w:t>
      </w:r>
      <w:r w:rsidR="00A34BAC">
        <w:rPr>
          <w:lang w:val="en-US"/>
        </w:rPr>
        <w:t>p</w:t>
      </w:r>
      <w:r w:rsidR="00A34BAC" w:rsidRPr="00395627">
        <w:t xml:space="preserve"> = 0</w:t>
      </w:r>
      <w:r w:rsidR="00A34BAC">
        <w:t>,</w:t>
      </w:r>
      <w:r w:rsidR="001E63B3">
        <w:t>6179</w:t>
      </w:r>
      <w:r w:rsidR="00A34BAC">
        <w:t xml:space="preserve"> для сравнения показателя в группах </w:t>
      </w:r>
      <w:r w:rsidR="005E01F3" w:rsidRPr="005E01F3">
        <w:t>тофацитиниба</w:t>
      </w:r>
      <w:r w:rsidR="00A34BAC">
        <w:t xml:space="preserve"> в дозе 5 мг 2 раза в день и плацебо, </w:t>
      </w:r>
      <w:r w:rsidR="00A34BAC">
        <w:rPr>
          <w:lang w:val="en-US"/>
        </w:rPr>
        <w:t>p</w:t>
      </w:r>
      <w:r w:rsidR="00A34BAC" w:rsidRPr="00395627">
        <w:t xml:space="preserve"> &lt; </w:t>
      </w:r>
      <w:r w:rsidR="00A34BAC">
        <w:t>0,</w:t>
      </w:r>
      <w:r w:rsidR="001E63B3">
        <w:t>1042</w:t>
      </w:r>
      <w:r w:rsidR="00A34BAC">
        <w:t xml:space="preserve"> для сравнения показателя в группах </w:t>
      </w:r>
      <w:r w:rsidR="005E01F3" w:rsidRPr="005E01F3">
        <w:t xml:space="preserve">тофацитиниба </w:t>
      </w:r>
      <w:r w:rsidR="00A34BAC">
        <w:t xml:space="preserve">в дозе 10 мг 2 раза в день и плацебо). Среднее изменение </w:t>
      </w:r>
      <w:r w:rsidR="00A34BAC" w:rsidRPr="00F113CA">
        <w:rPr>
          <w:rFonts w:cs="Times New Roman"/>
          <w:lang w:val="en-US"/>
        </w:rPr>
        <w:t>HAQ</w:t>
      </w:r>
      <w:r w:rsidR="00A34BAC" w:rsidRPr="00DB3E19">
        <w:rPr>
          <w:rFonts w:cs="Times New Roman"/>
        </w:rPr>
        <w:t>-</w:t>
      </w:r>
      <w:r w:rsidR="00A34BAC" w:rsidRPr="00F113CA">
        <w:rPr>
          <w:rFonts w:cs="Times New Roman"/>
          <w:lang w:val="en-US"/>
        </w:rPr>
        <w:t>DI</w:t>
      </w:r>
      <w:r w:rsidR="00A34BAC" w:rsidRPr="00DB3E19">
        <w:rPr>
          <w:rFonts w:cs="Times New Roman"/>
        </w:rPr>
        <w:t xml:space="preserve"> </w:t>
      </w:r>
      <w:r w:rsidR="00A34BAC">
        <w:rPr>
          <w:rFonts w:cs="Times New Roman"/>
        </w:rPr>
        <w:t>от исходного значения через 3 мес. от начала терапии составило -0,1</w:t>
      </w:r>
      <w:r w:rsidR="00695ABC">
        <w:rPr>
          <w:rFonts w:cs="Times New Roman"/>
        </w:rPr>
        <w:t>9</w:t>
      </w:r>
      <w:r w:rsidR="00A34BAC">
        <w:rPr>
          <w:rFonts w:cs="Times New Roman"/>
        </w:rPr>
        <w:t>, -0,</w:t>
      </w:r>
      <w:r w:rsidR="00695ABC">
        <w:rPr>
          <w:rFonts w:cs="Times New Roman"/>
        </w:rPr>
        <w:t>50</w:t>
      </w:r>
      <w:r w:rsidR="00A34BAC">
        <w:rPr>
          <w:rFonts w:cs="Times New Roman"/>
        </w:rPr>
        <w:t xml:space="preserve"> и -0,57 (</w:t>
      </w:r>
      <w:r w:rsidR="00A34BAC">
        <w:rPr>
          <w:lang w:val="en-US"/>
        </w:rPr>
        <w:t>p</w:t>
      </w:r>
      <w:r w:rsidR="00A34BAC" w:rsidRPr="00395627">
        <w:t xml:space="preserve"> &lt; </w:t>
      </w:r>
      <w:r w:rsidR="00A34BAC">
        <w:t xml:space="preserve">0,0001 для сравнения показателя в обеих группах </w:t>
      </w:r>
      <w:r w:rsidR="005E01F3" w:rsidRPr="005E01F3">
        <w:t xml:space="preserve">тофацитиниба </w:t>
      </w:r>
      <w:r w:rsidR="00A34BAC">
        <w:t>и плацебо)</w:t>
      </w:r>
      <w:r w:rsidR="00FD4FAA">
        <w:t xml:space="preserve"> </w:t>
      </w:r>
      <w:r w:rsidR="00FD4FAA">
        <w:rPr>
          <w:lang w:val="en-GB"/>
        </w:rPr>
        <w:fldChar w:fldCharType="begin"/>
      </w:r>
      <w:r w:rsidR="008D5290">
        <w:instrText xml:space="preserve"> ADDIN ZOTERO_ITEM CSL_CITATION {"citationID":"M4fj3PqU","properties":{"formattedCitation":"[29]","plainCitation":"[29]","noteIndex":0},"citationItems":[{"id":87805,"uris":["http://zotero.org/groups/4742804/items/QUW6NSTM"],"itemData":{"id":87805,"type":"webpage","title":"Xeljanz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Review","URL":"https://www.accessdata.fda.gov/drugsatfda_docs/nda/2012/203214Orig1s000TOC.cfm","accessed":{"date-parts":[["2022",8,3]]}}}],"schema":"https://github.com/citation-style-language/schema/raw/master/csl-citation.json"} </w:instrText>
      </w:r>
      <w:r w:rsidR="00FD4FAA">
        <w:rPr>
          <w:lang w:val="en-GB"/>
        </w:rPr>
        <w:fldChar w:fldCharType="separate"/>
      </w:r>
      <w:r w:rsidR="00AD0B20">
        <w:rPr>
          <w:rFonts w:cs="Times New Roman"/>
        </w:rPr>
        <w:t>[7</w:t>
      </w:r>
      <w:r w:rsidR="008D5290" w:rsidRPr="008D5290">
        <w:rPr>
          <w:rFonts w:cs="Times New Roman"/>
        </w:rPr>
        <w:t>]</w:t>
      </w:r>
      <w:r w:rsidR="00FD4FAA">
        <w:rPr>
          <w:lang w:val="en-GB"/>
        </w:rPr>
        <w:fldChar w:fldCharType="end"/>
      </w:r>
      <w:r w:rsidR="00FD4FAA">
        <w:t>.</w:t>
      </w:r>
    </w:p>
    <w:p w14:paraId="4A2F48A0" w14:textId="2D72AE61" w:rsidR="00771E10" w:rsidRDefault="00D92F89" w:rsidP="00382C19">
      <w:pPr>
        <w:pStyle w:val="SDText"/>
        <w:contextualSpacing/>
      </w:pPr>
      <w:r>
        <w:t xml:space="preserve">В рандомизированном двойном слепом плацебо-контролируемом исследовании </w:t>
      </w:r>
      <w:r w:rsidRPr="00D92F89">
        <w:t>A392146</w:t>
      </w:r>
      <w:r w:rsidR="006A3AC5">
        <w:t xml:space="preserve"> фазы </w:t>
      </w:r>
      <w:r w:rsidR="006A3AC5">
        <w:rPr>
          <w:lang w:val="en-US"/>
        </w:rPr>
        <w:t>III</w:t>
      </w:r>
      <w:r w:rsidR="006A3AC5" w:rsidRPr="00314023">
        <w:t xml:space="preserve"> </w:t>
      </w:r>
      <w:r w:rsidR="006A3AC5">
        <w:t xml:space="preserve">длительностью 1 год </w:t>
      </w:r>
      <w:r w:rsidR="000B7D04">
        <w:t xml:space="preserve">пациентов с РА </w:t>
      </w:r>
      <w:r w:rsidR="00822968">
        <w:t xml:space="preserve">с недостаточным ответом на терапию БМАРП </w:t>
      </w:r>
      <w:r w:rsidR="000B7D04">
        <w:t xml:space="preserve">рандомизировали на 4 группы в соотношении 4:4:1:1. Пациенты из первой, второй, третьей и четвертой групп получали перорально </w:t>
      </w:r>
      <w:r w:rsidR="005E01F3" w:rsidRPr="005E01F3">
        <w:t xml:space="preserve">тофацитиниба </w:t>
      </w:r>
      <w:r w:rsidR="000B7D04">
        <w:t xml:space="preserve">в дозе 5 мг 2 раза в день, </w:t>
      </w:r>
      <w:r w:rsidR="005E01F3" w:rsidRPr="005E01F3">
        <w:t xml:space="preserve">тофацитиниба </w:t>
      </w:r>
      <w:r w:rsidR="000B7D04">
        <w:t xml:space="preserve">в дозе 10 мг 2 раза в день, плацебо </w:t>
      </w:r>
      <w:r w:rsidR="005E01F3" w:rsidRPr="005E01F3">
        <w:t xml:space="preserve">тофацитиниба </w:t>
      </w:r>
      <w:r w:rsidR="000B7D04">
        <w:t xml:space="preserve">в дозе 5 мг 2 раза в день и плацебо </w:t>
      </w:r>
      <w:r w:rsidR="005E01F3" w:rsidRPr="005E01F3">
        <w:t xml:space="preserve">тофацитиниба </w:t>
      </w:r>
      <w:r w:rsidR="000B7D04">
        <w:t xml:space="preserve">в дозе 10 мг 2 раза в день соответственно. Через </w:t>
      </w:r>
      <w:r w:rsidR="00DD6FA0">
        <w:t>6</w:t>
      </w:r>
      <w:r w:rsidR="000B7D04">
        <w:t xml:space="preserve"> мес. терапии в случае </w:t>
      </w:r>
      <w:r w:rsidR="00DD6FA0">
        <w:t xml:space="preserve">недостаточного ответа на терапию </w:t>
      </w:r>
      <w:r w:rsidR="000B7D04">
        <w:t xml:space="preserve">пациенты из третьей группы начинали получать перорально </w:t>
      </w:r>
      <w:r w:rsidR="005E01F3" w:rsidRPr="005E01F3">
        <w:t xml:space="preserve">тофацитиниб </w:t>
      </w:r>
      <w:r w:rsidR="000B7D04">
        <w:t xml:space="preserve">в дозе 5 мг 2 раза в день, а больные из четвертой группы – </w:t>
      </w:r>
      <w:r w:rsidR="005E01F3" w:rsidRPr="005E01F3">
        <w:t>тофацитиниб</w:t>
      </w:r>
      <w:r w:rsidR="005E01F3">
        <w:t xml:space="preserve"> </w:t>
      </w:r>
      <w:r w:rsidR="000B7D04">
        <w:t xml:space="preserve">в дозе 10 мг 2 раза в день. Кроме того, все пациенты также получали БМАРП. Первичными конечными точками эффективности являлись признаки и симптомы, определяемые по </w:t>
      </w:r>
      <w:r w:rsidR="000B7D04">
        <w:rPr>
          <w:lang w:val="en-US"/>
        </w:rPr>
        <w:t>ACR</w:t>
      </w:r>
      <w:r w:rsidR="000B7D04" w:rsidRPr="00DA4DC7">
        <w:t xml:space="preserve">20 </w:t>
      </w:r>
      <w:r w:rsidR="000B7D04">
        <w:t xml:space="preserve">через 6 мес. от начала терапии, функциональный статус, определяемый по изменению </w:t>
      </w:r>
      <w:r w:rsidR="000B7D04" w:rsidRPr="00443859">
        <w:t>HAQ-DI</w:t>
      </w:r>
      <w:r w:rsidR="000B7D04">
        <w:t xml:space="preserve"> от исходного значения через 3 мес. после начала терапии и частота достижения </w:t>
      </w:r>
      <w:r w:rsidR="000B7D04" w:rsidRPr="0013519B">
        <w:t>DAS28-4(</w:t>
      </w:r>
      <w:r w:rsidR="000B7D04">
        <w:t>СОЭ</w:t>
      </w:r>
      <w:r w:rsidR="000B7D04" w:rsidRPr="0013519B">
        <w:t>) &lt;</w:t>
      </w:r>
      <w:r w:rsidR="000B7D04">
        <w:t xml:space="preserve"> </w:t>
      </w:r>
      <w:r w:rsidR="000B7D04" w:rsidRPr="0013519B">
        <w:t>2</w:t>
      </w:r>
      <w:r w:rsidR="000B7D04">
        <w:t>,</w:t>
      </w:r>
      <w:r w:rsidR="000B7D04" w:rsidRPr="0013519B">
        <w:t>6</w:t>
      </w:r>
      <w:r w:rsidR="000B7D04">
        <w:t xml:space="preserve"> через 6 мес. от начала лечения. Оценку эффективности в соответствии с критериями</w:t>
      </w:r>
      <w:r w:rsidR="00A1229B">
        <w:t xml:space="preserve"> </w:t>
      </w:r>
      <w:r w:rsidR="000B7D04">
        <w:rPr>
          <w:lang w:val="en-US"/>
        </w:rPr>
        <w:t>ACR</w:t>
      </w:r>
      <w:r w:rsidR="000B7D04" w:rsidRPr="00F763A0">
        <w:t xml:space="preserve"> </w:t>
      </w:r>
      <w:r w:rsidR="000B7D04">
        <w:t>провели для 15</w:t>
      </w:r>
      <w:r w:rsidR="003D48F5">
        <w:t>7</w:t>
      </w:r>
      <w:r w:rsidR="000B7D04">
        <w:t xml:space="preserve"> пациентов из групп плацебо, 3</w:t>
      </w:r>
      <w:r w:rsidR="003D48F5">
        <w:t>11</w:t>
      </w:r>
      <w:r w:rsidR="000B7D04">
        <w:t xml:space="preserve"> больных из группы </w:t>
      </w:r>
      <w:r w:rsidR="005E01F3" w:rsidRPr="005E01F3">
        <w:t xml:space="preserve">тофацитиниба </w:t>
      </w:r>
      <w:r w:rsidR="000B7D04">
        <w:t xml:space="preserve">в дозе 5 мг 2 раза в день и 309 пациентов из группы </w:t>
      </w:r>
      <w:r w:rsidR="005E01F3" w:rsidRPr="005E01F3">
        <w:t xml:space="preserve">тофацитиниба </w:t>
      </w:r>
      <w:r w:rsidR="000B7D04">
        <w:t xml:space="preserve">в дозе 10 мг 2 раза в день. Доля пациентов с </w:t>
      </w:r>
      <w:r w:rsidR="000B7D04">
        <w:rPr>
          <w:lang w:val="en-US"/>
        </w:rPr>
        <w:t>ACR</w:t>
      </w:r>
      <w:r w:rsidR="000B7D04" w:rsidRPr="009D3C70">
        <w:t>20</w:t>
      </w:r>
      <w:r w:rsidR="000B7D04">
        <w:t xml:space="preserve"> составила </w:t>
      </w:r>
      <w:r w:rsidR="0043220A">
        <w:t>31</w:t>
      </w:r>
      <w:r w:rsidR="000B7D04">
        <w:t>, 5</w:t>
      </w:r>
      <w:r w:rsidR="0043220A">
        <w:t>3</w:t>
      </w:r>
      <w:r w:rsidR="000B7D04">
        <w:t xml:space="preserve"> и </w:t>
      </w:r>
      <w:r w:rsidR="0043220A">
        <w:t>58</w:t>
      </w:r>
      <w:r w:rsidR="000B7D04">
        <w:t xml:space="preserve">% в объединенной группе плацебо, группах </w:t>
      </w:r>
      <w:r w:rsidR="005E01F3" w:rsidRPr="005E01F3">
        <w:t xml:space="preserve">тофацитиниба </w:t>
      </w:r>
      <w:r w:rsidR="000B7D04">
        <w:t xml:space="preserve">в дозе 5 мг 2 раза в день и </w:t>
      </w:r>
      <w:r w:rsidR="005E01F3" w:rsidRPr="005E01F3">
        <w:t>тофацитиниб</w:t>
      </w:r>
      <w:r w:rsidR="005E01F3">
        <w:t>а</w:t>
      </w:r>
      <w:r w:rsidR="005E01F3" w:rsidRPr="005E01F3">
        <w:t xml:space="preserve"> </w:t>
      </w:r>
      <w:r w:rsidR="000B7D04">
        <w:t xml:space="preserve">в дозе 10 мг 2 раза в день соответственно, доля больных с </w:t>
      </w:r>
      <w:r w:rsidR="000B7D04">
        <w:rPr>
          <w:lang w:val="en-US"/>
        </w:rPr>
        <w:t>ACR</w:t>
      </w:r>
      <w:r w:rsidR="000B7D04">
        <w:t>5</w:t>
      </w:r>
      <w:r w:rsidR="000B7D04" w:rsidRPr="009D3C70">
        <w:t>0</w:t>
      </w:r>
      <w:r w:rsidR="000B7D04">
        <w:t xml:space="preserve"> – </w:t>
      </w:r>
      <w:r w:rsidR="00702E61">
        <w:t>13</w:t>
      </w:r>
      <w:r w:rsidR="000B7D04">
        <w:t>, 3</w:t>
      </w:r>
      <w:r w:rsidR="00702E61">
        <w:t>4</w:t>
      </w:r>
      <w:r w:rsidR="000B7D04">
        <w:t xml:space="preserve"> и </w:t>
      </w:r>
      <w:r w:rsidR="00702E61">
        <w:t>37</w:t>
      </w:r>
      <w:r w:rsidR="000B7D04">
        <w:t xml:space="preserve">% соответственно, а доля больных с </w:t>
      </w:r>
      <w:r w:rsidR="000B7D04">
        <w:rPr>
          <w:lang w:val="en-US"/>
        </w:rPr>
        <w:t>ACR</w:t>
      </w:r>
      <w:r w:rsidR="000B7D04" w:rsidRPr="00FB48D4">
        <w:t xml:space="preserve">70 </w:t>
      </w:r>
      <w:r w:rsidR="000B7D04">
        <w:t>–</w:t>
      </w:r>
      <w:r w:rsidR="000B7D04" w:rsidRPr="00FB48D4">
        <w:t xml:space="preserve"> </w:t>
      </w:r>
      <w:r w:rsidR="00702E61">
        <w:t>3</w:t>
      </w:r>
      <w:r w:rsidR="000B7D04">
        <w:t>,</w:t>
      </w:r>
      <w:r w:rsidR="000B7D04" w:rsidRPr="001732D0">
        <w:t xml:space="preserve"> 1</w:t>
      </w:r>
      <w:r w:rsidR="00702E61">
        <w:t>3</w:t>
      </w:r>
      <w:r w:rsidR="000B7D04" w:rsidRPr="001732D0">
        <w:t xml:space="preserve"> </w:t>
      </w:r>
      <w:r w:rsidR="000B7D04">
        <w:t>и</w:t>
      </w:r>
      <w:r w:rsidR="000B7D04" w:rsidRPr="001732D0">
        <w:t xml:space="preserve"> </w:t>
      </w:r>
      <w:r w:rsidR="00702E61">
        <w:t>16</w:t>
      </w:r>
      <w:r w:rsidR="000B7D04">
        <w:t>% соответственно (</w:t>
      </w:r>
      <w:r w:rsidR="000B7D04">
        <w:rPr>
          <w:lang w:val="en-US"/>
        </w:rPr>
        <w:t>p</w:t>
      </w:r>
      <w:r w:rsidR="000B7D04" w:rsidRPr="0074361B">
        <w:t xml:space="preserve"> &lt; </w:t>
      </w:r>
      <w:r w:rsidR="000B7D04">
        <w:t xml:space="preserve">0,0001 для каждого сравнения показателей в группах активной терапии с результатами в группе плацебо). Через 6 мес. от начала терапии доля пациентов с </w:t>
      </w:r>
      <w:r w:rsidR="000B7D04" w:rsidRPr="0013519B">
        <w:t>DAS28-4(</w:t>
      </w:r>
      <w:r w:rsidR="000B7D04">
        <w:t>СОЭ</w:t>
      </w:r>
      <w:r w:rsidR="000B7D04" w:rsidRPr="0013519B">
        <w:t>) &lt;</w:t>
      </w:r>
      <w:r w:rsidR="000B7D04">
        <w:t xml:space="preserve"> </w:t>
      </w:r>
      <w:r w:rsidR="000B7D04" w:rsidRPr="0013519B">
        <w:t>2</w:t>
      </w:r>
      <w:r w:rsidR="000B7D04">
        <w:t>,</w:t>
      </w:r>
      <w:r w:rsidR="000B7D04" w:rsidRPr="0013519B">
        <w:t>6</w:t>
      </w:r>
      <w:r w:rsidR="000B7D04">
        <w:t xml:space="preserve"> составила </w:t>
      </w:r>
      <w:r w:rsidR="00D273BD">
        <w:t>3</w:t>
      </w:r>
      <w:r w:rsidR="000B7D04">
        <w:t xml:space="preserve">, </w:t>
      </w:r>
      <w:r w:rsidR="00D273BD">
        <w:t>9</w:t>
      </w:r>
      <w:r w:rsidR="000B7D04">
        <w:t xml:space="preserve"> и 1</w:t>
      </w:r>
      <w:r w:rsidR="00D273BD">
        <w:t>3</w:t>
      </w:r>
      <w:r w:rsidR="000B7D04">
        <w:t xml:space="preserve">% в объединенной группе плацебо, группах </w:t>
      </w:r>
      <w:r w:rsidR="005E01F3" w:rsidRPr="005E01F3">
        <w:t xml:space="preserve">тофацитиниба </w:t>
      </w:r>
      <w:r w:rsidR="000B7D04">
        <w:t xml:space="preserve">в дозе 5 мг 2 раза в день и </w:t>
      </w:r>
      <w:r w:rsidR="005E01F3" w:rsidRPr="005E01F3">
        <w:t xml:space="preserve">тофацитиниб </w:t>
      </w:r>
      <w:r w:rsidR="000B7D04">
        <w:t>в дозе 10 мг 2 раза в день соответственно (</w:t>
      </w:r>
      <w:r w:rsidR="000B7D04">
        <w:rPr>
          <w:lang w:val="en-US"/>
        </w:rPr>
        <w:t>p</w:t>
      </w:r>
      <w:r w:rsidR="000B7D04" w:rsidRPr="00395627">
        <w:t xml:space="preserve"> = 0</w:t>
      </w:r>
      <w:r w:rsidR="000B7D04">
        <w:t>,003</w:t>
      </w:r>
      <w:r w:rsidR="00475CEC">
        <w:t>8</w:t>
      </w:r>
      <w:r w:rsidR="000B7D04">
        <w:t xml:space="preserve"> для сравнения показателя в группах </w:t>
      </w:r>
      <w:r w:rsidR="005E01F3" w:rsidRPr="005E01F3">
        <w:t xml:space="preserve">тофацитиниба </w:t>
      </w:r>
      <w:r w:rsidR="000B7D04">
        <w:t xml:space="preserve">в дозе 5 мг 2 раза в день и плацебо, </w:t>
      </w:r>
      <w:r w:rsidR="000B7D04">
        <w:rPr>
          <w:lang w:val="en-US"/>
        </w:rPr>
        <w:t>p</w:t>
      </w:r>
      <w:r w:rsidR="000B7D04" w:rsidRPr="00395627">
        <w:t xml:space="preserve"> &lt; </w:t>
      </w:r>
      <w:r w:rsidR="000B7D04">
        <w:t xml:space="preserve">0,0001 для сравнения показателя в группах </w:t>
      </w:r>
      <w:r w:rsidR="005E01F3" w:rsidRPr="005E01F3">
        <w:t xml:space="preserve">тофацитиниба </w:t>
      </w:r>
      <w:r w:rsidR="000B7D04">
        <w:t xml:space="preserve">в дозе 10 мг 2 раза в день и плацебо). Среднее изменение </w:t>
      </w:r>
      <w:r w:rsidR="000B7D04" w:rsidRPr="00F113CA">
        <w:rPr>
          <w:rFonts w:cs="Times New Roman"/>
          <w:lang w:val="en-US"/>
        </w:rPr>
        <w:t>HAQ</w:t>
      </w:r>
      <w:r w:rsidR="000B7D04" w:rsidRPr="00DB3E19">
        <w:rPr>
          <w:rFonts w:cs="Times New Roman"/>
        </w:rPr>
        <w:t>-</w:t>
      </w:r>
      <w:r w:rsidR="000B7D04" w:rsidRPr="00F113CA">
        <w:rPr>
          <w:rFonts w:cs="Times New Roman"/>
          <w:lang w:val="en-US"/>
        </w:rPr>
        <w:t>DI</w:t>
      </w:r>
      <w:r w:rsidR="000B7D04" w:rsidRPr="00DB3E19">
        <w:rPr>
          <w:rFonts w:cs="Times New Roman"/>
        </w:rPr>
        <w:t xml:space="preserve"> </w:t>
      </w:r>
      <w:r w:rsidR="000B7D04">
        <w:rPr>
          <w:rFonts w:cs="Times New Roman"/>
        </w:rPr>
        <w:t>от исходного значения через 3 мес. от начала терапии составило -0,</w:t>
      </w:r>
      <w:r w:rsidR="00475CEC">
        <w:rPr>
          <w:rFonts w:cs="Times New Roman"/>
        </w:rPr>
        <w:t>21</w:t>
      </w:r>
      <w:r w:rsidR="000B7D04">
        <w:rPr>
          <w:rFonts w:cs="Times New Roman"/>
        </w:rPr>
        <w:t>, -0,4</w:t>
      </w:r>
      <w:r w:rsidR="00475CEC">
        <w:rPr>
          <w:rFonts w:cs="Times New Roman"/>
        </w:rPr>
        <w:t>7</w:t>
      </w:r>
      <w:r w:rsidR="000B7D04">
        <w:rPr>
          <w:rFonts w:cs="Times New Roman"/>
        </w:rPr>
        <w:t xml:space="preserve"> и -0,57 (</w:t>
      </w:r>
      <w:r w:rsidR="000B7D04">
        <w:rPr>
          <w:lang w:val="en-US"/>
        </w:rPr>
        <w:t>p</w:t>
      </w:r>
      <w:r w:rsidR="000B7D04" w:rsidRPr="00395627">
        <w:t xml:space="preserve"> &lt; </w:t>
      </w:r>
      <w:r w:rsidR="000B7D04">
        <w:t xml:space="preserve">0,0001 для сравнения показателя в обеих группах </w:t>
      </w:r>
      <w:r w:rsidR="005E01F3" w:rsidRPr="005E01F3">
        <w:t xml:space="preserve">тофацитиниба </w:t>
      </w:r>
      <w:r w:rsidR="000B7D04">
        <w:t>и плацебо)</w:t>
      </w:r>
      <w:r w:rsidR="00493B6A">
        <w:t xml:space="preserve"> </w:t>
      </w:r>
      <w:r w:rsidR="00493B6A">
        <w:rPr>
          <w:lang w:val="en-GB"/>
        </w:rPr>
        <w:fldChar w:fldCharType="begin"/>
      </w:r>
      <w:r w:rsidR="008D5290">
        <w:instrText xml:space="preserve"> ADDIN ZOTERO_ITEM CSL_CITATION {"citationID":"0GSfYDc0","properties":{"formattedCitation":"[29]","plainCitation":"[29]","noteIndex":0},"citationItems":[{"id":87805,"uris":["http://zotero.org/groups/4742804/items/QUW6NSTM"],"itemData":{"id":87805,"type":"webpage","title":"Xeljanz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Review","URL":"https://www.accessdata.fda.gov/drugsatfda_docs/nda/2012/203214Orig1s000TOC.cfm","accessed":{"date-parts":[["2022",8,3]]}}}],"schema":"https://github.com/citation-style-language/schema/raw/master/csl-citation.json"} </w:instrText>
      </w:r>
      <w:r w:rsidR="00493B6A">
        <w:rPr>
          <w:lang w:val="en-GB"/>
        </w:rPr>
        <w:fldChar w:fldCharType="separate"/>
      </w:r>
      <w:r w:rsidR="00AD0B20">
        <w:rPr>
          <w:rFonts w:cs="Times New Roman"/>
        </w:rPr>
        <w:t>[7</w:t>
      </w:r>
      <w:r w:rsidR="008D5290" w:rsidRPr="008D5290">
        <w:rPr>
          <w:rFonts w:cs="Times New Roman"/>
        </w:rPr>
        <w:t>]</w:t>
      </w:r>
      <w:r w:rsidR="00493B6A">
        <w:rPr>
          <w:lang w:val="en-GB"/>
        </w:rPr>
        <w:fldChar w:fldCharType="end"/>
      </w:r>
      <w:r w:rsidR="00493B6A">
        <w:t>.</w:t>
      </w:r>
    </w:p>
    <w:p w14:paraId="205374E5" w14:textId="66DF557A" w:rsidR="00DB561C" w:rsidRPr="00D75429" w:rsidRDefault="00DB561C" w:rsidP="00382C19">
      <w:pPr>
        <w:pStyle w:val="SDText"/>
        <w:contextualSpacing/>
      </w:pPr>
      <w:r>
        <w:t>В рандомизированном двойном слепом плацебо-контролируемом исследовании</w:t>
      </w:r>
      <w:r w:rsidRPr="00DB561C">
        <w:t xml:space="preserve"> A3921064</w:t>
      </w:r>
      <w:r>
        <w:t xml:space="preserve"> фазы </w:t>
      </w:r>
      <w:r>
        <w:rPr>
          <w:lang w:val="en-US"/>
        </w:rPr>
        <w:t>III</w:t>
      </w:r>
      <w:r w:rsidR="00D75429">
        <w:t xml:space="preserve"> длительностью 1 год </w:t>
      </w:r>
      <w:r w:rsidR="00D17832">
        <w:t xml:space="preserve">пациентов с РА </w:t>
      </w:r>
      <w:r w:rsidR="00822968">
        <w:t xml:space="preserve">с недостаточным ответом на терапию метотрексатом </w:t>
      </w:r>
      <w:r w:rsidR="00D17832">
        <w:t>рандомизировали на 5 групп в соотношении 4:4:1:1:4. Пациенты из первой</w:t>
      </w:r>
      <w:r w:rsidR="00697DE8">
        <w:t xml:space="preserve"> группы</w:t>
      </w:r>
      <w:r w:rsidR="00D17832">
        <w:t xml:space="preserve"> получали перорально </w:t>
      </w:r>
      <w:r w:rsidR="005E01F3" w:rsidRPr="005E01F3">
        <w:t xml:space="preserve">тофацитиниб </w:t>
      </w:r>
      <w:r w:rsidR="00D17832">
        <w:t>в дозе 5 мг 2 раза в день</w:t>
      </w:r>
      <w:r w:rsidR="00A35268">
        <w:t xml:space="preserve"> и плацебо адалимумаба подкожно</w:t>
      </w:r>
      <w:r w:rsidR="00D17832">
        <w:t xml:space="preserve">, </w:t>
      </w:r>
      <w:r w:rsidR="00697DE8">
        <w:t xml:space="preserve">больные из второй группы – </w:t>
      </w:r>
      <w:r w:rsidR="005E01F3" w:rsidRPr="005E01F3">
        <w:t>тофацитиниб</w:t>
      </w:r>
      <w:r w:rsidR="005E01F3">
        <w:t xml:space="preserve"> </w:t>
      </w:r>
      <w:r w:rsidR="00D17832">
        <w:t>в дозе 10 мг 2 раза в день</w:t>
      </w:r>
      <w:r w:rsidR="00A35268" w:rsidRPr="00A35268">
        <w:t xml:space="preserve"> </w:t>
      </w:r>
      <w:r w:rsidR="00A35268">
        <w:t>и плацебо адалимумаба подкожно</w:t>
      </w:r>
      <w:r w:rsidR="00D17832">
        <w:t xml:space="preserve">, </w:t>
      </w:r>
      <w:r w:rsidR="00BD4190">
        <w:t xml:space="preserve">пациенты из третьей группы – </w:t>
      </w:r>
      <w:r w:rsidR="00D17832">
        <w:t xml:space="preserve">плацебо </w:t>
      </w:r>
      <w:r w:rsidR="005E01F3" w:rsidRPr="005E01F3">
        <w:t xml:space="preserve">тофацитиниба </w:t>
      </w:r>
      <w:r w:rsidR="00D17832">
        <w:t xml:space="preserve">в дозе 5 мг 2 раза в день </w:t>
      </w:r>
      <w:r w:rsidR="00BD4190">
        <w:t>и</w:t>
      </w:r>
      <w:r w:rsidR="00BD4190" w:rsidRPr="00BD4190">
        <w:t xml:space="preserve"> </w:t>
      </w:r>
      <w:r w:rsidR="00BD4190">
        <w:t xml:space="preserve">плацебо адалимумаба подкожно, больные из четвертой группы – </w:t>
      </w:r>
      <w:r w:rsidR="00D17832">
        <w:t xml:space="preserve">плацебо </w:t>
      </w:r>
      <w:r w:rsidR="005E01F3" w:rsidRPr="005E01F3">
        <w:t xml:space="preserve">тофацитиниба </w:t>
      </w:r>
      <w:r w:rsidR="00D17832">
        <w:t xml:space="preserve">в дозе 10 мг 2 раза в день </w:t>
      </w:r>
      <w:r w:rsidR="00BD4190">
        <w:t>и</w:t>
      </w:r>
      <w:r w:rsidR="00BD4190" w:rsidRPr="00BD4190">
        <w:t xml:space="preserve"> </w:t>
      </w:r>
      <w:r w:rsidR="00BD4190">
        <w:t xml:space="preserve">плацебо адалимумаба подкожно, а пациенты из пятой группы – </w:t>
      </w:r>
      <w:r w:rsidR="006A614A">
        <w:t>плацебо</w:t>
      </w:r>
      <w:r w:rsidR="006A614A" w:rsidRPr="006A614A">
        <w:t xml:space="preserve"> </w:t>
      </w:r>
      <w:r w:rsidR="005E01F3" w:rsidRPr="005E01F3">
        <w:t xml:space="preserve">тофацитиниба </w:t>
      </w:r>
      <w:r w:rsidR="002F7686">
        <w:t xml:space="preserve">и адалимумаб </w:t>
      </w:r>
      <w:r w:rsidR="00D42F2F">
        <w:t xml:space="preserve">в </w:t>
      </w:r>
      <w:r w:rsidR="009D6883">
        <w:t>дозе 40 мг 2 раза в неделю подкожно</w:t>
      </w:r>
      <w:r w:rsidR="00D17832">
        <w:t xml:space="preserve">. Через 6 мес. </w:t>
      </w:r>
      <w:r w:rsidR="009D6883">
        <w:t>лечения</w:t>
      </w:r>
      <w:r w:rsidR="00D17832">
        <w:t xml:space="preserve"> в случае недостаточного ответа на терапию пациенты из третьей группы начинали получать </w:t>
      </w:r>
      <w:r w:rsidR="00D17832">
        <w:lastRenderedPageBreak/>
        <w:t xml:space="preserve">перорально </w:t>
      </w:r>
      <w:r w:rsidR="005E01F3" w:rsidRPr="005E01F3">
        <w:t xml:space="preserve">тофацитиниб </w:t>
      </w:r>
      <w:r w:rsidR="00D17832">
        <w:t xml:space="preserve">в дозе 5 мг 2 раза в день, а больные из четвертой группы – </w:t>
      </w:r>
      <w:r w:rsidR="005E01F3" w:rsidRPr="005E01F3">
        <w:t xml:space="preserve">тофацитиниб </w:t>
      </w:r>
      <w:r w:rsidR="00D17832">
        <w:t>в дозе 10 мг 2 раза в день. Кроме того, все пациенты также получали БМАРП.</w:t>
      </w:r>
      <w:r w:rsidR="00E6614B" w:rsidRPr="00E6614B">
        <w:t xml:space="preserve"> </w:t>
      </w:r>
      <w:r w:rsidR="00E6614B">
        <w:t xml:space="preserve">Первичными конечными точками эффективности являлись признаки и симптомы, определяемые по </w:t>
      </w:r>
      <w:r w:rsidR="00E6614B">
        <w:rPr>
          <w:lang w:val="en-US"/>
        </w:rPr>
        <w:t>ACR</w:t>
      </w:r>
      <w:r w:rsidR="00E6614B" w:rsidRPr="00DA4DC7">
        <w:t xml:space="preserve">20 </w:t>
      </w:r>
      <w:r w:rsidR="00E6614B">
        <w:t xml:space="preserve">через 6 мес. от начала терапии, функциональный статус, определяемый по изменению </w:t>
      </w:r>
      <w:r w:rsidR="00E6614B" w:rsidRPr="00443859">
        <w:t>HAQ-DI</w:t>
      </w:r>
      <w:r w:rsidR="00E6614B">
        <w:t xml:space="preserve"> от исходного значения через 3 мес. после начала терапии и частота достижения </w:t>
      </w:r>
      <w:r w:rsidR="00E6614B" w:rsidRPr="0013519B">
        <w:t>DAS28-4(</w:t>
      </w:r>
      <w:r w:rsidR="00E6614B">
        <w:t>СОЭ</w:t>
      </w:r>
      <w:r w:rsidR="00E6614B" w:rsidRPr="0013519B">
        <w:t>) &lt;</w:t>
      </w:r>
      <w:r w:rsidR="00E6614B">
        <w:t xml:space="preserve"> </w:t>
      </w:r>
      <w:r w:rsidR="00E6614B" w:rsidRPr="0013519B">
        <w:t>2</w:t>
      </w:r>
      <w:r w:rsidR="00E6614B">
        <w:t>,</w:t>
      </w:r>
      <w:r w:rsidR="00E6614B" w:rsidRPr="0013519B">
        <w:t>6</w:t>
      </w:r>
      <w:r w:rsidR="00E6614B">
        <w:t xml:space="preserve"> через 6 мес. от начала лечения. Оценку эффективности в соответствии с критериями</w:t>
      </w:r>
      <w:r w:rsidR="00A1229B">
        <w:t xml:space="preserve"> </w:t>
      </w:r>
      <w:r w:rsidR="00E6614B">
        <w:rPr>
          <w:lang w:val="en-US"/>
        </w:rPr>
        <w:t>ACR</w:t>
      </w:r>
      <w:r w:rsidR="00E6614B" w:rsidRPr="00F763A0">
        <w:t xml:space="preserve"> </w:t>
      </w:r>
      <w:r w:rsidR="00E6614B">
        <w:t>провели для 1</w:t>
      </w:r>
      <w:r w:rsidR="004407EA">
        <w:t>06</w:t>
      </w:r>
      <w:r w:rsidR="00E6614B">
        <w:t xml:space="preserve"> пациентов из групп плацебо, </w:t>
      </w:r>
      <w:r w:rsidR="004407EA">
        <w:t>19</w:t>
      </w:r>
      <w:r w:rsidR="00592D02">
        <w:t>6</w:t>
      </w:r>
      <w:r w:rsidR="00E6614B">
        <w:t xml:space="preserve"> больных из группы </w:t>
      </w:r>
      <w:r w:rsidR="005E01F3" w:rsidRPr="005E01F3">
        <w:t xml:space="preserve">тофацитиниба </w:t>
      </w:r>
      <w:r w:rsidR="00E6614B">
        <w:t>в дозе 5 мг 2 раза в день</w:t>
      </w:r>
      <w:r w:rsidR="00592D02">
        <w:t>, 196</w:t>
      </w:r>
      <w:r w:rsidR="00E6614B">
        <w:t xml:space="preserve"> пациентов из группы </w:t>
      </w:r>
      <w:r w:rsidR="005E01F3" w:rsidRPr="005E01F3">
        <w:t xml:space="preserve">тофацитиниба </w:t>
      </w:r>
      <w:r w:rsidR="00E6614B">
        <w:t>в дозе 10 мг 2 раза в день</w:t>
      </w:r>
      <w:r w:rsidR="00592D02">
        <w:t xml:space="preserve"> и 199 </w:t>
      </w:r>
      <w:r w:rsidR="00D61DB9">
        <w:t>больных из группы адалимумаба</w:t>
      </w:r>
      <w:r w:rsidR="00E6614B">
        <w:t xml:space="preserve">. Доля пациентов с </w:t>
      </w:r>
      <w:r w:rsidR="00E6614B">
        <w:rPr>
          <w:lang w:val="en-US"/>
        </w:rPr>
        <w:t>ACR</w:t>
      </w:r>
      <w:r w:rsidR="00E6614B" w:rsidRPr="009D3C70">
        <w:t>20</w:t>
      </w:r>
      <w:r w:rsidR="00E6614B">
        <w:t xml:space="preserve"> составила </w:t>
      </w:r>
      <w:r w:rsidR="00D61DB9">
        <w:t>28</w:t>
      </w:r>
      <w:r w:rsidR="00E6614B">
        <w:t>, 5</w:t>
      </w:r>
      <w:r w:rsidR="00D61DB9">
        <w:t>2</w:t>
      </w:r>
      <w:r w:rsidR="008C189B">
        <w:t xml:space="preserve">, </w:t>
      </w:r>
      <w:r w:rsidR="00E6614B">
        <w:t>5</w:t>
      </w:r>
      <w:r w:rsidR="00D61DB9">
        <w:t>3</w:t>
      </w:r>
      <w:r w:rsidR="008C189B">
        <w:t xml:space="preserve"> и 47</w:t>
      </w:r>
      <w:r w:rsidR="00E6614B">
        <w:t xml:space="preserve">% в объединенной группе плацебо, группах </w:t>
      </w:r>
      <w:r w:rsidR="005E01F3" w:rsidRPr="005E01F3">
        <w:t xml:space="preserve">тофацитиниб </w:t>
      </w:r>
      <w:r w:rsidR="00E6614B">
        <w:t>в дозе 5 мг 2 раза в день</w:t>
      </w:r>
      <w:r w:rsidR="008C189B">
        <w:t xml:space="preserve">, </w:t>
      </w:r>
      <w:r w:rsidR="005E01F3" w:rsidRPr="005E01F3">
        <w:t xml:space="preserve">тофацитиниб </w:t>
      </w:r>
      <w:r w:rsidR="00E6614B">
        <w:t xml:space="preserve">в дозе 10 мг 2 раза в день </w:t>
      </w:r>
      <w:r w:rsidR="008C189B">
        <w:t xml:space="preserve">и адалимумаба </w:t>
      </w:r>
      <w:r w:rsidR="00E6614B">
        <w:t xml:space="preserve">соответственно, доля больных с </w:t>
      </w:r>
      <w:r w:rsidR="00E6614B">
        <w:rPr>
          <w:lang w:val="en-US"/>
        </w:rPr>
        <w:t>ACR</w:t>
      </w:r>
      <w:r w:rsidR="00E6614B">
        <w:t>5</w:t>
      </w:r>
      <w:r w:rsidR="00E6614B" w:rsidRPr="009D3C70">
        <w:t>0</w:t>
      </w:r>
      <w:r w:rsidR="00E6614B">
        <w:t xml:space="preserve"> – 1</w:t>
      </w:r>
      <w:r w:rsidR="00C46725">
        <w:t>2</w:t>
      </w:r>
      <w:r w:rsidR="00E6614B">
        <w:t>, 3</w:t>
      </w:r>
      <w:r w:rsidR="00C46725">
        <w:t xml:space="preserve">7, </w:t>
      </w:r>
      <w:r w:rsidR="00E6614B">
        <w:t>3</w:t>
      </w:r>
      <w:r w:rsidR="00C46725">
        <w:t>5 и 28</w:t>
      </w:r>
      <w:r w:rsidR="00E6614B">
        <w:t xml:space="preserve">% соответственно, а доля больных с </w:t>
      </w:r>
      <w:r w:rsidR="00E6614B">
        <w:rPr>
          <w:lang w:val="en-US"/>
        </w:rPr>
        <w:t>ACR</w:t>
      </w:r>
      <w:r w:rsidR="00E6614B" w:rsidRPr="00FB48D4">
        <w:t xml:space="preserve">70 </w:t>
      </w:r>
      <w:r w:rsidR="00E6614B">
        <w:t>–</w:t>
      </w:r>
      <w:r w:rsidR="00E6614B" w:rsidRPr="00FB48D4">
        <w:t xml:space="preserve"> </w:t>
      </w:r>
      <w:r w:rsidR="000C08F0">
        <w:t>2</w:t>
      </w:r>
      <w:r w:rsidR="00E6614B">
        <w:t>,</w:t>
      </w:r>
      <w:r w:rsidR="00E6614B" w:rsidRPr="001732D0">
        <w:t xml:space="preserve"> </w:t>
      </w:r>
      <w:r w:rsidR="000C08F0">
        <w:t>20, 22 и 9</w:t>
      </w:r>
      <w:r w:rsidR="00E6614B">
        <w:t>% соответственно (</w:t>
      </w:r>
      <w:r w:rsidR="00E6614B">
        <w:rPr>
          <w:lang w:val="en-US"/>
        </w:rPr>
        <w:t>p</w:t>
      </w:r>
      <w:r w:rsidR="00E6614B" w:rsidRPr="0074361B">
        <w:t xml:space="preserve"> &lt; </w:t>
      </w:r>
      <w:r w:rsidR="00E6614B">
        <w:t xml:space="preserve">0,0001 для каждого сравнения показателей в группах терапии </w:t>
      </w:r>
      <w:r w:rsidR="005E01F3" w:rsidRPr="005E01F3">
        <w:t>тофацитиниб</w:t>
      </w:r>
      <w:r w:rsidR="005E01F3">
        <w:t>ом</w:t>
      </w:r>
      <w:r w:rsidR="005E01F3" w:rsidRPr="005E01F3">
        <w:t xml:space="preserve"> </w:t>
      </w:r>
      <w:r w:rsidR="00E6614B">
        <w:t>с результатами в группе плацебо</w:t>
      </w:r>
      <w:r w:rsidR="000C08F0">
        <w:t xml:space="preserve">, </w:t>
      </w:r>
      <w:r w:rsidR="002A2A32">
        <w:rPr>
          <w:lang w:val="en-US"/>
        </w:rPr>
        <w:t>p</w:t>
      </w:r>
      <w:r w:rsidR="002A2A32" w:rsidRPr="002A2A32">
        <w:t xml:space="preserve"> = </w:t>
      </w:r>
      <w:r w:rsidR="002A2A32">
        <w:t xml:space="preserve">0,0008, </w:t>
      </w:r>
      <w:r w:rsidR="002A2A32">
        <w:rPr>
          <w:lang w:val="en-US"/>
        </w:rPr>
        <w:t>p</w:t>
      </w:r>
      <w:r w:rsidR="002A2A32" w:rsidRPr="002A2A32">
        <w:t xml:space="preserve"> = </w:t>
      </w:r>
      <w:r w:rsidR="002A2A32">
        <w:t xml:space="preserve">0,0006, </w:t>
      </w:r>
      <w:r w:rsidR="002A2A32">
        <w:rPr>
          <w:lang w:val="en-US"/>
        </w:rPr>
        <w:t>p</w:t>
      </w:r>
      <w:r w:rsidR="002A2A32" w:rsidRPr="002A2A32">
        <w:t xml:space="preserve"> = </w:t>
      </w:r>
      <w:r w:rsidR="002A2A32">
        <w:t>0,00</w:t>
      </w:r>
      <w:r w:rsidR="0095168C">
        <w:t xml:space="preserve">31 для сравнения </w:t>
      </w:r>
      <w:r w:rsidR="005E7964">
        <w:rPr>
          <w:lang w:val="en-US"/>
        </w:rPr>
        <w:t>ACR</w:t>
      </w:r>
      <w:r w:rsidR="005E7964" w:rsidRPr="009D3C70">
        <w:t>20</w:t>
      </w:r>
      <w:r w:rsidR="005E7964">
        <w:t xml:space="preserve">, </w:t>
      </w:r>
      <w:r w:rsidR="005E7964" w:rsidRPr="005E7964">
        <w:t>ACR</w:t>
      </w:r>
      <w:r w:rsidR="005E7964">
        <w:t>5</w:t>
      </w:r>
      <w:r w:rsidR="005E7964" w:rsidRPr="005E7964">
        <w:t>0</w:t>
      </w:r>
      <w:r w:rsidR="005E7964">
        <w:t xml:space="preserve"> и </w:t>
      </w:r>
      <w:r w:rsidR="005E7964">
        <w:rPr>
          <w:lang w:val="en-US"/>
        </w:rPr>
        <w:t>ACR</w:t>
      </w:r>
      <w:r w:rsidR="005E7964">
        <w:t>7</w:t>
      </w:r>
      <w:r w:rsidR="005E7964" w:rsidRPr="009D3C70">
        <w:t>0</w:t>
      </w:r>
      <w:r w:rsidR="005E7964">
        <w:t xml:space="preserve"> </w:t>
      </w:r>
      <w:r w:rsidR="007448DF">
        <w:t>в группах адалимумаба и плацебо соответственно</w:t>
      </w:r>
      <w:r w:rsidR="00E6614B">
        <w:t xml:space="preserve">). Через 6 мес. от начала терапии доля пациентов с </w:t>
      </w:r>
      <w:r w:rsidR="00E6614B" w:rsidRPr="0013519B">
        <w:t>DAS28-4(</w:t>
      </w:r>
      <w:r w:rsidR="00E6614B">
        <w:t>СОЭ</w:t>
      </w:r>
      <w:r w:rsidR="00E6614B" w:rsidRPr="0013519B">
        <w:t>) &lt;</w:t>
      </w:r>
      <w:r w:rsidR="00E6614B">
        <w:t xml:space="preserve"> </w:t>
      </w:r>
      <w:r w:rsidR="00E6614B" w:rsidRPr="0013519B">
        <w:t>2</w:t>
      </w:r>
      <w:r w:rsidR="00E6614B">
        <w:t>,</w:t>
      </w:r>
      <w:r w:rsidR="00E6614B" w:rsidRPr="0013519B">
        <w:t>6</w:t>
      </w:r>
      <w:r w:rsidR="00E6614B">
        <w:t xml:space="preserve"> составила </w:t>
      </w:r>
      <w:r w:rsidR="00FF7E35">
        <w:t>1</w:t>
      </w:r>
      <w:r w:rsidR="00E6614B">
        <w:t xml:space="preserve">, </w:t>
      </w:r>
      <w:r w:rsidR="00FF7E35">
        <w:t>6</w:t>
      </w:r>
      <w:r w:rsidR="00E6614B">
        <w:t xml:space="preserve"> и 13</w:t>
      </w:r>
      <w:r w:rsidR="00FF7E35">
        <w:t xml:space="preserve"> и 7</w:t>
      </w:r>
      <w:r w:rsidR="00E6614B">
        <w:t xml:space="preserve">% в объединенной группе плацебо, группах </w:t>
      </w:r>
      <w:r w:rsidR="005E01F3" w:rsidRPr="005E01F3">
        <w:t xml:space="preserve">тофацитиниба </w:t>
      </w:r>
      <w:r w:rsidR="00E6614B">
        <w:t>в дозе 5 мг 2 раза в день</w:t>
      </w:r>
      <w:r w:rsidR="00FF7E35">
        <w:t xml:space="preserve">, </w:t>
      </w:r>
      <w:r w:rsidR="005E01F3" w:rsidRPr="005E01F3">
        <w:t>тофацитиниб</w:t>
      </w:r>
      <w:r w:rsidR="005E01F3">
        <w:t>а</w:t>
      </w:r>
      <w:r w:rsidR="005E01F3" w:rsidRPr="005E01F3">
        <w:t xml:space="preserve"> </w:t>
      </w:r>
      <w:r w:rsidR="00E6614B">
        <w:t xml:space="preserve">в дозе 10 мг 2 раза в день </w:t>
      </w:r>
      <w:r w:rsidR="00FF7E35">
        <w:t xml:space="preserve">и адалимумаба </w:t>
      </w:r>
      <w:r w:rsidR="00E6614B">
        <w:t>соответственно (</w:t>
      </w:r>
      <w:r w:rsidR="00E6614B">
        <w:rPr>
          <w:lang w:val="en-US"/>
        </w:rPr>
        <w:t>p</w:t>
      </w:r>
      <w:r w:rsidR="00E6614B" w:rsidRPr="00395627">
        <w:t xml:space="preserve"> = 0</w:t>
      </w:r>
      <w:r w:rsidR="00E6614B">
        <w:t>,0</w:t>
      </w:r>
      <w:r w:rsidR="00700427">
        <w:t>151</w:t>
      </w:r>
      <w:r w:rsidR="00E6614B">
        <w:t xml:space="preserve"> для сравнения показателя в группах </w:t>
      </w:r>
      <w:r w:rsidR="005E01F3" w:rsidRPr="005E01F3">
        <w:t xml:space="preserve">тофацитиниба </w:t>
      </w:r>
      <w:r w:rsidR="00E6614B">
        <w:t xml:space="preserve">в дозе 5 мг 2 раза в день и плацебо, </w:t>
      </w:r>
      <w:r w:rsidR="00E6614B">
        <w:rPr>
          <w:lang w:val="en-US"/>
        </w:rPr>
        <w:t>p</w:t>
      </w:r>
      <w:r w:rsidR="00E6614B" w:rsidRPr="00395627">
        <w:t xml:space="preserve"> &lt; </w:t>
      </w:r>
      <w:r w:rsidR="00E6614B">
        <w:t xml:space="preserve">0,0001 для сравнения показателя в группах </w:t>
      </w:r>
      <w:r w:rsidR="005E01F3" w:rsidRPr="005E01F3">
        <w:t xml:space="preserve">тофацитиниба </w:t>
      </w:r>
      <w:r w:rsidR="00E6614B">
        <w:t>в дозе 10 мг 2 раза в день и плацебо</w:t>
      </w:r>
      <w:r w:rsidR="00700427">
        <w:t xml:space="preserve">, </w:t>
      </w:r>
      <w:r w:rsidR="00FF25D6">
        <w:rPr>
          <w:lang w:val="en-US"/>
        </w:rPr>
        <w:t>p</w:t>
      </w:r>
      <w:r w:rsidR="00FF25D6" w:rsidRPr="00FF25D6">
        <w:t xml:space="preserve"> = </w:t>
      </w:r>
      <w:r w:rsidR="00FF25D6">
        <w:t>0,0091 для сравнения показателя в группах адалимумаба и плацебо</w:t>
      </w:r>
      <w:r w:rsidR="00E6614B">
        <w:t xml:space="preserve">). Среднее изменение </w:t>
      </w:r>
      <w:r w:rsidR="00E6614B" w:rsidRPr="00F113CA">
        <w:rPr>
          <w:rFonts w:cs="Times New Roman"/>
          <w:lang w:val="en-US"/>
        </w:rPr>
        <w:t>HAQ</w:t>
      </w:r>
      <w:r w:rsidR="00E6614B" w:rsidRPr="00DB3E19">
        <w:rPr>
          <w:rFonts w:cs="Times New Roman"/>
        </w:rPr>
        <w:t>-</w:t>
      </w:r>
      <w:r w:rsidR="00E6614B" w:rsidRPr="00F113CA">
        <w:rPr>
          <w:rFonts w:cs="Times New Roman"/>
          <w:lang w:val="en-US"/>
        </w:rPr>
        <w:t>DI</w:t>
      </w:r>
      <w:r w:rsidR="00E6614B" w:rsidRPr="00DB3E19">
        <w:rPr>
          <w:rFonts w:cs="Times New Roman"/>
        </w:rPr>
        <w:t xml:space="preserve"> </w:t>
      </w:r>
      <w:r w:rsidR="00E6614B">
        <w:rPr>
          <w:rFonts w:cs="Times New Roman"/>
        </w:rPr>
        <w:t>от исходного значения через 3 мес. от начала терапии составило -0,2</w:t>
      </w:r>
      <w:r w:rsidR="00E25E23">
        <w:rPr>
          <w:rFonts w:cs="Times New Roman"/>
        </w:rPr>
        <w:t>5</w:t>
      </w:r>
      <w:r w:rsidR="00E6614B">
        <w:rPr>
          <w:rFonts w:cs="Times New Roman"/>
        </w:rPr>
        <w:t>, -0,</w:t>
      </w:r>
      <w:r w:rsidR="00E25E23">
        <w:rPr>
          <w:rFonts w:cs="Times New Roman"/>
        </w:rPr>
        <w:t xml:space="preserve">56, </w:t>
      </w:r>
      <w:r w:rsidR="00E6614B">
        <w:rPr>
          <w:rFonts w:cs="Times New Roman"/>
        </w:rPr>
        <w:t>-0,</w:t>
      </w:r>
      <w:r w:rsidR="00E25E23">
        <w:rPr>
          <w:rFonts w:cs="Times New Roman"/>
        </w:rPr>
        <w:t>64 и -</w:t>
      </w:r>
      <w:r w:rsidR="000238B8">
        <w:rPr>
          <w:rFonts w:cs="Times New Roman"/>
        </w:rPr>
        <w:t>0,51</w:t>
      </w:r>
      <w:r w:rsidR="00E6614B">
        <w:rPr>
          <w:rFonts w:cs="Times New Roman"/>
        </w:rPr>
        <w:t xml:space="preserve"> (</w:t>
      </w:r>
      <w:r w:rsidR="00E6614B">
        <w:rPr>
          <w:lang w:val="en-US"/>
        </w:rPr>
        <w:t>p</w:t>
      </w:r>
      <w:r w:rsidR="00E6614B" w:rsidRPr="00395627">
        <w:t xml:space="preserve"> &lt; </w:t>
      </w:r>
      <w:r w:rsidR="00E6614B">
        <w:t>0,0001 для сравнения показателя в</w:t>
      </w:r>
      <w:r w:rsidR="000238B8">
        <w:t>о всех группах активной терапии</w:t>
      </w:r>
      <w:r w:rsidR="00E6614B">
        <w:t xml:space="preserve"> и плацебо) </w:t>
      </w:r>
      <w:r w:rsidR="00E6614B">
        <w:rPr>
          <w:lang w:val="en-GB"/>
        </w:rPr>
        <w:fldChar w:fldCharType="begin"/>
      </w:r>
      <w:r w:rsidR="008D5290">
        <w:instrText xml:space="preserve"> ADDIN ZOTERO_ITEM CSL_CITATION {"citationID":"0ke4pCvD","properties":{"formattedCitation":"[29]","plainCitation":"[29]","noteIndex":0},"citationItems":[{"id":87805,"uris":["http://zotero.org/groups/4742804/items/QUW6NSTM"],"itemData":{"id":87805,"type":"webpage","title":"Xeljanz (tofacitinib) Tablets. Company:  Pfizer Inc. Application No.:  203214. Approval Date: 11/06/2012. Medical Review","URL":"https://www.accessdata.fda.gov/drugsatfda_docs/nda/2012/203214Orig1s000TOC.cfm","accessed":{"date-parts":[["2022",8,3]]}}}],"schema":"https://github.com/citation-style-language/schema/raw/master/csl-citation.json"} </w:instrText>
      </w:r>
      <w:r w:rsidR="00E6614B">
        <w:rPr>
          <w:lang w:val="en-GB"/>
        </w:rPr>
        <w:fldChar w:fldCharType="separate"/>
      </w:r>
      <w:r w:rsidR="00AD0B20">
        <w:rPr>
          <w:rFonts w:cs="Times New Roman"/>
        </w:rPr>
        <w:t>[7</w:t>
      </w:r>
      <w:r w:rsidR="008D5290" w:rsidRPr="008D5290">
        <w:rPr>
          <w:rFonts w:cs="Times New Roman"/>
        </w:rPr>
        <w:t>]</w:t>
      </w:r>
      <w:r w:rsidR="00E6614B">
        <w:rPr>
          <w:lang w:val="en-GB"/>
        </w:rPr>
        <w:fldChar w:fldCharType="end"/>
      </w:r>
      <w:r w:rsidR="00E6614B">
        <w:t>.</w:t>
      </w:r>
    </w:p>
    <w:p w14:paraId="45FC6BA4" w14:textId="5408C6F9" w:rsidR="00074437" w:rsidRPr="00E24B3D" w:rsidRDefault="00F13A65" w:rsidP="00382C19">
      <w:pPr>
        <w:pStyle w:val="SDText"/>
        <w:contextualSpacing/>
      </w:pPr>
      <w:r>
        <w:t>В</w:t>
      </w:r>
      <w:r w:rsidR="004B125D" w:rsidRPr="00D641D1">
        <w:t xml:space="preserve"> </w:t>
      </w:r>
      <w:r w:rsidR="004B125D">
        <w:t xml:space="preserve">рандомизированном двойном слепом </w:t>
      </w:r>
      <w:r w:rsidR="00D641D1">
        <w:t xml:space="preserve">исследовании </w:t>
      </w:r>
      <w:r w:rsidR="00E24B3D">
        <w:t>(</w:t>
      </w:r>
      <w:r w:rsidR="00D641D1" w:rsidRPr="00D641D1">
        <w:t>ORAL Strategy)</w:t>
      </w:r>
      <w:r w:rsidR="00D641D1">
        <w:t xml:space="preserve"> фазы </w:t>
      </w:r>
      <w:r w:rsidR="00D641D1">
        <w:rPr>
          <w:lang w:val="en-US"/>
        </w:rPr>
        <w:t>IIIb</w:t>
      </w:r>
      <w:r w:rsidR="00D641D1" w:rsidRPr="00D641D1">
        <w:t>-</w:t>
      </w:r>
      <w:r w:rsidR="00D641D1">
        <w:rPr>
          <w:lang w:val="en-US"/>
        </w:rPr>
        <w:t>IV</w:t>
      </w:r>
      <w:r w:rsidR="00D641D1" w:rsidRPr="00D641D1">
        <w:t xml:space="preserve"> </w:t>
      </w:r>
      <w:r w:rsidR="005E688D">
        <w:t>изучили эффективность тофацитиниба у пациентов с активным РА</w:t>
      </w:r>
      <w:r w:rsidR="00E24B3D">
        <w:t>,</w:t>
      </w:r>
      <w:r w:rsidR="00161FDA">
        <w:t xml:space="preserve"> несмотря на терапию метотрексатом. В исследовании приняли участие 1146 пациентов</w:t>
      </w:r>
      <w:r w:rsidR="0024339F">
        <w:t>, из которых 384 получали монотерапию тофацитинибом</w:t>
      </w:r>
      <w:r w:rsidR="00B0165E">
        <w:t xml:space="preserve"> в дозе 5 мг 2 раза в день</w:t>
      </w:r>
      <w:r w:rsidR="0024339F">
        <w:t xml:space="preserve">, </w:t>
      </w:r>
      <w:r w:rsidR="00B0165E">
        <w:t xml:space="preserve">376 больных </w:t>
      </w:r>
      <w:r w:rsidR="005A0278">
        <w:t>–</w:t>
      </w:r>
      <w:r w:rsidR="00B0165E">
        <w:t xml:space="preserve"> </w:t>
      </w:r>
      <w:r w:rsidR="00EE22B3">
        <w:t xml:space="preserve">комбинированную </w:t>
      </w:r>
      <w:r w:rsidR="005A0278">
        <w:t>терапию тофацитинибом в дозе 5 мг 2 раза в день и метотрексатом</w:t>
      </w:r>
      <w:r w:rsidR="00415104">
        <w:t xml:space="preserve">, а </w:t>
      </w:r>
      <w:r w:rsidR="003A7C6D">
        <w:t>386</w:t>
      </w:r>
      <w:r w:rsidR="0010600B">
        <w:t xml:space="preserve"> пациентов – комбинированную терапию </w:t>
      </w:r>
      <w:r w:rsidR="005A0278">
        <w:t>адалимум</w:t>
      </w:r>
      <w:r w:rsidR="00EE22B3">
        <w:t xml:space="preserve">абом </w:t>
      </w:r>
      <w:r w:rsidR="0010600B">
        <w:t xml:space="preserve">подкожно </w:t>
      </w:r>
      <w:r w:rsidR="00EE22B3">
        <w:t>в дозе 40 мг каждую вторую неделю</w:t>
      </w:r>
      <w:r w:rsidR="0010600B">
        <w:t xml:space="preserve"> и метотрексатом</w:t>
      </w:r>
      <w:r w:rsidR="003A7C6D">
        <w:t xml:space="preserve">. </w:t>
      </w:r>
      <w:r w:rsidR="00921CE1">
        <w:t xml:space="preserve">В исследование включали </w:t>
      </w:r>
      <w:r w:rsidR="000949D2">
        <w:t>пациент</w:t>
      </w:r>
      <w:r w:rsidR="00921CE1">
        <w:t xml:space="preserve">ов, получавших метотрексат </w:t>
      </w:r>
      <w:r w:rsidR="009A0080">
        <w:t xml:space="preserve">не менее 4 мес. </w:t>
      </w:r>
      <w:r w:rsidR="003F547B">
        <w:t xml:space="preserve">со стабильной дозой 15–25 мг в неделю </w:t>
      </w:r>
      <w:r w:rsidR="00DE3C03">
        <w:t xml:space="preserve">не менее 6 недель </w:t>
      </w:r>
      <w:r w:rsidR="009A0080">
        <w:t>до включения</w:t>
      </w:r>
      <w:r w:rsidR="00AD0248">
        <w:t xml:space="preserve">, которую после рандомизации больные из второй и третьей групп продолжали получать в ходе исследования. </w:t>
      </w:r>
      <w:r w:rsidR="00C22C20">
        <w:t xml:space="preserve">Доля женщин в каждой из групп исследования составила 83%, средний возраст </w:t>
      </w:r>
      <w:r w:rsidR="00170C50">
        <w:t xml:space="preserve">пациентов </w:t>
      </w:r>
      <w:r w:rsidR="00C22C20">
        <w:t>в первой</w:t>
      </w:r>
      <w:r w:rsidR="003E1F96">
        <w:t xml:space="preserve">, </w:t>
      </w:r>
      <w:r w:rsidR="00170C50">
        <w:t>второй и третьей группах</w:t>
      </w:r>
      <w:r w:rsidR="000949D2">
        <w:t xml:space="preserve"> </w:t>
      </w:r>
      <w:r w:rsidR="00170C50">
        <w:t xml:space="preserve">равнялся </w:t>
      </w:r>
      <w:r w:rsidR="00096922">
        <w:t xml:space="preserve">49,7, 50,0 и 50,7 лет соответственно. </w:t>
      </w:r>
      <w:r w:rsidR="00AC692F">
        <w:t xml:space="preserve">Через 6 месяцев ACR50 достигли у 147 (38%) из 384 пациентов монотерапии тофацитинибом, </w:t>
      </w:r>
      <w:r w:rsidR="00E24B3D">
        <w:t xml:space="preserve">у </w:t>
      </w:r>
      <w:r w:rsidR="00AC692F">
        <w:t xml:space="preserve">173 (46%) из 376 пациентов, получавших тофацитиниб и метотрексат, и у 169 (44%) </w:t>
      </w:r>
      <w:r w:rsidR="00E24B3D">
        <w:t xml:space="preserve">из </w:t>
      </w:r>
      <w:r w:rsidR="00AC692F">
        <w:t xml:space="preserve">386 пациентов из группы адалимумаб + метотрексат. </w:t>
      </w:r>
      <w:r w:rsidR="00DB1926">
        <w:t>Установлена</w:t>
      </w:r>
      <w:r w:rsidR="00AC692F">
        <w:t xml:space="preserve"> не меньш</w:t>
      </w:r>
      <w:r w:rsidR="00DB1926">
        <w:t>ая</w:t>
      </w:r>
      <w:r w:rsidR="00AC692F">
        <w:t xml:space="preserve"> эффективност</w:t>
      </w:r>
      <w:r w:rsidR="00DB1926">
        <w:t>ь комбинированной терапии</w:t>
      </w:r>
      <w:r w:rsidR="00AC692F">
        <w:t xml:space="preserve"> тофацитиниб</w:t>
      </w:r>
      <w:r w:rsidR="00DB1926">
        <w:t>ом</w:t>
      </w:r>
      <w:r w:rsidR="00AC692F">
        <w:t xml:space="preserve"> и метотрексат</w:t>
      </w:r>
      <w:r w:rsidR="00DB1926">
        <w:t xml:space="preserve">ом </w:t>
      </w:r>
      <w:r w:rsidR="00AC692F">
        <w:t xml:space="preserve">по сравнению с </w:t>
      </w:r>
      <w:r w:rsidR="00DB1926">
        <w:t xml:space="preserve">лечением </w:t>
      </w:r>
      <w:r w:rsidR="00AC692F">
        <w:t>адалимумаб</w:t>
      </w:r>
      <w:r w:rsidR="00DB1926">
        <w:t>ом</w:t>
      </w:r>
      <w:r w:rsidR="00AC692F">
        <w:t xml:space="preserve"> и метотрексат</w:t>
      </w:r>
      <w:r w:rsidR="00DB1926">
        <w:t>ом</w:t>
      </w:r>
      <w:r w:rsidR="00AC692F">
        <w:t xml:space="preserve"> (разн</w:t>
      </w:r>
      <w:r w:rsidR="00DB1926">
        <w:t>ость</w:t>
      </w:r>
      <w:r w:rsidR="00AC692F">
        <w:t xml:space="preserve"> 2% [</w:t>
      </w:r>
      <w:r w:rsidR="00664EE4" w:rsidRPr="00664EE4">
        <w:t xml:space="preserve">98·34% </w:t>
      </w:r>
      <w:r w:rsidR="00AC692F">
        <w:t xml:space="preserve">ДИ от </w:t>
      </w:r>
      <w:r w:rsidR="00D63F21">
        <w:t>-</w:t>
      </w:r>
      <w:r w:rsidR="00AC692F">
        <w:t xml:space="preserve">6 до 11]), но не для монотерапии тофацитинибом по сравнению с </w:t>
      </w:r>
      <w:r w:rsidR="00564C83">
        <w:t xml:space="preserve">комбинированной терапией адалимумабом и метотрексатом </w:t>
      </w:r>
      <w:r w:rsidR="00AC692F">
        <w:t>(-6 [-14 до 3]) или тофацитиниб</w:t>
      </w:r>
      <w:r w:rsidR="00564C83">
        <w:t>ом</w:t>
      </w:r>
      <w:r w:rsidR="00AC692F">
        <w:t xml:space="preserve"> и метотрексат</w:t>
      </w:r>
      <w:r w:rsidR="00564C83">
        <w:t>ом</w:t>
      </w:r>
      <w:r w:rsidR="00AC692F">
        <w:t xml:space="preserve"> (-8 [-16 до 1]) </w:t>
      </w:r>
      <w:r w:rsidR="00DC2966">
        <w:rPr>
          <w:lang w:val="en-GB"/>
        </w:rPr>
        <w:fldChar w:fldCharType="begin"/>
      </w:r>
      <w:r w:rsidR="008D5290">
        <w:instrText xml:space="preserve"> ADDIN ZOTERO_ITEM CSL_CITATION {"citationID":"r1aoDokS","properties":{"formattedCitation":"[33]","plainCitation":"[33]","noteIndex":0},"citationItems":[{"id":87799,"uris":["http://zotero.org/groups/4742804/items/B3FE5EW9"],"itemData":{"id":87799,"type":"article-journal","abstract":"Background\nTofacitinib is an oral Janus kinase inhibitor for the treatment of rheumatoid arthritis. The Oral Rheumatoid Arthritis triaL (ORAL) Strategy aimed to assess the comparative efficacy of tofacitinib monotherapy, tofacitinib plus methotrexate, and adalimumab plus methotrexate for the treatment of rheumatoid arthritis in patients with a previous inadequate response to methotrexate.\nMethods\nORAL Strategy was a 1 year, double-blind, phase 3b/4, head-to-head, non-inferiority, randomised controlled trial in patients aged 18 years or older with active rheumatoid arthritis despite methotrexate therapy. Patients were randomly assigned (1:1:1) to receive oral tofacitinib (5 mg twice daily) monotherapy, oral tofacitinib (5 mg twice daily) plus methotrexate, or subcutaneous adalimumab (40 mg every other week) plus methotrexate at 194 centres in 25 countries. Eligible patients received live zoster vaccine at investigators' discretion. The primary endpoint was the proportion of patients who attained an American College of Rheumatology response of at least 50% (ACR50) at month 6 in the full analysis set (patients who were randomly assigned to a group and received at least one dose of the study treatment). Non-inferiority between groups was shown if the lower bound of the 98·34% CI of the difference between comparators was larger than −13·0%. This trial is registered with ClinicalTrials.gov, number NCT02187055.\nFindings\n1146 patients received treatment (384 had tofacitinib monotherapy; 376 had tofacitinib and methotrexate; and 386 had adalimumab and methotrexate). At 6 months, ACR50 response was attained in 147 (38%) of 384 patients with tofacitinib monotherapy, 173 (46%) of 376 patients with tofacitinib and methotrexate, and 169 (44%) of 386 patients with adalimumab and methotrexate. Non-inferiority was declared for tofacitinib and methotrexate versus adalimumab and methotrexate (difference 2% [98·34% CI −6 to 11]) but not for tofacitinib monotherapy versus either adalimumab and methotrexate (−6 [−14 to 3]) or tofacitinib and methotrexate (−8 [−16 to 1]). In total, 23 (6%) of 384 patients receiving tofacitinib monotherapy, 26 (7%) of 376 patients receiving tofacitinib plus methotrexate, and 36 (9%) of 386 patients receiving adalimumab plus methotrexate discontinued due to adverse events. Two (1%) of the 384 patients receiving tofacitinib monotherapy died. No new or unexpected safety issues were reported for either treatment in this study for up to 1 year.\nInterpretation\nTofacitinib and methotrexate combination therapy was non-inferior to adalimumab and methotrexate combination therapy in the treatment of rheumatoid arthritis in patients with an inadequate response to methotrexate in this trial. Tofacitinib monotherapy was not shown to be non-inferior to either combination.\nFunding\nPfizer Inc.","container-title":"The Lancet","DOI":"10.1016/S0140-6736(17)31618-5","ISSN":"0140-6736","issue":"10093","journalAbbreviation":"The Lancet","language":"en","page":"457-468","source":"ScienceDirect","title":"Efficacy and safety of tofacitinib monotherapy, tofacitinib with methotrexate, and adalimumab with methotrexate in patients with rheumatoid arthritis (ORAL Strategy): a phase 3b/4, double-blind, head-to-head, randomised controlled trial","title-short":"Efficacy and safety of tofacitinib monotherapy, tofacitinib with methotrexate, and adalimumab with methotrexate in patients with rheumatoid arthritis (ORAL Strategy)","volume":"390","author":[{"family":"Fleischmann","given":"Roy"},{"family":"Mysler","given":"Eduardo"},{"family":"Hall","given":"Stephen"},{"family":"Kivitz","given":"Alan J"},{"family":"Moots","given":"Robert J"},{"family":"Luo","given":"Zhen"},{"family":"DeMasi","given":"Ryan"},{"family":"Soma","given":"Koshika"},{"family":"Zhang","given":"Richard"},{"family":"Takiya","given":"Liza"},{"family":"Tatulych","given":"Svitlana"},{"family":"Mojcik","given":"Christopher"},{"family":"Krishnaswami","given":"Sriram"},{"family":"Menon","given":"Sujatha"},{"family":"Smolen","given":"Josef S"},{"family":"Adams","given":"Luthando"},{"family":"Ally","given":"Mahmood M"},{"family":"Plooy","given":"Maria C","non-dropping-particle":"du"},{"family":"Louw","given":"Ingrid C"},{"family":"Nayiager","given":"Savithree"},{"family":"Nel","given":"Christoffel B"},{"family":"Nel","given":"Debra"},{"family":"Reuter","given":"Helmuth"},{"family":"Soloman","given":"Ahmed S"},{"family":"Spargo","given":"Catherine E"},{"family":"Hall","given":"Stephen"},{"family":"Rischmueller","given":"Maureen"},{"family":"Sharma","given":"Shunil D"},{"family":"Will","given":"Robert K"},{"family":"Youssef","given":"Peter P"},{"family":"Arroyo","given":"Caroline"},{"family":"Baes","given":"Rosario P"},{"family":"Dulos","given":"Roger B"},{"family":"Hao","given":"Llewellyn T"},{"family":"Lanzon","given":"Allan E"},{"family":"Lichauco","given":"Juan Javier T"},{"family":"Mangubat","given":"Jill H"},{"family":"Ramiterre","given":"Edgar B"},{"family":"Reyes","given":"Bernadette Heizel M"},{"family":"Tan","given":"Perry P"},{"family":"Choe","given":"Jung-Yoon"},{"family":"Kang","given":"Young Mo"},{"family":"Kwon","given":"Seong Ryul"},{"family":"Lee","given":"Sang-Heon"},{"family":"Lee","given":"Shin-Seok"},{"family":"Yoo","given":"Dae-Hyun"},{"family":"Lin","given":"Hsiao-Yi"},{"family":"Luo","given":"Shue-Fen"},{"family":"Tsai","given":"Shih-Tzu"},{"family":"Tsai","given":"Wen-Chan"},{"family":"Tseng","given":"Jui-Cheng"},{"family":"Wei","given":"Cheng-Chung C"},{"family":"Asavatanabodee","given":"Paijit"},{"family":"Nantiruj","given":"Kanokrat"},{"family":"Nilganuwong","given":"Surasak"},{"family":"Uea-Areewongsa","given":"Parichat"},{"family":"Majstorovic","given":"Ljubinka Bozic"},{"family":"Bacic","given":"Suada Mulic"},{"family":"Batalov","given":"Anastas Z"},{"family":"Georgieva-Slavcheva","given":"Gabriela"},{"family":"Mihailova","given":"Mariyana"},{"family":"Nikolov","given":"Nikolay G"},{"family":"Penev","given":"Dimitar P"},{"family":"Spasov","given":"Yuliy A"},{"family":"Stanimirova","given":"Krasimira"},{"family":"Todorov","given":"Stoyan"},{"family":"Toncheva","given":"Antoaneta R"},{"family":"Yordanova","given":"Nadezhda"},{"family":"Mosterova","given":"Zdenka"},{"family":"Novosad","given":"Libor"},{"family":"Prochazkova","given":"Leona"},{"family":"Stehlikova","given":"Helena"},{"family":"Stejfova","given":"Zuzana"},{"family":"Kiseleva","given":"Natalia"},{"family":"Pank","given":"Lea"},{"family":"Savi","given":"Triin"},{"family":"Alexandra","given":"Balbir-Gurman"},{"family":"Amital","given":"Howard"},{"family":"Mevorach","given":"Dror"},{"family":"Rosner","given":"Itzhak A"},{"family":"Mihailova","given":"Anna"},{"family":"Stumbra-Stumberga","given":"Evija"},{"family":"Basijokiene","given":"Vida"},{"family":"Lietuvininkiene","given":"Virginija"},{"family":"Unikiene","given":"Dalia"},{"family":"Brzezicki","given":"Jan"},{"family":"Dudek","given":"Anna M"},{"family":"Glowacka-Kulesz","given":"Maria B"},{"family":"Grabowicz-Wasko","given":"Barbara"},{"family":"Hajduk-Kubacka","given":"Sabina"},{"family":"Hilt","given":"Joanna"},{"family":"Hrycaj","given":"Pawel"},{"family":"Jeka","given":"Slawomir"},{"family":"Kolasa","given":"Renata"},{"family":"Krogulec","given":"Marek"},{"family":"Mastalerz","given":"Hanna"},{"family":"Olak-Popko","given":"Anna"},{"family":"Owczarek","given":"Elzbieta"},{"family":"Ruzga","given":"Zofia"},{"family":"Walczak","given":"Alina"},{"family":"Ancuta","given":"Codrina I"},{"family":"Ancuta","given":"Ioan"},{"family":"Balanescu","given":"Andra R"},{"family":"Berghea","given":"Florian"},{"family":"Bojin","given":"Silvia"},{"family":"Arvunescu","given":"Mihaela A Ianuli"},{"family":"Ionescu","given":"Ruxandra M"},{"family":"Mociran","given":"Eugenia"},{"family":"Pavel","given":"Mariana"},{"family":"Rednic","given":"Simona"},{"family":"Voie","given":"Adriana"},{"family":"Zainea","given":"Carmen M"},{"family":"Bugrova","given":"Olga V"},{"family":"Demin","given":"Alexander"},{"family":"Ershova","given":"Olga B"},{"family":"Gavrisheva","given":"Inna A"},{"family":"Krechikova","given":"Diana G"},{"family":"Kuropatkin","given":"Gennady V"},{"family":"Marusenko","given":"Irina M"},{"family":"Menshikova","given":"Irina V"},{"family":"Noskov","given":"Sergey M"},{"family":"Rebrov","given":"Andrey P"},{"family":"Smakotina","given":"Svetlana A"},{"family":"Yakushin","given":"Sergey S"},{"family":"Zhilyaev","given":"Evgeny"},{"family":"Ramos","given":"Juan Jose Amarelo"},{"family":"Garcia","given":"Francisco Javier Blanco"},{"family":"Nebro","given":"Antonio Fernandez"},{"family":"Esteban","given":"Silvia Perez"},{"family":"Burson","given":"Juan Miguel Sanchez"},{"family":"Sala","given":"Raimon Sanmarti"},{"family":"Ataman","given":"Sebnem"},{"family":"Hizmetli","given":"Sami"},{"family":"Kuru","given":"Omer"},{"family":"Douglas","given":"Karen M"},{"family":"Emery","given":"Paul"},{"family":"Moots","given":"Robert J"},{"family":"Ong","given":"Voon H"},{"family":"Sheeran","given":"Thomas P"},{"family":"Faraawi","given":"Rafat Y"},{"family":"Lessard","given":"Clode"},{"family":"Mendoza","given":"Carlos Abud"},{"family":"Avila-Armengol","given":"Hilario Ernesto"},{"family":"Zapata","given":"Francisco I Avila"},{"family":"Irazoque-Palazuelos","given":"Fedra Consuelo"},{"family":"Cecena","given":"Marco Antonio Maradiaga"},{"family":"Pacheco-Tena","given":"Cesar F"},{"family":"Rizo-Rodriguez","given":"Juan C"},{"family":"Rodriguez-Torres","given":"Isaura M"},{"family":"Aelion","given":"Jacob A"},{"family":"Caciolo","given":"Barbara A"},{"family":"Calmes","given":"James M"},{"family":"Chatpar","given":"Prem"},{"family":"Dayal","given":"Nimesh"},{"family":"De Jesus","given":"Alex"},{"family":"Dikranian","given":"Ara H"},{"family":"Diri","given":"Erdal"},{"family":"Fairfax","given":"Michael J"},{"family":"Fenton","given":"Ira F"},{"family":"Fleischmann","given":"Roy M"},{"family":"Gaylis","given":"Norman B"},{"family":"George","given":"Ronald L"},{"family":"Halter","given":"Dale G"},{"family":"Hernandez","given":"Paul"},{"family":"Hole","given":"Susan A"},{"family":"Hou","given":"Antony C"},{"family":"Huff","given":"John P"},{"family":"Kafaja","given":"Suzanne"},{"family":"Kennedy","given":"Alastair C"},{"family":"Kenney","given":"Howard"},{"family":"Kimmel","given":"Steven C"},{"family":"Kirby","given":"Brian S"},{"family":"Kivitz","given":"Alan J"},{"family":"Legerton","given":"Clarence W"},{"family":"Lindsey","given":"Stephen M"},{"family":"Mallepalli","given":"Jyothi R"},{"family":"Mathews","given":"Steven D"},{"family":"Metyas","given":"Samy K"},{"family":"Mizutani","given":"Wesley T"},{"family":"Najam","given":"Sabeen"},{"family":"Nascimento","given":"Joao M"},{"family":"Pang","given":"Shirley W"},{"family":"Patel","given":"Rakesh C"},{"family":"Poiley","given":"Jeffrey E"},{"family":"Ramirez","given":"Carlos E"},{"family":"Reddy","given":"Riteesha"},{"family":"Rehman","given":"Qaiser"},{"family":"Schnitz","given":"William M"},{"family":"Scoville","given":"Craig D"},{"family":"Shergy","given":"William J"},{"family":"Silverfield","given":"Joel C"},{"family":"Singhal","given":"Atul K"},{"family":"Smallwood-Sherrer","given":"Yvonne R"},{"family":"Songcharoen","given":"Suthin N"},{"family":"Stack","given":"Michael T"},{"family":"Stohl","given":"William"},{"family":"Su","given":"Tien-I K"},{"family":"Udell","given":"James"},{"family":"Waraich","given":"Saleem"},{"family":"Weidmann","given":"Charles E"},{"family":"Wei","given":"Nathan"},{"family":"Wiesenhutter","given":"Craig W"},{"family":"Winkler","given":"Anne E"},{"family":"Zagar","given":"Karen E"},{"family":"Berman","given":"Alberto"},{"family":"Mysler","given":"Eduardo F"},{"family":"Hidalgo","given":"Rodolfo A Pardo"},{"family":"Venarotti","given":"Horacio O"},{"family":"Sariego","given":"Irmgadt Annelise Goecke"},{"family":"Calabresse","given":"Renato E Jimenez"},{"family":"Ruiz-Tagle","given":"Juan Ignacio Vargas"},{"family":"Vargas","given":"Luis Fernando M Bellatin"},{"family":"Berrocal","given":"Alfredo E"},{"family":"Portocarrero","given":"Manuel Gustavo Leon"},{"family":"Jesus","given":"Felix"},{"family":"Pena","given":"Romero"}],"issued":{"date-parts":[["2017",7,29]]}}}],"schema":"https://github.com/citation-style-language/schema/raw/master/csl-citation.json"} </w:instrText>
      </w:r>
      <w:r w:rsidR="00DC2966">
        <w:rPr>
          <w:lang w:val="en-GB"/>
        </w:rPr>
        <w:fldChar w:fldCharType="separate"/>
      </w:r>
      <w:r w:rsidR="00DE2C35">
        <w:rPr>
          <w:rFonts w:cs="Times New Roman"/>
        </w:rPr>
        <w:t>[11</w:t>
      </w:r>
      <w:r w:rsidR="008D5290" w:rsidRPr="008D5290">
        <w:rPr>
          <w:rFonts w:cs="Times New Roman"/>
        </w:rPr>
        <w:t>]</w:t>
      </w:r>
      <w:r w:rsidR="00DC2966">
        <w:rPr>
          <w:lang w:val="en-GB"/>
        </w:rPr>
        <w:fldChar w:fldCharType="end"/>
      </w:r>
      <w:r w:rsidR="00E24B3D">
        <w:t>.</w:t>
      </w:r>
    </w:p>
    <w:p w14:paraId="7BC350A0" w14:textId="69C9577D" w:rsidR="00B35CDB" w:rsidRDefault="00F13A65" w:rsidP="00382C19">
      <w:pPr>
        <w:pStyle w:val="SDText"/>
        <w:contextualSpacing/>
      </w:pPr>
      <w:r>
        <w:t>В</w:t>
      </w:r>
      <w:r w:rsidR="001279D4" w:rsidRPr="00DE2C35">
        <w:t xml:space="preserve"> ходе </w:t>
      </w:r>
      <w:r w:rsidR="00C839FA" w:rsidRPr="00DE2C35">
        <w:t xml:space="preserve">Байесовского </w:t>
      </w:r>
      <w:r w:rsidR="001279D4" w:rsidRPr="00DE2C35">
        <w:t>метаанализа</w:t>
      </w:r>
      <w:r w:rsidR="0001589C" w:rsidRPr="00DE2C35">
        <w:t xml:space="preserve"> </w:t>
      </w:r>
      <w:r w:rsidR="00E24B3D" w:rsidRPr="00DE2C35">
        <w:t xml:space="preserve">оценили </w:t>
      </w:r>
      <w:r w:rsidR="00E3524A" w:rsidRPr="00DE2C35">
        <w:t>относительную эффективность и безопасность тофацитиниба и маврили</w:t>
      </w:r>
      <w:r w:rsidR="007737EC" w:rsidRPr="00DE2C35">
        <w:t>мумаба у пациентов с РА и</w:t>
      </w:r>
      <w:r w:rsidR="007737EC" w:rsidRPr="002F23BC">
        <w:t xml:space="preserve"> </w:t>
      </w:r>
      <w:r w:rsidR="007737EC">
        <w:t>недостаточным</w:t>
      </w:r>
      <w:r w:rsidR="007737EC" w:rsidRPr="002F23BC">
        <w:t xml:space="preserve"> </w:t>
      </w:r>
      <w:r w:rsidR="007737EC">
        <w:t>ответом</w:t>
      </w:r>
      <w:r w:rsidR="007737EC" w:rsidRPr="002F23BC">
        <w:t xml:space="preserve"> </w:t>
      </w:r>
      <w:r w:rsidR="007737EC">
        <w:t>на</w:t>
      </w:r>
      <w:r w:rsidR="007737EC" w:rsidRPr="002F23BC">
        <w:t xml:space="preserve"> </w:t>
      </w:r>
      <w:r w:rsidR="007737EC">
        <w:t>терапию</w:t>
      </w:r>
      <w:r w:rsidR="007737EC" w:rsidRPr="002F23BC">
        <w:t xml:space="preserve"> </w:t>
      </w:r>
      <w:r w:rsidR="007737EC">
        <w:t>БМАРП</w:t>
      </w:r>
      <w:r w:rsidR="007737EC" w:rsidRPr="002F23BC">
        <w:t xml:space="preserve">. </w:t>
      </w:r>
      <w:r w:rsidR="00FD5D6F">
        <w:t>В</w:t>
      </w:r>
      <w:r w:rsidR="00FD5D6F" w:rsidRPr="002F23BC">
        <w:t xml:space="preserve"> </w:t>
      </w:r>
      <w:r w:rsidR="00FD5D6F">
        <w:t>анализе</w:t>
      </w:r>
      <w:r w:rsidR="00FD5D6F" w:rsidRPr="002F23BC">
        <w:t xml:space="preserve"> </w:t>
      </w:r>
      <w:r w:rsidR="00FD5D6F">
        <w:t>использовали</w:t>
      </w:r>
      <w:r w:rsidR="00FD5D6F" w:rsidRPr="002F23BC">
        <w:t xml:space="preserve"> </w:t>
      </w:r>
      <w:r w:rsidR="00FD5D6F">
        <w:t>результаты</w:t>
      </w:r>
      <w:r w:rsidR="00FD5D6F" w:rsidRPr="002F23BC">
        <w:t xml:space="preserve"> 8 </w:t>
      </w:r>
      <w:r w:rsidR="00FD5D6F">
        <w:t>рандомизированных</w:t>
      </w:r>
      <w:r w:rsidR="00FD5D6F" w:rsidRPr="002F23BC">
        <w:t xml:space="preserve"> </w:t>
      </w:r>
      <w:r w:rsidR="00FD5D6F">
        <w:t>клинических</w:t>
      </w:r>
      <w:r w:rsidR="00FD5D6F" w:rsidRPr="002F23BC">
        <w:t xml:space="preserve"> </w:t>
      </w:r>
      <w:r w:rsidR="00FD5D6F">
        <w:t>исследований</w:t>
      </w:r>
      <w:r w:rsidR="00D95E15" w:rsidRPr="002F23BC">
        <w:t xml:space="preserve"> (</w:t>
      </w:r>
      <w:r w:rsidR="00D95E15">
        <w:rPr>
          <w:lang w:val="en-US"/>
        </w:rPr>
        <w:t>n</w:t>
      </w:r>
      <w:r w:rsidR="00D95E15" w:rsidRPr="002F23BC">
        <w:t xml:space="preserve"> = 2965)</w:t>
      </w:r>
      <w:r w:rsidR="003B3706" w:rsidRPr="002F23BC">
        <w:t xml:space="preserve">. </w:t>
      </w:r>
      <w:r w:rsidR="003B3706">
        <w:t>Авторы</w:t>
      </w:r>
      <w:r w:rsidR="003B3706" w:rsidRPr="002F23BC">
        <w:t xml:space="preserve"> </w:t>
      </w:r>
      <w:r w:rsidR="003B3706">
        <w:t>пришли</w:t>
      </w:r>
      <w:r w:rsidR="003B3706" w:rsidRPr="002F23BC">
        <w:t xml:space="preserve"> </w:t>
      </w:r>
      <w:r w:rsidR="003B3706">
        <w:t>к</w:t>
      </w:r>
      <w:r w:rsidR="003B3706" w:rsidRPr="002F23BC">
        <w:t xml:space="preserve"> </w:t>
      </w:r>
      <w:r w:rsidR="003B3706">
        <w:t>выводу</w:t>
      </w:r>
      <w:r w:rsidR="003B3706" w:rsidRPr="002F23BC">
        <w:t xml:space="preserve">, </w:t>
      </w:r>
      <w:r w:rsidR="003B3706">
        <w:t>что</w:t>
      </w:r>
      <w:r w:rsidR="003B3706" w:rsidRPr="002F23BC">
        <w:t xml:space="preserve"> </w:t>
      </w:r>
      <w:r w:rsidR="003B3706">
        <w:t>у</w:t>
      </w:r>
      <w:r w:rsidR="003B3706" w:rsidRPr="002F23BC">
        <w:t xml:space="preserve"> </w:t>
      </w:r>
      <w:r w:rsidR="003B3706" w:rsidRPr="003B3706">
        <w:t>пациентов</w:t>
      </w:r>
      <w:r w:rsidR="003B3706" w:rsidRPr="002F23BC">
        <w:t xml:space="preserve"> </w:t>
      </w:r>
      <w:r w:rsidR="003B3706" w:rsidRPr="003B3706">
        <w:t>с</w:t>
      </w:r>
      <w:r w:rsidR="003B3706" w:rsidRPr="002F23BC">
        <w:t xml:space="preserve"> </w:t>
      </w:r>
      <w:r w:rsidR="003B3706" w:rsidRPr="003B3706">
        <w:t>активным</w:t>
      </w:r>
      <w:r w:rsidR="003B3706" w:rsidRPr="002F23BC">
        <w:t xml:space="preserve"> </w:t>
      </w:r>
      <w:r w:rsidR="003B3706" w:rsidRPr="003B3706">
        <w:t>РА</w:t>
      </w:r>
      <w:r w:rsidR="003B3706" w:rsidRPr="002F23BC">
        <w:t xml:space="preserve"> </w:t>
      </w:r>
      <w:r w:rsidR="003B3706" w:rsidRPr="003B3706">
        <w:t>и</w:t>
      </w:r>
      <w:r w:rsidR="003B3706" w:rsidRPr="002F23BC">
        <w:t xml:space="preserve"> </w:t>
      </w:r>
      <w:r w:rsidR="003B3706" w:rsidRPr="003B3706">
        <w:t>не</w:t>
      </w:r>
      <w:r w:rsidR="003B3706">
        <w:t>достаточным</w:t>
      </w:r>
      <w:r w:rsidR="003B3706" w:rsidRPr="002F23BC">
        <w:t xml:space="preserve"> </w:t>
      </w:r>
      <w:r w:rsidR="003B3706" w:rsidRPr="003B3706">
        <w:t>ответом</w:t>
      </w:r>
      <w:r w:rsidR="003B3706" w:rsidRPr="002F23BC">
        <w:t xml:space="preserve"> </w:t>
      </w:r>
      <w:r w:rsidR="003B3706" w:rsidRPr="003B3706">
        <w:t>на</w:t>
      </w:r>
      <w:r w:rsidR="003B3706" w:rsidRPr="002F23BC">
        <w:t xml:space="preserve"> </w:t>
      </w:r>
      <w:r w:rsidR="003B3706">
        <w:t>БМАРП</w:t>
      </w:r>
      <w:r w:rsidR="003B3706" w:rsidRPr="002F23BC">
        <w:t xml:space="preserve"> </w:t>
      </w:r>
      <w:r w:rsidR="003B3706" w:rsidRPr="003B3706">
        <w:t>наиболее</w:t>
      </w:r>
      <w:r w:rsidR="003B3706" w:rsidRPr="002F23BC">
        <w:t xml:space="preserve"> </w:t>
      </w:r>
      <w:r w:rsidR="003B3706" w:rsidRPr="003B3706">
        <w:t>эффективными</w:t>
      </w:r>
      <w:r w:rsidR="003B3706" w:rsidRPr="002F23BC">
        <w:t xml:space="preserve"> </w:t>
      </w:r>
      <w:r w:rsidR="003B3706" w:rsidRPr="003B3706">
        <w:t>методами</w:t>
      </w:r>
      <w:r w:rsidR="003B3706" w:rsidRPr="002F23BC">
        <w:t xml:space="preserve"> </w:t>
      </w:r>
      <w:r w:rsidR="003B3706" w:rsidRPr="003B3706">
        <w:lastRenderedPageBreak/>
        <w:t>лечения</w:t>
      </w:r>
      <w:r w:rsidR="003B3706" w:rsidRPr="002F23BC">
        <w:t xml:space="preserve"> </w:t>
      </w:r>
      <w:r w:rsidR="003B3706" w:rsidRPr="003B3706">
        <w:t>были</w:t>
      </w:r>
      <w:r w:rsidR="003B3706" w:rsidRPr="002F23BC">
        <w:t xml:space="preserve"> </w:t>
      </w:r>
      <w:r w:rsidR="003B3706" w:rsidRPr="003B3706">
        <w:t>маврилимумаб</w:t>
      </w:r>
      <w:r w:rsidR="003B3706" w:rsidRPr="002F23BC">
        <w:t xml:space="preserve"> 150 </w:t>
      </w:r>
      <w:r w:rsidR="003B3706" w:rsidRPr="003B3706">
        <w:t>мг</w:t>
      </w:r>
      <w:r w:rsidR="003B3706" w:rsidRPr="002F23BC">
        <w:t xml:space="preserve"> + </w:t>
      </w:r>
      <w:r w:rsidR="003B3706" w:rsidRPr="003B3706">
        <w:t>метотрексат</w:t>
      </w:r>
      <w:r w:rsidR="003B3706" w:rsidRPr="002F23BC">
        <w:t xml:space="preserve"> </w:t>
      </w:r>
      <w:r w:rsidR="003B3706" w:rsidRPr="003B3706">
        <w:t>и</w:t>
      </w:r>
      <w:r w:rsidR="003B3706" w:rsidRPr="002F23BC">
        <w:t xml:space="preserve"> </w:t>
      </w:r>
      <w:r w:rsidR="003B3706" w:rsidRPr="003B3706">
        <w:t>маврилимумаб</w:t>
      </w:r>
      <w:r w:rsidR="003B3706" w:rsidRPr="002F23BC">
        <w:t xml:space="preserve"> 100 </w:t>
      </w:r>
      <w:r w:rsidR="003B3706" w:rsidRPr="003B3706">
        <w:t>мг</w:t>
      </w:r>
      <w:r w:rsidR="003B3706" w:rsidRPr="002F23BC">
        <w:t xml:space="preserve"> + </w:t>
      </w:r>
      <w:r w:rsidR="003B3706">
        <w:t>метотрексат</w:t>
      </w:r>
      <w:r w:rsidR="003B3706" w:rsidRPr="002F23BC">
        <w:t xml:space="preserve">. </w:t>
      </w:r>
      <w:r w:rsidR="003B3706" w:rsidRPr="003B3706">
        <w:t>По</w:t>
      </w:r>
      <w:r w:rsidR="003B3706" w:rsidRPr="002F23BC">
        <w:t xml:space="preserve"> </w:t>
      </w:r>
      <w:r w:rsidR="003B3706" w:rsidRPr="003B3706">
        <w:t>сравнению</w:t>
      </w:r>
      <w:r w:rsidR="003B3706" w:rsidRPr="002F23BC">
        <w:t xml:space="preserve"> </w:t>
      </w:r>
      <w:r w:rsidR="003B3706" w:rsidRPr="003B3706">
        <w:t>с</w:t>
      </w:r>
      <w:r w:rsidR="003B3706" w:rsidRPr="002F23BC">
        <w:t xml:space="preserve"> </w:t>
      </w:r>
      <w:r w:rsidR="003B3706">
        <w:t>терапией</w:t>
      </w:r>
      <w:r w:rsidR="003B3706" w:rsidRPr="002F23BC">
        <w:t xml:space="preserve"> </w:t>
      </w:r>
      <w:r w:rsidR="003B3706" w:rsidRPr="003B3706">
        <w:t>плацебо</w:t>
      </w:r>
      <w:r w:rsidR="003B3706" w:rsidRPr="002F23BC">
        <w:t xml:space="preserve"> + </w:t>
      </w:r>
      <w:r w:rsidR="003B3706" w:rsidRPr="003B3706">
        <w:t>метотрексат</w:t>
      </w:r>
      <w:r w:rsidR="003B3706" w:rsidRPr="002F23BC">
        <w:t xml:space="preserve"> </w:t>
      </w:r>
      <w:r w:rsidR="003B3706" w:rsidRPr="003B3706">
        <w:t>все</w:t>
      </w:r>
      <w:r w:rsidR="003B3706" w:rsidRPr="002F23BC">
        <w:t xml:space="preserve"> </w:t>
      </w:r>
      <w:r w:rsidR="003B3706" w:rsidRPr="003B3706">
        <w:t>дозы</w:t>
      </w:r>
      <w:r w:rsidR="003B3706" w:rsidRPr="002F23BC">
        <w:t xml:space="preserve"> </w:t>
      </w:r>
      <w:r w:rsidR="003B3706" w:rsidRPr="003B3706">
        <w:t>тофацитиниба</w:t>
      </w:r>
      <w:r w:rsidR="003B3706" w:rsidRPr="002F23BC">
        <w:t xml:space="preserve"> </w:t>
      </w:r>
      <w:r w:rsidR="003B3706" w:rsidRPr="003B3706">
        <w:t>и</w:t>
      </w:r>
      <w:r w:rsidR="003B3706" w:rsidRPr="002F23BC">
        <w:t xml:space="preserve"> </w:t>
      </w:r>
      <w:r w:rsidR="003B3706" w:rsidRPr="003B3706">
        <w:t>маврилимумаба</w:t>
      </w:r>
      <w:r w:rsidR="003B3706" w:rsidRPr="002F23BC">
        <w:t xml:space="preserve">, </w:t>
      </w:r>
      <w:r w:rsidR="003B3706" w:rsidRPr="003B3706">
        <w:t>кроме</w:t>
      </w:r>
      <w:r w:rsidR="003B3706" w:rsidRPr="002F23BC">
        <w:t xml:space="preserve"> </w:t>
      </w:r>
      <w:r w:rsidR="003B3706" w:rsidRPr="003B3706">
        <w:t>маврилимумаба</w:t>
      </w:r>
      <w:r w:rsidR="003B3706" w:rsidRPr="002F23BC">
        <w:t xml:space="preserve"> 50 </w:t>
      </w:r>
      <w:r w:rsidR="003B3706" w:rsidRPr="003B3706">
        <w:t>мг</w:t>
      </w:r>
      <w:r w:rsidR="003B3706" w:rsidRPr="002F23BC">
        <w:t xml:space="preserve"> + </w:t>
      </w:r>
      <w:r w:rsidR="003B3706" w:rsidRPr="003B3706">
        <w:t>метотрексат</w:t>
      </w:r>
      <w:r w:rsidR="003B3706" w:rsidRPr="002F23BC">
        <w:t xml:space="preserve">, </w:t>
      </w:r>
      <w:r w:rsidR="003B3706" w:rsidRPr="003B3706">
        <w:t>обеспечивали</w:t>
      </w:r>
      <w:r w:rsidR="003B3706" w:rsidRPr="002F23BC">
        <w:t xml:space="preserve"> </w:t>
      </w:r>
      <w:r w:rsidR="003B3706" w:rsidRPr="003B3706">
        <w:t>значительный</w:t>
      </w:r>
      <w:r w:rsidR="003B3706" w:rsidRPr="002F23BC">
        <w:t xml:space="preserve"> </w:t>
      </w:r>
      <w:r w:rsidR="003B3706" w:rsidRPr="003B3706">
        <w:t>ответ</w:t>
      </w:r>
      <w:r w:rsidR="003B3706" w:rsidRPr="002F23BC">
        <w:t xml:space="preserve"> </w:t>
      </w:r>
      <w:r w:rsidR="003B3706" w:rsidRPr="003B3706">
        <w:t>по</w:t>
      </w:r>
      <w:r w:rsidR="003B3706" w:rsidRPr="002F23BC">
        <w:t xml:space="preserve"> </w:t>
      </w:r>
      <w:r w:rsidR="003B3706" w:rsidRPr="006C17AB">
        <w:rPr>
          <w:lang w:val="en-US"/>
        </w:rPr>
        <w:t>ACR</w:t>
      </w:r>
      <w:r w:rsidR="003B3706" w:rsidRPr="002F23BC">
        <w:t xml:space="preserve">20. </w:t>
      </w:r>
      <w:r w:rsidR="008D1254">
        <w:t>При</w:t>
      </w:r>
      <w:r w:rsidR="008D1254" w:rsidRPr="002F23BC">
        <w:t xml:space="preserve"> </w:t>
      </w:r>
      <w:r w:rsidR="008D1254">
        <w:t>оценке</w:t>
      </w:r>
      <w:r w:rsidR="008D1254" w:rsidRPr="002F23BC">
        <w:t xml:space="preserve"> </w:t>
      </w:r>
      <w:r w:rsidR="008D1254">
        <w:t>в</w:t>
      </w:r>
      <w:r w:rsidR="003B3706" w:rsidRPr="003B3706">
        <w:t>ероятност</w:t>
      </w:r>
      <w:r w:rsidR="008D1254">
        <w:t>и</w:t>
      </w:r>
      <w:r w:rsidR="003B3706" w:rsidRPr="002F23BC">
        <w:t xml:space="preserve"> </w:t>
      </w:r>
      <w:r w:rsidR="003B3706" w:rsidRPr="003B3706">
        <w:t>ранжирования, основанн</w:t>
      </w:r>
      <w:r w:rsidR="008D1254">
        <w:t>ой</w:t>
      </w:r>
      <w:r w:rsidR="003B3706" w:rsidRPr="003B3706">
        <w:t xml:space="preserve"> на п</w:t>
      </w:r>
      <w:r w:rsidR="003B3706">
        <w:t>лощади</w:t>
      </w:r>
      <w:r w:rsidR="003B3706" w:rsidRPr="003B3706">
        <w:t xml:space="preserve"> под кумулятивной кривой ранжирования, показал</w:t>
      </w:r>
      <w:r w:rsidR="008D1254">
        <w:t>и</w:t>
      </w:r>
      <w:r w:rsidR="003B3706" w:rsidRPr="003B3706">
        <w:t xml:space="preserve">, что </w:t>
      </w:r>
      <w:r w:rsidR="008D1254">
        <w:t xml:space="preserve">терапия </w:t>
      </w:r>
      <w:r w:rsidR="003B3706" w:rsidRPr="003B3706">
        <w:t>маврилимумаб 150 мг + метотрексат имел</w:t>
      </w:r>
      <w:r w:rsidR="008D1254">
        <w:t>а</w:t>
      </w:r>
      <w:r w:rsidR="003B3706" w:rsidRPr="003B3706">
        <w:t xml:space="preserve"> самую высокую вероятность лучшего исхода лечения с точки зрения частоты ответа </w:t>
      </w:r>
      <w:r w:rsidR="008D1254">
        <w:t xml:space="preserve">по </w:t>
      </w:r>
      <w:r w:rsidR="003B3706" w:rsidRPr="003B3706">
        <w:t>ACR20, за ним следовали маврилимумаб 100 мг + метотрексат, тофацитиниб 10 мг + метотрексат, тофацитиниб 5 мг + метотрексат, маврилимумаб 30 мг</w:t>
      </w:r>
      <w:r w:rsidR="008D1254">
        <w:t xml:space="preserve"> </w:t>
      </w:r>
      <w:r w:rsidR="003B3706" w:rsidRPr="003B3706">
        <w:t>+</w:t>
      </w:r>
      <w:r w:rsidR="008D1254">
        <w:t xml:space="preserve"> </w:t>
      </w:r>
      <w:r w:rsidR="003B3706" w:rsidRPr="003B3706">
        <w:t>метотрексат, маврилимумаб 50 мг</w:t>
      </w:r>
      <w:r w:rsidR="008D1254">
        <w:t xml:space="preserve"> </w:t>
      </w:r>
      <w:r w:rsidR="003B3706" w:rsidRPr="003B3706">
        <w:t>+</w:t>
      </w:r>
      <w:r w:rsidR="008D1254">
        <w:t xml:space="preserve"> </w:t>
      </w:r>
      <w:r w:rsidR="003B3706" w:rsidRPr="003B3706">
        <w:t>метотрексат и плацебо</w:t>
      </w:r>
      <w:r w:rsidR="008D1254">
        <w:t xml:space="preserve"> </w:t>
      </w:r>
      <w:r w:rsidR="003B3706" w:rsidRPr="003B3706">
        <w:t>+</w:t>
      </w:r>
      <w:r w:rsidR="008D1254">
        <w:t xml:space="preserve"> </w:t>
      </w:r>
      <w:r w:rsidR="003B3706" w:rsidRPr="003B3706">
        <w:t>метотрексат</w:t>
      </w:r>
      <w:r w:rsidR="00762861">
        <w:t xml:space="preserve"> </w:t>
      </w:r>
      <w:r w:rsidR="00B35CDB">
        <w:rPr>
          <w:lang w:val="en-GB"/>
        </w:rPr>
        <w:fldChar w:fldCharType="begin"/>
      </w:r>
      <w:r w:rsidR="0062670E">
        <w:instrText xml:space="preserve"> ADDIN ZOTERO_ITEM CSL_CITATION {"citationID":"TeBgs7Ya","properties":{"formattedCitation":"[46]","plainCitation":"[46]","noteIndex":0},"citationItems":[{"id":87773,"uris":["http://zotero.org/groups/4742804/items/HSR57QT8"],"itemData":{"id":87773,"type":"article-journal","abstract":"ObjectivesThe relative efficacy and safety of tofacitinib and mavrilimumab were assessed in patients with rheumatoid arthritis (RA) presenting an inadequate response to disease-modifying antirheumatic drugs (DMARDs).Materials and methodsWe performed a Bayesian network meta-analysis combining direct and indirect evidence from randomized controlled trials (RCTs) to examine the efficacy and safety of tofacitinib and mavrilimumab combined with DMARDs in patients with an inadequate response to DMARDs.ResultsIn total, 8 RCTs with 2,965 patients met inclusion criteria. 21 pairwise comparisons were performed, including 12 direct comparisons of 7 interventions. In patients with active RA and an inadequate DMARD response, mavrilimumab 150 mg+methotrexate (MTX) and mavrilimumab 100 mg+MTX were the most effective treatments. Compared with placebo+MTX, all tofacitinib and mavrilimumab doses, except mavrilimumab 50 mg+MTX, achieved significant ACR20 responses. The ranking probability based on the surface under the cumulative ranking curve indicated that mavrilimumab 150 mg+MTX had the highest probability for best treatment outcome in terms of the ACR20 response rate, followed by mavrilimumab 100 mg+MTX, tofacitinib 10 mg+MTX, tofacitinib 5 mg+MTX, mavrilimumab 30 mg+MTX, mavrilimumab 50 mg+MTX, and placebo+MTX. No significant differences were noted in the incidence of serious adverse events (SAEs) after tofacitinib+MTX, mavrilimumab+MTX, or placebo+MTX.ConclusionIn patients with RA showing inadequate DMARD response, mavrilimumab 150 mg+MTX and mavrilimumab 100 mg+MTX, followed by tofacitinib 10 mg+MTX and tofacitinib 5 mg+MTX, were the most efficacious interventions and were not associated with a significant risk of SAEs.","container-title":"International journal of clinical pharmacology and therapeutics","DOI":"10.5414/cp203979","ISSN":"0946-1965","issue":"8","journalAbbreviation":"Int J Clin Pharmacol Ther","language":"eng","note":"PMID: 33860755","page":"557-565","source":"Europe PMC","title":"Comparison of the efficacy and safety of tofacitinib and mavrilimumab in patients with active rheumatoid arthritis: A Bayesian network meta-analysis of randomized controlled trials","title-short":"Comparison of the efficacy and safety of tofacitinib and mavrilimumab in patients with active rheumatoid arthritis","volume":"59","author":[{"family":"Sung","given":"Yoon-Kyoung"},{"family":"Lee","given":"Young Ho"}],"issued":{"date-parts":[["2021",8,1]]}}}],"schema":"https://github.com/citation-style-language/schema/raw/master/csl-citation.json"} </w:instrText>
      </w:r>
      <w:r w:rsidR="00B35CDB">
        <w:rPr>
          <w:lang w:val="en-GB"/>
        </w:rPr>
        <w:fldChar w:fldCharType="separate"/>
      </w:r>
      <w:r w:rsidR="00DE2C35">
        <w:rPr>
          <w:rFonts w:cs="Times New Roman"/>
        </w:rPr>
        <w:t>[</w:t>
      </w:r>
      <w:r w:rsidR="00DE2C35" w:rsidRPr="00014867">
        <w:rPr>
          <w:rFonts w:cs="Times New Roman"/>
        </w:rPr>
        <w:t>24</w:t>
      </w:r>
      <w:r w:rsidR="0062670E" w:rsidRPr="0062670E">
        <w:rPr>
          <w:rFonts w:cs="Times New Roman"/>
        </w:rPr>
        <w:t>]</w:t>
      </w:r>
      <w:r w:rsidR="00B35CDB">
        <w:rPr>
          <w:lang w:val="en-GB"/>
        </w:rPr>
        <w:fldChar w:fldCharType="end"/>
      </w:r>
      <w:r w:rsidR="007B566B">
        <w:t>.</w:t>
      </w:r>
    </w:p>
    <w:p w14:paraId="2AF582DB" w14:textId="6BF86620" w:rsidR="00B940CC" w:rsidRDefault="00F13A65" w:rsidP="00382C19">
      <w:pPr>
        <w:pStyle w:val="SDText"/>
        <w:contextualSpacing/>
      </w:pPr>
      <w:r>
        <w:t>В</w:t>
      </w:r>
      <w:r w:rsidR="003462B0" w:rsidRPr="00CA28EA">
        <w:t xml:space="preserve"> </w:t>
      </w:r>
      <w:r w:rsidR="00CA28EA">
        <w:t xml:space="preserve">рандомизированном </w:t>
      </w:r>
      <w:r w:rsidR="00210857">
        <w:t xml:space="preserve">контролируемом </w:t>
      </w:r>
      <w:r w:rsidR="003462B0">
        <w:t xml:space="preserve">исследовании </w:t>
      </w:r>
      <w:r w:rsidR="003462B0" w:rsidRPr="003462B0">
        <w:t>ORAL Start</w:t>
      </w:r>
      <w:r w:rsidR="003462B0">
        <w:t xml:space="preserve"> </w:t>
      </w:r>
      <w:r w:rsidR="00210857">
        <w:t xml:space="preserve">фазы </w:t>
      </w:r>
      <w:r w:rsidR="00210857">
        <w:rPr>
          <w:lang w:val="en-US"/>
        </w:rPr>
        <w:t>III</w:t>
      </w:r>
      <w:r w:rsidR="00210857" w:rsidRPr="00210857">
        <w:t xml:space="preserve"> </w:t>
      </w:r>
      <w:r w:rsidR="0085218E">
        <w:t xml:space="preserve">длительностью 24 мес. </w:t>
      </w:r>
      <w:r w:rsidR="00210857">
        <w:t xml:space="preserve">сравнили эффективность </w:t>
      </w:r>
      <w:r w:rsidR="00D83FC9">
        <w:t xml:space="preserve">тофацитиниба и метотрексата у пациентов с РА, ранее не получавших метотрексат. </w:t>
      </w:r>
      <w:r w:rsidR="003A4A4C">
        <w:t>Пациентов рандомизировали на 3 группы</w:t>
      </w:r>
      <w:r w:rsidR="00374808">
        <w:t>: тофацитиниба в дозе 5 мг 2 раза в день (</w:t>
      </w:r>
      <w:r w:rsidR="00374808">
        <w:rPr>
          <w:lang w:val="en-US"/>
        </w:rPr>
        <w:t>n</w:t>
      </w:r>
      <w:r w:rsidR="00374808" w:rsidRPr="00374808">
        <w:t xml:space="preserve"> = 373)</w:t>
      </w:r>
      <w:r w:rsidR="00374808">
        <w:t>, тофацитиниба в дозе 10 мг 2 раза в день (</w:t>
      </w:r>
      <w:r w:rsidR="00374808">
        <w:rPr>
          <w:lang w:val="en-US"/>
        </w:rPr>
        <w:t>n</w:t>
      </w:r>
      <w:r w:rsidR="00374808" w:rsidRPr="00374808">
        <w:t xml:space="preserve"> = 3</w:t>
      </w:r>
      <w:r w:rsidR="00012594">
        <w:t>97</w:t>
      </w:r>
      <w:r w:rsidR="00374808" w:rsidRPr="00374808">
        <w:t>)</w:t>
      </w:r>
      <w:r w:rsidR="00012594">
        <w:t xml:space="preserve"> и метотрексата</w:t>
      </w:r>
      <w:r w:rsidR="007D36F0">
        <w:t xml:space="preserve"> в начальной дозе 10 мг</w:t>
      </w:r>
      <w:r w:rsidR="007B52D3">
        <w:t xml:space="preserve"> в неделю с последующим увеличением на 5 мг в неделю каждый месяц </w:t>
      </w:r>
      <w:r w:rsidR="00EA2BE4">
        <w:t>и достижением 20 мг в неделю к неделе 8</w:t>
      </w:r>
      <w:r w:rsidR="000450A0">
        <w:t xml:space="preserve"> </w:t>
      </w:r>
      <w:r w:rsidR="00012594">
        <w:t>(</w:t>
      </w:r>
      <w:r w:rsidR="00012594">
        <w:rPr>
          <w:lang w:val="en-US"/>
        </w:rPr>
        <w:t>n</w:t>
      </w:r>
      <w:r w:rsidR="00012594" w:rsidRPr="00012594">
        <w:t xml:space="preserve"> = 186)</w:t>
      </w:r>
      <w:r w:rsidR="00012594">
        <w:t xml:space="preserve">. </w:t>
      </w:r>
      <w:r w:rsidR="006971EE">
        <w:t xml:space="preserve">В ходе исследования пациенты оценивали состояние с помощью </w:t>
      </w:r>
      <w:r w:rsidR="00640DF1">
        <w:t>шкал</w:t>
      </w:r>
      <w:r w:rsidR="005C12DA">
        <w:t>ы</w:t>
      </w:r>
      <w:r w:rsidR="00640DF1">
        <w:t xml:space="preserve"> общей оценки пациентом заболевания (</w:t>
      </w:r>
      <w:r w:rsidR="00640DF1" w:rsidRPr="00640DF1">
        <w:t>Patient Global Assessment of disease</w:t>
      </w:r>
      <w:r w:rsidR="00640DF1">
        <w:t xml:space="preserve">, </w:t>
      </w:r>
      <w:r w:rsidR="005C12DA" w:rsidRPr="005C12DA">
        <w:t>PtGA</w:t>
      </w:r>
      <w:r w:rsidR="005C12DA">
        <w:t>), определения выраженности боли</w:t>
      </w:r>
      <w:r w:rsidR="00F819A1">
        <w:t xml:space="preserve"> по 100-мм визуальной аналоговой шкале (ВАШ)</w:t>
      </w:r>
      <w:r w:rsidR="005C12DA">
        <w:t xml:space="preserve">, </w:t>
      </w:r>
      <w:r w:rsidR="005C12DA" w:rsidRPr="00F113CA">
        <w:rPr>
          <w:rFonts w:cs="Times New Roman"/>
          <w:lang w:val="en-US"/>
        </w:rPr>
        <w:t>HAQ</w:t>
      </w:r>
      <w:r w:rsidR="005C12DA" w:rsidRPr="00DB3E19">
        <w:rPr>
          <w:rFonts w:cs="Times New Roman"/>
        </w:rPr>
        <w:t>-</w:t>
      </w:r>
      <w:r w:rsidR="005C12DA" w:rsidRPr="00F113CA">
        <w:rPr>
          <w:rFonts w:cs="Times New Roman"/>
          <w:lang w:val="en-US"/>
        </w:rPr>
        <w:t>DI</w:t>
      </w:r>
      <w:r w:rsidR="001B04C9">
        <w:rPr>
          <w:rFonts w:cs="Times New Roman"/>
        </w:rPr>
        <w:t xml:space="preserve">, опросника для оценки функционального состояния </w:t>
      </w:r>
      <w:r w:rsidR="00FF5D1F">
        <w:rPr>
          <w:rFonts w:cs="Times New Roman"/>
        </w:rPr>
        <w:t>при лечении хронического заболевания-подшкале усталости (</w:t>
      </w:r>
      <w:r w:rsidR="00FF5D1F" w:rsidRPr="00FF5D1F">
        <w:rPr>
          <w:rFonts w:cs="Times New Roman"/>
        </w:rPr>
        <w:t>Functional Assessment of Chronic Illness</w:t>
      </w:r>
      <w:r w:rsidR="00FF5D1F">
        <w:rPr>
          <w:rFonts w:cs="Times New Roman"/>
        </w:rPr>
        <w:t xml:space="preserve"> </w:t>
      </w:r>
      <w:r w:rsidR="00FF5D1F" w:rsidRPr="00FF5D1F">
        <w:rPr>
          <w:rFonts w:cs="Times New Roman"/>
        </w:rPr>
        <w:t>Therapy-Fatigue</w:t>
      </w:r>
      <w:r w:rsidR="00FF5D1F">
        <w:rPr>
          <w:rFonts w:cs="Times New Roman"/>
        </w:rPr>
        <w:t xml:space="preserve">, </w:t>
      </w:r>
      <w:r w:rsidR="00255927" w:rsidRPr="00255927">
        <w:rPr>
          <w:rFonts w:cs="Times New Roman"/>
        </w:rPr>
        <w:t>FACIT-F</w:t>
      </w:r>
      <w:r w:rsidR="00FF5D1F">
        <w:rPr>
          <w:rFonts w:cs="Times New Roman"/>
        </w:rPr>
        <w:t>)</w:t>
      </w:r>
      <w:r w:rsidR="00374808">
        <w:t xml:space="preserve"> </w:t>
      </w:r>
      <w:r w:rsidR="00255927">
        <w:t>и оценки качества жизни, связанного со здоровьем</w:t>
      </w:r>
      <w:r w:rsidR="000450A0">
        <w:t>,</w:t>
      </w:r>
      <w:r w:rsidR="00255927">
        <w:t xml:space="preserve"> по краткой </w:t>
      </w:r>
      <w:r w:rsidR="00E31BF9">
        <w:t xml:space="preserve">форме </w:t>
      </w:r>
      <w:r w:rsidR="00255927">
        <w:t>шкал</w:t>
      </w:r>
      <w:r w:rsidR="00E31BF9">
        <w:t>ы</w:t>
      </w:r>
      <w:r w:rsidR="00255927">
        <w:t xml:space="preserve"> оценки качества жизни</w:t>
      </w:r>
      <w:r w:rsidR="00E31BF9">
        <w:t>, состоящей из 36 пунктов (</w:t>
      </w:r>
      <w:r w:rsidR="00E31BF9" w:rsidRPr="00E31BF9">
        <w:t>Short Form-36</w:t>
      </w:r>
      <w:r w:rsidR="00E31BF9">
        <w:t xml:space="preserve">, </w:t>
      </w:r>
      <w:r w:rsidR="00E31BF9" w:rsidRPr="00E31BF9">
        <w:t>SF</w:t>
      </w:r>
      <w:r w:rsidR="00FF7F06" w:rsidRPr="00FF7F06">
        <w:t xml:space="preserve"> 36 item</w:t>
      </w:r>
      <w:r w:rsidR="00E31BF9" w:rsidRPr="00E31BF9">
        <w:t>).</w:t>
      </w:r>
      <w:r w:rsidR="0029279E">
        <w:t xml:space="preserve"> </w:t>
      </w:r>
      <w:r w:rsidR="000305E3">
        <w:t xml:space="preserve">На фоне терапии тофацитинибом и метотрексатом оценка состояния пациентами улучшалась. </w:t>
      </w:r>
      <w:r w:rsidR="00237022">
        <w:t xml:space="preserve">У </w:t>
      </w:r>
      <w:r w:rsidR="00B728AA">
        <w:t>пациентов, получавших тофацитиниб, отмечали ранний ответ на терапию, который был стати</w:t>
      </w:r>
      <w:r w:rsidR="00B338B8">
        <w:t>стически значимо более выраженным у больных из обеих групп тофацитиниба, по сравнению с больными из группы метотрексата с 3 по 24 мес. лечения.</w:t>
      </w:r>
      <w:r w:rsidR="00A1229B">
        <w:t xml:space="preserve"> </w:t>
      </w:r>
      <w:r w:rsidR="002152C3">
        <w:t xml:space="preserve">Через 6 мес. статистически значимое улучшение у пациентов из групп тофацитиниба в сравнении с больными из группы метотрексата определили для показателей по </w:t>
      </w:r>
      <w:r w:rsidR="000464DB">
        <w:t xml:space="preserve">PtGA, </w:t>
      </w:r>
      <w:r w:rsidR="00F272A4">
        <w:t>выраженности боли</w:t>
      </w:r>
      <w:r w:rsidR="00F819A1">
        <w:t xml:space="preserve"> по ВАШ</w:t>
      </w:r>
      <w:r w:rsidR="000464DB" w:rsidRPr="000464DB">
        <w:t xml:space="preserve">, </w:t>
      </w:r>
      <w:r w:rsidR="000464DB" w:rsidRPr="000464DB">
        <w:rPr>
          <w:lang w:val="en-US"/>
        </w:rPr>
        <w:t>HAQ</w:t>
      </w:r>
      <w:r w:rsidR="000464DB" w:rsidRPr="000464DB">
        <w:t>-</w:t>
      </w:r>
      <w:r w:rsidR="000464DB" w:rsidRPr="000464DB">
        <w:rPr>
          <w:lang w:val="en-US"/>
        </w:rPr>
        <w:t>DI</w:t>
      </w:r>
      <w:r w:rsidR="000464DB" w:rsidRPr="000464DB">
        <w:t xml:space="preserve">, </w:t>
      </w:r>
      <w:r w:rsidR="00EC51F0">
        <w:t xml:space="preserve">показателю физического компонента </w:t>
      </w:r>
      <w:r w:rsidR="00F342A6" w:rsidRPr="009626D6">
        <w:t>Кратк</w:t>
      </w:r>
      <w:r w:rsidR="00F342A6">
        <w:t>ой</w:t>
      </w:r>
      <w:r w:rsidR="00F342A6" w:rsidRPr="009626D6">
        <w:t xml:space="preserve"> форм</w:t>
      </w:r>
      <w:r w:rsidR="00F342A6">
        <w:t>ы</w:t>
      </w:r>
      <w:r w:rsidR="00F342A6" w:rsidRPr="009626D6">
        <w:t xml:space="preserve"> шкалы оценки качества жизни, состоящей из 36 пунктов (Short Form item</w:t>
      </w:r>
      <w:r w:rsidR="00F342A6">
        <w:t xml:space="preserve"> </w:t>
      </w:r>
      <w:r w:rsidR="00F342A6" w:rsidRPr="009626D6">
        <w:t>36</w:t>
      </w:r>
      <w:r w:rsidR="00F342A6">
        <w:t xml:space="preserve">, </w:t>
      </w:r>
      <w:r w:rsidR="000464DB" w:rsidRPr="000464DB">
        <w:rPr>
          <w:lang w:val="en-US"/>
        </w:rPr>
        <w:t>SF</w:t>
      </w:r>
      <w:r w:rsidR="000464DB" w:rsidRPr="000464DB">
        <w:t>-36</w:t>
      </w:r>
      <w:r w:rsidR="00F342A6">
        <w:t>)</w:t>
      </w:r>
      <w:r w:rsidR="000464DB" w:rsidRPr="000464DB">
        <w:t>, 5</w:t>
      </w:r>
      <w:r w:rsidR="00EC51F0">
        <w:t xml:space="preserve"> из </w:t>
      </w:r>
      <w:r w:rsidR="000464DB" w:rsidRPr="000464DB">
        <w:t xml:space="preserve">8 </w:t>
      </w:r>
      <w:r w:rsidR="00EC51F0">
        <w:t xml:space="preserve">доменов и </w:t>
      </w:r>
      <w:r w:rsidR="000464DB" w:rsidRPr="000464DB">
        <w:rPr>
          <w:lang w:val="en-US"/>
        </w:rPr>
        <w:t>FACIT</w:t>
      </w:r>
      <w:r w:rsidR="000464DB" w:rsidRPr="000464DB">
        <w:t>-</w:t>
      </w:r>
      <w:r w:rsidR="000464DB" w:rsidRPr="000464DB">
        <w:rPr>
          <w:lang w:val="en-US"/>
        </w:rPr>
        <w:t>F</w:t>
      </w:r>
      <w:r w:rsidR="000464DB" w:rsidRPr="000464DB">
        <w:t xml:space="preserve"> </w:t>
      </w:r>
      <w:r w:rsidR="000464DB">
        <w:t xml:space="preserve">для дозы </w:t>
      </w:r>
      <w:r w:rsidR="000464DB" w:rsidRPr="000464DB">
        <w:t xml:space="preserve">5 </w:t>
      </w:r>
      <w:r w:rsidR="000464DB">
        <w:t>мг 2 раза в день</w:t>
      </w:r>
      <w:r w:rsidR="000464DB" w:rsidRPr="000464DB">
        <w:t xml:space="preserve">; </w:t>
      </w:r>
      <w:r w:rsidR="000464DB">
        <w:t>для всех оцениваемых показателей</w:t>
      </w:r>
      <w:r w:rsidR="000464DB" w:rsidRPr="000464DB">
        <w:t xml:space="preserve">, </w:t>
      </w:r>
      <w:r w:rsidR="000464DB">
        <w:t xml:space="preserve">за исключением </w:t>
      </w:r>
      <w:r w:rsidR="00F3428E">
        <w:t>психического компонента суммарной оценки и медицинск</w:t>
      </w:r>
      <w:r w:rsidR="002D18F7">
        <w:t>их</w:t>
      </w:r>
      <w:r w:rsidR="00F3428E">
        <w:t xml:space="preserve"> исход</w:t>
      </w:r>
      <w:r w:rsidR="002D18F7">
        <w:t>ов</w:t>
      </w:r>
      <w:r w:rsidR="00F3428E">
        <w:t xml:space="preserve"> по опроснику сна </w:t>
      </w:r>
      <w:r w:rsidR="000464DB" w:rsidRPr="000464DB">
        <w:rPr>
          <w:lang w:val="en-US"/>
        </w:rPr>
        <w:t>SF</w:t>
      </w:r>
      <w:r w:rsidR="000464DB" w:rsidRPr="000464DB">
        <w:t>-36</w:t>
      </w:r>
      <w:r w:rsidR="002D18F7">
        <w:t xml:space="preserve"> при дозе</w:t>
      </w:r>
      <w:r w:rsidR="000464DB" w:rsidRPr="000464DB">
        <w:t xml:space="preserve"> 10 </w:t>
      </w:r>
      <w:r w:rsidR="002D18F7">
        <w:t>мг 2 раза в день</w:t>
      </w:r>
      <w:r w:rsidR="004D0F74">
        <w:t xml:space="preserve">. Через 6 мес. от начала терапии </w:t>
      </w:r>
      <w:r w:rsidR="00D52051">
        <w:t xml:space="preserve">доля пациентов с улучшением </w:t>
      </w:r>
      <w:r w:rsidR="00D52051">
        <w:rPr>
          <w:rFonts w:cs="Times New Roman"/>
        </w:rPr>
        <w:t>≥</w:t>
      </w:r>
      <w:r w:rsidR="00D52051">
        <w:t xml:space="preserve"> минимально</w:t>
      </w:r>
      <w:r w:rsidR="00C82FFE">
        <w:t>й клинически значимой разницы</w:t>
      </w:r>
      <w:r w:rsidR="00A251BB">
        <w:t xml:space="preserve"> была статистически значимо выше </w:t>
      </w:r>
      <w:r w:rsidR="00830DED">
        <w:t>по показател</w:t>
      </w:r>
      <w:r w:rsidR="00443617">
        <w:t xml:space="preserve">ю </w:t>
      </w:r>
      <w:r w:rsidR="00443617" w:rsidRPr="00443617">
        <w:t xml:space="preserve">PtGA </w:t>
      </w:r>
      <w:r w:rsidR="00443617">
        <w:t xml:space="preserve">и </w:t>
      </w:r>
      <w:r w:rsidR="00443617" w:rsidRPr="00443617">
        <w:t>3</w:t>
      </w:r>
      <w:r w:rsidR="00443617">
        <w:t xml:space="preserve"> из </w:t>
      </w:r>
      <w:r w:rsidR="00443617" w:rsidRPr="00443617">
        <w:t xml:space="preserve">8 </w:t>
      </w:r>
      <w:r w:rsidR="00443617">
        <w:t xml:space="preserve">доменов </w:t>
      </w:r>
      <w:r w:rsidR="00443617" w:rsidRPr="00443617">
        <w:t>SF-36</w:t>
      </w:r>
      <w:r w:rsidR="006958D7">
        <w:t>,</w:t>
      </w:r>
      <w:r w:rsidR="00A1229B">
        <w:t xml:space="preserve"> </w:t>
      </w:r>
      <w:r w:rsidR="006958D7">
        <w:t>в группе тофацитиниба в дозе 10 мг 2 раза в день в сравнении с группой метотрексата</w:t>
      </w:r>
      <w:r w:rsidR="002D18F7">
        <w:t xml:space="preserve"> </w:t>
      </w:r>
      <w:r w:rsidR="006958D7">
        <w:t xml:space="preserve">по показателю </w:t>
      </w:r>
      <w:r w:rsidR="006958D7" w:rsidRPr="006958D7">
        <w:rPr>
          <w:lang w:val="en-US"/>
        </w:rPr>
        <w:t>PtGA</w:t>
      </w:r>
      <w:r w:rsidR="006958D7" w:rsidRPr="006958D7">
        <w:t xml:space="preserve">, </w:t>
      </w:r>
      <w:r w:rsidR="006958D7">
        <w:t>выраженности боли</w:t>
      </w:r>
      <w:r w:rsidR="00F819A1">
        <w:t xml:space="preserve"> по ВАШ</w:t>
      </w:r>
      <w:r w:rsidR="006958D7" w:rsidRPr="006958D7">
        <w:t xml:space="preserve">, </w:t>
      </w:r>
      <w:r w:rsidR="006958D7" w:rsidRPr="006958D7">
        <w:rPr>
          <w:lang w:val="en-US"/>
        </w:rPr>
        <w:t>HAQ</w:t>
      </w:r>
      <w:r w:rsidR="006958D7" w:rsidRPr="006958D7">
        <w:t>-</w:t>
      </w:r>
      <w:r w:rsidR="006958D7" w:rsidRPr="006958D7">
        <w:rPr>
          <w:lang w:val="en-US"/>
        </w:rPr>
        <w:t>DI</w:t>
      </w:r>
      <w:r w:rsidR="006958D7" w:rsidRPr="006958D7">
        <w:t xml:space="preserve">, </w:t>
      </w:r>
      <w:r w:rsidR="003115F0">
        <w:t xml:space="preserve">физическому компоненту и </w:t>
      </w:r>
      <w:r w:rsidR="003115F0" w:rsidRPr="006958D7">
        <w:t>4</w:t>
      </w:r>
      <w:r w:rsidR="003115F0">
        <w:t xml:space="preserve"> из </w:t>
      </w:r>
      <w:r w:rsidR="003115F0" w:rsidRPr="006958D7">
        <w:t xml:space="preserve">8 </w:t>
      </w:r>
      <w:r w:rsidR="003115F0">
        <w:t>доменов</w:t>
      </w:r>
      <w:r w:rsidR="003115F0" w:rsidRPr="006958D7">
        <w:t xml:space="preserve"> </w:t>
      </w:r>
      <w:r w:rsidR="006958D7" w:rsidRPr="006958D7">
        <w:rPr>
          <w:lang w:val="en-US"/>
        </w:rPr>
        <w:t>SF</w:t>
      </w:r>
      <w:r w:rsidR="006958D7" w:rsidRPr="006958D7">
        <w:t>-36</w:t>
      </w:r>
      <w:r w:rsidR="003115F0">
        <w:t xml:space="preserve">, а также </w:t>
      </w:r>
      <w:r w:rsidR="006958D7" w:rsidRPr="006958D7">
        <w:rPr>
          <w:lang w:val="en-US"/>
        </w:rPr>
        <w:t>FACIT</w:t>
      </w:r>
      <w:r w:rsidR="006958D7" w:rsidRPr="006958D7">
        <w:t>-</w:t>
      </w:r>
      <w:r w:rsidR="006958D7" w:rsidRPr="006958D7">
        <w:rPr>
          <w:lang w:val="en-US"/>
        </w:rPr>
        <w:t>F</w:t>
      </w:r>
      <w:r w:rsidR="006958D7" w:rsidRPr="006958D7">
        <w:t xml:space="preserve"> </w:t>
      </w:r>
      <w:r w:rsidR="00821E55">
        <w:fldChar w:fldCharType="begin"/>
      </w:r>
      <w:r w:rsidR="0062670E">
        <w:instrText xml:space="preserve"> ADDIN ZOTERO_ITEM CSL_CITATION {"citationID":"cVMccopd","properties":{"formattedCitation":"[47]","plainCitation":"[47]","noteIndex":0},"citationItems":[{"id":87798,"uris":["http://zotero.org/groups/4742804/items/PBIHWU23"],"itemData":{"id":87798,"type":"article-journal","abstract":"Objectives To compare patient-reported outcomes (PROs) in methotrexate (MTX)-naive patients (defined as no prior treatment or ≤3 doses) receiving tofacitinib versus MTX.\nMethods In the 24-month, phase III, randomised, controlled, ORAL Start trial (NCT01039688), patients were randomised 2:2:1 to receive tofacitinib 5 mg two times per day (n=373), tofacitinib 10 mg two times per day (n=397) or MTX (n=186). PROs assessed included Patient Global Assessment of disease (PtGA), pain, Health Assessment Questionnaire-Disability Index (HAQ-DI), Functional Assessment of Chronic Illness Therapy-Fatigue (FACIT-F) and health-related quality of life (Short Form-36 [SF-36]).\nResults PROs improved following tofacitinib and MTX treatment: benefits were sustained over 24 months. Patients receiving tofacitinib reported earlier responses which were significantly different between each tofacitinib dose and MTX at month 3 through month 24. At month 6 (primary end point), significant improvements versus MTX were observed in PtGA, pain, HAQ-DI, SF-36 Physical Component Summary (PCS), 5/8 domain scores and FACIT-F with tofacitinib 5 mg two times per day; all PROs, except SF-36 Mental Component Summary Score and Medical Outcomes Survey-Sleep, with tofacitinib 10 mg two times per day. At month 6, the proportion of patients reporting improvements ≥minimum clinically important difference were significant versus MTX with tofacitinib 5 mg two times per day in PtGA and 3/8 SF-36 domains; and with tofacitinib 10 mg two times per day in PtGA, pain, HAQ-DI, SF-36 PCS, 4/8 domains and FACIT-F.\nConclusions Patients with rheumatoid arthritis receiving tofacitinib 5 and 10 mg two times per day monotherapy versus MTX reported statistically significant and clinically meaningful improvements in multiple PROs over 24 months; onset of benefit with tofacitinib treatment occurred earlier.\nTrial registration number NCT01039688.","container-title":"RMD Open","DOI":"10.1136/rmdopen-2016-000308","ISSN":"2056-5933","issue":"2","language":"en","license":"Published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BMJ Specialist Journals\nsection: Rheumatoid arthritis","page":"e000308","source":"rmdopen.bmj.com","title":"Tofacitinib versus methotrexate in rheumatoid arthritis: patient-reported outcomes from the randomised phase III ORAL Start trial","title-short":"Tofacitinib versus methotrexate in rheumatoid arthritis","volume":"2","author":[{"family":"Strand","given":"Vibeke"},{"family":"Lee","given":"Eun Bong"},{"family":"Fleischmann","given":"Roy"},{"family":"Alten","given":"Rieke E."},{"family":"Koncz","given":"Tamas"},{"family":"Zwillich","given":"Samuel H."},{"family":"Gruben","given":"David"},{"family":"Wilkinson","given":"Bethanie"},{"family":"Krishnaswami","given":"Sriram"},{"family":"Wallenstein","given":"Gene"}],"issued":{"date-parts":[["2016",9,1]]}}}],"schema":"https://github.com/citation-style-language/schema/raw/master/csl-citation.json"} </w:instrText>
      </w:r>
      <w:r w:rsidR="00821E55">
        <w:fldChar w:fldCharType="separate"/>
      </w:r>
      <w:r w:rsidR="00DE2C35">
        <w:rPr>
          <w:rFonts w:cs="Times New Roman"/>
        </w:rPr>
        <w:t>[</w:t>
      </w:r>
      <w:r w:rsidR="00DE2C35" w:rsidRPr="00014867">
        <w:rPr>
          <w:rFonts w:cs="Times New Roman"/>
        </w:rPr>
        <w:t>25</w:t>
      </w:r>
      <w:r w:rsidR="0062670E" w:rsidRPr="0062670E">
        <w:rPr>
          <w:rFonts w:cs="Times New Roman"/>
        </w:rPr>
        <w:t>]</w:t>
      </w:r>
      <w:r w:rsidR="00821E55">
        <w:fldChar w:fldCharType="end"/>
      </w:r>
      <w:r w:rsidR="00F272A4">
        <w:t>.</w:t>
      </w:r>
    </w:p>
    <w:p w14:paraId="3372CB84" w14:textId="51E2B2A7" w:rsidR="002F5B6A" w:rsidRDefault="002F5B6A" w:rsidP="00A85CAC">
      <w:pPr>
        <w:pStyle w:val="SDText"/>
        <w:spacing w:after="0"/>
        <w:ind w:firstLine="0"/>
        <w:contextualSpacing/>
      </w:pPr>
    </w:p>
    <w:p w14:paraId="00EC96A6" w14:textId="38815E2C" w:rsidR="002F5B6A" w:rsidRDefault="002F5B6A" w:rsidP="00A85CAC">
      <w:pPr>
        <w:pStyle w:val="SDText"/>
        <w:spacing w:after="0"/>
        <w:ind w:firstLine="0"/>
        <w:contextualSpacing/>
        <w:rPr>
          <w:b/>
        </w:rPr>
      </w:pPr>
      <w:r w:rsidRPr="002F5B6A">
        <w:rPr>
          <w:b/>
        </w:rPr>
        <w:t>Сводные данные по эффективности у пациентов с ревматоидным артритом</w:t>
      </w:r>
    </w:p>
    <w:p w14:paraId="44E1DC83" w14:textId="77777777" w:rsidR="006965B5" w:rsidRDefault="006965B5" w:rsidP="00A85CAC">
      <w:pPr>
        <w:pStyle w:val="SDText"/>
        <w:spacing w:after="0"/>
      </w:pPr>
    </w:p>
    <w:p w14:paraId="56069A5F" w14:textId="04891597" w:rsidR="002F5B6A" w:rsidRPr="006965B5" w:rsidRDefault="00400AEE" w:rsidP="00A85CAC">
      <w:pPr>
        <w:pStyle w:val="SDText"/>
        <w:spacing w:after="0"/>
      </w:pPr>
      <w:r w:rsidRPr="006965B5">
        <w:t>Доля</w:t>
      </w:r>
      <w:r w:rsidR="00EC30A9" w:rsidRPr="006965B5">
        <w:t xml:space="preserve"> пациентов, получавших тофацитиниб, достигших ACR20, ACR50 и ACR70 в </w:t>
      </w:r>
      <w:r w:rsidRPr="006965B5">
        <w:t>исследованиях</w:t>
      </w:r>
      <w:r w:rsidR="00EC30A9" w:rsidRPr="006965B5">
        <w:t xml:space="preserve"> </w:t>
      </w:r>
      <w:r w:rsidR="005A2292" w:rsidRPr="006965B5">
        <w:t xml:space="preserve">ORAL Solo, ORAL Sync, ORAL Standard, ORAL Scan, ORAL Step, ORAL Start и ORAL Strategy </w:t>
      </w:r>
      <w:r w:rsidR="00EC30A9" w:rsidRPr="006965B5">
        <w:t>п</w:t>
      </w:r>
      <w:r w:rsidR="005A2292" w:rsidRPr="006965B5">
        <w:t>редставлена</w:t>
      </w:r>
      <w:r w:rsidR="00EC30A9" w:rsidRPr="006965B5">
        <w:t xml:space="preserve"> </w:t>
      </w:r>
      <w:r w:rsidR="005A2292" w:rsidRPr="006965B5">
        <w:t>ниже (</w:t>
      </w:r>
      <w:r w:rsidR="005A2292" w:rsidRPr="006965B5">
        <w:fldChar w:fldCharType="begin"/>
      </w:r>
      <w:r w:rsidR="005A2292" w:rsidRPr="006965B5">
        <w:instrText xml:space="preserve"> REF _Ref120706453 \h </w:instrText>
      </w:r>
      <w:r w:rsidR="006965B5" w:rsidRPr="006965B5">
        <w:instrText xml:space="preserve"> \* MERGEFORMAT </w:instrText>
      </w:r>
      <w:r w:rsidR="005A2292" w:rsidRPr="006965B5">
        <w:fldChar w:fldCharType="separate"/>
      </w:r>
      <w:r w:rsidR="00383E6F" w:rsidRPr="006965B5">
        <w:rPr>
          <w:bCs/>
        </w:rPr>
        <w:t xml:space="preserve">Таблица </w:t>
      </w:r>
      <w:r w:rsidR="00383E6F" w:rsidRPr="006965B5">
        <w:rPr>
          <w:bCs/>
          <w:noProof/>
        </w:rPr>
        <w:t>4</w:t>
      </w:r>
      <w:r w:rsidR="00383E6F" w:rsidRPr="006965B5">
        <w:rPr>
          <w:bCs/>
        </w:rPr>
        <w:noBreakHyphen/>
      </w:r>
      <w:r w:rsidR="00383E6F" w:rsidRPr="006965B5">
        <w:rPr>
          <w:bCs/>
          <w:noProof/>
        </w:rPr>
        <w:t>5</w:t>
      </w:r>
      <w:r w:rsidR="005A2292" w:rsidRPr="006965B5">
        <w:fldChar w:fldCharType="end"/>
      </w:r>
      <w:r w:rsidR="005A2292" w:rsidRPr="006965B5">
        <w:t>)</w:t>
      </w:r>
      <w:r w:rsidR="00EC30A9" w:rsidRPr="006965B5">
        <w:t>. Во всех исследованиях пациенты</w:t>
      </w:r>
      <w:r w:rsidR="005A2292" w:rsidRPr="006965B5">
        <w:t>, которые</w:t>
      </w:r>
      <w:r w:rsidR="00EC30A9" w:rsidRPr="006965B5">
        <w:t xml:space="preserve"> получали </w:t>
      </w:r>
      <w:r w:rsidR="005A2292" w:rsidRPr="006965B5">
        <w:t>тофацитиниб в дозе</w:t>
      </w:r>
      <w:r w:rsidR="00EC30A9" w:rsidRPr="006965B5">
        <w:t xml:space="preserve"> 5 </w:t>
      </w:r>
      <w:r w:rsidR="005A2292" w:rsidRPr="006965B5">
        <w:t>или</w:t>
      </w:r>
      <w:r w:rsidR="00EC30A9" w:rsidRPr="006965B5">
        <w:t xml:space="preserve"> 10 мг </w:t>
      </w:r>
      <w:r w:rsidR="005A2292" w:rsidRPr="006965B5">
        <w:t>2 раза в день,</w:t>
      </w:r>
      <w:r w:rsidR="00EC30A9" w:rsidRPr="006965B5">
        <w:t xml:space="preserve"> имел</w:t>
      </w:r>
      <w:r w:rsidR="005A2292" w:rsidRPr="006965B5">
        <w:t>и</w:t>
      </w:r>
      <w:r w:rsidR="00EC30A9" w:rsidRPr="006965B5">
        <w:t xml:space="preserve"> статистически значимые </w:t>
      </w:r>
      <w:r w:rsidR="005A2292" w:rsidRPr="006965B5">
        <w:t>различия по</w:t>
      </w:r>
      <w:r w:rsidR="00EC30A9" w:rsidRPr="006965B5">
        <w:t xml:space="preserve"> ACR20, ACR50 и ACR70 через 3 мес. и 6 ме</w:t>
      </w:r>
      <w:r w:rsidR="00511521" w:rsidRPr="006965B5">
        <w:t>с.</w:t>
      </w:r>
      <w:r w:rsidR="00EC30A9" w:rsidRPr="006965B5">
        <w:t xml:space="preserve"> по сравнению с</w:t>
      </w:r>
      <w:r w:rsidR="00511521" w:rsidRPr="006965B5">
        <w:t>о значениями у больных из группы</w:t>
      </w:r>
      <w:r w:rsidR="00EC30A9" w:rsidRPr="006965B5">
        <w:t xml:space="preserve"> плацебо (или по сравнению с</w:t>
      </w:r>
      <w:r w:rsidR="00511521" w:rsidRPr="006965B5">
        <w:t>о значениями у пациентов из группы</w:t>
      </w:r>
      <w:r w:rsidR="00EC30A9" w:rsidRPr="006965B5">
        <w:t xml:space="preserve"> метотрексат</w:t>
      </w:r>
      <w:r w:rsidR="00511521" w:rsidRPr="006965B5">
        <w:t>а</w:t>
      </w:r>
      <w:r w:rsidR="00EC30A9" w:rsidRPr="006965B5">
        <w:t xml:space="preserve"> в </w:t>
      </w:r>
      <w:r w:rsidR="00511521" w:rsidRPr="006965B5">
        <w:t>исследовании</w:t>
      </w:r>
      <w:r w:rsidR="00D60C77" w:rsidRPr="006965B5">
        <w:t xml:space="preserve"> </w:t>
      </w:r>
      <w:r w:rsidR="00EC30A9" w:rsidRPr="006965B5">
        <w:t xml:space="preserve">ORAL Start) </w:t>
      </w:r>
      <w:r w:rsidR="001970CF" w:rsidRPr="006965B5">
        <w:fldChar w:fldCharType="begin"/>
      </w:r>
      <w:r w:rsidR="001970CF" w:rsidRPr="006965B5">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1970CF" w:rsidRPr="006965B5">
        <w:fldChar w:fldCharType="separate"/>
      </w:r>
      <w:r w:rsidR="001970CF" w:rsidRPr="006965B5">
        <w:t>[2]</w:t>
      </w:r>
      <w:r w:rsidR="001970CF" w:rsidRPr="006965B5">
        <w:fldChar w:fldCharType="end"/>
      </w:r>
      <w:r w:rsidR="001970CF" w:rsidRPr="006965B5">
        <w:t>.</w:t>
      </w:r>
    </w:p>
    <w:p w14:paraId="1819D2C7" w14:textId="7CDFA6C0" w:rsidR="007E286B" w:rsidRPr="006965B5" w:rsidRDefault="007E286B" w:rsidP="006965B5">
      <w:pPr>
        <w:pStyle w:val="SDText"/>
        <w:spacing w:after="0"/>
      </w:pPr>
      <w:r w:rsidRPr="006965B5">
        <w:lastRenderedPageBreak/>
        <w:t xml:space="preserve">В ходе </w:t>
      </w:r>
      <w:r w:rsidR="00D60C77" w:rsidRPr="006965B5">
        <w:t>исследования</w:t>
      </w:r>
      <w:r w:rsidRPr="006965B5">
        <w:t xml:space="preserve"> ORAL </w:t>
      </w:r>
      <w:r w:rsidR="00D60C77" w:rsidRPr="006965B5">
        <w:t xml:space="preserve">Strategy </w:t>
      </w:r>
      <w:r w:rsidRPr="006965B5">
        <w:t xml:space="preserve">ответ на </w:t>
      </w:r>
      <w:r w:rsidR="00D60C77" w:rsidRPr="006965B5">
        <w:t xml:space="preserve">терапию </w:t>
      </w:r>
      <w:r w:rsidRPr="006965B5">
        <w:t>тофацитиниб</w:t>
      </w:r>
      <w:r w:rsidR="00D60C77" w:rsidRPr="006965B5">
        <w:t>ом</w:t>
      </w:r>
      <w:r w:rsidRPr="006965B5">
        <w:t xml:space="preserve"> в дозе 5 мг два раза в день </w:t>
      </w:r>
      <w:r w:rsidR="00D60C77" w:rsidRPr="006965B5">
        <w:t xml:space="preserve">и </w:t>
      </w:r>
      <w:r w:rsidRPr="006965B5">
        <w:t>метотрексат</w:t>
      </w:r>
      <w:r w:rsidR="00D60C77" w:rsidRPr="006965B5">
        <w:t>ом</w:t>
      </w:r>
      <w:r w:rsidRPr="006965B5">
        <w:t xml:space="preserve"> был </w:t>
      </w:r>
      <w:r w:rsidR="009B4FAA" w:rsidRPr="006965B5">
        <w:t>сопоставимым</w:t>
      </w:r>
      <w:r w:rsidRPr="006965B5">
        <w:t xml:space="preserve"> с </w:t>
      </w:r>
      <w:r w:rsidR="009B4FAA" w:rsidRPr="006965B5">
        <w:t xml:space="preserve">ответом на лечение </w:t>
      </w:r>
      <w:r w:rsidRPr="006965B5">
        <w:t>адалимумабом</w:t>
      </w:r>
      <w:r w:rsidR="009B4FAA" w:rsidRPr="006965B5">
        <w:t xml:space="preserve"> в дозе</w:t>
      </w:r>
      <w:r w:rsidRPr="006965B5">
        <w:t xml:space="preserve"> 40 мг </w:t>
      </w:r>
      <w:r w:rsidR="009B4FAA" w:rsidRPr="006965B5">
        <w:t xml:space="preserve">и </w:t>
      </w:r>
      <w:r w:rsidRPr="006965B5">
        <w:t xml:space="preserve">метотрексат, и </w:t>
      </w:r>
      <w:r w:rsidR="009B4FAA" w:rsidRPr="006965B5">
        <w:t>ответ на обе указанные схемы терапии</w:t>
      </w:r>
      <w:r w:rsidRPr="006965B5">
        <w:t xml:space="preserve"> был</w:t>
      </w:r>
      <w:r w:rsidR="009B4FAA" w:rsidRPr="006965B5">
        <w:t xml:space="preserve"> более выраженным, чем ответ на лечение </w:t>
      </w:r>
      <w:r w:rsidRPr="006965B5">
        <w:t>тофацитиниб</w:t>
      </w:r>
      <w:r w:rsidR="009B4FAA" w:rsidRPr="006965B5">
        <w:t>ом в дозе</w:t>
      </w:r>
      <w:r w:rsidRPr="006965B5">
        <w:t xml:space="preserve"> 5 мг 2 раза в сутки</w:t>
      </w:r>
      <w:r w:rsidR="009B4FAA" w:rsidRPr="006965B5">
        <w:t xml:space="preserve"> </w:t>
      </w:r>
      <w:r w:rsidR="009B4FAA" w:rsidRPr="006965B5">
        <w:fldChar w:fldCharType="begin"/>
      </w:r>
      <w:r w:rsidR="009B4FAA" w:rsidRPr="006965B5">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9B4FAA" w:rsidRPr="006965B5">
        <w:fldChar w:fldCharType="separate"/>
      </w:r>
      <w:r w:rsidR="009B4FAA" w:rsidRPr="006965B5">
        <w:t>[2]</w:t>
      </w:r>
      <w:r w:rsidR="009B4FAA" w:rsidRPr="006965B5">
        <w:fldChar w:fldCharType="end"/>
      </w:r>
      <w:r w:rsidR="009B4FAA" w:rsidRPr="006965B5">
        <w:t>.</w:t>
      </w:r>
    </w:p>
    <w:p w14:paraId="238E3610" w14:textId="147FA3BA" w:rsidR="00DC6D16" w:rsidRDefault="00D23C06" w:rsidP="00C13EBE">
      <w:pPr>
        <w:pStyle w:val="SDText"/>
        <w:spacing w:after="0"/>
        <w:rPr>
          <w:b/>
          <w:bCs/>
        </w:rPr>
      </w:pPr>
      <w:r w:rsidRPr="006965B5">
        <w:t xml:space="preserve">Эффект </w:t>
      </w:r>
      <w:r w:rsidR="001F68A7" w:rsidRPr="006965B5">
        <w:t xml:space="preserve">на </w:t>
      </w:r>
      <w:r w:rsidRPr="006965B5">
        <w:t>лечени</w:t>
      </w:r>
      <w:r w:rsidR="001F68A7" w:rsidRPr="006965B5">
        <w:t>е</w:t>
      </w:r>
      <w:r w:rsidRPr="006965B5">
        <w:t xml:space="preserve"> был одинаковым у пациентов независимо от статуса </w:t>
      </w:r>
      <w:r w:rsidR="009B4FAA" w:rsidRPr="006965B5">
        <w:t xml:space="preserve">по </w:t>
      </w:r>
      <w:r w:rsidR="009B4FAA" w:rsidRPr="006965B5">
        <w:rPr>
          <w:lang w:val="en-US"/>
        </w:rPr>
        <w:t>RF</w:t>
      </w:r>
      <w:r w:rsidRPr="006965B5">
        <w:t>, возраста, пола, расы, или</w:t>
      </w:r>
      <w:r w:rsidR="001F68A7" w:rsidRPr="006965B5">
        <w:t xml:space="preserve"> статуса</w:t>
      </w:r>
      <w:r w:rsidRPr="006965B5">
        <w:t xml:space="preserve"> </w:t>
      </w:r>
      <w:r w:rsidR="001F68A7" w:rsidRPr="006965B5">
        <w:t>заболевания</w:t>
      </w:r>
      <w:r w:rsidRPr="006965B5">
        <w:t xml:space="preserve">. Время до начала </w:t>
      </w:r>
      <w:r w:rsidR="001F68A7" w:rsidRPr="006965B5">
        <w:t xml:space="preserve">ответа </w:t>
      </w:r>
      <w:r w:rsidRPr="006965B5">
        <w:t xml:space="preserve">было быстрым (уже на 2 неделе в исследованиях ORAL Solo, ORAL Sync и ORAL Step) и </w:t>
      </w:r>
      <w:r w:rsidR="001F68A7" w:rsidRPr="006965B5">
        <w:t xml:space="preserve">выраженность </w:t>
      </w:r>
      <w:r w:rsidRPr="006965B5">
        <w:t>ответа продолжал</w:t>
      </w:r>
      <w:r w:rsidR="001F68A7" w:rsidRPr="006965B5">
        <w:t>и</w:t>
      </w:r>
      <w:r w:rsidRPr="006965B5">
        <w:t xml:space="preserve"> </w:t>
      </w:r>
      <w:r w:rsidR="001F68A7" w:rsidRPr="006965B5">
        <w:t>повышаться</w:t>
      </w:r>
      <w:r w:rsidRPr="006965B5">
        <w:t xml:space="preserve"> с увеличением продолжительности лечения. Как </w:t>
      </w:r>
      <w:r w:rsidR="00EF6227" w:rsidRPr="006965B5">
        <w:t>и</w:t>
      </w:r>
      <w:r w:rsidRPr="006965B5">
        <w:t xml:space="preserve"> общий ответ </w:t>
      </w:r>
      <w:r w:rsidR="00EF6227" w:rsidRPr="006965B5">
        <w:t xml:space="preserve">в соответствии с критериями </w:t>
      </w:r>
      <w:r w:rsidRPr="006965B5">
        <w:t xml:space="preserve">ACR </w:t>
      </w:r>
      <w:r w:rsidR="004D404E" w:rsidRPr="006965B5">
        <w:t>(</w:t>
      </w:r>
      <w:r w:rsidR="004D404E" w:rsidRPr="006965B5">
        <w:fldChar w:fldCharType="begin"/>
      </w:r>
      <w:r w:rsidR="004D404E" w:rsidRPr="006965B5">
        <w:instrText xml:space="preserve"> REF _Ref120706453 \h </w:instrText>
      </w:r>
      <w:r w:rsidR="006965B5" w:rsidRPr="006965B5">
        <w:instrText xml:space="preserve"> \* MERGEFORMAT </w:instrText>
      </w:r>
      <w:r w:rsidR="004D404E" w:rsidRPr="006965B5">
        <w:fldChar w:fldCharType="separate"/>
      </w:r>
      <w:r w:rsidR="00383E6F" w:rsidRPr="006965B5">
        <w:rPr>
          <w:bCs/>
        </w:rPr>
        <w:t xml:space="preserve">Таблица </w:t>
      </w:r>
      <w:r w:rsidR="00383E6F" w:rsidRPr="006965B5">
        <w:rPr>
          <w:bCs/>
          <w:noProof/>
        </w:rPr>
        <w:t>4</w:t>
      </w:r>
      <w:r w:rsidR="00383E6F" w:rsidRPr="006965B5">
        <w:rPr>
          <w:bCs/>
        </w:rPr>
        <w:noBreakHyphen/>
      </w:r>
      <w:r w:rsidR="00383E6F" w:rsidRPr="006965B5">
        <w:rPr>
          <w:bCs/>
          <w:noProof/>
        </w:rPr>
        <w:t>5</w:t>
      </w:r>
      <w:r w:rsidR="004D404E" w:rsidRPr="006965B5">
        <w:fldChar w:fldCharType="end"/>
      </w:r>
      <w:r w:rsidR="004D404E" w:rsidRPr="006965B5">
        <w:t xml:space="preserve">) </w:t>
      </w:r>
      <w:r w:rsidRPr="006965B5">
        <w:t xml:space="preserve">у пациентов, получавших тофацитиниб в дозе 5 мг или 10 мг два раза в день, каждый из компоненты ответа </w:t>
      </w:r>
      <w:r w:rsidR="00EF6227" w:rsidRPr="006965B5">
        <w:t xml:space="preserve">в соответствии с критериями </w:t>
      </w:r>
      <w:r w:rsidRPr="006965B5">
        <w:t>ACR постоянно у</w:t>
      </w:r>
      <w:r w:rsidR="00146DC2" w:rsidRPr="006965B5">
        <w:t>лучшались</w:t>
      </w:r>
      <w:r w:rsidRPr="006965B5">
        <w:t xml:space="preserve"> по сравнению с исходным уровнем, включая: </w:t>
      </w:r>
      <w:r w:rsidR="00146DC2" w:rsidRPr="006965B5">
        <w:t>количество болезненных и отекших</w:t>
      </w:r>
      <w:r w:rsidRPr="006965B5">
        <w:t xml:space="preserve"> сустав</w:t>
      </w:r>
      <w:r w:rsidR="00146DC2" w:rsidRPr="006965B5">
        <w:t>ов</w:t>
      </w:r>
      <w:r w:rsidRPr="006965B5">
        <w:t>; глобальная оценка пациент</w:t>
      </w:r>
      <w:r w:rsidR="00146DC2" w:rsidRPr="006965B5">
        <w:t>ом</w:t>
      </w:r>
      <w:r w:rsidRPr="006965B5">
        <w:t xml:space="preserve"> и врач</w:t>
      </w:r>
      <w:r w:rsidR="00146DC2" w:rsidRPr="006965B5">
        <w:t>ом</w:t>
      </w:r>
      <w:r w:rsidRPr="006965B5">
        <w:t>; индекс инвалид</w:t>
      </w:r>
      <w:r w:rsidR="009760AD" w:rsidRPr="006965B5">
        <w:t>изации</w:t>
      </w:r>
      <w:r w:rsidRPr="006965B5">
        <w:t>; оценка боли и</w:t>
      </w:r>
      <w:r w:rsidR="009760AD" w:rsidRPr="006965B5">
        <w:t xml:space="preserve"> уровень</w:t>
      </w:r>
      <w:r w:rsidRPr="006965B5">
        <w:t xml:space="preserve"> С</w:t>
      </w:r>
      <w:r w:rsidR="009760AD" w:rsidRPr="006965B5">
        <w:t>-</w:t>
      </w:r>
      <w:r w:rsidRPr="006965B5">
        <w:t xml:space="preserve">РБ по сравнению с пациентами, получавшими плацебо плюс метотрексат или другие </w:t>
      </w:r>
      <w:r w:rsidR="00551806" w:rsidRPr="006965B5">
        <w:t>БМАРП</w:t>
      </w:r>
      <w:r w:rsidRPr="006965B5">
        <w:t xml:space="preserve"> во всех исследованиях</w:t>
      </w:r>
      <w:r w:rsidR="009B4FAA" w:rsidRPr="006965B5">
        <w:t xml:space="preserve"> </w:t>
      </w:r>
      <w:r w:rsidR="009B4FAA" w:rsidRPr="006965B5">
        <w:fldChar w:fldCharType="begin"/>
      </w:r>
      <w:r w:rsidR="009B4FAA" w:rsidRPr="006965B5">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9B4FAA" w:rsidRPr="006965B5">
        <w:fldChar w:fldCharType="separate"/>
      </w:r>
      <w:r w:rsidR="009B4FAA" w:rsidRPr="006965B5">
        <w:t>[2]</w:t>
      </w:r>
      <w:r w:rsidR="009B4FAA" w:rsidRPr="006965B5">
        <w:fldChar w:fldCharType="end"/>
      </w:r>
      <w:r>
        <w:t>.</w:t>
      </w:r>
      <w:bookmarkStart w:id="231" w:name="_Ref120706453"/>
    </w:p>
    <w:p w14:paraId="63A2E626" w14:textId="77777777" w:rsidR="00DC6D16" w:rsidRDefault="00DC6D16" w:rsidP="00C13EBE">
      <w:pPr>
        <w:pStyle w:val="SDText"/>
        <w:spacing w:after="0"/>
        <w:rPr>
          <w:b/>
          <w:bCs/>
        </w:rPr>
      </w:pPr>
    </w:p>
    <w:p w14:paraId="4537D297" w14:textId="0081D593" w:rsidR="002F5B6A" w:rsidRPr="004D404E" w:rsidRDefault="005A2292" w:rsidP="006965B5">
      <w:pPr>
        <w:pStyle w:val="SDText"/>
        <w:spacing w:after="0"/>
        <w:ind w:firstLine="0"/>
      </w:pPr>
      <w:r w:rsidRPr="00444326">
        <w:rPr>
          <w:b/>
          <w:bCs/>
        </w:rPr>
        <w:t xml:space="preserve">Таблица </w:t>
      </w:r>
      <w:r w:rsidR="00652269" w:rsidRPr="00444326">
        <w:rPr>
          <w:b/>
          <w:bCs/>
        </w:rPr>
        <w:fldChar w:fldCharType="begin"/>
      </w:r>
      <w:r w:rsidR="00652269" w:rsidRPr="00444326">
        <w:rPr>
          <w:b/>
          <w:bCs/>
        </w:rPr>
        <w:instrText xml:space="preserve"> STYLEREF 1 \s </w:instrText>
      </w:r>
      <w:r w:rsidR="00652269" w:rsidRPr="00444326">
        <w:rPr>
          <w:b/>
          <w:bCs/>
        </w:rPr>
        <w:fldChar w:fldCharType="separate"/>
      </w:r>
      <w:r w:rsidR="00383E6F">
        <w:rPr>
          <w:b/>
          <w:bCs/>
          <w:noProof/>
        </w:rPr>
        <w:t>4</w:t>
      </w:r>
      <w:r w:rsidR="00652269" w:rsidRPr="00444326">
        <w:rPr>
          <w:b/>
          <w:bCs/>
        </w:rPr>
        <w:fldChar w:fldCharType="end"/>
      </w:r>
      <w:r w:rsidR="00652269" w:rsidRPr="00444326">
        <w:rPr>
          <w:b/>
          <w:bCs/>
        </w:rPr>
        <w:noBreakHyphen/>
      </w:r>
      <w:r w:rsidR="00652269" w:rsidRPr="00444326">
        <w:rPr>
          <w:b/>
          <w:bCs/>
        </w:rPr>
        <w:fldChar w:fldCharType="begin"/>
      </w:r>
      <w:r w:rsidR="00652269" w:rsidRPr="00444326">
        <w:rPr>
          <w:b/>
          <w:bCs/>
        </w:rPr>
        <w:instrText xml:space="preserve"> SEQ Таблица \* ARABIC \s 1 </w:instrText>
      </w:r>
      <w:r w:rsidR="00652269" w:rsidRPr="00444326">
        <w:rPr>
          <w:b/>
          <w:bCs/>
        </w:rPr>
        <w:fldChar w:fldCharType="separate"/>
      </w:r>
      <w:r w:rsidR="00383E6F">
        <w:rPr>
          <w:b/>
          <w:bCs/>
          <w:noProof/>
        </w:rPr>
        <w:t>5</w:t>
      </w:r>
      <w:r w:rsidR="00652269" w:rsidRPr="00444326">
        <w:rPr>
          <w:b/>
          <w:bCs/>
        </w:rPr>
        <w:fldChar w:fldCharType="end"/>
      </w:r>
      <w:bookmarkEnd w:id="231"/>
      <w:r w:rsidR="00444326" w:rsidRPr="00444326">
        <w:rPr>
          <w:b/>
          <w:bCs/>
        </w:rPr>
        <w:t>.</w:t>
      </w:r>
      <w:r w:rsidR="00444326">
        <w:t xml:space="preserve"> </w:t>
      </w:r>
      <w:r w:rsidR="005878B3">
        <w:t>Доля пациентов с ответом со</w:t>
      </w:r>
      <w:r w:rsidR="00DC0FA1">
        <w:t xml:space="preserve">гласно критериям </w:t>
      </w:r>
      <w:r w:rsidR="00DC0FA1">
        <w:rPr>
          <w:lang w:val="en-US"/>
        </w:rPr>
        <w:t>ACR</w:t>
      </w:r>
      <w:r w:rsidR="004D404E">
        <w:t>.</w:t>
      </w:r>
    </w:p>
    <w:tbl>
      <w:tblPr>
        <w:tblStyle w:val="a4"/>
        <w:tblW w:w="0" w:type="auto"/>
        <w:tblInd w:w="108" w:type="dxa"/>
        <w:tblLayout w:type="fixed"/>
        <w:tblLook w:val="04A0" w:firstRow="1" w:lastRow="0" w:firstColumn="1" w:lastColumn="0" w:noHBand="0" w:noVBand="1"/>
      </w:tblPr>
      <w:tblGrid>
        <w:gridCol w:w="1418"/>
        <w:gridCol w:w="1276"/>
        <w:gridCol w:w="1559"/>
        <w:gridCol w:w="2551"/>
        <w:gridCol w:w="2552"/>
      </w:tblGrid>
      <w:tr w:rsidR="009900C5" w:rsidRPr="00BA3A42" w14:paraId="3FBF018C" w14:textId="77777777" w:rsidTr="006965B5">
        <w:tc>
          <w:tcPr>
            <w:tcW w:w="9356" w:type="dxa"/>
            <w:gridSpan w:val="5"/>
            <w:shd w:val="clear" w:color="auto" w:fill="D9D9D9" w:themeFill="background1" w:themeFillShade="D9"/>
            <w:vAlign w:val="center"/>
          </w:tcPr>
          <w:p w14:paraId="46302317" w14:textId="0D53C129" w:rsidR="009900C5" w:rsidRPr="00CD0F13" w:rsidRDefault="009900C5" w:rsidP="006965B5">
            <w:pPr>
              <w:ind w:firstLine="0"/>
              <w:jc w:val="center"/>
              <w:rPr>
                <w:b/>
                <w:bCs/>
              </w:rPr>
            </w:pPr>
            <w:r w:rsidRPr="00CD0F13">
              <w:rPr>
                <w:b/>
                <w:bCs/>
                <w:lang w:val="en-US"/>
              </w:rPr>
              <w:t>ORAL</w:t>
            </w:r>
            <w:r w:rsidRPr="00CD0F13">
              <w:rPr>
                <w:b/>
                <w:bCs/>
              </w:rPr>
              <w:t xml:space="preserve"> </w:t>
            </w:r>
            <w:r w:rsidRPr="00CD0F13">
              <w:rPr>
                <w:b/>
                <w:bCs/>
                <w:lang w:val="en-US"/>
              </w:rPr>
              <w:t>Solo</w:t>
            </w:r>
            <w:r w:rsidRPr="00CD0F13">
              <w:rPr>
                <w:b/>
                <w:bCs/>
              </w:rPr>
              <w:t xml:space="preserve">: </w:t>
            </w:r>
            <w:r w:rsidR="00BA3A42" w:rsidRPr="00CD0F13">
              <w:rPr>
                <w:b/>
                <w:bCs/>
              </w:rPr>
              <w:t>пациенты с недостаточным ответом на БМАРП</w:t>
            </w:r>
          </w:p>
        </w:tc>
      </w:tr>
      <w:tr w:rsidR="00CD0F13" w:rsidRPr="00BA3A42" w14:paraId="0544803C" w14:textId="77777777" w:rsidTr="00A85CAC">
        <w:tc>
          <w:tcPr>
            <w:tcW w:w="1418" w:type="dxa"/>
            <w:shd w:val="clear" w:color="auto" w:fill="D9D9D9" w:themeFill="background1" w:themeFillShade="D9"/>
            <w:vAlign w:val="center"/>
          </w:tcPr>
          <w:p w14:paraId="1DAB29AF" w14:textId="22278C15" w:rsidR="00CD0F13" w:rsidRPr="00CD0F13" w:rsidRDefault="00CD0F13" w:rsidP="006965B5">
            <w:pPr>
              <w:ind w:firstLine="0"/>
              <w:jc w:val="center"/>
              <w:rPr>
                <w:b/>
                <w:bCs/>
              </w:rPr>
            </w:pPr>
            <w:r w:rsidRPr="00CD0F13">
              <w:rPr>
                <w:b/>
                <w:bCs/>
              </w:rPr>
              <w:t>Конечная точка</w:t>
            </w:r>
          </w:p>
        </w:tc>
        <w:tc>
          <w:tcPr>
            <w:tcW w:w="1276" w:type="dxa"/>
            <w:shd w:val="clear" w:color="auto" w:fill="D9D9D9" w:themeFill="background1" w:themeFillShade="D9"/>
            <w:vAlign w:val="center"/>
          </w:tcPr>
          <w:p w14:paraId="4A6ADF89" w14:textId="34BD88DC" w:rsidR="00CD0F13" w:rsidRPr="00CD0F13" w:rsidRDefault="00CD0F13" w:rsidP="006965B5">
            <w:pPr>
              <w:ind w:firstLine="0"/>
              <w:jc w:val="center"/>
              <w:rPr>
                <w:b/>
                <w:bCs/>
              </w:rPr>
            </w:pPr>
            <w:r w:rsidRPr="00CD0F13">
              <w:rPr>
                <w:b/>
                <w:bCs/>
              </w:rPr>
              <w:t>Время</w:t>
            </w:r>
          </w:p>
        </w:tc>
        <w:tc>
          <w:tcPr>
            <w:tcW w:w="1559" w:type="dxa"/>
            <w:shd w:val="clear" w:color="auto" w:fill="D9D9D9" w:themeFill="background1" w:themeFillShade="D9"/>
            <w:vAlign w:val="center"/>
          </w:tcPr>
          <w:p w14:paraId="010E771F" w14:textId="26074BA5" w:rsidR="00CD0F13" w:rsidRPr="00CD0F13" w:rsidRDefault="00CD0F13" w:rsidP="006965B5">
            <w:pPr>
              <w:ind w:firstLine="0"/>
              <w:jc w:val="center"/>
              <w:rPr>
                <w:b/>
                <w:bCs/>
                <w:lang w:val="en-US"/>
              </w:rPr>
            </w:pPr>
            <w:r w:rsidRPr="00CD0F13">
              <w:rPr>
                <w:b/>
                <w:bCs/>
              </w:rPr>
              <w:t>Плацебо (</w:t>
            </w:r>
            <w:r w:rsidRPr="00CD0F13">
              <w:rPr>
                <w:b/>
                <w:bCs/>
                <w:lang w:val="en-US"/>
              </w:rPr>
              <w:t>N = 122)</w:t>
            </w:r>
          </w:p>
        </w:tc>
        <w:tc>
          <w:tcPr>
            <w:tcW w:w="2551" w:type="dxa"/>
            <w:shd w:val="clear" w:color="auto" w:fill="D9D9D9" w:themeFill="background1" w:themeFillShade="D9"/>
            <w:vAlign w:val="center"/>
          </w:tcPr>
          <w:p w14:paraId="22FC8667" w14:textId="1C4F7F26" w:rsidR="00CD0F13" w:rsidRPr="00CD0F13" w:rsidRDefault="00CD0F13" w:rsidP="006965B5">
            <w:pPr>
              <w:ind w:firstLine="0"/>
              <w:jc w:val="center"/>
              <w:rPr>
                <w:b/>
                <w:bCs/>
              </w:rPr>
            </w:pPr>
            <w:r w:rsidRPr="00CD0F13">
              <w:rPr>
                <w:b/>
                <w:bCs/>
              </w:rPr>
              <w:t>Тофацитиниб, 5 мг 2 раза в день, монотерапия (</w:t>
            </w:r>
            <w:r w:rsidRPr="00CD0F13">
              <w:rPr>
                <w:b/>
                <w:bCs/>
                <w:lang w:val="en-US"/>
              </w:rPr>
              <w:t>N</w:t>
            </w:r>
            <w:r w:rsidRPr="00CD0F13">
              <w:rPr>
                <w:b/>
                <w:bCs/>
              </w:rPr>
              <w:t xml:space="preserve"> = 241)</w:t>
            </w:r>
          </w:p>
        </w:tc>
        <w:tc>
          <w:tcPr>
            <w:tcW w:w="2552" w:type="dxa"/>
            <w:shd w:val="clear" w:color="auto" w:fill="D9D9D9" w:themeFill="background1" w:themeFillShade="D9"/>
            <w:vAlign w:val="center"/>
          </w:tcPr>
          <w:p w14:paraId="4CBCE25A" w14:textId="760746D2" w:rsidR="00CD0F13" w:rsidRPr="00CD0F13" w:rsidRDefault="00CD0F13" w:rsidP="006965B5">
            <w:pPr>
              <w:ind w:firstLine="0"/>
              <w:jc w:val="center"/>
              <w:rPr>
                <w:b/>
                <w:bCs/>
              </w:rPr>
            </w:pPr>
            <w:r w:rsidRPr="00CD0F13">
              <w:rPr>
                <w:b/>
                <w:bCs/>
              </w:rPr>
              <w:t>Тофацитиниб, 10 мг 2 раза в день, монотерапия (</w:t>
            </w:r>
            <w:r w:rsidRPr="00CD0F13">
              <w:rPr>
                <w:b/>
                <w:bCs/>
                <w:lang w:val="en-US"/>
              </w:rPr>
              <w:t>N</w:t>
            </w:r>
            <w:r w:rsidRPr="00CD0F13">
              <w:rPr>
                <w:b/>
                <w:bCs/>
              </w:rPr>
              <w:t xml:space="preserve"> = 243)</w:t>
            </w:r>
          </w:p>
        </w:tc>
      </w:tr>
      <w:tr w:rsidR="008348B8" w:rsidRPr="00BA3A42" w14:paraId="4BCCB770" w14:textId="77777777" w:rsidTr="00A85CAC">
        <w:trPr>
          <w:trHeight w:val="140"/>
        </w:trPr>
        <w:tc>
          <w:tcPr>
            <w:tcW w:w="1418" w:type="dxa"/>
            <w:vMerge w:val="restart"/>
            <w:vAlign w:val="center"/>
          </w:tcPr>
          <w:p w14:paraId="2FF83E63" w14:textId="69DB28F5" w:rsidR="008348B8" w:rsidRPr="00BA3A42" w:rsidRDefault="008348B8" w:rsidP="006965B5">
            <w:pPr>
              <w:ind w:firstLine="0"/>
              <w:jc w:val="center"/>
            </w:pPr>
            <w:r w:rsidRPr="008348B8">
              <w:t>ACR20</w:t>
            </w:r>
          </w:p>
        </w:tc>
        <w:tc>
          <w:tcPr>
            <w:tcW w:w="1276" w:type="dxa"/>
            <w:vAlign w:val="center"/>
          </w:tcPr>
          <w:p w14:paraId="617E2578" w14:textId="18E99D74" w:rsidR="008348B8" w:rsidRPr="00BA3A42" w:rsidRDefault="006307DD" w:rsidP="006965B5">
            <w:pPr>
              <w:ind w:firstLine="0"/>
              <w:jc w:val="center"/>
            </w:pPr>
            <w:r>
              <w:t>Мес. 3</w:t>
            </w:r>
          </w:p>
        </w:tc>
        <w:tc>
          <w:tcPr>
            <w:tcW w:w="1559" w:type="dxa"/>
            <w:vAlign w:val="center"/>
          </w:tcPr>
          <w:p w14:paraId="3F704DB4" w14:textId="4BD07C6A" w:rsidR="008348B8" w:rsidRPr="00BA3A42" w:rsidRDefault="006C1C51" w:rsidP="006965B5">
            <w:pPr>
              <w:ind w:firstLine="0"/>
              <w:jc w:val="center"/>
            </w:pPr>
            <w:r>
              <w:t>26</w:t>
            </w:r>
          </w:p>
        </w:tc>
        <w:tc>
          <w:tcPr>
            <w:tcW w:w="2551" w:type="dxa"/>
            <w:vAlign w:val="center"/>
          </w:tcPr>
          <w:p w14:paraId="5261B573" w14:textId="7FF04F42" w:rsidR="008348B8" w:rsidRPr="00BA3A42" w:rsidRDefault="006C1C51" w:rsidP="006965B5">
            <w:pPr>
              <w:ind w:firstLine="0"/>
              <w:jc w:val="center"/>
            </w:pPr>
            <w:r w:rsidRPr="006C1C51">
              <w:t>60***</w:t>
            </w:r>
          </w:p>
        </w:tc>
        <w:tc>
          <w:tcPr>
            <w:tcW w:w="2552" w:type="dxa"/>
            <w:vAlign w:val="center"/>
          </w:tcPr>
          <w:p w14:paraId="097AEC6D" w14:textId="42BF18CE" w:rsidR="008348B8" w:rsidRPr="00BA3A42" w:rsidRDefault="004678E6" w:rsidP="006965B5">
            <w:pPr>
              <w:ind w:firstLine="0"/>
              <w:jc w:val="center"/>
            </w:pPr>
            <w:r w:rsidRPr="004678E6">
              <w:t>65***</w:t>
            </w:r>
          </w:p>
        </w:tc>
      </w:tr>
      <w:tr w:rsidR="008348B8" w:rsidRPr="00BA3A42" w14:paraId="60F19448" w14:textId="77777777" w:rsidTr="00A85CAC">
        <w:trPr>
          <w:trHeight w:val="140"/>
        </w:trPr>
        <w:tc>
          <w:tcPr>
            <w:tcW w:w="1418" w:type="dxa"/>
            <w:vMerge/>
            <w:vAlign w:val="center"/>
          </w:tcPr>
          <w:p w14:paraId="36D1845C" w14:textId="77777777" w:rsidR="008348B8" w:rsidRPr="008348B8" w:rsidRDefault="008348B8" w:rsidP="006965B5">
            <w:pPr>
              <w:ind w:firstLine="0"/>
              <w:jc w:val="center"/>
            </w:pPr>
          </w:p>
        </w:tc>
        <w:tc>
          <w:tcPr>
            <w:tcW w:w="1276" w:type="dxa"/>
            <w:vAlign w:val="center"/>
          </w:tcPr>
          <w:p w14:paraId="1ECF8F52" w14:textId="219DD803" w:rsidR="008348B8" w:rsidRPr="00BA3A42" w:rsidRDefault="006307DD" w:rsidP="006965B5">
            <w:pPr>
              <w:ind w:firstLine="0"/>
              <w:jc w:val="center"/>
            </w:pPr>
            <w:r>
              <w:t>Мес. 6</w:t>
            </w:r>
          </w:p>
        </w:tc>
        <w:tc>
          <w:tcPr>
            <w:tcW w:w="1559" w:type="dxa"/>
            <w:vAlign w:val="center"/>
          </w:tcPr>
          <w:p w14:paraId="1BBA04B9" w14:textId="03D5EDF1" w:rsidR="008348B8" w:rsidRPr="00BA3A42" w:rsidRDefault="006C1C51" w:rsidP="006965B5">
            <w:pPr>
              <w:ind w:firstLine="0"/>
              <w:jc w:val="center"/>
            </w:pPr>
            <w:r>
              <w:t>н/п</w:t>
            </w:r>
          </w:p>
        </w:tc>
        <w:tc>
          <w:tcPr>
            <w:tcW w:w="2551" w:type="dxa"/>
            <w:vAlign w:val="center"/>
          </w:tcPr>
          <w:p w14:paraId="4A53EF12" w14:textId="67A03817" w:rsidR="008348B8" w:rsidRPr="00BA3A42" w:rsidRDefault="00DC5ABC" w:rsidP="006965B5">
            <w:pPr>
              <w:ind w:firstLine="0"/>
              <w:jc w:val="center"/>
            </w:pPr>
            <w:r>
              <w:t>69</w:t>
            </w:r>
          </w:p>
        </w:tc>
        <w:tc>
          <w:tcPr>
            <w:tcW w:w="2552" w:type="dxa"/>
            <w:vAlign w:val="center"/>
          </w:tcPr>
          <w:p w14:paraId="1107526B" w14:textId="50B0E738" w:rsidR="008348B8" w:rsidRPr="00BA3A42" w:rsidRDefault="004678E6" w:rsidP="006965B5">
            <w:pPr>
              <w:ind w:firstLine="0"/>
              <w:jc w:val="center"/>
            </w:pPr>
            <w:r w:rsidRPr="004678E6">
              <w:t>71</w:t>
            </w:r>
          </w:p>
        </w:tc>
      </w:tr>
      <w:tr w:rsidR="006307DD" w:rsidRPr="00BA3A42" w14:paraId="79101AFD" w14:textId="77777777" w:rsidTr="00A85CAC">
        <w:trPr>
          <w:trHeight w:val="140"/>
        </w:trPr>
        <w:tc>
          <w:tcPr>
            <w:tcW w:w="1418" w:type="dxa"/>
            <w:vMerge w:val="restart"/>
            <w:vAlign w:val="center"/>
          </w:tcPr>
          <w:p w14:paraId="07A6131E" w14:textId="5889E1A4" w:rsidR="006307DD" w:rsidRPr="00BA3A42" w:rsidRDefault="006307DD" w:rsidP="006965B5">
            <w:pPr>
              <w:ind w:firstLine="0"/>
              <w:jc w:val="center"/>
            </w:pPr>
            <w:r w:rsidRPr="008348B8">
              <w:t>ACR50</w:t>
            </w:r>
          </w:p>
        </w:tc>
        <w:tc>
          <w:tcPr>
            <w:tcW w:w="1276" w:type="dxa"/>
            <w:vAlign w:val="center"/>
          </w:tcPr>
          <w:p w14:paraId="093807B2" w14:textId="26F51354" w:rsidR="006307DD" w:rsidRPr="00BA3A42" w:rsidRDefault="006307DD" w:rsidP="006965B5">
            <w:pPr>
              <w:ind w:firstLine="0"/>
              <w:jc w:val="center"/>
            </w:pPr>
            <w:r>
              <w:t>Мес. 3</w:t>
            </w:r>
          </w:p>
        </w:tc>
        <w:tc>
          <w:tcPr>
            <w:tcW w:w="1559" w:type="dxa"/>
            <w:vAlign w:val="center"/>
          </w:tcPr>
          <w:p w14:paraId="458BE811" w14:textId="7E197EBB" w:rsidR="006307DD" w:rsidRPr="00BA3A42" w:rsidRDefault="006C1C51" w:rsidP="006965B5">
            <w:pPr>
              <w:ind w:firstLine="0"/>
              <w:jc w:val="center"/>
            </w:pPr>
            <w:r>
              <w:t>12</w:t>
            </w:r>
          </w:p>
        </w:tc>
        <w:tc>
          <w:tcPr>
            <w:tcW w:w="2551" w:type="dxa"/>
            <w:vAlign w:val="center"/>
          </w:tcPr>
          <w:p w14:paraId="2352BB0E" w14:textId="56948D5D" w:rsidR="006307DD" w:rsidRPr="00BA3A42" w:rsidRDefault="00DC5ABC" w:rsidP="006965B5">
            <w:pPr>
              <w:ind w:firstLine="0"/>
              <w:jc w:val="center"/>
            </w:pPr>
            <w:r w:rsidRPr="00DC5ABC">
              <w:t>31***</w:t>
            </w:r>
          </w:p>
        </w:tc>
        <w:tc>
          <w:tcPr>
            <w:tcW w:w="2552" w:type="dxa"/>
            <w:vAlign w:val="center"/>
          </w:tcPr>
          <w:p w14:paraId="37DECAA0" w14:textId="7BB2F086" w:rsidR="006307DD" w:rsidRPr="00BA3A42" w:rsidRDefault="00C502F1" w:rsidP="006965B5">
            <w:pPr>
              <w:ind w:firstLine="0"/>
              <w:jc w:val="center"/>
            </w:pPr>
            <w:r w:rsidRPr="00C502F1">
              <w:t>37***</w:t>
            </w:r>
          </w:p>
        </w:tc>
      </w:tr>
      <w:tr w:rsidR="006307DD" w:rsidRPr="00BA3A42" w14:paraId="2DD65E4E" w14:textId="77777777" w:rsidTr="00A85CAC">
        <w:trPr>
          <w:trHeight w:val="140"/>
        </w:trPr>
        <w:tc>
          <w:tcPr>
            <w:tcW w:w="1418" w:type="dxa"/>
            <w:vMerge/>
            <w:vAlign w:val="center"/>
          </w:tcPr>
          <w:p w14:paraId="5975EFAD" w14:textId="77777777" w:rsidR="006307DD" w:rsidRPr="008348B8" w:rsidRDefault="006307DD" w:rsidP="006965B5">
            <w:pPr>
              <w:ind w:firstLine="0"/>
              <w:jc w:val="center"/>
            </w:pPr>
          </w:p>
        </w:tc>
        <w:tc>
          <w:tcPr>
            <w:tcW w:w="1276" w:type="dxa"/>
            <w:vAlign w:val="center"/>
          </w:tcPr>
          <w:p w14:paraId="1C789605" w14:textId="22F3539C" w:rsidR="006307DD" w:rsidRPr="00BA3A42" w:rsidRDefault="006307DD" w:rsidP="006965B5">
            <w:pPr>
              <w:ind w:firstLine="0"/>
              <w:jc w:val="center"/>
            </w:pPr>
            <w:r>
              <w:t>Мес. 6</w:t>
            </w:r>
          </w:p>
        </w:tc>
        <w:tc>
          <w:tcPr>
            <w:tcW w:w="1559" w:type="dxa"/>
            <w:vAlign w:val="center"/>
          </w:tcPr>
          <w:p w14:paraId="591FECF2" w14:textId="647D8433" w:rsidR="006307DD" w:rsidRPr="00BA3A42" w:rsidRDefault="006C1C51" w:rsidP="006965B5">
            <w:pPr>
              <w:ind w:firstLine="0"/>
              <w:jc w:val="center"/>
            </w:pPr>
            <w:r>
              <w:t>н/п</w:t>
            </w:r>
          </w:p>
        </w:tc>
        <w:tc>
          <w:tcPr>
            <w:tcW w:w="2551" w:type="dxa"/>
            <w:vAlign w:val="center"/>
          </w:tcPr>
          <w:p w14:paraId="38D1E36B" w14:textId="64E3BC5D" w:rsidR="006307DD" w:rsidRPr="00BA3A42" w:rsidRDefault="00363832" w:rsidP="006965B5">
            <w:pPr>
              <w:ind w:firstLine="0"/>
              <w:jc w:val="center"/>
            </w:pPr>
            <w:r>
              <w:t>42</w:t>
            </w:r>
          </w:p>
        </w:tc>
        <w:tc>
          <w:tcPr>
            <w:tcW w:w="2552" w:type="dxa"/>
            <w:vAlign w:val="center"/>
          </w:tcPr>
          <w:p w14:paraId="670E621A" w14:textId="4BDA1298" w:rsidR="006307DD" w:rsidRPr="00BA3A42" w:rsidRDefault="00C502F1" w:rsidP="006965B5">
            <w:pPr>
              <w:ind w:firstLine="0"/>
              <w:jc w:val="center"/>
            </w:pPr>
            <w:r w:rsidRPr="00C502F1">
              <w:t>47</w:t>
            </w:r>
          </w:p>
        </w:tc>
      </w:tr>
      <w:tr w:rsidR="006307DD" w:rsidRPr="00BA3A42" w14:paraId="02F3C4B5" w14:textId="77777777" w:rsidTr="00A85CAC">
        <w:trPr>
          <w:trHeight w:val="140"/>
        </w:trPr>
        <w:tc>
          <w:tcPr>
            <w:tcW w:w="1418" w:type="dxa"/>
            <w:vMerge w:val="restart"/>
            <w:vAlign w:val="center"/>
          </w:tcPr>
          <w:p w14:paraId="79E844F5" w14:textId="20CCCF9A" w:rsidR="006307DD" w:rsidRPr="00BA3A42" w:rsidRDefault="006307DD" w:rsidP="006965B5">
            <w:pPr>
              <w:ind w:firstLine="0"/>
              <w:jc w:val="center"/>
            </w:pPr>
            <w:r w:rsidRPr="008348B8">
              <w:t>ACR70</w:t>
            </w:r>
          </w:p>
        </w:tc>
        <w:tc>
          <w:tcPr>
            <w:tcW w:w="1276" w:type="dxa"/>
            <w:vAlign w:val="center"/>
          </w:tcPr>
          <w:p w14:paraId="5EAA5E51" w14:textId="223C2FBA" w:rsidR="006307DD" w:rsidRPr="00BA3A42" w:rsidRDefault="006307DD" w:rsidP="006965B5">
            <w:pPr>
              <w:ind w:firstLine="0"/>
              <w:jc w:val="center"/>
            </w:pPr>
            <w:r>
              <w:t>Мес. 3</w:t>
            </w:r>
          </w:p>
        </w:tc>
        <w:tc>
          <w:tcPr>
            <w:tcW w:w="1559" w:type="dxa"/>
            <w:vAlign w:val="center"/>
          </w:tcPr>
          <w:p w14:paraId="48F1383F" w14:textId="3E457D75" w:rsidR="006307DD" w:rsidRPr="00BA3A42" w:rsidRDefault="006C1C51" w:rsidP="006965B5">
            <w:pPr>
              <w:ind w:firstLine="0"/>
              <w:jc w:val="center"/>
            </w:pPr>
            <w:r>
              <w:t>6</w:t>
            </w:r>
          </w:p>
        </w:tc>
        <w:tc>
          <w:tcPr>
            <w:tcW w:w="2551" w:type="dxa"/>
            <w:vAlign w:val="center"/>
          </w:tcPr>
          <w:p w14:paraId="69079529" w14:textId="52D856E2" w:rsidR="006307DD" w:rsidRPr="00BA3A42" w:rsidRDefault="004678E6" w:rsidP="006965B5">
            <w:pPr>
              <w:ind w:firstLine="0"/>
              <w:jc w:val="center"/>
            </w:pPr>
            <w:r w:rsidRPr="004678E6">
              <w:t>15*</w:t>
            </w:r>
          </w:p>
        </w:tc>
        <w:tc>
          <w:tcPr>
            <w:tcW w:w="2552" w:type="dxa"/>
            <w:vAlign w:val="center"/>
          </w:tcPr>
          <w:p w14:paraId="62F242A6" w14:textId="3767910E" w:rsidR="006307DD" w:rsidRPr="00BA3A42" w:rsidRDefault="00C502F1" w:rsidP="006965B5">
            <w:pPr>
              <w:ind w:firstLine="0"/>
              <w:jc w:val="center"/>
            </w:pPr>
            <w:r w:rsidRPr="00C502F1">
              <w:t>20***</w:t>
            </w:r>
          </w:p>
        </w:tc>
      </w:tr>
      <w:tr w:rsidR="006307DD" w:rsidRPr="00BA3A42" w14:paraId="72EB95DC" w14:textId="77777777" w:rsidTr="00A85CAC">
        <w:trPr>
          <w:trHeight w:val="140"/>
        </w:trPr>
        <w:tc>
          <w:tcPr>
            <w:tcW w:w="1418" w:type="dxa"/>
            <w:vMerge/>
            <w:vAlign w:val="center"/>
          </w:tcPr>
          <w:p w14:paraId="67C8A84B" w14:textId="77777777" w:rsidR="006307DD" w:rsidRPr="008348B8" w:rsidRDefault="006307DD" w:rsidP="006965B5">
            <w:pPr>
              <w:ind w:firstLine="0"/>
              <w:jc w:val="center"/>
            </w:pPr>
          </w:p>
        </w:tc>
        <w:tc>
          <w:tcPr>
            <w:tcW w:w="1276" w:type="dxa"/>
            <w:vAlign w:val="center"/>
          </w:tcPr>
          <w:p w14:paraId="17ED2D40" w14:textId="79FFC836" w:rsidR="006307DD" w:rsidRPr="00BA3A42" w:rsidRDefault="006307DD" w:rsidP="006965B5">
            <w:pPr>
              <w:ind w:firstLine="0"/>
              <w:jc w:val="center"/>
            </w:pPr>
            <w:r>
              <w:t>Мес. 6</w:t>
            </w:r>
          </w:p>
        </w:tc>
        <w:tc>
          <w:tcPr>
            <w:tcW w:w="1559" w:type="dxa"/>
            <w:vAlign w:val="center"/>
          </w:tcPr>
          <w:p w14:paraId="00EDA83A" w14:textId="627A4572" w:rsidR="006307DD" w:rsidRPr="00BA3A42" w:rsidRDefault="006C1C51" w:rsidP="006965B5">
            <w:pPr>
              <w:ind w:firstLine="0"/>
              <w:jc w:val="center"/>
            </w:pPr>
            <w:r>
              <w:t>н/п</w:t>
            </w:r>
          </w:p>
        </w:tc>
        <w:tc>
          <w:tcPr>
            <w:tcW w:w="2551" w:type="dxa"/>
            <w:vAlign w:val="center"/>
          </w:tcPr>
          <w:p w14:paraId="385B607C" w14:textId="56488042" w:rsidR="006307DD" w:rsidRPr="00BA3A42" w:rsidRDefault="004678E6" w:rsidP="006965B5">
            <w:pPr>
              <w:ind w:firstLine="0"/>
              <w:jc w:val="center"/>
            </w:pPr>
            <w:r>
              <w:t>22</w:t>
            </w:r>
          </w:p>
        </w:tc>
        <w:tc>
          <w:tcPr>
            <w:tcW w:w="2552" w:type="dxa"/>
            <w:vAlign w:val="center"/>
          </w:tcPr>
          <w:p w14:paraId="24913D5B" w14:textId="23691EEA" w:rsidR="006307DD" w:rsidRPr="00BA3A42" w:rsidRDefault="00C502F1" w:rsidP="006965B5">
            <w:pPr>
              <w:ind w:firstLine="0"/>
              <w:jc w:val="center"/>
            </w:pPr>
            <w:r w:rsidRPr="00C502F1">
              <w:t>29</w:t>
            </w:r>
          </w:p>
        </w:tc>
      </w:tr>
      <w:tr w:rsidR="008E5080" w:rsidRPr="00BA3A42" w14:paraId="40A4C03E" w14:textId="77777777" w:rsidTr="006965B5">
        <w:tc>
          <w:tcPr>
            <w:tcW w:w="9356" w:type="dxa"/>
            <w:gridSpan w:val="5"/>
            <w:shd w:val="clear" w:color="auto" w:fill="D9D9D9" w:themeFill="background1" w:themeFillShade="D9"/>
            <w:vAlign w:val="center"/>
          </w:tcPr>
          <w:p w14:paraId="2623A604" w14:textId="0C29B113" w:rsidR="008E5080" w:rsidRPr="008E5080" w:rsidRDefault="008E5080" w:rsidP="006965B5">
            <w:pPr>
              <w:ind w:firstLine="0"/>
              <w:jc w:val="center"/>
              <w:rPr>
                <w:b/>
                <w:bCs/>
              </w:rPr>
            </w:pPr>
            <w:r w:rsidRPr="008E5080">
              <w:rPr>
                <w:b/>
                <w:bCs/>
              </w:rPr>
              <w:t>ORAL Sync: пациенты с недостаточным ответом на БМАРП</w:t>
            </w:r>
          </w:p>
        </w:tc>
      </w:tr>
      <w:tr w:rsidR="006E5567" w:rsidRPr="00BA3A42" w14:paraId="4DCE3647" w14:textId="77777777" w:rsidTr="00A85CAC">
        <w:tc>
          <w:tcPr>
            <w:tcW w:w="1418" w:type="dxa"/>
            <w:shd w:val="clear" w:color="auto" w:fill="D9D9D9" w:themeFill="background1" w:themeFillShade="D9"/>
            <w:vAlign w:val="center"/>
          </w:tcPr>
          <w:p w14:paraId="0B6FEDBB" w14:textId="35B99438" w:rsidR="006E5567" w:rsidRPr="00BA3A42" w:rsidRDefault="006E5567" w:rsidP="006965B5">
            <w:pPr>
              <w:ind w:firstLine="0"/>
              <w:jc w:val="center"/>
            </w:pPr>
            <w:r w:rsidRPr="00CD0F13">
              <w:rPr>
                <w:b/>
                <w:bCs/>
              </w:rPr>
              <w:t>Конечная точка</w:t>
            </w:r>
          </w:p>
        </w:tc>
        <w:tc>
          <w:tcPr>
            <w:tcW w:w="1276" w:type="dxa"/>
            <w:shd w:val="clear" w:color="auto" w:fill="D9D9D9" w:themeFill="background1" w:themeFillShade="D9"/>
            <w:vAlign w:val="center"/>
          </w:tcPr>
          <w:p w14:paraId="5FFFE54A" w14:textId="2B77F539" w:rsidR="006E5567" w:rsidRPr="00BA3A42" w:rsidRDefault="006E5567" w:rsidP="006965B5">
            <w:pPr>
              <w:ind w:firstLine="0"/>
              <w:jc w:val="center"/>
            </w:pPr>
            <w:r w:rsidRPr="00CD0F13">
              <w:rPr>
                <w:b/>
                <w:bCs/>
              </w:rPr>
              <w:t>Время</w:t>
            </w:r>
          </w:p>
        </w:tc>
        <w:tc>
          <w:tcPr>
            <w:tcW w:w="1559" w:type="dxa"/>
            <w:shd w:val="clear" w:color="auto" w:fill="D9D9D9" w:themeFill="background1" w:themeFillShade="D9"/>
            <w:vAlign w:val="center"/>
          </w:tcPr>
          <w:p w14:paraId="770C3739" w14:textId="63F909F9" w:rsidR="006E5567" w:rsidRPr="00BA3A42" w:rsidRDefault="006E5567" w:rsidP="006965B5">
            <w:pPr>
              <w:ind w:firstLine="0"/>
              <w:jc w:val="center"/>
            </w:pPr>
            <w:r w:rsidRPr="00CD0F13">
              <w:rPr>
                <w:b/>
                <w:bCs/>
              </w:rPr>
              <w:t xml:space="preserve">Плацебо </w:t>
            </w:r>
            <w:r>
              <w:rPr>
                <w:b/>
                <w:bCs/>
              </w:rPr>
              <w:t xml:space="preserve">+ БМАРП </w:t>
            </w:r>
            <w:r w:rsidRPr="00CD0F13">
              <w:rPr>
                <w:b/>
                <w:bCs/>
              </w:rPr>
              <w:t>(</w:t>
            </w:r>
            <w:r w:rsidRPr="00CD0F13">
              <w:rPr>
                <w:b/>
                <w:bCs/>
                <w:lang w:val="en-US"/>
              </w:rPr>
              <w:t>N = 1</w:t>
            </w:r>
            <w:r>
              <w:rPr>
                <w:b/>
                <w:bCs/>
              </w:rPr>
              <w:t>58</w:t>
            </w:r>
            <w:r w:rsidRPr="00CD0F13">
              <w:rPr>
                <w:b/>
                <w:bCs/>
                <w:lang w:val="en-US"/>
              </w:rPr>
              <w:t>)</w:t>
            </w:r>
          </w:p>
        </w:tc>
        <w:tc>
          <w:tcPr>
            <w:tcW w:w="2551" w:type="dxa"/>
            <w:shd w:val="clear" w:color="auto" w:fill="D9D9D9" w:themeFill="background1" w:themeFillShade="D9"/>
            <w:vAlign w:val="center"/>
          </w:tcPr>
          <w:p w14:paraId="2AAF82C4" w14:textId="72B1EC53" w:rsidR="006E5567" w:rsidRPr="00BA3A42" w:rsidRDefault="006E5567" w:rsidP="006965B5">
            <w:pPr>
              <w:ind w:firstLine="0"/>
              <w:jc w:val="center"/>
            </w:pPr>
            <w:r w:rsidRPr="00CD0F13">
              <w:rPr>
                <w:b/>
                <w:bCs/>
              </w:rPr>
              <w:t>Тофацитиниб, 5 мг 2 раза в день</w:t>
            </w:r>
            <w:r w:rsidR="00345681">
              <w:rPr>
                <w:b/>
                <w:bCs/>
              </w:rPr>
              <w:t xml:space="preserve"> + БМАРП</w:t>
            </w:r>
            <w:r w:rsidRPr="00CD0F13">
              <w:rPr>
                <w:b/>
                <w:bCs/>
              </w:rPr>
              <w:t xml:space="preserve"> (</w:t>
            </w:r>
            <w:r w:rsidRPr="00CD0F13">
              <w:rPr>
                <w:b/>
                <w:bCs/>
                <w:lang w:val="en-US"/>
              </w:rPr>
              <w:t>N</w:t>
            </w:r>
            <w:r w:rsidRPr="00CD0F13">
              <w:rPr>
                <w:b/>
                <w:bCs/>
              </w:rPr>
              <w:t xml:space="preserve"> = </w:t>
            </w:r>
            <w:r w:rsidR="00345681">
              <w:rPr>
                <w:b/>
                <w:bCs/>
              </w:rPr>
              <w:t>312</w:t>
            </w:r>
            <w:r w:rsidRPr="00CD0F13">
              <w:rPr>
                <w:b/>
                <w:bCs/>
              </w:rPr>
              <w:t>)</w:t>
            </w:r>
          </w:p>
        </w:tc>
        <w:tc>
          <w:tcPr>
            <w:tcW w:w="2552" w:type="dxa"/>
            <w:shd w:val="clear" w:color="auto" w:fill="D9D9D9" w:themeFill="background1" w:themeFillShade="D9"/>
            <w:vAlign w:val="center"/>
          </w:tcPr>
          <w:p w14:paraId="2A3852D3" w14:textId="5427E87C" w:rsidR="006E5567" w:rsidRPr="00BA3A42" w:rsidRDefault="00345681" w:rsidP="006965B5">
            <w:pPr>
              <w:ind w:firstLine="0"/>
              <w:jc w:val="center"/>
            </w:pPr>
            <w:r w:rsidRPr="00CD0F13">
              <w:rPr>
                <w:b/>
                <w:bCs/>
              </w:rPr>
              <w:t xml:space="preserve">Тофацитиниб, </w:t>
            </w:r>
            <w:r>
              <w:rPr>
                <w:b/>
                <w:bCs/>
              </w:rPr>
              <w:t>10</w:t>
            </w:r>
            <w:r w:rsidRPr="00CD0F13">
              <w:rPr>
                <w:b/>
                <w:bCs/>
              </w:rPr>
              <w:t xml:space="preserve"> мг 2 раза в день</w:t>
            </w:r>
            <w:r>
              <w:rPr>
                <w:b/>
                <w:bCs/>
              </w:rPr>
              <w:t xml:space="preserve"> + БМАРП</w:t>
            </w:r>
            <w:r w:rsidRPr="00CD0F13">
              <w:rPr>
                <w:b/>
                <w:bCs/>
              </w:rPr>
              <w:t xml:space="preserve"> (</w:t>
            </w:r>
            <w:r w:rsidRPr="00CD0F13">
              <w:rPr>
                <w:b/>
                <w:bCs/>
                <w:lang w:val="en-US"/>
              </w:rPr>
              <w:t>N</w:t>
            </w:r>
            <w:r w:rsidRPr="00CD0F13">
              <w:rPr>
                <w:b/>
                <w:bCs/>
              </w:rPr>
              <w:t xml:space="preserve"> = </w:t>
            </w:r>
            <w:r>
              <w:rPr>
                <w:b/>
                <w:bCs/>
              </w:rPr>
              <w:t>315</w:t>
            </w:r>
            <w:r w:rsidRPr="00CD0F13">
              <w:rPr>
                <w:b/>
                <w:bCs/>
              </w:rPr>
              <w:t>)</w:t>
            </w:r>
          </w:p>
        </w:tc>
      </w:tr>
      <w:tr w:rsidR="001479F4" w:rsidRPr="00BA3A42" w14:paraId="76D62DC7" w14:textId="77777777" w:rsidTr="00A85CAC">
        <w:trPr>
          <w:trHeight w:val="94"/>
        </w:trPr>
        <w:tc>
          <w:tcPr>
            <w:tcW w:w="1418" w:type="dxa"/>
            <w:vMerge w:val="restart"/>
            <w:vAlign w:val="center"/>
          </w:tcPr>
          <w:p w14:paraId="7F421C78" w14:textId="77777777" w:rsidR="001479F4" w:rsidRPr="00BA3A42" w:rsidRDefault="001479F4" w:rsidP="006965B5">
            <w:pPr>
              <w:ind w:firstLine="0"/>
              <w:jc w:val="center"/>
            </w:pPr>
            <w:r w:rsidRPr="008348B8">
              <w:t>ACR20</w:t>
            </w:r>
          </w:p>
          <w:p w14:paraId="7B052286" w14:textId="38DCB1CA" w:rsidR="001479F4" w:rsidRPr="00BA3A42" w:rsidRDefault="001479F4" w:rsidP="006965B5">
            <w:pPr>
              <w:ind w:firstLine="0"/>
              <w:jc w:val="center"/>
            </w:pPr>
          </w:p>
        </w:tc>
        <w:tc>
          <w:tcPr>
            <w:tcW w:w="1276" w:type="dxa"/>
            <w:vAlign w:val="center"/>
          </w:tcPr>
          <w:p w14:paraId="0F0A5BA1" w14:textId="032AA35F" w:rsidR="001479F4" w:rsidRPr="00BA3A42" w:rsidRDefault="001479F4" w:rsidP="006965B5">
            <w:pPr>
              <w:ind w:firstLine="0"/>
              <w:jc w:val="center"/>
            </w:pPr>
            <w:r>
              <w:t>Мес. 3</w:t>
            </w:r>
          </w:p>
        </w:tc>
        <w:tc>
          <w:tcPr>
            <w:tcW w:w="1559" w:type="dxa"/>
            <w:vAlign w:val="center"/>
          </w:tcPr>
          <w:p w14:paraId="1B69E72A" w14:textId="332B2635" w:rsidR="001479F4" w:rsidRPr="00BA3A42" w:rsidRDefault="001479F4" w:rsidP="006965B5">
            <w:pPr>
              <w:ind w:firstLine="0"/>
              <w:jc w:val="center"/>
            </w:pPr>
            <w:r>
              <w:t>27</w:t>
            </w:r>
          </w:p>
        </w:tc>
        <w:tc>
          <w:tcPr>
            <w:tcW w:w="2551" w:type="dxa"/>
            <w:vAlign w:val="center"/>
          </w:tcPr>
          <w:p w14:paraId="48D5E829" w14:textId="19658F34" w:rsidR="001479F4" w:rsidRPr="00BA3A42" w:rsidRDefault="001479F4" w:rsidP="006965B5">
            <w:pPr>
              <w:ind w:firstLine="0"/>
              <w:jc w:val="center"/>
            </w:pPr>
            <w:r w:rsidRPr="00174F6F">
              <w:t>56***</w:t>
            </w:r>
          </w:p>
        </w:tc>
        <w:tc>
          <w:tcPr>
            <w:tcW w:w="2552" w:type="dxa"/>
            <w:vAlign w:val="center"/>
          </w:tcPr>
          <w:p w14:paraId="513845AF" w14:textId="366C2148" w:rsidR="001479F4" w:rsidRPr="00BA3A42" w:rsidRDefault="001A7B60" w:rsidP="006965B5">
            <w:pPr>
              <w:ind w:firstLine="0"/>
              <w:jc w:val="center"/>
            </w:pPr>
            <w:r w:rsidRPr="001A7B60">
              <w:t>63***</w:t>
            </w:r>
          </w:p>
        </w:tc>
      </w:tr>
      <w:tr w:rsidR="001479F4" w:rsidRPr="00BA3A42" w14:paraId="522F0C07" w14:textId="77777777" w:rsidTr="00A85CAC">
        <w:trPr>
          <w:trHeight w:val="93"/>
        </w:trPr>
        <w:tc>
          <w:tcPr>
            <w:tcW w:w="1418" w:type="dxa"/>
            <w:vMerge/>
            <w:vAlign w:val="center"/>
          </w:tcPr>
          <w:p w14:paraId="04AD8C7F" w14:textId="77777777" w:rsidR="001479F4" w:rsidRPr="00BA3A42" w:rsidRDefault="001479F4" w:rsidP="006965B5">
            <w:pPr>
              <w:ind w:firstLine="0"/>
              <w:jc w:val="center"/>
            </w:pPr>
          </w:p>
        </w:tc>
        <w:tc>
          <w:tcPr>
            <w:tcW w:w="1276" w:type="dxa"/>
            <w:vAlign w:val="center"/>
          </w:tcPr>
          <w:p w14:paraId="10F3973E" w14:textId="07240B24" w:rsidR="001479F4" w:rsidRPr="00BA3A42" w:rsidRDefault="001479F4" w:rsidP="006965B5">
            <w:pPr>
              <w:ind w:firstLine="0"/>
              <w:jc w:val="center"/>
            </w:pPr>
            <w:r>
              <w:t>Мес. 6</w:t>
            </w:r>
          </w:p>
        </w:tc>
        <w:tc>
          <w:tcPr>
            <w:tcW w:w="1559" w:type="dxa"/>
            <w:vAlign w:val="center"/>
          </w:tcPr>
          <w:p w14:paraId="6BFDD45A" w14:textId="1D39DF27" w:rsidR="001479F4" w:rsidRPr="00BA3A42" w:rsidRDefault="001479F4" w:rsidP="006965B5">
            <w:pPr>
              <w:ind w:firstLine="0"/>
              <w:jc w:val="center"/>
            </w:pPr>
            <w:r>
              <w:t>31</w:t>
            </w:r>
          </w:p>
        </w:tc>
        <w:tc>
          <w:tcPr>
            <w:tcW w:w="2551" w:type="dxa"/>
            <w:vAlign w:val="center"/>
          </w:tcPr>
          <w:p w14:paraId="03C86EB2" w14:textId="50329E4E" w:rsidR="001479F4" w:rsidRPr="00BA3A42" w:rsidRDefault="001479F4" w:rsidP="006965B5">
            <w:pPr>
              <w:ind w:firstLine="0"/>
              <w:jc w:val="center"/>
            </w:pPr>
            <w:r w:rsidRPr="008D5FB6">
              <w:t>53***</w:t>
            </w:r>
          </w:p>
        </w:tc>
        <w:tc>
          <w:tcPr>
            <w:tcW w:w="2552" w:type="dxa"/>
            <w:vAlign w:val="center"/>
          </w:tcPr>
          <w:p w14:paraId="3B4B48A7" w14:textId="4EF78A8A" w:rsidR="001479F4" w:rsidRPr="00BA3A42" w:rsidRDefault="001A7B60" w:rsidP="006965B5">
            <w:pPr>
              <w:ind w:firstLine="0"/>
              <w:jc w:val="center"/>
            </w:pPr>
            <w:r w:rsidRPr="001A7B60">
              <w:t>57***</w:t>
            </w:r>
          </w:p>
        </w:tc>
      </w:tr>
      <w:tr w:rsidR="001479F4" w:rsidRPr="00BA3A42" w14:paraId="05ADC434" w14:textId="77777777" w:rsidTr="00A85CAC">
        <w:trPr>
          <w:trHeight w:val="93"/>
        </w:trPr>
        <w:tc>
          <w:tcPr>
            <w:tcW w:w="1418" w:type="dxa"/>
            <w:vMerge/>
            <w:vAlign w:val="center"/>
          </w:tcPr>
          <w:p w14:paraId="71ED4ED1" w14:textId="77777777" w:rsidR="001479F4" w:rsidRPr="00BA3A42" w:rsidRDefault="001479F4" w:rsidP="006965B5">
            <w:pPr>
              <w:ind w:firstLine="0"/>
              <w:jc w:val="center"/>
            </w:pPr>
          </w:p>
        </w:tc>
        <w:tc>
          <w:tcPr>
            <w:tcW w:w="1276" w:type="dxa"/>
            <w:vAlign w:val="center"/>
          </w:tcPr>
          <w:p w14:paraId="37F5A5CE" w14:textId="3E9ACCC8" w:rsidR="001479F4" w:rsidRPr="00BA3A42" w:rsidRDefault="001479F4" w:rsidP="006965B5">
            <w:pPr>
              <w:ind w:firstLine="0"/>
              <w:jc w:val="center"/>
            </w:pPr>
            <w:r>
              <w:t>Мес. 12</w:t>
            </w:r>
          </w:p>
        </w:tc>
        <w:tc>
          <w:tcPr>
            <w:tcW w:w="1559" w:type="dxa"/>
            <w:vAlign w:val="center"/>
          </w:tcPr>
          <w:p w14:paraId="65E6AFAB" w14:textId="4E6DD093" w:rsidR="001479F4" w:rsidRPr="00BA3A42" w:rsidRDefault="001479F4" w:rsidP="006965B5">
            <w:pPr>
              <w:ind w:firstLine="0"/>
              <w:jc w:val="center"/>
            </w:pPr>
            <w:r>
              <w:t>н/п</w:t>
            </w:r>
          </w:p>
        </w:tc>
        <w:tc>
          <w:tcPr>
            <w:tcW w:w="2551" w:type="dxa"/>
            <w:vAlign w:val="center"/>
          </w:tcPr>
          <w:p w14:paraId="5DEE192C" w14:textId="65E76733" w:rsidR="001479F4" w:rsidRPr="00BA3A42" w:rsidRDefault="001479F4" w:rsidP="006965B5">
            <w:pPr>
              <w:ind w:firstLine="0"/>
              <w:jc w:val="center"/>
            </w:pPr>
            <w:r>
              <w:t>51</w:t>
            </w:r>
          </w:p>
        </w:tc>
        <w:tc>
          <w:tcPr>
            <w:tcW w:w="2552" w:type="dxa"/>
            <w:vAlign w:val="center"/>
          </w:tcPr>
          <w:p w14:paraId="124895F6" w14:textId="2859BF1D" w:rsidR="001479F4" w:rsidRPr="00BA3A42" w:rsidRDefault="001A7B60" w:rsidP="006965B5">
            <w:pPr>
              <w:ind w:firstLine="0"/>
              <w:jc w:val="center"/>
            </w:pPr>
            <w:r>
              <w:t>56</w:t>
            </w:r>
          </w:p>
        </w:tc>
      </w:tr>
      <w:tr w:rsidR="001479F4" w:rsidRPr="00BA3A42" w14:paraId="285AF668" w14:textId="77777777" w:rsidTr="00A85CAC">
        <w:trPr>
          <w:trHeight w:val="94"/>
        </w:trPr>
        <w:tc>
          <w:tcPr>
            <w:tcW w:w="1418" w:type="dxa"/>
            <w:vMerge w:val="restart"/>
            <w:vAlign w:val="center"/>
          </w:tcPr>
          <w:p w14:paraId="2B9ADB4E" w14:textId="059D669B" w:rsidR="001479F4" w:rsidRPr="00BA3A42" w:rsidRDefault="001479F4" w:rsidP="006965B5">
            <w:pPr>
              <w:ind w:firstLine="0"/>
              <w:jc w:val="center"/>
            </w:pPr>
            <w:r w:rsidRPr="008348B8">
              <w:t>ACR50</w:t>
            </w:r>
          </w:p>
        </w:tc>
        <w:tc>
          <w:tcPr>
            <w:tcW w:w="1276" w:type="dxa"/>
            <w:vAlign w:val="center"/>
          </w:tcPr>
          <w:p w14:paraId="6EDC00D2" w14:textId="569E8EAC" w:rsidR="001479F4" w:rsidRPr="00BA3A42" w:rsidRDefault="001479F4" w:rsidP="006965B5">
            <w:pPr>
              <w:ind w:firstLine="0"/>
              <w:jc w:val="center"/>
            </w:pPr>
            <w:r>
              <w:t>Мес. 3</w:t>
            </w:r>
          </w:p>
        </w:tc>
        <w:tc>
          <w:tcPr>
            <w:tcW w:w="1559" w:type="dxa"/>
            <w:vAlign w:val="center"/>
          </w:tcPr>
          <w:p w14:paraId="09186F0E" w14:textId="318DCF35" w:rsidR="001479F4" w:rsidRPr="00BA3A42" w:rsidRDefault="001479F4" w:rsidP="006965B5">
            <w:pPr>
              <w:ind w:firstLine="0"/>
              <w:jc w:val="center"/>
            </w:pPr>
            <w:r>
              <w:t>9</w:t>
            </w:r>
          </w:p>
        </w:tc>
        <w:tc>
          <w:tcPr>
            <w:tcW w:w="2551" w:type="dxa"/>
            <w:vAlign w:val="center"/>
          </w:tcPr>
          <w:p w14:paraId="09691BD2" w14:textId="2852E6B8" w:rsidR="001479F4" w:rsidRPr="00BA3A42" w:rsidRDefault="001479F4" w:rsidP="006965B5">
            <w:pPr>
              <w:ind w:firstLine="0"/>
              <w:jc w:val="center"/>
            </w:pPr>
            <w:r w:rsidRPr="008D5FB6">
              <w:t>27***</w:t>
            </w:r>
          </w:p>
        </w:tc>
        <w:tc>
          <w:tcPr>
            <w:tcW w:w="2552" w:type="dxa"/>
            <w:vAlign w:val="center"/>
          </w:tcPr>
          <w:p w14:paraId="205CEF74" w14:textId="1B0E881B" w:rsidR="001479F4" w:rsidRPr="00BA3A42" w:rsidRDefault="001A7B60" w:rsidP="006965B5">
            <w:pPr>
              <w:ind w:firstLine="0"/>
              <w:jc w:val="center"/>
            </w:pPr>
            <w:r w:rsidRPr="001A7B60">
              <w:t>33***</w:t>
            </w:r>
          </w:p>
        </w:tc>
      </w:tr>
      <w:tr w:rsidR="001479F4" w:rsidRPr="00BA3A42" w14:paraId="7D1720AF" w14:textId="77777777" w:rsidTr="00A85CAC">
        <w:trPr>
          <w:trHeight w:val="93"/>
        </w:trPr>
        <w:tc>
          <w:tcPr>
            <w:tcW w:w="1418" w:type="dxa"/>
            <w:vMerge/>
            <w:vAlign w:val="center"/>
          </w:tcPr>
          <w:p w14:paraId="6750B979" w14:textId="77777777" w:rsidR="001479F4" w:rsidRPr="008348B8" w:rsidRDefault="001479F4" w:rsidP="006965B5">
            <w:pPr>
              <w:ind w:firstLine="0"/>
              <w:jc w:val="center"/>
            </w:pPr>
          </w:p>
        </w:tc>
        <w:tc>
          <w:tcPr>
            <w:tcW w:w="1276" w:type="dxa"/>
            <w:vAlign w:val="center"/>
          </w:tcPr>
          <w:p w14:paraId="1EE8385E" w14:textId="37D8B874" w:rsidR="001479F4" w:rsidRPr="00BA3A42" w:rsidRDefault="001479F4" w:rsidP="006965B5">
            <w:pPr>
              <w:ind w:firstLine="0"/>
              <w:jc w:val="center"/>
            </w:pPr>
            <w:r>
              <w:t>Мес. 6</w:t>
            </w:r>
          </w:p>
        </w:tc>
        <w:tc>
          <w:tcPr>
            <w:tcW w:w="1559" w:type="dxa"/>
            <w:vAlign w:val="center"/>
          </w:tcPr>
          <w:p w14:paraId="4DC7322F" w14:textId="6AACB7D4" w:rsidR="001479F4" w:rsidRPr="00BA3A42" w:rsidRDefault="001479F4" w:rsidP="006965B5">
            <w:pPr>
              <w:ind w:firstLine="0"/>
              <w:jc w:val="center"/>
            </w:pPr>
            <w:r>
              <w:t>13</w:t>
            </w:r>
          </w:p>
        </w:tc>
        <w:tc>
          <w:tcPr>
            <w:tcW w:w="2551" w:type="dxa"/>
            <w:vAlign w:val="center"/>
          </w:tcPr>
          <w:p w14:paraId="6DDD0C37" w14:textId="7F1532CD" w:rsidR="001479F4" w:rsidRPr="00BA3A42" w:rsidRDefault="001479F4" w:rsidP="006965B5">
            <w:pPr>
              <w:ind w:firstLine="0"/>
              <w:jc w:val="center"/>
            </w:pPr>
            <w:r w:rsidRPr="008D5FB6">
              <w:t>34***</w:t>
            </w:r>
          </w:p>
        </w:tc>
        <w:tc>
          <w:tcPr>
            <w:tcW w:w="2552" w:type="dxa"/>
            <w:vAlign w:val="center"/>
          </w:tcPr>
          <w:p w14:paraId="542A7D56" w14:textId="666F9F1D" w:rsidR="001479F4" w:rsidRPr="00BA3A42" w:rsidRDefault="001A7B60" w:rsidP="006965B5">
            <w:pPr>
              <w:ind w:firstLine="0"/>
              <w:jc w:val="center"/>
            </w:pPr>
            <w:r w:rsidRPr="001A7B60">
              <w:t>36***</w:t>
            </w:r>
          </w:p>
        </w:tc>
      </w:tr>
      <w:tr w:rsidR="001479F4" w:rsidRPr="00BA3A42" w14:paraId="17EE2E02" w14:textId="77777777" w:rsidTr="00A85CAC">
        <w:trPr>
          <w:trHeight w:val="93"/>
        </w:trPr>
        <w:tc>
          <w:tcPr>
            <w:tcW w:w="1418" w:type="dxa"/>
            <w:vMerge/>
            <w:vAlign w:val="center"/>
          </w:tcPr>
          <w:p w14:paraId="7B4DCE9C" w14:textId="77777777" w:rsidR="001479F4" w:rsidRPr="008348B8" w:rsidRDefault="001479F4" w:rsidP="006965B5">
            <w:pPr>
              <w:ind w:firstLine="0"/>
              <w:jc w:val="center"/>
            </w:pPr>
          </w:p>
        </w:tc>
        <w:tc>
          <w:tcPr>
            <w:tcW w:w="1276" w:type="dxa"/>
            <w:vAlign w:val="center"/>
          </w:tcPr>
          <w:p w14:paraId="72FC2C62" w14:textId="1229FEC8" w:rsidR="001479F4" w:rsidRPr="00BA3A42" w:rsidRDefault="001479F4" w:rsidP="006965B5">
            <w:pPr>
              <w:ind w:firstLine="0"/>
              <w:jc w:val="center"/>
            </w:pPr>
            <w:r>
              <w:t>Мес. 12</w:t>
            </w:r>
          </w:p>
        </w:tc>
        <w:tc>
          <w:tcPr>
            <w:tcW w:w="1559" w:type="dxa"/>
            <w:vAlign w:val="center"/>
          </w:tcPr>
          <w:p w14:paraId="4F3F933A" w14:textId="3479467D" w:rsidR="001479F4" w:rsidRPr="00BA3A42" w:rsidRDefault="001479F4" w:rsidP="006965B5">
            <w:pPr>
              <w:ind w:firstLine="0"/>
              <w:jc w:val="center"/>
            </w:pPr>
            <w:r>
              <w:t>н/п</w:t>
            </w:r>
          </w:p>
        </w:tc>
        <w:tc>
          <w:tcPr>
            <w:tcW w:w="2551" w:type="dxa"/>
            <w:vAlign w:val="center"/>
          </w:tcPr>
          <w:p w14:paraId="54FFFA00" w14:textId="2B920859" w:rsidR="001479F4" w:rsidRPr="00BA3A42" w:rsidRDefault="001479F4" w:rsidP="006965B5">
            <w:pPr>
              <w:ind w:firstLine="0"/>
              <w:jc w:val="center"/>
            </w:pPr>
            <w:r>
              <w:t>33</w:t>
            </w:r>
          </w:p>
        </w:tc>
        <w:tc>
          <w:tcPr>
            <w:tcW w:w="2552" w:type="dxa"/>
            <w:vAlign w:val="center"/>
          </w:tcPr>
          <w:p w14:paraId="7B26BB59" w14:textId="74F573BC" w:rsidR="001479F4" w:rsidRPr="00BA3A42" w:rsidRDefault="001A7B60" w:rsidP="006965B5">
            <w:pPr>
              <w:ind w:firstLine="0"/>
              <w:jc w:val="center"/>
            </w:pPr>
            <w:r>
              <w:t>42</w:t>
            </w:r>
          </w:p>
        </w:tc>
      </w:tr>
      <w:tr w:rsidR="001479F4" w:rsidRPr="00BA3A42" w14:paraId="32B43C19" w14:textId="77777777" w:rsidTr="00A85CAC">
        <w:trPr>
          <w:trHeight w:val="94"/>
        </w:trPr>
        <w:tc>
          <w:tcPr>
            <w:tcW w:w="1418" w:type="dxa"/>
            <w:vMerge w:val="restart"/>
            <w:vAlign w:val="center"/>
          </w:tcPr>
          <w:p w14:paraId="44ABAF46" w14:textId="2B3FDA7F" w:rsidR="001479F4" w:rsidRPr="00BA3A42" w:rsidRDefault="001479F4" w:rsidP="006965B5">
            <w:pPr>
              <w:ind w:firstLine="0"/>
              <w:jc w:val="center"/>
            </w:pPr>
            <w:r w:rsidRPr="008348B8">
              <w:t>ACR70</w:t>
            </w:r>
          </w:p>
        </w:tc>
        <w:tc>
          <w:tcPr>
            <w:tcW w:w="1276" w:type="dxa"/>
            <w:vAlign w:val="center"/>
          </w:tcPr>
          <w:p w14:paraId="096FF2D0" w14:textId="78C18D9F" w:rsidR="001479F4" w:rsidRPr="00BA3A42" w:rsidRDefault="001479F4" w:rsidP="006965B5">
            <w:pPr>
              <w:ind w:firstLine="0"/>
              <w:jc w:val="center"/>
            </w:pPr>
            <w:r>
              <w:t>Мес. 3</w:t>
            </w:r>
          </w:p>
        </w:tc>
        <w:tc>
          <w:tcPr>
            <w:tcW w:w="1559" w:type="dxa"/>
            <w:vAlign w:val="center"/>
          </w:tcPr>
          <w:p w14:paraId="26C2DBFF" w14:textId="4F537AB0" w:rsidR="001479F4" w:rsidRPr="00BA3A42" w:rsidRDefault="001479F4" w:rsidP="006965B5">
            <w:pPr>
              <w:ind w:firstLine="0"/>
              <w:jc w:val="center"/>
            </w:pPr>
            <w:r>
              <w:t>2</w:t>
            </w:r>
          </w:p>
        </w:tc>
        <w:tc>
          <w:tcPr>
            <w:tcW w:w="2551" w:type="dxa"/>
            <w:vAlign w:val="center"/>
          </w:tcPr>
          <w:p w14:paraId="1C7E9596" w14:textId="509699A3" w:rsidR="001479F4" w:rsidRPr="00BA3A42" w:rsidRDefault="001479F4" w:rsidP="006965B5">
            <w:pPr>
              <w:ind w:firstLine="0"/>
              <w:jc w:val="center"/>
            </w:pPr>
            <w:r w:rsidRPr="001479F4">
              <w:t>8**</w:t>
            </w:r>
          </w:p>
        </w:tc>
        <w:tc>
          <w:tcPr>
            <w:tcW w:w="2552" w:type="dxa"/>
            <w:vAlign w:val="center"/>
          </w:tcPr>
          <w:p w14:paraId="3F3D6E10" w14:textId="22576700" w:rsidR="001479F4" w:rsidRPr="00BA3A42" w:rsidRDefault="00840F5A" w:rsidP="006965B5">
            <w:pPr>
              <w:ind w:firstLine="0"/>
              <w:jc w:val="center"/>
            </w:pPr>
            <w:r w:rsidRPr="00840F5A">
              <w:t>14***</w:t>
            </w:r>
          </w:p>
        </w:tc>
      </w:tr>
      <w:tr w:rsidR="001479F4" w:rsidRPr="00BA3A42" w14:paraId="13039BFC" w14:textId="77777777" w:rsidTr="00A85CAC">
        <w:trPr>
          <w:trHeight w:val="93"/>
        </w:trPr>
        <w:tc>
          <w:tcPr>
            <w:tcW w:w="1418" w:type="dxa"/>
            <w:vMerge/>
            <w:vAlign w:val="center"/>
          </w:tcPr>
          <w:p w14:paraId="5B7D676C" w14:textId="77777777" w:rsidR="001479F4" w:rsidRPr="008348B8" w:rsidRDefault="001479F4" w:rsidP="006965B5">
            <w:pPr>
              <w:ind w:firstLine="0"/>
              <w:jc w:val="center"/>
            </w:pPr>
          </w:p>
        </w:tc>
        <w:tc>
          <w:tcPr>
            <w:tcW w:w="1276" w:type="dxa"/>
            <w:vAlign w:val="center"/>
          </w:tcPr>
          <w:p w14:paraId="74F586BA" w14:textId="55996133" w:rsidR="001479F4" w:rsidRPr="00BA3A42" w:rsidRDefault="001479F4" w:rsidP="006965B5">
            <w:pPr>
              <w:ind w:firstLine="0"/>
              <w:jc w:val="center"/>
            </w:pPr>
            <w:r>
              <w:t>Мес. 6</w:t>
            </w:r>
          </w:p>
        </w:tc>
        <w:tc>
          <w:tcPr>
            <w:tcW w:w="1559" w:type="dxa"/>
            <w:vAlign w:val="center"/>
          </w:tcPr>
          <w:p w14:paraId="0A3E8E60" w14:textId="1E95BCE5" w:rsidR="001479F4" w:rsidRPr="00BA3A42" w:rsidRDefault="001479F4" w:rsidP="006965B5">
            <w:pPr>
              <w:ind w:firstLine="0"/>
              <w:jc w:val="center"/>
            </w:pPr>
            <w:r>
              <w:t>3</w:t>
            </w:r>
          </w:p>
        </w:tc>
        <w:tc>
          <w:tcPr>
            <w:tcW w:w="2551" w:type="dxa"/>
            <w:vAlign w:val="center"/>
          </w:tcPr>
          <w:p w14:paraId="1CE8B5A5" w14:textId="717C63FF" w:rsidR="001479F4" w:rsidRPr="00BA3A42" w:rsidRDefault="001479F4" w:rsidP="006965B5">
            <w:pPr>
              <w:ind w:firstLine="0"/>
              <w:jc w:val="center"/>
            </w:pPr>
            <w:r w:rsidRPr="001479F4">
              <w:t>13***</w:t>
            </w:r>
          </w:p>
        </w:tc>
        <w:tc>
          <w:tcPr>
            <w:tcW w:w="2552" w:type="dxa"/>
            <w:vAlign w:val="center"/>
          </w:tcPr>
          <w:p w14:paraId="268D3A55" w14:textId="3E23767F" w:rsidR="001479F4" w:rsidRPr="00BA3A42" w:rsidRDefault="00840F5A" w:rsidP="006965B5">
            <w:pPr>
              <w:ind w:firstLine="0"/>
              <w:jc w:val="center"/>
            </w:pPr>
            <w:r w:rsidRPr="00840F5A">
              <w:t>16***</w:t>
            </w:r>
          </w:p>
        </w:tc>
      </w:tr>
      <w:tr w:rsidR="001479F4" w:rsidRPr="00BA3A42" w14:paraId="0C1467F6" w14:textId="77777777" w:rsidTr="00A85CAC">
        <w:trPr>
          <w:trHeight w:val="93"/>
        </w:trPr>
        <w:tc>
          <w:tcPr>
            <w:tcW w:w="1418" w:type="dxa"/>
            <w:vMerge/>
            <w:vAlign w:val="center"/>
          </w:tcPr>
          <w:p w14:paraId="0C83C281" w14:textId="77777777" w:rsidR="001479F4" w:rsidRPr="008348B8" w:rsidRDefault="001479F4" w:rsidP="006965B5">
            <w:pPr>
              <w:ind w:firstLine="0"/>
              <w:jc w:val="center"/>
            </w:pPr>
          </w:p>
        </w:tc>
        <w:tc>
          <w:tcPr>
            <w:tcW w:w="1276" w:type="dxa"/>
            <w:vAlign w:val="center"/>
          </w:tcPr>
          <w:p w14:paraId="35C98BEE" w14:textId="4F4D5FAC" w:rsidR="001479F4" w:rsidRPr="00BA3A42" w:rsidRDefault="001479F4" w:rsidP="006965B5">
            <w:pPr>
              <w:ind w:firstLine="0"/>
              <w:jc w:val="center"/>
            </w:pPr>
            <w:r>
              <w:t>Мес. 12</w:t>
            </w:r>
          </w:p>
        </w:tc>
        <w:tc>
          <w:tcPr>
            <w:tcW w:w="1559" w:type="dxa"/>
            <w:vAlign w:val="center"/>
          </w:tcPr>
          <w:p w14:paraId="100A04BA" w14:textId="6189D9ED" w:rsidR="001479F4" w:rsidRPr="00BA3A42" w:rsidRDefault="001479F4" w:rsidP="006965B5">
            <w:pPr>
              <w:ind w:firstLine="0"/>
              <w:jc w:val="center"/>
            </w:pPr>
            <w:r>
              <w:t>н/п</w:t>
            </w:r>
          </w:p>
        </w:tc>
        <w:tc>
          <w:tcPr>
            <w:tcW w:w="2551" w:type="dxa"/>
            <w:vAlign w:val="center"/>
          </w:tcPr>
          <w:p w14:paraId="6B64102F" w14:textId="007A3B42" w:rsidR="001479F4" w:rsidRPr="00BA3A42" w:rsidRDefault="001479F4" w:rsidP="006965B5">
            <w:pPr>
              <w:ind w:firstLine="0"/>
              <w:jc w:val="center"/>
            </w:pPr>
            <w:r>
              <w:t>19</w:t>
            </w:r>
          </w:p>
        </w:tc>
        <w:tc>
          <w:tcPr>
            <w:tcW w:w="2552" w:type="dxa"/>
            <w:vAlign w:val="center"/>
          </w:tcPr>
          <w:p w14:paraId="78CDD940" w14:textId="66AAC2C8" w:rsidR="001479F4" w:rsidRPr="00BA3A42" w:rsidRDefault="00840F5A" w:rsidP="006965B5">
            <w:pPr>
              <w:ind w:firstLine="0"/>
              <w:jc w:val="center"/>
            </w:pPr>
            <w:r>
              <w:t>25</w:t>
            </w:r>
          </w:p>
        </w:tc>
      </w:tr>
    </w:tbl>
    <w:p w14:paraId="656DD059" w14:textId="77777777" w:rsidR="00791E09" w:rsidRDefault="00791E09" w:rsidP="006965B5">
      <w:pPr>
        <w:ind w:firstLine="0"/>
        <w:jc w:val="center"/>
        <w:rPr>
          <w:b/>
          <w:bCs/>
        </w:rPr>
        <w:sectPr w:rsidR="00791E09" w:rsidSect="00C13EBE">
          <w:pgSz w:w="11906" w:h="16838"/>
          <w:pgMar w:top="703" w:right="850" w:bottom="1134" w:left="1701" w:header="709" w:footer="708" w:gutter="0"/>
          <w:cols w:space="708"/>
          <w:docGrid w:linePitch="360"/>
        </w:sectPr>
      </w:pPr>
    </w:p>
    <w:tbl>
      <w:tblPr>
        <w:tblStyle w:val="a4"/>
        <w:tblW w:w="0" w:type="auto"/>
        <w:tblInd w:w="108" w:type="dxa"/>
        <w:tblLayout w:type="fixed"/>
        <w:tblLook w:val="04A0" w:firstRow="1" w:lastRow="0" w:firstColumn="1" w:lastColumn="0" w:noHBand="0" w:noVBand="1"/>
      </w:tblPr>
      <w:tblGrid>
        <w:gridCol w:w="1418"/>
        <w:gridCol w:w="1276"/>
        <w:gridCol w:w="1559"/>
        <w:gridCol w:w="1276"/>
        <w:gridCol w:w="1275"/>
        <w:gridCol w:w="2552"/>
      </w:tblGrid>
      <w:tr w:rsidR="00FE47A4" w:rsidRPr="00BA3A42" w14:paraId="57BF82D6" w14:textId="77777777" w:rsidTr="00A85CAC">
        <w:tc>
          <w:tcPr>
            <w:tcW w:w="9356" w:type="dxa"/>
            <w:gridSpan w:val="6"/>
            <w:shd w:val="clear" w:color="auto" w:fill="D9D9D9" w:themeFill="background1" w:themeFillShade="D9"/>
            <w:vAlign w:val="center"/>
          </w:tcPr>
          <w:p w14:paraId="5674BE90" w14:textId="5BB5B857" w:rsidR="00FE47A4" w:rsidRPr="00FE47A4" w:rsidRDefault="00FE47A4" w:rsidP="006965B5">
            <w:pPr>
              <w:ind w:firstLine="0"/>
              <w:jc w:val="center"/>
              <w:rPr>
                <w:b/>
                <w:bCs/>
              </w:rPr>
            </w:pPr>
            <w:r w:rsidRPr="00FE47A4">
              <w:rPr>
                <w:b/>
                <w:bCs/>
              </w:rPr>
              <w:lastRenderedPageBreak/>
              <w:t>ORAL Standard: пациенты с недостаточным ответом на метотрексат</w:t>
            </w:r>
          </w:p>
        </w:tc>
      </w:tr>
      <w:tr w:rsidR="006965B5" w:rsidRPr="00BA3A42" w14:paraId="740B2E53" w14:textId="77777777" w:rsidTr="00A85CAC">
        <w:trPr>
          <w:trHeight w:val="550"/>
        </w:trPr>
        <w:tc>
          <w:tcPr>
            <w:tcW w:w="1418" w:type="dxa"/>
            <w:vMerge w:val="restart"/>
            <w:shd w:val="clear" w:color="auto" w:fill="D9D9D9" w:themeFill="background1" w:themeFillShade="D9"/>
            <w:vAlign w:val="center"/>
          </w:tcPr>
          <w:p w14:paraId="690B347D" w14:textId="4338C009" w:rsidR="006965B5" w:rsidRPr="00BA3A42" w:rsidRDefault="006965B5" w:rsidP="006965B5">
            <w:pPr>
              <w:ind w:firstLine="0"/>
              <w:jc w:val="center"/>
            </w:pPr>
            <w:r w:rsidRPr="00CD0F13">
              <w:rPr>
                <w:b/>
                <w:bCs/>
              </w:rPr>
              <w:t>Конечная точка</w:t>
            </w:r>
          </w:p>
        </w:tc>
        <w:tc>
          <w:tcPr>
            <w:tcW w:w="1276" w:type="dxa"/>
            <w:vMerge w:val="restart"/>
            <w:shd w:val="clear" w:color="auto" w:fill="D9D9D9" w:themeFill="background1" w:themeFillShade="D9"/>
            <w:vAlign w:val="center"/>
          </w:tcPr>
          <w:p w14:paraId="6DE99D10" w14:textId="732BF893" w:rsidR="006965B5" w:rsidRPr="00BA3A42" w:rsidRDefault="006965B5" w:rsidP="006965B5">
            <w:pPr>
              <w:ind w:firstLine="0"/>
              <w:jc w:val="center"/>
            </w:pPr>
            <w:r w:rsidRPr="00CD0F13">
              <w:rPr>
                <w:b/>
                <w:bCs/>
              </w:rPr>
              <w:t>Время</w:t>
            </w:r>
          </w:p>
        </w:tc>
        <w:tc>
          <w:tcPr>
            <w:tcW w:w="1559" w:type="dxa"/>
            <w:vMerge w:val="restart"/>
            <w:shd w:val="clear" w:color="auto" w:fill="D9D9D9" w:themeFill="background1" w:themeFillShade="D9"/>
            <w:vAlign w:val="center"/>
          </w:tcPr>
          <w:p w14:paraId="1D5E294C" w14:textId="38EB1826" w:rsidR="006965B5" w:rsidRPr="00BA3A42" w:rsidRDefault="006965B5" w:rsidP="006965B5">
            <w:pPr>
              <w:ind w:firstLine="0"/>
              <w:jc w:val="center"/>
            </w:pPr>
            <w:r w:rsidRPr="00CD0F13">
              <w:rPr>
                <w:b/>
                <w:bCs/>
              </w:rPr>
              <w:t>Плацебо</w:t>
            </w:r>
          </w:p>
          <w:p w14:paraId="363B601B" w14:textId="406305AD" w:rsidR="006965B5" w:rsidRPr="00BA3A42" w:rsidRDefault="006965B5" w:rsidP="006965B5">
            <w:pPr>
              <w:ind w:firstLine="0"/>
              <w:jc w:val="center"/>
            </w:pPr>
            <w:r w:rsidRPr="00CD0F13">
              <w:rPr>
                <w:b/>
                <w:bCs/>
                <w:lang w:val="en-US"/>
              </w:rPr>
              <w:t>N = 1</w:t>
            </w:r>
            <w:r>
              <w:rPr>
                <w:b/>
                <w:bCs/>
              </w:rPr>
              <w:t>05</w:t>
            </w:r>
          </w:p>
        </w:tc>
        <w:tc>
          <w:tcPr>
            <w:tcW w:w="2551" w:type="dxa"/>
            <w:gridSpan w:val="2"/>
            <w:shd w:val="clear" w:color="auto" w:fill="D9D9D9" w:themeFill="background1" w:themeFillShade="D9"/>
            <w:vAlign w:val="center"/>
          </w:tcPr>
          <w:p w14:paraId="1EE2B7DD" w14:textId="2E0A28F8" w:rsidR="006965B5" w:rsidRPr="00BA3A42" w:rsidRDefault="006965B5" w:rsidP="006965B5">
            <w:pPr>
              <w:ind w:firstLine="0"/>
              <w:jc w:val="center"/>
            </w:pPr>
            <w:r w:rsidRPr="00CD0F13">
              <w:rPr>
                <w:b/>
                <w:bCs/>
              </w:rPr>
              <w:t>Тофацитиниб, 2 раза в день</w:t>
            </w:r>
            <w:r>
              <w:rPr>
                <w:b/>
                <w:bCs/>
              </w:rPr>
              <w:t xml:space="preserve"> + метотрексат</w:t>
            </w:r>
          </w:p>
        </w:tc>
        <w:tc>
          <w:tcPr>
            <w:tcW w:w="2552" w:type="dxa"/>
            <w:vMerge w:val="restart"/>
            <w:shd w:val="clear" w:color="auto" w:fill="D9D9D9" w:themeFill="background1" w:themeFillShade="D9"/>
            <w:vAlign w:val="center"/>
          </w:tcPr>
          <w:p w14:paraId="12232F07" w14:textId="56D290A7" w:rsidR="006965B5" w:rsidRPr="00BA3A42" w:rsidRDefault="006965B5" w:rsidP="00791E09">
            <w:pPr>
              <w:ind w:left="-111" w:right="-105" w:firstLine="0"/>
              <w:jc w:val="center"/>
            </w:pPr>
            <w:r>
              <w:rPr>
                <w:b/>
                <w:bCs/>
              </w:rPr>
              <w:t>Адалимумаб 40 мг</w:t>
            </w:r>
            <w:r w:rsidRPr="00CD0F13">
              <w:rPr>
                <w:b/>
                <w:bCs/>
              </w:rPr>
              <w:t xml:space="preserve">, </w:t>
            </w:r>
            <w:r>
              <w:rPr>
                <w:b/>
                <w:bCs/>
              </w:rPr>
              <w:t>каждую вторую неделю + метотрексат</w:t>
            </w:r>
          </w:p>
          <w:p w14:paraId="7AB45AC5" w14:textId="6ACFCB39" w:rsidR="006965B5" w:rsidRPr="00BA3A42" w:rsidRDefault="006965B5" w:rsidP="00791E09">
            <w:pPr>
              <w:ind w:left="-111" w:right="-105" w:firstLine="0"/>
              <w:jc w:val="center"/>
            </w:pPr>
            <w:r w:rsidRPr="00CD0F13">
              <w:rPr>
                <w:b/>
                <w:bCs/>
                <w:lang w:val="en-US"/>
              </w:rPr>
              <w:t>N</w:t>
            </w:r>
            <w:r w:rsidRPr="00CD0F13">
              <w:rPr>
                <w:b/>
                <w:bCs/>
              </w:rPr>
              <w:t xml:space="preserve"> = </w:t>
            </w:r>
            <w:r>
              <w:rPr>
                <w:b/>
                <w:bCs/>
              </w:rPr>
              <w:t>199</w:t>
            </w:r>
          </w:p>
        </w:tc>
      </w:tr>
      <w:tr w:rsidR="006965B5" w:rsidRPr="00BA3A42" w14:paraId="5264B309" w14:textId="77777777" w:rsidTr="00791E09">
        <w:trPr>
          <w:trHeight w:val="513"/>
        </w:trPr>
        <w:tc>
          <w:tcPr>
            <w:tcW w:w="1418" w:type="dxa"/>
            <w:vMerge/>
            <w:vAlign w:val="center"/>
          </w:tcPr>
          <w:p w14:paraId="5BDAD183" w14:textId="77777777" w:rsidR="006965B5" w:rsidRPr="00CD0F13" w:rsidRDefault="006965B5" w:rsidP="006965B5">
            <w:pPr>
              <w:ind w:firstLine="0"/>
              <w:jc w:val="center"/>
              <w:rPr>
                <w:b/>
                <w:bCs/>
              </w:rPr>
            </w:pPr>
          </w:p>
        </w:tc>
        <w:tc>
          <w:tcPr>
            <w:tcW w:w="1276" w:type="dxa"/>
            <w:vMerge/>
            <w:vAlign w:val="center"/>
          </w:tcPr>
          <w:p w14:paraId="74A477C9" w14:textId="77777777" w:rsidR="006965B5" w:rsidRPr="00CD0F13" w:rsidRDefault="006965B5" w:rsidP="006965B5">
            <w:pPr>
              <w:ind w:firstLine="0"/>
              <w:jc w:val="center"/>
              <w:rPr>
                <w:b/>
                <w:bCs/>
              </w:rPr>
            </w:pPr>
          </w:p>
        </w:tc>
        <w:tc>
          <w:tcPr>
            <w:tcW w:w="1559" w:type="dxa"/>
            <w:vMerge/>
            <w:vAlign w:val="center"/>
          </w:tcPr>
          <w:p w14:paraId="64945B1E" w14:textId="68303B41" w:rsidR="006965B5" w:rsidRPr="00F473AE" w:rsidRDefault="006965B5" w:rsidP="006965B5">
            <w:pPr>
              <w:ind w:firstLine="0"/>
              <w:jc w:val="center"/>
              <w:rPr>
                <w:b/>
                <w:bCs/>
              </w:rPr>
            </w:pPr>
          </w:p>
        </w:tc>
        <w:tc>
          <w:tcPr>
            <w:tcW w:w="1276" w:type="dxa"/>
            <w:shd w:val="clear" w:color="auto" w:fill="D9D9D9" w:themeFill="background1" w:themeFillShade="D9"/>
            <w:vAlign w:val="center"/>
          </w:tcPr>
          <w:p w14:paraId="0FCBBCE0" w14:textId="77777777" w:rsidR="006965B5" w:rsidRDefault="006965B5" w:rsidP="006965B5">
            <w:pPr>
              <w:ind w:firstLine="0"/>
              <w:jc w:val="center"/>
              <w:rPr>
                <w:b/>
                <w:bCs/>
              </w:rPr>
            </w:pPr>
            <w:r>
              <w:rPr>
                <w:b/>
                <w:bCs/>
              </w:rPr>
              <w:t xml:space="preserve">5 мг </w:t>
            </w:r>
          </w:p>
          <w:p w14:paraId="05EFFCAC" w14:textId="725DB3E8" w:rsidR="006965B5" w:rsidRPr="00CD0F13" w:rsidRDefault="006965B5" w:rsidP="006965B5">
            <w:pPr>
              <w:ind w:firstLine="0"/>
              <w:jc w:val="center"/>
              <w:rPr>
                <w:b/>
                <w:bCs/>
              </w:rPr>
            </w:pPr>
            <w:r>
              <w:rPr>
                <w:b/>
                <w:bCs/>
              </w:rPr>
              <w:t>(</w:t>
            </w:r>
            <w:r w:rsidRPr="007572B9">
              <w:rPr>
                <w:b/>
                <w:bCs/>
              </w:rPr>
              <w:t>N = 1</w:t>
            </w:r>
            <w:r>
              <w:rPr>
                <w:b/>
                <w:bCs/>
              </w:rPr>
              <w:t>98)</w:t>
            </w:r>
          </w:p>
        </w:tc>
        <w:tc>
          <w:tcPr>
            <w:tcW w:w="1275" w:type="dxa"/>
            <w:shd w:val="clear" w:color="auto" w:fill="D9D9D9" w:themeFill="background1" w:themeFillShade="D9"/>
            <w:vAlign w:val="center"/>
          </w:tcPr>
          <w:p w14:paraId="7B597141" w14:textId="77777777" w:rsidR="006965B5" w:rsidRDefault="006965B5" w:rsidP="006965B5">
            <w:pPr>
              <w:ind w:firstLine="0"/>
              <w:jc w:val="center"/>
              <w:rPr>
                <w:b/>
                <w:bCs/>
              </w:rPr>
            </w:pPr>
            <w:r>
              <w:rPr>
                <w:b/>
                <w:bCs/>
              </w:rPr>
              <w:t xml:space="preserve">10 мг </w:t>
            </w:r>
          </w:p>
          <w:p w14:paraId="2A788CE7" w14:textId="55A6CED4" w:rsidR="006965B5" w:rsidRPr="00CD0F13" w:rsidRDefault="006965B5" w:rsidP="006965B5">
            <w:pPr>
              <w:ind w:firstLine="0"/>
              <w:jc w:val="center"/>
              <w:rPr>
                <w:b/>
                <w:bCs/>
              </w:rPr>
            </w:pPr>
            <w:r>
              <w:rPr>
                <w:b/>
                <w:bCs/>
              </w:rPr>
              <w:t>(</w:t>
            </w:r>
            <w:r w:rsidRPr="007572B9">
              <w:rPr>
                <w:b/>
                <w:bCs/>
              </w:rPr>
              <w:t>N = 1</w:t>
            </w:r>
            <w:r>
              <w:rPr>
                <w:b/>
                <w:bCs/>
              </w:rPr>
              <w:t>97)</w:t>
            </w:r>
          </w:p>
        </w:tc>
        <w:tc>
          <w:tcPr>
            <w:tcW w:w="2552" w:type="dxa"/>
            <w:vMerge/>
            <w:vAlign w:val="center"/>
          </w:tcPr>
          <w:p w14:paraId="6DC24F2F" w14:textId="0B09CDA7" w:rsidR="006965B5" w:rsidRPr="00CD0F13" w:rsidRDefault="006965B5" w:rsidP="006965B5">
            <w:pPr>
              <w:ind w:firstLine="0"/>
              <w:jc w:val="center"/>
              <w:rPr>
                <w:b/>
                <w:bCs/>
              </w:rPr>
            </w:pPr>
          </w:p>
        </w:tc>
      </w:tr>
      <w:tr w:rsidR="00091BDE" w:rsidRPr="00BA3A42" w14:paraId="51B16180" w14:textId="77777777" w:rsidTr="00A85CAC">
        <w:trPr>
          <w:trHeight w:val="184"/>
        </w:trPr>
        <w:tc>
          <w:tcPr>
            <w:tcW w:w="1418" w:type="dxa"/>
            <w:vMerge w:val="restart"/>
            <w:vAlign w:val="center"/>
          </w:tcPr>
          <w:p w14:paraId="6A362928" w14:textId="77777777" w:rsidR="00091BDE" w:rsidRPr="00BA3A42" w:rsidRDefault="00091BDE" w:rsidP="006965B5">
            <w:pPr>
              <w:ind w:firstLine="0"/>
              <w:jc w:val="center"/>
            </w:pPr>
            <w:r w:rsidRPr="008348B8">
              <w:t>ACR20</w:t>
            </w:r>
          </w:p>
          <w:p w14:paraId="6BFD229B" w14:textId="77777777" w:rsidR="00091BDE" w:rsidRPr="00BA3A42" w:rsidRDefault="00091BDE" w:rsidP="006965B5">
            <w:pPr>
              <w:ind w:firstLine="0"/>
              <w:jc w:val="center"/>
            </w:pPr>
          </w:p>
        </w:tc>
        <w:tc>
          <w:tcPr>
            <w:tcW w:w="1276" w:type="dxa"/>
            <w:vAlign w:val="center"/>
          </w:tcPr>
          <w:p w14:paraId="69258945" w14:textId="4EF162A5" w:rsidR="00091BDE" w:rsidRPr="00BA3A42" w:rsidRDefault="00091BDE" w:rsidP="006965B5">
            <w:pPr>
              <w:ind w:firstLine="0"/>
              <w:jc w:val="center"/>
            </w:pPr>
            <w:r>
              <w:t>Мес. 3</w:t>
            </w:r>
          </w:p>
        </w:tc>
        <w:tc>
          <w:tcPr>
            <w:tcW w:w="1559" w:type="dxa"/>
            <w:vAlign w:val="center"/>
          </w:tcPr>
          <w:p w14:paraId="60100ABC" w14:textId="3467F257" w:rsidR="00091BDE" w:rsidRPr="00BA3A42" w:rsidRDefault="00091BDE" w:rsidP="006965B5">
            <w:pPr>
              <w:ind w:firstLine="0"/>
              <w:jc w:val="center"/>
            </w:pPr>
            <w:r>
              <w:t>26</w:t>
            </w:r>
          </w:p>
        </w:tc>
        <w:tc>
          <w:tcPr>
            <w:tcW w:w="1276" w:type="dxa"/>
            <w:vAlign w:val="center"/>
          </w:tcPr>
          <w:p w14:paraId="5F0EA3BB" w14:textId="77777777" w:rsidR="00091BDE" w:rsidRPr="00BA3A42" w:rsidRDefault="00091BDE" w:rsidP="006965B5">
            <w:pPr>
              <w:ind w:firstLine="0"/>
              <w:jc w:val="center"/>
            </w:pPr>
            <w:r w:rsidRPr="00E4514A">
              <w:t>59***</w:t>
            </w:r>
          </w:p>
        </w:tc>
        <w:tc>
          <w:tcPr>
            <w:tcW w:w="1275" w:type="dxa"/>
            <w:vAlign w:val="center"/>
          </w:tcPr>
          <w:p w14:paraId="6278B300" w14:textId="3F36E58B" w:rsidR="00091BDE" w:rsidRPr="00BA3A42" w:rsidRDefault="00091BDE" w:rsidP="006965B5">
            <w:pPr>
              <w:ind w:firstLine="0"/>
              <w:jc w:val="center"/>
            </w:pPr>
            <w:r w:rsidRPr="00091BDE">
              <w:t>57***</w:t>
            </w:r>
          </w:p>
        </w:tc>
        <w:tc>
          <w:tcPr>
            <w:tcW w:w="2552" w:type="dxa"/>
            <w:vAlign w:val="center"/>
          </w:tcPr>
          <w:p w14:paraId="4B77E5A2" w14:textId="535B8CE4" w:rsidR="00091BDE" w:rsidRPr="00BA3A42" w:rsidRDefault="00B922E5" w:rsidP="006965B5">
            <w:pPr>
              <w:ind w:firstLine="0"/>
              <w:jc w:val="center"/>
            </w:pPr>
            <w:r w:rsidRPr="00B922E5">
              <w:t>56***</w:t>
            </w:r>
          </w:p>
        </w:tc>
      </w:tr>
      <w:tr w:rsidR="00091BDE" w:rsidRPr="00BA3A42" w14:paraId="7D2AF2DC" w14:textId="77777777" w:rsidTr="00A85CAC">
        <w:trPr>
          <w:trHeight w:val="183"/>
        </w:trPr>
        <w:tc>
          <w:tcPr>
            <w:tcW w:w="1418" w:type="dxa"/>
            <w:vMerge/>
            <w:vAlign w:val="center"/>
          </w:tcPr>
          <w:p w14:paraId="2B840EB2" w14:textId="77777777" w:rsidR="00091BDE" w:rsidRPr="008348B8" w:rsidRDefault="00091BDE" w:rsidP="006965B5">
            <w:pPr>
              <w:ind w:firstLine="0"/>
              <w:jc w:val="center"/>
            </w:pPr>
          </w:p>
        </w:tc>
        <w:tc>
          <w:tcPr>
            <w:tcW w:w="1276" w:type="dxa"/>
            <w:vAlign w:val="center"/>
          </w:tcPr>
          <w:p w14:paraId="04349AA2" w14:textId="1D62234B" w:rsidR="00091BDE" w:rsidRPr="00BA3A42" w:rsidRDefault="00091BDE" w:rsidP="006965B5">
            <w:pPr>
              <w:ind w:firstLine="0"/>
              <w:jc w:val="center"/>
            </w:pPr>
            <w:r>
              <w:t>Мес. 6</w:t>
            </w:r>
          </w:p>
        </w:tc>
        <w:tc>
          <w:tcPr>
            <w:tcW w:w="1559" w:type="dxa"/>
            <w:vAlign w:val="center"/>
          </w:tcPr>
          <w:p w14:paraId="711CF5C4" w14:textId="39BE1FC5" w:rsidR="00091BDE" w:rsidRPr="00BA3A42" w:rsidRDefault="00091BDE" w:rsidP="006965B5">
            <w:pPr>
              <w:ind w:firstLine="0"/>
              <w:jc w:val="center"/>
            </w:pPr>
            <w:r>
              <w:t>28</w:t>
            </w:r>
          </w:p>
        </w:tc>
        <w:tc>
          <w:tcPr>
            <w:tcW w:w="1276" w:type="dxa"/>
            <w:vAlign w:val="center"/>
          </w:tcPr>
          <w:p w14:paraId="2CB5033E" w14:textId="77777777" w:rsidR="00091BDE" w:rsidRPr="00BA3A42" w:rsidRDefault="00091BDE" w:rsidP="006965B5">
            <w:pPr>
              <w:ind w:firstLine="0"/>
              <w:jc w:val="center"/>
            </w:pPr>
            <w:r w:rsidRPr="002D6D64">
              <w:t>51***</w:t>
            </w:r>
          </w:p>
        </w:tc>
        <w:tc>
          <w:tcPr>
            <w:tcW w:w="1275" w:type="dxa"/>
            <w:vAlign w:val="center"/>
          </w:tcPr>
          <w:p w14:paraId="7F0D53E4" w14:textId="550150F5" w:rsidR="00091BDE" w:rsidRPr="00BA3A42" w:rsidRDefault="008C19B8" w:rsidP="006965B5">
            <w:pPr>
              <w:ind w:firstLine="0"/>
              <w:jc w:val="center"/>
            </w:pPr>
            <w:r w:rsidRPr="008C19B8">
              <w:t>51***</w:t>
            </w:r>
          </w:p>
        </w:tc>
        <w:tc>
          <w:tcPr>
            <w:tcW w:w="2552" w:type="dxa"/>
            <w:vAlign w:val="center"/>
          </w:tcPr>
          <w:p w14:paraId="3D583D0D" w14:textId="60A33B27" w:rsidR="00091BDE" w:rsidRPr="00BA3A42" w:rsidRDefault="00B922E5" w:rsidP="006965B5">
            <w:pPr>
              <w:ind w:firstLine="0"/>
              <w:jc w:val="center"/>
            </w:pPr>
            <w:r w:rsidRPr="00B922E5">
              <w:t>46**</w:t>
            </w:r>
          </w:p>
        </w:tc>
      </w:tr>
      <w:tr w:rsidR="00091BDE" w:rsidRPr="00BA3A42" w14:paraId="61FCFCB0" w14:textId="77777777" w:rsidTr="00A85CAC">
        <w:trPr>
          <w:trHeight w:val="183"/>
        </w:trPr>
        <w:tc>
          <w:tcPr>
            <w:tcW w:w="1418" w:type="dxa"/>
            <w:vMerge/>
            <w:vAlign w:val="center"/>
          </w:tcPr>
          <w:p w14:paraId="73B3EBA3" w14:textId="77777777" w:rsidR="00091BDE" w:rsidRPr="008348B8" w:rsidRDefault="00091BDE" w:rsidP="006965B5">
            <w:pPr>
              <w:ind w:firstLine="0"/>
              <w:jc w:val="center"/>
            </w:pPr>
          </w:p>
        </w:tc>
        <w:tc>
          <w:tcPr>
            <w:tcW w:w="1276" w:type="dxa"/>
            <w:vAlign w:val="center"/>
          </w:tcPr>
          <w:p w14:paraId="5863C705" w14:textId="58F0B56F" w:rsidR="00091BDE" w:rsidRPr="00BA3A42" w:rsidRDefault="00091BDE" w:rsidP="006965B5">
            <w:pPr>
              <w:ind w:firstLine="0"/>
              <w:jc w:val="center"/>
            </w:pPr>
            <w:r>
              <w:t>Мес. 12</w:t>
            </w:r>
          </w:p>
        </w:tc>
        <w:tc>
          <w:tcPr>
            <w:tcW w:w="1559" w:type="dxa"/>
            <w:vAlign w:val="center"/>
          </w:tcPr>
          <w:p w14:paraId="06D6FFEF" w14:textId="003EC95E" w:rsidR="00091BDE" w:rsidRPr="00BA3A42" w:rsidRDefault="00091BDE" w:rsidP="006965B5">
            <w:pPr>
              <w:ind w:firstLine="0"/>
              <w:jc w:val="center"/>
            </w:pPr>
            <w:r>
              <w:t>н/п</w:t>
            </w:r>
          </w:p>
        </w:tc>
        <w:tc>
          <w:tcPr>
            <w:tcW w:w="1276" w:type="dxa"/>
            <w:vAlign w:val="center"/>
          </w:tcPr>
          <w:p w14:paraId="6AE27105" w14:textId="77777777" w:rsidR="00091BDE" w:rsidRPr="00BA3A42" w:rsidRDefault="00091BDE" w:rsidP="006965B5">
            <w:pPr>
              <w:ind w:firstLine="0"/>
              <w:jc w:val="center"/>
            </w:pPr>
            <w:r>
              <w:t>48</w:t>
            </w:r>
          </w:p>
        </w:tc>
        <w:tc>
          <w:tcPr>
            <w:tcW w:w="1275" w:type="dxa"/>
            <w:vAlign w:val="center"/>
          </w:tcPr>
          <w:p w14:paraId="012523A2" w14:textId="76D8B0FA" w:rsidR="00091BDE" w:rsidRPr="00BA3A42" w:rsidRDefault="008C19B8" w:rsidP="006965B5">
            <w:pPr>
              <w:ind w:firstLine="0"/>
              <w:jc w:val="center"/>
            </w:pPr>
            <w:r w:rsidRPr="008C19B8">
              <w:t>49</w:t>
            </w:r>
          </w:p>
        </w:tc>
        <w:tc>
          <w:tcPr>
            <w:tcW w:w="2552" w:type="dxa"/>
            <w:vAlign w:val="center"/>
          </w:tcPr>
          <w:p w14:paraId="08D4ACFC" w14:textId="1FEAB0AB" w:rsidR="00091BDE" w:rsidRPr="00BA3A42" w:rsidRDefault="00B922E5" w:rsidP="006965B5">
            <w:pPr>
              <w:ind w:firstLine="0"/>
              <w:jc w:val="center"/>
            </w:pPr>
            <w:r>
              <w:t>48</w:t>
            </w:r>
          </w:p>
        </w:tc>
      </w:tr>
      <w:tr w:rsidR="008C19B8" w:rsidRPr="00BA3A42" w14:paraId="2793331F" w14:textId="77777777" w:rsidTr="00A85CAC">
        <w:trPr>
          <w:trHeight w:val="94"/>
        </w:trPr>
        <w:tc>
          <w:tcPr>
            <w:tcW w:w="1418" w:type="dxa"/>
            <w:vMerge w:val="restart"/>
            <w:vAlign w:val="center"/>
          </w:tcPr>
          <w:p w14:paraId="1CF649B0" w14:textId="00C400F4" w:rsidR="008C19B8" w:rsidRPr="00BA3A42" w:rsidRDefault="008C19B8" w:rsidP="006965B5">
            <w:pPr>
              <w:ind w:firstLine="0"/>
              <w:jc w:val="center"/>
            </w:pPr>
            <w:r w:rsidRPr="008348B8">
              <w:t>ACR50</w:t>
            </w:r>
          </w:p>
        </w:tc>
        <w:tc>
          <w:tcPr>
            <w:tcW w:w="1276" w:type="dxa"/>
            <w:vAlign w:val="center"/>
          </w:tcPr>
          <w:p w14:paraId="2F75A4C7" w14:textId="6A02370D" w:rsidR="008C19B8" w:rsidRPr="00BA3A42" w:rsidRDefault="008C19B8" w:rsidP="006965B5">
            <w:pPr>
              <w:ind w:firstLine="0"/>
              <w:jc w:val="center"/>
            </w:pPr>
            <w:r>
              <w:t>Мес. 3</w:t>
            </w:r>
          </w:p>
        </w:tc>
        <w:tc>
          <w:tcPr>
            <w:tcW w:w="1559" w:type="dxa"/>
            <w:vAlign w:val="center"/>
          </w:tcPr>
          <w:p w14:paraId="4F3F36D7" w14:textId="03BFD778" w:rsidR="008C19B8" w:rsidRPr="00BA3A42" w:rsidRDefault="008C19B8" w:rsidP="006965B5">
            <w:pPr>
              <w:ind w:firstLine="0"/>
              <w:jc w:val="center"/>
            </w:pPr>
            <w:r>
              <w:t>7</w:t>
            </w:r>
          </w:p>
        </w:tc>
        <w:tc>
          <w:tcPr>
            <w:tcW w:w="1276" w:type="dxa"/>
            <w:vAlign w:val="center"/>
          </w:tcPr>
          <w:p w14:paraId="62BA823A" w14:textId="77777777" w:rsidR="008C19B8" w:rsidRPr="00BA3A42" w:rsidRDefault="008C19B8" w:rsidP="006965B5">
            <w:pPr>
              <w:ind w:firstLine="0"/>
              <w:jc w:val="center"/>
            </w:pPr>
            <w:r w:rsidRPr="002D6D64">
              <w:t>33***</w:t>
            </w:r>
          </w:p>
        </w:tc>
        <w:tc>
          <w:tcPr>
            <w:tcW w:w="1275" w:type="dxa"/>
            <w:vAlign w:val="center"/>
          </w:tcPr>
          <w:p w14:paraId="4727BA0F" w14:textId="67B1AEA0" w:rsidR="008C19B8" w:rsidRPr="00BA3A42" w:rsidRDefault="00F43F7D" w:rsidP="006965B5">
            <w:pPr>
              <w:ind w:firstLine="0"/>
              <w:jc w:val="center"/>
            </w:pPr>
            <w:r w:rsidRPr="00F43F7D">
              <w:t>27***</w:t>
            </w:r>
          </w:p>
        </w:tc>
        <w:tc>
          <w:tcPr>
            <w:tcW w:w="2552" w:type="dxa"/>
            <w:vAlign w:val="center"/>
          </w:tcPr>
          <w:p w14:paraId="5A19B720" w14:textId="20CD9B09" w:rsidR="008C19B8" w:rsidRPr="00BA3A42" w:rsidRDefault="00B922E5" w:rsidP="006965B5">
            <w:pPr>
              <w:ind w:firstLine="0"/>
              <w:jc w:val="center"/>
            </w:pPr>
            <w:r w:rsidRPr="00B922E5">
              <w:t>24***</w:t>
            </w:r>
          </w:p>
        </w:tc>
      </w:tr>
      <w:tr w:rsidR="008C19B8" w:rsidRPr="00BA3A42" w14:paraId="68A90435" w14:textId="77777777" w:rsidTr="00A85CAC">
        <w:trPr>
          <w:trHeight w:val="93"/>
        </w:trPr>
        <w:tc>
          <w:tcPr>
            <w:tcW w:w="1418" w:type="dxa"/>
            <w:vMerge/>
            <w:vAlign w:val="center"/>
          </w:tcPr>
          <w:p w14:paraId="6C272511" w14:textId="77777777" w:rsidR="008C19B8" w:rsidRPr="008348B8" w:rsidRDefault="008C19B8" w:rsidP="006965B5">
            <w:pPr>
              <w:ind w:firstLine="0"/>
              <w:jc w:val="center"/>
            </w:pPr>
          </w:p>
        </w:tc>
        <w:tc>
          <w:tcPr>
            <w:tcW w:w="1276" w:type="dxa"/>
            <w:vAlign w:val="center"/>
          </w:tcPr>
          <w:p w14:paraId="34C5FF07" w14:textId="7206ECCC" w:rsidR="008C19B8" w:rsidRPr="00BA3A42" w:rsidRDefault="008C19B8" w:rsidP="006965B5">
            <w:pPr>
              <w:ind w:firstLine="0"/>
              <w:jc w:val="center"/>
            </w:pPr>
            <w:r>
              <w:t>Мес. 6</w:t>
            </w:r>
          </w:p>
        </w:tc>
        <w:tc>
          <w:tcPr>
            <w:tcW w:w="1559" w:type="dxa"/>
            <w:vAlign w:val="center"/>
          </w:tcPr>
          <w:p w14:paraId="2AD58124" w14:textId="00CEC5F9" w:rsidR="008C19B8" w:rsidRPr="00BA3A42" w:rsidRDefault="008C19B8" w:rsidP="006965B5">
            <w:pPr>
              <w:ind w:firstLine="0"/>
              <w:jc w:val="center"/>
            </w:pPr>
            <w:r>
              <w:t>12</w:t>
            </w:r>
          </w:p>
        </w:tc>
        <w:tc>
          <w:tcPr>
            <w:tcW w:w="1276" w:type="dxa"/>
            <w:vAlign w:val="center"/>
          </w:tcPr>
          <w:p w14:paraId="41624B87" w14:textId="77777777" w:rsidR="008C19B8" w:rsidRPr="00BA3A42" w:rsidRDefault="008C19B8" w:rsidP="006965B5">
            <w:pPr>
              <w:ind w:firstLine="0"/>
              <w:jc w:val="center"/>
            </w:pPr>
            <w:r w:rsidRPr="002D6D64">
              <w:t>36***</w:t>
            </w:r>
          </w:p>
        </w:tc>
        <w:tc>
          <w:tcPr>
            <w:tcW w:w="1275" w:type="dxa"/>
            <w:vAlign w:val="center"/>
          </w:tcPr>
          <w:p w14:paraId="5BC8147F" w14:textId="5231D2CC" w:rsidR="008C19B8" w:rsidRPr="00BA3A42" w:rsidRDefault="00F43F7D" w:rsidP="006965B5">
            <w:pPr>
              <w:ind w:firstLine="0"/>
              <w:jc w:val="center"/>
            </w:pPr>
            <w:r w:rsidRPr="00F43F7D">
              <w:t>34***</w:t>
            </w:r>
          </w:p>
        </w:tc>
        <w:tc>
          <w:tcPr>
            <w:tcW w:w="2552" w:type="dxa"/>
            <w:vAlign w:val="center"/>
          </w:tcPr>
          <w:p w14:paraId="25C744D9" w14:textId="7889BA69" w:rsidR="008C19B8" w:rsidRPr="00BA3A42" w:rsidRDefault="00B922E5" w:rsidP="006965B5">
            <w:pPr>
              <w:ind w:firstLine="0"/>
              <w:jc w:val="center"/>
            </w:pPr>
            <w:r w:rsidRPr="00B922E5">
              <w:t>27**</w:t>
            </w:r>
          </w:p>
        </w:tc>
      </w:tr>
      <w:tr w:rsidR="008C19B8" w:rsidRPr="00BA3A42" w14:paraId="2A8206FF" w14:textId="77777777" w:rsidTr="00A85CAC">
        <w:trPr>
          <w:trHeight w:val="93"/>
        </w:trPr>
        <w:tc>
          <w:tcPr>
            <w:tcW w:w="1418" w:type="dxa"/>
            <w:vMerge/>
            <w:vAlign w:val="center"/>
          </w:tcPr>
          <w:p w14:paraId="37135B1E" w14:textId="77777777" w:rsidR="008C19B8" w:rsidRPr="008348B8" w:rsidRDefault="008C19B8" w:rsidP="006965B5">
            <w:pPr>
              <w:ind w:firstLine="0"/>
              <w:jc w:val="center"/>
            </w:pPr>
          </w:p>
        </w:tc>
        <w:tc>
          <w:tcPr>
            <w:tcW w:w="1276" w:type="dxa"/>
            <w:vAlign w:val="center"/>
          </w:tcPr>
          <w:p w14:paraId="7C9B5D05" w14:textId="0EB750B6" w:rsidR="008C19B8" w:rsidRPr="00BA3A42" w:rsidRDefault="008C19B8" w:rsidP="006965B5">
            <w:pPr>
              <w:ind w:firstLine="0"/>
              <w:jc w:val="center"/>
            </w:pPr>
            <w:r>
              <w:t>Мес. 12</w:t>
            </w:r>
          </w:p>
        </w:tc>
        <w:tc>
          <w:tcPr>
            <w:tcW w:w="1559" w:type="dxa"/>
            <w:vAlign w:val="center"/>
          </w:tcPr>
          <w:p w14:paraId="6F4C81D3" w14:textId="126B47D1" w:rsidR="008C19B8" w:rsidRPr="00BA3A42" w:rsidRDefault="008C19B8" w:rsidP="006965B5">
            <w:pPr>
              <w:ind w:firstLine="0"/>
              <w:jc w:val="center"/>
            </w:pPr>
            <w:r>
              <w:t>н/п</w:t>
            </w:r>
          </w:p>
        </w:tc>
        <w:tc>
          <w:tcPr>
            <w:tcW w:w="1276" w:type="dxa"/>
            <w:vAlign w:val="center"/>
          </w:tcPr>
          <w:p w14:paraId="62A96BB5" w14:textId="77777777" w:rsidR="008C19B8" w:rsidRPr="00BA3A42" w:rsidRDefault="008C19B8" w:rsidP="006965B5">
            <w:pPr>
              <w:ind w:firstLine="0"/>
              <w:jc w:val="center"/>
            </w:pPr>
            <w:r w:rsidRPr="00091BDE">
              <w:t>36</w:t>
            </w:r>
          </w:p>
        </w:tc>
        <w:tc>
          <w:tcPr>
            <w:tcW w:w="1275" w:type="dxa"/>
            <w:vAlign w:val="center"/>
          </w:tcPr>
          <w:p w14:paraId="651D62FA" w14:textId="6EEC2FD0" w:rsidR="008C19B8" w:rsidRPr="00BA3A42" w:rsidRDefault="00F43F7D" w:rsidP="006965B5">
            <w:pPr>
              <w:ind w:firstLine="0"/>
              <w:jc w:val="center"/>
            </w:pPr>
            <w:r>
              <w:t>36</w:t>
            </w:r>
          </w:p>
        </w:tc>
        <w:tc>
          <w:tcPr>
            <w:tcW w:w="2552" w:type="dxa"/>
            <w:vAlign w:val="center"/>
          </w:tcPr>
          <w:p w14:paraId="336AFD3E" w14:textId="0AE377E0" w:rsidR="008C19B8" w:rsidRPr="00BA3A42" w:rsidRDefault="00F83D78" w:rsidP="006965B5">
            <w:pPr>
              <w:ind w:firstLine="0"/>
              <w:jc w:val="center"/>
            </w:pPr>
            <w:r>
              <w:t>33</w:t>
            </w:r>
          </w:p>
        </w:tc>
      </w:tr>
      <w:tr w:rsidR="008C19B8" w:rsidRPr="00BA3A42" w14:paraId="44AC91D4" w14:textId="77777777" w:rsidTr="00A85CAC">
        <w:trPr>
          <w:trHeight w:val="94"/>
        </w:trPr>
        <w:tc>
          <w:tcPr>
            <w:tcW w:w="1418" w:type="dxa"/>
            <w:vMerge w:val="restart"/>
            <w:vAlign w:val="center"/>
          </w:tcPr>
          <w:p w14:paraId="7C93CA53" w14:textId="524F45E5" w:rsidR="008C19B8" w:rsidRPr="00BA3A42" w:rsidRDefault="008C19B8" w:rsidP="006965B5">
            <w:pPr>
              <w:ind w:firstLine="0"/>
              <w:jc w:val="center"/>
            </w:pPr>
            <w:r w:rsidRPr="008348B8">
              <w:t>ACR70</w:t>
            </w:r>
          </w:p>
        </w:tc>
        <w:tc>
          <w:tcPr>
            <w:tcW w:w="1276" w:type="dxa"/>
            <w:vAlign w:val="center"/>
          </w:tcPr>
          <w:p w14:paraId="4CC5C205" w14:textId="29A020AC" w:rsidR="008C19B8" w:rsidRPr="00BA3A42" w:rsidRDefault="008C19B8" w:rsidP="006965B5">
            <w:pPr>
              <w:ind w:firstLine="0"/>
              <w:jc w:val="center"/>
            </w:pPr>
            <w:r>
              <w:t>Мес. 3</w:t>
            </w:r>
          </w:p>
        </w:tc>
        <w:tc>
          <w:tcPr>
            <w:tcW w:w="1559" w:type="dxa"/>
            <w:vAlign w:val="center"/>
          </w:tcPr>
          <w:p w14:paraId="59B11AFF" w14:textId="38AEC5CD" w:rsidR="008C19B8" w:rsidRPr="00BA3A42" w:rsidRDefault="008C19B8" w:rsidP="006965B5">
            <w:pPr>
              <w:ind w:firstLine="0"/>
              <w:jc w:val="center"/>
            </w:pPr>
            <w:r>
              <w:t>2</w:t>
            </w:r>
          </w:p>
        </w:tc>
        <w:tc>
          <w:tcPr>
            <w:tcW w:w="1276" w:type="dxa"/>
            <w:vAlign w:val="center"/>
          </w:tcPr>
          <w:p w14:paraId="6BFD1618" w14:textId="77777777" w:rsidR="008C19B8" w:rsidRPr="00BA3A42" w:rsidRDefault="008C19B8" w:rsidP="006965B5">
            <w:pPr>
              <w:ind w:firstLine="0"/>
              <w:jc w:val="center"/>
            </w:pPr>
            <w:r w:rsidRPr="00091BDE">
              <w:t>12**</w:t>
            </w:r>
          </w:p>
        </w:tc>
        <w:tc>
          <w:tcPr>
            <w:tcW w:w="1275" w:type="dxa"/>
            <w:vAlign w:val="center"/>
          </w:tcPr>
          <w:p w14:paraId="7A659907" w14:textId="47AE99DE" w:rsidR="008C19B8" w:rsidRPr="00BA3A42" w:rsidRDefault="00F43F7D" w:rsidP="006965B5">
            <w:pPr>
              <w:ind w:firstLine="0"/>
              <w:jc w:val="center"/>
            </w:pPr>
            <w:r w:rsidRPr="00F43F7D">
              <w:t>15***</w:t>
            </w:r>
          </w:p>
        </w:tc>
        <w:tc>
          <w:tcPr>
            <w:tcW w:w="2552" w:type="dxa"/>
            <w:vAlign w:val="center"/>
          </w:tcPr>
          <w:p w14:paraId="26AC8D11" w14:textId="5EFD4C71" w:rsidR="008C19B8" w:rsidRPr="00BA3A42" w:rsidRDefault="00F83D78" w:rsidP="006965B5">
            <w:pPr>
              <w:ind w:firstLine="0"/>
              <w:jc w:val="center"/>
            </w:pPr>
            <w:r w:rsidRPr="00F83D78">
              <w:t>9*</w:t>
            </w:r>
          </w:p>
        </w:tc>
      </w:tr>
      <w:tr w:rsidR="008C19B8" w:rsidRPr="00BA3A42" w14:paraId="4A2FC963" w14:textId="77777777" w:rsidTr="00A85CAC">
        <w:trPr>
          <w:trHeight w:val="93"/>
        </w:trPr>
        <w:tc>
          <w:tcPr>
            <w:tcW w:w="1418" w:type="dxa"/>
            <w:vMerge/>
            <w:vAlign w:val="center"/>
          </w:tcPr>
          <w:p w14:paraId="37455B81" w14:textId="77777777" w:rsidR="008C19B8" w:rsidRPr="008348B8" w:rsidRDefault="008C19B8" w:rsidP="006965B5">
            <w:pPr>
              <w:ind w:firstLine="0"/>
              <w:jc w:val="center"/>
            </w:pPr>
          </w:p>
        </w:tc>
        <w:tc>
          <w:tcPr>
            <w:tcW w:w="1276" w:type="dxa"/>
            <w:vAlign w:val="center"/>
          </w:tcPr>
          <w:p w14:paraId="7AD43DD9" w14:textId="7F12360E" w:rsidR="008C19B8" w:rsidRPr="00BA3A42" w:rsidRDefault="008C19B8" w:rsidP="006965B5">
            <w:pPr>
              <w:ind w:firstLine="0"/>
              <w:jc w:val="center"/>
            </w:pPr>
            <w:r>
              <w:t>Мес. 6</w:t>
            </w:r>
          </w:p>
        </w:tc>
        <w:tc>
          <w:tcPr>
            <w:tcW w:w="1559" w:type="dxa"/>
            <w:vAlign w:val="center"/>
          </w:tcPr>
          <w:p w14:paraId="3B55B3CE" w14:textId="23E71364" w:rsidR="008C19B8" w:rsidRPr="00BA3A42" w:rsidRDefault="008C19B8" w:rsidP="006965B5">
            <w:pPr>
              <w:ind w:firstLine="0"/>
              <w:jc w:val="center"/>
            </w:pPr>
            <w:r>
              <w:t>2</w:t>
            </w:r>
          </w:p>
        </w:tc>
        <w:tc>
          <w:tcPr>
            <w:tcW w:w="1276" w:type="dxa"/>
            <w:vAlign w:val="center"/>
          </w:tcPr>
          <w:p w14:paraId="602B3921" w14:textId="77777777" w:rsidR="008C19B8" w:rsidRPr="00BA3A42" w:rsidRDefault="008C19B8" w:rsidP="006965B5">
            <w:pPr>
              <w:ind w:firstLine="0"/>
              <w:jc w:val="center"/>
            </w:pPr>
            <w:r w:rsidRPr="00091BDE">
              <w:t>19***</w:t>
            </w:r>
          </w:p>
        </w:tc>
        <w:tc>
          <w:tcPr>
            <w:tcW w:w="1275" w:type="dxa"/>
            <w:vAlign w:val="center"/>
          </w:tcPr>
          <w:p w14:paraId="61DFB6FB" w14:textId="7AEF45AC" w:rsidR="008C19B8" w:rsidRPr="00BA3A42" w:rsidRDefault="00F43F7D" w:rsidP="006965B5">
            <w:pPr>
              <w:ind w:firstLine="0"/>
              <w:jc w:val="center"/>
            </w:pPr>
            <w:r w:rsidRPr="00F43F7D">
              <w:t>21***</w:t>
            </w:r>
          </w:p>
        </w:tc>
        <w:tc>
          <w:tcPr>
            <w:tcW w:w="2552" w:type="dxa"/>
            <w:vAlign w:val="center"/>
          </w:tcPr>
          <w:p w14:paraId="5E7BB085" w14:textId="56FAA9A1" w:rsidR="008C19B8" w:rsidRPr="00BA3A42" w:rsidRDefault="00F83D78" w:rsidP="006965B5">
            <w:pPr>
              <w:ind w:firstLine="0"/>
              <w:jc w:val="center"/>
            </w:pPr>
            <w:r w:rsidRPr="00F83D78">
              <w:t>9*</w:t>
            </w:r>
          </w:p>
        </w:tc>
      </w:tr>
      <w:tr w:rsidR="008C19B8" w:rsidRPr="00BA3A42" w14:paraId="518927AD" w14:textId="77777777" w:rsidTr="00A85CAC">
        <w:trPr>
          <w:trHeight w:val="93"/>
        </w:trPr>
        <w:tc>
          <w:tcPr>
            <w:tcW w:w="1418" w:type="dxa"/>
            <w:vMerge/>
            <w:vAlign w:val="center"/>
          </w:tcPr>
          <w:p w14:paraId="264DCA76" w14:textId="77777777" w:rsidR="008C19B8" w:rsidRPr="008348B8" w:rsidRDefault="008C19B8" w:rsidP="006965B5">
            <w:pPr>
              <w:ind w:firstLine="0"/>
              <w:jc w:val="center"/>
            </w:pPr>
          </w:p>
        </w:tc>
        <w:tc>
          <w:tcPr>
            <w:tcW w:w="1276" w:type="dxa"/>
            <w:vAlign w:val="center"/>
          </w:tcPr>
          <w:p w14:paraId="115CCF23" w14:textId="78B0B38A" w:rsidR="008C19B8" w:rsidRPr="00BA3A42" w:rsidRDefault="008C19B8" w:rsidP="006965B5">
            <w:pPr>
              <w:ind w:firstLine="0"/>
              <w:jc w:val="center"/>
            </w:pPr>
            <w:r>
              <w:t>Мес. 12</w:t>
            </w:r>
          </w:p>
        </w:tc>
        <w:tc>
          <w:tcPr>
            <w:tcW w:w="1559" w:type="dxa"/>
            <w:vAlign w:val="center"/>
          </w:tcPr>
          <w:p w14:paraId="30832305" w14:textId="32820E19" w:rsidR="008C19B8" w:rsidRPr="00BA3A42" w:rsidRDefault="008C19B8" w:rsidP="006965B5">
            <w:pPr>
              <w:ind w:firstLine="0"/>
              <w:jc w:val="center"/>
            </w:pPr>
            <w:r>
              <w:t>н/п</w:t>
            </w:r>
          </w:p>
        </w:tc>
        <w:tc>
          <w:tcPr>
            <w:tcW w:w="1276" w:type="dxa"/>
            <w:vAlign w:val="center"/>
          </w:tcPr>
          <w:p w14:paraId="082229B8" w14:textId="77777777" w:rsidR="008C19B8" w:rsidRPr="00BA3A42" w:rsidRDefault="008C19B8" w:rsidP="006965B5">
            <w:pPr>
              <w:ind w:firstLine="0"/>
              <w:jc w:val="center"/>
            </w:pPr>
            <w:r>
              <w:t>22</w:t>
            </w:r>
          </w:p>
        </w:tc>
        <w:tc>
          <w:tcPr>
            <w:tcW w:w="1275" w:type="dxa"/>
            <w:vAlign w:val="center"/>
          </w:tcPr>
          <w:p w14:paraId="31E33E39" w14:textId="5DAC2C7F" w:rsidR="008C19B8" w:rsidRPr="00BA3A42" w:rsidRDefault="00F43F7D" w:rsidP="006965B5">
            <w:pPr>
              <w:ind w:firstLine="0"/>
              <w:jc w:val="center"/>
            </w:pPr>
            <w:r>
              <w:t>23</w:t>
            </w:r>
          </w:p>
        </w:tc>
        <w:tc>
          <w:tcPr>
            <w:tcW w:w="2552" w:type="dxa"/>
            <w:vAlign w:val="center"/>
          </w:tcPr>
          <w:p w14:paraId="75D6EE84" w14:textId="655D4981" w:rsidR="008C19B8" w:rsidRPr="00BA3A42" w:rsidRDefault="00F83D78" w:rsidP="006965B5">
            <w:pPr>
              <w:ind w:firstLine="0"/>
              <w:jc w:val="center"/>
            </w:pPr>
            <w:r>
              <w:t>17</w:t>
            </w:r>
          </w:p>
        </w:tc>
      </w:tr>
      <w:tr w:rsidR="00F83D78" w:rsidRPr="00BA3A42" w14:paraId="50B1B473" w14:textId="77777777" w:rsidTr="006965B5">
        <w:tc>
          <w:tcPr>
            <w:tcW w:w="9356" w:type="dxa"/>
            <w:gridSpan w:val="6"/>
            <w:shd w:val="clear" w:color="auto" w:fill="D9D9D9" w:themeFill="background1" w:themeFillShade="D9"/>
            <w:vAlign w:val="center"/>
          </w:tcPr>
          <w:p w14:paraId="085C1C2E" w14:textId="32BD8AC8" w:rsidR="00F83D78" w:rsidRPr="007018E4" w:rsidRDefault="00F83D78" w:rsidP="006965B5">
            <w:pPr>
              <w:ind w:firstLine="0"/>
              <w:jc w:val="center"/>
              <w:rPr>
                <w:b/>
                <w:bCs/>
              </w:rPr>
            </w:pPr>
            <w:r w:rsidRPr="007018E4">
              <w:rPr>
                <w:b/>
                <w:bCs/>
              </w:rPr>
              <w:t>ORAL Scan: пациенты с недостаточным ответом на метотрексат</w:t>
            </w:r>
          </w:p>
        </w:tc>
      </w:tr>
      <w:tr w:rsidR="00145501" w:rsidRPr="00BA3A42" w14:paraId="32809080" w14:textId="77777777" w:rsidTr="00A85CAC">
        <w:tc>
          <w:tcPr>
            <w:tcW w:w="1418" w:type="dxa"/>
            <w:shd w:val="clear" w:color="auto" w:fill="D9D9D9" w:themeFill="background1" w:themeFillShade="D9"/>
            <w:vAlign w:val="center"/>
          </w:tcPr>
          <w:p w14:paraId="4C649244" w14:textId="1AEAFAA8" w:rsidR="00145501" w:rsidRPr="00BA3A42" w:rsidRDefault="00145501" w:rsidP="006965B5">
            <w:pPr>
              <w:ind w:firstLine="0"/>
              <w:jc w:val="center"/>
            </w:pPr>
            <w:r w:rsidRPr="00CD0F13">
              <w:rPr>
                <w:b/>
                <w:bCs/>
              </w:rPr>
              <w:t>Конечная точка</w:t>
            </w:r>
          </w:p>
        </w:tc>
        <w:tc>
          <w:tcPr>
            <w:tcW w:w="1276" w:type="dxa"/>
            <w:shd w:val="clear" w:color="auto" w:fill="D9D9D9" w:themeFill="background1" w:themeFillShade="D9"/>
            <w:vAlign w:val="center"/>
          </w:tcPr>
          <w:p w14:paraId="494C2986" w14:textId="439EB37B" w:rsidR="00145501" w:rsidRPr="00BA3A42" w:rsidRDefault="00145501" w:rsidP="006965B5">
            <w:pPr>
              <w:ind w:firstLine="0"/>
              <w:jc w:val="center"/>
            </w:pPr>
            <w:r w:rsidRPr="00CD0F13">
              <w:rPr>
                <w:b/>
                <w:bCs/>
              </w:rPr>
              <w:t>Время</w:t>
            </w:r>
          </w:p>
        </w:tc>
        <w:tc>
          <w:tcPr>
            <w:tcW w:w="1559" w:type="dxa"/>
            <w:shd w:val="clear" w:color="auto" w:fill="D9D9D9" w:themeFill="background1" w:themeFillShade="D9"/>
            <w:vAlign w:val="center"/>
          </w:tcPr>
          <w:p w14:paraId="09E1C5F6" w14:textId="0626A8FB" w:rsidR="00145501" w:rsidRPr="00BA3A42" w:rsidRDefault="00145501" w:rsidP="006965B5">
            <w:pPr>
              <w:ind w:firstLine="0"/>
              <w:jc w:val="center"/>
            </w:pPr>
            <w:r w:rsidRPr="00CD0F13">
              <w:rPr>
                <w:b/>
                <w:bCs/>
              </w:rPr>
              <w:t xml:space="preserve">Плацебо </w:t>
            </w:r>
            <w:r>
              <w:rPr>
                <w:b/>
                <w:bCs/>
              </w:rPr>
              <w:t xml:space="preserve">+ метотрексат </w:t>
            </w:r>
            <w:r w:rsidRPr="00CD0F13">
              <w:rPr>
                <w:b/>
                <w:bCs/>
              </w:rPr>
              <w:t>(</w:t>
            </w:r>
            <w:r w:rsidRPr="00CD0F13">
              <w:rPr>
                <w:b/>
                <w:bCs/>
                <w:lang w:val="en-US"/>
              </w:rPr>
              <w:t>N = 1</w:t>
            </w:r>
            <w:r>
              <w:rPr>
                <w:b/>
                <w:bCs/>
              </w:rPr>
              <w:t>56</w:t>
            </w:r>
            <w:r w:rsidRPr="00CD0F13">
              <w:rPr>
                <w:b/>
                <w:bCs/>
                <w:lang w:val="en-US"/>
              </w:rPr>
              <w:t>)</w:t>
            </w:r>
          </w:p>
        </w:tc>
        <w:tc>
          <w:tcPr>
            <w:tcW w:w="2551" w:type="dxa"/>
            <w:gridSpan w:val="2"/>
            <w:shd w:val="clear" w:color="auto" w:fill="D9D9D9" w:themeFill="background1" w:themeFillShade="D9"/>
            <w:vAlign w:val="center"/>
          </w:tcPr>
          <w:p w14:paraId="35741E66" w14:textId="515EBCCD" w:rsidR="00145501" w:rsidRPr="00BA3A42" w:rsidRDefault="00145501" w:rsidP="00791E09">
            <w:pPr>
              <w:ind w:left="-108" w:right="-107" w:firstLine="0"/>
              <w:jc w:val="center"/>
            </w:pPr>
            <w:r w:rsidRPr="00CD0F13">
              <w:rPr>
                <w:b/>
                <w:bCs/>
              </w:rPr>
              <w:t>Тофацитиниб, 5 мг 2 раза в день</w:t>
            </w:r>
            <w:r>
              <w:rPr>
                <w:b/>
                <w:bCs/>
              </w:rPr>
              <w:t xml:space="preserve"> + </w:t>
            </w:r>
            <w:r w:rsidR="00C90A7E" w:rsidRPr="00C90A7E">
              <w:rPr>
                <w:b/>
                <w:bCs/>
              </w:rPr>
              <w:t xml:space="preserve">метотрексат </w:t>
            </w:r>
            <w:r w:rsidRPr="00CD0F13">
              <w:rPr>
                <w:b/>
                <w:bCs/>
              </w:rPr>
              <w:t>(</w:t>
            </w:r>
            <w:r w:rsidRPr="00CD0F13">
              <w:rPr>
                <w:b/>
                <w:bCs/>
                <w:lang w:val="en-US"/>
              </w:rPr>
              <w:t>N</w:t>
            </w:r>
            <w:r w:rsidRPr="00CD0F13">
              <w:rPr>
                <w:b/>
                <w:bCs/>
              </w:rPr>
              <w:t xml:space="preserve"> = </w:t>
            </w:r>
            <w:r>
              <w:rPr>
                <w:b/>
                <w:bCs/>
              </w:rPr>
              <w:t>31</w:t>
            </w:r>
            <w:r w:rsidR="00C90A7E">
              <w:rPr>
                <w:b/>
                <w:bCs/>
              </w:rPr>
              <w:t>6</w:t>
            </w:r>
            <w:r w:rsidRPr="00CD0F13">
              <w:rPr>
                <w:b/>
                <w:bCs/>
              </w:rPr>
              <w:t>)</w:t>
            </w:r>
          </w:p>
        </w:tc>
        <w:tc>
          <w:tcPr>
            <w:tcW w:w="2552" w:type="dxa"/>
            <w:shd w:val="clear" w:color="auto" w:fill="D9D9D9" w:themeFill="background1" w:themeFillShade="D9"/>
            <w:vAlign w:val="center"/>
          </w:tcPr>
          <w:p w14:paraId="42BEF317" w14:textId="343A6456" w:rsidR="00145501" w:rsidRPr="00BA3A42" w:rsidRDefault="00145501" w:rsidP="00791E09">
            <w:pPr>
              <w:ind w:left="-108" w:right="-107" w:firstLine="0"/>
              <w:jc w:val="center"/>
            </w:pPr>
            <w:r w:rsidRPr="00CD0F13">
              <w:rPr>
                <w:b/>
                <w:bCs/>
              </w:rPr>
              <w:t xml:space="preserve">Тофацитиниб, </w:t>
            </w:r>
            <w:r>
              <w:rPr>
                <w:b/>
                <w:bCs/>
              </w:rPr>
              <w:t>10</w:t>
            </w:r>
            <w:r w:rsidRPr="00CD0F13">
              <w:rPr>
                <w:b/>
                <w:bCs/>
              </w:rPr>
              <w:t xml:space="preserve"> мг 2 раза в день</w:t>
            </w:r>
            <w:r>
              <w:rPr>
                <w:b/>
                <w:bCs/>
              </w:rPr>
              <w:t xml:space="preserve"> + </w:t>
            </w:r>
            <w:r w:rsidR="00C90A7E" w:rsidRPr="00C90A7E">
              <w:rPr>
                <w:b/>
                <w:bCs/>
              </w:rPr>
              <w:t>метотрексат</w:t>
            </w:r>
            <w:r w:rsidRPr="00CD0F13">
              <w:rPr>
                <w:b/>
                <w:bCs/>
              </w:rPr>
              <w:t xml:space="preserve"> (</w:t>
            </w:r>
            <w:r w:rsidRPr="00CD0F13">
              <w:rPr>
                <w:b/>
                <w:bCs/>
                <w:lang w:val="en-US"/>
              </w:rPr>
              <w:t>N</w:t>
            </w:r>
            <w:r w:rsidRPr="00CD0F13">
              <w:rPr>
                <w:b/>
                <w:bCs/>
              </w:rPr>
              <w:t xml:space="preserve"> = </w:t>
            </w:r>
            <w:r>
              <w:rPr>
                <w:b/>
                <w:bCs/>
              </w:rPr>
              <w:t>3</w:t>
            </w:r>
            <w:r w:rsidR="00C90A7E">
              <w:rPr>
                <w:b/>
                <w:bCs/>
              </w:rPr>
              <w:t>09</w:t>
            </w:r>
            <w:r w:rsidRPr="00CD0F13">
              <w:rPr>
                <w:b/>
                <w:bCs/>
              </w:rPr>
              <w:t>)</w:t>
            </w:r>
          </w:p>
        </w:tc>
      </w:tr>
      <w:tr w:rsidR="000165F6" w:rsidRPr="00BA3A42" w14:paraId="140BE271" w14:textId="77777777" w:rsidTr="00A85CAC">
        <w:trPr>
          <w:trHeight w:val="94"/>
        </w:trPr>
        <w:tc>
          <w:tcPr>
            <w:tcW w:w="1418" w:type="dxa"/>
            <w:vMerge w:val="restart"/>
            <w:vAlign w:val="center"/>
          </w:tcPr>
          <w:p w14:paraId="09343B7F" w14:textId="36C02611" w:rsidR="000165F6" w:rsidRPr="00BA3A42" w:rsidRDefault="000165F6" w:rsidP="006965B5">
            <w:pPr>
              <w:ind w:firstLine="0"/>
              <w:jc w:val="center"/>
            </w:pPr>
            <w:r w:rsidRPr="00C90A7E">
              <w:t>ACR20</w:t>
            </w:r>
          </w:p>
        </w:tc>
        <w:tc>
          <w:tcPr>
            <w:tcW w:w="1276" w:type="dxa"/>
            <w:vAlign w:val="center"/>
          </w:tcPr>
          <w:p w14:paraId="33DB2512" w14:textId="5ADA2A38" w:rsidR="000165F6" w:rsidRPr="00BA3A42" w:rsidRDefault="000165F6" w:rsidP="006965B5">
            <w:pPr>
              <w:ind w:firstLine="0"/>
              <w:jc w:val="center"/>
            </w:pPr>
            <w:r>
              <w:t>Мес. 3</w:t>
            </w:r>
          </w:p>
        </w:tc>
        <w:tc>
          <w:tcPr>
            <w:tcW w:w="1559" w:type="dxa"/>
            <w:vAlign w:val="center"/>
          </w:tcPr>
          <w:p w14:paraId="7929E446" w14:textId="6ECF876A" w:rsidR="000165F6" w:rsidRPr="00BA3A42" w:rsidRDefault="000165F6" w:rsidP="006965B5">
            <w:pPr>
              <w:ind w:firstLine="0"/>
              <w:jc w:val="center"/>
            </w:pPr>
            <w:r>
              <w:t>27</w:t>
            </w:r>
          </w:p>
        </w:tc>
        <w:tc>
          <w:tcPr>
            <w:tcW w:w="2551" w:type="dxa"/>
            <w:gridSpan w:val="2"/>
            <w:vAlign w:val="center"/>
          </w:tcPr>
          <w:p w14:paraId="57274F3C" w14:textId="203E68FA" w:rsidR="000165F6" w:rsidRPr="00BA3A42" w:rsidRDefault="00CD39A8" w:rsidP="006965B5">
            <w:pPr>
              <w:ind w:firstLine="0"/>
              <w:jc w:val="center"/>
            </w:pPr>
            <w:r w:rsidRPr="00CD39A8">
              <w:t>55***</w:t>
            </w:r>
          </w:p>
        </w:tc>
        <w:tc>
          <w:tcPr>
            <w:tcW w:w="2552" w:type="dxa"/>
            <w:vAlign w:val="center"/>
          </w:tcPr>
          <w:p w14:paraId="1A1789BD" w14:textId="3D7A618A" w:rsidR="000165F6" w:rsidRPr="00BA3A42" w:rsidRDefault="00746EB1" w:rsidP="006965B5">
            <w:pPr>
              <w:ind w:firstLine="0"/>
              <w:jc w:val="center"/>
            </w:pPr>
            <w:r w:rsidRPr="00746EB1">
              <w:t>66***</w:t>
            </w:r>
          </w:p>
        </w:tc>
      </w:tr>
      <w:tr w:rsidR="000165F6" w:rsidRPr="00BA3A42" w14:paraId="3BC11137" w14:textId="77777777" w:rsidTr="00A85CAC">
        <w:trPr>
          <w:trHeight w:val="93"/>
        </w:trPr>
        <w:tc>
          <w:tcPr>
            <w:tcW w:w="1418" w:type="dxa"/>
            <w:vMerge/>
            <w:vAlign w:val="center"/>
          </w:tcPr>
          <w:p w14:paraId="4914D530" w14:textId="77777777" w:rsidR="000165F6" w:rsidRPr="00C90A7E" w:rsidRDefault="000165F6" w:rsidP="006965B5">
            <w:pPr>
              <w:ind w:firstLine="0"/>
              <w:jc w:val="center"/>
            </w:pPr>
          </w:p>
        </w:tc>
        <w:tc>
          <w:tcPr>
            <w:tcW w:w="1276" w:type="dxa"/>
            <w:vAlign w:val="center"/>
          </w:tcPr>
          <w:p w14:paraId="3F43709F" w14:textId="7E92990E" w:rsidR="000165F6" w:rsidRPr="00BA3A42" w:rsidRDefault="000165F6" w:rsidP="006965B5">
            <w:pPr>
              <w:ind w:firstLine="0"/>
              <w:jc w:val="center"/>
            </w:pPr>
            <w:r>
              <w:t>Мес. 6</w:t>
            </w:r>
          </w:p>
        </w:tc>
        <w:tc>
          <w:tcPr>
            <w:tcW w:w="1559" w:type="dxa"/>
            <w:vAlign w:val="center"/>
          </w:tcPr>
          <w:p w14:paraId="194469F7" w14:textId="21738465" w:rsidR="000165F6" w:rsidRPr="00BA3A42" w:rsidRDefault="000165F6" w:rsidP="006965B5">
            <w:pPr>
              <w:ind w:firstLine="0"/>
              <w:jc w:val="center"/>
            </w:pPr>
            <w:r>
              <w:t>25</w:t>
            </w:r>
          </w:p>
        </w:tc>
        <w:tc>
          <w:tcPr>
            <w:tcW w:w="2551" w:type="dxa"/>
            <w:gridSpan w:val="2"/>
            <w:vAlign w:val="center"/>
          </w:tcPr>
          <w:p w14:paraId="70A1F947" w14:textId="794F6357" w:rsidR="000165F6" w:rsidRPr="00BA3A42" w:rsidRDefault="00CD39A8" w:rsidP="006965B5">
            <w:pPr>
              <w:ind w:firstLine="0"/>
              <w:jc w:val="center"/>
            </w:pPr>
            <w:r w:rsidRPr="00CD39A8">
              <w:t>50***</w:t>
            </w:r>
          </w:p>
        </w:tc>
        <w:tc>
          <w:tcPr>
            <w:tcW w:w="2552" w:type="dxa"/>
            <w:vAlign w:val="center"/>
          </w:tcPr>
          <w:p w14:paraId="10E4FCC0" w14:textId="100EFB11" w:rsidR="000165F6" w:rsidRPr="00BA3A42" w:rsidRDefault="007D0E3A" w:rsidP="006965B5">
            <w:pPr>
              <w:ind w:firstLine="0"/>
              <w:jc w:val="center"/>
            </w:pPr>
            <w:r w:rsidRPr="007D0E3A">
              <w:t>62***</w:t>
            </w:r>
          </w:p>
        </w:tc>
      </w:tr>
      <w:tr w:rsidR="000165F6" w:rsidRPr="00BA3A42" w14:paraId="355213E7" w14:textId="77777777" w:rsidTr="00A85CAC">
        <w:trPr>
          <w:trHeight w:val="140"/>
        </w:trPr>
        <w:tc>
          <w:tcPr>
            <w:tcW w:w="1418" w:type="dxa"/>
            <w:vMerge/>
            <w:vAlign w:val="center"/>
          </w:tcPr>
          <w:p w14:paraId="78BE3F0C" w14:textId="77777777" w:rsidR="000165F6" w:rsidRPr="00C90A7E" w:rsidRDefault="000165F6" w:rsidP="006965B5">
            <w:pPr>
              <w:ind w:firstLine="0"/>
              <w:jc w:val="center"/>
            </w:pPr>
          </w:p>
        </w:tc>
        <w:tc>
          <w:tcPr>
            <w:tcW w:w="1276" w:type="dxa"/>
            <w:vAlign w:val="center"/>
          </w:tcPr>
          <w:p w14:paraId="3585A7EC" w14:textId="5906B1CF" w:rsidR="000165F6" w:rsidRPr="00BA3A42" w:rsidRDefault="000165F6" w:rsidP="006965B5">
            <w:pPr>
              <w:ind w:firstLine="0"/>
              <w:jc w:val="center"/>
            </w:pPr>
            <w:r>
              <w:t>Мес. 12</w:t>
            </w:r>
          </w:p>
        </w:tc>
        <w:tc>
          <w:tcPr>
            <w:tcW w:w="1559" w:type="dxa"/>
            <w:vAlign w:val="center"/>
          </w:tcPr>
          <w:p w14:paraId="6387C640" w14:textId="67AAC8AB" w:rsidR="000165F6" w:rsidRPr="00BA3A42" w:rsidRDefault="000165F6" w:rsidP="006965B5">
            <w:pPr>
              <w:ind w:firstLine="0"/>
              <w:jc w:val="center"/>
            </w:pPr>
            <w:r>
              <w:t>н/п</w:t>
            </w:r>
          </w:p>
        </w:tc>
        <w:tc>
          <w:tcPr>
            <w:tcW w:w="2551" w:type="dxa"/>
            <w:gridSpan w:val="2"/>
            <w:vAlign w:val="center"/>
          </w:tcPr>
          <w:p w14:paraId="6ACD63F5" w14:textId="065D99D0" w:rsidR="000165F6" w:rsidRPr="00BA3A42" w:rsidRDefault="00CD39A8" w:rsidP="006965B5">
            <w:pPr>
              <w:ind w:firstLine="0"/>
              <w:jc w:val="center"/>
            </w:pPr>
            <w:r>
              <w:t>47</w:t>
            </w:r>
          </w:p>
        </w:tc>
        <w:tc>
          <w:tcPr>
            <w:tcW w:w="2552" w:type="dxa"/>
            <w:vAlign w:val="center"/>
          </w:tcPr>
          <w:p w14:paraId="64809E9F" w14:textId="24F33922" w:rsidR="000165F6" w:rsidRPr="00BA3A42" w:rsidRDefault="007D0E3A" w:rsidP="006965B5">
            <w:pPr>
              <w:ind w:firstLine="0"/>
              <w:jc w:val="center"/>
            </w:pPr>
            <w:r>
              <w:t>55</w:t>
            </w:r>
          </w:p>
        </w:tc>
      </w:tr>
      <w:tr w:rsidR="000165F6" w:rsidRPr="00BA3A42" w14:paraId="6137DAAC" w14:textId="77777777" w:rsidTr="00A85CAC">
        <w:trPr>
          <w:trHeight w:val="140"/>
        </w:trPr>
        <w:tc>
          <w:tcPr>
            <w:tcW w:w="1418" w:type="dxa"/>
            <w:vMerge/>
            <w:vAlign w:val="center"/>
          </w:tcPr>
          <w:p w14:paraId="106E4C43" w14:textId="77777777" w:rsidR="000165F6" w:rsidRPr="00C90A7E" w:rsidRDefault="000165F6" w:rsidP="006965B5">
            <w:pPr>
              <w:ind w:firstLine="0"/>
              <w:jc w:val="center"/>
            </w:pPr>
          </w:p>
        </w:tc>
        <w:tc>
          <w:tcPr>
            <w:tcW w:w="1276" w:type="dxa"/>
            <w:vAlign w:val="center"/>
          </w:tcPr>
          <w:p w14:paraId="72706547" w14:textId="3992EC9D" w:rsidR="000165F6" w:rsidRDefault="000165F6" w:rsidP="006965B5">
            <w:pPr>
              <w:ind w:firstLine="0"/>
              <w:jc w:val="center"/>
            </w:pPr>
            <w:r>
              <w:t>Мес. 24</w:t>
            </w:r>
          </w:p>
        </w:tc>
        <w:tc>
          <w:tcPr>
            <w:tcW w:w="1559" w:type="dxa"/>
            <w:vAlign w:val="center"/>
          </w:tcPr>
          <w:p w14:paraId="5CEA44CF" w14:textId="6B20C056" w:rsidR="000165F6" w:rsidRDefault="000165F6" w:rsidP="006965B5">
            <w:pPr>
              <w:ind w:firstLine="0"/>
              <w:jc w:val="center"/>
            </w:pPr>
            <w:r>
              <w:t>н/п</w:t>
            </w:r>
          </w:p>
        </w:tc>
        <w:tc>
          <w:tcPr>
            <w:tcW w:w="2551" w:type="dxa"/>
            <w:gridSpan w:val="2"/>
            <w:vAlign w:val="center"/>
          </w:tcPr>
          <w:p w14:paraId="225EA852" w14:textId="3EFA64C0" w:rsidR="000165F6" w:rsidRPr="00BA3A42" w:rsidRDefault="00CD39A8" w:rsidP="006965B5">
            <w:pPr>
              <w:ind w:firstLine="0"/>
              <w:jc w:val="center"/>
            </w:pPr>
            <w:r>
              <w:t>40</w:t>
            </w:r>
          </w:p>
        </w:tc>
        <w:tc>
          <w:tcPr>
            <w:tcW w:w="2552" w:type="dxa"/>
            <w:vAlign w:val="center"/>
          </w:tcPr>
          <w:p w14:paraId="246C1394" w14:textId="31F43E1E" w:rsidR="000165F6" w:rsidRPr="00BA3A42" w:rsidRDefault="007D0E3A" w:rsidP="006965B5">
            <w:pPr>
              <w:ind w:firstLine="0"/>
              <w:jc w:val="center"/>
            </w:pPr>
            <w:r>
              <w:t>50</w:t>
            </w:r>
          </w:p>
        </w:tc>
      </w:tr>
      <w:tr w:rsidR="000165F6" w:rsidRPr="00BA3A42" w14:paraId="17B12898" w14:textId="77777777" w:rsidTr="00A85CAC">
        <w:trPr>
          <w:trHeight w:val="94"/>
        </w:trPr>
        <w:tc>
          <w:tcPr>
            <w:tcW w:w="1418" w:type="dxa"/>
            <w:vMerge w:val="restart"/>
            <w:vAlign w:val="center"/>
          </w:tcPr>
          <w:p w14:paraId="26FAC72B" w14:textId="2D23FC0E" w:rsidR="000165F6" w:rsidRPr="00BA3A42" w:rsidRDefault="000165F6" w:rsidP="006965B5">
            <w:pPr>
              <w:ind w:firstLine="0"/>
              <w:jc w:val="center"/>
            </w:pPr>
            <w:r w:rsidRPr="008348B8">
              <w:t>ACR50</w:t>
            </w:r>
          </w:p>
        </w:tc>
        <w:tc>
          <w:tcPr>
            <w:tcW w:w="1276" w:type="dxa"/>
            <w:vAlign w:val="center"/>
          </w:tcPr>
          <w:p w14:paraId="7DB78659" w14:textId="70E038A0" w:rsidR="000165F6" w:rsidRPr="00BA3A42" w:rsidRDefault="000165F6" w:rsidP="006965B5">
            <w:pPr>
              <w:ind w:firstLine="0"/>
              <w:jc w:val="center"/>
            </w:pPr>
            <w:r>
              <w:t>Мес. 3</w:t>
            </w:r>
          </w:p>
        </w:tc>
        <w:tc>
          <w:tcPr>
            <w:tcW w:w="1559" w:type="dxa"/>
            <w:vAlign w:val="center"/>
          </w:tcPr>
          <w:p w14:paraId="04A9FA59" w14:textId="570EE537" w:rsidR="000165F6" w:rsidRPr="00BA3A42" w:rsidRDefault="007932C2" w:rsidP="006965B5">
            <w:pPr>
              <w:ind w:firstLine="0"/>
              <w:jc w:val="center"/>
            </w:pPr>
            <w:r>
              <w:t>8</w:t>
            </w:r>
          </w:p>
        </w:tc>
        <w:tc>
          <w:tcPr>
            <w:tcW w:w="2551" w:type="dxa"/>
            <w:gridSpan w:val="2"/>
            <w:vAlign w:val="center"/>
          </w:tcPr>
          <w:p w14:paraId="07F5DF1C" w14:textId="506B2A7C" w:rsidR="000165F6" w:rsidRPr="00BA3A42" w:rsidRDefault="00CD39A8" w:rsidP="006965B5">
            <w:pPr>
              <w:ind w:firstLine="0"/>
              <w:jc w:val="center"/>
            </w:pPr>
            <w:r w:rsidRPr="00CD39A8">
              <w:t>28***</w:t>
            </w:r>
          </w:p>
        </w:tc>
        <w:tc>
          <w:tcPr>
            <w:tcW w:w="2552" w:type="dxa"/>
            <w:vAlign w:val="center"/>
          </w:tcPr>
          <w:p w14:paraId="7E7CE02D" w14:textId="175EF896" w:rsidR="000165F6" w:rsidRPr="00BA3A42" w:rsidRDefault="007D0E3A" w:rsidP="006965B5">
            <w:pPr>
              <w:ind w:firstLine="0"/>
              <w:jc w:val="center"/>
            </w:pPr>
            <w:r w:rsidRPr="007D0E3A">
              <w:t>36***</w:t>
            </w:r>
          </w:p>
        </w:tc>
      </w:tr>
      <w:tr w:rsidR="000165F6" w:rsidRPr="00BA3A42" w14:paraId="11C9D9A8" w14:textId="77777777" w:rsidTr="00A85CAC">
        <w:trPr>
          <w:trHeight w:val="93"/>
        </w:trPr>
        <w:tc>
          <w:tcPr>
            <w:tcW w:w="1418" w:type="dxa"/>
            <w:vMerge/>
            <w:vAlign w:val="center"/>
          </w:tcPr>
          <w:p w14:paraId="0ED682E7" w14:textId="77777777" w:rsidR="000165F6" w:rsidRPr="008348B8" w:rsidRDefault="000165F6" w:rsidP="006965B5">
            <w:pPr>
              <w:ind w:firstLine="0"/>
              <w:jc w:val="center"/>
            </w:pPr>
          </w:p>
        </w:tc>
        <w:tc>
          <w:tcPr>
            <w:tcW w:w="1276" w:type="dxa"/>
            <w:vAlign w:val="center"/>
          </w:tcPr>
          <w:p w14:paraId="56688087" w14:textId="64E93793" w:rsidR="000165F6" w:rsidRPr="00BA3A42" w:rsidRDefault="000165F6" w:rsidP="006965B5">
            <w:pPr>
              <w:ind w:firstLine="0"/>
              <w:jc w:val="center"/>
            </w:pPr>
            <w:r>
              <w:t>Мес. 6</w:t>
            </w:r>
          </w:p>
        </w:tc>
        <w:tc>
          <w:tcPr>
            <w:tcW w:w="1559" w:type="dxa"/>
            <w:vAlign w:val="center"/>
          </w:tcPr>
          <w:p w14:paraId="0217A61F" w14:textId="717C6331" w:rsidR="000165F6" w:rsidRPr="00BA3A42" w:rsidRDefault="007932C2" w:rsidP="006965B5">
            <w:pPr>
              <w:ind w:firstLine="0"/>
              <w:jc w:val="center"/>
            </w:pPr>
            <w:r>
              <w:t>8</w:t>
            </w:r>
          </w:p>
        </w:tc>
        <w:tc>
          <w:tcPr>
            <w:tcW w:w="2551" w:type="dxa"/>
            <w:gridSpan w:val="2"/>
            <w:vAlign w:val="center"/>
          </w:tcPr>
          <w:p w14:paraId="604C9607" w14:textId="59CECB8B" w:rsidR="000165F6" w:rsidRPr="00BA3A42" w:rsidRDefault="00CD39A8" w:rsidP="006965B5">
            <w:pPr>
              <w:ind w:firstLine="0"/>
              <w:jc w:val="center"/>
            </w:pPr>
            <w:r w:rsidRPr="00CD39A8">
              <w:t>32***</w:t>
            </w:r>
          </w:p>
        </w:tc>
        <w:tc>
          <w:tcPr>
            <w:tcW w:w="2552" w:type="dxa"/>
            <w:vAlign w:val="center"/>
          </w:tcPr>
          <w:p w14:paraId="75246F2C" w14:textId="1048DC30" w:rsidR="000165F6" w:rsidRPr="00BA3A42" w:rsidRDefault="007D0E3A" w:rsidP="006965B5">
            <w:pPr>
              <w:ind w:firstLine="0"/>
              <w:jc w:val="center"/>
            </w:pPr>
            <w:r w:rsidRPr="007D0E3A">
              <w:t>44***</w:t>
            </w:r>
          </w:p>
        </w:tc>
      </w:tr>
      <w:tr w:rsidR="000165F6" w:rsidRPr="00BA3A42" w14:paraId="1D49E876" w14:textId="77777777" w:rsidTr="00A85CAC">
        <w:trPr>
          <w:trHeight w:val="140"/>
        </w:trPr>
        <w:tc>
          <w:tcPr>
            <w:tcW w:w="1418" w:type="dxa"/>
            <w:vMerge/>
            <w:vAlign w:val="center"/>
          </w:tcPr>
          <w:p w14:paraId="07AFC073" w14:textId="77777777" w:rsidR="000165F6" w:rsidRPr="008348B8" w:rsidRDefault="000165F6" w:rsidP="006965B5">
            <w:pPr>
              <w:ind w:firstLine="0"/>
              <w:jc w:val="center"/>
            </w:pPr>
          </w:p>
        </w:tc>
        <w:tc>
          <w:tcPr>
            <w:tcW w:w="1276" w:type="dxa"/>
            <w:vAlign w:val="center"/>
          </w:tcPr>
          <w:p w14:paraId="7C76BB03" w14:textId="62060081" w:rsidR="000165F6" w:rsidRPr="00BA3A42" w:rsidRDefault="000165F6" w:rsidP="006965B5">
            <w:pPr>
              <w:ind w:firstLine="0"/>
              <w:jc w:val="center"/>
            </w:pPr>
            <w:r>
              <w:t>Мес. 12</w:t>
            </w:r>
          </w:p>
        </w:tc>
        <w:tc>
          <w:tcPr>
            <w:tcW w:w="1559" w:type="dxa"/>
            <w:vAlign w:val="center"/>
          </w:tcPr>
          <w:p w14:paraId="71F16DFA" w14:textId="557B4024" w:rsidR="000165F6" w:rsidRPr="00BA3A42" w:rsidRDefault="000165F6" w:rsidP="006965B5">
            <w:pPr>
              <w:ind w:firstLine="0"/>
              <w:jc w:val="center"/>
            </w:pPr>
            <w:r>
              <w:t>н/п</w:t>
            </w:r>
          </w:p>
        </w:tc>
        <w:tc>
          <w:tcPr>
            <w:tcW w:w="2551" w:type="dxa"/>
            <w:gridSpan w:val="2"/>
            <w:vAlign w:val="center"/>
          </w:tcPr>
          <w:p w14:paraId="561514D1" w14:textId="1B0D066A" w:rsidR="000165F6" w:rsidRPr="00BA3A42" w:rsidRDefault="00CD39A8" w:rsidP="006965B5">
            <w:pPr>
              <w:ind w:firstLine="0"/>
              <w:jc w:val="center"/>
            </w:pPr>
            <w:r>
              <w:t>32</w:t>
            </w:r>
          </w:p>
        </w:tc>
        <w:tc>
          <w:tcPr>
            <w:tcW w:w="2552" w:type="dxa"/>
            <w:vAlign w:val="center"/>
          </w:tcPr>
          <w:p w14:paraId="01CC7FA7" w14:textId="0C35B42A" w:rsidR="000165F6" w:rsidRPr="00BA3A42" w:rsidRDefault="00B520A8" w:rsidP="006965B5">
            <w:pPr>
              <w:ind w:firstLine="0"/>
              <w:jc w:val="center"/>
            </w:pPr>
            <w:r>
              <w:t>39</w:t>
            </w:r>
          </w:p>
        </w:tc>
      </w:tr>
      <w:tr w:rsidR="000165F6" w:rsidRPr="00BA3A42" w14:paraId="3853CDEB" w14:textId="77777777" w:rsidTr="00A85CAC">
        <w:trPr>
          <w:trHeight w:val="140"/>
        </w:trPr>
        <w:tc>
          <w:tcPr>
            <w:tcW w:w="1418" w:type="dxa"/>
            <w:vMerge/>
            <w:vAlign w:val="center"/>
          </w:tcPr>
          <w:p w14:paraId="312C5C65" w14:textId="77777777" w:rsidR="000165F6" w:rsidRPr="008348B8" w:rsidRDefault="000165F6" w:rsidP="006965B5">
            <w:pPr>
              <w:ind w:firstLine="0"/>
              <w:jc w:val="center"/>
            </w:pPr>
          </w:p>
        </w:tc>
        <w:tc>
          <w:tcPr>
            <w:tcW w:w="1276" w:type="dxa"/>
            <w:vAlign w:val="center"/>
          </w:tcPr>
          <w:p w14:paraId="0DE14A1D" w14:textId="7FB052D5" w:rsidR="000165F6" w:rsidRDefault="000165F6" w:rsidP="006965B5">
            <w:pPr>
              <w:ind w:firstLine="0"/>
              <w:jc w:val="center"/>
            </w:pPr>
            <w:r w:rsidRPr="000165F6">
              <w:t>Мес. 24</w:t>
            </w:r>
          </w:p>
        </w:tc>
        <w:tc>
          <w:tcPr>
            <w:tcW w:w="1559" w:type="dxa"/>
            <w:vAlign w:val="center"/>
          </w:tcPr>
          <w:p w14:paraId="16E4EF96" w14:textId="74587BFE" w:rsidR="000165F6" w:rsidRPr="00BA3A42" w:rsidRDefault="000165F6" w:rsidP="006965B5">
            <w:pPr>
              <w:ind w:firstLine="0"/>
              <w:jc w:val="center"/>
            </w:pPr>
            <w:r>
              <w:t>н/п</w:t>
            </w:r>
          </w:p>
        </w:tc>
        <w:tc>
          <w:tcPr>
            <w:tcW w:w="2551" w:type="dxa"/>
            <w:gridSpan w:val="2"/>
            <w:vAlign w:val="center"/>
          </w:tcPr>
          <w:p w14:paraId="67C8180B" w14:textId="0BB5BA0B" w:rsidR="000165F6" w:rsidRPr="00BA3A42" w:rsidRDefault="00CD39A8" w:rsidP="006965B5">
            <w:pPr>
              <w:ind w:firstLine="0"/>
              <w:jc w:val="center"/>
            </w:pPr>
            <w:r>
              <w:t>28</w:t>
            </w:r>
          </w:p>
        </w:tc>
        <w:tc>
          <w:tcPr>
            <w:tcW w:w="2552" w:type="dxa"/>
            <w:vAlign w:val="center"/>
          </w:tcPr>
          <w:p w14:paraId="024F53F0" w14:textId="76D62C1D" w:rsidR="000165F6" w:rsidRPr="00BA3A42" w:rsidRDefault="00B520A8" w:rsidP="006965B5">
            <w:pPr>
              <w:ind w:firstLine="0"/>
              <w:jc w:val="center"/>
            </w:pPr>
            <w:r>
              <w:t>40</w:t>
            </w:r>
          </w:p>
        </w:tc>
      </w:tr>
      <w:tr w:rsidR="000165F6" w:rsidRPr="00BA3A42" w14:paraId="13E6680E" w14:textId="77777777" w:rsidTr="00A85CAC">
        <w:trPr>
          <w:trHeight w:val="94"/>
        </w:trPr>
        <w:tc>
          <w:tcPr>
            <w:tcW w:w="1418" w:type="dxa"/>
            <w:vMerge w:val="restart"/>
            <w:vAlign w:val="center"/>
          </w:tcPr>
          <w:p w14:paraId="026F07A5" w14:textId="59897098" w:rsidR="000165F6" w:rsidRPr="00BA3A42" w:rsidRDefault="000165F6" w:rsidP="006965B5">
            <w:pPr>
              <w:ind w:firstLine="0"/>
              <w:jc w:val="center"/>
            </w:pPr>
            <w:r>
              <w:t>ACR70</w:t>
            </w:r>
          </w:p>
        </w:tc>
        <w:tc>
          <w:tcPr>
            <w:tcW w:w="1276" w:type="dxa"/>
            <w:vAlign w:val="center"/>
          </w:tcPr>
          <w:p w14:paraId="7884EFCC" w14:textId="1B4E499B" w:rsidR="000165F6" w:rsidRPr="00BA3A42" w:rsidRDefault="000165F6" w:rsidP="006965B5">
            <w:pPr>
              <w:ind w:firstLine="0"/>
              <w:jc w:val="center"/>
            </w:pPr>
            <w:r>
              <w:t>Мес. 3</w:t>
            </w:r>
          </w:p>
        </w:tc>
        <w:tc>
          <w:tcPr>
            <w:tcW w:w="1559" w:type="dxa"/>
            <w:vAlign w:val="center"/>
          </w:tcPr>
          <w:p w14:paraId="1EF0616C" w14:textId="4BF64470" w:rsidR="000165F6" w:rsidRPr="00BA3A42" w:rsidRDefault="007932C2" w:rsidP="006965B5">
            <w:pPr>
              <w:ind w:firstLine="0"/>
              <w:jc w:val="center"/>
            </w:pPr>
            <w:r>
              <w:t>3</w:t>
            </w:r>
          </w:p>
        </w:tc>
        <w:tc>
          <w:tcPr>
            <w:tcW w:w="2551" w:type="dxa"/>
            <w:gridSpan w:val="2"/>
            <w:vAlign w:val="center"/>
          </w:tcPr>
          <w:p w14:paraId="06D61D77" w14:textId="25CD7B2B" w:rsidR="000165F6" w:rsidRPr="00BA3A42" w:rsidRDefault="009D54AD" w:rsidP="006965B5">
            <w:pPr>
              <w:ind w:firstLine="0"/>
              <w:jc w:val="center"/>
            </w:pPr>
            <w:r w:rsidRPr="009D54AD">
              <w:t>10**</w:t>
            </w:r>
          </w:p>
        </w:tc>
        <w:tc>
          <w:tcPr>
            <w:tcW w:w="2552" w:type="dxa"/>
            <w:vAlign w:val="center"/>
          </w:tcPr>
          <w:p w14:paraId="5F351EAB" w14:textId="6356DA2D" w:rsidR="000165F6" w:rsidRPr="00BA3A42" w:rsidRDefault="00B520A8" w:rsidP="006965B5">
            <w:pPr>
              <w:ind w:firstLine="0"/>
              <w:jc w:val="center"/>
            </w:pPr>
            <w:r w:rsidRPr="00B520A8">
              <w:t>17***</w:t>
            </w:r>
          </w:p>
        </w:tc>
      </w:tr>
      <w:tr w:rsidR="000165F6" w:rsidRPr="00BA3A42" w14:paraId="419FB497" w14:textId="77777777" w:rsidTr="00A85CAC">
        <w:trPr>
          <w:trHeight w:val="93"/>
        </w:trPr>
        <w:tc>
          <w:tcPr>
            <w:tcW w:w="1418" w:type="dxa"/>
            <w:vMerge/>
            <w:vAlign w:val="center"/>
          </w:tcPr>
          <w:p w14:paraId="490E3D7A" w14:textId="77777777" w:rsidR="000165F6" w:rsidRDefault="000165F6" w:rsidP="006965B5">
            <w:pPr>
              <w:ind w:firstLine="0"/>
              <w:jc w:val="center"/>
            </w:pPr>
          </w:p>
        </w:tc>
        <w:tc>
          <w:tcPr>
            <w:tcW w:w="1276" w:type="dxa"/>
            <w:vAlign w:val="center"/>
          </w:tcPr>
          <w:p w14:paraId="42594EAE" w14:textId="256A72A3" w:rsidR="000165F6" w:rsidRPr="00BA3A42" w:rsidRDefault="000165F6" w:rsidP="006965B5">
            <w:pPr>
              <w:ind w:firstLine="0"/>
              <w:jc w:val="center"/>
            </w:pPr>
            <w:r>
              <w:t>Мес. 6</w:t>
            </w:r>
          </w:p>
        </w:tc>
        <w:tc>
          <w:tcPr>
            <w:tcW w:w="1559" w:type="dxa"/>
            <w:vAlign w:val="center"/>
          </w:tcPr>
          <w:p w14:paraId="772C4F7C" w14:textId="41AC5D6C" w:rsidR="000165F6" w:rsidRPr="00BA3A42" w:rsidRDefault="007932C2" w:rsidP="006965B5">
            <w:pPr>
              <w:ind w:firstLine="0"/>
              <w:jc w:val="center"/>
            </w:pPr>
            <w:r>
              <w:t>1</w:t>
            </w:r>
          </w:p>
        </w:tc>
        <w:tc>
          <w:tcPr>
            <w:tcW w:w="2551" w:type="dxa"/>
            <w:gridSpan w:val="2"/>
            <w:vAlign w:val="center"/>
          </w:tcPr>
          <w:p w14:paraId="79F245EC" w14:textId="0B2AD8B8" w:rsidR="000165F6" w:rsidRPr="00BA3A42" w:rsidRDefault="009D54AD" w:rsidP="006965B5">
            <w:pPr>
              <w:ind w:firstLine="0"/>
              <w:jc w:val="center"/>
            </w:pPr>
            <w:r w:rsidRPr="009D54AD">
              <w:t>14***</w:t>
            </w:r>
          </w:p>
        </w:tc>
        <w:tc>
          <w:tcPr>
            <w:tcW w:w="2552" w:type="dxa"/>
            <w:vAlign w:val="center"/>
          </w:tcPr>
          <w:p w14:paraId="5E7174EE" w14:textId="0E65A35A" w:rsidR="000165F6" w:rsidRPr="00BA3A42" w:rsidRDefault="00B520A8" w:rsidP="006965B5">
            <w:pPr>
              <w:ind w:firstLine="0"/>
              <w:jc w:val="center"/>
            </w:pPr>
            <w:r w:rsidRPr="00B520A8">
              <w:t>22***</w:t>
            </w:r>
          </w:p>
        </w:tc>
      </w:tr>
      <w:tr w:rsidR="007932C2" w:rsidRPr="00BA3A42" w14:paraId="72752118" w14:textId="77777777" w:rsidTr="00A85CAC">
        <w:trPr>
          <w:trHeight w:val="140"/>
        </w:trPr>
        <w:tc>
          <w:tcPr>
            <w:tcW w:w="1418" w:type="dxa"/>
            <w:vMerge/>
            <w:vAlign w:val="center"/>
          </w:tcPr>
          <w:p w14:paraId="26DFCE70" w14:textId="77777777" w:rsidR="007932C2" w:rsidRDefault="007932C2" w:rsidP="006965B5">
            <w:pPr>
              <w:ind w:firstLine="0"/>
              <w:jc w:val="center"/>
            </w:pPr>
          </w:p>
        </w:tc>
        <w:tc>
          <w:tcPr>
            <w:tcW w:w="1276" w:type="dxa"/>
            <w:vAlign w:val="center"/>
          </w:tcPr>
          <w:p w14:paraId="72FF6066" w14:textId="7FBC9AF2" w:rsidR="007932C2" w:rsidRPr="00BA3A42" w:rsidRDefault="007932C2" w:rsidP="006965B5">
            <w:pPr>
              <w:ind w:firstLine="0"/>
              <w:jc w:val="center"/>
            </w:pPr>
            <w:r>
              <w:t>Мес. 12</w:t>
            </w:r>
          </w:p>
        </w:tc>
        <w:tc>
          <w:tcPr>
            <w:tcW w:w="1559" w:type="dxa"/>
            <w:vAlign w:val="center"/>
          </w:tcPr>
          <w:p w14:paraId="4A220E5C" w14:textId="527E868F" w:rsidR="007932C2" w:rsidRPr="00BA3A42" w:rsidRDefault="007932C2" w:rsidP="006965B5">
            <w:pPr>
              <w:ind w:firstLine="0"/>
              <w:jc w:val="center"/>
            </w:pPr>
            <w:r>
              <w:t>н/п</w:t>
            </w:r>
          </w:p>
        </w:tc>
        <w:tc>
          <w:tcPr>
            <w:tcW w:w="2551" w:type="dxa"/>
            <w:gridSpan w:val="2"/>
            <w:vAlign w:val="center"/>
          </w:tcPr>
          <w:p w14:paraId="178DA914" w14:textId="0408C122" w:rsidR="007932C2" w:rsidRPr="00BA3A42" w:rsidRDefault="009D54AD" w:rsidP="006965B5">
            <w:pPr>
              <w:ind w:firstLine="0"/>
              <w:jc w:val="center"/>
            </w:pPr>
            <w:r>
              <w:t>18</w:t>
            </w:r>
          </w:p>
        </w:tc>
        <w:tc>
          <w:tcPr>
            <w:tcW w:w="2552" w:type="dxa"/>
            <w:vAlign w:val="center"/>
          </w:tcPr>
          <w:p w14:paraId="309C2CF3" w14:textId="4D928C5D" w:rsidR="007932C2" w:rsidRPr="00BA3A42" w:rsidRDefault="00B520A8" w:rsidP="006965B5">
            <w:pPr>
              <w:ind w:firstLine="0"/>
              <w:jc w:val="center"/>
            </w:pPr>
            <w:r>
              <w:t>27</w:t>
            </w:r>
          </w:p>
        </w:tc>
      </w:tr>
      <w:tr w:rsidR="007932C2" w:rsidRPr="00BA3A42" w14:paraId="79B85522" w14:textId="77777777" w:rsidTr="00A85CAC">
        <w:trPr>
          <w:trHeight w:val="140"/>
        </w:trPr>
        <w:tc>
          <w:tcPr>
            <w:tcW w:w="1418" w:type="dxa"/>
            <w:vMerge/>
            <w:vAlign w:val="center"/>
          </w:tcPr>
          <w:p w14:paraId="2108A477" w14:textId="77777777" w:rsidR="007932C2" w:rsidRDefault="007932C2" w:rsidP="006965B5">
            <w:pPr>
              <w:ind w:firstLine="0"/>
              <w:jc w:val="center"/>
            </w:pPr>
          </w:p>
        </w:tc>
        <w:tc>
          <w:tcPr>
            <w:tcW w:w="1276" w:type="dxa"/>
            <w:vAlign w:val="center"/>
          </w:tcPr>
          <w:p w14:paraId="639A289E" w14:textId="47867889" w:rsidR="007932C2" w:rsidRDefault="007932C2" w:rsidP="006965B5">
            <w:pPr>
              <w:ind w:firstLine="0"/>
              <w:jc w:val="center"/>
            </w:pPr>
            <w:r w:rsidRPr="000165F6">
              <w:t>Мес. 24</w:t>
            </w:r>
          </w:p>
        </w:tc>
        <w:tc>
          <w:tcPr>
            <w:tcW w:w="1559" w:type="dxa"/>
            <w:vAlign w:val="center"/>
          </w:tcPr>
          <w:p w14:paraId="2C1528DD" w14:textId="5AFCF7CF" w:rsidR="007932C2" w:rsidRPr="00BA3A42" w:rsidRDefault="007932C2" w:rsidP="006965B5">
            <w:pPr>
              <w:ind w:firstLine="0"/>
              <w:jc w:val="center"/>
            </w:pPr>
            <w:r>
              <w:t>н/п</w:t>
            </w:r>
          </w:p>
        </w:tc>
        <w:tc>
          <w:tcPr>
            <w:tcW w:w="2551" w:type="dxa"/>
            <w:gridSpan w:val="2"/>
            <w:vAlign w:val="center"/>
          </w:tcPr>
          <w:p w14:paraId="42CD7C9A" w14:textId="35E555E5" w:rsidR="007932C2" w:rsidRPr="00BA3A42" w:rsidRDefault="009D54AD" w:rsidP="006965B5">
            <w:pPr>
              <w:ind w:firstLine="0"/>
              <w:jc w:val="center"/>
            </w:pPr>
            <w:r>
              <w:t>17</w:t>
            </w:r>
          </w:p>
        </w:tc>
        <w:tc>
          <w:tcPr>
            <w:tcW w:w="2552" w:type="dxa"/>
            <w:vAlign w:val="center"/>
          </w:tcPr>
          <w:p w14:paraId="60320360" w14:textId="79BD4CD4" w:rsidR="007932C2" w:rsidRPr="00BA3A42" w:rsidRDefault="00B520A8" w:rsidP="006965B5">
            <w:pPr>
              <w:ind w:firstLine="0"/>
              <w:jc w:val="center"/>
            </w:pPr>
            <w:r>
              <w:t>26</w:t>
            </w:r>
          </w:p>
        </w:tc>
      </w:tr>
      <w:tr w:rsidR="001E5DFD" w:rsidRPr="00BA3A42" w14:paraId="1AD957F4" w14:textId="77777777" w:rsidTr="006965B5">
        <w:tc>
          <w:tcPr>
            <w:tcW w:w="9356" w:type="dxa"/>
            <w:gridSpan w:val="6"/>
            <w:shd w:val="clear" w:color="auto" w:fill="D9D9D9" w:themeFill="background1" w:themeFillShade="D9"/>
            <w:vAlign w:val="center"/>
          </w:tcPr>
          <w:p w14:paraId="3273ADA5" w14:textId="2BD69E38" w:rsidR="001E5DFD" w:rsidRPr="007018E4" w:rsidRDefault="001E5DFD" w:rsidP="006965B5">
            <w:pPr>
              <w:ind w:firstLine="0"/>
              <w:jc w:val="center"/>
              <w:rPr>
                <w:b/>
                <w:bCs/>
              </w:rPr>
            </w:pPr>
            <w:r w:rsidRPr="007018E4">
              <w:rPr>
                <w:b/>
                <w:bCs/>
              </w:rPr>
              <w:t>ORAL Start: пациенты, ранее не получавшие метотрексат</w:t>
            </w:r>
          </w:p>
        </w:tc>
      </w:tr>
      <w:tr w:rsidR="001E5DFD" w:rsidRPr="00BA3A42" w14:paraId="2ED07CD7" w14:textId="77777777" w:rsidTr="00A85CAC">
        <w:tc>
          <w:tcPr>
            <w:tcW w:w="1418" w:type="dxa"/>
            <w:shd w:val="clear" w:color="auto" w:fill="D9D9D9" w:themeFill="background1" w:themeFillShade="D9"/>
            <w:vAlign w:val="center"/>
          </w:tcPr>
          <w:p w14:paraId="1F0FEA48" w14:textId="5584AA08" w:rsidR="001E5DFD" w:rsidRPr="00BA3A42" w:rsidRDefault="004B293A" w:rsidP="006965B5">
            <w:pPr>
              <w:ind w:firstLine="0"/>
              <w:jc w:val="center"/>
            </w:pPr>
            <w:r>
              <w:rPr>
                <w:b/>
                <w:bCs/>
              </w:rPr>
              <w:t>Конечная точка</w:t>
            </w:r>
          </w:p>
        </w:tc>
        <w:tc>
          <w:tcPr>
            <w:tcW w:w="1276" w:type="dxa"/>
            <w:shd w:val="clear" w:color="auto" w:fill="D9D9D9" w:themeFill="background1" w:themeFillShade="D9"/>
            <w:vAlign w:val="center"/>
          </w:tcPr>
          <w:p w14:paraId="409BA04D" w14:textId="42194644" w:rsidR="001E5DFD" w:rsidRPr="00BA3A42" w:rsidRDefault="00E243B4" w:rsidP="006965B5">
            <w:pPr>
              <w:ind w:firstLine="0"/>
              <w:jc w:val="center"/>
            </w:pPr>
            <w:r w:rsidRPr="00CD0F13">
              <w:rPr>
                <w:b/>
                <w:bCs/>
              </w:rPr>
              <w:t>Время</w:t>
            </w:r>
          </w:p>
        </w:tc>
        <w:tc>
          <w:tcPr>
            <w:tcW w:w="1559" w:type="dxa"/>
            <w:shd w:val="clear" w:color="auto" w:fill="D9D9D9" w:themeFill="background1" w:themeFillShade="D9"/>
            <w:vAlign w:val="center"/>
          </w:tcPr>
          <w:p w14:paraId="2D618324" w14:textId="67043959" w:rsidR="001E5DFD" w:rsidRPr="00BA3A42" w:rsidRDefault="00E243B4" w:rsidP="006965B5">
            <w:pPr>
              <w:ind w:firstLine="0"/>
              <w:jc w:val="center"/>
            </w:pPr>
            <w:r>
              <w:rPr>
                <w:b/>
                <w:bCs/>
              </w:rPr>
              <w:t xml:space="preserve">Метотрексат </w:t>
            </w:r>
            <w:r w:rsidRPr="00CD0F13">
              <w:rPr>
                <w:b/>
                <w:bCs/>
              </w:rPr>
              <w:t>(</w:t>
            </w:r>
            <w:r w:rsidRPr="00CD0F13">
              <w:rPr>
                <w:b/>
                <w:bCs/>
                <w:lang w:val="en-US"/>
              </w:rPr>
              <w:t>N = 1</w:t>
            </w:r>
            <w:r>
              <w:rPr>
                <w:b/>
                <w:bCs/>
              </w:rPr>
              <w:t>84</w:t>
            </w:r>
            <w:r w:rsidRPr="00CD0F13">
              <w:rPr>
                <w:b/>
                <w:bCs/>
                <w:lang w:val="en-US"/>
              </w:rPr>
              <w:t>)</w:t>
            </w:r>
          </w:p>
        </w:tc>
        <w:tc>
          <w:tcPr>
            <w:tcW w:w="2551" w:type="dxa"/>
            <w:gridSpan w:val="2"/>
            <w:shd w:val="clear" w:color="auto" w:fill="D9D9D9" w:themeFill="background1" w:themeFillShade="D9"/>
            <w:vAlign w:val="center"/>
          </w:tcPr>
          <w:p w14:paraId="10F0B567" w14:textId="73B61ABD" w:rsidR="001E5DFD" w:rsidRPr="00BA3A42" w:rsidRDefault="00E243B4" w:rsidP="00791E09">
            <w:pPr>
              <w:ind w:left="-108" w:right="-107" w:firstLine="0"/>
              <w:jc w:val="center"/>
            </w:pPr>
            <w:r w:rsidRPr="00CD0F13">
              <w:rPr>
                <w:b/>
                <w:bCs/>
              </w:rPr>
              <w:t>Тофацитиниб, 5 мг 2 раза в день</w:t>
            </w:r>
            <w:r>
              <w:rPr>
                <w:b/>
                <w:bCs/>
              </w:rPr>
              <w:t xml:space="preserve">, монотерапия </w:t>
            </w:r>
            <w:r w:rsidRPr="00CD0F13">
              <w:rPr>
                <w:b/>
                <w:bCs/>
              </w:rPr>
              <w:t>(</w:t>
            </w:r>
            <w:r w:rsidRPr="00CD0F13">
              <w:rPr>
                <w:b/>
                <w:bCs/>
                <w:lang w:val="en-US"/>
              </w:rPr>
              <w:t>N</w:t>
            </w:r>
            <w:r w:rsidRPr="00CD0F13">
              <w:rPr>
                <w:b/>
                <w:bCs/>
              </w:rPr>
              <w:t xml:space="preserve"> = </w:t>
            </w:r>
            <w:r>
              <w:rPr>
                <w:b/>
                <w:bCs/>
              </w:rPr>
              <w:t>370</w:t>
            </w:r>
            <w:r w:rsidRPr="00CD0F13">
              <w:rPr>
                <w:b/>
                <w:bCs/>
              </w:rPr>
              <w:t>)</w:t>
            </w:r>
          </w:p>
        </w:tc>
        <w:tc>
          <w:tcPr>
            <w:tcW w:w="2552" w:type="dxa"/>
            <w:shd w:val="clear" w:color="auto" w:fill="D9D9D9" w:themeFill="background1" w:themeFillShade="D9"/>
            <w:vAlign w:val="center"/>
          </w:tcPr>
          <w:p w14:paraId="7D6BE22B" w14:textId="047DB7D9" w:rsidR="001E5DFD" w:rsidRPr="00BA3A42" w:rsidRDefault="00E243B4" w:rsidP="00791E09">
            <w:pPr>
              <w:ind w:left="-108" w:right="-107" w:firstLine="0"/>
              <w:jc w:val="center"/>
            </w:pPr>
            <w:r w:rsidRPr="00CD0F13">
              <w:rPr>
                <w:b/>
                <w:bCs/>
              </w:rPr>
              <w:t xml:space="preserve">Тофацитиниб, </w:t>
            </w:r>
            <w:r>
              <w:rPr>
                <w:b/>
                <w:bCs/>
              </w:rPr>
              <w:t>10</w:t>
            </w:r>
            <w:r w:rsidRPr="00CD0F13">
              <w:rPr>
                <w:b/>
                <w:bCs/>
              </w:rPr>
              <w:t xml:space="preserve"> мг 2 раза в день</w:t>
            </w:r>
            <w:r>
              <w:rPr>
                <w:b/>
                <w:bCs/>
              </w:rPr>
              <w:t xml:space="preserve">, монотерапия </w:t>
            </w:r>
            <w:r w:rsidRPr="00CD0F13">
              <w:rPr>
                <w:b/>
                <w:bCs/>
              </w:rPr>
              <w:t>(</w:t>
            </w:r>
            <w:r w:rsidRPr="00CD0F13">
              <w:rPr>
                <w:b/>
                <w:bCs/>
                <w:lang w:val="en-US"/>
              </w:rPr>
              <w:t>N</w:t>
            </w:r>
            <w:r w:rsidRPr="00CD0F13">
              <w:rPr>
                <w:b/>
                <w:bCs/>
              </w:rPr>
              <w:t xml:space="preserve"> = </w:t>
            </w:r>
            <w:r>
              <w:rPr>
                <w:b/>
                <w:bCs/>
              </w:rPr>
              <w:t>394</w:t>
            </w:r>
            <w:r w:rsidRPr="00CD0F13">
              <w:rPr>
                <w:b/>
                <w:bCs/>
              </w:rPr>
              <w:t>)</w:t>
            </w:r>
          </w:p>
        </w:tc>
      </w:tr>
      <w:tr w:rsidR="006145E5" w:rsidRPr="00BA3A42" w14:paraId="189B43DE" w14:textId="77777777" w:rsidTr="00A85CAC">
        <w:trPr>
          <w:trHeight w:val="70"/>
        </w:trPr>
        <w:tc>
          <w:tcPr>
            <w:tcW w:w="1418" w:type="dxa"/>
            <w:vMerge w:val="restart"/>
            <w:vAlign w:val="center"/>
          </w:tcPr>
          <w:p w14:paraId="0F520945" w14:textId="3896EFC2" w:rsidR="006145E5" w:rsidRPr="00BA3A42" w:rsidRDefault="006145E5" w:rsidP="006965B5">
            <w:pPr>
              <w:ind w:firstLine="0"/>
              <w:jc w:val="center"/>
            </w:pPr>
            <w:r w:rsidRPr="00C90A7E">
              <w:t>ACR20</w:t>
            </w:r>
          </w:p>
        </w:tc>
        <w:tc>
          <w:tcPr>
            <w:tcW w:w="1276" w:type="dxa"/>
            <w:vAlign w:val="center"/>
          </w:tcPr>
          <w:p w14:paraId="593A4247" w14:textId="68BC1AD3" w:rsidR="006145E5" w:rsidRPr="00BA3A42" w:rsidRDefault="006145E5" w:rsidP="006965B5">
            <w:pPr>
              <w:ind w:firstLine="0"/>
              <w:jc w:val="center"/>
            </w:pPr>
            <w:r>
              <w:t>Мес. 3</w:t>
            </w:r>
          </w:p>
        </w:tc>
        <w:tc>
          <w:tcPr>
            <w:tcW w:w="1559" w:type="dxa"/>
            <w:vAlign w:val="center"/>
          </w:tcPr>
          <w:p w14:paraId="2B0D900F" w14:textId="497F3EE4" w:rsidR="006145E5" w:rsidRPr="00BA3A42" w:rsidRDefault="006145E5" w:rsidP="006965B5">
            <w:pPr>
              <w:ind w:firstLine="0"/>
              <w:jc w:val="center"/>
            </w:pPr>
            <w:r>
              <w:t>52</w:t>
            </w:r>
          </w:p>
        </w:tc>
        <w:tc>
          <w:tcPr>
            <w:tcW w:w="2551" w:type="dxa"/>
            <w:gridSpan w:val="2"/>
            <w:vAlign w:val="center"/>
          </w:tcPr>
          <w:p w14:paraId="425C695D" w14:textId="0D3F1718" w:rsidR="006145E5" w:rsidRPr="00BA3A42" w:rsidRDefault="00765DFE" w:rsidP="006965B5">
            <w:pPr>
              <w:ind w:firstLine="0"/>
              <w:jc w:val="center"/>
            </w:pPr>
            <w:r w:rsidRPr="00765DFE">
              <w:t>69***</w:t>
            </w:r>
          </w:p>
        </w:tc>
        <w:tc>
          <w:tcPr>
            <w:tcW w:w="2552" w:type="dxa"/>
            <w:vAlign w:val="center"/>
          </w:tcPr>
          <w:p w14:paraId="6E42ED6C" w14:textId="7476F8FC" w:rsidR="006145E5" w:rsidRPr="00BA3A42" w:rsidRDefault="006141AB" w:rsidP="006965B5">
            <w:pPr>
              <w:ind w:firstLine="0"/>
              <w:jc w:val="center"/>
            </w:pPr>
            <w:r w:rsidRPr="006141AB">
              <w:t>77***</w:t>
            </w:r>
          </w:p>
        </w:tc>
      </w:tr>
      <w:tr w:rsidR="006145E5" w:rsidRPr="00BA3A42" w14:paraId="3ED921CC" w14:textId="77777777" w:rsidTr="00A85CAC">
        <w:trPr>
          <w:trHeight w:val="70"/>
        </w:trPr>
        <w:tc>
          <w:tcPr>
            <w:tcW w:w="1418" w:type="dxa"/>
            <w:vMerge/>
            <w:vAlign w:val="center"/>
          </w:tcPr>
          <w:p w14:paraId="4EDF2962" w14:textId="77777777" w:rsidR="006145E5" w:rsidRPr="00C90A7E" w:rsidRDefault="006145E5" w:rsidP="006965B5">
            <w:pPr>
              <w:ind w:firstLine="0"/>
              <w:jc w:val="center"/>
            </w:pPr>
          </w:p>
        </w:tc>
        <w:tc>
          <w:tcPr>
            <w:tcW w:w="1276" w:type="dxa"/>
            <w:vAlign w:val="center"/>
          </w:tcPr>
          <w:p w14:paraId="6243831E" w14:textId="135E07CB" w:rsidR="006145E5" w:rsidRPr="00BA3A42" w:rsidRDefault="006145E5" w:rsidP="006965B5">
            <w:pPr>
              <w:ind w:firstLine="0"/>
              <w:jc w:val="center"/>
            </w:pPr>
            <w:r>
              <w:t>Мес. 6</w:t>
            </w:r>
          </w:p>
        </w:tc>
        <w:tc>
          <w:tcPr>
            <w:tcW w:w="1559" w:type="dxa"/>
            <w:vAlign w:val="center"/>
          </w:tcPr>
          <w:p w14:paraId="530A1307" w14:textId="5F46BF5C" w:rsidR="006145E5" w:rsidRPr="00BA3A42" w:rsidRDefault="006145E5" w:rsidP="006965B5">
            <w:pPr>
              <w:ind w:firstLine="0"/>
              <w:jc w:val="center"/>
            </w:pPr>
            <w:r>
              <w:t>51</w:t>
            </w:r>
          </w:p>
        </w:tc>
        <w:tc>
          <w:tcPr>
            <w:tcW w:w="2551" w:type="dxa"/>
            <w:gridSpan w:val="2"/>
            <w:vAlign w:val="center"/>
          </w:tcPr>
          <w:p w14:paraId="4488DA6B" w14:textId="1276E5E5" w:rsidR="006145E5" w:rsidRPr="00BA3A42" w:rsidRDefault="00765DFE" w:rsidP="006965B5">
            <w:pPr>
              <w:ind w:firstLine="0"/>
              <w:jc w:val="center"/>
            </w:pPr>
            <w:r w:rsidRPr="00765DFE">
              <w:t>71***</w:t>
            </w:r>
          </w:p>
        </w:tc>
        <w:tc>
          <w:tcPr>
            <w:tcW w:w="2552" w:type="dxa"/>
            <w:vAlign w:val="center"/>
          </w:tcPr>
          <w:p w14:paraId="513023C5" w14:textId="7A5B739D" w:rsidR="006145E5" w:rsidRPr="00BA3A42" w:rsidRDefault="006141AB" w:rsidP="006965B5">
            <w:pPr>
              <w:ind w:firstLine="0"/>
              <w:jc w:val="center"/>
            </w:pPr>
            <w:r w:rsidRPr="006141AB">
              <w:t>75***</w:t>
            </w:r>
          </w:p>
        </w:tc>
      </w:tr>
      <w:tr w:rsidR="006145E5" w:rsidRPr="00BA3A42" w14:paraId="4997AFD3" w14:textId="77777777" w:rsidTr="00A85CAC">
        <w:trPr>
          <w:trHeight w:val="70"/>
        </w:trPr>
        <w:tc>
          <w:tcPr>
            <w:tcW w:w="1418" w:type="dxa"/>
            <w:vMerge/>
            <w:vAlign w:val="center"/>
          </w:tcPr>
          <w:p w14:paraId="2AF251CC" w14:textId="77777777" w:rsidR="006145E5" w:rsidRPr="00C90A7E" w:rsidRDefault="006145E5" w:rsidP="006965B5">
            <w:pPr>
              <w:ind w:firstLine="0"/>
              <w:jc w:val="center"/>
            </w:pPr>
          </w:p>
        </w:tc>
        <w:tc>
          <w:tcPr>
            <w:tcW w:w="1276" w:type="dxa"/>
            <w:vAlign w:val="center"/>
          </w:tcPr>
          <w:p w14:paraId="2D38CBEA" w14:textId="195DA2E2" w:rsidR="006145E5" w:rsidRPr="00BA3A42" w:rsidRDefault="006145E5" w:rsidP="006965B5">
            <w:pPr>
              <w:ind w:firstLine="0"/>
              <w:jc w:val="center"/>
            </w:pPr>
            <w:r>
              <w:t>Мес. 12</w:t>
            </w:r>
          </w:p>
        </w:tc>
        <w:tc>
          <w:tcPr>
            <w:tcW w:w="1559" w:type="dxa"/>
            <w:vAlign w:val="center"/>
          </w:tcPr>
          <w:p w14:paraId="76F38A73" w14:textId="729C08F9" w:rsidR="006145E5" w:rsidRPr="00BA3A42" w:rsidRDefault="006145E5" w:rsidP="006965B5">
            <w:pPr>
              <w:ind w:firstLine="0"/>
              <w:jc w:val="center"/>
            </w:pPr>
            <w:r>
              <w:t>51</w:t>
            </w:r>
          </w:p>
        </w:tc>
        <w:tc>
          <w:tcPr>
            <w:tcW w:w="2551" w:type="dxa"/>
            <w:gridSpan w:val="2"/>
            <w:vAlign w:val="center"/>
          </w:tcPr>
          <w:p w14:paraId="781351B0" w14:textId="1B43D844" w:rsidR="006145E5" w:rsidRPr="00BA3A42" w:rsidRDefault="00765DFE" w:rsidP="006965B5">
            <w:pPr>
              <w:ind w:firstLine="0"/>
              <w:jc w:val="center"/>
            </w:pPr>
            <w:r w:rsidRPr="00765DFE">
              <w:t>67**</w:t>
            </w:r>
          </w:p>
        </w:tc>
        <w:tc>
          <w:tcPr>
            <w:tcW w:w="2552" w:type="dxa"/>
            <w:vAlign w:val="center"/>
          </w:tcPr>
          <w:p w14:paraId="1831CD24" w14:textId="434D2CCA" w:rsidR="006145E5" w:rsidRPr="00BA3A42" w:rsidRDefault="006141AB" w:rsidP="006965B5">
            <w:pPr>
              <w:ind w:firstLine="0"/>
              <w:jc w:val="center"/>
            </w:pPr>
            <w:r w:rsidRPr="006141AB">
              <w:t>71***</w:t>
            </w:r>
          </w:p>
        </w:tc>
      </w:tr>
      <w:tr w:rsidR="006145E5" w:rsidRPr="00BA3A42" w14:paraId="0568DDAB" w14:textId="77777777" w:rsidTr="00A85CAC">
        <w:trPr>
          <w:trHeight w:val="70"/>
        </w:trPr>
        <w:tc>
          <w:tcPr>
            <w:tcW w:w="1418" w:type="dxa"/>
            <w:vMerge/>
            <w:vAlign w:val="center"/>
          </w:tcPr>
          <w:p w14:paraId="5B411202" w14:textId="77777777" w:rsidR="006145E5" w:rsidRPr="00C90A7E" w:rsidRDefault="006145E5" w:rsidP="006965B5">
            <w:pPr>
              <w:ind w:firstLine="0"/>
              <w:jc w:val="center"/>
            </w:pPr>
          </w:p>
        </w:tc>
        <w:tc>
          <w:tcPr>
            <w:tcW w:w="1276" w:type="dxa"/>
            <w:vAlign w:val="center"/>
          </w:tcPr>
          <w:p w14:paraId="6A5CC731" w14:textId="383E6B0E" w:rsidR="006145E5" w:rsidRPr="00BA3A42" w:rsidRDefault="006145E5" w:rsidP="006965B5">
            <w:pPr>
              <w:ind w:firstLine="0"/>
              <w:jc w:val="center"/>
            </w:pPr>
            <w:r w:rsidRPr="000165F6">
              <w:t>Мес. 24</w:t>
            </w:r>
          </w:p>
        </w:tc>
        <w:tc>
          <w:tcPr>
            <w:tcW w:w="1559" w:type="dxa"/>
            <w:vAlign w:val="center"/>
          </w:tcPr>
          <w:p w14:paraId="0452954C" w14:textId="62586230" w:rsidR="006145E5" w:rsidRPr="00BA3A42" w:rsidRDefault="007C68CC" w:rsidP="006965B5">
            <w:pPr>
              <w:ind w:firstLine="0"/>
              <w:jc w:val="center"/>
            </w:pPr>
            <w:r>
              <w:t>42</w:t>
            </w:r>
          </w:p>
        </w:tc>
        <w:tc>
          <w:tcPr>
            <w:tcW w:w="2551" w:type="dxa"/>
            <w:gridSpan w:val="2"/>
            <w:vAlign w:val="center"/>
          </w:tcPr>
          <w:p w14:paraId="6F3626B3" w14:textId="58E239DB" w:rsidR="006145E5" w:rsidRPr="00BA3A42" w:rsidRDefault="00084E58" w:rsidP="006965B5">
            <w:pPr>
              <w:ind w:firstLine="0"/>
              <w:jc w:val="center"/>
            </w:pPr>
            <w:r w:rsidRPr="00084E58">
              <w:t>63***</w:t>
            </w:r>
          </w:p>
        </w:tc>
        <w:tc>
          <w:tcPr>
            <w:tcW w:w="2552" w:type="dxa"/>
            <w:vAlign w:val="center"/>
          </w:tcPr>
          <w:p w14:paraId="0B7793AC" w14:textId="49ADEBBF" w:rsidR="006145E5" w:rsidRPr="00BA3A42" w:rsidRDefault="006141AB" w:rsidP="006965B5">
            <w:pPr>
              <w:ind w:firstLine="0"/>
              <w:jc w:val="center"/>
            </w:pPr>
            <w:r w:rsidRPr="006141AB">
              <w:t>64***</w:t>
            </w:r>
          </w:p>
        </w:tc>
      </w:tr>
      <w:tr w:rsidR="006145E5" w:rsidRPr="00BA3A42" w14:paraId="5CE2D793" w14:textId="77777777" w:rsidTr="00A85CAC">
        <w:trPr>
          <w:trHeight w:val="70"/>
        </w:trPr>
        <w:tc>
          <w:tcPr>
            <w:tcW w:w="1418" w:type="dxa"/>
            <w:vMerge w:val="restart"/>
            <w:vAlign w:val="center"/>
          </w:tcPr>
          <w:p w14:paraId="17876A67" w14:textId="0A1FB3F6" w:rsidR="006145E5" w:rsidRPr="00BA3A42" w:rsidRDefault="006145E5" w:rsidP="006965B5">
            <w:pPr>
              <w:ind w:firstLine="0"/>
              <w:jc w:val="center"/>
            </w:pPr>
            <w:r w:rsidRPr="00BA5DF7">
              <w:t>ACR</w:t>
            </w:r>
            <w:r>
              <w:t>5</w:t>
            </w:r>
            <w:r w:rsidRPr="00BA5DF7">
              <w:t>0</w:t>
            </w:r>
          </w:p>
        </w:tc>
        <w:tc>
          <w:tcPr>
            <w:tcW w:w="1276" w:type="dxa"/>
            <w:vAlign w:val="center"/>
          </w:tcPr>
          <w:p w14:paraId="4109A139" w14:textId="14A517B2" w:rsidR="006145E5" w:rsidRPr="00BA3A42" w:rsidRDefault="006145E5" w:rsidP="006965B5">
            <w:pPr>
              <w:ind w:firstLine="0"/>
              <w:jc w:val="center"/>
            </w:pPr>
            <w:r>
              <w:t>Мес. 3</w:t>
            </w:r>
          </w:p>
        </w:tc>
        <w:tc>
          <w:tcPr>
            <w:tcW w:w="1559" w:type="dxa"/>
            <w:vAlign w:val="center"/>
          </w:tcPr>
          <w:p w14:paraId="297ADD34" w14:textId="03BD0411" w:rsidR="006145E5" w:rsidRPr="00BA3A42" w:rsidRDefault="007C68CC" w:rsidP="006965B5">
            <w:pPr>
              <w:ind w:firstLine="0"/>
              <w:jc w:val="center"/>
            </w:pPr>
            <w:r>
              <w:t>20</w:t>
            </w:r>
          </w:p>
        </w:tc>
        <w:tc>
          <w:tcPr>
            <w:tcW w:w="2551" w:type="dxa"/>
            <w:gridSpan w:val="2"/>
            <w:vAlign w:val="center"/>
          </w:tcPr>
          <w:p w14:paraId="6984D108" w14:textId="0B756471" w:rsidR="006145E5" w:rsidRPr="00BA3A42" w:rsidRDefault="00084E58" w:rsidP="006965B5">
            <w:pPr>
              <w:ind w:firstLine="0"/>
              <w:jc w:val="center"/>
            </w:pPr>
            <w:r w:rsidRPr="00084E58">
              <w:t>40***</w:t>
            </w:r>
          </w:p>
        </w:tc>
        <w:tc>
          <w:tcPr>
            <w:tcW w:w="2552" w:type="dxa"/>
            <w:vAlign w:val="center"/>
          </w:tcPr>
          <w:p w14:paraId="27540224" w14:textId="6EE1847A" w:rsidR="006145E5" w:rsidRPr="00BA3A42" w:rsidRDefault="006141AB" w:rsidP="006965B5">
            <w:pPr>
              <w:ind w:firstLine="0"/>
              <w:jc w:val="center"/>
            </w:pPr>
            <w:r w:rsidRPr="006141AB">
              <w:t>49***</w:t>
            </w:r>
          </w:p>
        </w:tc>
      </w:tr>
      <w:tr w:rsidR="006145E5" w:rsidRPr="00BA3A42" w14:paraId="445A4C7E" w14:textId="77777777" w:rsidTr="00A85CAC">
        <w:trPr>
          <w:trHeight w:val="70"/>
        </w:trPr>
        <w:tc>
          <w:tcPr>
            <w:tcW w:w="1418" w:type="dxa"/>
            <w:vMerge/>
            <w:vAlign w:val="center"/>
          </w:tcPr>
          <w:p w14:paraId="4EE0C155" w14:textId="77777777" w:rsidR="006145E5" w:rsidRPr="00BA5DF7" w:rsidRDefault="006145E5" w:rsidP="006965B5">
            <w:pPr>
              <w:ind w:firstLine="0"/>
              <w:jc w:val="center"/>
            </w:pPr>
          </w:p>
        </w:tc>
        <w:tc>
          <w:tcPr>
            <w:tcW w:w="1276" w:type="dxa"/>
            <w:vAlign w:val="center"/>
          </w:tcPr>
          <w:p w14:paraId="1F65AC87" w14:textId="1C8AC4E2" w:rsidR="006145E5" w:rsidRPr="00BA3A42" w:rsidRDefault="006145E5" w:rsidP="006965B5">
            <w:pPr>
              <w:ind w:firstLine="0"/>
              <w:jc w:val="center"/>
            </w:pPr>
            <w:r>
              <w:t>Мес. 6</w:t>
            </w:r>
          </w:p>
        </w:tc>
        <w:tc>
          <w:tcPr>
            <w:tcW w:w="1559" w:type="dxa"/>
            <w:vAlign w:val="center"/>
          </w:tcPr>
          <w:p w14:paraId="1A9877EF" w14:textId="2CC743ED" w:rsidR="006145E5" w:rsidRPr="00BA3A42" w:rsidRDefault="007C68CC" w:rsidP="006965B5">
            <w:pPr>
              <w:ind w:firstLine="0"/>
              <w:jc w:val="center"/>
            </w:pPr>
            <w:r>
              <w:t>27</w:t>
            </w:r>
          </w:p>
        </w:tc>
        <w:tc>
          <w:tcPr>
            <w:tcW w:w="2551" w:type="dxa"/>
            <w:gridSpan w:val="2"/>
            <w:vAlign w:val="center"/>
          </w:tcPr>
          <w:p w14:paraId="663DCAD6" w14:textId="30EB5570" w:rsidR="006145E5" w:rsidRPr="00BA3A42" w:rsidRDefault="00084E58" w:rsidP="006965B5">
            <w:pPr>
              <w:ind w:firstLine="0"/>
              <w:jc w:val="center"/>
            </w:pPr>
            <w:r w:rsidRPr="00084E58">
              <w:t>46***</w:t>
            </w:r>
          </w:p>
        </w:tc>
        <w:tc>
          <w:tcPr>
            <w:tcW w:w="2552" w:type="dxa"/>
            <w:vAlign w:val="center"/>
          </w:tcPr>
          <w:p w14:paraId="6B9B6ABA" w14:textId="0BAF26D8" w:rsidR="006145E5" w:rsidRPr="00BA3A42" w:rsidRDefault="00572116" w:rsidP="006965B5">
            <w:pPr>
              <w:ind w:firstLine="0"/>
              <w:jc w:val="center"/>
            </w:pPr>
            <w:r w:rsidRPr="00572116">
              <w:t>56***</w:t>
            </w:r>
          </w:p>
        </w:tc>
      </w:tr>
      <w:tr w:rsidR="006145E5" w:rsidRPr="00BA3A42" w14:paraId="19568BA0" w14:textId="77777777" w:rsidTr="00A85CAC">
        <w:trPr>
          <w:trHeight w:val="70"/>
        </w:trPr>
        <w:tc>
          <w:tcPr>
            <w:tcW w:w="1418" w:type="dxa"/>
            <w:vMerge/>
            <w:vAlign w:val="center"/>
          </w:tcPr>
          <w:p w14:paraId="57355F67" w14:textId="77777777" w:rsidR="006145E5" w:rsidRPr="00BA5DF7" w:rsidRDefault="006145E5" w:rsidP="006965B5">
            <w:pPr>
              <w:ind w:firstLine="0"/>
              <w:jc w:val="center"/>
            </w:pPr>
          </w:p>
        </w:tc>
        <w:tc>
          <w:tcPr>
            <w:tcW w:w="1276" w:type="dxa"/>
            <w:vAlign w:val="center"/>
          </w:tcPr>
          <w:p w14:paraId="3599E642" w14:textId="12AFD4F1" w:rsidR="006145E5" w:rsidRPr="00BA3A42" w:rsidRDefault="006145E5" w:rsidP="006965B5">
            <w:pPr>
              <w:ind w:firstLine="0"/>
              <w:jc w:val="center"/>
            </w:pPr>
            <w:r>
              <w:t>Мес. 12</w:t>
            </w:r>
          </w:p>
        </w:tc>
        <w:tc>
          <w:tcPr>
            <w:tcW w:w="1559" w:type="dxa"/>
            <w:vAlign w:val="center"/>
          </w:tcPr>
          <w:p w14:paraId="6C2344C5" w14:textId="66F7A0D9" w:rsidR="006145E5" w:rsidRPr="00BA3A42" w:rsidRDefault="007C68CC" w:rsidP="006965B5">
            <w:pPr>
              <w:ind w:firstLine="0"/>
              <w:jc w:val="center"/>
            </w:pPr>
            <w:r>
              <w:t>33</w:t>
            </w:r>
          </w:p>
        </w:tc>
        <w:tc>
          <w:tcPr>
            <w:tcW w:w="2551" w:type="dxa"/>
            <w:gridSpan w:val="2"/>
            <w:vAlign w:val="center"/>
          </w:tcPr>
          <w:p w14:paraId="20122EC2" w14:textId="1093C916" w:rsidR="006145E5" w:rsidRPr="00BA3A42" w:rsidRDefault="00084E58" w:rsidP="006965B5">
            <w:pPr>
              <w:ind w:firstLine="0"/>
              <w:jc w:val="center"/>
            </w:pPr>
            <w:r w:rsidRPr="00084E58">
              <w:t>49**</w:t>
            </w:r>
          </w:p>
        </w:tc>
        <w:tc>
          <w:tcPr>
            <w:tcW w:w="2552" w:type="dxa"/>
            <w:vAlign w:val="center"/>
          </w:tcPr>
          <w:p w14:paraId="74987F3F" w14:textId="003F2D58" w:rsidR="006145E5" w:rsidRPr="00BA3A42" w:rsidRDefault="00572116" w:rsidP="006965B5">
            <w:pPr>
              <w:ind w:firstLine="0"/>
              <w:jc w:val="center"/>
            </w:pPr>
            <w:r w:rsidRPr="00572116">
              <w:t>55***</w:t>
            </w:r>
          </w:p>
        </w:tc>
      </w:tr>
      <w:tr w:rsidR="006145E5" w:rsidRPr="00BA3A42" w14:paraId="7E30E2EC" w14:textId="77777777" w:rsidTr="00A85CAC">
        <w:trPr>
          <w:trHeight w:val="70"/>
        </w:trPr>
        <w:tc>
          <w:tcPr>
            <w:tcW w:w="1418" w:type="dxa"/>
            <w:vMerge/>
            <w:vAlign w:val="center"/>
          </w:tcPr>
          <w:p w14:paraId="283736CB" w14:textId="77777777" w:rsidR="006145E5" w:rsidRPr="00BA5DF7" w:rsidRDefault="006145E5" w:rsidP="006965B5">
            <w:pPr>
              <w:ind w:firstLine="0"/>
              <w:jc w:val="center"/>
            </w:pPr>
          </w:p>
        </w:tc>
        <w:tc>
          <w:tcPr>
            <w:tcW w:w="1276" w:type="dxa"/>
            <w:vAlign w:val="center"/>
          </w:tcPr>
          <w:p w14:paraId="693DD007" w14:textId="7E88D5EC" w:rsidR="006145E5" w:rsidRPr="00BA3A42" w:rsidRDefault="006145E5" w:rsidP="006965B5">
            <w:pPr>
              <w:ind w:firstLine="0"/>
              <w:jc w:val="center"/>
            </w:pPr>
            <w:r w:rsidRPr="000165F6">
              <w:t>Мес. 24</w:t>
            </w:r>
          </w:p>
        </w:tc>
        <w:tc>
          <w:tcPr>
            <w:tcW w:w="1559" w:type="dxa"/>
            <w:vAlign w:val="center"/>
          </w:tcPr>
          <w:p w14:paraId="036284EC" w14:textId="411F52C7" w:rsidR="006145E5" w:rsidRPr="00BA3A42" w:rsidRDefault="007C68CC" w:rsidP="006965B5">
            <w:pPr>
              <w:ind w:firstLine="0"/>
              <w:jc w:val="center"/>
            </w:pPr>
            <w:r>
              <w:t>28</w:t>
            </w:r>
          </w:p>
        </w:tc>
        <w:tc>
          <w:tcPr>
            <w:tcW w:w="2551" w:type="dxa"/>
            <w:gridSpan w:val="2"/>
            <w:vAlign w:val="center"/>
          </w:tcPr>
          <w:p w14:paraId="7592062E" w14:textId="7E65C516" w:rsidR="006145E5" w:rsidRPr="00BA3A42" w:rsidRDefault="00084E58" w:rsidP="006965B5">
            <w:pPr>
              <w:ind w:firstLine="0"/>
              <w:jc w:val="center"/>
            </w:pPr>
            <w:r w:rsidRPr="00084E58">
              <w:t>48***</w:t>
            </w:r>
          </w:p>
        </w:tc>
        <w:tc>
          <w:tcPr>
            <w:tcW w:w="2552" w:type="dxa"/>
            <w:vAlign w:val="center"/>
          </w:tcPr>
          <w:p w14:paraId="7E04189B" w14:textId="05ACA5C4" w:rsidR="006145E5" w:rsidRPr="00BA3A42" w:rsidRDefault="00572116" w:rsidP="006965B5">
            <w:pPr>
              <w:ind w:firstLine="0"/>
              <w:jc w:val="center"/>
            </w:pPr>
            <w:r w:rsidRPr="00572116">
              <w:t>49***</w:t>
            </w:r>
          </w:p>
        </w:tc>
      </w:tr>
      <w:tr w:rsidR="006145E5" w:rsidRPr="00BA3A42" w14:paraId="398A8C39" w14:textId="77777777" w:rsidTr="00A85CAC">
        <w:trPr>
          <w:trHeight w:val="70"/>
        </w:trPr>
        <w:tc>
          <w:tcPr>
            <w:tcW w:w="1418" w:type="dxa"/>
            <w:vMerge w:val="restart"/>
            <w:vAlign w:val="center"/>
          </w:tcPr>
          <w:p w14:paraId="0574FA99" w14:textId="3DD2C271" w:rsidR="006145E5" w:rsidRPr="00BA3A42" w:rsidRDefault="006145E5" w:rsidP="006965B5">
            <w:pPr>
              <w:ind w:firstLine="0"/>
              <w:jc w:val="center"/>
            </w:pPr>
            <w:r w:rsidRPr="00BA5DF7">
              <w:t>ACR</w:t>
            </w:r>
            <w:r>
              <w:t>7</w:t>
            </w:r>
            <w:r w:rsidRPr="00BA5DF7">
              <w:t>0</w:t>
            </w:r>
          </w:p>
        </w:tc>
        <w:tc>
          <w:tcPr>
            <w:tcW w:w="1276" w:type="dxa"/>
            <w:vAlign w:val="center"/>
          </w:tcPr>
          <w:p w14:paraId="73BE6B0A" w14:textId="6283BDA9" w:rsidR="006145E5" w:rsidRPr="00BA3A42" w:rsidRDefault="006145E5" w:rsidP="006965B5">
            <w:pPr>
              <w:ind w:firstLine="0"/>
              <w:jc w:val="center"/>
            </w:pPr>
            <w:r>
              <w:t>Мес. 3</w:t>
            </w:r>
          </w:p>
        </w:tc>
        <w:tc>
          <w:tcPr>
            <w:tcW w:w="1559" w:type="dxa"/>
            <w:vAlign w:val="center"/>
          </w:tcPr>
          <w:p w14:paraId="6B1D45F5" w14:textId="69B7644C" w:rsidR="006145E5" w:rsidRPr="00BA3A42" w:rsidRDefault="007C68CC" w:rsidP="006965B5">
            <w:pPr>
              <w:ind w:firstLine="0"/>
              <w:jc w:val="center"/>
            </w:pPr>
            <w:r>
              <w:t>5</w:t>
            </w:r>
          </w:p>
        </w:tc>
        <w:tc>
          <w:tcPr>
            <w:tcW w:w="2551" w:type="dxa"/>
            <w:gridSpan w:val="2"/>
            <w:vAlign w:val="center"/>
          </w:tcPr>
          <w:p w14:paraId="5D11B46C" w14:textId="3E11A2A1" w:rsidR="006145E5" w:rsidRPr="00BA3A42" w:rsidRDefault="00070D16" w:rsidP="006965B5">
            <w:pPr>
              <w:ind w:firstLine="0"/>
              <w:jc w:val="center"/>
            </w:pPr>
            <w:r w:rsidRPr="00070D16">
              <w:t>20***</w:t>
            </w:r>
          </w:p>
        </w:tc>
        <w:tc>
          <w:tcPr>
            <w:tcW w:w="2552" w:type="dxa"/>
            <w:vAlign w:val="center"/>
          </w:tcPr>
          <w:p w14:paraId="0B438D25" w14:textId="6BAEE2D3" w:rsidR="006145E5" w:rsidRPr="00BA3A42" w:rsidRDefault="00572116" w:rsidP="006965B5">
            <w:pPr>
              <w:ind w:firstLine="0"/>
              <w:jc w:val="center"/>
            </w:pPr>
            <w:r w:rsidRPr="00572116">
              <w:t>26***</w:t>
            </w:r>
          </w:p>
        </w:tc>
      </w:tr>
      <w:tr w:rsidR="006145E5" w:rsidRPr="00BA3A42" w14:paraId="79D45717" w14:textId="77777777" w:rsidTr="00A85CAC">
        <w:trPr>
          <w:trHeight w:val="70"/>
        </w:trPr>
        <w:tc>
          <w:tcPr>
            <w:tcW w:w="1418" w:type="dxa"/>
            <w:vMerge/>
            <w:vAlign w:val="center"/>
          </w:tcPr>
          <w:p w14:paraId="5CDA1859" w14:textId="77777777" w:rsidR="006145E5" w:rsidRPr="00BA5DF7" w:rsidRDefault="006145E5" w:rsidP="006965B5">
            <w:pPr>
              <w:ind w:firstLine="0"/>
              <w:jc w:val="center"/>
            </w:pPr>
          </w:p>
        </w:tc>
        <w:tc>
          <w:tcPr>
            <w:tcW w:w="1276" w:type="dxa"/>
            <w:vAlign w:val="center"/>
          </w:tcPr>
          <w:p w14:paraId="35E500D3" w14:textId="730FF134" w:rsidR="006145E5" w:rsidRPr="00BA3A42" w:rsidRDefault="006145E5" w:rsidP="006965B5">
            <w:pPr>
              <w:ind w:firstLine="0"/>
              <w:jc w:val="center"/>
            </w:pPr>
            <w:r>
              <w:t>Мес. 6</w:t>
            </w:r>
          </w:p>
        </w:tc>
        <w:tc>
          <w:tcPr>
            <w:tcW w:w="1559" w:type="dxa"/>
            <w:vAlign w:val="center"/>
          </w:tcPr>
          <w:p w14:paraId="2D5D671C" w14:textId="10FEF598" w:rsidR="006145E5" w:rsidRPr="00BA3A42" w:rsidRDefault="007C68CC" w:rsidP="006965B5">
            <w:pPr>
              <w:ind w:firstLine="0"/>
              <w:jc w:val="center"/>
            </w:pPr>
            <w:r>
              <w:t>12</w:t>
            </w:r>
          </w:p>
        </w:tc>
        <w:tc>
          <w:tcPr>
            <w:tcW w:w="2551" w:type="dxa"/>
            <w:gridSpan w:val="2"/>
            <w:vAlign w:val="center"/>
          </w:tcPr>
          <w:p w14:paraId="73496972" w14:textId="4CD829B3" w:rsidR="006145E5" w:rsidRPr="00BA3A42" w:rsidRDefault="00070D16" w:rsidP="006965B5">
            <w:pPr>
              <w:ind w:firstLine="0"/>
              <w:jc w:val="center"/>
            </w:pPr>
            <w:r w:rsidRPr="00070D16">
              <w:t>25***</w:t>
            </w:r>
          </w:p>
        </w:tc>
        <w:tc>
          <w:tcPr>
            <w:tcW w:w="2552" w:type="dxa"/>
            <w:vAlign w:val="center"/>
          </w:tcPr>
          <w:p w14:paraId="625F372B" w14:textId="22C697B0" w:rsidR="006145E5" w:rsidRPr="00BA3A42" w:rsidRDefault="007018E4" w:rsidP="006965B5">
            <w:pPr>
              <w:ind w:firstLine="0"/>
              <w:jc w:val="center"/>
            </w:pPr>
            <w:r w:rsidRPr="007018E4">
              <w:t>37***</w:t>
            </w:r>
          </w:p>
        </w:tc>
      </w:tr>
      <w:tr w:rsidR="006145E5" w:rsidRPr="00BA3A42" w14:paraId="6A1A6C0E" w14:textId="77777777" w:rsidTr="00A85CAC">
        <w:trPr>
          <w:trHeight w:val="70"/>
        </w:trPr>
        <w:tc>
          <w:tcPr>
            <w:tcW w:w="1418" w:type="dxa"/>
            <w:vMerge/>
            <w:vAlign w:val="center"/>
          </w:tcPr>
          <w:p w14:paraId="621E11D4" w14:textId="77777777" w:rsidR="006145E5" w:rsidRPr="00BA5DF7" w:rsidRDefault="006145E5" w:rsidP="006965B5">
            <w:pPr>
              <w:ind w:firstLine="0"/>
              <w:jc w:val="center"/>
            </w:pPr>
          </w:p>
        </w:tc>
        <w:tc>
          <w:tcPr>
            <w:tcW w:w="1276" w:type="dxa"/>
            <w:vAlign w:val="center"/>
          </w:tcPr>
          <w:p w14:paraId="369ED140" w14:textId="45A55EE9" w:rsidR="006145E5" w:rsidRPr="00BA3A42" w:rsidRDefault="006145E5" w:rsidP="006965B5">
            <w:pPr>
              <w:ind w:firstLine="0"/>
              <w:jc w:val="center"/>
            </w:pPr>
            <w:r>
              <w:t>Мес. 12</w:t>
            </w:r>
          </w:p>
        </w:tc>
        <w:tc>
          <w:tcPr>
            <w:tcW w:w="1559" w:type="dxa"/>
            <w:vAlign w:val="center"/>
          </w:tcPr>
          <w:p w14:paraId="05CE58EC" w14:textId="1B5B34A3" w:rsidR="006145E5" w:rsidRPr="00BA3A42" w:rsidRDefault="007C68CC" w:rsidP="006965B5">
            <w:pPr>
              <w:ind w:firstLine="0"/>
              <w:jc w:val="center"/>
            </w:pPr>
            <w:r>
              <w:t>15</w:t>
            </w:r>
          </w:p>
        </w:tc>
        <w:tc>
          <w:tcPr>
            <w:tcW w:w="2551" w:type="dxa"/>
            <w:gridSpan w:val="2"/>
            <w:vAlign w:val="center"/>
          </w:tcPr>
          <w:p w14:paraId="583612F3" w14:textId="2A9671B3" w:rsidR="006145E5" w:rsidRPr="00BA3A42" w:rsidRDefault="00070D16" w:rsidP="006965B5">
            <w:pPr>
              <w:ind w:firstLine="0"/>
              <w:jc w:val="center"/>
            </w:pPr>
            <w:r w:rsidRPr="00070D16">
              <w:t>28**</w:t>
            </w:r>
          </w:p>
        </w:tc>
        <w:tc>
          <w:tcPr>
            <w:tcW w:w="2552" w:type="dxa"/>
            <w:vAlign w:val="center"/>
          </w:tcPr>
          <w:p w14:paraId="2D81DD7A" w14:textId="284BCA1D" w:rsidR="006145E5" w:rsidRPr="00BA3A42" w:rsidRDefault="007018E4" w:rsidP="006965B5">
            <w:pPr>
              <w:ind w:firstLine="0"/>
              <w:jc w:val="center"/>
            </w:pPr>
            <w:r w:rsidRPr="007018E4">
              <w:t>38***</w:t>
            </w:r>
          </w:p>
        </w:tc>
      </w:tr>
      <w:tr w:rsidR="006145E5" w:rsidRPr="00BA3A42" w14:paraId="1CC1B0FA" w14:textId="77777777" w:rsidTr="00A85CAC">
        <w:trPr>
          <w:trHeight w:val="70"/>
        </w:trPr>
        <w:tc>
          <w:tcPr>
            <w:tcW w:w="1418" w:type="dxa"/>
            <w:vMerge/>
            <w:vAlign w:val="center"/>
          </w:tcPr>
          <w:p w14:paraId="12B05404" w14:textId="77777777" w:rsidR="006145E5" w:rsidRPr="00BA5DF7" w:rsidRDefault="006145E5" w:rsidP="006965B5">
            <w:pPr>
              <w:ind w:firstLine="0"/>
              <w:jc w:val="center"/>
            </w:pPr>
          </w:p>
        </w:tc>
        <w:tc>
          <w:tcPr>
            <w:tcW w:w="1276" w:type="dxa"/>
            <w:vAlign w:val="center"/>
          </w:tcPr>
          <w:p w14:paraId="1193EBC2" w14:textId="7436F6C5" w:rsidR="006145E5" w:rsidRPr="00BA3A42" w:rsidRDefault="006145E5" w:rsidP="006965B5">
            <w:pPr>
              <w:ind w:firstLine="0"/>
              <w:jc w:val="center"/>
            </w:pPr>
            <w:r w:rsidRPr="000165F6">
              <w:t>Мес. 24</w:t>
            </w:r>
          </w:p>
        </w:tc>
        <w:tc>
          <w:tcPr>
            <w:tcW w:w="1559" w:type="dxa"/>
            <w:vAlign w:val="center"/>
          </w:tcPr>
          <w:p w14:paraId="72C81DD5" w14:textId="6AECCD49" w:rsidR="006145E5" w:rsidRPr="00BA3A42" w:rsidRDefault="00765DFE" w:rsidP="006965B5">
            <w:pPr>
              <w:ind w:firstLine="0"/>
              <w:jc w:val="center"/>
            </w:pPr>
            <w:r>
              <w:t>15</w:t>
            </w:r>
          </w:p>
        </w:tc>
        <w:tc>
          <w:tcPr>
            <w:tcW w:w="2551" w:type="dxa"/>
            <w:gridSpan w:val="2"/>
            <w:vAlign w:val="center"/>
          </w:tcPr>
          <w:p w14:paraId="022D629A" w14:textId="73BDE8DB" w:rsidR="006145E5" w:rsidRPr="00BA3A42" w:rsidRDefault="00070D16" w:rsidP="006965B5">
            <w:pPr>
              <w:ind w:firstLine="0"/>
              <w:jc w:val="center"/>
            </w:pPr>
            <w:r w:rsidRPr="00070D16">
              <w:t>34***</w:t>
            </w:r>
          </w:p>
        </w:tc>
        <w:tc>
          <w:tcPr>
            <w:tcW w:w="2552" w:type="dxa"/>
            <w:vAlign w:val="center"/>
          </w:tcPr>
          <w:p w14:paraId="222C68EB" w14:textId="415AC07F" w:rsidR="006145E5" w:rsidRPr="00BA3A42" w:rsidRDefault="007018E4" w:rsidP="006965B5">
            <w:pPr>
              <w:ind w:firstLine="0"/>
              <w:jc w:val="center"/>
            </w:pPr>
            <w:r w:rsidRPr="007018E4">
              <w:t>37***</w:t>
            </w:r>
          </w:p>
        </w:tc>
      </w:tr>
      <w:tr w:rsidR="001B777F" w:rsidRPr="00BA3A42" w14:paraId="27DBD7CC" w14:textId="77777777" w:rsidTr="006965B5">
        <w:tc>
          <w:tcPr>
            <w:tcW w:w="9356" w:type="dxa"/>
            <w:gridSpan w:val="6"/>
            <w:shd w:val="clear" w:color="auto" w:fill="D9D9D9" w:themeFill="background1" w:themeFillShade="D9"/>
            <w:vAlign w:val="center"/>
          </w:tcPr>
          <w:p w14:paraId="2398615C" w14:textId="615C31D0" w:rsidR="001B777F" w:rsidRPr="004B293A" w:rsidRDefault="001B777F" w:rsidP="006965B5">
            <w:pPr>
              <w:ind w:firstLine="0"/>
              <w:jc w:val="center"/>
              <w:rPr>
                <w:b/>
                <w:bCs/>
              </w:rPr>
            </w:pPr>
            <w:r w:rsidRPr="004B293A">
              <w:rPr>
                <w:b/>
                <w:bCs/>
              </w:rPr>
              <w:lastRenderedPageBreak/>
              <w:t xml:space="preserve">ORAL Strategy: пациенты с недостаточным ответом на </w:t>
            </w:r>
            <w:r w:rsidR="004B293A" w:rsidRPr="004B293A">
              <w:rPr>
                <w:b/>
                <w:bCs/>
              </w:rPr>
              <w:t>метотрексат</w:t>
            </w:r>
          </w:p>
        </w:tc>
      </w:tr>
      <w:tr w:rsidR="004B293A" w:rsidRPr="00BA3A42" w14:paraId="78D759B3" w14:textId="77777777" w:rsidTr="00A85CAC">
        <w:tc>
          <w:tcPr>
            <w:tcW w:w="1418" w:type="dxa"/>
            <w:shd w:val="clear" w:color="auto" w:fill="D9D9D9" w:themeFill="background1" w:themeFillShade="D9"/>
            <w:vAlign w:val="center"/>
          </w:tcPr>
          <w:p w14:paraId="23F4959B" w14:textId="5F2EAD0D" w:rsidR="004B293A" w:rsidRPr="00BA3A42" w:rsidRDefault="004B293A" w:rsidP="006965B5">
            <w:pPr>
              <w:ind w:firstLine="0"/>
              <w:jc w:val="center"/>
            </w:pPr>
            <w:r>
              <w:rPr>
                <w:b/>
                <w:bCs/>
              </w:rPr>
              <w:t>Конечная точка</w:t>
            </w:r>
          </w:p>
        </w:tc>
        <w:tc>
          <w:tcPr>
            <w:tcW w:w="1276" w:type="dxa"/>
            <w:shd w:val="clear" w:color="auto" w:fill="D9D9D9" w:themeFill="background1" w:themeFillShade="D9"/>
            <w:vAlign w:val="center"/>
          </w:tcPr>
          <w:p w14:paraId="791C2C01" w14:textId="1CB1A20B" w:rsidR="004B293A" w:rsidRPr="00BA3A42" w:rsidRDefault="004B293A" w:rsidP="006965B5">
            <w:pPr>
              <w:ind w:firstLine="0"/>
              <w:jc w:val="center"/>
            </w:pPr>
            <w:r w:rsidRPr="00CD0F13">
              <w:rPr>
                <w:b/>
                <w:bCs/>
              </w:rPr>
              <w:t>Время</w:t>
            </w:r>
          </w:p>
        </w:tc>
        <w:tc>
          <w:tcPr>
            <w:tcW w:w="1559" w:type="dxa"/>
            <w:shd w:val="clear" w:color="auto" w:fill="D9D9D9" w:themeFill="background1" w:themeFillShade="D9"/>
            <w:vAlign w:val="center"/>
          </w:tcPr>
          <w:p w14:paraId="48D11441" w14:textId="2818EDA4" w:rsidR="004B293A" w:rsidRPr="00BA3A42" w:rsidRDefault="001C0FFD" w:rsidP="006965B5">
            <w:pPr>
              <w:ind w:firstLine="0"/>
              <w:jc w:val="center"/>
            </w:pPr>
            <w:r>
              <w:rPr>
                <w:b/>
                <w:bCs/>
              </w:rPr>
              <w:t>Тофацитиниб 5 мг 2 раза в день</w:t>
            </w:r>
            <w:r w:rsidR="004B293A">
              <w:rPr>
                <w:b/>
                <w:bCs/>
              </w:rPr>
              <w:t xml:space="preserve"> </w:t>
            </w:r>
            <w:r w:rsidR="004B293A" w:rsidRPr="00CD0F13">
              <w:rPr>
                <w:b/>
                <w:bCs/>
              </w:rPr>
              <w:t>(</w:t>
            </w:r>
            <w:r w:rsidR="004B293A" w:rsidRPr="00CD0F13">
              <w:rPr>
                <w:b/>
                <w:bCs/>
                <w:lang w:val="en-US"/>
              </w:rPr>
              <w:t>N</w:t>
            </w:r>
            <w:r w:rsidR="004B293A" w:rsidRPr="001C0FFD">
              <w:rPr>
                <w:b/>
                <w:bCs/>
              </w:rPr>
              <w:t xml:space="preserve"> = </w:t>
            </w:r>
            <w:r>
              <w:rPr>
                <w:b/>
                <w:bCs/>
              </w:rPr>
              <w:t>3</w:t>
            </w:r>
            <w:r w:rsidR="004B293A">
              <w:rPr>
                <w:b/>
                <w:bCs/>
              </w:rPr>
              <w:t>84</w:t>
            </w:r>
            <w:r w:rsidR="004B293A" w:rsidRPr="001C0FFD">
              <w:rPr>
                <w:b/>
                <w:bCs/>
              </w:rPr>
              <w:t>)</w:t>
            </w:r>
          </w:p>
        </w:tc>
        <w:tc>
          <w:tcPr>
            <w:tcW w:w="2551" w:type="dxa"/>
            <w:gridSpan w:val="2"/>
            <w:shd w:val="clear" w:color="auto" w:fill="D9D9D9" w:themeFill="background1" w:themeFillShade="D9"/>
            <w:vAlign w:val="center"/>
          </w:tcPr>
          <w:p w14:paraId="1802DF0D" w14:textId="46AA847A" w:rsidR="004B293A" w:rsidRPr="00BA3A42" w:rsidRDefault="004B293A" w:rsidP="006965B5">
            <w:pPr>
              <w:ind w:firstLine="0"/>
              <w:jc w:val="center"/>
            </w:pPr>
            <w:r w:rsidRPr="00CD0F13">
              <w:rPr>
                <w:b/>
                <w:bCs/>
              </w:rPr>
              <w:t>Тофацитиниб, 5 мг 2 раза в день</w:t>
            </w:r>
            <w:r w:rsidR="001C0FFD">
              <w:rPr>
                <w:b/>
                <w:bCs/>
              </w:rPr>
              <w:t xml:space="preserve"> + метотрексат</w:t>
            </w:r>
            <w:r>
              <w:rPr>
                <w:b/>
                <w:bCs/>
              </w:rPr>
              <w:t xml:space="preserve"> </w:t>
            </w:r>
            <w:r w:rsidRPr="00CD0F13">
              <w:rPr>
                <w:b/>
                <w:bCs/>
              </w:rPr>
              <w:t>(</w:t>
            </w:r>
            <w:r w:rsidRPr="00CD0F13">
              <w:rPr>
                <w:b/>
                <w:bCs/>
                <w:lang w:val="en-US"/>
              </w:rPr>
              <w:t>N</w:t>
            </w:r>
            <w:r w:rsidRPr="00CD0F13">
              <w:rPr>
                <w:b/>
                <w:bCs/>
              </w:rPr>
              <w:t xml:space="preserve"> = </w:t>
            </w:r>
            <w:r>
              <w:rPr>
                <w:b/>
                <w:bCs/>
              </w:rPr>
              <w:t>37</w:t>
            </w:r>
            <w:r w:rsidR="001C0FFD">
              <w:rPr>
                <w:b/>
                <w:bCs/>
              </w:rPr>
              <w:t>6</w:t>
            </w:r>
            <w:r w:rsidRPr="00CD0F13">
              <w:rPr>
                <w:b/>
                <w:bCs/>
              </w:rPr>
              <w:t>)</w:t>
            </w:r>
          </w:p>
        </w:tc>
        <w:tc>
          <w:tcPr>
            <w:tcW w:w="2552" w:type="dxa"/>
            <w:shd w:val="clear" w:color="auto" w:fill="D9D9D9" w:themeFill="background1" w:themeFillShade="D9"/>
            <w:vAlign w:val="center"/>
          </w:tcPr>
          <w:p w14:paraId="4133BC9B" w14:textId="1B114ACB" w:rsidR="004B293A" w:rsidRPr="00BA3A42" w:rsidRDefault="001C0FFD" w:rsidP="006965B5">
            <w:pPr>
              <w:ind w:firstLine="0"/>
              <w:jc w:val="center"/>
            </w:pPr>
            <w:r>
              <w:rPr>
                <w:b/>
                <w:bCs/>
              </w:rPr>
              <w:t>Адалимумаб + метотрексат</w:t>
            </w:r>
            <w:r w:rsidR="004B293A">
              <w:rPr>
                <w:b/>
                <w:bCs/>
              </w:rPr>
              <w:t xml:space="preserve"> </w:t>
            </w:r>
            <w:r w:rsidR="004B293A" w:rsidRPr="00CD0F13">
              <w:rPr>
                <w:b/>
                <w:bCs/>
              </w:rPr>
              <w:t>(</w:t>
            </w:r>
            <w:r w:rsidR="004B293A" w:rsidRPr="00CD0F13">
              <w:rPr>
                <w:b/>
                <w:bCs/>
                <w:lang w:val="en-US"/>
              </w:rPr>
              <w:t>N</w:t>
            </w:r>
            <w:r w:rsidR="004B293A" w:rsidRPr="00CD0F13">
              <w:rPr>
                <w:b/>
                <w:bCs/>
              </w:rPr>
              <w:t xml:space="preserve"> = </w:t>
            </w:r>
            <w:r w:rsidR="004B293A">
              <w:rPr>
                <w:b/>
                <w:bCs/>
              </w:rPr>
              <w:t>3</w:t>
            </w:r>
            <w:r>
              <w:rPr>
                <w:b/>
                <w:bCs/>
              </w:rPr>
              <w:t>86</w:t>
            </w:r>
            <w:r w:rsidR="004B293A" w:rsidRPr="00CD0F13">
              <w:rPr>
                <w:b/>
                <w:bCs/>
              </w:rPr>
              <w:t>)</w:t>
            </w:r>
          </w:p>
        </w:tc>
      </w:tr>
      <w:tr w:rsidR="006C2F6A" w:rsidRPr="00BA3A42" w14:paraId="5D0C0EE0" w14:textId="77777777" w:rsidTr="00A85CAC">
        <w:trPr>
          <w:trHeight w:val="94"/>
        </w:trPr>
        <w:tc>
          <w:tcPr>
            <w:tcW w:w="1418" w:type="dxa"/>
            <w:vMerge w:val="restart"/>
            <w:vAlign w:val="center"/>
          </w:tcPr>
          <w:p w14:paraId="78992E98" w14:textId="6B315538" w:rsidR="006C2F6A" w:rsidRPr="006C2F6A" w:rsidRDefault="006C2F6A" w:rsidP="006965B5">
            <w:pPr>
              <w:ind w:firstLine="0"/>
              <w:jc w:val="center"/>
            </w:pPr>
            <w:r w:rsidRPr="006C2F6A">
              <w:t>ACR20</w:t>
            </w:r>
          </w:p>
        </w:tc>
        <w:tc>
          <w:tcPr>
            <w:tcW w:w="1276" w:type="dxa"/>
            <w:vAlign w:val="center"/>
          </w:tcPr>
          <w:p w14:paraId="279D861D" w14:textId="25142C2E" w:rsidR="006C2F6A" w:rsidRPr="00BA3A42" w:rsidRDefault="006C2F6A" w:rsidP="006965B5">
            <w:pPr>
              <w:ind w:firstLine="0"/>
              <w:jc w:val="center"/>
            </w:pPr>
            <w:r>
              <w:t>Мес. 3</w:t>
            </w:r>
          </w:p>
        </w:tc>
        <w:tc>
          <w:tcPr>
            <w:tcW w:w="1559" w:type="dxa"/>
            <w:vAlign w:val="center"/>
          </w:tcPr>
          <w:p w14:paraId="612EDAFA" w14:textId="5309061C" w:rsidR="006C2F6A" w:rsidRPr="00BA3A42" w:rsidRDefault="00F7278F" w:rsidP="006965B5">
            <w:pPr>
              <w:ind w:firstLine="0"/>
              <w:jc w:val="center"/>
            </w:pPr>
            <w:r w:rsidRPr="00F7278F">
              <w:t>62</w:t>
            </w:r>
            <w:r w:rsidR="00452BBA">
              <w:t>,</w:t>
            </w:r>
            <w:r w:rsidRPr="00F7278F">
              <w:t>50</w:t>
            </w:r>
          </w:p>
        </w:tc>
        <w:tc>
          <w:tcPr>
            <w:tcW w:w="2551" w:type="dxa"/>
            <w:gridSpan w:val="2"/>
            <w:vAlign w:val="center"/>
          </w:tcPr>
          <w:p w14:paraId="5D939DDB" w14:textId="6693820B" w:rsidR="006C2F6A" w:rsidRPr="00BA3A42" w:rsidRDefault="00710257" w:rsidP="006965B5">
            <w:pPr>
              <w:ind w:firstLine="0"/>
              <w:jc w:val="center"/>
            </w:pPr>
            <w:r w:rsidRPr="00710257">
              <w:t>70</w:t>
            </w:r>
            <w:r w:rsidR="00452BBA">
              <w:t>,</w:t>
            </w:r>
            <w:r w:rsidRPr="00710257">
              <w:t>48ǂ</w:t>
            </w:r>
          </w:p>
        </w:tc>
        <w:tc>
          <w:tcPr>
            <w:tcW w:w="2552" w:type="dxa"/>
            <w:vAlign w:val="center"/>
          </w:tcPr>
          <w:p w14:paraId="031BD020" w14:textId="0B5C41A7" w:rsidR="006C2F6A" w:rsidRPr="00BA3A42" w:rsidRDefault="001316F3" w:rsidP="006965B5">
            <w:pPr>
              <w:ind w:firstLine="0"/>
              <w:jc w:val="center"/>
            </w:pPr>
            <w:r w:rsidRPr="001316F3">
              <w:t>69</w:t>
            </w:r>
            <w:r w:rsidR="00452BBA">
              <w:t>,</w:t>
            </w:r>
            <w:r w:rsidRPr="001316F3">
              <w:t>17</w:t>
            </w:r>
          </w:p>
        </w:tc>
      </w:tr>
      <w:tr w:rsidR="006C2F6A" w:rsidRPr="00BA3A42" w14:paraId="2CE91B60" w14:textId="77777777" w:rsidTr="00A85CAC">
        <w:trPr>
          <w:trHeight w:val="93"/>
        </w:trPr>
        <w:tc>
          <w:tcPr>
            <w:tcW w:w="1418" w:type="dxa"/>
            <w:vMerge/>
            <w:vAlign w:val="center"/>
          </w:tcPr>
          <w:p w14:paraId="5471EC42" w14:textId="77777777" w:rsidR="006C2F6A" w:rsidRPr="006C2F6A" w:rsidRDefault="006C2F6A" w:rsidP="006965B5">
            <w:pPr>
              <w:ind w:firstLine="0"/>
              <w:jc w:val="center"/>
            </w:pPr>
          </w:p>
        </w:tc>
        <w:tc>
          <w:tcPr>
            <w:tcW w:w="1276" w:type="dxa"/>
            <w:vAlign w:val="center"/>
          </w:tcPr>
          <w:p w14:paraId="31818D86" w14:textId="11EFAE44" w:rsidR="006C2F6A" w:rsidRPr="00BA3A42" w:rsidRDefault="006C2F6A" w:rsidP="006965B5">
            <w:pPr>
              <w:ind w:firstLine="0"/>
              <w:jc w:val="center"/>
            </w:pPr>
            <w:r>
              <w:t>Мес. 6</w:t>
            </w:r>
          </w:p>
        </w:tc>
        <w:tc>
          <w:tcPr>
            <w:tcW w:w="1559" w:type="dxa"/>
            <w:vAlign w:val="center"/>
          </w:tcPr>
          <w:p w14:paraId="521F1696" w14:textId="4D9B95FC" w:rsidR="006C2F6A" w:rsidRPr="00BA3A42" w:rsidRDefault="00F7278F" w:rsidP="006965B5">
            <w:pPr>
              <w:ind w:firstLine="0"/>
              <w:jc w:val="center"/>
            </w:pPr>
            <w:r w:rsidRPr="00F7278F">
              <w:t>62</w:t>
            </w:r>
            <w:r w:rsidR="00452BBA">
              <w:t>,</w:t>
            </w:r>
            <w:r w:rsidRPr="00F7278F">
              <w:t>84</w:t>
            </w:r>
          </w:p>
        </w:tc>
        <w:tc>
          <w:tcPr>
            <w:tcW w:w="2551" w:type="dxa"/>
            <w:gridSpan w:val="2"/>
            <w:vAlign w:val="center"/>
          </w:tcPr>
          <w:p w14:paraId="0DB24838" w14:textId="08C20E21" w:rsidR="006C2F6A" w:rsidRPr="00BA3A42" w:rsidRDefault="00DF25A5" w:rsidP="006965B5">
            <w:pPr>
              <w:ind w:firstLine="0"/>
              <w:jc w:val="center"/>
            </w:pPr>
            <w:r w:rsidRPr="00DF25A5">
              <w:t>73</w:t>
            </w:r>
            <w:r w:rsidR="00452BBA">
              <w:t>,</w:t>
            </w:r>
            <w:r w:rsidRPr="00DF25A5">
              <w:t>14ǂ</w:t>
            </w:r>
          </w:p>
        </w:tc>
        <w:tc>
          <w:tcPr>
            <w:tcW w:w="2552" w:type="dxa"/>
            <w:vAlign w:val="center"/>
          </w:tcPr>
          <w:p w14:paraId="0B894A03" w14:textId="60D1D5A9" w:rsidR="006C2F6A" w:rsidRPr="00BA3A42" w:rsidRDefault="001316F3" w:rsidP="006965B5">
            <w:pPr>
              <w:ind w:firstLine="0"/>
              <w:jc w:val="center"/>
            </w:pPr>
            <w:r w:rsidRPr="001316F3">
              <w:t>70</w:t>
            </w:r>
            <w:r w:rsidR="00452BBA">
              <w:t>,</w:t>
            </w:r>
            <w:r w:rsidRPr="001316F3">
              <w:t>98</w:t>
            </w:r>
          </w:p>
        </w:tc>
      </w:tr>
      <w:tr w:rsidR="006C2F6A" w:rsidRPr="00BA3A42" w14:paraId="007E7F38" w14:textId="77777777" w:rsidTr="00A85CAC">
        <w:trPr>
          <w:trHeight w:val="93"/>
        </w:trPr>
        <w:tc>
          <w:tcPr>
            <w:tcW w:w="1418" w:type="dxa"/>
            <w:vMerge/>
            <w:vAlign w:val="center"/>
          </w:tcPr>
          <w:p w14:paraId="05CBF3E4" w14:textId="77777777" w:rsidR="006C2F6A" w:rsidRPr="006C2F6A" w:rsidRDefault="006C2F6A" w:rsidP="006965B5">
            <w:pPr>
              <w:ind w:firstLine="0"/>
              <w:jc w:val="center"/>
            </w:pPr>
          </w:p>
        </w:tc>
        <w:tc>
          <w:tcPr>
            <w:tcW w:w="1276" w:type="dxa"/>
            <w:vAlign w:val="center"/>
          </w:tcPr>
          <w:p w14:paraId="7C582646" w14:textId="32FD1A1B" w:rsidR="006C2F6A" w:rsidRPr="00BA3A42" w:rsidRDefault="006C2F6A" w:rsidP="006965B5">
            <w:pPr>
              <w:ind w:firstLine="0"/>
              <w:jc w:val="center"/>
            </w:pPr>
            <w:r>
              <w:t>Мес. 12</w:t>
            </w:r>
          </w:p>
        </w:tc>
        <w:tc>
          <w:tcPr>
            <w:tcW w:w="1559" w:type="dxa"/>
            <w:vAlign w:val="center"/>
          </w:tcPr>
          <w:p w14:paraId="5CC15153" w14:textId="78EF96DF" w:rsidR="006C2F6A" w:rsidRPr="00BA3A42" w:rsidRDefault="00D5483F" w:rsidP="006965B5">
            <w:pPr>
              <w:ind w:firstLine="0"/>
              <w:jc w:val="center"/>
            </w:pPr>
            <w:r w:rsidRPr="00D5483F">
              <w:t>61</w:t>
            </w:r>
            <w:r w:rsidR="00452BBA">
              <w:t>,</w:t>
            </w:r>
            <w:r w:rsidRPr="00D5483F">
              <w:t>72</w:t>
            </w:r>
          </w:p>
        </w:tc>
        <w:tc>
          <w:tcPr>
            <w:tcW w:w="2551" w:type="dxa"/>
            <w:gridSpan w:val="2"/>
            <w:vAlign w:val="center"/>
          </w:tcPr>
          <w:p w14:paraId="7F59CDC4" w14:textId="24EC7F16" w:rsidR="006C2F6A" w:rsidRPr="00BA3A42" w:rsidRDefault="00243D04" w:rsidP="006965B5">
            <w:pPr>
              <w:ind w:firstLine="0"/>
              <w:jc w:val="center"/>
            </w:pPr>
            <w:r w:rsidRPr="00243D04">
              <w:t>70</w:t>
            </w:r>
            <w:r w:rsidR="00452BBA">
              <w:t>,</w:t>
            </w:r>
            <w:r w:rsidRPr="00243D04">
              <w:t>21ǂ</w:t>
            </w:r>
          </w:p>
        </w:tc>
        <w:tc>
          <w:tcPr>
            <w:tcW w:w="2552" w:type="dxa"/>
            <w:vAlign w:val="center"/>
          </w:tcPr>
          <w:p w14:paraId="3337D8A2" w14:textId="01AB2B89" w:rsidR="006C2F6A" w:rsidRPr="00BA3A42" w:rsidRDefault="00194DB6" w:rsidP="006965B5">
            <w:pPr>
              <w:ind w:firstLine="0"/>
              <w:jc w:val="center"/>
            </w:pPr>
            <w:r w:rsidRPr="00194DB6">
              <w:t>67</w:t>
            </w:r>
            <w:r w:rsidR="00452BBA">
              <w:t>,</w:t>
            </w:r>
            <w:r w:rsidRPr="00194DB6">
              <w:t>62</w:t>
            </w:r>
          </w:p>
        </w:tc>
      </w:tr>
      <w:tr w:rsidR="006C2F6A" w:rsidRPr="00BA3A42" w14:paraId="206BA7C1" w14:textId="77777777" w:rsidTr="00A85CAC">
        <w:trPr>
          <w:trHeight w:val="94"/>
        </w:trPr>
        <w:tc>
          <w:tcPr>
            <w:tcW w:w="1418" w:type="dxa"/>
            <w:vMerge w:val="restart"/>
            <w:vAlign w:val="center"/>
          </w:tcPr>
          <w:p w14:paraId="32A38A82" w14:textId="0A981D7A" w:rsidR="006C2F6A" w:rsidRPr="006C2F6A" w:rsidRDefault="006C2F6A" w:rsidP="006965B5">
            <w:pPr>
              <w:ind w:firstLine="0"/>
              <w:jc w:val="center"/>
            </w:pPr>
            <w:r w:rsidRPr="006C2F6A">
              <w:t>ACR50</w:t>
            </w:r>
          </w:p>
        </w:tc>
        <w:tc>
          <w:tcPr>
            <w:tcW w:w="1276" w:type="dxa"/>
            <w:vAlign w:val="center"/>
          </w:tcPr>
          <w:p w14:paraId="4705739E" w14:textId="32DF4883" w:rsidR="006C2F6A" w:rsidRPr="00BA3A42" w:rsidRDefault="006C2F6A" w:rsidP="006965B5">
            <w:pPr>
              <w:ind w:firstLine="0"/>
              <w:jc w:val="center"/>
            </w:pPr>
            <w:r>
              <w:t>Мес. 3</w:t>
            </w:r>
          </w:p>
        </w:tc>
        <w:tc>
          <w:tcPr>
            <w:tcW w:w="1559" w:type="dxa"/>
            <w:vAlign w:val="center"/>
          </w:tcPr>
          <w:p w14:paraId="37315ECC" w14:textId="1F276F4C" w:rsidR="006C2F6A" w:rsidRPr="00BA3A42" w:rsidRDefault="00D5483F" w:rsidP="006965B5">
            <w:pPr>
              <w:ind w:firstLine="0"/>
              <w:jc w:val="center"/>
            </w:pPr>
            <w:r w:rsidRPr="00D5483F">
              <w:t>31</w:t>
            </w:r>
            <w:r w:rsidR="00452BBA">
              <w:t>,</w:t>
            </w:r>
            <w:r w:rsidRPr="00D5483F">
              <w:t>51</w:t>
            </w:r>
          </w:p>
        </w:tc>
        <w:tc>
          <w:tcPr>
            <w:tcW w:w="2551" w:type="dxa"/>
            <w:gridSpan w:val="2"/>
            <w:vAlign w:val="center"/>
          </w:tcPr>
          <w:p w14:paraId="7C0E8F3F" w14:textId="2BC49E88" w:rsidR="006C2F6A" w:rsidRPr="00BA3A42" w:rsidRDefault="00243D04" w:rsidP="006965B5">
            <w:pPr>
              <w:ind w:firstLine="0"/>
              <w:jc w:val="center"/>
            </w:pPr>
            <w:r w:rsidRPr="00243D04">
              <w:t>40</w:t>
            </w:r>
            <w:r w:rsidR="00452BBA">
              <w:t>,</w:t>
            </w:r>
            <w:r w:rsidRPr="00243D04">
              <w:t>96ǂ</w:t>
            </w:r>
          </w:p>
        </w:tc>
        <w:tc>
          <w:tcPr>
            <w:tcW w:w="2552" w:type="dxa"/>
            <w:vAlign w:val="center"/>
          </w:tcPr>
          <w:p w14:paraId="559A6D9B" w14:textId="274AFD5B" w:rsidR="006C2F6A" w:rsidRPr="00BA3A42" w:rsidRDefault="00194DB6" w:rsidP="006965B5">
            <w:pPr>
              <w:ind w:firstLine="0"/>
              <w:jc w:val="center"/>
            </w:pPr>
            <w:r w:rsidRPr="00194DB6">
              <w:t>37</w:t>
            </w:r>
            <w:r w:rsidR="00452BBA">
              <w:t>,</w:t>
            </w:r>
            <w:r w:rsidRPr="00194DB6">
              <w:t>31</w:t>
            </w:r>
          </w:p>
        </w:tc>
      </w:tr>
      <w:tr w:rsidR="006C2F6A" w:rsidRPr="00BA3A42" w14:paraId="1092C0A8" w14:textId="77777777" w:rsidTr="00A85CAC">
        <w:trPr>
          <w:trHeight w:val="93"/>
        </w:trPr>
        <w:tc>
          <w:tcPr>
            <w:tcW w:w="1418" w:type="dxa"/>
            <w:vMerge/>
            <w:vAlign w:val="center"/>
          </w:tcPr>
          <w:p w14:paraId="5DA98E4D" w14:textId="77777777" w:rsidR="006C2F6A" w:rsidRPr="006C2F6A" w:rsidRDefault="006C2F6A" w:rsidP="006965B5">
            <w:pPr>
              <w:ind w:firstLine="0"/>
              <w:jc w:val="center"/>
            </w:pPr>
          </w:p>
        </w:tc>
        <w:tc>
          <w:tcPr>
            <w:tcW w:w="1276" w:type="dxa"/>
            <w:vAlign w:val="center"/>
          </w:tcPr>
          <w:p w14:paraId="4CC4F803" w14:textId="3AEDA71A" w:rsidR="006C2F6A" w:rsidRPr="00BA3A42" w:rsidRDefault="006C2F6A" w:rsidP="006965B5">
            <w:pPr>
              <w:ind w:firstLine="0"/>
              <w:jc w:val="center"/>
            </w:pPr>
            <w:r>
              <w:t>Мес. 6</w:t>
            </w:r>
          </w:p>
        </w:tc>
        <w:tc>
          <w:tcPr>
            <w:tcW w:w="1559" w:type="dxa"/>
            <w:vAlign w:val="center"/>
          </w:tcPr>
          <w:p w14:paraId="3B6B7557" w14:textId="6DEC5414" w:rsidR="006C2F6A" w:rsidRPr="00BA3A42" w:rsidRDefault="00D5483F" w:rsidP="006965B5">
            <w:pPr>
              <w:ind w:firstLine="0"/>
              <w:jc w:val="center"/>
            </w:pPr>
            <w:r w:rsidRPr="00D5483F">
              <w:t>38</w:t>
            </w:r>
            <w:r w:rsidR="00452BBA">
              <w:t>,</w:t>
            </w:r>
            <w:r w:rsidRPr="00D5483F">
              <w:t>28</w:t>
            </w:r>
          </w:p>
        </w:tc>
        <w:tc>
          <w:tcPr>
            <w:tcW w:w="2551" w:type="dxa"/>
            <w:gridSpan w:val="2"/>
            <w:vAlign w:val="center"/>
          </w:tcPr>
          <w:p w14:paraId="248153D0" w14:textId="480E57D1" w:rsidR="006C2F6A" w:rsidRPr="00BA3A42" w:rsidRDefault="00AC74F3" w:rsidP="006965B5">
            <w:pPr>
              <w:ind w:firstLine="0"/>
              <w:jc w:val="center"/>
            </w:pPr>
            <w:r w:rsidRPr="00AC74F3">
              <w:t>46</w:t>
            </w:r>
            <w:r w:rsidR="00452BBA">
              <w:t>,</w:t>
            </w:r>
            <w:r w:rsidRPr="00AC74F3">
              <w:t>01ǂ</w:t>
            </w:r>
          </w:p>
        </w:tc>
        <w:tc>
          <w:tcPr>
            <w:tcW w:w="2552" w:type="dxa"/>
            <w:vAlign w:val="center"/>
          </w:tcPr>
          <w:p w14:paraId="107917CD" w14:textId="5B41E157" w:rsidR="006C2F6A" w:rsidRPr="00BA3A42" w:rsidRDefault="00194DB6" w:rsidP="006965B5">
            <w:pPr>
              <w:ind w:firstLine="0"/>
              <w:jc w:val="center"/>
            </w:pPr>
            <w:r w:rsidRPr="00194DB6">
              <w:t>43</w:t>
            </w:r>
            <w:r w:rsidR="00452BBA">
              <w:t>,</w:t>
            </w:r>
            <w:r w:rsidRPr="00194DB6">
              <w:t>78</w:t>
            </w:r>
          </w:p>
        </w:tc>
      </w:tr>
      <w:tr w:rsidR="006C2F6A" w:rsidRPr="00BA3A42" w14:paraId="293DD901" w14:textId="77777777" w:rsidTr="00A85CAC">
        <w:trPr>
          <w:trHeight w:val="93"/>
        </w:trPr>
        <w:tc>
          <w:tcPr>
            <w:tcW w:w="1418" w:type="dxa"/>
            <w:vMerge/>
            <w:vAlign w:val="center"/>
          </w:tcPr>
          <w:p w14:paraId="68F5B4CF" w14:textId="77777777" w:rsidR="006C2F6A" w:rsidRPr="006C2F6A" w:rsidRDefault="006C2F6A" w:rsidP="006965B5">
            <w:pPr>
              <w:ind w:firstLine="0"/>
              <w:jc w:val="center"/>
            </w:pPr>
          </w:p>
        </w:tc>
        <w:tc>
          <w:tcPr>
            <w:tcW w:w="1276" w:type="dxa"/>
            <w:vAlign w:val="center"/>
          </w:tcPr>
          <w:p w14:paraId="352669DA" w14:textId="4A305E4C" w:rsidR="006C2F6A" w:rsidRPr="00BA3A42" w:rsidRDefault="006C2F6A" w:rsidP="006965B5">
            <w:pPr>
              <w:ind w:firstLine="0"/>
              <w:jc w:val="center"/>
            </w:pPr>
            <w:r>
              <w:t>Мес. 12</w:t>
            </w:r>
          </w:p>
        </w:tc>
        <w:tc>
          <w:tcPr>
            <w:tcW w:w="1559" w:type="dxa"/>
            <w:vAlign w:val="center"/>
          </w:tcPr>
          <w:p w14:paraId="1DB7A551" w14:textId="43211283" w:rsidR="006C2F6A" w:rsidRPr="00BA3A42" w:rsidRDefault="00D5483F" w:rsidP="006965B5">
            <w:pPr>
              <w:ind w:firstLine="0"/>
              <w:jc w:val="center"/>
            </w:pPr>
            <w:r w:rsidRPr="00D5483F">
              <w:t>39</w:t>
            </w:r>
            <w:r w:rsidR="00452BBA">
              <w:t>,</w:t>
            </w:r>
            <w:r w:rsidRPr="00D5483F">
              <w:t>31</w:t>
            </w:r>
          </w:p>
        </w:tc>
        <w:tc>
          <w:tcPr>
            <w:tcW w:w="2551" w:type="dxa"/>
            <w:gridSpan w:val="2"/>
            <w:vAlign w:val="center"/>
          </w:tcPr>
          <w:p w14:paraId="294DD517" w14:textId="197451A1" w:rsidR="006C2F6A" w:rsidRPr="00BA3A42" w:rsidRDefault="00AC74F3" w:rsidP="006965B5">
            <w:pPr>
              <w:ind w:firstLine="0"/>
              <w:jc w:val="center"/>
            </w:pPr>
            <w:r w:rsidRPr="00AC74F3">
              <w:t>47</w:t>
            </w:r>
            <w:r w:rsidR="00452BBA">
              <w:t>,</w:t>
            </w:r>
            <w:r w:rsidRPr="00AC74F3">
              <w:t>61ǂ</w:t>
            </w:r>
          </w:p>
        </w:tc>
        <w:tc>
          <w:tcPr>
            <w:tcW w:w="2552" w:type="dxa"/>
            <w:vAlign w:val="center"/>
          </w:tcPr>
          <w:p w14:paraId="29F4A3D5" w14:textId="7375C4F1" w:rsidR="006C2F6A" w:rsidRPr="00BA3A42" w:rsidRDefault="00194DB6" w:rsidP="006965B5">
            <w:pPr>
              <w:ind w:firstLine="0"/>
              <w:jc w:val="center"/>
            </w:pPr>
            <w:r w:rsidRPr="00194DB6">
              <w:t>45</w:t>
            </w:r>
            <w:r w:rsidR="00452BBA">
              <w:t>,</w:t>
            </w:r>
            <w:r w:rsidRPr="00194DB6">
              <w:t>85</w:t>
            </w:r>
          </w:p>
        </w:tc>
      </w:tr>
      <w:tr w:rsidR="006C2F6A" w:rsidRPr="00BA3A42" w14:paraId="71EDC5D5" w14:textId="77777777" w:rsidTr="00A85CAC">
        <w:trPr>
          <w:trHeight w:val="94"/>
        </w:trPr>
        <w:tc>
          <w:tcPr>
            <w:tcW w:w="1418" w:type="dxa"/>
            <w:vMerge w:val="restart"/>
            <w:vAlign w:val="center"/>
          </w:tcPr>
          <w:p w14:paraId="5D0F65C9" w14:textId="47EBE6DD" w:rsidR="006C2F6A" w:rsidRPr="006C2F6A" w:rsidRDefault="006C2F6A" w:rsidP="006965B5">
            <w:pPr>
              <w:ind w:firstLine="0"/>
              <w:jc w:val="center"/>
            </w:pPr>
            <w:r w:rsidRPr="006C2F6A">
              <w:t>ACR70</w:t>
            </w:r>
          </w:p>
        </w:tc>
        <w:tc>
          <w:tcPr>
            <w:tcW w:w="1276" w:type="dxa"/>
            <w:vAlign w:val="center"/>
          </w:tcPr>
          <w:p w14:paraId="32C0C595" w14:textId="3C9E58E2" w:rsidR="006C2F6A" w:rsidRPr="00BA3A42" w:rsidRDefault="006C2F6A" w:rsidP="006965B5">
            <w:pPr>
              <w:ind w:firstLine="0"/>
              <w:jc w:val="center"/>
            </w:pPr>
            <w:r>
              <w:t>Мес. 3</w:t>
            </w:r>
          </w:p>
        </w:tc>
        <w:tc>
          <w:tcPr>
            <w:tcW w:w="1559" w:type="dxa"/>
            <w:vAlign w:val="center"/>
          </w:tcPr>
          <w:p w14:paraId="2868BEBF" w14:textId="55C63A9F" w:rsidR="006C2F6A" w:rsidRPr="00BA3A42" w:rsidRDefault="009B4581" w:rsidP="006965B5">
            <w:pPr>
              <w:ind w:firstLine="0"/>
              <w:jc w:val="center"/>
            </w:pPr>
            <w:r w:rsidRPr="009B4581">
              <w:t>13</w:t>
            </w:r>
            <w:r w:rsidR="00452BBA">
              <w:t>,</w:t>
            </w:r>
            <w:r w:rsidRPr="009B4581">
              <w:t>54</w:t>
            </w:r>
          </w:p>
        </w:tc>
        <w:tc>
          <w:tcPr>
            <w:tcW w:w="2551" w:type="dxa"/>
            <w:gridSpan w:val="2"/>
            <w:vAlign w:val="center"/>
          </w:tcPr>
          <w:p w14:paraId="556A6227" w14:textId="3D43D007" w:rsidR="006C2F6A" w:rsidRPr="00BA3A42" w:rsidRDefault="00AC74F3" w:rsidP="006965B5">
            <w:pPr>
              <w:ind w:firstLine="0"/>
              <w:jc w:val="center"/>
            </w:pPr>
            <w:r w:rsidRPr="00AC74F3">
              <w:t>19</w:t>
            </w:r>
            <w:r w:rsidR="00452BBA">
              <w:t>,</w:t>
            </w:r>
            <w:r w:rsidRPr="00AC74F3">
              <w:t>41ǂ</w:t>
            </w:r>
          </w:p>
        </w:tc>
        <w:tc>
          <w:tcPr>
            <w:tcW w:w="2552" w:type="dxa"/>
            <w:vAlign w:val="center"/>
          </w:tcPr>
          <w:p w14:paraId="6D4457EB" w14:textId="1849CF97" w:rsidR="006C2F6A" w:rsidRPr="00BA3A42" w:rsidRDefault="00194DB6" w:rsidP="006965B5">
            <w:pPr>
              <w:ind w:firstLine="0"/>
              <w:jc w:val="center"/>
            </w:pPr>
            <w:r w:rsidRPr="00194DB6">
              <w:t>14</w:t>
            </w:r>
            <w:r w:rsidR="00452BBA">
              <w:t>,</w:t>
            </w:r>
            <w:r w:rsidRPr="00194DB6">
              <w:t>51</w:t>
            </w:r>
          </w:p>
        </w:tc>
      </w:tr>
      <w:tr w:rsidR="006C2F6A" w:rsidRPr="00BA3A42" w14:paraId="25546C6B" w14:textId="77777777" w:rsidTr="00A85CAC">
        <w:trPr>
          <w:trHeight w:val="93"/>
        </w:trPr>
        <w:tc>
          <w:tcPr>
            <w:tcW w:w="1418" w:type="dxa"/>
            <w:vMerge/>
            <w:vAlign w:val="center"/>
          </w:tcPr>
          <w:p w14:paraId="49FD9B7E" w14:textId="77777777" w:rsidR="006C2F6A" w:rsidRPr="009B541D" w:rsidRDefault="006C2F6A" w:rsidP="006965B5">
            <w:pPr>
              <w:ind w:firstLine="0"/>
              <w:jc w:val="center"/>
              <w:rPr>
                <w:highlight w:val="yellow"/>
              </w:rPr>
            </w:pPr>
          </w:p>
        </w:tc>
        <w:tc>
          <w:tcPr>
            <w:tcW w:w="1276" w:type="dxa"/>
            <w:vAlign w:val="center"/>
          </w:tcPr>
          <w:p w14:paraId="2142FF27" w14:textId="21C4B6B0" w:rsidR="006C2F6A" w:rsidRPr="00BA3A42" w:rsidRDefault="006C2F6A" w:rsidP="006965B5">
            <w:pPr>
              <w:ind w:firstLine="0"/>
              <w:jc w:val="center"/>
            </w:pPr>
            <w:r>
              <w:t>Мес. 6</w:t>
            </w:r>
          </w:p>
        </w:tc>
        <w:tc>
          <w:tcPr>
            <w:tcW w:w="1559" w:type="dxa"/>
            <w:vAlign w:val="center"/>
          </w:tcPr>
          <w:p w14:paraId="22432E7F" w14:textId="6462FD08" w:rsidR="006C2F6A" w:rsidRPr="00BA3A42" w:rsidRDefault="009B4581" w:rsidP="006965B5">
            <w:pPr>
              <w:ind w:firstLine="0"/>
              <w:jc w:val="center"/>
            </w:pPr>
            <w:r w:rsidRPr="009B4581">
              <w:t>18</w:t>
            </w:r>
            <w:r w:rsidR="00452BBA">
              <w:t>,</w:t>
            </w:r>
            <w:r w:rsidRPr="009B4581">
              <w:t>23</w:t>
            </w:r>
          </w:p>
        </w:tc>
        <w:tc>
          <w:tcPr>
            <w:tcW w:w="2551" w:type="dxa"/>
            <w:gridSpan w:val="2"/>
            <w:vAlign w:val="center"/>
          </w:tcPr>
          <w:p w14:paraId="065B81E0" w14:textId="59C70306" w:rsidR="006C2F6A" w:rsidRPr="00BA3A42" w:rsidRDefault="001316F3" w:rsidP="006965B5">
            <w:pPr>
              <w:ind w:firstLine="0"/>
              <w:jc w:val="center"/>
            </w:pPr>
            <w:r w:rsidRPr="001316F3">
              <w:t>25</w:t>
            </w:r>
            <w:r w:rsidR="00452BBA">
              <w:t>,</w:t>
            </w:r>
            <w:r w:rsidRPr="001316F3">
              <w:t>00ǂ</w:t>
            </w:r>
          </w:p>
        </w:tc>
        <w:tc>
          <w:tcPr>
            <w:tcW w:w="2552" w:type="dxa"/>
            <w:vAlign w:val="center"/>
          </w:tcPr>
          <w:p w14:paraId="7F9229A4" w14:textId="3A130CAD" w:rsidR="006C2F6A" w:rsidRPr="00BA3A42" w:rsidRDefault="00452BBA" w:rsidP="006965B5">
            <w:pPr>
              <w:ind w:firstLine="0"/>
              <w:jc w:val="center"/>
            </w:pPr>
            <w:r w:rsidRPr="00452BBA">
              <w:t>20</w:t>
            </w:r>
            <w:r>
              <w:t>,</w:t>
            </w:r>
            <w:r w:rsidRPr="00452BBA">
              <w:t>73</w:t>
            </w:r>
          </w:p>
        </w:tc>
      </w:tr>
      <w:tr w:rsidR="006C2F6A" w:rsidRPr="00BA3A42" w14:paraId="3DD069FF" w14:textId="77777777" w:rsidTr="00A85CAC">
        <w:trPr>
          <w:trHeight w:val="93"/>
        </w:trPr>
        <w:tc>
          <w:tcPr>
            <w:tcW w:w="1418" w:type="dxa"/>
            <w:vMerge/>
            <w:vAlign w:val="center"/>
          </w:tcPr>
          <w:p w14:paraId="32D017D1" w14:textId="77777777" w:rsidR="006C2F6A" w:rsidRPr="009B541D" w:rsidRDefault="006C2F6A" w:rsidP="006965B5">
            <w:pPr>
              <w:ind w:firstLine="0"/>
              <w:jc w:val="center"/>
              <w:rPr>
                <w:highlight w:val="yellow"/>
              </w:rPr>
            </w:pPr>
          </w:p>
        </w:tc>
        <w:tc>
          <w:tcPr>
            <w:tcW w:w="1276" w:type="dxa"/>
            <w:vAlign w:val="center"/>
          </w:tcPr>
          <w:p w14:paraId="742E89AF" w14:textId="12A13696" w:rsidR="006C2F6A" w:rsidRPr="00BA3A42" w:rsidRDefault="006C2F6A" w:rsidP="006965B5">
            <w:pPr>
              <w:ind w:firstLine="0"/>
              <w:jc w:val="center"/>
            </w:pPr>
            <w:r>
              <w:t>Мес. 12</w:t>
            </w:r>
          </w:p>
        </w:tc>
        <w:tc>
          <w:tcPr>
            <w:tcW w:w="1559" w:type="dxa"/>
            <w:vAlign w:val="center"/>
          </w:tcPr>
          <w:p w14:paraId="3864F9D5" w14:textId="3313DDF1" w:rsidR="006C2F6A" w:rsidRPr="00BA3A42" w:rsidRDefault="00710257" w:rsidP="006965B5">
            <w:pPr>
              <w:ind w:firstLine="0"/>
              <w:jc w:val="center"/>
            </w:pPr>
            <w:r w:rsidRPr="00710257">
              <w:t>21</w:t>
            </w:r>
            <w:r w:rsidR="00452BBA">
              <w:t>,</w:t>
            </w:r>
            <w:r w:rsidRPr="00710257">
              <w:t>09</w:t>
            </w:r>
          </w:p>
        </w:tc>
        <w:tc>
          <w:tcPr>
            <w:tcW w:w="2551" w:type="dxa"/>
            <w:gridSpan w:val="2"/>
            <w:vAlign w:val="center"/>
          </w:tcPr>
          <w:p w14:paraId="14D13294" w14:textId="219FE582" w:rsidR="006C2F6A" w:rsidRPr="00BA3A42" w:rsidRDefault="001316F3" w:rsidP="006965B5">
            <w:pPr>
              <w:ind w:firstLine="0"/>
              <w:jc w:val="center"/>
            </w:pPr>
            <w:r w:rsidRPr="001316F3">
              <w:t>28</w:t>
            </w:r>
            <w:r w:rsidR="00452BBA">
              <w:t>,</w:t>
            </w:r>
            <w:r w:rsidRPr="001316F3">
              <w:t>99ǂ</w:t>
            </w:r>
          </w:p>
        </w:tc>
        <w:tc>
          <w:tcPr>
            <w:tcW w:w="2552" w:type="dxa"/>
            <w:vAlign w:val="center"/>
          </w:tcPr>
          <w:p w14:paraId="388E1535" w14:textId="54CAFE9F" w:rsidR="006C2F6A" w:rsidRPr="00BA3A42" w:rsidRDefault="00452BBA" w:rsidP="006965B5">
            <w:pPr>
              <w:ind w:firstLine="0"/>
              <w:jc w:val="center"/>
            </w:pPr>
            <w:r w:rsidRPr="00452BBA">
              <w:t>25</w:t>
            </w:r>
            <w:r>
              <w:t>,</w:t>
            </w:r>
            <w:r w:rsidRPr="00452BBA">
              <w:t>91</w:t>
            </w:r>
          </w:p>
        </w:tc>
      </w:tr>
      <w:tr w:rsidR="006965B5" w:rsidRPr="00BA3A42" w14:paraId="6342EF38" w14:textId="77777777" w:rsidTr="006965B5">
        <w:trPr>
          <w:trHeight w:val="93"/>
        </w:trPr>
        <w:tc>
          <w:tcPr>
            <w:tcW w:w="9356" w:type="dxa"/>
            <w:gridSpan w:val="6"/>
          </w:tcPr>
          <w:p w14:paraId="552EC8C7" w14:textId="77777777" w:rsidR="006965B5" w:rsidRPr="00C23B3C" w:rsidRDefault="006965B5" w:rsidP="006965B5">
            <w:pPr>
              <w:pStyle w:val="SDcomments"/>
              <w:ind w:firstLine="0"/>
            </w:pPr>
            <w:r w:rsidRPr="006965B5">
              <w:rPr>
                <w:b/>
                <w:iCs/>
              </w:rPr>
              <w:t>Примечание:</w:t>
            </w:r>
            <w:r w:rsidRPr="0068415A">
              <w:rPr>
                <w:i/>
                <w:iCs/>
              </w:rPr>
              <w:t xml:space="preserve"> </w:t>
            </w:r>
          </w:p>
          <w:p w14:paraId="660830BF" w14:textId="122EF1CE" w:rsidR="006965B5" w:rsidRPr="00452BBA" w:rsidRDefault="006965B5" w:rsidP="006965B5">
            <w:pPr>
              <w:pStyle w:val="SDcomments"/>
              <w:ind w:firstLine="0"/>
            </w:pPr>
            <w:r w:rsidRPr="00115423">
              <w:rPr>
                <w:lang w:val="en-US"/>
              </w:rPr>
              <w:t>ACR</w:t>
            </w:r>
            <w:r w:rsidRPr="0068415A">
              <w:t xml:space="preserve">20 – </w:t>
            </w:r>
            <w:r>
              <w:t>д</w:t>
            </w:r>
            <w:r w:rsidRPr="0068415A">
              <w:t>остижение 20% улучшения в соответствии с критериями Американского колледжа ревматологии (</w:t>
            </w:r>
            <w:r w:rsidRPr="0068415A">
              <w:rPr>
                <w:lang w:val="en-US"/>
              </w:rPr>
              <w:t>American</w:t>
            </w:r>
            <w:r w:rsidRPr="0068415A">
              <w:t xml:space="preserve"> </w:t>
            </w:r>
            <w:r w:rsidRPr="0068415A">
              <w:rPr>
                <w:lang w:val="en-US"/>
              </w:rPr>
              <w:t>college</w:t>
            </w:r>
            <w:r w:rsidRPr="0068415A">
              <w:t xml:space="preserve"> </w:t>
            </w:r>
            <w:r w:rsidRPr="0068415A">
              <w:rPr>
                <w:lang w:val="en-US"/>
              </w:rPr>
              <w:t>rheumatology</w:t>
            </w:r>
            <w:r w:rsidRPr="0068415A">
              <w:t>)</w:t>
            </w:r>
            <w:r>
              <w:t xml:space="preserve">; </w:t>
            </w:r>
            <w:r w:rsidRPr="00115423">
              <w:rPr>
                <w:lang w:val="en-US"/>
              </w:rPr>
              <w:t>ACR</w:t>
            </w:r>
            <w:r>
              <w:t>5</w:t>
            </w:r>
            <w:r w:rsidRPr="0068415A">
              <w:t xml:space="preserve">0 – </w:t>
            </w:r>
            <w:r>
              <w:t>д</w:t>
            </w:r>
            <w:r w:rsidRPr="0068415A">
              <w:t xml:space="preserve">остижение </w:t>
            </w:r>
            <w:r>
              <w:t>5</w:t>
            </w:r>
            <w:r w:rsidRPr="0068415A">
              <w:t>0% улучшения в соответствии с критериями Американского колледжа ревматологии (</w:t>
            </w:r>
            <w:r w:rsidRPr="0068415A">
              <w:rPr>
                <w:lang w:val="en-US"/>
              </w:rPr>
              <w:t>American</w:t>
            </w:r>
            <w:r w:rsidRPr="0068415A">
              <w:t xml:space="preserve"> </w:t>
            </w:r>
            <w:r w:rsidRPr="0068415A">
              <w:rPr>
                <w:lang w:val="en-US"/>
              </w:rPr>
              <w:t>college</w:t>
            </w:r>
            <w:r w:rsidRPr="0068415A">
              <w:t xml:space="preserve"> </w:t>
            </w:r>
            <w:r w:rsidRPr="0068415A">
              <w:rPr>
                <w:lang w:val="en-US"/>
              </w:rPr>
              <w:t>rheumatology</w:t>
            </w:r>
            <w:r w:rsidRPr="0068415A">
              <w:t>)</w:t>
            </w:r>
            <w:r>
              <w:t xml:space="preserve">; </w:t>
            </w:r>
            <w:r w:rsidRPr="00115423">
              <w:rPr>
                <w:lang w:val="en-US"/>
              </w:rPr>
              <w:t>ACR</w:t>
            </w:r>
            <w:r>
              <w:t>7</w:t>
            </w:r>
            <w:r w:rsidRPr="0068415A">
              <w:t xml:space="preserve">0 – </w:t>
            </w:r>
            <w:r>
              <w:t>д</w:t>
            </w:r>
            <w:r w:rsidRPr="0068415A">
              <w:t xml:space="preserve">остижение </w:t>
            </w:r>
            <w:r>
              <w:t>7</w:t>
            </w:r>
            <w:r w:rsidRPr="0068415A">
              <w:t>0% улучшения в соответствии с критериями Американского колледжа ревматологии (</w:t>
            </w:r>
            <w:r w:rsidRPr="0068415A">
              <w:rPr>
                <w:lang w:val="en-US"/>
              </w:rPr>
              <w:t>American</w:t>
            </w:r>
            <w:r w:rsidRPr="0068415A">
              <w:t xml:space="preserve"> </w:t>
            </w:r>
            <w:r w:rsidRPr="0068415A">
              <w:rPr>
                <w:lang w:val="en-US"/>
              </w:rPr>
              <w:t>college</w:t>
            </w:r>
            <w:r w:rsidRPr="0068415A">
              <w:t xml:space="preserve"> </w:t>
            </w:r>
            <w:r w:rsidRPr="0068415A">
              <w:rPr>
                <w:lang w:val="en-US"/>
              </w:rPr>
              <w:t>rheumatology</w:t>
            </w:r>
            <w:r w:rsidRPr="0068415A">
              <w:t>)</w:t>
            </w:r>
            <w:r>
              <w:t xml:space="preserve">; </w:t>
            </w:r>
            <w:r w:rsidRPr="00D94D8E">
              <w:t xml:space="preserve">БМАРП </w:t>
            </w:r>
            <w:r>
              <w:t xml:space="preserve">– болезньмодифицирующие антиревматические препараты; н/п – не применимо; </w:t>
            </w:r>
            <w:r w:rsidRPr="0068415A">
              <w:t>*</w:t>
            </w:r>
            <w:r>
              <w:t xml:space="preserve"> </w:t>
            </w:r>
            <w:r w:rsidRPr="0068415A">
              <w:t>–</w:t>
            </w:r>
            <w:r>
              <w:t xml:space="preserve"> статистически значимые различия</w:t>
            </w:r>
            <w:r w:rsidRPr="00D523E1">
              <w:t xml:space="preserve"> </w:t>
            </w:r>
            <w:r>
              <w:t xml:space="preserve">при сравнении со значениями на фоне приема плацебо, </w:t>
            </w:r>
            <w:r w:rsidRPr="00633023">
              <w:rPr>
                <w:lang w:val="en-US"/>
              </w:rPr>
              <w:t>p</w:t>
            </w:r>
            <w:r>
              <w:t xml:space="preserve"> </w:t>
            </w:r>
            <w:r w:rsidRPr="0068415A">
              <w:t>&lt;</w:t>
            </w:r>
            <w:r>
              <w:t xml:space="preserve"> </w:t>
            </w:r>
            <w:r w:rsidRPr="0068415A">
              <w:t>0</w:t>
            </w:r>
            <w:r>
              <w:t>,</w:t>
            </w:r>
            <w:r w:rsidRPr="0068415A">
              <w:t>05; **</w:t>
            </w:r>
            <w:r>
              <w:t xml:space="preserve"> </w:t>
            </w:r>
            <w:r w:rsidRPr="0068415A">
              <w:t>–</w:t>
            </w:r>
            <w:r>
              <w:t xml:space="preserve"> статистически значимые различия</w:t>
            </w:r>
            <w:r w:rsidRPr="00D523E1">
              <w:t xml:space="preserve"> </w:t>
            </w:r>
            <w:r>
              <w:t xml:space="preserve">при сравнении со значениями на фоне приема плацебо, </w:t>
            </w:r>
            <w:r w:rsidRPr="00633023">
              <w:rPr>
                <w:lang w:val="en-US"/>
              </w:rPr>
              <w:t>p</w:t>
            </w:r>
            <w:r>
              <w:t xml:space="preserve"> </w:t>
            </w:r>
            <w:r w:rsidRPr="0068415A">
              <w:t>&lt;</w:t>
            </w:r>
            <w:r>
              <w:t xml:space="preserve"> </w:t>
            </w:r>
            <w:r w:rsidRPr="0068415A">
              <w:t>0</w:t>
            </w:r>
            <w:r>
              <w:t>,</w:t>
            </w:r>
            <w:r w:rsidRPr="0068415A">
              <w:t>001; ***</w:t>
            </w:r>
            <w:r>
              <w:t xml:space="preserve"> </w:t>
            </w:r>
            <w:r w:rsidRPr="0068415A">
              <w:t>–</w:t>
            </w:r>
            <w:r>
              <w:t xml:space="preserve"> статистически значимые различия</w:t>
            </w:r>
            <w:r w:rsidRPr="00D523E1">
              <w:t xml:space="preserve"> </w:t>
            </w:r>
            <w:r>
              <w:t>при сравнении со значениями на фоне приема</w:t>
            </w:r>
            <w:r w:rsidRPr="00D523E1">
              <w:t xml:space="preserve"> </w:t>
            </w:r>
            <w:r>
              <w:t xml:space="preserve">для исследования </w:t>
            </w:r>
            <w:r w:rsidRPr="00633023">
              <w:rPr>
                <w:lang w:val="en-US"/>
              </w:rPr>
              <w:t>ORAL</w:t>
            </w:r>
            <w:r w:rsidRPr="0068415A">
              <w:t xml:space="preserve"> </w:t>
            </w:r>
            <w:r w:rsidRPr="00633023">
              <w:rPr>
                <w:lang w:val="en-US"/>
              </w:rPr>
              <w:t>Start</w:t>
            </w:r>
            <w:r>
              <w:t xml:space="preserve">, </w:t>
            </w:r>
            <w:r w:rsidRPr="00633023">
              <w:rPr>
                <w:lang w:val="en-US"/>
              </w:rPr>
              <w:t>p</w:t>
            </w:r>
            <w:r>
              <w:t xml:space="preserve"> </w:t>
            </w:r>
            <w:r w:rsidRPr="0068415A">
              <w:t>&lt;</w:t>
            </w:r>
            <w:r>
              <w:t xml:space="preserve"> </w:t>
            </w:r>
            <w:r w:rsidRPr="0068415A">
              <w:t>0</w:t>
            </w:r>
            <w:r>
              <w:t>,</w:t>
            </w:r>
            <w:r w:rsidRPr="0068415A">
              <w:t>0001; ǂ</w:t>
            </w:r>
            <w:r>
              <w:t xml:space="preserve"> </w:t>
            </w:r>
            <w:r w:rsidRPr="0068415A">
              <w:t>–</w:t>
            </w:r>
            <w:r>
              <w:t xml:space="preserve"> статистически значимые различия</w:t>
            </w:r>
            <w:r w:rsidRPr="00D523E1">
              <w:t xml:space="preserve"> </w:t>
            </w:r>
            <w:r>
              <w:t>при сравнении со значениями на фоне приема</w:t>
            </w:r>
            <w:r w:rsidRPr="00017149">
              <w:t xml:space="preserve"> </w:t>
            </w:r>
            <w:r>
              <w:t>тофацитиниба</w:t>
            </w:r>
            <w:r w:rsidRPr="0068415A">
              <w:t xml:space="preserve"> </w:t>
            </w:r>
            <w:r>
              <w:t xml:space="preserve">в дозе </w:t>
            </w:r>
            <w:r w:rsidRPr="0068415A">
              <w:t xml:space="preserve">5 </w:t>
            </w:r>
            <w:r>
              <w:t>мг</w:t>
            </w:r>
            <w:r w:rsidRPr="0068415A">
              <w:t xml:space="preserve"> + </w:t>
            </w:r>
            <w:r>
              <w:t>метотрексат</w:t>
            </w:r>
            <w:r w:rsidRPr="0068415A">
              <w:t xml:space="preserve"> </w:t>
            </w:r>
            <w:r>
              <w:t>или</w:t>
            </w:r>
            <w:r w:rsidRPr="0068415A">
              <w:t xml:space="preserve"> </w:t>
            </w:r>
            <w:r>
              <w:t>тофацитиниба в дозе</w:t>
            </w:r>
            <w:r w:rsidRPr="0068415A">
              <w:t xml:space="preserve"> 5 </w:t>
            </w:r>
            <w:r>
              <w:t>мг в исследовании</w:t>
            </w:r>
            <w:r w:rsidRPr="0068415A">
              <w:t xml:space="preserve"> </w:t>
            </w:r>
            <w:r w:rsidRPr="00633023">
              <w:rPr>
                <w:lang w:val="en-US"/>
              </w:rPr>
              <w:t>ORAL</w:t>
            </w:r>
            <w:r w:rsidRPr="0068415A">
              <w:t xml:space="preserve"> </w:t>
            </w:r>
            <w:r w:rsidRPr="00633023">
              <w:rPr>
                <w:lang w:val="en-US"/>
              </w:rPr>
              <w:t>Strategy</w:t>
            </w:r>
            <w:r>
              <w:t>,</w:t>
            </w:r>
            <w:r w:rsidRPr="00D523E1">
              <w:t xml:space="preserve"> </w:t>
            </w:r>
            <w:r w:rsidRPr="00633023">
              <w:rPr>
                <w:lang w:val="en-US"/>
              </w:rPr>
              <w:t>p</w:t>
            </w:r>
            <w:r>
              <w:t xml:space="preserve"> </w:t>
            </w:r>
            <w:r w:rsidRPr="0068415A">
              <w:t>&lt;</w:t>
            </w:r>
            <w:r>
              <w:t xml:space="preserve"> </w:t>
            </w:r>
            <w:r w:rsidRPr="0068415A">
              <w:t>0</w:t>
            </w:r>
            <w:r>
              <w:t>,</w:t>
            </w:r>
            <w:r w:rsidRPr="0068415A">
              <w:t>05</w:t>
            </w:r>
            <w:r>
              <w:t>.</w:t>
            </w:r>
          </w:p>
        </w:tc>
      </w:tr>
    </w:tbl>
    <w:p w14:paraId="09AC31FD" w14:textId="77777777" w:rsidR="00032BB8" w:rsidRDefault="00032BB8" w:rsidP="00032BB8">
      <w:pPr>
        <w:pStyle w:val="SDText"/>
        <w:ind w:firstLine="0"/>
        <w:contextualSpacing/>
      </w:pPr>
    </w:p>
    <w:p w14:paraId="54ED0363" w14:textId="79D59993" w:rsidR="00D075D6" w:rsidRDefault="00032BB8" w:rsidP="00032BB8">
      <w:pPr>
        <w:pStyle w:val="SDText"/>
      </w:pPr>
      <w:r w:rsidRPr="00032BB8">
        <w:t>Пациенты</w:t>
      </w:r>
      <w:r w:rsidR="00AF0899">
        <w:t>, участвовавшие</w:t>
      </w:r>
      <w:r w:rsidRPr="00032BB8">
        <w:t xml:space="preserve"> в исследованиях </w:t>
      </w:r>
      <w:r w:rsidR="00AF0899">
        <w:rPr>
          <w:lang w:val="en-US"/>
        </w:rPr>
        <w:t>III</w:t>
      </w:r>
      <w:r w:rsidR="00AF0899" w:rsidRPr="00AF0899">
        <w:t xml:space="preserve"> </w:t>
      </w:r>
      <w:r w:rsidRPr="00032BB8">
        <w:t>фазы</w:t>
      </w:r>
      <w:r w:rsidR="00AF0899">
        <w:t>,</w:t>
      </w:r>
      <w:r w:rsidRPr="00032BB8">
        <w:t xml:space="preserve"> </w:t>
      </w:r>
      <w:r w:rsidR="00AF0899">
        <w:t xml:space="preserve">исходно </w:t>
      </w:r>
      <w:r w:rsidRPr="00032BB8">
        <w:t>имели средн</w:t>
      </w:r>
      <w:r w:rsidR="00AF0899">
        <w:t>юю</w:t>
      </w:r>
      <w:r w:rsidRPr="00032BB8">
        <w:t xml:space="preserve"> активност</w:t>
      </w:r>
      <w:r w:rsidR="00AF0899">
        <w:t>ь</w:t>
      </w:r>
      <w:r w:rsidRPr="00032BB8">
        <w:t xml:space="preserve"> заболевания (</w:t>
      </w:r>
      <w:r w:rsidR="00AF0899">
        <w:t xml:space="preserve">показатель по </w:t>
      </w:r>
      <w:r w:rsidRPr="00032BB8">
        <w:t xml:space="preserve">DAS28-4 </w:t>
      </w:r>
      <w:r w:rsidR="00791C0A">
        <w:t>(</w:t>
      </w:r>
      <w:r w:rsidRPr="00032BB8">
        <w:t>СОЭ</w:t>
      </w:r>
      <w:r w:rsidR="00791C0A">
        <w:t>)</w:t>
      </w:r>
      <w:r w:rsidRPr="00032BB8">
        <w:t>)</w:t>
      </w:r>
      <w:r w:rsidR="00AF0899">
        <w:t>, равный</w:t>
      </w:r>
      <w:r w:rsidRPr="00032BB8">
        <w:t xml:space="preserve"> 6,1</w:t>
      </w:r>
      <w:r w:rsidR="00CA388C">
        <w:t>–</w:t>
      </w:r>
      <w:r w:rsidRPr="00032BB8">
        <w:t>6,7</w:t>
      </w:r>
      <w:r w:rsidR="00AF0899">
        <w:t>)</w:t>
      </w:r>
      <w:r w:rsidRPr="00032BB8">
        <w:t xml:space="preserve">. Значительное снижение </w:t>
      </w:r>
      <w:r w:rsidR="0070541D">
        <w:t xml:space="preserve">показателя по </w:t>
      </w:r>
      <w:r w:rsidRPr="00032BB8">
        <w:t>DAS28-4 (СОЭ) по сравнению с исходным уровнем (среднее улучшение</w:t>
      </w:r>
      <w:r w:rsidR="0070541D">
        <w:t xml:space="preserve"> на</w:t>
      </w:r>
      <w:r w:rsidRPr="00032BB8">
        <w:t xml:space="preserve"> 1,8</w:t>
      </w:r>
      <w:r w:rsidR="0070541D">
        <w:t>–</w:t>
      </w:r>
      <w:r w:rsidRPr="00032BB8">
        <w:t>2,0 и 1,9</w:t>
      </w:r>
      <w:r w:rsidR="0070541D">
        <w:t>–</w:t>
      </w:r>
      <w:r w:rsidRPr="00032BB8">
        <w:t>2,2</w:t>
      </w:r>
      <w:r w:rsidR="0070541D">
        <w:t>)</w:t>
      </w:r>
      <w:r w:rsidRPr="00032BB8">
        <w:t xml:space="preserve"> наблюдали у пациентов, принимавших </w:t>
      </w:r>
      <w:r w:rsidR="0070541D">
        <w:t xml:space="preserve">тофацитиниб в дозе </w:t>
      </w:r>
      <w:r w:rsidRPr="00032BB8">
        <w:t>5 мг и 10 мг два раза в день соответственно, по сравнению с пациентами, получавшими плацебо (</w:t>
      </w:r>
      <w:r w:rsidR="0070541D" w:rsidRPr="00032BB8">
        <w:t>среднее улучшение</w:t>
      </w:r>
      <w:r w:rsidR="0070541D">
        <w:t xml:space="preserve"> на</w:t>
      </w:r>
      <w:r w:rsidR="0070541D" w:rsidRPr="00032BB8">
        <w:t xml:space="preserve"> </w:t>
      </w:r>
      <w:r w:rsidRPr="00032BB8">
        <w:t xml:space="preserve">0,7–1,1) через 3 мес. Доля пациентов, достигших </w:t>
      </w:r>
      <w:r w:rsidR="0070541D">
        <w:t>к</w:t>
      </w:r>
      <w:r w:rsidRPr="00032BB8">
        <w:t>линическ</w:t>
      </w:r>
      <w:r w:rsidR="0070541D">
        <w:t>ой</w:t>
      </w:r>
      <w:r w:rsidRPr="00032BB8">
        <w:t xml:space="preserve"> ремисси</w:t>
      </w:r>
      <w:r w:rsidR="0070541D">
        <w:t>и</w:t>
      </w:r>
      <w:r w:rsidRPr="00032BB8">
        <w:t xml:space="preserve"> (DAS28-4</w:t>
      </w:r>
      <w:r w:rsidR="00791C0A">
        <w:t>(</w:t>
      </w:r>
      <w:r w:rsidRPr="00032BB8">
        <w:t xml:space="preserve">СОЭ) &lt; 2,6) в </w:t>
      </w:r>
      <w:r w:rsidR="00791C0A">
        <w:t xml:space="preserve">исследованиях </w:t>
      </w:r>
      <w:r w:rsidRPr="00032BB8">
        <w:t>ORAL Step, ORAL Sync и ORAL Standard</w:t>
      </w:r>
      <w:r w:rsidR="00791C0A">
        <w:t xml:space="preserve"> представлена </w:t>
      </w:r>
      <w:r w:rsidR="00897107" w:rsidRPr="00A85CAC">
        <w:t>ниже (</w:t>
      </w:r>
      <w:r w:rsidR="00741C63" w:rsidRPr="00A85CAC">
        <w:fldChar w:fldCharType="begin"/>
      </w:r>
      <w:r w:rsidR="00741C63" w:rsidRPr="00A85CAC">
        <w:instrText xml:space="preserve"> REF _Ref120777604 \h </w:instrText>
      </w:r>
      <w:r w:rsidR="00A85CAC" w:rsidRPr="00A85CAC">
        <w:instrText xml:space="preserve"> \* MERGEFORMAT </w:instrText>
      </w:r>
      <w:r w:rsidR="00741C63" w:rsidRPr="00A85CAC">
        <w:fldChar w:fldCharType="separate"/>
      </w:r>
      <w:r w:rsidR="00383E6F" w:rsidRPr="00A85CAC">
        <w:rPr>
          <w:bCs/>
        </w:rPr>
        <w:t xml:space="preserve">Таблица </w:t>
      </w:r>
      <w:r w:rsidR="00383E6F" w:rsidRPr="00A85CAC">
        <w:rPr>
          <w:bCs/>
          <w:noProof/>
        </w:rPr>
        <w:t>4</w:t>
      </w:r>
      <w:r w:rsidR="00383E6F" w:rsidRPr="00A85CAC">
        <w:rPr>
          <w:bCs/>
        </w:rPr>
        <w:noBreakHyphen/>
      </w:r>
      <w:r w:rsidR="00383E6F" w:rsidRPr="00A85CAC">
        <w:rPr>
          <w:bCs/>
          <w:noProof/>
        </w:rPr>
        <w:t>6</w:t>
      </w:r>
      <w:r w:rsidR="00741C63" w:rsidRPr="00A85CAC">
        <w:fldChar w:fldCharType="end"/>
      </w:r>
      <w:r w:rsidR="00FC6A13" w:rsidRPr="00A85CAC">
        <w:t xml:space="preserve">) </w:t>
      </w:r>
      <w:r w:rsidR="00FC6A13" w:rsidRPr="00A85CAC">
        <w:fldChar w:fldCharType="begin"/>
      </w:r>
      <w:r w:rsidR="00FC6A13" w:rsidRPr="00A85CAC">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FC6A13" w:rsidRPr="00A85CAC">
        <w:fldChar w:fldCharType="separate"/>
      </w:r>
      <w:r w:rsidR="00FC6A13" w:rsidRPr="00A85CAC">
        <w:t>[2]</w:t>
      </w:r>
      <w:r w:rsidR="00FC6A13" w:rsidRPr="00A85CAC">
        <w:fldChar w:fldCharType="end"/>
      </w:r>
      <w:r w:rsidR="00FC6A13" w:rsidRPr="00A85CAC">
        <w:t>.</w:t>
      </w:r>
      <w:r w:rsidR="00F71F15">
        <w:t xml:space="preserve"> </w:t>
      </w:r>
    </w:p>
    <w:p w14:paraId="0B9F387C" w14:textId="71747FA2" w:rsidR="00F71F15" w:rsidRDefault="00F71F15" w:rsidP="00A85CAC">
      <w:pPr>
        <w:pStyle w:val="SDText"/>
        <w:spacing w:after="0"/>
        <w:ind w:firstLine="0"/>
      </w:pPr>
      <w:bookmarkStart w:id="232" w:name="_Ref120777604"/>
      <w:r w:rsidRPr="00741C63">
        <w:rPr>
          <w:b/>
          <w:bCs/>
        </w:rPr>
        <w:t xml:space="preserve">Таблица </w:t>
      </w:r>
      <w:r w:rsidR="00652269" w:rsidRPr="00741C63">
        <w:rPr>
          <w:b/>
          <w:bCs/>
        </w:rPr>
        <w:fldChar w:fldCharType="begin"/>
      </w:r>
      <w:r w:rsidR="00652269" w:rsidRPr="00741C63">
        <w:rPr>
          <w:b/>
          <w:bCs/>
        </w:rPr>
        <w:instrText xml:space="preserve"> STYLEREF 1 \s </w:instrText>
      </w:r>
      <w:r w:rsidR="00652269" w:rsidRPr="00741C63">
        <w:rPr>
          <w:b/>
          <w:bCs/>
        </w:rPr>
        <w:fldChar w:fldCharType="separate"/>
      </w:r>
      <w:r w:rsidR="00383E6F">
        <w:rPr>
          <w:b/>
          <w:bCs/>
          <w:noProof/>
        </w:rPr>
        <w:t>4</w:t>
      </w:r>
      <w:r w:rsidR="00652269" w:rsidRPr="00741C63">
        <w:rPr>
          <w:b/>
          <w:bCs/>
        </w:rPr>
        <w:fldChar w:fldCharType="end"/>
      </w:r>
      <w:r w:rsidR="00652269" w:rsidRPr="00741C63">
        <w:rPr>
          <w:b/>
          <w:bCs/>
        </w:rPr>
        <w:noBreakHyphen/>
      </w:r>
      <w:r w:rsidR="00652269" w:rsidRPr="00741C63">
        <w:rPr>
          <w:b/>
          <w:bCs/>
        </w:rPr>
        <w:fldChar w:fldCharType="begin"/>
      </w:r>
      <w:r w:rsidR="00652269" w:rsidRPr="00741C63">
        <w:rPr>
          <w:b/>
          <w:bCs/>
        </w:rPr>
        <w:instrText xml:space="preserve"> SEQ Таблица \* ARABIC \s 1 </w:instrText>
      </w:r>
      <w:r w:rsidR="00652269" w:rsidRPr="00741C63">
        <w:rPr>
          <w:b/>
          <w:bCs/>
        </w:rPr>
        <w:fldChar w:fldCharType="separate"/>
      </w:r>
      <w:r w:rsidR="00383E6F">
        <w:rPr>
          <w:b/>
          <w:bCs/>
          <w:noProof/>
        </w:rPr>
        <w:t>6</w:t>
      </w:r>
      <w:r w:rsidR="00652269" w:rsidRPr="00741C63">
        <w:rPr>
          <w:b/>
          <w:bCs/>
        </w:rPr>
        <w:fldChar w:fldCharType="end"/>
      </w:r>
      <w:bookmarkEnd w:id="232"/>
      <w:r w:rsidR="00741C63" w:rsidRPr="00741C63">
        <w:rPr>
          <w:b/>
          <w:bCs/>
        </w:rPr>
        <w:t>.</w:t>
      </w:r>
      <w:r>
        <w:t xml:space="preserve"> </w:t>
      </w:r>
      <w:r w:rsidRPr="00F71F15">
        <w:t>Доля пациентов, достигших DAS28-4(СОЭ) &lt; 2,6</w:t>
      </w:r>
      <w:r>
        <w:t xml:space="preserve"> </w:t>
      </w:r>
      <w:r w:rsidR="00413011">
        <w:t>(ремиссии) через 3 и 6 мес.</w:t>
      </w:r>
    </w:p>
    <w:tbl>
      <w:tblPr>
        <w:tblStyle w:val="a4"/>
        <w:tblW w:w="0" w:type="auto"/>
        <w:tblInd w:w="108" w:type="dxa"/>
        <w:tblLook w:val="04A0" w:firstRow="1" w:lastRow="0" w:firstColumn="1" w:lastColumn="0" w:noHBand="0" w:noVBand="1"/>
      </w:tblPr>
      <w:tblGrid>
        <w:gridCol w:w="3119"/>
        <w:gridCol w:w="2126"/>
        <w:gridCol w:w="2126"/>
        <w:gridCol w:w="1985"/>
      </w:tblGrid>
      <w:tr w:rsidR="004E23C1" w14:paraId="48EB3487" w14:textId="77777777" w:rsidTr="00791E09">
        <w:trPr>
          <w:trHeight w:val="611"/>
          <w:tblHeader/>
        </w:trPr>
        <w:tc>
          <w:tcPr>
            <w:tcW w:w="3119" w:type="dxa"/>
            <w:shd w:val="clear" w:color="auto" w:fill="D9D9D9" w:themeFill="background1" w:themeFillShade="D9"/>
            <w:vAlign w:val="center"/>
          </w:tcPr>
          <w:p w14:paraId="5A78EAA8" w14:textId="19CCB17D" w:rsidR="004E23C1" w:rsidRPr="00791E09" w:rsidRDefault="00791E09" w:rsidP="00791E09">
            <w:pPr>
              <w:ind w:firstLine="0"/>
              <w:jc w:val="center"/>
              <w:rPr>
                <w:b/>
              </w:rPr>
            </w:pPr>
            <w:r w:rsidRPr="00791E09">
              <w:rPr>
                <w:b/>
              </w:rPr>
              <w:t>Группы</w:t>
            </w:r>
          </w:p>
        </w:tc>
        <w:tc>
          <w:tcPr>
            <w:tcW w:w="2126" w:type="dxa"/>
            <w:shd w:val="clear" w:color="auto" w:fill="D9D9D9" w:themeFill="background1" w:themeFillShade="D9"/>
            <w:vAlign w:val="center"/>
          </w:tcPr>
          <w:p w14:paraId="6BCF166E" w14:textId="1EAB6123" w:rsidR="004E23C1" w:rsidRPr="00791E09" w:rsidRDefault="004E23C1" w:rsidP="00791E09">
            <w:pPr>
              <w:ind w:firstLine="0"/>
              <w:jc w:val="center"/>
              <w:rPr>
                <w:b/>
                <w:bCs/>
              </w:rPr>
            </w:pPr>
            <w:r w:rsidRPr="00791E09">
              <w:rPr>
                <w:b/>
                <w:bCs/>
              </w:rPr>
              <w:t>Временная точка</w:t>
            </w:r>
          </w:p>
        </w:tc>
        <w:tc>
          <w:tcPr>
            <w:tcW w:w="2126" w:type="dxa"/>
            <w:shd w:val="clear" w:color="auto" w:fill="D9D9D9" w:themeFill="background1" w:themeFillShade="D9"/>
            <w:vAlign w:val="center"/>
          </w:tcPr>
          <w:p w14:paraId="029C6D48" w14:textId="2FBA4F1D" w:rsidR="004E23C1" w:rsidRPr="004E23C1" w:rsidRDefault="004E23C1" w:rsidP="00791E09">
            <w:pPr>
              <w:ind w:firstLine="0"/>
              <w:jc w:val="center"/>
              <w:rPr>
                <w:b/>
                <w:bCs/>
                <w:lang w:val="en-US"/>
              </w:rPr>
            </w:pPr>
            <w:r w:rsidRPr="004E23C1">
              <w:rPr>
                <w:b/>
                <w:bCs/>
                <w:lang w:val="en-US"/>
              </w:rPr>
              <w:t>N</w:t>
            </w:r>
          </w:p>
        </w:tc>
        <w:tc>
          <w:tcPr>
            <w:tcW w:w="1985" w:type="dxa"/>
            <w:shd w:val="clear" w:color="auto" w:fill="D9D9D9" w:themeFill="background1" w:themeFillShade="D9"/>
            <w:vAlign w:val="center"/>
          </w:tcPr>
          <w:p w14:paraId="46190540" w14:textId="1979C562" w:rsidR="004E23C1" w:rsidRPr="004E23C1" w:rsidRDefault="004E23C1" w:rsidP="00791E09">
            <w:pPr>
              <w:ind w:firstLine="0"/>
              <w:jc w:val="center"/>
              <w:rPr>
                <w:b/>
                <w:bCs/>
              </w:rPr>
            </w:pPr>
            <w:r w:rsidRPr="004E23C1">
              <w:rPr>
                <w:b/>
                <w:bCs/>
              </w:rPr>
              <w:t>%</w:t>
            </w:r>
          </w:p>
        </w:tc>
      </w:tr>
      <w:tr w:rsidR="002E1D15" w14:paraId="2C5A78D0" w14:textId="77777777" w:rsidTr="00A85CAC">
        <w:tc>
          <w:tcPr>
            <w:tcW w:w="9356" w:type="dxa"/>
            <w:gridSpan w:val="4"/>
            <w:vAlign w:val="center"/>
          </w:tcPr>
          <w:p w14:paraId="0B2883F1" w14:textId="138564BF" w:rsidR="002E1D15" w:rsidRPr="00D76F16" w:rsidRDefault="00897107" w:rsidP="00A85CAC">
            <w:pPr>
              <w:ind w:firstLine="0"/>
              <w:jc w:val="center"/>
              <w:rPr>
                <w:b/>
                <w:bCs/>
              </w:rPr>
            </w:pPr>
            <w:r w:rsidRPr="00FC6A13">
              <w:rPr>
                <w:b/>
                <w:bCs/>
              </w:rPr>
              <w:t>ORAL Step: пациенты с недостаточным ответом на ингибиторы</w:t>
            </w:r>
            <w:r w:rsidR="00D76F16">
              <w:rPr>
                <w:b/>
                <w:bCs/>
              </w:rPr>
              <w:t xml:space="preserve"> </w:t>
            </w:r>
            <w:r w:rsidR="00D76F16">
              <w:rPr>
                <w:b/>
                <w:bCs/>
                <w:lang w:val="en-US"/>
              </w:rPr>
              <w:t>TNF</w:t>
            </w:r>
            <w:r w:rsidR="00D76F16" w:rsidRPr="00D76F16">
              <w:rPr>
                <w:b/>
                <w:bCs/>
              </w:rPr>
              <w:t>-</w:t>
            </w:r>
            <w:r w:rsidR="00D76F16">
              <w:rPr>
                <w:rFonts w:cs="Times New Roman"/>
                <w:b/>
                <w:bCs/>
              </w:rPr>
              <w:t>α</w:t>
            </w:r>
          </w:p>
        </w:tc>
      </w:tr>
      <w:tr w:rsidR="004E23C1" w14:paraId="26AFF288" w14:textId="77777777" w:rsidTr="00A85CAC">
        <w:tc>
          <w:tcPr>
            <w:tcW w:w="3119" w:type="dxa"/>
            <w:vAlign w:val="center"/>
          </w:tcPr>
          <w:p w14:paraId="25D9893F" w14:textId="72279BD8" w:rsidR="004E23C1" w:rsidRDefault="00EF30C4" w:rsidP="00A85CAC">
            <w:pPr>
              <w:ind w:firstLine="0"/>
              <w:jc w:val="center"/>
            </w:pPr>
            <w:r>
              <w:t>Тофацитиниб 5 мг 2 раза в день + метотрексат</w:t>
            </w:r>
          </w:p>
        </w:tc>
        <w:tc>
          <w:tcPr>
            <w:tcW w:w="2126" w:type="dxa"/>
            <w:vAlign w:val="center"/>
          </w:tcPr>
          <w:p w14:paraId="25730CE1" w14:textId="2B6425DA" w:rsidR="004E23C1" w:rsidRDefault="008214F8" w:rsidP="00A85CAC">
            <w:pPr>
              <w:ind w:firstLine="0"/>
              <w:jc w:val="center"/>
            </w:pPr>
            <w:r>
              <w:t>Мес. 3</w:t>
            </w:r>
          </w:p>
        </w:tc>
        <w:tc>
          <w:tcPr>
            <w:tcW w:w="2126" w:type="dxa"/>
            <w:vAlign w:val="center"/>
          </w:tcPr>
          <w:p w14:paraId="49C1E928" w14:textId="2D2DC479" w:rsidR="004E23C1" w:rsidRDefault="008214F8" w:rsidP="00A85CAC">
            <w:pPr>
              <w:ind w:firstLine="0"/>
              <w:jc w:val="center"/>
            </w:pPr>
            <w:r>
              <w:t>133</w:t>
            </w:r>
          </w:p>
        </w:tc>
        <w:tc>
          <w:tcPr>
            <w:tcW w:w="1985" w:type="dxa"/>
            <w:vAlign w:val="center"/>
          </w:tcPr>
          <w:p w14:paraId="2F1A8012" w14:textId="1AD92BE9" w:rsidR="004E23C1" w:rsidRDefault="008214F8" w:rsidP="00A85CAC">
            <w:pPr>
              <w:ind w:firstLine="0"/>
              <w:jc w:val="center"/>
            </w:pPr>
            <w:r>
              <w:t>6</w:t>
            </w:r>
          </w:p>
        </w:tc>
      </w:tr>
      <w:tr w:rsidR="008214F8" w14:paraId="708C7C3B" w14:textId="77777777" w:rsidTr="00A85CAC">
        <w:tc>
          <w:tcPr>
            <w:tcW w:w="3119" w:type="dxa"/>
            <w:vAlign w:val="center"/>
          </w:tcPr>
          <w:p w14:paraId="46F80387" w14:textId="2479435A" w:rsidR="008214F8" w:rsidRDefault="008214F8" w:rsidP="00A85CAC">
            <w:pPr>
              <w:ind w:firstLine="0"/>
              <w:jc w:val="center"/>
            </w:pPr>
            <w:r>
              <w:t>Тофацитиниб 10 мг 2 раза в день + метотрексат</w:t>
            </w:r>
          </w:p>
        </w:tc>
        <w:tc>
          <w:tcPr>
            <w:tcW w:w="2126" w:type="dxa"/>
            <w:vAlign w:val="center"/>
          </w:tcPr>
          <w:p w14:paraId="33AC2DC2" w14:textId="21B057CE" w:rsidR="008214F8" w:rsidRDefault="008214F8" w:rsidP="00A85CAC">
            <w:pPr>
              <w:ind w:firstLine="0"/>
              <w:jc w:val="center"/>
            </w:pPr>
            <w:r w:rsidRPr="00487B3B">
              <w:t>Мес. 3</w:t>
            </w:r>
          </w:p>
        </w:tc>
        <w:tc>
          <w:tcPr>
            <w:tcW w:w="2126" w:type="dxa"/>
            <w:vAlign w:val="center"/>
          </w:tcPr>
          <w:p w14:paraId="6F642B8A" w14:textId="4A593F2F" w:rsidR="008214F8" w:rsidRDefault="008214F8" w:rsidP="00A85CAC">
            <w:pPr>
              <w:ind w:firstLine="0"/>
              <w:jc w:val="center"/>
            </w:pPr>
            <w:r>
              <w:t>134</w:t>
            </w:r>
          </w:p>
        </w:tc>
        <w:tc>
          <w:tcPr>
            <w:tcW w:w="1985" w:type="dxa"/>
            <w:vAlign w:val="center"/>
          </w:tcPr>
          <w:p w14:paraId="70E73295" w14:textId="0D91C33A" w:rsidR="008214F8" w:rsidRDefault="008214F8" w:rsidP="00A85CAC">
            <w:pPr>
              <w:ind w:firstLine="0"/>
              <w:jc w:val="center"/>
            </w:pPr>
            <w:r>
              <w:t>8*</w:t>
            </w:r>
          </w:p>
        </w:tc>
      </w:tr>
      <w:tr w:rsidR="008214F8" w14:paraId="4DB72BF6" w14:textId="77777777" w:rsidTr="00A85CAC">
        <w:tc>
          <w:tcPr>
            <w:tcW w:w="3119" w:type="dxa"/>
            <w:vAlign w:val="center"/>
          </w:tcPr>
          <w:p w14:paraId="5886D83F" w14:textId="45AD58B3" w:rsidR="008214F8" w:rsidRDefault="008214F8" w:rsidP="00A85CAC">
            <w:pPr>
              <w:ind w:firstLine="0"/>
              <w:jc w:val="center"/>
            </w:pPr>
            <w:r>
              <w:t>Плацебо + метотрексат</w:t>
            </w:r>
          </w:p>
        </w:tc>
        <w:tc>
          <w:tcPr>
            <w:tcW w:w="2126" w:type="dxa"/>
            <w:vAlign w:val="center"/>
          </w:tcPr>
          <w:p w14:paraId="4822C99E" w14:textId="05253DE0" w:rsidR="008214F8" w:rsidRDefault="008214F8" w:rsidP="00A85CAC">
            <w:pPr>
              <w:ind w:firstLine="0"/>
              <w:jc w:val="center"/>
            </w:pPr>
            <w:r w:rsidRPr="00487B3B">
              <w:t>Мес. 3</w:t>
            </w:r>
          </w:p>
        </w:tc>
        <w:tc>
          <w:tcPr>
            <w:tcW w:w="2126" w:type="dxa"/>
            <w:vAlign w:val="center"/>
          </w:tcPr>
          <w:p w14:paraId="799D9F57" w14:textId="4C8EBC43" w:rsidR="008214F8" w:rsidRDefault="008214F8" w:rsidP="00A85CAC">
            <w:pPr>
              <w:ind w:firstLine="0"/>
              <w:jc w:val="center"/>
            </w:pPr>
            <w:r>
              <w:t>132</w:t>
            </w:r>
          </w:p>
        </w:tc>
        <w:tc>
          <w:tcPr>
            <w:tcW w:w="1985" w:type="dxa"/>
            <w:vAlign w:val="center"/>
          </w:tcPr>
          <w:p w14:paraId="2EF6D0DB" w14:textId="2BFB40F1" w:rsidR="008214F8" w:rsidRDefault="008214F8" w:rsidP="00A85CAC">
            <w:pPr>
              <w:ind w:firstLine="0"/>
              <w:jc w:val="center"/>
            </w:pPr>
            <w:r>
              <w:t>2</w:t>
            </w:r>
          </w:p>
        </w:tc>
      </w:tr>
      <w:tr w:rsidR="008214F8" w14:paraId="62A703B5" w14:textId="77777777" w:rsidTr="00A85CAC">
        <w:tc>
          <w:tcPr>
            <w:tcW w:w="9356" w:type="dxa"/>
            <w:gridSpan w:val="4"/>
            <w:vAlign w:val="center"/>
          </w:tcPr>
          <w:p w14:paraId="262488F6" w14:textId="718F073A" w:rsidR="008214F8" w:rsidRPr="0005662F" w:rsidRDefault="00D76F16" w:rsidP="00A85CAC">
            <w:pPr>
              <w:ind w:firstLine="0"/>
              <w:jc w:val="center"/>
              <w:rPr>
                <w:b/>
                <w:bCs/>
              </w:rPr>
            </w:pPr>
            <w:r w:rsidRPr="0005662F">
              <w:rPr>
                <w:b/>
                <w:bCs/>
              </w:rPr>
              <w:t xml:space="preserve">ORAL Sync: пациенты с </w:t>
            </w:r>
            <w:r w:rsidR="0005662F" w:rsidRPr="0005662F">
              <w:rPr>
                <w:b/>
                <w:bCs/>
              </w:rPr>
              <w:t>недостаточным ответом на БМАРП</w:t>
            </w:r>
          </w:p>
        </w:tc>
      </w:tr>
      <w:tr w:rsidR="005F6748" w14:paraId="4D6ADA68" w14:textId="77777777" w:rsidTr="00A85CAC">
        <w:tc>
          <w:tcPr>
            <w:tcW w:w="3119" w:type="dxa"/>
            <w:vAlign w:val="center"/>
          </w:tcPr>
          <w:p w14:paraId="3C461564" w14:textId="28F03FB1" w:rsidR="005F6748" w:rsidRDefault="005F6748" w:rsidP="00A85CAC">
            <w:pPr>
              <w:ind w:firstLine="0"/>
              <w:jc w:val="center"/>
            </w:pPr>
            <w:r>
              <w:t>Тофацитиниб 5 мг 2 раза в день</w:t>
            </w:r>
          </w:p>
        </w:tc>
        <w:tc>
          <w:tcPr>
            <w:tcW w:w="2126" w:type="dxa"/>
            <w:vAlign w:val="center"/>
          </w:tcPr>
          <w:p w14:paraId="67AF609D" w14:textId="363E831B" w:rsidR="005F6748" w:rsidRDefault="003C4994" w:rsidP="00A85CAC">
            <w:pPr>
              <w:ind w:firstLine="0"/>
              <w:jc w:val="center"/>
            </w:pPr>
            <w:r w:rsidRPr="003C4994">
              <w:t xml:space="preserve">Мес. </w:t>
            </w:r>
            <w:r>
              <w:t>6</w:t>
            </w:r>
          </w:p>
        </w:tc>
        <w:tc>
          <w:tcPr>
            <w:tcW w:w="2126" w:type="dxa"/>
            <w:vAlign w:val="center"/>
          </w:tcPr>
          <w:p w14:paraId="4E1A4538" w14:textId="33809B17" w:rsidR="005F6748" w:rsidRDefault="00B838DC" w:rsidP="00A85CAC">
            <w:pPr>
              <w:ind w:firstLine="0"/>
              <w:jc w:val="center"/>
            </w:pPr>
            <w:r>
              <w:t>312</w:t>
            </w:r>
          </w:p>
        </w:tc>
        <w:tc>
          <w:tcPr>
            <w:tcW w:w="1985" w:type="dxa"/>
            <w:vAlign w:val="center"/>
          </w:tcPr>
          <w:p w14:paraId="60DE5B8B" w14:textId="55784A31" w:rsidR="005F6748" w:rsidRDefault="00B838DC" w:rsidP="00A85CAC">
            <w:pPr>
              <w:ind w:firstLine="0"/>
              <w:jc w:val="center"/>
            </w:pPr>
            <w:r>
              <w:t>8*</w:t>
            </w:r>
          </w:p>
        </w:tc>
      </w:tr>
      <w:tr w:rsidR="003C4994" w14:paraId="2DA9DBB5" w14:textId="77777777" w:rsidTr="00A85CAC">
        <w:tc>
          <w:tcPr>
            <w:tcW w:w="3119" w:type="dxa"/>
            <w:vAlign w:val="center"/>
          </w:tcPr>
          <w:p w14:paraId="1749ABBD" w14:textId="23C8277E" w:rsidR="003C4994" w:rsidRDefault="003C4994" w:rsidP="00A85CAC">
            <w:pPr>
              <w:ind w:firstLine="0"/>
              <w:jc w:val="center"/>
            </w:pPr>
            <w:r>
              <w:t xml:space="preserve">Тофацитиниб 10 мг 2 раза в </w:t>
            </w:r>
            <w:r>
              <w:lastRenderedPageBreak/>
              <w:t>день</w:t>
            </w:r>
          </w:p>
        </w:tc>
        <w:tc>
          <w:tcPr>
            <w:tcW w:w="2126" w:type="dxa"/>
            <w:vAlign w:val="center"/>
          </w:tcPr>
          <w:p w14:paraId="004E30FB" w14:textId="26366338" w:rsidR="003C4994" w:rsidRDefault="003C4994" w:rsidP="00A85CAC">
            <w:pPr>
              <w:ind w:firstLine="0"/>
              <w:jc w:val="center"/>
            </w:pPr>
            <w:r w:rsidRPr="00B060A9">
              <w:lastRenderedPageBreak/>
              <w:t>Мес. 6</w:t>
            </w:r>
          </w:p>
        </w:tc>
        <w:tc>
          <w:tcPr>
            <w:tcW w:w="2126" w:type="dxa"/>
            <w:vAlign w:val="center"/>
          </w:tcPr>
          <w:p w14:paraId="52B9ACF4" w14:textId="0D632742" w:rsidR="003C4994" w:rsidRDefault="00B838DC" w:rsidP="00A85CAC">
            <w:pPr>
              <w:ind w:firstLine="0"/>
              <w:jc w:val="center"/>
            </w:pPr>
            <w:r>
              <w:t>315</w:t>
            </w:r>
          </w:p>
        </w:tc>
        <w:tc>
          <w:tcPr>
            <w:tcW w:w="1985" w:type="dxa"/>
            <w:vAlign w:val="center"/>
          </w:tcPr>
          <w:p w14:paraId="382CE715" w14:textId="7ACDB4E7" w:rsidR="003C4994" w:rsidRDefault="00DD157C" w:rsidP="00A85CAC">
            <w:pPr>
              <w:ind w:firstLine="0"/>
              <w:jc w:val="center"/>
            </w:pPr>
            <w:r w:rsidRPr="00DD157C">
              <w:t>11***</w:t>
            </w:r>
          </w:p>
        </w:tc>
      </w:tr>
      <w:tr w:rsidR="003C4994" w14:paraId="2E3CD293" w14:textId="77777777" w:rsidTr="00A85CAC">
        <w:tc>
          <w:tcPr>
            <w:tcW w:w="3119" w:type="dxa"/>
            <w:vAlign w:val="center"/>
          </w:tcPr>
          <w:p w14:paraId="455DA62B" w14:textId="509FDD78" w:rsidR="003C4994" w:rsidRDefault="003C4994" w:rsidP="00A85CAC">
            <w:pPr>
              <w:ind w:firstLine="0"/>
              <w:jc w:val="center"/>
            </w:pPr>
            <w:r>
              <w:t>Плацебо</w:t>
            </w:r>
          </w:p>
        </w:tc>
        <w:tc>
          <w:tcPr>
            <w:tcW w:w="2126" w:type="dxa"/>
            <w:vAlign w:val="center"/>
          </w:tcPr>
          <w:p w14:paraId="34BC9078" w14:textId="0F891677" w:rsidR="003C4994" w:rsidRDefault="003C4994" w:rsidP="00A85CAC">
            <w:pPr>
              <w:ind w:firstLine="0"/>
              <w:jc w:val="center"/>
            </w:pPr>
            <w:r w:rsidRPr="00B060A9">
              <w:t>Мес. 6</w:t>
            </w:r>
          </w:p>
        </w:tc>
        <w:tc>
          <w:tcPr>
            <w:tcW w:w="2126" w:type="dxa"/>
            <w:vAlign w:val="center"/>
          </w:tcPr>
          <w:p w14:paraId="40FF250F" w14:textId="1583B789" w:rsidR="003C4994" w:rsidRDefault="00B838DC" w:rsidP="00A85CAC">
            <w:pPr>
              <w:ind w:firstLine="0"/>
              <w:jc w:val="center"/>
            </w:pPr>
            <w:r>
              <w:t>158</w:t>
            </w:r>
          </w:p>
        </w:tc>
        <w:tc>
          <w:tcPr>
            <w:tcW w:w="1985" w:type="dxa"/>
            <w:vAlign w:val="center"/>
          </w:tcPr>
          <w:p w14:paraId="173D85A5" w14:textId="40A20AD0" w:rsidR="003C4994" w:rsidRDefault="00DD157C" w:rsidP="00A85CAC">
            <w:pPr>
              <w:ind w:firstLine="0"/>
              <w:jc w:val="center"/>
            </w:pPr>
            <w:r>
              <w:t>3</w:t>
            </w:r>
          </w:p>
        </w:tc>
      </w:tr>
      <w:tr w:rsidR="000867E7" w14:paraId="4F29F3AD" w14:textId="77777777" w:rsidTr="00A85CAC">
        <w:tc>
          <w:tcPr>
            <w:tcW w:w="9356" w:type="dxa"/>
            <w:gridSpan w:val="4"/>
            <w:vAlign w:val="center"/>
          </w:tcPr>
          <w:p w14:paraId="5270DF0E" w14:textId="195567C6" w:rsidR="000867E7" w:rsidRPr="00106742" w:rsidRDefault="000867E7" w:rsidP="00A85CAC">
            <w:pPr>
              <w:ind w:firstLine="0"/>
              <w:jc w:val="center"/>
              <w:rPr>
                <w:b/>
                <w:bCs/>
              </w:rPr>
            </w:pPr>
            <w:r w:rsidRPr="00106742">
              <w:rPr>
                <w:b/>
                <w:bCs/>
              </w:rPr>
              <w:t>ORAL Standard:</w:t>
            </w:r>
            <w:r w:rsidR="00106742" w:rsidRPr="00106742">
              <w:rPr>
                <w:b/>
                <w:bCs/>
              </w:rPr>
              <w:t xml:space="preserve"> пациенты с недостаточным ответом на метотрексат</w:t>
            </w:r>
          </w:p>
        </w:tc>
      </w:tr>
      <w:tr w:rsidR="004523CC" w14:paraId="53CD2B36" w14:textId="77777777" w:rsidTr="00A85CAC">
        <w:tc>
          <w:tcPr>
            <w:tcW w:w="3119" w:type="dxa"/>
            <w:vAlign w:val="center"/>
          </w:tcPr>
          <w:p w14:paraId="4FE8D639" w14:textId="7BF7625E" w:rsidR="004523CC" w:rsidRDefault="004523CC" w:rsidP="00A85CAC">
            <w:pPr>
              <w:ind w:firstLine="0"/>
              <w:jc w:val="center"/>
            </w:pPr>
            <w:r>
              <w:t>Тофацитиниб 5 мг 2 раза в день + метотрексат</w:t>
            </w:r>
          </w:p>
        </w:tc>
        <w:tc>
          <w:tcPr>
            <w:tcW w:w="2126" w:type="dxa"/>
            <w:vAlign w:val="center"/>
          </w:tcPr>
          <w:p w14:paraId="326F17C2" w14:textId="0B362922" w:rsidR="004523CC" w:rsidRDefault="004523CC" w:rsidP="00A85CAC">
            <w:pPr>
              <w:ind w:firstLine="0"/>
              <w:jc w:val="center"/>
            </w:pPr>
            <w:r w:rsidRPr="00E17923">
              <w:t>Мес. 6</w:t>
            </w:r>
          </w:p>
        </w:tc>
        <w:tc>
          <w:tcPr>
            <w:tcW w:w="2126" w:type="dxa"/>
            <w:vAlign w:val="center"/>
          </w:tcPr>
          <w:p w14:paraId="6AEF3927" w14:textId="38EBB887" w:rsidR="004523CC" w:rsidRDefault="001D69CE" w:rsidP="00A85CAC">
            <w:pPr>
              <w:ind w:firstLine="0"/>
              <w:jc w:val="center"/>
            </w:pPr>
            <w:r>
              <w:t>198</w:t>
            </w:r>
          </w:p>
        </w:tc>
        <w:tc>
          <w:tcPr>
            <w:tcW w:w="1985" w:type="dxa"/>
            <w:vAlign w:val="center"/>
          </w:tcPr>
          <w:p w14:paraId="7670788A" w14:textId="28E9B2F3" w:rsidR="004523CC" w:rsidRDefault="00AF665C" w:rsidP="00A85CAC">
            <w:pPr>
              <w:ind w:firstLine="0"/>
              <w:jc w:val="center"/>
            </w:pPr>
            <w:r w:rsidRPr="00AF665C">
              <w:t>6*</w:t>
            </w:r>
          </w:p>
        </w:tc>
      </w:tr>
      <w:tr w:rsidR="004523CC" w14:paraId="7E3F4212" w14:textId="77777777" w:rsidTr="00A85CAC">
        <w:tc>
          <w:tcPr>
            <w:tcW w:w="3119" w:type="dxa"/>
            <w:vAlign w:val="center"/>
          </w:tcPr>
          <w:p w14:paraId="00FF91CF" w14:textId="5C85B5AB" w:rsidR="004523CC" w:rsidRDefault="004523CC" w:rsidP="00A85CAC">
            <w:pPr>
              <w:ind w:firstLine="0"/>
              <w:jc w:val="center"/>
            </w:pPr>
            <w:r>
              <w:t>Тофацитиниб 10 мг 2 раза в день + метотрексат</w:t>
            </w:r>
          </w:p>
        </w:tc>
        <w:tc>
          <w:tcPr>
            <w:tcW w:w="2126" w:type="dxa"/>
            <w:vAlign w:val="center"/>
          </w:tcPr>
          <w:p w14:paraId="678967D9" w14:textId="37D4C62F" w:rsidR="004523CC" w:rsidRDefault="004523CC" w:rsidP="00A85CAC">
            <w:pPr>
              <w:ind w:firstLine="0"/>
              <w:jc w:val="center"/>
            </w:pPr>
            <w:r w:rsidRPr="00E17923">
              <w:t>Мес. 6</w:t>
            </w:r>
          </w:p>
        </w:tc>
        <w:tc>
          <w:tcPr>
            <w:tcW w:w="2126" w:type="dxa"/>
            <w:vAlign w:val="center"/>
          </w:tcPr>
          <w:p w14:paraId="1D61CBC6" w14:textId="121C1B0D" w:rsidR="004523CC" w:rsidRDefault="001D69CE" w:rsidP="00A85CAC">
            <w:pPr>
              <w:ind w:firstLine="0"/>
              <w:jc w:val="center"/>
            </w:pPr>
            <w:r>
              <w:t>197</w:t>
            </w:r>
          </w:p>
        </w:tc>
        <w:tc>
          <w:tcPr>
            <w:tcW w:w="1985" w:type="dxa"/>
            <w:vAlign w:val="center"/>
          </w:tcPr>
          <w:p w14:paraId="4BD32500" w14:textId="0352E46A" w:rsidR="004523CC" w:rsidRDefault="00AF665C" w:rsidP="00A85CAC">
            <w:pPr>
              <w:ind w:firstLine="0"/>
              <w:jc w:val="center"/>
            </w:pPr>
            <w:r w:rsidRPr="00AF665C">
              <w:t>11***</w:t>
            </w:r>
          </w:p>
        </w:tc>
      </w:tr>
      <w:tr w:rsidR="004523CC" w14:paraId="1A9BDE33" w14:textId="77777777" w:rsidTr="00A85CAC">
        <w:tc>
          <w:tcPr>
            <w:tcW w:w="3119" w:type="dxa"/>
            <w:vAlign w:val="center"/>
          </w:tcPr>
          <w:p w14:paraId="5BD69AE8" w14:textId="7BF8ABD6" w:rsidR="004523CC" w:rsidRDefault="004523CC" w:rsidP="00A85CAC">
            <w:pPr>
              <w:ind w:firstLine="0"/>
              <w:jc w:val="center"/>
            </w:pPr>
            <w:r>
              <w:t>Адалимумаб 40 мг подкожно каждые 2 недели + метотрексат</w:t>
            </w:r>
          </w:p>
        </w:tc>
        <w:tc>
          <w:tcPr>
            <w:tcW w:w="2126" w:type="dxa"/>
            <w:vAlign w:val="center"/>
          </w:tcPr>
          <w:p w14:paraId="5301A58D" w14:textId="78C3C1D4" w:rsidR="004523CC" w:rsidRDefault="004523CC" w:rsidP="00A85CAC">
            <w:pPr>
              <w:ind w:firstLine="0"/>
              <w:jc w:val="center"/>
            </w:pPr>
            <w:r w:rsidRPr="00E17923">
              <w:t>Мес. 6</w:t>
            </w:r>
          </w:p>
        </w:tc>
        <w:tc>
          <w:tcPr>
            <w:tcW w:w="2126" w:type="dxa"/>
            <w:vAlign w:val="center"/>
          </w:tcPr>
          <w:p w14:paraId="0138E1F3" w14:textId="41553D8C" w:rsidR="004523CC" w:rsidRDefault="001D69CE" w:rsidP="00A85CAC">
            <w:pPr>
              <w:ind w:firstLine="0"/>
              <w:jc w:val="center"/>
            </w:pPr>
            <w:r>
              <w:t>199</w:t>
            </w:r>
          </w:p>
        </w:tc>
        <w:tc>
          <w:tcPr>
            <w:tcW w:w="1985" w:type="dxa"/>
            <w:vAlign w:val="center"/>
          </w:tcPr>
          <w:p w14:paraId="7E40E4F1" w14:textId="2B5ED82B" w:rsidR="004523CC" w:rsidRDefault="00AF665C" w:rsidP="00A85CAC">
            <w:pPr>
              <w:ind w:firstLine="0"/>
              <w:jc w:val="center"/>
            </w:pPr>
            <w:r w:rsidRPr="00AF665C">
              <w:t>6*</w:t>
            </w:r>
          </w:p>
        </w:tc>
      </w:tr>
      <w:tr w:rsidR="004523CC" w14:paraId="03F1D8EE" w14:textId="77777777" w:rsidTr="00A85CAC">
        <w:tc>
          <w:tcPr>
            <w:tcW w:w="3119" w:type="dxa"/>
            <w:vAlign w:val="center"/>
          </w:tcPr>
          <w:p w14:paraId="68A81813" w14:textId="569AB209" w:rsidR="004523CC" w:rsidRDefault="004523CC" w:rsidP="00A85CAC">
            <w:pPr>
              <w:ind w:firstLine="0"/>
              <w:jc w:val="center"/>
            </w:pPr>
            <w:r w:rsidRPr="004269EA">
              <w:t>Плацебо + метотрексат</w:t>
            </w:r>
          </w:p>
        </w:tc>
        <w:tc>
          <w:tcPr>
            <w:tcW w:w="2126" w:type="dxa"/>
            <w:vAlign w:val="center"/>
          </w:tcPr>
          <w:p w14:paraId="13B09108" w14:textId="08EFCA2B" w:rsidR="004523CC" w:rsidRDefault="004523CC" w:rsidP="00A85CAC">
            <w:pPr>
              <w:ind w:firstLine="0"/>
              <w:jc w:val="center"/>
            </w:pPr>
            <w:r w:rsidRPr="00E17923">
              <w:t>Мес. 6</w:t>
            </w:r>
          </w:p>
        </w:tc>
        <w:tc>
          <w:tcPr>
            <w:tcW w:w="2126" w:type="dxa"/>
            <w:vAlign w:val="center"/>
          </w:tcPr>
          <w:p w14:paraId="77B8AA9B" w14:textId="20DD1791" w:rsidR="004523CC" w:rsidRDefault="001D69CE" w:rsidP="00A85CAC">
            <w:pPr>
              <w:ind w:firstLine="0"/>
              <w:jc w:val="center"/>
            </w:pPr>
            <w:r>
              <w:t>105</w:t>
            </w:r>
          </w:p>
        </w:tc>
        <w:tc>
          <w:tcPr>
            <w:tcW w:w="1985" w:type="dxa"/>
            <w:vAlign w:val="center"/>
          </w:tcPr>
          <w:p w14:paraId="02760030" w14:textId="7097C51B" w:rsidR="004523CC" w:rsidRDefault="00AF665C" w:rsidP="00A85CAC">
            <w:pPr>
              <w:ind w:firstLine="0"/>
              <w:jc w:val="center"/>
            </w:pPr>
            <w:r>
              <w:t>1</w:t>
            </w:r>
          </w:p>
        </w:tc>
      </w:tr>
      <w:tr w:rsidR="00A85CAC" w:rsidRPr="00A85CAC" w14:paraId="63688C14" w14:textId="77777777" w:rsidTr="000D3CC1">
        <w:tc>
          <w:tcPr>
            <w:tcW w:w="9356" w:type="dxa"/>
            <w:gridSpan w:val="4"/>
          </w:tcPr>
          <w:p w14:paraId="28F22C87" w14:textId="77777777" w:rsidR="00A85CAC" w:rsidRPr="00A85CAC" w:rsidRDefault="00A85CAC" w:rsidP="004523CC">
            <w:pPr>
              <w:ind w:firstLine="0"/>
              <w:rPr>
                <w:b/>
                <w:sz w:val="20"/>
                <w:szCs w:val="20"/>
              </w:rPr>
            </w:pPr>
            <w:r w:rsidRPr="00A85CAC">
              <w:rPr>
                <w:b/>
                <w:sz w:val="20"/>
                <w:szCs w:val="20"/>
              </w:rPr>
              <w:t>Примечание:</w:t>
            </w:r>
          </w:p>
          <w:p w14:paraId="0C63956F" w14:textId="01BE4747" w:rsidR="00A85CAC" w:rsidRPr="00A85CAC" w:rsidRDefault="00A85CAC" w:rsidP="00A85CAC">
            <w:pPr>
              <w:pStyle w:val="SDcomments"/>
              <w:ind w:firstLine="0"/>
            </w:pPr>
            <w:r w:rsidRPr="00A85CAC">
              <w:t>DAS28-4(СОЭ) –</w:t>
            </w:r>
            <w:r w:rsidRPr="00A85CAC">
              <w:rPr>
                <w:i/>
                <w:iCs/>
              </w:rPr>
              <w:t xml:space="preserve"> </w:t>
            </w:r>
            <w:r w:rsidRPr="00A85CAC">
              <w:t>четыре переменные для 28 суставов по шкале активности заболевания (disease activity score), включая скорость оседания эритроцитов;</w:t>
            </w:r>
            <w:r w:rsidRPr="00A85CAC">
              <w:rPr>
                <w:i/>
                <w:iCs/>
              </w:rPr>
              <w:t xml:space="preserve"> </w:t>
            </w:r>
            <w:r w:rsidRPr="00A85CAC">
              <w:rPr>
                <w:lang w:val="en-US"/>
              </w:rPr>
              <w:t>TNF</w:t>
            </w:r>
            <w:r w:rsidRPr="00A85CAC">
              <w:t>-α</w:t>
            </w:r>
            <w:r w:rsidRPr="00A85CAC">
              <w:rPr>
                <w:i/>
                <w:iCs/>
              </w:rPr>
              <w:t xml:space="preserve"> </w:t>
            </w:r>
            <w:r w:rsidRPr="00A85CAC">
              <w:t>– фактор некроза опухоли-</w:t>
            </w:r>
            <w:r w:rsidRPr="00A85CAC">
              <w:rPr>
                <w:rFonts w:cs="Times New Roman"/>
              </w:rPr>
              <w:t>α</w:t>
            </w:r>
            <w:r w:rsidRPr="00A85CAC">
              <w:t xml:space="preserve"> (</w:t>
            </w:r>
            <w:r w:rsidRPr="00A85CAC">
              <w:rPr>
                <w:lang w:val="en-US"/>
              </w:rPr>
              <w:t>tumour</w:t>
            </w:r>
            <w:r w:rsidRPr="00A85CAC">
              <w:t xml:space="preserve"> </w:t>
            </w:r>
            <w:r w:rsidRPr="00A85CAC">
              <w:rPr>
                <w:lang w:val="en-US"/>
              </w:rPr>
              <w:t>necrosis</w:t>
            </w:r>
            <w:r w:rsidRPr="00A85CAC">
              <w:t xml:space="preserve"> </w:t>
            </w:r>
            <w:r w:rsidRPr="00A85CAC">
              <w:rPr>
                <w:lang w:val="en-US"/>
              </w:rPr>
              <w:t>factor</w:t>
            </w:r>
            <w:r w:rsidRPr="00A85CAC">
              <w:t>-</w:t>
            </w:r>
            <w:r w:rsidRPr="00A85CAC">
              <w:rPr>
                <w:rFonts w:cs="Times New Roman"/>
                <w:lang w:val="en-US"/>
              </w:rPr>
              <w:t>α</w:t>
            </w:r>
            <w:r w:rsidRPr="00A85CAC">
              <w:t xml:space="preserve">); БМАРП – болезнь модифицирующие антиревматические препараты; * – статистически значимые различия по сравнению со значением на фоне приема плацебо, </w:t>
            </w:r>
            <w:r w:rsidRPr="00A85CAC">
              <w:rPr>
                <w:lang w:val="en-US"/>
              </w:rPr>
              <w:t>p</w:t>
            </w:r>
            <w:r w:rsidRPr="00A85CAC">
              <w:t xml:space="preserve"> &lt; 0,05, *** – статистически значимые различия по сравнению со значением на фоне приема плацебо, </w:t>
            </w:r>
            <w:r w:rsidRPr="00A85CAC">
              <w:rPr>
                <w:lang w:val="en-US"/>
              </w:rPr>
              <w:t>p</w:t>
            </w:r>
            <w:r w:rsidRPr="00A85CAC">
              <w:t xml:space="preserve"> &lt; 0,0001.</w:t>
            </w:r>
          </w:p>
        </w:tc>
      </w:tr>
    </w:tbl>
    <w:p w14:paraId="160BFD7C" w14:textId="650830C5" w:rsidR="00337795" w:rsidRPr="00A85CAC" w:rsidRDefault="00337795" w:rsidP="00BC5FE4">
      <w:pPr>
        <w:pStyle w:val="SDcomments"/>
        <w:ind w:firstLine="0"/>
      </w:pPr>
    </w:p>
    <w:p w14:paraId="0643F4A6" w14:textId="13A0EE37" w:rsidR="00337795" w:rsidRDefault="00672EAA" w:rsidP="00A85CAC">
      <w:pPr>
        <w:pStyle w:val="SDText"/>
        <w:spacing w:after="0"/>
      </w:pPr>
      <w:r>
        <w:t xml:space="preserve">В исследованиях ORAL Scan и ORAL Start оценивали ингибирование прогрессирования структурного повреждения суставов рентгенологически и выражали как среднее изменение mTSS и его компонентов по сравнению с исходным уровнем, </w:t>
      </w:r>
      <w:r w:rsidR="0004794A">
        <w:t xml:space="preserve">выраженность </w:t>
      </w:r>
      <w:r>
        <w:t>эрозии и сужения суставной щели через 6 и 12 мес.</w:t>
      </w:r>
      <w:r w:rsidR="0004794A" w:rsidRPr="0004794A">
        <w:t xml:space="preserve"> </w:t>
      </w:r>
      <w:r w:rsidR="0004794A" w:rsidRPr="00382C19">
        <w:fldChar w:fldCharType="begin"/>
      </w:r>
      <w:r w:rsidR="0004794A"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4794A" w:rsidRPr="00382C19">
        <w:fldChar w:fldCharType="separate"/>
      </w:r>
      <w:r w:rsidR="0004794A">
        <w:t>[2</w:t>
      </w:r>
      <w:r w:rsidR="0004794A" w:rsidRPr="00382C19">
        <w:t>]</w:t>
      </w:r>
      <w:r w:rsidR="0004794A" w:rsidRPr="00382C19">
        <w:fldChar w:fldCharType="end"/>
      </w:r>
      <w:r w:rsidR="0004794A">
        <w:t>.</w:t>
      </w:r>
    </w:p>
    <w:p w14:paraId="1FDF7612" w14:textId="6ECA3516" w:rsidR="0004794A" w:rsidRDefault="006101CA" w:rsidP="00A85CAC">
      <w:pPr>
        <w:pStyle w:val="SDText"/>
        <w:spacing w:after="0"/>
      </w:pPr>
      <w:r>
        <w:t>В исследовании ORAL Scan прием тофацитиниба в дозе 10 мг два раза в день в сочетании с фонов</w:t>
      </w:r>
      <w:r w:rsidR="00A540C7">
        <w:t>ой терапией</w:t>
      </w:r>
      <w:r>
        <w:t xml:space="preserve"> метотрексатом приводил к значительному увеличению ингибировани</w:t>
      </w:r>
      <w:r w:rsidR="00A540C7">
        <w:t>я</w:t>
      </w:r>
      <w:r>
        <w:t xml:space="preserve"> прогрессирования структурного повреждения по сравнению с</w:t>
      </w:r>
      <w:r w:rsidR="00CA16A2">
        <w:t xml:space="preserve">о значением на фоне применения комбинации </w:t>
      </w:r>
      <w:r>
        <w:t xml:space="preserve">плацебо </w:t>
      </w:r>
      <w:r w:rsidR="00CA16A2">
        <w:t>и</w:t>
      </w:r>
      <w:r>
        <w:t xml:space="preserve"> метотрексат</w:t>
      </w:r>
      <w:r w:rsidR="00CA16A2">
        <w:t>а</w:t>
      </w:r>
      <w:r>
        <w:t xml:space="preserve"> через 6 и 12 мес.</w:t>
      </w:r>
      <w:r w:rsidR="00B0114D">
        <w:t xml:space="preserve"> </w:t>
      </w:r>
      <w:r>
        <w:t xml:space="preserve">При </w:t>
      </w:r>
      <w:r w:rsidR="009E56AC">
        <w:t>использовании тофацитиниба</w:t>
      </w:r>
      <w:r>
        <w:t xml:space="preserve"> в дозе 5 мг </w:t>
      </w:r>
      <w:r w:rsidR="006E2C42">
        <w:t>2</w:t>
      </w:r>
      <w:r>
        <w:t xml:space="preserve"> раза в день комбинация тофацитиниба и метотрексата оказывала </w:t>
      </w:r>
      <w:r w:rsidR="00C943EA">
        <w:t xml:space="preserve">сопоставимое </w:t>
      </w:r>
      <w:r>
        <w:t>влияние на средн</w:t>
      </w:r>
      <w:r w:rsidR="00C943EA">
        <w:t>ий показатель</w:t>
      </w:r>
      <w:r>
        <w:t xml:space="preserve"> прогрессировани</w:t>
      </w:r>
      <w:r w:rsidR="00C943EA">
        <w:t>я</w:t>
      </w:r>
      <w:r>
        <w:t xml:space="preserve"> структурного повреждения (статистически не значимое). </w:t>
      </w:r>
      <w:r w:rsidR="00CE6050">
        <w:t>При анализе показателя</w:t>
      </w:r>
      <w:r>
        <w:t xml:space="preserve"> эрозии и </w:t>
      </w:r>
      <w:r w:rsidR="00CE6050">
        <w:t>показателя</w:t>
      </w:r>
      <w:r>
        <w:t xml:space="preserve"> </w:t>
      </w:r>
      <w:r w:rsidR="00B0114D">
        <w:t xml:space="preserve">сужения суставной щели </w:t>
      </w:r>
      <w:r w:rsidR="00CE6050">
        <w:t xml:space="preserve">определили </w:t>
      </w:r>
      <w:r>
        <w:t>соответств</w:t>
      </w:r>
      <w:r w:rsidR="00CE6050">
        <w:t>ие</w:t>
      </w:r>
      <w:r>
        <w:t xml:space="preserve"> общим результатам</w:t>
      </w:r>
      <w:r w:rsidR="00CE6050">
        <w:t xml:space="preserve"> </w:t>
      </w:r>
      <w:r w:rsidR="00CE6050" w:rsidRPr="00382C19">
        <w:fldChar w:fldCharType="begin"/>
      </w:r>
      <w:r w:rsidR="00CE6050"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CE6050" w:rsidRPr="00382C19">
        <w:fldChar w:fldCharType="separate"/>
      </w:r>
      <w:r w:rsidR="00CE6050">
        <w:t>[2</w:t>
      </w:r>
      <w:r w:rsidR="00CE6050" w:rsidRPr="00382C19">
        <w:t>]</w:t>
      </w:r>
      <w:r w:rsidR="00CE6050" w:rsidRPr="00382C19">
        <w:fldChar w:fldCharType="end"/>
      </w:r>
      <w:r w:rsidR="00CE6050">
        <w:t>.</w:t>
      </w:r>
    </w:p>
    <w:p w14:paraId="492E71A9" w14:textId="5AD0F45C" w:rsidR="00CE6050" w:rsidRDefault="007C1A34" w:rsidP="00A85CAC">
      <w:pPr>
        <w:pStyle w:val="SDText"/>
        <w:spacing w:after="0"/>
      </w:pPr>
      <w:r>
        <w:t>В группе комбинации плацебо и метотрексата у 78% пациентов не наблюдали рентгенологического прогрессирования (</w:t>
      </w:r>
      <w:r w:rsidR="00611099">
        <w:t xml:space="preserve">изменение </w:t>
      </w:r>
      <w:r>
        <w:t xml:space="preserve">mTSS </w:t>
      </w:r>
      <w:r w:rsidR="00611099">
        <w:t xml:space="preserve">было </w:t>
      </w:r>
      <w:r w:rsidR="00611099">
        <w:rPr>
          <w:rFonts w:cs="Times New Roman"/>
        </w:rPr>
        <w:t xml:space="preserve">≤ </w:t>
      </w:r>
      <w:r>
        <w:t>0,5) через 6 мес</w:t>
      </w:r>
      <w:r w:rsidR="00611099">
        <w:t>.</w:t>
      </w:r>
      <w:r>
        <w:t xml:space="preserve"> по сравнению с 89 и 87% пациент</w:t>
      </w:r>
      <w:r w:rsidR="00611099">
        <w:t>ами</w:t>
      </w:r>
      <w:r>
        <w:t>, получавши</w:t>
      </w:r>
      <w:r w:rsidR="00980128">
        <w:t>ми</w:t>
      </w:r>
      <w:r>
        <w:t xml:space="preserve"> тофацитиниб </w:t>
      </w:r>
      <w:r w:rsidR="00980128">
        <w:t xml:space="preserve">в дозе </w:t>
      </w:r>
      <w:r>
        <w:t xml:space="preserve">5 или 10 мг </w:t>
      </w:r>
      <w:r w:rsidR="00980128">
        <w:t>в сочетании с</w:t>
      </w:r>
      <w:r>
        <w:t xml:space="preserve"> метотрексат</w:t>
      </w:r>
      <w:r w:rsidR="00980128">
        <w:t>ом</w:t>
      </w:r>
      <w:r>
        <w:t xml:space="preserve"> </w:t>
      </w:r>
      <w:r w:rsidR="00980128">
        <w:t>2</w:t>
      </w:r>
      <w:r>
        <w:t xml:space="preserve"> раза в день соответственно (</w:t>
      </w:r>
      <w:r w:rsidR="00980128">
        <w:t xml:space="preserve">статистически значимые различия при сравнении показателей на фоне терапии </w:t>
      </w:r>
      <w:r w:rsidR="00741478">
        <w:t xml:space="preserve">тофацитинибом в обоих дозах в сочетании с метотрексатом </w:t>
      </w:r>
      <w:r w:rsidR="00980128">
        <w:t xml:space="preserve">или </w:t>
      </w:r>
      <w:r w:rsidR="00741478">
        <w:t xml:space="preserve">комбинации </w:t>
      </w:r>
      <w:r w:rsidR="00980128">
        <w:t>плацебо</w:t>
      </w:r>
      <w:r w:rsidR="00741478">
        <w:t xml:space="preserve"> и метотрексата</w:t>
      </w:r>
      <w:r>
        <w:t>)</w:t>
      </w:r>
      <w:r w:rsidR="00C229DD">
        <w:t xml:space="preserve"> </w:t>
      </w:r>
      <w:r w:rsidR="00C229DD" w:rsidRPr="00382C19">
        <w:fldChar w:fldCharType="begin"/>
      </w:r>
      <w:r w:rsidR="00C229DD"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C229DD" w:rsidRPr="00382C19">
        <w:fldChar w:fldCharType="separate"/>
      </w:r>
      <w:r w:rsidR="00C229DD">
        <w:t>[2</w:t>
      </w:r>
      <w:r w:rsidR="00C229DD" w:rsidRPr="00382C19">
        <w:t>]</w:t>
      </w:r>
      <w:r w:rsidR="00C229DD" w:rsidRPr="00382C19">
        <w:fldChar w:fldCharType="end"/>
      </w:r>
      <w:r w:rsidR="00C229DD">
        <w:t>.</w:t>
      </w:r>
    </w:p>
    <w:p w14:paraId="1D3B59C5" w14:textId="6C08C35E" w:rsidR="00C229DD" w:rsidRDefault="00C229DD" w:rsidP="00A85CAC">
      <w:pPr>
        <w:pStyle w:val="SDText"/>
        <w:spacing w:after="0"/>
      </w:pPr>
      <w:r>
        <w:t xml:space="preserve">В исследовании ORAL Start монотерапия тофацитинибом привела к значительно </w:t>
      </w:r>
      <w:r w:rsidR="00520F2F">
        <w:t>более выраженному</w:t>
      </w:r>
      <w:r>
        <w:t xml:space="preserve"> торможению прогрессирования структурных повреждений по сравнению с </w:t>
      </w:r>
      <w:r w:rsidR="00BC2E35">
        <w:t xml:space="preserve">терапией </w:t>
      </w:r>
      <w:r>
        <w:t>метотрексатом через 6 и 12 мес</w:t>
      </w:r>
      <w:r w:rsidR="00B56533" w:rsidRPr="00A85CAC">
        <w:t>. (</w:t>
      </w:r>
      <w:r w:rsidR="00E6147F" w:rsidRPr="00A85CAC">
        <w:fldChar w:fldCharType="begin"/>
      </w:r>
      <w:r w:rsidR="00E6147F" w:rsidRPr="00A85CAC">
        <w:instrText xml:space="preserve"> REF _Ref120779699 \h </w:instrText>
      </w:r>
      <w:r w:rsidR="00A85CAC" w:rsidRPr="00A85CAC">
        <w:instrText xml:space="preserve"> \* MERGEFORMAT </w:instrText>
      </w:r>
      <w:r w:rsidR="00E6147F" w:rsidRPr="00A85CAC">
        <w:fldChar w:fldCharType="separate"/>
      </w:r>
      <w:r w:rsidR="00383E6F" w:rsidRPr="00A85CAC">
        <w:rPr>
          <w:bCs/>
        </w:rPr>
        <w:t xml:space="preserve">Таблица </w:t>
      </w:r>
      <w:r w:rsidR="00383E6F" w:rsidRPr="00A85CAC">
        <w:rPr>
          <w:bCs/>
          <w:noProof/>
        </w:rPr>
        <w:t>4</w:t>
      </w:r>
      <w:r w:rsidR="00383E6F" w:rsidRPr="00A85CAC">
        <w:rPr>
          <w:bCs/>
        </w:rPr>
        <w:noBreakHyphen/>
      </w:r>
      <w:r w:rsidR="00383E6F" w:rsidRPr="00A85CAC">
        <w:rPr>
          <w:bCs/>
          <w:noProof/>
        </w:rPr>
        <w:t>7</w:t>
      </w:r>
      <w:r w:rsidR="00E6147F" w:rsidRPr="00A85CAC">
        <w:fldChar w:fldCharType="end"/>
      </w:r>
      <w:r w:rsidR="00AD6F06" w:rsidRPr="00A85CAC">
        <w:t>)</w:t>
      </w:r>
      <w:r w:rsidRPr="00A85CAC">
        <w:t>, котор</w:t>
      </w:r>
      <w:r w:rsidR="00AD6F06" w:rsidRPr="00A85CAC">
        <w:t>ое</w:t>
      </w:r>
      <w:r>
        <w:t xml:space="preserve"> также</w:t>
      </w:r>
      <w:r w:rsidR="005730FD">
        <w:t xml:space="preserve"> </w:t>
      </w:r>
      <w:r>
        <w:t>сохранял</w:t>
      </w:r>
      <w:r w:rsidR="00AD6F06">
        <w:t>ось</w:t>
      </w:r>
      <w:r>
        <w:t xml:space="preserve"> на 24 ме</w:t>
      </w:r>
      <w:r w:rsidR="00AD6F06">
        <w:t>с</w:t>
      </w:r>
      <w:r>
        <w:t xml:space="preserve">. </w:t>
      </w:r>
      <w:r w:rsidR="00AD6F06">
        <w:t>При а</w:t>
      </w:r>
      <w:r>
        <w:t>нализ</w:t>
      </w:r>
      <w:r w:rsidR="00AD6F06">
        <w:t>е показателей</w:t>
      </w:r>
      <w:r>
        <w:t xml:space="preserve"> эрозии и </w:t>
      </w:r>
      <w:r w:rsidR="00AD6F06">
        <w:t xml:space="preserve">показателя сужения суставной щели определили соответствие общим результатам </w:t>
      </w:r>
      <w:r w:rsidR="000F2FEA" w:rsidRPr="00382C19">
        <w:fldChar w:fldCharType="begin"/>
      </w:r>
      <w:r w:rsidR="000F2FEA"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F2FEA" w:rsidRPr="00382C19">
        <w:fldChar w:fldCharType="separate"/>
      </w:r>
      <w:r w:rsidR="000F2FEA">
        <w:t>[2</w:t>
      </w:r>
      <w:r w:rsidR="000F2FEA" w:rsidRPr="00382C19">
        <w:t>]</w:t>
      </w:r>
      <w:r w:rsidR="000F2FEA" w:rsidRPr="00382C19">
        <w:fldChar w:fldCharType="end"/>
      </w:r>
      <w:r w:rsidR="000F2FEA">
        <w:t>.</w:t>
      </w:r>
    </w:p>
    <w:p w14:paraId="45934A11" w14:textId="25EE9F0F" w:rsidR="005730FD" w:rsidRDefault="005730FD" w:rsidP="00A85CAC">
      <w:pPr>
        <w:pStyle w:val="SDText"/>
        <w:spacing w:after="0"/>
      </w:pPr>
      <w:r>
        <w:t>В группе метотрексата у 70% пациентов не наблюдал</w:t>
      </w:r>
      <w:r w:rsidR="00CA0563">
        <w:t>и</w:t>
      </w:r>
      <w:r>
        <w:t xml:space="preserve"> рентгенологического прогрессирования через 6 мес</w:t>
      </w:r>
      <w:r w:rsidR="00CA0563">
        <w:t>.</w:t>
      </w:r>
      <w:r>
        <w:t xml:space="preserve"> по сравнению с 83 и 90% пациент</w:t>
      </w:r>
      <w:r w:rsidR="00250E33">
        <w:t>ами в группах</w:t>
      </w:r>
      <w:r>
        <w:t xml:space="preserve"> тофацитиниб</w:t>
      </w:r>
      <w:r w:rsidR="00250E33">
        <w:t>а</w:t>
      </w:r>
      <w:r>
        <w:t xml:space="preserve"> в дозе 5 или 10 мг </w:t>
      </w:r>
      <w:r w:rsidR="00250E33">
        <w:t>2</w:t>
      </w:r>
      <w:r>
        <w:t xml:space="preserve"> раза в день соответственно</w:t>
      </w:r>
      <w:r w:rsidR="00250E33">
        <w:t xml:space="preserve"> (статистически значимые различия при сравнении показателей на фоне терапии</w:t>
      </w:r>
      <w:r>
        <w:t xml:space="preserve"> </w:t>
      </w:r>
      <w:r w:rsidR="00EE4BA3">
        <w:t>тофацитинибом в обоих дозах или метотрексатом)</w:t>
      </w:r>
      <w:r w:rsidR="000F2FEA" w:rsidRPr="000F2FEA">
        <w:t xml:space="preserve"> </w:t>
      </w:r>
      <w:r w:rsidR="000F2FEA" w:rsidRPr="00382C19">
        <w:fldChar w:fldCharType="begin"/>
      </w:r>
      <w:r w:rsidR="000F2FEA"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F2FEA" w:rsidRPr="00382C19">
        <w:fldChar w:fldCharType="separate"/>
      </w:r>
      <w:r w:rsidR="000F2FEA">
        <w:t>[2</w:t>
      </w:r>
      <w:r w:rsidR="000F2FEA" w:rsidRPr="00382C19">
        <w:t>]</w:t>
      </w:r>
      <w:r w:rsidR="000F2FEA" w:rsidRPr="00382C19">
        <w:fldChar w:fldCharType="end"/>
      </w:r>
      <w:r w:rsidR="000F2FEA">
        <w:t>.</w:t>
      </w:r>
    </w:p>
    <w:p w14:paraId="17F0C55C" w14:textId="424E367A" w:rsidR="00B56533" w:rsidRDefault="00B56533" w:rsidP="00A85CAC">
      <w:pPr>
        <w:pStyle w:val="SDText"/>
        <w:spacing w:after="0"/>
        <w:ind w:firstLine="0"/>
      </w:pPr>
      <w:bookmarkStart w:id="233" w:name="_Ref120779699"/>
      <w:r w:rsidRPr="00E1679E">
        <w:rPr>
          <w:b/>
          <w:bCs/>
        </w:rPr>
        <w:lastRenderedPageBreak/>
        <w:t xml:space="preserve">Таблица </w:t>
      </w:r>
      <w:r w:rsidR="00652269" w:rsidRPr="00E1679E">
        <w:rPr>
          <w:b/>
          <w:bCs/>
        </w:rPr>
        <w:fldChar w:fldCharType="begin"/>
      </w:r>
      <w:r w:rsidR="00652269" w:rsidRPr="00E1679E">
        <w:rPr>
          <w:b/>
          <w:bCs/>
        </w:rPr>
        <w:instrText xml:space="preserve"> STYLEREF 1 \s </w:instrText>
      </w:r>
      <w:r w:rsidR="00652269" w:rsidRPr="00E1679E">
        <w:rPr>
          <w:b/>
          <w:bCs/>
        </w:rPr>
        <w:fldChar w:fldCharType="separate"/>
      </w:r>
      <w:r w:rsidR="00383E6F">
        <w:rPr>
          <w:b/>
          <w:bCs/>
          <w:noProof/>
        </w:rPr>
        <w:t>4</w:t>
      </w:r>
      <w:r w:rsidR="00652269" w:rsidRPr="00E1679E">
        <w:rPr>
          <w:b/>
          <w:bCs/>
        </w:rPr>
        <w:fldChar w:fldCharType="end"/>
      </w:r>
      <w:r w:rsidR="00652269" w:rsidRPr="00E1679E">
        <w:rPr>
          <w:b/>
          <w:bCs/>
        </w:rPr>
        <w:noBreakHyphen/>
      </w:r>
      <w:r w:rsidR="00652269" w:rsidRPr="00E1679E">
        <w:rPr>
          <w:b/>
          <w:bCs/>
        </w:rPr>
        <w:fldChar w:fldCharType="begin"/>
      </w:r>
      <w:r w:rsidR="00652269" w:rsidRPr="00E1679E">
        <w:rPr>
          <w:b/>
          <w:bCs/>
        </w:rPr>
        <w:instrText xml:space="preserve"> SEQ Таблица \* ARABIC \s 1 </w:instrText>
      </w:r>
      <w:r w:rsidR="00652269" w:rsidRPr="00E1679E">
        <w:rPr>
          <w:b/>
          <w:bCs/>
        </w:rPr>
        <w:fldChar w:fldCharType="separate"/>
      </w:r>
      <w:r w:rsidR="00383E6F">
        <w:rPr>
          <w:b/>
          <w:bCs/>
          <w:noProof/>
        </w:rPr>
        <w:t>7</w:t>
      </w:r>
      <w:r w:rsidR="00652269" w:rsidRPr="00E1679E">
        <w:rPr>
          <w:b/>
          <w:bCs/>
        </w:rPr>
        <w:fldChar w:fldCharType="end"/>
      </w:r>
      <w:bookmarkEnd w:id="233"/>
      <w:r w:rsidR="00E1679E" w:rsidRPr="00E1679E">
        <w:rPr>
          <w:b/>
          <w:bCs/>
        </w:rPr>
        <w:t>.</w:t>
      </w:r>
      <w:r>
        <w:t xml:space="preserve"> </w:t>
      </w:r>
      <w:r w:rsidR="00584FFB">
        <w:t>Рентгенографические изменения через 6 и 12 мес.</w:t>
      </w:r>
    </w:p>
    <w:tbl>
      <w:tblPr>
        <w:tblStyle w:val="a4"/>
        <w:tblW w:w="0" w:type="auto"/>
        <w:tblInd w:w="108" w:type="dxa"/>
        <w:tblLayout w:type="fixed"/>
        <w:tblLook w:val="04A0" w:firstRow="1" w:lastRow="0" w:firstColumn="1" w:lastColumn="0" w:noHBand="0" w:noVBand="1"/>
      </w:tblPr>
      <w:tblGrid>
        <w:gridCol w:w="1065"/>
        <w:gridCol w:w="1487"/>
        <w:gridCol w:w="1701"/>
        <w:gridCol w:w="1559"/>
        <w:gridCol w:w="1843"/>
        <w:gridCol w:w="1701"/>
      </w:tblGrid>
      <w:tr w:rsidR="00AA281A" w14:paraId="70EDB0CB" w14:textId="77777777" w:rsidTr="00A85CAC">
        <w:tc>
          <w:tcPr>
            <w:tcW w:w="9356" w:type="dxa"/>
            <w:gridSpan w:val="6"/>
            <w:shd w:val="clear" w:color="auto" w:fill="D9D9D9" w:themeFill="background1" w:themeFillShade="D9"/>
          </w:tcPr>
          <w:p w14:paraId="11331D0A" w14:textId="7861DEE4" w:rsidR="00AA281A" w:rsidRPr="00A85CAC" w:rsidRDefault="00267988" w:rsidP="003116C6">
            <w:pPr>
              <w:ind w:firstLine="0"/>
              <w:jc w:val="center"/>
              <w:rPr>
                <w:b/>
                <w:bCs/>
                <w:sz w:val="20"/>
                <w:szCs w:val="20"/>
              </w:rPr>
            </w:pPr>
            <w:r w:rsidRPr="00A85CAC">
              <w:rPr>
                <w:b/>
                <w:bCs/>
                <w:sz w:val="20"/>
                <w:szCs w:val="20"/>
              </w:rPr>
              <w:t>ORAL Scan: пациенты с недостаточным ответом на метотрексат</w:t>
            </w:r>
          </w:p>
        </w:tc>
      </w:tr>
      <w:tr w:rsidR="002D669E" w:rsidRPr="00AC0C3E" w14:paraId="06A48339" w14:textId="77777777" w:rsidTr="00A85CAC">
        <w:tc>
          <w:tcPr>
            <w:tcW w:w="1065" w:type="dxa"/>
            <w:shd w:val="clear" w:color="auto" w:fill="D9D9D9" w:themeFill="background1" w:themeFillShade="D9"/>
          </w:tcPr>
          <w:p w14:paraId="69A4435F" w14:textId="77777777" w:rsidR="002D669E" w:rsidRPr="00A85CAC" w:rsidRDefault="002D669E" w:rsidP="002D669E">
            <w:pPr>
              <w:ind w:firstLine="0"/>
              <w:jc w:val="center"/>
              <w:rPr>
                <w:b/>
                <w:bCs/>
                <w:sz w:val="22"/>
              </w:rPr>
            </w:pPr>
          </w:p>
        </w:tc>
        <w:tc>
          <w:tcPr>
            <w:tcW w:w="1487" w:type="dxa"/>
            <w:shd w:val="clear" w:color="auto" w:fill="D9D9D9" w:themeFill="background1" w:themeFillShade="D9"/>
          </w:tcPr>
          <w:p w14:paraId="35FBDAD9" w14:textId="3875D871" w:rsidR="002D669E" w:rsidRPr="00A85CAC" w:rsidRDefault="002D669E" w:rsidP="00A85CAC">
            <w:pPr>
              <w:ind w:firstLine="0"/>
              <w:jc w:val="center"/>
              <w:rPr>
                <w:b/>
                <w:bCs/>
                <w:sz w:val="20"/>
                <w:szCs w:val="20"/>
              </w:rPr>
            </w:pPr>
            <w:r w:rsidRPr="00A85CAC">
              <w:rPr>
                <w:b/>
                <w:bCs/>
                <w:sz w:val="20"/>
                <w:szCs w:val="20"/>
              </w:rPr>
              <w:t>Плацебо +</w:t>
            </w:r>
          </w:p>
          <w:p w14:paraId="1A078AC1" w14:textId="286D2846" w:rsidR="002D669E" w:rsidRPr="00A85CAC" w:rsidRDefault="002D669E" w:rsidP="00A85CAC">
            <w:pPr>
              <w:ind w:firstLine="0"/>
              <w:jc w:val="center"/>
              <w:rPr>
                <w:b/>
                <w:bCs/>
                <w:sz w:val="20"/>
                <w:szCs w:val="20"/>
              </w:rPr>
            </w:pPr>
            <w:r w:rsidRPr="00A85CAC">
              <w:rPr>
                <w:b/>
                <w:bCs/>
                <w:sz w:val="20"/>
                <w:szCs w:val="20"/>
              </w:rPr>
              <w:t>метотрексат;</w:t>
            </w:r>
          </w:p>
          <w:p w14:paraId="2E62D260" w14:textId="7811E55D" w:rsidR="002D669E" w:rsidRPr="00A85CAC" w:rsidRDefault="002D669E" w:rsidP="00A85CAC">
            <w:pPr>
              <w:ind w:firstLine="0"/>
              <w:jc w:val="center"/>
              <w:rPr>
                <w:b/>
                <w:bCs/>
                <w:sz w:val="20"/>
                <w:szCs w:val="20"/>
              </w:rPr>
            </w:pPr>
            <w:r w:rsidRPr="00A85CAC">
              <w:rPr>
                <w:b/>
                <w:bCs/>
                <w:sz w:val="20"/>
                <w:szCs w:val="20"/>
                <w:lang w:val="en-US"/>
              </w:rPr>
              <w:t>N</w:t>
            </w:r>
            <w:r w:rsidRPr="00A85CAC">
              <w:rPr>
                <w:b/>
                <w:bCs/>
                <w:sz w:val="20"/>
                <w:szCs w:val="20"/>
              </w:rPr>
              <w:t xml:space="preserve"> = 139;</w:t>
            </w:r>
          </w:p>
          <w:p w14:paraId="202D7290" w14:textId="53238E6C" w:rsidR="002D669E" w:rsidRPr="00A85CAC" w:rsidRDefault="002D669E" w:rsidP="00A85CAC">
            <w:pPr>
              <w:ind w:firstLine="0"/>
              <w:jc w:val="center"/>
              <w:rPr>
                <w:b/>
                <w:bCs/>
                <w:sz w:val="20"/>
                <w:szCs w:val="20"/>
              </w:rPr>
            </w:pPr>
            <w:r w:rsidRPr="00A85CAC">
              <w:rPr>
                <w:b/>
                <w:bCs/>
                <w:sz w:val="20"/>
                <w:szCs w:val="20"/>
              </w:rPr>
              <w:t>среднее значение</w:t>
            </w:r>
          </w:p>
          <w:p w14:paraId="5DB97571" w14:textId="3F0E5D48" w:rsidR="002D669E" w:rsidRPr="00A85CAC" w:rsidRDefault="002D669E" w:rsidP="00A85CAC">
            <w:pPr>
              <w:ind w:firstLine="0"/>
              <w:jc w:val="center"/>
              <w:rPr>
                <w:b/>
                <w:bCs/>
                <w:sz w:val="20"/>
                <w:szCs w:val="20"/>
              </w:rPr>
            </w:pPr>
            <w:r w:rsidRPr="00A85CAC">
              <w:rPr>
                <w:b/>
                <w:bCs/>
                <w:sz w:val="20"/>
                <w:szCs w:val="20"/>
              </w:rPr>
              <w:t>(стандартное отклонение)</w:t>
            </w:r>
          </w:p>
        </w:tc>
        <w:tc>
          <w:tcPr>
            <w:tcW w:w="1701" w:type="dxa"/>
            <w:shd w:val="clear" w:color="auto" w:fill="D9D9D9" w:themeFill="background1" w:themeFillShade="D9"/>
          </w:tcPr>
          <w:p w14:paraId="3AC1408B" w14:textId="7EAEC69D" w:rsidR="002D669E" w:rsidRPr="00A85CAC" w:rsidRDefault="002D669E" w:rsidP="00A85CAC">
            <w:pPr>
              <w:ind w:firstLine="0"/>
              <w:jc w:val="center"/>
              <w:rPr>
                <w:b/>
                <w:bCs/>
                <w:sz w:val="20"/>
                <w:szCs w:val="20"/>
              </w:rPr>
            </w:pPr>
            <w:r w:rsidRPr="00A85CAC">
              <w:rPr>
                <w:b/>
                <w:bCs/>
                <w:sz w:val="20"/>
                <w:szCs w:val="20"/>
              </w:rPr>
              <w:t>Тофацитиниб 5 мг 2 раза в день + метотрексат;</w:t>
            </w:r>
          </w:p>
          <w:p w14:paraId="22D5ED5D" w14:textId="4832B72B" w:rsidR="002D669E" w:rsidRPr="00A85CAC" w:rsidRDefault="002D669E" w:rsidP="00A85CAC">
            <w:pPr>
              <w:ind w:firstLine="0"/>
              <w:jc w:val="center"/>
              <w:rPr>
                <w:b/>
                <w:bCs/>
                <w:sz w:val="20"/>
                <w:szCs w:val="20"/>
              </w:rPr>
            </w:pPr>
            <w:r w:rsidRPr="00A85CAC">
              <w:rPr>
                <w:b/>
                <w:bCs/>
                <w:sz w:val="20"/>
                <w:szCs w:val="20"/>
                <w:lang w:val="en-US"/>
              </w:rPr>
              <w:t>N</w:t>
            </w:r>
            <w:r w:rsidRPr="00A85CAC">
              <w:rPr>
                <w:b/>
                <w:bCs/>
                <w:sz w:val="20"/>
                <w:szCs w:val="20"/>
              </w:rPr>
              <w:t xml:space="preserve"> = 277;</w:t>
            </w:r>
          </w:p>
          <w:p w14:paraId="03FFCC99" w14:textId="77777777" w:rsidR="002D669E" w:rsidRPr="00A85CAC" w:rsidRDefault="002D669E" w:rsidP="00A85CAC">
            <w:pPr>
              <w:ind w:firstLine="0"/>
              <w:jc w:val="center"/>
              <w:rPr>
                <w:b/>
                <w:bCs/>
                <w:sz w:val="20"/>
                <w:szCs w:val="20"/>
              </w:rPr>
            </w:pPr>
            <w:r w:rsidRPr="00A85CAC">
              <w:rPr>
                <w:b/>
                <w:bCs/>
                <w:sz w:val="20"/>
                <w:szCs w:val="20"/>
              </w:rPr>
              <w:t>среднее значение</w:t>
            </w:r>
          </w:p>
          <w:p w14:paraId="2EDB5967" w14:textId="04CA89C5" w:rsidR="002D669E" w:rsidRPr="00A85CAC" w:rsidRDefault="002D669E" w:rsidP="00A85CAC">
            <w:pPr>
              <w:ind w:firstLine="0"/>
              <w:jc w:val="center"/>
              <w:rPr>
                <w:b/>
                <w:bCs/>
                <w:sz w:val="20"/>
                <w:szCs w:val="20"/>
              </w:rPr>
            </w:pPr>
            <w:r w:rsidRPr="00A85CAC">
              <w:rPr>
                <w:b/>
                <w:bCs/>
                <w:sz w:val="20"/>
                <w:szCs w:val="20"/>
              </w:rPr>
              <w:t>(стандартное отклонение)</w:t>
            </w:r>
          </w:p>
        </w:tc>
        <w:tc>
          <w:tcPr>
            <w:tcW w:w="1559" w:type="dxa"/>
            <w:shd w:val="clear" w:color="auto" w:fill="D9D9D9" w:themeFill="background1" w:themeFillShade="D9"/>
          </w:tcPr>
          <w:p w14:paraId="300186BB" w14:textId="45DC69B2" w:rsidR="002D669E" w:rsidRPr="00A85CAC" w:rsidRDefault="002D669E" w:rsidP="00A85CAC">
            <w:pPr>
              <w:ind w:firstLine="0"/>
              <w:jc w:val="center"/>
              <w:rPr>
                <w:b/>
                <w:bCs/>
                <w:sz w:val="20"/>
                <w:szCs w:val="20"/>
              </w:rPr>
            </w:pPr>
            <w:r w:rsidRPr="00A85CAC">
              <w:rPr>
                <w:b/>
                <w:bCs/>
                <w:sz w:val="20"/>
                <w:szCs w:val="20"/>
              </w:rPr>
              <w:t>Тофацитиниб 5 мг 2 раза в день + метотрексат; средняя разность по сравнению с плацебо</w:t>
            </w:r>
            <w:r w:rsidR="002A601B" w:rsidRPr="00A85CAC">
              <w:rPr>
                <w:b/>
                <w:bCs/>
                <w:sz w:val="20"/>
                <w:szCs w:val="20"/>
                <w:vertAlign w:val="superscript"/>
              </w:rPr>
              <w:t>a</w:t>
            </w:r>
            <w:r w:rsidRPr="00A85CAC">
              <w:rPr>
                <w:b/>
                <w:bCs/>
                <w:sz w:val="20"/>
                <w:szCs w:val="20"/>
              </w:rPr>
              <w:t xml:space="preserve"> (ДИ)</w:t>
            </w:r>
          </w:p>
        </w:tc>
        <w:tc>
          <w:tcPr>
            <w:tcW w:w="1843" w:type="dxa"/>
            <w:shd w:val="clear" w:color="auto" w:fill="D9D9D9" w:themeFill="background1" w:themeFillShade="D9"/>
          </w:tcPr>
          <w:p w14:paraId="3B5266B5" w14:textId="1206764A" w:rsidR="002D669E" w:rsidRPr="00A85CAC" w:rsidRDefault="002D669E" w:rsidP="00A85CAC">
            <w:pPr>
              <w:ind w:firstLine="0"/>
              <w:jc w:val="center"/>
              <w:rPr>
                <w:b/>
                <w:bCs/>
                <w:sz w:val="20"/>
                <w:szCs w:val="20"/>
              </w:rPr>
            </w:pPr>
            <w:r w:rsidRPr="00A85CAC">
              <w:rPr>
                <w:b/>
                <w:bCs/>
                <w:sz w:val="20"/>
                <w:szCs w:val="20"/>
              </w:rPr>
              <w:t>Тофацитиниб 10 мг 2 раза в день + метотрексат;</w:t>
            </w:r>
          </w:p>
          <w:p w14:paraId="633B01E6" w14:textId="312C896D" w:rsidR="002D669E" w:rsidRPr="00A85CAC" w:rsidRDefault="002D669E" w:rsidP="00A85CAC">
            <w:pPr>
              <w:ind w:firstLine="0"/>
              <w:jc w:val="center"/>
              <w:rPr>
                <w:b/>
                <w:bCs/>
                <w:sz w:val="20"/>
                <w:szCs w:val="20"/>
              </w:rPr>
            </w:pPr>
            <w:r w:rsidRPr="00A85CAC">
              <w:rPr>
                <w:b/>
                <w:bCs/>
                <w:sz w:val="20"/>
                <w:szCs w:val="20"/>
                <w:lang w:val="en-US"/>
              </w:rPr>
              <w:t>N</w:t>
            </w:r>
            <w:r w:rsidRPr="00A85CAC">
              <w:rPr>
                <w:b/>
                <w:bCs/>
                <w:sz w:val="20"/>
                <w:szCs w:val="20"/>
              </w:rPr>
              <w:t xml:space="preserve"> = 290;</w:t>
            </w:r>
          </w:p>
          <w:p w14:paraId="69C4ADB8" w14:textId="77777777" w:rsidR="002D669E" w:rsidRPr="00A85CAC" w:rsidRDefault="002D669E" w:rsidP="00A85CAC">
            <w:pPr>
              <w:ind w:firstLine="0"/>
              <w:jc w:val="center"/>
              <w:rPr>
                <w:b/>
                <w:bCs/>
                <w:sz w:val="20"/>
                <w:szCs w:val="20"/>
              </w:rPr>
            </w:pPr>
            <w:r w:rsidRPr="00A85CAC">
              <w:rPr>
                <w:b/>
                <w:bCs/>
                <w:sz w:val="20"/>
                <w:szCs w:val="20"/>
              </w:rPr>
              <w:t>среднее значение</w:t>
            </w:r>
          </w:p>
          <w:p w14:paraId="459A8442" w14:textId="6913FE44" w:rsidR="002D669E" w:rsidRPr="00A85CAC" w:rsidRDefault="002D669E" w:rsidP="00A85CAC">
            <w:pPr>
              <w:ind w:firstLine="0"/>
              <w:jc w:val="center"/>
              <w:rPr>
                <w:b/>
                <w:bCs/>
                <w:sz w:val="20"/>
                <w:szCs w:val="20"/>
              </w:rPr>
            </w:pPr>
            <w:r w:rsidRPr="00A85CAC">
              <w:rPr>
                <w:b/>
                <w:bCs/>
                <w:sz w:val="20"/>
                <w:szCs w:val="20"/>
              </w:rPr>
              <w:t>(стандартное отклонение)</w:t>
            </w:r>
          </w:p>
        </w:tc>
        <w:tc>
          <w:tcPr>
            <w:tcW w:w="1701" w:type="dxa"/>
            <w:shd w:val="clear" w:color="auto" w:fill="D9D9D9" w:themeFill="background1" w:themeFillShade="D9"/>
          </w:tcPr>
          <w:p w14:paraId="53D0A706" w14:textId="6EAE0403" w:rsidR="002D669E" w:rsidRPr="00A85CAC" w:rsidRDefault="002D669E" w:rsidP="00A85CAC">
            <w:pPr>
              <w:ind w:firstLine="0"/>
              <w:jc w:val="center"/>
              <w:rPr>
                <w:b/>
                <w:bCs/>
                <w:sz w:val="20"/>
                <w:szCs w:val="20"/>
              </w:rPr>
            </w:pPr>
            <w:r w:rsidRPr="00A85CAC">
              <w:rPr>
                <w:b/>
                <w:bCs/>
                <w:sz w:val="20"/>
                <w:szCs w:val="20"/>
              </w:rPr>
              <w:t>Тофацитиниб 10 мг 2 раза в день + метотрексат; средняя разность по сравнению с плацебо</w:t>
            </w:r>
            <w:r w:rsidR="002A601B" w:rsidRPr="00A85CAC">
              <w:rPr>
                <w:b/>
                <w:bCs/>
                <w:sz w:val="20"/>
                <w:szCs w:val="20"/>
                <w:vertAlign w:val="superscript"/>
                <w:lang w:val="en-US"/>
              </w:rPr>
              <w:t>a</w:t>
            </w:r>
            <w:r w:rsidR="002A601B" w:rsidRPr="00A85CAC">
              <w:rPr>
                <w:b/>
                <w:bCs/>
                <w:sz w:val="20"/>
                <w:szCs w:val="20"/>
              </w:rPr>
              <w:t xml:space="preserve"> </w:t>
            </w:r>
            <w:r w:rsidRPr="00A85CAC">
              <w:rPr>
                <w:b/>
                <w:bCs/>
                <w:sz w:val="20"/>
                <w:szCs w:val="20"/>
              </w:rPr>
              <w:t>(ДИ)</w:t>
            </w:r>
          </w:p>
        </w:tc>
      </w:tr>
      <w:tr w:rsidR="004F60D5" w:rsidRPr="00AC0C3E" w14:paraId="26BD8DDA" w14:textId="77777777" w:rsidTr="00A85CAC">
        <w:tc>
          <w:tcPr>
            <w:tcW w:w="9356" w:type="dxa"/>
            <w:gridSpan w:val="6"/>
          </w:tcPr>
          <w:p w14:paraId="499CFDB3" w14:textId="46D91A11" w:rsidR="004F60D5" w:rsidRPr="00A85CAC" w:rsidRDefault="004F60D5" w:rsidP="00A85CAC">
            <w:pPr>
              <w:ind w:firstLine="0"/>
              <w:rPr>
                <w:sz w:val="20"/>
                <w:szCs w:val="20"/>
                <w:lang w:val="en-US"/>
              </w:rPr>
            </w:pPr>
            <w:r w:rsidRPr="00A85CAC">
              <w:rPr>
                <w:sz w:val="20"/>
                <w:szCs w:val="20"/>
              </w:rPr>
              <w:t>mTSS</w:t>
            </w:r>
            <w:r w:rsidR="002A601B" w:rsidRPr="00A85CAC">
              <w:rPr>
                <w:sz w:val="20"/>
                <w:szCs w:val="20"/>
                <w:vertAlign w:val="superscript"/>
                <w:lang w:val="en-US"/>
              </w:rPr>
              <w:t>b</w:t>
            </w:r>
          </w:p>
        </w:tc>
      </w:tr>
      <w:tr w:rsidR="002D669E" w:rsidRPr="00AC0C3E" w14:paraId="262FB3FF" w14:textId="77777777" w:rsidTr="00A85CAC">
        <w:tc>
          <w:tcPr>
            <w:tcW w:w="1065" w:type="dxa"/>
          </w:tcPr>
          <w:p w14:paraId="50F7A528" w14:textId="24DE819F" w:rsidR="002D669E" w:rsidRPr="00A85CAC" w:rsidRDefault="00CC5114" w:rsidP="002D669E">
            <w:pPr>
              <w:ind w:firstLine="0"/>
              <w:rPr>
                <w:sz w:val="22"/>
              </w:rPr>
            </w:pPr>
            <w:r w:rsidRPr="00A85CAC">
              <w:rPr>
                <w:sz w:val="22"/>
              </w:rPr>
              <w:t>Исходно</w:t>
            </w:r>
          </w:p>
        </w:tc>
        <w:tc>
          <w:tcPr>
            <w:tcW w:w="1487" w:type="dxa"/>
          </w:tcPr>
          <w:p w14:paraId="4787DBE1" w14:textId="649F6A31" w:rsidR="002D669E" w:rsidRPr="00A85CAC" w:rsidRDefault="00CC5114" w:rsidP="00A85CAC">
            <w:pPr>
              <w:ind w:firstLine="0"/>
              <w:jc w:val="center"/>
              <w:rPr>
                <w:sz w:val="20"/>
                <w:szCs w:val="20"/>
              </w:rPr>
            </w:pPr>
            <w:r w:rsidRPr="00A85CAC">
              <w:rPr>
                <w:sz w:val="20"/>
                <w:szCs w:val="20"/>
              </w:rPr>
              <w:t>33 (42)</w:t>
            </w:r>
          </w:p>
        </w:tc>
        <w:tc>
          <w:tcPr>
            <w:tcW w:w="1701" w:type="dxa"/>
          </w:tcPr>
          <w:p w14:paraId="420B133E" w14:textId="2E53452F" w:rsidR="002D669E" w:rsidRPr="00A85CAC" w:rsidRDefault="000548A0" w:rsidP="00A85CAC">
            <w:pPr>
              <w:ind w:firstLine="0"/>
              <w:jc w:val="center"/>
              <w:rPr>
                <w:sz w:val="20"/>
                <w:szCs w:val="20"/>
              </w:rPr>
            </w:pPr>
            <w:r w:rsidRPr="00A85CAC">
              <w:rPr>
                <w:sz w:val="20"/>
                <w:szCs w:val="20"/>
              </w:rPr>
              <w:t>31 (48)</w:t>
            </w:r>
          </w:p>
        </w:tc>
        <w:tc>
          <w:tcPr>
            <w:tcW w:w="1559" w:type="dxa"/>
          </w:tcPr>
          <w:p w14:paraId="3DEDF675" w14:textId="5E638D58" w:rsidR="002D669E" w:rsidRPr="00A85CAC" w:rsidRDefault="00586627" w:rsidP="00A85CAC">
            <w:pPr>
              <w:ind w:firstLine="0"/>
              <w:jc w:val="center"/>
              <w:rPr>
                <w:sz w:val="20"/>
                <w:szCs w:val="20"/>
              </w:rPr>
            </w:pPr>
            <w:r w:rsidRPr="00A85CAC">
              <w:rPr>
                <w:sz w:val="20"/>
                <w:szCs w:val="20"/>
              </w:rPr>
              <w:t>–</w:t>
            </w:r>
          </w:p>
        </w:tc>
        <w:tc>
          <w:tcPr>
            <w:tcW w:w="1843" w:type="dxa"/>
          </w:tcPr>
          <w:p w14:paraId="6D14C489" w14:textId="7BA8CCAD" w:rsidR="002D669E" w:rsidRPr="00A85CAC" w:rsidRDefault="009D0A1F" w:rsidP="00A85CAC">
            <w:pPr>
              <w:ind w:firstLine="0"/>
              <w:jc w:val="center"/>
              <w:rPr>
                <w:sz w:val="20"/>
                <w:szCs w:val="20"/>
              </w:rPr>
            </w:pPr>
            <w:r w:rsidRPr="00A85CAC">
              <w:rPr>
                <w:sz w:val="20"/>
                <w:szCs w:val="20"/>
              </w:rPr>
              <w:t>37 (54)</w:t>
            </w:r>
          </w:p>
        </w:tc>
        <w:tc>
          <w:tcPr>
            <w:tcW w:w="1701" w:type="dxa"/>
          </w:tcPr>
          <w:p w14:paraId="50C4BA66" w14:textId="491569BB" w:rsidR="002D669E" w:rsidRPr="00A85CAC" w:rsidRDefault="003116C6" w:rsidP="00A85CAC">
            <w:pPr>
              <w:ind w:firstLine="0"/>
              <w:jc w:val="center"/>
              <w:rPr>
                <w:sz w:val="20"/>
                <w:szCs w:val="20"/>
              </w:rPr>
            </w:pPr>
            <w:r w:rsidRPr="00A85CAC">
              <w:rPr>
                <w:sz w:val="20"/>
                <w:szCs w:val="20"/>
              </w:rPr>
              <w:t>–</w:t>
            </w:r>
          </w:p>
        </w:tc>
      </w:tr>
      <w:tr w:rsidR="002D669E" w:rsidRPr="00AC0C3E" w14:paraId="4F709430" w14:textId="77777777" w:rsidTr="00A85CAC">
        <w:tc>
          <w:tcPr>
            <w:tcW w:w="1065" w:type="dxa"/>
          </w:tcPr>
          <w:p w14:paraId="0F19086B" w14:textId="408B3578" w:rsidR="002D669E" w:rsidRPr="00A85CAC" w:rsidRDefault="00CC5114" w:rsidP="002D669E">
            <w:pPr>
              <w:ind w:firstLine="0"/>
              <w:rPr>
                <w:sz w:val="22"/>
              </w:rPr>
            </w:pPr>
            <w:r w:rsidRPr="00A85CAC">
              <w:rPr>
                <w:sz w:val="22"/>
              </w:rPr>
              <w:t>Мес. 6</w:t>
            </w:r>
          </w:p>
        </w:tc>
        <w:tc>
          <w:tcPr>
            <w:tcW w:w="1487" w:type="dxa"/>
          </w:tcPr>
          <w:p w14:paraId="4E64AEFC" w14:textId="51FAD38A" w:rsidR="002D669E" w:rsidRPr="00A85CAC" w:rsidRDefault="00CC5114"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5 (2</w:t>
            </w:r>
            <w:r w:rsidR="00DB1F70" w:rsidRPr="00A85CAC">
              <w:rPr>
                <w:sz w:val="20"/>
                <w:szCs w:val="20"/>
              </w:rPr>
              <w:t>,</w:t>
            </w:r>
            <w:r w:rsidRPr="00A85CAC">
              <w:rPr>
                <w:sz w:val="20"/>
                <w:szCs w:val="20"/>
              </w:rPr>
              <w:t>0)</w:t>
            </w:r>
          </w:p>
        </w:tc>
        <w:tc>
          <w:tcPr>
            <w:tcW w:w="1701" w:type="dxa"/>
          </w:tcPr>
          <w:p w14:paraId="0799E9A5" w14:textId="6AE3FE4A" w:rsidR="002D669E" w:rsidRPr="00A85CAC" w:rsidRDefault="000E5C2A"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1 (1</w:t>
            </w:r>
            <w:r w:rsidR="00DB1F70" w:rsidRPr="00A85CAC">
              <w:rPr>
                <w:sz w:val="20"/>
                <w:szCs w:val="20"/>
              </w:rPr>
              <w:t>,</w:t>
            </w:r>
            <w:r w:rsidRPr="00A85CAC">
              <w:rPr>
                <w:sz w:val="20"/>
                <w:szCs w:val="20"/>
              </w:rPr>
              <w:t>7)</w:t>
            </w:r>
          </w:p>
        </w:tc>
        <w:tc>
          <w:tcPr>
            <w:tcW w:w="1559" w:type="dxa"/>
          </w:tcPr>
          <w:p w14:paraId="36A5083A" w14:textId="29802EFD" w:rsidR="002D669E" w:rsidRPr="00A85CAC" w:rsidRDefault="001A31F8"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3 (-0</w:t>
            </w:r>
            <w:r w:rsidR="00DB1F70" w:rsidRPr="00A85CAC">
              <w:rPr>
                <w:sz w:val="20"/>
                <w:szCs w:val="20"/>
              </w:rPr>
              <w:t>,</w:t>
            </w:r>
            <w:r w:rsidRPr="00A85CAC">
              <w:rPr>
                <w:sz w:val="20"/>
                <w:szCs w:val="20"/>
              </w:rPr>
              <w:t>7, 0</w:t>
            </w:r>
            <w:r w:rsidR="00DB1F70" w:rsidRPr="00A85CAC">
              <w:rPr>
                <w:sz w:val="20"/>
                <w:szCs w:val="20"/>
              </w:rPr>
              <w:t>,</w:t>
            </w:r>
            <w:r w:rsidRPr="00A85CAC">
              <w:rPr>
                <w:sz w:val="20"/>
                <w:szCs w:val="20"/>
              </w:rPr>
              <w:t>0)</w:t>
            </w:r>
          </w:p>
        </w:tc>
        <w:tc>
          <w:tcPr>
            <w:tcW w:w="1843" w:type="dxa"/>
          </w:tcPr>
          <w:p w14:paraId="74397621" w14:textId="4D5E265C" w:rsidR="002D669E" w:rsidRPr="00A85CAC" w:rsidRDefault="009D0A1F"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1 (2</w:t>
            </w:r>
            <w:r w:rsidR="00DB1F70" w:rsidRPr="00A85CAC">
              <w:rPr>
                <w:sz w:val="20"/>
                <w:szCs w:val="20"/>
              </w:rPr>
              <w:t>,</w:t>
            </w:r>
            <w:r w:rsidRPr="00A85CAC">
              <w:rPr>
                <w:sz w:val="20"/>
                <w:szCs w:val="20"/>
              </w:rPr>
              <w:t>0)</w:t>
            </w:r>
          </w:p>
        </w:tc>
        <w:tc>
          <w:tcPr>
            <w:tcW w:w="1701" w:type="dxa"/>
          </w:tcPr>
          <w:p w14:paraId="5B75C0C1" w14:textId="624BEF04" w:rsidR="002D669E" w:rsidRPr="00A85CAC" w:rsidRDefault="009D0A1F"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4 (-0</w:t>
            </w:r>
            <w:r w:rsidR="00DB1F70" w:rsidRPr="00A85CAC">
              <w:rPr>
                <w:sz w:val="20"/>
                <w:szCs w:val="20"/>
              </w:rPr>
              <w:t>,</w:t>
            </w:r>
            <w:r w:rsidRPr="00A85CAC">
              <w:rPr>
                <w:sz w:val="20"/>
                <w:szCs w:val="20"/>
              </w:rPr>
              <w:t>8, 0</w:t>
            </w:r>
            <w:r w:rsidR="00DB1F70" w:rsidRPr="00A85CAC">
              <w:rPr>
                <w:sz w:val="20"/>
                <w:szCs w:val="20"/>
              </w:rPr>
              <w:t>,</w:t>
            </w:r>
            <w:r w:rsidRPr="00A85CAC">
              <w:rPr>
                <w:sz w:val="20"/>
                <w:szCs w:val="20"/>
              </w:rPr>
              <w:t>0)</w:t>
            </w:r>
          </w:p>
        </w:tc>
      </w:tr>
      <w:tr w:rsidR="002D669E" w:rsidRPr="00AC0C3E" w14:paraId="5B23CDCF" w14:textId="77777777" w:rsidTr="00A85CAC">
        <w:tc>
          <w:tcPr>
            <w:tcW w:w="1065" w:type="dxa"/>
          </w:tcPr>
          <w:p w14:paraId="2CF1DABE" w14:textId="58A455EE" w:rsidR="002D669E" w:rsidRPr="00A85CAC" w:rsidRDefault="00CC5114" w:rsidP="002D669E">
            <w:pPr>
              <w:ind w:firstLine="0"/>
              <w:rPr>
                <w:sz w:val="22"/>
              </w:rPr>
            </w:pPr>
            <w:r w:rsidRPr="00A85CAC">
              <w:rPr>
                <w:sz w:val="22"/>
              </w:rPr>
              <w:t>Мес. 12</w:t>
            </w:r>
          </w:p>
        </w:tc>
        <w:tc>
          <w:tcPr>
            <w:tcW w:w="1487" w:type="dxa"/>
          </w:tcPr>
          <w:p w14:paraId="556174AD" w14:textId="6C0956A2" w:rsidR="002D669E" w:rsidRPr="00A85CAC" w:rsidRDefault="00C15D1B" w:rsidP="00A85CAC">
            <w:pPr>
              <w:ind w:firstLine="0"/>
              <w:jc w:val="center"/>
              <w:rPr>
                <w:sz w:val="20"/>
                <w:szCs w:val="20"/>
              </w:rPr>
            </w:pPr>
            <w:r w:rsidRPr="00A85CAC">
              <w:rPr>
                <w:sz w:val="20"/>
                <w:szCs w:val="20"/>
              </w:rPr>
              <w:t>1</w:t>
            </w:r>
            <w:r w:rsidR="00DB1F70" w:rsidRPr="00A85CAC">
              <w:rPr>
                <w:sz w:val="20"/>
                <w:szCs w:val="20"/>
              </w:rPr>
              <w:t>,</w:t>
            </w:r>
            <w:r w:rsidRPr="00A85CAC">
              <w:rPr>
                <w:sz w:val="20"/>
                <w:szCs w:val="20"/>
              </w:rPr>
              <w:t>0 (3</w:t>
            </w:r>
            <w:r w:rsidR="00DB1F70" w:rsidRPr="00A85CAC">
              <w:rPr>
                <w:sz w:val="20"/>
                <w:szCs w:val="20"/>
              </w:rPr>
              <w:t>,</w:t>
            </w:r>
            <w:r w:rsidRPr="00A85CAC">
              <w:rPr>
                <w:sz w:val="20"/>
                <w:szCs w:val="20"/>
              </w:rPr>
              <w:t>9)</w:t>
            </w:r>
          </w:p>
        </w:tc>
        <w:tc>
          <w:tcPr>
            <w:tcW w:w="1701" w:type="dxa"/>
          </w:tcPr>
          <w:p w14:paraId="16C5FFE5" w14:textId="5F35FB63" w:rsidR="002D669E" w:rsidRPr="00A85CAC" w:rsidRDefault="000E5C2A"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3 (3</w:t>
            </w:r>
            <w:r w:rsidR="00DB1F70" w:rsidRPr="00A85CAC">
              <w:rPr>
                <w:sz w:val="20"/>
                <w:szCs w:val="20"/>
              </w:rPr>
              <w:t>,</w:t>
            </w:r>
            <w:r w:rsidRPr="00A85CAC">
              <w:rPr>
                <w:sz w:val="20"/>
                <w:szCs w:val="20"/>
              </w:rPr>
              <w:t>0)</w:t>
            </w:r>
          </w:p>
        </w:tc>
        <w:tc>
          <w:tcPr>
            <w:tcW w:w="1559" w:type="dxa"/>
          </w:tcPr>
          <w:p w14:paraId="44F6AF03" w14:textId="39B0AE9A" w:rsidR="002D669E" w:rsidRPr="00A85CAC" w:rsidRDefault="001A31F8"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6 (-1</w:t>
            </w:r>
            <w:r w:rsidR="00DB1F70" w:rsidRPr="00A85CAC">
              <w:rPr>
                <w:sz w:val="20"/>
                <w:szCs w:val="20"/>
              </w:rPr>
              <w:t>,</w:t>
            </w:r>
            <w:r w:rsidRPr="00A85CAC">
              <w:rPr>
                <w:sz w:val="20"/>
                <w:szCs w:val="20"/>
              </w:rPr>
              <w:t>3, 0</w:t>
            </w:r>
            <w:r w:rsidR="00DB1F70" w:rsidRPr="00A85CAC">
              <w:rPr>
                <w:sz w:val="20"/>
                <w:szCs w:val="20"/>
              </w:rPr>
              <w:t>,</w:t>
            </w:r>
            <w:r w:rsidRPr="00A85CAC">
              <w:rPr>
                <w:sz w:val="20"/>
                <w:szCs w:val="20"/>
              </w:rPr>
              <w:t>0)</w:t>
            </w:r>
          </w:p>
        </w:tc>
        <w:tc>
          <w:tcPr>
            <w:tcW w:w="1843" w:type="dxa"/>
          </w:tcPr>
          <w:p w14:paraId="46A4D01E" w14:textId="214E30D3" w:rsidR="002D669E" w:rsidRPr="00A85CAC" w:rsidRDefault="009D0A1F"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1 (2</w:t>
            </w:r>
            <w:r w:rsidR="00DB1F70" w:rsidRPr="00A85CAC">
              <w:rPr>
                <w:sz w:val="20"/>
                <w:szCs w:val="20"/>
              </w:rPr>
              <w:t>,</w:t>
            </w:r>
            <w:r w:rsidRPr="00A85CAC">
              <w:rPr>
                <w:sz w:val="20"/>
                <w:szCs w:val="20"/>
              </w:rPr>
              <w:t>9)</w:t>
            </w:r>
          </w:p>
        </w:tc>
        <w:tc>
          <w:tcPr>
            <w:tcW w:w="1701" w:type="dxa"/>
          </w:tcPr>
          <w:p w14:paraId="3BD0FA6C" w14:textId="5ED03CCD" w:rsidR="002D669E" w:rsidRPr="00A85CAC" w:rsidRDefault="003116C6"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9 (-1</w:t>
            </w:r>
            <w:r w:rsidR="00DB1F70" w:rsidRPr="00A85CAC">
              <w:rPr>
                <w:sz w:val="20"/>
                <w:szCs w:val="20"/>
              </w:rPr>
              <w:t>,</w:t>
            </w:r>
            <w:r w:rsidRPr="00A85CAC">
              <w:rPr>
                <w:sz w:val="20"/>
                <w:szCs w:val="20"/>
              </w:rPr>
              <w:t>5, -0</w:t>
            </w:r>
            <w:r w:rsidR="00DB1F70" w:rsidRPr="00A85CAC">
              <w:rPr>
                <w:sz w:val="20"/>
                <w:szCs w:val="20"/>
              </w:rPr>
              <w:t>,</w:t>
            </w:r>
            <w:r w:rsidRPr="00A85CAC">
              <w:rPr>
                <w:sz w:val="20"/>
                <w:szCs w:val="20"/>
              </w:rPr>
              <w:t>2)</w:t>
            </w:r>
          </w:p>
        </w:tc>
      </w:tr>
      <w:tr w:rsidR="003116C6" w:rsidRPr="00AC0C3E" w14:paraId="1671C3C8" w14:textId="77777777" w:rsidTr="00A85CAC">
        <w:tc>
          <w:tcPr>
            <w:tcW w:w="9356" w:type="dxa"/>
            <w:gridSpan w:val="6"/>
            <w:shd w:val="clear" w:color="auto" w:fill="D9D9D9" w:themeFill="background1" w:themeFillShade="D9"/>
          </w:tcPr>
          <w:p w14:paraId="7E1F6BA6" w14:textId="6BA19290" w:rsidR="003116C6" w:rsidRPr="00A85CAC" w:rsidRDefault="003116C6" w:rsidP="00A85CAC">
            <w:pPr>
              <w:ind w:firstLine="0"/>
              <w:jc w:val="center"/>
              <w:rPr>
                <w:b/>
                <w:bCs/>
                <w:sz w:val="20"/>
                <w:szCs w:val="20"/>
              </w:rPr>
            </w:pPr>
            <w:r w:rsidRPr="00A85CAC">
              <w:rPr>
                <w:b/>
                <w:bCs/>
                <w:sz w:val="20"/>
                <w:szCs w:val="20"/>
              </w:rPr>
              <w:t>ORAL Start: пациенты, ранее не получавшие метотрексат</w:t>
            </w:r>
          </w:p>
        </w:tc>
      </w:tr>
      <w:tr w:rsidR="00E135A7" w:rsidRPr="00AC0C3E" w14:paraId="14DB81D7" w14:textId="77777777" w:rsidTr="00A85CAC">
        <w:tc>
          <w:tcPr>
            <w:tcW w:w="1065" w:type="dxa"/>
            <w:shd w:val="clear" w:color="auto" w:fill="D9D9D9" w:themeFill="background1" w:themeFillShade="D9"/>
          </w:tcPr>
          <w:p w14:paraId="25708887" w14:textId="77777777" w:rsidR="00E135A7" w:rsidRPr="00A85CAC" w:rsidRDefault="00E135A7" w:rsidP="00E135A7">
            <w:pPr>
              <w:ind w:firstLine="0"/>
              <w:rPr>
                <w:sz w:val="22"/>
              </w:rPr>
            </w:pPr>
          </w:p>
        </w:tc>
        <w:tc>
          <w:tcPr>
            <w:tcW w:w="1487" w:type="dxa"/>
            <w:shd w:val="clear" w:color="auto" w:fill="D9D9D9" w:themeFill="background1" w:themeFillShade="D9"/>
          </w:tcPr>
          <w:p w14:paraId="0C3B1F30" w14:textId="5A3D8FF7" w:rsidR="00E135A7" w:rsidRPr="00A85CAC" w:rsidRDefault="00E135A7" w:rsidP="00A85CAC">
            <w:pPr>
              <w:ind w:firstLine="0"/>
              <w:jc w:val="center"/>
              <w:rPr>
                <w:b/>
                <w:bCs/>
                <w:sz w:val="20"/>
                <w:szCs w:val="20"/>
              </w:rPr>
            </w:pPr>
            <w:r w:rsidRPr="00A85CAC">
              <w:rPr>
                <w:b/>
                <w:bCs/>
                <w:sz w:val="20"/>
                <w:szCs w:val="20"/>
              </w:rPr>
              <w:t>Метотрексат;</w:t>
            </w:r>
          </w:p>
          <w:p w14:paraId="53281F72" w14:textId="4BE36842" w:rsidR="00E135A7" w:rsidRPr="00A85CAC" w:rsidRDefault="00E135A7" w:rsidP="00A85CAC">
            <w:pPr>
              <w:ind w:firstLine="0"/>
              <w:jc w:val="center"/>
              <w:rPr>
                <w:b/>
                <w:bCs/>
                <w:sz w:val="20"/>
                <w:szCs w:val="20"/>
              </w:rPr>
            </w:pPr>
            <w:r w:rsidRPr="00A85CAC">
              <w:rPr>
                <w:b/>
                <w:bCs/>
                <w:sz w:val="20"/>
                <w:szCs w:val="20"/>
                <w:lang w:val="en-US"/>
              </w:rPr>
              <w:t>N</w:t>
            </w:r>
            <w:r w:rsidRPr="00A85CAC">
              <w:rPr>
                <w:b/>
                <w:bCs/>
                <w:sz w:val="20"/>
                <w:szCs w:val="20"/>
              </w:rPr>
              <w:t xml:space="preserve"> = 168;</w:t>
            </w:r>
          </w:p>
          <w:p w14:paraId="454B3C4B" w14:textId="77777777" w:rsidR="00E135A7" w:rsidRPr="00A85CAC" w:rsidRDefault="00E135A7" w:rsidP="00A85CAC">
            <w:pPr>
              <w:ind w:firstLine="0"/>
              <w:jc w:val="center"/>
              <w:rPr>
                <w:b/>
                <w:bCs/>
                <w:sz w:val="20"/>
                <w:szCs w:val="20"/>
              </w:rPr>
            </w:pPr>
            <w:r w:rsidRPr="00A85CAC">
              <w:rPr>
                <w:b/>
                <w:bCs/>
                <w:sz w:val="20"/>
                <w:szCs w:val="20"/>
              </w:rPr>
              <w:t>среднее значение</w:t>
            </w:r>
          </w:p>
          <w:p w14:paraId="693277B6" w14:textId="700006BC" w:rsidR="00E135A7" w:rsidRPr="00A85CAC" w:rsidRDefault="00E135A7" w:rsidP="00A85CAC">
            <w:pPr>
              <w:ind w:firstLine="0"/>
              <w:jc w:val="center"/>
              <w:rPr>
                <w:sz w:val="20"/>
                <w:szCs w:val="20"/>
              </w:rPr>
            </w:pPr>
            <w:r w:rsidRPr="00A85CAC">
              <w:rPr>
                <w:b/>
                <w:bCs/>
                <w:sz w:val="20"/>
                <w:szCs w:val="20"/>
              </w:rPr>
              <w:t>(стандартное отклонение)</w:t>
            </w:r>
          </w:p>
        </w:tc>
        <w:tc>
          <w:tcPr>
            <w:tcW w:w="1701" w:type="dxa"/>
            <w:shd w:val="clear" w:color="auto" w:fill="D9D9D9" w:themeFill="background1" w:themeFillShade="D9"/>
          </w:tcPr>
          <w:p w14:paraId="3E536C42" w14:textId="0F6C7818" w:rsidR="00E135A7" w:rsidRPr="00A85CAC" w:rsidRDefault="00E135A7" w:rsidP="00A85CAC">
            <w:pPr>
              <w:ind w:firstLine="0"/>
              <w:jc w:val="center"/>
              <w:rPr>
                <w:b/>
                <w:bCs/>
                <w:sz w:val="20"/>
                <w:szCs w:val="20"/>
              </w:rPr>
            </w:pPr>
            <w:r w:rsidRPr="00A85CAC">
              <w:rPr>
                <w:b/>
                <w:bCs/>
                <w:sz w:val="20"/>
                <w:szCs w:val="20"/>
              </w:rPr>
              <w:t>Тофацитиниб 5 мг 2 раза в день;</w:t>
            </w:r>
          </w:p>
          <w:p w14:paraId="216CFA1E" w14:textId="545E831D" w:rsidR="00E135A7" w:rsidRPr="00A85CAC" w:rsidRDefault="00E135A7" w:rsidP="00A85CAC">
            <w:pPr>
              <w:ind w:firstLine="0"/>
              <w:jc w:val="center"/>
              <w:rPr>
                <w:b/>
                <w:bCs/>
                <w:sz w:val="20"/>
                <w:szCs w:val="20"/>
              </w:rPr>
            </w:pPr>
            <w:r w:rsidRPr="00A85CAC">
              <w:rPr>
                <w:b/>
                <w:bCs/>
                <w:sz w:val="20"/>
                <w:szCs w:val="20"/>
                <w:lang w:val="en-US"/>
              </w:rPr>
              <w:t>N</w:t>
            </w:r>
            <w:r w:rsidRPr="00A85CAC">
              <w:rPr>
                <w:b/>
                <w:bCs/>
                <w:sz w:val="20"/>
                <w:szCs w:val="20"/>
              </w:rPr>
              <w:t xml:space="preserve"> = </w:t>
            </w:r>
            <w:r w:rsidR="003962D0" w:rsidRPr="00A85CAC">
              <w:rPr>
                <w:b/>
                <w:bCs/>
                <w:sz w:val="20"/>
                <w:szCs w:val="20"/>
              </w:rPr>
              <w:t>344</w:t>
            </w:r>
            <w:r w:rsidRPr="00A85CAC">
              <w:rPr>
                <w:b/>
                <w:bCs/>
                <w:sz w:val="20"/>
                <w:szCs w:val="20"/>
              </w:rPr>
              <w:t>;</w:t>
            </w:r>
          </w:p>
          <w:p w14:paraId="6CC41814" w14:textId="77777777" w:rsidR="00E135A7" w:rsidRPr="00A85CAC" w:rsidRDefault="00E135A7" w:rsidP="00A85CAC">
            <w:pPr>
              <w:ind w:firstLine="0"/>
              <w:jc w:val="center"/>
              <w:rPr>
                <w:b/>
                <w:bCs/>
                <w:sz w:val="20"/>
                <w:szCs w:val="20"/>
              </w:rPr>
            </w:pPr>
            <w:r w:rsidRPr="00A85CAC">
              <w:rPr>
                <w:b/>
                <w:bCs/>
                <w:sz w:val="20"/>
                <w:szCs w:val="20"/>
              </w:rPr>
              <w:t>среднее значение</w:t>
            </w:r>
          </w:p>
          <w:p w14:paraId="502764B2" w14:textId="2924488D" w:rsidR="00E135A7" w:rsidRPr="00A85CAC" w:rsidRDefault="00E135A7" w:rsidP="00A85CAC">
            <w:pPr>
              <w:ind w:firstLine="0"/>
              <w:jc w:val="center"/>
              <w:rPr>
                <w:sz w:val="20"/>
                <w:szCs w:val="20"/>
              </w:rPr>
            </w:pPr>
            <w:r w:rsidRPr="00A85CAC">
              <w:rPr>
                <w:b/>
                <w:bCs/>
                <w:sz w:val="20"/>
                <w:szCs w:val="20"/>
              </w:rPr>
              <w:t>(стандартное отклонение)</w:t>
            </w:r>
          </w:p>
        </w:tc>
        <w:tc>
          <w:tcPr>
            <w:tcW w:w="1559" w:type="dxa"/>
            <w:shd w:val="clear" w:color="auto" w:fill="D9D9D9" w:themeFill="background1" w:themeFillShade="D9"/>
          </w:tcPr>
          <w:p w14:paraId="124EE9DE" w14:textId="5B433002" w:rsidR="00E135A7" w:rsidRPr="00A85CAC" w:rsidRDefault="00E135A7" w:rsidP="00A85CAC">
            <w:pPr>
              <w:ind w:firstLine="0"/>
              <w:jc w:val="center"/>
              <w:rPr>
                <w:sz w:val="20"/>
                <w:szCs w:val="20"/>
              </w:rPr>
            </w:pPr>
            <w:r w:rsidRPr="00A85CAC">
              <w:rPr>
                <w:b/>
                <w:bCs/>
                <w:sz w:val="20"/>
                <w:szCs w:val="20"/>
              </w:rPr>
              <w:t xml:space="preserve">Тофацитиниб 5 мг 2 раза в день; средняя разность по сравнению с </w:t>
            </w:r>
            <w:r w:rsidR="003962D0" w:rsidRPr="00A85CAC">
              <w:rPr>
                <w:b/>
                <w:bCs/>
                <w:sz w:val="20"/>
                <w:szCs w:val="20"/>
              </w:rPr>
              <w:t>метотрексатом</w:t>
            </w:r>
            <w:r w:rsidR="002A601B" w:rsidRPr="00A85CAC">
              <w:rPr>
                <w:b/>
                <w:bCs/>
                <w:sz w:val="20"/>
                <w:szCs w:val="20"/>
                <w:vertAlign w:val="superscript"/>
              </w:rPr>
              <w:t>c</w:t>
            </w:r>
            <w:r w:rsidRPr="00A85CAC">
              <w:rPr>
                <w:b/>
                <w:bCs/>
                <w:sz w:val="20"/>
                <w:szCs w:val="20"/>
              </w:rPr>
              <w:t xml:space="preserve"> (ДИ)</w:t>
            </w:r>
          </w:p>
        </w:tc>
        <w:tc>
          <w:tcPr>
            <w:tcW w:w="1843" w:type="dxa"/>
            <w:shd w:val="clear" w:color="auto" w:fill="D9D9D9" w:themeFill="background1" w:themeFillShade="D9"/>
          </w:tcPr>
          <w:p w14:paraId="17F596AD" w14:textId="54B2FF4B" w:rsidR="00E135A7" w:rsidRPr="00A85CAC" w:rsidRDefault="00E135A7" w:rsidP="00A85CAC">
            <w:pPr>
              <w:ind w:firstLine="0"/>
              <w:jc w:val="center"/>
              <w:rPr>
                <w:b/>
                <w:bCs/>
                <w:sz w:val="20"/>
                <w:szCs w:val="20"/>
              </w:rPr>
            </w:pPr>
            <w:r w:rsidRPr="00A85CAC">
              <w:rPr>
                <w:b/>
                <w:bCs/>
                <w:sz w:val="20"/>
                <w:szCs w:val="20"/>
              </w:rPr>
              <w:t>Тофацитиниб 10 мг 2 раза в день;</w:t>
            </w:r>
          </w:p>
          <w:p w14:paraId="43A22D02" w14:textId="0226B2E0" w:rsidR="00E135A7" w:rsidRPr="00A85CAC" w:rsidRDefault="00E135A7" w:rsidP="00A85CAC">
            <w:pPr>
              <w:ind w:firstLine="0"/>
              <w:jc w:val="center"/>
              <w:rPr>
                <w:b/>
                <w:bCs/>
                <w:sz w:val="20"/>
                <w:szCs w:val="20"/>
              </w:rPr>
            </w:pPr>
            <w:r w:rsidRPr="00A85CAC">
              <w:rPr>
                <w:b/>
                <w:bCs/>
                <w:sz w:val="20"/>
                <w:szCs w:val="20"/>
                <w:lang w:val="en-US"/>
              </w:rPr>
              <w:t>N</w:t>
            </w:r>
            <w:r w:rsidRPr="00A85CAC">
              <w:rPr>
                <w:b/>
                <w:bCs/>
                <w:sz w:val="20"/>
                <w:szCs w:val="20"/>
              </w:rPr>
              <w:t xml:space="preserve"> = </w:t>
            </w:r>
            <w:r w:rsidR="00C22955" w:rsidRPr="00A85CAC">
              <w:rPr>
                <w:b/>
                <w:bCs/>
                <w:sz w:val="20"/>
                <w:szCs w:val="20"/>
              </w:rPr>
              <w:t>368</w:t>
            </w:r>
            <w:r w:rsidRPr="00A85CAC">
              <w:rPr>
                <w:b/>
                <w:bCs/>
                <w:sz w:val="20"/>
                <w:szCs w:val="20"/>
              </w:rPr>
              <w:t>;</w:t>
            </w:r>
          </w:p>
          <w:p w14:paraId="3FA58E7A" w14:textId="77777777" w:rsidR="00E135A7" w:rsidRPr="00A85CAC" w:rsidRDefault="00E135A7" w:rsidP="00A85CAC">
            <w:pPr>
              <w:ind w:firstLine="0"/>
              <w:jc w:val="center"/>
              <w:rPr>
                <w:b/>
                <w:bCs/>
                <w:sz w:val="20"/>
                <w:szCs w:val="20"/>
              </w:rPr>
            </w:pPr>
            <w:r w:rsidRPr="00A85CAC">
              <w:rPr>
                <w:b/>
                <w:bCs/>
                <w:sz w:val="20"/>
                <w:szCs w:val="20"/>
              </w:rPr>
              <w:t>среднее значение</w:t>
            </w:r>
          </w:p>
          <w:p w14:paraId="786E9E05" w14:textId="4C0F5F5E" w:rsidR="00E135A7" w:rsidRPr="00A85CAC" w:rsidRDefault="00E135A7" w:rsidP="00A85CAC">
            <w:pPr>
              <w:ind w:firstLine="0"/>
              <w:jc w:val="center"/>
              <w:rPr>
                <w:sz w:val="20"/>
                <w:szCs w:val="20"/>
              </w:rPr>
            </w:pPr>
            <w:r w:rsidRPr="00A85CAC">
              <w:rPr>
                <w:b/>
                <w:bCs/>
                <w:sz w:val="20"/>
                <w:szCs w:val="20"/>
              </w:rPr>
              <w:t>(стандартное отклонение)</w:t>
            </w:r>
          </w:p>
        </w:tc>
        <w:tc>
          <w:tcPr>
            <w:tcW w:w="1701" w:type="dxa"/>
            <w:shd w:val="clear" w:color="auto" w:fill="D9D9D9" w:themeFill="background1" w:themeFillShade="D9"/>
          </w:tcPr>
          <w:p w14:paraId="46B124BF" w14:textId="77D486C8" w:rsidR="00E135A7" w:rsidRPr="00A85CAC" w:rsidRDefault="00E135A7" w:rsidP="00A85CAC">
            <w:pPr>
              <w:ind w:firstLine="0"/>
              <w:jc w:val="center"/>
              <w:rPr>
                <w:sz w:val="20"/>
                <w:szCs w:val="20"/>
              </w:rPr>
            </w:pPr>
            <w:r w:rsidRPr="00A85CAC">
              <w:rPr>
                <w:b/>
                <w:bCs/>
                <w:sz w:val="20"/>
                <w:szCs w:val="20"/>
              </w:rPr>
              <w:t>Тофацитиниб 10 мг 2 раза в день; средняя разность по сравнению с плацебо</w:t>
            </w:r>
            <w:r w:rsidR="002A601B" w:rsidRPr="00A85CAC">
              <w:rPr>
                <w:b/>
                <w:bCs/>
                <w:sz w:val="20"/>
                <w:szCs w:val="20"/>
                <w:vertAlign w:val="superscript"/>
              </w:rPr>
              <w:t>c</w:t>
            </w:r>
            <w:r w:rsidRPr="00A85CAC">
              <w:rPr>
                <w:b/>
                <w:bCs/>
                <w:sz w:val="20"/>
                <w:szCs w:val="20"/>
              </w:rPr>
              <w:t xml:space="preserve"> (ДИ)</w:t>
            </w:r>
          </w:p>
        </w:tc>
      </w:tr>
      <w:tr w:rsidR="00463FBE" w:rsidRPr="00AC0C3E" w14:paraId="36A34F06" w14:textId="77777777" w:rsidTr="00A85CAC">
        <w:tc>
          <w:tcPr>
            <w:tcW w:w="9356" w:type="dxa"/>
            <w:gridSpan w:val="6"/>
          </w:tcPr>
          <w:p w14:paraId="5DF5B811" w14:textId="065A0FAC" w:rsidR="00463FBE" w:rsidRPr="00A85CAC" w:rsidRDefault="00463FBE" w:rsidP="00E135A7">
            <w:pPr>
              <w:ind w:firstLine="0"/>
              <w:rPr>
                <w:b/>
                <w:bCs/>
                <w:sz w:val="20"/>
                <w:szCs w:val="20"/>
                <w:lang w:val="en-US"/>
              </w:rPr>
            </w:pPr>
            <w:r w:rsidRPr="00A85CAC">
              <w:rPr>
                <w:sz w:val="20"/>
                <w:szCs w:val="20"/>
              </w:rPr>
              <w:t>mTSS</w:t>
            </w:r>
            <w:r w:rsidR="002A601B" w:rsidRPr="00A85CAC">
              <w:rPr>
                <w:sz w:val="20"/>
                <w:szCs w:val="20"/>
                <w:vertAlign w:val="superscript"/>
                <w:lang w:val="en-US"/>
              </w:rPr>
              <w:t>b</w:t>
            </w:r>
          </w:p>
        </w:tc>
      </w:tr>
      <w:tr w:rsidR="00463FBE" w:rsidRPr="00AC0C3E" w14:paraId="1C4A09E7" w14:textId="77777777" w:rsidTr="00A85CAC">
        <w:tc>
          <w:tcPr>
            <w:tcW w:w="1065" w:type="dxa"/>
          </w:tcPr>
          <w:p w14:paraId="6A60B526" w14:textId="4A8BA301" w:rsidR="00463FBE" w:rsidRPr="00A85CAC" w:rsidRDefault="00463FBE" w:rsidP="00463FBE">
            <w:pPr>
              <w:ind w:firstLine="0"/>
              <w:rPr>
                <w:sz w:val="20"/>
                <w:szCs w:val="20"/>
              </w:rPr>
            </w:pPr>
            <w:r w:rsidRPr="00A85CAC">
              <w:rPr>
                <w:sz w:val="20"/>
                <w:szCs w:val="20"/>
              </w:rPr>
              <w:t>Исходно</w:t>
            </w:r>
          </w:p>
        </w:tc>
        <w:tc>
          <w:tcPr>
            <w:tcW w:w="1487" w:type="dxa"/>
          </w:tcPr>
          <w:p w14:paraId="1B1252F1" w14:textId="7C1B3EF1" w:rsidR="00463FBE" w:rsidRPr="00A85CAC" w:rsidRDefault="005D6162" w:rsidP="00A85CAC">
            <w:pPr>
              <w:ind w:firstLine="0"/>
              <w:jc w:val="center"/>
              <w:rPr>
                <w:sz w:val="20"/>
                <w:szCs w:val="20"/>
              </w:rPr>
            </w:pPr>
            <w:r w:rsidRPr="00A85CAC">
              <w:rPr>
                <w:sz w:val="20"/>
                <w:szCs w:val="20"/>
              </w:rPr>
              <w:t>16 (29)</w:t>
            </w:r>
          </w:p>
        </w:tc>
        <w:tc>
          <w:tcPr>
            <w:tcW w:w="1701" w:type="dxa"/>
          </w:tcPr>
          <w:p w14:paraId="29049CC0" w14:textId="0C5A1972" w:rsidR="00463FBE" w:rsidRPr="00A85CAC" w:rsidRDefault="00C45DD9" w:rsidP="00A85CAC">
            <w:pPr>
              <w:ind w:firstLine="0"/>
              <w:jc w:val="center"/>
              <w:rPr>
                <w:sz w:val="20"/>
                <w:szCs w:val="20"/>
              </w:rPr>
            </w:pPr>
            <w:r w:rsidRPr="00A85CAC">
              <w:rPr>
                <w:sz w:val="20"/>
                <w:szCs w:val="20"/>
              </w:rPr>
              <w:t>20 (41)</w:t>
            </w:r>
          </w:p>
        </w:tc>
        <w:tc>
          <w:tcPr>
            <w:tcW w:w="1559" w:type="dxa"/>
          </w:tcPr>
          <w:p w14:paraId="30FE4A3E" w14:textId="6244A71F" w:rsidR="00463FBE" w:rsidRPr="00A85CAC" w:rsidRDefault="00840CD4" w:rsidP="00A85CAC">
            <w:pPr>
              <w:ind w:firstLine="0"/>
              <w:jc w:val="center"/>
              <w:rPr>
                <w:sz w:val="20"/>
                <w:szCs w:val="20"/>
              </w:rPr>
            </w:pPr>
            <w:r w:rsidRPr="00A85CAC">
              <w:rPr>
                <w:sz w:val="20"/>
                <w:szCs w:val="20"/>
              </w:rPr>
              <w:t>–</w:t>
            </w:r>
          </w:p>
        </w:tc>
        <w:tc>
          <w:tcPr>
            <w:tcW w:w="1843" w:type="dxa"/>
          </w:tcPr>
          <w:p w14:paraId="2672F3DB" w14:textId="6D716EBF" w:rsidR="00463FBE" w:rsidRPr="00A85CAC" w:rsidRDefault="00840CD4" w:rsidP="00A85CAC">
            <w:pPr>
              <w:ind w:firstLine="0"/>
              <w:jc w:val="center"/>
              <w:rPr>
                <w:sz w:val="20"/>
                <w:szCs w:val="20"/>
              </w:rPr>
            </w:pPr>
            <w:r w:rsidRPr="00A85CAC">
              <w:rPr>
                <w:sz w:val="20"/>
                <w:szCs w:val="20"/>
              </w:rPr>
              <w:t>19 (39)</w:t>
            </w:r>
          </w:p>
        </w:tc>
        <w:tc>
          <w:tcPr>
            <w:tcW w:w="1701" w:type="dxa"/>
          </w:tcPr>
          <w:p w14:paraId="2301EF67" w14:textId="435FCE3F" w:rsidR="00463FBE" w:rsidRPr="00A85CAC" w:rsidRDefault="00DB1F70" w:rsidP="00A85CAC">
            <w:pPr>
              <w:ind w:firstLine="0"/>
              <w:jc w:val="center"/>
              <w:rPr>
                <w:sz w:val="20"/>
                <w:szCs w:val="20"/>
              </w:rPr>
            </w:pPr>
            <w:r w:rsidRPr="00A85CAC">
              <w:rPr>
                <w:sz w:val="20"/>
                <w:szCs w:val="20"/>
              </w:rPr>
              <w:t>–</w:t>
            </w:r>
          </w:p>
        </w:tc>
      </w:tr>
      <w:tr w:rsidR="00463FBE" w:rsidRPr="00AC0C3E" w14:paraId="40B6F3C1" w14:textId="77777777" w:rsidTr="00A85CAC">
        <w:tc>
          <w:tcPr>
            <w:tcW w:w="1065" w:type="dxa"/>
          </w:tcPr>
          <w:p w14:paraId="67BC5EA8" w14:textId="69F93B3D" w:rsidR="00463FBE" w:rsidRPr="00A85CAC" w:rsidRDefault="00463FBE" w:rsidP="00463FBE">
            <w:pPr>
              <w:ind w:firstLine="0"/>
              <w:rPr>
                <w:sz w:val="20"/>
                <w:szCs w:val="20"/>
              </w:rPr>
            </w:pPr>
            <w:r w:rsidRPr="00A85CAC">
              <w:rPr>
                <w:sz w:val="20"/>
                <w:szCs w:val="20"/>
              </w:rPr>
              <w:t>Мес. 6</w:t>
            </w:r>
          </w:p>
        </w:tc>
        <w:tc>
          <w:tcPr>
            <w:tcW w:w="1487" w:type="dxa"/>
          </w:tcPr>
          <w:p w14:paraId="40884D77" w14:textId="34B67E30" w:rsidR="00463FBE" w:rsidRPr="00A85CAC" w:rsidRDefault="005D6162"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9 (2</w:t>
            </w:r>
            <w:r w:rsidR="00DB1F70" w:rsidRPr="00A85CAC">
              <w:rPr>
                <w:sz w:val="20"/>
                <w:szCs w:val="20"/>
              </w:rPr>
              <w:t>,</w:t>
            </w:r>
            <w:r w:rsidRPr="00A85CAC">
              <w:rPr>
                <w:sz w:val="20"/>
                <w:szCs w:val="20"/>
              </w:rPr>
              <w:t>7)</w:t>
            </w:r>
          </w:p>
        </w:tc>
        <w:tc>
          <w:tcPr>
            <w:tcW w:w="1701" w:type="dxa"/>
          </w:tcPr>
          <w:p w14:paraId="4810A06D" w14:textId="715BC625" w:rsidR="00463FBE" w:rsidRPr="00A85CAC" w:rsidRDefault="00C45DD9"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2 (2</w:t>
            </w:r>
            <w:r w:rsidR="00DB1F70" w:rsidRPr="00A85CAC">
              <w:rPr>
                <w:sz w:val="20"/>
                <w:szCs w:val="20"/>
              </w:rPr>
              <w:t>,</w:t>
            </w:r>
            <w:r w:rsidRPr="00A85CAC">
              <w:rPr>
                <w:sz w:val="20"/>
                <w:szCs w:val="20"/>
              </w:rPr>
              <w:t>3)</w:t>
            </w:r>
          </w:p>
        </w:tc>
        <w:tc>
          <w:tcPr>
            <w:tcW w:w="1559" w:type="dxa"/>
          </w:tcPr>
          <w:p w14:paraId="40E75967" w14:textId="7DE6FB2E" w:rsidR="00463FBE" w:rsidRPr="00A85CAC" w:rsidRDefault="00840CD4"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7 (-1</w:t>
            </w:r>
            <w:r w:rsidR="00DB1F70" w:rsidRPr="00A85CAC">
              <w:rPr>
                <w:sz w:val="20"/>
                <w:szCs w:val="20"/>
              </w:rPr>
              <w:t>,</w:t>
            </w:r>
            <w:r w:rsidRPr="00A85CAC">
              <w:rPr>
                <w:sz w:val="20"/>
                <w:szCs w:val="20"/>
              </w:rPr>
              <w:t>0, -0</w:t>
            </w:r>
            <w:r w:rsidR="00DB1F70" w:rsidRPr="00A85CAC">
              <w:rPr>
                <w:sz w:val="20"/>
                <w:szCs w:val="20"/>
              </w:rPr>
              <w:t>,</w:t>
            </w:r>
            <w:r w:rsidRPr="00A85CAC">
              <w:rPr>
                <w:sz w:val="20"/>
                <w:szCs w:val="20"/>
              </w:rPr>
              <w:t>3)</w:t>
            </w:r>
          </w:p>
        </w:tc>
        <w:tc>
          <w:tcPr>
            <w:tcW w:w="1843" w:type="dxa"/>
          </w:tcPr>
          <w:p w14:paraId="065D9C2A" w14:textId="2D92B087" w:rsidR="00463FBE" w:rsidRPr="00A85CAC" w:rsidRDefault="00840CD4"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0 (1</w:t>
            </w:r>
            <w:r w:rsidR="00DB1F70" w:rsidRPr="00A85CAC">
              <w:rPr>
                <w:sz w:val="20"/>
                <w:szCs w:val="20"/>
              </w:rPr>
              <w:t>,</w:t>
            </w:r>
            <w:r w:rsidRPr="00A85CAC">
              <w:rPr>
                <w:sz w:val="20"/>
                <w:szCs w:val="20"/>
              </w:rPr>
              <w:t>2)</w:t>
            </w:r>
          </w:p>
        </w:tc>
        <w:tc>
          <w:tcPr>
            <w:tcW w:w="1701" w:type="dxa"/>
          </w:tcPr>
          <w:p w14:paraId="503C9F45" w14:textId="0F80C996" w:rsidR="00463FBE" w:rsidRPr="00A85CAC" w:rsidRDefault="00DB1F70" w:rsidP="00A85CAC">
            <w:pPr>
              <w:ind w:firstLine="0"/>
              <w:jc w:val="center"/>
              <w:rPr>
                <w:sz w:val="20"/>
                <w:szCs w:val="20"/>
              </w:rPr>
            </w:pPr>
            <w:r w:rsidRPr="00A85CAC">
              <w:rPr>
                <w:sz w:val="20"/>
                <w:szCs w:val="20"/>
              </w:rPr>
              <w:t>-0,8 (-1,2, -0,4)</w:t>
            </w:r>
          </w:p>
        </w:tc>
      </w:tr>
      <w:tr w:rsidR="00463FBE" w:rsidRPr="00AC0C3E" w14:paraId="24176D98" w14:textId="77777777" w:rsidTr="00A85CAC">
        <w:tc>
          <w:tcPr>
            <w:tcW w:w="1065" w:type="dxa"/>
          </w:tcPr>
          <w:p w14:paraId="45B21D36" w14:textId="19627492" w:rsidR="00463FBE" w:rsidRPr="00A85CAC" w:rsidRDefault="00463FBE" w:rsidP="00463FBE">
            <w:pPr>
              <w:ind w:firstLine="0"/>
              <w:rPr>
                <w:sz w:val="20"/>
                <w:szCs w:val="20"/>
              </w:rPr>
            </w:pPr>
            <w:r w:rsidRPr="00A85CAC">
              <w:rPr>
                <w:sz w:val="20"/>
                <w:szCs w:val="20"/>
              </w:rPr>
              <w:t>Мес. 12</w:t>
            </w:r>
          </w:p>
        </w:tc>
        <w:tc>
          <w:tcPr>
            <w:tcW w:w="1487" w:type="dxa"/>
          </w:tcPr>
          <w:p w14:paraId="5D17823F" w14:textId="318027EC" w:rsidR="00463FBE" w:rsidRPr="00A85CAC" w:rsidRDefault="005D6162" w:rsidP="00A85CAC">
            <w:pPr>
              <w:ind w:firstLine="0"/>
              <w:jc w:val="center"/>
              <w:rPr>
                <w:sz w:val="20"/>
                <w:szCs w:val="20"/>
              </w:rPr>
            </w:pPr>
            <w:r w:rsidRPr="00A85CAC">
              <w:rPr>
                <w:sz w:val="20"/>
                <w:szCs w:val="20"/>
              </w:rPr>
              <w:t>1</w:t>
            </w:r>
            <w:r w:rsidR="00DB1F70" w:rsidRPr="00A85CAC">
              <w:rPr>
                <w:sz w:val="20"/>
                <w:szCs w:val="20"/>
              </w:rPr>
              <w:t>,</w:t>
            </w:r>
            <w:r w:rsidRPr="00A85CAC">
              <w:rPr>
                <w:sz w:val="20"/>
                <w:szCs w:val="20"/>
              </w:rPr>
              <w:t>3 (3</w:t>
            </w:r>
            <w:r w:rsidR="00DB1F70" w:rsidRPr="00A85CAC">
              <w:rPr>
                <w:sz w:val="20"/>
                <w:szCs w:val="20"/>
              </w:rPr>
              <w:t>,</w:t>
            </w:r>
            <w:r w:rsidRPr="00A85CAC">
              <w:rPr>
                <w:sz w:val="20"/>
                <w:szCs w:val="20"/>
              </w:rPr>
              <w:t>7)</w:t>
            </w:r>
          </w:p>
        </w:tc>
        <w:tc>
          <w:tcPr>
            <w:tcW w:w="1701" w:type="dxa"/>
          </w:tcPr>
          <w:p w14:paraId="69EC9EB9" w14:textId="4008F434" w:rsidR="00463FBE" w:rsidRPr="00A85CAC" w:rsidRDefault="00C45DD9"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4 (3</w:t>
            </w:r>
            <w:r w:rsidR="00DB1F70" w:rsidRPr="00A85CAC">
              <w:rPr>
                <w:sz w:val="20"/>
                <w:szCs w:val="20"/>
              </w:rPr>
              <w:t>,</w:t>
            </w:r>
            <w:r w:rsidRPr="00A85CAC">
              <w:rPr>
                <w:sz w:val="20"/>
                <w:szCs w:val="20"/>
              </w:rPr>
              <w:t>0)</w:t>
            </w:r>
          </w:p>
        </w:tc>
        <w:tc>
          <w:tcPr>
            <w:tcW w:w="1559" w:type="dxa"/>
          </w:tcPr>
          <w:p w14:paraId="3592185E" w14:textId="43ADF45E" w:rsidR="00463FBE" w:rsidRPr="00A85CAC" w:rsidRDefault="00840CD4" w:rsidP="00A85CAC">
            <w:pPr>
              <w:ind w:firstLine="0"/>
              <w:jc w:val="center"/>
              <w:rPr>
                <w:sz w:val="20"/>
                <w:szCs w:val="20"/>
              </w:rPr>
            </w:pPr>
            <w:r w:rsidRPr="00A85CAC">
              <w:rPr>
                <w:sz w:val="20"/>
                <w:szCs w:val="20"/>
              </w:rPr>
              <w:t>-0</w:t>
            </w:r>
            <w:r w:rsidR="00DB1F70" w:rsidRPr="00A85CAC">
              <w:rPr>
                <w:sz w:val="20"/>
                <w:szCs w:val="20"/>
              </w:rPr>
              <w:t>,</w:t>
            </w:r>
            <w:r w:rsidRPr="00A85CAC">
              <w:rPr>
                <w:sz w:val="20"/>
                <w:szCs w:val="20"/>
              </w:rPr>
              <w:t>9 (-1</w:t>
            </w:r>
            <w:r w:rsidR="00DB1F70" w:rsidRPr="00A85CAC">
              <w:rPr>
                <w:sz w:val="20"/>
                <w:szCs w:val="20"/>
              </w:rPr>
              <w:t>,</w:t>
            </w:r>
            <w:r w:rsidRPr="00A85CAC">
              <w:rPr>
                <w:sz w:val="20"/>
                <w:szCs w:val="20"/>
              </w:rPr>
              <w:t>4, -0</w:t>
            </w:r>
            <w:r w:rsidR="00DB1F70" w:rsidRPr="00A85CAC">
              <w:rPr>
                <w:sz w:val="20"/>
                <w:szCs w:val="20"/>
              </w:rPr>
              <w:t>,</w:t>
            </w:r>
            <w:r w:rsidRPr="00A85CAC">
              <w:rPr>
                <w:sz w:val="20"/>
                <w:szCs w:val="20"/>
              </w:rPr>
              <w:t>4)</w:t>
            </w:r>
          </w:p>
        </w:tc>
        <w:tc>
          <w:tcPr>
            <w:tcW w:w="1843" w:type="dxa"/>
          </w:tcPr>
          <w:p w14:paraId="40BD9CF9" w14:textId="1DCE126E" w:rsidR="00463FBE" w:rsidRPr="00A85CAC" w:rsidRDefault="00DB1F70" w:rsidP="00A85CAC">
            <w:pPr>
              <w:ind w:firstLine="0"/>
              <w:jc w:val="center"/>
              <w:rPr>
                <w:sz w:val="20"/>
                <w:szCs w:val="20"/>
              </w:rPr>
            </w:pPr>
            <w:r w:rsidRPr="00A85CAC">
              <w:rPr>
                <w:sz w:val="20"/>
                <w:szCs w:val="20"/>
              </w:rPr>
              <w:t>0,0 (1,5)</w:t>
            </w:r>
          </w:p>
        </w:tc>
        <w:tc>
          <w:tcPr>
            <w:tcW w:w="1701" w:type="dxa"/>
          </w:tcPr>
          <w:p w14:paraId="453BD998" w14:textId="164AF5D6" w:rsidR="00463FBE" w:rsidRPr="00A85CAC" w:rsidRDefault="00DB1F70" w:rsidP="00A85CAC">
            <w:pPr>
              <w:ind w:firstLine="0"/>
              <w:jc w:val="center"/>
              <w:rPr>
                <w:sz w:val="20"/>
                <w:szCs w:val="20"/>
              </w:rPr>
            </w:pPr>
            <w:r w:rsidRPr="00A85CAC">
              <w:rPr>
                <w:sz w:val="20"/>
                <w:szCs w:val="20"/>
              </w:rPr>
              <w:t>-1,3 (-1,8, -0,8)</w:t>
            </w:r>
          </w:p>
        </w:tc>
      </w:tr>
      <w:tr w:rsidR="00A85CAC" w:rsidRPr="00AC0C3E" w14:paraId="6030F46E" w14:textId="77777777" w:rsidTr="000D3CC1">
        <w:tc>
          <w:tcPr>
            <w:tcW w:w="9356" w:type="dxa"/>
            <w:gridSpan w:val="6"/>
          </w:tcPr>
          <w:p w14:paraId="40576AFF" w14:textId="77777777" w:rsidR="00A85CAC" w:rsidRPr="00A85CAC" w:rsidRDefault="00A85CAC" w:rsidP="00A85CAC">
            <w:pPr>
              <w:pStyle w:val="SDcomments"/>
              <w:ind w:firstLine="0"/>
              <w:rPr>
                <w:b/>
                <w:iCs/>
              </w:rPr>
            </w:pPr>
            <w:r w:rsidRPr="00A85CAC">
              <w:rPr>
                <w:b/>
                <w:iCs/>
              </w:rPr>
              <w:t xml:space="preserve">Примечание: </w:t>
            </w:r>
          </w:p>
          <w:p w14:paraId="0950148C" w14:textId="0B1BB0B9" w:rsidR="00A85CAC" w:rsidRPr="00DB1F70" w:rsidRDefault="00A85CAC" w:rsidP="00A85CAC">
            <w:pPr>
              <w:pStyle w:val="SDcomments"/>
              <w:ind w:firstLine="0"/>
            </w:pPr>
            <w:r>
              <w:t xml:space="preserve">ДИ – доверительный интервал; </w:t>
            </w:r>
            <w:r w:rsidRPr="00F83CEC">
              <w:t>mTSS</w:t>
            </w:r>
            <w:r w:rsidRPr="002915B2">
              <w:t xml:space="preserve"> </w:t>
            </w:r>
            <w:r>
              <w:t>–</w:t>
            </w:r>
            <w:r w:rsidRPr="002915B2">
              <w:t xml:space="preserve"> </w:t>
            </w:r>
            <w:r>
              <w:t>м</w:t>
            </w:r>
            <w:r w:rsidRPr="00105465">
              <w:t>одифицированный счет Шарпа (Total Sharp Score)</w:t>
            </w:r>
            <w:r>
              <w:t xml:space="preserve">; </w:t>
            </w:r>
            <w:r>
              <w:rPr>
                <w:vertAlign w:val="superscript"/>
                <w:lang w:val="en-US"/>
              </w:rPr>
              <w:t>a</w:t>
            </w:r>
            <w:r w:rsidRPr="00681720">
              <w:t xml:space="preserve"> – </w:t>
            </w:r>
            <w:r>
              <w:t>разность</w:t>
            </w:r>
            <w:r w:rsidRPr="00681720">
              <w:t xml:space="preserve"> </w:t>
            </w:r>
            <w:r>
              <w:t>между</w:t>
            </w:r>
            <w:r w:rsidRPr="00681720">
              <w:t xml:space="preserve"> </w:t>
            </w:r>
            <w:r>
              <w:t>средними</w:t>
            </w:r>
            <w:r w:rsidRPr="00681720">
              <w:t xml:space="preserve"> </w:t>
            </w:r>
            <w:r>
              <w:t>значениями, рассчитанными методом наименьших квадратов на фоне приема</w:t>
            </w:r>
            <w:r w:rsidRPr="00681720">
              <w:t xml:space="preserve"> </w:t>
            </w:r>
            <w:r>
              <w:t>тофацитиниба или плацебо</w:t>
            </w:r>
            <w:r w:rsidRPr="00681720">
              <w:t xml:space="preserve"> (95% </w:t>
            </w:r>
            <w:r>
              <w:t xml:space="preserve">ДИ); </w:t>
            </w:r>
            <w:r>
              <w:rPr>
                <w:vertAlign w:val="superscript"/>
                <w:lang w:val="en-US"/>
              </w:rPr>
              <w:t>b</w:t>
            </w:r>
            <w:r w:rsidRPr="00681720">
              <w:t xml:space="preserve"> –</w:t>
            </w:r>
            <w:r>
              <w:t xml:space="preserve"> данные во временных точках мес.</w:t>
            </w:r>
            <w:r w:rsidRPr="00681720">
              <w:t xml:space="preserve"> 6 </w:t>
            </w:r>
            <w:r>
              <w:t>и мес.</w:t>
            </w:r>
            <w:r w:rsidRPr="00681720">
              <w:t xml:space="preserve"> 12 </w:t>
            </w:r>
            <w:r>
              <w:t xml:space="preserve">являются средним изменением от исходных значений; </w:t>
            </w:r>
            <w:r>
              <w:rPr>
                <w:vertAlign w:val="superscript"/>
                <w:lang w:val="en-US"/>
              </w:rPr>
              <w:t>c</w:t>
            </w:r>
            <w:r w:rsidRPr="00681720">
              <w:t xml:space="preserve"> –</w:t>
            </w:r>
            <w:r>
              <w:t xml:space="preserve"> разность</w:t>
            </w:r>
            <w:r w:rsidRPr="00681720">
              <w:t xml:space="preserve"> </w:t>
            </w:r>
            <w:r>
              <w:t>между</w:t>
            </w:r>
            <w:r w:rsidRPr="00681720">
              <w:t xml:space="preserve"> </w:t>
            </w:r>
            <w:r>
              <w:t>средними</w:t>
            </w:r>
            <w:r w:rsidRPr="00681720">
              <w:t xml:space="preserve"> </w:t>
            </w:r>
            <w:r>
              <w:t>значениями, рассчитанными методом наименьших квадратов на фоне приема</w:t>
            </w:r>
            <w:r w:rsidRPr="00681720">
              <w:t xml:space="preserve"> </w:t>
            </w:r>
            <w:r>
              <w:t>тофацитиниба или метотрексата</w:t>
            </w:r>
            <w:r w:rsidRPr="00681720">
              <w:t xml:space="preserve"> (95% </w:t>
            </w:r>
            <w:r>
              <w:t>ДИ).</w:t>
            </w:r>
          </w:p>
        </w:tc>
      </w:tr>
    </w:tbl>
    <w:p w14:paraId="0F5C4499" w14:textId="61C0482B" w:rsidR="00C10E28" w:rsidRDefault="00C10E28" w:rsidP="00E03853">
      <w:pPr>
        <w:pStyle w:val="SDcomments"/>
        <w:ind w:firstLine="0"/>
      </w:pPr>
    </w:p>
    <w:p w14:paraId="289D885E" w14:textId="44F2374D" w:rsidR="00C10E28" w:rsidRDefault="006C1EA2" w:rsidP="00791E09">
      <w:pPr>
        <w:pStyle w:val="SDText"/>
        <w:spacing w:after="0"/>
      </w:pPr>
      <w:r>
        <w:t>На фоне терапии т</w:t>
      </w:r>
      <w:r w:rsidR="005732EF">
        <w:t>офацитиниб</w:t>
      </w:r>
      <w:r>
        <w:t>ом</w:t>
      </w:r>
      <w:r w:rsidR="005732EF">
        <w:t>, отдельно или в комбинации с метотрексатом, показал</w:t>
      </w:r>
      <w:r>
        <w:t>и</w:t>
      </w:r>
      <w:r w:rsidR="005732EF">
        <w:t xml:space="preserve"> улучшение физической функции</w:t>
      </w:r>
      <w:r w:rsidR="00535C39">
        <w:t xml:space="preserve"> при оценке по </w:t>
      </w:r>
      <w:r w:rsidR="005732EF">
        <w:t>HAQ-DI. У пациентов, получавших тофацитиниб в дозе 5 или 10 мг 2 раза в сутки, наблюдали</w:t>
      </w:r>
      <w:r w:rsidR="005732EF" w:rsidRPr="005732EF">
        <w:t xml:space="preserve"> </w:t>
      </w:r>
      <w:r w:rsidR="005732EF">
        <w:t>значительно бол</w:t>
      </w:r>
      <w:r w:rsidR="00535C39">
        <w:t>ее выраженное</w:t>
      </w:r>
      <w:r w:rsidR="005732EF">
        <w:t xml:space="preserve"> улучшение физического функционирования </w:t>
      </w:r>
      <w:r w:rsidR="00535C39">
        <w:t>относительно</w:t>
      </w:r>
      <w:r w:rsidR="005732EF">
        <w:t xml:space="preserve"> исходн</w:t>
      </w:r>
      <w:r w:rsidR="00535C39">
        <w:t>ого</w:t>
      </w:r>
      <w:r w:rsidR="005732EF">
        <w:t xml:space="preserve"> уровн</w:t>
      </w:r>
      <w:r w:rsidR="00535C39">
        <w:t>я</w:t>
      </w:r>
      <w:r w:rsidR="005732EF">
        <w:t xml:space="preserve"> по сравнению с</w:t>
      </w:r>
      <w:r w:rsidR="00535C39">
        <w:t>о значением показателя на фоне приема</w:t>
      </w:r>
      <w:r w:rsidR="005732EF">
        <w:t xml:space="preserve"> плацебо </w:t>
      </w:r>
      <w:r w:rsidR="00535C39">
        <w:t>на</w:t>
      </w:r>
      <w:r w:rsidR="005732EF" w:rsidRPr="005732EF">
        <w:t xml:space="preserve"> </w:t>
      </w:r>
      <w:r w:rsidR="005732EF">
        <w:t>3 мес</w:t>
      </w:r>
      <w:r w:rsidR="00535C39">
        <w:t>.</w:t>
      </w:r>
      <w:r w:rsidR="005732EF">
        <w:t xml:space="preserve"> </w:t>
      </w:r>
      <w:r w:rsidR="005732EF" w:rsidRPr="00535C39">
        <w:rPr>
          <w:lang w:val="en-US"/>
        </w:rPr>
        <w:t>(</w:t>
      </w:r>
      <w:r w:rsidR="00535C39">
        <w:t>исследования</w:t>
      </w:r>
      <w:r w:rsidR="005732EF" w:rsidRPr="00535C39">
        <w:rPr>
          <w:lang w:val="en-US"/>
        </w:rPr>
        <w:t xml:space="preserve"> ORAL Solo, ORAL Sync, ORAL Standard </w:t>
      </w:r>
      <w:r w:rsidR="005732EF">
        <w:t>и</w:t>
      </w:r>
      <w:r w:rsidR="005732EF" w:rsidRPr="00535C39">
        <w:rPr>
          <w:lang w:val="en-US"/>
        </w:rPr>
        <w:t xml:space="preserve"> ORAL Step) </w:t>
      </w:r>
      <w:r w:rsidR="005732EF">
        <w:t>и</w:t>
      </w:r>
      <w:r w:rsidR="005732EF" w:rsidRPr="00535C39">
        <w:rPr>
          <w:lang w:val="en-US"/>
        </w:rPr>
        <w:t xml:space="preserve"> 6 </w:t>
      </w:r>
      <w:r w:rsidR="005732EF">
        <w:t>мес</w:t>
      </w:r>
      <w:r w:rsidR="00535C39" w:rsidRPr="00535C39">
        <w:rPr>
          <w:lang w:val="en-US"/>
        </w:rPr>
        <w:t>.</w:t>
      </w:r>
      <w:r w:rsidR="005732EF" w:rsidRPr="00535C39">
        <w:rPr>
          <w:lang w:val="en-US"/>
        </w:rPr>
        <w:t xml:space="preserve"> </w:t>
      </w:r>
      <w:r w:rsidR="005732EF" w:rsidRPr="00535C39">
        <w:t>(</w:t>
      </w:r>
      <w:r w:rsidR="00535C39">
        <w:t>исследования</w:t>
      </w:r>
      <w:r w:rsidR="005732EF" w:rsidRPr="00535C39">
        <w:t xml:space="preserve"> </w:t>
      </w:r>
      <w:r w:rsidR="005732EF" w:rsidRPr="005732EF">
        <w:rPr>
          <w:lang w:val="en-US"/>
        </w:rPr>
        <w:t>ORAL</w:t>
      </w:r>
      <w:r w:rsidR="005732EF" w:rsidRPr="00535C39">
        <w:t xml:space="preserve"> </w:t>
      </w:r>
      <w:r w:rsidR="005732EF" w:rsidRPr="005732EF">
        <w:rPr>
          <w:lang w:val="en-US"/>
        </w:rPr>
        <w:t>Sync</w:t>
      </w:r>
      <w:r w:rsidR="005732EF" w:rsidRPr="00535C39">
        <w:t xml:space="preserve"> </w:t>
      </w:r>
      <w:r w:rsidR="005732EF">
        <w:t>и</w:t>
      </w:r>
      <w:r w:rsidR="005732EF" w:rsidRPr="00535C39">
        <w:t xml:space="preserve"> </w:t>
      </w:r>
      <w:r w:rsidR="005732EF" w:rsidRPr="005732EF">
        <w:rPr>
          <w:lang w:val="en-US"/>
        </w:rPr>
        <w:t>ORAL</w:t>
      </w:r>
      <w:r w:rsidR="005732EF" w:rsidRPr="00535C39">
        <w:t xml:space="preserve"> </w:t>
      </w:r>
      <w:r w:rsidR="005732EF" w:rsidRPr="005732EF">
        <w:rPr>
          <w:lang w:val="en-US"/>
        </w:rPr>
        <w:t>Standard</w:t>
      </w:r>
      <w:r w:rsidR="005732EF" w:rsidRPr="00535C39">
        <w:t xml:space="preserve">). </w:t>
      </w:r>
      <w:r w:rsidR="00535C39">
        <w:t>Для п</w:t>
      </w:r>
      <w:r w:rsidR="005732EF">
        <w:t>ациент</w:t>
      </w:r>
      <w:r w:rsidR="00535C39">
        <w:t>ов</w:t>
      </w:r>
      <w:r w:rsidR="005732EF">
        <w:t>, получавши</w:t>
      </w:r>
      <w:r w:rsidR="00535C39">
        <w:t>х</w:t>
      </w:r>
      <w:r w:rsidR="005732EF">
        <w:t xml:space="preserve"> тофацитиниб в дозе 5 или 10 мг </w:t>
      </w:r>
      <w:r w:rsidR="00535C39">
        <w:t>2</w:t>
      </w:r>
      <w:r w:rsidR="005732EF">
        <w:t xml:space="preserve"> раза в день, продемонстрировали</w:t>
      </w:r>
      <w:r w:rsidR="005732EF" w:rsidRPr="005732EF">
        <w:t xml:space="preserve"> </w:t>
      </w:r>
      <w:r w:rsidR="005732EF">
        <w:t>значительно бол</w:t>
      </w:r>
      <w:r w:rsidR="00535C39">
        <w:t>ее выраженное</w:t>
      </w:r>
      <w:r w:rsidR="005732EF">
        <w:t xml:space="preserve"> улучшение физического функционирования по сравнению с</w:t>
      </w:r>
      <w:r w:rsidR="00535C39">
        <w:t>о значением на фоне приема</w:t>
      </w:r>
      <w:r w:rsidR="005732EF">
        <w:t xml:space="preserve"> плацебо уже на 2 неделе в</w:t>
      </w:r>
      <w:r w:rsidR="005732EF" w:rsidRPr="005732EF">
        <w:t xml:space="preserve"> </w:t>
      </w:r>
      <w:r w:rsidR="00535C39">
        <w:t>исслед</w:t>
      </w:r>
      <w:r w:rsidR="00FD23B9">
        <w:t xml:space="preserve">ованиях </w:t>
      </w:r>
      <w:r w:rsidR="005732EF" w:rsidRPr="005732EF">
        <w:rPr>
          <w:lang w:val="en-US"/>
        </w:rPr>
        <w:t>ORAL</w:t>
      </w:r>
      <w:r w:rsidR="005732EF" w:rsidRPr="005732EF">
        <w:t xml:space="preserve"> </w:t>
      </w:r>
      <w:r w:rsidR="005732EF" w:rsidRPr="005732EF">
        <w:rPr>
          <w:lang w:val="en-US"/>
        </w:rPr>
        <w:t>Solo</w:t>
      </w:r>
      <w:r w:rsidR="005732EF" w:rsidRPr="005732EF">
        <w:t xml:space="preserve"> </w:t>
      </w:r>
      <w:r w:rsidR="005732EF">
        <w:t>и</w:t>
      </w:r>
      <w:r w:rsidR="005732EF" w:rsidRPr="005732EF">
        <w:t xml:space="preserve"> </w:t>
      </w:r>
      <w:r w:rsidR="005732EF" w:rsidRPr="005732EF">
        <w:rPr>
          <w:lang w:val="en-US"/>
        </w:rPr>
        <w:t>ORAL</w:t>
      </w:r>
      <w:r w:rsidR="005732EF" w:rsidRPr="005732EF">
        <w:t xml:space="preserve"> </w:t>
      </w:r>
      <w:r w:rsidR="005732EF" w:rsidRPr="005732EF">
        <w:rPr>
          <w:lang w:val="en-US"/>
        </w:rPr>
        <w:t>Sync</w:t>
      </w:r>
      <w:r w:rsidR="005732EF" w:rsidRPr="005732EF">
        <w:t xml:space="preserve">. </w:t>
      </w:r>
      <w:r w:rsidR="005732EF">
        <w:t xml:space="preserve">Изменения </w:t>
      </w:r>
      <w:r w:rsidR="00FD23B9">
        <w:t xml:space="preserve">показателя по </w:t>
      </w:r>
      <w:r w:rsidR="005732EF">
        <w:t xml:space="preserve">HAQ-DI по сравнению с исходным </w:t>
      </w:r>
      <w:r w:rsidR="005732EF" w:rsidRPr="00A85CAC">
        <w:t xml:space="preserve">уровнем в исследованиях </w:t>
      </w:r>
      <w:r w:rsidR="00FD23B9" w:rsidRPr="00A85CAC">
        <w:t>ORAL Standard, ORAL Step и ORAL Sync представлены ниже (</w:t>
      </w:r>
      <w:r w:rsidR="00205538" w:rsidRPr="00A85CAC">
        <w:fldChar w:fldCharType="begin"/>
      </w:r>
      <w:r w:rsidR="00205538" w:rsidRPr="00A85CAC">
        <w:instrText xml:space="preserve"> REF _Ref121141462 \h </w:instrText>
      </w:r>
      <w:r w:rsidR="00A85CAC" w:rsidRPr="00A85CAC">
        <w:instrText xml:space="preserve"> \* MERGEFORMAT </w:instrText>
      </w:r>
      <w:r w:rsidR="00205538" w:rsidRPr="00A85CAC">
        <w:fldChar w:fldCharType="separate"/>
      </w:r>
      <w:r w:rsidR="00383E6F" w:rsidRPr="00A85CAC">
        <w:rPr>
          <w:bCs/>
        </w:rPr>
        <w:t xml:space="preserve">Таблица </w:t>
      </w:r>
      <w:r w:rsidR="00383E6F" w:rsidRPr="00A85CAC">
        <w:rPr>
          <w:bCs/>
          <w:noProof/>
        </w:rPr>
        <w:t>4</w:t>
      </w:r>
      <w:r w:rsidR="00383E6F" w:rsidRPr="00A85CAC">
        <w:rPr>
          <w:bCs/>
        </w:rPr>
        <w:noBreakHyphen/>
      </w:r>
      <w:r w:rsidR="00383E6F" w:rsidRPr="00A85CAC">
        <w:rPr>
          <w:bCs/>
          <w:noProof/>
        </w:rPr>
        <w:t>8</w:t>
      </w:r>
      <w:r w:rsidR="00205538" w:rsidRPr="00A85CAC">
        <w:fldChar w:fldCharType="end"/>
      </w:r>
      <w:r w:rsidR="00E6308B" w:rsidRPr="00A85CAC">
        <w:t xml:space="preserve">) </w:t>
      </w:r>
      <w:r w:rsidR="00E6308B" w:rsidRPr="00A85CAC">
        <w:fldChar w:fldCharType="begin"/>
      </w:r>
      <w:r w:rsidR="00E6308B" w:rsidRPr="00A85CAC">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6308B" w:rsidRPr="00A85CAC">
        <w:fldChar w:fldCharType="separate"/>
      </w:r>
      <w:r w:rsidR="00E6308B" w:rsidRPr="00A85CAC">
        <w:t>[2]</w:t>
      </w:r>
      <w:r w:rsidR="00E6308B" w:rsidRPr="00A85CAC">
        <w:fldChar w:fldCharType="end"/>
      </w:r>
      <w:r w:rsidR="00E6308B">
        <w:t>.</w:t>
      </w:r>
    </w:p>
    <w:p w14:paraId="1B405A3E" w14:textId="77777777" w:rsidR="00791E09" w:rsidRDefault="00791E09" w:rsidP="00791E09">
      <w:pPr>
        <w:pStyle w:val="SDText"/>
        <w:spacing w:after="0"/>
      </w:pPr>
    </w:p>
    <w:p w14:paraId="7F1C83C2" w14:textId="77777777" w:rsidR="00791E09" w:rsidRDefault="00791E09" w:rsidP="00A85CAC">
      <w:pPr>
        <w:pStyle w:val="SDText"/>
        <w:spacing w:after="0"/>
        <w:ind w:firstLine="0"/>
        <w:rPr>
          <w:b/>
          <w:bCs/>
        </w:rPr>
        <w:sectPr w:rsidR="00791E09" w:rsidSect="00C13EBE">
          <w:pgSz w:w="11906" w:h="16838"/>
          <w:pgMar w:top="703" w:right="850" w:bottom="1134" w:left="1701" w:header="709" w:footer="708" w:gutter="0"/>
          <w:cols w:space="708"/>
          <w:docGrid w:linePitch="360"/>
        </w:sectPr>
      </w:pPr>
      <w:bookmarkStart w:id="234" w:name="_Ref121141462"/>
    </w:p>
    <w:p w14:paraId="606FF4C6" w14:textId="292B59B0" w:rsidR="00FD23B9" w:rsidRDefault="00E6308B" w:rsidP="00A85CAC">
      <w:pPr>
        <w:pStyle w:val="SDText"/>
        <w:spacing w:after="0"/>
        <w:ind w:firstLine="0"/>
      </w:pPr>
      <w:r w:rsidRPr="00205538">
        <w:rPr>
          <w:b/>
          <w:bCs/>
        </w:rPr>
        <w:lastRenderedPageBreak/>
        <w:t xml:space="preserve">Таблица </w:t>
      </w:r>
      <w:r w:rsidR="00652269" w:rsidRPr="00205538">
        <w:rPr>
          <w:b/>
          <w:bCs/>
        </w:rPr>
        <w:fldChar w:fldCharType="begin"/>
      </w:r>
      <w:r w:rsidR="00652269" w:rsidRPr="00205538">
        <w:rPr>
          <w:b/>
          <w:bCs/>
        </w:rPr>
        <w:instrText xml:space="preserve"> STYLEREF 1 \s </w:instrText>
      </w:r>
      <w:r w:rsidR="00652269" w:rsidRPr="00205538">
        <w:rPr>
          <w:b/>
          <w:bCs/>
        </w:rPr>
        <w:fldChar w:fldCharType="separate"/>
      </w:r>
      <w:r w:rsidR="00383E6F">
        <w:rPr>
          <w:b/>
          <w:bCs/>
          <w:noProof/>
        </w:rPr>
        <w:t>4</w:t>
      </w:r>
      <w:r w:rsidR="00652269" w:rsidRPr="00205538">
        <w:rPr>
          <w:b/>
          <w:bCs/>
        </w:rPr>
        <w:fldChar w:fldCharType="end"/>
      </w:r>
      <w:r w:rsidR="00652269" w:rsidRPr="00205538">
        <w:rPr>
          <w:b/>
          <w:bCs/>
        </w:rPr>
        <w:noBreakHyphen/>
      </w:r>
      <w:r w:rsidR="00652269" w:rsidRPr="00205538">
        <w:rPr>
          <w:b/>
          <w:bCs/>
        </w:rPr>
        <w:fldChar w:fldCharType="begin"/>
      </w:r>
      <w:r w:rsidR="00652269" w:rsidRPr="00205538">
        <w:rPr>
          <w:b/>
          <w:bCs/>
        </w:rPr>
        <w:instrText xml:space="preserve"> SEQ Таблица \* ARABIC \s 1 </w:instrText>
      </w:r>
      <w:r w:rsidR="00652269" w:rsidRPr="00205538">
        <w:rPr>
          <w:b/>
          <w:bCs/>
        </w:rPr>
        <w:fldChar w:fldCharType="separate"/>
      </w:r>
      <w:r w:rsidR="00383E6F">
        <w:rPr>
          <w:b/>
          <w:bCs/>
          <w:noProof/>
        </w:rPr>
        <w:t>8</w:t>
      </w:r>
      <w:r w:rsidR="00652269" w:rsidRPr="00205538">
        <w:rPr>
          <w:b/>
          <w:bCs/>
        </w:rPr>
        <w:fldChar w:fldCharType="end"/>
      </w:r>
      <w:bookmarkEnd w:id="234"/>
      <w:r w:rsidR="00205538" w:rsidRPr="00205538">
        <w:rPr>
          <w:b/>
          <w:bCs/>
        </w:rPr>
        <w:t>.</w:t>
      </w:r>
      <w:r>
        <w:t xml:space="preserve"> </w:t>
      </w:r>
      <w:r w:rsidR="00551E26">
        <w:t xml:space="preserve">Изменение показателя по </w:t>
      </w:r>
      <w:r w:rsidR="00551E26" w:rsidRPr="00551E26">
        <w:t>HAQ-DI</w:t>
      </w:r>
      <w:r w:rsidR="00551E26">
        <w:t xml:space="preserve"> через 3 мес. по сравнению с исходным уровнем, рассчитанные методом наименьших квадратов</w:t>
      </w:r>
      <w:r w:rsidR="00205538">
        <w:t>.</w:t>
      </w:r>
    </w:p>
    <w:tbl>
      <w:tblPr>
        <w:tblStyle w:val="a4"/>
        <w:tblW w:w="0" w:type="auto"/>
        <w:tblInd w:w="108" w:type="dxa"/>
        <w:tblLook w:val="04A0" w:firstRow="1" w:lastRow="0" w:firstColumn="1" w:lastColumn="0" w:noHBand="0" w:noVBand="1"/>
      </w:tblPr>
      <w:tblGrid>
        <w:gridCol w:w="1806"/>
        <w:gridCol w:w="1914"/>
        <w:gridCol w:w="1914"/>
        <w:gridCol w:w="1914"/>
        <w:gridCol w:w="1808"/>
      </w:tblGrid>
      <w:tr w:rsidR="007A6E5E" w14:paraId="791E9C35" w14:textId="77777777" w:rsidTr="00A85CAC">
        <w:tc>
          <w:tcPr>
            <w:tcW w:w="1806" w:type="dxa"/>
            <w:shd w:val="clear" w:color="auto" w:fill="D9D9D9" w:themeFill="background1" w:themeFillShade="D9"/>
            <w:vAlign w:val="center"/>
          </w:tcPr>
          <w:p w14:paraId="1EBB5A1B" w14:textId="77777777" w:rsidR="007A6E5E" w:rsidRPr="007A6E5E" w:rsidRDefault="007A6E5E" w:rsidP="007A6E5E">
            <w:pPr>
              <w:ind w:firstLine="0"/>
              <w:jc w:val="center"/>
              <w:rPr>
                <w:b/>
                <w:bCs/>
              </w:rPr>
            </w:pPr>
          </w:p>
        </w:tc>
        <w:tc>
          <w:tcPr>
            <w:tcW w:w="1914" w:type="dxa"/>
            <w:shd w:val="clear" w:color="auto" w:fill="D9D9D9" w:themeFill="background1" w:themeFillShade="D9"/>
            <w:vAlign w:val="center"/>
          </w:tcPr>
          <w:p w14:paraId="147C73E9" w14:textId="1FC9926C" w:rsidR="007A6E5E" w:rsidRPr="007A6E5E" w:rsidRDefault="007A6E5E" w:rsidP="007A6E5E">
            <w:pPr>
              <w:ind w:firstLine="0"/>
              <w:jc w:val="center"/>
              <w:rPr>
                <w:b/>
                <w:bCs/>
              </w:rPr>
            </w:pPr>
            <w:r>
              <w:rPr>
                <w:b/>
                <w:bCs/>
              </w:rPr>
              <w:t>Плацебо + метотрексат</w:t>
            </w:r>
          </w:p>
        </w:tc>
        <w:tc>
          <w:tcPr>
            <w:tcW w:w="1914" w:type="dxa"/>
            <w:shd w:val="clear" w:color="auto" w:fill="D9D9D9" w:themeFill="background1" w:themeFillShade="D9"/>
            <w:vAlign w:val="center"/>
          </w:tcPr>
          <w:p w14:paraId="05776AAB" w14:textId="4F611044" w:rsidR="007A6E5E" w:rsidRPr="007A6E5E" w:rsidRDefault="000A2689" w:rsidP="007A6E5E">
            <w:pPr>
              <w:ind w:firstLine="0"/>
              <w:jc w:val="center"/>
              <w:rPr>
                <w:b/>
                <w:bCs/>
              </w:rPr>
            </w:pPr>
            <w:r>
              <w:rPr>
                <w:b/>
                <w:bCs/>
              </w:rPr>
              <w:t>Тофацитиниб 5 мг 2 раза в день + метотрексат</w:t>
            </w:r>
          </w:p>
        </w:tc>
        <w:tc>
          <w:tcPr>
            <w:tcW w:w="1914" w:type="dxa"/>
            <w:shd w:val="clear" w:color="auto" w:fill="D9D9D9" w:themeFill="background1" w:themeFillShade="D9"/>
            <w:vAlign w:val="center"/>
          </w:tcPr>
          <w:p w14:paraId="5143DE5D" w14:textId="357BF077" w:rsidR="007A6E5E" w:rsidRPr="007A6E5E" w:rsidRDefault="000A2689" w:rsidP="007A6E5E">
            <w:pPr>
              <w:ind w:firstLine="0"/>
              <w:jc w:val="center"/>
              <w:rPr>
                <w:b/>
                <w:bCs/>
              </w:rPr>
            </w:pPr>
            <w:r>
              <w:rPr>
                <w:b/>
                <w:bCs/>
              </w:rPr>
              <w:t>Тофацитиниб 10 мг 2 раза в день + метотрексат</w:t>
            </w:r>
          </w:p>
        </w:tc>
        <w:tc>
          <w:tcPr>
            <w:tcW w:w="1808" w:type="dxa"/>
            <w:shd w:val="clear" w:color="auto" w:fill="D9D9D9" w:themeFill="background1" w:themeFillShade="D9"/>
            <w:vAlign w:val="center"/>
          </w:tcPr>
          <w:p w14:paraId="33B67120" w14:textId="3B7761D1" w:rsidR="007A6E5E" w:rsidRPr="007A6E5E" w:rsidRDefault="000A2689" w:rsidP="007A6E5E">
            <w:pPr>
              <w:ind w:firstLine="0"/>
              <w:jc w:val="center"/>
              <w:rPr>
                <w:b/>
                <w:bCs/>
              </w:rPr>
            </w:pPr>
            <w:r>
              <w:rPr>
                <w:b/>
                <w:bCs/>
              </w:rPr>
              <w:t>Адалимумаб 40 мг каждую вторую неделю + метотрексат</w:t>
            </w:r>
          </w:p>
        </w:tc>
      </w:tr>
      <w:tr w:rsidR="004E7902" w14:paraId="38340F5D" w14:textId="77777777" w:rsidTr="00A85CAC">
        <w:tc>
          <w:tcPr>
            <w:tcW w:w="9356" w:type="dxa"/>
            <w:gridSpan w:val="5"/>
          </w:tcPr>
          <w:p w14:paraId="1261422A" w14:textId="6BD877EF" w:rsidR="004E7902" w:rsidRPr="004E7902" w:rsidRDefault="004E7902" w:rsidP="004E7902">
            <w:pPr>
              <w:ind w:firstLine="0"/>
              <w:jc w:val="center"/>
              <w:rPr>
                <w:b/>
                <w:bCs/>
              </w:rPr>
            </w:pPr>
            <w:r w:rsidRPr="004E7902">
              <w:rPr>
                <w:b/>
                <w:bCs/>
              </w:rPr>
              <w:t>ORAL Standard: пациенты с недостаточным ответом на метотрексат</w:t>
            </w:r>
          </w:p>
        </w:tc>
      </w:tr>
      <w:tr w:rsidR="00F9484B" w14:paraId="1F25C141" w14:textId="77777777" w:rsidTr="00A85CAC">
        <w:tc>
          <w:tcPr>
            <w:tcW w:w="1806" w:type="dxa"/>
          </w:tcPr>
          <w:p w14:paraId="403E2EEA" w14:textId="2C0BA7E5" w:rsidR="00F9484B" w:rsidRDefault="00F9484B" w:rsidP="00F9484B">
            <w:pPr>
              <w:ind w:firstLine="0"/>
            </w:pPr>
          </w:p>
        </w:tc>
        <w:tc>
          <w:tcPr>
            <w:tcW w:w="1914" w:type="dxa"/>
          </w:tcPr>
          <w:p w14:paraId="2C9A8F77" w14:textId="6786BCA3" w:rsidR="00F9484B" w:rsidRDefault="00F9484B" w:rsidP="00A85CAC">
            <w:pPr>
              <w:ind w:firstLine="0"/>
              <w:jc w:val="left"/>
            </w:pPr>
            <w:r w:rsidRPr="00F9484B">
              <w:t>N</w:t>
            </w:r>
            <w:r>
              <w:t xml:space="preserve"> </w:t>
            </w:r>
            <w:r w:rsidRPr="00F9484B">
              <w:t>=</w:t>
            </w:r>
            <w:r>
              <w:t xml:space="preserve"> </w:t>
            </w:r>
            <w:r w:rsidRPr="00F9484B">
              <w:t>96</w:t>
            </w:r>
          </w:p>
        </w:tc>
        <w:tc>
          <w:tcPr>
            <w:tcW w:w="1914" w:type="dxa"/>
          </w:tcPr>
          <w:p w14:paraId="407E9482" w14:textId="15F3479E" w:rsidR="00F9484B" w:rsidRDefault="00941456" w:rsidP="00A85CAC">
            <w:pPr>
              <w:ind w:firstLine="0"/>
              <w:jc w:val="left"/>
            </w:pPr>
            <w:r w:rsidRPr="00941456">
              <w:t>N</w:t>
            </w:r>
            <w:r w:rsidR="004274E7">
              <w:t xml:space="preserve"> </w:t>
            </w:r>
            <w:r w:rsidRPr="00941456">
              <w:t>=</w:t>
            </w:r>
            <w:r w:rsidR="004274E7">
              <w:t xml:space="preserve"> </w:t>
            </w:r>
            <w:r w:rsidRPr="00941456">
              <w:t>185</w:t>
            </w:r>
          </w:p>
        </w:tc>
        <w:tc>
          <w:tcPr>
            <w:tcW w:w="1914" w:type="dxa"/>
          </w:tcPr>
          <w:p w14:paraId="5314159E" w14:textId="04251A39" w:rsidR="00F9484B" w:rsidRDefault="00941456" w:rsidP="00A85CAC">
            <w:pPr>
              <w:ind w:firstLine="0"/>
              <w:jc w:val="left"/>
            </w:pPr>
            <w:r w:rsidRPr="00941456">
              <w:t>N</w:t>
            </w:r>
            <w:r w:rsidR="004274E7">
              <w:t xml:space="preserve"> </w:t>
            </w:r>
            <w:r w:rsidRPr="00941456">
              <w:t>=</w:t>
            </w:r>
            <w:r w:rsidR="004274E7">
              <w:t xml:space="preserve"> </w:t>
            </w:r>
            <w:r w:rsidRPr="00941456">
              <w:t>183</w:t>
            </w:r>
          </w:p>
        </w:tc>
        <w:tc>
          <w:tcPr>
            <w:tcW w:w="1808" w:type="dxa"/>
          </w:tcPr>
          <w:p w14:paraId="448E38CC" w14:textId="0FB3B58E" w:rsidR="00F9484B" w:rsidRDefault="004274E7" w:rsidP="00A85CAC">
            <w:pPr>
              <w:ind w:firstLine="0"/>
              <w:jc w:val="left"/>
            </w:pPr>
            <w:r w:rsidRPr="004274E7">
              <w:t>N</w:t>
            </w:r>
            <w:r>
              <w:t xml:space="preserve"> </w:t>
            </w:r>
            <w:r w:rsidRPr="004274E7">
              <w:t>=</w:t>
            </w:r>
            <w:r>
              <w:t xml:space="preserve"> </w:t>
            </w:r>
            <w:r w:rsidRPr="004274E7">
              <w:t>188</w:t>
            </w:r>
          </w:p>
        </w:tc>
      </w:tr>
      <w:tr w:rsidR="00F9484B" w14:paraId="080C956B" w14:textId="77777777" w:rsidTr="00A85CAC">
        <w:tc>
          <w:tcPr>
            <w:tcW w:w="1806" w:type="dxa"/>
          </w:tcPr>
          <w:p w14:paraId="0673979C" w14:textId="3E53B320" w:rsidR="00F9484B" w:rsidRDefault="00F9484B" w:rsidP="00F9484B">
            <w:pPr>
              <w:ind w:firstLine="0"/>
            </w:pPr>
          </w:p>
        </w:tc>
        <w:tc>
          <w:tcPr>
            <w:tcW w:w="1914" w:type="dxa"/>
          </w:tcPr>
          <w:p w14:paraId="1B8BE99B" w14:textId="36FFA82F" w:rsidR="00F9484B" w:rsidRDefault="00F9484B" w:rsidP="00A85CAC">
            <w:pPr>
              <w:ind w:firstLine="0"/>
              <w:jc w:val="left"/>
            </w:pPr>
            <w:r w:rsidRPr="00F9484B">
              <w:t>-0</w:t>
            </w:r>
            <w:r>
              <w:t>,</w:t>
            </w:r>
            <w:r w:rsidRPr="00F9484B">
              <w:t>24</w:t>
            </w:r>
          </w:p>
        </w:tc>
        <w:tc>
          <w:tcPr>
            <w:tcW w:w="1914" w:type="dxa"/>
          </w:tcPr>
          <w:p w14:paraId="618DA00B" w14:textId="2E40FFFB" w:rsidR="00F9484B" w:rsidRDefault="00941456" w:rsidP="00A85CAC">
            <w:pPr>
              <w:ind w:firstLine="0"/>
              <w:jc w:val="left"/>
            </w:pPr>
            <w:r w:rsidRPr="00941456">
              <w:t>-0</w:t>
            </w:r>
            <w:r w:rsidR="004274E7">
              <w:t>,</w:t>
            </w:r>
            <w:r w:rsidRPr="00941456">
              <w:t>54***</w:t>
            </w:r>
          </w:p>
        </w:tc>
        <w:tc>
          <w:tcPr>
            <w:tcW w:w="1914" w:type="dxa"/>
          </w:tcPr>
          <w:p w14:paraId="1141C3CE" w14:textId="254441E2" w:rsidR="00F9484B" w:rsidRDefault="004274E7" w:rsidP="00A85CAC">
            <w:pPr>
              <w:ind w:firstLine="0"/>
              <w:jc w:val="left"/>
            </w:pPr>
            <w:r w:rsidRPr="004274E7">
              <w:t>-0</w:t>
            </w:r>
            <w:r>
              <w:t>,</w:t>
            </w:r>
            <w:r w:rsidRPr="004274E7">
              <w:t>61***</w:t>
            </w:r>
          </w:p>
        </w:tc>
        <w:tc>
          <w:tcPr>
            <w:tcW w:w="1808" w:type="dxa"/>
          </w:tcPr>
          <w:p w14:paraId="23016857" w14:textId="0CF088A9" w:rsidR="00F9484B" w:rsidRDefault="004274E7" w:rsidP="00A85CAC">
            <w:pPr>
              <w:ind w:firstLine="0"/>
              <w:jc w:val="left"/>
            </w:pPr>
            <w:r w:rsidRPr="004274E7">
              <w:t>-0</w:t>
            </w:r>
            <w:r>
              <w:t>,</w:t>
            </w:r>
            <w:r w:rsidRPr="004274E7">
              <w:t>50***</w:t>
            </w:r>
          </w:p>
        </w:tc>
      </w:tr>
      <w:tr w:rsidR="004274E7" w14:paraId="5279852E" w14:textId="77777777" w:rsidTr="00A85CAC">
        <w:tc>
          <w:tcPr>
            <w:tcW w:w="9356" w:type="dxa"/>
            <w:gridSpan w:val="5"/>
          </w:tcPr>
          <w:p w14:paraId="73099A83" w14:textId="71629817" w:rsidR="004274E7" w:rsidRPr="00DC51B4" w:rsidRDefault="00DC51B4" w:rsidP="00DC51B4">
            <w:pPr>
              <w:ind w:firstLine="0"/>
              <w:jc w:val="center"/>
              <w:rPr>
                <w:b/>
                <w:bCs/>
              </w:rPr>
            </w:pPr>
            <w:r w:rsidRPr="00DC51B4">
              <w:rPr>
                <w:b/>
                <w:bCs/>
              </w:rPr>
              <w:t xml:space="preserve">ORAL Step: пациенты с недостаточным ответом на ингибиторы </w:t>
            </w:r>
            <w:r w:rsidRPr="00DC51B4">
              <w:rPr>
                <w:b/>
                <w:bCs/>
                <w:lang w:val="en-US"/>
              </w:rPr>
              <w:t>TNF</w:t>
            </w:r>
            <w:r w:rsidRPr="00DC51B4">
              <w:rPr>
                <w:b/>
                <w:bCs/>
              </w:rPr>
              <w:t>-</w:t>
            </w:r>
            <w:r w:rsidRPr="00DC51B4">
              <w:rPr>
                <w:rFonts w:cs="Times New Roman"/>
                <w:b/>
                <w:bCs/>
              </w:rPr>
              <w:t>α</w:t>
            </w:r>
          </w:p>
        </w:tc>
      </w:tr>
      <w:tr w:rsidR="007A6E5E" w14:paraId="4D7008F3" w14:textId="77777777" w:rsidTr="00A85CAC">
        <w:tc>
          <w:tcPr>
            <w:tcW w:w="1806" w:type="dxa"/>
          </w:tcPr>
          <w:p w14:paraId="1AF71DA4" w14:textId="77777777" w:rsidR="007A6E5E" w:rsidRDefault="007A6E5E" w:rsidP="00551E26">
            <w:pPr>
              <w:ind w:firstLine="0"/>
            </w:pPr>
          </w:p>
        </w:tc>
        <w:tc>
          <w:tcPr>
            <w:tcW w:w="1914" w:type="dxa"/>
          </w:tcPr>
          <w:p w14:paraId="1538CD96" w14:textId="7003A936" w:rsidR="007A6E5E" w:rsidRDefault="00F40F93" w:rsidP="00A85CAC">
            <w:pPr>
              <w:ind w:firstLine="0"/>
              <w:jc w:val="center"/>
            </w:pPr>
            <w:r w:rsidRPr="00F40F93">
              <w:t>N</w:t>
            </w:r>
            <w:r>
              <w:rPr>
                <w:lang w:val="en-US"/>
              </w:rPr>
              <w:t xml:space="preserve"> </w:t>
            </w:r>
            <w:r w:rsidRPr="00F40F93">
              <w:t>=</w:t>
            </w:r>
            <w:r>
              <w:rPr>
                <w:lang w:val="en-US"/>
              </w:rPr>
              <w:t xml:space="preserve"> </w:t>
            </w:r>
            <w:r w:rsidRPr="00F40F93">
              <w:t>118</w:t>
            </w:r>
          </w:p>
        </w:tc>
        <w:tc>
          <w:tcPr>
            <w:tcW w:w="1914" w:type="dxa"/>
          </w:tcPr>
          <w:p w14:paraId="3F339F07" w14:textId="3312A6EC" w:rsidR="007A6E5E" w:rsidRDefault="00F40F93" w:rsidP="00A85CAC">
            <w:pPr>
              <w:ind w:firstLine="0"/>
              <w:jc w:val="center"/>
            </w:pPr>
            <w:r w:rsidRPr="00F40F93">
              <w:t>N</w:t>
            </w:r>
            <w:r>
              <w:rPr>
                <w:lang w:val="en-US"/>
              </w:rPr>
              <w:t xml:space="preserve"> </w:t>
            </w:r>
            <w:r w:rsidRPr="00F40F93">
              <w:t>=</w:t>
            </w:r>
            <w:r>
              <w:rPr>
                <w:lang w:val="en-US"/>
              </w:rPr>
              <w:t xml:space="preserve"> </w:t>
            </w:r>
            <w:r w:rsidRPr="00F40F93">
              <w:t>117</w:t>
            </w:r>
          </w:p>
        </w:tc>
        <w:tc>
          <w:tcPr>
            <w:tcW w:w="1914" w:type="dxa"/>
          </w:tcPr>
          <w:p w14:paraId="3A68977A" w14:textId="4C1CCB26" w:rsidR="007A6E5E" w:rsidRDefault="0068466B" w:rsidP="00A85CAC">
            <w:pPr>
              <w:ind w:firstLine="0"/>
              <w:jc w:val="center"/>
            </w:pPr>
            <w:r w:rsidRPr="0068466B">
              <w:t>N</w:t>
            </w:r>
            <w:r>
              <w:t xml:space="preserve"> </w:t>
            </w:r>
            <w:r w:rsidRPr="0068466B">
              <w:t>=</w:t>
            </w:r>
            <w:r>
              <w:t xml:space="preserve"> </w:t>
            </w:r>
            <w:r w:rsidRPr="0068466B">
              <w:t>125</w:t>
            </w:r>
          </w:p>
        </w:tc>
        <w:tc>
          <w:tcPr>
            <w:tcW w:w="1808" w:type="dxa"/>
          </w:tcPr>
          <w:p w14:paraId="5987E52E" w14:textId="5C1C808D" w:rsidR="007A6E5E" w:rsidRDefault="00AE044C" w:rsidP="00A85CAC">
            <w:pPr>
              <w:ind w:firstLine="0"/>
              <w:jc w:val="center"/>
            </w:pPr>
            <w:r>
              <w:t>н/п</w:t>
            </w:r>
          </w:p>
        </w:tc>
      </w:tr>
      <w:tr w:rsidR="007A6E5E" w14:paraId="7B1F715F" w14:textId="77777777" w:rsidTr="00A85CAC">
        <w:tc>
          <w:tcPr>
            <w:tcW w:w="1806" w:type="dxa"/>
          </w:tcPr>
          <w:p w14:paraId="5E143A0D" w14:textId="77777777" w:rsidR="007A6E5E" w:rsidRDefault="007A6E5E" w:rsidP="00551E26">
            <w:pPr>
              <w:ind w:firstLine="0"/>
            </w:pPr>
          </w:p>
        </w:tc>
        <w:tc>
          <w:tcPr>
            <w:tcW w:w="1914" w:type="dxa"/>
          </w:tcPr>
          <w:p w14:paraId="4903F484" w14:textId="587568EC" w:rsidR="007A6E5E" w:rsidRDefault="00F40F93" w:rsidP="00A85CAC">
            <w:pPr>
              <w:ind w:firstLine="0"/>
              <w:jc w:val="center"/>
            </w:pPr>
            <w:r w:rsidRPr="00F40F93">
              <w:t>-0</w:t>
            </w:r>
            <w:r w:rsidR="00AE044C">
              <w:t>,</w:t>
            </w:r>
            <w:r w:rsidRPr="00F40F93">
              <w:t>18</w:t>
            </w:r>
          </w:p>
        </w:tc>
        <w:tc>
          <w:tcPr>
            <w:tcW w:w="1914" w:type="dxa"/>
          </w:tcPr>
          <w:p w14:paraId="37C84618" w14:textId="29629A9E" w:rsidR="007A6E5E" w:rsidRDefault="002B761A" w:rsidP="00A85CAC">
            <w:pPr>
              <w:ind w:firstLine="0"/>
              <w:jc w:val="center"/>
            </w:pPr>
            <w:r w:rsidRPr="002B761A">
              <w:t>-0</w:t>
            </w:r>
            <w:r>
              <w:t>,</w:t>
            </w:r>
            <w:r w:rsidRPr="002B761A">
              <w:t>43***</w:t>
            </w:r>
          </w:p>
        </w:tc>
        <w:tc>
          <w:tcPr>
            <w:tcW w:w="1914" w:type="dxa"/>
          </w:tcPr>
          <w:p w14:paraId="1935CDE7" w14:textId="0AF997E3" w:rsidR="007A6E5E" w:rsidRDefault="0068466B" w:rsidP="00A85CAC">
            <w:pPr>
              <w:ind w:firstLine="0"/>
              <w:jc w:val="center"/>
            </w:pPr>
            <w:r w:rsidRPr="0068466B">
              <w:t>-0</w:t>
            </w:r>
            <w:r>
              <w:t>,</w:t>
            </w:r>
            <w:r w:rsidRPr="0068466B">
              <w:t>46***</w:t>
            </w:r>
          </w:p>
        </w:tc>
        <w:tc>
          <w:tcPr>
            <w:tcW w:w="1808" w:type="dxa"/>
          </w:tcPr>
          <w:p w14:paraId="4028DFD3" w14:textId="729A355E" w:rsidR="007A6E5E" w:rsidRDefault="00AE044C" w:rsidP="00A85CAC">
            <w:pPr>
              <w:ind w:firstLine="0"/>
              <w:jc w:val="center"/>
            </w:pPr>
            <w:r>
              <w:t>н/п</w:t>
            </w:r>
          </w:p>
        </w:tc>
      </w:tr>
      <w:tr w:rsidR="007A6E5E" w14:paraId="2A316514" w14:textId="77777777" w:rsidTr="00A85CAC">
        <w:tc>
          <w:tcPr>
            <w:tcW w:w="1806" w:type="dxa"/>
            <w:shd w:val="clear" w:color="auto" w:fill="D9D9D9" w:themeFill="background1" w:themeFillShade="D9"/>
            <w:vAlign w:val="center"/>
          </w:tcPr>
          <w:p w14:paraId="004D53E9" w14:textId="2E3B5773" w:rsidR="007A6E5E" w:rsidRPr="005D25BA" w:rsidRDefault="00AE044C" w:rsidP="005D25BA">
            <w:pPr>
              <w:ind w:firstLine="0"/>
              <w:jc w:val="center"/>
              <w:rPr>
                <w:b/>
                <w:bCs/>
              </w:rPr>
            </w:pPr>
            <w:r w:rsidRPr="005D25BA">
              <w:rPr>
                <w:b/>
                <w:bCs/>
              </w:rPr>
              <w:t>Плацебо + БМАРП</w:t>
            </w:r>
          </w:p>
        </w:tc>
        <w:tc>
          <w:tcPr>
            <w:tcW w:w="1914" w:type="dxa"/>
            <w:shd w:val="clear" w:color="auto" w:fill="D9D9D9" w:themeFill="background1" w:themeFillShade="D9"/>
            <w:vAlign w:val="center"/>
          </w:tcPr>
          <w:p w14:paraId="3198B1A4" w14:textId="5D383CE5" w:rsidR="007A6E5E" w:rsidRPr="005D25BA" w:rsidRDefault="00050FD1" w:rsidP="005D25BA">
            <w:pPr>
              <w:ind w:firstLine="0"/>
              <w:jc w:val="center"/>
              <w:rPr>
                <w:b/>
                <w:bCs/>
              </w:rPr>
            </w:pPr>
            <w:r w:rsidRPr="005D25BA">
              <w:rPr>
                <w:b/>
                <w:bCs/>
              </w:rPr>
              <w:t>Тофацитиниб 5 мг 2 раза в день + БМАРП</w:t>
            </w:r>
          </w:p>
        </w:tc>
        <w:tc>
          <w:tcPr>
            <w:tcW w:w="1914" w:type="dxa"/>
            <w:shd w:val="clear" w:color="auto" w:fill="D9D9D9" w:themeFill="background1" w:themeFillShade="D9"/>
            <w:vAlign w:val="center"/>
          </w:tcPr>
          <w:p w14:paraId="49E3A98F" w14:textId="2AD0AD7D" w:rsidR="007A6E5E" w:rsidRPr="005D25BA" w:rsidRDefault="00050FD1" w:rsidP="005D25BA">
            <w:pPr>
              <w:ind w:firstLine="0"/>
              <w:jc w:val="center"/>
              <w:rPr>
                <w:b/>
                <w:bCs/>
              </w:rPr>
            </w:pPr>
            <w:r w:rsidRPr="005D25BA">
              <w:rPr>
                <w:b/>
                <w:bCs/>
              </w:rPr>
              <w:t>Тофацитиниб 10 мг 2 раза в день + БМАРП</w:t>
            </w:r>
          </w:p>
        </w:tc>
        <w:tc>
          <w:tcPr>
            <w:tcW w:w="1914" w:type="dxa"/>
            <w:shd w:val="clear" w:color="auto" w:fill="D9D9D9" w:themeFill="background1" w:themeFillShade="D9"/>
            <w:vAlign w:val="center"/>
          </w:tcPr>
          <w:p w14:paraId="3DECB807" w14:textId="77777777" w:rsidR="007A6E5E" w:rsidRPr="005D25BA" w:rsidRDefault="007A6E5E" w:rsidP="005D25BA">
            <w:pPr>
              <w:ind w:firstLine="0"/>
              <w:jc w:val="center"/>
              <w:rPr>
                <w:b/>
                <w:bCs/>
              </w:rPr>
            </w:pPr>
          </w:p>
        </w:tc>
        <w:tc>
          <w:tcPr>
            <w:tcW w:w="1808" w:type="dxa"/>
            <w:shd w:val="clear" w:color="auto" w:fill="D9D9D9" w:themeFill="background1" w:themeFillShade="D9"/>
            <w:vAlign w:val="center"/>
          </w:tcPr>
          <w:p w14:paraId="3D5CBFA8" w14:textId="77777777" w:rsidR="007A6E5E" w:rsidRPr="005D25BA" w:rsidRDefault="007A6E5E" w:rsidP="005D25BA">
            <w:pPr>
              <w:ind w:firstLine="0"/>
              <w:jc w:val="center"/>
              <w:rPr>
                <w:b/>
                <w:bCs/>
              </w:rPr>
            </w:pPr>
          </w:p>
        </w:tc>
      </w:tr>
      <w:tr w:rsidR="005D25BA" w14:paraId="738D2FA1" w14:textId="77777777" w:rsidTr="00A85CAC">
        <w:tc>
          <w:tcPr>
            <w:tcW w:w="9356" w:type="dxa"/>
            <w:gridSpan w:val="5"/>
          </w:tcPr>
          <w:p w14:paraId="088F1109" w14:textId="3D52D97E" w:rsidR="005D25BA" w:rsidRPr="00BF04FE" w:rsidRDefault="00BF04FE" w:rsidP="00BF04FE">
            <w:pPr>
              <w:ind w:firstLine="0"/>
              <w:jc w:val="center"/>
              <w:rPr>
                <w:b/>
                <w:bCs/>
              </w:rPr>
            </w:pPr>
            <w:r w:rsidRPr="00BF04FE">
              <w:rPr>
                <w:b/>
                <w:bCs/>
              </w:rPr>
              <w:t>ORAL Sync: пациенты с недостаточным ответом на БМАРП</w:t>
            </w:r>
          </w:p>
        </w:tc>
      </w:tr>
      <w:tr w:rsidR="00050FD1" w14:paraId="63003232" w14:textId="77777777" w:rsidTr="00A85CAC">
        <w:tc>
          <w:tcPr>
            <w:tcW w:w="1806" w:type="dxa"/>
          </w:tcPr>
          <w:p w14:paraId="0A691785" w14:textId="5DDA5C60" w:rsidR="00050FD1" w:rsidRDefault="00BF04FE" w:rsidP="00551E26">
            <w:pPr>
              <w:ind w:firstLine="0"/>
            </w:pPr>
            <w:r w:rsidRPr="00BF04FE">
              <w:t>N</w:t>
            </w:r>
            <w:r>
              <w:t xml:space="preserve"> </w:t>
            </w:r>
            <w:r w:rsidRPr="00BF04FE">
              <w:t>=</w:t>
            </w:r>
            <w:r>
              <w:t xml:space="preserve"> </w:t>
            </w:r>
            <w:r w:rsidRPr="00BF04FE">
              <w:t>147</w:t>
            </w:r>
          </w:p>
        </w:tc>
        <w:tc>
          <w:tcPr>
            <w:tcW w:w="1914" w:type="dxa"/>
          </w:tcPr>
          <w:p w14:paraId="7CB80FAC" w14:textId="00A3B92D" w:rsidR="00050FD1" w:rsidRDefault="00DA14D3" w:rsidP="00A85CAC">
            <w:pPr>
              <w:ind w:firstLine="0"/>
              <w:jc w:val="center"/>
            </w:pPr>
            <w:r w:rsidRPr="00DA14D3">
              <w:t>N</w:t>
            </w:r>
            <w:r>
              <w:t xml:space="preserve"> </w:t>
            </w:r>
            <w:r w:rsidRPr="00DA14D3">
              <w:t>=</w:t>
            </w:r>
            <w:r>
              <w:t xml:space="preserve"> </w:t>
            </w:r>
            <w:r w:rsidRPr="00DA14D3">
              <w:t>292</w:t>
            </w:r>
          </w:p>
        </w:tc>
        <w:tc>
          <w:tcPr>
            <w:tcW w:w="1914" w:type="dxa"/>
          </w:tcPr>
          <w:p w14:paraId="3C3E28D4" w14:textId="624D47D5" w:rsidR="00050FD1" w:rsidRDefault="00DA14D3" w:rsidP="00A85CAC">
            <w:pPr>
              <w:ind w:firstLine="0"/>
              <w:jc w:val="center"/>
            </w:pPr>
            <w:r w:rsidRPr="00DA14D3">
              <w:t>N</w:t>
            </w:r>
            <w:r>
              <w:t xml:space="preserve"> </w:t>
            </w:r>
            <w:r w:rsidRPr="00DA14D3">
              <w:t>=</w:t>
            </w:r>
            <w:r>
              <w:t xml:space="preserve"> </w:t>
            </w:r>
            <w:r w:rsidRPr="00DA14D3">
              <w:t>292</w:t>
            </w:r>
          </w:p>
        </w:tc>
        <w:tc>
          <w:tcPr>
            <w:tcW w:w="1914" w:type="dxa"/>
          </w:tcPr>
          <w:p w14:paraId="37B123DC" w14:textId="4F18DFEA" w:rsidR="00050FD1" w:rsidRDefault="004B0AA4" w:rsidP="00A85CAC">
            <w:pPr>
              <w:ind w:firstLine="0"/>
              <w:jc w:val="center"/>
            </w:pPr>
            <w:r>
              <w:t>н/п</w:t>
            </w:r>
          </w:p>
        </w:tc>
        <w:tc>
          <w:tcPr>
            <w:tcW w:w="1808" w:type="dxa"/>
          </w:tcPr>
          <w:p w14:paraId="21B97668" w14:textId="72E573B2" w:rsidR="00050FD1" w:rsidRDefault="004B0AA4" w:rsidP="00A85CAC">
            <w:pPr>
              <w:ind w:firstLine="0"/>
              <w:jc w:val="center"/>
            </w:pPr>
            <w:r>
              <w:t>н/п</w:t>
            </w:r>
          </w:p>
        </w:tc>
      </w:tr>
      <w:tr w:rsidR="004B0AA4" w14:paraId="25DC143E" w14:textId="77777777" w:rsidTr="00A85CAC">
        <w:tc>
          <w:tcPr>
            <w:tcW w:w="1806" w:type="dxa"/>
          </w:tcPr>
          <w:p w14:paraId="19928DC5" w14:textId="58BA001E" w:rsidR="004B0AA4" w:rsidRDefault="004B0AA4" w:rsidP="004B0AA4">
            <w:pPr>
              <w:ind w:firstLine="0"/>
            </w:pPr>
            <w:r w:rsidRPr="00DA14D3">
              <w:t>-0</w:t>
            </w:r>
            <w:r>
              <w:t>,</w:t>
            </w:r>
            <w:r w:rsidRPr="00DA14D3">
              <w:t>21</w:t>
            </w:r>
          </w:p>
        </w:tc>
        <w:tc>
          <w:tcPr>
            <w:tcW w:w="1914" w:type="dxa"/>
          </w:tcPr>
          <w:p w14:paraId="26557DBC" w14:textId="5E74899F" w:rsidR="004B0AA4" w:rsidRDefault="004B0AA4" w:rsidP="00A85CAC">
            <w:pPr>
              <w:ind w:firstLine="0"/>
              <w:jc w:val="center"/>
            </w:pPr>
            <w:r w:rsidRPr="00DA14D3">
              <w:t>-0</w:t>
            </w:r>
            <w:r>
              <w:t>,</w:t>
            </w:r>
            <w:r w:rsidRPr="00DA14D3">
              <w:t>46***</w:t>
            </w:r>
          </w:p>
        </w:tc>
        <w:tc>
          <w:tcPr>
            <w:tcW w:w="1914" w:type="dxa"/>
          </w:tcPr>
          <w:p w14:paraId="38C54D7E" w14:textId="43E67D8B" w:rsidR="004B0AA4" w:rsidRDefault="004B0AA4" w:rsidP="00A85CAC">
            <w:pPr>
              <w:ind w:firstLine="0"/>
              <w:jc w:val="center"/>
            </w:pPr>
            <w:r w:rsidRPr="004B0AA4">
              <w:t>-0.56***</w:t>
            </w:r>
          </w:p>
        </w:tc>
        <w:tc>
          <w:tcPr>
            <w:tcW w:w="1914" w:type="dxa"/>
          </w:tcPr>
          <w:p w14:paraId="043ABD75" w14:textId="3FE188F0" w:rsidR="004B0AA4" w:rsidRDefault="004B0AA4" w:rsidP="00A85CAC">
            <w:pPr>
              <w:ind w:firstLine="0"/>
              <w:jc w:val="center"/>
            </w:pPr>
            <w:r w:rsidRPr="00375449">
              <w:t>н/п</w:t>
            </w:r>
          </w:p>
        </w:tc>
        <w:tc>
          <w:tcPr>
            <w:tcW w:w="1808" w:type="dxa"/>
          </w:tcPr>
          <w:p w14:paraId="5C82ED72" w14:textId="4A4F3A4D" w:rsidR="004B0AA4" w:rsidRDefault="004B0AA4" w:rsidP="00A85CAC">
            <w:pPr>
              <w:ind w:firstLine="0"/>
              <w:jc w:val="center"/>
            </w:pPr>
            <w:r w:rsidRPr="00375449">
              <w:t>н/п</w:t>
            </w:r>
          </w:p>
        </w:tc>
      </w:tr>
      <w:tr w:rsidR="00A85CAC" w14:paraId="1BC58020" w14:textId="77777777" w:rsidTr="00A85CAC">
        <w:tc>
          <w:tcPr>
            <w:tcW w:w="9356" w:type="dxa"/>
            <w:gridSpan w:val="5"/>
          </w:tcPr>
          <w:p w14:paraId="294863CF" w14:textId="77777777" w:rsidR="00A85CAC" w:rsidRPr="00A85CAC" w:rsidRDefault="00A85CAC" w:rsidP="00A85CAC">
            <w:pPr>
              <w:pStyle w:val="SDcomments"/>
              <w:ind w:firstLine="0"/>
              <w:rPr>
                <w:b/>
                <w:iCs/>
              </w:rPr>
            </w:pPr>
            <w:r w:rsidRPr="00A85CAC">
              <w:rPr>
                <w:b/>
                <w:iCs/>
              </w:rPr>
              <w:t>Примечание:</w:t>
            </w:r>
          </w:p>
          <w:p w14:paraId="59F80ADC" w14:textId="14089BA9" w:rsidR="00A85CAC" w:rsidRPr="00375449" w:rsidRDefault="00A85CAC" w:rsidP="00A85CAC">
            <w:pPr>
              <w:pStyle w:val="SDcomments"/>
              <w:ind w:firstLine="0"/>
            </w:pPr>
            <w:r w:rsidRPr="0063697B">
              <w:t>HAQ-DI</w:t>
            </w:r>
            <w:r w:rsidRPr="0063697B">
              <w:rPr>
                <w:i/>
                <w:iCs/>
              </w:rPr>
              <w:t xml:space="preserve"> </w:t>
            </w:r>
            <w:r>
              <w:t>– и</w:t>
            </w:r>
            <w:r w:rsidRPr="0063697B">
              <w:t>ндекс инвалидизации по опроснику оценки состояния здоровья (Health Assessment Questionnaire-Disability Index)</w:t>
            </w:r>
            <w:r>
              <w:t xml:space="preserve">; </w:t>
            </w:r>
            <w:r w:rsidRPr="0063697B">
              <w:t>TNF-α</w:t>
            </w:r>
            <w:r w:rsidRPr="0063697B">
              <w:rPr>
                <w:i/>
                <w:iCs/>
              </w:rPr>
              <w:t xml:space="preserve"> </w:t>
            </w:r>
            <w:r>
              <w:t>– фактор некроза опухоли-</w:t>
            </w:r>
            <w:r>
              <w:rPr>
                <w:rFonts w:cs="Times New Roman"/>
              </w:rPr>
              <w:t>α</w:t>
            </w:r>
            <w:r>
              <w:t xml:space="preserve"> (</w:t>
            </w:r>
            <w:r>
              <w:rPr>
                <w:lang w:val="en-US"/>
              </w:rPr>
              <w:t>tumour</w:t>
            </w:r>
            <w:r w:rsidRPr="00CD0324">
              <w:t xml:space="preserve"> </w:t>
            </w:r>
            <w:r>
              <w:rPr>
                <w:lang w:val="en-US"/>
              </w:rPr>
              <w:t>necrosis</w:t>
            </w:r>
            <w:r w:rsidRPr="00CD0324">
              <w:t xml:space="preserve"> </w:t>
            </w:r>
            <w:r>
              <w:rPr>
                <w:lang w:val="en-US"/>
              </w:rPr>
              <w:t>factor</w:t>
            </w:r>
            <w:r w:rsidRPr="00CD0324">
              <w:t>-</w:t>
            </w:r>
            <w:r>
              <w:rPr>
                <w:rFonts w:cs="Times New Roman"/>
                <w:lang w:val="en-US"/>
              </w:rPr>
              <w:t>α</w:t>
            </w:r>
            <w:r w:rsidRPr="00CD0324">
              <w:t>)</w:t>
            </w:r>
            <w:r>
              <w:t xml:space="preserve">; </w:t>
            </w:r>
            <w:r w:rsidRPr="00CD0324">
              <w:t xml:space="preserve">БМАРП </w:t>
            </w:r>
            <w:r>
              <w:t xml:space="preserve">– болезньмодифицирующие антиревматические препараты; </w:t>
            </w:r>
            <w:r w:rsidRPr="00525418">
              <w:t xml:space="preserve">*** </w:t>
            </w:r>
            <w:r>
              <w:t xml:space="preserve">– статистически значимые различия при сравнении значений на фоне приема тофацитиниба или плацебо + метотрексат, </w:t>
            </w:r>
            <w:r w:rsidRPr="00525418">
              <w:rPr>
                <w:lang w:val="en-US"/>
              </w:rPr>
              <w:t>p</w:t>
            </w:r>
            <w:r w:rsidRPr="00525418">
              <w:t xml:space="preserve"> &lt; 0,0001</w:t>
            </w:r>
            <w:r>
              <w:t>.</w:t>
            </w:r>
          </w:p>
        </w:tc>
      </w:tr>
    </w:tbl>
    <w:p w14:paraId="00C7FD57" w14:textId="4539EAE5" w:rsidR="00525418" w:rsidRDefault="00525418" w:rsidP="00525418">
      <w:pPr>
        <w:pStyle w:val="SDcomments"/>
        <w:ind w:firstLine="0"/>
      </w:pPr>
    </w:p>
    <w:p w14:paraId="59F526F6" w14:textId="75CDFAC8" w:rsidR="00DE24BE" w:rsidRDefault="00DE24BE" w:rsidP="00B10B50">
      <w:pPr>
        <w:pStyle w:val="SDText"/>
        <w:spacing w:after="0"/>
      </w:pPr>
      <w:r>
        <w:t xml:space="preserve">Качество жизни, связанное со здоровьем, оценивали с помощью </w:t>
      </w:r>
      <w:r w:rsidR="00604C26">
        <w:t xml:space="preserve">опросника </w:t>
      </w:r>
      <w:r>
        <w:t xml:space="preserve">SF-36. </w:t>
      </w:r>
      <w:r w:rsidR="00604C26">
        <w:t>У п</w:t>
      </w:r>
      <w:r>
        <w:t>ациент</w:t>
      </w:r>
      <w:r w:rsidR="00604C26">
        <w:t>ов, принимавших тофацитиниб</w:t>
      </w:r>
      <w:r w:rsidR="00383E6F">
        <w:t xml:space="preserve"> </w:t>
      </w:r>
      <w:r w:rsidR="00604C26">
        <w:t xml:space="preserve">в дозе </w:t>
      </w:r>
      <w:r>
        <w:t xml:space="preserve">5 или 10 мг </w:t>
      </w:r>
      <w:r w:rsidR="00604C26">
        <w:t>2</w:t>
      </w:r>
      <w:r>
        <w:t xml:space="preserve"> раза в день наблюдал</w:t>
      </w:r>
      <w:r w:rsidR="00604C26">
        <w:t>и</w:t>
      </w:r>
      <w:r>
        <w:t xml:space="preserve"> значительно бол</w:t>
      </w:r>
      <w:r w:rsidR="00604C26">
        <w:t>ее выраженное</w:t>
      </w:r>
      <w:r>
        <w:t xml:space="preserve"> улучшение </w:t>
      </w:r>
      <w:r w:rsidR="00B62CB8">
        <w:t>от</w:t>
      </w:r>
      <w:r>
        <w:t xml:space="preserve"> </w:t>
      </w:r>
      <w:r w:rsidR="00604C26">
        <w:t>исходного уровня</w:t>
      </w:r>
      <w:r>
        <w:t xml:space="preserve"> по сравнению с</w:t>
      </w:r>
      <w:r w:rsidR="00604C26">
        <w:t>о значением на фоне приема</w:t>
      </w:r>
      <w:r>
        <w:t xml:space="preserve"> плацебо во всех 8 областях, а также </w:t>
      </w:r>
      <w:r w:rsidR="00F57E6B">
        <w:t>показателя физического компонента</w:t>
      </w:r>
      <w:r>
        <w:t xml:space="preserve"> и </w:t>
      </w:r>
      <w:r w:rsidR="00F57E6B">
        <w:t>показателя умственного компонента</w:t>
      </w:r>
      <w:r>
        <w:t xml:space="preserve"> </w:t>
      </w:r>
      <w:r w:rsidR="007B21AC">
        <w:t xml:space="preserve">на </w:t>
      </w:r>
      <w:r>
        <w:t>3 мес</w:t>
      </w:r>
      <w:r w:rsidR="007B21AC">
        <w:t>.</w:t>
      </w:r>
      <w:r>
        <w:t xml:space="preserve"> в </w:t>
      </w:r>
      <w:r w:rsidR="007B21AC">
        <w:t xml:space="preserve">исследованиях </w:t>
      </w:r>
      <w:r>
        <w:t xml:space="preserve">ORAL Solo, ORAL Scan и ORAL Step. В </w:t>
      </w:r>
      <w:r w:rsidR="007B21AC">
        <w:t xml:space="preserve">исследовании </w:t>
      </w:r>
      <w:r>
        <w:t>ORAL Scan</w:t>
      </w:r>
      <w:r w:rsidR="007B21AC" w:rsidRPr="007B21AC">
        <w:t xml:space="preserve"> </w:t>
      </w:r>
      <w:r w:rsidR="007B21AC">
        <w:t>у пациентов, получавших тофацитиниб</w:t>
      </w:r>
      <w:r>
        <w:t>, средн</w:t>
      </w:r>
      <w:r w:rsidR="007B21AC">
        <w:t>е</w:t>
      </w:r>
      <w:r>
        <w:t>е улучшени</w:t>
      </w:r>
      <w:r w:rsidR="007B21AC">
        <w:t>е по</w:t>
      </w:r>
      <w:r>
        <w:t xml:space="preserve"> SF-36 сохранял</w:t>
      </w:r>
      <w:r w:rsidR="007B21AC">
        <w:t>о</w:t>
      </w:r>
      <w:r>
        <w:t>сь до 12 мес</w:t>
      </w:r>
      <w:r w:rsidR="007B21AC">
        <w:t>.</w:t>
      </w:r>
      <w:r>
        <w:t xml:space="preserve"> </w:t>
      </w:r>
      <w:r w:rsidR="0029360A" w:rsidRPr="00382C19">
        <w:fldChar w:fldCharType="begin"/>
      </w:r>
      <w:r w:rsidR="0029360A"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29360A" w:rsidRPr="00382C19">
        <w:fldChar w:fldCharType="separate"/>
      </w:r>
      <w:r w:rsidR="0029360A">
        <w:t>[2</w:t>
      </w:r>
      <w:r w:rsidR="0029360A" w:rsidRPr="00382C19">
        <w:t>]</w:t>
      </w:r>
      <w:r w:rsidR="0029360A" w:rsidRPr="00382C19">
        <w:fldChar w:fldCharType="end"/>
      </w:r>
      <w:r w:rsidR="0029360A">
        <w:t>.</w:t>
      </w:r>
    </w:p>
    <w:p w14:paraId="30A524E8" w14:textId="772D1D18" w:rsidR="00DE24BE" w:rsidRDefault="00AE6086" w:rsidP="00B10B50">
      <w:pPr>
        <w:pStyle w:val="SDText"/>
        <w:spacing w:after="0"/>
      </w:pPr>
      <w:r>
        <w:t>Уменьшение у</w:t>
      </w:r>
      <w:r w:rsidR="00F232C6">
        <w:t>сталости</w:t>
      </w:r>
      <w:r>
        <w:t xml:space="preserve"> оценивали с помощью FACIT-F на 3 мес</w:t>
      </w:r>
      <w:r w:rsidR="0053063D">
        <w:t>.</w:t>
      </w:r>
      <w:r>
        <w:t xml:space="preserve"> во всех исследованиях. </w:t>
      </w:r>
      <w:r w:rsidR="0053063D">
        <w:t>Для п</w:t>
      </w:r>
      <w:r>
        <w:t>ациент</w:t>
      </w:r>
      <w:r w:rsidR="0053063D">
        <w:t>ов</w:t>
      </w:r>
      <w:r>
        <w:t>, получающи</w:t>
      </w:r>
      <w:r w:rsidR="0053063D">
        <w:t>х</w:t>
      </w:r>
      <w:r>
        <w:t xml:space="preserve"> тофацитиниб в дозе 5 или 10 мг </w:t>
      </w:r>
      <w:r w:rsidR="0053063D">
        <w:t>2</w:t>
      </w:r>
      <w:r>
        <w:t xml:space="preserve"> раза в день</w:t>
      </w:r>
      <w:r w:rsidR="0053063D">
        <w:t>,</w:t>
      </w:r>
      <w:r>
        <w:t xml:space="preserve"> продемонстрировали значительно бол</w:t>
      </w:r>
      <w:r w:rsidR="0053063D">
        <w:t>ее выраженное</w:t>
      </w:r>
      <w:r>
        <w:t xml:space="preserve"> </w:t>
      </w:r>
      <w:r w:rsidR="00F232C6">
        <w:t>снижение усталости</w:t>
      </w:r>
      <w:r>
        <w:t xml:space="preserve"> </w:t>
      </w:r>
      <w:r w:rsidR="00B62CB8">
        <w:t>от</w:t>
      </w:r>
      <w:r w:rsidR="0053063D">
        <w:t xml:space="preserve"> исходно</w:t>
      </w:r>
      <w:r w:rsidR="00B62CB8">
        <w:t>го</w:t>
      </w:r>
      <w:r w:rsidR="0053063D">
        <w:t xml:space="preserve"> уровн</w:t>
      </w:r>
      <w:r w:rsidR="00B62CB8">
        <w:t>я</w:t>
      </w:r>
      <w:r>
        <w:t xml:space="preserve"> по сравнению с плацебо во всех 5 исследованиях. В </w:t>
      </w:r>
      <w:r w:rsidR="00F232C6">
        <w:t xml:space="preserve">исследованиях </w:t>
      </w:r>
      <w:r>
        <w:t xml:space="preserve">ORAL Standard и ORAL Scan </w:t>
      </w:r>
      <w:r w:rsidR="00F232C6">
        <w:t>у пациентов, получавших тофацитиниб,</w:t>
      </w:r>
      <w:r w:rsidR="00F232C6" w:rsidRPr="0029360A">
        <w:t xml:space="preserve"> </w:t>
      </w:r>
      <w:r>
        <w:t>средн</w:t>
      </w:r>
      <w:r w:rsidR="00F232C6">
        <w:t>е</w:t>
      </w:r>
      <w:r>
        <w:t>е улучшени</w:t>
      </w:r>
      <w:r w:rsidR="00F232C6">
        <w:t>е</w:t>
      </w:r>
      <w:r>
        <w:t xml:space="preserve"> </w:t>
      </w:r>
      <w:r w:rsidR="00F232C6">
        <w:t xml:space="preserve">по </w:t>
      </w:r>
      <w:r>
        <w:t>FACIT-F сохраня</w:t>
      </w:r>
      <w:r w:rsidR="00F232C6">
        <w:t>лось</w:t>
      </w:r>
      <w:r>
        <w:t xml:space="preserve"> до 12 мес</w:t>
      </w:r>
      <w:r w:rsidR="00F232C6">
        <w:t>.</w:t>
      </w:r>
      <w:r>
        <w:t xml:space="preserve"> </w:t>
      </w:r>
      <w:r w:rsidR="0029360A" w:rsidRPr="00382C19">
        <w:fldChar w:fldCharType="begin"/>
      </w:r>
      <w:r w:rsidR="0029360A"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29360A" w:rsidRPr="00382C19">
        <w:fldChar w:fldCharType="separate"/>
      </w:r>
      <w:r w:rsidR="0029360A">
        <w:t>[2</w:t>
      </w:r>
      <w:r w:rsidR="0029360A" w:rsidRPr="00382C19">
        <w:t>]</w:t>
      </w:r>
      <w:r w:rsidR="0029360A" w:rsidRPr="00382C19">
        <w:fldChar w:fldCharType="end"/>
      </w:r>
      <w:r w:rsidR="0029360A">
        <w:t>.</w:t>
      </w:r>
    </w:p>
    <w:p w14:paraId="6C396C56" w14:textId="3F19EE48" w:rsidR="00AE6086" w:rsidRDefault="0029360A" w:rsidP="00B10B50">
      <w:pPr>
        <w:pStyle w:val="SDText"/>
        <w:spacing w:after="0"/>
      </w:pPr>
      <w:r>
        <w:t xml:space="preserve">Улучшение сна оценивали с помощью суммарных шкал Индекса проблем со сном I и II. </w:t>
      </w:r>
      <w:r w:rsidR="00555CBA">
        <w:t>При оценке</w:t>
      </w:r>
      <w:r>
        <w:t xml:space="preserve"> </w:t>
      </w:r>
      <w:r w:rsidR="0099569A">
        <w:t xml:space="preserve">по опроснику медицинских </w:t>
      </w:r>
      <w:r w:rsidR="002629C3">
        <w:t>исходов оценки сна</w:t>
      </w:r>
      <w:r w:rsidR="0099569A">
        <w:t xml:space="preserve"> </w:t>
      </w:r>
      <w:r w:rsidR="002629C3">
        <w:t>(</w:t>
      </w:r>
      <w:r>
        <w:t xml:space="preserve">Medical Outcomes Study </w:t>
      </w:r>
      <w:r w:rsidR="002629C3">
        <w:t xml:space="preserve">Sleep, </w:t>
      </w:r>
      <w:r>
        <w:t>MOS-Sleep) на 3 мес</w:t>
      </w:r>
      <w:r w:rsidR="002629C3">
        <w:t>.</w:t>
      </w:r>
      <w:r>
        <w:t xml:space="preserve"> во всех исследованиях. </w:t>
      </w:r>
      <w:r w:rsidR="002629C3">
        <w:t>Для п</w:t>
      </w:r>
      <w:r>
        <w:t>ациент</w:t>
      </w:r>
      <w:r w:rsidR="002629C3">
        <w:t>ов</w:t>
      </w:r>
      <w:r>
        <w:t>, получающи</w:t>
      </w:r>
      <w:r w:rsidR="002629C3">
        <w:t>х</w:t>
      </w:r>
      <w:r>
        <w:t xml:space="preserve"> тофацитиниб в дозе 5 или 10 мг </w:t>
      </w:r>
      <w:r w:rsidR="002629C3">
        <w:t>2</w:t>
      </w:r>
      <w:r>
        <w:t xml:space="preserve"> раза в день</w:t>
      </w:r>
      <w:r w:rsidR="002629C3">
        <w:t>,</w:t>
      </w:r>
      <w:r>
        <w:t xml:space="preserve"> продемонстрировал</w:t>
      </w:r>
      <w:r w:rsidR="002629C3">
        <w:t>и</w:t>
      </w:r>
      <w:r>
        <w:t xml:space="preserve"> значительно бол</w:t>
      </w:r>
      <w:r w:rsidR="002629C3">
        <w:t xml:space="preserve">ее выраженное </w:t>
      </w:r>
      <w:r>
        <w:t xml:space="preserve">улучшение </w:t>
      </w:r>
      <w:r w:rsidR="00B62CB8">
        <w:t>от</w:t>
      </w:r>
      <w:r w:rsidR="002629C3">
        <w:t xml:space="preserve"> исходно</w:t>
      </w:r>
      <w:r w:rsidR="00B62CB8">
        <w:t>го</w:t>
      </w:r>
      <w:r w:rsidR="002629C3">
        <w:t xml:space="preserve"> уровн</w:t>
      </w:r>
      <w:r w:rsidR="00B62CB8">
        <w:t>я</w:t>
      </w:r>
      <w:r>
        <w:t xml:space="preserve"> </w:t>
      </w:r>
      <w:r w:rsidR="00B62CB8">
        <w:t xml:space="preserve">по </w:t>
      </w:r>
      <w:r>
        <w:t>обе</w:t>
      </w:r>
      <w:r w:rsidR="00B62CB8">
        <w:t>м</w:t>
      </w:r>
      <w:r>
        <w:t xml:space="preserve"> шкал</w:t>
      </w:r>
      <w:r w:rsidR="00B62CB8">
        <w:t>ам</w:t>
      </w:r>
      <w:r>
        <w:t xml:space="preserve"> по сравнению с плацебо в </w:t>
      </w:r>
      <w:r w:rsidR="00B62CB8">
        <w:t xml:space="preserve">исследованиях </w:t>
      </w:r>
      <w:r>
        <w:t xml:space="preserve">ORAL Sync, ORAL Standard и ORAL Scan. В </w:t>
      </w:r>
      <w:r w:rsidR="001363A9">
        <w:t xml:space="preserve">исследованиях ORAL Standard и ORAL Scan у пациентов, получавших тофацитиниб, </w:t>
      </w:r>
      <w:r>
        <w:t>средн</w:t>
      </w:r>
      <w:r w:rsidR="001363A9">
        <w:t>е</w:t>
      </w:r>
      <w:r>
        <w:t>е улучшени</w:t>
      </w:r>
      <w:r w:rsidR="001363A9">
        <w:t>е</w:t>
      </w:r>
      <w:r>
        <w:t xml:space="preserve"> по обеим шкалам сохранял</w:t>
      </w:r>
      <w:r w:rsidR="001363A9">
        <w:t>о</w:t>
      </w:r>
      <w:r>
        <w:t>сь до 12 мес</w:t>
      </w:r>
      <w:r w:rsidR="001363A9">
        <w:t>.</w:t>
      </w:r>
      <w:r>
        <w:t xml:space="preserve"> </w:t>
      </w:r>
      <w:r w:rsidRPr="00382C19">
        <w:fldChar w:fldCharType="begin"/>
      </w:r>
      <w:r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Pr="00382C19">
        <w:fldChar w:fldCharType="separate"/>
      </w:r>
      <w:r>
        <w:t>[2</w:t>
      </w:r>
      <w:r w:rsidRPr="00382C19">
        <w:t>]</w:t>
      </w:r>
      <w:r w:rsidRPr="00382C19">
        <w:fldChar w:fldCharType="end"/>
      </w:r>
      <w:r>
        <w:t>.</w:t>
      </w:r>
    </w:p>
    <w:p w14:paraId="60D723BC" w14:textId="70E91175" w:rsidR="00133218" w:rsidRDefault="00133218" w:rsidP="00B10B50">
      <w:pPr>
        <w:pStyle w:val="SDText"/>
        <w:spacing w:after="0"/>
      </w:pPr>
      <w:r>
        <w:t xml:space="preserve">Длительность эффекта оценивали по частоте ACR20, ACR50, ACR70 в исследованиях </w:t>
      </w:r>
      <w:r w:rsidR="00EC5076">
        <w:t xml:space="preserve">с </w:t>
      </w:r>
      <w:r>
        <w:t>длительност</w:t>
      </w:r>
      <w:r w:rsidR="00EC5076">
        <w:t>ью</w:t>
      </w:r>
      <w:r>
        <w:t xml:space="preserve"> до </w:t>
      </w:r>
      <w:r w:rsidR="00EC5076">
        <w:t>2</w:t>
      </w:r>
      <w:r>
        <w:t xml:space="preserve"> лет. Изменения средних показателей </w:t>
      </w:r>
      <w:r w:rsidR="00EC5076">
        <w:t xml:space="preserve">по </w:t>
      </w:r>
      <w:r>
        <w:t xml:space="preserve">HAQ-DI и </w:t>
      </w:r>
      <w:r>
        <w:lastRenderedPageBreak/>
        <w:t xml:space="preserve">DAS28-4(СОЭ) сохранялись как при </w:t>
      </w:r>
      <w:r w:rsidR="002F0C54">
        <w:t>использовании</w:t>
      </w:r>
      <w:r>
        <w:t xml:space="preserve"> тофацитиниба</w:t>
      </w:r>
      <w:r w:rsidR="002F0C54">
        <w:t xml:space="preserve"> в обеих дозах</w:t>
      </w:r>
      <w:r>
        <w:t xml:space="preserve"> до </w:t>
      </w:r>
      <w:r w:rsidR="002F0C54">
        <w:t xml:space="preserve">окончания </w:t>
      </w:r>
      <w:r>
        <w:t>исследований</w:t>
      </w:r>
      <w:r w:rsidR="008166BF" w:rsidRPr="008166BF">
        <w:t xml:space="preserve"> </w:t>
      </w:r>
      <w:r w:rsidR="008166BF" w:rsidRPr="00382C19">
        <w:fldChar w:fldCharType="begin"/>
      </w:r>
      <w:r w:rsidR="008166BF"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166BF" w:rsidRPr="00382C19">
        <w:fldChar w:fldCharType="separate"/>
      </w:r>
      <w:r w:rsidR="008166BF">
        <w:t>[2</w:t>
      </w:r>
      <w:r w:rsidR="008166BF" w:rsidRPr="00382C19">
        <w:t>]</w:t>
      </w:r>
      <w:r w:rsidR="008166BF" w:rsidRPr="00382C19">
        <w:fldChar w:fldCharType="end"/>
      </w:r>
      <w:r w:rsidR="008166BF">
        <w:t>.</w:t>
      </w:r>
    </w:p>
    <w:p w14:paraId="3165D16F" w14:textId="3B2C0365" w:rsidR="00133218" w:rsidRDefault="002F0C54" w:rsidP="00B10B50">
      <w:pPr>
        <w:pStyle w:val="SDText"/>
        <w:spacing w:after="0"/>
      </w:pPr>
      <w:r>
        <w:t>С</w:t>
      </w:r>
      <w:r w:rsidR="008166BF">
        <w:t>охранени</w:t>
      </w:r>
      <w:r>
        <w:t>е</w:t>
      </w:r>
      <w:r w:rsidR="008166BF">
        <w:t xml:space="preserve"> эффективности лечения тофацитинибом до 5 лет также </w:t>
      </w:r>
      <w:r>
        <w:t>продемонстрированы в ходе</w:t>
      </w:r>
      <w:r w:rsidR="008166BF">
        <w:t xml:space="preserve"> рандомизированного пострегистрационного исследования безопасности у пациентов с РА в возрасте 50 лет и старше по крайней мере с одним дополнительным фактором сердечно-сосудистого риска, а также в завершенном открытом исследовании, долгосрочн</w:t>
      </w:r>
      <w:r w:rsidR="00480932">
        <w:t>ом</w:t>
      </w:r>
      <w:r w:rsidR="008166BF">
        <w:t xml:space="preserve"> </w:t>
      </w:r>
      <w:r w:rsidR="00480932">
        <w:t>исследовании</w:t>
      </w:r>
      <w:r w:rsidR="008166BF">
        <w:t xml:space="preserve"> </w:t>
      </w:r>
      <w:r w:rsidR="00281993">
        <w:t xml:space="preserve">с оценкой отдаленных результатов </w:t>
      </w:r>
      <w:r w:rsidR="008166BF">
        <w:t>до 8 лет</w:t>
      </w:r>
      <w:r w:rsidR="008166BF" w:rsidRPr="008166BF">
        <w:t xml:space="preserve"> </w:t>
      </w:r>
      <w:r w:rsidR="008166BF" w:rsidRPr="00382C19">
        <w:fldChar w:fldCharType="begin"/>
      </w:r>
      <w:r w:rsidR="008166BF"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166BF" w:rsidRPr="00382C19">
        <w:fldChar w:fldCharType="separate"/>
      </w:r>
      <w:r w:rsidR="008166BF">
        <w:t>[2</w:t>
      </w:r>
      <w:r w:rsidR="008166BF" w:rsidRPr="00382C19">
        <w:t>]</w:t>
      </w:r>
      <w:r w:rsidR="008166BF" w:rsidRPr="00382C19">
        <w:fldChar w:fldCharType="end"/>
      </w:r>
      <w:r w:rsidR="008166BF">
        <w:t>.</w:t>
      </w:r>
    </w:p>
    <w:p w14:paraId="228B13D5" w14:textId="77777777" w:rsidR="00B10B50" w:rsidRPr="00525418" w:rsidRDefault="00B10B50" w:rsidP="00B10B50">
      <w:pPr>
        <w:pStyle w:val="SDText"/>
        <w:spacing w:after="0"/>
      </w:pPr>
    </w:p>
    <w:p w14:paraId="2D7592CD" w14:textId="4A9529E3" w:rsidR="005F064C" w:rsidRPr="00382C19" w:rsidRDefault="009E14FC" w:rsidP="009E14FC">
      <w:pPr>
        <w:pStyle w:val="5"/>
        <w:numPr>
          <w:ilvl w:val="0"/>
          <w:numId w:val="0"/>
        </w:numPr>
        <w:contextualSpacing/>
        <w:rPr>
          <w:b/>
          <w:i w:val="0"/>
        </w:rPr>
      </w:pPr>
      <w:bookmarkStart w:id="235" w:name="_Toc115421083"/>
      <w:r>
        <w:rPr>
          <w:b/>
          <w:i w:val="0"/>
        </w:rPr>
        <w:t xml:space="preserve">4.3.1.1.2. </w:t>
      </w:r>
      <w:r w:rsidR="005F064C" w:rsidRPr="00382C19">
        <w:rPr>
          <w:b/>
          <w:i w:val="0"/>
        </w:rPr>
        <w:t>Таблетки с модифицированным высвобождением, покрытые пленочной оболочкой</w:t>
      </w:r>
    </w:p>
    <w:p w14:paraId="030D7238" w14:textId="77777777" w:rsidR="00382C19" w:rsidRDefault="00382C19" w:rsidP="00382C19">
      <w:pPr>
        <w:pStyle w:val="SDText"/>
        <w:contextualSpacing/>
      </w:pPr>
    </w:p>
    <w:p w14:paraId="506473D7" w14:textId="7E65AB2E" w:rsidR="00AB416E" w:rsidRDefault="00F13A65" w:rsidP="00F13A65">
      <w:pPr>
        <w:pStyle w:val="SDText"/>
        <w:spacing w:after="0"/>
        <w:contextualSpacing/>
      </w:pPr>
      <w:r>
        <w:t>В</w:t>
      </w:r>
      <w:r w:rsidR="00FC41CB">
        <w:t xml:space="preserve"> </w:t>
      </w:r>
      <w:r w:rsidR="00473530">
        <w:t xml:space="preserve">рандомизированном исследовании </w:t>
      </w:r>
      <w:r w:rsidR="00473530" w:rsidRPr="00473530">
        <w:t>ORAL Shift III</w:t>
      </w:r>
      <w:r w:rsidR="00473530">
        <w:rPr>
          <w:lang w:val="en-US"/>
        </w:rPr>
        <w:t>b</w:t>
      </w:r>
      <w:r w:rsidR="00473530">
        <w:t>–</w:t>
      </w:r>
      <w:r w:rsidR="00473530">
        <w:rPr>
          <w:lang w:val="en-US"/>
        </w:rPr>
        <w:t>IV</w:t>
      </w:r>
      <w:r w:rsidR="00473530" w:rsidRPr="00473530">
        <w:t xml:space="preserve"> </w:t>
      </w:r>
      <w:r w:rsidR="00473530">
        <w:t>фазы</w:t>
      </w:r>
      <w:r w:rsidR="00473530" w:rsidRPr="00473530">
        <w:t xml:space="preserve"> </w:t>
      </w:r>
      <w:r w:rsidR="00F52F6E">
        <w:t xml:space="preserve">изучили эффективность тофацитиниба у пациентов с </w:t>
      </w:r>
      <w:r w:rsidR="00BF2EAB">
        <w:t>умеренным или тяжелым РА с недостаточным ответом на метотрексат</w:t>
      </w:r>
      <w:r w:rsidR="008A608F">
        <w:t>. После открыто</w:t>
      </w:r>
      <w:r w:rsidR="008D496B">
        <w:t>го периода</w:t>
      </w:r>
      <w:r w:rsidR="008A608F">
        <w:t xml:space="preserve"> </w:t>
      </w:r>
      <w:r w:rsidR="00E62948">
        <w:t>терапии</w:t>
      </w:r>
      <w:r w:rsidR="008A608F">
        <w:t xml:space="preserve"> </w:t>
      </w:r>
      <w:r w:rsidR="00F334B7">
        <w:t>препарат</w:t>
      </w:r>
      <w:r w:rsidR="00E62948">
        <w:t>ом</w:t>
      </w:r>
      <w:r w:rsidR="00F334B7">
        <w:t xml:space="preserve"> </w:t>
      </w:r>
      <w:r w:rsidR="008A608F">
        <w:t xml:space="preserve">тофацитиниба в лекарственной форме </w:t>
      </w:r>
      <w:r w:rsidR="00F334B7">
        <w:t>таблетки с модифицированным высвобождением, покрытые пленочной оболочкой</w:t>
      </w:r>
      <w:r w:rsidR="0092535E">
        <w:t xml:space="preserve">, в дозе </w:t>
      </w:r>
      <w:r w:rsidR="00F334B7">
        <w:t>11 мг</w:t>
      </w:r>
      <w:r w:rsidR="00E62948">
        <w:t xml:space="preserve"> и метотрексатом в течение 24 недель</w:t>
      </w:r>
      <w:r w:rsidR="0092535E">
        <w:t>,</w:t>
      </w:r>
      <w:r w:rsidR="00E62948">
        <w:t xml:space="preserve"> </w:t>
      </w:r>
      <w:r w:rsidR="008E2880">
        <w:t xml:space="preserve">больных, достигших низкой активности заболевания, определяемой как </w:t>
      </w:r>
      <w:r w:rsidR="00D52FEC">
        <w:t>индекс клинической активности заболевания</w:t>
      </w:r>
      <w:r w:rsidR="00D52FEC" w:rsidRPr="00D52FEC">
        <w:t xml:space="preserve"> </w:t>
      </w:r>
      <w:r w:rsidR="00D52FEC">
        <w:t>(clinical disease activity index, CDAI ≤ 10)</w:t>
      </w:r>
      <w:r w:rsidR="000D5194">
        <w:t>,</w:t>
      </w:r>
      <w:r w:rsidR="00D52FEC">
        <w:t xml:space="preserve"> рандомизировали </w:t>
      </w:r>
      <w:r w:rsidR="00F04282">
        <w:t xml:space="preserve">на группы </w:t>
      </w:r>
      <w:r w:rsidR="00B70566">
        <w:t>тофацитиниб + плацебо и тофацитиниб + мет</w:t>
      </w:r>
      <w:r w:rsidR="00CF7885">
        <w:t>о</w:t>
      </w:r>
      <w:r w:rsidR="00B70566">
        <w:t>трексат</w:t>
      </w:r>
      <w:r w:rsidR="00CF7885">
        <w:t xml:space="preserve"> для получения лечения в течение следующих 24 недель</w:t>
      </w:r>
      <w:r w:rsidR="008D496B">
        <w:t xml:space="preserve"> двойного слепого периода</w:t>
      </w:r>
      <w:r w:rsidR="00CF7885">
        <w:t xml:space="preserve">. </w:t>
      </w:r>
      <w:r w:rsidR="00C7148A">
        <w:t xml:space="preserve">В исследование включали пациентов, получавших метотрексат не менее 4 мес. со стабильной дозой 15–25 мг в неделю не менее 6 недель до </w:t>
      </w:r>
      <w:r w:rsidR="001D48A1">
        <w:t>исходной оценки</w:t>
      </w:r>
      <w:r w:rsidR="00C7148A">
        <w:t xml:space="preserve">. </w:t>
      </w:r>
      <w:r w:rsidR="004E40FC">
        <w:t xml:space="preserve">Первичной конечной точкой являлось среднее значение изменения </w:t>
      </w:r>
      <w:r w:rsidR="00557869" w:rsidRPr="00557869">
        <w:t>DAS28-4</w:t>
      </w:r>
      <w:r w:rsidR="00557869">
        <w:t>(</w:t>
      </w:r>
      <w:r w:rsidR="0089498B">
        <w:t>СОЭ</w:t>
      </w:r>
      <w:r w:rsidR="00557869" w:rsidRPr="00557869">
        <w:t>)</w:t>
      </w:r>
      <w:r w:rsidR="00557869">
        <w:t xml:space="preserve">, определенное методом наименьших квадратов, с </w:t>
      </w:r>
      <w:r w:rsidR="0089498B">
        <w:t xml:space="preserve">24 по 48 неделю. </w:t>
      </w:r>
      <w:r w:rsidR="005A1B2D">
        <w:t>В открытом периоде исследования приняли участие 694 пациента</w:t>
      </w:r>
      <w:r w:rsidR="005255C7">
        <w:t>, из которых 623 больных получали лечение в течение 24 недель</w:t>
      </w:r>
      <w:r w:rsidR="00CB42BB">
        <w:t xml:space="preserve"> </w:t>
      </w:r>
      <w:r w:rsidR="00CB42BB">
        <w:fldChar w:fldCharType="begin"/>
      </w:r>
      <w:r w:rsidR="008D5290">
        <w:instrText xml:space="preserve"> ADDIN ZOTERO_ITEM CSL_CITATION {"citationID":"5xhUIuds","properties":{"formattedCitation":"[30]","plainCitation":"[30]","noteIndex":0},"citationItems":[{"id":87795,"uris":["http://zotero.org/groups/4742804/items/UV9PI7FR"],"itemData":{"id":87795,"type":"article-journal","abstract":"Background\nTofacitinib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rsidR="00CB42BB">
        <w:fldChar w:fldCharType="separate"/>
      </w:r>
      <w:r w:rsidR="00DE2C35">
        <w:rPr>
          <w:rFonts w:cs="Times New Roman"/>
        </w:rPr>
        <w:t>[</w:t>
      </w:r>
      <w:r w:rsidR="00DE2C35" w:rsidRPr="00014867">
        <w:rPr>
          <w:rFonts w:cs="Times New Roman"/>
        </w:rPr>
        <w:t>8</w:t>
      </w:r>
      <w:r w:rsidR="008D5290" w:rsidRPr="008D5290">
        <w:rPr>
          <w:rFonts w:cs="Times New Roman"/>
        </w:rPr>
        <w:t>]</w:t>
      </w:r>
      <w:r w:rsidR="00CB42BB">
        <w:fldChar w:fldCharType="end"/>
      </w:r>
      <w:r w:rsidR="00CB42BB">
        <w:t>.</w:t>
      </w:r>
      <w:r w:rsidR="005255C7">
        <w:t xml:space="preserve"> </w:t>
      </w:r>
      <w:r w:rsidR="00615081">
        <w:t>Согласно результатам</w:t>
      </w:r>
      <w:r w:rsidR="000D5194">
        <w:t>,</w:t>
      </w:r>
      <w:r w:rsidR="00CB42BB">
        <w:t xml:space="preserve"> у</w:t>
      </w:r>
      <w:r w:rsidR="00635408">
        <w:t xml:space="preserve"> 84,5% пациентов после открыто</w:t>
      </w:r>
      <w:r w:rsidR="00B84770">
        <w:t xml:space="preserve">го периода исследования определили низкую активность заболевания согласно CDAI. </w:t>
      </w:r>
      <w:r w:rsidR="000334FF">
        <w:t xml:space="preserve">Улучшение от исходного значения на неделях 12 и 24 определили для </w:t>
      </w:r>
      <w:r w:rsidR="00751215">
        <w:t xml:space="preserve">всех оцениваемых параметров эффективности, включая оценку активности заболевания и ответ, </w:t>
      </w:r>
      <w:r w:rsidR="00CE0DDE">
        <w:t>достижение низкой активности заболевания и частоту достижения ремиссии</w:t>
      </w:r>
      <w:r w:rsidR="00CB42BB" w:rsidRPr="00CB42BB">
        <w:t xml:space="preserve"> </w:t>
      </w:r>
      <w:r w:rsidR="00CB42BB">
        <w:rPr>
          <w:lang w:val="en-GB"/>
        </w:rPr>
        <w:fldChar w:fldCharType="begin"/>
      </w:r>
      <w:r w:rsidR="008D5290">
        <w:instrText xml:space="preserve"> ADDIN ZOTERO_ITEM CSL_CITATION {"citationID":"AKNNG4Ja","properties":{"formattedCitation":"[31]","plainCitation":"[31]","noteIndex":0},"citationItems":[{"id":87796,"uris":["http://zotero.org/groups/4742804/items/68F2QAWZ"],"itemData":{"id":87796,"type":"article-journal","abstract":"Objectives To report the efficacy, safety and patient-reported outcome measures (PROs) of tofacitinib modified-release 11 mg once daily plus methotrexate in patients with rheumatoid arthritis (RA) from the open-label phase of Oral Rheumatoid Arthritis Trial (ORAL) Shift.\nMethods ORAL Shift was a global, 48-week, phase 3b/4 withdrawal study in patients with moderate to severe RA and an inadequate response to methotrexate. Patients received open-label tofacitinib modified-release 11 mg once daily plus methotrexate; those who achieved low disease activity (LDA; Clinical Disease Activity Index (CDAI)≤10) at week 24 were randomised to receive blinded tofacitinib 11 mg once daily plus placebo (ie, blinded methotrexate withdrawal) or continue with blinded tofacitinib 11 mg once daily plus methotrexate for another 24 weeks. Efficacy, PROs and safety from the open-label phase are reported descriptively.\nResults Following screening, 694 patients were enrolled and received tofacitinib plus methotrexate in the open-label phase. At week 24, 527 (84.5%) patients achieved CDAI-defined LDA. Improvements from baseline to weeks 12 and 24 were generally observed for all efficacy outcomes (including measures of disease activity, and response, LDA and remission rates) and PROs. Adverse events (AEs), serious AEs and discontinuations due to AEs were reported by 362 (52.2%), 20 (2.9%) and 41 (5.9%) patients, respectively. No deaths were reported.\nConclusions Tofacitinib modified-release 11 mg once daily plus methotrexate conferred improvements in disease activity measures, functional outcomes and PROs, with most (84.5%) patients achieving CDAI-defined LDA after 24 weeks of open-label treatment; the safety profile was generally consistent with the historic safety profile of tofacitinib.Funded by Pfizer Inc; NCT02831855.","container-title":"RMD Open","DOI":"10.1136/rmdopen-2021-001673","ISSN":"2056-5933","issue":"2","language":"en","license":"© Author(s) (or their employer(s)) 2021.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Specialist Journals\nsection: Rheumatoid arthritis\nPMID: 34103405","page":"e001673","source":"rmdopen.bmj.com","title":"Efficacy and safety of tofacitinib modified-release 11 mg once daily plus methotrexate in adult patients with rheumatoid arthritis: 24-week open-label phase results from a phase 3b/4 methotrexate withdrawal non-inferiority study (ORAL Shift)","title-short":"Efficacy and safety of tofacitinib modified-release 11 mg once daily plus methotrexate in adult patients with rheumatoid arthritis","volume":"7","author":[{"family":"Cohen","given":"Stanley B."},{"family":"Pope","given":"Janet"},{"family":"Haraoui","given":"Boulos"},{"family":"Mysler","given":"Eduardo"},{"family":"Diehl","given":"Annette"},{"family":"Lukic","given":"Tatjana"},{"family":"Liu","given":"Shixue"},{"family":"Stockert","given":"Lori"},{"family":"Germino","given":"Rebecca"},{"family":"Menon","given":"Sujatha"},{"family":"Shi","given":"Harry"},{"family":"Keystone","given":"Edward C."}],"issued":{"date-parts":[["2021",6,1]]}}}],"schema":"https://github.com/citation-style-language/schema/raw/master/csl-citation.json"} </w:instrText>
      </w:r>
      <w:r w:rsidR="00CB42BB">
        <w:rPr>
          <w:lang w:val="en-GB"/>
        </w:rPr>
        <w:fldChar w:fldCharType="separate"/>
      </w:r>
      <w:r w:rsidR="00DE2C35">
        <w:rPr>
          <w:rFonts w:cs="Times New Roman"/>
        </w:rPr>
        <w:t>[</w:t>
      </w:r>
      <w:r w:rsidR="00DE2C35" w:rsidRPr="00364071">
        <w:rPr>
          <w:rFonts w:cs="Times New Roman"/>
        </w:rPr>
        <w:t>9</w:t>
      </w:r>
      <w:r w:rsidR="008D5290" w:rsidRPr="008D5290">
        <w:rPr>
          <w:rFonts w:cs="Times New Roman"/>
        </w:rPr>
        <w:t>]</w:t>
      </w:r>
      <w:r w:rsidR="00CB42BB">
        <w:rPr>
          <w:lang w:val="en-GB"/>
        </w:rPr>
        <w:fldChar w:fldCharType="end"/>
      </w:r>
      <w:r w:rsidR="00CE0DDE">
        <w:t xml:space="preserve">. </w:t>
      </w:r>
      <w:r w:rsidR="00CB42BB">
        <w:t xml:space="preserve">Для получения терапии в двойном слепом периоде были рандомизированы </w:t>
      </w:r>
      <w:r w:rsidR="004C69E2">
        <w:t>5</w:t>
      </w:r>
      <w:r w:rsidR="00C941F3">
        <w:t>3</w:t>
      </w:r>
      <w:r w:rsidR="004C69E2">
        <w:t xml:space="preserve">3 пациента </w:t>
      </w:r>
      <w:r w:rsidR="00FE1D05">
        <w:t xml:space="preserve">(267 в группу монотерапии тофацитинибом, 266 – в группу комбинированной терапии). </w:t>
      </w:r>
      <w:r w:rsidR="00601058">
        <w:t xml:space="preserve">В первичный анализ эффективности не включили данные 3 участников из группы монотерапии. </w:t>
      </w:r>
      <w:r w:rsidR="00EA442B">
        <w:t>В ходе исследования продемон</w:t>
      </w:r>
      <w:r w:rsidR="004736E1">
        <w:t>с</w:t>
      </w:r>
      <w:r w:rsidR="00EA442B">
        <w:t xml:space="preserve">трировали не меньшую эффективность монотерапии тофацитинибом (разность </w:t>
      </w:r>
      <w:r w:rsidR="00E0456A">
        <w:t>0,3, 95% ДИ 0,12–0,48)</w:t>
      </w:r>
      <w:r w:rsidR="00D52FEC">
        <w:t xml:space="preserve"> </w:t>
      </w:r>
      <w:r w:rsidR="004834BD">
        <w:fldChar w:fldCharType="begin"/>
      </w:r>
      <w:r w:rsidR="008D5290">
        <w:instrText xml:space="preserve"> ADDIN ZOTERO_ITEM CSL_CITATION {"citationID":"kyvL1CQI","properties":{"formattedCitation":"[30]","plainCitation":"[30]","noteIndex":0},"citationItems":[{"id":87795,"uris":["http://zotero.org/groups/4742804/items/UV9PI7FR"],"itemData":{"id":87795,"type":"article-journal","abstract":"Background\nTofacitinib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rsidR="004834BD">
        <w:fldChar w:fldCharType="separate"/>
      </w:r>
      <w:r w:rsidR="00DE2C35">
        <w:rPr>
          <w:rFonts w:cs="Times New Roman"/>
        </w:rPr>
        <w:t>[</w:t>
      </w:r>
      <w:r w:rsidR="00DE2C35" w:rsidRPr="00D71CE8">
        <w:rPr>
          <w:rFonts w:cs="Times New Roman"/>
        </w:rPr>
        <w:t>8</w:t>
      </w:r>
      <w:r w:rsidR="008D5290" w:rsidRPr="008D5290">
        <w:rPr>
          <w:rFonts w:cs="Times New Roman"/>
        </w:rPr>
        <w:t>]</w:t>
      </w:r>
      <w:r w:rsidR="004834BD">
        <w:fldChar w:fldCharType="end"/>
      </w:r>
      <w:r w:rsidR="00E63FE7">
        <w:t>.</w:t>
      </w:r>
      <w:r w:rsidR="004834BD" w:rsidRPr="00AA513A">
        <w:t xml:space="preserve"> </w:t>
      </w:r>
    </w:p>
    <w:p w14:paraId="15ACDA90" w14:textId="77777777" w:rsidR="00F13A65" w:rsidRPr="00EA442B" w:rsidRDefault="00F13A65" w:rsidP="00F13A65">
      <w:pPr>
        <w:pStyle w:val="SDText"/>
        <w:spacing w:after="0"/>
        <w:contextualSpacing/>
      </w:pPr>
    </w:p>
    <w:p w14:paraId="7762BCF0" w14:textId="3F49CA7D" w:rsidR="002A02F7" w:rsidRDefault="009E14FC" w:rsidP="00F13A65">
      <w:pPr>
        <w:pStyle w:val="4"/>
        <w:numPr>
          <w:ilvl w:val="0"/>
          <w:numId w:val="0"/>
        </w:numPr>
        <w:ind w:left="864" w:hanging="864"/>
        <w:contextualSpacing/>
      </w:pPr>
      <w:bookmarkStart w:id="236" w:name="_Toc121592602"/>
      <w:r>
        <w:t xml:space="preserve">4.3.1.2. </w:t>
      </w:r>
      <w:r w:rsidR="002A02F7">
        <w:t>П</w:t>
      </w:r>
      <w:r w:rsidR="002A02F7" w:rsidRPr="002A02F7">
        <w:t>сориатический артрит</w:t>
      </w:r>
      <w:bookmarkEnd w:id="236"/>
    </w:p>
    <w:p w14:paraId="7E3AAB3F" w14:textId="77777777" w:rsidR="00382C19" w:rsidRPr="00382C19" w:rsidRDefault="00382C19" w:rsidP="00F13A65">
      <w:pPr>
        <w:spacing w:after="0"/>
      </w:pPr>
    </w:p>
    <w:p w14:paraId="78EFDE39" w14:textId="08F05586" w:rsidR="00382C19" w:rsidRPr="00382C19" w:rsidRDefault="009E14FC" w:rsidP="00F13A65">
      <w:pPr>
        <w:pStyle w:val="5"/>
        <w:numPr>
          <w:ilvl w:val="0"/>
          <w:numId w:val="0"/>
        </w:numPr>
        <w:contextualSpacing/>
        <w:rPr>
          <w:b/>
          <w:i w:val="0"/>
        </w:rPr>
      </w:pPr>
      <w:r>
        <w:rPr>
          <w:b/>
          <w:i w:val="0"/>
        </w:rPr>
        <w:t xml:space="preserve">4.3.1.2.1. </w:t>
      </w:r>
      <w:r w:rsidR="005F064C" w:rsidRPr="00382C19">
        <w:rPr>
          <w:b/>
          <w:i w:val="0"/>
        </w:rPr>
        <w:t>Таблетки, покрытые пленочной оболочкой</w:t>
      </w:r>
    </w:p>
    <w:p w14:paraId="39C60F03" w14:textId="77777777" w:rsidR="00382C19" w:rsidRDefault="00382C19" w:rsidP="00F13A65">
      <w:pPr>
        <w:pStyle w:val="OT"/>
        <w:ind w:firstLine="709"/>
        <w:contextualSpacing/>
      </w:pPr>
    </w:p>
    <w:bookmarkEnd w:id="235"/>
    <w:p w14:paraId="469EE9A8" w14:textId="46F26BB4" w:rsidR="00382C19" w:rsidRDefault="00D52A84" w:rsidP="00F13A65">
      <w:pPr>
        <w:pStyle w:val="OT"/>
        <w:ind w:left="0" w:firstLine="709"/>
        <w:contextualSpacing/>
      </w:pPr>
      <w:r w:rsidRPr="00382C19">
        <w:t xml:space="preserve">Эффективность и безопасность тофацитиниба в таблетках, покрытых пленочной оболочкой, </w:t>
      </w:r>
      <w:r w:rsidR="002E22DA" w:rsidRPr="00382C19">
        <w:t xml:space="preserve">также </w:t>
      </w:r>
      <w:r w:rsidRPr="00382C19">
        <w:t>оценивали в двух рандомизированных двойных слепых плацебо-контролируемы</w:t>
      </w:r>
      <w:r w:rsidR="00941EFA" w:rsidRPr="00382C19">
        <w:t>х</w:t>
      </w:r>
      <w:r w:rsidRPr="00382C19">
        <w:t xml:space="preserve"> исследования</w:t>
      </w:r>
      <w:r w:rsidR="002E22DA" w:rsidRPr="00382C19">
        <w:t>х</w:t>
      </w:r>
      <w:r w:rsidRPr="00382C19">
        <w:t xml:space="preserve"> фазы </w:t>
      </w:r>
      <w:r w:rsidR="002E22DA" w:rsidRPr="00382C19">
        <w:rPr>
          <w:lang w:val="en-US"/>
        </w:rPr>
        <w:t>III</w:t>
      </w:r>
      <w:r w:rsidRPr="00382C19">
        <w:t xml:space="preserve"> у взрослых пациентов с активным </w:t>
      </w:r>
      <w:r w:rsidR="002E22DA" w:rsidRPr="00382C19">
        <w:t>псориатическим артритом</w:t>
      </w:r>
      <w:r w:rsidRPr="00382C19">
        <w:t xml:space="preserve"> (≥ 3 оте</w:t>
      </w:r>
      <w:r w:rsidR="00046A09" w:rsidRPr="00382C19">
        <w:t>чных</w:t>
      </w:r>
      <w:r w:rsidRPr="00382C19">
        <w:t xml:space="preserve"> и ≥ 3 болезненных сустав</w:t>
      </w:r>
      <w:r w:rsidR="00046A09" w:rsidRPr="00382C19">
        <w:t>ов</w:t>
      </w:r>
      <w:r w:rsidRPr="00382C19">
        <w:t>)</w:t>
      </w:r>
      <w:r w:rsidR="00046A09" w:rsidRPr="00382C19">
        <w:t xml:space="preserve">: PsA-I (OPAL BROADEN) и </w:t>
      </w:r>
      <w:r w:rsidR="00360532" w:rsidRPr="00382C19">
        <w:t>PsA-II (OPAL BEYOND)</w:t>
      </w:r>
      <w:r w:rsidR="00025438" w:rsidRPr="00382C19">
        <w:t xml:space="preserve"> </w:t>
      </w:r>
      <w:r w:rsidR="00025438" w:rsidRPr="00382C19">
        <w:fldChar w:fldCharType="begin"/>
      </w:r>
      <w:r w:rsidR="008D5290" w:rsidRPr="00382C19">
        <w:instrText xml:space="preserve"> ADDIN ZOTERO_ITEM CSL_CITATION {"citationID":"FAAyDiHc","properties":{"formattedCitation":"[24]","plainCitation":"[24]","noteIndex":0},"citationItems":[{"id":87800,"uris":["http://zotero.org/groups/4742804/items/TPCQ89X9"],"itemData":{"id":87800,"type":"webpage","title":"Xeljanz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25438" w:rsidRPr="00382C19">
        <w:fldChar w:fldCharType="separate"/>
      </w:r>
      <w:r w:rsidR="00DE2C35">
        <w:t>[2</w:t>
      </w:r>
      <w:r w:rsidR="008D5290" w:rsidRPr="00382C19">
        <w:t>]</w:t>
      </w:r>
      <w:r w:rsidR="00025438" w:rsidRPr="00382C19">
        <w:fldChar w:fldCharType="end"/>
      </w:r>
      <w:r w:rsidR="00025438" w:rsidRPr="00382C19">
        <w:t>.</w:t>
      </w:r>
    </w:p>
    <w:p w14:paraId="0F356A71" w14:textId="5FAF4625" w:rsidR="00025438" w:rsidRDefault="00964321" w:rsidP="00382C19">
      <w:pPr>
        <w:pStyle w:val="OT"/>
        <w:ind w:left="0" w:firstLine="709"/>
        <w:contextualSpacing/>
      </w:pPr>
      <w:r>
        <w:t xml:space="preserve">В исследовании PsA-I (OPAL BROADEN) </w:t>
      </w:r>
      <w:r w:rsidR="00941EFA">
        <w:t>приняли участие</w:t>
      </w:r>
      <w:r>
        <w:t xml:space="preserve"> 422 пациента, у которых ранее </w:t>
      </w:r>
      <w:r w:rsidR="00B01352">
        <w:t>отмечали неадекватный</w:t>
      </w:r>
      <w:r>
        <w:t xml:space="preserve"> ответ (из-за отсутствие эффективности или </w:t>
      </w:r>
      <w:r>
        <w:lastRenderedPageBreak/>
        <w:t>непереносимост</w:t>
      </w:r>
      <w:r w:rsidR="003A6505">
        <w:t>и</w:t>
      </w:r>
      <w:r>
        <w:t xml:space="preserve">) </w:t>
      </w:r>
      <w:r w:rsidR="003A6505">
        <w:t>на</w:t>
      </w:r>
      <w:r>
        <w:t xml:space="preserve"> </w:t>
      </w:r>
      <w:r w:rsidR="003A6505">
        <w:t>т</w:t>
      </w:r>
      <w:r w:rsidR="00F35608">
        <w:t xml:space="preserve">радиционные </w:t>
      </w:r>
      <w:r w:rsidR="003A6505">
        <w:t>сБМАРП</w:t>
      </w:r>
      <w:r>
        <w:t xml:space="preserve"> (</w:t>
      </w:r>
      <w:r w:rsidR="003A6505">
        <w:t>метотрексат</w:t>
      </w:r>
      <w:r>
        <w:t xml:space="preserve"> у 92,7% пациентов); </w:t>
      </w:r>
      <w:r w:rsidR="003A6505">
        <w:t xml:space="preserve">у </w:t>
      </w:r>
      <w:r>
        <w:t xml:space="preserve">32,7% пациентов в этом исследовании ранее был неадекватный ответ на &gt; </w:t>
      </w:r>
      <w:r w:rsidR="00E44774">
        <w:t xml:space="preserve">чем на </w:t>
      </w:r>
      <w:r>
        <w:t xml:space="preserve">1 </w:t>
      </w:r>
      <w:r w:rsidR="003A6505">
        <w:t>т</w:t>
      </w:r>
      <w:r w:rsidR="00F35608">
        <w:t xml:space="preserve">радиционный </w:t>
      </w:r>
      <w:r w:rsidR="003A6505">
        <w:t>сБМАРП</w:t>
      </w:r>
      <w:r>
        <w:t xml:space="preserve"> или 1 </w:t>
      </w:r>
      <w:r w:rsidR="003A6505">
        <w:t>т</w:t>
      </w:r>
      <w:r w:rsidR="00F35608">
        <w:t xml:space="preserve">радиционный </w:t>
      </w:r>
      <w:r w:rsidR="003A6505">
        <w:t>сБМАРП</w:t>
      </w:r>
      <w:r>
        <w:t xml:space="preserve"> и </w:t>
      </w:r>
      <w:r w:rsidR="00F35608">
        <w:t>т</w:t>
      </w:r>
      <w:r w:rsidR="00826DF5">
        <w:t>с</w:t>
      </w:r>
      <w:r>
        <w:t>БМАРП. В исследовании OPAL BROADEN пред</w:t>
      </w:r>
      <w:r w:rsidR="00F35608">
        <w:t>шествующее</w:t>
      </w:r>
      <w:r>
        <w:t xml:space="preserve"> лечение ингибитором </w:t>
      </w:r>
      <w:r w:rsidR="00F35608">
        <w:rPr>
          <w:lang w:val="en-US"/>
        </w:rPr>
        <w:t>TNF</w:t>
      </w:r>
      <w:r w:rsidR="00F35608" w:rsidRPr="00F35608">
        <w:t>-</w:t>
      </w:r>
      <w:r w:rsidR="00F35608">
        <w:t>α</w:t>
      </w:r>
      <w:r>
        <w:t xml:space="preserve"> </w:t>
      </w:r>
      <w:r w:rsidR="00F35608">
        <w:t>являлось критерием невключения</w:t>
      </w:r>
      <w:r w:rsidR="000423E5">
        <w:t xml:space="preserve">. </w:t>
      </w:r>
      <w:r w:rsidR="00941EFA">
        <w:t xml:space="preserve">Все пациенты должны были </w:t>
      </w:r>
      <w:r w:rsidR="00242C47">
        <w:t>получать</w:t>
      </w:r>
      <w:r w:rsidR="00941EFA">
        <w:t xml:space="preserve"> 1 </w:t>
      </w:r>
      <w:r w:rsidR="00242C47">
        <w:t>препарат</w:t>
      </w:r>
      <w:r w:rsidR="00E44774">
        <w:t xml:space="preserve"> </w:t>
      </w:r>
      <w:r w:rsidR="00941EFA">
        <w:t>сопутствующ</w:t>
      </w:r>
      <w:r w:rsidR="00615081">
        <w:t>е</w:t>
      </w:r>
      <w:r w:rsidR="00941EFA">
        <w:t xml:space="preserve">й </w:t>
      </w:r>
      <w:r w:rsidR="00242C47">
        <w:t>терапии, относящийся к традиционным сБМАРП</w:t>
      </w:r>
      <w:r w:rsidR="00941EFA">
        <w:t>; 83,9% пациентов получали сопутствующую терапию метотрексатом, 9,5% пациентов</w:t>
      </w:r>
      <w:r w:rsidR="00242C47">
        <w:t xml:space="preserve"> – </w:t>
      </w:r>
      <w:r w:rsidR="00941EFA">
        <w:t>сульфасалазином и 5,7% пациентов</w:t>
      </w:r>
      <w:r w:rsidR="0072487A">
        <w:t xml:space="preserve"> – </w:t>
      </w:r>
      <w:r w:rsidR="00941EFA">
        <w:t>лефлуномид</w:t>
      </w:r>
      <w:r w:rsidR="0072487A">
        <w:t>ом</w:t>
      </w:r>
      <w:r w:rsidR="00941EFA">
        <w:t xml:space="preserve">. </w:t>
      </w:r>
      <w:r w:rsidR="006352B8">
        <w:t>Пациенты, рандомизированные в группу тофацитиниба</w:t>
      </w:r>
      <w:r w:rsidR="00244EE0">
        <w:t>,</w:t>
      </w:r>
      <w:r w:rsidR="006352B8">
        <w:t xml:space="preserve"> получал </w:t>
      </w:r>
      <w:r w:rsidR="007E5AFC">
        <w:t xml:space="preserve">препарат в дозе </w:t>
      </w:r>
      <w:r w:rsidR="006352B8">
        <w:t xml:space="preserve">5 мг два раза в день или </w:t>
      </w:r>
      <w:r w:rsidR="007E5AFC">
        <w:t>в дозе</w:t>
      </w:r>
      <w:r w:rsidR="006352B8">
        <w:t xml:space="preserve"> 10 мг два раза в день в течение 12 мес. Пациенты, рандомизированные в </w:t>
      </w:r>
      <w:r w:rsidR="007E5AFC">
        <w:t xml:space="preserve">группу </w:t>
      </w:r>
      <w:r w:rsidR="006352B8">
        <w:t>плацебо</w:t>
      </w:r>
      <w:r w:rsidR="007E5AFC">
        <w:t>,</w:t>
      </w:r>
      <w:r w:rsidR="006352B8">
        <w:t xml:space="preserve"> через 3 мес</w:t>
      </w:r>
      <w:r w:rsidR="007E5AFC">
        <w:t>.</w:t>
      </w:r>
      <w:r w:rsidR="006352B8">
        <w:t xml:space="preserve"> были переведены </w:t>
      </w:r>
      <w:r w:rsidR="00D41040">
        <w:t>двойным слепым методом</w:t>
      </w:r>
      <w:r w:rsidR="006352B8">
        <w:t xml:space="preserve"> </w:t>
      </w:r>
      <w:r w:rsidR="00D41040">
        <w:t>в группу</w:t>
      </w:r>
      <w:r w:rsidR="006352B8">
        <w:t xml:space="preserve"> тофацитиниб</w:t>
      </w:r>
      <w:r w:rsidR="00D41040">
        <w:t>а</w:t>
      </w:r>
      <w:r w:rsidR="006352B8">
        <w:t xml:space="preserve"> в дозе 5 мг два раза в день</w:t>
      </w:r>
      <w:r w:rsidR="00D41040">
        <w:t xml:space="preserve"> или</w:t>
      </w:r>
      <w:r w:rsidR="006352B8">
        <w:t xml:space="preserve"> </w:t>
      </w:r>
      <w:r w:rsidR="00D41040">
        <w:t>в дозе</w:t>
      </w:r>
      <w:r w:rsidR="006352B8">
        <w:t xml:space="preserve"> 10 мг два раза в день и получали лечение до 12 мес. </w:t>
      </w:r>
      <w:r w:rsidR="007E462F">
        <w:t xml:space="preserve">Больные, рандомизированные в группу </w:t>
      </w:r>
      <w:r w:rsidR="006352B8">
        <w:t>адалимумаб</w:t>
      </w:r>
      <w:r w:rsidR="007E462F">
        <w:t>а</w:t>
      </w:r>
      <w:r w:rsidR="006352B8">
        <w:t xml:space="preserve"> (группа активного контроля)</w:t>
      </w:r>
      <w:r w:rsidR="00244EE0">
        <w:t>,</w:t>
      </w:r>
      <w:r w:rsidR="006352B8">
        <w:t xml:space="preserve"> получал</w:t>
      </w:r>
      <w:r w:rsidR="007E462F">
        <w:t>и этот препарат в дозе</w:t>
      </w:r>
      <w:r w:rsidR="006352B8">
        <w:t xml:space="preserve"> 40 мг подкожно каждые 2 недели в течение 12 мес. </w:t>
      </w:r>
      <w:r w:rsidR="000423E5">
        <w:t>П</w:t>
      </w:r>
      <w:r>
        <w:t xml:space="preserve">ервичными конечными точками были </w:t>
      </w:r>
      <w:r w:rsidR="000423E5">
        <w:t>доля пациентов с</w:t>
      </w:r>
      <w:r>
        <w:t xml:space="preserve"> ACR20 и изменение HAQ-DI по сравнению с исходным уровнем через 3 мес</w:t>
      </w:r>
      <w:r w:rsidR="000423E5">
        <w:t xml:space="preserve">. </w:t>
      </w:r>
      <w:r w:rsidR="0099448C">
        <w:t xml:space="preserve">По сравнению с плацебо </w:t>
      </w:r>
      <w:r w:rsidR="00BB5041">
        <w:t>л</w:t>
      </w:r>
      <w:r w:rsidR="001631BF">
        <w:t xml:space="preserve">ечение тофацитинибом привело к значительному улучшению некоторых </w:t>
      </w:r>
      <w:r w:rsidR="001631BF" w:rsidRPr="002564E0">
        <w:t xml:space="preserve">признаков и симптомов </w:t>
      </w:r>
      <w:r w:rsidR="0099448C" w:rsidRPr="002564E0">
        <w:t>псориатического артрита</w:t>
      </w:r>
      <w:r w:rsidR="001631BF" w:rsidRPr="002564E0">
        <w:t>, согласно критериям ответа ACR20 через 3 мес.</w:t>
      </w:r>
      <w:r w:rsidR="00BB5041" w:rsidRPr="002564E0">
        <w:t xml:space="preserve"> (</w:t>
      </w:r>
      <w:r w:rsidR="00205538" w:rsidRPr="002564E0">
        <w:fldChar w:fldCharType="begin"/>
      </w:r>
      <w:r w:rsidR="00205538" w:rsidRPr="002564E0">
        <w:instrText xml:space="preserve"> REF _Ref114562303 \h </w:instrText>
      </w:r>
      <w:r w:rsidR="002564E0" w:rsidRPr="002564E0">
        <w:instrText xml:space="preserve"> \* MERGEFORMAT </w:instrText>
      </w:r>
      <w:r w:rsidR="00205538" w:rsidRPr="002564E0">
        <w:fldChar w:fldCharType="separate"/>
      </w:r>
      <w:r w:rsidR="00383E6F" w:rsidRPr="002564E0">
        <w:t xml:space="preserve">Таблица </w:t>
      </w:r>
      <w:r w:rsidR="00383E6F" w:rsidRPr="002564E0">
        <w:rPr>
          <w:noProof/>
        </w:rPr>
        <w:t>4</w:t>
      </w:r>
      <w:r w:rsidR="00383E6F" w:rsidRPr="002564E0">
        <w:noBreakHyphen/>
      </w:r>
      <w:r w:rsidR="00383E6F" w:rsidRPr="002564E0">
        <w:rPr>
          <w:noProof/>
        </w:rPr>
        <w:t>9</w:t>
      </w:r>
      <w:r w:rsidR="00205538" w:rsidRPr="002564E0">
        <w:fldChar w:fldCharType="end"/>
      </w:r>
      <w:r w:rsidR="000C0404" w:rsidRPr="002564E0">
        <w:t>)</w:t>
      </w:r>
      <w:r w:rsidR="001631BF" w:rsidRPr="002564E0">
        <w:t xml:space="preserve"> </w:t>
      </w:r>
      <w:r w:rsidR="000423E5" w:rsidRPr="002564E0">
        <w:fldChar w:fldCharType="begin"/>
      </w:r>
      <w:r w:rsidR="008D5290" w:rsidRPr="002564E0">
        <w:instrText xml:space="preserve"> ADDIN ZOTERO_ITEM CSL_CITATION {"citationID":"TWensxDB","properties":{"formattedCitation":"[24]","plainCitation":"[24]","noteIndex":0},"citationItems":[{"id":87800,"uris":["http://zotero.org/groups/4742804/items/TPCQ89X9"],"itemData":{"id":87800,"type":"webpage","title":"Xeljanz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423E5" w:rsidRPr="002564E0">
        <w:fldChar w:fldCharType="separate"/>
      </w:r>
      <w:r w:rsidR="00DE2C35" w:rsidRPr="002564E0">
        <w:t>[2</w:t>
      </w:r>
      <w:r w:rsidR="008D5290" w:rsidRPr="002564E0">
        <w:t>]</w:t>
      </w:r>
      <w:r w:rsidR="000423E5" w:rsidRPr="002564E0">
        <w:fldChar w:fldCharType="end"/>
      </w:r>
      <w:r w:rsidR="000423E5">
        <w:t>.</w:t>
      </w:r>
    </w:p>
    <w:p w14:paraId="2BC882D4" w14:textId="77777777" w:rsidR="00382C19" w:rsidRDefault="00382C19" w:rsidP="00382C19">
      <w:pPr>
        <w:pStyle w:val="OT"/>
        <w:ind w:firstLine="709"/>
        <w:contextualSpacing/>
      </w:pPr>
    </w:p>
    <w:p w14:paraId="652A0410" w14:textId="3E7934C6" w:rsidR="00BB5041" w:rsidRDefault="00382C19" w:rsidP="00382C19">
      <w:pPr>
        <w:pStyle w:val="OT"/>
        <w:ind w:left="0"/>
        <w:contextualSpacing/>
      </w:pPr>
      <w:bookmarkStart w:id="237" w:name="_Ref114562303"/>
      <w:r w:rsidRPr="00382C19">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9</w:t>
      </w:r>
      <w:r w:rsidR="00652269">
        <w:rPr>
          <w:b/>
        </w:rPr>
        <w:fldChar w:fldCharType="end"/>
      </w:r>
      <w:bookmarkEnd w:id="237"/>
      <w:r w:rsidRPr="00382C19">
        <w:rPr>
          <w:b/>
          <w:noProof/>
        </w:rPr>
        <w:t>.</w:t>
      </w:r>
      <w:r>
        <w:t xml:space="preserve"> Доля пациентов с псориатическим артритом, достигших ответа на терапию, и изменение показателей клинической эффективности от исходного значения</w:t>
      </w:r>
      <w:r w:rsidRPr="004F57C1">
        <w:t xml:space="preserve"> </w:t>
      </w:r>
      <w:r>
        <w:t xml:space="preserve">в исследовании </w:t>
      </w:r>
      <w:r w:rsidRPr="004F57C1">
        <w:t>OPAL BROADEN</w:t>
      </w:r>
      <w:r>
        <w:t>.</w:t>
      </w:r>
    </w:p>
    <w:tbl>
      <w:tblPr>
        <w:tblStyle w:val="a4"/>
        <w:tblW w:w="4873" w:type="pct"/>
        <w:tblInd w:w="136" w:type="dxa"/>
        <w:tblLook w:val="04A0" w:firstRow="1" w:lastRow="0" w:firstColumn="1" w:lastColumn="0" w:noHBand="0" w:noVBand="1"/>
      </w:tblPr>
      <w:tblGrid>
        <w:gridCol w:w="2393"/>
        <w:gridCol w:w="2392"/>
        <w:gridCol w:w="2392"/>
        <w:gridCol w:w="2151"/>
      </w:tblGrid>
      <w:tr w:rsidR="00F31C95" w14:paraId="67AD7D05" w14:textId="77777777" w:rsidTr="00791E09">
        <w:trPr>
          <w:tblHeader/>
        </w:trPr>
        <w:tc>
          <w:tcPr>
            <w:tcW w:w="2393" w:type="dxa"/>
            <w:shd w:val="clear" w:color="auto" w:fill="D9D9D9" w:themeFill="background1" w:themeFillShade="D9"/>
            <w:vAlign w:val="center"/>
          </w:tcPr>
          <w:p w14:paraId="6A2653CD" w14:textId="24C36658" w:rsidR="00F31C95" w:rsidRPr="00F31C95" w:rsidRDefault="00D15923" w:rsidP="00791E09">
            <w:pPr>
              <w:ind w:firstLine="0"/>
              <w:jc w:val="center"/>
              <w:rPr>
                <w:b/>
                <w:bCs/>
              </w:rPr>
            </w:pPr>
            <w:r>
              <w:rPr>
                <w:b/>
                <w:bCs/>
              </w:rPr>
              <w:t>Группа терапии</w:t>
            </w:r>
          </w:p>
        </w:tc>
        <w:tc>
          <w:tcPr>
            <w:tcW w:w="2392" w:type="dxa"/>
            <w:shd w:val="clear" w:color="auto" w:fill="D9D9D9" w:themeFill="background1" w:themeFillShade="D9"/>
            <w:vAlign w:val="center"/>
          </w:tcPr>
          <w:p w14:paraId="5B69C047" w14:textId="1E0730DC" w:rsidR="00F31C95" w:rsidRPr="00F31C95" w:rsidRDefault="00D15923" w:rsidP="00791E09">
            <w:pPr>
              <w:ind w:firstLine="0"/>
              <w:jc w:val="center"/>
              <w:rPr>
                <w:b/>
                <w:bCs/>
              </w:rPr>
            </w:pPr>
            <w:r>
              <w:rPr>
                <w:b/>
                <w:bCs/>
              </w:rPr>
              <w:t>Плацебо</w:t>
            </w:r>
          </w:p>
        </w:tc>
        <w:tc>
          <w:tcPr>
            <w:tcW w:w="2392" w:type="dxa"/>
            <w:shd w:val="clear" w:color="auto" w:fill="D9D9D9" w:themeFill="background1" w:themeFillShade="D9"/>
            <w:vAlign w:val="center"/>
          </w:tcPr>
          <w:p w14:paraId="030257B6" w14:textId="09282D98" w:rsidR="00F31C95" w:rsidRPr="00F31C95" w:rsidRDefault="00D15923" w:rsidP="00791E09">
            <w:pPr>
              <w:ind w:firstLine="0"/>
              <w:jc w:val="center"/>
              <w:rPr>
                <w:b/>
                <w:bCs/>
              </w:rPr>
            </w:pPr>
            <w:r>
              <w:rPr>
                <w:b/>
                <w:bCs/>
              </w:rPr>
              <w:t>Тофацитиниб в дозе 5 мг 2 раза в день</w:t>
            </w:r>
          </w:p>
        </w:tc>
        <w:tc>
          <w:tcPr>
            <w:tcW w:w="2151" w:type="dxa"/>
            <w:shd w:val="clear" w:color="auto" w:fill="D9D9D9" w:themeFill="background1" w:themeFillShade="D9"/>
            <w:vAlign w:val="center"/>
          </w:tcPr>
          <w:p w14:paraId="0BEB9486" w14:textId="62DA2E71" w:rsidR="00F31C95" w:rsidRPr="00F31C95" w:rsidRDefault="005E3815" w:rsidP="00791E09">
            <w:pPr>
              <w:ind w:firstLine="0"/>
              <w:jc w:val="center"/>
              <w:rPr>
                <w:b/>
                <w:bCs/>
              </w:rPr>
            </w:pPr>
            <w:r>
              <w:rPr>
                <w:b/>
                <w:bCs/>
              </w:rPr>
              <w:t>Адалимумаб в дозе 40 мг подкожно каждые 2 недели</w:t>
            </w:r>
          </w:p>
        </w:tc>
      </w:tr>
      <w:tr w:rsidR="003E6D9F" w14:paraId="3744D838" w14:textId="77777777" w:rsidTr="00615081">
        <w:tc>
          <w:tcPr>
            <w:tcW w:w="2393" w:type="dxa"/>
          </w:tcPr>
          <w:p w14:paraId="05A21D53" w14:textId="4470F5DB" w:rsidR="003E6D9F" w:rsidRPr="00537755" w:rsidRDefault="003E6D9F" w:rsidP="003E6D9F">
            <w:pPr>
              <w:ind w:firstLine="0"/>
              <w:rPr>
                <w:lang w:val="en-US"/>
              </w:rPr>
            </w:pPr>
            <w:r>
              <w:rPr>
                <w:lang w:val="en-US"/>
              </w:rPr>
              <w:t>n</w:t>
            </w:r>
          </w:p>
        </w:tc>
        <w:tc>
          <w:tcPr>
            <w:tcW w:w="2392" w:type="dxa"/>
          </w:tcPr>
          <w:p w14:paraId="374BAEA7" w14:textId="00281686" w:rsidR="003E6D9F" w:rsidRDefault="003E6D9F" w:rsidP="002564E0">
            <w:pPr>
              <w:ind w:firstLine="0"/>
              <w:jc w:val="center"/>
            </w:pPr>
            <w:r>
              <w:t>105</w:t>
            </w:r>
          </w:p>
        </w:tc>
        <w:tc>
          <w:tcPr>
            <w:tcW w:w="2392" w:type="dxa"/>
          </w:tcPr>
          <w:p w14:paraId="6D780AAA" w14:textId="1CF4CFD3" w:rsidR="003E6D9F" w:rsidRDefault="003E6D9F" w:rsidP="002564E0">
            <w:pPr>
              <w:ind w:firstLine="0"/>
              <w:jc w:val="center"/>
            </w:pPr>
            <w:r>
              <w:t>107</w:t>
            </w:r>
          </w:p>
        </w:tc>
        <w:tc>
          <w:tcPr>
            <w:tcW w:w="2151" w:type="dxa"/>
          </w:tcPr>
          <w:p w14:paraId="313E1F55" w14:textId="76D58D85" w:rsidR="003E6D9F" w:rsidRDefault="003E6D9F" w:rsidP="002564E0">
            <w:pPr>
              <w:ind w:firstLine="0"/>
              <w:jc w:val="center"/>
            </w:pPr>
            <w:r>
              <w:t>106</w:t>
            </w:r>
          </w:p>
        </w:tc>
      </w:tr>
      <w:tr w:rsidR="002D003F" w14:paraId="230F6A39" w14:textId="77777777" w:rsidTr="00615081">
        <w:tc>
          <w:tcPr>
            <w:tcW w:w="9328" w:type="dxa"/>
            <w:gridSpan w:val="4"/>
          </w:tcPr>
          <w:p w14:paraId="41924289" w14:textId="48F81E73" w:rsidR="002D003F" w:rsidRDefault="002D003F" w:rsidP="00B16F87">
            <w:pPr>
              <w:ind w:firstLine="0"/>
            </w:pPr>
            <w:r w:rsidRPr="00537755">
              <w:t>ACR20</w:t>
            </w:r>
            <w:r>
              <w:rPr>
                <w:lang w:val="en-US"/>
              </w:rPr>
              <w:t xml:space="preserve"> </w:t>
            </w:r>
          </w:p>
        </w:tc>
      </w:tr>
      <w:tr w:rsidR="00F31C95" w14:paraId="1FC74B2F" w14:textId="77777777" w:rsidTr="00615081">
        <w:tc>
          <w:tcPr>
            <w:tcW w:w="2393" w:type="dxa"/>
          </w:tcPr>
          <w:p w14:paraId="216AC821" w14:textId="4D7C4A89" w:rsidR="00F31C95" w:rsidRDefault="002D003F" w:rsidP="00B16F87">
            <w:pPr>
              <w:ind w:firstLine="0"/>
            </w:pPr>
            <w:r>
              <w:t>через 3 мес.</w:t>
            </w:r>
          </w:p>
        </w:tc>
        <w:tc>
          <w:tcPr>
            <w:tcW w:w="2392" w:type="dxa"/>
          </w:tcPr>
          <w:p w14:paraId="188C4F0A" w14:textId="05D05F04" w:rsidR="00F31C95" w:rsidRDefault="003E6D9F" w:rsidP="002564E0">
            <w:pPr>
              <w:ind w:firstLine="0"/>
              <w:jc w:val="center"/>
            </w:pPr>
            <w:r w:rsidRPr="003E6D9F">
              <w:t>33%</w:t>
            </w:r>
          </w:p>
        </w:tc>
        <w:tc>
          <w:tcPr>
            <w:tcW w:w="2392" w:type="dxa"/>
          </w:tcPr>
          <w:p w14:paraId="59C0FD2F" w14:textId="52E7AEEA" w:rsidR="00F31C95" w:rsidRDefault="00313CDD" w:rsidP="002564E0">
            <w:pPr>
              <w:ind w:firstLine="0"/>
              <w:jc w:val="center"/>
            </w:pPr>
            <w:r w:rsidRPr="00313CDD">
              <w:t>50%</w:t>
            </w:r>
            <w:r w:rsidRPr="00391FF7">
              <w:t>*</w:t>
            </w:r>
          </w:p>
        </w:tc>
        <w:tc>
          <w:tcPr>
            <w:tcW w:w="2151" w:type="dxa"/>
          </w:tcPr>
          <w:p w14:paraId="5BBDEA03" w14:textId="009DE7BB" w:rsidR="00F31C95" w:rsidRDefault="00D21AF0" w:rsidP="002564E0">
            <w:pPr>
              <w:ind w:firstLine="0"/>
              <w:jc w:val="center"/>
            </w:pPr>
            <w:r w:rsidRPr="00D21AF0">
              <w:t>52%*</w:t>
            </w:r>
          </w:p>
        </w:tc>
      </w:tr>
      <w:tr w:rsidR="00380E46" w14:paraId="16A77DC3" w14:textId="77777777" w:rsidTr="00615081">
        <w:tc>
          <w:tcPr>
            <w:tcW w:w="2393" w:type="dxa"/>
          </w:tcPr>
          <w:p w14:paraId="3B9C189A" w14:textId="39F984A0" w:rsidR="00380E46" w:rsidRDefault="00380E46" w:rsidP="00380E46">
            <w:pPr>
              <w:ind w:firstLine="0"/>
            </w:pPr>
            <w:r>
              <w:t>через 6 мес.</w:t>
            </w:r>
          </w:p>
        </w:tc>
        <w:tc>
          <w:tcPr>
            <w:tcW w:w="2392" w:type="dxa"/>
          </w:tcPr>
          <w:p w14:paraId="6E688D35" w14:textId="6CFD16EC" w:rsidR="00380E46" w:rsidRDefault="00380E46" w:rsidP="002564E0">
            <w:pPr>
              <w:ind w:firstLine="0"/>
              <w:jc w:val="center"/>
            </w:pPr>
            <w:r>
              <w:t>нп</w:t>
            </w:r>
          </w:p>
        </w:tc>
        <w:tc>
          <w:tcPr>
            <w:tcW w:w="2392" w:type="dxa"/>
          </w:tcPr>
          <w:p w14:paraId="3BFE0C1C" w14:textId="564D5CC5" w:rsidR="00380E46" w:rsidRDefault="00313CDD" w:rsidP="002564E0">
            <w:pPr>
              <w:ind w:firstLine="0"/>
              <w:jc w:val="center"/>
            </w:pPr>
            <w:r w:rsidRPr="00313CDD">
              <w:t>59%</w:t>
            </w:r>
          </w:p>
        </w:tc>
        <w:tc>
          <w:tcPr>
            <w:tcW w:w="2151" w:type="dxa"/>
          </w:tcPr>
          <w:p w14:paraId="1C2370B5" w14:textId="34AE9608" w:rsidR="00380E46" w:rsidRDefault="00380E46" w:rsidP="002564E0">
            <w:pPr>
              <w:ind w:firstLine="0"/>
              <w:jc w:val="center"/>
            </w:pPr>
            <w:r w:rsidRPr="006C40B8">
              <w:t>64%</w:t>
            </w:r>
          </w:p>
        </w:tc>
      </w:tr>
      <w:tr w:rsidR="00380E46" w14:paraId="62C0B274" w14:textId="77777777" w:rsidTr="00615081">
        <w:tc>
          <w:tcPr>
            <w:tcW w:w="2393" w:type="dxa"/>
          </w:tcPr>
          <w:p w14:paraId="3290698C" w14:textId="77FEFD22" w:rsidR="00380E46" w:rsidRDefault="00380E46" w:rsidP="00380E46">
            <w:pPr>
              <w:ind w:firstLine="0"/>
            </w:pPr>
            <w:r>
              <w:t>через 12 мес.</w:t>
            </w:r>
          </w:p>
        </w:tc>
        <w:tc>
          <w:tcPr>
            <w:tcW w:w="2392" w:type="dxa"/>
          </w:tcPr>
          <w:p w14:paraId="692DF32D" w14:textId="630DF07D" w:rsidR="00380E46" w:rsidRDefault="00380E46" w:rsidP="002564E0">
            <w:pPr>
              <w:ind w:firstLine="0"/>
              <w:jc w:val="center"/>
            </w:pPr>
            <w:r>
              <w:t>нп</w:t>
            </w:r>
          </w:p>
        </w:tc>
        <w:tc>
          <w:tcPr>
            <w:tcW w:w="2392" w:type="dxa"/>
          </w:tcPr>
          <w:p w14:paraId="22D704F4" w14:textId="2270EBE6" w:rsidR="00380E46" w:rsidRDefault="00391FF7" w:rsidP="002564E0">
            <w:pPr>
              <w:ind w:firstLine="0"/>
              <w:jc w:val="center"/>
            </w:pPr>
            <w:r w:rsidRPr="00391FF7">
              <w:t>68%</w:t>
            </w:r>
          </w:p>
        </w:tc>
        <w:tc>
          <w:tcPr>
            <w:tcW w:w="2151" w:type="dxa"/>
          </w:tcPr>
          <w:p w14:paraId="2DE5C4EE" w14:textId="28BE8C19" w:rsidR="00380E46" w:rsidRDefault="00380E46" w:rsidP="002564E0">
            <w:pPr>
              <w:ind w:firstLine="0"/>
              <w:jc w:val="center"/>
            </w:pPr>
            <w:r w:rsidRPr="008D4888">
              <w:t>60%</w:t>
            </w:r>
          </w:p>
        </w:tc>
      </w:tr>
      <w:tr w:rsidR="002D003F" w14:paraId="134CBD97" w14:textId="77777777" w:rsidTr="00615081">
        <w:tc>
          <w:tcPr>
            <w:tcW w:w="9328" w:type="dxa"/>
            <w:gridSpan w:val="4"/>
          </w:tcPr>
          <w:p w14:paraId="2CF021C8" w14:textId="3C732233" w:rsidR="002D003F" w:rsidRDefault="002D003F" w:rsidP="00B16F87">
            <w:pPr>
              <w:ind w:firstLine="0"/>
            </w:pPr>
            <w:r w:rsidRPr="002D003F">
              <w:t>ACR50</w:t>
            </w:r>
          </w:p>
        </w:tc>
      </w:tr>
      <w:tr w:rsidR="00380E46" w14:paraId="5724F743" w14:textId="77777777" w:rsidTr="00615081">
        <w:tc>
          <w:tcPr>
            <w:tcW w:w="2393" w:type="dxa"/>
          </w:tcPr>
          <w:p w14:paraId="02120BB9" w14:textId="450B9BB2" w:rsidR="00380E46" w:rsidRDefault="00380E46" w:rsidP="00380E46">
            <w:pPr>
              <w:ind w:firstLine="0"/>
            </w:pPr>
            <w:r>
              <w:t>через 3 мес.</w:t>
            </w:r>
          </w:p>
        </w:tc>
        <w:tc>
          <w:tcPr>
            <w:tcW w:w="2392" w:type="dxa"/>
          </w:tcPr>
          <w:p w14:paraId="09585EB9" w14:textId="46409AA8" w:rsidR="00380E46" w:rsidRDefault="00380E46" w:rsidP="002564E0">
            <w:pPr>
              <w:ind w:firstLine="0"/>
              <w:jc w:val="center"/>
            </w:pPr>
            <w:r w:rsidRPr="00EB452E">
              <w:t>10%</w:t>
            </w:r>
          </w:p>
        </w:tc>
        <w:tc>
          <w:tcPr>
            <w:tcW w:w="2392" w:type="dxa"/>
          </w:tcPr>
          <w:p w14:paraId="1E36A0A0" w14:textId="5CA9C12E" w:rsidR="00380E46" w:rsidRDefault="00391FF7" w:rsidP="002564E0">
            <w:pPr>
              <w:ind w:firstLine="0"/>
              <w:jc w:val="center"/>
            </w:pPr>
            <w:r w:rsidRPr="00391FF7">
              <w:t>28%**</w:t>
            </w:r>
          </w:p>
        </w:tc>
        <w:tc>
          <w:tcPr>
            <w:tcW w:w="2151" w:type="dxa"/>
          </w:tcPr>
          <w:p w14:paraId="30BCD430" w14:textId="0B7663EC" w:rsidR="00380E46" w:rsidRDefault="00380E46" w:rsidP="002564E0">
            <w:pPr>
              <w:ind w:firstLine="0"/>
              <w:jc w:val="center"/>
            </w:pPr>
            <w:r w:rsidRPr="008D4888">
              <w:t>33%***</w:t>
            </w:r>
          </w:p>
        </w:tc>
      </w:tr>
      <w:tr w:rsidR="00380E46" w14:paraId="76331EE8" w14:textId="77777777" w:rsidTr="00615081">
        <w:tc>
          <w:tcPr>
            <w:tcW w:w="2393" w:type="dxa"/>
          </w:tcPr>
          <w:p w14:paraId="09880488" w14:textId="6960C4CB" w:rsidR="00380E46" w:rsidRDefault="00380E46" w:rsidP="00380E46">
            <w:pPr>
              <w:ind w:firstLine="0"/>
            </w:pPr>
            <w:r>
              <w:t>через 6 мес.</w:t>
            </w:r>
          </w:p>
        </w:tc>
        <w:tc>
          <w:tcPr>
            <w:tcW w:w="2392" w:type="dxa"/>
          </w:tcPr>
          <w:p w14:paraId="42228B6E" w14:textId="32B68BDB" w:rsidR="00380E46" w:rsidRDefault="00380E46" w:rsidP="002564E0">
            <w:pPr>
              <w:ind w:firstLine="0"/>
              <w:jc w:val="center"/>
            </w:pPr>
            <w:r>
              <w:t>нп</w:t>
            </w:r>
          </w:p>
        </w:tc>
        <w:tc>
          <w:tcPr>
            <w:tcW w:w="2392" w:type="dxa"/>
          </w:tcPr>
          <w:p w14:paraId="424BD360" w14:textId="41ECFAE8" w:rsidR="00380E46" w:rsidRDefault="00391FF7" w:rsidP="002564E0">
            <w:pPr>
              <w:ind w:firstLine="0"/>
              <w:jc w:val="center"/>
            </w:pPr>
            <w:r w:rsidRPr="00391FF7">
              <w:t>38%</w:t>
            </w:r>
          </w:p>
        </w:tc>
        <w:tc>
          <w:tcPr>
            <w:tcW w:w="2151" w:type="dxa"/>
          </w:tcPr>
          <w:p w14:paraId="71F8F099" w14:textId="57E3FE52" w:rsidR="00380E46" w:rsidRDefault="00380E46" w:rsidP="002564E0">
            <w:pPr>
              <w:ind w:firstLine="0"/>
              <w:jc w:val="center"/>
            </w:pPr>
            <w:r w:rsidRPr="008D4888">
              <w:t>42%</w:t>
            </w:r>
          </w:p>
        </w:tc>
      </w:tr>
      <w:tr w:rsidR="00380E46" w14:paraId="6ABDCE5D" w14:textId="77777777" w:rsidTr="00615081">
        <w:tc>
          <w:tcPr>
            <w:tcW w:w="2393" w:type="dxa"/>
          </w:tcPr>
          <w:p w14:paraId="223597E7" w14:textId="406A8460" w:rsidR="00380E46" w:rsidRDefault="00380E46" w:rsidP="00380E46">
            <w:pPr>
              <w:ind w:firstLine="0"/>
            </w:pPr>
            <w:r>
              <w:t>через 12 мес.</w:t>
            </w:r>
          </w:p>
        </w:tc>
        <w:tc>
          <w:tcPr>
            <w:tcW w:w="2392" w:type="dxa"/>
          </w:tcPr>
          <w:p w14:paraId="7D1148DD" w14:textId="326124AC" w:rsidR="00380E46" w:rsidRDefault="00380E46" w:rsidP="002564E0">
            <w:pPr>
              <w:ind w:firstLine="0"/>
              <w:jc w:val="center"/>
            </w:pPr>
            <w:r>
              <w:t>нп</w:t>
            </w:r>
          </w:p>
        </w:tc>
        <w:tc>
          <w:tcPr>
            <w:tcW w:w="2392" w:type="dxa"/>
          </w:tcPr>
          <w:p w14:paraId="1B253F39" w14:textId="5E35F4B9" w:rsidR="00380E46" w:rsidRDefault="00AA3C1F" w:rsidP="002564E0">
            <w:pPr>
              <w:ind w:firstLine="0"/>
              <w:jc w:val="center"/>
            </w:pPr>
            <w:r w:rsidRPr="00AA3C1F">
              <w:t>45%</w:t>
            </w:r>
          </w:p>
        </w:tc>
        <w:tc>
          <w:tcPr>
            <w:tcW w:w="2151" w:type="dxa"/>
          </w:tcPr>
          <w:p w14:paraId="7EF727C6" w14:textId="60A0625C" w:rsidR="00380E46" w:rsidRDefault="00380E46" w:rsidP="002564E0">
            <w:pPr>
              <w:ind w:firstLine="0"/>
              <w:jc w:val="center"/>
            </w:pPr>
            <w:r w:rsidRPr="00380E46">
              <w:t>41%</w:t>
            </w:r>
          </w:p>
        </w:tc>
      </w:tr>
      <w:tr w:rsidR="002D003F" w14:paraId="6ABA322A" w14:textId="77777777" w:rsidTr="00615081">
        <w:tc>
          <w:tcPr>
            <w:tcW w:w="9328" w:type="dxa"/>
            <w:gridSpan w:val="4"/>
          </w:tcPr>
          <w:p w14:paraId="4B35D1B0" w14:textId="012BD09B" w:rsidR="002D003F" w:rsidRDefault="002D003F" w:rsidP="002D003F">
            <w:pPr>
              <w:ind w:firstLine="0"/>
            </w:pPr>
            <w:r w:rsidRPr="002D003F">
              <w:t>ACR</w:t>
            </w:r>
            <w:r>
              <w:t>7</w:t>
            </w:r>
            <w:r w:rsidRPr="002D003F">
              <w:t>0</w:t>
            </w:r>
          </w:p>
        </w:tc>
      </w:tr>
      <w:tr w:rsidR="002D003F" w14:paraId="3F25B904" w14:textId="77777777" w:rsidTr="00615081">
        <w:tc>
          <w:tcPr>
            <w:tcW w:w="2393" w:type="dxa"/>
          </w:tcPr>
          <w:p w14:paraId="04235E50" w14:textId="73E2A056" w:rsidR="002D003F" w:rsidRDefault="002D003F" w:rsidP="002D003F">
            <w:pPr>
              <w:ind w:firstLine="0"/>
            </w:pPr>
            <w:r>
              <w:t>через 3 мес.</w:t>
            </w:r>
          </w:p>
        </w:tc>
        <w:tc>
          <w:tcPr>
            <w:tcW w:w="2392" w:type="dxa"/>
          </w:tcPr>
          <w:p w14:paraId="5BE5C980" w14:textId="4FD6A819" w:rsidR="002D003F" w:rsidRDefault="001331AB" w:rsidP="002564E0">
            <w:pPr>
              <w:ind w:firstLine="0"/>
              <w:jc w:val="center"/>
            </w:pPr>
            <w:r w:rsidRPr="001331AB">
              <w:t>5%</w:t>
            </w:r>
          </w:p>
        </w:tc>
        <w:tc>
          <w:tcPr>
            <w:tcW w:w="2392" w:type="dxa"/>
          </w:tcPr>
          <w:p w14:paraId="1970144F" w14:textId="08E48996" w:rsidR="002D003F" w:rsidRDefault="00AA3C1F" w:rsidP="002564E0">
            <w:pPr>
              <w:ind w:firstLine="0"/>
              <w:jc w:val="center"/>
            </w:pPr>
            <w:r w:rsidRPr="00AA3C1F">
              <w:t>17%*</w:t>
            </w:r>
          </w:p>
        </w:tc>
        <w:tc>
          <w:tcPr>
            <w:tcW w:w="2151" w:type="dxa"/>
          </w:tcPr>
          <w:p w14:paraId="7BC7E83F" w14:textId="70E8264F" w:rsidR="002D003F" w:rsidRDefault="00380E46" w:rsidP="002564E0">
            <w:pPr>
              <w:ind w:firstLine="0"/>
              <w:jc w:val="center"/>
            </w:pPr>
            <w:r w:rsidRPr="00380E46">
              <w:t>19%*</w:t>
            </w:r>
          </w:p>
        </w:tc>
      </w:tr>
      <w:tr w:rsidR="002D003F" w14:paraId="70B29F20" w14:textId="77777777" w:rsidTr="00615081">
        <w:tc>
          <w:tcPr>
            <w:tcW w:w="2393" w:type="dxa"/>
          </w:tcPr>
          <w:p w14:paraId="2537994F" w14:textId="582DECF7" w:rsidR="002D003F" w:rsidRDefault="002D003F" w:rsidP="002D003F">
            <w:pPr>
              <w:ind w:firstLine="0"/>
            </w:pPr>
            <w:r>
              <w:t>через 6 мес.</w:t>
            </w:r>
          </w:p>
        </w:tc>
        <w:tc>
          <w:tcPr>
            <w:tcW w:w="2392" w:type="dxa"/>
          </w:tcPr>
          <w:p w14:paraId="610130C8" w14:textId="37569AD4" w:rsidR="002D003F" w:rsidRDefault="001331AB" w:rsidP="002564E0">
            <w:pPr>
              <w:ind w:firstLine="0"/>
              <w:jc w:val="center"/>
            </w:pPr>
            <w:r>
              <w:t>нп</w:t>
            </w:r>
          </w:p>
        </w:tc>
        <w:tc>
          <w:tcPr>
            <w:tcW w:w="2392" w:type="dxa"/>
          </w:tcPr>
          <w:p w14:paraId="05B954A2" w14:textId="66E1CFDD" w:rsidR="002D003F" w:rsidRDefault="00AA3C1F" w:rsidP="002564E0">
            <w:pPr>
              <w:ind w:firstLine="0"/>
              <w:jc w:val="center"/>
            </w:pPr>
            <w:r w:rsidRPr="00AA3C1F">
              <w:t>18%</w:t>
            </w:r>
          </w:p>
        </w:tc>
        <w:tc>
          <w:tcPr>
            <w:tcW w:w="2151" w:type="dxa"/>
          </w:tcPr>
          <w:p w14:paraId="31F07483" w14:textId="273205DB" w:rsidR="002D003F" w:rsidRDefault="006C2363" w:rsidP="002564E0">
            <w:pPr>
              <w:ind w:firstLine="0"/>
              <w:jc w:val="center"/>
            </w:pPr>
            <w:r w:rsidRPr="006C2363">
              <w:t>30%</w:t>
            </w:r>
          </w:p>
        </w:tc>
      </w:tr>
      <w:tr w:rsidR="002D003F" w14:paraId="3F0B7724" w14:textId="77777777" w:rsidTr="00615081">
        <w:tc>
          <w:tcPr>
            <w:tcW w:w="2393" w:type="dxa"/>
          </w:tcPr>
          <w:p w14:paraId="03C64FE7" w14:textId="74E8A4F5" w:rsidR="002D003F" w:rsidRDefault="002D003F" w:rsidP="002D003F">
            <w:pPr>
              <w:ind w:firstLine="0"/>
            </w:pPr>
            <w:r>
              <w:t>через 12 мес.</w:t>
            </w:r>
          </w:p>
        </w:tc>
        <w:tc>
          <w:tcPr>
            <w:tcW w:w="2392" w:type="dxa"/>
          </w:tcPr>
          <w:p w14:paraId="69F4037E" w14:textId="63B7B3E1" w:rsidR="002D003F" w:rsidRDefault="001331AB" w:rsidP="002564E0">
            <w:pPr>
              <w:ind w:firstLine="0"/>
              <w:jc w:val="center"/>
            </w:pPr>
            <w:r>
              <w:t>нп</w:t>
            </w:r>
          </w:p>
        </w:tc>
        <w:tc>
          <w:tcPr>
            <w:tcW w:w="2392" w:type="dxa"/>
          </w:tcPr>
          <w:p w14:paraId="5136E9EA" w14:textId="665947CC" w:rsidR="002D003F" w:rsidRDefault="00132C3A" w:rsidP="002564E0">
            <w:pPr>
              <w:ind w:firstLine="0"/>
              <w:jc w:val="center"/>
            </w:pPr>
            <w:r w:rsidRPr="00132C3A">
              <w:t>23%</w:t>
            </w:r>
          </w:p>
        </w:tc>
        <w:tc>
          <w:tcPr>
            <w:tcW w:w="2151" w:type="dxa"/>
          </w:tcPr>
          <w:p w14:paraId="42B89A7D" w14:textId="625399CC" w:rsidR="002D003F" w:rsidRDefault="006C2363" w:rsidP="002564E0">
            <w:pPr>
              <w:ind w:firstLine="0"/>
              <w:jc w:val="center"/>
            </w:pPr>
            <w:r w:rsidRPr="006C2363">
              <w:t>29%</w:t>
            </w:r>
          </w:p>
        </w:tc>
      </w:tr>
      <w:tr w:rsidR="002D003F" w14:paraId="11F8FA5F" w14:textId="77777777" w:rsidTr="00615081">
        <w:tc>
          <w:tcPr>
            <w:tcW w:w="2393" w:type="dxa"/>
          </w:tcPr>
          <w:p w14:paraId="35E66FBA" w14:textId="68593470" w:rsidR="002D003F" w:rsidRPr="00273CEE" w:rsidRDefault="00FA6C48" w:rsidP="00B16F87">
            <w:pPr>
              <w:ind w:firstLine="0"/>
              <w:rPr>
                <w:vertAlign w:val="superscript"/>
                <w:lang w:val="en-US"/>
              </w:rPr>
            </w:pPr>
            <w:r w:rsidRPr="00FA6C48">
              <w:t>ΔLEI</w:t>
            </w:r>
            <w:r w:rsidR="00273CEE">
              <w:rPr>
                <w:vertAlign w:val="superscript"/>
                <w:lang w:val="en-US"/>
              </w:rPr>
              <w:t>a</w:t>
            </w:r>
          </w:p>
        </w:tc>
        <w:tc>
          <w:tcPr>
            <w:tcW w:w="2392" w:type="dxa"/>
          </w:tcPr>
          <w:p w14:paraId="64590FA1" w14:textId="77777777" w:rsidR="002D003F" w:rsidRDefault="002D003F" w:rsidP="00B16F87">
            <w:pPr>
              <w:ind w:firstLine="0"/>
            </w:pPr>
          </w:p>
        </w:tc>
        <w:tc>
          <w:tcPr>
            <w:tcW w:w="2392" w:type="dxa"/>
          </w:tcPr>
          <w:p w14:paraId="47B98441" w14:textId="77777777" w:rsidR="002D003F" w:rsidRDefault="002D003F" w:rsidP="00B16F87">
            <w:pPr>
              <w:ind w:firstLine="0"/>
            </w:pPr>
          </w:p>
        </w:tc>
        <w:tc>
          <w:tcPr>
            <w:tcW w:w="2151" w:type="dxa"/>
          </w:tcPr>
          <w:p w14:paraId="3313999D" w14:textId="77777777" w:rsidR="002D003F" w:rsidRDefault="002D003F" w:rsidP="00B16F87">
            <w:pPr>
              <w:ind w:firstLine="0"/>
            </w:pPr>
          </w:p>
        </w:tc>
      </w:tr>
      <w:tr w:rsidR="00FA6C48" w14:paraId="4B9FC3C4" w14:textId="77777777" w:rsidTr="00615081">
        <w:tc>
          <w:tcPr>
            <w:tcW w:w="2393" w:type="dxa"/>
          </w:tcPr>
          <w:p w14:paraId="17A9DC4A" w14:textId="68ACA106" w:rsidR="00FA6C48" w:rsidRDefault="00FA6C48" w:rsidP="00FA6C48">
            <w:pPr>
              <w:ind w:firstLine="0"/>
            </w:pPr>
            <w:r>
              <w:t>через 3 мес.</w:t>
            </w:r>
          </w:p>
        </w:tc>
        <w:tc>
          <w:tcPr>
            <w:tcW w:w="2392" w:type="dxa"/>
          </w:tcPr>
          <w:p w14:paraId="6A74CB30" w14:textId="563786D6" w:rsidR="00FA6C48" w:rsidRDefault="001331AB" w:rsidP="002564E0">
            <w:pPr>
              <w:ind w:firstLine="0"/>
              <w:jc w:val="center"/>
            </w:pPr>
            <w:r w:rsidRPr="001331AB">
              <w:t>-0</w:t>
            </w:r>
            <w:r>
              <w:t>,</w:t>
            </w:r>
            <w:r w:rsidRPr="001331AB">
              <w:t>4</w:t>
            </w:r>
          </w:p>
        </w:tc>
        <w:tc>
          <w:tcPr>
            <w:tcW w:w="2392" w:type="dxa"/>
          </w:tcPr>
          <w:p w14:paraId="1DA3D525" w14:textId="705EDC08" w:rsidR="00FA6C48" w:rsidRDefault="00132C3A" w:rsidP="002564E0">
            <w:pPr>
              <w:ind w:firstLine="0"/>
              <w:jc w:val="center"/>
            </w:pPr>
            <w:r w:rsidRPr="00132C3A">
              <w:t>-0</w:t>
            </w:r>
            <w:r w:rsidR="00A66D45">
              <w:t>,</w:t>
            </w:r>
            <w:r w:rsidRPr="00132C3A">
              <w:t>8</w:t>
            </w:r>
          </w:p>
        </w:tc>
        <w:tc>
          <w:tcPr>
            <w:tcW w:w="2151" w:type="dxa"/>
          </w:tcPr>
          <w:p w14:paraId="3134A4B7" w14:textId="0F0E1464" w:rsidR="00FA6C48" w:rsidRDefault="006C2363" w:rsidP="002564E0">
            <w:pPr>
              <w:ind w:firstLine="0"/>
              <w:jc w:val="center"/>
            </w:pPr>
            <w:r w:rsidRPr="006C2363">
              <w:t>-1</w:t>
            </w:r>
            <w:r w:rsidR="00D159E3">
              <w:t>,</w:t>
            </w:r>
            <w:r w:rsidRPr="006C2363">
              <w:t>1*</w:t>
            </w:r>
          </w:p>
        </w:tc>
      </w:tr>
      <w:tr w:rsidR="00FA6C48" w14:paraId="5A2CA014" w14:textId="77777777" w:rsidTr="00615081">
        <w:tc>
          <w:tcPr>
            <w:tcW w:w="2393" w:type="dxa"/>
          </w:tcPr>
          <w:p w14:paraId="4B261463" w14:textId="41AA5A9E" w:rsidR="00FA6C48" w:rsidRDefault="00FA6C48" w:rsidP="00FA6C48">
            <w:pPr>
              <w:ind w:firstLine="0"/>
            </w:pPr>
            <w:r>
              <w:t>через 6 мес.</w:t>
            </w:r>
          </w:p>
        </w:tc>
        <w:tc>
          <w:tcPr>
            <w:tcW w:w="2392" w:type="dxa"/>
          </w:tcPr>
          <w:p w14:paraId="0EE9002C" w14:textId="24635449" w:rsidR="00FA6C48" w:rsidRDefault="001331AB" w:rsidP="002564E0">
            <w:pPr>
              <w:ind w:firstLine="0"/>
              <w:jc w:val="center"/>
            </w:pPr>
            <w:r>
              <w:t>нп</w:t>
            </w:r>
          </w:p>
        </w:tc>
        <w:tc>
          <w:tcPr>
            <w:tcW w:w="2392" w:type="dxa"/>
          </w:tcPr>
          <w:p w14:paraId="1BB8422C" w14:textId="7B7DC114" w:rsidR="00FA6C48" w:rsidRDefault="00132C3A" w:rsidP="002564E0">
            <w:pPr>
              <w:ind w:firstLine="0"/>
              <w:jc w:val="center"/>
            </w:pPr>
            <w:r w:rsidRPr="00132C3A">
              <w:t>-1</w:t>
            </w:r>
            <w:r w:rsidR="00A66D45">
              <w:t>,</w:t>
            </w:r>
            <w:r w:rsidRPr="00132C3A">
              <w:t>3</w:t>
            </w:r>
          </w:p>
        </w:tc>
        <w:tc>
          <w:tcPr>
            <w:tcW w:w="2151" w:type="dxa"/>
          </w:tcPr>
          <w:p w14:paraId="06CF4F94" w14:textId="4FD3B9BC" w:rsidR="00FA6C48" w:rsidRDefault="006C2363" w:rsidP="002564E0">
            <w:pPr>
              <w:ind w:firstLine="0"/>
              <w:jc w:val="center"/>
            </w:pPr>
            <w:r w:rsidRPr="006C2363">
              <w:t>-1</w:t>
            </w:r>
            <w:r w:rsidR="00D159E3">
              <w:t>,</w:t>
            </w:r>
            <w:r w:rsidRPr="006C2363">
              <w:t>3</w:t>
            </w:r>
          </w:p>
        </w:tc>
      </w:tr>
      <w:tr w:rsidR="00FA6C48" w14:paraId="33094F62" w14:textId="77777777" w:rsidTr="00615081">
        <w:tc>
          <w:tcPr>
            <w:tcW w:w="2393" w:type="dxa"/>
          </w:tcPr>
          <w:p w14:paraId="7D060BC2" w14:textId="3F632768" w:rsidR="00FA6C48" w:rsidRDefault="00FA6C48" w:rsidP="00FA6C48">
            <w:pPr>
              <w:ind w:firstLine="0"/>
            </w:pPr>
            <w:r>
              <w:t>через 12 мес.</w:t>
            </w:r>
          </w:p>
        </w:tc>
        <w:tc>
          <w:tcPr>
            <w:tcW w:w="2392" w:type="dxa"/>
          </w:tcPr>
          <w:p w14:paraId="6BFE1247" w14:textId="375F9D82" w:rsidR="00FA6C48" w:rsidRDefault="001331AB" w:rsidP="002564E0">
            <w:pPr>
              <w:ind w:firstLine="0"/>
              <w:jc w:val="center"/>
            </w:pPr>
            <w:r>
              <w:t>нп</w:t>
            </w:r>
          </w:p>
        </w:tc>
        <w:tc>
          <w:tcPr>
            <w:tcW w:w="2392" w:type="dxa"/>
          </w:tcPr>
          <w:p w14:paraId="0D1010ED" w14:textId="1952F485" w:rsidR="00FA6C48" w:rsidRDefault="00132C3A" w:rsidP="002564E0">
            <w:pPr>
              <w:ind w:firstLine="0"/>
              <w:jc w:val="center"/>
            </w:pPr>
            <w:r w:rsidRPr="00132C3A">
              <w:t>-1</w:t>
            </w:r>
            <w:r w:rsidR="00A66D45">
              <w:t>,</w:t>
            </w:r>
            <w:r w:rsidRPr="00132C3A">
              <w:t>7</w:t>
            </w:r>
          </w:p>
        </w:tc>
        <w:tc>
          <w:tcPr>
            <w:tcW w:w="2151" w:type="dxa"/>
          </w:tcPr>
          <w:p w14:paraId="3C661390" w14:textId="3C6AF79E" w:rsidR="00FA6C48" w:rsidRDefault="00A509E4" w:rsidP="002564E0">
            <w:pPr>
              <w:ind w:firstLine="0"/>
              <w:jc w:val="center"/>
            </w:pPr>
            <w:r w:rsidRPr="00A509E4">
              <w:t>-1</w:t>
            </w:r>
            <w:r w:rsidR="00D159E3">
              <w:t>,</w:t>
            </w:r>
            <w:r w:rsidRPr="00A509E4">
              <w:t>6</w:t>
            </w:r>
          </w:p>
        </w:tc>
      </w:tr>
      <w:tr w:rsidR="002D003F" w14:paraId="784B2E2F" w14:textId="77777777" w:rsidTr="00615081">
        <w:tc>
          <w:tcPr>
            <w:tcW w:w="2393" w:type="dxa"/>
          </w:tcPr>
          <w:p w14:paraId="073734CD" w14:textId="7701C288" w:rsidR="002D003F" w:rsidRPr="00273CEE" w:rsidRDefault="00E11B86" w:rsidP="00B16F87">
            <w:pPr>
              <w:ind w:firstLine="0"/>
              <w:rPr>
                <w:vertAlign w:val="superscript"/>
                <w:lang w:val="en-US"/>
              </w:rPr>
            </w:pPr>
            <w:r w:rsidRPr="00E11B86">
              <w:t>ΔDSS</w:t>
            </w:r>
            <w:r w:rsidR="00273CEE">
              <w:rPr>
                <w:vertAlign w:val="superscript"/>
                <w:lang w:val="en-US"/>
              </w:rPr>
              <w:t>a</w:t>
            </w:r>
          </w:p>
        </w:tc>
        <w:tc>
          <w:tcPr>
            <w:tcW w:w="2392" w:type="dxa"/>
          </w:tcPr>
          <w:p w14:paraId="6BF159E9" w14:textId="77777777" w:rsidR="002D003F" w:rsidRDefault="002D003F" w:rsidP="00B16F87">
            <w:pPr>
              <w:ind w:firstLine="0"/>
            </w:pPr>
          </w:p>
        </w:tc>
        <w:tc>
          <w:tcPr>
            <w:tcW w:w="2392" w:type="dxa"/>
          </w:tcPr>
          <w:p w14:paraId="25133DC0" w14:textId="77777777" w:rsidR="002D003F" w:rsidRDefault="002D003F" w:rsidP="00B16F87">
            <w:pPr>
              <w:ind w:firstLine="0"/>
            </w:pPr>
          </w:p>
        </w:tc>
        <w:tc>
          <w:tcPr>
            <w:tcW w:w="2151" w:type="dxa"/>
          </w:tcPr>
          <w:p w14:paraId="6E34BD33" w14:textId="77777777" w:rsidR="002D003F" w:rsidRDefault="002D003F" w:rsidP="00B16F87">
            <w:pPr>
              <w:ind w:firstLine="0"/>
            </w:pPr>
          </w:p>
        </w:tc>
      </w:tr>
      <w:tr w:rsidR="00E11B86" w14:paraId="46EAA058" w14:textId="77777777" w:rsidTr="00615081">
        <w:tc>
          <w:tcPr>
            <w:tcW w:w="2393" w:type="dxa"/>
          </w:tcPr>
          <w:p w14:paraId="7737A733" w14:textId="4B791145" w:rsidR="00E11B86" w:rsidRDefault="00E11B86" w:rsidP="00E11B86">
            <w:pPr>
              <w:ind w:firstLine="0"/>
            </w:pPr>
            <w:r>
              <w:t>через 3 мес.</w:t>
            </w:r>
          </w:p>
        </w:tc>
        <w:tc>
          <w:tcPr>
            <w:tcW w:w="2392" w:type="dxa"/>
          </w:tcPr>
          <w:p w14:paraId="2D163F8C" w14:textId="24CEA9B8" w:rsidR="00E11B86" w:rsidRDefault="00593723" w:rsidP="002564E0">
            <w:pPr>
              <w:ind w:firstLine="0"/>
              <w:jc w:val="center"/>
            </w:pPr>
            <w:r w:rsidRPr="00593723">
              <w:t>-2</w:t>
            </w:r>
            <w:r>
              <w:t>,</w:t>
            </w:r>
            <w:r w:rsidRPr="00593723">
              <w:t>0</w:t>
            </w:r>
          </w:p>
        </w:tc>
        <w:tc>
          <w:tcPr>
            <w:tcW w:w="2392" w:type="dxa"/>
          </w:tcPr>
          <w:p w14:paraId="4990A69D" w14:textId="176FBD5C" w:rsidR="00E11B86" w:rsidRDefault="002675C1" w:rsidP="002564E0">
            <w:pPr>
              <w:ind w:firstLine="0"/>
              <w:jc w:val="center"/>
            </w:pPr>
            <w:r w:rsidRPr="002675C1">
              <w:t>-3</w:t>
            </w:r>
            <w:r w:rsidR="00A66D45">
              <w:t>,</w:t>
            </w:r>
            <w:r w:rsidRPr="002675C1">
              <w:t>5</w:t>
            </w:r>
          </w:p>
        </w:tc>
        <w:tc>
          <w:tcPr>
            <w:tcW w:w="2151" w:type="dxa"/>
          </w:tcPr>
          <w:p w14:paraId="4D54BD2F" w14:textId="216B52FF" w:rsidR="00E11B86" w:rsidRDefault="00A509E4" w:rsidP="002564E0">
            <w:pPr>
              <w:ind w:firstLine="0"/>
              <w:jc w:val="center"/>
            </w:pPr>
            <w:r w:rsidRPr="00A509E4">
              <w:t>-4</w:t>
            </w:r>
            <w:r w:rsidR="00D159E3">
              <w:t>,</w:t>
            </w:r>
            <w:r w:rsidRPr="00A509E4">
              <w:t>0</w:t>
            </w:r>
          </w:p>
        </w:tc>
      </w:tr>
      <w:tr w:rsidR="00E11B86" w14:paraId="6E921965" w14:textId="77777777" w:rsidTr="00615081">
        <w:tc>
          <w:tcPr>
            <w:tcW w:w="2393" w:type="dxa"/>
          </w:tcPr>
          <w:p w14:paraId="6CCB2814" w14:textId="7E9855F6" w:rsidR="00E11B86" w:rsidRDefault="00E11B86" w:rsidP="00E11B86">
            <w:pPr>
              <w:ind w:firstLine="0"/>
            </w:pPr>
            <w:r>
              <w:t>через 6 мес.</w:t>
            </w:r>
          </w:p>
        </w:tc>
        <w:tc>
          <w:tcPr>
            <w:tcW w:w="2392" w:type="dxa"/>
          </w:tcPr>
          <w:p w14:paraId="48CD8106" w14:textId="585BBD0D" w:rsidR="00E11B86" w:rsidRDefault="00593723" w:rsidP="002564E0">
            <w:pPr>
              <w:ind w:firstLine="0"/>
              <w:jc w:val="center"/>
            </w:pPr>
            <w:r>
              <w:t>нп</w:t>
            </w:r>
          </w:p>
        </w:tc>
        <w:tc>
          <w:tcPr>
            <w:tcW w:w="2392" w:type="dxa"/>
          </w:tcPr>
          <w:p w14:paraId="0EDBA377" w14:textId="692D91D8" w:rsidR="00E11B86" w:rsidRDefault="002675C1" w:rsidP="002564E0">
            <w:pPr>
              <w:ind w:firstLine="0"/>
              <w:jc w:val="center"/>
            </w:pPr>
            <w:r w:rsidRPr="002675C1">
              <w:t>-5</w:t>
            </w:r>
            <w:r w:rsidR="00A66D45">
              <w:t>,</w:t>
            </w:r>
            <w:r w:rsidRPr="002675C1">
              <w:t>2</w:t>
            </w:r>
          </w:p>
        </w:tc>
        <w:tc>
          <w:tcPr>
            <w:tcW w:w="2151" w:type="dxa"/>
          </w:tcPr>
          <w:p w14:paraId="1B1ACF5E" w14:textId="5C355F19" w:rsidR="00E11B86" w:rsidRDefault="00A509E4" w:rsidP="002564E0">
            <w:pPr>
              <w:ind w:firstLine="0"/>
              <w:jc w:val="center"/>
            </w:pPr>
            <w:r w:rsidRPr="00A509E4">
              <w:t>-5</w:t>
            </w:r>
            <w:r w:rsidR="00D159E3">
              <w:t>,</w:t>
            </w:r>
            <w:r w:rsidRPr="00A509E4">
              <w:t>4</w:t>
            </w:r>
          </w:p>
        </w:tc>
      </w:tr>
      <w:tr w:rsidR="00E11B86" w14:paraId="530E9B5E" w14:textId="77777777" w:rsidTr="00615081">
        <w:tc>
          <w:tcPr>
            <w:tcW w:w="2393" w:type="dxa"/>
          </w:tcPr>
          <w:p w14:paraId="75E52622" w14:textId="3526ACAA" w:rsidR="00E11B86" w:rsidRDefault="00E11B86" w:rsidP="00E11B86">
            <w:pPr>
              <w:ind w:firstLine="0"/>
            </w:pPr>
            <w:r>
              <w:t>через 12 мес.</w:t>
            </w:r>
          </w:p>
        </w:tc>
        <w:tc>
          <w:tcPr>
            <w:tcW w:w="2392" w:type="dxa"/>
          </w:tcPr>
          <w:p w14:paraId="72F4DCA9" w14:textId="135FC67C" w:rsidR="00E11B86" w:rsidRDefault="00593723" w:rsidP="002564E0">
            <w:pPr>
              <w:ind w:firstLine="0"/>
              <w:jc w:val="center"/>
            </w:pPr>
            <w:r>
              <w:t>нп</w:t>
            </w:r>
          </w:p>
        </w:tc>
        <w:tc>
          <w:tcPr>
            <w:tcW w:w="2392" w:type="dxa"/>
          </w:tcPr>
          <w:p w14:paraId="36C23868" w14:textId="159B1B7F" w:rsidR="00E11B86" w:rsidRDefault="002675C1" w:rsidP="002564E0">
            <w:pPr>
              <w:ind w:firstLine="0"/>
              <w:jc w:val="center"/>
            </w:pPr>
            <w:r w:rsidRPr="002675C1">
              <w:t>-7</w:t>
            </w:r>
            <w:r w:rsidR="00A66D45">
              <w:t>,</w:t>
            </w:r>
            <w:r w:rsidRPr="002675C1">
              <w:t>4</w:t>
            </w:r>
          </w:p>
        </w:tc>
        <w:tc>
          <w:tcPr>
            <w:tcW w:w="2151" w:type="dxa"/>
          </w:tcPr>
          <w:p w14:paraId="53FAAEBE" w14:textId="67BCC657" w:rsidR="00E11B86" w:rsidRDefault="00A509E4" w:rsidP="002564E0">
            <w:pPr>
              <w:ind w:firstLine="0"/>
              <w:jc w:val="center"/>
            </w:pPr>
            <w:r w:rsidRPr="00A509E4">
              <w:t>-6</w:t>
            </w:r>
            <w:r w:rsidR="00D159E3">
              <w:t>,</w:t>
            </w:r>
            <w:r w:rsidRPr="00A509E4">
              <w:t>1</w:t>
            </w:r>
          </w:p>
        </w:tc>
      </w:tr>
      <w:tr w:rsidR="00E11B86" w14:paraId="6C33837E" w14:textId="77777777" w:rsidTr="00615081">
        <w:tc>
          <w:tcPr>
            <w:tcW w:w="2393" w:type="dxa"/>
          </w:tcPr>
          <w:p w14:paraId="726B5803" w14:textId="406B8BFC" w:rsidR="00E11B86" w:rsidRPr="00273CEE" w:rsidRDefault="00AE5408" w:rsidP="00B16F87">
            <w:pPr>
              <w:ind w:firstLine="0"/>
              <w:rPr>
                <w:vertAlign w:val="superscript"/>
                <w:lang w:val="en-US"/>
              </w:rPr>
            </w:pPr>
            <w:r w:rsidRPr="00AE5408">
              <w:lastRenderedPageBreak/>
              <w:t>PASI75</w:t>
            </w:r>
            <w:r w:rsidR="00273CEE">
              <w:rPr>
                <w:vertAlign w:val="superscript"/>
                <w:lang w:val="en-US"/>
              </w:rPr>
              <w:t>b</w:t>
            </w:r>
          </w:p>
        </w:tc>
        <w:tc>
          <w:tcPr>
            <w:tcW w:w="2392" w:type="dxa"/>
          </w:tcPr>
          <w:p w14:paraId="1B1C5664" w14:textId="77777777" w:rsidR="00E11B86" w:rsidRDefault="00E11B86" w:rsidP="00B16F87">
            <w:pPr>
              <w:ind w:firstLine="0"/>
            </w:pPr>
          </w:p>
        </w:tc>
        <w:tc>
          <w:tcPr>
            <w:tcW w:w="2392" w:type="dxa"/>
          </w:tcPr>
          <w:p w14:paraId="292AF200" w14:textId="77777777" w:rsidR="00E11B86" w:rsidRDefault="00E11B86" w:rsidP="00B16F87">
            <w:pPr>
              <w:ind w:firstLine="0"/>
            </w:pPr>
          </w:p>
        </w:tc>
        <w:tc>
          <w:tcPr>
            <w:tcW w:w="2151" w:type="dxa"/>
          </w:tcPr>
          <w:p w14:paraId="6F92C243" w14:textId="77777777" w:rsidR="00E11B86" w:rsidRDefault="00E11B86" w:rsidP="00B16F87">
            <w:pPr>
              <w:ind w:firstLine="0"/>
            </w:pPr>
          </w:p>
        </w:tc>
      </w:tr>
      <w:tr w:rsidR="00AE5408" w14:paraId="54333C92" w14:textId="77777777" w:rsidTr="00615081">
        <w:tc>
          <w:tcPr>
            <w:tcW w:w="2393" w:type="dxa"/>
          </w:tcPr>
          <w:p w14:paraId="0F485C0F" w14:textId="5E564DDB" w:rsidR="00AE5408" w:rsidRDefault="00AE5408" w:rsidP="00AE5408">
            <w:pPr>
              <w:ind w:firstLine="0"/>
            </w:pPr>
            <w:r>
              <w:t>через 3 мес.</w:t>
            </w:r>
          </w:p>
        </w:tc>
        <w:tc>
          <w:tcPr>
            <w:tcW w:w="2392" w:type="dxa"/>
          </w:tcPr>
          <w:p w14:paraId="6600527C" w14:textId="26043BD7" w:rsidR="00AE5408" w:rsidRDefault="00593723" w:rsidP="002564E0">
            <w:pPr>
              <w:ind w:firstLine="0"/>
              <w:jc w:val="center"/>
            </w:pPr>
            <w:r w:rsidRPr="00593723">
              <w:t>15%</w:t>
            </w:r>
          </w:p>
        </w:tc>
        <w:tc>
          <w:tcPr>
            <w:tcW w:w="2392" w:type="dxa"/>
          </w:tcPr>
          <w:p w14:paraId="3569513D" w14:textId="30DA08EB" w:rsidR="00AE5408" w:rsidRDefault="002675C1" w:rsidP="002564E0">
            <w:pPr>
              <w:ind w:firstLine="0"/>
              <w:jc w:val="center"/>
            </w:pPr>
            <w:r w:rsidRPr="002675C1">
              <w:t>43%***</w:t>
            </w:r>
          </w:p>
        </w:tc>
        <w:tc>
          <w:tcPr>
            <w:tcW w:w="2151" w:type="dxa"/>
          </w:tcPr>
          <w:p w14:paraId="245E641C" w14:textId="08E669F1" w:rsidR="00AE5408" w:rsidRDefault="00D159E3" w:rsidP="002564E0">
            <w:pPr>
              <w:ind w:firstLine="0"/>
              <w:jc w:val="center"/>
            </w:pPr>
            <w:r w:rsidRPr="00D159E3">
              <w:t>39%**</w:t>
            </w:r>
          </w:p>
        </w:tc>
      </w:tr>
      <w:tr w:rsidR="00AE5408" w14:paraId="4B866D09" w14:textId="77777777" w:rsidTr="00615081">
        <w:tc>
          <w:tcPr>
            <w:tcW w:w="2393" w:type="dxa"/>
          </w:tcPr>
          <w:p w14:paraId="4CA781EF" w14:textId="2FF5B3C2" w:rsidR="00AE5408" w:rsidRDefault="00AE5408" w:rsidP="00AE5408">
            <w:pPr>
              <w:ind w:firstLine="0"/>
            </w:pPr>
            <w:r>
              <w:t>через 6 мес.</w:t>
            </w:r>
          </w:p>
        </w:tc>
        <w:tc>
          <w:tcPr>
            <w:tcW w:w="2392" w:type="dxa"/>
          </w:tcPr>
          <w:p w14:paraId="51307FF2" w14:textId="13FBE20F" w:rsidR="00AE5408" w:rsidRDefault="00593723" w:rsidP="002564E0">
            <w:pPr>
              <w:ind w:firstLine="0"/>
              <w:jc w:val="center"/>
            </w:pPr>
            <w:r>
              <w:t>нп</w:t>
            </w:r>
          </w:p>
        </w:tc>
        <w:tc>
          <w:tcPr>
            <w:tcW w:w="2392" w:type="dxa"/>
          </w:tcPr>
          <w:p w14:paraId="4CA943C0" w14:textId="0A70C256" w:rsidR="00AE5408" w:rsidRDefault="00A66D45" w:rsidP="002564E0">
            <w:pPr>
              <w:ind w:firstLine="0"/>
              <w:jc w:val="center"/>
            </w:pPr>
            <w:r w:rsidRPr="00A66D45">
              <w:t>46%</w:t>
            </w:r>
          </w:p>
        </w:tc>
        <w:tc>
          <w:tcPr>
            <w:tcW w:w="2151" w:type="dxa"/>
          </w:tcPr>
          <w:p w14:paraId="1498F89D" w14:textId="5FE19EC2" w:rsidR="00AE5408" w:rsidRDefault="00D159E3" w:rsidP="002564E0">
            <w:pPr>
              <w:ind w:firstLine="0"/>
              <w:jc w:val="center"/>
            </w:pPr>
            <w:r w:rsidRPr="00D159E3">
              <w:t>55%</w:t>
            </w:r>
          </w:p>
        </w:tc>
      </w:tr>
      <w:tr w:rsidR="00AE5408" w14:paraId="51077B34" w14:textId="77777777" w:rsidTr="00615081">
        <w:tc>
          <w:tcPr>
            <w:tcW w:w="2393" w:type="dxa"/>
          </w:tcPr>
          <w:p w14:paraId="7F11CF7A" w14:textId="7FFDF436" w:rsidR="00AE5408" w:rsidRDefault="00AE5408" w:rsidP="00AE5408">
            <w:pPr>
              <w:ind w:firstLine="0"/>
            </w:pPr>
            <w:r>
              <w:t>через 12 мес.</w:t>
            </w:r>
          </w:p>
        </w:tc>
        <w:tc>
          <w:tcPr>
            <w:tcW w:w="2392" w:type="dxa"/>
          </w:tcPr>
          <w:p w14:paraId="69517A06" w14:textId="12CF769C" w:rsidR="00AE5408" w:rsidRDefault="00593723" w:rsidP="002564E0">
            <w:pPr>
              <w:ind w:firstLine="0"/>
              <w:jc w:val="center"/>
            </w:pPr>
            <w:r>
              <w:t>нп</w:t>
            </w:r>
          </w:p>
        </w:tc>
        <w:tc>
          <w:tcPr>
            <w:tcW w:w="2392" w:type="dxa"/>
          </w:tcPr>
          <w:p w14:paraId="75C31803" w14:textId="6F1C97D8" w:rsidR="00AE5408" w:rsidRDefault="00A66D45" w:rsidP="002564E0">
            <w:pPr>
              <w:ind w:firstLine="0"/>
              <w:jc w:val="center"/>
            </w:pPr>
            <w:r w:rsidRPr="00A66D45">
              <w:t>56%</w:t>
            </w:r>
          </w:p>
        </w:tc>
        <w:tc>
          <w:tcPr>
            <w:tcW w:w="2151" w:type="dxa"/>
          </w:tcPr>
          <w:p w14:paraId="587D1124" w14:textId="56EFD8E3" w:rsidR="00AE5408" w:rsidRDefault="00D159E3" w:rsidP="002564E0">
            <w:pPr>
              <w:ind w:firstLine="0"/>
              <w:jc w:val="center"/>
            </w:pPr>
            <w:r w:rsidRPr="00D159E3">
              <w:t>56%</w:t>
            </w:r>
          </w:p>
        </w:tc>
      </w:tr>
      <w:tr w:rsidR="00382C19" w14:paraId="0450C8FF" w14:textId="77777777" w:rsidTr="00615081">
        <w:tc>
          <w:tcPr>
            <w:tcW w:w="9328" w:type="dxa"/>
            <w:gridSpan w:val="4"/>
          </w:tcPr>
          <w:p w14:paraId="3BC4B592" w14:textId="16C58A75" w:rsidR="00382C19" w:rsidRPr="00382C19" w:rsidRDefault="00382C19" w:rsidP="00382C19">
            <w:pPr>
              <w:pStyle w:val="SDcomments"/>
              <w:ind w:firstLine="0"/>
              <w:contextualSpacing/>
              <w:rPr>
                <w:b/>
                <w:iCs/>
              </w:rPr>
            </w:pPr>
            <w:r w:rsidRPr="00382C19">
              <w:rPr>
                <w:b/>
                <w:iCs/>
              </w:rPr>
              <w:t>Примечани</w:t>
            </w:r>
            <w:r w:rsidR="00615081">
              <w:rPr>
                <w:b/>
                <w:iCs/>
              </w:rPr>
              <w:t>е</w:t>
            </w:r>
            <w:r w:rsidRPr="00382C19">
              <w:rPr>
                <w:b/>
                <w:iCs/>
              </w:rPr>
              <w:t>:</w:t>
            </w:r>
          </w:p>
          <w:p w14:paraId="7D2EB7DE" w14:textId="0476864C" w:rsidR="00382C19" w:rsidRPr="00D159E3" w:rsidRDefault="00382C19" w:rsidP="00382C19">
            <w:pPr>
              <w:pStyle w:val="SDcomments"/>
              <w:ind w:firstLine="0"/>
              <w:contextualSpacing/>
            </w:pPr>
            <w:r w:rsidRPr="00864525">
              <w:t>ACR</w:t>
            </w:r>
            <w:r>
              <w:t xml:space="preserve"> – </w:t>
            </w:r>
            <w:r w:rsidRPr="00A45461">
              <w:t>Американск</w:t>
            </w:r>
            <w:r>
              <w:t xml:space="preserve">ий </w:t>
            </w:r>
            <w:r w:rsidRPr="00A45461">
              <w:t>колледж ревматологии (American college rheumatology)</w:t>
            </w:r>
            <w:r>
              <w:t xml:space="preserve">; </w:t>
            </w:r>
            <w:r w:rsidRPr="00864525">
              <w:t xml:space="preserve">ACR20 – 20% </w:t>
            </w:r>
            <w:r>
              <w:t xml:space="preserve">улучшение согласно критериям </w:t>
            </w:r>
            <w:r w:rsidRPr="00864525">
              <w:t>ACR</w:t>
            </w:r>
            <w:r>
              <w:t xml:space="preserve">; </w:t>
            </w:r>
            <w:r w:rsidRPr="00864525">
              <w:t>ACR</w:t>
            </w:r>
            <w:r>
              <w:t>5</w:t>
            </w:r>
            <w:r w:rsidRPr="00864525">
              <w:t xml:space="preserve">0 – </w:t>
            </w:r>
            <w:r>
              <w:t>5</w:t>
            </w:r>
            <w:r w:rsidRPr="00864525">
              <w:t xml:space="preserve">0% </w:t>
            </w:r>
            <w:r>
              <w:t xml:space="preserve">улучшение согласно критериям </w:t>
            </w:r>
            <w:r w:rsidRPr="00864525">
              <w:t>ACR</w:t>
            </w:r>
            <w:r>
              <w:t>;</w:t>
            </w:r>
            <w:r w:rsidRPr="00A45461">
              <w:t xml:space="preserve"> </w:t>
            </w:r>
            <w:r w:rsidRPr="00864525">
              <w:t>ACR</w:t>
            </w:r>
            <w:r>
              <w:t>7</w:t>
            </w:r>
            <w:r w:rsidRPr="00864525">
              <w:t xml:space="preserve">0 – </w:t>
            </w:r>
            <w:r>
              <w:t>7</w:t>
            </w:r>
            <w:r w:rsidRPr="00864525">
              <w:t xml:space="preserve">0% </w:t>
            </w:r>
            <w:r>
              <w:t xml:space="preserve">улучшение согласно критериям </w:t>
            </w:r>
            <w:r w:rsidRPr="00864525">
              <w:t>ACR</w:t>
            </w:r>
            <w:r>
              <w:t xml:space="preserve">; </w:t>
            </w:r>
            <w:r w:rsidRPr="006D6EC9">
              <w:t>ΔLEI</w:t>
            </w:r>
            <w:r>
              <w:t xml:space="preserve"> – изменение от исходного значения по Лидскому индексу энтезита (</w:t>
            </w:r>
            <w:r w:rsidRPr="008A041E">
              <w:t>Leeds Enthesitis Index</w:t>
            </w:r>
            <w:r>
              <w:t xml:space="preserve">, </w:t>
            </w:r>
            <w:r>
              <w:rPr>
                <w:lang w:val="en-US"/>
              </w:rPr>
              <w:t>LEI</w:t>
            </w:r>
            <w:r w:rsidRPr="00995531">
              <w:t>)</w:t>
            </w:r>
            <w:r>
              <w:t xml:space="preserve">; </w:t>
            </w:r>
            <w:r w:rsidRPr="00E11B86">
              <w:t>ΔDSS</w:t>
            </w:r>
            <w:r>
              <w:t xml:space="preserve"> – изменение от исходного значения индекса тяжести дактилита (</w:t>
            </w:r>
            <w:r w:rsidRPr="00AD6C11">
              <w:t>Dactylitis Severity Score</w:t>
            </w:r>
            <w:r>
              <w:t xml:space="preserve">); </w:t>
            </w:r>
            <w:r w:rsidRPr="001F4931">
              <w:t>PASI</w:t>
            </w:r>
            <w:r>
              <w:t xml:space="preserve"> – индекс площади и тяжести псориаза (</w:t>
            </w:r>
            <w:r w:rsidRPr="001F4931">
              <w:t>Psoriasis Area and Severity index</w:t>
            </w:r>
            <w:r>
              <w:t xml:space="preserve">); PASI75 улучшение PASI на ≥ 75%; </w:t>
            </w:r>
            <w:r w:rsidRPr="00E71658">
              <w:rPr>
                <w:vertAlign w:val="superscript"/>
                <w:lang w:val="en-US"/>
              </w:rPr>
              <w:t>a</w:t>
            </w:r>
            <w:r w:rsidRPr="003451D5">
              <w:t xml:space="preserve"> </w:t>
            </w:r>
            <w:r>
              <w:t>–</w:t>
            </w:r>
            <w:r w:rsidRPr="003451D5">
              <w:t xml:space="preserve"> </w:t>
            </w:r>
            <w:r>
              <w:t>для пациентов с исходным значением</w:t>
            </w:r>
            <w:r w:rsidRPr="003451D5">
              <w:t xml:space="preserve"> &gt; 0</w:t>
            </w:r>
            <w:r>
              <w:t xml:space="preserve">; </w:t>
            </w:r>
            <w:r>
              <w:rPr>
                <w:vertAlign w:val="superscript"/>
                <w:lang w:val="en-US"/>
              </w:rPr>
              <w:t>b</w:t>
            </w:r>
            <w:r>
              <w:t xml:space="preserve"> –</w:t>
            </w:r>
            <w:r w:rsidRPr="003451D5">
              <w:t xml:space="preserve"> </w:t>
            </w:r>
            <w:r>
              <w:t xml:space="preserve">для пациентов с исходным значением пораженной площади поверхности тела </w:t>
            </w:r>
            <w:r w:rsidRPr="00A10095">
              <w:t xml:space="preserve">≥ 3% </w:t>
            </w:r>
            <w:r>
              <w:t>и</w:t>
            </w:r>
            <w:r w:rsidRPr="00A10095">
              <w:t xml:space="preserve"> PASI &gt; 0</w:t>
            </w:r>
            <w:r>
              <w:t xml:space="preserve">; </w:t>
            </w:r>
            <w:r w:rsidRPr="000D3C53">
              <w:t>*</w:t>
            </w:r>
            <w:r>
              <w:t xml:space="preserve"> – статистически значимые различия при сравнении со значением у пациентов из группы плацебо, </w:t>
            </w:r>
            <w:r w:rsidRPr="000D3C53">
              <w:t>p</w:t>
            </w:r>
            <w:r>
              <w:t xml:space="preserve"> </w:t>
            </w:r>
            <w:r w:rsidRPr="000D3C53">
              <w:t>≤</w:t>
            </w:r>
            <w:r>
              <w:t xml:space="preserve"> </w:t>
            </w:r>
            <w:r w:rsidRPr="000D3C53">
              <w:t>0</w:t>
            </w:r>
            <w:r>
              <w:t>,</w:t>
            </w:r>
            <w:r w:rsidRPr="000D3C53">
              <w:t xml:space="preserve">05; ** </w:t>
            </w:r>
            <w:r>
              <w:t xml:space="preserve">– статистически значимые различия при сравнении со значением у пациентов из группы плацебо, </w:t>
            </w:r>
            <w:r w:rsidRPr="000D3C53">
              <w:t>p</w:t>
            </w:r>
            <w:r>
              <w:t xml:space="preserve"> </w:t>
            </w:r>
            <w:r w:rsidRPr="000D3C53">
              <w:t>&lt;</w:t>
            </w:r>
            <w:r>
              <w:t xml:space="preserve"> </w:t>
            </w:r>
            <w:r w:rsidRPr="000D3C53">
              <w:t>0</w:t>
            </w:r>
            <w:r>
              <w:t>,</w:t>
            </w:r>
            <w:r w:rsidRPr="000D3C53">
              <w:t xml:space="preserve">001; *** </w:t>
            </w:r>
            <w:r>
              <w:t xml:space="preserve">– статистически значимые различия при сравнении со значением у пациентов из группы плацебо, </w:t>
            </w:r>
            <w:r w:rsidRPr="000D3C53">
              <w:t>p</w:t>
            </w:r>
            <w:r>
              <w:t xml:space="preserve"> </w:t>
            </w:r>
            <w:r w:rsidRPr="000D3C53">
              <w:t>&lt;</w:t>
            </w:r>
            <w:r>
              <w:t xml:space="preserve"> </w:t>
            </w:r>
            <w:r w:rsidRPr="000D3C53">
              <w:t>0</w:t>
            </w:r>
            <w:r>
              <w:t>,</w:t>
            </w:r>
            <w:r w:rsidRPr="000D3C53">
              <w:t>0001</w:t>
            </w:r>
            <w:r>
              <w:t>; нп – не применимо.</w:t>
            </w:r>
          </w:p>
        </w:tc>
      </w:tr>
    </w:tbl>
    <w:p w14:paraId="70A69014" w14:textId="67754D2C" w:rsidR="00725EA6" w:rsidRDefault="00725EA6" w:rsidP="00382C19">
      <w:pPr>
        <w:pStyle w:val="SDText"/>
        <w:contextualSpacing/>
      </w:pPr>
    </w:p>
    <w:p w14:paraId="1A1E8247" w14:textId="0F178C5C" w:rsidR="00D44618" w:rsidRDefault="00D44618" w:rsidP="00382C19">
      <w:pPr>
        <w:pStyle w:val="SDText"/>
        <w:contextualSpacing/>
      </w:pPr>
      <w:r>
        <w:t>Возраст, пол, раса</w:t>
      </w:r>
      <w:r w:rsidR="00DC767B">
        <w:t xml:space="preserve">, исходная активность заболевания и подтип </w:t>
      </w:r>
      <w:r w:rsidR="005C0223">
        <w:t xml:space="preserve">псориатического артрита не </w:t>
      </w:r>
      <w:r w:rsidR="00E4797B">
        <w:t>оказывали эффекта в отношении</w:t>
      </w:r>
      <w:r w:rsidR="005C0223">
        <w:t xml:space="preserve"> </w:t>
      </w:r>
      <w:r w:rsidR="00E4797B">
        <w:t>ответа на тофацитиниб</w:t>
      </w:r>
      <w:r w:rsidR="00BE0E94">
        <w:t>. Минимальная активность заболевания была достигнута у 26,2, 25,5 и 6,7% пациентов на фоне терапии тофацитинибом в дозе 5 мг два раза в день, адалимумабом и плацебо соответственно</w:t>
      </w:r>
      <w:r w:rsidR="0097217E">
        <w:t xml:space="preserve">. Разность показателя у пациентов, получавших </w:t>
      </w:r>
      <w:r w:rsidR="00BE0E94">
        <w:t xml:space="preserve">тофацитиниб в дозе 5 мг два раза в день </w:t>
      </w:r>
      <w:r w:rsidR="0097217E">
        <w:t>или</w:t>
      </w:r>
      <w:r w:rsidR="00BE0E94">
        <w:t xml:space="preserve"> плацебо</w:t>
      </w:r>
      <w:r w:rsidR="00244EE0">
        <w:t>,</w:t>
      </w:r>
      <w:r w:rsidR="00BE0E94">
        <w:t xml:space="preserve"> </w:t>
      </w:r>
      <w:r w:rsidR="0097217E">
        <w:t xml:space="preserve">составила </w:t>
      </w:r>
      <w:r w:rsidR="00BE0E94">
        <w:t xml:space="preserve">19,5% </w:t>
      </w:r>
      <w:r w:rsidR="0097217E">
        <w:t>(</w:t>
      </w:r>
      <w:r w:rsidR="00BE0E94">
        <w:t xml:space="preserve">95% ДИ: 9,9, 29,1) </w:t>
      </w:r>
      <w:r w:rsidR="0097217E">
        <w:t>через</w:t>
      </w:r>
      <w:r w:rsidR="00BE0E94">
        <w:t xml:space="preserve"> </w:t>
      </w:r>
      <w:r w:rsidR="0097217E">
        <w:t xml:space="preserve">3 </w:t>
      </w:r>
      <w:r w:rsidR="00BE0E94">
        <w:t>мес.</w:t>
      </w:r>
      <w:r w:rsidR="002122BA">
        <w:t xml:space="preserve"> </w:t>
      </w:r>
      <w:r w:rsidR="00EF519C">
        <w:t>Ч</w:t>
      </w:r>
      <w:r w:rsidR="002122BA">
        <w:t xml:space="preserve">ерез 12 мес. доля </w:t>
      </w:r>
      <w:r w:rsidR="00D016C1">
        <w:t>пациентов с</w:t>
      </w:r>
      <w:r w:rsidR="00867662">
        <w:t xml:space="preserve"> </w:t>
      </w:r>
      <w:r w:rsidR="00EF519C">
        <w:t xml:space="preserve">отсутствием </w:t>
      </w:r>
      <w:r w:rsidR="00D016C1">
        <w:t>рентгенографическ</w:t>
      </w:r>
      <w:r w:rsidR="00EF519C">
        <w:t>ого</w:t>
      </w:r>
      <w:r w:rsidR="00D016C1">
        <w:t xml:space="preserve"> прогрессировани</w:t>
      </w:r>
      <w:r w:rsidR="00EF519C">
        <w:t>я,</w:t>
      </w:r>
      <w:r w:rsidR="00EF519C" w:rsidRPr="00EF519C">
        <w:t xml:space="preserve"> </w:t>
      </w:r>
      <w:r w:rsidR="00EF519C">
        <w:t>оцениваемого рентгенологически с использованием модифицированного ван дер Хейде mTSS</w:t>
      </w:r>
      <w:r w:rsidR="00D016C1">
        <w:t xml:space="preserve"> (</w:t>
      </w:r>
      <w:r w:rsidR="00EF519C">
        <w:t xml:space="preserve">увеличение </w:t>
      </w:r>
      <w:r w:rsidR="00D016C1">
        <w:t>по сравнению с исходным уровнем более 0,5)</w:t>
      </w:r>
      <w:r w:rsidR="00220322">
        <w:t>,</w:t>
      </w:r>
      <w:r w:rsidR="00D016C1">
        <w:t xml:space="preserve"> </w:t>
      </w:r>
      <w:r w:rsidR="002122BA">
        <w:t>составила</w:t>
      </w:r>
      <w:r w:rsidR="00D016C1">
        <w:t xml:space="preserve"> 96 и 98% пациентов</w:t>
      </w:r>
      <w:r w:rsidR="00EF519C">
        <w:t>,</w:t>
      </w:r>
      <w:r w:rsidR="00D016C1">
        <w:t xml:space="preserve"> получа</w:t>
      </w:r>
      <w:r w:rsidR="00EF519C">
        <w:t>вших</w:t>
      </w:r>
      <w:r w:rsidR="00D016C1">
        <w:t xml:space="preserve"> тофацитиниб в дозе 5 мг два раза в </w:t>
      </w:r>
      <w:r w:rsidR="00F2447A">
        <w:t>день</w:t>
      </w:r>
      <w:r w:rsidR="00D016C1">
        <w:t xml:space="preserve"> и адалимумаб в дозе 40 мг</w:t>
      </w:r>
      <w:r w:rsidR="00EF519C">
        <w:t xml:space="preserve"> </w:t>
      </w:r>
      <w:r w:rsidR="00F2447A">
        <w:t xml:space="preserve">подкожно каждые 2 недели </w:t>
      </w:r>
      <w:r w:rsidR="00EF519C">
        <w:t>соответственно</w:t>
      </w:r>
      <w:r w:rsidR="00735C9A">
        <w:t>. Улучшение физического функционирования от исходного уровня через 3 мес. согласно HAQ-DI у пациентов, получающих тофацитиниб в дозе 5 мг два раза в день, было статистически значимо (p ≤ 0,05) более выражено, чем на фоне применения плацебо</w:t>
      </w:r>
      <w:r w:rsidR="00833FE8">
        <w:t>.</w:t>
      </w:r>
      <w:r w:rsidR="00735C9A">
        <w:t xml:space="preserve"> </w:t>
      </w:r>
      <w:r w:rsidR="00833FE8">
        <w:t xml:space="preserve">Доля ответивших </w:t>
      </w:r>
      <w:r w:rsidR="00F76D1C">
        <w:t xml:space="preserve">на терапию по </w:t>
      </w:r>
      <w:r w:rsidR="00833FE8">
        <w:t>HAQ-DI (снижение по сравнению с исходным уровнем ≥ 0,35) через 3 мес.</w:t>
      </w:r>
      <w:r w:rsidR="00F76D1C">
        <w:t xml:space="preserve"> </w:t>
      </w:r>
      <w:r w:rsidR="00220322">
        <w:t xml:space="preserve">составила </w:t>
      </w:r>
      <w:r w:rsidR="00833FE8">
        <w:t>53% у пациентов</w:t>
      </w:r>
      <w:r w:rsidR="00F76D1C">
        <w:t xml:space="preserve">, </w:t>
      </w:r>
      <w:r w:rsidR="00833FE8">
        <w:t>получавших тофацитиниб в дозе 5 мг два раза в день, 31% у пациентов, получавших плацебо, и</w:t>
      </w:r>
      <w:r w:rsidR="00F76D1C">
        <w:t xml:space="preserve"> </w:t>
      </w:r>
      <w:r w:rsidR="00833FE8">
        <w:t>53% у пациентов, получавших адалимумаб в дозе 40 мг подкожно 1 раз в 2 недели</w:t>
      </w:r>
      <w:r w:rsidR="00F76D1C">
        <w:t xml:space="preserve">. </w:t>
      </w:r>
      <w:r w:rsidR="00FA4BF6">
        <w:t>У п</w:t>
      </w:r>
      <w:r w:rsidR="005B29EE">
        <w:t>ациен</w:t>
      </w:r>
      <w:r w:rsidR="00FA4BF6">
        <w:t>тов, получавших</w:t>
      </w:r>
      <w:r w:rsidR="005B29EE">
        <w:t xml:space="preserve"> тофацитиниб в дозе 5 мг два раза в день</w:t>
      </w:r>
      <w:r w:rsidR="00FA4BF6">
        <w:t>,</w:t>
      </w:r>
      <w:r w:rsidR="005B29EE">
        <w:t xml:space="preserve"> продемонстрировал</w:t>
      </w:r>
      <w:r w:rsidR="00FA4BF6">
        <w:t>и</w:t>
      </w:r>
      <w:r w:rsidR="005B29EE">
        <w:t xml:space="preserve"> бол</w:t>
      </w:r>
      <w:r w:rsidR="00FA4BF6">
        <w:t>ее выраженное</w:t>
      </w:r>
      <w:r w:rsidR="005B29EE">
        <w:t xml:space="preserve"> улучшение по сравнению с исходным уровнем</w:t>
      </w:r>
      <w:r w:rsidR="00FA4BF6">
        <w:t xml:space="preserve">, чем у больных из группы </w:t>
      </w:r>
      <w:r w:rsidR="005B29EE">
        <w:t xml:space="preserve">плацебо в домене физического функционирования </w:t>
      </w:r>
      <w:r w:rsidR="009626D6" w:rsidRPr="009626D6">
        <w:t>Кратк</w:t>
      </w:r>
      <w:r w:rsidR="009626D6">
        <w:t>ой</w:t>
      </w:r>
      <w:r w:rsidR="009626D6" w:rsidRPr="009626D6">
        <w:t xml:space="preserve"> форм</w:t>
      </w:r>
      <w:r w:rsidR="009626D6">
        <w:t>ы</w:t>
      </w:r>
      <w:r w:rsidR="009626D6" w:rsidRPr="009626D6">
        <w:t xml:space="preserve"> шкалы оценки качества жизни, состоящей из 36 пунктов</w:t>
      </w:r>
      <w:r w:rsidR="00220322">
        <w:t>,</w:t>
      </w:r>
      <w:r w:rsidR="009626D6" w:rsidRPr="009626D6">
        <w:t xml:space="preserve"> </w:t>
      </w:r>
      <w:r w:rsidR="00F342A6">
        <w:t xml:space="preserve">версия 2 </w:t>
      </w:r>
      <w:r w:rsidR="009626D6" w:rsidRPr="009626D6">
        <w:t xml:space="preserve">(Short Form </w:t>
      </w:r>
      <w:r w:rsidR="00F342A6" w:rsidRPr="009626D6">
        <w:t>item</w:t>
      </w:r>
      <w:r w:rsidR="00F342A6">
        <w:t xml:space="preserve"> </w:t>
      </w:r>
      <w:r w:rsidR="009626D6" w:rsidRPr="009626D6">
        <w:t xml:space="preserve">36 </w:t>
      </w:r>
      <w:r w:rsidR="00F342A6">
        <w:rPr>
          <w:lang w:val="en-US"/>
        </w:rPr>
        <w:t>version</w:t>
      </w:r>
      <w:r w:rsidR="00F342A6" w:rsidRPr="00F342A6">
        <w:t xml:space="preserve"> 2</w:t>
      </w:r>
      <w:r w:rsidR="00F342A6">
        <w:t xml:space="preserve">, </w:t>
      </w:r>
      <w:r w:rsidR="005B29EE">
        <w:t>SF-36v2</w:t>
      </w:r>
      <w:r w:rsidR="00F342A6">
        <w:t>)</w:t>
      </w:r>
      <w:r w:rsidR="005B29EE">
        <w:t xml:space="preserve">, </w:t>
      </w:r>
      <w:r w:rsidR="00220322">
        <w:t xml:space="preserve">по </w:t>
      </w:r>
      <w:r w:rsidR="00DC6104">
        <w:t>показателю</w:t>
      </w:r>
      <w:r w:rsidR="005B29EE">
        <w:t xml:space="preserve"> физическ</w:t>
      </w:r>
      <w:r w:rsidR="00DC6104">
        <w:t>ого</w:t>
      </w:r>
      <w:r w:rsidR="005B29EE">
        <w:t xml:space="preserve"> компонент</w:t>
      </w:r>
      <w:r w:rsidR="00DC6104">
        <w:t>а</w:t>
      </w:r>
      <w:r w:rsidR="005B29EE">
        <w:t xml:space="preserve"> SF-36v2 и </w:t>
      </w:r>
      <w:r w:rsidR="007318AB">
        <w:t xml:space="preserve">по </w:t>
      </w:r>
      <w:r w:rsidR="005B29EE">
        <w:t>FACIT-F через 3 мес</w:t>
      </w:r>
      <w:r w:rsidR="007318AB">
        <w:t>.</w:t>
      </w:r>
      <w:r w:rsidR="005B29EE">
        <w:t xml:space="preserve"> (р</w:t>
      </w:r>
      <w:r w:rsidR="007318AB">
        <w:t xml:space="preserve"> </w:t>
      </w:r>
      <w:r w:rsidR="005B29EE">
        <w:t>≤ 0,05). Улучшения по сравнению с исходным уровнем</w:t>
      </w:r>
      <w:r w:rsidR="00220322">
        <w:t>,</w:t>
      </w:r>
      <w:r w:rsidR="005B29EE">
        <w:t xml:space="preserve"> </w:t>
      </w:r>
      <w:r w:rsidR="007318AB">
        <w:t>согласно</w:t>
      </w:r>
      <w:r w:rsidR="005B29EE">
        <w:t xml:space="preserve"> SF-36v2 и FACIT-F</w:t>
      </w:r>
      <w:r w:rsidR="00220322">
        <w:t>,</w:t>
      </w:r>
      <w:r w:rsidR="005B29EE">
        <w:t xml:space="preserve"> сохранялись в течение 6 мес. </w:t>
      </w:r>
      <w:r w:rsidR="007318AB">
        <w:t>У п</w:t>
      </w:r>
      <w:r w:rsidR="005B29EE">
        <w:t>ациент</w:t>
      </w:r>
      <w:r w:rsidR="007318AB">
        <w:t>ов</w:t>
      </w:r>
      <w:r w:rsidR="005B29EE">
        <w:t>, получавши</w:t>
      </w:r>
      <w:r w:rsidR="007318AB">
        <w:t>х</w:t>
      </w:r>
      <w:r w:rsidR="005B29EE">
        <w:t xml:space="preserve"> тофацитиниб в дозе 5 мг два раза в день, продемонстрировали более выраженное уменьшение боли при артрите по </w:t>
      </w:r>
      <w:r w:rsidR="007318AB">
        <w:t>100-мм ВАШ</w:t>
      </w:r>
      <w:r w:rsidR="005B29EE">
        <w:t xml:space="preserve"> от исходного уровня на 2 неделе (перв</w:t>
      </w:r>
      <w:r w:rsidR="007318AB">
        <w:t>ая временная точка оценки после исходной</w:t>
      </w:r>
      <w:r w:rsidR="005B29EE">
        <w:t xml:space="preserve">) </w:t>
      </w:r>
      <w:r w:rsidR="007318AB">
        <w:t xml:space="preserve">и </w:t>
      </w:r>
      <w:r w:rsidR="005B29EE">
        <w:t>в течение 3 мес</w:t>
      </w:r>
      <w:r w:rsidR="007318AB">
        <w:t>.</w:t>
      </w:r>
      <w:r w:rsidR="005B29EE">
        <w:t xml:space="preserve"> по сравнению с плацебо (p ≤ 0,05)</w:t>
      </w:r>
      <w:r w:rsidR="00833FE8">
        <w:t xml:space="preserve"> </w:t>
      </w:r>
      <w:r w:rsidR="00E4797B">
        <w:fldChar w:fldCharType="begin"/>
      </w:r>
      <w:r w:rsidR="008D5290">
        <w:instrText xml:space="preserve"> ADDIN ZOTERO_ITEM CSL_CITATION {"citationID":"JYthIKXB","properties":{"formattedCitation":"[24]","plainCitation":"[24]","noteIndex":0},"citationItems":[{"id":87800,"uris":["http://zotero.org/groups/4742804/items/TPCQ89X9"],"itemData":{"id":87800,"type":"webpage","title":"Xeljanz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4797B">
        <w:fldChar w:fldCharType="separate"/>
      </w:r>
      <w:r w:rsidR="00DE2C35">
        <w:rPr>
          <w:rFonts w:cs="Times New Roman"/>
        </w:rPr>
        <w:t>[2</w:t>
      </w:r>
      <w:r w:rsidR="008D5290" w:rsidRPr="008D5290">
        <w:rPr>
          <w:rFonts w:cs="Times New Roman"/>
        </w:rPr>
        <w:t>]</w:t>
      </w:r>
      <w:r w:rsidR="00E4797B">
        <w:fldChar w:fldCharType="end"/>
      </w:r>
      <w:r w:rsidR="00E4797B">
        <w:t>.</w:t>
      </w:r>
    </w:p>
    <w:p w14:paraId="4FA30555" w14:textId="15823B0C" w:rsidR="000423E5" w:rsidRDefault="00616873" w:rsidP="00382C19">
      <w:pPr>
        <w:pStyle w:val="SDText"/>
        <w:contextualSpacing/>
      </w:pPr>
      <w:r>
        <w:t xml:space="preserve">В исследовании PsA-II (OPAL BEYOND) приняли участие 394 пациента, которые прекратили прием ингибитора </w:t>
      </w:r>
      <w:r w:rsidR="00E44774">
        <w:rPr>
          <w:lang w:val="en-US"/>
        </w:rPr>
        <w:t>TNF</w:t>
      </w:r>
      <w:r w:rsidR="00E44774" w:rsidRPr="00F35608">
        <w:t>-</w:t>
      </w:r>
      <w:r w:rsidR="00E44774">
        <w:rPr>
          <w:rFonts w:cs="Times New Roman"/>
        </w:rPr>
        <w:t>α</w:t>
      </w:r>
      <w:r>
        <w:t xml:space="preserve"> из-за отсутстви</w:t>
      </w:r>
      <w:r w:rsidR="00B01352">
        <w:t>я</w:t>
      </w:r>
      <w:r>
        <w:t xml:space="preserve"> эффективности или </w:t>
      </w:r>
      <w:r>
        <w:lastRenderedPageBreak/>
        <w:t>непереносимост</w:t>
      </w:r>
      <w:r w:rsidR="00E44774">
        <w:t>и</w:t>
      </w:r>
      <w:r>
        <w:t xml:space="preserve">; 36,0% ранее имели неадекватный ответ &gt; </w:t>
      </w:r>
      <w:r w:rsidR="00173E88">
        <w:t xml:space="preserve">чем на </w:t>
      </w:r>
      <w:r>
        <w:t xml:space="preserve">1 биологический </w:t>
      </w:r>
      <w:r w:rsidR="00173E88">
        <w:t>БМАРП</w:t>
      </w:r>
      <w:r>
        <w:t xml:space="preserve">. Все пациенты должны были </w:t>
      </w:r>
      <w:r w:rsidR="00173E88">
        <w:t>получать</w:t>
      </w:r>
      <w:r>
        <w:t xml:space="preserve"> 1 </w:t>
      </w:r>
      <w:r w:rsidR="00173E88">
        <w:t xml:space="preserve">препарат </w:t>
      </w:r>
      <w:r>
        <w:t xml:space="preserve">сопутствующий </w:t>
      </w:r>
      <w:r w:rsidR="00173E88">
        <w:t>терапии, относящийся к традиционным сБМАРП</w:t>
      </w:r>
      <w:r>
        <w:t xml:space="preserve">; 71,6% пациентов получали сопутствующую </w:t>
      </w:r>
      <w:r w:rsidR="00173E88">
        <w:t xml:space="preserve">терапию </w:t>
      </w:r>
      <w:r>
        <w:t>метотрексат</w:t>
      </w:r>
      <w:r w:rsidR="00173E88">
        <w:t>ом</w:t>
      </w:r>
      <w:r>
        <w:t>, 15,7% пациентов</w:t>
      </w:r>
      <w:r w:rsidR="00173E88">
        <w:t xml:space="preserve"> – </w:t>
      </w:r>
      <w:r>
        <w:t>сульфасалазином, а 8,6% пациентов</w:t>
      </w:r>
      <w:r w:rsidR="00173E88">
        <w:t xml:space="preserve"> – </w:t>
      </w:r>
      <w:r>
        <w:t>лефлуномид</w:t>
      </w:r>
      <w:r w:rsidR="00173E88">
        <w:t>ом</w:t>
      </w:r>
      <w:r>
        <w:t xml:space="preserve">. </w:t>
      </w:r>
      <w:r w:rsidR="008A4EBC">
        <w:t>Пациенты, рандомизированные в группу тофацитиниба, получали</w:t>
      </w:r>
      <w:r w:rsidR="00EC2723">
        <w:t xml:space="preserve"> препарат в дозе</w:t>
      </w:r>
      <w:r w:rsidR="008A4EBC">
        <w:t xml:space="preserve"> 5 мг два раза в день или </w:t>
      </w:r>
      <w:r w:rsidR="00EC2723">
        <w:t>в дозе</w:t>
      </w:r>
      <w:r w:rsidR="00220322">
        <w:t xml:space="preserve"> </w:t>
      </w:r>
      <w:r w:rsidR="008A4EBC">
        <w:t xml:space="preserve">10 мг два раза в день в течение 6 мес. Пациенты, рандомизированные в </w:t>
      </w:r>
      <w:r w:rsidR="00EC2723">
        <w:t xml:space="preserve">группу </w:t>
      </w:r>
      <w:r w:rsidR="008A4EBC" w:rsidRPr="00725EA6">
        <w:t>плацебо</w:t>
      </w:r>
      <w:r w:rsidR="00EC2723">
        <w:t>,</w:t>
      </w:r>
      <w:r w:rsidR="008A4EBC">
        <w:t xml:space="preserve"> через 3 мес</w:t>
      </w:r>
      <w:r w:rsidR="00EC2723">
        <w:t>.</w:t>
      </w:r>
      <w:r w:rsidR="008A4EBC">
        <w:t xml:space="preserve"> были переведены </w:t>
      </w:r>
      <w:r w:rsidR="00EC2723">
        <w:t>двойным слепым методом</w:t>
      </w:r>
      <w:r w:rsidR="008A4EBC">
        <w:t xml:space="preserve"> </w:t>
      </w:r>
      <w:r w:rsidR="00EC2723">
        <w:t>в группу</w:t>
      </w:r>
      <w:r w:rsidR="008A4EBC">
        <w:t xml:space="preserve"> тофацитиниб</w:t>
      </w:r>
      <w:r w:rsidR="00EC2723">
        <w:t>а</w:t>
      </w:r>
      <w:r w:rsidR="008A4EBC">
        <w:t xml:space="preserve"> в дозе 5 мг два раза в день</w:t>
      </w:r>
      <w:r w:rsidR="00EC2723">
        <w:t xml:space="preserve"> или в группу тофацитиниба в дозе</w:t>
      </w:r>
      <w:r w:rsidR="008A4EBC">
        <w:t xml:space="preserve"> 10 мг два раза в день и получал</w:t>
      </w:r>
      <w:r w:rsidR="00EC2723">
        <w:t>и</w:t>
      </w:r>
      <w:r w:rsidR="008A4EBC">
        <w:t xml:space="preserve"> лечение до 6 мес. </w:t>
      </w:r>
      <w:r w:rsidR="00941EFA">
        <w:t>Первичными конечными точками были доля пациентов с ACR20 и изменение HAQ-DI по сравнению с исходным уровнем через 3 мес.</w:t>
      </w:r>
      <w:r w:rsidR="000C0404" w:rsidRPr="000C0404">
        <w:t xml:space="preserve"> </w:t>
      </w:r>
      <w:r w:rsidR="000C0404">
        <w:t xml:space="preserve">По сравнению с плацебо лечение тофацитинибом привело к значительному улучшению </w:t>
      </w:r>
      <w:r w:rsidR="000C0404" w:rsidRPr="002564E0">
        <w:t>некоторых признаков и симптомов псориатического артрита, согласно критериям ответа ACR20 через 3 мес. (</w:t>
      </w:r>
      <w:r w:rsidR="004A1069" w:rsidRPr="002564E0">
        <w:fldChar w:fldCharType="begin"/>
      </w:r>
      <w:r w:rsidR="004A1069" w:rsidRPr="002564E0">
        <w:instrText xml:space="preserve"> REF _Ref114562338 \h </w:instrText>
      </w:r>
      <w:r w:rsidR="002564E0" w:rsidRPr="002564E0">
        <w:instrText xml:space="preserve"> \* MERGEFORMAT </w:instrText>
      </w:r>
      <w:r w:rsidR="004A1069" w:rsidRPr="002564E0">
        <w:fldChar w:fldCharType="separate"/>
      </w:r>
      <w:r w:rsidR="00383E6F" w:rsidRPr="002564E0">
        <w:t xml:space="preserve">Таблица </w:t>
      </w:r>
      <w:r w:rsidR="00383E6F" w:rsidRPr="002564E0">
        <w:rPr>
          <w:noProof/>
        </w:rPr>
        <w:t>4</w:t>
      </w:r>
      <w:r w:rsidR="00383E6F" w:rsidRPr="002564E0">
        <w:noBreakHyphen/>
      </w:r>
      <w:r w:rsidR="00383E6F" w:rsidRPr="002564E0">
        <w:rPr>
          <w:noProof/>
        </w:rPr>
        <w:t>10</w:t>
      </w:r>
      <w:r w:rsidR="004A1069" w:rsidRPr="002564E0">
        <w:fldChar w:fldCharType="end"/>
      </w:r>
      <w:r w:rsidR="00A1520C" w:rsidRPr="002564E0">
        <w:t xml:space="preserve">) </w:t>
      </w:r>
      <w:r w:rsidR="00A1520C" w:rsidRPr="002564E0">
        <w:fldChar w:fldCharType="begin"/>
      </w:r>
      <w:r w:rsidR="008D5290" w:rsidRPr="002564E0">
        <w:instrText xml:space="preserve"> ADDIN ZOTERO_ITEM CSL_CITATION {"citationID":"XEXHCXyH","properties":{"formattedCitation":"[24]","plainCitation":"[24]","noteIndex":0},"citationItems":[{"id":87800,"uris":["http://zotero.org/groups/4742804/items/TPCQ89X9"],"itemData":{"id":87800,"type":"webpage","title":"Xeljanz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A1520C" w:rsidRPr="002564E0">
        <w:fldChar w:fldCharType="separate"/>
      </w:r>
      <w:r w:rsidR="00DE2C35" w:rsidRPr="002564E0">
        <w:rPr>
          <w:rFonts w:cs="Times New Roman"/>
        </w:rPr>
        <w:t>[2</w:t>
      </w:r>
      <w:r w:rsidR="008D5290" w:rsidRPr="002564E0">
        <w:rPr>
          <w:rFonts w:cs="Times New Roman"/>
        </w:rPr>
        <w:t>]</w:t>
      </w:r>
      <w:r w:rsidR="00A1520C" w:rsidRPr="002564E0">
        <w:fldChar w:fldCharType="end"/>
      </w:r>
      <w:r w:rsidR="00A1520C">
        <w:t>.</w:t>
      </w:r>
    </w:p>
    <w:p w14:paraId="30F628E0" w14:textId="77777777" w:rsidR="00382C19" w:rsidRDefault="00382C19" w:rsidP="00382C19">
      <w:pPr>
        <w:pStyle w:val="SDText"/>
        <w:contextualSpacing/>
      </w:pPr>
    </w:p>
    <w:p w14:paraId="7E932BAF" w14:textId="41E88022" w:rsidR="00A1520C" w:rsidRDefault="00382C19" w:rsidP="002564E0">
      <w:pPr>
        <w:pStyle w:val="SDText"/>
        <w:spacing w:after="0"/>
        <w:ind w:firstLine="0"/>
        <w:contextualSpacing/>
      </w:pPr>
      <w:bookmarkStart w:id="238" w:name="_Ref114562338"/>
      <w:r w:rsidRPr="00382C19">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10</w:t>
      </w:r>
      <w:r w:rsidR="00652269">
        <w:rPr>
          <w:b/>
        </w:rPr>
        <w:fldChar w:fldCharType="end"/>
      </w:r>
      <w:bookmarkEnd w:id="238"/>
      <w:r w:rsidRPr="00382C19">
        <w:rPr>
          <w:b/>
          <w:noProof/>
        </w:rPr>
        <w:t>.</w:t>
      </w:r>
      <w:r w:rsidRPr="00A1520C">
        <w:t xml:space="preserve"> </w:t>
      </w:r>
      <w:r>
        <w:t>Доля пациентов с псориатическим артритом, достигших ответа на терапию, и изменение показателей клинической эффективности от исходного значения</w:t>
      </w:r>
      <w:r w:rsidRPr="004F57C1">
        <w:t xml:space="preserve"> </w:t>
      </w:r>
      <w:r>
        <w:t xml:space="preserve">в исследовании </w:t>
      </w:r>
      <w:r w:rsidRPr="004F57C1">
        <w:t>OPAL BROADEN</w:t>
      </w:r>
      <w:r>
        <w:t>.</w:t>
      </w:r>
    </w:p>
    <w:tbl>
      <w:tblPr>
        <w:tblStyle w:val="a4"/>
        <w:tblW w:w="4873" w:type="pct"/>
        <w:tblInd w:w="136" w:type="dxa"/>
        <w:tblLook w:val="04A0" w:firstRow="1" w:lastRow="0" w:firstColumn="1" w:lastColumn="0" w:noHBand="0" w:noVBand="1"/>
      </w:tblPr>
      <w:tblGrid>
        <w:gridCol w:w="3191"/>
        <w:gridCol w:w="3190"/>
        <w:gridCol w:w="2947"/>
      </w:tblGrid>
      <w:tr w:rsidR="00967664" w14:paraId="5F97073F" w14:textId="26169613" w:rsidTr="00615081">
        <w:trPr>
          <w:tblHeader/>
        </w:trPr>
        <w:tc>
          <w:tcPr>
            <w:tcW w:w="3191" w:type="dxa"/>
            <w:shd w:val="clear" w:color="auto" w:fill="D9D9D9" w:themeFill="background1" w:themeFillShade="D9"/>
            <w:vAlign w:val="center"/>
          </w:tcPr>
          <w:p w14:paraId="6635A319" w14:textId="49C08B96" w:rsidR="00967664" w:rsidRPr="00967664" w:rsidRDefault="00967664" w:rsidP="00382C19">
            <w:pPr>
              <w:ind w:firstLine="0"/>
              <w:contextualSpacing/>
              <w:jc w:val="center"/>
              <w:rPr>
                <w:b/>
                <w:bCs/>
              </w:rPr>
            </w:pPr>
            <w:r>
              <w:rPr>
                <w:b/>
                <w:bCs/>
              </w:rPr>
              <w:t>Группа терапии</w:t>
            </w:r>
          </w:p>
        </w:tc>
        <w:tc>
          <w:tcPr>
            <w:tcW w:w="3190" w:type="dxa"/>
            <w:shd w:val="clear" w:color="auto" w:fill="D9D9D9" w:themeFill="background1" w:themeFillShade="D9"/>
            <w:vAlign w:val="center"/>
          </w:tcPr>
          <w:p w14:paraId="32BEDFA8" w14:textId="3074120E" w:rsidR="00967664" w:rsidRPr="00A1520C" w:rsidRDefault="00967664" w:rsidP="00382C19">
            <w:pPr>
              <w:ind w:firstLine="0"/>
              <w:contextualSpacing/>
              <w:jc w:val="center"/>
              <w:rPr>
                <w:b/>
                <w:bCs/>
              </w:rPr>
            </w:pPr>
            <w:r>
              <w:rPr>
                <w:b/>
                <w:bCs/>
              </w:rPr>
              <w:t>Плацебо</w:t>
            </w:r>
          </w:p>
        </w:tc>
        <w:tc>
          <w:tcPr>
            <w:tcW w:w="2947" w:type="dxa"/>
            <w:shd w:val="clear" w:color="auto" w:fill="D9D9D9" w:themeFill="background1" w:themeFillShade="D9"/>
            <w:vAlign w:val="center"/>
          </w:tcPr>
          <w:p w14:paraId="4B88135E" w14:textId="309BCADE" w:rsidR="00967664" w:rsidRPr="00A1520C" w:rsidRDefault="00967664" w:rsidP="00382C19">
            <w:pPr>
              <w:ind w:firstLine="0"/>
              <w:contextualSpacing/>
              <w:jc w:val="center"/>
              <w:rPr>
                <w:b/>
                <w:bCs/>
              </w:rPr>
            </w:pPr>
            <w:r>
              <w:rPr>
                <w:b/>
                <w:bCs/>
              </w:rPr>
              <w:t>Тофацитиниб в дозе 5 мг 2 раза в день</w:t>
            </w:r>
          </w:p>
        </w:tc>
      </w:tr>
      <w:tr w:rsidR="00AF4D4E" w14:paraId="5734ADDC" w14:textId="3DA9CFD4" w:rsidTr="00615081">
        <w:tc>
          <w:tcPr>
            <w:tcW w:w="3191" w:type="dxa"/>
          </w:tcPr>
          <w:p w14:paraId="3FFDE636" w14:textId="65A2C714" w:rsidR="00AF4D4E" w:rsidRDefault="00AF4D4E" w:rsidP="00382C19">
            <w:pPr>
              <w:ind w:firstLine="0"/>
              <w:contextualSpacing/>
            </w:pPr>
            <w:r>
              <w:rPr>
                <w:lang w:val="en-US"/>
              </w:rPr>
              <w:t>n</w:t>
            </w:r>
          </w:p>
        </w:tc>
        <w:tc>
          <w:tcPr>
            <w:tcW w:w="3190" w:type="dxa"/>
          </w:tcPr>
          <w:p w14:paraId="0A7575CB" w14:textId="062D8634" w:rsidR="00AF4D4E" w:rsidRPr="00376463" w:rsidRDefault="00376463" w:rsidP="002564E0">
            <w:pPr>
              <w:ind w:firstLine="0"/>
              <w:contextualSpacing/>
              <w:jc w:val="center"/>
              <w:rPr>
                <w:lang w:val="en-US"/>
              </w:rPr>
            </w:pPr>
            <w:r>
              <w:rPr>
                <w:lang w:val="en-US"/>
              </w:rPr>
              <w:t>131</w:t>
            </w:r>
          </w:p>
        </w:tc>
        <w:tc>
          <w:tcPr>
            <w:tcW w:w="2947" w:type="dxa"/>
          </w:tcPr>
          <w:p w14:paraId="3696C32B" w14:textId="5310E264" w:rsidR="00AF4D4E" w:rsidRPr="00376463" w:rsidRDefault="00376463" w:rsidP="002564E0">
            <w:pPr>
              <w:ind w:firstLine="0"/>
              <w:contextualSpacing/>
              <w:jc w:val="center"/>
              <w:rPr>
                <w:lang w:val="en-US"/>
              </w:rPr>
            </w:pPr>
            <w:r>
              <w:rPr>
                <w:lang w:val="en-US"/>
              </w:rPr>
              <w:t>131</w:t>
            </w:r>
          </w:p>
        </w:tc>
      </w:tr>
      <w:tr w:rsidR="00AF4D4E" w14:paraId="3A9CE99E" w14:textId="70260522" w:rsidTr="00615081">
        <w:tc>
          <w:tcPr>
            <w:tcW w:w="9328" w:type="dxa"/>
            <w:gridSpan w:val="3"/>
          </w:tcPr>
          <w:p w14:paraId="7D9FDB2A" w14:textId="6D27E8B1" w:rsidR="00AF4D4E" w:rsidRDefault="00AF4D4E" w:rsidP="00382C19">
            <w:pPr>
              <w:ind w:firstLine="0"/>
              <w:contextualSpacing/>
            </w:pPr>
            <w:r w:rsidRPr="00537755">
              <w:t>ACR20</w:t>
            </w:r>
            <w:r>
              <w:rPr>
                <w:lang w:val="en-US"/>
              </w:rPr>
              <w:t xml:space="preserve"> </w:t>
            </w:r>
          </w:p>
        </w:tc>
      </w:tr>
      <w:tr w:rsidR="00AF4D4E" w14:paraId="1C8299ED" w14:textId="55DADE47" w:rsidTr="00615081">
        <w:tc>
          <w:tcPr>
            <w:tcW w:w="3191" w:type="dxa"/>
          </w:tcPr>
          <w:p w14:paraId="30BB2964" w14:textId="23D96128" w:rsidR="00AF4D4E" w:rsidRDefault="00AF4D4E" w:rsidP="00382C19">
            <w:pPr>
              <w:ind w:firstLine="0"/>
              <w:contextualSpacing/>
            </w:pPr>
            <w:r>
              <w:t>через 3 мес.</w:t>
            </w:r>
          </w:p>
        </w:tc>
        <w:tc>
          <w:tcPr>
            <w:tcW w:w="3190" w:type="dxa"/>
          </w:tcPr>
          <w:p w14:paraId="172FB6C0" w14:textId="261D7718" w:rsidR="00AF4D4E" w:rsidRDefault="00DE6AC1" w:rsidP="002564E0">
            <w:pPr>
              <w:ind w:firstLine="0"/>
              <w:contextualSpacing/>
              <w:jc w:val="center"/>
            </w:pPr>
            <w:r w:rsidRPr="00DE6AC1">
              <w:t>24%</w:t>
            </w:r>
          </w:p>
        </w:tc>
        <w:tc>
          <w:tcPr>
            <w:tcW w:w="2947" w:type="dxa"/>
          </w:tcPr>
          <w:p w14:paraId="488E30BF" w14:textId="6FD72B89" w:rsidR="00AF4D4E" w:rsidRDefault="005C1C8F" w:rsidP="002564E0">
            <w:pPr>
              <w:ind w:firstLine="0"/>
              <w:contextualSpacing/>
              <w:jc w:val="center"/>
            </w:pPr>
            <w:r w:rsidRPr="005C1C8F">
              <w:t>50%***</w:t>
            </w:r>
          </w:p>
        </w:tc>
      </w:tr>
      <w:tr w:rsidR="00AF4D4E" w14:paraId="3E68C708" w14:textId="047B5141" w:rsidTr="00615081">
        <w:tc>
          <w:tcPr>
            <w:tcW w:w="3191" w:type="dxa"/>
          </w:tcPr>
          <w:p w14:paraId="5957D916" w14:textId="6571130C" w:rsidR="00AF4D4E" w:rsidRDefault="00AF4D4E" w:rsidP="00382C19">
            <w:pPr>
              <w:ind w:firstLine="0"/>
              <w:contextualSpacing/>
            </w:pPr>
            <w:r>
              <w:t>через 6 мес.</w:t>
            </w:r>
          </w:p>
        </w:tc>
        <w:tc>
          <w:tcPr>
            <w:tcW w:w="3190" w:type="dxa"/>
          </w:tcPr>
          <w:p w14:paraId="1A2FFF7B" w14:textId="4ADAF7F5" w:rsidR="00AF4D4E" w:rsidRDefault="005C1C8F" w:rsidP="002564E0">
            <w:pPr>
              <w:ind w:firstLine="0"/>
              <w:contextualSpacing/>
              <w:jc w:val="center"/>
            </w:pPr>
            <w:r>
              <w:t>нп</w:t>
            </w:r>
          </w:p>
        </w:tc>
        <w:tc>
          <w:tcPr>
            <w:tcW w:w="2947" w:type="dxa"/>
          </w:tcPr>
          <w:p w14:paraId="09E8CD89" w14:textId="6CAF8266" w:rsidR="00AF4D4E" w:rsidRDefault="005C1C8F" w:rsidP="002564E0">
            <w:pPr>
              <w:ind w:firstLine="0"/>
              <w:contextualSpacing/>
              <w:jc w:val="center"/>
            </w:pPr>
            <w:r w:rsidRPr="005C1C8F">
              <w:t>60%</w:t>
            </w:r>
          </w:p>
        </w:tc>
      </w:tr>
      <w:tr w:rsidR="003A18A1" w14:paraId="277FF279" w14:textId="3D4F4D3D" w:rsidTr="00615081">
        <w:tc>
          <w:tcPr>
            <w:tcW w:w="3191" w:type="dxa"/>
          </w:tcPr>
          <w:p w14:paraId="54A86455" w14:textId="3DF49331" w:rsidR="003A18A1" w:rsidRDefault="003A18A1" w:rsidP="00382C19">
            <w:pPr>
              <w:ind w:firstLine="0"/>
              <w:contextualSpacing/>
            </w:pPr>
            <w:r>
              <w:t>через 12 мес.</w:t>
            </w:r>
          </w:p>
        </w:tc>
        <w:tc>
          <w:tcPr>
            <w:tcW w:w="3190" w:type="dxa"/>
          </w:tcPr>
          <w:p w14:paraId="5B1DF655" w14:textId="3FCD074F" w:rsidR="003A18A1" w:rsidRDefault="003A18A1" w:rsidP="002564E0">
            <w:pPr>
              <w:ind w:firstLine="0"/>
              <w:contextualSpacing/>
              <w:jc w:val="center"/>
            </w:pPr>
            <w:r w:rsidRPr="00A11412">
              <w:t>–</w:t>
            </w:r>
          </w:p>
        </w:tc>
        <w:tc>
          <w:tcPr>
            <w:tcW w:w="2947" w:type="dxa"/>
          </w:tcPr>
          <w:p w14:paraId="2652F401" w14:textId="49FAAA5A" w:rsidR="003A18A1" w:rsidRDefault="003A18A1" w:rsidP="002564E0">
            <w:pPr>
              <w:ind w:firstLine="0"/>
              <w:contextualSpacing/>
              <w:jc w:val="center"/>
            </w:pPr>
            <w:r w:rsidRPr="00A11412">
              <w:t>–</w:t>
            </w:r>
          </w:p>
        </w:tc>
      </w:tr>
      <w:tr w:rsidR="00AF4D4E" w14:paraId="03935D31" w14:textId="77D7867D" w:rsidTr="00615081">
        <w:tc>
          <w:tcPr>
            <w:tcW w:w="9328" w:type="dxa"/>
            <w:gridSpan w:val="3"/>
          </w:tcPr>
          <w:p w14:paraId="224F4EF1" w14:textId="2456D770" w:rsidR="00AF4D4E" w:rsidRDefault="00AF4D4E" w:rsidP="00382C19">
            <w:pPr>
              <w:ind w:firstLine="0"/>
              <w:contextualSpacing/>
            </w:pPr>
            <w:r w:rsidRPr="00537755">
              <w:t>ACR</w:t>
            </w:r>
            <w:r>
              <w:t>5</w:t>
            </w:r>
            <w:r w:rsidRPr="00537755">
              <w:t>0</w:t>
            </w:r>
          </w:p>
        </w:tc>
      </w:tr>
      <w:tr w:rsidR="00AF4D4E" w14:paraId="589D39C8" w14:textId="4CCAD55F" w:rsidTr="00615081">
        <w:tc>
          <w:tcPr>
            <w:tcW w:w="3191" w:type="dxa"/>
          </w:tcPr>
          <w:p w14:paraId="476AC3B8" w14:textId="5EDCB690" w:rsidR="00AF4D4E" w:rsidRDefault="00AF4D4E" w:rsidP="00382C19">
            <w:pPr>
              <w:ind w:firstLine="0"/>
              <w:contextualSpacing/>
            </w:pPr>
            <w:r>
              <w:t>через 3 мес.</w:t>
            </w:r>
          </w:p>
        </w:tc>
        <w:tc>
          <w:tcPr>
            <w:tcW w:w="3190" w:type="dxa"/>
          </w:tcPr>
          <w:p w14:paraId="65E3360B" w14:textId="3E8518EB" w:rsidR="00AF4D4E" w:rsidRDefault="001D77B8" w:rsidP="002564E0">
            <w:pPr>
              <w:ind w:firstLine="0"/>
              <w:contextualSpacing/>
              <w:jc w:val="center"/>
            </w:pPr>
            <w:r w:rsidRPr="001D77B8">
              <w:t>15%</w:t>
            </w:r>
          </w:p>
        </w:tc>
        <w:tc>
          <w:tcPr>
            <w:tcW w:w="2947" w:type="dxa"/>
          </w:tcPr>
          <w:p w14:paraId="1C6883B7" w14:textId="47FC5540" w:rsidR="00AF4D4E" w:rsidRDefault="001D77B8" w:rsidP="002564E0">
            <w:pPr>
              <w:ind w:firstLine="0"/>
              <w:contextualSpacing/>
              <w:jc w:val="center"/>
            </w:pPr>
            <w:r w:rsidRPr="001D77B8">
              <w:t>30%*</w:t>
            </w:r>
          </w:p>
        </w:tc>
      </w:tr>
      <w:tr w:rsidR="00AF4D4E" w14:paraId="442B73C8" w14:textId="38D391F7" w:rsidTr="00615081">
        <w:tc>
          <w:tcPr>
            <w:tcW w:w="3191" w:type="dxa"/>
          </w:tcPr>
          <w:p w14:paraId="33ABD51A" w14:textId="54549A50" w:rsidR="00AF4D4E" w:rsidRDefault="00AF4D4E" w:rsidP="00382C19">
            <w:pPr>
              <w:ind w:firstLine="0"/>
              <w:contextualSpacing/>
            </w:pPr>
            <w:r>
              <w:t>через 6 мес.</w:t>
            </w:r>
          </w:p>
        </w:tc>
        <w:tc>
          <w:tcPr>
            <w:tcW w:w="3190" w:type="dxa"/>
          </w:tcPr>
          <w:p w14:paraId="621B1618" w14:textId="12AAD5D4" w:rsidR="00AF4D4E" w:rsidRDefault="001D77B8" w:rsidP="002564E0">
            <w:pPr>
              <w:ind w:firstLine="0"/>
              <w:contextualSpacing/>
              <w:jc w:val="center"/>
            </w:pPr>
            <w:r>
              <w:t>нп</w:t>
            </w:r>
          </w:p>
        </w:tc>
        <w:tc>
          <w:tcPr>
            <w:tcW w:w="2947" w:type="dxa"/>
          </w:tcPr>
          <w:p w14:paraId="279384CD" w14:textId="7F5AEC3C" w:rsidR="00AF4D4E" w:rsidRDefault="001D77B8" w:rsidP="002564E0">
            <w:pPr>
              <w:ind w:firstLine="0"/>
              <w:contextualSpacing/>
              <w:jc w:val="center"/>
            </w:pPr>
            <w:r w:rsidRPr="001D77B8">
              <w:t>38%</w:t>
            </w:r>
          </w:p>
        </w:tc>
      </w:tr>
      <w:tr w:rsidR="003A18A1" w14:paraId="22A49F1D" w14:textId="70B2E0D6" w:rsidTr="00615081">
        <w:tc>
          <w:tcPr>
            <w:tcW w:w="3191" w:type="dxa"/>
          </w:tcPr>
          <w:p w14:paraId="52058A0F" w14:textId="4CB0CD66" w:rsidR="003A18A1" w:rsidRDefault="003A18A1" w:rsidP="003A18A1">
            <w:pPr>
              <w:ind w:firstLine="0"/>
            </w:pPr>
            <w:r>
              <w:t>через 12 мес.</w:t>
            </w:r>
          </w:p>
        </w:tc>
        <w:tc>
          <w:tcPr>
            <w:tcW w:w="3190" w:type="dxa"/>
          </w:tcPr>
          <w:p w14:paraId="398E4973" w14:textId="6DCDEEB6" w:rsidR="003A18A1" w:rsidRDefault="003A18A1" w:rsidP="002564E0">
            <w:pPr>
              <w:ind w:firstLine="0"/>
              <w:jc w:val="center"/>
            </w:pPr>
            <w:r w:rsidRPr="00134E41">
              <w:t>–</w:t>
            </w:r>
          </w:p>
        </w:tc>
        <w:tc>
          <w:tcPr>
            <w:tcW w:w="2947" w:type="dxa"/>
          </w:tcPr>
          <w:p w14:paraId="1968667C" w14:textId="104BA22C" w:rsidR="003A18A1" w:rsidRDefault="003A18A1" w:rsidP="002564E0">
            <w:pPr>
              <w:ind w:firstLine="0"/>
              <w:jc w:val="center"/>
            </w:pPr>
            <w:r w:rsidRPr="00134E41">
              <w:t>–</w:t>
            </w:r>
          </w:p>
        </w:tc>
      </w:tr>
      <w:tr w:rsidR="00376463" w14:paraId="3A4C7CDA" w14:textId="14A36A16" w:rsidTr="00615081">
        <w:tc>
          <w:tcPr>
            <w:tcW w:w="9328" w:type="dxa"/>
            <w:gridSpan w:val="3"/>
          </w:tcPr>
          <w:p w14:paraId="5C299C37" w14:textId="0EFBB17A" w:rsidR="00376463" w:rsidRDefault="00376463" w:rsidP="00376463">
            <w:pPr>
              <w:ind w:firstLine="0"/>
            </w:pPr>
            <w:r w:rsidRPr="00537755">
              <w:t>ACR</w:t>
            </w:r>
            <w:r>
              <w:t>7</w:t>
            </w:r>
            <w:r w:rsidRPr="00537755">
              <w:t>0</w:t>
            </w:r>
          </w:p>
        </w:tc>
      </w:tr>
      <w:tr w:rsidR="00AF4D4E" w14:paraId="60798AF1" w14:textId="7F765B54" w:rsidTr="00615081">
        <w:tc>
          <w:tcPr>
            <w:tcW w:w="3191" w:type="dxa"/>
          </w:tcPr>
          <w:p w14:paraId="235E95D5" w14:textId="75CB9288" w:rsidR="00AF4D4E" w:rsidRDefault="00AF4D4E" w:rsidP="00AF4D4E">
            <w:pPr>
              <w:ind w:firstLine="0"/>
            </w:pPr>
            <w:r>
              <w:t>через 3 мес.</w:t>
            </w:r>
          </w:p>
        </w:tc>
        <w:tc>
          <w:tcPr>
            <w:tcW w:w="3190" w:type="dxa"/>
          </w:tcPr>
          <w:p w14:paraId="7EA6CFA9" w14:textId="64741222" w:rsidR="00AF4D4E" w:rsidRDefault="003A18A1" w:rsidP="002564E0">
            <w:pPr>
              <w:ind w:firstLine="0"/>
              <w:jc w:val="center"/>
            </w:pPr>
            <w:r w:rsidRPr="003A18A1">
              <w:t>10%</w:t>
            </w:r>
          </w:p>
        </w:tc>
        <w:tc>
          <w:tcPr>
            <w:tcW w:w="2947" w:type="dxa"/>
          </w:tcPr>
          <w:p w14:paraId="7A9AA065" w14:textId="73FD5883" w:rsidR="00AF4D4E" w:rsidRDefault="00861E94" w:rsidP="002564E0">
            <w:pPr>
              <w:ind w:firstLine="0"/>
              <w:jc w:val="center"/>
            </w:pPr>
            <w:r w:rsidRPr="00861E94">
              <w:t>17%</w:t>
            </w:r>
          </w:p>
        </w:tc>
      </w:tr>
      <w:tr w:rsidR="00AF4D4E" w14:paraId="735FFA3D" w14:textId="592AD9AB" w:rsidTr="00615081">
        <w:tc>
          <w:tcPr>
            <w:tcW w:w="3191" w:type="dxa"/>
          </w:tcPr>
          <w:p w14:paraId="31D425D4" w14:textId="1DC1652B" w:rsidR="00AF4D4E" w:rsidRDefault="00AF4D4E" w:rsidP="00AF4D4E">
            <w:pPr>
              <w:ind w:firstLine="0"/>
            </w:pPr>
            <w:r>
              <w:t>через 6 мес.</w:t>
            </w:r>
          </w:p>
        </w:tc>
        <w:tc>
          <w:tcPr>
            <w:tcW w:w="3190" w:type="dxa"/>
          </w:tcPr>
          <w:p w14:paraId="32BC0D88" w14:textId="7AD3114E" w:rsidR="00AF4D4E" w:rsidRDefault="00861E94" w:rsidP="002564E0">
            <w:pPr>
              <w:ind w:firstLine="0"/>
              <w:jc w:val="center"/>
            </w:pPr>
            <w:r>
              <w:t>нп</w:t>
            </w:r>
          </w:p>
        </w:tc>
        <w:tc>
          <w:tcPr>
            <w:tcW w:w="2947" w:type="dxa"/>
          </w:tcPr>
          <w:p w14:paraId="5BED50C2" w14:textId="645B69A4" w:rsidR="00AF4D4E" w:rsidRDefault="00861E94" w:rsidP="002564E0">
            <w:pPr>
              <w:ind w:firstLine="0"/>
              <w:jc w:val="center"/>
            </w:pPr>
            <w:r w:rsidRPr="00861E94">
              <w:t>21%</w:t>
            </w:r>
          </w:p>
        </w:tc>
      </w:tr>
      <w:tr w:rsidR="00861E94" w14:paraId="59AA08CB" w14:textId="73697B45" w:rsidTr="00615081">
        <w:tc>
          <w:tcPr>
            <w:tcW w:w="3191" w:type="dxa"/>
          </w:tcPr>
          <w:p w14:paraId="440FDC36" w14:textId="1F52DC8B" w:rsidR="00861E94" w:rsidRDefault="00861E94" w:rsidP="00861E94">
            <w:pPr>
              <w:ind w:firstLine="0"/>
            </w:pPr>
            <w:r>
              <w:t>через 12 мес.</w:t>
            </w:r>
          </w:p>
        </w:tc>
        <w:tc>
          <w:tcPr>
            <w:tcW w:w="3190" w:type="dxa"/>
          </w:tcPr>
          <w:p w14:paraId="2F7FECBE" w14:textId="17ED74F1" w:rsidR="00861E94" w:rsidRDefault="00861E94" w:rsidP="002564E0">
            <w:pPr>
              <w:ind w:firstLine="0"/>
              <w:jc w:val="center"/>
            </w:pPr>
            <w:r w:rsidRPr="00134E41">
              <w:t>–</w:t>
            </w:r>
          </w:p>
        </w:tc>
        <w:tc>
          <w:tcPr>
            <w:tcW w:w="2947" w:type="dxa"/>
          </w:tcPr>
          <w:p w14:paraId="30AAF064" w14:textId="0BABEDB0" w:rsidR="00861E94" w:rsidRDefault="00861E94" w:rsidP="002564E0">
            <w:pPr>
              <w:ind w:firstLine="0"/>
              <w:jc w:val="center"/>
            </w:pPr>
            <w:r w:rsidRPr="00134E41">
              <w:t>–</w:t>
            </w:r>
          </w:p>
        </w:tc>
      </w:tr>
      <w:tr w:rsidR="00376463" w14:paraId="031DCD7F" w14:textId="788431A1" w:rsidTr="00615081">
        <w:tc>
          <w:tcPr>
            <w:tcW w:w="9328" w:type="dxa"/>
            <w:gridSpan w:val="3"/>
          </w:tcPr>
          <w:p w14:paraId="0270D87D" w14:textId="4483A17B" w:rsidR="00376463" w:rsidRDefault="00376463" w:rsidP="00861E94">
            <w:pPr>
              <w:ind w:firstLine="0"/>
            </w:pPr>
            <w:r w:rsidRPr="003D5DDB">
              <w:t>ΔLEI</w:t>
            </w:r>
            <w:r>
              <w:rPr>
                <w:vertAlign w:val="superscript"/>
                <w:lang w:val="en-US"/>
              </w:rPr>
              <w:t>a</w:t>
            </w:r>
          </w:p>
        </w:tc>
      </w:tr>
      <w:tr w:rsidR="003D5DDB" w14:paraId="7CC25651" w14:textId="2B9A95AE" w:rsidTr="00615081">
        <w:tc>
          <w:tcPr>
            <w:tcW w:w="3191" w:type="dxa"/>
          </w:tcPr>
          <w:p w14:paraId="2961373D" w14:textId="78787164" w:rsidR="003D5DDB" w:rsidRDefault="003D5DDB" w:rsidP="003D5DDB">
            <w:pPr>
              <w:ind w:firstLine="0"/>
            </w:pPr>
            <w:r>
              <w:t>через 3 мес.</w:t>
            </w:r>
          </w:p>
        </w:tc>
        <w:tc>
          <w:tcPr>
            <w:tcW w:w="3190" w:type="dxa"/>
          </w:tcPr>
          <w:p w14:paraId="1190D830" w14:textId="2572AA21" w:rsidR="003D5DDB" w:rsidRDefault="00861E94" w:rsidP="002564E0">
            <w:pPr>
              <w:ind w:firstLine="0"/>
              <w:jc w:val="center"/>
            </w:pPr>
            <w:r w:rsidRPr="00861E94">
              <w:t>-0.5</w:t>
            </w:r>
          </w:p>
        </w:tc>
        <w:tc>
          <w:tcPr>
            <w:tcW w:w="2947" w:type="dxa"/>
          </w:tcPr>
          <w:p w14:paraId="646CF612" w14:textId="73BEC479" w:rsidR="003D5DDB" w:rsidRDefault="009A5041" w:rsidP="002564E0">
            <w:pPr>
              <w:ind w:firstLine="0"/>
              <w:jc w:val="center"/>
            </w:pPr>
            <w:r w:rsidRPr="009A5041">
              <w:t>-1.3*</w:t>
            </w:r>
          </w:p>
        </w:tc>
      </w:tr>
      <w:tr w:rsidR="003D5DDB" w14:paraId="785DDA1A" w14:textId="109B68F9" w:rsidTr="00615081">
        <w:tc>
          <w:tcPr>
            <w:tcW w:w="3191" w:type="dxa"/>
          </w:tcPr>
          <w:p w14:paraId="646B27F8" w14:textId="3FA2FC58" w:rsidR="003D5DDB" w:rsidRDefault="003D5DDB" w:rsidP="003D5DDB">
            <w:pPr>
              <w:ind w:firstLine="0"/>
            </w:pPr>
            <w:r>
              <w:t>через 6 мес.</w:t>
            </w:r>
          </w:p>
        </w:tc>
        <w:tc>
          <w:tcPr>
            <w:tcW w:w="3190" w:type="dxa"/>
          </w:tcPr>
          <w:p w14:paraId="7DE9408A" w14:textId="01533117" w:rsidR="003D5DDB" w:rsidRDefault="009A5041" w:rsidP="002564E0">
            <w:pPr>
              <w:ind w:firstLine="0"/>
              <w:jc w:val="center"/>
            </w:pPr>
            <w:r>
              <w:t>нп</w:t>
            </w:r>
          </w:p>
        </w:tc>
        <w:tc>
          <w:tcPr>
            <w:tcW w:w="2947" w:type="dxa"/>
          </w:tcPr>
          <w:p w14:paraId="3516CC3C" w14:textId="59032B25" w:rsidR="003D5DDB" w:rsidRDefault="009A5041" w:rsidP="002564E0">
            <w:pPr>
              <w:ind w:firstLine="0"/>
              <w:jc w:val="center"/>
            </w:pPr>
            <w:r w:rsidRPr="009A5041">
              <w:t>-1.5</w:t>
            </w:r>
          </w:p>
        </w:tc>
      </w:tr>
      <w:tr w:rsidR="009A5041" w14:paraId="7EE4C64A" w14:textId="06203015" w:rsidTr="00615081">
        <w:tc>
          <w:tcPr>
            <w:tcW w:w="3191" w:type="dxa"/>
          </w:tcPr>
          <w:p w14:paraId="43850DE8" w14:textId="6AB78EE9" w:rsidR="009A5041" w:rsidRDefault="009A5041" w:rsidP="009A5041">
            <w:pPr>
              <w:ind w:firstLine="0"/>
            </w:pPr>
            <w:r>
              <w:t>через 12 мес.</w:t>
            </w:r>
          </w:p>
        </w:tc>
        <w:tc>
          <w:tcPr>
            <w:tcW w:w="3190" w:type="dxa"/>
          </w:tcPr>
          <w:p w14:paraId="62735DDD" w14:textId="4B6B064B" w:rsidR="009A5041" w:rsidRDefault="009A5041" w:rsidP="002564E0">
            <w:pPr>
              <w:ind w:firstLine="0"/>
              <w:jc w:val="center"/>
            </w:pPr>
            <w:r w:rsidRPr="00134E41">
              <w:t>–</w:t>
            </w:r>
          </w:p>
        </w:tc>
        <w:tc>
          <w:tcPr>
            <w:tcW w:w="2947" w:type="dxa"/>
          </w:tcPr>
          <w:p w14:paraId="1BE1534C" w14:textId="63DD4010" w:rsidR="009A5041" w:rsidRDefault="009A5041" w:rsidP="002564E0">
            <w:pPr>
              <w:ind w:firstLine="0"/>
              <w:jc w:val="center"/>
            </w:pPr>
            <w:r w:rsidRPr="00134E41">
              <w:t>–</w:t>
            </w:r>
          </w:p>
        </w:tc>
      </w:tr>
      <w:tr w:rsidR="00376463" w14:paraId="187A7F17" w14:textId="287C5CB5" w:rsidTr="00615081">
        <w:tc>
          <w:tcPr>
            <w:tcW w:w="9328" w:type="dxa"/>
            <w:gridSpan w:val="3"/>
          </w:tcPr>
          <w:p w14:paraId="45FD44ED" w14:textId="29A995EE" w:rsidR="00376463" w:rsidRDefault="00376463" w:rsidP="00861E94">
            <w:pPr>
              <w:ind w:firstLine="0"/>
            </w:pPr>
            <w:r w:rsidRPr="00CE4F8D">
              <w:t>ΔDSS</w:t>
            </w:r>
            <w:r>
              <w:rPr>
                <w:vertAlign w:val="superscript"/>
                <w:lang w:val="en-US"/>
              </w:rPr>
              <w:t>a</w:t>
            </w:r>
          </w:p>
        </w:tc>
      </w:tr>
      <w:tr w:rsidR="00CE4F8D" w14:paraId="75EC8665" w14:textId="69CE5F29" w:rsidTr="00615081">
        <w:tc>
          <w:tcPr>
            <w:tcW w:w="3191" w:type="dxa"/>
          </w:tcPr>
          <w:p w14:paraId="2E6A502D" w14:textId="282AE601" w:rsidR="00CE4F8D" w:rsidRDefault="00CE4F8D" w:rsidP="00CE4F8D">
            <w:pPr>
              <w:ind w:firstLine="0"/>
            </w:pPr>
            <w:r>
              <w:t>через 3 мес.</w:t>
            </w:r>
          </w:p>
        </w:tc>
        <w:tc>
          <w:tcPr>
            <w:tcW w:w="3190" w:type="dxa"/>
          </w:tcPr>
          <w:p w14:paraId="3F929861" w14:textId="04E8A3AF" w:rsidR="00CE4F8D" w:rsidRDefault="0040349E" w:rsidP="002564E0">
            <w:pPr>
              <w:ind w:firstLine="0"/>
              <w:jc w:val="center"/>
            </w:pPr>
            <w:r w:rsidRPr="0040349E">
              <w:t>-1.9</w:t>
            </w:r>
          </w:p>
        </w:tc>
        <w:tc>
          <w:tcPr>
            <w:tcW w:w="2947" w:type="dxa"/>
          </w:tcPr>
          <w:p w14:paraId="2D259AE9" w14:textId="07D4D425" w:rsidR="00CE4F8D" w:rsidRDefault="0040349E" w:rsidP="002564E0">
            <w:pPr>
              <w:ind w:firstLine="0"/>
              <w:jc w:val="center"/>
            </w:pPr>
            <w:r w:rsidRPr="0040349E">
              <w:t>-5.2*</w:t>
            </w:r>
          </w:p>
        </w:tc>
      </w:tr>
      <w:tr w:rsidR="00CE4F8D" w14:paraId="302F2AC5" w14:textId="1760E868" w:rsidTr="00615081">
        <w:tc>
          <w:tcPr>
            <w:tcW w:w="3191" w:type="dxa"/>
          </w:tcPr>
          <w:p w14:paraId="0DECC3A3" w14:textId="10C68C1C" w:rsidR="00CE4F8D" w:rsidRDefault="00CE4F8D" w:rsidP="00CE4F8D">
            <w:pPr>
              <w:ind w:firstLine="0"/>
            </w:pPr>
            <w:r>
              <w:t>через 6 мес.</w:t>
            </w:r>
          </w:p>
        </w:tc>
        <w:tc>
          <w:tcPr>
            <w:tcW w:w="3190" w:type="dxa"/>
          </w:tcPr>
          <w:p w14:paraId="4F19E9E7" w14:textId="1291DC71" w:rsidR="00CE4F8D" w:rsidRDefault="0040349E" w:rsidP="002564E0">
            <w:pPr>
              <w:ind w:firstLine="0"/>
              <w:jc w:val="center"/>
            </w:pPr>
            <w:r>
              <w:t>нп</w:t>
            </w:r>
          </w:p>
        </w:tc>
        <w:tc>
          <w:tcPr>
            <w:tcW w:w="2947" w:type="dxa"/>
          </w:tcPr>
          <w:p w14:paraId="7BC08929" w14:textId="5D8AFBD3" w:rsidR="00CE4F8D" w:rsidRDefault="0040349E" w:rsidP="002564E0">
            <w:pPr>
              <w:ind w:firstLine="0"/>
              <w:jc w:val="center"/>
            </w:pPr>
            <w:r w:rsidRPr="0040349E">
              <w:t>-6.0</w:t>
            </w:r>
          </w:p>
        </w:tc>
      </w:tr>
      <w:tr w:rsidR="0040349E" w14:paraId="4A34F14E" w14:textId="1FA58BBC" w:rsidTr="00615081">
        <w:tc>
          <w:tcPr>
            <w:tcW w:w="3191" w:type="dxa"/>
          </w:tcPr>
          <w:p w14:paraId="1C8897F8" w14:textId="2BF9B62F" w:rsidR="0040349E" w:rsidRDefault="0040349E" w:rsidP="0040349E">
            <w:pPr>
              <w:ind w:firstLine="0"/>
            </w:pPr>
            <w:r>
              <w:t>через 12 мес.</w:t>
            </w:r>
          </w:p>
        </w:tc>
        <w:tc>
          <w:tcPr>
            <w:tcW w:w="3190" w:type="dxa"/>
          </w:tcPr>
          <w:p w14:paraId="3F3AB4C0" w14:textId="6208B93D" w:rsidR="0040349E" w:rsidRDefault="0040349E" w:rsidP="002564E0">
            <w:pPr>
              <w:ind w:firstLine="0"/>
              <w:jc w:val="center"/>
            </w:pPr>
            <w:r w:rsidRPr="00134E41">
              <w:t>–</w:t>
            </w:r>
          </w:p>
        </w:tc>
        <w:tc>
          <w:tcPr>
            <w:tcW w:w="2947" w:type="dxa"/>
          </w:tcPr>
          <w:p w14:paraId="2CEE6B83" w14:textId="03B7565F" w:rsidR="0040349E" w:rsidRDefault="0040349E" w:rsidP="002564E0">
            <w:pPr>
              <w:ind w:firstLine="0"/>
              <w:jc w:val="center"/>
            </w:pPr>
            <w:r w:rsidRPr="00134E41">
              <w:t>–</w:t>
            </w:r>
          </w:p>
        </w:tc>
      </w:tr>
      <w:tr w:rsidR="00CE4F8D" w14:paraId="18BCD427" w14:textId="06BF07F1" w:rsidTr="00615081">
        <w:tc>
          <w:tcPr>
            <w:tcW w:w="9328" w:type="dxa"/>
            <w:gridSpan w:val="3"/>
          </w:tcPr>
          <w:p w14:paraId="69A05D13" w14:textId="66DC0D01" w:rsidR="00CE4F8D" w:rsidRDefault="00CE4F8D" w:rsidP="00CE4F8D">
            <w:pPr>
              <w:ind w:firstLine="0"/>
            </w:pPr>
            <w:r w:rsidRPr="00AE5408">
              <w:t>PASI75</w:t>
            </w:r>
            <w:r>
              <w:rPr>
                <w:vertAlign w:val="superscript"/>
                <w:lang w:val="en-US"/>
              </w:rPr>
              <w:t>b</w:t>
            </w:r>
          </w:p>
        </w:tc>
      </w:tr>
      <w:tr w:rsidR="00CE4F8D" w14:paraId="22D85DA1" w14:textId="77777777" w:rsidTr="00615081">
        <w:tc>
          <w:tcPr>
            <w:tcW w:w="3191" w:type="dxa"/>
          </w:tcPr>
          <w:p w14:paraId="541E63CC" w14:textId="7A8DE06C" w:rsidR="00CE4F8D" w:rsidRDefault="00CE4F8D" w:rsidP="00CE4F8D">
            <w:pPr>
              <w:ind w:firstLine="0"/>
            </w:pPr>
            <w:r>
              <w:t>через 3 мес.</w:t>
            </w:r>
          </w:p>
        </w:tc>
        <w:tc>
          <w:tcPr>
            <w:tcW w:w="3190" w:type="dxa"/>
          </w:tcPr>
          <w:p w14:paraId="2CE7741C" w14:textId="110F2D9B" w:rsidR="00CE4F8D" w:rsidRDefault="002B6BFA" w:rsidP="002564E0">
            <w:pPr>
              <w:ind w:firstLine="0"/>
              <w:jc w:val="center"/>
            </w:pPr>
            <w:r w:rsidRPr="002B6BFA">
              <w:t>14%</w:t>
            </w:r>
          </w:p>
        </w:tc>
        <w:tc>
          <w:tcPr>
            <w:tcW w:w="2947" w:type="dxa"/>
          </w:tcPr>
          <w:p w14:paraId="465E1855" w14:textId="1AA6CCAA" w:rsidR="00CE4F8D" w:rsidRDefault="002B6BFA" w:rsidP="002564E0">
            <w:pPr>
              <w:ind w:firstLine="0"/>
              <w:jc w:val="center"/>
            </w:pPr>
            <w:r w:rsidRPr="002B6BFA">
              <w:t>21%</w:t>
            </w:r>
          </w:p>
        </w:tc>
      </w:tr>
      <w:tr w:rsidR="00CE4F8D" w14:paraId="34A0056C" w14:textId="77777777" w:rsidTr="00615081">
        <w:tc>
          <w:tcPr>
            <w:tcW w:w="3191" w:type="dxa"/>
          </w:tcPr>
          <w:p w14:paraId="618CC0C7" w14:textId="2FE79488" w:rsidR="00CE4F8D" w:rsidRDefault="00CE4F8D" w:rsidP="00CE4F8D">
            <w:pPr>
              <w:ind w:firstLine="0"/>
            </w:pPr>
            <w:r>
              <w:t>через 6 мес.</w:t>
            </w:r>
          </w:p>
        </w:tc>
        <w:tc>
          <w:tcPr>
            <w:tcW w:w="3190" w:type="dxa"/>
          </w:tcPr>
          <w:p w14:paraId="6FCC8395" w14:textId="03FF41E8" w:rsidR="00CE4F8D" w:rsidRDefault="002B6BFA" w:rsidP="002564E0">
            <w:pPr>
              <w:ind w:firstLine="0"/>
              <w:jc w:val="center"/>
            </w:pPr>
            <w:r>
              <w:t>нп</w:t>
            </w:r>
          </w:p>
        </w:tc>
        <w:tc>
          <w:tcPr>
            <w:tcW w:w="2947" w:type="dxa"/>
          </w:tcPr>
          <w:p w14:paraId="13E0DD8C" w14:textId="6481FC5D" w:rsidR="00CE4F8D" w:rsidRDefault="002B6BFA" w:rsidP="002564E0">
            <w:pPr>
              <w:ind w:firstLine="0"/>
              <w:jc w:val="center"/>
            </w:pPr>
            <w:r w:rsidRPr="002B6BFA">
              <w:t>34%</w:t>
            </w:r>
          </w:p>
        </w:tc>
      </w:tr>
      <w:tr w:rsidR="002B6BFA" w14:paraId="711B8C34" w14:textId="77777777" w:rsidTr="00615081">
        <w:tc>
          <w:tcPr>
            <w:tcW w:w="3191" w:type="dxa"/>
          </w:tcPr>
          <w:p w14:paraId="241330A6" w14:textId="623A04A3" w:rsidR="002B6BFA" w:rsidRDefault="002B6BFA" w:rsidP="002B6BFA">
            <w:pPr>
              <w:ind w:firstLine="0"/>
            </w:pPr>
            <w:r>
              <w:t>через 12 мес.</w:t>
            </w:r>
          </w:p>
        </w:tc>
        <w:tc>
          <w:tcPr>
            <w:tcW w:w="3190" w:type="dxa"/>
          </w:tcPr>
          <w:p w14:paraId="0F3E27E6" w14:textId="0E53B943" w:rsidR="002B6BFA" w:rsidRDefault="002B6BFA" w:rsidP="002564E0">
            <w:pPr>
              <w:ind w:firstLine="0"/>
              <w:jc w:val="center"/>
            </w:pPr>
            <w:r w:rsidRPr="00134E41">
              <w:t>–</w:t>
            </w:r>
          </w:p>
        </w:tc>
        <w:tc>
          <w:tcPr>
            <w:tcW w:w="2947" w:type="dxa"/>
          </w:tcPr>
          <w:p w14:paraId="5E8D62FE" w14:textId="3CF704E0" w:rsidR="002B6BFA" w:rsidRDefault="002B6BFA" w:rsidP="002564E0">
            <w:pPr>
              <w:ind w:firstLine="0"/>
              <w:jc w:val="center"/>
            </w:pPr>
            <w:r w:rsidRPr="00134E41">
              <w:t>–</w:t>
            </w:r>
          </w:p>
        </w:tc>
      </w:tr>
      <w:tr w:rsidR="00382C19" w14:paraId="40B234EC" w14:textId="77777777" w:rsidTr="00615081">
        <w:tc>
          <w:tcPr>
            <w:tcW w:w="9328" w:type="dxa"/>
            <w:gridSpan w:val="3"/>
          </w:tcPr>
          <w:p w14:paraId="76E4F395" w14:textId="77777777" w:rsidR="00382C19" w:rsidRPr="00382C19" w:rsidRDefault="00382C19" w:rsidP="00382C19">
            <w:pPr>
              <w:pStyle w:val="SDcomments"/>
              <w:ind w:firstLine="0"/>
              <w:rPr>
                <w:b/>
                <w:iCs/>
              </w:rPr>
            </w:pPr>
            <w:r w:rsidRPr="00382C19">
              <w:rPr>
                <w:b/>
                <w:iCs/>
              </w:rPr>
              <w:t>Примечания:</w:t>
            </w:r>
          </w:p>
          <w:p w14:paraId="0FB8D438" w14:textId="486190B1" w:rsidR="00382C19" w:rsidRPr="00134E41" w:rsidRDefault="00382C19" w:rsidP="00382C19">
            <w:pPr>
              <w:pStyle w:val="SDcomments"/>
              <w:ind w:firstLine="0"/>
            </w:pPr>
            <w:r w:rsidRPr="00864525">
              <w:t>ACR</w:t>
            </w:r>
            <w:r>
              <w:t xml:space="preserve"> – </w:t>
            </w:r>
            <w:r w:rsidRPr="00A45461">
              <w:t>Американск</w:t>
            </w:r>
            <w:r>
              <w:t xml:space="preserve">ий </w:t>
            </w:r>
            <w:r w:rsidRPr="00A45461">
              <w:t>колледж ревматологии (American college rheumatology)</w:t>
            </w:r>
            <w:r>
              <w:t xml:space="preserve">; </w:t>
            </w:r>
            <w:r w:rsidRPr="00864525">
              <w:t xml:space="preserve">ACR20 – 20% </w:t>
            </w:r>
            <w:r>
              <w:t xml:space="preserve">улучшение согласно критериям </w:t>
            </w:r>
            <w:r w:rsidRPr="00864525">
              <w:t>ACR</w:t>
            </w:r>
            <w:r>
              <w:t xml:space="preserve">; </w:t>
            </w:r>
            <w:r w:rsidRPr="00864525">
              <w:t>ACR</w:t>
            </w:r>
            <w:r>
              <w:t>5</w:t>
            </w:r>
            <w:r w:rsidRPr="00864525">
              <w:t xml:space="preserve">0 – </w:t>
            </w:r>
            <w:r>
              <w:t>5</w:t>
            </w:r>
            <w:r w:rsidRPr="00864525">
              <w:t xml:space="preserve">0% </w:t>
            </w:r>
            <w:r>
              <w:t xml:space="preserve">улучшение согласно критериям </w:t>
            </w:r>
            <w:r w:rsidRPr="00864525">
              <w:t>ACR</w:t>
            </w:r>
            <w:r>
              <w:t>;</w:t>
            </w:r>
            <w:r w:rsidRPr="00A45461">
              <w:t xml:space="preserve"> </w:t>
            </w:r>
            <w:r w:rsidRPr="00864525">
              <w:t>ACR</w:t>
            </w:r>
            <w:r>
              <w:t>7</w:t>
            </w:r>
            <w:r w:rsidRPr="00864525">
              <w:t xml:space="preserve">0 – </w:t>
            </w:r>
            <w:r>
              <w:t>7</w:t>
            </w:r>
            <w:r w:rsidRPr="00864525">
              <w:t xml:space="preserve">0% </w:t>
            </w:r>
            <w:r>
              <w:t xml:space="preserve">улучшение согласно критериям </w:t>
            </w:r>
            <w:r w:rsidRPr="00864525">
              <w:t>ACR</w:t>
            </w:r>
            <w:r>
              <w:t xml:space="preserve">; </w:t>
            </w:r>
            <w:r w:rsidRPr="006D6EC9">
              <w:t>ΔLEI</w:t>
            </w:r>
            <w:r>
              <w:t xml:space="preserve"> – изменение от исходного значения по Лидскому индексу энтезита (</w:t>
            </w:r>
            <w:r w:rsidRPr="008A041E">
              <w:t xml:space="preserve">Leeds </w:t>
            </w:r>
            <w:r w:rsidRPr="008A041E">
              <w:lastRenderedPageBreak/>
              <w:t>Enthesitis Index</w:t>
            </w:r>
            <w:r>
              <w:t xml:space="preserve">, </w:t>
            </w:r>
            <w:r>
              <w:rPr>
                <w:lang w:val="en-US"/>
              </w:rPr>
              <w:t>LEI</w:t>
            </w:r>
            <w:r w:rsidRPr="00995531">
              <w:t>)</w:t>
            </w:r>
            <w:r>
              <w:t xml:space="preserve">; </w:t>
            </w:r>
            <w:r w:rsidRPr="00E11B86">
              <w:t>ΔDSS</w:t>
            </w:r>
            <w:r>
              <w:t xml:space="preserve"> – изменение от исходного значения индекса тяжести дактилита (</w:t>
            </w:r>
            <w:r w:rsidRPr="00AD6C11">
              <w:t>Dactylitis Severity Score</w:t>
            </w:r>
            <w:r>
              <w:t xml:space="preserve">); </w:t>
            </w:r>
            <w:r w:rsidRPr="001F4931">
              <w:t>PASI</w:t>
            </w:r>
            <w:r>
              <w:t xml:space="preserve"> – индекс площади и тяжести псориаза (</w:t>
            </w:r>
            <w:r w:rsidRPr="001F4931">
              <w:t>Psoriasis Area and Severity index</w:t>
            </w:r>
            <w:r>
              <w:t xml:space="preserve">); PASI75 улучшение PASI на ≥ 75%; </w:t>
            </w:r>
            <w:r w:rsidRPr="00E71658">
              <w:rPr>
                <w:vertAlign w:val="superscript"/>
                <w:lang w:val="en-US"/>
              </w:rPr>
              <w:t>a</w:t>
            </w:r>
            <w:r w:rsidRPr="003451D5">
              <w:t xml:space="preserve"> </w:t>
            </w:r>
            <w:r>
              <w:t>–</w:t>
            </w:r>
            <w:r w:rsidRPr="003451D5">
              <w:t xml:space="preserve"> </w:t>
            </w:r>
            <w:r>
              <w:t>для пациентов с исходным значением</w:t>
            </w:r>
            <w:r w:rsidRPr="003451D5">
              <w:t xml:space="preserve"> &gt; 0</w:t>
            </w:r>
            <w:r>
              <w:t xml:space="preserve">; </w:t>
            </w:r>
            <w:r>
              <w:rPr>
                <w:vertAlign w:val="superscript"/>
                <w:lang w:val="en-US"/>
              </w:rPr>
              <w:t>b</w:t>
            </w:r>
            <w:r>
              <w:t xml:space="preserve"> –</w:t>
            </w:r>
            <w:r w:rsidRPr="003451D5">
              <w:t xml:space="preserve"> </w:t>
            </w:r>
            <w:r>
              <w:t xml:space="preserve">для пациентов с исходным значением пораженной площади поверхности тела </w:t>
            </w:r>
            <w:r w:rsidRPr="00A10095">
              <w:t xml:space="preserve">≥ 3% </w:t>
            </w:r>
            <w:r>
              <w:t>и</w:t>
            </w:r>
            <w:r w:rsidRPr="00A10095">
              <w:t xml:space="preserve"> PASI &gt; 0</w:t>
            </w:r>
            <w:r>
              <w:t xml:space="preserve">; </w:t>
            </w:r>
            <w:r w:rsidRPr="000D3C53">
              <w:t>*</w:t>
            </w:r>
            <w:r>
              <w:t xml:space="preserve"> – статистически значимые различия при сравнении со значением у пациентов из группы плацебо, </w:t>
            </w:r>
            <w:r w:rsidRPr="000D3C53">
              <w:t>p</w:t>
            </w:r>
            <w:r>
              <w:t xml:space="preserve"> </w:t>
            </w:r>
            <w:r w:rsidRPr="000D3C53">
              <w:t>≤</w:t>
            </w:r>
            <w:r>
              <w:t xml:space="preserve"> </w:t>
            </w:r>
            <w:r w:rsidRPr="000D3C53">
              <w:t>0</w:t>
            </w:r>
            <w:r>
              <w:t>,</w:t>
            </w:r>
            <w:r w:rsidRPr="000D3C53">
              <w:t xml:space="preserve">05; ** </w:t>
            </w:r>
            <w:r>
              <w:t xml:space="preserve">– статистически значимые различия при сравнении со значением у пациентов из группы плацебо, </w:t>
            </w:r>
            <w:r w:rsidRPr="000D3C53">
              <w:t>p</w:t>
            </w:r>
            <w:r>
              <w:t xml:space="preserve"> </w:t>
            </w:r>
            <w:r w:rsidRPr="000D3C53">
              <w:t>&lt;</w:t>
            </w:r>
            <w:r>
              <w:t xml:space="preserve"> </w:t>
            </w:r>
            <w:r w:rsidRPr="000D3C53">
              <w:t>0</w:t>
            </w:r>
            <w:r>
              <w:t>,</w:t>
            </w:r>
            <w:r w:rsidRPr="000D3C53">
              <w:t xml:space="preserve">001; *** </w:t>
            </w:r>
            <w:r>
              <w:t xml:space="preserve">– статистически значимые различия при сравнении со значением у пациентов из группы плацебо, </w:t>
            </w:r>
            <w:r w:rsidRPr="000D3C53">
              <w:t>p</w:t>
            </w:r>
            <w:r>
              <w:t xml:space="preserve"> </w:t>
            </w:r>
            <w:r w:rsidRPr="000D3C53">
              <w:t>&lt;</w:t>
            </w:r>
            <w:r>
              <w:t xml:space="preserve"> </w:t>
            </w:r>
            <w:r w:rsidRPr="000D3C53">
              <w:t>0</w:t>
            </w:r>
            <w:r>
              <w:t>,</w:t>
            </w:r>
            <w:r w:rsidRPr="000D3C53">
              <w:t>0001</w:t>
            </w:r>
            <w:r>
              <w:t>; нп – не применимо.</w:t>
            </w:r>
          </w:p>
        </w:tc>
      </w:tr>
    </w:tbl>
    <w:p w14:paraId="37428535" w14:textId="77777777" w:rsidR="00AA4185" w:rsidRDefault="00AA4185" w:rsidP="00AA4185">
      <w:pPr>
        <w:pStyle w:val="SDText"/>
        <w:spacing w:after="0"/>
      </w:pPr>
    </w:p>
    <w:p w14:paraId="2EB16D93" w14:textId="4894B8DB" w:rsidR="00AE6BF8" w:rsidRDefault="00AE6BF8" w:rsidP="00AA4185">
      <w:pPr>
        <w:pStyle w:val="SDText"/>
        <w:spacing w:after="0"/>
      </w:pPr>
      <w:r>
        <w:t>Возраст, пол, раса, исходная активность заболевания и подтип псориатического артрита не оказывали эффекта в отношении ответа на тофацитиниб</w:t>
      </w:r>
      <w:r w:rsidR="00B858C1">
        <w:t>.</w:t>
      </w:r>
      <w:r w:rsidR="00B858C1" w:rsidRPr="00B858C1">
        <w:t xml:space="preserve"> </w:t>
      </w:r>
      <w:r w:rsidR="00977E95">
        <w:t>Минимальная активность заболевания была достигнута у 2</w:t>
      </w:r>
      <w:r w:rsidR="00091344">
        <w:t>2</w:t>
      </w:r>
      <w:r w:rsidR="00977E95">
        <w:t>,</w:t>
      </w:r>
      <w:r w:rsidR="00091344">
        <w:t xml:space="preserve">9 </w:t>
      </w:r>
      <w:r w:rsidR="00977E95">
        <w:t xml:space="preserve">и </w:t>
      </w:r>
      <w:r w:rsidR="00091344">
        <w:t>14</w:t>
      </w:r>
      <w:r w:rsidR="00977E95">
        <w:t>,</w:t>
      </w:r>
      <w:r w:rsidR="00091344">
        <w:t>5</w:t>
      </w:r>
      <w:r w:rsidR="00977E95">
        <w:t xml:space="preserve">% пациентов на фоне терапии тофацитинибом в дозе 5 мг два раза в день и плацебо соответственно. </w:t>
      </w:r>
      <w:r w:rsidR="00B858C1">
        <w:t>Разность показателя у пациентов, получавших тофацитиниб в дозе 5 мг два раза в день или плацебо</w:t>
      </w:r>
      <w:r w:rsidR="00B40F82">
        <w:t>,</w:t>
      </w:r>
      <w:r w:rsidR="00BE259D">
        <w:t xml:space="preserve"> не достигала статистической значимости и</w:t>
      </w:r>
      <w:r w:rsidR="00B858C1">
        <w:t xml:space="preserve"> составила</w:t>
      </w:r>
      <w:r>
        <w:t xml:space="preserve"> </w:t>
      </w:r>
      <w:r w:rsidR="000A17BF" w:rsidRPr="000A17BF">
        <w:t>8</w:t>
      </w:r>
      <w:r w:rsidR="000A17BF">
        <w:t>,</w:t>
      </w:r>
      <w:r w:rsidR="000A17BF" w:rsidRPr="000A17BF">
        <w:t xml:space="preserve">4% </w:t>
      </w:r>
      <w:r w:rsidR="000A17BF">
        <w:t>(</w:t>
      </w:r>
      <w:r w:rsidR="000A17BF" w:rsidRPr="000A17BF">
        <w:t xml:space="preserve">95% </w:t>
      </w:r>
      <w:r w:rsidR="000A17BF">
        <w:t>ДИ</w:t>
      </w:r>
      <w:r w:rsidR="000A17BF" w:rsidRPr="000A17BF">
        <w:t>: -1</w:t>
      </w:r>
      <w:r w:rsidR="000A17BF">
        <w:t>,</w:t>
      </w:r>
      <w:r w:rsidR="000A17BF" w:rsidRPr="000A17BF">
        <w:t>0, 17</w:t>
      </w:r>
      <w:r w:rsidR="000A17BF">
        <w:t>,</w:t>
      </w:r>
      <w:r w:rsidR="000A17BF" w:rsidRPr="000A17BF">
        <w:t>8</w:t>
      </w:r>
      <w:r w:rsidR="000A17BF">
        <w:t>) через 3 мес.</w:t>
      </w:r>
      <w:r w:rsidR="000A17BF" w:rsidRPr="000A17BF">
        <w:t xml:space="preserve"> </w:t>
      </w:r>
      <w:r w:rsidR="00C07867">
        <w:t>Улучшение физического функционирования от исходного уровня через 3 мес. согласно HAQ-DI у пациентов, получающих тофацитиниб в дозе 5 мг два раза в день, было статистически значимо (p ≤ 0,05) более выражено, чем на фоне применения плацебо. Доля ответивших на терапию по HAQ-DI (снижение по сравнению с исходным уровнем ≥ 0,35) через 3 мес. составила 50% у пациентов, получавших тофацитиниб в дозе 5 мг два раза в день</w:t>
      </w:r>
      <w:r w:rsidR="00B40F82">
        <w:t>,</w:t>
      </w:r>
      <w:r w:rsidR="00956ECF">
        <w:t xml:space="preserve"> и</w:t>
      </w:r>
      <w:r w:rsidR="00C07867">
        <w:t xml:space="preserve"> </w:t>
      </w:r>
      <w:r w:rsidR="0089798E">
        <w:t>28</w:t>
      </w:r>
      <w:r w:rsidR="00C07867">
        <w:t xml:space="preserve">% у пациентов, получавших плацебо. У пациентов, получавших тофацитиниб в дозе 5 мг два раза в день, продемонстрировали более выраженное улучшение по сравнению с исходным уровнем, чем у больных из группы плацебо в домене физического функционирования SF-36v2, </w:t>
      </w:r>
      <w:r w:rsidR="00B40F82">
        <w:t xml:space="preserve">по </w:t>
      </w:r>
      <w:r w:rsidR="00C07867">
        <w:t>показателю физического компонента SF-36v2 и по FACIT-F через 3 мес. (р ≤ 0,05). Улучшения по сравнению с исходным уровнем</w:t>
      </w:r>
      <w:r w:rsidR="00B40F82">
        <w:t>,</w:t>
      </w:r>
      <w:r w:rsidR="00C07867">
        <w:t xml:space="preserve"> согласно SF-36v2 и FACIT-F</w:t>
      </w:r>
      <w:r w:rsidR="00B40F82">
        <w:t>,</w:t>
      </w:r>
      <w:r w:rsidR="00C07867">
        <w:t xml:space="preserve"> сохранялись в течение 12 мес. У пациентов, получавших тофацитиниб в дозе 5 мг два раза в день, продемонстрировали более выраженное уменьшение боли при артрите по 100-мм ВАШ от исходного уровня на 2 неделе (первая временная точка оценки после исходной) и в течение 3 мес. по сравнению с плацебо (p ≤ 0,05) </w:t>
      </w:r>
      <w:r>
        <w:fldChar w:fldCharType="begin"/>
      </w:r>
      <w:r w:rsidR="008D5290">
        <w:instrText xml:space="preserve"> ADDIN ZOTERO_ITEM CSL_CITATION {"citationID":"DM2gS4BK","properties":{"formattedCitation":"[24]","plainCitation":"[24]","noteIndex":0},"citationItems":[{"id":87800,"uris":["http://zotero.org/groups/4742804/items/TPCQ89X9"],"itemData":{"id":87800,"type":"webpage","title":"Xeljanz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0C848247" w14:textId="629BCC89" w:rsidR="004E1679" w:rsidRDefault="004E1679" w:rsidP="004E1679">
      <w:pPr>
        <w:pStyle w:val="SDText"/>
        <w:spacing w:after="0"/>
      </w:pPr>
      <w:r>
        <w:t xml:space="preserve">В исследовании OPAL BROADEN прогрессирование структурного повреждения суставов оценивали рентгенологически, используя модифицированный ван дер Хейде mTSS и долю пациентов с рентгенографическим прогрессированием (увеличение mTSS по сравнению с исходным уровнем </w:t>
      </w:r>
      <w:r w:rsidR="0024391D">
        <w:t xml:space="preserve">на </w:t>
      </w:r>
      <w:r w:rsidR="00420AF1" w:rsidRPr="00420AF1">
        <w:rPr>
          <w:rFonts w:cs="Times New Roman"/>
        </w:rPr>
        <w:t>&gt;</w:t>
      </w:r>
      <w:r>
        <w:t xml:space="preserve"> 0,5) оценивали на 12 мес. На 12 мес</w:t>
      </w:r>
      <w:r w:rsidR="0024391D">
        <w:t>.</w:t>
      </w:r>
      <w:r>
        <w:t xml:space="preserve"> 96 и 98% пациентов получали тофацитиниб в дозе 5 мг </w:t>
      </w:r>
      <w:r w:rsidR="0024391D">
        <w:t>2</w:t>
      </w:r>
      <w:r>
        <w:t xml:space="preserve"> раза в день и адалимумаб в дозе 40 мг подкожно каждые 2 нед</w:t>
      </w:r>
      <w:r w:rsidR="0024391D">
        <w:t>ели</w:t>
      </w:r>
      <w:r>
        <w:t xml:space="preserve"> соответственно, </w:t>
      </w:r>
      <w:r w:rsidR="00420AF1">
        <w:t xml:space="preserve">не отмечали </w:t>
      </w:r>
      <w:r>
        <w:t>рентгенологическ</w:t>
      </w:r>
      <w:r w:rsidR="00420AF1">
        <w:t>ую</w:t>
      </w:r>
      <w:r>
        <w:t xml:space="preserve"> прогресси</w:t>
      </w:r>
      <w:r w:rsidR="00420AF1">
        <w:t>ю заболевания</w:t>
      </w:r>
      <w:r>
        <w:t xml:space="preserve"> (увеличение mTSS от исходного уровня меньше или равно 0,5)</w:t>
      </w:r>
      <w:r w:rsidR="00420AF1" w:rsidRPr="00420AF1">
        <w:t xml:space="preserve"> </w:t>
      </w:r>
      <w:r w:rsidR="00420AF1">
        <w:fldChar w:fldCharType="begin"/>
      </w:r>
      <w:r w:rsidR="00420AF1">
        <w:instrText xml:space="preserve"> ADDIN ZOTERO_ITEM CSL_CITATION {"citationID":"DM2gS4BK","properties":{"formattedCitation":"[24]","plainCitation":"[24]","noteIndex":0},"citationItems":[{"id":87800,"uris":["http://zotero.org/groups/4742804/items/TPCQ89X9"],"itemData":{"id":87800,"type":"webpage","title":"Xeljanz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20AF1">
        <w:fldChar w:fldCharType="separate"/>
      </w:r>
      <w:r w:rsidR="00420AF1">
        <w:rPr>
          <w:rFonts w:cs="Times New Roman"/>
        </w:rPr>
        <w:t>[2</w:t>
      </w:r>
      <w:r w:rsidR="00420AF1" w:rsidRPr="008D5290">
        <w:rPr>
          <w:rFonts w:cs="Times New Roman"/>
        </w:rPr>
        <w:t>]</w:t>
      </w:r>
      <w:r w:rsidR="00420AF1">
        <w:fldChar w:fldCharType="end"/>
      </w:r>
      <w:r>
        <w:t>.</w:t>
      </w:r>
    </w:p>
    <w:p w14:paraId="47A82A1D" w14:textId="6B9A2ECD" w:rsidR="00AA4185" w:rsidRPr="00C13EBE" w:rsidRDefault="00070F72" w:rsidP="00070F72">
      <w:pPr>
        <w:pStyle w:val="SDText"/>
        <w:spacing w:after="0"/>
      </w:pPr>
      <w:r>
        <w:t>Улучшение физического функционирования определяли с помощью HAQ-DI. Для пациентов, получающих тофацитиниб</w:t>
      </w:r>
      <w:r w:rsidRPr="00070F72">
        <w:t xml:space="preserve"> </w:t>
      </w:r>
      <w:r>
        <w:t xml:space="preserve">5 мг два раза в день, через 3 мес. продемонстрировали более выраженное улучшение (p ≤ 0,05) показателя физического функционирования от исходного уровня, по сравнению со значением показателя на фоне приема </w:t>
      </w:r>
      <w:r w:rsidRPr="00C13EBE">
        <w:t>плацебо</w:t>
      </w:r>
      <w:r w:rsidR="00DC0700" w:rsidRPr="00C13EBE">
        <w:t xml:space="preserve"> (</w:t>
      </w:r>
      <w:r w:rsidR="00DC0700" w:rsidRPr="00C13EBE">
        <w:fldChar w:fldCharType="begin"/>
      </w:r>
      <w:r w:rsidR="00DC0700" w:rsidRPr="00C13EBE">
        <w:instrText xml:space="preserve"> REF _Ref121141594 \h </w:instrText>
      </w:r>
      <w:r w:rsidR="00E421A2" w:rsidRPr="00C13EBE">
        <w:instrText xml:space="preserve"> \* MERGEFORMAT </w:instrText>
      </w:r>
      <w:r w:rsidR="00DC0700" w:rsidRPr="00C13EBE">
        <w:fldChar w:fldCharType="separate"/>
      </w:r>
      <w:r w:rsidR="00383E6F" w:rsidRPr="00C13EBE">
        <w:rPr>
          <w:bCs/>
        </w:rPr>
        <w:t xml:space="preserve">Таблица </w:t>
      </w:r>
      <w:r w:rsidR="00383E6F" w:rsidRPr="00C13EBE">
        <w:rPr>
          <w:bCs/>
          <w:noProof/>
        </w:rPr>
        <w:t>4</w:t>
      </w:r>
      <w:r w:rsidR="00383E6F" w:rsidRPr="00C13EBE">
        <w:rPr>
          <w:bCs/>
        </w:rPr>
        <w:noBreakHyphen/>
      </w:r>
      <w:r w:rsidR="00383E6F" w:rsidRPr="00C13EBE">
        <w:rPr>
          <w:bCs/>
          <w:noProof/>
        </w:rPr>
        <w:t>11</w:t>
      </w:r>
      <w:r w:rsidR="00DC0700" w:rsidRPr="00C13EBE">
        <w:fldChar w:fldCharType="end"/>
      </w:r>
      <w:r w:rsidR="00DC0700" w:rsidRPr="00C13EBE">
        <w:t>)</w:t>
      </w:r>
      <w:r w:rsidRPr="00C13EBE">
        <w:t xml:space="preserve"> </w:t>
      </w:r>
      <w:r w:rsidRPr="00C13EBE">
        <w:fldChar w:fldCharType="begin"/>
      </w:r>
      <w:r w:rsidRPr="00C13EBE">
        <w:instrText xml:space="preserve"> ADDIN ZOTERO_ITEM CSL_CITATION {"citationID":"DM2gS4BK","properties":{"formattedCitation":"[24]","plainCitation":"[24]","noteIndex":0},"citationItems":[{"id":87800,"uris":["http://zotero.org/groups/4742804/items/TPCQ89X9"],"itemData":{"id":87800,"type":"webpage","title":"Xeljanz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Pr="00C13EBE">
        <w:fldChar w:fldCharType="separate"/>
      </w:r>
      <w:r w:rsidRPr="00C13EBE">
        <w:rPr>
          <w:rFonts w:cs="Times New Roman"/>
        </w:rPr>
        <w:t>[2]</w:t>
      </w:r>
      <w:r w:rsidRPr="00C13EBE">
        <w:fldChar w:fldCharType="end"/>
      </w:r>
      <w:r w:rsidRPr="00C13EBE">
        <w:t>.</w:t>
      </w:r>
    </w:p>
    <w:p w14:paraId="5FF2BD32" w14:textId="77777777" w:rsidR="00791E09" w:rsidRDefault="00791E09" w:rsidP="00E421A2">
      <w:pPr>
        <w:pStyle w:val="SDText"/>
        <w:spacing w:after="0"/>
        <w:ind w:firstLine="0"/>
        <w:rPr>
          <w:b/>
          <w:bCs/>
        </w:rPr>
        <w:sectPr w:rsidR="00791E09" w:rsidSect="00C13EBE">
          <w:pgSz w:w="11906" w:h="16838"/>
          <w:pgMar w:top="703" w:right="850" w:bottom="1134" w:left="1701" w:header="709" w:footer="708" w:gutter="0"/>
          <w:cols w:space="708"/>
          <w:docGrid w:linePitch="360"/>
        </w:sectPr>
      </w:pPr>
      <w:bookmarkStart w:id="239" w:name="_Ref121141594"/>
    </w:p>
    <w:p w14:paraId="2371B580" w14:textId="4461331D" w:rsidR="00070F72" w:rsidRDefault="002207A1" w:rsidP="00E421A2">
      <w:pPr>
        <w:pStyle w:val="SDText"/>
        <w:spacing w:after="0"/>
        <w:ind w:firstLine="0"/>
      </w:pPr>
      <w:r w:rsidRPr="006A3E57">
        <w:rPr>
          <w:b/>
          <w:bCs/>
        </w:rPr>
        <w:lastRenderedPageBreak/>
        <w:t xml:space="preserve">Таблица </w:t>
      </w:r>
      <w:r w:rsidR="00652269" w:rsidRPr="006A3E57">
        <w:rPr>
          <w:b/>
          <w:bCs/>
        </w:rPr>
        <w:fldChar w:fldCharType="begin"/>
      </w:r>
      <w:r w:rsidR="00652269" w:rsidRPr="006A3E57">
        <w:rPr>
          <w:b/>
          <w:bCs/>
        </w:rPr>
        <w:instrText xml:space="preserve"> STYLEREF 1 \s </w:instrText>
      </w:r>
      <w:r w:rsidR="00652269" w:rsidRPr="006A3E57">
        <w:rPr>
          <w:b/>
          <w:bCs/>
        </w:rPr>
        <w:fldChar w:fldCharType="separate"/>
      </w:r>
      <w:r w:rsidR="00383E6F">
        <w:rPr>
          <w:b/>
          <w:bCs/>
          <w:noProof/>
        </w:rPr>
        <w:t>4</w:t>
      </w:r>
      <w:r w:rsidR="00652269" w:rsidRPr="006A3E57">
        <w:rPr>
          <w:b/>
          <w:bCs/>
        </w:rPr>
        <w:fldChar w:fldCharType="end"/>
      </w:r>
      <w:r w:rsidR="00652269" w:rsidRPr="006A3E57">
        <w:rPr>
          <w:b/>
          <w:bCs/>
        </w:rPr>
        <w:noBreakHyphen/>
      </w:r>
      <w:r w:rsidR="00652269" w:rsidRPr="006A3E57">
        <w:rPr>
          <w:b/>
          <w:bCs/>
        </w:rPr>
        <w:fldChar w:fldCharType="begin"/>
      </w:r>
      <w:r w:rsidR="00652269" w:rsidRPr="006A3E57">
        <w:rPr>
          <w:b/>
          <w:bCs/>
        </w:rPr>
        <w:instrText xml:space="preserve"> SEQ Таблица \* ARABIC \s 1 </w:instrText>
      </w:r>
      <w:r w:rsidR="00652269" w:rsidRPr="006A3E57">
        <w:rPr>
          <w:b/>
          <w:bCs/>
        </w:rPr>
        <w:fldChar w:fldCharType="separate"/>
      </w:r>
      <w:r w:rsidR="00383E6F">
        <w:rPr>
          <w:b/>
          <w:bCs/>
          <w:noProof/>
        </w:rPr>
        <w:t>11</w:t>
      </w:r>
      <w:r w:rsidR="00652269" w:rsidRPr="006A3E57">
        <w:rPr>
          <w:b/>
          <w:bCs/>
        </w:rPr>
        <w:fldChar w:fldCharType="end"/>
      </w:r>
      <w:bookmarkEnd w:id="239"/>
      <w:r w:rsidR="006A3E57">
        <w:t>.</w:t>
      </w:r>
      <w:r>
        <w:t xml:space="preserve"> Изменение от исходного значения </w:t>
      </w:r>
      <w:r w:rsidRPr="002207A1">
        <w:t>HAQ-DI</w:t>
      </w:r>
      <w:r>
        <w:t xml:space="preserve"> в исследованиях с участием пациентов с псориатическим артритом </w:t>
      </w:r>
      <w:r w:rsidR="000B4B6F">
        <w:t>OPAL BROADEN и OPAL BEYOND</w:t>
      </w:r>
      <w:r w:rsidR="00B102E5">
        <w:t>.</w:t>
      </w:r>
    </w:p>
    <w:tbl>
      <w:tblPr>
        <w:tblStyle w:val="a4"/>
        <w:tblW w:w="0" w:type="auto"/>
        <w:tblInd w:w="108" w:type="dxa"/>
        <w:tblLayout w:type="fixed"/>
        <w:tblLook w:val="04A0" w:firstRow="1" w:lastRow="0" w:firstColumn="1" w:lastColumn="0" w:noHBand="0" w:noVBand="1"/>
      </w:tblPr>
      <w:tblGrid>
        <w:gridCol w:w="1406"/>
        <w:gridCol w:w="1519"/>
        <w:gridCol w:w="1712"/>
        <w:gridCol w:w="1595"/>
        <w:gridCol w:w="1519"/>
        <w:gridCol w:w="1605"/>
      </w:tblGrid>
      <w:tr w:rsidR="00DC6D16" w14:paraId="20EEEA23" w14:textId="77777777" w:rsidTr="00106BDD">
        <w:trPr>
          <w:tblHeader/>
        </w:trPr>
        <w:tc>
          <w:tcPr>
            <w:tcW w:w="1406" w:type="dxa"/>
            <w:vMerge w:val="restart"/>
            <w:shd w:val="clear" w:color="auto" w:fill="D9D9D9" w:themeFill="background1" w:themeFillShade="D9"/>
            <w:vAlign w:val="center"/>
          </w:tcPr>
          <w:p w14:paraId="2EDA18B8" w14:textId="7B60108F" w:rsidR="00DC6D16" w:rsidRPr="00734E73" w:rsidRDefault="00DC6D16" w:rsidP="00C13EBE">
            <w:pPr>
              <w:ind w:firstLine="0"/>
              <w:jc w:val="center"/>
              <w:rPr>
                <w:b/>
                <w:bCs/>
              </w:rPr>
            </w:pPr>
            <w:r>
              <w:rPr>
                <w:b/>
                <w:bCs/>
              </w:rPr>
              <w:t>Группа терапии</w:t>
            </w:r>
          </w:p>
        </w:tc>
        <w:tc>
          <w:tcPr>
            <w:tcW w:w="7950" w:type="dxa"/>
            <w:gridSpan w:val="5"/>
            <w:shd w:val="clear" w:color="auto" w:fill="D9D9D9" w:themeFill="background1" w:themeFillShade="D9"/>
            <w:vAlign w:val="center"/>
          </w:tcPr>
          <w:p w14:paraId="148DD9F3" w14:textId="2C51647F" w:rsidR="00DC6D16" w:rsidRPr="00734E73" w:rsidRDefault="00DC6D16" w:rsidP="00734E73">
            <w:pPr>
              <w:ind w:firstLine="0"/>
              <w:jc w:val="center"/>
              <w:rPr>
                <w:b/>
                <w:bCs/>
              </w:rPr>
            </w:pPr>
            <w:r>
              <w:rPr>
                <w:b/>
                <w:bCs/>
              </w:rPr>
              <w:t xml:space="preserve">Изменение от исходного значения </w:t>
            </w:r>
            <w:r w:rsidRPr="00734E73">
              <w:rPr>
                <w:b/>
                <w:bCs/>
              </w:rPr>
              <w:t>HAQ-DI</w:t>
            </w:r>
            <w:r>
              <w:rPr>
                <w:b/>
                <w:bCs/>
              </w:rPr>
              <w:t>, определенное методом наименьших квадратов</w:t>
            </w:r>
          </w:p>
        </w:tc>
      </w:tr>
      <w:tr w:rsidR="00DC6D16" w14:paraId="5F354848" w14:textId="77777777" w:rsidTr="00106BDD">
        <w:trPr>
          <w:trHeight w:val="140"/>
          <w:tblHeader/>
        </w:trPr>
        <w:tc>
          <w:tcPr>
            <w:tcW w:w="1406" w:type="dxa"/>
            <w:vMerge/>
            <w:shd w:val="clear" w:color="auto" w:fill="D9D9D9" w:themeFill="background1" w:themeFillShade="D9"/>
            <w:vAlign w:val="center"/>
          </w:tcPr>
          <w:p w14:paraId="089916A9" w14:textId="5E72F64F" w:rsidR="00DC6D16" w:rsidRPr="00734E73" w:rsidRDefault="00DC6D16" w:rsidP="00C065A0">
            <w:pPr>
              <w:jc w:val="center"/>
              <w:rPr>
                <w:b/>
                <w:bCs/>
              </w:rPr>
            </w:pPr>
          </w:p>
        </w:tc>
        <w:tc>
          <w:tcPr>
            <w:tcW w:w="4826" w:type="dxa"/>
            <w:gridSpan w:val="3"/>
            <w:shd w:val="clear" w:color="auto" w:fill="D9D9D9" w:themeFill="background1" w:themeFillShade="D9"/>
            <w:vAlign w:val="center"/>
          </w:tcPr>
          <w:p w14:paraId="7D7365E7" w14:textId="55B8E714" w:rsidR="00DC6D16" w:rsidRPr="00B1257F" w:rsidRDefault="00DC6D16" w:rsidP="00734E73">
            <w:pPr>
              <w:ind w:firstLine="0"/>
              <w:jc w:val="center"/>
              <w:rPr>
                <w:b/>
                <w:bCs/>
              </w:rPr>
            </w:pPr>
            <w:r>
              <w:rPr>
                <w:b/>
                <w:bCs/>
              </w:rPr>
              <w:t>Пациенты с недостаточным ответом на тсБМАРП</w:t>
            </w:r>
            <w:r w:rsidRPr="00B1257F">
              <w:rPr>
                <w:b/>
                <w:bCs/>
              </w:rPr>
              <w:t xml:space="preserve"> (</w:t>
            </w:r>
            <w:r>
              <w:rPr>
                <w:b/>
                <w:bCs/>
              </w:rPr>
              <w:t xml:space="preserve">ранее не получавшие ингибиторы </w:t>
            </w:r>
            <w:r w:rsidRPr="00B1257F">
              <w:rPr>
                <w:b/>
                <w:bCs/>
              </w:rPr>
              <w:t>TNF-α</w:t>
            </w:r>
            <w:r>
              <w:rPr>
                <w:b/>
                <w:bCs/>
              </w:rPr>
              <w:t>)</w:t>
            </w:r>
            <w:r w:rsidRPr="00512082">
              <w:rPr>
                <w:b/>
                <w:bCs/>
                <w:vertAlign w:val="superscript"/>
              </w:rPr>
              <w:t>a</w:t>
            </w:r>
          </w:p>
        </w:tc>
        <w:tc>
          <w:tcPr>
            <w:tcW w:w="3124" w:type="dxa"/>
            <w:gridSpan w:val="2"/>
            <w:shd w:val="clear" w:color="auto" w:fill="D9D9D9" w:themeFill="background1" w:themeFillShade="D9"/>
            <w:vAlign w:val="center"/>
          </w:tcPr>
          <w:p w14:paraId="169EA539" w14:textId="3185D856" w:rsidR="00DC6D16" w:rsidRPr="00512082" w:rsidRDefault="00DC6D16" w:rsidP="00734E73">
            <w:pPr>
              <w:ind w:firstLine="0"/>
              <w:jc w:val="center"/>
              <w:rPr>
                <w:b/>
                <w:bCs/>
                <w:vertAlign w:val="superscript"/>
              </w:rPr>
            </w:pPr>
            <w:r>
              <w:rPr>
                <w:b/>
                <w:bCs/>
              </w:rPr>
              <w:t xml:space="preserve">Пациенты с недостаточным ответом на ингибиторы </w:t>
            </w:r>
            <w:r>
              <w:rPr>
                <w:b/>
                <w:bCs/>
                <w:lang w:val="en-US"/>
              </w:rPr>
              <w:t>TNF</w:t>
            </w:r>
            <w:r w:rsidRPr="00B1257F">
              <w:rPr>
                <w:b/>
                <w:bCs/>
              </w:rPr>
              <w:t>-</w:t>
            </w:r>
            <w:r>
              <w:rPr>
                <w:rFonts w:cs="Times New Roman"/>
                <w:b/>
                <w:bCs/>
              </w:rPr>
              <w:t>α</w:t>
            </w:r>
            <w:r>
              <w:rPr>
                <w:rFonts w:cs="Times New Roman"/>
                <w:b/>
                <w:bCs/>
                <w:vertAlign w:val="superscript"/>
                <w:lang w:val="en-US"/>
              </w:rPr>
              <w:t>b</w:t>
            </w:r>
          </w:p>
        </w:tc>
      </w:tr>
      <w:tr w:rsidR="00DC6D16" w14:paraId="4E3B4714" w14:textId="77777777" w:rsidTr="00106BDD">
        <w:trPr>
          <w:trHeight w:val="105"/>
          <w:tblHeader/>
        </w:trPr>
        <w:tc>
          <w:tcPr>
            <w:tcW w:w="1406" w:type="dxa"/>
            <w:vMerge/>
            <w:shd w:val="clear" w:color="auto" w:fill="D9D9D9" w:themeFill="background1" w:themeFillShade="D9"/>
            <w:vAlign w:val="center"/>
          </w:tcPr>
          <w:p w14:paraId="1750547A" w14:textId="0425D07B" w:rsidR="00DC6D16" w:rsidRPr="00734E73" w:rsidRDefault="00DC6D16" w:rsidP="00C065A0">
            <w:pPr>
              <w:jc w:val="center"/>
              <w:rPr>
                <w:b/>
                <w:bCs/>
              </w:rPr>
            </w:pPr>
          </w:p>
        </w:tc>
        <w:tc>
          <w:tcPr>
            <w:tcW w:w="4826" w:type="dxa"/>
            <w:gridSpan w:val="3"/>
            <w:shd w:val="clear" w:color="auto" w:fill="D9D9D9" w:themeFill="background1" w:themeFillShade="D9"/>
            <w:vAlign w:val="center"/>
          </w:tcPr>
          <w:p w14:paraId="7FC5875C" w14:textId="7ED14F85" w:rsidR="00DC6D16" w:rsidRPr="00734E73" w:rsidRDefault="00DC6D16" w:rsidP="00734E73">
            <w:pPr>
              <w:ind w:firstLine="0"/>
              <w:jc w:val="center"/>
              <w:rPr>
                <w:b/>
                <w:bCs/>
              </w:rPr>
            </w:pPr>
            <w:r w:rsidRPr="00B51053">
              <w:rPr>
                <w:b/>
                <w:bCs/>
              </w:rPr>
              <w:t>OPAL BROADEN</w:t>
            </w:r>
          </w:p>
        </w:tc>
        <w:tc>
          <w:tcPr>
            <w:tcW w:w="3124" w:type="dxa"/>
            <w:gridSpan w:val="2"/>
            <w:shd w:val="clear" w:color="auto" w:fill="D9D9D9" w:themeFill="background1" w:themeFillShade="D9"/>
            <w:vAlign w:val="center"/>
          </w:tcPr>
          <w:p w14:paraId="57E6D9B8" w14:textId="34EF5F66" w:rsidR="00DC6D16" w:rsidRPr="00734E73" w:rsidRDefault="00DC6D16" w:rsidP="00734E73">
            <w:pPr>
              <w:ind w:firstLine="0"/>
              <w:jc w:val="center"/>
              <w:rPr>
                <w:b/>
                <w:bCs/>
              </w:rPr>
            </w:pPr>
            <w:r w:rsidRPr="00B51053">
              <w:rPr>
                <w:b/>
                <w:bCs/>
              </w:rPr>
              <w:t>OPAL BEYOND</w:t>
            </w:r>
          </w:p>
        </w:tc>
      </w:tr>
      <w:tr w:rsidR="00DC6D16" w14:paraId="20C5EEF0" w14:textId="77777777" w:rsidTr="00106BDD">
        <w:trPr>
          <w:tblHeader/>
        </w:trPr>
        <w:tc>
          <w:tcPr>
            <w:tcW w:w="1406" w:type="dxa"/>
            <w:vMerge/>
            <w:shd w:val="clear" w:color="auto" w:fill="D9D9D9" w:themeFill="background1" w:themeFillShade="D9"/>
            <w:vAlign w:val="center"/>
          </w:tcPr>
          <w:p w14:paraId="2834CF42" w14:textId="21F0419D" w:rsidR="00DC6D16" w:rsidRPr="00734E73" w:rsidRDefault="00DC6D16" w:rsidP="00C065A0">
            <w:pPr>
              <w:ind w:firstLine="0"/>
              <w:jc w:val="center"/>
              <w:rPr>
                <w:b/>
                <w:bCs/>
              </w:rPr>
            </w:pPr>
          </w:p>
        </w:tc>
        <w:tc>
          <w:tcPr>
            <w:tcW w:w="1519" w:type="dxa"/>
            <w:shd w:val="clear" w:color="auto" w:fill="D9D9D9" w:themeFill="background1" w:themeFillShade="D9"/>
            <w:vAlign w:val="center"/>
          </w:tcPr>
          <w:p w14:paraId="0CFFDA0A" w14:textId="11F1D3B1" w:rsidR="00DC6D16" w:rsidRPr="00734E73" w:rsidRDefault="00DC6D16" w:rsidP="00C065A0">
            <w:pPr>
              <w:ind w:firstLine="0"/>
              <w:jc w:val="center"/>
              <w:rPr>
                <w:b/>
                <w:bCs/>
              </w:rPr>
            </w:pPr>
            <w:r>
              <w:rPr>
                <w:b/>
                <w:bCs/>
              </w:rPr>
              <w:t>Плацебо</w:t>
            </w:r>
          </w:p>
        </w:tc>
        <w:tc>
          <w:tcPr>
            <w:tcW w:w="1712" w:type="dxa"/>
            <w:shd w:val="clear" w:color="auto" w:fill="D9D9D9" w:themeFill="background1" w:themeFillShade="D9"/>
            <w:vAlign w:val="center"/>
          </w:tcPr>
          <w:p w14:paraId="4E5C7AEA" w14:textId="2B305C23" w:rsidR="00DC6D16" w:rsidRPr="00734E73" w:rsidRDefault="00DC6D16" w:rsidP="00C065A0">
            <w:pPr>
              <w:ind w:firstLine="0"/>
              <w:jc w:val="center"/>
              <w:rPr>
                <w:b/>
                <w:bCs/>
              </w:rPr>
            </w:pPr>
            <w:r>
              <w:rPr>
                <w:b/>
                <w:bCs/>
              </w:rPr>
              <w:t>Тофацитиниб 5 мг 2 раза в день</w:t>
            </w:r>
          </w:p>
        </w:tc>
        <w:tc>
          <w:tcPr>
            <w:tcW w:w="1595" w:type="dxa"/>
            <w:shd w:val="clear" w:color="auto" w:fill="D9D9D9" w:themeFill="background1" w:themeFillShade="D9"/>
            <w:vAlign w:val="center"/>
          </w:tcPr>
          <w:p w14:paraId="4CE42F36" w14:textId="229824F5" w:rsidR="00DC6D16" w:rsidRPr="00734E73" w:rsidRDefault="00DC6D16" w:rsidP="00C065A0">
            <w:pPr>
              <w:ind w:firstLine="0"/>
              <w:jc w:val="center"/>
              <w:rPr>
                <w:b/>
                <w:bCs/>
              </w:rPr>
            </w:pPr>
            <w:r>
              <w:rPr>
                <w:b/>
                <w:bCs/>
              </w:rPr>
              <w:t>Адалимумаб 40 подкожно каждые 2 недели</w:t>
            </w:r>
          </w:p>
        </w:tc>
        <w:tc>
          <w:tcPr>
            <w:tcW w:w="1519" w:type="dxa"/>
            <w:shd w:val="clear" w:color="auto" w:fill="D9D9D9" w:themeFill="background1" w:themeFillShade="D9"/>
            <w:vAlign w:val="center"/>
          </w:tcPr>
          <w:p w14:paraId="68F3FA0A" w14:textId="128AB7B3" w:rsidR="00DC6D16" w:rsidRPr="00734E73" w:rsidRDefault="00DC6D16" w:rsidP="00C065A0">
            <w:pPr>
              <w:ind w:firstLine="0"/>
              <w:jc w:val="center"/>
              <w:rPr>
                <w:b/>
                <w:bCs/>
              </w:rPr>
            </w:pPr>
            <w:r>
              <w:rPr>
                <w:b/>
                <w:bCs/>
              </w:rPr>
              <w:t>Плацебо</w:t>
            </w:r>
          </w:p>
        </w:tc>
        <w:tc>
          <w:tcPr>
            <w:tcW w:w="1605" w:type="dxa"/>
            <w:shd w:val="clear" w:color="auto" w:fill="D9D9D9" w:themeFill="background1" w:themeFillShade="D9"/>
            <w:vAlign w:val="center"/>
          </w:tcPr>
          <w:p w14:paraId="72CC4026" w14:textId="6EB61090" w:rsidR="00DC6D16" w:rsidRPr="00734E73" w:rsidRDefault="00DC6D16" w:rsidP="00C065A0">
            <w:pPr>
              <w:ind w:firstLine="0"/>
              <w:jc w:val="center"/>
              <w:rPr>
                <w:b/>
                <w:bCs/>
              </w:rPr>
            </w:pPr>
            <w:r>
              <w:rPr>
                <w:b/>
                <w:bCs/>
              </w:rPr>
              <w:t>Тофацитиниб 5 мг 2 раза в день</w:t>
            </w:r>
          </w:p>
        </w:tc>
      </w:tr>
      <w:tr w:rsidR="006E7B8F" w14:paraId="638553E7" w14:textId="77777777" w:rsidTr="00E421A2">
        <w:tc>
          <w:tcPr>
            <w:tcW w:w="1406" w:type="dxa"/>
          </w:tcPr>
          <w:p w14:paraId="646C2DD9" w14:textId="30CECBCA" w:rsidR="006E7B8F" w:rsidRPr="00C065A0" w:rsidRDefault="00C065A0" w:rsidP="000B4B6F">
            <w:pPr>
              <w:ind w:firstLine="0"/>
              <w:rPr>
                <w:lang w:val="en-US"/>
              </w:rPr>
            </w:pPr>
            <w:r>
              <w:rPr>
                <w:lang w:val="en-US"/>
              </w:rPr>
              <w:t>N</w:t>
            </w:r>
          </w:p>
        </w:tc>
        <w:tc>
          <w:tcPr>
            <w:tcW w:w="1519" w:type="dxa"/>
          </w:tcPr>
          <w:p w14:paraId="2527D4AC" w14:textId="2330CCD0" w:rsidR="006E7B8F" w:rsidRDefault="007512F8" w:rsidP="00E421A2">
            <w:pPr>
              <w:ind w:firstLine="0"/>
              <w:jc w:val="center"/>
            </w:pPr>
            <w:r w:rsidRPr="007512F8">
              <w:t>104</w:t>
            </w:r>
          </w:p>
        </w:tc>
        <w:tc>
          <w:tcPr>
            <w:tcW w:w="1712" w:type="dxa"/>
          </w:tcPr>
          <w:p w14:paraId="0416811C" w14:textId="162FF271" w:rsidR="006E7B8F" w:rsidRDefault="002A4486" w:rsidP="00E421A2">
            <w:pPr>
              <w:ind w:firstLine="0"/>
              <w:jc w:val="center"/>
            </w:pPr>
            <w:r w:rsidRPr="002A4486">
              <w:t>107</w:t>
            </w:r>
          </w:p>
        </w:tc>
        <w:tc>
          <w:tcPr>
            <w:tcW w:w="1595" w:type="dxa"/>
          </w:tcPr>
          <w:p w14:paraId="6E63D29B" w14:textId="1CE01FFA" w:rsidR="006E7B8F" w:rsidRDefault="00BC776C" w:rsidP="00E421A2">
            <w:pPr>
              <w:ind w:firstLine="0"/>
              <w:jc w:val="center"/>
            </w:pPr>
            <w:r w:rsidRPr="00BC776C">
              <w:t>106</w:t>
            </w:r>
          </w:p>
        </w:tc>
        <w:tc>
          <w:tcPr>
            <w:tcW w:w="1519" w:type="dxa"/>
          </w:tcPr>
          <w:p w14:paraId="0693706F" w14:textId="43506239" w:rsidR="006E7B8F" w:rsidRDefault="00064B08" w:rsidP="00E421A2">
            <w:pPr>
              <w:ind w:firstLine="0"/>
              <w:jc w:val="center"/>
            </w:pPr>
            <w:r w:rsidRPr="00064B08">
              <w:t>131</w:t>
            </w:r>
          </w:p>
        </w:tc>
        <w:tc>
          <w:tcPr>
            <w:tcW w:w="1605" w:type="dxa"/>
          </w:tcPr>
          <w:p w14:paraId="614D09FF" w14:textId="0A2E3997" w:rsidR="006E7B8F" w:rsidRDefault="00064B08" w:rsidP="00E421A2">
            <w:pPr>
              <w:ind w:firstLine="0"/>
              <w:jc w:val="center"/>
            </w:pPr>
            <w:r w:rsidRPr="00064B08">
              <w:t>129</w:t>
            </w:r>
          </w:p>
        </w:tc>
      </w:tr>
      <w:tr w:rsidR="006E7B8F" w14:paraId="47F7A707" w14:textId="77777777" w:rsidTr="00E421A2">
        <w:tc>
          <w:tcPr>
            <w:tcW w:w="1406" w:type="dxa"/>
          </w:tcPr>
          <w:p w14:paraId="0CF09DB6" w14:textId="4B119378" w:rsidR="006E7B8F" w:rsidRPr="007512F8" w:rsidRDefault="007512F8" w:rsidP="000B4B6F">
            <w:pPr>
              <w:ind w:firstLine="0"/>
            </w:pPr>
            <w:r>
              <w:t>Мес. 3</w:t>
            </w:r>
          </w:p>
        </w:tc>
        <w:tc>
          <w:tcPr>
            <w:tcW w:w="1519" w:type="dxa"/>
          </w:tcPr>
          <w:p w14:paraId="05DF0BF6" w14:textId="422284DB" w:rsidR="006E7B8F" w:rsidRDefault="007512F8" w:rsidP="00E421A2">
            <w:pPr>
              <w:ind w:firstLine="0"/>
              <w:jc w:val="center"/>
            </w:pPr>
            <w:r w:rsidRPr="007512F8">
              <w:t>-0</w:t>
            </w:r>
            <w:r>
              <w:t>,</w:t>
            </w:r>
            <w:r w:rsidRPr="007512F8">
              <w:t>18</w:t>
            </w:r>
          </w:p>
        </w:tc>
        <w:tc>
          <w:tcPr>
            <w:tcW w:w="1712" w:type="dxa"/>
          </w:tcPr>
          <w:p w14:paraId="58DAA2B9" w14:textId="18B81349" w:rsidR="006E7B8F" w:rsidRDefault="002A4486" w:rsidP="00E421A2">
            <w:pPr>
              <w:ind w:firstLine="0"/>
              <w:jc w:val="center"/>
            </w:pPr>
            <w:r w:rsidRPr="002A4486">
              <w:t>-0</w:t>
            </w:r>
            <w:r>
              <w:t>,</w:t>
            </w:r>
            <w:r w:rsidRPr="002A4486">
              <w:t>35</w:t>
            </w:r>
            <w:r w:rsidRPr="002A4486">
              <w:rPr>
                <w:vertAlign w:val="superscript"/>
              </w:rPr>
              <w:t>c,</w:t>
            </w:r>
            <w:r w:rsidRPr="002A4486">
              <w:t>*</w:t>
            </w:r>
          </w:p>
        </w:tc>
        <w:tc>
          <w:tcPr>
            <w:tcW w:w="1595" w:type="dxa"/>
          </w:tcPr>
          <w:p w14:paraId="56A1828D" w14:textId="3EC48C80" w:rsidR="006E7B8F" w:rsidRDefault="00BC776C" w:rsidP="00E421A2">
            <w:pPr>
              <w:ind w:firstLine="0"/>
              <w:jc w:val="center"/>
            </w:pPr>
            <w:r w:rsidRPr="00BC776C">
              <w:t>-0</w:t>
            </w:r>
            <w:r>
              <w:t>,</w:t>
            </w:r>
            <w:r w:rsidRPr="00BC776C">
              <w:t>38*</w:t>
            </w:r>
          </w:p>
        </w:tc>
        <w:tc>
          <w:tcPr>
            <w:tcW w:w="1519" w:type="dxa"/>
          </w:tcPr>
          <w:p w14:paraId="0D1A31EB" w14:textId="0E52DA51" w:rsidR="006E7B8F" w:rsidRDefault="00064B08" w:rsidP="00E421A2">
            <w:pPr>
              <w:ind w:firstLine="0"/>
              <w:jc w:val="center"/>
            </w:pPr>
            <w:r w:rsidRPr="00064B08">
              <w:t>-0</w:t>
            </w:r>
            <w:r>
              <w:t>,</w:t>
            </w:r>
            <w:r w:rsidRPr="00064B08">
              <w:t>14</w:t>
            </w:r>
          </w:p>
        </w:tc>
        <w:tc>
          <w:tcPr>
            <w:tcW w:w="1605" w:type="dxa"/>
          </w:tcPr>
          <w:p w14:paraId="40F9BDEB" w14:textId="13F8CB87" w:rsidR="006E7B8F" w:rsidRDefault="00647ED4" w:rsidP="00E421A2">
            <w:pPr>
              <w:ind w:firstLine="0"/>
              <w:jc w:val="center"/>
            </w:pPr>
            <w:r w:rsidRPr="00647ED4">
              <w:t>-0</w:t>
            </w:r>
            <w:r>
              <w:t>,</w:t>
            </w:r>
            <w:r w:rsidRPr="00647ED4">
              <w:t>39</w:t>
            </w:r>
            <w:r w:rsidRPr="00647ED4">
              <w:rPr>
                <w:vertAlign w:val="superscript"/>
              </w:rPr>
              <w:t>c,</w:t>
            </w:r>
            <w:r w:rsidRPr="00647ED4">
              <w:t>***</w:t>
            </w:r>
          </w:p>
        </w:tc>
      </w:tr>
      <w:tr w:rsidR="007512F8" w14:paraId="4B2319DD" w14:textId="77777777" w:rsidTr="00E421A2">
        <w:tc>
          <w:tcPr>
            <w:tcW w:w="1406" w:type="dxa"/>
          </w:tcPr>
          <w:p w14:paraId="02CF9C67" w14:textId="368B7858" w:rsidR="007512F8" w:rsidRDefault="007512F8" w:rsidP="007512F8">
            <w:pPr>
              <w:ind w:firstLine="0"/>
            </w:pPr>
            <w:r w:rsidRPr="00E90DE4">
              <w:t xml:space="preserve">Мес. </w:t>
            </w:r>
            <w:r>
              <w:t>6</w:t>
            </w:r>
          </w:p>
        </w:tc>
        <w:tc>
          <w:tcPr>
            <w:tcW w:w="1519" w:type="dxa"/>
          </w:tcPr>
          <w:p w14:paraId="71AFBB43" w14:textId="72EB8453" w:rsidR="007512F8" w:rsidRDefault="007512F8" w:rsidP="00E421A2">
            <w:pPr>
              <w:ind w:firstLine="0"/>
              <w:jc w:val="center"/>
            </w:pPr>
            <w:r>
              <w:t>н/п</w:t>
            </w:r>
          </w:p>
        </w:tc>
        <w:tc>
          <w:tcPr>
            <w:tcW w:w="1712" w:type="dxa"/>
          </w:tcPr>
          <w:p w14:paraId="7DAFDABF" w14:textId="26109C38" w:rsidR="007512F8" w:rsidRDefault="002A4486" w:rsidP="00E421A2">
            <w:pPr>
              <w:ind w:firstLine="0"/>
              <w:jc w:val="center"/>
            </w:pPr>
            <w:r w:rsidRPr="002A4486">
              <w:t>-0</w:t>
            </w:r>
            <w:r>
              <w:t>,</w:t>
            </w:r>
            <w:r w:rsidRPr="002A4486">
              <w:t>45</w:t>
            </w:r>
          </w:p>
        </w:tc>
        <w:tc>
          <w:tcPr>
            <w:tcW w:w="1595" w:type="dxa"/>
          </w:tcPr>
          <w:p w14:paraId="5E67C766" w14:textId="1007CD3E" w:rsidR="007512F8" w:rsidRDefault="00BC776C" w:rsidP="00E421A2">
            <w:pPr>
              <w:ind w:firstLine="0"/>
              <w:jc w:val="center"/>
            </w:pPr>
            <w:r w:rsidRPr="00BC776C">
              <w:t>-0</w:t>
            </w:r>
            <w:r>
              <w:t>,</w:t>
            </w:r>
            <w:r w:rsidRPr="00BC776C">
              <w:t>43</w:t>
            </w:r>
          </w:p>
        </w:tc>
        <w:tc>
          <w:tcPr>
            <w:tcW w:w="1519" w:type="dxa"/>
          </w:tcPr>
          <w:p w14:paraId="4E597131" w14:textId="68C3B82D" w:rsidR="007512F8" w:rsidRDefault="00064B08" w:rsidP="00E421A2">
            <w:pPr>
              <w:ind w:firstLine="0"/>
              <w:jc w:val="center"/>
            </w:pPr>
            <w:r>
              <w:t>н/п</w:t>
            </w:r>
          </w:p>
        </w:tc>
        <w:tc>
          <w:tcPr>
            <w:tcW w:w="1605" w:type="dxa"/>
          </w:tcPr>
          <w:p w14:paraId="5858362C" w14:textId="3F7BEB70" w:rsidR="007512F8" w:rsidRDefault="00647ED4" w:rsidP="00E421A2">
            <w:pPr>
              <w:ind w:firstLine="0"/>
              <w:jc w:val="center"/>
            </w:pPr>
            <w:r w:rsidRPr="00647ED4">
              <w:t>-0</w:t>
            </w:r>
            <w:r>
              <w:t>,</w:t>
            </w:r>
            <w:r w:rsidRPr="00647ED4">
              <w:t>44</w:t>
            </w:r>
          </w:p>
        </w:tc>
      </w:tr>
      <w:tr w:rsidR="007512F8" w14:paraId="54671A69" w14:textId="77777777" w:rsidTr="00E421A2">
        <w:tc>
          <w:tcPr>
            <w:tcW w:w="1406" w:type="dxa"/>
          </w:tcPr>
          <w:p w14:paraId="1CA411FF" w14:textId="0489B720" w:rsidR="007512F8" w:rsidRDefault="007512F8" w:rsidP="007512F8">
            <w:pPr>
              <w:ind w:firstLine="0"/>
            </w:pPr>
            <w:r w:rsidRPr="00E90DE4">
              <w:t xml:space="preserve">Мес. </w:t>
            </w:r>
            <w:r>
              <w:t>12</w:t>
            </w:r>
          </w:p>
        </w:tc>
        <w:tc>
          <w:tcPr>
            <w:tcW w:w="1519" w:type="dxa"/>
          </w:tcPr>
          <w:p w14:paraId="5D532DE4" w14:textId="51AA24FB" w:rsidR="007512F8" w:rsidRDefault="007512F8" w:rsidP="00E421A2">
            <w:pPr>
              <w:ind w:firstLine="0"/>
              <w:jc w:val="center"/>
            </w:pPr>
            <w:r>
              <w:t>н/п</w:t>
            </w:r>
          </w:p>
        </w:tc>
        <w:tc>
          <w:tcPr>
            <w:tcW w:w="1712" w:type="dxa"/>
          </w:tcPr>
          <w:p w14:paraId="5B145DE4" w14:textId="74185C49" w:rsidR="007512F8" w:rsidRDefault="00BC776C" w:rsidP="00E421A2">
            <w:pPr>
              <w:ind w:firstLine="0"/>
              <w:jc w:val="center"/>
            </w:pPr>
            <w:r w:rsidRPr="00BC776C">
              <w:t>-0</w:t>
            </w:r>
            <w:r>
              <w:t>,</w:t>
            </w:r>
            <w:r w:rsidRPr="00BC776C">
              <w:t>54</w:t>
            </w:r>
          </w:p>
        </w:tc>
        <w:tc>
          <w:tcPr>
            <w:tcW w:w="1595" w:type="dxa"/>
          </w:tcPr>
          <w:p w14:paraId="3762DA68" w14:textId="027BDE10" w:rsidR="007512F8" w:rsidRDefault="00BC776C" w:rsidP="00E421A2">
            <w:pPr>
              <w:ind w:firstLine="0"/>
              <w:jc w:val="center"/>
            </w:pPr>
            <w:r w:rsidRPr="00BC776C">
              <w:t>-0</w:t>
            </w:r>
            <w:r>
              <w:t>,</w:t>
            </w:r>
            <w:r w:rsidRPr="00BC776C">
              <w:t>45</w:t>
            </w:r>
          </w:p>
        </w:tc>
        <w:tc>
          <w:tcPr>
            <w:tcW w:w="1519" w:type="dxa"/>
          </w:tcPr>
          <w:p w14:paraId="666194CE" w14:textId="7412F5ED" w:rsidR="007512F8" w:rsidRDefault="00064B08" w:rsidP="00E421A2">
            <w:pPr>
              <w:ind w:firstLine="0"/>
              <w:jc w:val="center"/>
            </w:pPr>
            <w:r>
              <w:t>н/п</w:t>
            </w:r>
          </w:p>
        </w:tc>
        <w:tc>
          <w:tcPr>
            <w:tcW w:w="1605" w:type="dxa"/>
          </w:tcPr>
          <w:p w14:paraId="4896988C" w14:textId="3C9F047E" w:rsidR="007512F8" w:rsidRDefault="00647ED4" w:rsidP="00E421A2">
            <w:pPr>
              <w:ind w:firstLine="0"/>
              <w:jc w:val="center"/>
            </w:pPr>
            <w:r>
              <w:t>н/п</w:t>
            </w:r>
          </w:p>
        </w:tc>
      </w:tr>
      <w:tr w:rsidR="00E421A2" w14:paraId="2099CD0C" w14:textId="77777777" w:rsidTr="000D3CC1">
        <w:tc>
          <w:tcPr>
            <w:tcW w:w="9356" w:type="dxa"/>
            <w:gridSpan w:val="6"/>
          </w:tcPr>
          <w:p w14:paraId="34A914A5" w14:textId="7D810531" w:rsidR="00E421A2" w:rsidRPr="00E421A2" w:rsidRDefault="00E421A2" w:rsidP="00E421A2">
            <w:pPr>
              <w:pStyle w:val="SDcomments"/>
              <w:ind w:firstLine="0"/>
              <w:rPr>
                <w:b/>
                <w:iCs/>
              </w:rPr>
            </w:pPr>
            <w:r w:rsidRPr="00E421A2">
              <w:rPr>
                <w:b/>
                <w:iCs/>
              </w:rPr>
              <w:t xml:space="preserve">Примечание: </w:t>
            </w:r>
          </w:p>
          <w:p w14:paraId="7E29B1E0" w14:textId="5935CE46" w:rsidR="00E421A2" w:rsidRDefault="00E421A2" w:rsidP="00E421A2">
            <w:pPr>
              <w:pStyle w:val="SDcomments"/>
              <w:ind w:firstLine="0"/>
            </w:pPr>
            <w:r w:rsidRPr="00DA4AE7">
              <w:t>HAQ-DI</w:t>
            </w:r>
            <w:r>
              <w:t xml:space="preserve"> – и</w:t>
            </w:r>
            <w:r w:rsidRPr="00DA4AE7">
              <w:t>ндекс инвалидизации по опроснику оценки состояния здоровья (Health Assessment Questionnaire-Disability Index)</w:t>
            </w:r>
            <w:r>
              <w:t xml:space="preserve">; тсБМАРП – традиционные синтетические болезньмодифицирующие препараты; </w:t>
            </w:r>
            <w:r w:rsidRPr="00DA4AE7">
              <w:t>TNF-α</w:t>
            </w:r>
            <w:r>
              <w:t xml:space="preserve"> – фактор некроза опухоли-</w:t>
            </w:r>
            <w:r>
              <w:rPr>
                <w:rFonts w:cs="Times New Roman"/>
              </w:rPr>
              <w:t>α</w:t>
            </w:r>
            <w:r>
              <w:t xml:space="preserve"> (</w:t>
            </w:r>
            <w:r>
              <w:rPr>
                <w:lang w:val="en-US"/>
              </w:rPr>
              <w:t>tumour</w:t>
            </w:r>
            <w:r w:rsidRPr="00576FC7">
              <w:t xml:space="preserve"> </w:t>
            </w:r>
            <w:r>
              <w:rPr>
                <w:lang w:val="en-US"/>
              </w:rPr>
              <w:t>necrosis</w:t>
            </w:r>
            <w:r w:rsidRPr="00576FC7">
              <w:t xml:space="preserve"> </w:t>
            </w:r>
            <w:r>
              <w:rPr>
                <w:lang w:val="en-US"/>
              </w:rPr>
              <w:t>factor</w:t>
            </w:r>
            <w:r w:rsidRPr="00576FC7">
              <w:t>-</w:t>
            </w:r>
            <w:r>
              <w:rPr>
                <w:rFonts w:cs="Times New Roman"/>
              </w:rPr>
              <w:t>α</w:t>
            </w:r>
            <w:r w:rsidRPr="00576FC7">
              <w:t>)</w:t>
            </w:r>
            <w:r>
              <w:t xml:space="preserve">; </w:t>
            </w:r>
            <w:r w:rsidRPr="00512082">
              <w:rPr>
                <w:vertAlign w:val="superscript"/>
              </w:rPr>
              <w:t>a</w:t>
            </w:r>
            <w:r w:rsidRPr="00512082">
              <w:t xml:space="preserve"> </w:t>
            </w:r>
            <w:r>
              <w:t>–</w:t>
            </w:r>
            <w:r w:rsidRPr="00512082">
              <w:t xml:space="preserve"> </w:t>
            </w:r>
            <w:r>
              <w:t xml:space="preserve">недостаточный ответ на </w:t>
            </w:r>
            <w:r w:rsidRPr="00512082">
              <w:t>тсБМАРП</w:t>
            </w:r>
            <w:r>
              <w:t xml:space="preserve"> в связи с отсутствием эффективности и/или непереносимостью; </w:t>
            </w:r>
            <w:r w:rsidRPr="0085319B">
              <w:rPr>
                <w:vertAlign w:val="superscript"/>
                <w:lang w:val="en-US"/>
              </w:rPr>
              <w:t>b</w:t>
            </w:r>
            <w:r w:rsidRPr="0085319B">
              <w:t xml:space="preserve"> –</w:t>
            </w:r>
            <w:r>
              <w:rPr>
                <w:vertAlign w:val="superscript"/>
              </w:rPr>
              <w:t xml:space="preserve"> </w:t>
            </w:r>
            <w:r>
              <w:t xml:space="preserve">недостаточный ответ на ингибиторы </w:t>
            </w:r>
            <w:r w:rsidRPr="00DA4AE7">
              <w:t>TNF-α</w:t>
            </w:r>
            <w:r>
              <w:t xml:space="preserve"> в связи с отсутствием эффективности и/или непереносимостью; </w:t>
            </w:r>
            <w:r>
              <w:rPr>
                <w:vertAlign w:val="superscript"/>
                <w:lang w:val="en-US"/>
              </w:rPr>
              <w:t>c</w:t>
            </w:r>
            <w:r w:rsidRPr="0085319B">
              <w:t xml:space="preserve"> – </w:t>
            </w:r>
            <w:r>
              <w:t xml:space="preserve">достижение статистической значимости в целом </w:t>
            </w:r>
            <w:r w:rsidRPr="00437DFE">
              <w:t>при p</w:t>
            </w:r>
            <w:r>
              <w:t xml:space="preserve"> </w:t>
            </w:r>
            <w:r w:rsidRPr="00437DFE">
              <w:t xml:space="preserve">≤ 0,05 в соответствии с предварительно определенной процедурой тестирования с </w:t>
            </w:r>
            <w:r>
              <w:t xml:space="preserve">пошаговым </w:t>
            </w:r>
            <w:r w:rsidRPr="00437DFE">
              <w:t>понижением</w:t>
            </w:r>
            <w:r>
              <w:t xml:space="preserve">; </w:t>
            </w:r>
            <w:r w:rsidRPr="00404DFD">
              <w:t xml:space="preserve">* </w:t>
            </w:r>
            <w:r w:rsidRPr="0085319B">
              <w:t>–</w:t>
            </w:r>
            <w:r>
              <w:t xml:space="preserve"> статистически значимые различия</w:t>
            </w:r>
            <w:r w:rsidRPr="00AD25C5">
              <w:t xml:space="preserve"> </w:t>
            </w:r>
            <w:r>
              <w:t>при сравнении показателей на фоне активной терапии или плацебо</w:t>
            </w:r>
            <w:r w:rsidRPr="00404DFD">
              <w:t xml:space="preserve"> </w:t>
            </w:r>
            <w:r>
              <w:t>на 3 мес, номинально</w:t>
            </w:r>
            <w:r w:rsidRPr="00404DFD">
              <w:t xml:space="preserve"> p</w:t>
            </w:r>
            <w:r>
              <w:t xml:space="preserve"> </w:t>
            </w:r>
            <w:r w:rsidRPr="00404DFD">
              <w:t>≤</w:t>
            </w:r>
            <w:r>
              <w:t xml:space="preserve"> </w:t>
            </w:r>
            <w:r w:rsidRPr="00404DFD">
              <w:t>0</w:t>
            </w:r>
            <w:r>
              <w:t>,</w:t>
            </w:r>
            <w:r w:rsidRPr="00404DFD">
              <w:t xml:space="preserve">05; *** </w:t>
            </w:r>
            <w:r w:rsidRPr="0085319B">
              <w:t>–</w:t>
            </w:r>
            <w:r>
              <w:t xml:space="preserve"> статистически значимые различия</w:t>
            </w:r>
            <w:r w:rsidRPr="00AD25C5">
              <w:t xml:space="preserve"> </w:t>
            </w:r>
            <w:r>
              <w:t>при сравнении показателей на фоне активной терапии или плацебо</w:t>
            </w:r>
            <w:r w:rsidRPr="00404DFD">
              <w:t xml:space="preserve"> </w:t>
            </w:r>
            <w:r>
              <w:t>на 3 мес, номинально</w:t>
            </w:r>
            <w:r w:rsidRPr="00404DFD">
              <w:t xml:space="preserve"> p</w:t>
            </w:r>
            <w:r>
              <w:t xml:space="preserve"> </w:t>
            </w:r>
            <w:r w:rsidRPr="00404DFD">
              <w:t>&lt;</w:t>
            </w:r>
            <w:r>
              <w:t xml:space="preserve"> </w:t>
            </w:r>
            <w:r w:rsidRPr="00404DFD">
              <w:t>0</w:t>
            </w:r>
            <w:r>
              <w:t>,</w:t>
            </w:r>
            <w:r w:rsidRPr="00404DFD">
              <w:t>0001.</w:t>
            </w:r>
          </w:p>
        </w:tc>
      </w:tr>
    </w:tbl>
    <w:p w14:paraId="136B1AE3" w14:textId="75970BD7" w:rsidR="00420AF1" w:rsidRDefault="00420AF1" w:rsidP="00AA4185">
      <w:pPr>
        <w:pStyle w:val="SDText"/>
        <w:spacing w:after="0"/>
      </w:pPr>
    </w:p>
    <w:p w14:paraId="3EAE3FC6" w14:textId="694735FA" w:rsidR="00625E3B" w:rsidRDefault="00625E3B" w:rsidP="00625E3B">
      <w:pPr>
        <w:pStyle w:val="SDText"/>
        <w:spacing w:after="0"/>
      </w:pPr>
      <w:r>
        <w:t xml:space="preserve">Доля респондентов </w:t>
      </w:r>
      <w:r w:rsidR="004D3695">
        <w:t xml:space="preserve">при оценке по </w:t>
      </w:r>
      <w:r>
        <w:t>HAQ-DI (ответ определя</w:t>
      </w:r>
      <w:r w:rsidR="004D3695">
        <w:t>ли</w:t>
      </w:r>
      <w:r>
        <w:t xml:space="preserve"> как снижение по сравнению с исходным уровнем </w:t>
      </w:r>
      <w:r w:rsidR="004D3695">
        <w:t xml:space="preserve">на </w:t>
      </w:r>
      <w:r>
        <w:t xml:space="preserve">≥ 0,35) через 3 мес. в исследованиях OPAL BROADEN и OPAL BEYOND </w:t>
      </w:r>
      <w:r w:rsidR="004D3695">
        <w:t>составила</w:t>
      </w:r>
      <w:r>
        <w:t xml:space="preserve"> 53 и 50% соответственно </w:t>
      </w:r>
      <w:r w:rsidR="004D3695">
        <w:t>в группах</w:t>
      </w:r>
      <w:r>
        <w:t xml:space="preserve"> тофацитиниб</w:t>
      </w:r>
      <w:r w:rsidR="004D3695">
        <w:t>а</w:t>
      </w:r>
      <w:r>
        <w:t xml:space="preserve"> в дозе 5 мг </w:t>
      </w:r>
      <w:r w:rsidR="004D3695">
        <w:t>2</w:t>
      </w:r>
      <w:r>
        <w:t xml:space="preserve"> раза в день, 31 и 28% соответственно </w:t>
      </w:r>
      <w:r w:rsidR="004D3695">
        <w:t>в группах</w:t>
      </w:r>
      <w:r>
        <w:t xml:space="preserve"> плацебо, и 53% </w:t>
      </w:r>
      <w:r w:rsidR="004D3695">
        <w:t>в группе</w:t>
      </w:r>
      <w:r>
        <w:t xml:space="preserve"> адалимумаб</w:t>
      </w:r>
      <w:r w:rsidR="004D3695">
        <w:t>а</w:t>
      </w:r>
      <w:r>
        <w:t xml:space="preserve"> в дозе 40 мг подкожно </w:t>
      </w:r>
      <w:r w:rsidR="004D3695">
        <w:t>каждые</w:t>
      </w:r>
      <w:r>
        <w:t xml:space="preserve"> 2 недели (</w:t>
      </w:r>
      <w:r w:rsidR="000B4A7C">
        <w:t xml:space="preserve">только в исслеовании </w:t>
      </w:r>
      <w:r>
        <w:t>OPAL BROADEN)</w:t>
      </w:r>
      <w:r w:rsidR="00B543D0" w:rsidRPr="00B543D0">
        <w:t xml:space="preserve"> </w:t>
      </w:r>
      <w:r w:rsidR="00B543D0">
        <w:fldChar w:fldCharType="begin"/>
      </w:r>
      <w:r w:rsidR="00B543D0">
        <w:instrText xml:space="preserve"> ADDIN ZOTERO_ITEM CSL_CITATION {"citationID":"DM2gS4BK","properties":{"formattedCitation":"[24]","plainCitation":"[24]","noteIndex":0},"citationItems":[{"id":87800,"uris":["http://zotero.org/groups/4742804/items/TPCQ89X9"],"itemData":{"id":87800,"type":"webpage","title":"Xeljanz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B543D0">
        <w:fldChar w:fldCharType="separate"/>
      </w:r>
      <w:r w:rsidR="00B543D0">
        <w:rPr>
          <w:rFonts w:cs="Times New Roman"/>
        </w:rPr>
        <w:t>[2</w:t>
      </w:r>
      <w:r w:rsidR="00B543D0" w:rsidRPr="008D5290">
        <w:rPr>
          <w:rFonts w:cs="Times New Roman"/>
        </w:rPr>
        <w:t>]</w:t>
      </w:r>
      <w:r w:rsidR="00B543D0">
        <w:fldChar w:fldCharType="end"/>
      </w:r>
      <w:r w:rsidR="00B543D0">
        <w:t>.</w:t>
      </w:r>
    </w:p>
    <w:p w14:paraId="4B7A9404" w14:textId="7A167429" w:rsidR="00625E3B" w:rsidRDefault="0082028B" w:rsidP="0082028B">
      <w:pPr>
        <w:pStyle w:val="SDText"/>
        <w:spacing w:after="0"/>
      </w:pPr>
      <w:r>
        <w:t xml:space="preserve">Качество жизни, связанное со здоровьем, оценивали по </w:t>
      </w:r>
      <w:r w:rsidR="000B4A7C">
        <w:t>опроснику</w:t>
      </w:r>
      <w:r>
        <w:t xml:space="preserve"> SF-36v2, у</w:t>
      </w:r>
      <w:r w:rsidR="000B4A7C">
        <w:t>сталость</w:t>
      </w:r>
      <w:r>
        <w:t xml:space="preserve"> оценивали по шкале FACIT-F. </w:t>
      </w:r>
      <w:r w:rsidR="000B4A7C">
        <w:t>Для п</w:t>
      </w:r>
      <w:r>
        <w:t>ациент</w:t>
      </w:r>
      <w:r w:rsidR="000B4A7C">
        <w:t>ов,</w:t>
      </w:r>
      <w:r>
        <w:t xml:space="preserve"> при</w:t>
      </w:r>
      <w:r w:rsidR="000B4A7C">
        <w:t>нимавших</w:t>
      </w:r>
      <w:r>
        <w:t xml:space="preserve"> тофацитиниб в дозе 5 мг </w:t>
      </w:r>
      <w:r w:rsidR="000B4A7C">
        <w:t>2</w:t>
      </w:r>
      <w:r>
        <w:t xml:space="preserve"> раза в день продемонстрировал</w:t>
      </w:r>
      <w:r w:rsidR="000B4A7C">
        <w:t>и</w:t>
      </w:r>
      <w:r>
        <w:t xml:space="preserve"> бол</w:t>
      </w:r>
      <w:r w:rsidR="000B4A7C">
        <w:t>ее выраженное</w:t>
      </w:r>
      <w:r>
        <w:t xml:space="preserve"> улучшение </w:t>
      </w:r>
      <w:r w:rsidR="000B4A7C">
        <w:t>от</w:t>
      </w:r>
      <w:r>
        <w:t xml:space="preserve"> исходн</w:t>
      </w:r>
      <w:r w:rsidR="000B4A7C">
        <w:t>ого</w:t>
      </w:r>
      <w:r>
        <w:t xml:space="preserve"> уровн</w:t>
      </w:r>
      <w:r w:rsidR="000B4A7C">
        <w:t>я</w:t>
      </w:r>
      <w:r>
        <w:t xml:space="preserve"> по сравнению с</w:t>
      </w:r>
      <w:r w:rsidR="000B4A7C">
        <w:t>о значением показателя на фоне приема</w:t>
      </w:r>
      <w:r>
        <w:t xml:space="preserve"> плацебо в домене физического функционирования SF-36v2, </w:t>
      </w:r>
      <w:r w:rsidR="000B4A7C">
        <w:t>по показателю</w:t>
      </w:r>
      <w:r>
        <w:t xml:space="preserve"> физических компонентов SF-36v2 и </w:t>
      </w:r>
      <w:r w:rsidR="00022631">
        <w:t>показателю</w:t>
      </w:r>
      <w:r>
        <w:t xml:space="preserve"> FACIT-F через 3 мес</w:t>
      </w:r>
      <w:r w:rsidR="00022631">
        <w:t>.</w:t>
      </w:r>
      <w:r>
        <w:t xml:space="preserve"> в исследованиях OPAL BROADEN и OPAL BEYOND (номинал</w:t>
      </w:r>
      <w:r w:rsidR="00022631">
        <w:t>ьное</w:t>
      </w:r>
      <w:r>
        <w:t xml:space="preserve"> р</w:t>
      </w:r>
      <w:r w:rsidR="00022631">
        <w:t xml:space="preserve"> </w:t>
      </w:r>
      <w:r>
        <w:t xml:space="preserve">≤ 0,05). Улучшения по сравнению с исходным уровнем </w:t>
      </w:r>
      <w:r w:rsidR="00022631">
        <w:t>согласно оценке по</w:t>
      </w:r>
      <w:r>
        <w:t xml:space="preserve"> SF-36v2 и FACIT-F сохранялись в течение 6 мес</w:t>
      </w:r>
      <w:r w:rsidR="00022631">
        <w:t>.</w:t>
      </w:r>
      <w:r>
        <w:t xml:space="preserve"> (</w:t>
      </w:r>
      <w:r w:rsidR="00022631">
        <w:t xml:space="preserve">исследования </w:t>
      </w:r>
      <w:r w:rsidR="00605BE7" w:rsidRPr="00605BE7">
        <w:t xml:space="preserve">OPAL BROADEN </w:t>
      </w:r>
      <w:r w:rsidR="00ED06A4">
        <w:t>и</w:t>
      </w:r>
      <w:r w:rsidR="00605BE7" w:rsidRPr="00605BE7">
        <w:t xml:space="preserve"> OPAL BEYOND)</w:t>
      </w:r>
      <w:r w:rsidR="00605BE7">
        <w:t xml:space="preserve"> </w:t>
      </w:r>
      <w:r>
        <w:t xml:space="preserve">и </w:t>
      </w:r>
      <w:r w:rsidR="00605BE7">
        <w:t xml:space="preserve">в течение </w:t>
      </w:r>
      <w:r>
        <w:t xml:space="preserve">12 </w:t>
      </w:r>
      <w:r w:rsidR="00605BE7">
        <w:t xml:space="preserve">мес. </w:t>
      </w:r>
      <w:r>
        <w:t>(</w:t>
      </w:r>
      <w:r w:rsidR="00ED06A4">
        <w:t xml:space="preserve">исследование </w:t>
      </w:r>
      <w:r w:rsidR="00605BE7" w:rsidRPr="00605BE7">
        <w:t>OPAL BROADEN</w:t>
      </w:r>
      <w:r>
        <w:t>)</w:t>
      </w:r>
      <w:r w:rsidR="00B543D0" w:rsidRPr="00B543D0">
        <w:t xml:space="preserve"> </w:t>
      </w:r>
      <w:r w:rsidR="00B543D0">
        <w:fldChar w:fldCharType="begin"/>
      </w:r>
      <w:r w:rsidR="00B543D0">
        <w:instrText xml:space="preserve"> ADDIN ZOTERO_ITEM CSL_CITATION {"citationID":"DM2gS4BK","properties":{"formattedCitation":"[24]","plainCitation":"[24]","noteIndex":0},"citationItems":[{"id":87800,"uris":["http://zotero.org/groups/4742804/items/TPCQ89X9"],"itemData":{"id":87800,"type":"webpage","title":"Xeljanz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B543D0">
        <w:fldChar w:fldCharType="separate"/>
      </w:r>
      <w:r w:rsidR="00B543D0">
        <w:rPr>
          <w:rFonts w:cs="Times New Roman"/>
        </w:rPr>
        <w:t>[2</w:t>
      </w:r>
      <w:r w:rsidR="00B543D0" w:rsidRPr="008D5290">
        <w:rPr>
          <w:rFonts w:cs="Times New Roman"/>
        </w:rPr>
        <w:t>]</w:t>
      </w:r>
      <w:r w:rsidR="00B543D0">
        <w:fldChar w:fldCharType="end"/>
      </w:r>
      <w:r w:rsidR="00B543D0">
        <w:t>.</w:t>
      </w:r>
    </w:p>
    <w:p w14:paraId="591DC8A7" w14:textId="0328D974" w:rsidR="0082028B" w:rsidRDefault="00ED06A4" w:rsidP="00B543D0">
      <w:pPr>
        <w:pStyle w:val="SDText"/>
        <w:spacing w:after="0"/>
      </w:pPr>
      <w:r>
        <w:t>Для п</w:t>
      </w:r>
      <w:r w:rsidR="00B543D0">
        <w:t>ациент</w:t>
      </w:r>
      <w:r>
        <w:t>ов</w:t>
      </w:r>
      <w:r w:rsidR="00B543D0">
        <w:t>, получавши</w:t>
      </w:r>
      <w:r>
        <w:t>х</w:t>
      </w:r>
      <w:r w:rsidR="00B543D0">
        <w:t xml:space="preserve"> тофацитиниб в дозе 5 мг два раза в день, продемонстрировали бол</w:t>
      </w:r>
      <w:r>
        <w:t>ее выраженное</w:t>
      </w:r>
      <w:r w:rsidR="00B543D0">
        <w:t xml:space="preserve"> уменьшение </w:t>
      </w:r>
      <w:r>
        <w:t xml:space="preserve">от исходного уровня выраженности </w:t>
      </w:r>
      <w:r w:rsidR="00B543D0">
        <w:t>боли при артрите (</w:t>
      </w:r>
      <w:r>
        <w:t>при определении по</w:t>
      </w:r>
      <w:r w:rsidR="00B543D0">
        <w:t xml:space="preserve"> </w:t>
      </w:r>
      <w:r>
        <w:t>ВАШ</w:t>
      </w:r>
      <w:r w:rsidR="00B543D0">
        <w:t xml:space="preserve"> от 0 до 100) на 2 неделе (первая оценка после исходно</w:t>
      </w:r>
      <w:r w:rsidR="003E666D">
        <w:t>й</w:t>
      </w:r>
      <w:r w:rsidR="00B543D0">
        <w:t xml:space="preserve"> </w:t>
      </w:r>
      <w:r w:rsidR="003E666D">
        <w:t>оценки</w:t>
      </w:r>
      <w:r w:rsidR="00B543D0">
        <w:t>) через 3 мес</w:t>
      </w:r>
      <w:r w:rsidR="003E666D">
        <w:t>.</w:t>
      </w:r>
      <w:r w:rsidR="00B543D0">
        <w:t xml:space="preserve"> по сравнению с плацебо в исследованиях OPAL BROADEN и OPAL BEYOND (номинальное р ≤ 0,05)</w:t>
      </w:r>
      <w:r w:rsidR="00B543D0" w:rsidRPr="00B543D0">
        <w:t xml:space="preserve"> </w:t>
      </w:r>
      <w:r w:rsidR="00B543D0">
        <w:fldChar w:fldCharType="begin"/>
      </w:r>
      <w:r w:rsidR="00B543D0">
        <w:instrText xml:space="preserve"> ADDIN ZOTERO_ITEM CSL_CITATION {"citationID":"DM2gS4BK","properties":{"formattedCitation":"[24]","plainCitation":"[24]","noteIndex":0},"citationItems":[{"id":87800,"uris":["http://zotero.org/groups/4742804/items/TPCQ89X9"],"itemData":{"id":87800,"type":"webpage","title":"Xeljanz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B543D0">
        <w:fldChar w:fldCharType="separate"/>
      </w:r>
      <w:r w:rsidR="00B543D0">
        <w:rPr>
          <w:rFonts w:cs="Times New Roman"/>
        </w:rPr>
        <w:t>[2</w:t>
      </w:r>
      <w:r w:rsidR="00B543D0" w:rsidRPr="008D5290">
        <w:rPr>
          <w:rFonts w:cs="Times New Roman"/>
        </w:rPr>
        <w:t>]</w:t>
      </w:r>
      <w:r w:rsidR="00B543D0">
        <w:fldChar w:fldCharType="end"/>
      </w:r>
      <w:r w:rsidR="00B543D0">
        <w:t>.</w:t>
      </w:r>
    </w:p>
    <w:p w14:paraId="39B70040" w14:textId="77777777" w:rsidR="00B543D0" w:rsidRPr="00A1520C" w:rsidRDefault="00B543D0" w:rsidP="00CE2065">
      <w:pPr>
        <w:pStyle w:val="SDText"/>
        <w:spacing w:after="0"/>
        <w:ind w:firstLine="0"/>
      </w:pPr>
    </w:p>
    <w:p w14:paraId="1C846703" w14:textId="71C39522" w:rsidR="00382C19" w:rsidRPr="00CE2065" w:rsidRDefault="009E14FC" w:rsidP="00CE2065">
      <w:pPr>
        <w:pStyle w:val="5"/>
        <w:numPr>
          <w:ilvl w:val="0"/>
          <w:numId w:val="0"/>
        </w:numPr>
        <w:rPr>
          <w:b/>
          <w:i w:val="0"/>
        </w:rPr>
      </w:pPr>
      <w:r>
        <w:rPr>
          <w:b/>
          <w:i w:val="0"/>
        </w:rPr>
        <w:lastRenderedPageBreak/>
        <w:t xml:space="preserve">4.3.1.2.2. </w:t>
      </w:r>
      <w:r w:rsidR="005F064C" w:rsidRPr="00382C19">
        <w:rPr>
          <w:b/>
          <w:i w:val="0"/>
        </w:rPr>
        <w:t>Таблетки с модифицированным высвобождением, покрытые пленочной оболочкой</w:t>
      </w:r>
    </w:p>
    <w:p w14:paraId="0F3D6A86" w14:textId="77777777" w:rsidR="00E421A2" w:rsidRDefault="00E421A2" w:rsidP="00D22A13">
      <w:pPr>
        <w:pStyle w:val="SDText"/>
        <w:contextualSpacing/>
      </w:pPr>
    </w:p>
    <w:p w14:paraId="704E6FEA" w14:textId="27194373" w:rsidR="002A02F7" w:rsidRDefault="004736E1" w:rsidP="00D22A13">
      <w:pPr>
        <w:pStyle w:val="SDText"/>
        <w:contextualSpacing/>
      </w:pPr>
      <w:r>
        <w:t>На момент написания брошюры исследователя исследований эффективности тофацитиниба в лекарственной форме т</w:t>
      </w:r>
      <w:r w:rsidRPr="00983A92">
        <w:t>аблетки с модифицированным высвобождением, покрытые пленочной оболочкой</w:t>
      </w:r>
      <w:r>
        <w:t>, у пациентов с псориатическим артритом в релевантных источниках литературы не найден</w:t>
      </w:r>
      <w:r w:rsidR="00BC258D">
        <w:t>о</w:t>
      </w:r>
      <w:r>
        <w:t>.</w:t>
      </w:r>
    </w:p>
    <w:p w14:paraId="1478E95A" w14:textId="2FF739A8" w:rsidR="00382C19" w:rsidRDefault="009E14FC" w:rsidP="009E14FC">
      <w:pPr>
        <w:pStyle w:val="4"/>
        <w:numPr>
          <w:ilvl w:val="0"/>
          <w:numId w:val="0"/>
        </w:numPr>
        <w:ind w:left="864" w:hanging="864"/>
        <w:contextualSpacing/>
      </w:pPr>
      <w:bookmarkStart w:id="240" w:name="_Toc121592603"/>
      <w:r>
        <w:t xml:space="preserve">4.3.1.3. </w:t>
      </w:r>
      <w:r w:rsidR="00845DD5">
        <w:t>Анкилозирующий спондилоартрит</w:t>
      </w:r>
      <w:bookmarkEnd w:id="240"/>
    </w:p>
    <w:p w14:paraId="6405AED9" w14:textId="77777777" w:rsidR="00D22A13" w:rsidRDefault="00D22A13" w:rsidP="00D22A13">
      <w:pPr>
        <w:contextualSpacing/>
      </w:pPr>
    </w:p>
    <w:p w14:paraId="204013E9" w14:textId="77777777" w:rsidR="00615081" w:rsidRDefault="004D5436" w:rsidP="00D22A13">
      <w:pPr>
        <w:contextualSpacing/>
      </w:pPr>
      <w:r>
        <w:t xml:space="preserve">Программа клинических исследований тофацитиниба </w:t>
      </w:r>
      <w:r w:rsidR="00821BDD">
        <w:t xml:space="preserve">при АС </w:t>
      </w:r>
      <w:r>
        <w:t>для оценки эффективности и безопасности включала од</w:t>
      </w:r>
      <w:r w:rsidR="002C7FB9">
        <w:t>но</w:t>
      </w:r>
      <w:r>
        <w:t xml:space="preserve"> плацебо-контролируемое подтверждающее исследование (исследование AS-I). Исследование AS-I было рандомизированным, двойным слепым, плацебо-контролируемое 48-недельн</w:t>
      </w:r>
      <w:r w:rsidR="00F653BC">
        <w:t>ым</w:t>
      </w:r>
      <w:r>
        <w:t xml:space="preserve"> с участием 269 взрослых пациентов с </w:t>
      </w:r>
      <w:r w:rsidR="008E5533">
        <w:t xml:space="preserve">неадекватным </w:t>
      </w:r>
      <w:r w:rsidR="00F653BC">
        <w:t>ответом</w:t>
      </w:r>
      <w:r>
        <w:t xml:space="preserve"> </w:t>
      </w:r>
      <w:r w:rsidR="008E5533">
        <w:t xml:space="preserve">(недостаточной эффективностью </w:t>
      </w:r>
      <w:r>
        <w:t>или непереносимость</w:t>
      </w:r>
      <w:r w:rsidR="007F47D9">
        <w:t>ю</w:t>
      </w:r>
      <w:r w:rsidR="006120A8">
        <w:t>)</w:t>
      </w:r>
      <w:r>
        <w:t xml:space="preserve"> как минимум на 2 НПВП. Пациенты </w:t>
      </w:r>
      <w:r w:rsidR="007F47D9">
        <w:t>получали</w:t>
      </w:r>
      <w:r>
        <w:t xml:space="preserve"> тофацитинибом </w:t>
      </w:r>
      <w:r w:rsidR="007F47D9">
        <w:t>в дозе</w:t>
      </w:r>
      <w:r>
        <w:t xml:space="preserve"> 5 мг </w:t>
      </w:r>
      <w:r w:rsidR="007F47D9">
        <w:t>2</w:t>
      </w:r>
      <w:r>
        <w:t xml:space="preserve"> раза в день или плацебо в течение 16 недель </w:t>
      </w:r>
      <w:r w:rsidR="008A22F2">
        <w:t xml:space="preserve">двойной </w:t>
      </w:r>
      <w:r>
        <w:t>слепо</w:t>
      </w:r>
      <w:r w:rsidR="008A22F2">
        <w:t>й</w:t>
      </w:r>
      <w:r>
        <w:t xml:space="preserve"> </w:t>
      </w:r>
      <w:r w:rsidR="007F47D9">
        <w:t>части</w:t>
      </w:r>
      <w:r>
        <w:t xml:space="preserve">, а затем все были переведены на тофацитиниб в дозе 5 мг два раза в день в течение дополнительных 32 недель. У пациентов было активное заболевание в соответствии с </w:t>
      </w:r>
      <w:r w:rsidR="008A22F2">
        <w:t xml:space="preserve">Батским </w:t>
      </w:r>
      <w:r>
        <w:t>индексом активности анкилозирующего спондилита (</w:t>
      </w:r>
      <w:r w:rsidR="00D54A5A" w:rsidRPr="00D54A5A">
        <w:t>Bath Ankylosing Spondylitis Disease Activity Index</w:t>
      </w:r>
      <w:r w:rsidR="00D54A5A">
        <w:t xml:space="preserve">, </w:t>
      </w:r>
      <w:r>
        <w:t xml:space="preserve">BASDAI) и </w:t>
      </w:r>
      <w:r w:rsidR="00D54A5A">
        <w:t xml:space="preserve">выраженностью </w:t>
      </w:r>
      <w:r>
        <w:t>бол</w:t>
      </w:r>
      <w:r w:rsidR="00D54A5A">
        <w:t>и</w:t>
      </w:r>
      <w:r>
        <w:t xml:space="preserve"> в спине</w:t>
      </w:r>
      <w:r w:rsidR="00E3302E" w:rsidRPr="00E3302E">
        <w:t xml:space="preserve"> </w:t>
      </w:r>
      <w:r w:rsidR="00E3302E">
        <w:t xml:space="preserve">(вопрос 2 BASDAI) </w:t>
      </w:r>
      <w:r w:rsidR="00D54A5A">
        <w:t>выш</w:t>
      </w:r>
      <w:r w:rsidR="00E3302E">
        <w:t>е или равн</w:t>
      </w:r>
      <w:r w:rsidR="00D54A5A">
        <w:t>ым</w:t>
      </w:r>
      <w:r w:rsidR="00E3302E">
        <w:t xml:space="preserve"> 4, несмотря на прием НПВП, </w:t>
      </w:r>
      <w:r w:rsidR="00D54A5A">
        <w:t>ГКС</w:t>
      </w:r>
      <w:r w:rsidR="00E3302E">
        <w:t xml:space="preserve"> или Б</w:t>
      </w:r>
      <w:r w:rsidR="003021D1">
        <w:t>МАРП</w:t>
      </w:r>
      <w:r w:rsidR="006A5816">
        <w:t>.</w:t>
      </w:r>
      <w:r w:rsidR="00E3302E">
        <w:t xml:space="preserve"> </w:t>
      </w:r>
    </w:p>
    <w:p w14:paraId="721C21AA" w14:textId="61B60DE6" w:rsidR="00845DD5" w:rsidRDefault="006A5816" w:rsidP="00D22A13">
      <w:pPr>
        <w:contextualSpacing/>
      </w:pPr>
      <w:r>
        <w:t xml:space="preserve">Приблизительно 7% и 21% пациентов использовали сопутствующую терапию метотрексатом или сульфасалазином соответственно от исходного уровня до 16 недели. Пациентам разрешалось получать стабильные низкие дозы пероральных </w:t>
      </w:r>
      <w:r w:rsidR="00E84038">
        <w:t>ГКС</w:t>
      </w:r>
      <w:r>
        <w:t xml:space="preserve"> (получили 8,6%) и/или НПВП (получили 81,8%) от исходного уровня до 48 недели. </w:t>
      </w:r>
      <w:r w:rsidR="00DA52E2">
        <w:t xml:space="preserve">Неадекватный ответ на </w:t>
      </w:r>
      <w:r w:rsidR="00821BDD">
        <w:t>один</w:t>
      </w:r>
      <w:r w:rsidR="00DA52E2">
        <w:t xml:space="preserve"> или </w:t>
      </w:r>
      <w:r w:rsidR="00821BDD">
        <w:t>два</w:t>
      </w:r>
      <w:r w:rsidR="00DA52E2">
        <w:t xml:space="preserve"> блокатора </w:t>
      </w:r>
      <w:r w:rsidR="006120A8">
        <w:rPr>
          <w:lang w:val="en-US"/>
        </w:rPr>
        <w:t>TNF</w:t>
      </w:r>
      <w:r w:rsidR="006120A8" w:rsidRPr="006120A8">
        <w:t>-</w:t>
      </w:r>
      <w:r w:rsidR="006120A8">
        <w:rPr>
          <w:rFonts w:cs="Times New Roman"/>
        </w:rPr>
        <w:t>α</w:t>
      </w:r>
      <w:r w:rsidR="00DA52E2">
        <w:t xml:space="preserve"> </w:t>
      </w:r>
      <w:r w:rsidR="006120A8">
        <w:t xml:space="preserve">имели </w:t>
      </w:r>
      <w:r w:rsidR="006120A8" w:rsidRPr="006120A8">
        <w:t>22</w:t>
      </w:r>
      <w:r w:rsidR="006120A8" w:rsidRPr="00BD0279">
        <w:t>%</w:t>
      </w:r>
      <w:r>
        <w:t xml:space="preserve"> пациент</w:t>
      </w:r>
      <w:r w:rsidR="00ED7415">
        <w:t>ов</w:t>
      </w:r>
      <w:r>
        <w:t xml:space="preserve">. Первичной конечной точкой была доля пациентов, достигших </w:t>
      </w:r>
      <w:r w:rsidR="00CD11EE">
        <w:t xml:space="preserve">20% </w:t>
      </w:r>
      <w:r w:rsidR="00116B1D">
        <w:t>улучшения</w:t>
      </w:r>
      <w:r>
        <w:t xml:space="preserve"> </w:t>
      </w:r>
      <w:r w:rsidR="00CD11EE">
        <w:t xml:space="preserve">по </w:t>
      </w:r>
      <w:r w:rsidR="00BD0279" w:rsidRPr="00BD0279">
        <w:t>Шкал</w:t>
      </w:r>
      <w:r w:rsidR="00CD11EE">
        <w:t>е</w:t>
      </w:r>
      <w:r w:rsidR="00BD0279" w:rsidRPr="00BD0279">
        <w:t xml:space="preserve"> оценки Международного общества по изучению спондилоартритов </w:t>
      </w:r>
      <w:r w:rsidR="00BD0279" w:rsidRPr="00CD11EE">
        <w:t>(</w:t>
      </w:r>
      <w:r w:rsidR="00CD11EE" w:rsidRPr="00CD11EE">
        <w:t>Assessment of Spondyloarthritis International Society</w:t>
      </w:r>
      <w:r w:rsidR="00CD11EE">
        <w:t xml:space="preserve">, </w:t>
      </w:r>
      <w:r>
        <w:t>ASAS20</w:t>
      </w:r>
      <w:r w:rsidR="00116B1D">
        <w:t>)</w:t>
      </w:r>
      <w:r>
        <w:t xml:space="preserve"> на 16 неделе </w:t>
      </w:r>
      <w:r w:rsidR="00821BDD">
        <w:fldChar w:fldCharType="begin"/>
      </w:r>
      <w:r w:rsidR="008D5290">
        <w:instrText xml:space="preserve"> ADDIN ZOTERO_ITEM CSL_CITATION {"citationID":"HdzxV41Q","properties":{"formattedCitation":"[24]","plainCitation":"[24]","noteIndex":0},"citationItems":[{"id":87800,"uris":["http://zotero.org/groups/4742804/items/TPCQ89X9"],"itemData":{"id":87800,"type":"webpage","title":"Xeljanz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21BDD">
        <w:fldChar w:fldCharType="separate"/>
      </w:r>
      <w:r w:rsidR="00DE2C35">
        <w:rPr>
          <w:rFonts w:cs="Times New Roman"/>
        </w:rPr>
        <w:t>[2</w:t>
      </w:r>
      <w:r w:rsidR="008D5290" w:rsidRPr="008D5290">
        <w:rPr>
          <w:rFonts w:cs="Times New Roman"/>
        </w:rPr>
        <w:t>]</w:t>
      </w:r>
      <w:r w:rsidR="00821BDD">
        <w:fldChar w:fldCharType="end"/>
      </w:r>
      <w:r w:rsidR="00821BDD">
        <w:t>.</w:t>
      </w:r>
    </w:p>
    <w:p w14:paraId="7D9CF084" w14:textId="05352A2B" w:rsidR="00382C19" w:rsidRDefault="00116B1D" w:rsidP="00E421A2">
      <w:pPr>
        <w:contextualSpacing/>
      </w:pPr>
      <w:r>
        <w:t>В группе тофацитиниба в дозе 5 мг два раза в день, доля п</w:t>
      </w:r>
      <w:r w:rsidR="00F27B3F">
        <w:t>ациент</w:t>
      </w:r>
      <w:r w:rsidR="00821BDD">
        <w:t>ов</w:t>
      </w:r>
      <w:r>
        <w:t xml:space="preserve"> с</w:t>
      </w:r>
      <w:r w:rsidR="00F27B3F">
        <w:t xml:space="preserve"> ASAS20 и </w:t>
      </w:r>
      <w:r>
        <w:t xml:space="preserve">доля пациентов с 40% улучшением по </w:t>
      </w:r>
      <w:r w:rsidRPr="00BD0279">
        <w:t>Шкал</w:t>
      </w:r>
      <w:r>
        <w:t>е</w:t>
      </w:r>
      <w:r w:rsidRPr="00BD0279">
        <w:t xml:space="preserve"> оценки Международного общества по изучению спондилоартритов </w:t>
      </w:r>
      <w:r w:rsidRPr="00CD11EE">
        <w:t xml:space="preserve">(Assessment of </w:t>
      </w:r>
      <w:r w:rsidRPr="00E421A2">
        <w:t xml:space="preserve">Spondyloarthritis International Society, ASAS40), были выше, </w:t>
      </w:r>
      <w:r w:rsidR="00F27B3F" w:rsidRPr="00E421A2">
        <w:t>по сравнению с</w:t>
      </w:r>
      <w:r w:rsidRPr="00E421A2">
        <w:t xml:space="preserve"> группой</w:t>
      </w:r>
      <w:r w:rsidR="00F27B3F" w:rsidRPr="00E421A2">
        <w:t xml:space="preserve"> плацебо на неделе 16 (</w:t>
      </w:r>
      <w:r w:rsidR="00E360C9" w:rsidRPr="00E421A2">
        <w:fldChar w:fldCharType="begin"/>
      </w:r>
      <w:r w:rsidR="00E360C9" w:rsidRPr="00E421A2">
        <w:instrText xml:space="preserve"> REF _Ref117845010 \h </w:instrText>
      </w:r>
      <w:r w:rsidR="00E421A2" w:rsidRPr="00E421A2">
        <w:instrText xml:space="preserve"> \* MERGEFORMAT </w:instrText>
      </w:r>
      <w:r w:rsidR="00E360C9" w:rsidRPr="00E421A2">
        <w:fldChar w:fldCharType="separate"/>
      </w:r>
      <w:r w:rsidR="00383E6F" w:rsidRPr="00E421A2">
        <w:t xml:space="preserve">Таблица </w:t>
      </w:r>
      <w:r w:rsidR="00383E6F" w:rsidRPr="00E421A2">
        <w:rPr>
          <w:noProof/>
        </w:rPr>
        <w:t>4</w:t>
      </w:r>
      <w:r w:rsidR="00383E6F" w:rsidRPr="00E421A2">
        <w:noBreakHyphen/>
      </w:r>
      <w:r w:rsidR="00383E6F" w:rsidRPr="00E421A2">
        <w:rPr>
          <w:noProof/>
        </w:rPr>
        <w:t>12</w:t>
      </w:r>
      <w:r w:rsidR="00E360C9" w:rsidRPr="00E421A2">
        <w:fldChar w:fldCharType="end"/>
      </w:r>
      <w:r w:rsidR="00F27B3F" w:rsidRPr="00E421A2">
        <w:t>).</w:t>
      </w:r>
      <w:r w:rsidR="00F27B3F">
        <w:t xml:space="preserve"> Ответ сохранял</w:t>
      </w:r>
      <w:r w:rsidR="005B7B83">
        <w:t>ся</w:t>
      </w:r>
      <w:r w:rsidR="00F27B3F">
        <w:t xml:space="preserve"> с 16 по 48 неделю у пациентов, получающих тофацитиниб в дозе 5 мг два раза в день</w:t>
      </w:r>
      <w:r w:rsidR="00B612A0">
        <w:t xml:space="preserve"> </w:t>
      </w:r>
      <w:r w:rsidR="00821BDD">
        <w:fldChar w:fldCharType="begin"/>
      </w:r>
      <w:r w:rsidR="008D5290">
        <w:instrText xml:space="preserve"> ADDIN ZOTERO_ITEM CSL_CITATION {"citationID":"1Qk8OY5e","properties":{"formattedCitation":"[24]","plainCitation":"[24]","noteIndex":0},"citationItems":[{"id":87800,"uris":["http://zotero.org/groups/4742804/items/TPCQ89X9"],"itemData":{"id":87800,"type":"webpage","title":"Xeljanz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21BDD">
        <w:fldChar w:fldCharType="separate"/>
      </w:r>
      <w:r w:rsidR="00DE2C35">
        <w:rPr>
          <w:rFonts w:cs="Times New Roman"/>
        </w:rPr>
        <w:t>[2</w:t>
      </w:r>
      <w:r w:rsidR="008D5290" w:rsidRPr="008D5290">
        <w:rPr>
          <w:rFonts w:cs="Times New Roman"/>
        </w:rPr>
        <w:t>]</w:t>
      </w:r>
      <w:r w:rsidR="00821BDD">
        <w:fldChar w:fldCharType="end"/>
      </w:r>
      <w:r w:rsidR="00821BDD">
        <w:t>.</w:t>
      </w:r>
    </w:p>
    <w:p w14:paraId="639F62AD" w14:textId="77777777" w:rsidR="00DC6D16" w:rsidRDefault="00DC6D16" w:rsidP="00E421A2">
      <w:pPr>
        <w:contextualSpacing/>
      </w:pPr>
    </w:p>
    <w:p w14:paraId="39ACE31E" w14:textId="64C0CEAA" w:rsidR="00B612A0" w:rsidRDefault="00382C19" w:rsidP="00382C19">
      <w:pPr>
        <w:ind w:firstLine="0"/>
        <w:contextualSpacing/>
      </w:pPr>
      <w:bookmarkStart w:id="241" w:name="_Ref117845010"/>
      <w:r w:rsidRPr="00382C19">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12</w:t>
      </w:r>
      <w:r w:rsidR="00652269">
        <w:rPr>
          <w:b/>
        </w:rPr>
        <w:fldChar w:fldCharType="end"/>
      </w:r>
      <w:bookmarkEnd w:id="241"/>
      <w:r w:rsidRPr="00382C19">
        <w:rPr>
          <w:b/>
          <w:noProof/>
        </w:rPr>
        <w:t>.</w:t>
      </w:r>
      <w:r>
        <w:t xml:space="preserve"> Доля пациентов с ASAS20 и ASAS40 на неделе 16 в исследовании </w:t>
      </w:r>
      <w:r w:rsidRPr="00CB22FB">
        <w:t>AS-I</w:t>
      </w:r>
      <w:r>
        <w:t>.</w:t>
      </w:r>
    </w:p>
    <w:tbl>
      <w:tblPr>
        <w:tblStyle w:val="a4"/>
        <w:tblW w:w="0" w:type="auto"/>
        <w:tblInd w:w="108" w:type="dxa"/>
        <w:tblLook w:val="04A0" w:firstRow="1" w:lastRow="0" w:firstColumn="1" w:lastColumn="0" w:noHBand="0" w:noVBand="1"/>
      </w:tblPr>
      <w:tblGrid>
        <w:gridCol w:w="2228"/>
        <w:gridCol w:w="2167"/>
        <w:gridCol w:w="2505"/>
        <w:gridCol w:w="2456"/>
      </w:tblGrid>
      <w:tr w:rsidR="00CB22FB" w14:paraId="2FC83934" w14:textId="77777777" w:rsidTr="00791E09">
        <w:trPr>
          <w:tblHeader/>
        </w:trPr>
        <w:tc>
          <w:tcPr>
            <w:tcW w:w="2228" w:type="dxa"/>
            <w:shd w:val="clear" w:color="auto" w:fill="D9D9D9" w:themeFill="background1" w:themeFillShade="D9"/>
            <w:vAlign w:val="center"/>
          </w:tcPr>
          <w:p w14:paraId="41A91048" w14:textId="5DBE8690" w:rsidR="00CB22FB" w:rsidRPr="00CB22FB" w:rsidRDefault="00F523BB" w:rsidP="00CB22FB">
            <w:pPr>
              <w:ind w:firstLine="0"/>
              <w:contextualSpacing/>
              <w:jc w:val="center"/>
              <w:rPr>
                <w:b/>
                <w:bCs/>
              </w:rPr>
            </w:pPr>
            <w:r>
              <w:rPr>
                <w:b/>
                <w:bCs/>
              </w:rPr>
              <w:t>Показатель</w:t>
            </w:r>
          </w:p>
        </w:tc>
        <w:tc>
          <w:tcPr>
            <w:tcW w:w="2167" w:type="dxa"/>
            <w:shd w:val="clear" w:color="auto" w:fill="D9D9D9" w:themeFill="background1" w:themeFillShade="D9"/>
            <w:vAlign w:val="center"/>
          </w:tcPr>
          <w:p w14:paraId="0DE27499" w14:textId="48F1F1CA" w:rsidR="00CB22FB" w:rsidRPr="00F523BB" w:rsidRDefault="00F523BB" w:rsidP="00CB22FB">
            <w:pPr>
              <w:ind w:firstLine="0"/>
              <w:contextualSpacing/>
              <w:jc w:val="center"/>
              <w:rPr>
                <w:b/>
                <w:bCs/>
                <w:lang w:val="en-US"/>
              </w:rPr>
            </w:pPr>
            <w:r>
              <w:rPr>
                <w:b/>
                <w:bCs/>
              </w:rPr>
              <w:t>Группа плацебо (</w:t>
            </w:r>
            <w:r>
              <w:rPr>
                <w:b/>
                <w:bCs/>
                <w:lang w:val="en-US"/>
              </w:rPr>
              <w:t>n = 36)</w:t>
            </w:r>
          </w:p>
        </w:tc>
        <w:tc>
          <w:tcPr>
            <w:tcW w:w="2505" w:type="dxa"/>
            <w:shd w:val="clear" w:color="auto" w:fill="D9D9D9" w:themeFill="background1" w:themeFillShade="D9"/>
            <w:vAlign w:val="center"/>
          </w:tcPr>
          <w:p w14:paraId="439FCE46" w14:textId="14A0F684" w:rsidR="00CB22FB" w:rsidRPr="00F523BB" w:rsidRDefault="00F523BB" w:rsidP="00CB22FB">
            <w:pPr>
              <w:ind w:firstLine="0"/>
              <w:contextualSpacing/>
              <w:jc w:val="center"/>
              <w:rPr>
                <w:b/>
                <w:bCs/>
              </w:rPr>
            </w:pPr>
            <w:r>
              <w:rPr>
                <w:b/>
                <w:bCs/>
              </w:rPr>
              <w:t>Группа тофацитиниба 5 мг 2 раза в день (</w:t>
            </w:r>
            <w:r>
              <w:rPr>
                <w:b/>
                <w:bCs/>
                <w:lang w:val="en-US"/>
              </w:rPr>
              <w:t>n</w:t>
            </w:r>
            <w:r w:rsidRPr="00F523BB">
              <w:rPr>
                <w:b/>
                <w:bCs/>
              </w:rPr>
              <w:t xml:space="preserve"> = 133)</w:t>
            </w:r>
          </w:p>
        </w:tc>
        <w:tc>
          <w:tcPr>
            <w:tcW w:w="2456" w:type="dxa"/>
            <w:shd w:val="clear" w:color="auto" w:fill="D9D9D9" w:themeFill="background1" w:themeFillShade="D9"/>
            <w:vAlign w:val="center"/>
          </w:tcPr>
          <w:p w14:paraId="64B93236" w14:textId="64489D01" w:rsidR="00CB22FB" w:rsidRPr="00CB22FB" w:rsidRDefault="00425438" w:rsidP="00CB22FB">
            <w:pPr>
              <w:ind w:firstLine="0"/>
              <w:contextualSpacing/>
              <w:jc w:val="center"/>
              <w:rPr>
                <w:b/>
                <w:bCs/>
              </w:rPr>
            </w:pPr>
            <w:r>
              <w:rPr>
                <w:b/>
                <w:bCs/>
              </w:rPr>
              <w:t>Разность в сравнении с плацебо (95% ДИ)</w:t>
            </w:r>
          </w:p>
        </w:tc>
      </w:tr>
      <w:tr w:rsidR="00CB22FB" w14:paraId="32E30E2E" w14:textId="77777777" w:rsidTr="00791E09">
        <w:tc>
          <w:tcPr>
            <w:tcW w:w="2228" w:type="dxa"/>
          </w:tcPr>
          <w:p w14:paraId="2F4755D6" w14:textId="7D501F6C" w:rsidR="00CB22FB" w:rsidRDefault="00425438" w:rsidP="00CB22FB">
            <w:pPr>
              <w:ind w:firstLine="0"/>
              <w:contextualSpacing/>
            </w:pPr>
            <w:r>
              <w:t xml:space="preserve">Доля пациентов с </w:t>
            </w:r>
            <w:r w:rsidRPr="00425438">
              <w:t>ASAS20</w:t>
            </w:r>
            <w:r>
              <w:t>, %</w:t>
            </w:r>
          </w:p>
        </w:tc>
        <w:tc>
          <w:tcPr>
            <w:tcW w:w="2167" w:type="dxa"/>
            <w:vAlign w:val="center"/>
          </w:tcPr>
          <w:p w14:paraId="5EB4B354" w14:textId="17014EAF" w:rsidR="00CB22FB" w:rsidRDefault="00425438" w:rsidP="00C13EBE">
            <w:pPr>
              <w:ind w:firstLine="0"/>
              <w:contextualSpacing/>
              <w:jc w:val="center"/>
            </w:pPr>
            <w:r>
              <w:t>29</w:t>
            </w:r>
          </w:p>
        </w:tc>
        <w:tc>
          <w:tcPr>
            <w:tcW w:w="2505" w:type="dxa"/>
            <w:vAlign w:val="center"/>
          </w:tcPr>
          <w:p w14:paraId="55508D62" w14:textId="05B8992D" w:rsidR="00CB22FB" w:rsidRDefault="00425438" w:rsidP="00C13EBE">
            <w:pPr>
              <w:ind w:firstLine="0"/>
              <w:contextualSpacing/>
              <w:jc w:val="center"/>
            </w:pPr>
            <w:r>
              <w:t>56</w:t>
            </w:r>
          </w:p>
        </w:tc>
        <w:tc>
          <w:tcPr>
            <w:tcW w:w="2456" w:type="dxa"/>
            <w:vAlign w:val="center"/>
          </w:tcPr>
          <w:p w14:paraId="0E4CC9B6" w14:textId="691FF4ED" w:rsidR="00CB22FB" w:rsidRDefault="00335373" w:rsidP="00C13EBE">
            <w:pPr>
              <w:ind w:firstLine="0"/>
              <w:contextualSpacing/>
              <w:jc w:val="center"/>
            </w:pPr>
            <w:r w:rsidRPr="00335373">
              <w:t>27 (16</w:t>
            </w:r>
            <w:r>
              <w:t>;</w:t>
            </w:r>
            <w:r w:rsidRPr="00335373">
              <w:t xml:space="preserve"> 38)**</w:t>
            </w:r>
          </w:p>
        </w:tc>
      </w:tr>
      <w:tr w:rsidR="00CB22FB" w14:paraId="22DFA444" w14:textId="77777777" w:rsidTr="00791E09">
        <w:tc>
          <w:tcPr>
            <w:tcW w:w="2228" w:type="dxa"/>
          </w:tcPr>
          <w:p w14:paraId="4BA3C3FE" w14:textId="7A0322F3" w:rsidR="00CB22FB" w:rsidRDefault="00425438" w:rsidP="00CB22FB">
            <w:pPr>
              <w:ind w:firstLine="0"/>
            </w:pPr>
            <w:r>
              <w:t xml:space="preserve">Доля пациентов с </w:t>
            </w:r>
            <w:r w:rsidRPr="00425438">
              <w:t>ASAS</w:t>
            </w:r>
            <w:r>
              <w:t>4</w:t>
            </w:r>
            <w:r w:rsidRPr="00425438">
              <w:t>0</w:t>
            </w:r>
            <w:r>
              <w:t>, %</w:t>
            </w:r>
          </w:p>
        </w:tc>
        <w:tc>
          <w:tcPr>
            <w:tcW w:w="2167" w:type="dxa"/>
            <w:vAlign w:val="center"/>
          </w:tcPr>
          <w:p w14:paraId="64A2B379" w14:textId="6FFF8388" w:rsidR="00CB22FB" w:rsidRDefault="00425438" w:rsidP="00C13EBE">
            <w:pPr>
              <w:ind w:firstLine="0"/>
              <w:jc w:val="center"/>
            </w:pPr>
            <w:r>
              <w:t>13</w:t>
            </w:r>
          </w:p>
        </w:tc>
        <w:tc>
          <w:tcPr>
            <w:tcW w:w="2505" w:type="dxa"/>
            <w:vAlign w:val="center"/>
          </w:tcPr>
          <w:p w14:paraId="50CC1EBE" w14:textId="4C82F099" w:rsidR="00CB22FB" w:rsidRDefault="00425438" w:rsidP="00C13EBE">
            <w:pPr>
              <w:ind w:firstLine="0"/>
              <w:jc w:val="center"/>
            </w:pPr>
            <w:r>
              <w:t>41</w:t>
            </w:r>
          </w:p>
        </w:tc>
        <w:tc>
          <w:tcPr>
            <w:tcW w:w="2456" w:type="dxa"/>
            <w:vAlign w:val="center"/>
          </w:tcPr>
          <w:p w14:paraId="41C44D8B" w14:textId="3154301B" w:rsidR="00CB22FB" w:rsidRDefault="00335373" w:rsidP="00C13EBE">
            <w:pPr>
              <w:ind w:firstLine="0"/>
              <w:jc w:val="center"/>
            </w:pPr>
            <w:r w:rsidRPr="00335373">
              <w:t>28 (18</w:t>
            </w:r>
            <w:r>
              <w:t>;</w:t>
            </w:r>
            <w:r w:rsidRPr="00335373">
              <w:t xml:space="preserve"> 38)**</w:t>
            </w:r>
          </w:p>
        </w:tc>
      </w:tr>
      <w:tr w:rsidR="00382C19" w14:paraId="24B632DF" w14:textId="77777777" w:rsidTr="00615081">
        <w:tc>
          <w:tcPr>
            <w:tcW w:w="9356" w:type="dxa"/>
            <w:gridSpan w:val="4"/>
          </w:tcPr>
          <w:p w14:paraId="633AE169" w14:textId="11E80DF1" w:rsidR="00382C19" w:rsidRPr="00382C19" w:rsidRDefault="00382C19" w:rsidP="00382C19">
            <w:pPr>
              <w:pStyle w:val="SDcomments"/>
              <w:ind w:firstLine="0"/>
              <w:contextualSpacing/>
              <w:rPr>
                <w:b/>
                <w:iCs/>
              </w:rPr>
            </w:pPr>
            <w:r w:rsidRPr="00382C19">
              <w:rPr>
                <w:b/>
                <w:iCs/>
              </w:rPr>
              <w:t>Примечани</w:t>
            </w:r>
            <w:r w:rsidR="00054BAE">
              <w:rPr>
                <w:b/>
                <w:iCs/>
              </w:rPr>
              <w:t>е</w:t>
            </w:r>
            <w:r w:rsidRPr="00382C19">
              <w:rPr>
                <w:b/>
                <w:iCs/>
              </w:rPr>
              <w:t>:</w:t>
            </w:r>
          </w:p>
          <w:p w14:paraId="7EA89702" w14:textId="64E6773F" w:rsidR="00382C19" w:rsidRPr="00335373" w:rsidRDefault="00382C19" w:rsidP="00382C19">
            <w:pPr>
              <w:pStyle w:val="SDcomments"/>
              <w:ind w:firstLine="0"/>
              <w:contextualSpacing/>
            </w:pPr>
            <w:r w:rsidRPr="00335373">
              <w:t>ASAS20</w:t>
            </w:r>
            <w:r>
              <w:t xml:space="preserve"> – </w:t>
            </w:r>
            <w:r w:rsidRPr="00335373">
              <w:t>20% улучшени</w:t>
            </w:r>
            <w:r>
              <w:t>е</w:t>
            </w:r>
            <w:r w:rsidRPr="00335373">
              <w:t xml:space="preserve"> по Шкале оценки Международного общества по изучению спондилоартритов (Assessment of Spondyloarthritis International Society)</w:t>
            </w:r>
            <w:r>
              <w:t xml:space="preserve">; </w:t>
            </w:r>
            <w:r w:rsidRPr="00335373">
              <w:t>ASAS</w:t>
            </w:r>
            <w:r>
              <w:t>4</w:t>
            </w:r>
            <w:r w:rsidRPr="00335373">
              <w:t>0</w:t>
            </w:r>
            <w:r>
              <w:t xml:space="preserve"> – 4</w:t>
            </w:r>
            <w:r w:rsidRPr="00335373">
              <w:t>0% улучшени</w:t>
            </w:r>
            <w:r>
              <w:t>е</w:t>
            </w:r>
            <w:r w:rsidRPr="00335373">
              <w:t xml:space="preserve"> по Шкале оценки Международного общества по изучению спондилоартритов (Assessment of Spondyloarthritis International </w:t>
            </w:r>
            <w:r w:rsidRPr="00335373">
              <w:lastRenderedPageBreak/>
              <w:t>Society)</w:t>
            </w:r>
            <w:r>
              <w:t xml:space="preserve">; ДИ – доверительный интервал; ** – статистически значимые различия, </w:t>
            </w:r>
            <w:r>
              <w:rPr>
                <w:lang w:val="en-US"/>
              </w:rPr>
              <w:t>p</w:t>
            </w:r>
            <w:r w:rsidRPr="00EB3081">
              <w:t xml:space="preserve"> &lt; </w:t>
            </w:r>
            <w:r>
              <w:t>0,0001.</w:t>
            </w:r>
          </w:p>
        </w:tc>
      </w:tr>
    </w:tbl>
    <w:p w14:paraId="3A579D24" w14:textId="072381EB" w:rsidR="00335373" w:rsidRDefault="00335373" w:rsidP="00335373">
      <w:pPr>
        <w:pStyle w:val="SDText"/>
        <w:contextualSpacing/>
      </w:pPr>
    </w:p>
    <w:p w14:paraId="783BCD2A" w14:textId="7978CBB9" w:rsidR="00227468" w:rsidRDefault="00053193" w:rsidP="00335373">
      <w:pPr>
        <w:pStyle w:val="SDText"/>
        <w:contextualSpacing/>
      </w:pPr>
      <w:r>
        <w:t xml:space="preserve">Эффективность тофацитиниба продемонстрировали у пациентов, ранее </w:t>
      </w:r>
      <w:r w:rsidR="005B4789">
        <w:t>не получавших биологические БМАРП</w:t>
      </w:r>
      <w:r w:rsidR="00402B85">
        <w:t xml:space="preserve">, а также у пациентов с неадекватным ответом на ингибиторы </w:t>
      </w:r>
      <w:r w:rsidR="00402B85">
        <w:rPr>
          <w:lang w:val="en-US"/>
        </w:rPr>
        <w:t>TNF</w:t>
      </w:r>
      <w:r w:rsidR="00402B85" w:rsidRPr="00402B85">
        <w:t>-</w:t>
      </w:r>
      <w:r w:rsidR="00402B85">
        <w:rPr>
          <w:rFonts w:cs="Times New Roman"/>
        </w:rPr>
        <w:t>α</w:t>
      </w:r>
      <w:r w:rsidR="00804B50" w:rsidRPr="00804B50">
        <w:rPr>
          <w:rFonts w:cs="Times New Roman"/>
        </w:rPr>
        <w:t xml:space="preserve"> </w:t>
      </w:r>
      <w:r w:rsidR="00804B50">
        <w:rPr>
          <w:rFonts w:cs="Times New Roman"/>
        </w:rPr>
        <w:t xml:space="preserve">или ранее получавшие </w:t>
      </w:r>
      <w:r w:rsidR="00804B50">
        <w:t xml:space="preserve">биологические </w:t>
      </w:r>
      <w:r w:rsidR="00804B50" w:rsidRPr="00E421A2">
        <w:t>БМАРП</w:t>
      </w:r>
      <w:r w:rsidR="00402B85" w:rsidRPr="00E421A2">
        <w:rPr>
          <w:rFonts w:cs="Times New Roman"/>
        </w:rPr>
        <w:t xml:space="preserve"> (</w:t>
      </w:r>
      <w:r w:rsidR="007453EB" w:rsidRPr="00E421A2">
        <w:rPr>
          <w:rFonts w:cs="Times New Roman"/>
        </w:rPr>
        <w:fldChar w:fldCharType="begin"/>
      </w:r>
      <w:r w:rsidR="007453EB" w:rsidRPr="00E421A2">
        <w:rPr>
          <w:rFonts w:cs="Times New Roman"/>
        </w:rPr>
        <w:instrText xml:space="preserve"> REF _Ref117845613 \h </w:instrText>
      </w:r>
      <w:r w:rsidR="00E421A2" w:rsidRPr="00E421A2">
        <w:rPr>
          <w:rFonts w:cs="Times New Roman"/>
        </w:rPr>
        <w:instrText xml:space="preserve"> \* MERGEFORMAT </w:instrText>
      </w:r>
      <w:r w:rsidR="007453EB" w:rsidRPr="00E421A2">
        <w:rPr>
          <w:rFonts w:cs="Times New Roman"/>
        </w:rPr>
      </w:r>
      <w:r w:rsidR="007453EB" w:rsidRPr="00E421A2">
        <w:rPr>
          <w:rFonts w:cs="Times New Roman"/>
        </w:rPr>
        <w:fldChar w:fldCharType="separate"/>
      </w:r>
      <w:r w:rsidR="00383E6F" w:rsidRPr="00E421A2">
        <w:t xml:space="preserve">Таблица </w:t>
      </w:r>
      <w:r w:rsidR="00383E6F" w:rsidRPr="00E421A2">
        <w:rPr>
          <w:noProof/>
        </w:rPr>
        <w:t>4</w:t>
      </w:r>
      <w:r w:rsidR="00383E6F" w:rsidRPr="00E421A2">
        <w:noBreakHyphen/>
      </w:r>
      <w:r w:rsidR="00383E6F" w:rsidRPr="00E421A2">
        <w:rPr>
          <w:noProof/>
        </w:rPr>
        <w:t>13</w:t>
      </w:r>
      <w:r w:rsidR="007453EB" w:rsidRPr="00E421A2">
        <w:rPr>
          <w:rFonts w:cs="Times New Roman"/>
        </w:rPr>
        <w:fldChar w:fldCharType="end"/>
      </w:r>
      <w:r w:rsidR="00AE6BF6" w:rsidRPr="00E421A2">
        <w:rPr>
          <w:rFonts w:cs="Times New Roman"/>
        </w:rPr>
        <w:t xml:space="preserve">) </w:t>
      </w:r>
      <w:r w:rsidR="00821BDD" w:rsidRPr="00E421A2">
        <w:fldChar w:fldCharType="begin"/>
      </w:r>
      <w:r w:rsidR="008D5290" w:rsidRPr="00E421A2">
        <w:instrText xml:space="preserve"> ADDIN ZOTERO_ITEM CSL_CITATION {"citationID":"dw0HKT1Z","properties":{"formattedCitation":"[24]","plainCitation":"[24]","noteIndex":0},"citationItems":[{"id":87800,"uris":["http://zotero.org/groups/4742804/items/TPCQ89X9"],"itemData":{"id":87800,"type":"webpage","title":"Xeljanz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21BDD" w:rsidRPr="00E421A2">
        <w:fldChar w:fldCharType="separate"/>
      </w:r>
      <w:r w:rsidR="00DE2C35" w:rsidRPr="00E421A2">
        <w:rPr>
          <w:rFonts w:cs="Times New Roman"/>
        </w:rPr>
        <w:t>[2</w:t>
      </w:r>
      <w:r w:rsidR="008D5290" w:rsidRPr="00E421A2">
        <w:rPr>
          <w:rFonts w:cs="Times New Roman"/>
        </w:rPr>
        <w:t>]</w:t>
      </w:r>
      <w:r w:rsidR="00821BDD" w:rsidRPr="00E421A2">
        <w:fldChar w:fldCharType="end"/>
      </w:r>
      <w:r w:rsidR="00821BDD">
        <w:t>.</w:t>
      </w:r>
    </w:p>
    <w:p w14:paraId="7879A09F" w14:textId="77777777" w:rsidR="00382C19" w:rsidRDefault="00382C19" w:rsidP="00335373">
      <w:pPr>
        <w:pStyle w:val="SDText"/>
        <w:contextualSpacing/>
      </w:pPr>
    </w:p>
    <w:p w14:paraId="3340477B" w14:textId="69E92AFA" w:rsidR="00402B85" w:rsidRPr="00382C19" w:rsidRDefault="00382C19" w:rsidP="00054BAE">
      <w:pPr>
        <w:pStyle w:val="SDText"/>
        <w:spacing w:after="0"/>
        <w:ind w:firstLine="0"/>
        <w:contextualSpacing/>
        <w:rPr>
          <w:rFonts w:cs="Times New Roman"/>
        </w:rPr>
      </w:pPr>
      <w:bookmarkStart w:id="242" w:name="_Ref117845613"/>
      <w:r w:rsidRPr="00382C19">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13</w:t>
      </w:r>
      <w:r w:rsidR="00652269">
        <w:rPr>
          <w:b/>
        </w:rPr>
        <w:fldChar w:fldCharType="end"/>
      </w:r>
      <w:bookmarkEnd w:id="242"/>
      <w:r w:rsidRPr="00382C19">
        <w:rPr>
          <w:b/>
          <w:noProof/>
        </w:rPr>
        <w:t>.</w:t>
      </w:r>
      <w:r w:rsidRPr="00C75713">
        <w:t xml:space="preserve"> </w:t>
      </w:r>
      <w:r>
        <w:t>Доля пациентов с ASAS20 и ASAS40</w:t>
      </w:r>
      <w:r w:rsidRPr="00C75713">
        <w:t xml:space="preserve"> </w:t>
      </w:r>
      <w:r>
        <w:t xml:space="preserve">в зависимости от предшествующей терапии в исследовании </w:t>
      </w:r>
      <w:r w:rsidRPr="00CB22FB">
        <w:t>AS-I</w:t>
      </w:r>
      <w:r>
        <w:t>.</w:t>
      </w:r>
    </w:p>
    <w:tbl>
      <w:tblPr>
        <w:tblStyle w:val="a4"/>
        <w:tblpPr w:leftFromText="180" w:rightFromText="180" w:vertAnchor="text" w:tblpX="108" w:tblpY="1"/>
        <w:tblOverlap w:val="never"/>
        <w:tblW w:w="0" w:type="auto"/>
        <w:tblLayout w:type="fixed"/>
        <w:tblLook w:val="04A0" w:firstRow="1" w:lastRow="0" w:firstColumn="1" w:lastColumn="0" w:noHBand="0" w:noVBand="1"/>
      </w:tblPr>
      <w:tblGrid>
        <w:gridCol w:w="2020"/>
        <w:gridCol w:w="1120"/>
        <w:gridCol w:w="1221"/>
        <w:gridCol w:w="1276"/>
        <w:gridCol w:w="1134"/>
        <w:gridCol w:w="1275"/>
        <w:gridCol w:w="1276"/>
      </w:tblGrid>
      <w:tr w:rsidR="00843B02" w14:paraId="3247E238" w14:textId="77777777" w:rsidTr="00E421A2">
        <w:trPr>
          <w:trHeight w:val="255"/>
          <w:tblHeader/>
        </w:trPr>
        <w:tc>
          <w:tcPr>
            <w:tcW w:w="2020" w:type="dxa"/>
            <w:vMerge w:val="restart"/>
            <w:shd w:val="clear" w:color="auto" w:fill="D9D9D9" w:themeFill="background1" w:themeFillShade="D9"/>
            <w:vAlign w:val="center"/>
          </w:tcPr>
          <w:p w14:paraId="118A48B4" w14:textId="45E84C98" w:rsidR="00843B02" w:rsidRPr="00615081" w:rsidRDefault="00843B02" w:rsidP="00615081">
            <w:pPr>
              <w:ind w:firstLine="0"/>
              <w:jc w:val="center"/>
              <w:rPr>
                <w:b/>
                <w:bCs/>
                <w:sz w:val="22"/>
              </w:rPr>
            </w:pPr>
            <w:r w:rsidRPr="00615081">
              <w:rPr>
                <w:b/>
                <w:bCs/>
                <w:sz w:val="22"/>
              </w:rPr>
              <w:t>Предшествующая терапия</w:t>
            </w:r>
          </w:p>
        </w:tc>
        <w:tc>
          <w:tcPr>
            <w:tcW w:w="7302" w:type="dxa"/>
            <w:gridSpan w:val="6"/>
            <w:shd w:val="clear" w:color="auto" w:fill="D9D9D9" w:themeFill="background1" w:themeFillShade="D9"/>
            <w:vAlign w:val="center"/>
          </w:tcPr>
          <w:p w14:paraId="7257EDBA" w14:textId="0C6B81BA" w:rsidR="00843B02" w:rsidRPr="00615081" w:rsidRDefault="00843B02" w:rsidP="00615081">
            <w:pPr>
              <w:ind w:firstLine="0"/>
              <w:jc w:val="center"/>
              <w:rPr>
                <w:b/>
                <w:bCs/>
                <w:sz w:val="22"/>
              </w:rPr>
            </w:pPr>
            <w:r w:rsidRPr="00615081">
              <w:rPr>
                <w:b/>
                <w:bCs/>
                <w:sz w:val="22"/>
              </w:rPr>
              <w:t>Конечная точка</w:t>
            </w:r>
          </w:p>
        </w:tc>
      </w:tr>
      <w:tr w:rsidR="00843B02" w14:paraId="2EF071B9" w14:textId="77777777" w:rsidTr="00E421A2">
        <w:trPr>
          <w:trHeight w:val="255"/>
          <w:tblHeader/>
        </w:trPr>
        <w:tc>
          <w:tcPr>
            <w:tcW w:w="2020" w:type="dxa"/>
            <w:vMerge/>
            <w:shd w:val="clear" w:color="auto" w:fill="D9D9D9" w:themeFill="background1" w:themeFillShade="D9"/>
            <w:vAlign w:val="center"/>
          </w:tcPr>
          <w:p w14:paraId="0ABE5CAF" w14:textId="77777777" w:rsidR="00843B02" w:rsidRPr="00615081" w:rsidRDefault="00843B02" w:rsidP="00615081">
            <w:pPr>
              <w:ind w:firstLine="0"/>
              <w:jc w:val="center"/>
              <w:rPr>
                <w:b/>
                <w:bCs/>
                <w:sz w:val="22"/>
              </w:rPr>
            </w:pPr>
          </w:p>
        </w:tc>
        <w:tc>
          <w:tcPr>
            <w:tcW w:w="3617" w:type="dxa"/>
            <w:gridSpan w:val="3"/>
            <w:shd w:val="clear" w:color="auto" w:fill="D9D9D9" w:themeFill="background1" w:themeFillShade="D9"/>
            <w:vAlign w:val="center"/>
          </w:tcPr>
          <w:p w14:paraId="696978AF" w14:textId="1801A580" w:rsidR="00843B02" w:rsidRPr="00615081" w:rsidRDefault="00843B02" w:rsidP="00615081">
            <w:pPr>
              <w:ind w:firstLine="0"/>
              <w:jc w:val="center"/>
              <w:rPr>
                <w:b/>
                <w:bCs/>
                <w:sz w:val="22"/>
              </w:rPr>
            </w:pPr>
            <w:r w:rsidRPr="00615081">
              <w:rPr>
                <w:b/>
                <w:bCs/>
                <w:sz w:val="22"/>
              </w:rPr>
              <w:t>ASAS20</w:t>
            </w:r>
          </w:p>
        </w:tc>
        <w:tc>
          <w:tcPr>
            <w:tcW w:w="3685" w:type="dxa"/>
            <w:gridSpan w:val="3"/>
            <w:shd w:val="clear" w:color="auto" w:fill="D9D9D9" w:themeFill="background1" w:themeFillShade="D9"/>
            <w:vAlign w:val="center"/>
          </w:tcPr>
          <w:p w14:paraId="7D57DE19" w14:textId="07BA7921" w:rsidR="00843B02" w:rsidRPr="00615081" w:rsidRDefault="00843B02" w:rsidP="00615081">
            <w:pPr>
              <w:ind w:firstLine="0"/>
              <w:jc w:val="center"/>
              <w:rPr>
                <w:b/>
                <w:bCs/>
                <w:sz w:val="22"/>
              </w:rPr>
            </w:pPr>
            <w:r w:rsidRPr="00615081">
              <w:rPr>
                <w:b/>
                <w:bCs/>
                <w:sz w:val="22"/>
              </w:rPr>
              <w:t>ASAS40</w:t>
            </w:r>
          </w:p>
        </w:tc>
      </w:tr>
      <w:tr w:rsidR="00615081" w14:paraId="6D5DBEC5" w14:textId="77777777" w:rsidTr="00791E09">
        <w:trPr>
          <w:trHeight w:val="1025"/>
          <w:tblHeader/>
        </w:trPr>
        <w:tc>
          <w:tcPr>
            <w:tcW w:w="2020" w:type="dxa"/>
            <w:vMerge/>
            <w:shd w:val="clear" w:color="auto" w:fill="D9D9D9" w:themeFill="background1" w:themeFillShade="D9"/>
            <w:vAlign w:val="center"/>
          </w:tcPr>
          <w:p w14:paraId="59479DCC" w14:textId="77777777" w:rsidR="00BD005A" w:rsidRPr="00615081" w:rsidRDefault="00BD005A" w:rsidP="00615081">
            <w:pPr>
              <w:ind w:firstLine="0"/>
              <w:jc w:val="center"/>
              <w:rPr>
                <w:b/>
                <w:bCs/>
                <w:sz w:val="22"/>
              </w:rPr>
            </w:pPr>
          </w:p>
        </w:tc>
        <w:tc>
          <w:tcPr>
            <w:tcW w:w="1120" w:type="dxa"/>
            <w:shd w:val="clear" w:color="auto" w:fill="D9D9D9" w:themeFill="background1" w:themeFillShade="D9"/>
            <w:vAlign w:val="center"/>
          </w:tcPr>
          <w:p w14:paraId="2B7D81EA" w14:textId="7FBBD42D" w:rsidR="00BD005A" w:rsidRPr="00615081" w:rsidRDefault="00BD005A" w:rsidP="00791E09">
            <w:pPr>
              <w:ind w:left="-40" w:right="-56" w:firstLine="0"/>
              <w:jc w:val="center"/>
              <w:rPr>
                <w:b/>
                <w:bCs/>
                <w:sz w:val="22"/>
                <w:lang w:val="en-US"/>
              </w:rPr>
            </w:pPr>
            <w:r w:rsidRPr="00615081">
              <w:rPr>
                <w:b/>
                <w:bCs/>
                <w:sz w:val="22"/>
              </w:rPr>
              <w:t>Плацебо</w:t>
            </w:r>
            <w:r w:rsidR="00AE6BF6" w:rsidRPr="00615081">
              <w:rPr>
                <w:b/>
                <w:bCs/>
                <w:sz w:val="22"/>
              </w:rPr>
              <w:t xml:space="preserve">, </w:t>
            </w:r>
            <w:r w:rsidR="00AE6BF6" w:rsidRPr="00615081">
              <w:rPr>
                <w:b/>
                <w:bCs/>
                <w:sz w:val="22"/>
                <w:lang w:val="en-US"/>
              </w:rPr>
              <w:t>N</w:t>
            </w:r>
          </w:p>
        </w:tc>
        <w:tc>
          <w:tcPr>
            <w:tcW w:w="1221" w:type="dxa"/>
            <w:shd w:val="clear" w:color="auto" w:fill="D9D9D9" w:themeFill="background1" w:themeFillShade="D9"/>
            <w:vAlign w:val="center"/>
          </w:tcPr>
          <w:p w14:paraId="08EDA994" w14:textId="52D2C14B" w:rsidR="00BD005A" w:rsidRPr="00615081" w:rsidRDefault="00BD005A" w:rsidP="00791E09">
            <w:pPr>
              <w:ind w:left="-40" w:right="-56" w:firstLine="0"/>
              <w:jc w:val="center"/>
              <w:rPr>
                <w:b/>
                <w:bCs/>
                <w:sz w:val="22"/>
              </w:rPr>
            </w:pPr>
            <w:r w:rsidRPr="00615081">
              <w:rPr>
                <w:b/>
                <w:bCs/>
                <w:sz w:val="22"/>
              </w:rPr>
              <w:t>Тофацити</w:t>
            </w:r>
            <w:r w:rsidR="00615081">
              <w:rPr>
                <w:b/>
                <w:bCs/>
                <w:sz w:val="22"/>
              </w:rPr>
              <w:t>-</w:t>
            </w:r>
            <w:r w:rsidRPr="00615081">
              <w:rPr>
                <w:b/>
                <w:bCs/>
                <w:sz w:val="22"/>
              </w:rPr>
              <w:t>ниб 5 мг 2 раза в день</w:t>
            </w:r>
            <w:r w:rsidR="00C91A45" w:rsidRPr="00615081">
              <w:rPr>
                <w:b/>
                <w:bCs/>
                <w:sz w:val="22"/>
              </w:rPr>
              <w:t xml:space="preserve">, </w:t>
            </w:r>
            <w:r w:rsidR="00C91A45" w:rsidRPr="00615081">
              <w:rPr>
                <w:b/>
                <w:bCs/>
                <w:sz w:val="22"/>
                <w:lang w:val="en-US"/>
              </w:rPr>
              <w:t>N</w:t>
            </w:r>
          </w:p>
        </w:tc>
        <w:tc>
          <w:tcPr>
            <w:tcW w:w="1276" w:type="dxa"/>
            <w:shd w:val="clear" w:color="auto" w:fill="D9D9D9" w:themeFill="background1" w:themeFillShade="D9"/>
            <w:vAlign w:val="center"/>
          </w:tcPr>
          <w:p w14:paraId="208F55C1" w14:textId="6F19F24D" w:rsidR="00BD005A" w:rsidRPr="00615081" w:rsidRDefault="00BD005A" w:rsidP="00791E09">
            <w:pPr>
              <w:ind w:left="-40" w:right="-56" w:firstLine="0"/>
              <w:jc w:val="center"/>
              <w:rPr>
                <w:b/>
                <w:bCs/>
                <w:sz w:val="22"/>
              </w:rPr>
            </w:pPr>
            <w:r w:rsidRPr="00615081">
              <w:rPr>
                <w:b/>
                <w:bCs/>
                <w:sz w:val="22"/>
              </w:rPr>
              <w:t>Разность по сравнению с плацебо (95% ДИ)</w:t>
            </w:r>
          </w:p>
        </w:tc>
        <w:tc>
          <w:tcPr>
            <w:tcW w:w="1134" w:type="dxa"/>
            <w:shd w:val="clear" w:color="auto" w:fill="D9D9D9" w:themeFill="background1" w:themeFillShade="D9"/>
            <w:vAlign w:val="center"/>
          </w:tcPr>
          <w:p w14:paraId="35D98F6D" w14:textId="64D6FB76" w:rsidR="00BD005A" w:rsidRPr="00615081" w:rsidRDefault="00BD005A" w:rsidP="00791E09">
            <w:pPr>
              <w:ind w:left="-40" w:right="-56" w:firstLine="0"/>
              <w:jc w:val="center"/>
              <w:rPr>
                <w:b/>
                <w:bCs/>
                <w:sz w:val="22"/>
              </w:rPr>
            </w:pPr>
            <w:r w:rsidRPr="00615081">
              <w:rPr>
                <w:b/>
                <w:bCs/>
                <w:sz w:val="22"/>
              </w:rPr>
              <w:t>Плацебо</w:t>
            </w:r>
            <w:r w:rsidR="00C91A45" w:rsidRPr="00615081">
              <w:rPr>
                <w:b/>
                <w:bCs/>
                <w:sz w:val="22"/>
              </w:rPr>
              <w:t xml:space="preserve">, </w:t>
            </w:r>
            <w:r w:rsidR="00C91A45" w:rsidRPr="00615081">
              <w:rPr>
                <w:b/>
                <w:bCs/>
                <w:sz w:val="22"/>
                <w:lang w:val="en-US"/>
              </w:rPr>
              <w:t>N</w:t>
            </w:r>
          </w:p>
        </w:tc>
        <w:tc>
          <w:tcPr>
            <w:tcW w:w="1275" w:type="dxa"/>
            <w:shd w:val="clear" w:color="auto" w:fill="D9D9D9" w:themeFill="background1" w:themeFillShade="D9"/>
            <w:vAlign w:val="center"/>
          </w:tcPr>
          <w:p w14:paraId="766018EB" w14:textId="208DD922" w:rsidR="00BD005A" w:rsidRPr="00615081" w:rsidRDefault="00BD005A" w:rsidP="00791E09">
            <w:pPr>
              <w:ind w:left="-40" w:right="-56" w:firstLine="0"/>
              <w:jc w:val="center"/>
              <w:rPr>
                <w:b/>
                <w:bCs/>
                <w:sz w:val="22"/>
              </w:rPr>
            </w:pPr>
            <w:r w:rsidRPr="00615081">
              <w:rPr>
                <w:b/>
                <w:bCs/>
                <w:sz w:val="22"/>
              </w:rPr>
              <w:t>Тофацити</w:t>
            </w:r>
            <w:r w:rsidR="00615081">
              <w:rPr>
                <w:b/>
                <w:bCs/>
                <w:sz w:val="22"/>
              </w:rPr>
              <w:t>-</w:t>
            </w:r>
            <w:r w:rsidRPr="00615081">
              <w:rPr>
                <w:b/>
                <w:bCs/>
                <w:sz w:val="22"/>
              </w:rPr>
              <w:t>ниб 5 мг 2 раза в день</w:t>
            </w:r>
            <w:r w:rsidR="00C91A45" w:rsidRPr="00615081">
              <w:rPr>
                <w:b/>
                <w:bCs/>
                <w:sz w:val="22"/>
              </w:rPr>
              <w:t xml:space="preserve">, </w:t>
            </w:r>
            <w:r w:rsidR="00C91A45" w:rsidRPr="00615081">
              <w:rPr>
                <w:b/>
                <w:bCs/>
                <w:sz w:val="22"/>
                <w:lang w:val="en-US"/>
              </w:rPr>
              <w:t>N</w:t>
            </w:r>
          </w:p>
        </w:tc>
        <w:tc>
          <w:tcPr>
            <w:tcW w:w="1276" w:type="dxa"/>
            <w:shd w:val="clear" w:color="auto" w:fill="D9D9D9" w:themeFill="background1" w:themeFillShade="D9"/>
            <w:vAlign w:val="center"/>
          </w:tcPr>
          <w:p w14:paraId="5FA8E4C8" w14:textId="006AF794" w:rsidR="00BD005A" w:rsidRPr="00615081" w:rsidRDefault="00BD005A" w:rsidP="00791E09">
            <w:pPr>
              <w:ind w:left="-40" w:right="-56" w:firstLine="0"/>
              <w:jc w:val="center"/>
              <w:rPr>
                <w:b/>
                <w:bCs/>
                <w:sz w:val="22"/>
              </w:rPr>
            </w:pPr>
            <w:r w:rsidRPr="00615081">
              <w:rPr>
                <w:b/>
                <w:bCs/>
                <w:sz w:val="22"/>
              </w:rPr>
              <w:t>Разность по сравне</w:t>
            </w:r>
            <w:r w:rsidR="00615081">
              <w:rPr>
                <w:b/>
                <w:bCs/>
                <w:sz w:val="22"/>
              </w:rPr>
              <w:t>-</w:t>
            </w:r>
            <w:r w:rsidRPr="00615081">
              <w:rPr>
                <w:b/>
                <w:bCs/>
                <w:sz w:val="22"/>
              </w:rPr>
              <w:t>нию с плацебо (95% ДИ)</w:t>
            </w:r>
          </w:p>
        </w:tc>
      </w:tr>
      <w:tr w:rsidR="00615081" w14:paraId="4C9B4961" w14:textId="77777777" w:rsidTr="00E421A2">
        <w:trPr>
          <w:trHeight w:val="1087"/>
        </w:trPr>
        <w:tc>
          <w:tcPr>
            <w:tcW w:w="2020" w:type="dxa"/>
          </w:tcPr>
          <w:p w14:paraId="406C7DE8" w14:textId="120AD414" w:rsidR="00326A9E" w:rsidRDefault="00AE6BF6" w:rsidP="00615081">
            <w:pPr>
              <w:ind w:firstLine="0"/>
            </w:pPr>
            <w:r>
              <w:t xml:space="preserve">Пациенты, ранее не получавшие </w:t>
            </w:r>
            <w:r w:rsidRPr="00AE6BF6">
              <w:t>биологические БМАРП</w:t>
            </w:r>
          </w:p>
        </w:tc>
        <w:tc>
          <w:tcPr>
            <w:tcW w:w="1120" w:type="dxa"/>
            <w:vAlign w:val="center"/>
          </w:tcPr>
          <w:p w14:paraId="1D270E51" w14:textId="55222BCF" w:rsidR="00326A9E" w:rsidRDefault="00127EE1" w:rsidP="00054BAE">
            <w:pPr>
              <w:ind w:firstLine="0"/>
              <w:jc w:val="center"/>
            </w:pPr>
            <w:r>
              <w:t>105</w:t>
            </w:r>
          </w:p>
        </w:tc>
        <w:tc>
          <w:tcPr>
            <w:tcW w:w="1221" w:type="dxa"/>
            <w:vAlign w:val="center"/>
          </w:tcPr>
          <w:p w14:paraId="7E5CF584" w14:textId="7D425B63" w:rsidR="00326A9E" w:rsidRDefault="00127EE1" w:rsidP="00054BAE">
            <w:pPr>
              <w:ind w:firstLine="0"/>
              <w:jc w:val="center"/>
            </w:pPr>
            <w:r>
              <w:t>102</w:t>
            </w:r>
          </w:p>
        </w:tc>
        <w:tc>
          <w:tcPr>
            <w:tcW w:w="1276" w:type="dxa"/>
            <w:vAlign w:val="center"/>
          </w:tcPr>
          <w:p w14:paraId="4F43BCB7" w14:textId="5C88708F" w:rsidR="00326A9E" w:rsidRDefault="00127EE1" w:rsidP="00054BAE">
            <w:pPr>
              <w:ind w:firstLine="0"/>
              <w:jc w:val="center"/>
            </w:pPr>
            <w:r>
              <w:t>28 (15; 41)</w:t>
            </w:r>
          </w:p>
        </w:tc>
        <w:tc>
          <w:tcPr>
            <w:tcW w:w="1134" w:type="dxa"/>
            <w:vAlign w:val="center"/>
          </w:tcPr>
          <w:p w14:paraId="74ABAABE" w14:textId="07359743" w:rsidR="00326A9E" w:rsidRDefault="00D87363" w:rsidP="00054BAE">
            <w:pPr>
              <w:ind w:firstLine="0"/>
              <w:jc w:val="center"/>
            </w:pPr>
            <w:r>
              <w:t>105</w:t>
            </w:r>
          </w:p>
        </w:tc>
        <w:tc>
          <w:tcPr>
            <w:tcW w:w="1275" w:type="dxa"/>
            <w:vAlign w:val="center"/>
          </w:tcPr>
          <w:p w14:paraId="78C23B4C" w14:textId="3810E27B" w:rsidR="00326A9E" w:rsidRDefault="00D87363" w:rsidP="00054BAE">
            <w:pPr>
              <w:ind w:firstLine="0"/>
              <w:jc w:val="center"/>
            </w:pPr>
            <w:r>
              <w:t>102</w:t>
            </w:r>
          </w:p>
        </w:tc>
        <w:tc>
          <w:tcPr>
            <w:tcW w:w="1276" w:type="dxa"/>
            <w:vAlign w:val="center"/>
          </w:tcPr>
          <w:p w14:paraId="4E69D19D" w14:textId="3B228843" w:rsidR="00326A9E" w:rsidRDefault="00D87363" w:rsidP="00054BAE">
            <w:pPr>
              <w:ind w:firstLine="0"/>
              <w:jc w:val="center"/>
            </w:pPr>
            <w:r>
              <w:t>31 (19; 43)</w:t>
            </w:r>
          </w:p>
        </w:tc>
      </w:tr>
      <w:tr w:rsidR="00615081" w14:paraId="6AEC2569" w14:textId="77777777" w:rsidTr="00E421A2">
        <w:trPr>
          <w:trHeight w:val="2099"/>
        </w:trPr>
        <w:tc>
          <w:tcPr>
            <w:tcW w:w="2020" w:type="dxa"/>
          </w:tcPr>
          <w:p w14:paraId="7C5AE3CE" w14:textId="1F86C7EB" w:rsidR="00326A9E" w:rsidRDefault="00804B50" w:rsidP="00615081">
            <w:pPr>
              <w:ind w:firstLine="0"/>
            </w:pPr>
            <w:r>
              <w:t>П</w:t>
            </w:r>
            <w:r w:rsidRPr="00804B50">
              <w:t>ациент</w:t>
            </w:r>
            <w:r>
              <w:t>ы</w:t>
            </w:r>
            <w:r w:rsidRPr="00804B50">
              <w:t xml:space="preserve"> с неадекватным ответом на ингибиторы TNF-α или ранее получавшие биологические БМАРП</w:t>
            </w:r>
          </w:p>
        </w:tc>
        <w:tc>
          <w:tcPr>
            <w:tcW w:w="1120" w:type="dxa"/>
            <w:vAlign w:val="center"/>
          </w:tcPr>
          <w:p w14:paraId="45E2404F" w14:textId="36937209" w:rsidR="00326A9E" w:rsidRDefault="00127EE1" w:rsidP="00054BAE">
            <w:pPr>
              <w:ind w:firstLine="0"/>
              <w:jc w:val="center"/>
            </w:pPr>
            <w:r>
              <w:t>31</w:t>
            </w:r>
          </w:p>
        </w:tc>
        <w:tc>
          <w:tcPr>
            <w:tcW w:w="1221" w:type="dxa"/>
            <w:vAlign w:val="center"/>
          </w:tcPr>
          <w:p w14:paraId="13C9F4E3" w14:textId="6F5D2C2F" w:rsidR="00326A9E" w:rsidRDefault="00127EE1" w:rsidP="00054BAE">
            <w:pPr>
              <w:ind w:firstLine="0"/>
              <w:jc w:val="center"/>
            </w:pPr>
            <w:r>
              <w:t>31</w:t>
            </w:r>
          </w:p>
        </w:tc>
        <w:tc>
          <w:tcPr>
            <w:tcW w:w="1276" w:type="dxa"/>
            <w:vAlign w:val="center"/>
          </w:tcPr>
          <w:p w14:paraId="45C4684E" w14:textId="1EDFA385" w:rsidR="00326A9E" w:rsidRDefault="00D87363" w:rsidP="00054BAE">
            <w:pPr>
              <w:ind w:firstLine="0"/>
              <w:jc w:val="center"/>
            </w:pPr>
            <w:r>
              <w:t>23 (1; 44)</w:t>
            </w:r>
          </w:p>
        </w:tc>
        <w:tc>
          <w:tcPr>
            <w:tcW w:w="1134" w:type="dxa"/>
            <w:vAlign w:val="center"/>
          </w:tcPr>
          <w:p w14:paraId="1AE248E3" w14:textId="7B0CE7C8" w:rsidR="00326A9E" w:rsidRDefault="00D87363" w:rsidP="00054BAE">
            <w:pPr>
              <w:ind w:firstLine="0"/>
              <w:jc w:val="center"/>
            </w:pPr>
            <w:r>
              <w:t>31</w:t>
            </w:r>
          </w:p>
        </w:tc>
        <w:tc>
          <w:tcPr>
            <w:tcW w:w="1275" w:type="dxa"/>
            <w:vAlign w:val="center"/>
          </w:tcPr>
          <w:p w14:paraId="7612EA0E" w14:textId="577BD6B2" w:rsidR="00326A9E" w:rsidRDefault="00D87363" w:rsidP="00054BAE">
            <w:pPr>
              <w:ind w:firstLine="0"/>
              <w:jc w:val="center"/>
            </w:pPr>
            <w:r>
              <w:t>31</w:t>
            </w:r>
          </w:p>
        </w:tc>
        <w:tc>
          <w:tcPr>
            <w:tcW w:w="1276" w:type="dxa"/>
            <w:vAlign w:val="center"/>
          </w:tcPr>
          <w:p w14:paraId="4EAA00C3" w14:textId="5A9AD24F" w:rsidR="00326A9E" w:rsidRDefault="004070DD" w:rsidP="00054BAE">
            <w:pPr>
              <w:ind w:firstLine="0"/>
              <w:jc w:val="center"/>
            </w:pPr>
            <w:r>
              <w:t>19 (2; 37)</w:t>
            </w:r>
          </w:p>
        </w:tc>
      </w:tr>
      <w:tr w:rsidR="00382C19" w14:paraId="36D953A4" w14:textId="77777777" w:rsidTr="00E421A2">
        <w:trPr>
          <w:trHeight w:val="1367"/>
        </w:trPr>
        <w:tc>
          <w:tcPr>
            <w:tcW w:w="9322" w:type="dxa"/>
            <w:gridSpan w:val="7"/>
          </w:tcPr>
          <w:p w14:paraId="0D1AFF56" w14:textId="2379DB45" w:rsidR="00382C19" w:rsidRPr="00382C19" w:rsidRDefault="00382C19" w:rsidP="00615081">
            <w:pPr>
              <w:pStyle w:val="SDcomments"/>
              <w:ind w:firstLine="0"/>
              <w:contextualSpacing/>
              <w:rPr>
                <w:b/>
                <w:iCs/>
              </w:rPr>
            </w:pPr>
            <w:r w:rsidRPr="00382C19">
              <w:rPr>
                <w:b/>
                <w:iCs/>
              </w:rPr>
              <w:t>Примечани</w:t>
            </w:r>
            <w:r w:rsidR="00E421A2">
              <w:rPr>
                <w:b/>
                <w:iCs/>
              </w:rPr>
              <w:t>е</w:t>
            </w:r>
            <w:r w:rsidRPr="00382C19">
              <w:rPr>
                <w:b/>
                <w:iCs/>
              </w:rPr>
              <w:t>:</w:t>
            </w:r>
          </w:p>
          <w:p w14:paraId="23D4D418" w14:textId="5FC230B0" w:rsidR="00382C19" w:rsidRDefault="00382C19" w:rsidP="00615081">
            <w:pPr>
              <w:pStyle w:val="SDcomments"/>
              <w:ind w:firstLine="0"/>
              <w:contextualSpacing/>
            </w:pPr>
            <w:r w:rsidRPr="00335373">
              <w:t>ASAS20</w:t>
            </w:r>
            <w:r>
              <w:t xml:space="preserve"> – </w:t>
            </w:r>
            <w:r w:rsidRPr="00335373">
              <w:t>20% улучшени</w:t>
            </w:r>
            <w:r>
              <w:t>е</w:t>
            </w:r>
            <w:r w:rsidRPr="00335373">
              <w:t xml:space="preserve"> по Шкале оценки Международного общества по изучению спондилоартритов (Assessment of Spondyloarthritis International Society)</w:t>
            </w:r>
            <w:r>
              <w:t xml:space="preserve">; </w:t>
            </w:r>
            <w:r w:rsidRPr="00335373">
              <w:t>ASAS</w:t>
            </w:r>
            <w:r>
              <w:t>4</w:t>
            </w:r>
            <w:r w:rsidRPr="00335373">
              <w:t>0</w:t>
            </w:r>
            <w:r>
              <w:t xml:space="preserve"> – 4</w:t>
            </w:r>
            <w:r w:rsidRPr="00335373">
              <w:t>0% улучшени</w:t>
            </w:r>
            <w:r>
              <w:t>е</w:t>
            </w:r>
            <w:r w:rsidRPr="00335373">
              <w:t xml:space="preserve"> по Шкале оценки Международного общества по изучению спондилоартритов (Assessment of Spondyloarthritis International Society)</w:t>
            </w:r>
            <w:r>
              <w:t xml:space="preserve">; </w:t>
            </w:r>
            <w:r w:rsidRPr="00B140D2">
              <w:t xml:space="preserve">БМАРП </w:t>
            </w:r>
            <w:r>
              <w:t xml:space="preserve">– болезньмодифицирующие антиревматические препараты; </w:t>
            </w:r>
            <w:r w:rsidRPr="005F67DC">
              <w:t xml:space="preserve">TNF-α </w:t>
            </w:r>
            <w:r>
              <w:t>– фактор некроза опухоли-</w:t>
            </w:r>
            <w:r>
              <w:rPr>
                <w:rFonts w:cs="Times New Roman"/>
              </w:rPr>
              <w:t>α</w:t>
            </w:r>
            <w:r w:rsidRPr="00545721">
              <w:t xml:space="preserve"> </w:t>
            </w:r>
            <w:r>
              <w:t>(</w:t>
            </w:r>
            <w:r w:rsidRPr="00545721">
              <w:rPr>
                <w:rFonts w:cs="Times New Roman"/>
              </w:rPr>
              <w:t>tumour necrosis factor-α</w:t>
            </w:r>
            <w:r>
              <w:t>); ДИ – доверительный интервал.</w:t>
            </w:r>
          </w:p>
        </w:tc>
      </w:tr>
    </w:tbl>
    <w:p w14:paraId="52A02379" w14:textId="0AF435F9" w:rsidR="00C75713" w:rsidRDefault="00C75713" w:rsidP="00D22A13">
      <w:pPr>
        <w:pStyle w:val="SDText"/>
        <w:contextualSpacing/>
      </w:pPr>
    </w:p>
    <w:p w14:paraId="55C757D0" w14:textId="4C0BCC4F" w:rsidR="00573933" w:rsidRDefault="00573933" w:rsidP="00D22A13">
      <w:pPr>
        <w:pStyle w:val="SDText"/>
        <w:contextualSpacing/>
      </w:pPr>
      <w:r>
        <w:t>Улучшение компонентов ответа ASAS и других показателей активности заболевания были вы</w:t>
      </w:r>
      <w:r w:rsidR="00407B6D">
        <w:t>раженнее</w:t>
      </w:r>
      <w:r>
        <w:t xml:space="preserve"> при </w:t>
      </w:r>
      <w:r w:rsidR="00407B6D">
        <w:t xml:space="preserve">пероральном </w:t>
      </w:r>
      <w:r>
        <w:t xml:space="preserve">приеме тофацитиниба в дозе 5 мг два раза в день по сравнению с плацебо на 16 </w:t>
      </w:r>
      <w:r w:rsidRPr="00E421A2">
        <w:t>неделе</w:t>
      </w:r>
      <w:r w:rsidR="00407B6D" w:rsidRPr="00E421A2">
        <w:t xml:space="preserve"> (</w:t>
      </w:r>
      <w:r w:rsidR="00A83E39" w:rsidRPr="00E421A2">
        <w:fldChar w:fldCharType="begin"/>
      </w:r>
      <w:r w:rsidR="00A83E39" w:rsidRPr="00E421A2">
        <w:instrText xml:space="preserve"> REF _Ref121141693 \h </w:instrText>
      </w:r>
      <w:r w:rsidR="00E421A2" w:rsidRPr="00E421A2">
        <w:instrText xml:space="preserve"> \* MERGEFORMAT </w:instrText>
      </w:r>
      <w:r w:rsidR="00A83E39" w:rsidRPr="00E421A2">
        <w:fldChar w:fldCharType="separate"/>
      </w:r>
      <w:r w:rsidR="00383E6F" w:rsidRPr="00E421A2">
        <w:t xml:space="preserve">Таблица </w:t>
      </w:r>
      <w:r w:rsidR="00383E6F" w:rsidRPr="00E421A2">
        <w:rPr>
          <w:noProof/>
        </w:rPr>
        <w:t>4</w:t>
      </w:r>
      <w:r w:rsidR="00383E6F" w:rsidRPr="00E421A2">
        <w:noBreakHyphen/>
      </w:r>
      <w:r w:rsidR="00383E6F" w:rsidRPr="00E421A2">
        <w:rPr>
          <w:noProof/>
        </w:rPr>
        <w:t>14</w:t>
      </w:r>
      <w:r w:rsidR="00A83E39" w:rsidRPr="00E421A2">
        <w:fldChar w:fldCharType="end"/>
      </w:r>
      <w:r w:rsidR="00407B6D" w:rsidRPr="00E421A2">
        <w:t>)</w:t>
      </w:r>
      <w:r w:rsidRPr="00E421A2">
        <w:t>. Улучшения</w:t>
      </w:r>
      <w:r>
        <w:t xml:space="preserve"> сохранялись с 16 по 48 неделю у пациентов, получавших тофацитиниб 5 мг 2 раза в сутки </w:t>
      </w:r>
      <w:r w:rsidR="00821BDD">
        <w:fldChar w:fldCharType="begin"/>
      </w:r>
      <w:r w:rsidR="008D5290">
        <w:instrText xml:space="preserve"> ADDIN ZOTERO_ITEM CSL_CITATION {"citationID":"ecPQ9Xey","properties":{"formattedCitation":"[24]","plainCitation":"[24]","noteIndex":0},"citationItems":[{"id":87800,"uris":["http://zotero.org/groups/4742804/items/TPCQ89X9"],"itemData":{"id":87800,"type":"webpage","title":"Xeljanz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21BDD">
        <w:fldChar w:fldCharType="separate"/>
      </w:r>
      <w:r w:rsidR="00DE2C35">
        <w:rPr>
          <w:rFonts w:cs="Times New Roman"/>
        </w:rPr>
        <w:t>[2</w:t>
      </w:r>
      <w:r w:rsidR="008D5290" w:rsidRPr="008D5290">
        <w:rPr>
          <w:rFonts w:cs="Times New Roman"/>
        </w:rPr>
        <w:t>]</w:t>
      </w:r>
      <w:r w:rsidR="00821BDD">
        <w:fldChar w:fldCharType="end"/>
      </w:r>
      <w:r w:rsidR="00821BDD">
        <w:t>.</w:t>
      </w:r>
    </w:p>
    <w:p w14:paraId="0800EDB9" w14:textId="77777777" w:rsidR="00D22A13" w:rsidRDefault="00D22A13" w:rsidP="00D22A13">
      <w:pPr>
        <w:pStyle w:val="SDText"/>
        <w:contextualSpacing/>
      </w:pPr>
    </w:p>
    <w:p w14:paraId="13D4E66E" w14:textId="77777777" w:rsidR="00791E09" w:rsidRDefault="00791E09" w:rsidP="00054BAE">
      <w:pPr>
        <w:pStyle w:val="SDText"/>
        <w:spacing w:after="0"/>
        <w:ind w:firstLine="0"/>
        <w:contextualSpacing/>
        <w:rPr>
          <w:b/>
        </w:rPr>
        <w:sectPr w:rsidR="00791E09" w:rsidSect="00C13EBE">
          <w:pgSz w:w="11906" w:h="16838"/>
          <w:pgMar w:top="703" w:right="850" w:bottom="1134" w:left="1701" w:header="709" w:footer="708" w:gutter="0"/>
          <w:cols w:space="708"/>
          <w:docGrid w:linePitch="360"/>
        </w:sectPr>
      </w:pPr>
      <w:bookmarkStart w:id="243" w:name="_Ref121141693"/>
    </w:p>
    <w:p w14:paraId="2EFB63A3" w14:textId="4EDD1E01" w:rsidR="00573933" w:rsidRDefault="00D22A13" w:rsidP="00054BAE">
      <w:pPr>
        <w:pStyle w:val="SDText"/>
        <w:spacing w:after="0"/>
        <w:ind w:firstLine="0"/>
        <w:contextualSpacing/>
      </w:pPr>
      <w:r w:rsidRPr="00D22A13">
        <w:rPr>
          <w:b/>
        </w:rPr>
        <w:lastRenderedPageBreak/>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14</w:t>
      </w:r>
      <w:r w:rsidR="00652269">
        <w:rPr>
          <w:b/>
        </w:rPr>
        <w:fldChar w:fldCharType="end"/>
      </w:r>
      <w:bookmarkEnd w:id="243"/>
      <w:r w:rsidRPr="00D22A13">
        <w:rPr>
          <w:b/>
          <w:noProof/>
        </w:rPr>
        <w:t>.</w:t>
      </w:r>
      <w:r>
        <w:t xml:space="preserve"> </w:t>
      </w:r>
      <w:r w:rsidRPr="002D0C70">
        <w:t>Улучшение компонентов ответа ASAS и других показателей активности заболевания</w:t>
      </w:r>
      <w:r>
        <w:t xml:space="preserve"> на 16 неделе в исследовании </w:t>
      </w:r>
      <w:r w:rsidRPr="002D0C70">
        <w:t>AS-I</w:t>
      </w:r>
      <w:r>
        <w:t>.</w:t>
      </w:r>
    </w:p>
    <w:tbl>
      <w:tblPr>
        <w:tblStyle w:val="a4"/>
        <w:tblW w:w="0" w:type="auto"/>
        <w:tblInd w:w="108" w:type="dxa"/>
        <w:tblLayout w:type="fixed"/>
        <w:tblLook w:val="04A0" w:firstRow="1" w:lastRow="0" w:firstColumn="1" w:lastColumn="0" w:noHBand="0" w:noVBand="1"/>
      </w:tblPr>
      <w:tblGrid>
        <w:gridCol w:w="1476"/>
        <w:gridCol w:w="1076"/>
        <w:gridCol w:w="2313"/>
        <w:gridCol w:w="805"/>
        <w:gridCol w:w="2322"/>
        <w:gridCol w:w="1364"/>
      </w:tblGrid>
      <w:tr w:rsidR="0026719B" w:rsidRPr="008B29B2" w14:paraId="1DDA0EE1" w14:textId="77777777" w:rsidTr="00E421A2">
        <w:trPr>
          <w:tblHeader/>
        </w:trPr>
        <w:tc>
          <w:tcPr>
            <w:tcW w:w="1476" w:type="dxa"/>
            <w:vMerge w:val="restart"/>
            <w:shd w:val="clear" w:color="auto" w:fill="D9D9D9" w:themeFill="background1" w:themeFillShade="D9"/>
            <w:vAlign w:val="center"/>
          </w:tcPr>
          <w:p w14:paraId="51A94C62" w14:textId="5DF407E8" w:rsidR="0026719B" w:rsidRPr="00E421A2" w:rsidRDefault="0026719B" w:rsidP="007A70F2">
            <w:pPr>
              <w:ind w:firstLine="0"/>
              <w:jc w:val="center"/>
              <w:rPr>
                <w:rFonts w:cs="Times New Roman"/>
                <w:b/>
                <w:bCs/>
                <w:sz w:val="22"/>
              </w:rPr>
            </w:pPr>
            <w:r w:rsidRPr="00E421A2">
              <w:rPr>
                <w:rFonts w:cs="Times New Roman"/>
                <w:b/>
                <w:bCs/>
                <w:sz w:val="22"/>
              </w:rPr>
              <w:t>Показатель</w:t>
            </w:r>
          </w:p>
        </w:tc>
        <w:tc>
          <w:tcPr>
            <w:tcW w:w="3389" w:type="dxa"/>
            <w:gridSpan w:val="2"/>
            <w:shd w:val="clear" w:color="auto" w:fill="D9D9D9" w:themeFill="background1" w:themeFillShade="D9"/>
            <w:vAlign w:val="center"/>
          </w:tcPr>
          <w:p w14:paraId="59F02C8C" w14:textId="0CD09BA0" w:rsidR="0026719B" w:rsidRPr="00E421A2" w:rsidRDefault="0026719B" w:rsidP="007A70F2">
            <w:pPr>
              <w:ind w:firstLine="0"/>
              <w:jc w:val="center"/>
              <w:rPr>
                <w:rFonts w:cs="Times New Roman"/>
                <w:b/>
                <w:bCs/>
                <w:sz w:val="22"/>
                <w:lang w:val="en-US"/>
              </w:rPr>
            </w:pPr>
            <w:r w:rsidRPr="00E421A2">
              <w:rPr>
                <w:rFonts w:cs="Times New Roman"/>
                <w:b/>
                <w:bCs/>
                <w:sz w:val="22"/>
              </w:rPr>
              <w:t>Плацебо (</w:t>
            </w:r>
            <w:r w:rsidRPr="00E421A2">
              <w:rPr>
                <w:rFonts w:cs="Times New Roman"/>
                <w:b/>
                <w:bCs/>
                <w:sz w:val="22"/>
                <w:lang w:val="en-US"/>
              </w:rPr>
              <w:t>N = 136)</w:t>
            </w:r>
          </w:p>
        </w:tc>
        <w:tc>
          <w:tcPr>
            <w:tcW w:w="3127" w:type="dxa"/>
            <w:gridSpan w:val="2"/>
            <w:shd w:val="clear" w:color="auto" w:fill="D9D9D9" w:themeFill="background1" w:themeFillShade="D9"/>
            <w:vAlign w:val="center"/>
          </w:tcPr>
          <w:p w14:paraId="41F1C6EB" w14:textId="067759AC" w:rsidR="0026719B" w:rsidRPr="00E421A2" w:rsidRDefault="0026719B" w:rsidP="007A70F2">
            <w:pPr>
              <w:ind w:firstLine="0"/>
              <w:jc w:val="center"/>
              <w:rPr>
                <w:rFonts w:cs="Times New Roman"/>
                <w:b/>
                <w:bCs/>
                <w:sz w:val="22"/>
              </w:rPr>
            </w:pPr>
            <w:r w:rsidRPr="00E421A2">
              <w:rPr>
                <w:rFonts w:cs="Times New Roman"/>
                <w:b/>
                <w:bCs/>
                <w:sz w:val="22"/>
              </w:rPr>
              <w:t>Тофацитиниб, 5 мг 2 раза в день</w:t>
            </w:r>
          </w:p>
        </w:tc>
        <w:tc>
          <w:tcPr>
            <w:tcW w:w="1364" w:type="dxa"/>
            <w:vMerge w:val="restart"/>
            <w:shd w:val="clear" w:color="auto" w:fill="D9D9D9" w:themeFill="background1" w:themeFillShade="D9"/>
            <w:vAlign w:val="center"/>
          </w:tcPr>
          <w:p w14:paraId="7368FDB5" w14:textId="0D19792E" w:rsidR="0026719B" w:rsidRPr="00E421A2" w:rsidRDefault="0026719B" w:rsidP="007A70F2">
            <w:pPr>
              <w:ind w:firstLine="0"/>
              <w:jc w:val="center"/>
              <w:rPr>
                <w:rFonts w:cs="Times New Roman"/>
                <w:b/>
                <w:bCs/>
                <w:sz w:val="22"/>
              </w:rPr>
            </w:pPr>
            <w:r w:rsidRPr="00E421A2">
              <w:rPr>
                <w:rFonts w:cs="Times New Roman"/>
                <w:b/>
                <w:bCs/>
                <w:sz w:val="22"/>
              </w:rPr>
              <w:t>Разность по сравнению с плацебо (95% ДИ)</w:t>
            </w:r>
          </w:p>
        </w:tc>
      </w:tr>
      <w:tr w:rsidR="0026719B" w:rsidRPr="008B29B2" w14:paraId="6ECE2DF3" w14:textId="77777777" w:rsidTr="00E421A2">
        <w:trPr>
          <w:tblHeader/>
        </w:trPr>
        <w:tc>
          <w:tcPr>
            <w:tcW w:w="1476" w:type="dxa"/>
            <w:vMerge/>
            <w:shd w:val="clear" w:color="auto" w:fill="D9D9D9" w:themeFill="background1" w:themeFillShade="D9"/>
            <w:vAlign w:val="center"/>
          </w:tcPr>
          <w:p w14:paraId="5179869C" w14:textId="77777777" w:rsidR="0026719B" w:rsidRPr="00E421A2" w:rsidRDefault="0026719B" w:rsidP="0026719B">
            <w:pPr>
              <w:ind w:firstLine="0"/>
              <w:jc w:val="center"/>
              <w:rPr>
                <w:rFonts w:cs="Times New Roman"/>
                <w:b/>
                <w:bCs/>
                <w:sz w:val="22"/>
              </w:rPr>
            </w:pPr>
          </w:p>
        </w:tc>
        <w:tc>
          <w:tcPr>
            <w:tcW w:w="1076" w:type="dxa"/>
            <w:shd w:val="clear" w:color="auto" w:fill="D9D9D9" w:themeFill="background1" w:themeFillShade="D9"/>
            <w:vAlign w:val="center"/>
          </w:tcPr>
          <w:p w14:paraId="3E2DE357" w14:textId="1EFCA836" w:rsidR="0026719B" w:rsidRPr="00E421A2" w:rsidRDefault="0026719B" w:rsidP="0026719B">
            <w:pPr>
              <w:ind w:firstLine="0"/>
              <w:jc w:val="center"/>
              <w:rPr>
                <w:rFonts w:cs="Times New Roman"/>
                <w:b/>
                <w:bCs/>
                <w:sz w:val="22"/>
              </w:rPr>
            </w:pPr>
            <w:r w:rsidRPr="00E421A2">
              <w:rPr>
                <w:rFonts w:cs="Times New Roman"/>
                <w:b/>
                <w:bCs/>
                <w:sz w:val="22"/>
              </w:rPr>
              <w:t>Исходно (среднее значение)</w:t>
            </w:r>
          </w:p>
        </w:tc>
        <w:tc>
          <w:tcPr>
            <w:tcW w:w="2313" w:type="dxa"/>
            <w:shd w:val="clear" w:color="auto" w:fill="D9D9D9" w:themeFill="background1" w:themeFillShade="D9"/>
            <w:vAlign w:val="center"/>
          </w:tcPr>
          <w:p w14:paraId="01776430" w14:textId="6BE51698" w:rsidR="0026719B" w:rsidRPr="00E421A2" w:rsidRDefault="0026719B" w:rsidP="0026719B">
            <w:pPr>
              <w:ind w:firstLine="0"/>
              <w:jc w:val="center"/>
              <w:rPr>
                <w:rFonts w:cs="Times New Roman"/>
                <w:b/>
                <w:bCs/>
                <w:sz w:val="22"/>
              </w:rPr>
            </w:pPr>
            <w:r w:rsidRPr="00E421A2">
              <w:rPr>
                <w:rFonts w:cs="Times New Roman"/>
                <w:b/>
                <w:bCs/>
                <w:sz w:val="22"/>
              </w:rPr>
              <w:t>Неделя 16 (изменение от исходного значения, полученное методом наименьших квадратов)</w:t>
            </w:r>
          </w:p>
        </w:tc>
        <w:tc>
          <w:tcPr>
            <w:tcW w:w="805" w:type="dxa"/>
            <w:shd w:val="clear" w:color="auto" w:fill="D9D9D9" w:themeFill="background1" w:themeFillShade="D9"/>
            <w:vAlign w:val="center"/>
          </w:tcPr>
          <w:p w14:paraId="5C4B4846" w14:textId="147859C4" w:rsidR="0026719B" w:rsidRPr="00E421A2" w:rsidRDefault="0026719B" w:rsidP="0026719B">
            <w:pPr>
              <w:ind w:firstLine="0"/>
              <w:jc w:val="center"/>
              <w:rPr>
                <w:rFonts w:cs="Times New Roman"/>
                <w:b/>
                <w:bCs/>
                <w:sz w:val="22"/>
              </w:rPr>
            </w:pPr>
            <w:r w:rsidRPr="00E421A2">
              <w:rPr>
                <w:rFonts w:cs="Times New Roman"/>
                <w:b/>
                <w:bCs/>
                <w:sz w:val="22"/>
              </w:rPr>
              <w:t>Исходно (среднее значение)</w:t>
            </w:r>
          </w:p>
        </w:tc>
        <w:tc>
          <w:tcPr>
            <w:tcW w:w="2322" w:type="dxa"/>
            <w:shd w:val="clear" w:color="auto" w:fill="D9D9D9" w:themeFill="background1" w:themeFillShade="D9"/>
            <w:vAlign w:val="center"/>
          </w:tcPr>
          <w:p w14:paraId="4F20802B" w14:textId="68185E89" w:rsidR="0026719B" w:rsidRPr="00E421A2" w:rsidRDefault="0026719B" w:rsidP="0026719B">
            <w:pPr>
              <w:ind w:firstLine="0"/>
              <w:jc w:val="center"/>
              <w:rPr>
                <w:rFonts w:cs="Times New Roman"/>
                <w:b/>
                <w:bCs/>
                <w:sz w:val="22"/>
              </w:rPr>
            </w:pPr>
            <w:r w:rsidRPr="00E421A2">
              <w:rPr>
                <w:rFonts w:cs="Times New Roman"/>
                <w:b/>
                <w:bCs/>
                <w:sz w:val="22"/>
              </w:rPr>
              <w:t>Неделя 16 (изменение от исходного значения, полученное методом наименьших квадратов)</w:t>
            </w:r>
          </w:p>
        </w:tc>
        <w:tc>
          <w:tcPr>
            <w:tcW w:w="1364" w:type="dxa"/>
            <w:vMerge/>
            <w:shd w:val="clear" w:color="auto" w:fill="D9D9D9" w:themeFill="background1" w:themeFillShade="D9"/>
            <w:vAlign w:val="center"/>
          </w:tcPr>
          <w:p w14:paraId="2CE1D5A7" w14:textId="77777777" w:rsidR="0026719B" w:rsidRPr="00E421A2" w:rsidRDefault="0026719B" w:rsidP="0026719B">
            <w:pPr>
              <w:ind w:firstLine="0"/>
              <w:jc w:val="center"/>
              <w:rPr>
                <w:rFonts w:cs="Times New Roman"/>
                <w:b/>
                <w:bCs/>
                <w:sz w:val="22"/>
              </w:rPr>
            </w:pPr>
          </w:p>
        </w:tc>
      </w:tr>
      <w:tr w:rsidR="009419A9" w:rsidRPr="008B29B2" w14:paraId="721E786A" w14:textId="77777777" w:rsidTr="00E421A2">
        <w:tc>
          <w:tcPr>
            <w:tcW w:w="9356" w:type="dxa"/>
            <w:gridSpan w:val="6"/>
            <w:vAlign w:val="center"/>
          </w:tcPr>
          <w:p w14:paraId="41804D33" w14:textId="5885A460" w:rsidR="009419A9" w:rsidRPr="00E421A2" w:rsidRDefault="009419A9" w:rsidP="001F2DA0">
            <w:pPr>
              <w:ind w:firstLine="0"/>
              <w:rPr>
                <w:rFonts w:cs="Times New Roman"/>
                <w:sz w:val="22"/>
              </w:rPr>
            </w:pPr>
            <w:r w:rsidRPr="00E421A2">
              <w:rPr>
                <w:rFonts w:cs="Times New Roman"/>
                <w:sz w:val="22"/>
              </w:rPr>
              <w:t xml:space="preserve">Компонент </w:t>
            </w:r>
            <w:r w:rsidRPr="00E421A2">
              <w:rPr>
                <w:rFonts w:cs="Times New Roman"/>
                <w:sz w:val="22"/>
                <w:lang w:val="en-US"/>
              </w:rPr>
              <w:t>ASAS</w:t>
            </w:r>
          </w:p>
        </w:tc>
      </w:tr>
      <w:tr w:rsidR="001F2DA0" w:rsidRPr="008B29B2" w14:paraId="75216F0A" w14:textId="77777777" w:rsidTr="00E421A2">
        <w:tc>
          <w:tcPr>
            <w:tcW w:w="1476" w:type="dxa"/>
            <w:vAlign w:val="center"/>
          </w:tcPr>
          <w:p w14:paraId="15FE6103" w14:textId="245F8DB0" w:rsidR="001F2DA0" w:rsidRPr="00E421A2" w:rsidRDefault="009419A9" w:rsidP="001F2DA0">
            <w:pPr>
              <w:ind w:firstLine="0"/>
              <w:rPr>
                <w:rFonts w:cs="Times New Roman"/>
                <w:sz w:val="22"/>
                <w:vertAlign w:val="superscript"/>
              </w:rPr>
            </w:pPr>
            <w:r w:rsidRPr="00E421A2">
              <w:rPr>
                <w:rFonts w:cs="Times New Roman"/>
                <w:sz w:val="22"/>
              </w:rPr>
              <w:t>Общая оценка пациентом активности заболевания (</w:t>
            </w:r>
            <w:r w:rsidR="00CE7E6D" w:rsidRPr="00E421A2">
              <w:rPr>
                <w:rFonts w:cs="Times New Roman"/>
                <w:sz w:val="22"/>
              </w:rPr>
              <w:t xml:space="preserve">по шкале </w:t>
            </w:r>
            <w:r w:rsidRPr="00E421A2">
              <w:rPr>
                <w:rFonts w:cs="Times New Roman"/>
                <w:sz w:val="22"/>
              </w:rPr>
              <w:t>0</w:t>
            </w:r>
            <w:r w:rsidR="00CE7E6D" w:rsidRPr="00E421A2">
              <w:rPr>
                <w:rFonts w:cs="Times New Roman"/>
                <w:sz w:val="22"/>
              </w:rPr>
              <w:t>–</w:t>
            </w:r>
            <w:r w:rsidRPr="00E421A2">
              <w:rPr>
                <w:rFonts w:cs="Times New Roman"/>
                <w:sz w:val="22"/>
              </w:rPr>
              <w:t>10</w:t>
            </w:r>
            <w:r w:rsidR="00CE7E6D" w:rsidRPr="00E421A2">
              <w:rPr>
                <w:rFonts w:cs="Times New Roman"/>
                <w:sz w:val="22"/>
              </w:rPr>
              <w:t xml:space="preserve"> баллов</w:t>
            </w:r>
            <w:r w:rsidRPr="00E421A2">
              <w:rPr>
                <w:rFonts w:cs="Times New Roman"/>
                <w:sz w:val="22"/>
              </w:rPr>
              <w:t>)</w:t>
            </w:r>
            <w:r w:rsidR="00553482" w:rsidRPr="00E421A2">
              <w:rPr>
                <w:rFonts w:cs="Times New Roman"/>
                <w:sz w:val="22"/>
                <w:vertAlign w:val="superscript"/>
                <w:lang w:val="en-US"/>
              </w:rPr>
              <w:t>a</w:t>
            </w:r>
          </w:p>
        </w:tc>
        <w:tc>
          <w:tcPr>
            <w:tcW w:w="1076" w:type="dxa"/>
            <w:vAlign w:val="center"/>
          </w:tcPr>
          <w:p w14:paraId="5ADC7626" w14:textId="32C2D547" w:rsidR="001F2DA0" w:rsidRPr="00E421A2" w:rsidRDefault="00CF4603" w:rsidP="00E421A2">
            <w:pPr>
              <w:ind w:firstLine="0"/>
              <w:jc w:val="center"/>
              <w:rPr>
                <w:rFonts w:cs="Times New Roman"/>
                <w:sz w:val="22"/>
              </w:rPr>
            </w:pPr>
            <w:r w:rsidRPr="00E421A2">
              <w:rPr>
                <w:rFonts w:cs="Times New Roman"/>
                <w:sz w:val="22"/>
                <w:lang w:val="en-US"/>
              </w:rPr>
              <w:t>7</w:t>
            </w:r>
            <w:r w:rsidRPr="00E421A2">
              <w:rPr>
                <w:rFonts w:cs="Times New Roman"/>
                <w:sz w:val="22"/>
              </w:rPr>
              <w:t>,0</w:t>
            </w:r>
          </w:p>
        </w:tc>
        <w:tc>
          <w:tcPr>
            <w:tcW w:w="2313" w:type="dxa"/>
            <w:vAlign w:val="center"/>
          </w:tcPr>
          <w:p w14:paraId="56AD6346" w14:textId="70012990" w:rsidR="001F2DA0" w:rsidRPr="00E421A2" w:rsidRDefault="00264DF6" w:rsidP="00E421A2">
            <w:pPr>
              <w:ind w:firstLine="0"/>
              <w:jc w:val="center"/>
              <w:rPr>
                <w:rFonts w:cs="Times New Roman"/>
                <w:sz w:val="22"/>
              </w:rPr>
            </w:pPr>
            <w:r w:rsidRPr="00E421A2">
              <w:rPr>
                <w:rFonts w:cs="Times New Roman"/>
                <w:sz w:val="22"/>
              </w:rPr>
              <w:t>-0,9</w:t>
            </w:r>
          </w:p>
        </w:tc>
        <w:tc>
          <w:tcPr>
            <w:tcW w:w="805" w:type="dxa"/>
            <w:vAlign w:val="center"/>
          </w:tcPr>
          <w:p w14:paraId="54C65B9B" w14:textId="3EAE699F" w:rsidR="001F2DA0" w:rsidRPr="00E421A2" w:rsidRDefault="006120E9" w:rsidP="00E421A2">
            <w:pPr>
              <w:ind w:firstLine="0"/>
              <w:jc w:val="center"/>
              <w:rPr>
                <w:rFonts w:cs="Times New Roman"/>
                <w:sz w:val="22"/>
              </w:rPr>
            </w:pPr>
            <w:r w:rsidRPr="00E421A2">
              <w:rPr>
                <w:rFonts w:cs="Times New Roman"/>
                <w:sz w:val="22"/>
              </w:rPr>
              <w:t>6,9</w:t>
            </w:r>
          </w:p>
        </w:tc>
        <w:tc>
          <w:tcPr>
            <w:tcW w:w="2322" w:type="dxa"/>
            <w:vAlign w:val="center"/>
          </w:tcPr>
          <w:p w14:paraId="58B527B8" w14:textId="6C77037D" w:rsidR="001F2DA0" w:rsidRPr="00E421A2" w:rsidRDefault="00E04220" w:rsidP="00E421A2">
            <w:pPr>
              <w:ind w:firstLine="0"/>
              <w:jc w:val="center"/>
              <w:rPr>
                <w:rFonts w:cs="Times New Roman"/>
                <w:sz w:val="22"/>
              </w:rPr>
            </w:pPr>
            <w:r w:rsidRPr="00E421A2">
              <w:rPr>
                <w:rFonts w:cs="Times New Roman"/>
                <w:sz w:val="22"/>
              </w:rPr>
              <w:t>-2,5</w:t>
            </w:r>
          </w:p>
        </w:tc>
        <w:tc>
          <w:tcPr>
            <w:tcW w:w="1364" w:type="dxa"/>
            <w:vAlign w:val="center"/>
          </w:tcPr>
          <w:p w14:paraId="38C19297" w14:textId="5CF6BF62" w:rsidR="001F2DA0" w:rsidRPr="00E421A2" w:rsidRDefault="008679BE" w:rsidP="00E421A2">
            <w:pPr>
              <w:ind w:firstLine="0"/>
              <w:jc w:val="center"/>
              <w:rPr>
                <w:rFonts w:cs="Times New Roman"/>
                <w:sz w:val="22"/>
              </w:rPr>
            </w:pPr>
            <w:r w:rsidRPr="00E421A2">
              <w:rPr>
                <w:rFonts w:cs="Times New Roman"/>
                <w:sz w:val="22"/>
              </w:rPr>
              <w:t>-1</w:t>
            </w:r>
            <w:r w:rsidR="009D1565" w:rsidRPr="00E421A2">
              <w:rPr>
                <w:rFonts w:cs="Times New Roman"/>
                <w:sz w:val="22"/>
              </w:rPr>
              <w:t>,</w:t>
            </w:r>
            <w:r w:rsidRPr="00E421A2">
              <w:rPr>
                <w:rFonts w:cs="Times New Roman"/>
                <w:sz w:val="22"/>
              </w:rPr>
              <w:t>6</w:t>
            </w:r>
            <w:r w:rsidR="009D1565" w:rsidRPr="00E421A2">
              <w:rPr>
                <w:rFonts w:cs="Times New Roman"/>
                <w:sz w:val="22"/>
              </w:rPr>
              <w:t xml:space="preserve"> </w:t>
            </w:r>
            <w:r w:rsidRPr="00E421A2">
              <w:rPr>
                <w:rFonts w:cs="Times New Roman"/>
                <w:sz w:val="22"/>
              </w:rPr>
              <w:t>(-2</w:t>
            </w:r>
            <w:r w:rsidR="009D1565" w:rsidRPr="00E421A2">
              <w:rPr>
                <w:rFonts w:cs="Times New Roman"/>
                <w:sz w:val="22"/>
              </w:rPr>
              <w:t>,</w:t>
            </w:r>
            <w:r w:rsidRPr="00E421A2">
              <w:rPr>
                <w:rFonts w:cs="Times New Roman"/>
                <w:sz w:val="22"/>
              </w:rPr>
              <w:t>07</w:t>
            </w:r>
            <w:r w:rsidR="009D1565" w:rsidRPr="00E421A2">
              <w:rPr>
                <w:rFonts w:cs="Times New Roman"/>
                <w:sz w:val="22"/>
              </w:rPr>
              <w:t>;</w:t>
            </w:r>
            <w:r w:rsidRPr="00E421A2">
              <w:rPr>
                <w:rFonts w:cs="Times New Roman"/>
                <w:sz w:val="22"/>
              </w:rPr>
              <w:t xml:space="preserve"> -1</w:t>
            </w:r>
            <w:r w:rsidR="009D1565" w:rsidRPr="00E421A2">
              <w:rPr>
                <w:rFonts w:cs="Times New Roman"/>
                <w:sz w:val="22"/>
              </w:rPr>
              <w:t>,</w:t>
            </w:r>
            <w:r w:rsidRPr="00E421A2">
              <w:rPr>
                <w:rFonts w:cs="Times New Roman"/>
                <w:sz w:val="22"/>
              </w:rPr>
              <w:t>05)**</w:t>
            </w:r>
          </w:p>
        </w:tc>
      </w:tr>
      <w:tr w:rsidR="001F2DA0" w:rsidRPr="008B29B2" w14:paraId="34570A23" w14:textId="77777777" w:rsidTr="00E421A2">
        <w:tc>
          <w:tcPr>
            <w:tcW w:w="1476" w:type="dxa"/>
            <w:vAlign w:val="center"/>
          </w:tcPr>
          <w:p w14:paraId="1EADB7B7" w14:textId="3BCB7377" w:rsidR="001F2DA0" w:rsidRPr="00E421A2" w:rsidRDefault="00CE7E6D" w:rsidP="001F2DA0">
            <w:pPr>
              <w:ind w:firstLine="0"/>
              <w:rPr>
                <w:rFonts w:cs="Times New Roman"/>
                <w:sz w:val="22"/>
                <w:vertAlign w:val="superscript"/>
              </w:rPr>
            </w:pPr>
            <w:r w:rsidRPr="00E421A2">
              <w:rPr>
                <w:rFonts w:cs="Times New Roman"/>
                <w:sz w:val="22"/>
              </w:rPr>
              <w:t>Общая боль в спине</w:t>
            </w:r>
            <w:r w:rsidR="007F7B56" w:rsidRPr="00E421A2">
              <w:rPr>
                <w:rFonts w:cs="Times New Roman"/>
                <w:sz w:val="22"/>
              </w:rPr>
              <w:t xml:space="preserve"> (по шкале 0–10 баллов)</w:t>
            </w:r>
            <w:r w:rsidR="00553482" w:rsidRPr="00E421A2">
              <w:rPr>
                <w:rFonts w:cs="Times New Roman"/>
                <w:sz w:val="22"/>
                <w:vertAlign w:val="superscript"/>
                <w:lang w:val="en-US"/>
              </w:rPr>
              <w:t>b</w:t>
            </w:r>
          </w:p>
        </w:tc>
        <w:tc>
          <w:tcPr>
            <w:tcW w:w="1076" w:type="dxa"/>
            <w:vAlign w:val="center"/>
          </w:tcPr>
          <w:p w14:paraId="096D9C4F" w14:textId="632C8E48" w:rsidR="001F2DA0" w:rsidRPr="00E421A2" w:rsidRDefault="00CF4603" w:rsidP="00E421A2">
            <w:pPr>
              <w:ind w:firstLine="0"/>
              <w:jc w:val="center"/>
              <w:rPr>
                <w:rFonts w:cs="Times New Roman"/>
                <w:sz w:val="22"/>
              </w:rPr>
            </w:pPr>
            <w:r w:rsidRPr="00E421A2">
              <w:rPr>
                <w:rFonts w:cs="Times New Roman"/>
                <w:sz w:val="22"/>
              </w:rPr>
              <w:t>6,9</w:t>
            </w:r>
          </w:p>
        </w:tc>
        <w:tc>
          <w:tcPr>
            <w:tcW w:w="2313" w:type="dxa"/>
            <w:vAlign w:val="center"/>
          </w:tcPr>
          <w:p w14:paraId="4D123859" w14:textId="5AC96AFF" w:rsidR="001F2DA0" w:rsidRPr="00E421A2" w:rsidRDefault="00264DF6" w:rsidP="00E421A2">
            <w:pPr>
              <w:ind w:firstLine="0"/>
              <w:jc w:val="center"/>
              <w:rPr>
                <w:rFonts w:cs="Times New Roman"/>
                <w:sz w:val="22"/>
              </w:rPr>
            </w:pPr>
            <w:r w:rsidRPr="00E421A2">
              <w:rPr>
                <w:rFonts w:cs="Times New Roman"/>
                <w:sz w:val="22"/>
              </w:rPr>
              <w:t>-1,0</w:t>
            </w:r>
          </w:p>
        </w:tc>
        <w:tc>
          <w:tcPr>
            <w:tcW w:w="805" w:type="dxa"/>
            <w:vAlign w:val="center"/>
          </w:tcPr>
          <w:p w14:paraId="4F088A45" w14:textId="353D56F8" w:rsidR="001F2DA0" w:rsidRPr="00E421A2" w:rsidRDefault="006120E9" w:rsidP="00E421A2">
            <w:pPr>
              <w:ind w:firstLine="0"/>
              <w:jc w:val="center"/>
              <w:rPr>
                <w:rFonts w:cs="Times New Roman"/>
                <w:sz w:val="22"/>
              </w:rPr>
            </w:pPr>
            <w:r w:rsidRPr="00E421A2">
              <w:rPr>
                <w:rFonts w:cs="Times New Roman"/>
                <w:sz w:val="22"/>
              </w:rPr>
              <w:t>6,9</w:t>
            </w:r>
          </w:p>
        </w:tc>
        <w:tc>
          <w:tcPr>
            <w:tcW w:w="2322" w:type="dxa"/>
            <w:vAlign w:val="center"/>
          </w:tcPr>
          <w:p w14:paraId="15AD4E0A" w14:textId="5AA1ED74" w:rsidR="001F2DA0" w:rsidRPr="00E421A2" w:rsidRDefault="00E04220" w:rsidP="00E421A2">
            <w:pPr>
              <w:ind w:firstLine="0"/>
              <w:jc w:val="center"/>
              <w:rPr>
                <w:rFonts w:cs="Times New Roman"/>
                <w:sz w:val="22"/>
              </w:rPr>
            </w:pPr>
            <w:r w:rsidRPr="00E421A2">
              <w:rPr>
                <w:rFonts w:cs="Times New Roman"/>
                <w:sz w:val="22"/>
              </w:rPr>
              <w:t>-2,6</w:t>
            </w:r>
          </w:p>
        </w:tc>
        <w:tc>
          <w:tcPr>
            <w:tcW w:w="1364" w:type="dxa"/>
            <w:vAlign w:val="center"/>
          </w:tcPr>
          <w:p w14:paraId="3497885C" w14:textId="5FBA2384" w:rsidR="001F2DA0" w:rsidRPr="00E421A2" w:rsidRDefault="008679BE" w:rsidP="00E421A2">
            <w:pPr>
              <w:ind w:firstLine="0"/>
              <w:jc w:val="center"/>
              <w:rPr>
                <w:rFonts w:cs="Times New Roman"/>
                <w:sz w:val="22"/>
              </w:rPr>
            </w:pPr>
            <w:r w:rsidRPr="00E421A2">
              <w:rPr>
                <w:rFonts w:cs="Times New Roman"/>
                <w:sz w:val="22"/>
              </w:rPr>
              <w:t>-1</w:t>
            </w:r>
            <w:r w:rsidR="009D1565" w:rsidRPr="00E421A2">
              <w:rPr>
                <w:rFonts w:cs="Times New Roman"/>
                <w:sz w:val="22"/>
              </w:rPr>
              <w:t>,</w:t>
            </w:r>
            <w:r w:rsidRPr="00E421A2">
              <w:rPr>
                <w:rFonts w:cs="Times New Roman"/>
                <w:sz w:val="22"/>
              </w:rPr>
              <w:t>6</w:t>
            </w:r>
            <w:r w:rsidR="009D1565" w:rsidRPr="00E421A2">
              <w:rPr>
                <w:rFonts w:cs="Times New Roman"/>
                <w:sz w:val="22"/>
              </w:rPr>
              <w:t xml:space="preserve"> </w:t>
            </w:r>
            <w:r w:rsidRPr="00E421A2">
              <w:rPr>
                <w:rFonts w:cs="Times New Roman"/>
                <w:sz w:val="22"/>
              </w:rPr>
              <w:t>(-2</w:t>
            </w:r>
            <w:r w:rsidR="009D1565" w:rsidRPr="00E421A2">
              <w:rPr>
                <w:rFonts w:cs="Times New Roman"/>
                <w:sz w:val="22"/>
              </w:rPr>
              <w:t>,</w:t>
            </w:r>
            <w:r w:rsidRPr="00E421A2">
              <w:rPr>
                <w:rFonts w:cs="Times New Roman"/>
                <w:sz w:val="22"/>
              </w:rPr>
              <w:t>10</w:t>
            </w:r>
            <w:r w:rsidR="000B0BFC" w:rsidRPr="00E421A2">
              <w:rPr>
                <w:rFonts w:cs="Times New Roman"/>
                <w:sz w:val="22"/>
              </w:rPr>
              <w:t>;</w:t>
            </w:r>
            <w:r w:rsidRPr="00E421A2">
              <w:rPr>
                <w:rFonts w:cs="Times New Roman"/>
                <w:sz w:val="22"/>
              </w:rPr>
              <w:t xml:space="preserve"> -1</w:t>
            </w:r>
            <w:r w:rsidR="009D1565" w:rsidRPr="00E421A2">
              <w:rPr>
                <w:rFonts w:cs="Times New Roman"/>
                <w:sz w:val="22"/>
              </w:rPr>
              <w:t>,</w:t>
            </w:r>
            <w:r w:rsidRPr="00E421A2">
              <w:rPr>
                <w:rFonts w:cs="Times New Roman"/>
                <w:sz w:val="22"/>
              </w:rPr>
              <w:t>14)**</w:t>
            </w:r>
          </w:p>
        </w:tc>
      </w:tr>
      <w:tr w:rsidR="001F2DA0" w:rsidRPr="008B29B2" w14:paraId="7B6EF541" w14:textId="77777777" w:rsidTr="00E421A2">
        <w:tc>
          <w:tcPr>
            <w:tcW w:w="1476" w:type="dxa"/>
            <w:vAlign w:val="center"/>
          </w:tcPr>
          <w:p w14:paraId="0A2CBCF5" w14:textId="717C8298" w:rsidR="001F2DA0" w:rsidRPr="00E421A2" w:rsidRDefault="007F7B56" w:rsidP="001F2DA0">
            <w:pPr>
              <w:ind w:firstLine="0"/>
              <w:rPr>
                <w:rFonts w:cs="Times New Roman"/>
                <w:sz w:val="22"/>
                <w:vertAlign w:val="superscript"/>
              </w:rPr>
            </w:pPr>
            <w:r w:rsidRPr="00E421A2">
              <w:rPr>
                <w:rFonts w:cs="Times New Roman"/>
                <w:sz w:val="22"/>
                <w:lang w:val="en-US"/>
              </w:rPr>
              <w:t>BASFI</w:t>
            </w:r>
            <w:r w:rsidRPr="00E421A2">
              <w:rPr>
                <w:rFonts w:cs="Times New Roman"/>
                <w:sz w:val="22"/>
              </w:rPr>
              <w:t xml:space="preserve"> (по шкале 0–10 баллов)</w:t>
            </w:r>
            <w:r w:rsidR="00553482" w:rsidRPr="00E421A2">
              <w:rPr>
                <w:rFonts w:cs="Times New Roman"/>
                <w:sz w:val="22"/>
                <w:vertAlign w:val="superscript"/>
                <w:lang w:val="en-US"/>
              </w:rPr>
              <w:t>c</w:t>
            </w:r>
          </w:p>
        </w:tc>
        <w:tc>
          <w:tcPr>
            <w:tcW w:w="1076" w:type="dxa"/>
            <w:vAlign w:val="center"/>
          </w:tcPr>
          <w:p w14:paraId="7159A71E" w14:textId="3B3A17D3" w:rsidR="001F2DA0" w:rsidRPr="00E421A2" w:rsidRDefault="00264DF6" w:rsidP="00E421A2">
            <w:pPr>
              <w:ind w:firstLine="0"/>
              <w:jc w:val="center"/>
              <w:rPr>
                <w:rFonts w:cs="Times New Roman"/>
                <w:sz w:val="22"/>
              </w:rPr>
            </w:pPr>
            <w:r w:rsidRPr="00E421A2">
              <w:rPr>
                <w:rFonts w:cs="Times New Roman"/>
                <w:sz w:val="22"/>
              </w:rPr>
              <w:t>5,9</w:t>
            </w:r>
          </w:p>
        </w:tc>
        <w:tc>
          <w:tcPr>
            <w:tcW w:w="2313" w:type="dxa"/>
            <w:vAlign w:val="center"/>
          </w:tcPr>
          <w:p w14:paraId="176D18DF" w14:textId="4D194F4A" w:rsidR="001F2DA0" w:rsidRPr="00E421A2" w:rsidRDefault="00264DF6" w:rsidP="00E421A2">
            <w:pPr>
              <w:ind w:firstLine="0"/>
              <w:jc w:val="center"/>
              <w:rPr>
                <w:rFonts w:cs="Times New Roman"/>
                <w:sz w:val="22"/>
              </w:rPr>
            </w:pPr>
            <w:r w:rsidRPr="00E421A2">
              <w:rPr>
                <w:rFonts w:cs="Times New Roman"/>
                <w:sz w:val="22"/>
              </w:rPr>
              <w:t>-0,8</w:t>
            </w:r>
          </w:p>
        </w:tc>
        <w:tc>
          <w:tcPr>
            <w:tcW w:w="805" w:type="dxa"/>
            <w:vAlign w:val="center"/>
          </w:tcPr>
          <w:p w14:paraId="4F5FD6F0" w14:textId="67D74E5D" w:rsidR="001F2DA0" w:rsidRPr="00E421A2" w:rsidRDefault="006120E9" w:rsidP="00E421A2">
            <w:pPr>
              <w:ind w:firstLine="0"/>
              <w:jc w:val="center"/>
              <w:rPr>
                <w:rFonts w:cs="Times New Roman"/>
                <w:sz w:val="22"/>
              </w:rPr>
            </w:pPr>
            <w:r w:rsidRPr="00E421A2">
              <w:rPr>
                <w:rFonts w:cs="Times New Roman"/>
                <w:sz w:val="22"/>
              </w:rPr>
              <w:t>5,8</w:t>
            </w:r>
          </w:p>
        </w:tc>
        <w:tc>
          <w:tcPr>
            <w:tcW w:w="2322" w:type="dxa"/>
            <w:vAlign w:val="center"/>
          </w:tcPr>
          <w:p w14:paraId="2AC58A4F" w14:textId="18AAE134" w:rsidR="001F2DA0" w:rsidRPr="00E421A2" w:rsidRDefault="00E04220" w:rsidP="00E421A2">
            <w:pPr>
              <w:ind w:firstLine="0"/>
              <w:jc w:val="center"/>
              <w:rPr>
                <w:rFonts w:cs="Times New Roman"/>
                <w:sz w:val="22"/>
              </w:rPr>
            </w:pPr>
            <w:r w:rsidRPr="00E421A2">
              <w:rPr>
                <w:rFonts w:cs="Times New Roman"/>
                <w:sz w:val="22"/>
              </w:rPr>
              <w:t>-2,0</w:t>
            </w:r>
          </w:p>
        </w:tc>
        <w:tc>
          <w:tcPr>
            <w:tcW w:w="1364" w:type="dxa"/>
            <w:vAlign w:val="center"/>
          </w:tcPr>
          <w:p w14:paraId="7757B95C" w14:textId="7543B2AE" w:rsidR="001F2DA0" w:rsidRPr="00E421A2" w:rsidRDefault="008679BE" w:rsidP="00E421A2">
            <w:pPr>
              <w:ind w:firstLine="0"/>
              <w:jc w:val="center"/>
              <w:rPr>
                <w:rFonts w:cs="Times New Roman"/>
                <w:sz w:val="22"/>
              </w:rPr>
            </w:pPr>
            <w:r w:rsidRPr="00E421A2">
              <w:rPr>
                <w:rFonts w:cs="Times New Roman"/>
                <w:sz w:val="22"/>
              </w:rPr>
              <w:t>-1</w:t>
            </w:r>
            <w:r w:rsidR="009D1565" w:rsidRPr="00E421A2">
              <w:rPr>
                <w:rFonts w:cs="Times New Roman"/>
                <w:sz w:val="22"/>
              </w:rPr>
              <w:t>,</w:t>
            </w:r>
            <w:r w:rsidRPr="00E421A2">
              <w:rPr>
                <w:rFonts w:cs="Times New Roman"/>
                <w:sz w:val="22"/>
              </w:rPr>
              <w:t>2</w:t>
            </w:r>
            <w:r w:rsidR="009D1565" w:rsidRPr="00E421A2">
              <w:rPr>
                <w:rFonts w:cs="Times New Roman"/>
                <w:sz w:val="22"/>
              </w:rPr>
              <w:t xml:space="preserve"> </w:t>
            </w:r>
            <w:r w:rsidRPr="00E421A2">
              <w:rPr>
                <w:rFonts w:cs="Times New Roman"/>
                <w:sz w:val="22"/>
              </w:rPr>
              <w:t>(-1</w:t>
            </w:r>
            <w:r w:rsidR="009D1565" w:rsidRPr="00E421A2">
              <w:rPr>
                <w:rFonts w:cs="Times New Roman"/>
                <w:sz w:val="22"/>
              </w:rPr>
              <w:t>,</w:t>
            </w:r>
            <w:r w:rsidRPr="00E421A2">
              <w:rPr>
                <w:rFonts w:cs="Times New Roman"/>
                <w:sz w:val="22"/>
              </w:rPr>
              <w:t>66</w:t>
            </w:r>
            <w:r w:rsidR="000B0BFC" w:rsidRPr="00E421A2">
              <w:rPr>
                <w:rFonts w:cs="Times New Roman"/>
                <w:sz w:val="22"/>
              </w:rPr>
              <w:t>;</w:t>
            </w:r>
            <w:r w:rsidRPr="00E421A2">
              <w:rPr>
                <w:rFonts w:cs="Times New Roman"/>
                <w:sz w:val="22"/>
              </w:rPr>
              <w:t xml:space="preserve"> -0</w:t>
            </w:r>
            <w:r w:rsidR="009D1565" w:rsidRPr="00E421A2">
              <w:rPr>
                <w:rFonts w:cs="Times New Roman"/>
                <w:sz w:val="22"/>
              </w:rPr>
              <w:t>,</w:t>
            </w:r>
            <w:r w:rsidRPr="00E421A2">
              <w:rPr>
                <w:rFonts w:cs="Times New Roman"/>
                <w:sz w:val="22"/>
              </w:rPr>
              <w:t>80)**</w:t>
            </w:r>
          </w:p>
        </w:tc>
      </w:tr>
      <w:tr w:rsidR="001F2DA0" w:rsidRPr="008B29B2" w14:paraId="491F64C3" w14:textId="77777777" w:rsidTr="00E421A2">
        <w:tc>
          <w:tcPr>
            <w:tcW w:w="1476" w:type="dxa"/>
            <w:vAlign w:val="center"/>
          </w:tcPr>
          <w:p w14:paraId="6AC3C21C" w14:textId="1AA82DF0" w:rsidR="001F2DA0" w:rsidRPr="00E421A2" w:rsidRDefault="007F7B56" w:rsidP="001F2DA0">
            <w:pPr>
              <w:ind w:firstLine="0"/>
              <w:rPr>
                <w:rFonts w:cs="Times New Roman"/>
                <w:sz w:val="22"/>
              </w:rPr>
            </w:pPr>
            <w:r w:rsidRPr="00E421A2">
              <w:rPr>
                <w:rFonts w:cs="Times New Roman"/>
                <w:sz w:val="22"/>
              </w:rPr>
              <w:t>Воспаление (по шкале 0–10 баллов)</w:t>
            </w:r>
          </w:p>
        </w:tc>
        <w:tc>
          <w:tcPr>
            <w:tcW w:w="1076" w:type="dxa"/>
            <w:vAlign w:val="center"/>
          </w:tcPr>
          <w:p w14:paraId="72FAA3FB" w14:textId="13E0E6E5" w:rsidR="001F2DA0" w:rsidRPr="00E421A2" w:rsidRDefault="00264DF6" w:rsidP="00E421A2">
            <w:pPr>
              <w:ind w:firstLine="0"/>
              <w:jc w:val="center"/>
              <w:rPr>
                <w:rFonts w:cs="Times New Roman"/>
                <w:sz w:val="22"/>
              </w:rPr>
            </w:pPr>
            <w:r w:rsidRPr="00E421A2">
              <w:rPr>
                <w:rFonts w:cs="Times New Roman"/>
                <w:sz w:val="22"/>
              </w:rPr>
              <w:t>6,8</w:t>
            </w:r>
          </w:p>
        </w:tc>
        <w:tc>
          <w:tcPr>
            <w:tcW w:w="2313" w:type="dxa"/>
            <w:vAlign w:val="center"/>
          </w:tcPr>
          <w:p w14:paraId="1471BF09" w14:textId="56AD6068" w:rsidR="001F2DA0" w:rsidRPr="00E421A2" w:rsidRDefault="00264DF6" w:rsidP="00E421A2">
            <w:pPr>
              <w:ind w:firstLine="0"/>
              <w:jc w:val="center"/>
              <w:rPr>
                <w:rFonts w:cs="Times New Roman"/>
                <w:sz w:val="22"/>
              </w:rPr>
            </w:pPr>
            <w:r w:rsidRPr="00E421A2">
              <w:rPr>
                <w:rFonts w:cs="Times New Roman"/>
                <w:sz w:val="22"/>
              </w:rPr>
              <w:t>-1,0</w:t>
            </w:r>
          </w:p>
        </w:tc>
        <w:tc>
          <w:tcPr>
            <w:tcW w:w="805" w:type="dxa"/>
            <w:vAlign w:val="center"/>
          </w:tcPr>
          <w:p w14:paraId="6ABA70A4" w14:textId="1C2C216C" w:rsidR="001F2DA0" w:rsidRPr="00E421A2" w:rsidRDefault="00E04220" w:rsidP="00E421A2">
            <w:pPr>
              <w:ind w:firstLine="0"/>
              <w:jc w:val="center"/>
              <w:rPr>
                <w:rFonts w:cs="Times New Roman"/>
                <w:sz w:val="22"/>
              </w:rPr>
            </w:pPr>
            <w:r w:rsidRPr="00E421A2">
              <w:rPr>
                <w:rFonts w:cs="Times New Roman"/>
                <w:sz w:val="22"/>
              </w:rPr>
              <w:t>6,6</w:t>
            </w:r>
          </w:p>
        </w:tc>
        <w:tc>
          <w:tcPr>
            <w:tcW w:w="2322" w:type="dxa"/>
            <w:vAlign w:val="center"/>
          </w:tcPr>
          <w:p w14:paraId="0D804283" w14:textId="0514C741" w:rsidR="001F2DA0" w:rsidRPr="00E421A2" w:rsidRDefault="00E04220" w:rsidP="00E421A2">
            <w:pPr>
              <w:ind w:firstLine="0"/>
              <w:jc w:val="center"/>
              <w:rPr>
                <w:rFonts w:cs="Times New Roman"/>
                <w:sz w:val="22"/>
              </w:rPr>
            </w:pPr>
            <w:r w:rsidRPr="00E421A2">
              <w:rPr>
                <w:rFonts w:cs="Times New Roman"/>
                <w:sz w:val="22"/>
              </w:rPr>
              <w:t>-2,7</w:t>
            </w:r>
          </w:p>
        </w:tc>
        <w:tc>
          <w:tcPr>
            <w:tcW w:w="1364" w:type="dxa"/>
            <w:vAlign w:val="center"/>
          </w:tcPr>
          <w:p w14:paraId="0C844388" w14:textId="50CC2BD2" w:rsidR="001F2DA0" w:rsidRPr="00E421A2" w:rsidRDefault="008679BE" w:rsidP="00E421A2">
            <w:pPr>
              <w:ind w:firstLine="0"/>
              <w:jc w:val="center"/>
              <w:rPr>
                <w:rFonts w:cs="Times New Roman"/>
                <w:sz w:val="22"/>
              </w:rPr>
            </w:pPr>
            <w:r w:rsidRPr="00E421A2">
              <w:rPr>
                <w:rFonts w:cs="Times New Roman"/>
                <w:sz w:val="22"/>
              </w:rPr>
              <w:t>-1</w:t>
            </w:r>
            <w:r w:rsidR="009D1565" w:rsidRPr="00E421A2">
              <w:rPr>
                <w:rFonts w:cs="Times New Roman"/>
                <w:sz w:val="22"/>
              </w:rPr>
              <w:t>,</w:t>
            </w:r>
            <w:r w:rsidRPr="00E421A2">
              <w:rPr>
                <w:rFonts w:cs="Times New Roman"/>
                <w:sz w:val="22"/>
              </w:rPr>
              <w:t>7</w:t>
            </w:r>
            <w:r w:rsidR="009D1565" w:rsidRPr="00E421A2">
              <w:rPr>
                <w:rFonts w:cs="Times New Roman"/>
                <w:sz w:val="22"/>
              </w:rPr>
              <w:t xml:space="preserve"> </w:t>
            </w:r>
            <w:r w:rsidRPr="00E421A2">
              <w:rPr>
                <w:rFonts w:cs="Times New Roman"/>
                <w:sz w:val="22"/>
              </w:rPr>
              <w:t>(-2</w:t>
            </w:r>
            <w:r w:rsidR="009D1565" w:rsidRPr="00E421A2">
              <w:rPr>
                <w:rFonts w:cs="Times New Roman"/>
                <w:sz w:val="22"/>
              </w:rPr>
              <w:t>,</w:t>
            </w:r>
            <w:r w:rsidRPr="00E421A2">
              <w:rPr>
                <w:rFonts w:cs="Times New Roman"/>
                <w:sz w:val="22"/>
              </w:rPr>
              <w:t>18</w:t>
            </w:r>
            <w:r w:rsidR="000B0BFC" w:rsidRPr="00E421A2">
              <w:rPr>
                <w:rFonts w:cs="Times New Roman"/>
                <w:sz w:val="22"/>
              </w:rPr>
              <w:t>;</w:t>
            </w:r>
            <w:r w:rsidRPr="00E421A2">
              <w:rPr>
                <w:rFonts w:cs="Times New Roman"/>
                <w:sz w:val="22"/>
              </w:rPr>
              <w:t xml:space="preserve"> -1</w:t>
            </w:r>
            <w:r w:rsidR="009D1565" w:rsidRPr="00E421A2">
              <w:rPr>
                <w:rFonts w:cs="Times New Roman"/>
                <w:sz w:val="22"/>
              </w:rPr>
              <w:t>,</w:t>
            </w:r>
            <w:r w:rsidRPr="00E421A2">
              <w:rPr>
                <w:rFonts w:cs="Times New Roman"/>
                <w:sz w:val="22"/>
              </w:rPr>
              <w:t>25)**</w:t>
            </w:r>
          </w:p>
        </w:tc>
      </w:tr>
      <w:tr w:rsidR="001F2DA0" w:rsidRPr="008B29B2" w14:paraId="5749E987" w14:textId="77777777" w:rsidTr="00E421A2">
        <w:tc>
          <w:tcPr>
            <w:tcW w:w="1476" w:type="dxa"/>
            <w:vAlign w:val="center"/>
          </w:tcPr>
          <w:p w14:paraId="54697B0F" w14:textId="2F8381DF" w:rsidR="001F2DA0" w:rsidRPr="00E421A2" w:rsidRDefault="008B087F" w:rsidP="001F2DA0">
            <w:pPr>
              <w:ind w:firstLine="0"/>
              <w:rPr>
                <w:rFonts w:cs="Times New Roman"/>
                <w:sz w:val="22"/>
                <w:lang w:val="en-US"/>
              </w:rPr>
            </w:pPr>
            <w:r w:rsidRPr="00E421A2">
              <w:rPr>
                <w:rFonts w:cs="Times New Roman"/>
                <w:sz w:val="22"/>
                <w:lang w:val="en-US"/>
              </w:rPr>
              <w:t>BASDAI</w:t>
            </w:r>
          </w:p>
        </w:tc>
        <w:tc>
          <w:tcPr>
            <w:tcW w:w="1076" w:type="dxa"/>
            <w:vAlign w:val="center"/>
          </w:tcPr>
          <w:p w14:paraId="6DA2CFB4" w14:textId="17AA41B2" w:rsidR="001F2DA0" w:rsidRPr="00E421A2" w:rsidRDefault="00264DF6" w:rsidP="00E421A2">
            <w:pPr>
              <w:ind w:firstLine="0"/>
              <w:jc w:val="center"/>
              <w:rPr>
                <w:rFonts w:cs="Times New Roman"/>
                <w:sz w:val="22"/>
              </w:rPr>
            </w:pPr>
            <w:r w:rsidRPr="00E421A2">
              <w:rPr>
                <w:rFonts w:cs="Times New Roman"/>
                <w:sz w:val="22"/>
              </w:rPr>
              <w:t>6,5</w:t>
            </w:r>
          </w:p>
        </w:tc>
        <w:tc>
          <w:tcPr>
            <w:tcW w:w="2313" w:type="dxa"/>
            <w:vAlign w:val="center"/>
          </w:tcPr>
          <w:p w14:paraId="1A0723C1" w14:textId="25EF721D" w:rsidR="001F2DA0" w:rsidRPr="00E421A2" w:rsidRDefault="006120E9" w:rsidP="00E421A2">
            <w:pPr>
              <w:ind w:firstLine="0"/>
              <w:jc w:val="center"/>
              <w:rPr>
                <w:rFonts w:cs="Times New Roman"/>
                <w:sz w:val="22"/>
              </w:rPr>
            </w:pPr>
            <w:r w:rsidRPr="00E421A2">
              <w:rPr>
                <w:rFonts w:cs="Times New Roman"/>
                <w:sz w:val="22"/>
              </w:rPr>
              <w:t>-1,1</w:t>
            </w:r>
          </w:p>
        </w:tc>
        <w:tc>
          <w:tcPr>
            <w:tcW w:w="805" w:type="dxa"/>
            <w:vAlign w:val="center"/>
          </w:tcPr>
          <w:p w14:paraId="1EF3643A" w14:textId="37E148F8" w:rsidR="001F2DA0" w:rsidRPr="00E421A2" w:rsidRDefault="00E04220" w:rsidP="00E421A2">
            <w:pPr>
              <w:ind w:firstLine="0"/>
              <w:jc w:val="center"/>
              <w:rPr>
                <w:rFonts w:cs="Times New Roman"/>
                <w:sz w:val="22"/>
              </w:rPr>
            </w:pPr>
            <w:r w:rsidRPr="00E421A2">
              <w:rPr>
                <w:rFonts w:cs="Times New Roman"/>
                <w:sz w:val="22"/>
              </w:rPr>
              <w:t>6,4</w:t>
            </w:r>
          </w:p>
        </w:tc>
        <w:tc>
          <w:tcPr>
            <w:tcW w:w="2322" w:type="dxa"/>
            <w:vAlign w:val="center"/>
          </w:tcPr>
          <w:p w14:paraId="7A58D8FD" w14:textId="3346AAB8" w:rsidR="001F2DA0" w:rsidRPr="00E421A2" w:rsidRDefault="00E04220" w:rsidP="00E421A2">
            <w:pPr>
              <w:ind w:firstLine="0"/>
              <w:jc w:val="center"/>
              <w:rPr>
                <w:rFonts w:cs="Times New Roman"/>
                <w:sz w:val="22"/>
              </w:rPr>
            </w:pPr>
            <w:r w:rsidRPr="00E421A2">
              <w:rPr>
                <w:rFonts w:cs="Times New Roman"/>
                <w:sz w:val="22"/>
              </w:rPr>
              <w:t>-2,6</w:t>
            </w:r>
          </w:p>
        </w:tc>
        <w:tc>
          <w:tcPr>
            <w:tcW w:w="1364" w:type="dxa"/>
            <w:vAlign w:val="center"/>
          </w:tcPr>
          <w:p w14:paraId="3D894C89" w14:textId="493B9F60" w:rsidR="001F2DA0" w:rsidRPr="00E421A2" w:rsidRDefault="009D1565" w:rsidP="00E421A2">
            <w:pPr>
              <w:ind w:firstLine="0"/>
              <w:jc w:val="center"/>
              <w:rPr>
                <w:rFonts w:cs="Times New Roman"/>
                <w:sz w:val="22"/>
              </w:rPr>
            </w:pPr>
            <w:r w:rsidRPr="00E421A2">
              <w:rPr>
                <w:rFonts w:cs="Times New Roman"/>
                <w:sz w:val="22"/>
              </w:rPr>
              <w:t>-1.4 (-1,88</w:t>
            </w:r>
            <w:r w:rsidR="000B0BFC" w:rsidRPr="00E421A2">
              <w:rPr>
                <w:rFonts w:cs="Times New Roman"/>
                <w:sz w:val="22"/>
              </w:rPr>
              <w:t>;</w:t>
            </w:r>
            <w:r w:rsidRPr="00E421A2">
              <w:rPr>
                <w:rFonts w:cs="Times New Roman"/>
                <w:sz w:val="22"/>
              </w:rPr>
              <w:t xml:space="preserve"> -1,00)**</w:t>
            </w:r>
          </w:p>
        </w:tc>
      </w:tr>
      <w:tr w:rsidR="008B087F" w:rsidRPr="008B29B2" w14:paraId="72A20DEA" w14:textId="77777777" w:rsidTr="00E421A2">
        <w:tc>
          <w:tcPr>
            <w:tcW w:w="1476" w:type="dxa"/>
            <w:vAlign w:val="center"/>
          </w:tcPr>
          <w:p w14:paraId="78045F1A" w14:textId="7C5CD824" w:rsidR="008B087F" w:rsidRPr="00E421A2" w:rsidRDefault="008B087F" w:rsidP="001F2DA0">
            <w:pPr>
              <w:ind w:firstLine="0"/>
              <w:rPr>
                <w:rFonts w:cs="Times New Roman"/>
                <w:sz w:val="22"/>
                <w:lang w:val="en-US"/>
              </w:rPr>
            </w:pPr>
            <w:r w:rsidRPr="00E421A2">
              <w:rPr>
                <w:rFonts w:cs="Times New Roman"/>
                <w:sz w:val="22"/>
                <w:lang w:val="en-US"/>
              </w:rPr>
              <w:t>BASMI</w:t>
            </w:r>
          </w:p>
        </w:tc>
        <w:tc>
          <w:tcPr>
            <w:tcW w:w="1076" w:type="dxa"/>
            <w:vAlign w:val="center"/>
          </w:tcPr>
          <w:p w14:paraId="5AC1553D" w14:textId="690DDFEB" w:rsidR="008B087F" w:rsidRPr="00E421A2" w:rsidRDefault="00264DF6" w:rsidP="00E421A2">
            <w:pPr>
              <w:ind w:firstLine="0"/>
              <w:jc w:val="center"/>
              <w:rPr>
                <w:rFonts w:cs="Times New Roman"/>
                <w:sz w:val="22"/>
              </w:rPr>
            </w:pPr>
            <w:r w:rsidRPr="00E421A2">
              <w:rPr>
                <w:rFonts w:cs="Times New Roman"/>
                <w:sz w:val="22"/>
              </w:rPr>
              <w:t>4,4</w:t>
            </w:r>
          </w:p>
        </w:tc>
        <w:tc>
          <w:tcPr>
            <w:tcW w:w="2313" w:type="dxa"/>
            <w:vAlign w:val="center"/>
          </w:tcPr>
          <w:p w14:paraId="45EFFB79" w14:textId="2FC53572" w:rsidR="008B087F" w:rsidRPr="00E421A2" w:rsidRDefault="006120E9" w:rsidP="00E421A2">
            <w:pPr>
              <w:ind w:firstLine="0"/>
              <w:jc w:val="center"/>
              <w:rPr>
                <w:rFonts w:cs="Times New Roman"/>
                <w:sz w:val="22"/>
              </w:rPr>
            </w:pPr>
            <w:r w:rsidRPr="00E421A2">
              <w:rPr>
                <w:rFonts w:cs="Times New Roman"/>
                <w:sz w:val="22"/>
              </w:rPr>
              <w:t>-0,1</w:t>
            </w:r>
          </w:p>
        </w:tc>
        <w:tc>
          <w:tcPr>
            <w:tcW w:w="805" w:type="dxa"/>
            <w:vAlign w:val="center"/>
          </w:tcPr>
          <w:p w14:paraId="228F2388" w14:textId="6D55C6B7" w:rsidR="008B087F" w:rsidRPr="00E421A2" w:rsidRDefault="00E04220" w:rsidP="00E421A2">
            <w:pPr>
              <w:ind w:firstLine="0"/>
              <w:jc w:val="center"/>
              <w:rPr>
                <w:rFonts w:cs="Times New Roman"/>
                <w:sz w:val="22"/>
              </w:rPr>
            </w:pPr>
            <w:r w:rsidRPr="00E421A2">
              <w:rPr>
                <w:rFonts w:cs="Times New Roman"/>
                <w:sz w:val="22"/>
              </w:rPr>
              <w:t>4,5</w:t>
            </w:r>
          </w:p>
        </w:tc>
        <w:tc>
          <w:tcPr>
            <w:tcW w:w="2322" w:type="dxa"/>
            <w:vAlign w:val="center"/>
          </w:tcPr>
          <w:p w14:paraId="6852D253" w14:textId="43DDBBE9" w:rsidR="008B087F" w:rsidRPr="00E421A2" w:rsidRDefault="00E04220" w:rsidP="00E421A2">
            <w:pPr>
              <w:ind w:firstLine="0"/>
              <w:jc w:val="center"/>
              <w:rPr>
                <w:rFonts w:cs="Times New Roman"/>
                <w:sz w:val="22"/>
              </w:rPr>
            </w:pPr>
            <w:r w:rsidRPr="00E421A2">
              <w:rPr>
                <w:rFonts w:cs="Times New Roman"/>
                <w:sz w:val="22"/>
              </w:rPr>
              <w:t>-0,6</w:t>
            </w:r>
          </w:p>
        </w:tc>
        <w:tc>
          <w:tcPr>
            <w:tcW w:w="1364" w:type="dxa"/>
            <w:vAlign w:val="center"/>
          </w:tcPr>
          <w:p w14:paraId="4C5BA3A7" w14:textId="62223E0D" w:rsidR="008B087F" w:rsidRPr="00E421A2" w:rsidRDefault="009D1565" w:rsidP="00E421A2">
            <w:pPr>
              <w:ind w:firstLine="0"/>
              <w:jc w:val="center"/>
              <w:rPr>
                <w:rFonts w:cs="Times New Roman"/>
                <w:sz w:val="22"/>
              </w:rPr>
            </w:pPr>
            <w:r w:rsidRPr="00E421A2">
              <w:rPr>
                <w:rFonts w:cs="Times New Roman"/>
                <w:sz w:val="22"/>
              </w:rPr>
              <w:t>-0,5 (-0,67</w:t>
            </w:r>
            <w:r w:rsidR="000B0BFC" w:rsidRPr="00E421A2">
              <w:rPr>
                <w:rFonts w:cs="Times New Roman"/>
                <w:sz w:val="22"/>
              </w:rPr>
              <w:t>;</w:t>
            </w:r>
            <w:r w:rsidRPr="00E421A2">
              <w:rPr>
                <w:rFonts w:cs="Times New Roman"/>
                <w:sz w:val="22"/>
              </w:rPr>
              <w:t xml:space="preserve"> -0,37)**</w:t>
            </w:r>
          </w:p>
        </w:tc>
      </w:tr>
      <w:tr w:rsidR="008B087F" w:rsidRPr="008B29B2" w14:paraId="690BE921" w14:textId="77777777" w:rsidTr="00E421A2">
        <w:tc>
          <w:tcPr>
            <w:tcW w:w="1476" w:type="dxa"/>
            <w:vAlign w:val="center"/>
          </w:tcPr>
          <w:p w14:paraId="4DFCB874" w14:textId="0FCFE165" w:rsidR="008B087F" w:rsidRPr="00E421A2" w:rsidRDefault="00F965CD" w:rsidP="001F2DA0">
            <w:pPr>
              <w:ind w:firstLine="0"/>
              <w:rPr>
                <w:rFonts w:cs="Times New Roman"/>
                <w:sz w:val="22"/>
              </w:rPr>
            </w:pPr>
            <w:r w:rsidRPr="00E421A2">
              <w:rPr>
                <w:rFonts w:cs="Times New Roman"/>
                <w:sz w:val="22"/>
                <w:lang w:val="en-US"/>
              </w:rPr>
              <w:t>hsCRP (</w:t>
            </w:r>
            <w:r w:rsidRPr="00E421A2">
              <w:rPr>
                <w:rFonts w:cs="Times New Roman"/>
                <w:sz w:val="22"/>
              </w:rPr>
              <w:t>мг/дл)</w:t>
            </w:r>
          </w:p>
        </w:tc>
        <w:tc>
          <w:tcPr>
            <w:tcW w:w="1076" w:type="dxa"/>
            <w:vAlign w:val="center"/>
          </w:tcPr>
          <w:p w14:paraId="733D0A16" w14:textId="62748859" w:rsidR="008B087F" w:rsidRPr="00E421A2" w:rsidRDefault="00264DF6" w:rsidP="00E421A2">
            <w:pPr>
              <w:ind w:firstLine="0"/>
              <w:jc w:val="center"/>
              <w:rPr>
                <w:rFonts w:cs="Times New Roman"/>
                <w:sz w:val="22"/>
              </w:rPr>
            </w:pPr>
            <w:r w:rsidRPr="00E421A2">
              <w:rPr>
                <w:rFonts w:cs="Times New Roman"/>
                <w:sz w:val="22"/>
              </w:rPr>
              <w:t>1,8</w:t>
            </w:r>
          </w:p>
        </w:tc>
        <w:tc>
          <w:tcPr>
            <w:tcW w:w="2313" w:type="dxa"/>
            <w:vAlign w:val="center"/>
          </w:tcPr>
          <w:p w14:paraId="07B8E6EE" w14:textId="601F967E" w:rsidR="008B087F" w:rsidRPr="00E421A2" w:rsidRDefault="006120E9" w:rsidP="00E421A2">
            <w:pPr>
              <w:ind w:firstLine="0"/>
              <w:jc w:val="center"/>
              <w:rPr>
                <w:rFonts w:cs="Times New Roman"/>
                <w:sz w:val="22"/>
              </w:rPr>
            </w:pPr>
            <w:r w:rsidRPr="00E421A2">
              <w:rPr>
                <w:rFonts w:cs="Times New Roman"/>
                <w:sz w:val="22"/>
              </w:rPr>
              <w:t>-0,1</w:t>
            </w:r>
          </w:p>
        </w:tc>
        <w:tc>
          <w:tcPr>
            <w:tcW w:w="805" w:type="dxa"/>
            <w:vAlign w:val="center"/>
          </w:tcPr>
          <w:p w14:paraId="5B7FF287" w14:textId="6DFF5196" w:rsidR="008B087F" w:rsidRPr="00E421A2" w:rsidRDefault="00E04220" w:rsidP="00E421A2">
            <w:pPr>
              <w:ind w:firstLine="0"/>
              <w:jc w:val="center"/>
              <w:rPr>
                <w:rFonts w:cs="Times New Roman"/>
                <w:sz w:val="22"/>
              </w:rPr>
            </w:pPr>
            <w:r w:rsidRPr="00E421A2">
              <w:rPr>
                <w:rFonts w:cs="Times New Roman"/>
                <w:sz w:val="22"/>
              </w:rPr>
              <w:t>1,6</w:t>
            </w:r>
          </w:p>
        </w:tc>
        <w:tc>
          <w:tcPr>
            <w:tcW w:w="2322" w:type="dxa"/>
            <w:vAlign w:val="center"/>
          </w:tcPr>
          <w:p w14:paraId="56881C7A" w14:textId="118C2092" w:rsidR="008B087F" w:rsidRPr="00E421A2" w:rsidRDefault="00E04220" w:rsidP="00E421A2">
            <w:pPr>
              <w:ind w:firstLine="0"/>
              <w:jc w:val="center"/>
              <w:rPr>
                <w:rFonts w:cs="Times New Roman"/>
                <w:sz w:val="22"/>
              </w:rPr>
            </w:pPr>
            <w:r w:rsidRPr="00E421A2">
              <w:rPr>
                <w:rFonts w:cs="Times New Roman"/>
                <w:sz w:val="22"/>
              </w:rPr>
              <w:t>-1,1</w:t>
            </w:r>
          </w:p>
        </w:tc>
        <w:tc>
          <w:tcPr>
            <w:tcW w:w="1364" w:type="dxa"/>
            <w:vAlign w:val="center"/>
          </w:tcPr>
          <w:p w14:paraId="3EB962B1" w14:textId="2AD62F3E" w:rsidR="008B087F" w:rsidRPr="00E421A2" w:rsidRDefault="009D1565" w:rsidP="00E421A2">
            <w:pPr>
              <w:ind w:firstLine="0"/>
              <w:jc w:val="center"/>
              <w:rPr>
                <w:rFonts w:cs="Times New Roman"/>
                <w:sz w:val="22"/>
              </w:rPr>
            </w:pPr>
            <w:r w:rsidRPr="00E421A2">
              <w:rPr>
                <w:rFonts w:cs="Times New Roman"/>
                <w:sz w:val="22"/>
              </w:rPr>
              <w:t>-1,0 (-1,20</w:t>
            </w:r>
            <w:r w:rsidR="000B0BFC" w:rsidRPr="00E421A2">
              <w:rPr>
                <w:rFonts w:cs="Times New Roman"/>
                <w:sz w:val="22"/>
              </w:rPr>
              <w:t>;</w:t>
            </w:r>
            <w:r w:rsidRPr="00E421A2">
              <w:rPr>
                <w:rFonts w:cs="Times New Roman"/>
                <w:sz w:val="22"/>
              </w:rPr>
              <w:t xml:space="preserve"> -0,72)**</w:t>
            </w:r>
          </w:p>
        </w:tc>
      </w:tr>
      <w:tr w:rsidR="008B087F" w:rsidRPr="008B29B2" w14:paraId="713678D0" w14:textId="77777777" w:rsidTr="00E421A2">
        <w:tc>
          <w:tcPr>
            <w:tcW w:w="1476" w:type="dxa"/>
            <w:vAlign w:val="center"/>
          </w:tcPr>
          <w:p w14:paraId="08FB861C" w14:textId="55D435B5" w:rsidR="008B087F" w:rsidRPr="00E421A2" w:rsidRDefault="00F965CD" w:rsidP="001F2DA0">
            <w:pPr>
              <w:ind w:firstLine="0"/>
              <w:rPr>
                <w:rFonts w:cs="Times New Roman"/>
                <w:sz w:val="22"/>
                <w:lang w:val="en-US"/>
              </w:rPr>
            </w:pPr>
            <w:r w:rsidRPr="00E421A2">
              <w:rPr>
                <w:rFonts w:cs="Times New Roman"/>
                <w:sz w:val="22"/>
                <w:lang w:val="en-US"/>
              </w:rPr>
              <w:t>ASDAS</w:t>
            </w:r>
            <w:r w:rsidR="00CF4603" w:rsidRPr="00E421A2">
              <w:rPr>
                <w:rFonts w:cs="Times New Roman"/>
                <w:sz w:val="22"/>
                <w:lang w:val="en-US"/>
              </w:rPr>
              <w:t>crp</w:t>
            </w:r>
          </w:p>
        </w:tc>
        <w:tc>
          <w:tcPr>
            <w:tcW w:w="1076" w:type="dxa"/>
            <w:vAlign w:val="center"/>
          </w:tcPr>
          <w:p w14:paraId="3454A1F6" w14:textId="6042E653" w:rsidR="008B087F" w:rsidRPr="00E421A2" w:rsidRDefault="00264DF6" w:rsidP="00E421A2">
            <w:pPr>
              <w:ind w:firstLine="0"/>
              <w:jc w:val="center"/>
              <w:rPr>
                <w:rFonts w:cs="Times New Roman"/>
                <w:sz w:val="22"/>
              </w:rPr>
            </w:pPr>
            <w:r w:rsidRPr="00E421A2">
              <w:rPr>
                <w:rFonts w:cs="Times New Roman"/>
                <w:sz w:val="22"/>
              </w:rPr>
              <w:t>3,9</w:t>
            </w:r>
          </w:p>
        </w:tc>
        <w:tc>
          <w:tcPr>
            <w:tcW w:w="2313" w:type="dxa"/>
            <w:vAlign w:val="center"/>
          </w:tcPr>
          <w:p w14:paraId="2DD62047" w14:textId="58594E70" w:rsidR="008B087F" w:rsidRPr="00E421A2" w:rsidRDefault="006120E9" w:rsidP="00E421A2">
            <w:pPr>
              <w:ind w:firstLine="0"/>
              <w:jc w:val="center"/>
              <w:rPr>
                <w:rFonts w:cs="Times New Roman"/>
                <w:sz w:val="22"/>
              </w:rPr>
            </w:pPr>
            <w:r w:rsidRPr="00E421A2">
              <w:rPr>
                <w:rFonts w:cs="Times New Roman"/>
                <w:sz w:val="22"/>
              </w:rPr>
              <w:t>-0,4</w:t>
            </w:r>
          </w:p>
        </w:tc>
        <w:tc>
          <w:tcPr>
            <w:tcW w:w="805" w:type="dxa"/>
            <w:vAlign w:val="center"/>
          </w:tcPr>
          <w:p w14:paraId="0AA10954" w14:textId="1C29011C" w:rsidR="008B087F" w:rsidRPr="00E421A2" w:rsidRDefault="00E04220" w:rsidP="00E421A2">
            <w:pPr>
              <w:ind w:firstLine="0"/>
              <w:jc w:val="center"/>
              <w:rPr>
                <w:rFonts w:cs="Times New Roman"/>
                <w:sz w:val="22"/>
              </w:rPr>
            </w:pPr>
            <w:r w:rsidRPr="00E421A2">
              <w:rPr>
                <w:rFonts w:cs="Times New Roman"/>
                <w:sz w:val="22"/>
              </w:rPr>
              <w:t>3,8</w:t>
            </w:r>
          </w:p>
        </w:tc>
        <w:tc>
          <w:tcPr>
            <w:tcW w:w="2322" w:type="dxa"/>
            <w:vAlign w:val="center"/>
          </w:tcPr>
          <w:p w14:paraId="5EEFA492" w14:textId="7443AB20" w:rsidR="008B087F" w:rsidRPr="00E421A2" w:rsidRDefault="00E04220" w:rsidP="00E421A2">
            <w:pPr>
              <w:ind w:firstLine="0"/>
              <w:jc w:val="center"/>
              <w:rPr>
                <w:rFonts w:cs="Times New Roman"/>
                <w:sz w:val="22"/>
              </w:rPr>
            </w:pPr>
            <w:r w:rsidRPr="00E421A2">
              <w:rPr>
                <w:rFonts w:cs="Times New Roman"/>
                <w:sz w:val="22"/>
              </w:rPr>
              <w:t>-1,4</w:t>
            </w:r>
          </w:p>
        </w:tc>
        <w:tc>
          <w:tcPr>
            <w:tcW w:w="1364" w:type="dxa"/>
            <w:vAlign w:val="center"/>
          </w:tcPr>
          <w:p w14:paraId="2A8952B3" w14:textId="3A7A1F09" w:rsidR="008B087F" w:rsidRPr="00E421A2" w:rsidRDefault="009D1565" w:rsidP="00E421A2">
            <w:pPr>
              <w:ind w:firstLine="0"/>
              <w:jc w:val="center"/>
              <w:rPr>
                <w:rFonts w:cs="Times New Roman"/>
                <w:sz w:val="22"/>
              </w:rPr>
            </w:pPr>
            <w:r w:rsidRPr="00E421A2">
              <w:rPr>
                <w:rFonts w:cs="Times New Roman"/>
                <w:sz w:val="22"/>
              </w:rPr>
              <w:t>-1,0 (-1,16</w:t>
            </w:r>
            <w:r w:rsidR="000B0BFC" w:rsidRPr="00E421A2">
              <w:rPr>
                <w:rFonts w:cs="Times New Roman"/>
                <w:sz w:val="22"/>
              </w:rPr>
              <w:t>;</w:t>
            </w:r>
            <w:r w:rsidRPr="00E421A2">
              <w:rPr>
                <w:rFonts w:cs="Times New Roman"/>
                <w:sz w:val="22"/>
              </w:rPr>
              <w:t xml:space="preserve"> -0,79)**</w:t>
            </w:r>
          </w:p>
        </w:tc>
      </w:tr>
      <w:tr w:rsidR="00D22A13" w:rsidRPr="008B29B2" w14:paraId="3FDC0389" w14:textId="77777777" w:rsidTr="00E421A2">
        <w:tc>
          <w:tcPr>
            <w:tcW w:w="9356" w:type="dxa"/>
            <w:gridSpan w:val="6"/>
          </w:tcPr>
          <w:p w14:paraId="229B68E2" w14:textId="01D60EDD" w:rsidR="00D22A13" w:rsidRPr="00D22A13" w:rsidRDefault="00D22A13" w:rsidP="00D22A13">
            <w:pPr>
              <w:pStyle w:val="SDcomments"/>
              <w:ind w:firstLine="0"/>
              <w:contextualSpacing/>
              <w:rPr>
                <w:b/>
                <w:iCs/>
              </w:rPr>
            </w:pPr>
            <w:r w:rsidRPr="00D22A13">
              <w:rPr>
                <w:b/>
                <w:iCs/>
              </w:rPr>
              <w:t>Примечани</w:t>
            </w:r>
            <w:r w:rsidR="00615081">
              <w:rPr>
                <w:b/>
                <w:iCs/>
              </w:rPr>
              <w:t>е</w:t>
            </w:r>
            <w:r w:rsidRPr="00D22A13">
              <w:rPr>
                <w:b/>
                <w:iCs/>
              </w:rPr>
              <w:t>:</w:t>
            </w:r>
          </w:p>
          <w:p w14:paraId="798A0B2F" w14:textId="7160C62E" w:rsidR="00D22A13" w:rsidRDefault="00D22A13" w:rsidP="00D22A13">
            <w:pPr>
              <w:pStyle w:val="SDcomments"/>
              <w:ind w:firstLine="0"/>
              <w:contextualSpacing/>
            </w:pPr>
            <w:r w:rsidRPr="00335373">
              <w:t>ASAS20</w:t>
            </w:r>
            <w:r>
              <w:t xml:space="preserve"> – </w:t>
            </w:r>
            <w:r w:rsidRPr="00335373">
              <w:t>Шкал</w:t>
            </w:r>
            <w:r>
              <w:t>а</w:t>
            </w:r>
            <w:r w:rsidRPr="00335373">
              <w:t xml:space="preserve"> оценки Международного общества по изучению спондилоартритов (Assessment of Spondyloarthritis International Society)</w:t>
            </w:r>
            <w:r>
              <w:t xml:space="preserve">; ДИ – доверительный интервал; </w:t>
            </w:r>
            <w:r w:rsidRPr="0078698E">
              <w:t>BASFI</w:t>
            </w:r>
            <w:r>
              <w:t xml:space="preserve"> – </w:t>
            </w:r>
            <w:r w:rsidRPr="0078698E">
              <w:t xml:space="preserve">Батский индекс функциональных нарушений при анкилозирующем спондилоартрите </w:t>
            </w:r>
            <w:r>
              <w:t>(</w:t>
            </w:r>
            <w:r w:rsidRPr="0078698E">
              <w:t>Bath Ankylosing Spondylitis Functional Index</w:t>
            </w:r>
            <w:r>
              <w:t xml:space="preserve">; </w:t>
            </w:r>
            <w:r w:rsidRPr="0078698E">
              <w:t>BASDAI</w:t>
            </w:r>
            <w:r>
              <w:t xml:space="preserve"> – </w:t>
            </w:r>
            <w:r w:rsidRPr="00E52CD0">
              <w:t xml:space="preserve">Батский индекс активности анкилозирующего спондилоартрита </w:t>
            </w:r>
            <w:r>
              <w:t>(</w:t>
            </w:r>
            <w:r w:rsidRPr="00E52CD0">
              <w:t>Bath ankylosing spondylitis disease activity index</w:t>
            </w:r>
            <w:r>
              <w:t xml:space="preserve">); </w:t>
            </w:r>
            <w:r w:rsidRPr="008E3E52">
              <w:t>BASMI</w:t>
            </w:r>
            <w:r>
              <w:t xml:space="preserve"> –</w:t>
            </w:r>
            <w:r w:rsidRPr="006407D8">
              <w:t xml:space="preserve"> Батский метрологический индекс анкилозирующего спондилита</w:t>
            </w:r>
            <w:r>
              <w:t xml:space="preserve"> (</w:t>
            </w:r>
            <w:r w:rsidRPr="006407D8">
              <w:t>Bath Ankylosing Spondylitis Metrology Index</w:t>
            </w:r>
            <w:r>
              <w:t xml:space="preserve">); </w:t>
            </w:r>
            <w:r w:rsidRPr="006407D8">
              <w:t>hsCRP</w:t>
            </w:r>
            <w:r>
              <w:t xml:space="preserve"> – высокочувствительный </w:t>
            </w:r>
            <w:r>
              <w:rPr>
                <w:lang w:val="en-US"/>
              </w:rPr>
              <w:t>C</w:t>
            </w:r>
            <w:r w:rsidRPr="00CF39D9">
              <w:t>-</w:t>
            </w:r>
            <w:r>
              <w:t>реактивный белок (</w:t>
            </w:r>
            <w:r w:rsidRPr="00CF39D9">
              <w:t>High-sensitivity C-reactive protein</w:t>
            </w:r>
            <w:r>
              <w:t>);</w:t>
            </w:r>
            <w:r w:rsidRPr="00CF39D9">
              <w:t xml:space="preserve"> ASDAScrp</w:t>
            </w:r>
            <w:r>
              <w:t xml:space="preserve"> – индекс активности анкилозирующего спондиоартрита с</w:t>
            </w:r>
            <w:r w:rsidR="00383E6F">
              <w:t xml:space="preserve"> </w:t>
            </w:r>
            <w:r w:rsidRPr="00F52AC2">
              <w:t>высокочувствительны</w:t>
            </w:r>
            <w:r>
              <w:t>м</w:t>
            </w:r>
            <w:r w:rsidRPr="00F52AC2">
              <w:t xml:space="preserve"> C-реактивны</w:t>
            </w:r>
            <w:r>
              <w:t>м</w:t>
            </w:r>
            <w:r w:rsidRPr="00F52AC2">
              <w:t xml:space="preserve"> бел</w:t>
            </w:r>
            <w:r>
              <w:t>ком (</w:t>
            </w:r>
            <w:r w:rsidRPr="00C36D1A">
              <w:t>Ankylosing Spondylitis Disease Activity Score with C-reactive protein</w:t>
            </w:r>
            <w:r>
              <w:t>);</w:t>
            </w:r>
            <w:r w:rsidRPr="00733099">
              <w:t xml:space="preserve"> </w:t>
            </w:r>
            <w:r>
              <w:t xml:space="preserve">** – статистически значимые различия, </w:t>
            </w:r>
            <w:r>
              <w:rPr>
                <w:lang w:val="en-US"/>
              </w:rPr>
              <w:t>p</w:t>
            </w:r>
            <w:r w:rsidRPr="00EB3081">
              <w:t xml:space="preserve"> &lt; </w:t>
            </w:r>
            <w:r>
              <w:t xml:space="preserve">0,0001; </w:t>
            </w:r>
            <w:r>
              <w:rPr>
                <w:vertAlign w:val="superscript"/>
                <w:lang w:val="en-US"/>
              </w:rPr>
              <w:t>a</w:t>
            </w:r>
            <w:r>
              <w:t xml:space="preserve"> – 0 баллов соответствовало отсутствию активности и боли, а 10 баллов – максимальной активности и наиболее тяжелой боли; </w:t>
            </w:r>
            <w:r>
              <w:rPr>
                <w:vertAlign w:val="superscript"/>
                <w:lang w:val="en-US"/>
              </w:rPr>
              <w:t>b</w:t>
            </w:r>
            <w:r>
              <w:t xml:space="preserve"> – 0 баллов соответствовало легкому выполнению, а 10 баллов – невозможности выполнения; </w:t>
            </w:r>
            <w:r>
              <w:rPr>
                <w:vertAlign w:val="superscript"/>
                <w:lang w:val="en-US"/>
              </w:rPr>
              <w:t>c</w:t>
            </w:r>
            <w:r>
              <w:t xml:space="preserve"> – выраженности воспаления оценивали по двум оценкам пациентом скованности по </w:t>
            </w:r>
            <w:r w:rsidRPr="00797FCB">
              <w:t>BASDAI</w:t>
            </w:r>
            <w:r>
              <w:t>.</w:t>
            </w:r>
          </w:p>
        </w:tc>
      </w:tr>
    </w:tbl>
    <w:p w14:paraId="04FF8E6F" w14:textId="5C3F001A" w:rsidR="00D14DD2" w:rsidRDefault="00D14DD2" w:rsidP="00D22A13">
      <w:pPr>
        <w:pStyle w:val="SDText"/>
        <w:contextualSpacing/>
      </w:pPr>
    </w:p>
    <w:p w14:paraId="77F3C6B3" w14:textId="3C43E4EE" w:rsidR="00D14DD2" w:rsidRDefault="00D14DD2" w:rsidP="00D22A13">
      <w:pPr>
        <w:pStyle w:val="SDText"/>
        <w:contextualSpacing/>
      </w:pPr>
      <w:r>
        <w:t xml:space="preserve">У пациентов, принимавших тофацитиниб в дозе 5 мг два раза в день, </w:t>
      </w:r>
      <w:r w:rsidR="004708BD">
        <w:t xml:space="preserve">по сравнению с исходным уровнем </w:t>
      </w:r>
      <w:r>
        <w:t xml:space="preserve">наблюдали более выраженные улучшения </w:t>
      </w:r>
      <w:r w:rsidR="004708BD">
        <w:t xml:space="preserve">по шкале </w:t>
      </w:r>
      <w:r>
        <w:t xml:space="preserve">качества жизни </w:t>
      </w:r>
      <w:r>
        <w:lastRenderedPageBreak/>
        <w:t>при анкилозирующем спондилите (</w:t>
      </w:r>
      <w:r w:rsidR="004708BD" w:rsidRPr="004708BD">
        <w:t>Ankylosing Spondylitis Quality of Life</w:t>
      </w:r>
      <w:r w:rsidR="004708BD">
        <w:t xml:space="preserve">, </w:t>
      </w:r>
      <w:r>
        <w:t xml:space="preserve">ASQoL) (-4,0 против -2,0) и </w:t>
      </w:r>
      <w:r w:rsidR="004C1736">
        <w:t>под</w:t>
      </w:r>
      <w:r w:rsidR="00F85EF9">
        <w:t>ш</w:t>
      </w:r>
      <w:r w:rsidR="004C1736">
        <w:t xml:space="preserve">калы усталости шкалы </w:t>
      </w:r>
      <w:r>
        <w:t>функциональн</w:t>
      </w:r>
      <w:r w:rsidR="004708BD">
        <w:t>ой</w:t>
      </w:r>
      <w:r>
        <w:t xml:space="preserve"> оценк</w:t>
      </w:r>
      <w:r w:rsidR="004708BD">
        <w:t>и</w:t>
      </w:r>
      <w:r>
        <w:t xml:space="preserve"> </w:t>
      </w:r>
      <w:r w:rsidR="008565F5">
        <w:t xml:space="preserve">терапии </w:t>
      </w:r>
      <w:r>
        <w:t xml:space="preserve">хронического </w:t>
      </w:r>
      <w:r w:rsidR="008565F5">
        <w:t>заболевания</w:t>
      </w:r>
      <w:r>
        <w:t xml:space="preserve"> (</w:t>
      </w:r>
      <w:r w:rsidR="00496A8C" w:rsidRPr="00496A8C">
        <w:t>Functional Assessment of Chronic Illness Therapy</w:t>
      </w:r>
      <w:r w:rsidR="004D5A99" w:rsidRPr="004D5A99">
        <w:t xml:space="preserve"> </w:t>
      </w:r>
      <w:r w:rsidR="004D5A99">
        <w:t xml:space="preserve">– </w:t>
      </w:r>
      <w:r w:rsidR="004D5A99" w:rsidRPr="004D5A99">
        <w:t>Fatigue</w:t>
      </w:r>
      <w:r w:rsidR="00496A8C">
        <w:t xml:space="preserve">, </w:t>
      </w:r>
      <w:r>
        <w:t>FACIT-F)</w:t>
      </w:r>
      <w:r w:rsidR="004D5A99">
        <w:t>:</w:t>
      </w:r>
      <w:r>
        <w:t xml:space="preserve"> </w:t>
      </w:r>
      <w:r w:rsidR="004D5A99">
        <w:t>о</w:t>
      </w:r>
      <w:r>
        <w:t xml:space="preserve">бщий балл (6,5 против 3,1) по сравнению с пациентами, получавшими плацебо </w:t>
      </w:r>
      <w:r w:rsidR="004D5A99">
        <w:t>на</w:t>
      </w:r>
      <w:r>
        <w:t xml:space="preserve"> 16 недел</w:t>
      </w:r>
      <w:r w:rsidR="004D5A99">
        <w:t>е</w:t>
      </w:r>
      <w:r>
        <w:t xml:space="preserve"> (р</w:t>
      </w:r>
      <w:r w:rsidR="004D5A99">
        <w:t xml:space="preserve"> </w:t>
      </w:r>
      <w:r>
        <w:t>&lt;</w:t>
      </w:r>
      <w:r w:rsidR="004D5A99">
        <w:t xml:space="preserve"> </w:t>
      </w:r>
      <w:r>
        <w:t xml:space="preserve">0,001). Пациенты, получавшие тофацитиниб в дозе 5 мг два раза в день, достигли стабильно более высоких показателей улучшения по сравнению с исходным уровнем </w:t>
      </w:r>
      <w:r w:rsidR="004D5A99">
        <w:t>по</w:t>
      </w:r>
      <w:r>
        <w:t xml:space="preserve"> Кратко</w:t>
      </w:r>
      <w:r w:rsidR="00412BDF">
        <w:t>й форме</w:t>
      </w:r>
      <w:r>
        <w:t xml:space="preserve"> опрос</w:t>
      </w:r>
      <w:r w:rsidR="004D5A99">
        <w:t>ник</w:t>
      </w:r>
      <w:r w:rsidR="00412BDF">
        <w:t>а качества жизни</w:t>
      </w:r>
      <w:r>
        <w:t xml:space="preserve">, </w:t>
      </w:r>
      <w:r w:rsidR="00F85EF9">
        <w:t xml:space="preserve">состоящей из 36 пунктов </w:t>
      </w:r>
      <w:r>
        <w:t>версия 2 (</w:t>
      </w:r>
      <w:r w:rsidR="00412BDF" w:rsidRPr="00412BDF">
        <w:t xml:space="preserve">Short Form health survey </w:t>
      </w:r>
      <w:r w:rsidR="00F85EF9">
        <w:t xml:space="preserve">36 </w:t>
      </w:r>
      <w:r w:rsidR="00F85EF9">
        <w:rPr>
          <w:lang w:val="en-US"/>
        </w:rPr>
        <w:t>item</w:t>
      </w:r>
      <w:r w:rsidR="00F85EF9">
        <w:t xml:space="preserve"> </w:t>
      </w:r>
      <w:r w:rsidR="00412BDF" w:rsidRPr="00412BDF">
        <w:t>version 2</w:t>
      </w:r>
      <w:r w:rsidR="00412BDF">
        <w:t>,</w:t>
      </w:r>
      <w:r w:rsidR="00412BDF" w:rsidRPr="00412BDF">
        <w:t xml:space="preserve"> </w:t>
      </w:r>
      <w:r>
        <w:t xml:space="preserve">SF-36v2), </w:t>
      </w:r>
      <w:r w:rsidR="00083FFB">
        <w:t xml:space="preserve">домену </w:t>
      </w:r>
      <w:r w:rsidR="00412BDF">
        <w:t>ф</w:t>
      </w:r>
      <w:r>
        <w:t>изическ</w:t>
      </w:r>
      <w:r w:rsidR="00083FFB">
        <w:t>ого</w:t>
      </w:r>
      <w:r>
        <w:t xml:space="preserve"> </w:t>
      </w:r>
      <w:r w:rsidR="00083FFB">
        <w:t>компонента</w:t>
      </w:r>
      <w:r>
        <w:t xml:space="preserve"> по сравнению с пациентами, получавшими плацебо, на 16 неделе </w:t>
      </w:r>
      <w:r w:rsidR="00821BDD">
        <w:fldChar w:fldCharType="begin"/>
      </w:r>
      <w:r w:rsidR="008D5290">
        <w:instrText xml:space="preserve"> ADDIN ZOTERO_ITEM CSL_CITATION {"citationID":"nGsNvndQ","properties":{"formattedCitation":"[24]","plainCitation":"[24]","noteIndex":0},"citationItems":[{"id":87800,"uris":["http://zotero.org/groups/4742804/items/TPCQ89X9"],"itemData":{"id":87800,"type":"webpage","title":"Xeljanz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21BDD">
        <w:fldChar w:fldCharType="separate"/>
      </w:r>
      <w:r w:rsidR="00DE2C35">
        <w:rPr>
          <w:rFonts w:cs="Times New Roman"/>
        </w:rPr>
        <w:t>[2</w:t>
      </w:r>
      <w:r w:rsidR="008D5290" w:rsidRPr="008D5290">
        <w:rPr>
          <w:rFonts w:cs="Times New Roman"/>
        </w:rPr>
        <w:t>]</w:t>
      </w:r>
      <w:r w:rsidR="00821BDD">
        <w:fldChar w:fldCharType="end"/>
      </w:r>
      <w:r w:rsidR="00821BDD">
        <w:t>.</w:t>
      </w:r>
    </w:p>
    <w:p w14:paraId="45241A5A" w14:textId="475609DB" w:rsidR="00F40908" w:rsidRDefault="009E14FC" w:rsidP="009E14FC">
      <w:pPr>
        <w:pStyle w:val="4"/>
        <w:numPr>
          <w:ilvl w:val="0"/>
          <w:numId w:val="0"/>
        </w:numPr>
        <w:contextualSpacing/>
      </w:pPr>
      <w:bookmarkStart w:id="244" w:name="_Toc121592604"/>
      <w:r>
        <w:t xml:space="preserve">4.3.1.4. </w:t>
      </w:r>
      <w:r w:rsidR="007B71A3">
        <w:t>Бляшечный псориаз</w:t>
      </w:r>
      <w:bookmarkEnd w:id="244"/>
    </w:p>
    <w:p w14:paraId="06D74196" w14:textId="77777777" w:rsidR="00D22A13" w:rsidRDefault="00D22A13" w:rsidP="00D22A13">
      <w:pPr>
        <w:contextualSpacing/>
      </w:pPr>
    </w:p>
    <w:p w14:paraId="2E63B21F" w14:textId="45035335" w:rsidR="0051515A" w:rsidRPr="007E5933" w:rsidRDefault="00054BAE" w:rsidP="00D22A13">
      <w:pPr>
        <w:contextualSpacing/>
      </w:pPr>
      <w:r>
        <w:t>Имеются</w:t>
      </w:r>
      <w:r w:rsidR="003D30A0">
        <w:t xml:space="preserve"> результаты двух рандомизированных плацебо-контролируемых исследований фазы </w:t>
      </w:r>
      <w:r w:rsidR="003D30A0">
        <w:rPr>
          <w:lang w:val="en-US"/>
        </w:rPr>
        <w:t>III</w:t>
      </w:r>
      <w:r w:rsidR="003D30A0" w:rsidRPr="003D30A0">
        <w:t xml:space="preserve"> </w:t>
      </w:r>
      <w:r w:rsidR="002A266A">
        <w:t xml:space="preserve">использования тофацитиниба у пациентов с бляшечным псориазом </w:t>
      </w:r>
      <w:r w:rsidR="00FC4899">
        <w:t xml:space="preserve">умеренной или тяжелой степени тяжести. </w:t>
      </w:r>
      <w:r w:rsidR="002277E3">
        <w:t xml:space="preserve">В исследовании </w:t>
      </w:r>
      <w:r w:rsidR="002277E3" w:rsidRPr="002277E3">
        <w:t>OPT Pivotal 1</w:t>
      </w:r>
      <w:r w:rsidR="002277E3">
        <w:t xml:space="preserve"> принял участие 901 пациент, а в исследовании </w:t>
      </w:r>
      <w:r w:rsidR="002277E3" w:rsidRPr="002277E3">
        <w:t xml:space="preserve">OPT Pivotal </w:t>
      </w:r>
      <w:r w:rsidR="002277E3">
        <w:t xml:space="preserve">2 – 960 пациентов. </w:t>
      </w:r>
      <w:r w:rsidR="00AB141B">
        <w:t xml:space="preserve">Сопервичными конечными точками эффективности являлись доля пациентов, достигших ответа по </w:t>
      </w:r>
      <w:r w:rsidR="00AB141B" w:rsidRPr="001B1089">
        <w:t>PGA</w:t>
      </w:r>
      <w:r w:rsidR="00AB141B">
        <w:t xml:space="preserve"> «разрешение» или «близкое к разрешению» и доля пациентов, достигших </w:t>
      </w:r>
      <w:r w:rsidR="00AB141B">
        <w:rPr>
          <w:rFonts w:cs="Times New Roman"/>
        </w:rPr>
        <w:t>≥</w:t>
      </w:r>
      <w:r w:rsidR="00AB141B">
        <w:t xml:space="preserve"> 75% снижения от исходного значения индекса площади и тяжести псориаза </w:t>
      </w:r>
      <w:r w:rsidR="00AB141B" w:rsidRPr="00AD766A">
        <w:t>(Psoriasis Area and Severity Index</w:t>
      </w:r>
      <w:r w:rsidR="00AB141B">
        <w:t xml:space="preserve">, </w:t>
      </w:r>
      <w:r w:rsidR="00AB141B" w:rsidRPr="00AD766A">
        <w:t>PASI75)</w:t>
      </w:r>
      <w:r w:rsidR="00AB141B">
        <w:t xml:space="preserve"> на неделе 16.</w:t>
      </w:r>
      <w:r w:rsidR="00690A1F">
        <w:t xml:space="preserve"> </w:t>
      </w:r>
      <w:r w:rsidR="001D5239" w:rsidRPr="001D5239">
        <w:t xml:space="preserve">В </w:t>
      </w:r>
      <w:r w:rsidR="001D5239">
        <w:t xml:space="preserve">исследованиях </w:t>
      </w:r>
      <w:r w:rsidR="001D5239" w:rsidRPr="001D5239">
        <w:t>OPT Pivotal 1 и OPT Pivotal 2 745 пациентов получали тофацитиниб в дозе 5 мг</w:t>
      </w:r>
      <w:r w:rsidR="001D5239">
        <w:t xml:space="preserve"> 2 раза в день</w:t>
      </w:r>
      <w:r w:rsidR="001D5239" w:rsidRPr="001D5239">
        <w:t xml:space="preserve">, 741 — тофацитиниб в дозе 10 мг </w:t>
      </w:r>
      <w:r w:rsidR="001D5239">
        <w:t xml:space="preserve">2 раза в день </w:t>
      </w:r>
      <w:r w:rsidR="001D5239" w:rsidRPr="001D5239">
        <w:t>и 373</w:t>
      </w:r>
      <w:r w:rsidR="001D5239">
        <w:t xml:space="preserve"> – </w:t>
      </w:r>
      <w:r w:rsidR="001D5239" w:rsidRPr="001D5239">
        <w:t xml:space="preserve">плацебо. На 16 неделе большая доля пациентов достигла ответа PGA при </w:t>
      </w:r>
      <w:r w:rsidR="001D5239">
        <w:t>использовании</w:t>
      </w:r>
      <w:r w:rsidR="001D5239" w:rsidRPr="001D5239">
        <w:t xml:space="preserve"> тофацитиниба в дозах 5 и 10 мг два раза в день по сравнению с плацебо (OPT 1</w:t>
      </w:r>
      <w:r w:rsidR="001D5239">
        <w:t>:</w:t>
      </w:r>
      <w:r w:rsidR="001D5239" w:rsidRPr="001D5239">
        <w:t xml:space="preserve"> 41,9 и 59,2% по сравнению с 9,0%; OPT Pivotal 2</w:t>
      </w:r>
      <w:r w:rsidR="001D5239">
        <w:t>:</w:t>
      </w:r>
      <w:r w:rsidR="001D5239" w:rsidRPr="001D5239">
        <w:t xml:space="preserve"> 46,0 и 59,1% против 10,9%, </w:t>
      </w:r>
      <w:r w:rsidR="00A2278C" w:rsidRPr="001D5239">
        <w:t>p</w:t>
      </w:r>
      <w:r>
        <w:t xml:space="preserve"> &lt;</w:t>
      </w:r>
      <w:r w:rsidR="001D5239" w:rsidRPr="001D5239">
        <w:t>0,001</w:t>
      </w:r>
      <w:r w:rsidR="00A2278C">
        <w:t xml:space="preserve"> для всех сравнений</w:t>
      </w:r>
      <w:r w:rsidR="001D5239" w:rsidRPr="001D5239">
        <w:t>). Более высок</w:t>
      </w:r>
      <w:r w:rsidR="00A2278C">
        <w:t xml:space="preserve">ую долю пациентов с </w:t>
      </w:r>
      <w:r w:rsidR="001D5239" w:rsidRPr="001D5239">
        <w:t xml:space="preserve">PASI75 наблюдали при </w:t>
      </w:r>
      <w:r w:rsidR="00A2278C">
        <w:t>использовании</w:t>
      </w:r>
      <w:r w:rsidR="001D5239" w:rsidRPr="001D5239">
        <w:t xml:space="preserve"> тофацитиниба по сравнению с плацебо (OPT Pivotal 1</w:t>
      </w:r>
      <w:r w:rsidR="00A2278C">
        <w:t>:</w:t>
      </w:r>
      <w:r w:rsidR="001D5239" w:rsidRPr="001D5239">
        <w:t xml:space="preserve"> 39,9, 59,2 и 6,2% соответственно для тофацитиниба в дозе 5 и 10 мг два раза в день и плацебо; OPT Pivotal 2</w:t>
      </w:r>
      <w:r w:rsidR="006C3E05">
        <w:t xml:space="preserve">: </w:t>
      </w:r>
      <w:r w:rsidR="001D5239" w:rsidRPr="001D5239">
        <w:t>46</w:t>
      </w:r>
      <w:r w:rsidR="006C3E05">
        <w:t>,</w:t>
      </w:r>
      <w:r w:rsidR="001D5239" w:rsidRPr="001D5239">
        <w:t xml:space="preserve">0, 59,6 и 11,4%, </w:t>
      </w:r>
      <w:r w:rsidR="006C3E05" w:rsidRPr="001D5239">
        <w:t>p</w:t>
      </w:r>
      <w:r w:rsidR="001D5239" w:rsidRPr="001D5239">
        <w:t xml:space="preserve"> &lt;</w:t>
      </w:r>
      <w:r w:rsidR="006C3E05">
        <w:t xml:space="preserve"> </w:t>
      </w:r>
      <w:r w:rsidR="001D5239" w:rsidRPr="001D5239">
        <w:t xml:space="preserve">0,001 </w:t>
      </w:r>
      <w:r w:rsidR="006C3E05">
        <w:t xml:space="preserve">для всех </w:t>
      </w:r>
      <w:r w:rsidR="001D5239" w:rsidRPr="001D5239">
        <w:t>сравнени</w:t>
      </w:r>
      <w:r w:rsidR="006C3E05">
        <w:t xml:space="preserve">й активной терапии </w:t>
      </w:r>
      <w:r w:rsidR="001D5239" w:rsidRPr="001D5239">
        <w:t>с плацебо)</w:t>
      </w:r>
      <w:r w:rsidR="00B53860">
        <w:t xml:space="preserve"> </w:t>
      </w:r>
      <w:r w:rsidR="00B53860">
        <w:fldChar w:fldCharType="begin"/>
      </w:r>
      <w:r w:rsidR="00BC2A49">
        <w:instrText xml:space="preserve"> ADDIN ZOTERO_ITEM CSL_CITATION {"citationID":"3wY2XbB0","properties":{"formattedCitation":"[25]","plainCitation":"[25]","noteIndex":0},"citationItems":[{"id":91576,"uris":["http://zotero.org/groups/4742804/items/Z4HDYIIB"],"itemData":{"id":91576,"type":"article-journal","abstract":"BACKGROUND: Tofacitinib is an oral Janus kinase inhibitor being investigated for psoriasis.\nOBJECTIVES: To determine the 16-week efficacy and safety of two oral tofacitinib doses vs. placebo in patients with moderate-to-severe chronic plaque psoriasis.\nMETHODS: Patients in two similarly designed phase III studies (OPT Pivotal 1, NCT01276639, n = 901; OPT Pivotal 2, NCT01309737, n = 960) were initially randomized 2 : 2 : 1 to tofacitinib 10 or 5 mg or placebo, twice daily. Coprimary efficacy end points (week 16) included the proportion of patients achieving Physician's Global Assessment (PGA) of 'clear' or 'almost clear' (PGA response) and the proportion achieving ≥ 75% reduction in Psoriasis Area and Severity Index (PASI 75).\nRESULTS: Across OPT Pivotal 1 and OPT Pivotal 2, 745 patients received tofacitinib 5 mg, 741 received tofacitinib 10 mg and 373 received placebo. At week 16, a greater proportion of patients achieved PGA responses with tofacitinib 5 and 10 mg twice daily vs. placebo (OPT Pivotal 1, 41·9% and 59·2% vs. 9·0%; OPT Pivotal 2, 46·0% and 59·1% vs. 10·9%; all P &lt; 0·001). Higher PASI 75 rates were observed with tofacitinib vs. placebo (OPT Pivotal 1, 39·9%, 59·2% and 6·2%, respectively, for tofacitinib 5 and 10 mg twice daily and placebo; OPT Pivotal 2, 46·0%, 59·6% and 11·4%; all P &lt; 0·001 vs. placebo). Adverse event (AE) rates appeared generally similar across groups; rates of serious AEs, infections, malignancies and discontinuations due to AEs were low. Twelve patients reported herpes zoster across the tofacitinib treatment groups in both studies vs. none in the respective placebo groups. The most common AE across groups was nasopharyngitis.\nCONCLUSIONS: Oral tofacitinib demonstrated significant efficacy vs. placebo during the initial 16 weeks of treatment in patients with moderate-to-severe psoriasis. Safety findings were consistent with prior studies.","container-title":"The British Journal of Dermatology","DOI":"10.1111/bjd.14018","ISSN":"1365-2133","issue":"4","journalAbbreviation":"Br J Dermatol","language":"eng","note":"PMID: 26149717","page":"949-961","source":"PubMed","title":"Tofacitinib, an oral Janus kinase inhibitor, for the treatment of chronic plaque psoriasis: results from two randomized, placebo-controlled, phase III trials","title-short":"Tofacitinib, an oral Janus kinase inhibitor, for the treatment of chronic plaque psoriasis","volume":"173","author":[{"family":"Papp","given":"K. A."},{"family":"Menter","given":"M. A."},{"family":"Abe","given":"M."},{"family":"Elewski","given":"B."},{"family":"Feldman","given":"S. R."},{"family":"Gottlieb","given":"A. B."},{"family":"Langley","given":"R."},{"family":"Luger","given":"T."},{"family":"Thaci","given":"D."},{"family":"Buonanno","given":"M."},{"family":"Gupta","given":"P."},{"family":"Proulx","given":"J."},{"family":"Lan","given":"S."},{"family":"Wolk","given":"R."},{"literal":"OPT Pivotal 1 and OPT Pivotal 2 investigators"}],"issued":{"date-parts":[["2015",10]]}}}],"schema":"https://github.com/citation-style-language/schema/raw/master/csl-citation.json"} </w:instrText>
      </w:r>
      <w:r w:rsidR="00B53860">
        <w:fldChar w:fldCharType="separate"/>
      </w:r>
      <w:r w:rsidR="00DE2C35">
        <w:rPr>
          <w:rFonts w:cs="Times New Roman"/>
        </w:rPr>
        <w:t>[</w:t>
      </w:r>
      <w:r w:rsidR="00DE2C35" w:rsidRPr="00014867">
        <w:rPr>
          <w:rFonts w:cs="Times New Roman"/>
        </w:rPr>
        <w:t>3</w:t>
      </w:r>
      <w:r w:rsidR="008D5290" w:rsidRPr="008D5290">
        <w:rPr>
          <w:rFonts w:cs="Times New Roman"/>
        </w:rPr>
        <w:t>]</w:t>
      </w:r>
      <w:r w:rsidR="00B53860">
        <w:fldChar w:fldCharType="end"/>
      </w:r>
      <w:r w:rsidR="00A467DF">
        <w:t>.</w:t>
      </w:r>
    </w:p>
    <w:p w14:paraId="1021C88F" w14:textId="00B665F3" w:rsidR="00880328" w:rsidRPr="007E5933" w:rsidRDefault="00054BAE" w:rsidP="00D22A13">
      <w:pPr>
        <w:contextualSpacing/>
      </w:pPr>
      <w:r>
        <w:t xml:space="preserve">В </w:t>
      </w:r>
      <w:r w:rsidR="006E5A60">
        <w:t>рандомизированном</w:t>
      </w:r>
      <w:r w:rsidR="006E5A60" w:rsidRPr="007E5933">
        <w:t xml:space="preserve"> </w:t>
      </w:r>
      <w:r w:rsidR="006E5A60">
        <w:t>двойном</w:t>
      </w:r>
      <w:r w:rsidR="006E5A60" w:rsidRPr="007E5933">
        <w:t xml:space="preserve"> </w:t>
      </w:r>
      <w:r w:rsidR="006E5A60">
        <w:t>слепом</w:t>
      </w:r>
      <w:r w:rsidR="006E5A60" w:rsidRPr="007E5933">
        <w:t xml:space="preserve"> </w:t>
      </w:r>
      <w:r w:rsidR="006E5A60">
        <w:t>плацебо</w:t>
      </w:r>
      <w:r w:rsidR="006E5A60" w:rsidRPr="007E5933">
        <w:t>-</w:t>
      </w:r>
      <w:r w:rsidR="006E5A60">
        <w:t>контролируемом</w:t>
      </w:r>
      <w:r w:rsidR="006E5A60" w:rsidRPr="007E5933">
        <w:t xml:space="preserve"> </w:t>
      </w:r>
      <w:r w:rsidR="006E5A60">
        <w:t>исследовании</w:t>
      </w:r>
      <w:r w:rsidR="006E5A60" w:rsidRPr="007E5933">
        <w:t xml:space="preserve"> </w:t>
      </w:r>
      <w:r w:rsidR="006E5A60">
        <w:t>изучили</w:t>
      </w:r>
      <w:r w:rsidR="006E5A60" w:rsidRPr="007E5933">
        <w:t xml:space="preserve"> </w:t>
      </w:r>
      <w:r w:rsidR="006E5A60">
        <w:t>эффективность</w:t>
      </w:r>
      <w:r w:rsidR="006E5A60" w:rsidRPr="007E5933">
        <w:t xml:space="preserve"> </w:t>
      </w:r>
      <w:r w:rsidR="006E5A60">
        <w:t>и</w:t>
      </w:r>
      <w:r w:rsidR="006E5A60" w:rsidRPr="007E5933">
        <w:t xml:space="preserve"> </w:t>
      </w:r>
      <w:r w:rsidR="006E5A60">
        <w:t>безопасность</w:t>
      </w:r>
      <w:r w:rsidR="006E5A60" w:rsidRPr="007E5933">
        <w:t xml:space="preserve"> </w:t>
      </w:r>
      <w:r w:rsidR="006E5A60">
        <w:t>тофацитиниба</w:t>
      </w:r>
      <w:r w:rsidR="006E5A60" w:rsidRPr="007E5933">
        <w:t xml:space="preserve"> </w:t>
      </w:r>
      <w:r w:rsidR="006E5A60">
        <w:t>у</w:t>
      </w:r>
      <w:r w:rsidR="006E5A60" w:rsidRPr="007E5933">
        <w:t xml:space="preserve"> </w:t>
      </w:r>
      <w:r w:rsidR="00717538">
        <w:t>азиатских</w:t>
      </w:r>
      <w:r w:rsidR="00717538" w:rsidRPr="007E5933">
        <w:t xml:space="preserve"> </w:t>
      </w:r>
      <w:r w:rsidR="006E5A60">
        <w:t>пациентов</w:t>
      </w:r>
      <w:r w:rsidR="006E5A60" w:rsidRPr="007E5933">
        <w:t xml:space="preserve"> </w:t>
      </w:r>
      <w:r w:rsidR="006E5A60">
        <w:t>с</w:t>
      </w:r>
      <w:r w:rsidR="006E5A60" w:rsidRPr="007E5933">
        <w:t xml:space="preserve"> </w:t>
      </w:r>
      <w:r w:rsidR="006E5A60">
        <w:t>бляшечным</w:t>
      </w:r>
      <w:r w:rsidR="006E5A60" w:rsidRPr="007E5933">
        <w:t xml:space="preserve"> </w:t>
      </w:r>
      <w:r w:rsidR="006E5A60">
        <w:t>псориазом</w:t>
      </w:r>
      <w:r w:rsidR="00717538" w:rsidRPr="007E5933">
        <w:t xml:space="preserve">. </w:t>
      </w:r>
      <w:r w:rsidR="00717538">
        <w:t>В</w:t>
      </w:r>
      <w:r w:rsidR="00717538" w:rsidRPr="007E5933">
        <w:t xml:space="preserve"> </w:t>
      </w:r>
      <w:r w:rsidR="00717538">
        <w:t>исследовании</w:t>
      </w:r>
      <w:r w:rsidR="00717538" w:rsidRPr="007E5933">
        <w:t xml:space="preserve"> </w:t>
      </w:r>
      <w:r w:rsidR="00F30EB7">
        <w:t>больные</w:t>
      </w:r>
      <w:r w:rsidR="00F30EB7" w:rsidRPr="007E5933">
        <w:t xml:space="preserve"> </w:t>
      </w:r>
      <w:r w:rsidR="00F30EB7">
        <w:t>из</w:t>
      </w:r>
      <w:r w:rsidR="00F30EB7" w:rsidRPr="007E5933">
        <w:t xml:space="preserve"> </w:t>
      </w:r>
      <w:r w:rsidR="00F30EB7">
        <w:t>Китая</w:t>
      </w:r>
      <w:r w:rsidR="00F30EB7" w:rsidRPr="007E5933">
        <w:t xml:space="preserve">, </w:t>
      </w:r>
      <w:r w:rsidR="00F30EB7">
        <w:t>Тайвани</w:t>
      </w:r>
      <w:r w:rsidR="00F30EB7" w:rsidRPr="007E5933">
        <w:t xml:space="preserve"> </w:t>
      </w:r>
      <w:r w:rsidR="00F30EB7">
        <w:t>и</w:t>
      </w:r>
      <w:r w:rsidR="00F30EB7" w:rsidRPr="007E5933">
        <w:t xml:space="preserve"> </w:t>
      </w:r>
      <w:r w:rsidR="00F30EB7">
        <w:t>Кореи</w:t>
      </w:r>
      <w:r w:rsidR="00F30EB7" w:rsidRPr="007E5933">
        <w:t xml:space="preserve">, </w:t>
      </w:r>
      <w:r w:rsidR="00F30EB7">
        <w:t>которых</w:t>
      </w:r>
      <w:r w:rsidR="00F30EB7" w:rsidRPr="007E5933">
        <w:t xml:space="preserve"> </w:t>
      </w:r>
      <w:r w:rsidR="00F30EB7">
        <w:t>рандомизировали</w:t>
      </w:r>
      <w:r w:rsidR="00F30EB7" w:rsidRPr="007E5933">
        <w:t xml:space="preserve"> </w:t>
      </w:r>
      <w:r w:rsidR="00DB05AC">
        <w:t>на</w:t>
      </w:r>
      <w:r w:rsidR="00DB05AC" w:rsidRPr="007E5933">
        <w:t xml:space="preserve"> </w:t>
      </w:r>
      <w:r w:rsidR="00DB05AC">
        <w:t>группы</w:t>
      </w:r>
      <w:r w:rsidR="00DB05AC" w:rsidRPr="007E5933">
        <w:t xml:space="preserve"> </w:t>
      </w:r>
      <w:r w:rsidR="00DB05AC">
        <w:t>тофацитиниба</w:t>
      </w:r>
      <w:r w:rsidR="00DB05AC" w:rsidRPr="007E5933">
        <w:t xml:space="preserve"> </w:t>
      </w:r>
      <w:r w:rsidR="00DB05AC">
        <w:t>в</w:t>
      </w:r>
      <w:r w:rsidR="00DB05AC" w:rsidRPr="007E5933">
        <w:t xml:space="preserve"> </w:t>
      </w:r>
      <w:r w:rsidR="00DB05AC">
        <w:t>дозе</w:t>
      </w:r>
      <w:r w:rsidR="00DB05AC" w:rsidRPr="007E5933">
        <w:t xml:space="preserve"> 5 </w:t>
      </w:r>
      <w:r w:rsidR="00DB05AC">
        <w:t>мг</w:t>
      </w:r>
      <w:r w:rsidR="00DB05AC" w:rsidRPr="007E5933">
        <w:t xml:space="preserve"> </w:t>
      </w:r>
      <w:r w:rsidR="00965456" w:rsidRPr="007E5933">
        <w:t xml:space="preserve">2 </w:t>
      </w:r>
      <w:r w:rsidR="00965456">
        <w:t>раза</w:t>
      </w:r>
      <w:r w:rsidR="00965456" w:rsidRPr="007E5933">
        <w:t xml:space="preserve"> </w:t>
      </w:r>
      <w:r w:rsidR="00965456">
        <w:t>в</w:t>
      </w:r>
      <w:r w:rsidR="00965456" w:rsidRPr="007E5933">
        <w:t xml:space="preserve"> </w:t>
      </w:r>
      <w:r w:rsidR="00965456">
        <w:t>день</w:t>
      </w:r>
      <w:r w:rsidR="00965456" w:rsidRPr="007E5933">
        <w:t xml:space="preserve"> </w:t>
      </w:r>
      <w:r w:rsidR="00DB05AC" w:rsidRPr="007E5933">
        <w:t>(</w:t>
      </w:r>
      <w:r w:rsidR="00DB05AC">
        <w:rPr>
          <w:lang w:val="en-US"/>
        </w:rPr>
        <w:t>n</w:t>
      </w:r>
      <w:r w:rsidR="00DB05AC" w:rsidRPr="007E5933">
        <w:t xml:space="preserve"> = 88), </w:t>
      </w:r>
      <w:r w:rsidR="00965456">
        <w:t>тофацитиниба</w:t>
      </w:r>
      <w:r w:rsidR="00965456" w:rsidRPr="007E5933">
        <w:t xml:space="preserve"> </w:t>
      </w:r>
      <w:r w:rsidR="00965456">
        <w:t>в</w:t>
      </w:r>
      <w:r w:rsidR="00965456" w:rsidRPr="007E5933">
        <w:t xml:space="preserve"> </w:t>
      </w:r>
      <w:r w:rsidR="00965456">
        <w:t>дозе</w:t>
      </w:r>
      <w:r w:rsidR="00965456" w:rsidRPr="007E5933">
        <w:t xml:space="preserve"> 10 </w:t>
      </w:r>
      <w:r w:rsidR="00965456">
        <w:t>мг</w:t>
      </w:r>
      <w:r w:rsidR="00965456" w:rsidRPr="007E5933">
        <w:t xml:space="preserve"> 2 </w:t>
      </w:r>
      <w:r w:rsidR="00965456">
        <w:t>раза</w:t>
      </w:r>
      <w:r w:rsidR="00965456" w:rsidRPr="007E5933">
        <w:t xml:space="preserve"> </w:t>
      </w:r>
      <w:r w:rsidR="00965456">
        <w:t>в</w:t>
      </w:r>
      <w:r w:rsidR="00965456" w:rsidRPr="007E5933">
        <w:t xml:space="preserve"> </w:t>
      </w:r>
      <w:r w:rsidR="00965456">
        <w:t>день</w:t>
      </w:r>
      <w:r w:rsidR="00965456" w:rsidRPr="007E5933">
        <w:t xml:space="preserve"> (</w:t>
      </w:r>
      <w:r w:rsidR="00965456">
        <w:rPr>
          <w:lang w:val="en-US"/>
        </w:rPr>
        <w:t>n</w:t>
      </w:r>
      <w:r w:rsidR="00965456" w:rsidRPr="007E5933">
        <w:t xml:space="preserve"> = </w:t>
      </w:r>
      <w:r w:rsidR="0066039F" w:rsidRPr="007E5933">
        <w:t>90</w:t>
      </w:r>
      <w:r w:rsidR="00965456" w:rsidRPr="007E5933">
        <w:t>),</w:t>
      </w:r>
      <w:r w:rsidR="0066039F" w:rsidRPr="007E5933">
        <w:t xml:space="preserve"> </w:t>
      </w:r>
      <w:r w:rsidR="0066039F">
        <w:t>тофацитиниба</w:t>
      </w:r>
      <w:r w:rsidR="0066039F" w:rsidRPr="007E5933">
        <w:t xml:space="preserve"> </w:t>
      </w:r>
      <w:r w:rsidR="0066039F">
        <w:t>в</w:t>
      </w:r>
      <w:r w:rsidR="0066039F" w:rsidRPr="007E5933">
        <w:t xml:space="preserve"> </w:t>
      </w:r>
      <w:r w:rsidR="0066039F">
        <w:t>дозе</w:t>
      </w:r>
      <w:r w:rsidR="0066039F" w:rsidRPr="007E5933">
        <w:t xml:space="preserve"> 5 </w:t>
      </w:r>
      <w:r w:rsidR="0066039F">
        <w:t>мг</w:t>
      </w:r>
      <w:r w:rsidR="0066039F" w:rsidRPr="007E5933">
        <w:t xml:space="preserve"> 2 </w:t>
      </w:r>
      <w:r w:rsidR="0066039F">
        <w:t>раза</w:t>
      </w:r>
      <w:r w:rsidR="0066039F" w:rsidRPr="007E5933">
        <w:t xml:space="preserve"> </w:t>
      </w:r>
      <w:r w:rsidR="0066039F">
        <w:t>в</w:t>
      </w:r>
      <w:r w:rsidR="0066039F" w:rsidRPr="007E5933">
        <w:t xml:space="preserve"> </w:t>
      </w:r>
      <w:r w:rsidR="0066039F">
        <w:t>день</w:t>
      </w:r>
      <w:r w:rsidR="0066039F" w:rsidRPr="007E5933">
        <w:t xml:space="preserve"> (</w:t>
      </w:r>
      <w:r w:rsidR="0066039F">
        <w:rPr>
          <w:lang w:val="en-US"/>
        </w:rPr>
        <w:t>n</w:t>
      </w:r>
      <w:r w:rsidR="0066039F" w:rsidRPr="007E5933">
        <w:t xml:space="preserve"> = 88), </w:t>
      </w:r>
      <w:r w:rsidR="0066039F">
        <w:t>плацебо</w:t>
      </w:r>
      <w:r w:rsidR="0066039F" w:rsidRPr="007E5933">
        <w:t xml:space="preserve"> </w:t>
      </w:r>
      <w:r w:rsidR="0066039F">
        <w:t>с</w:t>
      </w:r>
      <w:r w:rsidR="0066039F" w:rsidRPr="007E5933">
        <w:t xml:space="preserve"> </w:t>
      </w:r>
      <w:r w:rsidR="0066039F">
        <w:t>последующим</w:t>
      </w:r>
      <w:r w:rsidR="0066039F" w:rsidRPr="007E5933">
        <w:t xml:space="preserve"> </w:t>
      </w:r>
      <w:r w:rsidR="0066039F">
        <w:t>переходом</w:t>
      </w:r>
      <w:r w:rsidR="0066039F" w:rsidRPr="007E5933">
        <w:t xml:space="preserve"> </w:t>
      </w:r>
      <w:r w:rsidR="0066039F">
        <w:t>на</w:t>
      </w:r>
      <w:r w:rsidR="0066039F" w:rsidRPr="007E5933">
        <w:t xml:space="preserve"> </w:t>
      </w:r>
      <w:r w:rsidR="0066039F">
        <w:t>тофацитиниб</w:t>
      </w:r>
      <w:r w:rsidR="0066039F" w:rsidRPr="007E5933">
        <w:t xml:space="preserve"> </w:t>
      </w:r>
      <w:r w:rsidR="0066039F">
        <w:t>в</w:t>
      </w:r>
      <w:r w:rsidR="0066039F" w:rsidRPr="007E5933">
        <w:t xml:space="preserve"> </w:t>
      </w:r>
      <w:r w:rsidR="0066039F">
        <w:t>дозе</w:t>
      </w:r>
      <w:r w:rsidR="0066039F" w:rsidRPr="007E5933">
        <w:t xml:space="preserve"> 5 </w:t>
      </w:r>
      <w:r w:rsidR="0066039F">
        <w:t>мг</w:t>
      </w:r>
      <w:r w:rsidR="0066039F" w:rsidRPr="007E5933">
        <w:t xml:space="preserve"> 2 </w:t>
      </w:r>
      <w:r w:rsidR="0066039F">
        <w:t>раза</w:t>
      </w:r>
      <w:r w:rsidR="0066039F" w:rsidRPr="007E5933">
        <w:t xml:space="preserve"> </w:t>
      </w:r>
      <w:r w:rsidR="0066039F">
        <w:t>в</w:t>
      </w:r>
      <w:r w:rsidR="0066039F" w:rsidRPr="007E5933">
        <w:t xml:space="preserve"> </w:t>
      </w:r>
      <w:r w:rsidR="0066039F">
        <w:t>день</w:t>
      </w:r>
      <w:r w:rsidR="0066039F" w:rsidRPr="007E5933">
        <w:t xml:space="preserve"> (</w:t>
      </w:r>
      <w:r w:rsidR="0066039F">
        <w:rPr>
          <w:lang w:val="en-US"/>
        </w:rPr>
        <w:t>n</w:t>
      </w:r>
      <w:r w:rsidR="0066039F" w:rsidRPr="007E5933">
        <w:t xml:space="preserve"> = 44)</w:t>
      </w:r>
      <w:r w:rsidR="00FB246A" w:rsidRPr="007E5933">
        <w:t xml:space="preserve"> </w:t>
      </w:r>
      <w:r w:rsidR="00FB246A">
        <w:t>плацебо</w:t>
      </w:r>
      <w:r w:rsidR="00FB246A" w:rsidRPr="007E5933">
        <w:t xml:space="preserve"> </w:t>
      </w:r>
      <w:r w:rsidR="00FB246A">
        <w:t>с</w:t>
      </w:r>
      <w:r w:rsidR="00FB246A" w:rsidRPr="007E5933">
        <w:t xml:space="preserve"> </w:t>
      </w:r>
      <w:r w:rsidR="00FB246A">
        <w:t>последующим</w:t>
      </w:r>
      <w:r w:rsidR="00FB246A" w:rsidRPr="007E5933">
        <w:t xml:space="preserve"> </w:t>
      </w:r>
      <w:r w:rsidR="00FB246A">
        <w:t>переходом</w:t>
      </w:r>
      <w:r w:rsidR="00FB246A" w:rsidRPr="007E5933">
        <w:t xml:space="preserve"> </w:t>
      </w:r>
      <w:r w:rsidR="00FB246A">
        <w:t>на</w:t>
      </w:r>
      <w:r w:rsidR="00FB246A" w:rsidRPr="007E5933">
        <w:t xml:space="preserve"> </w:t>
      </w:r>
      <w:r w:rsidR="00FB246A">
        <w:t>тофацитиниб</w:t>
      </w:r>
      <w:r w:rsidR="00FB246A" w:rsidRPr="007E5933">
        <w:t xml:space="preserve"> </w:t>
      </w:r>
      <w:r w:rsidR="00FB246A">
        <w:t>в</w:t>
      </w:r>
      <w:r w:rsidR="00FB246A" w:rsidRPr="007E5933">
        <w:t xml:space="preserve"> </w:t>
      </w:r>
      <w:r w:rsidR="00FB246A">
        <w:t>дозе</w:t>
      </w:r>
      <w:r w:rsidR="00FB246A" w:rsidRPr="007E5933">
        <w:t xml:space="preserve"> 10 </w:t>
      </w:r>
      <w:r w:rsidR="00FB246A">
        <w:t>мг</w:t>
      </w:r>
      <w:r w:rsidR="00FB246A" w:rsidRPr="007E5933">
        <w:t xml:space="preserve"> 2 </w:t>
      </w:r>
      <w:r w:rsidR="00FB246A">
        <w:t>раза</w:t>
      </w:r>
      <w:r w:rsidR="00FB246A" w:rsidRPr="007E5933">
        <w:t xml:space="preserve"> </w:t>
      </w:r>
      <w:r w:rsidR="00FB246A">
        <w:t>в</w:t>
      </w:r>
      <w:r w:rsidR="00FB246A" w:rsidRPr="007E5933">
        <w:t xml:space="preserve"> </w:t>
      </w:r>
      <w:r w:rsidR="00FB246A">
        <w:t>день</w:t>
      </w:r>
      <w:r w:rsidR="00FB246A" w:rsidRPr="007E5933">
        <w:t xml:space="preserve"> (</w:t>
      </w:r>
      <w:r w:rsidR="00FB246A">
        <w:rPr>
          <w:lang w:val="en-US"/>
        </w:rPr>
        <w:t>n</w:t>
      </w:r>
      <w:r w:rsidR="00FB246A" w:rsidRPr="007E5933">
        <w:t xml:space="preserve"> = 44) </w:t>
      </w:r>
      <w:r w:rsidR="00FB246A">
        <w:t>в</w:t>
      </w:r>
      <w:r w:rsidR="00FB246A" w:rsidRPr="007E5933">
        <w:t xml:space="preserve"> </w:t>
      </w:r>
      <w:r w:rsidR="00FB246A">
        <w:t>течение</w:t>
      </w:r>
      <w:r w:rsidR="00FB246A" w:rsidRPr="007E5933">
        <w:t xml:space="preserve"> 52 </w:t>
      </w:r>
      <w:r w:rsidR="00FB246A">
        <w:t>недель</w:t>
      </w:r>
      <w:r w:rsidR="00FB246A" w:rsidRPr="007E5933">
        <w:t xml:space="preserve">. </w:t>
      </w:r>
      <w:r w:rsidR="009E3C1A">
        <w:t>Пациентов</w:t>
      </w:r>
      <w:r w:rsidR="009E3C1A" w:rsidRPr="007E5933">
        <w:t xml:space="preserve"> </w:t>
      </w:r>
      <w:r w:rsidR="009E3C1A">
        <w:t>из</w:t>
      </w:r>
      <w:r w:rsidR="009E3C1A" w:rsidRPr="007E5933">
        <w:t xml:space="preserve"> </w:t>
      </w:r>
      <w:r w:rsidR="009E3C1A">
        <w:t>групп</w:t>
      </w:r>
      <w:r w:rsidR="009E3C1A" w:rsidRPr="007E5933">
        <w:t xml:space="preserve"> </w:t>
      </w:r>
      <w:r w:rsidR="009E3C1A">
        <w:t>плацебо</w:t>
      </w:r>
      <w:r w:rsidR="009E3C1A" w:rsidRPr="007E5933">
        <w:t xml:space="preserve"> </w:t>
      </w:r>
      <w:r w:rsidR="009E3C1A">
        <w:t>переводили</w:t>
      </w:r>
      <w:r w:rsidR="009E3C1A" w:rsidRPr="007E5933">
        <w:t xml:space="preserve"> </w:t>
      </w:r>
      <w:r w:rsidR="009E3C1A">
        <w:t>на</w:t>
      </w:r>
      <w:r w:rsidR="009E3C1A" w:rsidRPr="007E5933">
        <w:t xml:space="preserve"> </w:t>
      </w:r>
      <w:r w:rsidR="009E3C1A">
        <w:t>терапию</w:t>
      </w:r>
      <w:r w:rsidR="009E3C1A" w:rsidRPr="007E5933">
        <w:t xml:space="preserve"> </w:t>
      </w:r>
      <w:r w:rsidR="009E3C1A">
        <w:t>тофацитинибом</w:t>
      </w:r>
      <w:r w:rsidR="009E3C1A" w:rsidRPr="007E5933">
        <w:t xml:space="preserve"> </w:t>
      </w:r>
      <w:r w:rsidR="00137254">
        <w:t>на</w:t>
      </w:r>
      <w:r w:rsidR="00137254" w:rsidRPr="007E5933">
        <w:t xml:space="preserve"> </w:t>
      </w:r>
      <w:r w:rsidR="00137254">
        <w:t>неделе</w:t>
      </w:r>
      <w:r w:rsidR="00137254" w:rsidRPr="007E5933">
        <w:t xml:space="preserve"> </w:t>
      </w:r>
      <w:r w:rsidR="00137254">
        <w:t xml:space="preserve">16. </w:t>
      </w:r>
      <w:r w:rsidR="006E5516">
        <w:t xml:space="preserve">Сопервичными конечными точками эффективности являлись доля пациентов, достигших ответа по </w:t>
      </w:r>
      <w:r w:rsidR="001B1089" w:rsidRPr="001B1089">
        <w:t>PGA</w:t>
      </w:r>
      <w:r w:rsidR="001B1089">
        <w:t xml:space="preserve"> «разрешение»</w:t>
      </w:r>
      <w:r w:rsidR="00DB7D0F">
        <w:t xml:space="preserve"> или «близкое к разрешению» и доля пациентов</w:t>
      </w:r>
      <w:r w:rsidR="00690A1F">
        <w:t xml:space="preserve"> с</w:t>
      </w:r>
      <w:r w:rsidR="008E6AC6">
        <w:t xml:space="preserve"> </w:t>
      </w:r>
      <w:r w:rsidR="00AD766A" w:rsidRPr="00AD766A">
        <w:t>PASI75</w:t>
      </w:r>
      <w:r w:rsidR="00AD766A">
        <w:t xml:space="preserve"> на неделе 16. </w:t>
      </w:r>
      <w:r w:rsidR="00880328">
        <w:t xml:space="preserve">На неделе </w:t>
      </w:r>
      <w:r w:rsidR="000A404F">
        <w:t xml:space="preserve">16 </w:t>
      </w:r>
      <w:r w:rsidR="00880328">
        <w:t>больш</w:t>
      </w:r>
      <w:r w:rsidR="006544D9">
        <w:t>ая доля</w:t>
      </w:r>
      <w:r w:rsidR="00880328">
        <w:t xml:space="preserve"> пациентов достигли ответов </w:t>
      </w:r>
      <w:r w:rsidR="006544D9">
        <w:t xml:space="preserve">по </w:t>
      </w:r>
      <w:r w:rsidR="00880328">
        <w:t xml:space="preserve">PGA и PASI75 при </w:t>
      </w:r>
      <w:r w:rsidR="006544D9">
        <w:t>использовании</w:t>
      </w:r>
      <w:r w:rsidR="00880328">
        <w:t xml:space="preserve"> тофацитиниба в дозе 5 мг (52,3</w:t>
      </w:r>
      <w:r w:rsidR="006544D9">
        <w:t xml:space="preserve"> и</w:t>
      </w:r>
      <w:r w:rsidR="00880328">
        <w:t xml:space="preserve"> 54,6%</w:t>
      </w:r>
      <w:r w:rsidR="006544D9">
        <w:t xml:space="preserve"> соответственно</w:t>
      </w:r>
      <w:r w:rsidR="00880328">
        <w:t>) и 10 мг (75,6</w:t>
      </w:r>
      <w:r w:rsidR="006544D9">
        <w:t xml:space="preserve"> и</w:t>
      </w:r>
      <w:r w:rsidR="00880328">
        <w:t xml:space="preserve"> 81,1%</w:t>
      </w:r>
      <w:r w:rsidR="006544D9" w:rsidRPr="006544D9">
        <w:t xml:space="preserve"> </w:t>
      </w:r>
      <w:r w:rsidR="006544D9">
        <w:t>соответственно</w:t>
      </w:r>
      <w:r w:rsidR="00880328">
        <w:t>) два раза в день по сравнению с</w:t>
      </w:r>
      <w:r w:rsidR="006544D9">
        <w:t>о значениями в группе</w:t>
      </w:r>
      <w:r w:rsidR="00880328">
        <w:t xml:space="preserve"> плацебо (19,3%</w:t>
      </w:r>
      <w:r w:rsidR="006544D9">
        <w:t xml:space="preserve"> и</w:t>
      </w:r>
      <w:r w:rsidR="00880328">
        <w:t xml:space="preserve"> 12,5%</w:t>
      </w:r>
      <w:r w:rsidR="006544D9" w:rsidRPr="006544D9">
        <w:t xml:space="preserve"> </w:t>
      </w:r>
      <w:r w:rsidR="006544D9">
        <w:t>соответственно</w:t>
      </w:r>
      <w:r w:rsidR="00880328">
        <w:t>; все p &lt;</w:t>
      </w:r>
      <w:r w:rsidR="006544D9">
        <w:t xml:space="preserve"> </w:t>
      </w:r>
      <w:r w:rsidR="00880328">
        <w:t xml:space="preserve">0,0001). </w:t>
      </w:r>
      <w:r w:rsidR="006544D9">
        <w:t>Среди п</w:t>
      </w:r>
      <w:r w:rsidR="00880328">
        <w:t xml:space="preserve">ациентов </w:t>
      </w:r>
      <w:r w:rsidR="006544D9">
        <w:t xml:space="preserve">с </w:t>
      </w:r>
      <w:r w:rsidR="00880328">
        <w:t>ответ</w:t>
      </w:r>
      <w:r w:rsidR="006544D9">
        <w:t>ом на 16 неделе</w:t>
      </w:r>
      <w:r w:rsidR="00880328">
        <w:t xml:space="preserve">, 73,6 и 75,0% сохранили ответ </w:t>
      </w:r>
      <w:r w:rsidR="006544D9">
        <w:t xml:space="preserve">по </w:t>
      </w:r>
      <w:r w:rsidR="00880328">
        <w:t xml:space="preserve">PGA и 76,8 и 84,9% сохранили </w:t>
      </w:r>
      <w:r w:rsidR="006544D9">
        <w:t xml:space="preserve">по </w:t>
      </w:r>
      <w:r w:rsidR="00880328">
        <w:t xml:space="preserve">PASI75 до 52 недели </w:t>
      </w:r>
      <w:r w:rsidR="006544D9">
        <w:t>при использовании</w:t>
      </w:r>
      <w:r w:rsidR="00880328">
        <w:t xml:space="preserve"> тофацитиниб</w:t>
      </w:r>
      <w:r w:rsidR="006544D9">
        <w:t>а в дозе</w:t>
      </w:r>
      <w:r w:rsidR="00880328">
        <w:t xml:space="preserve"> 5 мг и 10 мг два раза в сутки соответственно</w:t>
      </w:r>
      <w:r w:rsidR="006544D9">
        <w:t xml:space="preserve"> </w:t>
      </w:r>
      <w:r w:rsidR="000A404F">
        <w:fldChar w:fldCharType="begin"/>
      </w:r>
      <w:r w:rsidR="00BC2A49">
        <w:instrText xml:space="preserve"> ADDIN ZOTERO_ITEM CSL_CITATION {"citationID":"FVYACxbY","properties":{"formattedCitation":"[26]","plainCitation":"[26]","noteIndex":0},"citationItems":[{"id":91570,"uris":["http://zotero.org/groups/4742804/items/2TNZYL5V"],"itemData":{"id":91570,"type":"article-journal","abstract":"BACKGROUND: Tofacitinib is an oral Janus kinase inhibitor.\nOBJECTIVE: This study assessed tofacitinib efficacy and safety vs placebo in Asian patients with moderate to severe chronic plaque psoriasis.\nMETHODS: Patients from China mainland, Taiwan, and Korea were randomized 2:2:1:1 to tofacitinib 5mg (N=88), tofacitinib 10mg (N=90), placebo→5mg (N=44), or placebo→10mg (N=44), twice daily (BID) for 52 weeks. Placebo-treated patients advanced to tofacitinib at Week 16. Co-primary efficacy endpoints: proportions of patients achieving Physician's Global Assessment (PGA) response ('clear' or 'almost clear') and proportion achieving ≥75% reduction from baseline Psoriasis Area and Severity Index (PASI75) at Week 16.\nRESULTS: At Week 16, more patients achieved PGA and PASI75 responses with tofacitinib 5mg (52.3%; 54.6%) and 10mg (75.6%; 81.1%) BID vs placebo (19.3%; 12.5%; all p&lt;0.0001). Of patients with a Week 16 response, 73.6% and 75.0% maintained PGA response, and 76.8% and 84.9% maintained PASI75 to Week 52 with tofacitinib 5mg and 10mg BID, respectively. Over 52 weeks, 2.2-4.5% of patients across treatment groups experienced serious adverse events, and 1.1-6.8% discontinued due to adverse events.\nCONCLUSION: Tofacitinib demonstrated efficacy vs placebo at Week 16 in Asian patients with moderate to severe plaque psoriasis; efficacy was maintained through Week 52. No unexpected safety findings were observed. [NCT01815424].","container-title":"Journal of Dermatological Science","DOI":"10.1016/j.jdermsci.2017.05.004","ISSN":"1873-569X","issue":"1","journalAbbreviation":"J Dermatol Sci","language":"eng","note":"PMID: 28558978","page":"36-45","source":"PubMed","title":"The efficacy and safety of tofacitinib in Asian patients with moderate to severe chronic plaque psoriasis: A Phase 3, randomized, double-blind, placebo-controlled study","title-short":"The efficacy and safety of tofacitinib in Asian patients with moderate to severe chronic plaque psoriasis","volume":"88","author":[{"family":"Zhang","given":"JianZhong"},{"family":"Tsai","given":"Tsen-Fang"},{"family":"Lee","given":"Min-Geol"},{"family":"Zheng","given":"Min"},{"family":"Wang","given":"Gang"},{"family":"Jin","given":"HongZhong"},{"family":"Gu","given":"Jun"},{"family":"Li","given":"RuoYu"},{"family":"Liu","given":"QuanZhong"},{"family":"Chen","given":"Jin"},{"family":"Tu","given":"CaiXia"},{"family":"Qi","given":"ChunMei"},{"family":"Zhu","given":"Hua"},{"family":"Ports","given":"William C."},{"family":"Crook","given":"Tim"}],"issued":{"date-parts":[["2017",10]]}}}],"schema":"https://github.com/citation-style-language/schema/raw/master/csl-citation.json"} </w:instrText>
      </w:r>
      <w:r w:rsidR="000A404F">
        <w:fldChar w:fldCharType="separate"/>
      </w:r>
      <w:r w:rsidR="00DE2C35">
        <w:rPr>
          <w:rFonts w:cs="Times New Roman"/>
        </w:rPr>
        <w:t>[</w:t>
      </w:r>
      <w:r w:rsidR="00DE2C35" w:rsidRPr="00014867">
        <w:rPr>
          <w:rFonts w:cs="Times New Roman"/>
        </w:rPr>
        <w:t>4</w:t>
      </w:r>
      <w:r w:rsidR="008D5290" w:rsidRPr="008D5290">
        <w:rPr>
          <w:rFonts w:cs="Times New Roman"/>
        </w:rPr>
        <w:t>]</w:t>
      </w:r>
      <w:r w:rsidR="000A404F">
        <w:fldChar w:fldCharType="end"/>
      </w:r>
      <w:r w:rsidR="00997F23">
        <w:t>.</w:t>
      </w:r>
    </w:p>
    <w:p w14:paraId="3632C34B" w14:textId="733DE9A5" w:rsidR="00FD5424" w:rsidRDefault="00054BAE" w:rsidP="00D22A13">
      <w:pPr>
        <w:contextualSpacing/>
      </w:pPr>
      <w:r>
        <w:t>Изучена</w:t>
      </w:r>
      <w:r w:rsidR="006B5B78" w:rsidRPr="00BB6D85">
        <w:t xml:space="preserve"> </w:t>
      </w:r>
      <w:r w:rsidR="006B5B78">
        <w:t xml:space="preserve">эффективность тофацитиниба </w:t>
      </w:r>
      <w:r w:rsidR="00BB6D85">
        <w:t xml:space="preserve">в лечении псориаза ногтей на основании данных двух </w:t>
      </w:r>
      <w:r w:rsidR="00A26057">
        <w:t xml:space="preserve">рандомизированных контролируемых исследований фазы </w:t>
      </w:r>
      <w:r w:rsidR="00A26057">
        <w:rPr>
          <w:lang w:val="en-US"/>
        </w:rPr>
        <w:t>III</w:t>
      </w:r>
      <w:r w:rsidR="00A26057">
        <w:t xml:space="preserve"> у пациентов с бляшечным псориазом </w:t>
      </w:r>
      <w:r w:rsidR="001B4F8D">
        <w:t xml:space="preserve">умеренной или тяжелой степени тяжести длительностью 52 </w:t>
      </w:r>
      <w:r w:rsidR="001B4F8D">
        <w:lastRenderedPageBreak/>
        <w:t xml:space="preserve">недели. </w:t>
      </w:r>
      <w:r w:rsidR="00BD2359">
        <w:t>В обоих исследованиях (</w:t>
      </w:r>
      <w:r w:rsidR="00BD2359" w:rsidRPr="00BD2359">
        <w:t xml:space="preserve">OPT Pivotal 1 </w:t>
      </w:r>
      <w:r w:rsidR="00BD2359">
        <w:t>и</w:t>
      </w:r>
      <w:r w:rsidR="00BD2359" w:rsidRPr="00BD2359">
        <w:t xml:space="preserve"> OPT Pivotal 2)</w:t>
      </w:r>
      <w:r w:rsidR="00D54770">
        <w:t xml:space="preserve"> пациентов рандомизировали в соотношении 2:2:1 для получения тофацитиниба в дозе 5 мг 2 раза в день, тофацитиниба в дозе 10 мг 2 раза в день или плацебо. </w:t>
      </w:r>
      <w:r w:rsidR="00112676">
        <w:t xml:space="preserve">На неделе 16 пациенты из группы плацебо начинали получать тофацитиниб. В ходе </w:t>
      </w:r>
      <w:r w:rsidR="00FC5EAA" w:rsidRPr="00FC5EAA">
        <w:rPr>
          <w:i/>
          <w:iCs/>
        </w:rPr>
        <w:t>post hoc</w:t>
      </w:r>
      <w:r w:rsidR="00FC5EAA">
        <w:t xml:space="preserve"> анализа </w:t>
      </w:r>
      <w:r w:rsidR="00542CDE">
        <w:t xml:space="preserve">оценивали </w:t>
      </w:r>
      <w:r w:rsidR="00FC5EAA">
        <w:t>выраженность псориаза ногтей по индексу тяжести псориаза ногтей (</w:t>
      </w:r>
      <w:r w:rsidR="00542CDE">
        <w:t>Nail Psoriasis Severity Index, NAPSI)</w:t>
      </w:r>
      <w:r w:rsidR="00604129">
        <w:t xml:space="preserve">, а также </w:t>
      </w:r>
      <w:r w:rsidR="00542CDE">
        <w:t xml:space="preserve">долю пациентов, достигших </w:t>
      </w:r>
      <w:r w:rsidR="009837A3">
        <w:t xml:space="preserve">снижения </w:t>
      </w:r>
      <w:r w:rsidR="00604129">
        <w:t xml:space="preserve">от исходного значения </w:t>
      </w:r>
      <w:r w:rsidR="009837A3">
        <w:t xml:space="preserve">выраженности симптомов </w:t>
      </w:r>
      <w:r w:rsidR="009837A3">
        <w:rPr>
          <w:rFonts w:cs="Times New Roman"/>
        </w:rPr>
        <w:t>≥</w:t>
      </w:r>
      <w:r w:rsidR="009837A3">
        <w:t xml:space="preserve"> </w:t>
      </w:r>
      <w:r w:rsidR="009837A3" w:rsidRPr="009837A3">
        <w:t>50%</w:t>
      </w:r>
      <w:r w:rsidR="00604129">
        <w:t xml:space="preserve"> по NAPSI (NAPSI50), долю пациентов, достигших снижения от исходного значения выраженности симптомов </w:t>
      </w:r>
      <w:r w:rsidR="00604129">
        <w:rPr>
          <w:rFonts w:cs="Times New Roman"/>
        </w:rPr>
        <w:t>≥</w:t>
      </w:r>
      <w:r w:rsidR="00604129">
        <w:t xml:space="preserve"> 75</w:t>
      </w:r>
      <w:r w:rsidR="00604129" w:rsidRPr="009837A3">
        <w:t>%</w:t>
      </w:r>
      <w:r w:rsidR="00604129">
        <w:t xml:space="preserve"> по NAPSI (NAPSI75) и долю пациентов, достигших снижения от исходного значения выраженности симптомов </w:t>
      </w:r>
      <w:r w:rsidR="00604129">
        <w:rPr>
          <w:rFonts w:cs="Times New Roman"/>
        </w:rPr>
        <w:t>≥</w:t>
      </w:r>
      <w:r w:rsidR="00604129">
        <w:t xml:space="preserve"> 10</w:t>
      </w:r>
      <w:r w:rsidR="00604129" w:rsidRPr="009837A3">
        <w:t>0%</w:t>
      </w:r>
      <w:r w:rsidR="00604129">
        <w:t xml:space="preserve"> по NAPSI (NAPSI100). </w:t>
      </w:r>
      <w:r w:rsidR="00F0523D">
        <w:t xml:space="preserve">Исходные средние баллы NAPSI для пациентов, получавших тофацитиниб в дозе 5 мг (N = 487), тофацитиниб 10 мг (N = 476) и плацебо (N = 233) два раза в день составили 27,0, 27,3 и 26,9 соответственно. На 16 неделе значительно (все P &lt;0,05) больше пациентов, получавших тофацитиниб 5 мг и тофацитиниб 10 мг по сравнению с плацебо два раза </w:t>
      </w:r>
      <w:r>
        <w:t>в день,</w:t>
      </w:r>
      <w:r w:rsidR="00F0523D">
        <w:t xml:space="preserve"> достиг NAPSI50 (32,8%, 44,2% против 12,0%), NAPSI75 (16,9%, 28,1% против 6,8%) и NAPSI100 (10,3%, 18,2% против 5,1%) соответственно. Улучшения сохранялись до 52 недели </w:t>
      </w:r>
      <w:r w:rsidR="00576C69">
        <w:fldChar w:fldCharType="begin"/>
      </w:r>
      <w:r w:rsidR="00BC2A49">
        <w:instrText xml:space="preserve"> ADDIN ZOTERO_ITEM CSL_CITATION {"citationID":"LKDy14nW","properties":{"formattedCitation":"[27]","plainCitation":"[27]","noteIndex":0},"citationItems":[{"id":91572,"uris":["http://zotero.org/groups/4742804/items/SX3YV42I"],"itemData":{"id":91572,"type":"article-journal","abstract":"BACKGROUND: Tofacitinib is an oral Janus kinase inhibitor. Efficacy and safety of tofacitinib in patients with moderate-to-severe plaque psoriasis have been demonstrated.\nOBJECTIVE: We sought to assess the efficacy of tofacitinib for the treatment of nail psoriasis over a period of 52 weeks.\nMETHODS: In 2 identical phase 3 studies (OPT Pivotal 1 and 2), patients were randomized 2:2:1 to receive tofacitinib 5 mg, tofacitinib 10 mg, or placebo, twice daily. At week 16, placebo-treated patients were re-randomized to tofacitinib. This post hoc analysis of patients with existing nail psoriasis assessed the Nail Psoriasis Severity Index (NAPSI) score and proportions of patients achieving ≥50% reduction in NAPSI from baseline (NAPSI50), NAPSI75, or NAPSI100.\nRESULTS: Baseline mean NAPSI scores for patients treated with tofacitinib 5 mg (N = 487), tofacitinib 10 mg (N = 476), and placebo (N = 233) twice daily were 27.0, 27.3, and 26.9, respectively. At week 16, significantly (all P &lt; .05) more patients receiving tofacitinib 5 mg and tofacitinib 10 mg versus placebo twice daily achieved NAPSI50 (32.8%, 44.2% vs 12.0%), NAPSI75 (16.9%, 28.1% vs 6.8%), and NAPSI100 (10.3%, 18.2% vs 5.1%), respectively. Improvements were sustained to week 52.\nLIMITATIONS: Limitations include discontinuation of clinical nonresponders at week 28.\nCONCLUSIONS: Tofacitinib treatment resulted in improvements in nail psoriasis versus placebo at week 16; improvements were maintained over 52 weeks [NCT01276639; NCT01309737].","container-title":"Journal of the American Academy of Dermatology","DOI":"10.1016/j.jaad.2017.01.053","ISSN":"1097-6787","issue":"1","journalAbbreviation":"J Am Acad Dermatol","language":"eng","note":"PMID: 28396102","page":"79-87.e1","source":"PubMed","title":"Efficacy of tofacitinib for the treatment of nail psoriasis: Two 52-week, randomized, controlled phase 3 studies in patients with moderate-to-severe plaque psoriasis","title-short":"Efficacy of tofacitinib for the treatment of nail psoriasis","volume":"77","author":[{"family":"Merola","given":"Joseph F."},{"family":"Elewski","given":"Boni"},{"family":"Tatulych","given":"Svitlana"},{"family":"Lan","given":"Shuping"},{"family":"Tallman","given":"Anna"},{"family":"Kaur","given":"Mandeep"}],"issued":{"date-parts":[["2017",7]]}}}],"schema":"https://github.com/citation-style-language/schema/raw/master/csl-citation.json"} </w:instrText>
      </w:r>
      <w:r w:rsidR="00576C69">
        <w:fldChar w:fldCharType="separate"/>
      </w:r>
      <w:r w:rsidR="00DE2C35">
        <w:rPr>
          <w:rFonts w:cs="Times New Roman"/>
        </w:rPr>
        <w:t>[</w:t>
      </w:r>
      <w:r w:rsidR="00DE2C35" w:rsidRPr="00014867">
        <w:rPr>
          <w:rFonts w:cs="Times New Roman"/>
        </w:rPr>
        <w:t>5</w:t>
      </w:r>
      <w:r w:rsidR="008D5290" w:rsidRPr="008D5290">
        <w:rPr>
          <w:rFonts w:cs="Times New Roman"/>
        </w:rPr>
        <w:t>]</w:t>
      </w:r>
      <w:r w:rsidR="00576C69">
        <w:fldChar w:fldCharType="end"/>
      </w:r>
      <w:r w:rsidR="00435F5C">
        <w:t>.</w:t>
      </w:r>
    </w:p>
    <w:p w14:paraId="7B2AB540" w14:textId="21B68F07" w:rsidR="00D82B67" w:rsidRDefault="00054BAE" w:rsidP="00054BAE">
      <w:pPr>
        <w:spacing w:after="0"/>
        <w:contextualSpacing/>
      </w:pPr>
      <w:r>
        <w:t>В</w:t>
      </w:r>
      <w:r w:rsidR="008F2226">
        <w:t xml:space="preserve"> ходе сетевого метаанализа </w:t>
      </w:r>
      <w:r w:rsidR="006B748D">
        <w:t xml:space="preserve">сравнили эффективность и безопасность тофацитиниба, пефицитиниба, </w:t>
      </w:r>
      <w:r w:rsidR="009C1404">
        <w:t>солцитиниба, барицитиниба, аброцитиниба</w:t>
      </w:r>
      <w:r w:rsidR="00763CA1">
        <w:t xml:space="preserve"> и д</w:t>
      </w:r>
      <w:r w:rsidR="00F737FC">
        <w:t>е</w:t>
      </w:r>
      <w:r w:rsidR="00763CA1">
        <w:t>украв</w:t>
      </w:r>
      <w:r w:rsidR="005A48E6">
        <w:t>а</w:t>
      </w:r>
      <w:r w:rsidR="00763CA1">
        <w:t xml:space="preserve">цитиниба </w:t>
      </w:r>
      <w:r w:rsidR="00F737FC">
        <w:t>при бляшечном псориазе</w:t>
      </w:r>
      <w:r w:rsidR="00E93222" w:rsidRPr="00E93222">
        <w:t xml:space="preserve"> </w:t>
      </w:r>
      <w:r w:rsidR="00E93222">
        <w:t>средней и тяжелой степени</w:t>
      </w:r>
      <w:r w:rsidR="00E93222" w:rsidRPr="00E93222">
        <w:t xml:space="preserve"> </w:t>
      </w:r>
      <w:r w:rsidR="00E93222">
        <w:t>тяжести</w:t>
      </w:r>
      <w:r w:rsidR="00F737FC">
        <w:t xml:space="preserve">. </w:t>
      </w:r>
      <w:r w:rsidR="00133866">
        <w:t xml:space="preserve">Эффективность ингибиторов JAK оценивали по доли пациентов с PASI75 по сравнению с исходным уровнем и доли пациентов, достигших ответа по PGA. Всего было включено </w:t>
      </w:r>
      <w:r w:rsidR="00E93222">
        <w:t>8</w:t>
      </w:r>
      <w:r w:rsidR="00133866">
        <w:t xml:space="preserve"> </w:t>
      </w:r>
      <w:r w:rsidR="00E93222">
        <w:t>рандомизированных клинических исследований (</w:t>
      </w:r>
      <w:r w:rsidR="00E93222">
        <w:rPr>
          <w:lang w:val="en-US"/>
        </w:rPr>
        <w:t>n</w:t>
      </w:r>
      <w:r w:rsidR="00E93222" w:rsidRPr="00E93222">
        <w:t xml:space="preserve"> = </w:t>
      </w:r>
      <w:r w:rsidR="00133866">
        <w:t>3612</w:t>
      </w:r>
      <w:r w:rsidR="00E93222" w:rsidRPr="00E93222">
        <w:t>)</w:t>
      </w:r>
      <w:r w:rsidR="00133866">
        <w:t xml:space="preserve">. В целом </w:t>
      </w:r>
      <w:r w:rsidR="00E93222">
        <w:t xml:space="preserve">для </w:t>
      </w:r>
      <w:r w:rsidR="00133866">
        <w:t>ингибитор</w:t>
      </w:r>
      <w:r w:rsidR="00E93222">
        <w:t>ов</w:t>
      </w:r>
      <w:r w:rsidR="00133866">
        <w:t xml:space="preserve"> JAK продемонстрировали лучший ответ </w:t>
      </w:r>
      <w:r w:rsidR="00E93222">
        <w:t xml:space="preserve">по </w:t>
      </w:r>
      <w:r w:rsidR="00133866">
        <w:t>PASI75 по сравнению с</w:t>
      </w:r>
      <w:r w:rsidR="00E93222">
        <w:t>о значением на фоне приема</w:t>
      </w:r>
      <w:r w:rsidR="00133866">
        <w:t xml:space="preserve"> плацебо как через 8, так и через 12 недель. Среди всех включенных ингибиторов JAK тофацитиниб в дозе 15 мг два раза в день (дважды в день) имел наибольшую вероятность достижения PASI75 как через 8, так и через 12 недель (</w:t>
      </w:r>
      <w:r w:rsidR="00E675DD" w:rsidRPr="00E675DD">
        <w:t xml:space="preserve">поверхность под кривой совокупного ранжирования </w:t>
      </w:r>
      <w:r w:rsidR="00E675DD">
        <w:rPr>
          <w:rFonts w:cs="Times New Roman"/>
        </w:rPr>
        <w:t>[</w:t>
      </w:r>
      <w:r w:rsidR="005D7CBE" w:rsidRPr="005D7CBE">
        <w:t>surface under the cumulative ranking</w:t>
      </w:r>
      <w:r w:rsidR="005D7CBE">
        <w:t xml:space="preserve">, </w:t>
      </w:r>
      <w:r w:rsidR="00133866">
        <w:t>SUCRA</w:t>
      </w:r>
      <w:r w:rsidR="00E675DD">
        <w:rPr>
          <w:rFonts w:cs="Times New Roman"/>
        </w:rPr>
        <w:t>]</w:t>
      </w:r>
      <w:r w:rsidR="00133866">
        <w:t xml:space="preserve"> = 0,938 и 0,937, отдельно), за ним след</w:t>
      </w:r>
      <w:r w:rsidR="00E675DD">
        <w:t>овал</w:t>
      </w:r>
      <w:r w:rsidR="00133866">
        <w:t xml:space="preserve"> тофацитиниб в дозе 10 мг два раза в день (SUCRA = 0,905 и 0,908), отдельно) и деукравацитиниб 12 мг один раз в день (SUCRA = 0,874 и 0,837, отдельно). Аналогичные данные наблюдались для ответа</w:t>
      </w:r>
      <w:r w:rsidR="00EB1CCE">
        <w:t xml:space="preserve"> по</w:t>
      </w:r>
      <w:r w:rsidR="00133866">
        <w:t xml:space="preserve"> PGA. При всесторонней оценке эффективности и безопасности тофацитиниб (2 мг, 5 мг, 10 мг, 15 мг два раза в день) превосходил другие включенные ингибиторы JAK. </w:t>
      </w:r>
      <w:r w:rsidR="00352223">
        <w:t>Авторы пришли к выводу</w:t>
      </w:r>
      <w:r w:rsidR="00133866">
        <w:t xml:space="preserve">, что ингибиторы JAK обладают многообещающей эффективностью в лечении бляшечного псориаза средней и тяжелой степени. </w:t>
      </w:r>
      <w:r w:rsidR="00352223">
        <w:t>Для т</w:t>
      </w:r>
      <w:r w:rsidR="00133866">
        <w:t>офацитиниб</w:t>
      </w:r>
      <w:r w:rsidR="00352223">
        <w:t>а</w:t>
      </w:r>
      <w:r w:rsidR="00133866">
        <w:t xml:space="preserve"> показал</w:t>
      </w:r>
      <w:r w:rsidR="00352223">
        <w:t>и</w:t>
      </w:r>
      <w:r w:rsidR="00133866">
        <w:t xml:space="preserve"> более высокую эффективность и безопасность по сравнению с пефицитинибом, солцитинибом, барицитинибом, аброцитинибом и деукравацитинибом</w:t>
      </w:r>
      <w:r w:rsidR="00352223">
        <w:t xml:space="preserve"> </w:t>
      </w:r>
      <w:r w:rsidR="00A67151">
        <w:fldChar w:fldCharType="begin"/>
      </w:r>
      <w:r w:rsidR="00BC2A49">
        <w:instrText xml:space="preserve"> ADDIN ZOTERO_ITEM CSL_CITATION {"citationID":"Y75n5Lka","properties":{"formattedCitation":"[28]","plainCitation":"[28]","noteIndex":0},"citationItems":[{"id":91574,"uris":["http://zotero.org/groups/4742804/items/T2FF4INV"],"itemData":{"id":91574,"type":"article-journal","abstract":"Janus kinase (JAK) inhibitors are novel treatment approaches for psoriasis. However, there is no direct comparison of JAK inhibitors in plaque psoriasis. In order to compare the efficacy and safety of JAK inhibitors in psoriasis, we conducted a network meta-analysis using eligible randomized clinical trials (RCTs). The efficacy of JAK inhibitors was evaluated using a 75% improvement in Psoriasis Area and Severity Index (PASI75) from baseline, and the proportion of patients achieving the Physician's Global Assessment (PGA) response. The incidence of treatment-related adverse events (AEs) was also assessed. A total of eight RCTs with tofacitinib, peficitinib, solcitinib, baricitinib, abrocitinib and deucravacitinib were included. A total of 3612 participants who were diagnosed with moderate-to-severe plaque psoriasis were analysed. Overall, JAK inhibitors showed superior PASI75 response over placebo at both 8 and 12 weeks. Among all included JAK inhibitors, tofacitinib 15 mg twice a day (BID) had the highest probability of achieving PASI75 at both 8 and 12 weeks (SUCRA = 0.938 and 0.937, separately), followed by tofacitinib 10 mg BID (SUCRA = 0.905 and 0.908, separately) and deucravacitinib 12 mg once daily (QD) (SUCRA = 0.874 and 0.837, separately). A similar finding was observed for PGA response. Safety assessment showed that all JAK inhibitors had non-inferior safety compared with placebo, except for deucravacitinib 6 mg BID and 12 mg QD. Tofacitinib 2 mg BID was the first-ranked drug for safety profile followed by deucravacitinib 3 mg QD, and tofacitinib 5 mg BID. When comprehensively evaluated the efficacy and safety, tofacitinib (2 mg, 5 mg, 10 mg, 15 mg BID) was superior to other included JAK inhibitors with satisfying PASI75 and PGA response, as well as relatively low incidence of AEs. Our study confirmed that JAK inhibitors had promising treatment efficacy for moderate-to-severe plaque psoriasis. Tofacitinib showed superior efficacy and safety over peficitinib, solcitinib, baricitinib, abrocitinib and deucravacitinib.","container-title":"Journal of the European Academy of Dermatology and Venereology: JEADV","DOI":"10.1111/jdv.18263","ISSN":"1468-3083","issue":"11","journalAbbreviation":"J Eur Acad Dermatol Venereol","language":"eng","note":"PMID: 35608188","page":"1937-1946","source":"PubMed","title":"The efficacy and safety of tofacitinib, peficitinib, solcitinib, baricitinib, abrocitinib and deucravacitinib in plaque psoriasis - A network meta-analysis","volume":"36","author":[{"family":"Zhang","given":"L."},{"family":"Guo","given":"L."},{"family":"Wang","given":"L."},{"family":"Jiang","given":"X."}],"issued":{"date-parts":[["2022",11]]}}}],"schema":"https://github.com/citation-style-language/schema/raw/master/csl-citation.json"} </w:instrText>
      </w:r>
      <w:r w:rsidR="00A67151">
        <w:fldChar w:fldCharType="separate"/>
      </w:r>
      <w:r w:rsidR="00DE2C35">
        <w:rPr>
          <w:rFonts w:cs="Times New Roman"/>
        </w:rPr>
        <w:t>[</w:t>
      </w:r>
      <w:r w:rsidR="00DE2C35" w:rsidRPr="00364071">
        <w:rPr>
          <w:rFonts w:cs="Times New Roman"/>
        </w:rPr>
        <w:t>6</w:t>
      </w:r>
      <w:r w:rsidR="008D5290" w:rsidRPr="008D5290">
        <w:rPr>
          <w:rFonts w:cs="Times New Roman"/>
        </w:rPr>
        <w:t>]</w:t>
      </w:r>
      <w:r w:rsidR="00A67151">
        <w:fldChar w:fldCharType="end"/>
      </w:r>
      <w:r w:rsidR="00A67151">
        <w:t>.</w:t>
      </w:r>
    </w:p>
    <w:p w14:paraId="7399BBB5" w14:textId="77777777" w:rsidR="00054BAE" w:rsidRPr="00FC5EAA" w:rsidRDefault="00054BAE" w:rsidP="00054BAE">
      <w:pPr>
        <w:spacing w:after="0"/>
        <w:contextualSpacing/>
      </w:pPr>
    </w:p>
    <w:p w14:paraId="1A5FD6DA" w14:textId="4AC4F44B" w:rsidR="008C3898" w:rsidRPr="00A67151" w:rsidRDefault="009E14FC" w:rsidP="00054BAE">
      <w:pPr>
        <w:pStyle w:val="4"/>
        <w:numPr>
          <w:ilvl w:val="0"/>
          <w:numId w:val="0"/>
        </w:numPr>
        <w:contextualSpacing/>
      </w:pPr>
      <w:bookmarkStart w:id="245" w:name="_Toc115421084"/>
      <w:bookmarkStart w:id="246" w:name="_Toc121592605"/>
      <w:r>
        <w:t xml:space="preserve">4.3.1.5. </w:t>
      </w:r>
      <w:r w:rsidR="002A02F7">
        <w:t>Я</w:t>
      </w:r>
      <w:r w:rsidR="002A02F7" w:rsidRPr="002A02F7">
        <w:t>звенный</w:t>
      </w:r>
      <w:r w:rsidR="002A02F7" w:rsidRPr="00A67151">
        <w:t xml:space="preserve"> </w:t>
      </w:r>
      <w:r w:rsidR="002A02F7" w:rsidRPr="002A02F7">
        <w:t>колит</w:t>
      </w:r>
      <w:bookmarkEnd w:id="245"/>
      <w:bookmarkEnd w:id="246"/>
    </w:p>
    <w:p w14:paraId="582A865D" w14:textId="77777777" w:rsidR="00D22A13" w:rsidRDefault="00D22A13" w:rsidP="00054BAE">
      <w:pPr>
        <w:pStyle w:val="SDText"/>
        <w:spacing w:after="0"/>
        <w:contextualSpacing/>
      </w:pPr>
    </w:p>
    <w:p w14:paraId="2C4447F8" w14:textId="47355E0D" w:rsidR="005F064C" w:rsidRPr="00100473" w:rsidRDefault="00580D48" w:rsidP="00054BAE">
      <w:pPr>
        <w:pStyle w:val="SDText"/>
        <w:spacing w:after="0"/>
        <w:contextualSpacing/>
      </w:pPr>
      <w:r w:rsidRPr="00580D48">
        <w:t>Эффективность</w:t>
      </w:r>
      <w:r w:rsidRPr="008F2226">
        <w:t xml:space="preserve"> </w:t>
      </w:r>
      <w:r w:rsidRPr="00580D48">
        <w:t>и</w:t>
      </w:r>
      <w:r w:rsidRPr="008F2226">
        <w:t xml:space="preserve"> </w:t>
      </w:r>
      <w:r w:rsidRPr="00580D48">
        <w:t>безопасность</w:t>
      </w:r>
      <w:r w:rsidRPr="008F2226">
        <w:t xml:space="preserve"> </w:t>
      </w:r>
      <w:r w:rsidR="00AF73F9" w:rsidRPr="00580D48">
        <w:t>тофацитиниба</w:t>
      </w:r>
      <w:r w:rsidR="00AF73F9" w:rsidRPr="008F2226">
        <w:t xml:space="preserve"> </w:t>
      </w:r>
      <w:r w:rsidR="00AF73F9">
        <w:t>в</w:t>
      </w:r>
      <w:r w:rsidR="00AF73F9" w:rsidRPr="008F2226">
        <w:t xml:space="preserve"> </w:t>
      </w:r>
      <w:r w:rsidR="00AF73F9">
        <w:t>лекарственной</w:t>
      </w:r>
      <w:r w:rsidR="00AF73F9" w:rsidRPr="008F2226">
        <w:t xml:space="preserve"> </w:t>
      </w:r>
      <w:r w:rsidR="00AF73F9">
        <w:t>форме</w:t>
      </w:r>
      <w:r w:rsidR="00AF73F9" w:rsidRPr="008F2226">
        <w:t xml:space="preserve"> </w:t>
      </w:r>
      <w:r w:rsidRPr="00580D48">
        <w:t>таблет</w:t>
      </w:r>
      <w:r w:rsidR="00AF73F9">
        <w:t>ки</w:t>
      </w:r>
      <w:r w:rsidRPr="008F2226">
        <w:t xml:space="preserve">, </w:t>
      </w:r>
      <w:r w:rsidRPr="00580D48">
        <w:t>покрыты</w:t>
      </w:r>
      <w:r w:rsidR="00AF73F9">
        <w:t>е</w:t>
      </w:r>
      <w:r w:rsidRPr="008F2226">
        <w:t xml:space="preserve"> </w:t>
      </w:r>
      <w:r w:rsidRPr="00580D48">
        <w:t>пленочной</w:t>
      </w:r>
      <w:r w:rsidRPr="008F2226">
        <w:t xml:space="preserve"> </w:t>
      </w:r>
      <w:r w:rsidRPr="00580D48">
        <w:t>оболочкой</w:t>
      </w:r>
      <w:r w:rsidRPr="008F2226">
        <w:t xml:space="preserve">, </w:t>
      </w:r>
      <w:r w:rsidRPr="00580D48">
        <w:t>для</w:t>
      </w:r>
      <w:r w:rsidRPr="008F2226">
        <w:t xml:space="preserve"> </w:t>
      </w:r>
      <w:r w:rsidRPr="00580D48">
        <w:t>лечения</w:t>
      </w:r>
      <w:r w:rsidRPr="008F2226">
        <w:t xml:space="preserve"> </w:t>
      </w:r>
      <w:r w:rsidRPr="00580D48">
        <w:t>взрослых</w:t>
      </w:r>
      <w:r w:rsidRPr="008F2226">
        <w:t xml:space="preserve"> </w:t>
      </w:r>
      <w:r w:rsidRPr="00580D48">
        <w:t>пациентов</w:t>
      </w:r>
      <w:r w:rsidRPr="008F2226">
        <w:t xml:space="preserve"> </w:t>
      </w:r>
      <w:r w:rsidRPr="00580D48">
        <w:t>с</w:t>
      </w:r>
      <w:r w:rsidRPr="008F2226">
        <w:t xml:space="preserve"> </w:t>
      </w:r>
      <w:r w:rsidRPr="00580D48">
        <w:t>ЯК</w:t>
      </w:r>
      <w:r w:rsidRPr="008F2226">
        <w:t xml:space="preserve"> </w:t>
      </w:r>
      <w:r w:rsidRPr="00580D48">
        <w:t>средней</w:t>
      </w:r>
      <w:r w:rsidRPr="008F2226">
        <w:t xml:space="preserve"> </w:t>
      </w:r>
      <w:r w:rsidRPr="00580D48">
        <w:t>и</w:t>
      </w:r>
      <w:r w:rsidRPr="008F2226">
        <w:t xml:space="preserve"> </w:t>
      </w:r>
      <w:r w:rsidRPr="00580D48">
        <w:t>тяжелой</w:t>
      </w:r>
      <w:r w:rsidRPr="008F2226">
        <w:t xml:space="preserve"> </w:t>
      </w:r>
      <w:r w:rsidRPr="00580D48">
        <w:t>степени</w:t>
      </w:r>
      <w:r w:rsidRPr="008F2226">
        <w:t xml:space="preserve"> </w:t>
      </w:r>
      <w:r w:rsidR="00AF73F9">
        <w:t>тяжести</w:t>
      </w:r>
      <w:r w:rsidR="00AF73F9" w:rsidRPr="008F2226">
        <w:t xml:space="preserve"> </w:t>
      </w:r>
      <w:r w:rsidRPr="008F2226">
        <w:t>(</w:t>
      </w:r>
      <w:r w:rsidRPr="00580D48">
        <w:t>от</w:t>
      </w:r>
      <w:r w:rsidRPr="008F2226">
        <w:t xml:space="preserve"> 6 </w:t>
      </w:r>
      <w:r w:rsidRPr="00580D48">
        <w:t>до</w:t>
      </w:r>
      <w:r w:rsidRPr="008F2226">
        <w:t xml:space="preserve"> 12 </w:t>
      </w:r>
      <w:r w:rsidRPr="00580D48">
        <w:t>баллов</w:t>
      </w:r>
      <w:r w:rsidRPr="008F2226">
        <w:t xml:space="preserve"> </w:t>
      </w:r>
      <w:r w:rsidRPr="00580D48">
        <w:t>по</w:t>
      </w:r>
      <w:r w:rsidRPr="008F2226">
        <w:t xml:space="preserve"> </w:t>
      </w:r>
      <w:r w:rsidRPr="00580D48">
        <w:t>шкале</w:t>
      </w:r>
      <w:r w:rsidRPr="008F2226">
        <w:t xml:space="preserve"> </w:t>
      </w:r>
      <w:r w:rsidRPr="00580D48">
        <w:t>Мейо</w:t>
      </w:r>
      <w:r w:rsidRPr="008F2226">
        <w:t xml:space="preserve"> </w:t>
      </w:r>
      <w:r w:rsidRPr="00580D48">
        <w:t>с</w:t>
      </w:r>
      <w:r w:rsidRPr="008F2226">
        <w:t xml:space="preserve"> </w:t>
      </w:r>
      <w:r w:rsidR="00094F59">
        <w:t>показателем</w:t>
      </w:r>
      <w:r w:rsidR="00094F59" w:rsidRPr="008F2226">
        <w:t xml:space="preserve"> </w:t>
      </w:r>
      <w:r w:rsidR="00094F59">
        <w:t>по</w:t>
      </w:r>
      <w:r w:rsidR="00094F59" w:rsidRPr="008F2226">
        <w:t xml:space="preserve"> </w:t>
      </w:r>
      <w:r w:rsidR="00094F59">
        <w:t>субшкале</w:t>
      </w:r>
      <w:r w:rsidRPr="008F2226">
        <w:t xml:space="preserve"> </w:t>
      </w:r>
      <w:r w:rsidRPr="00580D48">
        <w:t>эндоскопии</w:t>
      </w:r>
      <w:r w:rsidRPr="008F2226">
        <w:t xml:space="preserve"> ≥ 2 </w:t>
      </w:r>
      <w:r w:rsidRPr="00580D48">
        <w:t>и</w:t>
      </w:r>
      <w:r w:rsidRPr="008F2226">
        <w:t xml:space="preserve"> </w:t>
      </w:r>
      <w:r w:rsidRPr="00580D48">
        <w:t>подшкал</w:t>
      </w:r>
      <w:r w:rsidR="00B40F82">
        <w:t>е</w:t>
      </w:r>
      <w:r w:rsidRPr="008F2226">
        <w:t xml:space="preserve"> </w:t>
      </w:r>
      <w:r w:rsidR="00094F59" w:rsidRPr="00580D48">
        <w:t>ректальны</w:t>
      </w:r>
      <w:r w:rsidR="00094F59">
        <w:t>х</w:t>
      </w:r>
      <w:r w:rsidR="00094F59" w:rsidRPr="008F2226">
        <w:t xml:space="preserve"> </w:t>
      </w:r>
      <w:r w:rsidRPr="00580D48">
        <w:t>кровотечени</w:t>
      </w:r>
      <w:r w:rsidR="00094F59">
        <w:t>й</w:t>
      </w:r>
      <w:r w:rsidRPr="008F2226">
        <w:t xml:space="preserve"> ≥ 1) </w:t>
      </w:r>
      <w:r w:rsidRPr="00580D48">
        <w:t>оценивал</w:t>
      </w:r>
      <w:r w:rsidR="00094F59">
        <w:t>и</w:t>
      </w:r>
      <w:r w:rsidRPr="008F2226">
        <w:t xml:space="preserve"> </w:t>
      </w:r>
      <w:r w:rsidRPr="00580D48">
        <w:t>в</w:t>
      </w:r>
      <w:r w:rsidRPr="008F2226">
        <w:t xml:space="preserve"> 3 </w:t>
      </w:r>
      <w:r w:rsidRPr="00580D48">
        <w:t>многоцентровых</w:t>
      </w:r>
      <w:r w:rsidRPr="008F2226">
        <w:t xml:space="preserve"> </w:t>
      </w:r>
      <w:r w:rsidRPr="00580D48">
        <w:t>двойных</w:t>
      </w:r>
      <w:r w:rsidRPr="008F2226">
        <w:t xml:space="preserve"> </w:t>
      </w:r>
      <w:r w:rsidRPr="00580D48">
        <w:t>слепых</w:t>
      </w:r>
      <w:r w:rsidRPr="008F2226">
        <w:t xml:space="preserve"> </w:t>
      </w:r>
      <w:r w:rsidRPr="00580D48">
        <w:t>рандомизированных</w:t>
      </w:r>
      <w:r w:rsidRPr="008F2226">
        <w:t xml:space="preserve"> </w:t>
      </w:r>
      <w:r w:rsidRPr="00580D48">
        <w:t>плацебо</w:t>
      </w:r>
      <w:r w:rsidRPr="008F2226">
        <w:t>-</w:t>
      </w:r>
      <w:r w:rsidRPr="00580D48">
        <w:t>контролируемых</w:t>
      </w:r>
      <w:r w:rsidRPr="008F2226">
        <w:t xml:space="preserve"> </w:t>
      </w:r>
      <w:r w:rsidRPr="00580D48">
        <w:t>исследования</w:t>
      </w:r>
      <w:r w:rsidR="00094F59">
        <w:t>х</w:t>
      </w:r>
      <w:r w:rsidRPr="008F2226">
        <w:t xml:space="preserve">: 2 </w:t>
      </w:r>
      <w:r w:rsidR="003F0BF3">
        <w:t>аналогичных</w:t>
      </w:r>
      <w:r w:rsidRPr="008F2226">
        <w:t xml:space="preserve"> </w:t>
      </w:r>
      <w:r w:rsidRPr="00580D48">
        <w:t>исследования</w:t>
      </w:r>
      <w:r w:rsidRPr="008F2226">
        <w:t xml:space="preserve"> </w:t>
      </w:r>
      <w:r w:rsidR="00094F59">
        <w:t>по</w:t>
      </w:r>
      <w:r w:rsidR="00094F59" w:rsidRPr="008F2226">
        <w:t xml:space="preserve"> </w:t>
      </w:r>
      <w:r w:rsidR="00094F59">
        <w:t>оценке</w:t>
      </w:r>
      <w:r w:rsidR="00094F59" w:rsidRPr="008F2226">
        <w:t xml:space="preserve"> </w:t>
      </w:r>
      <w:r w:rsidR="00094F59">
        <w:t>достижения</w:t>
      </w:r>
      <w:r w:rsidR="00094F59" w:rsidRPr="008F2226">
        <w:t xml:space="preserve"> </w:t>
      </w:r>
      <w:r w:rsidR="00094F59">
        <w:t>индукции</w:t>
      </w:r>
      <w:r w:rsidR="00094F59" w:rsidRPr="008F2226">
        <w:t xml:space="preserve"> </w:t>
      </w:r>
      <w:r w:rsidRPr="008F2226">
        <w:t>(</w:t>
      </w:r>
      <w:r w:rsidRPr="00AA513A">
        <w:rPr>
          <w:lang w:val="en-US"/>
        </w:rPr>
        <w:t>OCTAVE</w:t>
      </w:r>
      <w:r w:rsidRPr="008F2226">
        <w:t xml:space="preserve"> </w:t>
      </w:r>
      <w:r w:rsidRPr="00AA513A">
        <w:rPr>
          <w:lang w:val="en-US"/>
        </w:rPr>
        <w:t>Induction</w:t>
      </w:r>
      <w:r w:rsidRPr="008F2226">
        <w:t xml:space="preserve"> 1 </w:t>
      </w:r>
      <w:r w:rsidRPr="00580D48">
        <w:t>и</w:t>
      </w:r>
      <w:r w:rsidRPr="008F2226">
        <w:t xml:space="preserve"> </w:t>
      </w:r>
      <w:r w:rsidRPr="00AA513A">
        <w:rPr>
          <w:lang w:val="en-US"/>
        </w:rPr>
        <w:t>OCTAVE</w:t>
      </w:r>
      <w:r w:rsidRPr="008F2226">
        <w:t xml:space="preserve"> </w:t>
      </w:r>
      <w:r w:rsidRPr="00AA513A">
        <w:rPr>
          <w:lang w:val="en-US"/>
        </w:rPr>
        <w:t>Induction</w:t>
      </w:r>
      <w:r w:rsidRPr="008F2226">
        <w:t xml:space="preserve"> 2) </w:t>
      </w:r>
      <w:r w:rsidRPr="00580D48">
        <w:t>с</w:t>
      </w:r>
      <w:r w:rsidRPr="008F2226">
        <w:t xml:space="preserve"> </w:t>
      </w:r>
      <w:r w:rsidRPr="00580D48">
        <w:t>последующим</w:t>
      </w:r>
      <w:r w:rsidRPr="008F2226">
        <w:t xml:space="preserve"> </w:t>
      </w:r>
      <w:r w:rsidRPr="00580D48">
        <w:t>исследование</w:t>
      </w:r>
      <w:r w:rsidR="003F0BF3">
        <w:t>м</w:t>
      </w:r>
      <w:r w:rsidRPr="008F2226">
        <w:t xml:space="preserve"> </w:t>
      </w:r>
      <w:r w:rsidR="00094F59">
        <w:t>по</w:t>
      </w:r>
      <w:r w:rsidR="00094F59" w:rsidRPr="008F2226">
        <w:t xml:space="preserve"> </w:t>
      </w:r>
      <w:r w:rsidR="00094F59">
        <w:t>поддержанию</w:t>
      </w:r>
      <w:r w:rsidR="00094F59" w:rsidRPr="008F2226">
        <w:t xml:space="preserve"> </w:t>
      </w:r>
      <w:r w:rsidR="0019715E">
        <w:t>ремиссии</w:t>
      </w:r>
      <w:r w:rsidR="00094F59" w:rsidRPr="008F2226">
        <w:t xml:space="preserve"> </w:t>
      </w:r>
      <w:r w:rsidRPr="008F2226">
        <w:t>(</w:t>
      </w:r>
      <w:r w:rsidRPr="00AA513A">
        <w:rPr>
          <w:lang w:val="en-US"/>
        </w:rPr>
        <w:t>OCTAVE</w:t>
      </w:r>
      <w:r w:rsidRPr="008F2226">
        <w:t xml:space="preserve"> </w:t>
      </w:r>
      <w:r w:rsidRPr="00AA513A">
        <w:rPr>
          <w:lang w:val="en-US"/>
        </w:rPr>
        <w:t>Sustain</w:t>
      </w:r>
      <w:r w:rsidRPr="008F2226">
        <w:t xml:space="preserve">). </w:t>
      </w:r>
      <w:r w:rsidR="00094F59">
        <w:t>В</w:t>
      </w:r>
      <w:r w:rsidR="00094F59" w:rsidRPr="008F2226">
        <w:t xml:space="preserve"> </w:t>
      </w:r>
      <w:r w:rsidR="00094F59">
        <w:t>исследования</w:t>
      </w:r>
      <w:r w:rsidR="00094F59" w:rsidRPr="008F2226">
        <w:t xml:space="preserve"> </w:t>
      </w:r>
      <w:r w:rsidR="00094F59">
        <w:t>включали</w:t>
      </w:r>
      <w:r w:rsidRPr="008F2226">
        <w:t xml:space="preserve"> </w:t>
      </w:r>
      <w:r w:rsidRPr="00580D48">
        <w:t>пациент</w:t>
      </w:r>
      <w:r w:rsidR="00094F59">
        <w:t>ов</w:t>
      </w:r>
      <w:r w:rsidR="00094F59" w:rsidRPr="008F2226">
        <w:t xml:space="preserve">, </w:t>
      </w:r>
      <w:r w:rsidR="00094F59">
        <w:t>у</w:t>
      </w:r>
      <w:r w:rsidR="00094F59" w:rsidRPr="008F2226">
        <w:t xml:space="preserve"> </w:t>
      </w:r>
      <w:r w:rsidR="00094F59">
        <w:t>которых</w:t>
      </w:r>
      <w:r w:rsidRPr="008F2226">
        <w:t xml:space="preserve"> </w:t>
      </w:r>
      <w:r w:rsidRPr="00580D48">
        <w:t>не</w:t>
      </w:r>
      <w:r w:rsidRPr="008F2226">
        <w:t xml:space="preserve"> </w:t>
      </w:r>
      <w:r w:rsidRPr="00580D48">
        <w:t>достиг</w:t>
      </w:r>
      <w:r w:rsidR="00094F59">
        <w:t>ли</w:t>
      </w:r>
      <w:r w:rsidR="00094F59" w:rsidRPr="008F2226">
        <w:t xml:space="preserve"> </w:t>
      </w:r>
      <w:r w:rsidR="00094F59">
        <w:t>ответа</w:t>
      </w:r>
      <w:r w:rsidR="00094F59" w:rsidRPr="008F2226">
        <w:t xml:space="preserve"> </w:t>
      </w:r>
      <w:r w:rsidR="00094F59">
        <w:t>на</w:t>
      </w:r>
      <w:r w:rsidR="00094F59" w:rsidRPr="008F2226">
        <w:t xml:space="preserve"> </w:t>
      </w:r>
      <w:r w:rsidRPr="00580D48">
        <w:t xml:space="preserve">по крайней мере 1 </w:t>
      </w:r>
      <w:r w:rsidR="00094F59">
        <w:t xml:space="preserve">схему </w:t>
      </w:r>
      <w:r w:rsidRPr="00580D48">
        <w:t>традиционной терапии,</w:t>
      </w:r>
      <w:r>
        <w:t xml:space="preserve"> </w:t>
      </w:r>
      <w:r w:rsidRPr="00580D48">
        <w:t xml:space="preserve">включая </w:t>
      </w:r>
      <w:r w:rsidR="00094F59">
        <w:t>ГКС</w:t>
      </w:r>
      <w:r w:rsidRPr="00580D48">
        <w:t>, иммуномодуляторы и/или и</w:t>
      </w:r>
      <w:r w:rsidR="00094F59">
        <w:t xml:space="preserve">нгибиторы </w:t>
      </w:r>
      <w:r w:rsidR="00773A24">
        <w:rPr>
          <w:lang w:val="en-US"/>
        </w:rPr>
        <w:t>TNF</w:t>
      </w:r>
      <w:r w:rsidR="00094F59">
        <w:t>-</w:t>
      </w:r>
      <w:r w:rsidR="00094F59">
        <w:rPr>
          <w:rFonts w:cs="Times New Roman"/>
        </w:rPr>
        <w:lastRenderedPageBreak/>
        <w:t>α</w:t>
      </w:r>
      <w:r w:rsidRPr="00580D48">
        <w:t>. Сопутствующ</w:t>
      </w:r>
      <w:r w:rsidR="007154E2">
        <w:t>ая терапия</w:t>
      </w:r>
      <w:r w:rsidRPr="00580D48">
        <w:t xml:space="preserve"> аминосалицилат</w:t>
      </w:r>
      <w:r w:rsidR="007154E2">
        <w:t>ами</w:t>
      </w:r>
      <w:r w:rsidRPr="00580D48">
        <w:t xml:space="preserve"> </w:t>
      </w:r>
      <w:r w:rsidR="007154E2" w:rsidRPr="00580D48">
        <w:t>пероральн</w:t>
      </w:r>
      <w:r w:rsidR="007154E2">
        <w:t>о в</w:t>
      </w:r>
      <w:r w:rsidR="007154E2" w:rsidRPr="00580D48">
        <w:t xml:space="preserve"> стабильны</w:t>
      </w:r>
      <w:r w:rsidR="007154E2">
        <w:t>х</w:t>
      </w:r>
      <w:r w:rsidR="007154E2" w:rsidRPr="00580D48">
        <w:t xml:space="preserve"> доз</w:t>
      </w:r>
      <w:r w:rsidR="007154E2">
        <w:t xml:space="preserve">ах </w:t>
      </w:r>
      <w:r w:rsidRPr="00580D48">
        <w:t xml:space="preserve">и </w:t>
      </w:r>
      <w:r w:rsidR="007154E2">
        <w:t>ГКС</w:t>
      </w:r>
      <w:r w:rsidRPr="00580D48">
        <w:t xml:space="preserve"> (преднизолон или эквивалентная суточная доза до 25 мг)</w:t>
      </w:r>
      <w:r>
        <w:t xml:space="preserve"> </w:t>
      </w:r>
      <w:r w:rsidR="007154E2">
        <w:t xml:space="preserve">была </w:t>
      </w:r>
      <w:r w:rsidRPr="00580D48">
        <w:t>разрешен</w:t>
      </w:r>
      <w:r w:rsidR="007154E2">
        <w:t>а</w:t>
      </w:r>
      <w:r w:rsidRPr="00580D48">
        <w:t xml:space="preserve"> с постепенным снижением дозы </w:t>
      </w:r>
      <w:r w:rsidR="007154E2">
        <w:t>ГКС</w:t>
      </w:r>
      <w:r w:rsidRPr="00580D48">
        <w:t xml:space="preserve"> до прекращения в течение 15 недель </w:t>
      </w:r>
      <w:r w:rsidR="0019715E">
        <w:t>после включения в исследование по поддержанию ремиссии</w:t>
      </w:r>
      <w:r w:rsidRPr="00580D48">
        <w:t>. Тофацитиниб назначали в виде монотерапии (т.</w:t>
      </w:r>
      <w:r w:rsidR="0019715E">
        <w:t xml:space="preserve"> </w:t>
      </w:r>
      <w:r w:rsidRPr="00E421A2">
        <w:t>е. без одновременного применения био</w:t>
      </w:r>
      <w:r w:rsidR="00666284" w:rsidRPr="00E421A2">
        <w:t xml:space="preserve">логических </w:t>
      </w:r>
      <w:r w:rsidRPr="00E421A2">
        <w:t>препарат</w:t>
      </w:r>
      <w:r w:rsidR="00666284" w:rsidRPr="00E421A2">
        <w:t>ов</w:t>
      </w:r>
      <w:r w:rsidRPr="00E421A2">
        <w:t xml:space="preserve"> и иммунодепрессант</w:t>
      </w:r>
      <w:r w:rsidR="00666284" w:rsidRPr="00E421A2">
        <w:t>ов</w:t>
      </w:r>
      <w:r w:rsidRPr="00E421A2">
        <w:t>)</w:t>
      </w:r>
      <w:r w:rsidR="009B3BB2" w:rsidRPr="00E421A2">
        <w:t xml:space="preserve"> (</w:t>
      </w:r>
      <w:r w:rsidR="00927AEF" w:rsidRPr="00E421A2">
        <w:fldChar w:fldCharType="begin"/>
      </w:r>
      <w:r w:rsidR="00927AEF" w:rsidRPr="00E421A2">
        <w:instrText xml:space="preserve"> REF _Ref120692771 \h </w:instrText>
      </w:r>
      <w:r w:rsidR="00E421A2" w:rsidRPr="00E421A2">
        <w:instrText xml:space="preserve"> \* MERGEFORMAT </w:instrText>
      </w:r>
      <w:r w:rsidR="00927AEF" w:rsidRPr="00E421A2">
        <w:fldChar w:fldCharType="separate"/>
      </w:r>
      <w:r w:rsidR="00383E6F" w:rsidRPr="00E421A2">
        <w:rPr>
          <w:bCs/>
        </w:rPr>
        <w:t xml:space="preserve">Таблица </w:t>
      </w:r>
      <w:r w:rsidR="00383E6F" w:rsidRPr="00E421A2">
        <w:rPr>
          <w:bCs/>
          <w:noProof/>
        </w:rPr>
        <w:t>4</w:t>
      </w:r>
      <w:r w:rsidR="00383E6F" w:rsidRPr="00E421A2">
        <w:rPr>
          <w:bCs/>
        </w:rPr>
        <w:noBreakHyphen/>
      </w:r>
      <w:r w:rsidR="00383E6F" w:rsidRPr="00E421A2">
        <w:rPr>
          <w:bCs/>
          <w:noProof/>
        </w:rPr>
        <w:t>15</w:t>
      </w:r>
      <w:r w:rsidR="00927AEF" w:rsidRPr="00E421A2">
        <w:fldChar w:fldCharType="end"/>
      </w:r>
      <w:r w:rsidR="009B3BB2" w:rsidRPr="00E421A2">
        <w:t>)</w:t>
      </w:r>
      <w:r w:rsidR="00666284" w:rsidRPr="00E421A2">
        <w:t xml:space="preserve"> </w:t>
      </w:r>
      <w:r w:rsidR="00494A3A" w:rsidRPr="00E421A2">
        <w:fldChar w:fldCharType="begin"/>
      </w:r>
      <w:r w:rsidR="008D5290" w:rsidRPr="00E421A2">
        <w:instrText xml:space="preserve"> ADDIN ZOTERO_ITEM CSL_CITATION {"citationID":"cyK7A40J","properties":{"formattedCitation":"[24]","plainCitation":"[24]","noteIndex":0},"citationItems":[{"id":87800,"uris":["http://zotero.org/groups/4742804/items/TPCQ89X9"],"itemData":{"id":87800,"type":"webpage","title":"Xeljanz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94A3A" w:rsidRPr="00E421A2">
        <w:fldChar w:fldCharType="separate"/>
      </w:r>
      <w:r w:rsidR="00DE2C35" w:rsidRPr="00E421A2">
        <w:rPr>
          <w:rFonts w:cs="Times New Roman"/>
        </w:rPr>
        <w:t>[2</w:t>
      </w:r>
      <w:r w:rsidR="008D5290" w:rsidRPr="00E421A2">
        <w:rPr>
          <w:rFonts w:cs="Times New Roman"/>
        </w:rPr>
        <w:t>]</w:t>
      </w:r>
      <w:r w:rsidR="00494A3A" w:rsidRPr="00E421A2">
        <w:fldChar w:fldCharType="end"/>
      </w:r>
      <w:r>
        <w:t>.</w:t>
      </w:r>
    </w:p>
    <w:p w14:paraId="03A5E816" w14:textId="77777777" w:rsidR="00E421A2" w:rsidRDefault="00E421A2" w:rsidP="00E421A2">
      <w:pPr>
        <w:pStyle w:val="SDText"/>
        <w:spacing w:after="0"/>
        <w:ind w:firstLine="0"/>
        <w:rPr>
          <w:b/>
          <w:bCs/>
        </w:rPr>
      </w:pPr>
      <w:bookmarkStart w:id="247" w:name="_Ref120692771"/>
    </w:p>
    <w:p w14:paraId="0C2CB7AD" w14:textId="2A7272AC" w:rsidR="00100473" w:rsidRDefault="00100473" w:rsidP="00E421A2">
      <w:pPr>
        <w:pStyle w:val="SDText"/>
        <w:spacing w:after="0"/>
        <w:ind w:firstLine="0"/>
      </w:pPr>
      <w:r w:rsidRPr="00927AEF">
        <w:rPr>
          <w:b/>
          <w:bCs/>
        </w:rPr>
        <w:t xml:space="preserve">Таблица </w:t>
      </w:r>
      <w:r w:rsidR="00652269" w:rsidRPr="00927AEF">
        <w:rPr>
          <w:b/>
          <w:bCs/>
        </w:rPr>
        <w:fldChar w:fldCharType="begin"/>
      </w:r>
      <w:r w:rsidR="00652269" w:rsidRPr="00927AEF">
        <w:rPr>
          <w:b/>
          <w:bCs/>
        </w:rPr>
        <w:instrText xml:space="preserve"> STYLEREF 1 \s </w:instrText>
      </w:r>
      <w:r w:rsidR="00652269" w:rsidRPr="00927AEF">
        <w:rPr>
          <w:b/>
          <w:bCs/>
        </w:rPr>
        <w:fldChar w:fldCharType="separate"/>
      </w:r>
      <w:r w:rsidR="00383E6F">
        <w:rPr>
          <w:b/>
          <w:bCs/>
          <w:noProof/>
        </w:rPr>
        <w:t>4</w:t>
      </w:r>
      <w:r w:rsidR="00652269" w:rsidRPr="00927AEF">
        <w:rPr>
          <w:b/>
          <w:bCs/>
        </w:rPr>
        <w:fldChar w:fldCharType="end"/>
      </w:r>
      <w:r w:rsidR="00652269" w:rsidRPr="00927AEF">
        <w:rPr>
          <w:b/>
          <w:bCs/>
        </w:rPr>
        <w:noBreakHyphen/>
      </w:r>
      <w:r w:rsidR="00652269" w:rsidRPr="00927AEF">
        <w:rPr>
          <w:b/>
          <w:bCs/>
        </w:rPr>
        <w:fldChar w:fldCharType="begin"/>
      </w:r>
      <w:r w:rsidR="00652269" w:rsidRPr="00927AEF">
        <w:rPr>
          <w:b/>
          <w:bCs/>
        </w:rPr>
        <w:instrText xml:space="preserve"> SEQ Таблица \* ARABIC \s 1 </w:instrText>
      </w:r>
      <w:r w:rsidR="00652269" w:rsidRPr="00927AEF">
        <w:rPr>
          <w:b/>
          <w:bCs/>
        </w:rPr>
        <w:fldChar w:fldCharType="separate"/>
      </w:r>
      <w:r w:rsidR="00383E6F">
        <w:rPr>
          <w:b/>
          <w:bCs/>
          <w:noProof/>
        </w:rPr>
        <w:t>15</w:t>
      </w:r>
      <w:r w:rsidR="00652269" w:rsidRPr="00927AEF">
        <w:rPr>
          <w:b/>
          <w:bCs/>
        </w:rPr>
        <w:fldChar w:fldCharType="end"/>
      </w:r>
      <w:bookmarkEnd w:id="247"/>
      <w:r w:rsidR="00927AEF" w:rsidRPr="00927AEF">
        <w:rPr>
          <w:b/>
          <w:bCs/>
        </w:rPr>
        <w:t>.</w:t>
      </w:r>
      <w:r w:rsidRPr="004F05C8">
        <w:t xml:space="preserve"> </w:t>
      </w:r>
      <w:r w:rsidR="004F05C8">
        <w:t xml:space="preserve">Клинические исследования </w:t>
      </w:r>
      <w:r w:rsidR="004F05C8">
        <w:rPr>
          <w:lang w:val="en-US"/>
        </w:rPr>
        <w:t>III</w:t>
      </w:r>
      <w:r w:rsidR="004F05C8" w:rsidRPr="004F05C8">
        <w:t xml:space="preserve"> </w:t>
      </w:r>
      <w:r w:rsidR="004F05C8">
        <w:t xml:space="preserve">фазы, в которых пациенты с </w:t>
      </w:r>
      <w:r w:rsidR="00C52048">
        <w:t>ЯК</w:t>
      </w:r>
      <w:r w:rsidR="004F05C8">
        <w:t xml:space="preserve"> получали тофацитиниб в дозе 5 или 10 мг 2 раза в день</w:t>
      </w:r>
      <w:r w:rsidR="009C0F7F">
        <w:t>.</w:t>
      </w:r>
    </w:p>
    <w:tbl>
      <w:tblPr>
        <w:tblStyle w:val="a4"/>
        <w:tblW w:w="0" w:type="auto"/>
        <w:tblInd w:w="108" w:type="dxa"/>
        <w:tblLook w:val="04A0" w:firstRow="1" w:lastRow="0" w:firstColumn="1" w:lastColumn="0" w:noHBand="0" w:noVBand="1"/>
      </w:tblPr>
      <w:tblGrid>
        <w:gridCol w:w="2540"/>
        <w:gridCol w:w="2138"/>
        <w:gridCol w:w="1989"/>
        <w:gridCol w:w="2693"/>
      </w:tblGrid>
      <w:tr w:rsidR="00E520E5" w14:paraId="14A4ED7F" w14:textId="77777777" w:rsidTr="00E421A2">
        <w:trPr>
          <w:tblHeader/>
        </w:trPr>
        <w:tc>
          <w:tcPr>
            <w:tcW w:w="2540" w:type="dxa"/>
            <w:shd w:val="clear" w:color="auto" w:fill="D9D9D9" w:themeFill="background1" w:themeFillShade="D9"/>
            <w:vAlign w:val="center"/>
          </w:tcPr>
          <w:p w14:paraId="60EE5CA4" w14:textId="4810C0E8" w:rsidR="00E520E5" w:rsidRPr="00E520E5" w:rsidRDefault="00E520E5" w:rsidP="00E520E5">
            <w:pPr>
              <w:ind w:firstLine="0"/>
              <w:jc w:val="center"/>
              <w:rPr>
                <w:b/>
                <w:bCs/>
              </w:rPr>
            </w:pPr>
            <w:r>
              <w:rPr>
                <w:b/>
                <w:bCs/>
              </w:rPr>
              <w:t>Исследование</w:t>
            </w:r>
          </w:p>
        </w:tc>
        <w:tc>
          <w:tcPr>
            <w:tcW w:w="2138" w:type="dxa"/>
            <w:shd w:val="clear" w:color="auto" w:fill="D9D9D9" w:themeFill="background1" w:themeFillShade="D9"/>
            <w:vAlign w:val="center"/>
          </w:tcPr>
          <w:p w14:paraId="3364EF26" w14:textId="034E36F3" w:rsidR="00E520E5" w:rsidRPr="00E520E5" w:rsidRDefault="00E520E5" w:rsidP="00E520E5">
            <w:pPr>
              <w:ind w:firstLine="0"/>
              <w:jc w:val="center"/>
              <w:rPr>
                <w:b/>
                <w:bCs/>
              </w:rPr>
            </w:pPr>
            <w:r w:rsidRPr="00E520E5">
              <w:rPr>
                <w:b/>
                <w:bCs/>
              </w:rPr>
              <w:t>OCTAVE Induction 1</w:t>
            </w:r>
          </w:p>
        </w:tc>
        <w:tc>
          <w:tcPr>
            <w:tcW w:w="1989" w:type="dxa"/>
            <w:shd w:val="clear" w:color="auto" w:fill="D9D9D9" w:themeFill="background1" w:themeFillShade="D9"/>
            <w:vAlign w:val="center"/>
          </w:tcPr>
          <w:p w14:paraId="42374A0A" w14:textId="5E2777B9" w:rsidR="00E520E5" w:rsidRPr="00E520E5" w:rsidRDefault="00D52998" w:rsidP="00E520E5">
            <w:pPr>
              <w:ind w:firstLine="0"/>
              <w:jc w:val="center"/>
              <w:rPr>
                <w:b/>
                <w:bCs/>
              </w:rPr>
            </w:pPr>
            <w:r w:rsidRPr="00D52998">
              <w:rPr>
                <w:b/>
                <w:bCs/>
              </w:rPr>
              <w:t>OCTAVE Induction 2</w:t>
            </w:r>
          </w:p>
        </w:tc>
        <w:tc>
          <w:tcPr>
            <w:tcW w:w="2693" w:type="dxa"/>
            <w:shd w:val="clear" w:color="auto" w:fill="D9D9D9" w:themeFill="background1" w:themeFillShade="D9"/>
            <w:vAlign w:val="center"/>
          </w:tcPr>
          <w:p w14:paraId="5E20352D" w14:textId="700967C8" w:rsidR="00E520E5" w:rsidRPr="00E520E5" w:rsidRDefault="00D52998" w:rsidP="00E520E5">
            <w:pPr>
              <w:ind w:firstLine="0"/>
              <w:jc w:val="center"/>
              <w:rPr>
                <w:b/>
                <w:bCs/>
              </w:rPr>
            </w:pPr>
            <w:r w:rsidRPr="00D52998">
              <w:rPr>
                <w:b/>
                <w:bCs/>
              </w:rPr>
              <w:t>OCTAVE Sustain</w:t>
            </w:r>
          </w:p>
        </w:tc>
      </w:tr>
      <w:tr w:rsidR="00E520E5" w14:paraId="7C5BF9F4" w14:textId="77777777" w:rsidTr="00E421A2">
        <w:tc>
          <w:tcPr>
            <w:tcW w:w="2540" w:type="dxa"/>
          </w:tcPr>
          <w:p w14:paraId="1637D511" w14:textId="1B450CC6" w:rsidR="00E520E5" w:rsidRDefault="0037492E" w:rsidP="004F05C8">
            <w:pPr>
              <w:ind w:firstLine="0"/>
            </w:pPr>
            <w:r>
              <w:t>Группа терапии</w:t>
            </w:r>
            <w:r w:rsidR="00DC3200">
              <w:t xml:space="preserve"> (соотношение при рандомизации)</w:t>
            </w:r>
          </w:p>
        </w:tc>
        <w:tc>
          <w:tcPr>
            <w:tcW w:w="2138" w:type="dxa"/>
          </w:tcPr>
          <w:p w14:paraId="76F59BEE" w14:textId="6C8ED708" w:rsidR="00E520E5" w:rsidRDefault="00A6010F" w:rsidP="00E421A2">
            <w:pPr>
              <w:ind w:firstLine="0"/>
              <w:jc w:val="center"/>
            </w:pPr>
            <w:r>
              <w:t xml:space="preserve">Тофацитиниб </w:t>
            </w:r>
            <w:r w:rsidR="008E1EF7">
              <w:t>10</w:t>
            </w:r>
            <w:r>
              <w:t xml:space="preserve"> мг 2 раза в день; плацебо (4:1)</w:t>
            </w:r>
          </w:p>
        </w:tc>
        <w:tc>
          <w:tcPr>
            <w:tcW w:w="1989" w:type="dxa"/>
          </w:tcPr>
          <w:p w14:paraId="476BE07D" w14:textId="5FBF597C" w:rsidR="00E520E5" w:rsidRDefault="008E1EF7" w:rsidP="00E421A2">
            <w:pPr>
              <w:ind w:firstLine="0"/>
              <w:jc w:val="center"/>
            </w:pPr>
            <w:r>
              <w:t>Тофацитиниб 10 мг 2 раза в день; плацебо (4:1)</w:t>
            </w:r>
          </w:p>
        </w:tc>
        <w:tc>
          <w:tcPr>
            <w:tcW w:w="2693" w:type="dxa"/>
          </w:tcPr>
          <w:p w14:paraId="108FEBF6" w14:textId="1077CBE5" w:rsidR="00E520E5" w:rsidRDefault="008E1EF7" w:rsidP="00E421A2">
            <w:pPr>
              <w:ind w:firstLine="0"/>
              <w:jc w:val="center"/>
            </w:pPr>
            <w:r>
              <w:t>Тофацитиниб 5 мг 2 раза в день; тофацитиниб 10 мг 2 раза в день; плацебо (1:1:1)</w:t>
            </w:r>
          </w:p>
        </w:tc>
      </w:tr>
      <w:tr w:rsidR="00E520E5" w14:paraId="7EEBA26F" w14:textId="77777777" w:rsidTr="00E421A2">
        <w:tc>
          <w:tcPr>
            <w:tcW w:w="2540" w:type="dxa"/>
          </w:tcPr>
          <w:p w14:paraId="6F9111AE" w14:textId="61E99C6B" w:rsidR="00E520E5" w:rsidRDefault="00200BEE" w:rsidP="004F05C8">
            <w:pPr>
              <w:ind w:firstLine="0"/>
            </w:pPr>
            <w:r>
              <w:t>Количество вклю</w:t>
            </w:r>
            <w:r w:rsidR="00A64716">
              <w:t>ч</w:t>
            </w:r>
            <w:r>
              <w:t>енных пациентов</w:t>
            </w:r>
          </w:p>
        </w:tc>
        <w:tc>
          <w:tcPr>
            <w:tcW w:w="2138" w:type="dxa"/>
          </w:tcPr>
          <w:p w14:paraId="2B602CC9" w14:textId="5C7A0C40" w:rsidR="00E520E5" w:rsidRDefault="00200BEE" w:rsidP="00E421A2">
            <w:pPr>
              <w:ind w:firstLine="0"/>
              <w:jc w:val="center"/>
            </w:pPr>
            <w:r>
              <w:t>598</w:t>
            </w:r>
          </w:p>
        </w:tc>
        <w:tc>
          <w:tcPr>
            <w:tcW w:w="1989" w:type="dxa"/>
          </w:tcPr>
          <w:p w14:paraId="23A2D624" w14:textId="12781F31" w:rsidR="00E520E5" w:rsidRDefault="00200BEE" w:rsidP="00E421A2">
            <w:pPr>
              <w:ind w:firstLine="0"/>
              <w:jc w:val="center"/>
            </w:pPr>
            <w:r>
              <w:t>541</w:t>
            </w:r>
          </w:p>
        </w:tc>
        <w:tc>
          <w:tcPr>
            <w:tcW w:w="2693" w:type="dxa"/>
          </w:tcPr>
          <w:p w14:paraId="38FDE29E" w14:textId="3648C3B7" w:rsidR="00E520E5" w:rsidRDefault="00200BEE" w:rsidP="00E421A2">
            <w:pPr>
              <w:ind w:firstLine="0"/>
              <w:jc w:val="center"/>
            </w:pPr>
            <w:r>
              <w:t>593</w:t>
            </w:r>
          </w:p>
        </w:tc>
      </w:tr>
      <w:tr w:rsidR="00E520E5" w14:paraId="095BD564" w14:textId="77777777" w:rsidTr="00E421A2">
        <w:tc>
          <w:tcPr>
            <w:tcW w:w="2540" w:type="dxa"/>
          </w:tcPr>
          <w:p w14:paraId="30C370C4" w14:textId="3EDFED6A" w:rsidR="00E520E5" w:rsidRDefault="00450CE8" w:rsidP="004F05C8">
            <w:pPr>
              <w:ind w:firstLine="0"/>
            </w:pPr>
            <w:r>
              <w:t>Продолжительность иссле</w:t>
            </w:r>
            <w:r w:rsidR="00A64716">
              <w:t>д</w:t>
            </w:r>
            <w:r>
              <w:t>ования</w:t>
            </w:r>
          </w:p>
        </w:tc>
        <w:tc>
          <w:tcPr>
            <w:tcW w:w="2138" w:type="dxa"/>
          </w:tcPr>
          <w:p w14:paraId="54C9CD2B" w14:textId="47AA641C" w:rsidR="00E520E5" w:rsidRDefault="00450CE8" w:rsidP="00E421A2">
            <w:pPr>
              <w:ind w:firstLine="0"/>
              <w:jc w:val="center"/>
            </w:pPr>
            <w:r>
              <w:t>8 недель</w:t>
            </w:r>
          </w:p>
        </w:tc>
        <w:tc>
          <w:tcPr>
            <w:tcW w:w="1989" w:type="dxa"/>
          </w:tcPr>
          <w:p w14:paraId="5CD0CCC7" w14:textId="23C9031B" w:rsidR="00E520E5" w:rsidRDefault="00450CE8" w:rsidP="00E421A2">
            <w:pPr>
              <w:ind w:firstLine="0"/>
              <w:jc w:val="center"/>
            </w:pPr>
            <w:r>
              <w:t>8 недель</w:t>
            </w:r>
          </w:p>
        </w:tc>
        <w:tc>
          <w:tcPr>
            <w:tcW w:w="2693" w:type="dxa"/>
          </w:tcPr>
          <w:p w14:paraId="514CC62F" w14:textId="25128946" w:rsidR="00E520E5" w:rsidRDefault="00450CE8" w:rsidP="00E421A2">
            <w:pPr>
              <w:ind w:firstLine="0"/>
              <w:jc w:val="center"/>
            </w:pPr>
            <w:r>
              <w:t>52 недели</w:t>
            </w:r>
          </w:p>
        </w:tc>
      </w:tr>
      <w:tr w:rsidR="00E520E5" w14:paraId="107CAF8E" w14:textId="77777777" w:rsidTr="00E421A2">
        <w:tc>
          <w:tcPr>
            <w:tcW w:w="2540" w:type="dxa"/>
          </w:tcPr>
          <w:p w14:paraId="2316086A" w14:textId="7359BDBB" w:rsidR="00E520E5" w:rsidRDefault="003F45A5" w:rsidP="004F05C8">
            <w:pPr>
              <w:ind w:firstLine="0"/>
            </w:pPr>
            <w:r>
              <w:t>Первичная конечная точка эффективности</w:t>
            </w:r>
          </w:p>
        </w:tc>
        <w:tc>
          <w:tcPr>
            <w:tcW w:w="2138" w:type="dxa"/>
          </w:tcPr>
          <w:p w14:paraId="1F4D8EFF" w14:textId="44CFA481" w:rsidR="00E520E5" w:rsidRDefault="00C72CA0" w:rsidP="00E421A2">
            <w:pPr>
              <w:ind w:firstLine="0"/>
              <w:jc w:val="center"/>
            </w:pPr>
            <w:r>
              <w:t>Ремиссия</w:t>
            </w:r>
          </w:p>
        </w:tc>
        <w:tc>
          <w:tcPr>
            <w:tcW w:w="1989" w:type="dxa"/>
          </w:tcPr>
          <w:p w14:paraId="7D7380DC" w14:textId="2EAB84B1" w:rsidR="00E520E5" w:rsidRDefault="00C72CA0" w:rsidP="00E421A2">
            <w:pPr>
              <w:ind w:firstLine="0"/>
              <w:jc w:val="center"/>
            </w:pPr>
            <w:r>
              <w:t>Ремиссия</w:t>
            </w:r>
          </w:p>
        </w:tc>
        <w:tc>
          <w:tcPr>
            <w:tcW w:w="2693" w:type="dxa"/>
          </w:tcPr>
          <w:p w14:paraId="532368EA" w14:textId="39735A04" w:rsidR="00B1417B" w:rsidRDefault="00C72CA0" w:rsidP="00E421A2">
            <w:pPr>
              <w:ind w:firstLine="0"/>
              <w:jc w:val="center"/>
            </w:pPr>
            <w:r>
              <w:t>Ремиссия</w:t>
            </w:r>
          </w:p>
        </w:tc>
      </w:tr>
      <w:tr w:rsidR="00C72CA0" w14:paraId="6B0F6403" w14:textId="77777777" w:rsidTr="00E421A2">
        <w:tc>
          <w:tcPr>
            <w:tcW w:w="2540" w:type="dxa"/>
          </w:tcPr>
          <w:p w14:paraId="1A678632" w14:textId="207F6E2B" w:rsidR="00C72CA0" w:rsidRDefault="00C72CA0" w:rsidP="00C72CA0">
            <w:pPr>
              <w:ind w:firstLine="0"/>
            </w:pPr>
            <w:r>
              <w:t>Ключевые вторичные конечные точки эффективности</w:t>
            </w:r>
          </w:p>
        </w:tc>
        <w:tc>
          <w:tcPr>
            <w:tcW w:w="2138" w:type="dxa"/>
          </w:tcPr>
          <w:p w14:paraId="1093FB11" w14:textId="3E35849B" w:rsidR="00C72CA0" w:rsidRDefault="00C72CA0" w:rsidP="00E421A2">
            <w:pPr>
              <w:ind w:firstLine="0"/>
              <w:jc w:val="center"/>
            </w:pPr>
            <w:r>
              <w:t>Улучшение эндоскопической картины слизистой оболочки</w:t>
            </w:r>
          </w:p>
        </w:tc>
        <w:tc>
          <w:tcPr>
            <w:tcW w:w="1989" w:type="dxa"/>
          </w:tcPr>
          <w:p w14:paraId="181378EB" w14:textId="262D1616" w:rsidR="00C72CA0" w:rsidRDefault="00C72CA0" w:rsidP="00E421A2">
            <w:pPr>
              <w:ind w:firstLine="0"/>
              <w:jc w:val="center"/>
            </w:pPr>
            <w:r>
              <w:t>Улучшение эндоскопической картины слизистой оболочки</w:t>
            </w:r>
          </w:p>
        </w:tc>
        <w:tc>
          <w:tcPr>
            <w:tcW w:w="2693" w:type="dxa"/>
          </w:tcPr>
          <w:p w14:paraId="2AB5136C" w14:textId="77777777" w:rsidR="00C72CA0" w:rsidRDefault="00C72CA0" w:rsidP="00E421A2">
            <w:pPr>
              <w:ind w:firstLine="0"/>
              <w:jc w:val="center"/>
            </w:pPr>
            <w:r>
              <w:t>Улучшение эндоскопической картины слизистой оболочки.</w:t>
            </w:r>
          </w:p>
          <w:p w14:paraId="3E129C9F" w14:textId="7FB6F05F" w:rsidR="00C72CA0" w:rsidRDefault="00C72CA0" w:rsidP="00E421A2">
            <w:pPr>
              <w:ind w:firstLine="0"/>
              <w:jc w:val="center"/>
            </w:pPr>
            <w:r>
              <w:t>Поддержание ремиссии при отсутствии терапии ГКС среди пациентов с ремиссией исходно.</w:t>
            </w:r>
          </w:p>
        </w:tc>
      </w:tr>
      <w:tr w:rsidR="00E520E5" w14:paraId="13DDA4C7" w14:textId="77777777" w:rsidTr="00E421A2">
        <w:tc>
          <w:tcPr>
            <w:tcW w:w="2540" w:type="dxa"/>
          </w:tcPr>
          <w:p w14:paraId="487CC8A4" w14:textId="66CEA455" w:rsidR="00E520E5" w:rsidRPr="00BC0472" w:rsidRDefault="00BC0472" w:rsidP="004F05C8">
            <w:pPr>
              <w:ind w:firstLine="0"/>
            </w:pPr>
            <w:r>
              <w:t xml:space="preserve">Неудача терапии ингибиторами </w:t>
            </w:r>
            <w:r>
              <w:rPr>
                <w:lang w:val="en-US"/>
              </w:rPr>
              <w:t>TNF</w:t>
            </w:r>
            <w:r w:rsidRPr="00BC0472">
              <w:t>-</w:t>
            </w:r>
            <w:r>
              <w:rPr>
                <w:rFonts w:cs="Times New Roman"/>
                <w:lang w:val="en-US"/>
              </w:rPr>
              <w:t>α</w:t>
            </w:r>
            <w:r w:rsidRPr="00BC0472">
              <w:t xml:space="preserve"> </w:t>
            </w:r>
            <w:r>
              <w:t>в анамнезе</w:t>
            </w:r>
          </w:p>
        </w:tc>
        <w:tc>
          <w:tcPr>
            <w:tcW w:w="2138" w:type="dxa"/>
          </w:tcPr>
          <w:p w14:paraId="762A17A9" w14:textId="616E7506" w:rsidR="00E520E5" w:rsidRDefault="00FF4E30" w:rsidP="00E421A2">
            <w:pPr>
              <w:ind w:firstLine="0"/>
              <w:jc w:val="center"/>
            </w:pPr>
            <w:r>
              <w:t>51,3%</w:t>
            </w:r>
          </w:p>
        </w:tc>
        <w:tc>
          <w:tcPr>
            <w:tcW w:w="1989" w:type="dxa"/>
          </w:tcPr>
          <w:p w14:paraId="47DAB7AA" w14:textId="44A9DE50" w:rsidR="00E520E5" w:rsidRDefault="00FF4E30" w:rsidP="00E421A2">
            <w:pPr>
              <w:ind w:firstLine="0"/>
              <w:jc w:val="center"/>
            </w:pPr>
            <w:r>
              <w:t>52,1%</w:t>
            </w:r>
          </w:p>
        </w:tc>
        <w:tc>
          <w:tcPr>
            <w:tcW w:w="2693" w:type="dxa"/>
          </w:tcPr>
          <w:p w14:paraId="2CC4C59B" w14:textId="7741453D" w:rsidR="00E520E5" w:rsidRDefault="00FF4E30" w:rsidP="00E421A2">
            <w:pPr>
              <w:ind w:firstLine="0"/>
              <w:jc w:val="center"/>
            </w:pPr>
            <w:r>
              <w:t>44,7%</w:t>
            </w:r>
          </w:p>
        </w:tc>
      </w:tr>
      <w:tr w:rsidR="00E520E5" w14:paraId="02AA72A8" w14:textId="77777777" w:rsidTr="00E421A2">
        <w:tc>
          <w:tcPr>
            <w:tcW w:w="2540" w:type="dxa"/>
          </w:tcPr>
          <w:p w14:paraId="39071520" w14:textId="2AF3EAC6" w:rsidR="00E520E5" w:rsidRDefault="00FF4E30" w:rsidP="004F05C8">
            <w:pPr>
              <w:ind w:firstLine="0"/>
            </w:pPr>
            <w:r w:rsidRPr="00FF4E30">
              <w:t xml:space="preserve">Неудача терапии </w:t>
            </w:r>
            <w:r>
              <w:t>ГКС</w:t>
            </w:r>
            <w:r w:rsidRPr="00FF4E30">
              <w:t xml:space="preserve"> в анамнезе</w:t>
            </w:r>
          </w:p>
        </w:tc>
        <w:tc>
          <w:tcPr>
            <w:tcW w:w="2138" w:type="dxa"/>
          </w:tcPr>
          <w:p w14:paraId="5FC23441" w14:textId="0B26A6CF" w:rsidR="00E520E5" w:rsidRDefault="003759FF" w:rsidP="00E421A2">
            <w:pPr>
              <w:ind w:firstLine="0"/>
              <w:jc w:val="center"/>
            </w:pPr>
            <w:r>
              <w:t>74,9%</w:t>
            </w:r>
          </w:p>
        </w:tc>
        <w:tc>
          <w:tcPr>
            <w:tcW w:w="1989" w:type="dxa"/>
          </w:tcPr>
          <w:p w14:paraId="385B9454" w14:textId="647F54CC" w:rsidR="00E520E5" w:rsidRDefault="003759FF" w:rsidP="00E421A2">
            <w:pPr>
              <w:ind w:firstLine="0"/>
              <w:jc w:val="center"/>
            </w:pPr>
            <w:r>
              <w:t>71,3%</w:t>
            </w:r>
          </w:p>
        </w:tc>
        <w:tc>
          <w:tcPr>
            <w:tcW w:w="2693" w:type="dxa"/>
          </w:tcPr>
          <w:p w14:paraId="2C5637E1" w14:textId="5BB1A114" w:rsidR="00E520E5" w:rsidRDefault="003759FF" w:rsidP="00E421A2">
            <w:pPr>
              <w:ind w:firstLine="0"/>
              <w:jc w:val="center"/>
            </w:pPr>
            <w:r>
              <w:t>75,0%</w:t>
            </w:r>
          </w:p>
        </w:tc>
      </w:tr>
      <w:tr w:rsidR="00FF4E30" w14:paraId="10734E82" w14:textId="77777777" w:rsidTr="00E421A2">
        <w:tc>
          <w:tcPr>
            <w:tcW w:w="2540" w:type="dxa"/>
          </w:tcPr>
          <w:p w14:paraId="5AD2E78F" w14:textId="76A10BC3" w:rsidR="00FF4E30" w:rsidRPr="00FF4E30" w:rsidRDefault="002E10A4" w:rsidP="004F05C8">
            <w:pPr>
              <w:ind w:firstLine="0"/>
            </w:pPr>
            <w:r w:rsidRPr="00FF4E30">
              <w:t xml:space="preserve">Неудача терапии </w:t>
            </w:r>
            <w:r>
              <w:t>иммунодепрессантами</w:t>
            </w:r>
            <w:r w:rsidRPr="00FF4E30">
              <w:t xml:space="preserve"> в анамнезе</w:t>
            </w:r>
          </w:p>
        </w:tc>
        <w:tc>
          <w:tcPr>
            <w:tcW w:w="2138" w:type="dxa"/>
          </w:tcPr>
          <w:p w14:paraId="680A522E" w14:textId="16794220" w:rsidR="00FF4E30" w:rsidRDefault="003759FF" w:rsidP="00E421A2">
            <w:pPr>
              <w:ind w:firstLine="0"/>
              <w:jc w:val="center"/>
            </w:pPr>
            <w:r>
              <w:t>74,1%</w:t>
            </w:r>
          </w:p>
        </w:tc>
        <w:tc>
          <w:tcPr>
            <w:tcW w:w="1989" w:type="dxa"/>
          </w:tcPr>
          <w:p w14:paraId="6EFFAADD" w14:textId="52EE3E3D" w:rsidR="00FF4E30" w:rsidRDefault="003759FF" w:rsidP="00E421A2">
            <w:pPr>
              <w:ind w:firstLine="0"/>
              <w:jc w:val="center"/>
            </w:pPr>
            <w:r>
              <w:t>69,5%</w:t>
            </w:r>
          </w:p>
        </w:tc>
        <w:tc>
          <w:tcPr>
            <w:tcW w:w="2693" w:type="dxa"/>
          </w:tcPr>
          <w:p w14:paraId="614ADFA9" w14:textId="63D623C2" w:rsidR="00FF4E30" w:rsidRDefault="00C52048" w:rsidP="00E421A2">
            <w:pPr>
              <w:ind w:firstLine="0"/>
              <w:jc w:val="center"/>
            </w:pPr>
            <w:r>
              <w:t>69,6%</w:t>
            </w:r>
          </w:p>
        </w:tc>
      </w:tr>
      <w:tr w:rsidR="007B163A" w14:paraId="4725C8AF" w14:textId="77777777" w:rsidTr="00E421A2">
        <w:tc>
          <w:tcPr>
            <w:tcW w:w="2540" w:type="dxa"/>
          </w:tcPr>
          <w:p w14:paraId="70EABF92" w14:textId="06E2FCE5" w:rsidR="007B163A" w:rsidRPr="00FF4E30" w:rsidRDefault="00DF1F00" w:rsidP="004F05C8">
            <w:pPr>
              <w:ind w:firstLine="0"/>
            </w:pPr>
            <w:r>
              <w:t>Использование ГКС исходно</w:t>
            </w:r>
          </w:p>
        </w:tc>
        <w:tc>
          <w:tcPr>
            <w:tcW w:w="2138" w:type="dxa"/>
          </w:tcPr>
          <w:p w14:paraId="78C439F9" w14:textId="3B80E215" w:rsidR="007B163A" w:rsidRDefault="00C52048" w:rsidP="00E421A2">
            <w:pPr>
              <w:ind w:firstLine="0"/>
              <w:jc w:val="center"/>
            </w:pPr>
            <w:r>
              <w:t>45,5%</w:t>
            </w:r>
          </w:p>
        </w:tc>
        <w:tc>
          <w:tcPr>
            <w:tcW w:w="1989" w:type="dxa"/>
          </w:tcPr>
          <w:p w14:paraId="1AF10211" w14:textId="01B5C239" w:rsidR="007B163A" w:rsidRDefault="00C52048" w:rsidP="00E421A2">
            <w:pPr>
              <w:ind w:firstLine="0"/>
              <w:jc w:val="center"/>
            </w:pPr>
            <w:r>
              <w:t>46,8%</w:t>
            </w:r>
          </w:p>
        </w:tc>
        <w:tc>
          <w:tcPr>
            <w:tcW w:w="2693" w:type="dxa"/>
          </w:tcPr>
          <w:p w14:paraId="2AE8FC5A" w14:textId="3FC100AD" w:rsidR="007B163A" w:rsidRDefault="00C52048" w:rsidP="00E421A2">
            <w:pPr>
              <w:ind w:firstLine="0"/>
              <w:jc w:val="center"/>
            </w:pPr>
            <w:r>
              <w:t>50,3%</w:t>
            </w:r>
          </w:p>
        </w:tc>
      </w:tr>
      <w:tr w:rsidR="00E421A2" w14:paraId="2FF35C4D" w14:textId="77777777" w:rsidTr="000D3CC1">
        <w:tc>
          <w:tcPr>
            <w:tcW w:w="9360" w:type="dxa"/>
            <w:gridSpan w:val="4"/>
          </w:tcPr>
          <w:p w14:paraId="155D14A2" w14:textId="77777777" w:rsidR="00E421A2" w:rsidRPr="00E421A2" w:rsidRDefault="00E421A2" w:rsidP="00E421A2">
            <w:pPr>
              <w:pStyle w:val="SDcomments"/>
              <w:ind w:firstLine="0"/>
              <w:rPr>
                <w:b/>
                <w:iCs/>
              </w:rPr>
            </w:pPr>
            <w:r w:rsidRPr="00E421A2">
              <w:rPr>
                <w:b/>
                <w:iCs/>
              </w:rPr>
              <w:t xml:space="preserve">Примечание: </w:t>
            </w:r>
          </w:p>
          <w:p w14:paraId="439E6E1E" w14:textId="513CA7EE" w:rsidR="00E421A2" w:rsidRDefault="00E421A2" w:rsidP="00E421A2">
            <w:pPr>
              <w:pStyle w:val="SDcomments"/>
              <w:ind w:firstLine="0"/>
            </w:pPr>
            <w:r>
              <w:t xml:space="preserve">ЯК – язвенный колит; </w:t>
            </w:r>
            <w:r w:rsidRPr="00136A99">
              <w:t>TNF-α</w:t>
            </w:r>
            <w:r>
              <w:t xml:space="preserve"> – фактор некроза опухоли-</w:t>
            </w:r>
            <w:r>
              <w:rPr>
                <w:rFonts w:cs="Times New Roman"/>
              </w:rPr>
              <w:t>α</w:t>
            </w:r>
            <w:r>
              <w:t xml:space="preserve"> </w:t>
            </w:r>
            <w:r w:rsidRPr="00793E55">
              <w:t>(tumour necrosis factor-α)</w:t>
            </w:r>
            <w:r>
              <w:t>; ГКС – глюкокортикостероид.</w:t>
            </w:r>
          </w:p>
        </w:tc>
      </w:tr>
    </w:tbl>
    <w:p w14:paraId="6BA4317A" w14:textId="77777777" w:rsidR="00E421A2" w:rsidRDefault="00E421A2" w:rsidP="00D22A13">
      <w:pPr>
        <w:pStyle w:val="SDText"/>
        <w:contextualSpacing/>
      </w:pPr>
    </w:p>
    <w:p w14:paraId="0B14F70C" w14:textId="2C2D946F" w:rsidR="00580D48" w:rsidRDefault="00076374" w:rsidP="00D22A13">
      <w:pPr>
        <w:pStyle w:val="SDText"/>
        <w:contextualSpacing/>
      </w:pPr>
      <w:r>
        <w:t>Кроме того, безопасность и эффективность тофацитиниба оценивали в открытом долгосрочном расширенном исследовании</w:t>
      </w:r>
      <w:r w:rsidR="006B542C">
        <w:t xml:space="preserve"> </w:t>
      </w:r>
      <w:r w:rsidR="006B542C" w:rsidRPr="006B542C">
        <w:t>OCTAVE Open</w:t>
      </w:r>
      <w:r w:rsidR="006B542C">
        <w:t>.</w:t>
      </w:r>
      <w:r>
        <w:t xml:space="preserve"> Пациенты, завершившие 1 исследование </w:t>
      </w:r>
      <w:r w:rsidR="006B542C">
        <w:t xml:space="preserve">по индукции ремиссии </w:t>
      </w:r>
      <w:r>
        <w:t xml:space="preserve">(OCTAVE Induction 1 или OCTAVE Induction 2), но </w:t>
      </w:r>
      <w:r>
        <w:lastRenderedPageBreak/>
        <w:t>не достигши</w:t>
      </w:r>
      <w:r w:rsidR="006B542C">
        <w:t>е</w:t>
      </w:r>
      <w:r>
        <w:t xml:space="preserve"> клинического ответа</w:t>
      </w:r>
      <w:r w:rsidR="00B40F82">
        <w:t>,</w:t>
      </w:r>
      <w:r>
        <w:t xml:space="preserve"> или пациенты, которые завершили или отказались от лечения из-за неэффективности лечения в поддерживающем исследовании (OCTAVE Sustain) </w:t>
      </w:r>
      <w:r w:rsidR="006B542C">
        <w:t>могли быть включены в исследование</w:t>
      </w:r>
      <w:r>
        <w:t xml:space="preserve"> </w:t>
      </w:r>
      <w:r w:rsidR="006B542C" w:rsidRPr="006B542C">
        <w:t>OCTAVE Open</w:t>
      </w:r>
      <w:r>
        <w:t>. Пациенты из OCTAVE Induction 1 или OCTAVE Induction 2, не достигшие клинического ответ</w:t>
      </w:r>
      <w:r w:rsidR="006B542C">
        <w:t>а</w:t>
      </w:r>
      <w:r>
        <w:t xml:space="preserve"> после 8 недель в OCTAVE Open</w:t>
      </w:r>
      <w:r w:rsidR="00B40F82">
        <w:t>,</w:t>
      </w:r>
      <w:r>
        <w:t xml:space="preserve"> </w:t>
      </w:r>
      <w:r w:rsidR="006B542C">
        <w:t>исключались из исследования</w:t>
      </w:r>
      <w:r>
        <w:t xml:space="preserve">. При </w:t>
      </w:r>
      <w:r w:rsidR="006B542C">
        <w:t>включении</w:t>
      </w:r>
      <w:r>
        <w:t xml:space="preserve"> в OCTAVE Open также требовалось снижение дозы </w:t>
      </w:r>
      <w:r w:rsidR="008436AB">
        <w:t>глюко</w:t>
      </w:r>
      <w:r>
        <w:t>кортикостероидов</w:t>
      </w:r>
      <w:r w:rsidR="006B542C">
        <w:t xml:space="preserve"> </w:t>
      </w:r>
      <w:r w:rsidR="006B542C">
        <w:fldChar w:fldCharType="begin"/>
      </w:r>
      <w:r w:rsidR="008D5290">
        <w:instrText xml:space="preserve"> ADDIN ZOTERO_ITEM CSL_CITATION {"citationID":"Sa5PEbZc","properties":{"formattedCitation":"[24]","plainCitation":"[24]","noteIndex":0},"citationItems":[{"id":87800,"uris":["http://zotero.org/groups/4742804/items/TPCQ89X9"],"itemData":{"id":87800,"type":"webpage","title":"Xeljanz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6B542C">
        <w:fldChar w:fldCharType="separate"/>
      </w:r>
      <w:r w:rsidR="00DE2C35">
        <w:rPr>
          <w:rFonts w:cs="Times New Roman"/>
        </w:rPr>
        <w:t>[2</w:t>
      </w:r>
      <w:r w:rsidR="008D5290" w:rsidRPr="008D5290">
        <w:rPr>
          <w:rFonts w:cs="Times New Roman"/>
        </w:rPr>
        <w:t>]</w:t>
      </w:r>
      <w:r w:rsidR="006B542C">
        <w:fldChar w:fldCharType="end"/>
      </w:r>
      <w:r w:rsidR="006B542C">
        <w:t>.</w:t>
      </w:r>
    </w:p>
    <w:p w14:paraId="6CD4D06A" w14:textId="32D80683" w:rsidR="00395CE2" w:rsidRDefault="00395CE2" w:rsidP="00D22A13">
      <w:pPr>
        <w:pStyle w:val="SDText"/>
        <w:contextualSpacing/>
      </w:pPr>
      <w:r>
        <w:t xml:space="preserve">В исследование </w:t>
      </w:r>
      <w:r w:rsidRPr="00395CE2">
        <w:t>OCTAVE Induction 1</w:t>
      </w:r>
      <w:r>
        <w:t xml:space="preserve"> включили </w:t>
      </w:r>
      <w:r w:rsidR="009F360C">
        <w:t xml:space="preserve">598 пациентов, которых рандомизировали </w:t>
      </w:r>
      <w:r w:rsidR="00A36F44">
        <w:t xml:space="preserve">на группы тофацитиниба в дозе 10 мг 2 раза в день и плацебо в соотношении 4:1. Длительность исследования составила 8 недель. </w:t>
      </w:r>
      <w:r w:rsidR="005E45A5">
        <w:t xml:space="preserve">Первичной конечной точкой являлось улучшение эндоскопической картины слизистой оболочки кишечника. </w:t>
      </w:r>
      <w:r w:rsidR="00F32453">
        <w:t xml:space="preserve">Доля пациентов с достижением </w:t>
      </w:r>
      <w:r w:rsidR="00E749FE">
        <w:t xml:space="preserve">клинической </w:t>
      </w:r>
      <w:r w:rsidR="00F32453">
        <w:t>ремисс</w:t>
      </w:r>
      <w:r w:rsidR="00F773E5">
        <w:t xml:space="preserve">ии </w:t>
      </w:r>
      <w:r w:rsidR="00BA1E51">
        <w:t>(</w:t>
      </w:r>
      <w:r w:rsidR="00F773E5">
        <w:t xml:space="preserve">оценка по шкале Мейо </w:t>
      </w:r>
      <w:r w:rsidR="00F773E5">
        <w:rPr>
          <w:rFonts w:cs="Times New Roman"/>
        </w:rPr>
        <w:t>≤</w:t>
      </w:r>
      <w:r w:rsidR="00F773E5">
        <w:t xml:space="preserve"> 2 балла с </w:t>
      </w:r>
      <w:r w:rsidR="00BA1E51">
        <w:t xml:space="preserve">отсутствием превышения по любой подшкале </w:t>
      </w:r>
      <w:r w:rsidR="00BA1E51" w:rsidRPr="00BA1E51">
        <w:t xml:space="preserve">&gt; </w:t>
      </w:r>
      <w:r w:rsidR="00BA1E51">
        <w:t xml:space="preserve">1 балла) </w:t>
      </w:r>
      <w:r w:rsidR="00E749FE">
        <w:t xml:space="preserve">и показателя по подшкале ректальных кровотечений, равного 0, </w:t>
      </w:r>
      <w:r w:rsidR="00F773E5">
        <w:t xml:space="preserve">составила </w:t>
      </w:r>
      <w:r w:rsidR="000C5BDF">
        <w:t xml:space="preserve">8,2 и 18,5% в группах плацебо </w:t>
      </w:r>
      <w:r w:rsidR="00F109A9">
        <w:t xml:space="preserve">и тофацитиниба </w:t>
      </w:r>
      <w:r w:rsidR="000C5BDF">
        <w:t>соответственно</w:t>
      </w:r>
      <w:r w:rsidR="00537EC9">
        <w:t xml:space="preserve"> при оценке центральным оценщиком</w:t>
      </w:r>
      <w:r w:rsidR="00172E85">
        <w:t>,</w:t>
      </w:r>
      <w:r w:rsidR="00537EC9">
        <w:t xml:space="preserve"> и </w:t>
      </w:r>
      <w:r w:rsidR="00F109A9">
        <w:t xml:space="preserve">11,5 и 24,8% при оценке локальным оценщиком. </w:t>
      </w:r>
      <w:r w:rsidR="001F0F41">
        <w:t>Улучшение эндоскопической картины слизистой оболочки кишечника отмечали у 15,6 и 31,3% пациентов из групп плацебо и тофацитиниба соответственно при оценке центральным оценщиком</w:t>
      </w:r>
      <w:r w:rsidR="00172E85">
        <w:t>,</w:t>
      </w:r>
      <w:r w:rsidR="001F0F41">
        <w:t xml:space="preserve"> и </w:t>
      </w:r>
      <w:r w:rsidR="001A6A00">
        <w:t>23</w:t>
      </w:r>
      <w:r w:rsidR="001F0F41">
        <w:t>,</w:t>
      </w:r>
      <w:r w:rsidR="001A6A00">
        <w:t>0</w:t>
      </w:r>
      <w:r w:rsidR="001F0F41">
        <w:t xml:space="preserve"> и </w:t>
      </w:r>
      <w:r w:rsidR="001A6A00">
        <w:t>42</w:t>
      </w:r>
      <w:r w:rsidR="001F0F41">
        <w:t>,</w:t>
      </w:r>
      <w:r w:rsidR="001A6A00">
        <w:t>4</w:t>
      </w:r>
      <w:r w:rsidR="001F0F41">
        <w:t>% при оценке локальным оценщиком</w:t>
      </w:r>
      <w:r w:rsidR="001A6A00">
        <w:t xml:space="preserve">. Сопоставимую динамику наблюдали также для </w:t>
      </w:r>
      <w:r w:rsidR="00A16E41">
        <w:t xml:space="preserve">нормализации эндоскопической картины слизистой оболочки кишечника и клинического ответа. </w:t>
      </w:r>
      <w:r w:rsidR="00773A24">
        <w:t xml:space="preserve">Превосходство тофацитиниба </w:t>
      </w:r>
      <w:r w:rsidR="004A4D08">
        <w:t xml:space="preserve">в отношении достижения ремиссии и улучшения эндоскопической картины слизистой оболочки кишечника </w:t>
      </w:r>
      <w:r w:rsidR="00773A24">
        <w:t xml:space="preserve">отмечали для подгрупп пациентов с </w:t>
      </w:r>
      <w:r w:rsidR="00773A24">
        <w:rPr>
          <w:rFonts w:cs="Times New Roman"/>
        </w:rPr>
        <w:t>или без</w:t>
      </w:r>
      <w:r w:rsidR="00773A24">
        <w:t xml:space="preserve"> предшествующей неудач</w:t>
      </w:r>
      <w:r w:rsidR="00172E85">
        <w:t>и</w:t>
      </w:r>
      <w:r w:rsidR="00773A24">
        <w:t xml:space="preserve"> терапии ингибиторами </w:t>
      </w:r>
      <w:r w:rsidR="00773A24">
        <w:rPr>
          <w:lang w:val="en-US"/>
        </w:rPr>
        <w:t>TNF</w:t>
      </w:r>
      <w:r w:rsidR="00773A24">
        <w:t>-</w:t>
      </w:r>
      <w:r w:rsidR="00773A24">
        <w:rPr>
          <w:rFonts w:cs="Times New Roman"/>
        </w:rPr>
        <w:t>α</w:t>
      </w:r>
      <w:r w:rsidR="004A4D08">
        <w:rPr>
          <w:rFonts w:cs="Times New Roman"/>
        </w:rPr>
        <w:t xml:space="preserve">. </w:t>
      </w:r>
      <w:r w:rsidR="00124741">
        <w:rPr>
          <w:rFonts w:cs="Times New Roman"/>
        </w:rPr>
        <w:t>Статистически значим</w:t>
      </w:r>
      <w:r w:rsidR="0008427C">
        <w:rPr>
          <w:rFonts w:cs="Times New Roman"/>
        </w:rPr>
        <w:t xml:space="preserve">ые </w:t>
      </w:r>
      <w:r w:rsidR="00124741">
        <w:rPr>
          <w:rFonts w:cs="Times New Roman"/>
        </w:rPr>
        <w:t xml:space="preserve">различия </w:t>
      </w:r>
      <w:r w:rsidR="00F32832">
        <w:rPr>
          <w:rFonts w:cs="Times New Roman"/>
        </w:rPr>
        <w:t xml:space="preserve">изменений от исходных значений ректального кровотечения, частоты стула и </w:t>
      </w:r>
      <w:r w:rsidR="00E839D2">
        <w:rPr>
          <w:rFonts w:cs="Times New Roman"/>
        </w:rPr>
        <w:t xml:space="preserve">частично показателя по шкале Мейо у пациентов из групп </w:t>
      </w:r>
      <w:r w:rsidR="0008427C">
        <w:rPr>
          <w:rFonts w:cs="Times New Roman"/>
        </w:rPr>
        <w:t xml:space="preserve">тофацитиниба и плацебо зарегистрировали уже </w:t>
      </w:r>
      <w:r w:rsidR="00421A5C">
        <w:rPr>
          <w:rFonts w:cs="Times New Roman"/>
        </w:rPr>
        <w:t>через 2 недели от начала терапии</w:t>
      </w:r>
      <w:r w:rsidR="00B87EDB">
        <w:rPr>
          <w:rFonts w:cs="Times New Roman"/>
        </w:rPr>
        <w:t>.</w:t>
      </w:r>
      <w:r w:rsidR="00B87EDB" w:rsidRPr="00B87EDB">
        <w:rPr>
          <w:rFonts w:cs="Times New Roman"/>
        </w:rPr>
        <w:t xml:space="preserve"> </w:t>
      </w:r>
      <w:r w:rsidR="00B87EDB">
        <w:rPr>
          <w:rFonts w:cs="Times New Roman"/>
        </w:rPr>
        <w:t xml:space="preserve">Для тофацитиниба в сравнении с плацебо продемонстрировали более выраженное улучшение от исходного значения показателя физического компонента и показателя психологического компонента, а также всех 8 доменов </w:t>
      </w:r>
      <w:r w:rsidR="00B87EDB">
        <w:rPr>
          <w:rFonts w:cs="Times New Roman"/>
          <w:lang w:val="en-US"/>
        </w:rPr>
        <w:t>SF</w:t>
      </w:r>
      <w:r w:rsidR="00B87EDB" w:rsidRPr="00B87EDB">
        <w:rPr>
          <w:rFonts w:cs="Times New Roman"/>
        </w:rPr>
        <w:t>-36</w:t>
      </w:r>
      <w:r w:rsidR="003D3D8C">
        <w:rPr>
          <w:rFonts w:cs="Times New Roman"/>
        </w:rPr>
        <w:t xml:space="preserve">. Кроме того, тофацитиниб </w:t>
      </w:r>
      <w:r w:rsidR="00587DAC">
        <w:rPr>
          <w:rFonts w:cs="Times New Roman"/>
        </w:rPr>
        <w:t xml:space="preserve">обладал превосходством над плацебо в отношении общего показателя и показателя по </w:t>
      </w:r>
      <w:r w:rsidR="00073FB6">
        <w:rPr>
          <w:rFonts w:cs="Times New Roman"/>
        </w:rPr>
        <w:t xml:space="preserve">всем 4 </w:t>
      </w:r>
      <w:r w:rsidR="00587DAC">
        <w:rPr>
          <w:rFonts w:cs="Times New Roman"/>
        </w:rPr>
        <w:t xml:space="preserve">подшкалам </w:t>
      </w:r>
      <w:r w:rsidR="00073FB6">
        <w:rPr>
          <w:rFonts w:cs="Times New Roman"/>
        </w:rPr>
        <w:t>(</w:t>
      </w:r>
      <w:r w:rsidR="00364DFB">
        <w:rPr>
          <w:rFonts w:cs="Times New Roman"/>
        </w:rPr>
        <w:t xml:space="preserve">симптомы со стороны кишечника, системная функция, эмоциональная функция и социальная функция) </w:t>
      </w:r>
      <w:r w:rsidR="00AF16A2">
        <w:rPr>
          <w:rFonts w:cs="Times New Roman"/>
        </w:rPr>
        <w:t>опросника для оценки воспалительных заболеваний кишечника (</w:t>
      </w:r>
      <w:r w:rsidR="00AF16A2" w:rsidRPr="00AF16A2">
        <w:rPr>
          <w:rFonts w:cs="Times New Roman"/>
        </w:rPr>
        <w:t>Inflammatory Bowel Disease Questionnaire</w:t>
      </w:r>
      <w:r w:rsidR="00AF16A2">
        <w:rPr>
          <w:rFonts w:cs="Times New Roman"/>
        </w:rPr>
        <w:t xml:space="preserve">, </w:t>
      </w:r>
      <w:r w:rsidR="00073FB6" w:rsidRPr="00073FB6">
        <w:rPr>
          <w:rFonts w:cs="Times New Roman"/>
        </w:rPr>
        <w:t>IBDQ</w:t>
      </w:r>
      <w:r w:rsidR="00073FB6">
        <w:rPr>
          <w:rFonts w:cs="Times New Roman"/>
        </w:rPr>
        <w:t>)</w:t>
      </w:r>
      <w:r w:rsidR="0053247C">
        <w:rPr>
          <w:rFonts w:cs="Times New Roman"/>
        </w:rPr>
        <w:t>. Улучшения</w:t>
      </w:r>
      <w:r w:rsidR="00A1229B">
        <w:rPr>
          <w:rFonts w:cs="Times New Roman"/>
        </w:rPr>
        <w:t xml:space="preserve"> </w:t>
      </w:r>
      <w:r w:rsidR="0053247C">
        <w:rPr>
          <w:rFonts w:cs="Times New Roman"/>
        </w:rPr>
        <w:t>на фоне терапии тофацитинибом в сравнении с плацебо также наблюдали при оценке по Европейскому опроснику для оценки качества жизни в 5 категориях (</w:t>
      </w:r>
      <w:r w:rsidR="0053247C" w:rsidRPr="00426B4F">
        <w:rPr>
          <w:rFonts w:cs="Times New Roman"/>
        </w:rPr>
        <w:t>EuroQoL 5-Dimension</w:t>
      </w:r>
      <w:r w:rsidR="0053247C">
        <w:rPr>
          <w:rFonts w:cs="Times New Roman"/>
        </w:rPr>
        <w:t xml:space="preserve">, </w:t>
      </w:r>
      <w:r w:rsidR="0053247C" w:rsidRPr="0089004B">
        <w:rPr>
          <w:rFonts w:cs="Times New Roman"/>
        </w:rPr>
        <w:t>EQ-5D</w:t>
      </w:r>
      <w:r w:rsidR="0053247C">
        <w:rPr>
          <w:rFonts w:cs="Times New Roman"/>
        </w:rPr>
        <w:t>) и различным доменам опросника нарушения трудоспособности и повседневной деятельности (</w:t>
      </w:r>
      <w:r w:rsidR="0053247C" w:rsidRPr="00466B1F">
        <w:rPr>
          <w:rFonts w:cs="Times New Roman"/>
        </w:rPr>
        <w:t>Work Productivity and Activity Impairment</w:t>
      </w:r>
      <w:r w:rsidR="0053247C">
        <w:rPr>
          <w:rFonts w:cs="Times New Roman"/>
        </w:rPr>
        <w:t xml:space="preserve">, </w:t>
      </w:r>
      <w:r w:rsidR="0053247C" w:rsidRPr="0053247C">
        <w:rPr>
          <w:rFonts w:cs="Times New Roman"/>
        </w:rPr>
        <w:t>WPAI-UC</w:t>
      </w:r>
      <w:r w:rsidR="0053247C">
        <w:rPr>
          <w:rFonts w:cs="Times New Roman"/>
        </w:rPr>
        <w:t xml:space="preserve">) </w:t>
      </w:r>
      <w:r w:rsidR="00421A5C">
        <w:fldChar w:fldCharType="begin"/>
      </w:r>
      <w:r w:rsidR="008D5290">
        <w:instrText xml:space="preserve"> ADDIN ZOTERO_ITEM CSL_CITATION {"citationID":"yHdkiszo","properties":{"formattedCitation":"[24]","plainCitation":"[24]","noteIndex":0},"citationItems":[{"id":87800,"uris":["http://zotero.org/groups/4742804/items/TPCQ89X9"],"itemData":{"id":87800,"type":"webpage","title":"Xeljanz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21A5C">
        <w:fldChar w:fldCharType="separate"/>
      </w:r>
      <w:r w:rsidR="00DE2C35">
        <w:rPr>
          <w:rFonts w:cs="Times New Roman"/>
        </w:rPr>
        <w:t>[2</w:t>
      </w:r>
      <w:r w:rsidR="008D5290" w:rsidRPr="008D5290">
        <w:rPr>
          <w:rFonts w:cs="Times New Roman"/>
        </w:rPr>
        <w:t>]</w:t>
      </w:r>
      <w:r w:rsidR="00421A5C">
        <w:fldChar w:fldCharType="end"/>
      </w:r>
      <w:r w:rsidR="00421A5C">
        <w:t>.</w:t>
      </w:r>
    </w:p>
    <w:p w14:paraId="74D2D7A7" w14:textId="7B250B09" w:rsidR="00421A5C" w:rsidRDefault="00421A5C" w:rsidP="00D22A13">
      <w:pPr>
        <w:pStyle w:val="SDText"/>
        <w:contextualSpacing/>
      </w:pPr>
      <w:r>
        <w:t xml:space="preserve">В исследование </w:t>
      </w:r>
      <w:r w:rsidRPr="00395CE2">
        <w:t xml:space="preserve">OCTAVE Induction </w:t>
      </w:r>
      <w:r w:rsidR="004921E5">
        <w:t>2</w:t>
      </w:r>
      <w:r>
        <w:t xml:space="preserve"> включили 5</w:t>
      </w:r>
      <w:r w:rsidR="006F0E6B">
        <w:t>41</w:t>
      </w:r>
      <w:r>
        <w:t xml:space="preserve"> пациент</w:t>
      </w:r>
      <w:r w:rsidR="006F0E6B">
        <w:t>а</w:t>
      </w:r>
      <w:r>
        <w:t>, котор</w:t>
      </w:r>
      <w:r w:rsidR="006F0E6B">
        <w:t>ого</w:t>
      </w:r>
      <w:r>
        <w:t xml:space="preserve"> рандомизировали на группы тофацитиниба в дозе 10 мг 2 раза в день и плацебо в соотношении 4:1. Длительность исследования составила 8 недель. Первичной конечной точкой являлось улучшение эндоскопической картины слизистой оболочки кишечника. Доля пациентов с достижением клинической ремиссии (оценка по шкале Мейо </w:t>
      </w:r>
      <w:r>
        <w:rPr>
          <w:rFonts w:cs="Times New Roman"/>
        </w:rPr>
        <w:t>≤</w:t>
      </w:r>
      <w:r>
        <w:t xml:space="preserve"> 2 балла с отсутствием превышения по любой подшкале </w:t>
      </w:r>
      <w:r w:rsidRPr="00BA1E51">
        <w:t xml:space="preserve">&gt; </w:t>
      </w:r>
      <w:r>
        <w:t xml:space="preserve">1 балла) и показателя по подшкале ректальных кровотечений, равного 0, составила </w:t>
      </w:r>
      <w:r w:rsidR="006F0E6B">
        <w:t>3</w:t>
      </w:r>
      <w:r>
        <w:t>,</w:t>
      </w:r>
      <w:r w:rsidR="006F0E6B">
        <w:t>6</w:t>
      </w:r>
      <w:r>
        <w:t xml:space="preserve"> и 1</w:t>
      </w:r>
      <w:r w:rsidR="006F0E6B">
        <w:t>6</w:t>
      </w:r>
      <w:r>
        <w:t>,</w:t>
      </w:r>
      <w:r w:rsidR="006F0E6B">
        <w:t>6</w:t>
      </w:r>
      <w:r>
        <w:t>% в группах плацебо и тофацитиниба соответственно при оценке центральным оценщиком</w:t>
      </w:r>
      <w:r w:rsidR="00A12A03">
        <w:t>,</w:t>
      </w:r>
      <w:r>
        <w:t xml:space="preserve"> и </w:t>
      </w:r>
      <w:r w:rsidR="00370044">
        <w:t>5</w:t>
      </w:r>
      <w:r>
        <w:t>,</w:t>
      </w:r>
      <w:r w:rsidR="00370044">
        <w:t>4</w:t>
      </w:r>
      <w:r>
        <w:t xml:space="preserve"> и 2</w:t>
      </w:r>
      <w:r w:rsidR="00370044">
        <w:t>0</w:t>
      </w:r>
      <w:r>
        <w:t>,</w:t>
      </w:r>
      <w:r w:rsidR="00370044">
        <w:t>7</w:t>
      </w:r>
      <w:r>
        <w:t>% при оценке локальным оценщиком. Улучшение эндоскопической картины слизистой оболочки кишечника отмечали у 1</w:t>
      </w:r>
      <w:r w:rsidR="00370044">
        <w:t>1</w:t>
      </w:r>
      <w:r>
        <w:t xml:space="preserve">,6 и </w:t>
      </w:r>
      <w:r w:rsidR="00370044">
        <w:t>28</w:t>
      </w:r>
      <w:r>
        <w:t>,</w:t>
      </w:r>
      <w:r w:rsidR="00370044">
        <w:t>4</w:t>
      </w:r>
      <w:r>
        <w:t>% пациентов из групп плацебо и тофацитиниба соответственно при оценке центральным оценщиком</w:t>
      </w:r>
      <w:r w:rsidR="00A12A03">
        <w:t>,</w:t>
      </w:r>
      <w:r>
        <w:t xml:space="preserve"> и </w:t>
      </w:r>
      <w:r w:rsidR="00FA21B9">
        <w:t>15</w:t>
      </w:r>
      <w:r>
        <w:t>,</w:t>
      </w:r>
      <w:r w:rsidR="00FA21B9">
        <w:t>2</w:t>
      </w:r>
      <w:r>
        <w:t xml:space="preserve"> и </w:t>
      </w:r>
      <w:r w:rsidR="00FA21B9">
        <w:t>36</w:t>
      </w:r>
      <w:r>
        <w:t xml:space="preserve">,4% при оценке локальным оценщиком. Сопоставимую динамику наблюдали также для нормализации </w:t>
      </w:r>
      <w:r>
        <w:lastRenderedPageBreak/>
        <w:t xml:space="preserve">эндоскопической картины слизистой оболочки кишечника и клинического ответа. Превосходство тофацитиниба в отношении достижения ремиссии и улучшения эндоскопической картины слизистой оболочки кишечника отмечали для подгрупп пациентов с </w:t>
      </w:r>
      <w:r>
        <w:rPr>
          <w:rFonts w:cs="Times New Roman"/>
        </w:rPr>
        <w:t>или без</w:t>
      </w:r>
      <w:r>
        <w:t xml:space="preserve"> предшествующей неудач</w:t>
      </w:r>
      <w:r w:rsidR="00172E85">
        <w:t>и</w:t>
      </w:r>
      <w:r>
        <w:t xml:space="preserve"> терапии ингибиторами </w:t>
      </w:r>
      <w:r>
        <w:rPr>
          <w:lang w:val="en-US"/>
        </w:rPr>
        <w:t>TNF</w:t>
      </w:r>
      <w:r>
        <w:t>-</w:t>
      </w:r>
      <w:r>
        <w:rPr>
          <w:rFonts w:cs="Times New Roman"/>
        </w:rPr>
        <w:t>α. Статистически значимые различия изменений от исходных значений ректального кровотечения, частоты стула и частично показателя по шкале Мейо у пациентов из групп тофацитиниба и плацебо зарегистрировали уже через 2 недели от начала терапии</w:t>
      </w:r>
      <w:r w:rsidR="00296318">
        <w:rPr>
          <w:rFonts w:cs="Times New Roman"/>
        </w:rPr>
        <w:t xml:space="preserve">. Для тофацитиниба </w:t>
      </w:r>
      <w:r w:rsidR="00C12AAF">
        <w:rPr>
          <w:rFonts w:cs="Times New Roman"/>
        </w:rPr>
        <w:t xml:space="preserve">в сравнении с плацебо </w:t>
      </w:r>
      <w:r w:rsidR="00296318">
        <w:rPr>
          <w:rFonts w:cs="Times New Roman"/>
        </w:rPr>
        <w:t xml:space="preserve">продемонстрировали более выраженное улучшение от исходного значения </w:t>
      </w:r>
      <w:r w:rsidR="00C12AAF">
        <w:rPr>
          <w:rFonts w:cs="Times New Roman"/>
        </w:rPr>
        <w:t>показателя физического компонента</w:t>
      </w:r>
      <w:r w:rsidR="00B87EDB">
        <w:rPr>
          <w:rFonts w:cs="Times New Roman"/>
        </w:rPr>
        <w:t xml:space="preserve"> и показателя психологического компонента, а также всех 8 доменов </w:t>
      </w:r>
      <w:r w:rsidR="00B87EDB">
        <w:rPr>
          <w:rFonts w:cs="Times New Roman"/>
          <w:lang w:val="en-US"/>
        </w:rPr>
        <w:t>SF</w:t>
      </w:r>
      <w:r w:rsidR="00B87EDB" w:rsidRPr="00B87EDB">
        <w:rPr>
          <w:rFonts w:cs="Times New Roman"/>
        </w:rPr>
        <w:t>-36</w:t>
      </w:r>
      <w:r w:rsidR="000D7CC7">
        <w:rPr>
          <w:rFonts w:cs="Times New Roman"/>
        </w:rPr>
        <w:t xml:space="preserve">. Кроме того, тофацитиниб обладал превосходством над плацебо в отношении общего показателя и показателя по всем 4 подшкалам (симптомы со стороны кишечника, системная функция, эмоциональная функция и социальная функция) </w:t>
      </w:r>
      <w:r w:rsidR="000D7CC7" w:rsidRPr="00073FB6">
        <w:rPr>
          <w:rFonts w:cs="Times New Roman"/>
        </w:rPr>
        <w:t>IBDQ</w:t>
      </w:r>
      <w:r w:rsidR="0053247C">
        <w:rPr>
          <w:rFonts w:cs="Times New Roman"/>
        </w:rPr>
        <w:t>. Улучшения</w:t>
      </w:r>
      <w:r w:rsidR="00A1229B">
        <w:rPr>
          <w:rFonts w:cs="Times New Roman"/>
        </w:rPr>
        <w:t xml:space="preserve"> </w:t>
      </w:r>
      <w:r w:rsidR="0053247C">
        <w:rPr>
          <w:rFonts w:cs="Times New Roman"/>
        </w:rPr>
        <w:t xml:space="preserve">на фоне терапии тофацитинибом в сравнении с плацебо также наблюдали при оценке по </w:t>
      </w:r>
      <w:r w:rsidR="0053247C" w:rsidRPr="0089004B">
        <w:rPr>
          <w:rFonts w:cs="Times New Roman"/>
        </w:rPr>
        <w:t>EQ-5D</w:t>
      </w:r>
      <w:r w:rsidR="0053247C">
        <w:rPr>
          <w:rFonts w:cs="Times New Roman"/>
        </w:rPr>
        <w:t xml:space="preserve"> и различным доменам </w:t>
      </w:r>
      <w:r w:rsidR="0053247C" w:rsidRPr="0053247C">
        <w:rPr>
          <w:rFonts w:cs="Times New Roman"/>
        </w:rPr>
        <w:t>WPAI-UC</w:t>
      </w:r>
      <w:r>
        <w:rPr>
          <w:rFonts w:cs="Times New Roman"/>
        </w:rPr>
        <w:t xml:space="preserve"> </w:t>
      </w:r>
      <w:r>
        <w:fldChar w:fldCharType="begin"/>
      </w:r>
      <w:r w:rsidR="008D5290">
        <w:instrText xml:space="preserve"> ADDIN ZOTERO_ITEM CSL_CITATION {"citationID":"Yo2dapAS","properties":{"formattedCitation":"[24]","plainCitation":"[24]","noteIndex":0},"citationItems":[{"id":87800,"uris":["http://zotero.org/groups/4742804/items/TPCQ89X9"],"itemData":{"id":87800,"type":"webpage","title":"Xeljanz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57254118" w14:textId="77777777" w:rsidR="004861FD" w:rsidRDefault="004861FD" w:rsidP="00D22A13">
      <w:pPr>
        <w:pStyle w:val="SDText"/>
        <w:contextualSpacing/>
      </w:pPr>
    </w:p>
    <w:p w14:paraId="49F438FA" w14:textId="0BF15ECD" w:rsidR="004861FD" w:rsidRPr="004861FD" w:rsidRDefault="004861FD" w:rsidP="004861FD">
      <w:pPr>
        <w:pStyle w:val="SDText"/>
        <w:ind w:firstLine="0"/>
        <w:contextualSpacing/>
        <w:rPr>
          <w:b/>
        </w:rPr>
      </w:pPr>
      <w:r w:rsidRPr="004861FD">
        <w:rPr>
          <w:b/>
        </w:rPr>
        <w:t xml:space="preserve">Обобщенные данные исследований </w:t>
      </w:r>
      <w:r>
        <w:rPr>
          <w:b/>
        </w:rPr>
        <w:t xml:space="preserve">индукции ремиссии </w:t>
      </w:r>
      <w:r w:rsidRPr="004861FD">
        <w:rPr>
          <w:b/>
        </w:rPr>
        <w:t>OCTAVE Induction 1 и OCTAVE Induction 2</w:t>
      </w:r>
    </w:p>
    <w:p w14:paraId="617EDDF5" w14:textId="77777777" w:rsidR="00143135" w:rsidRDefault="00143135" w:rsidP="00143135">
      <w:pPr>
        <w:pStyle w:val="SDText"/>
        <w:spacing w:after="0"/>
        <w:ind w:firstLine="0"/>
        <w:rPr>
          <w:b/>
          <w:bCs/>
        </w:rPr>
      </w:pPr>
    </w:p>
    <w:p w14:paraId="08755479" w14:textId="4A134D07" w:rsidR="004861FD" w:rsidRDefault="00554849" w:rsidP="00143135">
      <w:pPr>
        <w:pStyle w:val="SDText"/>
        <w:spacing w:after="0"/>
        <w:ind w:firstLine="0"/>
      </w:pPr>
      <w:r w:rsidRPr="000D3CC1">
        <w:rPr>
          <w:b/>
          <w:bCs/>
        </w:rPr>
        <w:t xml:space="preserve">Таблица </w:t>
      </w:r>
      <w:r w:rsidR="00652269" w:rsidRPr="000D3CC1">
        <w:rPr>
          <w:b/>
          <w:bCs/>
        </w:rPr>
        <w:fldChar w:fldCharType="begin"/>
      </w:r>
      <w:r w:rsidR="00652269" w:rsidRPr="000D3CC1">
        <w:rPr>
          <w:b/>
          <w:bCs/>
        </w:rPr>
        <w:instrText xml:space="preserve"> STYLEREF 1 \s </w:instrText>
      </w:r>
      <w:r w:rsidR="00652269" w:rsidRPr="000D3CC1">
        <w:rPr>
          <w:b/>
          <w:bCs/>
        </w:rPr>
        <w:fldChar w:fldCharType="separate"/>
      </w:r>
      <w:r w:rsidR="00383E6F" w:rsidRPr="000D3CC1">
        <w:rPr>
          <w:b/>
          <w:bCs/>
          <w:noProof/>
        </w:rPr>
        <w:t>4</w:t>
      </w:r>
      <w:r w:rsidR="00652269" w:rsidRPr="000D3CC1">
        <w:rPr>
          <w:b/>
          <w:bCs/>
        </w:rPr>
        <w:fldChar w:fldCharType="end"/>
      </w:r>
      <w:r w:rsidR="00652269" w:rsidRPr="000D3CC1">
        <w:rPr>
          <w:b/>
          <w:bCs/>
        </w:rPr>
        <w:noBreakHyphen/>
      </w:r>
      <w:r w:rsidR="00652269" w:rsidRPr="000D3CC1">
        <w:rPr>
          <w:b/>
          <w:bCs/>
        </w:rPr>
        <w:fldChar w:fldCharType="begin"/>
      </w:r>
      <w:r w:rsidR="00652269" w:rsidRPr="000D3CC1">
        <w:rPr>
          <w:b/>
          <w:bCs/>
        </w:rPr>
        <w:instrText xml:space="preserve"> SEQ Таблица \* ARABIC \s 1 </w:instrText>
      </w:r>
      <w:r w:rsidR="00652269" w:rsidRPr="000D3CC1">
        <w:rPr>
          <w:b/>
          <w:bCs/>
        </w:rPr>
        <w:fldChar w:fldCharType="separate"/>
      </w:r>
      <w:r w:rsidR="00383E6F" w:rsidRPr="000D3CC1">
        <w:rPr>
          <w:b/>
          <w:bCs/>
          <w:noProof/>
        </w:rPr>
        <w:t>16</w:t>
      </w:r>
      <w:r w:rsidR="00652269" w:rsidRPr="000D3CC1">
        <w:rPr>
          <w:b/>
          <w:bCs/>
        </w:rPr>
        <w:fldChar w:fldCharType="end"/>
      </w:r>
      <w:r w:rsidR="00D91014" w:rsidRPr="000D3CC1">
        <w:rPr>
          <w:b/>
          <w:bCs/>
        </w:rPr>
        <w:t>.</w:t>
      </w:r>
      <w:r>
        <w:t xml:space="preserve"> Доля пациентов, достигших критериев эффективности на неделе 8 </w:t>
      </w:r>
      <w:r w:rsidR="005B12B5">
        <w:t xml:space="preserve">(исследования </w:t>
      </w:r>
      <w:r w:rsidR="005B12B5" w:rsidRPr="005B12B5">
        <w:t>OCTAVE Induction 1 и OCTAVE Induction 2</w:t>
      </w:r>
      <w:r w:rsidR="005B12B5">
        <w:t>)</w:t>
      </w:r>
      <w:r w:rsidR="00D91014">
        <w:t>.</w:t>
      </w:r>
    </w:p>
    <w:tbl>
      <w:tblPr>
        <w:tblStyle w:val="a4"/>
        <w:tblW w:w="0" w:type="auto"/>
        <w:tblInd w:w="108" w:type="dxa"/>
        <w:tblLook w:val="04A0" w:firstRow="1" w:lastRow="0" w:firstColumn="1" w:lastColumn="0" w:noHBand="0" w:noVBand="1"/>
      </w:tblPr>
      <w:tblGrid>
        <w:gridCol w:w="1989"/>
        <w:gridCol w:w="1836"/>
        <w:gridCol w:w="1900"/>
        <w:gridCol w:w="1837"/>
        <w:gridCol w:w="1794"/>
      </w:tblGrid>
      <w:tr w:rsidR="005B12B5" w14:paraId="3F9D0D87" w14:textId="77777777" w:rsidTr="000D3CC1">
        <w:tc>
          <w:tcPr>
            <w:tcW w:w="1989" w:type="dxa"/>
            <w:vMerge w:val="restart"/>
            <w:shd w:val="clear" w:color="auto" w:fill="D9D9D9" w:themeFill="background1" w:themeFillShade="D9"/>
          </w:tcPr>
          <w:p w14:paraId="3553AA65" w14:textId="77777777" w:rsidR="005B12B5" w:rsidRPr="00234085" w:rsidRDefault="005B12B5" w:rsidP="00234085">
            <w:pPr>
              <w:ind w:firstLine="0"/>
              <w:jc w:val="center"/>
              <w:rPr>
                <w:b/>
                <w:bCs/>
              </w:rPr>
            </w:pPr>
          </w:p>
        </w:tc>
        <w:tc>
          <w:tcPr>
            <w:tcW w:w="7367" w:type="dxa"/>
            <w:gridSpan w:val="4"/>
            <w:shd w:val="clear" w:color="auto" w:fill="D9D9D9" w:themeFill="background1" w:themeFillShade="D9"/>
          </w:tcPr>
          <w:p w14:paraId="582286DF" w14:textId="330CEF14" w:rsidR="005B12B5" w:rsidRPr="00234085" w:rsidRDefault="00234085" w:rsidP="00234085">
            <w:pPr>
              <w:ind w:firstLine="0"/>
              <w:jc w:val="center"/>
              <w:rPr>
                <w:b/>
                <w:bCs/>
              </w:rPr>
            </w:pPr>
            <w:r w:rsidRPr="00234085">
              <w:rPr>
                <w:b/>
                <w:bCs/>
              </w:rPr>
              <w:t>OCTAVE Induction 1</w:t>
            </w:r>
          </w:p>
        </w:tc>
      </w:tr>
      <w:tr w:rsidR="005B12B5" w14:paraId="73951685" w14:textId="77777777" w:rsidTr="000D3CC1">
        <w:tc>
          <w:tcPr>
            <w:tcW w:w="1989" w:type="dxa"/>
            <w:vMerge/>
            <w:shd w:val="clear" w:color="auto" w:fill="D9D9D9" w:themeFill="background1" w:themeFillShade="D9"/>
          </w:tcPr>
          <w:p w14:paraId="071CB8D5" w14:textId="77777777" w:rsidR="005B12B5" w:rsidRPr="00234085" w:rsidRDefault="005B12B5" w:rsidP="00234085">
            <w:pPr>
              <w:ind w:firstLine="0"/>
              <w:jc w:val="center"/>
              <w:rPr>
                <w:b/>
                <w:bCs/>
              </w:rPr>
            </w:pPr>
          </w:p>
        </w:tc>
        <w:tc>
          <w:tcPr>
            <w:tcW w:w="3736" w:type="dxa"/>
            <w:gridSpan w:val="2"/>
            <w:shd w:val="clear" w:color="auto" w:fill="D9D9D9" w:themeFill="background1" w:themeFillShade="D9"/>
          </w:tcPr>
          <w:p w14:paraId="29C5D20B" w14:textId="3107EFDE" w:rsidR="005B12B5" w:rsidRPr="00234085" w:rsidRDefault="00125E57" w:rsidP="00234085">
            <w:pPr>
              <w:ind w:firstLine="0"/>
              <w:jc w:val="center"/>
              <w:rPr>
                <w:b/>
                <w:bCs/>
              </w:rPr>
            </w:pPr>
            <w:r>
              <w:rPr>
                <w:b/>
                <w:bCs/>
              </w:rPr>
              <w:t>Централизованная о</w:t>
            </w:r>
            <w:r w:rsidR="00562CB4">
              <w:rPr>
                <w:b/>
                <w:bCs/>
              </w:rPr>
              <w:t xml:space="preserve">ценка результатов эндоскопического исследования </w:t>
            </w:r>
          </w:p>
        </w:tc>
        <w:tc>
          <w:tcPr>
            <w:tcW w:w="3631" w:type="dxa"/>
            <w:gridSpan w:val="2"/>
            <w:shd w:val="clear" w:color="auto" w:fill="D9D9D9" w:themeFill="background1" w:themeFillShade="D9"/>
          </w:tcPr>
          <w:p w14:paraId="1C61EB85" w14:textId="48E698DF" w:rsidR="005B12B5" w:rsidRPr="00234085" w:rsidRDefault="00125E57" w:rsidP="00234085">
            <w:pPr>
              <w:ind w:firstLine="0"/>
              <w:jc w:val="center"/>
              <w:rPr>
                <w:b/>
                <w:bCs/>
              </w:rPr>
            </w:pPr>
            <w:r>
              <w:rPr>
                <w:b/>
                <w:bCs/>
              </w:rPr>
              <w:t xml:space="preserve">Локальная </w:t>
            </w:r>
            <w:r w:rsidRPr="00125E57">
              <w:rPr>
                <w:b/>
                <w:bCs/>
              </w:rPr>
              <w:t>оценка результатов эндоскопического исследования</w:t>
            </w:r>
          </w:p>
        </w:tc>
      </w:tr>
      <w:tr w:rsidR="000D3CC1" w14:paraId="20FDB8DD" w14:textId="77777777" w:rsidTr="000D3CC1">
        <w:tc>
          <w:tcPr>
            <w:tcW w:w="1989" w:type="dxa"/>
            <w:vMerge w:val="restart"/>
            <w:shd w:val="clear" w:color="auto" w:fill="D9D9D9" w:themeFill="background1" w:themeFillShade="D9"/>
            <w:vAlign w:val="center"/>
          </w:tcPr>
          <w:p w14:paraId="398DD7EA" w14:textId="6E43CAC2" w:rsidR="000D3CC1" w:rsidRPr="003E5C99" w:rsidRDefault="000D3CC1" w:rsidP="000D3CC1">
            <w:pPr>
              <w:ind w:firstLine="0"/>
              <w:jc w:val="center"/>
              <w:rPr>
                <w:b/>
                <w:bCs/>
              </w:rPr>
            </w:pPr>
            <w:r w:rsidRPr="003E5C99">
              <w:rPr>
                <w:b/>
                <w:bCs/>
              </w:rPr>
              <w:t>Конечная точка</w:t>
            </w:r>
          </w:p>
        </w:tc>
        <w:tc>
          <w:tcPr>
            <w:tcW w:w="1836" w:type="dxa"/>
            <w:shd w:val="clear" w:color="auto" w:fill="D9D9D9" w:themeFill="background1" w:themeFillShade="D9"/>
            <w:vAlign w:val="center"/>
          </w:tcPr>
          <w:p w14:paraId="11A0FF8E" w14:textId="1FD350E3" w:rsidR="000D3CC1" w:rsidRPr="003E5C99" w:rsidRDefault="000D3CC1" w:rsidP="000D3CC1">
            <w:pPr>
              <w:ind w:firstLine="0"/>
              <w:jc w:val="center"/>
              <w:rPr>
                <w:b/>
                <w:bCs/>
              </w:rPr>
            </w:pPr>
            <w:r w:rsidRPr="003E5C99">
              <w:rPr>
                <w:b/>
                <w:bCs/>
              </w:rPr>
              <w:t>Плацебо</w:t>
            </w:r>
          </w:p>
        </w:tc>
        <w:tc>
          <w:tcPr>
            <w:tcW w:w="1900" w:type="dxa"/>
            <w:shd w:val="clear" w:color="auto" w:fill="D9D9D9" w:themeFill="background1" w:themeFillShade="D9"/>
            <w:vAlign w:val="center"/>
          </w:tcPr>
          <w:p w14:paraId="6878B25D" w14:textId="61C4D82B" w:rsidR="000D3CC1" w:rsidRPr="003E5C99" w:rsidRDefault="000D3CC1" w:rsidP="00791E09">
            <w:pPr>
              <w:ind w:left="-112" w:right="-59" w:firstLine="0"/>
              <w:jc w:val="center"/>
              <w:rPr>
                <w:b/>
                <w:bCs/>
              </w:rPr>
            </w:pPr>
            <w:r w:rsidRPr="003E5C99">
              <w:rPr>
                <w:b/>
                <w:bCs/>
              </w:rPr>
              <w:t>Тофацитиниб, 10 мг 2 раза в день</w:t>
            </w:r>
          </w:p>
        </w:tc>
        <w:tc>
          <w:tcPr>
            <w:tcW w:w="1837" w:type="dxa"/>
            <w:shd w:val="clear" w:color="auto" w:fill="D9D9D9" w:themeFill="background1" w:themeFillShade="D9"/>
            <w:vAlign w:val="center"/>
          </w:tcPr>
          <w:p w14:paraId="795F9A6F" w14:textId="630C8ED1" w:rsidR="000D3CC1" w:rsidRPr="003E5C99" w:rsidRDefault="000D3CC1" w:rsidP="00791E09">
            <w:pPr>
              <w:ind w:left="-112" w:right="-59" w:firstLine="0"/>
              <w:jc w:val="center"/>
              <w:rPr>
                <w:b/>
                <w:bCs/>
              </w:rPr>
            </w:pPr>
            <w:r w:rsidRPr="003E5C99">
              <w:rPr>
                <w:b/>
                <w:bCs/>
              </w:rPr>
              <w:t>Плацебо</w:t>
            </w:r>
          </w:p>
        </w:tc>
        <w:tc>
          <w:tcPr>
            <w:tcW w:w="1794" w:type="dxa"/>
            <w:shd w:val="clear" w:color="auto" w:fill="D9D9D9" w:themeFill="background1" w:themeFillShade="D9"/>
            <w:vAlign w:val="center"/>
          </w:tcPr>
          <w:p w14:paraId="63B48FCE" w14:textId="73CFC911" w:rsidR="000D3CC1" w:rsidRPr="003E5C99" w:rsidRDefault="000D3CC1" w:rsidP="00791E09">
            <w:pPr>
              <w:ind w:left="-112" w:right="-59" w:firstLine="0"/>
              <w:jc w:val="center"/>
              <w:rPr>
                <w:b/>
                <w:bCs/>
              </w:rPr>
            </w:pPr>
            <w:r w:rsidRPr="003E5C99">
              <w:rPr>
                <w:b/>
                <w:bCs/>
              </w:rPr>
              <w:t>Тофацитиниб, 10 мг 2 раза в день</w:t>
            </w:r>
          </w:p>
        </w:tc>
      </w:tr>
      <w:tr w:rsidR="000D3CC1" w14:paraId="2B3A7753" w14:textId="77777777" w:rsidTr="000D3CC1">
        <w:tc>
          <w:tcPr>
            <w:tcW w:w="1989" w:type="dxa"/>
            <w:vMerge/>
          </w:tcPr>
          <w:p w14:paraId="40A9C6C2" w14:textId="77777777" w:rsidR="000D3CC1" w:rsidRDefault="000D3CC1" w:rsidP="005F46DF">
            <w:pPr>
              <w:ind w:firstLine="0"/>
            </w:pPr>
          </w:p>
        </w:tc>
        <w:tc>
          <w:tcPr>
            <w:tcW w:w="1836" w:type="dxa"/>
            <w:shd w:val="clear" w:color="auto" w:fill="D9D9D9" w:themeFill="background1" w:themeFillShade="D9"/>
          </w:tcPr>
          <w:p w14:paraId="4C3ADD76" w14:textId="068815DE" w:rsidR="000D3CC1" w:rsidRPr="005F46DF" w:rsidRDefault="000D3CC1" w:rsidP="000D3CC1">
            <w:pPr>
              <w:ind w:firstLine="0"/>
              <w:jc w:val="center"/>
              <w:rPr>
                <w:b/>
                <w:bCs/>
              </w:rPr>
            </w:pPr>
            <w:r w:rsidRPr="005F46DF">
              <w:rPr>
                <w:b/>
                <w:bCs/>
              </w:rPr>
              <w:t>N = 122</w:t>
            </w:r>
          </w:p>
        </w:tc>
        <w:tc>
          <w:tcPr>
            <w:tcW w:w="1900" w:type="dxa"/>
            <w:shd w:val="clear" w:color="auto" w:fill="D9D9D9" w:themeFill="background1" w:themeFillShade="D9"/>
          </w:tcPr>
          <w:p w14:paraId="094EE1AB" w14:textId="0F086828" w:rsidR="000D3CC1" w:rsidRPr="005F46DF" w:rsidRDefault="000D3CC1" w:rsidP="000D3CC1">
            <w:pPr>
              <w:ind w:firstLine="0"/>
              <w:jc w:val="center"/>
              <w:rPr>
                <w:b/>
                <w:bCs/>
              </w:rPr>
            </w:pPr>
            <w:r w:rsidRPr="005F46DF">
              <w:rPr>
                <w:b/>
                <w:bCs/>
              </w:rPr>
              <w:t>N = 476</w:t>
            </w:r>
          </w:p>
        </w:tc>
        <w:tc>
          <w:tcPr>
            <w:tcW w:w="1837" w:type="dxa"/>
            <w:shd w:val="clear" w:color="auto" w:fill="D9D9D9" w:themeFill="background1" w:themeFillShade="D9"/>
          </w:tcPr>
          <w:p w14:paraId="323422E1" w14:textId="527746F5" w:rsidR="000D3CC1" w:rsidRPr="005F46DF" w:rsidRDefault="000D3CC1" w:rsidP="000D3CC1">
            <w:pPr>
              <w:ind w:firstLine="0"/>
              <w:jc w:val="center"/>
              <w:rPr>
                <w:b/>
                <w:bCs/>
              </w:rPr>
            </w:pPr>
            <w:r w:rsidRPr="005F46DF">
              <w:rPr>
                <w:b/>
                <w:bCs/>
              </w:rPr>
              <w:t>N = 122</w:t>
            </w:r>
          </w:p>
        </w:tc>
        <w:tc>
          <w:tcPr>
            <w:tcW w:w="1794" w:type="dxa"/>
            <w:shd w:val="clear" w:color="auto" w:fill="D9D9D9" w:themeFill="background1" w:themeFillShade="D9"/>
          </w:tcPr>
          <w:p w14:paraId="152AEFB4" w14:textId="60BA0C71" w:rsidR="000D3CC1" w:rsidRPr="005F46DF" w:rsidRDefault="000D3CC1" w:rsidP="000D3CC1">
            <w:pPr>
              <w:ind w:firstLine="0"/>
              <w:jc w:val="center"/>
              <w:rPr>
                <w:b/>
                <w:bCs/>
              </w:rPr>
            </w:pPr>
            <w:r w:rsidRPr="005F46DF">
              <w:rPr>
                <w:b/>
                <w:bCs/>
              </w:rPr>
              <w:t>N = 476</w:t>
            </w:r>
          </w:p>
        </w:tc>
      </w:tr>
      <w:tr w:rsidR="005B12B5" w14:paraId="76D2A384" w14:textId="77777777" w:rsidTr="00143135">
        <w:tc>
          <w:tcPr>
            <w:tcW w:w="1989" w:type="dxa"/>
          </w:tcPr>
          <w:p w14:paraId="7D00880F" w14:textId="261CD253" w:rsidR="005B12B5" w:rsidRDefault="005F46DF" w:rsidP="005B12B5">
            <w:pPr>
              <w:ind w:firstLine="0"/>
            </w:pPr>
            <w:r>
              <w:t>Ремиссия</w:t>
            </w:r>
            <w:r w:rsidR="00EB6FE3" w:rsidRPr="00EB6FE3">
              <w:rPr>
                <w:vertAlign w:val="superscript"/>
              </w:rPr>
              <w:t>a</w:t>
            </w:r>
          </w:p>
        </w:tc>
        <w:tc>
          <w:tcPr>
            <w:tcW w:w="1836" w:type="dxa"/>
          </w:tcPr>
          <w:p w14:paraId="1870B0A5" w14:textId="0E68F21E" w:rsidR="005B12B5" w:rsidRDefault="00931E46" w:rsidP="000D3CC1">
            <w:pPr>
              <w:ind w:firstLine="0"/>
              <w:jc w:val="center"/>
            </w:pPr>
            <w:r w:rsidRPr="00931E46">
              <w:t>8</w:t>
            </w:r>
            <w:r w:rsidR="00E66A5B">
              <w:t>,</w:t>
            </w:r>
            <w:r w:rsidRPr="00931E46">
              <w:t>2%</w:t>
            </w:r>
          </w:p>
        </w:tc>
        <w:tc>
          <w:tcPr>
            <w:tcW w:w="1900" w:type="dxa"/>
          </w:tcPr>
          <w:p w14:paraId="363573E6" w14:textId="62EC26E4" w:rsidR="005B12B5" w:rsidRDefault="00931E46" w:rsidP="000D3CC1">
            <w:pPr>
              <w:ind w:firstLine="0"/>
              <w:jc w:val="center"/>
            </w:pPr>
            <w:r w:rsidRPr="00931E46">
              <w:t>18</w:t>
            </w:r>
            <w:r w:rsidR="00E66A5B">
              <w:t>,</w:t>
            </w:r>
            <w:r w:rsidRPr="00931E46">
              <w:t>5%‡</w:t>
            </w:r>
          </w:p>
        </w:tc>
        <w:tc>
          <w:tcPr>
            <w:tcW w:w="1837" w:type="dxa"/>
          </w:tcPr>
          <w:p w14:paraId="3BABFCBF" w14:textId="48E8EC2F" w:rsidR="005B12B5" w:rsidRDefault="001D2136" w:rsidP="000D3CC1">
            <w:pPr>
              <w:ind w:firstLine="0"/>
              <w:jc w:val="center"/>
            </w:pPr>
            <w:r w:rsidRPr="001D2136">
              <w:t>11</w:t>
            </w:r>
            <w:r w:rsidR="00E66A5B">
              <w:t>,</w:t>
            </w:r>
            <w:r w:rsidRPr="001D2136">
              <w:t>5%</w:t>
            </w:r>
          </w:p>
        </w:tc>
        <w:tc>
          <w:tcPr>
            <w:tcW w:w="1794" w:type="dxa"/>
          </w:tcPr>
          <w:p w14:paraId="500BFC15" w14:textId="6DDE31D4" w:rsidR="005B12B5" w:rsidRDefault="001D2136" w:rsidP="000D3CC1">
            <w:pPr>
              <w:ind w:firstLine="0"/>
              <w:jc w:val="center"/>
            </w:pPr>
            <w:r w:rsidRPr="001D2136">
              <w:t>24</w:t>
            </w:r>
            <w:r w:rsidR="00E66A5B">
              <w:t>,</w:t>
            </w:r>
            <w:r w:rsidRPr="001D2136">
              <w:t>8%‡</w:t>
            </w:r>
          </w:p>
        </w:tc>
      </w:tr>
      <w:tr w:rsidR="005B12B5" w14:paraId="48B1EFEA" w14:textId="77777777" w:rsidTr="00143135">
        <w:tc>
          <w:tcPr>
            <w:tcW w:w="1989" w:type="dxa"/>
          </w:tcPr>
          <w:p w14:paraId="09D802C1" w14:textId="3ABD79B1" w:rsidR="005B12B5" w:rsidRPr="00EB6FE3" w:rsidRDefault="00CA1593" w:rsidP="005B12B5">
            <w:pPr>
              <w:ind w:firstLine="0"/>
              <w:rPr>
                <w:vertAlign w:val="superscript"/>
              </w:rPr>
            </w:pPr>
            <w:r>
              <w:t>Улучшение эндоскопической картины слизистой оболочки</w:t>
            </w:r>
            <w:r w:rsidR="00EB6FE3">
              <w:rPr>
                <w:vertAlign w:val="superscript"/>
                <w:lang w:val="en-US"/>
              </w:rPr>
              <w:t>b</w:t>
            </w:r>
          </w:p>
        </w:tc>
        <w:tc>
          <w:tcPr>
            <w:tcW w:w="1836" w:type="dxa"/>
          </w:tcPr>
          <w:p w14:paraId="3EEE6D12" w14:textId="578D7364" w:rsidR="005B12B5" w:rsidRDefault="00931E46" w:rsidP="000D3CC1">
            <w:pPr>
              <w:ind w:firstLine="0"/>
              <w:jc w:val="center"/>
            </w:pPr>
            <w:r w:rsidRPr="00931E46">
              <w:t>15</w:t>
            </w:r>
            <w:r w:rsidR="00E66A5B">
              <w:t>,</w:t>
            </w:r>
            <w:r w:rsidRPr="00931E46">
              <w:t>6%</w:t>
            </w:r>
          </w:p>
        </w:tc>
        <w:tc>
          <w:tcPr>
            <w:tcW w:w="1900" w:type="dxa"/>
          </w:tcPr>
          <w:p w14:paraId="5BDB25E7" w14:textId="55D0CC51" w:rsidR="005B12B5" w:rsidRDefault="00931E46" w:rsidP="000D3CC1">
            <w:pPr>
              <w:ind w:firstLine="0"/>
              <w:jc w:val="center"/>
            </w:pPr>
            <w:r w:rsidRPr="00931E46">
              <w:t>31</w:t>
            </w:r>
            <w:r w:rsidR="00E66A5B">
              <w:t>,</w:t>
            </w:r>
            <w:r w:rsidRPr="00931E46">
              <w:t>3%†</w:t>
            </w:r>
          </w:p>
        </w:tc>
        <w:tc>
          <w:tcPr>
            <w:tcW w:w="1837" w:type="dxa"/>
          </w:tcPr>
          <w:p w14:paraId="0149EB02" w14:textId="58584198" w:rsidR="005B12B5" w:rsidRDefault="001D2136" w:rsidP="000D3CC1">
            <w:pPr>
              <w:ind w:firstLine="0"/>
              <w:jc w:val="center"/>
            </w:pPr>
            <w:r w:rsidRPr="001D2136">
              <w:t>23</w:t>
            </w:r>
            <w:r w:rsidR="00E66A5B">
              <w:t>,</w:t>
            </w:r>
            <w:r w:rsidRPr="001D2136">
              <w:t>0%</w:t>
            </w:r>
          </w:p>
        </w:tc>
        <w:tc>
          <w:tcPr>
            <w:tcW w:w="1794" w:type="dxa"/>
          </w:tcPr>
          <w:p w14:paraId="0BC96846" w14:textId="303C2D36" w:rsidR="005B12B5" w:rsidRDefault="001D2136" w:rsidP="000D3CC1">
            <w:pPr>
              <w:ind w:firstLine="0"/>
              <w:jc w:val="center"/>
            </w:pPr>
            <w:r w:rsidRPr="001D2136">
              <w:t>42</w:t>
            </w:r>
            <w:r w:rsidR="00E66A5B">
              <w:t>,</w:t>
            </w:r>
            <w:r w:rsidRPr="001D2136">
              <w:t>4%*</w:t>
            </w:r>
          </w:p>
        </w:tc>
      </w:tr>
      <w:tr w:rsidR="005B12B5" w14:paraId="443F76D2" w14:textId="77777777" w:rsidTr="00143135">
        <w:tc>
          <w:tcPr>
            <w:tcW w:w="1989" w:type="dxa"/>
          </w:tcPr>
          <w:p w14:paraId="6D4DC8F9" w14:textId="11F25657" w:rsidR="005B12B5" w:rsidRPr="00EB6FE3" w:rsidRDefault="00CA1593" w:rsidP="005B12B5">
            <w:pPr>
              <w:ind w:firstLine="0"/>
              <w:rPr>
                <w:vertAlign w:val="superscript"/>
              </w:rPr>
            </w:pPr>
            <w:r>
              <w:t xml:space="preserve">Нормализация </w:t>
            </w:r>
            <w:r w:rsidRPr="00CA1593">
              <w:t>эндоскопической картины слизистой оболочки</w:t>
            </w:r>
            <w:r w:rsidR="00EB6FE3">
              <w:rPr>
                <w:vertAlign w:val="superscript"/>
                <w:lang w:val="en-US"/>
              </w:rPr>
              <w:t>c</w:t>
            </w:r>
          </w:p>
        </w:tc>
        <w:tc>
          <w:tcPr>
            <w:tcW w:w="1836" w:type="dxa"/>
          </w:tcPr>
          <w:p w14:paraId="5C23DC43" w14:textId="7EC18B53" w:rsidR="005B12B5" w:rsidRDefault="00AD5FFC" w:rsidP="000D3CC1">
            <w:pPr>
              <w:ind w:firstLine="0"/>
              <w:jc w:val="center"/>
            </w:pPr>
            <w:r w:rsidRPr="00AD5FFC">
              <w:t>1</w:t>
            </w:r>
            <w:r w:rsidR="00E66A5B">
              <w:t>,</w:t>
            </w:r>
            <w:r w:rsidRPr="00AD5FFC">
              <w:t>6%</w:t>
            </w:r>
          </w:p>
        </w:tc>
        <w:tc>
          <w:tcPr>
            <w:tcW w:w="1900" w:type="dxa"/>
          </w:tcPr>
          <w:p w14:paraId="66C5CE14" w14:textId="2C3D0A28" w:rsidR="005B12B5" w:rsidRDefault="00AD5FFC" w:rsidP="000D3CC1">
            <w:pPr>
              <w:ind w:firstLine="0"/>
              <w:jc w:val="center"/>
            </w:pPr>
            <w:r w:rsidRPr="00AD5FFC">
              <w:t>6</w:t>
            </w:r>
            <w:r w:rsidR="00E66A5B">
              <w:t>,</w:t>
            </w:r>
            <w:r w:rsidRPr="00AD5FFC">
              <w:t>7%‡</w:t>
            </w:r>
          </w:p>
        </w:tc>
        <w:tc>
          <w:tcPr>
            <w:tcW w:w="1837" w:type="dxa"/>
          </w:tcPr>
          <w:p w14:paraId="4D7FCA01" w14:textId="64E314BC" w:rsidR="005B12B5" w:rsidRDefault="00044A6A" w:rsidP="000D3CC1">
            <w:pPr>
              <w:ind w:firstLine="0"/>
              <w:jc w:val="center"/>
            </w:pPr>
            <w:r w:rsidRPr="00044A6A">
              <w:t>2</w:t>
            </w:r>
            <w:r w:rsidR="00E66A5B">
              <w:t>,</w:t>
            </w:r>
            <w:r w:rsidRPr="00044A6A">
              <w:t>5%</w:t>
            </w:r>
          </w:p>
        </w:tc>
        <w:tc>
          <w:tcPr>
            <w:tcW w:w="1794" w:type="dxa"/>
          </w:tcPr>
          <w:p w14:paraId="3A75620E" w14:textId="603C1360" w:rsidR="005B12B5" w:rsidRDefault="00044A6A" w:rsidP="000D3CC1">
            <w:pPr>
              <w:ind w:firstLine="0"/>
              <w:jc w:val="center"/>
            </w:pPr>
            <w:r w:rsidRPr="00044A6A">
              <w:t>10</w:t>
            </w:r>
            <w:r w:rsidR="00E66A5B">
              <w:t>,</w:t>
            </w:r>
            <w:r w:rsidRPr="00044A6A">
              <w:t>9%‡</w:t>
            </w:r>
          </w:p>
        </w:tc>
      </w:tr>
      <w:tr w:rsidR="005B12B5" w14:paraId="36BFEDD3" w14:textId="77777777" w:rsidTr="00143135">
        <w:tc>
          <w:tcPr>
            <w:tcW w:w="1989" w:type="dxa"/>
          </w:tcPr>
          <w:p w14:paraId="51BE37EB" w14:textId="18E715AF" w:rsidR="005B12B5" w:rsidRPr="00EB6FE3" w:rsidRDefault="00B222EA" w:rsidP="005B12B5">
            <w:pPr>
              <w:ind w:firstLine="0"/>
              <w:rPr>
                <w:vertAlign w:val="superscript"/>
                <w:lang w:val="en-US"/>
              </w:rPr>
            </w:pPr>
            <w:r>
              <w:t>Клинический ответ</w:t>
            </w:r>
            <w:r w:rsidR="00EB6FE3">
              <w:rPr>
                <w:vertAlign w:val="superscript"/>
                <w:lang w:val="en-US"/>
              </w:rPr>
              <w:t>d</w:t>
            </w:r>
          </w:p>
        </w:tc>
        <w:tc>
          <w:tcPr>
            <w:tcW w:w="1836" w:type="dxa"/>
          </w:tcPr>
          <w:p w14:paraId="09742637" w14:textId="7CDFBC60" w:rsidR="005B12B5" w:rsidRDefault="00AD5FFC" w:rsidP="000D3CC1">
            <w:pPr>
              <w:ind w:firstLine="0"/>
              <w:jc w:val="center"/>
            </w:pPr>
            <w:r w:rsidRPr="00AD5FFC">
              <w:t>32</w:t>
            </w:r>
            <w:r w:rsidR="00E66A5B">
              <w:t>,</w:t>
            </w:r>
            <w:r w:rsidRPr="00AD5FFC">
              <w:t>8%</w:t>
            </w:r>
          </w:p>
        </w:tc>
        <w:tc>
          <w:tcPr>
            <w:tcW w:w="1900" w:type="dxa"/>
          </w:tcPr>
          <w:p w14:paraId="47EAB86A" w14:textId="5BB1C6EF" w:rsidR="005B12B5" w:rsidRDefault="00AD5FFC" w:rsidP="000D3CC1">
            <w:pPr>
              <w:ind w:firstLine="0"/>
              <w:jc w:val="center"/>
            </w:pPr>
            <w:r w:rsidRPr="00AD5FFC">
              <w:t>59</w:t>
            </w:r>
            <w:r w:rsidR="00E66A5B">
              <w:t>,</w:t>
            </w:r>
            <w:r w:rsidRPr="00AD5FFC">
              <w:t>9%*</w:t>
            </w:r>
          </w:p>
        </w:tc>
        <w:tc>
          <w:tcPr>
            <w:tcW w:w="1837" w:type="dxa"/>
          </w:tcPr>
          <w:p w14:paraId="12B18956" w14:textId="1A6558C2" w:rsidR="005B12B5" w:rsidRDefault="00044A6A" w:rsidP="000D3CC1">
            <w:pPr>
              <w:ind w:firstLine="0"/>
              <w:jc w:val="center"/>
            </w:pPr>
            <w:r w:rsidRPr="00044A6A">
              <w:t>34</w:t>
            </w:r>
            <w:r w:rsidR="00E66A5B">
              <w:t>,</w:t>
            </w:r>
            <w:r w:rsidRPr="00044A6A">
              <w:t>4%</w:t>
            </w:r>
          </w:p>
        </w:tc>
        <w:tc>
          <w:tcPr>
            <w:tcW w:w="1794" w:type="dxa"/>
          </w:tcPr>
          <w:p w14:paraId="3FEE5F04" w14:textId="45CE47C7" w:rsidR="005B12B5" w:rsidRDefault="00044A6A" w:rsidP="000D3CC1">
            <w:pPr>
              <w:ind w:firstLine="0"/>
              <w:jc w:val="center"/>
            </w:pPr>
            <w:r w:rsidRPr="00044A6A">
              <w:t>60</w:t>
            </w:r>
            <w:r w:rsidR="00E66A5B">
              <w:t>,</w:t>
            </w:r>
            <w:r w:rsidRPr="00044A6A">
              <w:t>7%*</w:t>
            </w:r>
          </w:p>
        </w:tc>
      </w:tr>
      <w:tr w:rsidR="003D37A7" w14:paraId="2ECBD8DC" w14:textId="77777777" w:rsidTr="000D3CC1">
        <w:tc>
          <w:tcPr>
            <w:tcW w:w="1989" w:type="dxa"/>
          </w:tcPr>
          <w:p w14:paraId="38596444" w14:textId="498E2797" w:rsidR="003D37A7" w:rsidRDefault="003D37A7" w:rsidP="00976A80">
            <w:pPr>
              <w:ind w:firstLine="0"/>
              <w:jc w:val="center"/>
            </w:pPr>
          </w:p>
        </w:tc>
        <w:tc>
          <w:tcPr>
            <w:tcW w:w="7367" w:type="dxa"/>
            <w:gridSpan w:val="4"/>
            <w:shd w:val="clear" w:color="auto" w:fill="D9D9D9" w:themeFill="background1" w:themeFillShade="D9"/>
          </w:tcPr>
          <w:p w14:paraId="6CF5DA7D" w14:textId="695F62AF" w:rsidR="003D37A7" w:rsidRDefault="003D37A7" w:rsidP="00976A80">
            <w:pPr>
              <w:ind w:firstLine="0"/>
              <w:jc w:val="center"/>
            </w:pPr>
            <w:r w:rsidRPr="00234085">
              <w:rPr>
                <w:b/>
                <w:bCs/>
              </w:rPr>
              <w:t xml:space="preserve">OCTAVE Induction </w:t>
            </w:r>
            <w:r w:rsidR="00976A80">
              <w:rPr>
                <w:b/>
                <w:bCs/>
              </w:rPr>
              <w:t>2</w:t>
            </w:r>
          </w:p>
        </w:tc>
      </w:tr>
      <w:tr w:rsidR="003D37A7" w14:paraId="60B667AE" w14:textId="77777777" w:rsidTr="000D3CC1">
        <w:tc>
          <w:tcPr>
            <w:tcW w:w="1989" w:type="dxa"/>
          </w:tcPr>
          <w:p w14:paraId="5D4B35AE" w14:textId="63101C48" w:rsidR="003D37A7" w:rsidRDefault="003D37A7" w:rsidP="00976A80">
            <w:pPr>
              <w:ind w:firstLine="0"/>
              <w:jc w:val="center"/>
            </w:pPr>
          </w:p>
        </w:tc>
        <w:tc>
          <w:tcPr>
            <w:tcW w:w="3736" w:type="dxa"/>
            <w:gridSpan w:val="2"/>
            <w:shd w:val="clear" w:color="auto" w:fill="D9D9D9" w:themeFill="background1" w:themeFillShade="D9"/>
          </w:tcPr>
          <w:p w14:paraId="112C9349" w14:textId="0B59C9D1" w:rsidR="003D37A7" w:rsidRDefault="003D37A7" w:rsidP="00976A80">
            <w:pPr>
              <w:ind w:firstLine="0"/>
              <w:jc w:val="center"/>
            </w:pPr>
            <w:r>
              <w:rPr>
                <w:b/>
                <w:bCs/>
              </w:rPr>
              <w:t>Централизованная оценка результатов эндоскопического исследования</w:t>
            </w:r>
          </w:p>
        </w:tc>
        <w:tc>
          <w:tcPr>
            <w:tcW w:w="3631" w:type="dxa"/>
            <w:gridSpan w:val="2"/>
            <w:shd w:val="clear" w:color="auto" w:fill="D9D9D9" w:themeFill="background1" w:themeFillShade="D9"/>
          </w:tcPr>
          <w:p w14:paraId="06F78503" w14:textId="0E9FFC2B" w:rsidR="003D37A7" w:rsidRDefault="00F70B1C" w:rsidP="00976A80">
            <w:pPr>
              <w:ind w:firstLine="0"/>
              <w:jc w:val="center"/>
            </w:pPr>
            <w:r>
              <w:rPr>
                <w:b/>
                <w:bCs/>
              </w:rPr>
              <w:t>Локальная</w:t>
            </w:r>
            <w:r w:rsidR="003D37A7">
              <w:rPr>
                <w:b/>
                <w:bCs/>
              </w:rPr>
              <w:t xml:space="preserve"> оценка результатов эндоскопического исследования</w:t>
            </w:r>
          </w:p>
        </w:tc>
      </w:tr>
      <w:tr w:rsidR="003D37A7" w14:paraId="1BF064AA" w14:textId="77777777" w:rsidTr="000D3CC1">
        <w:tc>
          <w:tcPr>
            <w:tcW w:w="1989" w:type="dxa"/>
            <w:shd w:val="clear" w:color="auto" w:fill="D9D9D9" w:themeFill="background1" w:themeFillShade="D9"/>
            <w:vAlign w:val="center"/>
          </w:tcPr>
          <w:p w14:paraId="50B462C4" w14:textId="529A9DC1" w:rsidR="003D37A7" w:rsidRPr="00F70B1C" w:rsidRDefault="00F70B1C" w:rsidP="003D37A7">
            <w:pPr>
              <w:ind w:firstLine="0"/>
              <w:rPr>
                <w:b/>
                <w:bCs/>
              </w:rPr>
            </w:pPr>
            <w:r w:rsidRPr="00F70B1C">
              <w:rPr>
                <w:b/>
                <w:bCs/>
              </w:rPr>
              <w:t>Конечная точка</w:t>
            </w:r>
          </w:p>
        </w:tc>
        <w:tc>
          <w:tcPr>
            <w:tcW w:w="1836" w:type="dxa"/>
            <w:shd w:val="clear" w:color="auto" w:fill="D9D9D9" w:themeFill="background1" w:themeFillShade="D9"/>
            <w:vAlign w:val="center"/>
          </w:tcPr>
          <w:p w14:paraId="333DC9E7" w14:textId="7A4025C9" w:rsidR="003D37A7" w:rsidRDefault="003D37A7" w:rsidP="000D3CC1">
            <w:pPr>
              <w:ind w:firstLine="0"/>
              <w:jc w:val="center"/>
            </w:pPr>
            <w:r w:rsidRPr="003E5C99">
              <w:rPr>
                <w:b/>
                <w:bCs/>
              </w:rPr>
              <w:t>Плацебо</w:t>
            </w:r>
          </w:p>
        </w:tc>
        <w:tc>
          <w:tcPr>
            <w:tcW w:w="1900" w:type="dxa"/>
            <w:shd w:val="clear" w:color="auto" w:fill="D9D9D9" w:themeFill="background1" w:themeFillShade="D9"/>
            <w:vAlign w:val="center"/>
          </w:tcPr>
          <w:p w14:paraId="64776E72" w14:textId="210E95E5" w:rsidR="003D37A7" w:rsidRDefault="00F70B1C" w:rsidP="000D3CC1">
            <w:pPr>
              <w:ind w:firstLine="0"/>
              <w:jc w:val="center"/>
            </w:pPr>
            <w:r w:rsidRPr="00F70B1C">
              <w:rPr>
                <w:b/>
                <w:bCs/>
              </w:rPr>
              <w:t xml:space="preserve">Тофацитиниб, </w:t>
            </w:r>
            <w:r w:rsidRPr="00F70B1C">
              <w:rPr>
                <w:b/>
                <w:bCs/>
              </w:rPr>
              <w:lastRenderedPageBreak/>
              <w:t>10 мг 2 раза в день</w:t>
            </w:r>
          </w:p>
        </w:tc>
        <w:tc>
          <w:tcPr>
            <w:tcW w:w="1837" w:type="dxa"/>
            <w:shd w:val="clear" w:color="auto" w:fill="D9D9D9" w:themeFill="background1" w:themeFillShade="D9"/>
            <w:vAlign w:val="center"/>
          </w:tcPr>
          <w:p w14:paraId="54D4E8D9" w14:textId="0CD838D1" w:rsidR="003D37A7" w:rsidRDefault="003D37A7" w:rsidP="000D3CC1">
            <w:pPr>
              <w:ind w:firstLine="0"/>
              <w:jc w:val="center"/>
            </w:pPr>
            <w:r w:rsidRPr="003E5C99">
              <w:rPr>
                <w:b/>
                <w:bCs/>
              </w:rPr>
              <w:lastRenderedPageBreak/>
              <w:t>Плацебо</w:t>
            </w:r>
          </w:p>
        </w:tc>
        <w:tc>
          <w:tcPr>
            <w:tcW w:w="1794" w:type="dxa"/>
            <w:shd w:val="clear" w:color="auto" w:fill="D9D9D9" w:themeFill="background1" w:themeFillShade="D9"/>
            <w:vAlign w:val="center"/>
          </w:tcPr>
          <w:p w14:paraId="06F5BA15" w14:textId="4734E5A7" w:rsidR="003D37A7" w:rsidRDefault="00F70B1C" w:rsidP="000D3CC1">
            <w:pPr>
              <w:ind w:firstLine="0"/>
              <w:jc w:val="center"/>
            </w:pPr>
            <w:r w:rsidRPr="00F70B1C">
              <w:rPr>
                <w:b/>
                <w:bCs/>
              </w:rPr>
              <w:t xml:space="preserve">Тофацитиниб, </w:t>
            </w:r>
            <w:r w:rsidRPr="00F70B1C">
              <w:rPr>
                <w:b/>
                <w:bCs/>
              </w:rPr>
              <w:lastRenderedPageBreak/>
              <w:t>10 мг 2 раза в день</w:t>
            </w:r>
          </w:p>
        </w:tc>
      </w:tr>
      <w:tr w:rsidR="002A328D" w14:paraId="10AE30CE" w14:textId="77777777" w:rsidTr="000D3CC1">
        <w:tc>
          <w:tcPr>
            <w:tcW w:w="1989" w:type="dxa"/>
            <w:shd w:val="clear" w:color="auto" w:fill="D9D9D9" w:themeFill="background1" w:themeFillShade="D9"/>
            <w:vAlign w:val="center"/>
          </w:tcPr>
          <w:p w14:paraId="7052879A" w14:textId="535B121B" w:rsidR="002A328D" w:rsidRDefault="002A328D" w:rsidP="002A328D">
            <w:pPr>
              <w:ind w:firstLine="0"/>
            </w:pPr>
          </w:p>
        </w:tc>
        <w:tc>
          <w:tcPr>
            <w:tcW w:w="1836" w:type="dxa"/>
            <w:shd w:val="clear" w:color="auto" w:fill="D9D9D9" w:themeFill="background1" w:themeFillShade="D9"/>
            <w:vAlign w:val="center"/>
          </w:tcPr>
          <w:p w14:paraId="2929017A" w14:textId="0A1825EF" w:rsidR="002A328D" w:rsidRDefault="002A328D" w:rsidP="000D3CC1">
            <w:pPr>
              <w:ind w:firstLine="0"/>
              <w:jc w:val="center"/>
            </w:pPr>
            <w:r w:rsidRPr="005F46DF">
              <w:rPr>
                <w:b/>
                <w:bCs/>
              </w:rPr>
              <w:t>N = 1</w:t>
            </w:r>
            <w:r>
              <w:rPr>
                <w:b/>
                <w:bCs/>
              </w:rPr>
              <w:t>1</w:t>
            </w:r>
            <w:r w:rsidRPr="005F46DF">
              <w:rPr>
                <w:b/>
                <w:bCs/>
              </w:rPr>
              <w:t>2</w:t>
            </w:r>
          </w:p>
        </w:tc>
        <w:tc>
          <w:tcPr>
            <w:tcW w:w="1900" w:type="dxa"/>
            <w:shd w:val="clear" w:color="auto" w:fill="D9D9D9" w:themeFill="background1" w:themeFillShade="D9"/>
            <w:vAlign w:val="center"/>
          </w:tcPr>
          <w:p w14:paraId="252A79C4" w14:textId="269F10E8" w:rsidR="002A328D" w:rsidRDefault="002A328D" w:rsidP="000D3CC1">
            <w:pPr>
              <w:ind w:firstLine="0"/>
              <w:jc w:val="center"/>
            </w:pPr>
            <w:r w:rsidRPr="005F46DF">
              <w:rPr>
                <w:b/>
                <w:bCs/>
              </w:rPr>
              <w:t xml:space="preserve">N = </w:t>
            </w:r>
            <w:r>
              <w:rPr>
                <w:b/>
                <w:bCs/>
              </w:rPr>
              <w:t>429</w:t>
            </w:r>
          </w:p>
        </w:tc>
        <w:tc>
          <w:tcPr>
            <w:tcW w:w="1837" w:type="dxa"/>
            <w:shd w:val="clear" w:color="auto" w:fill="D9D9D9" w:themeFill="background1" w:themeFillShade="D9"/>
            <w:vAlign w:val="center"/>
          </w:tcPr>
          <w:p w14:paraId="698E22E0" w14:textId="30997616" w:rsidR="002A328D" w:rsidRDefault="002A328D" w:rsidP="000D3CC1">
            <w:pPr>
              <w:ind w:firstLine="0"/>
              <w:jc w:val="center"/>
            </w:pPr>
            <w:r w:rsidRPr="005F46DF">
              <w:rPr>
                <w:b/>
                <w:bCs/>
              </w:rPr>
              <w:t>N = 1</w:t>
            </w:r>
            <w:r>
              <w:rPr>
                <w:b/>
                <w:bCs/>
              </w:rPr>
              <w:t>1</w:t>
            </w:r>
            <w:r w:rsidRPr="005F46DF">
              <w:rPr>
                <w:b/>
                <w:bCs/>
              </w:rPr>
              <w:t>2</w:t>
            </w:r>
          </w:p>
        </w:tc>
        <w:tc>
          <w:tcPr>
            <w:tcW w:w="1794" w:type="dxa"/>
            <w:shd w:val="clear" w:color="auto" w:fill="D9D9D9" w:themeFill="background1" w:themeFillShade="D9"/>
            <w:vAlign w:val="center"/>
          </w:tcPr>
          <w:p w14:paraId="0CDCE0F1" w14:textId="522CCAAF" w:rsidR="002A328D" w:rsidRDefault="002A328D" w:rsidP="000D3CC1">
            <w:pPr>
              <w:ind w:firstLine="0"/>
              <w:jc w:val="center"/>
            </w:pPr>
            <w:r w:rsidRPr="005F46DF">
              <w:rPr>
                <w:b/>
                <w:bCs/>
              </w:rPr>
              <w:t xml:space="preserve">N = </w:t>
            </w:r>
            <w:r>
              <w:rPr>
                <w:b/>
                <w:bCs/>
              </w:rPr>
              <w:t>429</w:t>
            </w:r>
          </w:p>
        </w:tc>
      </w:tr>
      <w:tr w:rsidR="005C6865" w14:paraId="041D60C6" w14:textId="77777777" w:rsidTr="000D3CC1">
        <w:tc>
          <w:tcPr>
            <w:tcW w:w="1989" w:type="dxa"/>
          </w:tcPr>
          <w:p w14:paraId="0D846BDD" w14:textId="65DC28F5" w:rsidR="005C6865" w:rsidRPr="00E3219E" w:rsidRDefault="005C6865" w:rsidP="005C6865">
            <w:pPr>
              <w:ind w:firstLine="0"/>
              <w:rPr>
                <w:vertAlign w:val="superscript"/>
                <w:lang w:val="en-US"/>
              </w:rPr>
            </w:pPr>
            <w:r>
              <w:t>Ремиссия</w:t>
            </w:r>
            <w:r w:rsidR="00E3219E">
              <w:rPr>
                <w:vertAlign w:val="superscript"/>
                <w:lang w:val="en-US"/>
              </w:rPr>
              <w:t>a</w:t>
            </w:r>
          </w:p>
        </w:tc>
        <w:tc>
          <w:tcPr>
            <w:tcW w:w="1836" w:type="dxa"/>
            <w:vAlign w:val="center"/>
          </w:tcPr>
          <w:p w14:paraId="2C2AB4CF" w14:textId="7DDE6524" w:rsidR="005C6865" w:rsidRPr="000279BF" w:rsidRDefault="000279BF" w:rsidP="000D3CC1">
            <w:pPr>
              <w:ind w:firstLine="0"/>
              <w:jc w:val="center"/>
            </w:pPr>
            <w:r w:rsidRPr="000279BF">
              <w:t>3</w:t>
            </w:r>
            <w:r w:rsidR="00E66A5B">
              <w:t>,</w:t>
            </w:r>
            <w:r w:rsidRPr="000279BF">
              <w:t>6%</w:t>
            </w:r>
          </w:p>
        </w:tc>
        <w:tc>
          <w:tcPr>
            <w:tcW w:w="1900" w:type="dxa"/>
            <w:vAlign w:val="center"/>
          </w:tcPr>
          <w:p w14:paraId="7D673386" w14:textId="5ECF4B4C" w:rsidR="005C6865" w:rsidRPr="000279BF" w:rsidRDefault="00B95199" w:rsidP="000D3CC1">
            <w:pPr>
              <w:ind w:firstLine="0"/>
              <w:jc w:val="center"/>
            </w:pPr>
            <w:r w:rsidRPr="00B95199">
              <w:t>16</w:t>
            </w:r>
            <w:r w:rsidR="00E66A5B">
              <w:t>,</w:t>
            </w:r>
            <w:r w:rsidRPr="00B95199">
              <w:t>6%†</w:t>
            </w:r>
          </w:p>
        </w:tc>
        <w:tc>
          <w:tcPr>
            <w:tcW w:w="1837" w:type="dxa"/>
            <w:vAlign w:val="center"/>
          </w:tcPr>
          <w:p w14:paraId="7B30A312" w14:textId="1AE3816A" w:rsidR="005C6865" w:rsidRPr="000279BF" w:rsidRDefault="00906DA7" w:rsidP="000D3CC1">
            <w:pPr>
              <w:ind w:firstLine="0"/>
              <w:jc w:val="center"/>
            </w:pPr>
            <w:r w:rsidRPr="00906DA7">
              <w:t>5</w:t>
            </w:r>
            <w:r w:rsidR="00FF56DD">
              <w:t>,</w:t>
            </w:r>
            <w:r w:rsidRPr="00906DA7">
              <w:t>4%</w:t>
            </w:r>
          </w:p>
        </w:tc>
        <w:tc>
          <w:tcPr>
            <w:tcW w:w="1794" w:type="dxa"/>
            <w:vAlign w:val="center"/>
          </w:tcPr>
          <w:p w14:paraId="13ECF270" w14:textId="45BDF6BC" w:rsidR="005C6865" w:rsidRPr="000279BF" w:rsidRDefault="0099606D" w:rsidP="000D3CC1">
            <w:pPr>
              <w:ind w:firstLine="0"/>
              <w:jc w:val="center"/>
            </w:pPr>
            <w:r w:rsidRPr="0099606D">
              <w:t>20</w:t>
            </w:r>
            <w:r w:rsidR="00FF56DD">
              <w:t>,</w:t>
            </w:r>
            <w:r w:rsidRPr="0099606D">
              <w:t>7%†</w:t>
            </w:r>
          </w:p>
        </w:tc>
      </w:tr>
      <w:tr w:rsidR="005C6865" w14:paraId="66FC676D" w14:textId="77777777" w:rsidTr="000D3CC1">
        <w:tc>
          <w:tcPr>
            <w:tcW w:w="1989" w:type="dxa"/>
          </w:tcPr>
          <w:p w14:paraId="7616343D" w14:textId="4A1C20EF" w:rsidR="005C6865" w:rsidRPr="00E3219E" w:rsidRDefault="005C6865" w:rsidP="005C6865">
            <w:pPr>
              <w:ind w:firstLine="0"/>
              <w:rPr>
                <w:vertAlign w:val="superscript"/>
              </w:rPr>
            </w:pPr>
            <w:r>
              <w:t>Улучшение эндоскопической картины слизистой оболочки</w:t>
            </w:r>
            <w:r w:rsidR="00E3219E">
              <w:rPr>
                <w:vertAlign w:val="superscript"/>
                <w:lang w:val="en-US"/>
              </w:rPr>
              <w:t>b</w:t>
            </w:r>
          </w:p>
        </w:tc>
        <w:tc>
          <w:tcPr>
            <w:tcW w:w="1836" w:type="dxa"/>
            <w:vAlign w:val="center"/>
          </w:tcPr>
          <w:p w14:paraId="4CDEFDB9" w14:textId="0BA7B1D5" w:rsidR="005C6865" w:rsidRPr="000279BF" w:rsidRDefault="000279BF" w:rsidP="000D3CC1">
            <w:pPr>
              <w:ind w:firstLine="0"/>
              <w:jc w:val="center"/>
            </w:pPr>
            <w:r w:rsidRPr="000279BF">
              <w:t>11</w:t>
            </w:r>
            <w:r w:rsidR="00E66A5B">
              <w:t>,</w:t>
            </w:r>
            <w:r w:rsidRPr="000279BF">
              <w:t>6%</w:t>
            </w:r>
          </w:p>
        </w:tc>
        <w:tc>
          <w:tcPr>
            <w:tcW w:w="1900" w:type="dxa"/>
            <w:vAlign w:val="center"/>
          </w:tcPr>
          <w:p w14:paraId="21B87BE6" w14:textId="0B02B2B9" w:rsidR="005C6865" w:rsidRPr="000279BF" w:rsidRDefault="00B95199" w:rsidP="000D3CC1">
            <w:pPr>
              <w:ind w:firstLine="0"/>
              <w:jc w:val="center"/>
            </w:pPr>
            <w:r w:rsidRPr="00B95199">
              <w:t>28</w:t>
            </w:r>
            <w:r w:rsidR="00FF56DD">
              <w:t>,</w:t>
            </w:r>
            <w:r w:rsidRPr="00B95199">
              <w:t>4%†</w:t>
            </w:r>
          </w:p>
        </w:tc>
        <w:tc>
          <w:tcPr>
            <w:tcW w:w="1837" w:type="dxa"/>
            <w:vAlign w:val="center"/>
          </w:tcPr>
          <w:p w14:paraId="3D75EA4A" w14:textId="0789BCF3" w:rsidR="005C6865" w:rsidRPr="000279BF" w:rsidRDefault="00906DA7" w:rsidP="000D3CC1">
            <w:pPr>
              <w:ind w:firstLine="0"/>
              <w:jc w:val="center"/>
            </w:pPr>
            <w:r w:rsidRPr="00906DA7">
              <w:t>15</w:t>
            </w:r>
            <w:r w:rsidR="00FF56DD">
              <w:t>,</w:t>
            </w:r>
            <w:r w:rsidRPr="00906DA7">
              <w:t>2%</w:t>
            </w:r>
          </w:p>
        </w:tc>
        <w:tc>
          <w:tcPr>
            <w:tcW w:w="1794" w:type="dxa"/>
            <w:vAlign w:val="center"/>
          </w:tcPr>
          <w:p w14:paraId="6FA9FA83" w14:textId="4C7A3532" w:rsidR="005C6865" w:rsidRPr="000279BF" w:rsidRDefault="0099606D" w:rsidP="000D3CC1">
            <w:pPr>
              <w:ind w:firstLine="0"/>
              <w:jc w:val="center"/>
            </w:pPr>
            <w:r w:rsidRPr="0099606D">
              <w:t>36</w:t>
            </w:r>
            <w:r w:rsidR="00FF56DD">
              <w:t>,</w:t>
            </w:r>
            <w:r w:rsidRPr="0099606D">
              <w:t>4%*</w:t>
            </w:r>
          </w:p>
        </w:tc>
      </w:tr>
      <w:tr w:rsidR="005C6865" w14:paraId="77B25AD3" w14:textId="77777777" w:rsidTr="000D3CC1">
        <w:tc>
          <w:tcPr>
            <w:tcW w:w="1989" w:type="dxa"/>
          </w:tcPr>
          <w:p w14:paraId="29B39747" w14:textId="34285A2D" w:rsidR="005C6865" w:rsidRPr="00E3219E" w:rsidRDefault="005C6865" w:rsidP="005C6865">
            <w:pPr>
              <w:ind w:firstLine="0"/>
              <w:rPr>
                <w:vertAlign w:val="superscript"/>
              </w:rPr>
            </w:pPr>
            <w:r>
              <w:t xml:space="preserve">Нормализация </w:t>
            </w:r>
            <w:r w:rsidRPr="00CA1593">
              <w:t>эндоскопической картины слизистой оболочки</w:t>
            </w:r>
            <w:r w:rsidR="00E3219E">
              <w:rPr>
                <w:vertAlign w:val="superscript"/>
                <w:lang w:val="en-US"/>
              </w:rPr>
              <w:t>c</w:t>
            </w:r>
          </w:p>
        </w:tc>
        <w:tc>
          <w:tcPr>
            <w:tcW w:w="1836" w:type="dxa"/>
            <w:vAlign w:val="center"/>
          </w:tcPr>
          <w:p w14:paraId="69BF558F" w14:textId="20897B90" w:rsidR="005C6865" w:rsidRPr="000279BF" w:rsidRDefault="000279BF" w:rsidP="000D3CC1">
            <w:pPr>
              <w:ind w:firstLine="0"/>
              <w:jc w:val="center"/>
            </w:pPr>
            <w:r w:rsidRPr="000279BF">
              <w:t>1</w:t>
            </w:r>
            <w:r w:rsidR="00E66A5B">
              <w:t>,</w:t>
            </w:r>
            <w:r w:rsidRPr="000279BF">
              <w:t>8%</w:t>
            </w:r>
          </w:p>
        </w:tc>
        <w:tc>
          <w:tcPr>
            <w:tcW w:w="1900" w:type="dxa"/>
            <w:vAlign w:val="center"/>
          </w:tcPr>
          <w:p w14:paraId="6C4235D3" w14:textId="203EC3B5" w:rsidR="005C6865" w:rsidRPr="000279BF" w:rsidRDefault="00B95199" w:rsidP="000D3CC1">
            <w:pPr>
              <w:ind w:firstLine="0"/>
              <w:jc w:val="center"/>
            </w:pPr>
            <w:r w:rsidRPr="00B95199">
              <w:t>7</w:t>
            </w:r>
            <w:r w:rsidR="00FF56DD">
              <w:t>,</w:t>
            </w:r>
            <w:r w:rsidRPr="00B95199">
              <w:t>0%‡</w:t>
            </w:r>
          </w:p>
        </w:tc>
        <w:tc>
          <w:tcPr>
            <w:tcW w:w="1837" w:type="dxa"/>
            <w:vAlign w:val="center"/>
          </w:tcPr>
          <w:p w14:paraId="4317C88D" w14:textId="283F6042" w:rsidR="005C6865" w:rsidRPr="000279BF" w:rsidRDefault="0099606D" w:rsidP="000D3CC1">
            <w:pPr>
              <w:ind w:firstLine="0"/>
              <w:jc w:val="center"/>
            </w:pPr>
            <w:r w:rsidRPr="0099606D">
              <w:t>0</w:t>
            </w:r>
            <w:r w:rsidR="00FF56DD">
              <w:t>,</w:t>
            </w:r>
            <w:r w:rsidRPr="0099606D">
              <w:t>0%</w:t>
            </w:r>
          </w:p>
        </w:tc>
        <w:tc>
          <w:tcPr>
            <w:tcW w:w="1794" w:type="dxa"/>
            <w:vAlign w:val="center"/>
          </w:tcPr>
          <w:p w14:paraId="0275AE74" w14:textId="40E85BB5" w:rsidR="005C6865" w:rsidRPr="000279BF" w:rsidRDefault="00FF56DD" w:rsidP="000D3CC1">
            <w:pPr>
              <w:ind w:firstLine="0"/>
              <w:jc w:val="center"/>
            </w:pPr>
            <w:r w:rsidRPr="00FF56DD">
              <w:t>9</w:t>
            </w:r>
            <w:r>
              <w:t>,</w:t>
            </w:r>
            <w:r w:rsidRPr="00FF56DD">
              <w:t>1%‡</w:t>
            </w:r>
          </w:p>
        </w:tc>
      </w:tr>
      <w:tr w:rsidR="005C6865" w14:paraId="7719704F" w14:textId="77777777" w:rsidTr="000D3CC1">
        <w:tc>
          <w:tcPr>
            <w:tcW w:w="1989" w:type="dxa"/>
          </w:tcPr>
          <w:p w14:paraId="105343D3" w14:textId="0B1832AA" w:rsidR="005C6865" w:rsidRPr="00E3219E" w:rsidRDefault="005C6865" w:rsidP="005C6865">
            <w:pPr>
              <w:ind w:firstLine="0"/>
              <w:rPr>
                <w:vertAlign w:val="superscript"/>
                <w:lang w:val="en-US"/>
              </w:rPr>
            </w:pPr>
            <w:r>
              <w:t>Клинический ответ</w:t>
            </w:r>
            <w:r w:rsidR="00E3219E">
              <w:rPr>
                <w:vertAlign w:val="superscript"/>
                <w:lang w:val="en-US"/>
              </w:rPr>
              <w:t>d</w:t>
            </w:r>
          </w:p>
        </w:tc>
        <w:tc>
          <w:tcPr>
            <w:tcW w:w="1836" w:type="dxa"/>
            <w:vAlign w:val="center"/>
          </w:tcPr>
          <w:p w14:paraId="655DA0BC" w14:textId="62E89B81" w:rsidR="005C6865" w:rsidRPr="000279BF" w:rsidRDefault="00B95199" w:rsidP="000D3CC1">
            <w:pPr>
              <w:ind w:firstLine="0"/>
              <w:jc w:val="center"/>
            </w:pPr>
            <w:r w:rsidRPr="00B95199">
              <w:t>28</w:t>
            </w:r>
            <w:r w:rsidR="00E66A5B">
              <w:t>,</w:t>
            </w:r>
            <w:r w:rsidRPr="00B95199">
              <w:t>6%</w:t>
            </w:r>
          </w:p>
        </w:tc>
        <w:tc>
          <w:tcPr>
            <w:tcW w:w="1900" w:type="dxa"/>
            <w:vAlign w:val="center"/>
          </w:tcPr>
          <w:p w14:paraId="53EC3725" w14:textId="29B760B4" w:rsidR="005C6865" w:rsidRPr="000279BF" w:rsidRDefault="00906DA7" w:rsidP="000D3CC1">
            <w:pPr>
              <w:ind w:firstLine="0"/>
              <w:jc w:val="center"/>
            </w:pPr>
            <w:r w:rsidRPr="00906DA7">
              <w:t>55</w:t>
            </w:r>
            <w:r w:rsidR="00FF56DD">
              <w:t>,</w:t>
            </w:r>
            <w:r w:rsidRPr="00906DA7">
              <w:t>0%*</w:t>
            </w:r>
          </w:p>
        </w:tc>
        <w:tc>
          <w:tcPr>
            <w:tcW w:w="1837" w:type="dxa"/>
            <w:vAlign w:val="center"/>
          </w:tcPr>
          <w:p w14:paraId="280C6108" w14:textId="5222BA82" w:rsidR="005C6865" w:rsidRPr="000279BF" w:rsidRDefault="0099606D" w:rsidP="000D3CC1">
            <w:pPr>
              <w:ind w:firstLine="0"/>
              <w:jc w:val="center"/>
            </w:pPr>
            <w:r w:rsidRPr="0099606D">
              <w:t>29</w:t>
            </w:r>
            <w:r w:rsidR="00FF56DD">
              <w:t>,</w:t>
            </w:r>
            <w:r w:rsidRPr="0099606D">
              <w:t>5%</w:t>
            </w:r>
          </w:p>
        </w:tc>
        <w:tc>
          <w:tcPr>
            <w:tcW w:w="1794" w:type="dxa"/>
            <w:vAlign w:val="center"/>
          </w:tcPr>
          <w:p w14:paraId="7DF33A88" w14:textId="7C9021E1" w:rsidR="005C6865" w:rsidRPr="000279BF" w:rsidRDefault="00FF56DD" w:rsidP="000D3CC1">
            <w:pPr>
              <w:ind w:firstLine="0"/>
              <w:jc w:val="center"/>
            </w:pPr>
            <w:r w:rsidRPr="00FF56DD">
              <w:t>58</w:t>
            </w:r>
            <w:r>
              <w:t>,</w:t>
            </w:r>
            <w:r w:rsidRPr="00FF56DD">
              <w:t>0%*</w:t>
            </w:r>
          </w:p>
        </w:tc>
      </w:tr>
      <w:tr w:rsidR="000D3CC1" w14:paraId="2CEB53DE" w14:textId="77777777" w:rsidTr="000D3CC1">
        <w:tc>
          <w:tcPr>
            <w:tcW w:w="9356" w:type="dxa"/>
            <w:gridSpan w:val="5"/>
          </w:tcPr>
          <w:p w14:paraId="2891BDC0" w14:textId="77777777" w:rsidR="000D3CC1" w:rsidRDefault="000D3CC1" w:rsidP="000D3CC1">
            <w:pPr>
              <w:pStyle w:val="SDcomments"/>
              <w:ind w:firstLine="0"/>
            </w:pPr>
            <w:r w:rsidRPr="000D3CC1">
              <w:rPr>
                <w:b/>
                <w:iCs/>
              </w:rPr>
              <w:t>Примечание:</w:t>
            </w:r>
            <w:r>
              <w:rPr>
                <w:i/>
                <w:iCs/>
              </w:rPr>
              <w:t xml:space="preserve"> </w:t>
            </w:r>
          </w:p>
          <w:p w14:paraId="7EDE302E" w14:textId="29500B81" w:rsidR="000D3CC1" w:rsidRPr="000D3CC1" w:rsidRDefault="000D3CC1" w:rsidP="000D3CC1">
            <w:pPr>
              <w:pStyle w:val="SDcomments"/>
              <w:ind w:firstLine="0"/>
              <w:rPr>
                <w:i/>
                <w:iCs/>
              </w:rPr>
            </w:pPr>
            <w:r>
              <w:t xml:space="preserve">ЯК – язвенный колит; </w:t>
            </w:r>
            <w:r>
              <w:rPr>
                <w:vertAlign w:val="superscript"/>
                <w:lang w:val="en-US"/>
              </w:rPr>
              <w:t>a</w:t>
            </w:r>
            <w:r>
              <w:t xml:space="preserve"> – первичная конечная точка, ремиссия определялась как клиническая ремиссия (показатель по шкале Мейо </w:t>
            </w:r>
            <w:r>
              <w:rPr>
                <w:rFonts w:cs="Times New Roman"/>
              </w:rPr>
              <w:t>≤ 2 баллов</w:t>
            </w:r>
            <w:r w:rsidRPr="000F49AE">
              <w:rPr>
                <w:rFonts w:cs="Times New Roman"/>
              </w:rPr>
              <w:t xml:space="preserve"> </w:t>
            </w:r>
            <w:r>
              <w:rPr>
                <w:rFonts w:cs="Times New Roman"/>
              </w:rPr>
              <w:t xml:space="preserve">и отсутствие превышения 1 балла по какой-либо подшкале); </w:t>
            </w:r>
            <w:r>
              <w:rPr>
                <w:vertAlign w:val="superscript"/>
                <w:lang w:val="en-US"/>
              </w:rPr>
              <w:t>b</w:t>
            </w:r>
            <w:r>
              <w:t xml:space="preserve"> – ключевая конечная точка, улучшение эндоскопической картины слизистой оболочки, определяемое по подшкалам шкалы Мейо на 0 баллов (нормальная картина или отсутствие активности заболевания) или 1 балл (эритема, снижение сосудистого рисунка); </w:t>
            </w:r>
            <w:r>
              <w:rPr>
                <w:vertAlign w:val="superscript"/>
                <w:lang w:val="en-US"/>
              </w:rPr>
              <w:t>c</w:t>
            </w:r>
            <w:r>
              <w:t xml:space="preserve"> – эндоскопической нормализация картины слизистой оболочки, определяемая как показатели по подшкалам шкалы Мейо, равные 0; </w:t>
            </w:r>
            <w:r>
              <w:rPr>
                <w:vertAlign w:val="superscript"/>
                <w:lang w:val="en-US"/>
              </w:rPr>
              <w:t>d</w:t>
            </w:r>
            <w:r>
              <w:t xml:space="preserve"> – клинический ответ определяли как снижение от исходного значения показателя по шкале Мейо на </w:t>
            </w:r>
            <w:r>
              <w:rPr>
                <w:rFonts w:cs="Times New Roman"/>
              </w:rPr>
              <w:t>≥</w:t>
            </w:r>
            <w:r>
              <w:t xml:space="preserve"> 3 балла и на </w:t>
            </w:r>
            <w:r>
              <w:rPr>
                <w:rFonts w:cs="Times New Roman"/>
              </w:rPr>
              <w:t xml:space="preserve">≥ </w:t>
            </w:r>
            <w:r>
              <w:t xml:space="preserve">30% с сопутствующим снижением показателя по подшкале кровотечения из прямой кишки на </w:t>
            </w:r>
            <w:r>
              <w:rPr>
                <w:rFonts w:cs="Times New Roman"/>
              </w:rPr>
              <w:t>≥</w:t>
            </w:r>
            <w:r>
              <w:t xml:space="preserve"> 1 балл или абсолютным показателем по этой подшкале, равным 0 или 1 балл; </w:t>
            </w:r>
            <w:r w:rsidRPr="00E3219E">
              <w:t>*</w:t>
            </w:r>
            <w:r>
              <w:t xml:space="preserve"> – статистически значимые различия, </w:t>
            </w:r>
            <w:r w:rsidRPr="00E3219E">
              <w:t>p</w:t>
            </w:r>
            <w:r>
              <w:t xml:space="preserve"> </w:t>
            </w:r>
            <w:r w:rsidRPr="00E3219E">
              <w:t>&lt;</w:t>
            </w:r>
            <w:r>
              <w:t xml:space="preserve"> </w:t>
            </w:r>
            <w:r w:rsidRPr="00E3219E">
              <w:t>0</w:t>
            </w:r>
            <w:r>
              <w:t>,</w:t>
            </w:r>
            <w:r w:rsidRPr="00E3219E">
              <w:t xml:space="preserve">0001; † </w:t>
            </w:r>
            <w:r>
              <w:t xml:space="preserve">– статистически значимые различия, </w:t>
            </w:r>
            <w:r w:rsidRPr="00E3219E">
              <w:t>p</w:t>
            </w:r>
            <w:r>
              <w:t xml:space="preserve"> </w:t>
            </w:r>
            <w:r w:rsidRPr="00E3219E">
              <w:t>&lt;</w:t>
            </w:r>
            <w:r>
              <w:t xml:space="preserve"> </w:t>
            </w:r>
            <w:r w:rsidRPr="00E3219E">
              <w:t>0</w:t>
            </w:r>
            <w:r>
              <w:t>,</w:t>
            </w:r>
            <w:r w:rsidRPr="00E3219E">
              <w:t xml:space="preserve">001; ‡ </w:t>
            </w:r>
            <w:r>
              <w:t xml:space="preserve">– статистически значимые различия, </w:t>
            </w:r>
            <w:r w:rsidRPr="00E3219E">
              <w:t>p</w:t>
            </w:r>
            <w:r>
              <w:t xml:space="preserve"> </w:t>
            </w:r>
            <w:r w:rsidRPr="00E3219E">
              <w:t>&lt;</w:t>
            </w:r>
            <w:r>
              <w:t xml:space="preserve"> </w:t>
            </w:r>
            <w:r w:rsidRPr="00E3219E">
              <w:t>0</w:t>
            </w:r>
            <w:r>
              <w:t>,</w:t>
            </w:r>
            <w:r w:rsidRPr="00E3219E">
              <w:t>05</w:t>
            </w:r>
            <w:r w:rsidRPr="00E3219E">
              <w:rPr>
                <w:i/>
                <w:iCs/>
              </w:rPr>
              <w:t>.</w:t>
            </w:r>
          </w:p>
        </w:tc>
      </w:tr>
    </w:tbl>
    <w:p w14:paraId="623E68F6" w14:textId="0F4D8D5F" w:rsidR="00852EEF" w:rsidRDefault="00852EEF" w:rsidP="00E3219E">
      <w:pPr>
        <w:pStyle w:val="SDcomments"/>
        <w:ind w:firstLine="0"/>
        <w:rPr>
          <w:i/>
          <w:iCs/>
        </w:rPr>
      </w:pPr>
    </w:p>
    <w:p w14:paraId="2D352D7C" w14:textId="7619A00F" w:rsidR="00852EEF" w:rsidRDefault="00852EEF" w:rsidP="000D3CC1">
      <w:pPr>
        <w:pStyle w:val="SDText"/>
        <w:spacing w:after="0"/>
      </w:pPr>
      <w:r>
        <w:t xml:space="preserve">В обеих подгруппах пациентов с предшествующим недостаточным ответом на терапию ингибиторами </w:t>
      </w:r>
      <w:r w:rsidRPr="00852EEF">
        <w:t>TNF-α</w:t>
      </w:r>
      <w:r>
        <w:t xml:space="preserve"> или без не</w:t>
      </w:r>
      <w:r w:rsidR="008B0A6B">
        <w:t>го</w:t>
      </w:r>
      <w:r>
        <w:t xml:space="preserve"> большая доля пациент</w:t>
      </w:r>
      <w:r w:rsidR="008B0A6B">
        <w:t>ов</w:t>
      </w:r>
      <w:r>
        <w:t>, получавши</w:t>
      </w:r>
      <w:r w:rsidR="008B0A6B">
        <w:t>х</w:t>
      </w:r>
      <w:r>
        <w:t xml:space="preserve"> тофацитиниб в дозе 10 мг 2 раза в сутки, достигл</w:t>
      </w:r>
      <w:r w:rsidR="008B0A6B">
        <w:t>а</w:t>
      </w:r>
      <w:r>
        <w:t xml:space="preserve"> ремиссии и улучшения эндоскопических показателей</w:t>
      </w:r>
      <w:r w:rsidR="008B0A6B">
        <w:t xml:space="preserve"> </w:t>
      </w:r>
      <w:r>
        <w:t>внешн</w:t>
      </w:r>
      <w:r w:rsidR="008B0A6B">
        <w:t>его</w:t>
      </w:r>
      <w:r>
        <w:t xml:space="preserve"> вид</w:t>
      </w:r>
      <w:r w:rsidR="008B0A6B">
        <w:t>а</w:t>
      </w:r>
      <w:r>
        <w:t xml:space="preserve"> слизистой </w:t>
      </w:r>
      <w:r w:rsidR="008B0A6B">
        <w:t xml:space="preserve">оболочки </w:t>
      </w:r>
      <w:r>
        <w:t xml:space="preserve">на 8 неделе по сравнению с плацебо. </w:t>
      </w:r>
      <w:r w:rsidR="006A3DD1">
        <w:t>Эти различия</w:t>
      </w:r>
      <w:r>
        <w:t xml:space="preserve"> был</w:t>
      </w:r>
      <w:r w:rsidR="006A3DD1">
        <w:t>и</w:t>
      </w:r>
      <w:r>
        <w:t xml:space="preserve"> последовательн</w:t>
      </w:r>
      <w:r w:rsidR="006A3DD1">
        <w:t>ыми при сравнении</w:t>
      </w:r>
      <w:r w:rsidR="008B0A6B">
        <w:t xml:space="preserve"> </w:t>
      </w:r>
      <w:r>
        <w:t>между двумя подгруппами</w:t>
      </w:r>
      <w:r w:rsidR="006A3DD1">
        <w:t xml:space="preserve"> пациентов </w:t>
      </w:r>
      <w:r w:rsidR="006A3DD1" w:rsidRPr="000D3CC1">
        <w:t>(</w:t>
      </w:r>
      <w:r w:rsidR="009B7B55" w:rsidRPr="000D3CC1">
        <w:fldChar w:fldCharType="begin"/>
      </w:r>
      <w:r w:rsidR="009B7B55" w:rsidRPr="000D3CC1">
        <w:instrText xml:space="preserve"> REF _Ref120695463 \h </w:instrText>
      </w:r>
      <w:r w:rsidR="000D3CC1" w:rsidRPr="000D3CC1">
        <w:instrText xml:space="preserve"> \* MERGEFORMAT </w:instrText>
      </w:r>
      <w:r w:rsidR="009B7B55" w:rsidRPr="000D3CC1">
        <w:fldChar w:fldCharType="separate"/>
      </w:r>
      <w:r w:rsidR="00383E6F" w:rsidRPr="000D3CC1">
        <w:rPr>
          <w:bCs/>
        </w:rPr>
        <w:t xml:space="preserve">Таблица </w:t>
      </w:r>
      <w:r w:rsidR="00383E6F" w:rsidRPr="000D3CC1">
        <w:rPr>
          <w:bCs/>
          <w:noProof/>
        </w:rPr>
        <w:t>4</w:t>
      </w:r>
      <w:r w:rsidR="00383E6F" w:rsidRPr="000D3CC1">
        <w:rPr>
          <w:bCs/>
        </w:rPr>
        <w:noBreakHyphen/>
      </w:r>
      <w:r w:rsidR="00383E6F" w:rsidRPr="000D3CC1">
        <w:rPr>
          <w:bCs/>
          <w:noProof/>
        </w:rPr>
        <w:t>17</w:t>
      </w:r>
      <w:r w:rsidR="009B7B55" w:rsidRPr="000D3CC1">
        <w:fldChar w:fldCharType="end"/>
      </w:r>
      <w:r w:rsidR="00A77302" w:rsidRPr="000D3CC1">
        <w:t>)</w:t>
      </w:r>
      <w:r w:rsidR="00A77302">
        <w:t xml:space="preserve"> </w:t>
      </w:r>
      <w:r w:rsidR="00A77302">
        <w:fldChar w:fldCharType="begin"/>
      </w:r>
      <w:r w:rsidR="00A77302">
        <w:instrText xml:space="preserve"> ADDIN ZOTERO_ITEM CSL_CITATION {"citationID":"Yo2dapAS","properties":{"formattedCitation":"[24]","plainCitation":"[24]","noteIndex":0},"citationItems":[{"id":87800,"uris":["http://zotero.org/groups/4742804/items/TPCQ89X9"],"itemData":{"id":87800,"type":"webpage","title":"Xeljanz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A77302">
        <w:fldChar w:fldCharType="separate"/>
      </w:r>
      <w:r w:rsidR="00A77302">
        <w:rPr>
          <w:rFonts w:cs="Times New Roman"/>
        </w:rPr>
        <w:t>[2</w:t>
      </w:r>
      <w:r w:rsidR="00A77302" w:rsidRPr="008D5290">
        <w:rPr>
          <w:rFonts w:cs="Times New Roman"/>
        </w:rPr>
        <w:t>]</w:t>
      </w:r>
      <w:r w:rsidR="00A77302">
        <w:fldChar w:fldCharType="end"/>
      </w:r>
      <w:r w:rsidR="00A77302">
        <w:t>.</w:t>
      </w:r>
    </w:p>
    <w:p w14:paraId="501E43DA" w14:textId="77777777" w:rsidR="000D3CC1" w:rsidRDefault="000D3CC1" w:rsidP="000D3CC1">
      <w:pPr>
        <w:pStyle w:val="SDText"/>
        <w:spacing w:after="0"/>
      </w:pPr>
    </w:p>
    <w:p w14:paraId="126AA287" w14:textId="5186EA3D" w:rsidR="00595D68" w:rsidRDefault="00365060" w:rsidP="000D3CC1">
      <w:pPr>
        <w:pStyle w:val="SDText"/>
        <w:spacing w:after="0"/>
        <w:ind w:firstLine="0"/>
      </w:pPr>
      <w:bookmarkStart w:id="248" w:name="_Ref120695463"/>
      <w:r w:rsidRPr="009B7B55">
        <w:rPr>
          <w:b/>
          <w:bCs/>
        </w:rPr>
        <w:t xml:space="preserve">Таблица </w:t>
      </w:r>
      <w:r w:rsidR="00652269" w:rsidRPr="009B7B55">
        <w:rPr>
          <w:b/>
          <w:bCs/>
        </w:rPr>
        <w:fldChar w:fldCharType="begin"/>
      </w:r>
      <w:r w:rsidR="00652269" w:rsidRPr="009B7B55">
        <w:rPr>
          <w:b/>
          <w:bCs/>
        </w:rPr>
        <w:instrText xml:space="preserve"> STYLEREF 1 \s </w:instrText>
      </w:r>
      <w:r w:rsidR="00652269" w:rsidRPr="009B7B55">
        <w:rPr>
          <w:b/>
          <w:bCs/>
        </w:rPr>
        <w:fldChar w:fldCharType="separate"/>
      </w:r>
      <w:r w:rsidR="00383E6F">
        <w:rPr>
          <w:b/>
          <w:bCs/>
          <w:noProof/>
        </w:rPr>
        <w:t>4</w:t>
      </w:r>
      <w:r w:rsidR="00652269" w:rsidRPr="009B7B55">
        <w:rPr>
          <w:b/>
          <w:bCs/>
        </w:rPr>
        <w:fldChar w:fldCharType="end"/>
      </w:r>
      <w:r w:rsidR="00652269" w:rsidRPr="009B7B55">
        <w:rPr>
          <w:b/>
          <w:bCs/>
        </w:rPr>
        <w:noBreakHyphen/>
      </w:r>
      <w:r w:rsidR="00652269" w:rsidRPr="009B7B55">
        <w:rPr>
          <w:b/>
          <w:bCs/>
        </w:rPr>
        <w:fldChar w:fldCharType="begin"/>
      </w:r>
      <w:r w:rsidR="00652269" w:rsidRPr="009B7B55">
        <w:rPr>
          <w:b/>
          <w:bCs/>
        </w:rPr>
        <w:instrText xml:space="preserve"> SEQ Таблица \* ARABIC \s 1 </w:instrText>
      </w:r>
      <w:r w:rsidR="00652269" w:rsidRPr="009B7B55">
        <w:rPr>
          <w:b/>
          <w:bCs/>
        </w:rPr>
        <w:fldChar w:fldCharType="separate"/>
      </w:r>
      <w:r w:rsidR="00383E6F">
        <w:rPr>
          <w:b/>
          <w:bCs/>
          <w:noProof/>
        </w:rPr>
        <w:t>17</w:t>
      </w:r>
      <w:r w:rsidR="00652269" w:rsidRPr="009B7B55">
        <w:rPr>
          <w:b/>
          <w:bCs/>
        </w:rPr>
        <w:fldChar w:fldCharType="end"/>
      </w:r>
      <w:bookmarkEnd w:id="248"/>
      <w:r w:rsidR="009B7B55" w:rsidRPr="009B7B55">
        <w:rPr>
          <w:b/>
          <w:bCs/>
        </w:rPr>
        <w:t>.</w:t>
      </w:r>
      <w:r>
        <w:t xml:space="preserve"> Доля пациентов, достигших первичных и вторичных конечных точек эффективности</w:t>
      </w:r>
      <w:r w:rsidR="000737C2">
        <w:t xml:space="preserve"> </w:t>
      </w:r>
      <w:r w:rsidR="00595D68">
        <w:t>на неделе 8 в подгруппах в зависимости от ответа на терапию ингибиторами</w:t>
      </w:r>
      <w:r w:rsidR="00595D68" w:rsidRPr="00595D68">
        <w:t xml:space="preserve"> TNF-α</w:t>
      </w:r>
      <w:r w:rsidR="009B7B55">
        <w:t>.</w:t>
      </w:r>
    </w:p>
    <w:tbl>
      <w:tblPr>
        <w:tblStyle w:val="a4"/>
        <w:tblW w:w="0" w:type="auto"/>
        <w:tblInd w:w="108" w:type="dxa"/>
        <w:tblLook w:val="04A0" w:firstRow="1" w:lastRow="0" w:firstColumn="1" w:lastColumn="0" w:noHBand="0" w:noVBand="1"/>
      </w:tblPr>
      <w:tblGrid>
        <w:gridCol w:w="3082"/>
        <w:gridCol w:w="3190"/>
        <w:gridCol w:w="3084"/>
      </w:tblGrid>
      <w:tr w:rsidR="005035FD" w14:paraId="3957CC27" w14:textId="77777777" w:rsidTr="00791E09">
        <w:trPr>
          <w:tblHeader/>
        </w:trPr>
        <w:tc>
          <w:tcPr>
            <w:tcW w:w="9356" w:type="dxa"/>
            <w:gridSpan w:val="3"/>
            <w:shd w:val="clear" w:color="auto" w:fill="D9D9D9" w:themeFill="background1" w:themeFillShade="D9"/>
          </w:tcPr>
          <w:p w14:paraId="6699E7A0" w14:textId="59F43AEA" w:rsidR="005035FD" w:rsidRPr="000D3CC1" w:rsidRDefault="005035FD" w:rsidP="005035FD">
            <w:pPr>
              <w:ind w:firstLine="0"/>
              <w:jc w:val="center"/>
              <w:rPr>
                <w:b/>
                <w:bCs/>
              </w:rPr>
            </w:pPr>
            <w:r w:rsidRPr="000D3CC1">
              <w:rPr>
                <w:b/>
                <w:bCs/>
              </w:rPr>
              <w:t>OCTAVE induction 1</w:t>
            </w:r>
          </w:p>
        </w:tc>
      </w:tr>
      <w:tr w:rsidR="009D05EC" w14:paraId="4862570F" w14:textId="77777777" w:rsidTr="00791E09">
        <w:trPr>
          <w:tblHeader/>
        </w:trPr>
        <w:tc>
          <w:tcPr>
            <w:tcW w:w="3082" w:type="dxa"/>
            <w:shd w:val="clear" w:color="auto" w:fill="D9D9D9" w:themeFill="background1" w:themeFillShade="D9"/>
            <w:vAlign w:val="center"/>
          </w:tcPr>
          <w:p w14:paraId="783FD01A" w14:textId="29058E19" w:rsidR="009D05EC" w:rsidRPr="000D3CC1" w:rsidRDefault="005035FD" w:rsidP="000D3CC1">
            <w:pPr>
              <w:ind w:firstLine="0"/>
              <w:jc w:val="center"/>
              <w:rPr>
                <w:b/>
              </w:rPr>
            </w:pPr>
            <w:r w:rsidRPr="000D3CC1">
              <w:rPr>
                <w:b/>
              </w:rPr>
              <w:t>Конечная точка</w:t>
            </w:r>
          </w:p>
        </w:tc>
        <w:tc>
          <w:tcPr>
            <w:tcW w:w="3190" w:type="dxa"/>
            <w:shd w:val="clear" w:color="auto" w:fill="D9D9D9" w:themeFill="background1" w:themeFillShade="D9"/>
            <w:vAlign w:val="center"/>
          </w:tcPr>
          <w:p w14:paraId="431F70C7" w14:textId="6B52C91C" w:rsidR="009D05EC" w:rsidRPr="000D3CC1" w:rsidRDefault="005035FD" w:rsidP="000D3CC1">
            <w:pPr>
              <w:ind w:firstLine="0"/>
              <w:jc w:val="center"/>
              <w:rPr>
                <w:b/>
              </w:rPr>
            </w:pPr>
            <w:r w:rsidRPr="000D3CC1">
              <w:rPr>
                <w:b/>
              </w:rPr>
              <w:t>Плацебо (</w:t>
            </w:r>
            <w:r w:rsidR="00DB5BFA" w:rsidRPr="000D3CC1">
              <w:rPr>
                <w:b/>
              </w:rPr>
              <w:t>N = 122)</w:t>
            </w:r>
          </w:p>
        </w:tc>
        <w:tc>
          <w:tcPr>
            <w:tcW w:w="3084" w:type="dxa"/>
            <w:shd w:val="clear" w:color="auto" w:fill="D9D9D9" w:themeFill="background1" w:themeFillShade="D9"/>
            <w:vAlign w:val="center"/>
          </w:tcPr>
          <w:p w14:paraId="28365B89" w14:textId="11E51581" w:rsidR="009D05EC" w:rsidRPr="000D3CC1" w:rsidRDefault="00DB5BFA" w:rsidP="000D3CC1">
            <w:pPr>
              <w:ind w:firstLine="0"/>
              <w:jc w:val="center"/>
              <w:rPr>
                <w:b/>
              </w:rPr>
            </w:pPr>
            <w:r w:rsidRPr="000D3CC1">
              <w:rPr>
                <w:b/>
              </w:rPr>
              <w:t>Тофацитиниб 10 мг 2 раза в день (N = 476)</w:t>
            </w:r>
          </w:p>
        </w:tc>
      </w:tr>
      <w:tr w:rsidR="00BB1053" w14:paraId="0142213C" w14:textId="77777777" w:rsidTr="000D3CC1">
        <w:tc>
          <w:tcPr>
            <w:tcW w:w="9356" w:type="dxa"/>
            <w:gridSpan w:val="3"/>
          </w:tcPr>
          <w:p w14:paraId="64007980" w14:textId="716DB261" w:rsidR="00BB1053" w:rsidRPr="000C04ED" w:rsidRDefault="00BB1053" w:rsidP="009D05EC">
            <w:pPr>
              <w:ind w:firstLine="0"/>
              <w:rPr>
                <w:vertAlign w:val="superscript"/>
                <w:lang w:val="en-US"/>
              </w:rPr>
            </w:pPr>
            <w:r>
              <w:t>Ремиссия</w:t>
            </w:r>
            <w:r w:rsidR="000C04ED" w:rsidRPr="000C04ED">
              <w:rPr>
                <w:vertAlign w:val="superscript"/>
                <w:lang w:val="en-US"/>
              </w:rPr>
              <w:t>a</w:t>
            </w:r>
          </w:p>
        </w:tc>
      </w:tr>
      <w:tr w:rsidR="009D05EC" w14:paraId="1B2CE9B1" w14:textId="77777777" w:rsidTr="000D3CC1">
        <w:tc>
          <w:tcPr>
            <w:tcW w:w="3082" w:type="dxa"/>
          </w:tcPr>
          <w:p w14:paraId="6101A654" w14:textId="73910825" w:rsidR="009D05EC" w:rsidRDefault="00CA07A4" w:rsidP="009D05EC">
            <w:pPr>
              <w:ind w:firstLine="0"/>
            </w:pPr>
            <w:r>
              <w:t xml:space="preserve">Подгруппа пациентов с предшествующей неудачей терапии ингибиторами </w:t>
            </w:r>
            <w:r w:rsidRPr="00CA07A4">
              <w:t>TNF-α</w:t>
            </w:r>
          </w:p>
        </w:tc>
        <w:tc>
          <w:tcPr>
            <w:tcW w:w="3190" w:type="dxa"/>
          </w:tcPr>
          <w:p w14:paraId="6736E4EC" w14:textId="4404764E" w:rsidR="00055670" w:rsidRDefault="00055670" w:rsidP="000D3CC1">
            <w:pPr>
              <w:ind w:firstLine="0"/>
              <w:jc w:val="center"/>
            </w:pPr>
            <w:r>
              <w:t>1</w:t>
            </w:r>
            <w:r w:rsidR="00D153C8">
              <w:t>,</w:t>
            </w:r>
            <w:r>
              <w:t>6%</w:t>
            </w:r>
          </w:p>
          <w:p w14:paraId="1756D2D0" w14:textId="3FF92A5F" w:rsidR="009D05EC" w:rsidRDefault="00055670" w:rsidP="000D3CC1">
            <w:pPr>
              <w:ind w:firstLine="0"/>
              <w:jc w:val="center"/>
            </w:pPr>
            <w:r>
              <w:t>(1/64)</w:t>
            </w:r>
          </w:p>
        </w:tc>
        <w:tc>
          <w:tcPr>
            <w:tcW w:w="3084" w:type="dxa"/>
          </w:tcPr>
          <w:p w14:paraId="04C8F8A6" w14:textId="557FA7DA" w:rsidR="00055670" w:rsidRDefault="00055670" w:rsidP="000D3CC1">
            <w:pPr>
              <w:ind w:firstLine="0"/>
              <w:jc w:val="center"/>
            </w:pPr>
            <w:r>
              <w:t>11</w:t>
            </w:r>
            <w:r w:rsidR="00D153C8">
              <w:t>,</w:t>
            </w:r>
            <w:r>
              <w:t>1%</w:t>
            </w:r>
          </w:p>
          <w:p w14:paraId="78E242E3" w14:textId="2CF7B6DF" w:rsidR="009D05EC" w:rsidRDefault="00055670" w:rsidP="000D3CC1">
            <w:pPr>
              <w:ind w:firstLine="0"/>
              <w:jc w:val="center"/>
            </w:pPr>
            <w:r>
              <w:t>(27/243)</w:t>
            </w:r>
          </w:p>
        </w:tc>
      </w:tr>
      <w:tr w:rsidR="009D05EC" w14:paraId="60C7C630" w14:textId="77777777" w:rsidTr="000D3CC1">
        <w:tc>
          <w:tcPr>
            <w:tcW w:w="3082" w:type="dxa"/>
          </w:tcPr>
          <w:p w14:paraId="250DDC15" w14:textId="1708D316" w:rsidR="009D05EC" w:rsidRPr="000C04ED" w:rsidRDefault="00BB1053" w:rsidP="009D05EC">
            <w:pPr>
              <w:ind w:firstLine="0"/>
              <w:rPr>
                <w:vertAlign w:val="superscript"/>
              </w:rPr>
            </w:pPr>
            <w:r w:rsidRPr="00BB1053">
              <w:t xml:space="preserve">Подгруппа пациентов </w:t>
            </w:r>
            <w:r>
              <w:t xml:space="preserve">без </w:t>
            </w:r>
            <w:r w:rsidRPr="00BB1053">
              <w:t>предшествующей неудач</w:t>
            </w:r>
            <w:r>
              <w:t>и</w:t>
            </w:r>
            <w:r w:rsidRPr="00BB1053">
              <w:t xml:space="preserve"> терапии ингибиторами </w:t>
            </w:r>
            <w:r w:rsidRPr="00BB1053">
              <w:lastRenderedPageBreak/>
              <w:t>TNF-α</w:t>
            </w:r>
            <w:r w:rsidR="000C04ED">
              <w:rPr>
                <w:vertAlign w:val="superscript"/>
                <w:lang w:val="en-US"/>
              </w:rPr>
              <w:t>b</w:t>
            </w:r>
          </w:p>
        </w:tc>
        <w:tc>
          <w:tcPr>
            <w:tcW w:w="3190" w:type="dxa"/>
          </w:tcPr>
          <w:p w14:paraId="0C70CDC2" w14:textId="06ADA1D4" w:rsidR="00055670" w:rsidRDefault="00055670" w:rsidP="000D3CC1">
            <w:pPr>
              <w:ind w:firstLine="0"/>
              <w:jc w:val="center"/>
            </w:pPr>
            <w:r>
              <w:lastRenderedPageBreak/>
              <w:t>15</w:t>
            </w:r>
            <w:r w:rsidR="00D153C8">
              <w:t>,</w:t>
            </w:r>
            <w:r>
              <w:t>5%</w:t>
            </w:r>
          </w:p>
          <w:p w14:paraId="1FC0CE9F" w14:textId="5E9238CF" w:rsidR="009D05EC" w:rsidRDefault="00055670" w:rsidP="000D3CC1">
            <w:pPr>
              <w:ind w:firstLine="0"/>
              <w:jc w:val="center"/>
            </w:pPr>
            <w:r>
              <w:t>(9/58)</w:t>
            </w:r>
          </w:p>
        </w:tc>
        <w:tc>
          <w:tcPr>
            <w:tcW w:w="3084" w:type="dxa"/>
          </w:tcPr>
          <w:p w14:paraId="2D8658F4" w14:textId="23E57650" w:rsidR="00B86100" w:rsidRDefault="00B86100" w:rsidP="000D3CC1">
            <w:pPr>
              <w:ind w:firstLine="0"/>
              <w:jc w:val="center"/>
            </w:pPr>
            <w:r>
              <w:t>26</w:t>
            </w:r>
            <w:r w:rsidR="00D153C8">
              <w:t>,</w:t>
            </w:r>
            <w:r>
              <w:t>2%</w:t>
            </w:r>
          </w:p>
          <w:p w14:paraId="42C37E0E" w14:textId="160F5572" w:rsidR="009D05EC" w:rsidRDefault="00B86100" w:rsidP="000D3CC1">
            <w:pPr>
              <w:ind w:firstLine="0"/>
              <w:jc w:val="center"/>
            </w:pPr>
            <w:r>
              <w:t>(61/233)</w:t>
            </w:r>
          </w:p>
        </w:tc>
      </w:tr>
      <w:tr w:rsidR="00BB1053" w14:paraId="60244B3D" w14:textId="77777777" w:rsidTr="000D3CC1">
        <w:tc>
          <w:tcPr>
            <w:tcW w:w="9356" w:type="dxa"/>
            <w:gridSpan w:val="3"/>
          </w:tcPr>
          <w:p w14:paraId="11A77446" w14:textId="6EE6D8CE" w:rsidR="00BB1053" w:rsidRPr="00CF291D" w:rsidRDefault="00BB1053" w:rsidP="009D05EC">
            <w:pPr>
              <w:ind w:firstLine="0"/>
              <w:rPr>
                <w:vertAlign w:val="superscript"/>
              </w:rPr>
            </w:pPr>
            <w:r w:rsidRPr="00BB1053">
              <w:t>Улучшение эндоскопической картины слизистой оболочки</w:t>
            </w:r>
            <w:r w:rsidR="00CF291D">
              <w:rPr>
                <w:vertAlign w:val="superscript"/>
                <w:lang w:val="en-US"/>
              </w:rPr>
              <w:t>c</w:t>
            </w:r>
          </w:p>
        </w:tc>
      </w:tr>
      <w:tr w:rsidR="00BB1053" w14:paraId="361A7194" w14:textId="77777777" w:rsidTr="000D3CC1">
        <w:tc>
          <w:tcPr>
            <w:tcW w:w="3082" w:type="dxa"/>
          </w:tcPr>
          <w:p w14:paraId="6B674AA2" w14:textId="3D534BD3" w:rsidR="00BB1053" w:rsidRDefault="00BB1053" w:rsidP="00BB1053">
            <w:pPr>
              <w:ind w:firstLine="0"/>
            </w:pPr>
            <w:r>
              <w:t xml:space="preserve">Подгруппа пациентов с предшествующей неудачей терапии ингибиторами </w:t>
            </w:r>
            <w:r w:rsidRPr="00CA07A4">
              <w:t>TNF-α</w:t>
            </w:r>
          </w:p>
        </w:tc>
        <w:tc>
          <w:tcPr>
            <w:tcW w:w="3190" w:type="dxa"/>
          </w:tcPr>
          <w:p w14:paraId="48ABD532" w14:textId="1D99BE69" w:rsidR="00B86100" w:rsidRDefault="00B86100" w:rsidP="000D3CC1">
            <w:pPr>
              <w:ind w:firstLine="0"/>
              <w:jc w:val="center"/>
            </w:pPr>
            <w:r>
              <w:t>6</w:t>
            </w:r>
            <w:r w:rsidR="00D153C8">
              <w:t>,</w:t>
            </w:r>
            <w:r>
              <w:t>3%</w:t>
            </w:r>
          </w:p>
          <w:p w14:paraId="74A72322" w14:textId="031EB483" w:rsidR="00BB1053" w:rsidRDefault="00B86100" w:rsidP="000D3CC1">
            <w:pPr>
              <w:ind w:firstLine="0"/>
              <w:jc w:val="center"/>
            </w:pPr>
            <w:r>
              <w:t>(4/64)</w:t>
            </w:r>
          </w:p>
        </w:tc>
        <w:tc>
          <w:tcPr>
            <w:tcW w:w="3084" w:type="dxa"/>
          </w:tcPr>
          <w:p w14:paraId="5C9E8541" w14:textId="327B520F" w:rsidR="00B86100" w:rsidRDefault="00B86100" w:rsidP="000D3CC1">
            <w:pPr>
              <w:ind w:firstLine="0"/>
              <w:jc w:val="center"/>
            </w:pPr>
            <w:r>
              <w:t>22</w:t>
            </w:r>
            <w:r w:rsidR="00D153C8">
              <w:t>,</w:t>
            </w:r>
            <w:r>
              <w:t>6%</w:t>
            </w:r>
          </w:p>
          <w:p w14:paraId="4AFBB9F9" w14:textId="486B066C" w:rsidR="00BB1053" w:rsidRDefault="00B86100" w:rsidP="000D3CC1">
            <w:pPr>
              <w:ind w:firstLine="0"/>
              <w:jc w:val="center"/>
            </w:pPr>
            <w:r>
              <w:t>(55/243)</w:t>
            </w:r>
          </w:p>
        </w:tc>
      </w:tr>
      <w:tr w:rsidR="00BB1053" w14:paraId="6900F5C7" w14:textId="77777777" w:rsidTr="000D3CC1">
        <w:tc>
          <w:tcPr>
            <w:tcW w:w="3082" w:type="dxa"/>
          </w:tcPr>
          <w:p w14:paraId="2F8418BA" w14:textId="3B6373C7" w:rsidR="00BB1053" w:rsidRDefault="00BB1053" w:rsidP="00BB1053">
            <w:pPr>
              <w:ind w:firstLine="0"/>
            </w:pPr>
            <w:r w:rsidRPr="00BB1053">
              <w:t xml:space="preserve">Подгруппа пациентов </w:t>
            </w:r>
            <w:r>
              <w:t xml:space="preserve">без </w:t>
            </w:r>
            <w:r w:rsidRPr="00BB1053">
              <w:t>предшествующей неудач</w:t>
            </w:r>
            <w:r>
              <w:t>и</w:t>
            </w:r>
            <w:r w:rsidRPr="00BB1053">
              <w:t xml:space="preserve"> терапии ингибиторами TNF-α</w:t>
            </w:r>
            <w:r w:rsidR="000C04ED">
              <w:rPr>
                <w:vertAlign w:val="superscript"/>
                <w:lang w:val="en-US"/>
              </w:rPr>
              <w:t>b</w:t>
            </w:r>
          </w:p>
        </w:tc>
        <w:tc>
          <w:tcPr>
            <w:tcW w:w="3190" w:type="dxa"/>
          </w:tcPr>
          <w:p w14:paraId="1123A4EF" w14:textId="06EC7935" w:rsidR="00B86100" w:rsidRDefault="00B86100" w:rsidP="000D3CC1">
            <w:pPr>
              <w:ind w:firstLine="0"/>
              <w:jc w:val="center"/>
            </w:pPr>
            <w:r>
              <w:t>25</w:t>
            </w:r>
            <w:r w:rsidR="00D153C8">
              <w:t>,</w:t>
            </w:r>
            <w:r>
              <w:t>9%</w:t>
            </w:r>
          </w:p>
          <w:p w14:paraId="79B568DD" w14:textId="1F7B0C2A" w:rsidR="00BB1053" w:rsidRDefault="00B86100" w:rsidP="000D3CC1">
            <w:pPr>
              <w:ind w:firstLine="0"/>
              <w:jc w:val="center"/>
            </w:pPr>
            <w:r>
              <w:t>(15/58)</w:t>
            </w:r>
          </w:p>
        </w:tc>
        <w:tc>
          <w:tcPr>
            <w:tcW w:w="3084" w:type="dxa"/>
          </w:tcPr>
          <w:p w14:paraId="16EFDEA2" w14:textId="4F733BEC" w:rsidR="00B86100" w:rsidRDefault="00B86100" w:rsidP="000D3CC1">
            <w:pPr>
              <w:ind w:firstLine="0"/>
              <w:jc w:val="center"/>
            </w:pPr>
            <w:r>
              <w:t>40</w:t>
            </w:r>
            <w:r w:rsidR="00D153C8">
              <w:t>,</w:t>
            </w:r>
            <w:r>
              <w:t>3%</w:t>
            </w:r>
          </w:p>
          <w:p w14:paraId="3F84E98F" w14:textId="0B3CB430" w:rsidR="00BB1053" w:rsidRDefault="00B86100" w:rsidP="000D3CC1">
            <w:pPr>
              <w:ind w:firstLine="0"/>
              <w:jc w:val="center"/>
            </w:pPr>
            <w:r>
              <w:t>(94/233)</w:t>
            </w:r>
          </w:p>
        </w:tc>
      </w:tr>
      <w:tr w:rsidR="00976A80" w14:paraId="76061785" w14:textId="77777777" w:rsidTr="000D3CC1">
        <w:tc>
          <w:tcPr>
            <w:tcW w:w="9356" w:type="dxa"/>
            <w:gridSpan w:val="3"/>
            <w:shd w:val="clear" w:color="auto" w:fill="D9D9D9" w:themeFill="background1" w:themeFillShade="D9"/>
          </w:tcPr>
          <w:p w14:paraId="02D665A5" w14:textId="7F8554DB" w:rsidR="00976A80" w:rsidRPr="000D3CC1" w:rsidRDefault="00976A80" w:rsidP="000D3CC1">
            <w:pPr>
              <w:ind w:firstLine="0"/>
              <w:jc w:val="center"/>
              <w:rPr>
                <w:b/>
                <w:bCs/>
              </w:rPr>
            </w:pPr>
            <w:r w:rsidRPr="000D3CC1">
              <w:rPr>
                <w:b/>
                <w:bCs/>
              </w:rPr>
              <w:t>OCTAVE induction 2</w:t>
            </w:r>
          </w:p>
        </w:tc>
      </w:tr>
      <w:tr w:rsidR="00112F9A" w14:paraId="475A316E" w14:textId="77777777" w:rsidTr="000D3CC1">
        <w:tc>
          <w:tcPr>
            <w:tcW w:w="3082" w:type="dxa"/>
            <w:shd w:val="clear" w:color="auto" w:fill="D9D9D9" w:themeFill="background1" w:themeFillShade="D9"/>
            <w:vAlign w:val="center"/>
          </w:tcPr>
          <w:p w14:paraId="62C14C71" w14:textId="71892E3D" w:rsidR="00112F9A" w:rsidRPr="000D3CC1" w:rsidRDefault="00112F9A" w:rsidP="000D3CC1">
            <w:pPr>
              <w:ind w:firstLine="0"/>
              <w:jc w:val="center"/>
              <w:rPr>
                <w:b/>
              </w:rPr>
            </w:pPr>
            <w:r w:rsidRPr="000D3CC1">
              <w:rPr>
                <w:b/>
              </w:rPr>
              <w:t>Конечная точка</w:t>
            </w:r>
          </w:p>
        </w:tc>
        <w:tc>
          <w:tcPr>
            <w:tcW w:w="3190" w:type="dxa"/>
            <w:shd w:val="clear" w:color="auto" w:fill="D9D9D9" w:themeFill="background1" w:themeFillShade="D9"/>
            <w:vAlign w:val="center"/>
          </w:tcPr>
          <w:p w14:paraId="2C9E7706" w14:textId="2FA49CE9" w:rsidR="00112F9A" w:rsidRPr="000D3CC1" w:rsidRDefault="00112F9A" w:rsidP="000D3CC1">
            <w:pPr>
              <w:ind w:firstLine="0"/>
              <w:jc w:val="center"/>
              <w:rPr>
                <w:b/>
              </w:rPr>
            </w:pPr>
            <w:r w:rsidRPr="000D3CC1">
              <w:rPr>
                <w:b/>
              </w:rPr>
              <w:t>Плацебо (N = 112)</w:t>
            </w:r>
          </w:p>
        </w:tc>
        <w:tc>
          <w:tcPr>
            <w:tcW w:w="3084" w:type="dxa"/>
            <w:shd w:val="clear" w:color="auto" w:fill="D9D9D9" w:themeFill="background1" w:themeFillShade="D9"/>
            <w:vAlign w:val="center"/>
          </w:tcPr>
          <w:p w14:paraId="5648F134" w14:textId="236C8846" w:rsidR="00112F9A" w:rsidRPr="000D3CC1" w:rsidRDefault="00112F9A" w:rsidP="000D3CC1">
            <w:pPr>
              <w:ind w:firstLine="0"/>
              <w:jc w:val="center"/>
              <w:rPr>
                <w:b/>
              </w:rPr>
            </w:pPr>
            <w:r w:rsidRPr="000D3CC1">
              <w:rPr>
                <w:b/>
              </w:rPr>
              <w:t>Тофацитиниб 10 мг 2 раза в день (N = 429)</w:t>
            </w:r>
          </w:p>
        </w:tc>
      </w:tr>
      <w:tr w:rsidR="00112F9A" w14:paraId="2D55C7E4" w14:textId="77777777" w:rsidTr="000D3CC1">
        <w:tc>
          <w:tcPr>
            <w:tcW w:w="9356" w:type="dxa"/>
            <w:gridSpan w:val="3"/>
          </w:tcPr>
          <w:p w14:paraId="65BA0B70" w14:textId="2E94A19D" w:rsidR="00112F9A" w:rsidRDefault="00112F9A" w:rsidP="00BB1053">
            <w:pPr>
              <w:ind w:firstLine="0"/>
            </w:pPr>
            <w:r>
              <w:t>Ремиссия</w:t>
            </w:r>
            <w:r w:rsidR="000C04ED" w:rsidRPr="000C04ED">
              <w:rPr>
                <w:vertAlign w:val="superscript"/>
                <w:lang w:val="en-US"/>
              </w:rPr>
              <w:t>a</w:t>
            </w:r>
            <w:r>
              <w:t xml:space="preserve"> </w:t>
            </w:r>
          </w:p>
        </w:tc>
      </w:tr>
      <w:tr w:rsidR="00112F9A" w14:paraId="75493BD6" w14:textId="77777777" w:rsidTr="000D3CC1">
        <w:tc>
          <w:tcPr>
            <w:tcW w:w="3082" w:type="dxa"/>
          </w:tcPr>
          <w:p w14:paraId="4EE24780" w14:textId="3078789E" w:rsidR="00112F9A" w:rsidRPr="00BB1053" w:rsidRDefault="00112F9A" w:rsidP="00112F9A">
            <w:pPr>
              <w:ind w:firstLine="0"/>
            </w:pPr>
            <w:r>
              <w:t xml:space="preserve">Подгруппа пациентов с предшествующей неудачей терапии ингибиторами </w:t>
            </w:r>
            <w:r w:rsidRPr="00CA07A4">
              <w:t>TNF-α</w:t>
            </w:r>
          </w:p>
        </w:tc>
        <w:tc>
          <w:tcPr>
            <w:tcW w:w="3190" w:type="dxa"/>
          </w:tcPr>
          <w:p w14:paraId="671B6388" w14:textId="5EB4FC7B" w:rsidR="00DE00FE" w:rsidRDefault="00DE00FE" w:rsidP="000D3CC1">
            <w:pPr>
              <w:ind w:firstLine="0"/>
              <w:jc w:val="center"/>
            </w:pPr>
            <w:r>
              <w:t>0</w:t>
            </w:r>
            <w:r w:rsidR="00D153C8">
              <w:t>,</w:t>
            </w:r>
            <w:r>
              <w:t>0%</w:t>
            </w:r>
          </w:p>
          <w:p w14:paraId="59DDD2E3" w14:textId="20C6371E" w:rsidR="00112F9A" w:rsidRDefault="00DE00FE" w:rsidP="000D3CC1">
            <w:pPr>
              <w:ind w:firstLine="0"/>
              <w:jc w:val="center"/>
            </w:pPr>
            <w:r>
              <w:t>(0/60)</w:t>
            </w:r>
          </w:p>
        </w:tc>
        <w:tc>
          <w:tcPr>
            <w:tcW w:w="3084" w:type="dxa"/>
          </w:tcPr>
          <w:p w14:paraId="10770383" w14:textId="1D2512E0" w:rsidR="00DE00FE" w:rsidRDefault="00DE00FE" w:rsidP="000D3CC1">
            <w:pPr>
              <w:ind w:firstLine="0"/>
              <w:jc w:val="center"/>
            </w:pPr>
            <w:r>
              <w:t>11</w:t>
            </w:r>
            <w:r w:rsidR="00D153C8">
              <w:t>,</w:t>
            </w:r>
            <w:r>
              <w:t>7%</w:t>
            </w:r>
          </w:p>
          <w:p w14:paraId="2DF0430E" w14:textId="40CE68D8" w:rsidR="00112F9A" w:rsidRDefault="00DE00FE" w:rsidP="000D3CC1">
            <w:pPr>
              <w:ind w:firstLine="0"/>
              <w:jc w:val="center"/>
            </w:pPr>
            <w:r>
              <w:t>(26/222)</w:t>
            </w:r>
          </w:p>
        </w:tc>
      </w:tr>
      <w:tr w:rsidR="00112F9A" w14:paraId="4876AE99" w14:textId="77777777" w:rsidTr="000D3CC1">
        <w:tc>
          <w:tcPr>
            <w:tcW w:w="3082" w:type="dxa"/>
          </w:tcPr>
          <w:p w14:paraId="15897316" w14:textId="51CB3F40" w:rsidR="00112F9A" w:rsidRPr="00BB1053" w:rsidRDefault="00112F9A" w:rsidP="00112F9A">
            <w:pPr>
              <w:ind w:firstLine="0"/>
            </w:pPr>
            <w:r w:rsidRPr="00BB1053">
              <w:t xml:space="preserve">Подгруппа пациентов </w:t>
            </w:r>
            <w:r>
              <w:t xml:space="preserve">без </w:t>
            </w:r>
            <w:r w:rsidRPr="00BB1053">
              <w:t>предшествующей неудач</w:t>
            </w:r>
            <w:r>
              <w:t>и</w:t>
            </w:r>
            <w:r w:rsidRPr="00BB1053">
              <w:t xml:space="preserve"> терапии ингибиторами TNF-α</w:t>
            </w:r>
            <w:r w:rsidR="00BC4C53">
              <w:rPr>
                <w:vertAlign w:val="superscript"/>
                <w:lang w:val="en-US"/>
              </w:rPr>
              <w:t>b</w:t>
            </w:r>
          </w:p>
        </w:tc>
        <w:tc>
          <w:tcPr>
            <w:tcW w:w="3190" w:type="dxa"/>
          </w:tcPr>
          <w:p w14:paraId="4CAA9085" w14:textId="71E294B6" w:rsidR="00DE00FE" w:rsidRDefault="00DE00FE" w:rsidP="000D3CC1">
            <w:pPr>
              <w:ind w:firstLine="0"/>
              <w:jc w:val="center"/>
            </w:pPr>
            <w:r>
              <w:t>7</w:t>
            </w:r>
            <w:r w:rsidR="00D153C8">
              <w:t>,</w:t>
            </w:r>
            <w:r>
              <w:t>7%</w:t>
            </w:r>
          </w:p>
          <w:p w14:paraId="5510CDA9" w14:textId="467710D0" w:rsidR="00112F9A" w:rsidRDefault="00DE00FE" w:rsidP="000D3CC1">
            <w:pPr>
              <w:ind w:firstLine="0"/>
              <w:jc w:val="center"/>
            </w:pPr>
            <w:r>
              <w:t>(4/52)</w:t>
            </w:r>
          </w:p>
        </w:tc>
        <w:tc>
          <w:tcPr>
            <w:tcW w:w="3084" w:type="dxa"/>
          </w:tcPr>
          <w:p w14:paraId="57A2D888" w14:textId="0ED059FE" w:rsidR="00DE00FE" w:rsidRDefault="00DE00FE" w:rsidP="000D3CC1">
            <w:pPr>
              <w:ind w:firstLine="0"/>
              <w:jc w:val="center"/>
            </w:pPr>
            <w:r>
              <w:t>21</w:t>
            </w:r>
            <w:r w:rsidR="00D153C8">
              <w:t>,</w:t>
            </w:r>
            <w:r>
              <w:t>7%</w:t>
            </w:r>
          </w:p>
          <w:p w14:paraId="00AEAEDB" w14:textId="1D59CD8C" w:rsidR="00112F9A" w:rsidRDefault="00DE00FE" w:rsidP="000D3CC1">
            <w:pPr>
              <w:ind w:firstLine="0"/>
              <w:jc w:val="center"/>
            </w:pPr>
            <w:r>
              <w:t>(45/207)</w:t>
            </w:r>
          </w:p>
        </w:tc>
      </w:tr>
      <w:tr w:rsidR="00112F9A" w14:paraId="67ED4210" w14:textId="77777777" w:rsidTr="000D3CC1">
        <w:tc>
          <w:tcPr>
            <w:tcW w:w="9356" w:type="dxa"/>
            <w:gridSpan w:val="3"/>
          </w:tcPr>
          <w:p w14:paraId="7544B554" w14:textId="39185F21" w:rsidR="00112F9A" w:rsidRDefault="00112F9A" w:rsidP="00112F9A">
            <w:pPr>
              <w:ind w:firstLine="0"/>
            </w:pPr>
            <w:r w:rsidRPr="00BB1053">
              <w:t>Улучшение эндоскопической картины слизистой оболочки</w:t>
            </w:r>
            <w:r w:rsidR="00CF291D">
              <w:rPr>
                <w:vertAlign w:val="superscript"/>
                <w:lang w:val="en-US"/>
              </w:rPr>
              <w:t>c</w:t>
            </w:r>
          </w:p>
        </w:tc>
      </w:tr>
      <w:tr w:rsidR="00112F9A" w14:paraId="0ED33825" w14:textId="77777777" w:rsidTr="000D3CC1">
        <w:tc>
          <w:tcPr>
            <w:tcW w:w="3082" w:type="dxa"/>
          </w:tcPr>
          <w:p w14:paraId="2B7A69BA" w14:textId="7D30688A" w:rsidR="00112F9A" w:rsidRPr="00BB1053" w:rsidRDefault="00112F9A" w:rsidP="00112F9A">
            <w:pPr>
              <w:ind w:firstLine="0"/>
            </w:pPr>
            <w:r>
              <w:t xml:space="preserve">Подгруппа пациентов с предшествующей неудачей терапии ингибиторами </w:t>
            </w:r>
            <w:r w:rsidRPr="00CA07A4">
              <w:t>TNF-α</w:t>
            </w:r>
          </w:p>
        </w:tc>
        <w:tc>
          <w:tcPr>
            <w:tcW w:w="3190" w:type="dxa"/>
          </w:tcPr>
          <w:p w14:paraId="26B3D968" w14:textId="47DBED66" w:rsidR="00577B33" w:rsidRDefault="00577B33" w:rsidP="000D3CC1">
            <w:pPr>
              <w:ind w:firstLine="0"/>
              <w:jc w:val="center"/>
            </w:pPr>
            <w:r>
              <w:t>6</w:t>
            </w:r>
            <w:r w:rsidR="00D153C8">
              <w:t>,</w:t>
            </w:r>
            <w:r>
              <w:t>7%</w:t>
            </w:r>
          </w:p>
          <w:p w14:paraId="1236DBCA" w14:textId="5CA82C6B" w:rsidR="00112F9A" w:rsidRDefault="00577B33" w:rsidP="000D3CC1">
            <w:pPr>
              <w:ind w:firstLine="0"/>
              <w:jc w:val="center"/>
            </w:pPr>
            <w:r>
              <w:t>(4/60)</w:t>
            </w:r>
          </w:p>
        </w:tc>
        <w:tc>
          <w:tcPr>
            <w:tcW w:w="3084" w:type="dxa"/>
          </w:tcPr>
          <w:p w14:paraId="758EFF94" w14:textId="3CA3E2AD" w:rsidR="00577B33" w:rsidRDefault="00577B33" w:rsidP="000D3CC1">
            <w:pPr>
              <w:ind w:firstLine="0"/>
              <w:jc w:val="center"/>
            </w:pPr>
            <w:r>
              <w:t>21</w:t>
            </w:r>
            <w:r w:rsidR="00D153C8">
              <w:t>,</w:t>
            </w:r>
            <w:r>
              <w:t>6%</w:t>
            </w:r>
          </w:p>
          <w:p w14:paraId="5D9A9857" w14:textId="09EFD65E" w:rsidR="00112F9A" w:rsidRDefault="00577B33" w:rsidP="000D3CC1">
            <w:pPr>
              <w:ind w:firstLine="0"/>
              <w:jc w:val="center"/>
            </w:pPr>
            <w:r>
              <w:t>(48/222)</w:t>
            </w:r>
          </w:p>
        </w:tc>
      </w:tr>
      <w:tr w:rsidR="00112F9A" w14:paraId="6C9ACB17" w14:textId="77777777" w:rsidTr="000D3CC1">
        <w:tc>
          <w:tcPr>
            <w:tcW w:w="3082" w:type="dxa"/>
          </w:tcPr>
          <w:p w14:paraId="581DA48E" w14:textId="7D4648D9" w:rsidR="00112F9A" w:rsidRPr="00BB1053" w:rsidRDefault="00112F9A" w:rsidP="00112F9A">
            <w:pPr>
              <w:ind w:firstLine="0"/>
            </w:pPr>
            <w:r w:rsidRPr="00BB1053">
              <w:t xml:space="preserve">Подгруппа пациентов </w:t>
            </w:r>
            <w:r>
              <w:t xml:space="preserve">без </w:t>
            </w:r>
            <w:r w:rsidRPr="00BB1053">
              <w:t>предшествующей неудач</w:t>
            </w:r>
            <w:r>
              <w:t>и</w:t>
            </w:r>
            <w:r w:rsidRPr="00BB1053">
              <w:t xml:space="preserve"> терапии ингибиторами TNF-α</w:t>
            </w:r>
            <w:r w:rsidR="00BC4C53">
              <w:rPr>
                <w:vertAlign w:val="superscript"/>
                <w:lang w:val="en-US"/>
              </w:rPr>
              <w:t>b</w:t>
            </w:r>
          </w:p>
        </w:tc>
        <w:tc>
          <w:tcPr>
            <w:tcW w:w="3190" w:type="dxa"/>
          </w:tcPr>
          <w:p w14:paraId="36D23AE7" w14:textId="58E0DE7B" w:rsidR="00577B33" w:rsidRDefault="00577B33" w:rsidP="000D3CC1">
            <w:pPr>
              <w:ind w:firstLine="0"/>
              <w:jc w:val="center"/>
            </w:pPr>
            <w:r>
              <w:t>17</w:t>
            </w:r>
            <w:r w:rsidR="00D153C8">
              <w:t>,</w:t>
            </w:r>
            <w:r>
              <w:t>3%</w:t>
            </w:r>
          </w:p>
          <w:p w14:paraId="043EAF82" w14:textId="3A2A7D05" w:rsidR="00112F9A" w:rsidRDefault="00577B33" w:rsidP="000D3CC1">
            <w:pPr>
              <w:ind w:firstLine="0"/>
              <w:jc w:val="center"/>
            </w:pPr>
            <w:r>
              <w:t>(9/52)</w:t>
            </w:r>
          </w:p>
        </w:tc>
        <w:tc>
          <w:tcPr>
            <w:tcW w:w="3084" w:type="dxa"/>
          </w:tcPr>
          <w:p w14:paraId="4F8748C7" w14:textId="0BCCF7E3" w:rsidR="00577B33" w:rsidRDefault="00577B33" w:rsidP="000D3CC1">
            <w:pPr>
              <w:ind w:firstLine="0"/>
              <w:jc w:val="center"/>
            </w:pPr>
            <w:r>
              <w:t>35</w:t>
            </w:r>
            <w:r w:rsidR="00D153C8">
              <w:t>,</w:t>
            </w:r>
            <w:r>
              <w:t>7%</w:t>
            </w:r>
          </w:p>
          <w:p w14:paraId="73DFD27C" w14:textId="13FFDD80" w:rsidR="00112F9A" w:rsidRDefault="00577B33" w:rsidP="000D3CC1">
            <w:pPr>
              <w:ind w:firstLine="0"/>
              <w:jc w:val="center"/>
            </w:pPr>
            <w:r>
              <w:t>(74/207)</w:t>
            </w:r>
          </w:p>
        </w:tc>
      </w:tr>
      <w:tr w:rsidR="000D3CC1" w14:paraId="489CC2F3" w14:textId="77777777" w:rsidTr="000D3CC1">
        <w:tc>
          <w:tcPr>
            <w:tcW w:w="9356" w:type="dxa"/>
            <w:gridSpan w:val="3"/>
          </w:tcPr>
          <w:p w14:paraId="34A81D78" w14:textId="77777777" w:rsidR="000D3CC1" w:rsidRDefault="000D3CC1" w:rsidP="000D3CC1">
            <w:pPr>
              <w:pStyle w:val="SDcomments"/>
              <w:ind w:firstLine="0"/>
            </w:pPr>
            <w:r w:rsidRPr="000D3CC1">
              <w:rPr>
                <w:b/>
                <w:iCs/>
              </w:rPr>
              <w:t>Примечание:</w:t>
            </w:r>
            <w:r>
              <w:rPr>
                <w:i/>
                <w:iCs/>
              </w:rPr>
              <w:t xml:space="preserve"> </w:t>
            </w:r>
          </w:p>
          <w:p w14:paraId="2A7E4152" w14:textId="5710A573" w:rsidR="000D3CC1" w:rsidRDefault="000D3CC1" w:rsidP="000D3CC1">
            <w:pPr>
              <w:pStyle w:val="SDcomments"/>
              <w:ind w:firstLine="0"/>
            </w:pPr>
            <w:r w:rsidRPr="00913CF3">
              <w:t>TNF-α</w:t>
            </w:r>
            <w:r>
              <w:t xml:space="preserve"> – фактор некроза опухоли-</w:t>
            </w:r>
            <w:r w:rsidRPr="00913CF3">
              <w:t>α</w:t>
            </w:r>
            <w:r>
              <w:t xml:space="preserve"> (</w:t>
            </w:r>
            <w:r>
              <w:rPr>
                <w:lang w:val="en-US"/>
              </w:rPr>
              <w:t>tumour</w:t>
            </w:r>
            <w:r w:rsidRPr="00F634F3">
              <w:t xml:space="preserve"> </w:t>
            </w:r>
            <w:r>
              <w:rPr>
                <w:lang w:val="en-US"/>
              </w:rPr>
              <w:t>necrosis</w:t>
            </w:r>
            <w:r w:rsidRPr="00F634F3">
              <w:t xml:space="preserve"> </w:t>
            </w:r>
            <w:r>
              <w:rPr>
                <w:lang w:val="en-US"/>
              </w:rPr>
              <w:t>factor</w:t>
            </w:r>
            <w:r w:rsidRPr="00F634F3">
              <w:t>-α</w:t>
            </w:r>
            <w:r w:rsidRPr="00F86E99">
              <w:t>)</w:t>
            </w:r>
            <w:r>
              <w:t xml:space="preserve">; </w:t>
            </w:r>
            <w:r>
              <w:rPr>
                <w:vertAlign w:val="superscript"/>
                <w:lang w:val="en-US"/>
              </w:rPr>
              <w:t>a</w:t>
            </w:r>
            <w:r>
              <w:t xml:space="preserve"> – ремиссия определялась как клиническая ремиссия (показатель по шкале Мейо </w:t>
            </w:r>
            <w:r>
              <w:rPr>
                <w:rFonts w:cs="Times New Roman"/>
              </w:rPr>
              <w:t>≤ 2 баллов</w:t>
            </w:r>
            <w:r w:rsidRPr="000F49AE">
              <w:rPr>
                <w:rFonts w:cs="Times New Roman"/>
              </w:rPr>
              <w:t xml:space="preserve"> </w:t>
            </w:r>
            <w:r>
              <w:rPr>
                <w:rFonts w:cs="Times New Roman"/>
              </w:rPr>
              <w:t xml:space="preserve">и отсутствие превышения 1 балла по какой-либо подшкале), а также показатель по подшкале кровотечения из прямой кишки, равный 0; </w:t>
            </w:r>
            <w:r w:rsidRPr="00CF291D">
              <w:rPr>
                <w:vertAlign w:val="superscript"/>
              </w:rPr>
              <w:t>b</w:t>
            </w:r>
            <w:r>
              <w:t xml:space="preserve"> – включая пациентов, ранее не получвших ингибиторы</w:t>
            </w:r>
            <w:r w:rsidRPr="00CF77BE">
              <w:t xml:space="preserve"> TNF-α</w:t>
            </w:r>
            <w:r>
              <w:t xml:space="preserve">; </w:t>
            </w:r>
            <w:r w:rsidRPr="00CF291D">
              <w:rPr>
                <w:vertAlign w:val="superscript"/>
                <w:lang w:val="en-US"/>
              </w:rPr>
              <w:t>c</w:t>
            </w:r>
            <w:r w:rsidRPr="00CF291D">
              <w:t xml:space="preserve"> </w:t>
            </w:r>
            <w:r>
              <w:t>–</w:t>
            </w:r>
            <w:r w:rsidRPr="00CF291D">
              <w:t xml:space="preserve"> улучшение</w:t>
            </w:r>
            <w:r>
              <w:t xml:space="preserve"> эндоскопической картины слизистой оболочки, определяемое по подшкалам шкалы Мейо на 0 баллов (нормальная картина или отсутствие активности заболевания) или 1 балл (эритема, снижение сосудистого рисунка). </w:t>
            </w:r>
          </w:p>
        </w:tc>
      </w:tr>
    </w:tbl>
    <w:p w14:paraId="5D831D2A" w14:textId="0842E0CD" w:rsidR="006A3DD1" w:rsidRPr="00E3219E" w:rsidRDefault="006A3DD1" w:rsidP="00441105">
      <w:pPr>
        <w:pStyle w:val="SDcomments"/>
        <w:ind w:firstLine="0"/>
      </w:pPr>
    </w:p>
    <w:p w14:paraId="01C38552" w14:textId="2B7D5823" w:rsidR="00220E80" w:rsidRDefault="004F1B48" w:rsidP="0051652D">
      <w:pPr>
        <w:pStyle w:val="SDText"/>
      </w:pPr>
      <w:r w:rsidRPr="004F1B48">
        <w:t xml:space="preserve"> Уже на 2 неделе </w:t>
      </w:r>
      <w:r>
        <w:t>(</w:t>
      </w:r>
      <w:r w:rsidRPr="004F1B48">
        <w:t>сам</w:t>
      </w:r>
      <w:r>
        <w:t>ый</w:t>
      </w:r>
      <w:r w:rsidRPr="004F1B48">
        <w:t xml:space="preserve"> ранн</w:t>
      </w:r>
      <w:r>
        <w:t>ий</w:t>
      </w:r>
      <w:r w:rsidRPr="004F1B48">
        <w:t xml:space="preserve"> запланированн</w:t>
      </w:r>
      <w:r>
        <w:t>ый</w:t>
      </w:r>
      <w:r w:rsidRPr="004F1B48">
        <w:t xml:space="preserve"> </w:t>
      </w:r>
      <w:r>
        <w:t>визит)</w:t>
      </w:r>
      <w:r w:rsidRPr="004F1B48">
        <w:t xml:space="preserve"> и </w:t>
      </w:r>
      <w:r>
        <w:t xml:space="preserve">на </w:t>
      </w:r>
      <w:r w:rsidRPr="004F1B48">
        <w:t>кажд</w:t>
      </w:r>
      <w:r>
        <w:t>ом</w:t>
      </w:r>
      <w:r w:rsidRPr="004F1B48">
        <w:t xml:space="preserve"> последующе</w:t>
      </w:r>
      <w:r>
        <w:t>м</w:t>
      </w:r>
      <w:r w:rsidRPr="004F1B48">
        <w:t xml:space="preserve"> </w:t>
      </w:r>
      <w:r>
        <w:t>визите</w:t>
      </w:r>
      <w:r w:rsidRPr="004F1B48">
        <w:t xml:space="preserve"> значи</w:t>
      </w:r>
      <w:r w:rsidR="0051652D">
        <w:t>мые</w:t>
      </w:r>
      <w:r>
        <w:t xml:space="preserve"> </w:t>
      </w:r>
      <w:r w:rsidRPr="004F1B48">
        <w:t xml:space="preserve">различия </w:t>
      </w:r>
      <w:r w:rsidR="0051652D" w:rsidRPr="004F1B48">
        <w:t>в изменении от</w:t>
      </w:r>
      <w:r w:rsidR="0051652D">
        <w:t xml:space="preserve"> </w:t>
      </w:r>
      <w:r w:rsidR="0051652D" w:rsidRPr="004F1B48">
        <w:t>исходн</w:t>
      </w:r>
      <w:r w:rsidR="0051652D">
        <w:t>ого</w:t>
      </w:r>
      <w:r w:rsidR="0051652D" w:rsidRPr="004F1B48">
        <w:t xml:space="preserve"> уров</w:t>
      </w:r>
      <w:r w:rsidR="0051652D">
        <w:t>ня</w:t>
      </w:r>
      <w:r w:rsidR="0051652D" w:rsidRPr="004F1B48">
        <w:t xml:space="preserve"> ректального кровотечения и частоты стула, а также частичн</w:t>
      </w:r>
      <w:r w:rsidR="0051652D">
        <w:t>ой</w:t>
      </w:r>
      <w:r w:rsidR="0051652D" w:rsidRPr="004F1B48">
        <w:t xml:space="preserve"> оценк</w:t>
      </w:r>
      <w:r w:rsidR="0051652D">
        <w:t>и</w:t>
      </w:r>
      <w:r w:rsidR="0051652D" w:rsidRPr="004F1B48">
        <w:t xml:space="preserve"> по шкале Мейо </w:t>
      </w:r>
      <w:r w:rsidRPr="004F1B48">
        <w:t xml:space="preserve">наблюдали </w:t>
      </w:r>
      <w:r w:rsidR="0051652D">
        <w:t xml:space="preserve">при сравнении </w:t>
      </w:r>
      <w:r w:rsidR="00587293">
        <w:t xml:space="preserve">значений </w:t>
      </w:r>
      <w:r w:rsidR="0051652D">
        <w:t xml:space="preserve">у пациентов из групп </w:t>
      </w:r>
      <w:r w:rsidRPr="004F1B48">
        <w:t>тофацитиниб</w:t>
      </w:r>
      <w:r w:rsidR="0051652D">
        <w:t>а</w:t>
      </w:r>
      <w:r w:rsidRPr="004F1B48">
        <w:t xml:space="preserve"> в дозе 10 мг два раза в день и плацебо</w:t>
      </w:r>
      <w:r w:rsidR="0051652D">
        <w:t xml:space="preserve"> </w:t>
      </w:r>
      <w:r w:rsidR="0051652D">
        <w:fldChar w:fldCharType="begin"/>
      </w:r>
      <w:r w:rsidR="0051652D">
        <w:instrText xml:space="preserve"> ADDIN ZOTERO_ITEM CSL_CITATION {"citationID":"Yo2dapAS","properties":{"formattedCitation":"[24]","plainCitation":"[24]","noteIndex":0},"citationItems":[{"id":87800,"uris":["http://zotero.org/groups/4742804/items/TPCQ89X9"],"itemData":{"id":87800,"type":"webpage","title":"Xeljanz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51652D">
        <w:fldChar w:fldCharType="separate"/>
      </w:r>
      <w:r w:rsidR="0051652D">
        <w:rPr>
          <w:rFonts w:cs="Times New Roman"/>
        </w:rPr>
        <w:t>[2</w:t>
      </w:r>
      <w:r w:rsidR="0051652D" w:rsidRPr="008D5290">
        <w:rPr>
          <w:rFonts w:cs="Times New Roman"/>
        </w:rPr>
        <w:t>]</w:t>
      </w:r>
      <w:r w:rsidR="0051652D">
        <w:fldChar w:fldCharType="end"/>
      </w:r>
      <w:r w:rsidR="0051652D">
        <w:t>.</w:t>
      </w:r>
    </w:p>
    <w:p w14:paraId="4DEF1539" w14:textId="56EBDCBC" w:rsidR="00A64962" w:rsidRPr="001E7771" w:rsidRDefault="00837DF1" w:rsidP="000D3CC1">
      <w:pPr>
        <w:pStyle w:val="SDText"/>
        <w:spacing w:after="0"/>
      </w:pPr>
      <w:r w:rsidRPr="001E7771">
        <w:lastRenderedPageBreak/>
        <w:t>Пациент</w:t>
      </w:r>
      <w:r w:rsidR="00942677" w:rsidRPr="001E7771">
        <w:t>ов</w:t>
      </w:r>
      <w:r w:rsidRPr="001E7771">
        <w:t>, завершивши</w:t>
      </w:r>
      <w:r w:rsidR="00942677" w:rsidRPr="001E7771">
        <w:t>х</w:t>
      </w:r>
      <w:r w:rsidRPr="001E7771">
        <w:t xml:space="preserve"> 8 недель в одном из индукционных исследований и достигши</w:t>
      </w:r>
      <w:r w:rsidR="00942677" w:rsidRPr="001E7771">
        <w:t>х</w:t>
      </w:r>
      <w:r w:rsidRPr="001E7771">
        <w:t xml:space="preserve"> клинического ответа, повторно рандомизирова</w:t>
      </w:r>
      <w:r w:rsidR="00942677" w:rsidRPr="001E7771">
        <w:t>ли для участия в исследовании</w:t>
      </w:r>
      <w:r w:rsidRPr="001E7771">
        <w:t xml:space="preserve"> OCTAVE Sustain; 179 из 593 (30,2%) пациентов</w:t>
      </w:r>
      <w:r w:rsidR="008F7093" w:rsidRPr="001E7771">
        <w:t>, принявших участие в исследовании</w:t>
      </w:r>
      <w:r w:rsidRPr="001E7771">
        <w:t xml:space="preserve"> OCTAVE Sustain</w:t>
      </w:r>
      <w:r w:rsidR="00AC2858" w:rsidRPr="001E7771">
        <w:t xml:space="preserve"> </w:t>
      </w:r>
      <w:r w:rsidR="008F7093" w:rsidRPr="001E7771">
        <w:t>находились в ремиссии исходно</w:t>
      </w:r>
      <w:r w:rsidR="00AC2858" w:rsidRPr="001E7771">
        <w:t xml:space="preserve"> </w:t>
      </w:r>
      <w:r w:rsidR="00AC2858" w:rsidRPr="001E7771">
        <w:fldChar w:fldCharType="begin"/>
      </w:r>
      <w:r w:rsidR="00AC2858" w:rsidRPr="001E7771">
        <w:instrText xml:space="preserve"> ADDIN ZOTERO_ITEM CSL_CITATION {"citationID":"Yo2dapAS","properties":{"formattedCitation":"[24]","plainCitation":"[24]","noteIndex":0},"citationItems":[{"id":87800,"uris":["http://zotero.org/groups/4742804/items/TPCQ89X9"],"itemData":{"id":87800,"type":"webpage","title":"Xeljanz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AC2858" w:rsidRPr="001E7771">
        <w:fldChar w:fldCharType="separate"/>
      </w:r>
      <w:r w:rsidR="00AC2858" w:rsidRPr="001E7771">
        <w:rPr>
          <w:rFonts w:cs="Times New Roman"/>
        </w:rPr>
        <w:t>[2]</w:t>
      </w:r>
      <w:r w:rsidR="00AC2858" w:rsidRPr="001E7771">
        <w:fldChar w:fldCharType="end"/>
      </w:r>
      <w:r w:rsidR="00AC2858" w:rsidRPr="001E7771">
        <w:t>.</w:t>
      </w:r>
    </w:p>
    <w:p w14:paraId="317FF8F5" w14:textId="3A5C9611" w:rsidR="00AC2858" w:rsidRPr="001E7771" w:rsidRDefault="008449FB" w:rsidP="000D3CC1">
      <w:pPr>
        <w:pStyle w:val="SDText"/>
        <w:spacing w:after="0"/>
      </w:pPr>
      <w:r w:rsidRPr="001E7771">
        <w:t xml:space="preserve">Первичной конечной точкой исследования OCTAVE Sustain была доля пациентов в состоянии ремиссии на 52 неделе. Двумя ключевыми вторичными конечными точками </w:t>
      </w:r>
      <w:r w:rsidR="004836EE" w:rsidRPr="001E7771">
        <w:t>являлись</w:t>
      </w:r>
      <w:r w:rsidRPr="001E7771">
        <w:t xml:space="preserve"> доля пациентов с улучшением эндоскопических показателей на 52 неделе и доли пациентов с устойчивой ремиссией без </w:t>
      </w:r>
      <w:r w:rsidR="004836EE" w:rsidRPr="001E7771">
        <w:t>терапии ГКС</w:t>
      </w:r>
      <w:r w:rsidRPr="001E7771">
        <w:t xml:space="preserve"> на 24 и на 52 недел</w:t>
      </w:r>
      <w:r w:rsidR="004836EE" w:rsidRPr="001E7771">
        <w:t>ях</w:t>
      </w:r>
      <w:r w:rsidRPr="001E7771">
        <w:t xml:space="preserve"> среди пациентов с ремиссией </w:t>
      </w:r>
      <w:r w:rsidR="004836EE" w:rsidRPr="001E7771">
        <w:t xml:space="preserve">в исследовании </w:t>
      </w:r>
      <w:r w:rsidRPr="001E7771">
        <w:t>OCTAVE Sustain</w:t>
      </w:r>
      <w:r w:rsidR="004836EE" w:rsidRPr="001E7771">
        <w:t xml:space="preserve"> на исходном уровне </w:t>
      </w:r>
      <w:r w:rsidR="004836EE" w:rsidRPr="001E7771">
        <w:fldChar w:fldCharType="begin"/>
      </w:r>
      <w:r w:rsidR="004836EE" w:rsidRPr="001E7771">
        <w:instrText xml:space="preserve"> ADDIN ZOTERO_ITEM CSL_CITATION {"citationID":"Yo2dapAS","properties":{"formattedCitation":"[24]","plainCitation":"[24]","noteIndex":0},"citationItems":[{"id":87800,"uris":["http://zotero.org/groups/4742804/items/TPCQ89X9"],"itemData":{"id":87800,"type":"webpage","title":"Xeljanz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836EE" w:rsidRPr="001E7771">
        <w:fldChar w:fldCharType="separate"/>
      </w:r>
      <w:r w:rsidR="004836EE" w:rsidRPr="001E7771">
        <w:rPr>
          <w:rFonts w:cs="Times New Roman"/>
        </w:rPr>
        <w:t>[2]</w:t>
      </w:r>
      <w:r w:rsidR="004836EE" w:rsidRPr="001E7771">
        <w:fldChar w:fldCharType="end"/>
      </w:r>
      <w:r w:rsidR="004836EE" w:rsidRPr="001E7771">
        <w:t>.</w:t>
      </w:r>
    </w:p>
    <w:p w14:paraId="0CF5F03B" w14:textId="3DC03155" w:rsidR="00686656" w:rsidRDefault="009528B0" w:rsidP="000D3CC1">
      <w:pPr>
        <w:pStyle w:val="SDText"/>
        <w:spacing w:after="0"/>
      </w:pPr>
      <w:r w:rsidRPr="001E7771">
        <w:t>У з</w:t>
      </w:r>
      <w:r w:rsidR="00686656" w:rsidRPr="001E7771">
        <w:t>начительно больш</w:t>
      </w:r>
      <w:r w:rsidRPr="001E7771">
        <w:t>ей</w:t>
      </w:r>
      <w:r w:rsidR="00686656" w:rsidRPr="001E7771">
        <w:t xml:space="preserve"> част</w:t>
      </w:r>
      <w:r w:rsidRPr="001E7771">
        <w:t>и</w:t>
      </w:r>
      <w:r w:rsidR="00686656" w:rsidRPr="001E7771">
        <w:t xml:space="preserve"> пациентов</w:t>
      </w:r>
      <w:r w:rsidRPr="001E7771">
        <w:t>,</w:t>
      </w:r>
      <w:r w:rsidR="00686656" w:rsidRPr="001E7771">
        <w:t xml:space="preserve"> принима</w:t>
      </w:r>
      <w:r w:rsidRPr="001E7771">
        <w:t>вших</w:t>
      </w:r>
      <w:r w:rsidR="00686656" w:rsidRPr="001E7771">
        <w:t xml:space="preserve"> тофацитиниб </w:t>
      </w:r>
      <w:r w:rsidRPr="001E7771">
        <w:t xml:space="preserve">как </w:t>
      </w:r>
      <w:r w:rsidR="00686656" w:rsidRPr="001E7771">
        <w:t xml:space="preserve">в дозе 5 мг два раза в день, так и </w:t>
      </w:r>
      <w:r w:rsidRPr="001E7771">
        <w:t>в дозе</w:t>
      </w:r>
      <w:r w:rsidR="00686656" w:rsidRPr="001E7771">
        <w:t xml:space="preserve"> 10 мг два раза в день</w:t>
      </w:r>
      <w:r w:rsidRPr="001E7771">
        <w:t>,</w:t>
      </w:r>
      <w:r w:rsidR="00686656" w:rsidRPr="001E7771">
        <w:t xml:space="preserve"> на 52 неделе </w:t>
      </w:r>
      <w:r w:rsidRPr="001E7771">
        <w:t xml:space="preserve">были </w:t>
      </w:r>
      <w:r w:rsidR="00686656" w:rsidRPr="001E7771">
        <w:t>достигнуты следующие конечные точки по сравнению с плацебо: ремиссия, улучшение эндоскопической картины слизистой</w:t>
      </w:r>
      <w:r w:rsidRPr="001E7771">
        <w:t xml:space="preserve"> оболочки</w:t>
      </w:r>
      <w:r w:rsidR="00686656" w:rsidRPr="001E7771">
        <w:t>, нормализация эндоскопическ</w:t>
      </w:r>
      <w:r w:rsidRPr="001E7771">
        <w:t>ой</w:t>
      </w:r>
      <w:r w:rsidR="00686656" w:rsidRPr="001E7771">
        <w:t xml:space="preserve"> картин</w:t>
      </w:r>
      <w:r w:rsidRPr="001E7771">
        <w:t>ы</w:t>
      </w:r>
      <w:r w:rsidR="00686656" w:rsidRPr="001E7771">
        <w:t xml:space="preserve"> слизистой оболочки, сохранение клинического ответа, ремиссия у пациентов </w:t>
      </w:r>
      <w:r w:rsidRPr="001E7771">
        <w:t>с</w:t>
      </w:r>
      <w:r w:rsidR="00686656" w:rsidRPr="001E7771">
        <w:t xml:space="preserve"> ремисси</w:t>
      </w:r>
      <w:r w:rsidRPr="001E7771">
        <w:t>ей</w:t>
      </w:r>
      <w:r w:rsidR="00686656" w:rsidRPr="001E7771">
        <w:t xml:space="preserve"> на исходном уровне и устойчивая ремиссия без </w:t>
      </w:r>
      <w:r w:rsidRPr="001E7771">
        <w:t>терапии ГКС</w:t>
      </w:r>
      <w:r w:rsidR="00686656" w:rsidRPr="001E7771">
        <w:t xml:space="preserve"> на 24</w:t>
      </w:r>
      <w:r w:rsidRPr="001E7771">
        <w:t xml:space="preserve"> или</w:t>
      </w:r>
      <w:r w:rsidR="00686656" w:rsidRPr="001E7771">
        <w:t xml:space="preserve"> 52 неделе среди пациентов с ремиссией на исходном уровне </w:t>
      </w:r>
      <w:r w:rsidR="00B2753A" w:rsidRPr="001E7771">
        <w:t>(</w:t>
      </w:r>
      <w:r w:rsidR="009B7F52" w:rsidRPr="001E7771">
        <w:fldChar w:fldCharType="begin"/>
      </w:r>
      <w:r w:rsidR="009B7F52" w:rsidRPr="001E7771">
        <w:instrText xml:space="preserve"> REF _Ref120697861 \h </w:instrText>
      </w:r>
      <w:r w:rsidR="001E7771" w:rsidRPr="001E7771">
        <w:instrText xml:space="preserve"> \* MERGEFORMAT </w:instrText>
      </w:r>
      <w:r w:rsidR="009B7F52" w:rsidRPr="001E7771">
        <w:fldChar w:fldCharType="separate"/>
      </w:r>
      <w:r w:rsidR="00383E6F" w:rsidRPr="001E7771">
        <w:rPr>
          <w:bCs/>
        </w:rPr>
        <w:t xml:space="preserve">Таблица </w:t>
      </w:r>
      <w:r w:rsidR="00383E6F" w:rsidRPr="001E7771">
        <w:rPr>
          <w:bCs/>
          <w:noProof/>
        </w:rPr>
        <w:t>4</w:t>
      </w:r>
      <w:r w:rsidR="00383E6F" w:rsidRPr="001E7771">
        <w:rPr>
          <w:bCs/>
        </w:rPr>
        <w:noBreakHyphen/>
      </w:r>
      <w:r w:rsidR="00383E6F" w:rsidRPr="001E7771">
        <w:rPr>
          <w:bCs/>
          <w:noProof/>
        </w:rPr>
        <w:t>18</w:t>
      </w:r>
      <w:r w:rsidR="009B7F52" w:rsidRPr="001E7771">
        <w:fldChar w:fldCharType="end"/>
      </w:r>
      <w:r w:rsidR="00B2753A" w:rsidRPr="001E7771">
        <w:t xml:space="preserve">) </w:t>
      </w:r>
      <w:r w:rsidR="004E7317" w:rsidRPr="001E7771">
        <w:fldChar w:fldCharType="begin"/>
      </w:r>
      <w:r w:rsidR="004E7317" w:rsidRPr="001E7771">
        <w:instrText xml:space="preserve"> ADDIN ZOTERO_ITEM CSL_CITATION {"citationID":"Yo2dapAS","properties":{"formattedCitation":"[24]","plainCitation":"[24]","noteIndex":0},"citationItems":[{"id":87800,"uris":["http://zotero.org/groups/4742804/items/TPCQ89X9"],"itemData":{"id":87800,"type":"webpage","title":"Xeljanz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E7317" w:rsidRPr="001E7771">
        <w:fldChar w:fldCharType="separate"/>
      </w:r>
      <w:r w:rsidR="004E7317" w:rsidRPr="001E7771">
        <w:rPr>
          <w:rFonts w:cs="Times New Roman"/>
        </w:rPr>
        <w:t>[2]</w:t>
      </w:r>
      <w:r w:rsidR="004E7317" w:rsidRPr="001E7771">
        <w:fldChar w:fldCharType="end"/>
      </w:r>
      <w:r w:rsidR="004E7317" w:rsidRPr="001E7771">
        <w:t>.</w:t>
      </w:r>
    </w:p>
    <w:p w14:paraId="113166CB" w14:textId="77777777" w:rsidR="001E7771" w:rsidRPr="001E7771" w:rsidRDefault="001E7771" w:rsidP="000D3CC1">
      <w:pPr>
        <w:pStyle w:val="SDText"/>
        <w:spacing w:after="0"/>
      </w:pPr>
    </w:p>
    <w:p w14:paraId="06B68F0E" w14:textId="205880FB" w:rsidR="004E7317" w:rsidRDefault="00B2753A" w:rsidP="001E7771">
      <w:pPr>
        <w:pStyle w:val="SDText"/>
        <w:spacing w:after="0"/>
        <w:ind w:firstLine="0"/>
      </w:pPr>
      <w:bookmarkStart w:id="249" w:name="_Ref120697861"/>
      <w:r w:rsidRPr="009B7F52">
        <w:rPr>
          <w:b/>
          <w:bCs/>
        </w:rPr>
        <w:t xml:space="preserve">Таблица </w:t>
      </w:r>
      <w:r w:rsidR="00652269" w:rsidRPr="009B7F52">
        <w:rPr>
          <w:b/>
          <w:bCs/>
        </w:rPr>
        <w:fldChar w:fldCharType="begin"/>
      </w:r>
      <w:r w:rsidR="00652269" w:rsidRPr="009B7F52">
        <w:rPr>
          <w:b/>
          <w:bCs/>
        </w:rPr>
        <w:instrText xml:space="preserve"> STYLEREF 1 \s </w:instrText>
      </w:r>
      <w:r w:rsidR="00652269" w:rsidRPr="009B7F52">
        <w:rPr>
          <w:b/>
          <w:bCs/>
        </w:rPr>
        <w:fldChar w:fldCharType="separate"/>
      </w:r>
      <w:r w:rsidR="00383E6F">
        <w:rPr>
          <w:b/>
          <w:bCs/>
          <w:noProof/>
        </w:rPr>
        <w:t>4</w:t>
      </w:r>
      <w:r w:rsidR="00652269" w:rsidRPr="009B7F52">
        <w:rPr>
          <w:b/>
          <w:bCs/>
        </w:rPr>
        <w:fldChar w:fldCharType="end"/>
      </w:r>
      <w:r w:rsidR="00652269" w:rsidRPr="009B7F52">
        <w:rPr>
          <w:b/>
          <w:bCs/>
        </w:rPr>
        <w:noBreakHyphen/>
      </w:r>
      <w:r w:rsidR="00652269" w:rsidRPr="009B7F52">
        <w:rPr>
          <w:b/>
          <w:bCs/>
        </w:rPr>
        <w:fldChar w:fldCharType="begin"/>
      </w:r>
      <w:r w:rsidR="00652269" w:rsidRPr="009B7F52">
        <w:rPr>
          <w:b/>
          <w:bCs/>
        </w:rPr>
        <w:instrText xml:space="preserve"> SEQ Таблица \* ARABIC \s 1 </w:instrText>
      </w:r>
      <w:r w:rsidR="00652269" w:rsidRPr="009B7F52">
        <w:rPr>
          <w:b/>
          <w:bCs/>
        </w:rPr>
        <w:fldChar w:fldCharType="separate"/>
      </w:r>
      <w:r w:rsidR="00383E6F">
        <w:rPr>
          <w:b/>
          <w:bCs/>
          <w:noProof/>
        </w:rPr>
        <w:t>18</w:t>
      </w:r>
      <w:r w:rsidR="00652269" w:rsidRPr="009B7F52">
        <w:rPr>
          <w:b/>
          <w:bCs/>
        </w:rPr>
        <w:fldChar w:fldCharType="end"/>
      </w:r>
      <w:bookmarkEnd w:id="249"/>
      <w:r w:rsidR="009B7F52" w:rsidRPr="009B7F52">
        <w:rPr>
          <w:b/>
          <w:bCs/>
        </w:rPr>
        <w:t>.</w:t>
      </w:r>
      <w:r>
        <w:t xml:space="preserve"> </w:t>
      </w:r>
      <w:r w:rsidR="00195CBF">
        <w:t xml:space="preserve">Доля пациентов, достигших конечных точек эффективности </w:t>
      </w:r>
      <w:r w:rsidR="00273451">
        <w:t xml:space="preserve">на неделе 52 (исследование </w:t>
      </w:r>
      <w:r w:rsidR="00273451" w:rsidRPr="00273451">
        <w:t>OCTAVE sustain)</w:t>
      </w:r>
      <w:r w:rsidR="009B7F52">
        <w:t>.</w:t>
      </w:r>
    </w:p>
    <w:tbl>
      <w:tblPr>
        <w:tblStyle w:val="a4"/>
        <w:tblW w:w="0" w:type="auto"/>
        <w:tblInd w:w="108" w:type="dxa"/>
        <w:tblLayout w:type="fixed"/>
        <w:tblLook w:val="04A0" w:firstRow="1" w:lastRow="0" w:firstColumn="1" w:lastColumn="0" w:noHBand="0" w:noVBand="1"/>
      </w:tblPr>
      <w:tblGrid>
        <w:gridCol w:w="1791"/>
        <w:gridCol w:w="970"/>
        <w:gridCol w:w="1433"/>
        <w:gridCol w:w="1433"/>
        <w:gridCol w:w="970"/>
        <w:gridCol w:w="1433"/>
        <w:gridCol w:w="1326"/>
      </w:tblGrid>
      <w:tr w:rsidR="002D7E74" w14:paraId="47309DE5" w14:textId="77777777" w:rsidTr="001E7771">
        <w:trPr>
          <w:tblHeader/>
        </w:trPr>
        <w:tc>
          <w:tcPr>
            <w:tcW w:w="1791" w:type="dxa"/>
            <w:shd w:val="clear" w:color="auto" w:fill="D9D9D9" w:themeFill="background1" w:themeFillShade="D9"/>
            <w:vAlign w:val="center"/>
          </w:tcPr>
          <w:p w14:paraId="1AD39DDB" w14:textId="77777777" w:rsidR="002D7E74" w:rsidRPr="001E7771" w:rsidRDefault="002D7E74" w:rsidP="00BE55D4">
            <w:pPr>
              <w:ind w:firstLine="0"/>
              <w:jc w:val="center"/>
              <w:rPr>
                <w:b/>
                <w:bCs/>
                <w:sz w:val="22"/>
              </w:rPr>
            </w:pPr>
          </w:p>
        </w:tc>
        <w:tc>
          <w:tcPr>
            <w:tcW w:w="3836" w:type="dxa"/>
            <w:gridSpan w:val="3"/>
            <w:shd w:val="clear" w:color="auto" w:fill="D9D9D9" w:themeFill="background1" w:themeFillShade="D9"/>
            <w:vAlign w:val="center"/>
          </w:tcPr>
          <w:p w14:paraId="15548980" w14:textId="560ADE22" w:rsidR="002D7E74" w:rsidRPr="001E7771" w:rsidRDefault="002D7E74" w:rsidP="00BE55D4">
            <w:pPr>
              <w:ind w:firstLine="0"/>
              <w:jc w:val="center"/>
              <w:rPr>
                <w:b/>
                <w:bCs/>
                <w:sz w:val="22"/>
              </w:rPr>
            </w:pPr>
            <w:r w:rsidRPr="001E7771">
              <w:rPr>
                <w:b/>
                <w:bCs/>
                <w:sz w:val="22"/>
              </w:rPr>
              <w:t>Оценка центральным эндоскопистом</w:t>
            </w:r>
          </w:p>
        </w:tc>
        <w:tc>
          <w:tcPr>
            <w:tcW w:w="3729" w:type="dxa"/>
            <w:gridSpan w:val="3"/>
            <w:shd w:val="clear" w:color="auto" w:fill="D9D9D9" w:themeFill="background1" w:themeFillShade="D9"/>
            <w:vAlign w:val="center"/>
          </w:tcPr>
          <w:p w14:paraId="44CEA8DA" w14:textId="37B0203A" w:rsidR="002D7E74" w:rsidRPr="001E7771" w:rsidRDefault="002D7E74" w:rsidP="00BE55D4">
            <w:pPr>
              <w:ind w:firstLine="0"/>
              <w:jc w:val="center"/>
              <w:rPr>
                <w:b/>
                <w:bCs/>
                <w:sz w:val="22"/>
              </w:rPr>
            </w:pPr>
            <w:r w:rsidRPr="001E7771">
              <w:rPr>
                <w:b/>
                <w:bCs/>
                <w:sz w:val="22"/>
              </w:rPr>
              <w:t>Оценка локальным эндоскопистом</w:t>
            </w:r>
          </w:p>
        </w:tc>
      </w:tr>
      <w:tr w:rsidR="000F35D8" w14:paraId="335A0799" w14:textId="77777777" w:rsidTr="001E7771">
        <w:trPr>
          <w:tblHeader/>
        </w:trPr>
        <w:tc>
          <w:tcPr>
            <w:tcW w:w="1791" w:type="dxa"/>
            <w:shd w:val="clear" w:color="auto" w:fill="D9D9D9" w:themeFill="background1" w:themeFillShade="D9"/>
            <w:vAlign w:val="center"/>
          </w:tcPr>
          <w:p w14:paraId="2F2626D8" w14:textId="4AB5BEF4" w:rsidR="000F35D8" w:rsidRPr="001E7771" w:rsidRDefault="000F35D8" w:rsidP="000F35D8">
            <w:pPr>
              <w:ind w:firstLine="0"/>
              <w:jc w:val="center"/>
              <w:rPr>
                <w:b/>
                <w:bCs/>
                <w:sz w:val="22"/>
              </w:rPr>
            </w:pPr>
            <w:r w:rsidRPr="001E7771">
              <w:rPr>
                <w:b/>
                <w:bCs/>
                <w:sz w:val="22"/>
              </w:rPr>
              <w:t>Конечная точка</w:t>
            </w:r>
          </w:p>
        </w:tc>
        <w:tc>
          <w:tcPr>
            <w:tcW w:w="970" w:type="dxa"/>
            <w:shd w:val="clear" w:color="auto" w:fill="D9D9D9" w:themeFill="background1" w:themeFillShade="D9"/>
            <w:vAlign w:val="center"/>
          </w:tcPr>
          <w:p w14:paraId="65ACFF56" w14:textId="49CAB912" w:rsidR="000F35D8" w:rsidRPr="001E7771" w:rsidRDefault="000F35D8" w:rsidP="000F35D8">
            <w:pPr>
              <w:ind w:firstLine="0"/>
              <w:jc w:val="center"/>
              <w:rPr>
                <w:b/>
                <w:bCs/>
                <w:sz w:val="22"/>
                <w:lang w:val="en-US"/>
              </w:rPr>
            </w:pPr>
            <w:r w:rsidRPr="001E7771">
              <w:rPr>
                <w:b/>
                <w:bCs/>
                <w:sz w:val="22"/>
              </w:rPr>
              <w:t>Плацебо (N = 198)</w:t>
            </w:r>
          </w:p>
        </w:tc>
        <w:tc>
          <w:tcPr>
            <w:tcW w:w="1433" w:type="dxa"/>
            <w:shd w:val="clear" w:color="auto" w:fill="D9D9D9" w:themeFill="background1" w:themeFillShade="D9"/>
            <w:vAlign w:val="center"/>
          </w:tcPr>
          <w:p w14:paraId="38CC8266" w14:textId="2B79089C" w:rsidR="000F35D8" w:rsidRPr="001E7771" w:rsidRDefault="000F35D8" w:rsidP="000F35D8">
            <w:pPr>
              <w:ind w:firstLine="0"/>
              <w:jc w:val="center"/>
              <w:rPr>
                <w:b/>
                <w:bCs/>
                <w:sz w:val="22"/>
              </w:rPr>
            </w:pPr>
            <w:r w:rsidRPr="001E7771">
              <w:rPr>
                <w:b/>
                <w:bCs/>
                <w:sz w:val="22"/>
              </w:rPr>
              <w:t>Тофацитиниб 5 мг 2 раза в день (</w:t>
            </w:r>
            <w:r w:rsidRPr="001E7771">
              <w:rPr>
                <w:b/>
                <w:bCs/>
                <w:sz w:val="22"/>
                <w:lang w:val="en-US"/>
              </w:rPr>
              <w:t>N</w:t>
            </w:r>
            <w:r w:rsidRPr="001E7771">
              <w:rPr>
                <w:b/>
                <w:bCs/>
                <w:sz w:val="22"/>
              </w:rPr>
              <w:t xml:space="preserve"> = 198)</w:t>
            </w:r>
          </w:p>
        </w:tc>
        <w:tc>
          <w:tcPr>
            <w:tcW w:w="1433" w:type="dxa"/>
            <w:shd w:val="clear" w:color="auto" w:fill="D9D9D9" w:themeFill="background1" w:themeFillShade="D9"/>
            <w:vAlign w:val="center"/>
          </w:tcPr>
          <w:p w14:paraId="18B35C12" w14:textId="60B111A1" w:rsidR="000F35D8" w:rsidRPr="001E7771" w:rsidRDefault="000F35D8" w:rsidP="000F35D8">
            <w:pPr>
              <w:ind w:firstLine="0"/>
              <w:jc w:val="center"/>
              <w:rPr>
                <w:b/>
                <w:bCs/>
                <w:sz w:val="22"/>
              </w:rPr>
            </w:pPr>
            <w:r w:rsidRPr="001E7771">
              <w:rPr>
                <w:b/>
                <w:bCs/>
                <w:sz w:val="22"/>
              </w:rPr>
              <w:t>Тофацитиниб 10 мг 2 раза в день (</w:t>
            </w:r>
            <w:r w:rsidRPr="001E7771">
              <w:rPr>
                <w:b/>
                <w:bCs/>
                <w:sz w:val="22"/>
                <w:lang w:val="en-US"/>
              </w:rPr>
              <w:t>N</w:t>
            </w:r>
            <w:r w:rsidRPr="001E7771">
              <w:rPr>
                <w:b/>
                <w:bCs/>
                <w:sz w:val="22"/>
              </w:rPr>
              <w:t xml:space="preserve"> = 197)</w:t>
            </w:r>
          </w:p>
        </w:tc>
        <w:tc>
          <w:tcPr>
            <w:tcW w:w="970" w:type="dxa"/>
            <w:shd w:val="clear" w:color="auto" w:fill="D9D9D9" w:themeFill="background1" w:themeFillShade="D9"/>
            <w:vAlign w:val="center"/>
          </w:tcPr>
          <w:p w14:paraId="33DFF049" w14:textId="4FD70AC7" w:rsidR="000F35D8" w:rsidRPr="001E7771" w:rsidRDefault="000F35D8" w:rsidP="000F35D8">
            <w:pPr>
              <w:ind w:firstLine="0"/>
              <w:jc w:val="center"/>
              <w:rPr>
                <w:b/>
                <w:bCs/>
                <w:sz w:val="22"/>
              </w:rPr>
            </w:pPr>
            <w:r w:rsidRPr="001E7771">
              <w:rPr>
                <w:b/>
                <w:bCs/>
                <w:sz w:val="22"/>
              </w:rPr>
              <w:t>Плацебо (N = 198)</w:t>
            </w:r>
          </w:p>
        </w:tc>
        <w:tc>
          <w:tcPr>
            <w:tcW w:w="1433" w:type="dxa"/>
            <w:shd w:val="clear" w:color="auto" w:fill="D9D9D9" w:themeFill="background1" w:themeFillShade="D9"/>
            <w:vAlign w:val="center"/>
          </w:tcPr>
          <w:p w14:paraId="311200E1" w14:textId="07C56729" w:rsidR="000F35D8" w:rsidRPr="001E7771" w:rsidRDefault="000F35D8" w:rsidP="000F35D8">
            <w:pPr>
              <w:ind w:firstLine="0"/>
              <w:jc w:val="center"/>
              <w:rPr>
                <w:b/>
                <w:bCs/>
                <w:sz w:val="22"/>
              </w:rPr>
            </w:pPr>
            <w:r w:rsidRPr="001E7771">
              <w:rPr>
                <w:b/>
                <w:bCs/>
                <w:sz w:val="22"/>
              </w:rPr>
              <w:t>Тофацитиниб 5 мг 2 раза в день (</w:t>
            </w:r>
            <w:r w:rsidRPr="001E7771">
              <w:rPr>
                <w:b/>
                <w:bCs/>
                <w:sz w:val="22"/>
                <w:lang w:val="en-US"/>
              </w:rPr>
              <w:t>N</w:t>
            </w:r>
            <w:r w:rsidRPr="001E7771">
              <w:rPr>
                <w:b/>
                <w:bCs/>
                <w:sz w:val="22"/>
              </w:rPr>
              <w:t xml:space="preserve"> = 198)</w:t>
            </w:r>
          </w:p>
        </w:tc>
        <w:tc>
          <w:tcPr>
            <w:tcW w:w="1326" w:type="dxa"/>
            <w:shd w:val="clear" w:color="auto" w:fill="D9D9D9" w:themeFill="background1" w:themeFillShade="D9"/>
            <w:vAlign w:val="center"/>
          </w:tcPr>
          <w:p w14:paraId="1AB881D8" w14:textId="4A653A19" w:rsidR="000F35D8" w:rsidRPr="001E7771" w:rsidRDefault="000F35D8" w:rsidP="000F35D8">
            <w:pPr>
              <w:ind w:firstLine="0"/>
              <w:jc w:val="center"/>
              <w:rPr>
                <w:b/>
                <w:bCs/>
                <w:sz w:val="22"/>
              </w:rPr>
            </w:pPr>
            <w:r w:rsidRPr="001E7771">
              <w:rPr>
                <w:b/>
                <w:bCs/>
                <w:sz w:val="22"/>
              </w:rPr>
              <w:t>Тофацитиниб 10 мг 2 раза в день (</w:t>
            </w:r>
            <w:r w:rsidRPr="001E7771">
              <w:rPr>
                <w:b/>
                <w:bCs/>
                <w:sz w:val="22"/>
                <w:lang w:val="en-US"/>
              </w:rPr>
              <w:t>N</w:t>
            </w:r>
            <w:r w:rsidRPr="001E7771">
              <w:rPr>
                <w:b/>
                <w:bCs/>
                <w:sz w:val="22"/>
              </w:rPr>
              <w:t xml:space="preserve"> = 197)</w:t>
            </w:r>
          </w:p>
        </w:tc>
      </w:tr>
      <w:tr w:rsidR="00FF7E02" w14:paraId="4ABB8E2E" w14:textId="77777777" w:rsidTr="001E7771">
        <w:tc>
          <w:tcPr>
            <w:tcW w:w="1791" w:type="dxa"/>
            <w:vAlign w:val="center"/>
          </w:tcPr>
          <w:p w14:paraId="1FE2410A" w14:textId="4B43DC61" w:rsidR="00FF7E02" w:rsidRPr="001E7771" w:rsidRDefault="00FF7E02" w:rsidP="00FF7E02">
            <w:pPr>
              <w:ind w:firstLine="0"/>
              <w:rPr>
                <w:sz w:val="22"/>
              </w:rPr>
            </w:pPr>
            <w:r w:rsidRPr="001E7771">
              <w:rPr>
                <w:sz w:val="22"/>
              </w:rPr>
              <w:t>Ремиссия</w:t>
            </w:r>
            <w:r w:rsidRPr="001E7771">
              <w:rPr>
                <w:sz w:val="22"/>
                <w:vertAlign w:val="superscript"/>
                <w:lang w:val="en-US"/>
              </w:rPr>
              <w:t>a</w:t>
            </w:r>
          </w:p>
        </w:tc>
        <w:tc>
          <w:tcPr>
            <w:tcW w:w="970" w:type="dxa"/>
            <w:vAlign w:val="center"/>
          </w:tcPr>
          <w:p w14:paraId="45E5E8E9" w14:textId="45E5D3AE" w:rsidR="00FF7E02" w:rsidRPr="001E7771" w:rsidRDefault="003E080A" w:rsidP="001E7771">
            <w:pPr>
              <w:ind w:firstLine="0"/>
              <w:jc w:val="center"/>
              <w:rPr>
                <w:sz w:val="22"/>
              </w:rPr>
            </w:pPr>
            <w:r w:rsidRPr="001E7771">
              <w:rPr>
                <w:sz w:val="22"/>
              </w:rPr>
              <w:t>11</w:t>
            </w:r>
            <w:r w:rsidR="00A466C1" w:rsidRPr="001E7771">
              <w:rPr>
                <w:sz w:val="22"/>
              </w:rPr>
              <w:t>,</w:t>
            </w:r>
            <w:r w:rsidRPr="001E7771">
              <w:rPr>
                <w:sz w:val="22"/>
              </w:rPr>
              <w:t>1%</w:t>
            </w:r>
          </w:p>
        </w:tc>
        <w:tc>
          <w:tcPr>
            <w:tcW w:w="1433" w:type="dxa"/>
            <w:vAlign w:val="center"/>
          </w:tcPr>
          <w:p w14:paraId="2025090A" w14:textId="3CED8DA0" w:rsidR="00FF7E02" w:rsidRPr="001E7771" w:rsidRDefault="00B625B2" w:rsidP="001E7771">
            <w:pPr>
              <w:ind w:firstLine="0"/>
              <w:jc w:val="center"/>
              <w:rPr>
                <w:sz w:val="22"/>
              </w:rPr>
            </w:pPr>
            <w:r w:rsidRPr="001E7771">
              <w:rPr>
                <w:sz w:val="22"/>
              </w:rPr>
              <w:t>34</w:t>
            </w:r>
            <w:r w:rsidR="00A466C1" w:rsidRPr="001E7771">
              <w:rPr>
                <w:sz w:val="22"/>
              </w:rPr>
              <w:t>,</w:t>
            </w:r>
            <w:r w:rsidRPr="001E7771">
              <w:rPr>
                <w:sz w:val="22"/>
              </w:rPr>
              <w:t>3%*</w:t>
            </w:r>
          </w:p>
        </w:tc>
        <w:tc>
          <w:tcPr>
            <w:tcW w:w="1433" w:type="dxa"/>
            <w:vAlign w:val="center"/>
          </w:tcPr>
          <w:p w14:paraId="47D888AB" w14:textId="6E8A1A30" w:rsidR="00FF7E02" w:rsidRPr="001E7771" w:rsidRDefault="00F07646" w:rsidP="001E7771">
            <w:pPr>
              <w:ind w:firstLine="0"/>
              <w:jc w:val="center"/>
              <w:rPr>
                <w:sz w:val="22"/>
              </w:rPr>
            </w:pPr>
            <w:r w:rsidRPr="001E7771">
              <w:rPr>
                <w:sz w:val="22"/>
              </w:rPr>
              <w:t>40</w:t>
            </w:r>
            <w:r w:rsidR="00633750" w:rsidRPr="001E7771">
              <w:rPr>
                <w:sz w:val="22"/>
              </w:rPr>
              <w:t>,</w:t>
            </w:r>
            <w:r w:rsidRPr="001E7771">
              <w:rPr>
                <w:sz w:val="22"/>
              </w:rPr>
              <w:t>6%*</w:t>
            </w:r>
          </w:p>
        </w:tc>
        <w:tc>
          <w:tcPr>
            <w:tcW w:w="970" w:type="dxa"/>
            <w:vAlign w:val="center"/>
          </w:tcPr>
          <w:p w14:paraId="58FFDF43" w14:textId="129EA794" w:rsidR="00FF7E02" w:rsidRPr="001E7771" w:rsidRDefault="009C0E3D" w:rsidP="001E7771">
            <w:pPr>
              <w:ind w:firstLine="0"/>
              <w:jc w:val="center"/>
              <w:rPr>
                <w:sz w:val="22"/>
              </w:rPr>
            </w:pPr>
            <w:r w:rsidRPr="001E7771">
              <w:rPr>
                <w:sz w:val="22"/>
              </w:rPr>
              <w:t>13</w:t>
            </w:r>
            <w:r w:rsidR="00633750" w:rsidRPr="001E7771">
              <w:rPr>
                <w:sz w:val="22"/>
              </w:rPr>
              <w:t>,</w:t>
            </w:r>
            <w:r w:rsidRPr="001E7771">
              <w:rPr>
                <w:sz w:val="22"/>
              </w:rPr>
              <w:t>1%</w:t>
            </w:r>
          </w:p>
        </w:tc>
        <w:tc>
          <w:tcPr>
            <w:tcW w:w="1433" w:type="dxa"/>
            <w:vAlign w:val="center"/>
          </w:tcPr>
          <w:p w14:paraId="6B24F0B1" w14:textId="7CDE99E0" w:rsidR="00FF7E02" w:rsidRPr="001E7771" w:rsidRDefault="008455C4" w:rsidP="001E7771">
            <w:pPr>
              <w:ind w:firstLine="0"/>
              <w:jc w:val="center"/>
              <w:rPr>
                <w:sz w:val="22"/>
              </w:rPr>
            </w:pPr>
            <w:r w:rsidRPr="001E7771">
              <w:rPr>
                <w:sz w:val="22"/>
              </w:rPr>
              <w:t>39</w:t>
            </w:r>
            <w:r w:rsidR="00633750" w:rsidRPr="001E7771">
              <w:rPr>
                <w:sz w:val="22"/>
              </w:rPr>
              <w:t>,</w:t>
            </w:r>
            <w:r w:rsidRPr="001E7771">
              <w:rPr>
                <w:sz w:val="22"/>
              </w:rPr>
              <w:t>4%*</w:t>
            </w:r>
          </w:p>
        </w:tc>
        <w:tc>
          <w:tcPr>
            <w:tcW w:w="1326" w:type="dxa"/>
            <w:vAlign w:val="center"/>
          </w:tcPr>
          <w:p w14:paraId="0332B0F6" w14:textId="69C8361E" w:rsidR="00FF7E02" w:rsidRPr="001E7771" w:rsidRDefault="009576CD" w:rsidP="001E7771">
            <w:pPr>
              <w:ind w:firstLine="0"/>
              <w:jc w:val="center"/>
              <w:rPr>
                <w:sz w:val="22"/>
              </w:rPr>
            </w:pPr>
            <w:r w:rsidRPr="001E7771">
              <w:rPr>
                <w:sz w:val="22"/>
              </w:rPr>
              <w:t>47</w:t>
            </w:r>
            <w:r w:rsidR="00633750" w:rsidRPr="001E7771">
              <w:rPr>
                <w:sz w:val="22"/>
              </w:rPr>
              <w:t>,</w:t>
            </w:r>
            <w:r w:rsidRPr="001E7771">
              <w:rPr>
                <w:sz w:val="22"/>
              </w:rPr>
              <w:t>7%*</w:t>
            </w:r>
          </w:p>
        </w:tc>
      </w:tr>
      <w:tr w:rsidR="00FF7E02" w14:paraId="26E2FAF1" w14:textId="77777777" w:rsidTr="001E7771">
        <w:tc>
          <w:tcPr>
            <w:tcW w:w="1791" w:type="dxa"/>
            <w:vAlign w:val="center"/>
          </w:tcPr>
          <w:p w14:paraId="184A5920" w14:textId="056A4D95" w:rsidR="00FF7E02" w:rsidRPr="001E7771" w:rsidRDefault="00FF7E02" w:rsidP="00FF7E02">
            <w:pPr>
              <w:ind w:firstLine="0"/>
              <w:rPr>
                <w:sz w:val="22"/>
              </w:rPr>
            </w:pPr>
            <w:r w:rsidRPr="001E7771">
              <w:rPr>
                <w:sz w:val="22"/>
              </w:rPr>
              <w:t>Улучшение эндоскопической картины слизистой оболочки</w:t>
            </w:r>
            <w:r w:rsidRPr="001E7771">
              <w:rPr>
                <w:sz w:val="22"/>
                <w:vertAlign w:val="superscript"/>
                <w:lang w:val="en-US"/>
              </w:rPr>
              <w:t>b</w:t>
            </w:r>
          </w:p>
        </w:tc>
        <w:tc>
          <w:tcPr>
            <w:tcW w:w="970" w:type="dxa"/>
            <w:vAlign w:val="center"/>
          </w:tcPr>
          <w:p w14:paraId="7749E601" w14:textId="30C3BDB8" w:rsidR="00FF7E02" w:rsidRPr="001E7771" w:rsidRDefault="003E080A" w:rsidP="001E7771">
            <w:pPr>
              <w:ind w:firstLine="0"/>
              <w:jc w:val="center"/>
              <w:rPr>
                <w:sz w:val="22"/>
              </w:rPr>
            </w:pPr>
            <w:r w:rsidRPr="001E7771">
              <w:rPr>
                <w:sz w:val="22"/>
              </w:rPr>
              <w:t>13</w:t>
            </w:r>
            <w:r w:rsidR="00633750" w:rsidRPr="001E7771">
              <w:rPr>
                <w:sz w:val="22"/>
              </w:rPr>
              <w:t>,</w:t>
            </w:r>
            <w:r w:rsidRPr="001E7771">
              <w:rPr>
                <w:sz w:val="22"/>
              </w:rPr>
              <w:t>1%</w:t>
            </w:r>
          </w:p>
        </w:tc>
        <w:tc>
          <w:tcPr>
            <w:tcW w:w="1433" w:type="dxa"/>
            <w:vAlign w:val="center"/>
          </w:tcPr>
          <w:p w14:paraId="6909BC35" w14:textId="43AA1F33" w:rsidR="00FF7E02" w:rsidRPr="001E7771" w:rsidRDefault="00B625B2" w:rsidP="001E7771">
            <w:pPr>
              <w:ind w:firstLine="0"/>
              <w:jc w:val="center"/>
              <w:rPr>
                <w:sz w:val="22"/>
              </w:rPr>
            </w:pPr>
            <w:r w:rsidRPr="001E7771">
              <w:rPr>
                <w:sz w:val="22"/>
              </w:rPr>
              <w:t>37</w:t>
            </w:r>
            <w:r w:rsidR="00633750" w:rsidRPr="001E7771">
              <w:rPr>
                <w:sz w:val="22"/>
              </w:rPr>
              <w:t>,</w:t>
            </w:r>
            <w:r w:rsidRPr="001E7771">
              <w:rPr>
                <w:sz w:val="22"/>
              </w:rPr>
              <w:t>4%*</w:t>
            </w:r>
          </w:p>
        </w:tc>
        <w:tc>
          <w:tcPr>
            <w:tcW w:w="1433" w:type="dxa"/>
            <w:vAlign w:val="center"/>
          </w:tcPr>
          <w:p w14:paraId="3586233B" w14:textId="5881F021" w:rsidR="00FF7E02" w:rsidRPr="001E7771" w:rsidRDefault="00F07646" w:rsidP="001E7771">
            <w:pPr>
              <w:ind w:firstLine="0"/>
              <w:jc w:val="center"/>
              <w:rPr>
                <w:sz w:val="22"/>
              </w:rPr>
            </w:pPr>
            <w:r w:rsidRPr="001E7771">
              <w:rPr>
                <w:sz w:val="22"/>
              </w:rPr>
              <w:t>45</w:t>
            </w:r>
            <w:r w:rsidR="00633750" w:rsidRPr="001E7771">
              <w:rPr>
                <w:sz w:val="22"/>
              </w:rPr>
              <w:t>,</w:t>
            </w:r>
            <w:r w:rsidRPr="001E7771">
              <w:rPr>
                <w:sz w:val="22"/>
              </w:rPr>
              <w:t>7%*</w:t>
            </w:r>
          </w:p>
        </w:tc>
        <w:tc>
          <w:tcPr>
            <w:tcW w:w="970" w:type="dxa"/>
            <w:vAlign w:val="center"/>
          </w:tcPr>
          <w:p w14:paraId="76027070" w14:textId="0FDB52A0" w:rsidR="00FF7E02" w:rsidRPr="001E7771" w:rsidRDefault="009C0E3D" w:rsidP="001E7771">
            <w:pPr>
              <w:ind w:firstLine="0"/>
              <w:jc w:val="center"/>
              <w:rPr>
                <w:sz w:val="22"/>
              </w:rPr>
            </w:pPr>
            <w:r w:rsidRPr="001E7771">
              <w:rPr>
                <w:sz w:val="22"/>
              </w:rPr>
              <w:t>15</w:t>
            </w:r>
            <w:r w:rsidR="00633750" w:rsidRPr="001E7771">
              <w:rPr>
                <w:sz w:val="22"/>
              </w:rPr>
              <w:t>,</w:t>
            </w:r>
            <w:r w:rsidRPr="001E7771">
              <w:rPr>
                <w:sz w:val="22"/>
              </w:rPr>
              <w:t>7%</w:t>
            </w:r>
          </w:p>
        </w:tc>
        <w:tc>
          <w:tcPr>
            <w:tcW w:w="1433" w:type="dxa"/>
            <w:vAlign w:val="center"/>
          </w:tcPr>
          <w:p w14:paraId="56A06901" w14:textId="74557276" w:rsidR="00FF7E02" w:rsidRPr="001E7771" w:rsidRDefault="008455C4" w:rsidP="001E7771">
            <w:pPr>
              <w:ind w:firstLine="0"/>
              <w:jc w:val="center"/>
              <w:rPr>
                <w:sz w:val="22"/>
              </w:rPr>
            </w:pPr>
            <w:r w:rsidRPr="001E7771">
              <w:rPr>
                <w:sz w:val="22"/>
              </w:rPr>
              <w:t>44</w:t>
            </w:r>
            <w:r w:rsidR="00633750" w:rsidRPr="001E7771">
              <w:rPr>
                <w:sz w:val="22"/>
              </w:rPr>
              <w:t>,</w:t>
            </w:r>
            <w:r w:rsidRPr="001E7771">
              <w:rPr>
                <w:sz w:val="22"/>
              </w:rPr>
              <w:t>9%*</w:t>
            </w:r>
          </w:p>
        </w:tc>
        <w:tc>
          <w:tcPr>
            <w:tcW w:w="1326" w:type="dxa"/>
            <w:vAlign w:val="center"/>
          </w:tcPr>
          <w:p w14:paraId="62E92FFD" w14:textId="7C5BA5B3" w:rsidR="00FF7E02" w:rsidRPr="001E7771" w:rsidRDefault="009576CD" w:rsidP="001E7771">
            <w:pPr>
              <w:ind w:firstLine="0"/>
              <w:jc w:val="center"/>
              <w:rPr>
                <w:sz w:val="22"/>
              </w:rPr>
            </w:pPr>
            <w:r w:rsidRPr="001E7771">
              <w:rPr>
                <w:sz w:val="22"/>
              </w:rPr>
              <w:t>53</w:t>
            </w:r>
            <w:r w:rsidR="00633750" w:rsidRPr="001E7771">
              <w:rPr>
                <w:sz w:val="22"/>
              </w:rPr>
              <w:t>,</w:t>
            </w:r>
            <w:r w:rsidRPr="001E7771">
              <w:rPr>
                <w:sz w:val="22"/>
              </w:rPr>
              <w:t>8%*</w:t>
            </w:r>
          </w:p>
        </w:tc>
      </w:tr>
      <w:tr w:rsidR="00FF7E02" w14:paraId="27EB6387" w14:textId="77777777" w:rsidTr="001E7771">
        <w:tc>
          <w:tcPr>
            <w:tcW w:w="1791" w:type="dxa"/>
            <w:vAlign w:val="center"/>
          </w:tcPr>
          <w:p w14:paraId="6CC1B6F4" w14:textId="5A2F0686" w:rsidR="00FF7E02" w:rsidRPr="001E7771" w:rsidRDefault="00FF7E02" w:rsidP="00FF7E02">
            <w:pPr>
              <w:ind w:firstLine="0"/>
              <w:rPr>
                <w:sz w:val="22"/>
              </w:rPr>
            </w:pPr>
            <w:r w:rsidRPr="001E7771">
              <w:rPr>
                <w:sz w:val="22"/>
              </w:rPr>
              <w:t>Нормализация эндоскопической картины слизистой оболочки</w:t>
            </w:r>
            <w:r w:rsidRPr="001E7771">
              <w:rPr>
                <w:sz w:val="22"/>
                <w:vertAlign w:val="superscript"/>
                <w:lang w:val="en-US"/>
              </w:rPr>
              <w:t>c</w:t>
            </w:r>
          </w:p>
        </w:tc>
        <w:tc>
          <w:tcPr>
            <w:tcW w:w="970" w:type="dxa"/>
            <w:vAlign w:val="center"/>
          </w:tcPr>
          <w:p w14:paraId="5E94B2D0" w14:textId="46AB1F87" w:rsidR="00FF7E02" w:rsidRPr="001E7771" w:rsidRDefault="000C2AAA" w:rsidP="001E7771">
            <w:pPr>
              <w:ind w:firstLine="0"/>
              <w:jc w:val="center"/>
              <w:rPr>
                <w:sz w:val="22"/>
              </w:rPr>
            </w:pPr>
            <w:r w:rsidRPr="001E7771">
              <w:rPr>
                <w:sz w:val="22"/>
              </w:rPr>
              <w:t>4</w:t>
            </w:r>
            <w:r w:rsidR="00633750" w:rsidRPr="001E7771">
              <w:rPr>
                <w:sz w:val="22"/>
              </w:rPr>
              <w:t>,</w:t>
            </w:r>
            <w:r w:rsidRPr="001E7771">
              <w:rPr>
                <w:sz w:val="22"/>
              </w:rPr>
              <w:t>0%</w:t>
            </w:r>
          </w:p>
        </w:tc>
        <w:tc>
          <w:tcPr>
            <w:tcW w:w="1433" w:type="dxa"/>
            <w:vAlign w:val="center"/>
          </w:tcPr>
          <w:p w14:paraId="099CBF4A" w14:textId="515DF6CD" w:rsidR="00FF7E02" w:rsidRPr="001E7771" w:rsidRDefault="00B625B2" w:rsidP="001E7771">
            <w:pPr>
              <w:ind w:firstLine="0"/>
              <w:jc w:val="center"/>
              <w:rPr>
                <w:sz w:val="22"/>
              </w:rPr>
            </w:pPr>
            <w:r w:rsidRPr="001E7771">
              <w:rPr>
                <w:sz w:val="22"/>
              </w:rPr>
              <w:t>14</w:t>
            </w:r>
            <w:r w:rsidR="00633750" w:rsidRPr="001E7771">
              <w:rPr>
                <w:sz w:val="22"/>
              </w:rPr>
              <w:t>,</w:t>
            </w:r>
            <w:r w:rsidRPr="001E7771">
              <w:rPr>
                <w:sz w:val="22"/>
              </w:rPr>
              <w:t>6%**</w:t>
            </w:r>
          </w:p>
        </w:tc>
        <w:tc>
          <w:tcPr>
            <w:tcW w:w="1433" w:type="dxa"/>
            <w:vAlign w:val="center"/>
          </w:tcPr>
          <w:p w14:paraId="5D6338AC" w14:textId="3CDD6028" w:rsidR="00FF7E02" w:rsidRPr="001E7771" w:rsidRDefault="00F07646" w:rsidP="001E7771">
            <w:pPr>
              <w:ind w:firstLine="0"/>
              <w:jc w:val="center"/>
              <w:rPr>
                <w:sz w:val="22"/>
              </w:rPr>
            </w:pPr>
            <w:r w:rsidRPr="001E7771">
              <w:rPr>
                <w:sz w:val="22"/>
              </w:rPr>
              <w:t>16</w:t>
            </w:r>
            <w:r w:rsidR="00633750" w:rsidRPr="001E7771">
              <w:rPr>
                <w:sz w:val="22"/>
              </w:rPr>
              <w:t>,</w:t>
            </w:r>
            <w:r w:rsidRPr="001E7771">
              <w:rPr>
                <w:sz w:val="22"/>
              </w:rPr>
              <w:t>8%*</w:t>
            </w:r>
          </w:p>
        </w:tc>
        <w:tc>
          <w:tcPr>
            <w:tcW w:w="970" w:type="dxa"/>
            <w:vAlign w:val="center"/>
          </w:tcPr>
          <w:p w14:paraId="42820091" w14:textId="17ADFAEF" w:rsidR="00FF7E02" w:rsidRPr="001E7771" w:rsidRDefault="00985E55" w:rsidP="001E7771">
            <w:pPr>
              <w:ind w:firstLine="0"/>
              <w:jc w:val="center"/>
              <w:rPr>
                <w:sz w:val="22"/>
              </w:rPr>
            </w:pPr>
            <w:r w:rsidRPr="001E7771">
              <w:rPr>
                <w:sz w:val="22"/>
              </w:rPr>
              <w:t>5</w:t>
            </w:r>
            <w:r w:rsidR="00633750" w:rsidRPr="001E7771">
              <w:rPr>
                <w:sz w:val="22"/>
              </w:rPr>
              <w:t>,</w:t>
            </w:r>
            <w:r w:rsidRPr="001E7771">
              <w:rPr>
                <w:sz w:val="22"/>
              </w:rPr>
              <w:t>6%</w:t>
            </w:r>
          </w:p>
        </w:tc>
        <w:tc>
          <w:tcPr>
            <w:tcW w:w="1433" w:type="dxa"/>
            <w:vAlign w:val="center"/>
          </w:tcPr>
          <w:p w14:paraId="105C8B9A" w14:textId="422D4F19" w:rsidR="00FF7E02" w:rsidRPr="001E7771" w:rsidRDefault="008455C4" w:rsidP="001E7771">
            <w:pPr>
              <w:ind w:firstLine="0"/>
              <w:jc w:val="center"/>
              <w:rPr>
                <w:sz w:val="22"/>
              </w:rPr>
            </w:pPr>
            <w:r w:rsidRPr="001E7771">
              <w:rPr>
                <w:sz w:val="22"/>
              </w:rPr>
              <w:t>22</w:t>
            </w:r>
            <w:r w:rsidR="00633750" w:rsidRPr="001E7771">
              <w:rPr>
                <w:sz w:val="22"/>
              </w:rPr>
              <w:t>,</w:t>
            </w:r>
            <w:r w:rsidRPr="001E7771">
              <w:rPr>
                <w:sz w:val="22"/>
              </w:rPr>
              <w:t>2%*</w:t>
            </w:r>
          </w:p>
        </w:tc>
        <w:tc>
          <w:tcPr>
            <w:tcW w:w="1326" w:type="dxa"/>
            <w:vAlign w:val="center"/>
          </w:tcPr>
          <w:p w14:paraId="49644D04" w14:textId="3EA525D1" w:rsidR="00FF7E02" w:rsidRPr="001E7771" w:rsidRDefault="00237109" w:rsidP="001E7771">
            <w:pPr>
              <w:ind w:firstLine="0"/>
              <w:jc w:val="center"/>
              <w:rPr>
                <w:sz w:val="22"/>
              </w:rPr>
            </w:pPr>
            <w:r w:rsidRPr="001E7771">
              <w:rPr>
                <w:sz w:val="22"/>
              </w:rPr>
              <w:t>29</w:t>
            </w:r>
            <w:r w:rsidR="00633750" w:rsidRPr="001E7771">
              <w:rPr>
                <w:sz w:val="22"/>
              </w:rPr>
              <w:t>,</w:t>
            </w:r>
            <w:r w:rsidRPr="001E7771">
              <w:rPr>
                <w:sz w:val="22"/>
              </w:rPr>
              <w:t>4%*</w:t>
            </w:r>
          </w:p>
        </w:tc>
      </w:tr>
      <w:tr w:rsidR="00BE55D4" w14:paraId="4517213F" w14:textId="77777777" w:rsidTr="001E7771">
        <w:tc>
          <w:tcPr>
            <w:tcW w:w="1791" w:type="dxa"/>
            <w:vAlign w:val="center"/>
          </w:tcPr>
          <w:p w14:paraId="0C55FA0D" w14:textId="501EE3D0" w:rsidR="00BE55D4" w:rsidRPr="001E7771" w:rsidRDefault="00FF7E02" w:rsidP="00273451">
            <w:pPr>
              <w:ind w:firstLine="0"/>
              <w:rPr>
                <w:sz w:val="22"/>
                <w:vertAlign w:val="superscript"/>
                <w:lang w:val="en-US"/>
              </w:rPr>
            </w:pPr>
            <w:r w:rsidRPr="001E7771">
              <w:rPr>
                <w:sz w:val="22"/>
              </w:rPr>
              <w:t>Поддержание клинического ответа</w:t>
            </w:r>
            <w:r w:rsidR="000A6DE2" w:rsidRPr="001E7771">
              <w:rPr>
                <w:sz w:val="22"/>
                <w:vertAlign w:val="superscript"/>
                <w:lang w:val="en-US"/>
              </w:rPr>
              <w:t>d</w:t>
            </w:r>
          </w:p>
        </w:tc>
        <w:tc>
          <w:tcPr>
            <w:tcW w:w="970" w:type="dxa"/>
            <w:vAlign w:val="center"/>
          </w:tcPr>
          <w:p w14:paraId="59668D8D" w14:textId="3C4E6282" w:rsidR="00BE55D4" w:rsidRPr="001E7771" w:rsidRDefault="000C2AAA" w:rsidP="001E7771">
            <w:pPr>
              <w:ind w:firstLine="0"/>
              <w:jc w:val="center"/>
              <w:rPr>
                <w:sz w:val="22"/>
              </w:rPr>
            </w:pPr>
            <w:r w:rsidRPr="001E7771">
              <w:rPr>
                <w:sz w:val="22"/>
              </w:rPr>
              <w:t>20</w:t>
            </w:r>
            <w:r w:rsidR="00633750" w:rsidRPr="001E7771">
              <w:rPr>
                <w:sz w:val="22"/>
              </w:rPr>
              <w:t>,</w:t>
            </w:r>
            <w:r w:rsidRPr="001E7771">
              <w:rPr>
                <w:sz w:val="22"/>
              </w:rPr>
              <w:t>2%</w:t>
            </w:r>
          </w:p>
        </w:tc>
        <w:tc>
          <w:tcPr>
            <w:tcW w:w="1433" w:type="dxa"/>
            <w:vAlign w:val="center"/>
          </w:tcPr>
          <w:p w14:paraId="4E514957" w14:textId="19BE406D" w:rsidR="00BE55D4" w:rsidRPr="001E7771" w:rsidRDefault="00DD37DE" w:rsidP="001E7771">
            <w:pPr>
              <w:ind w:firstLine="0"/>
              <w:jc w:val="center"/>
              <w:rPr>
                <w:sz w:val="22"/>
              </w:rPr>
            </w:pPr>
            <w:r w:rsidRPr="001E7771">
              <w:rPr>
                <w:sz w:val="22"/>
              </w:rPr>
              <w:t>51</w:t>
            </w:r>
            <w:r w:rsidR="00633750" w:rsidRPr="001E7771">
              <w:rPr>
                <w:sz w:val="22"/>
              </w:rPr>
              <w:t>,</w:t>
            </w:r>
            <w:r w:rsidRPr="001E7771">
              <w:rPr>
                <w:sz w:val="22"/>
              </w:rPr>
              <w:t>5%*</w:t>
            </w:r>
          </w:p>
        </w:tc>
        <w:tc>
          <w:tcPr>
            <w:tcW w:w="1433" w:type="dxa"/>
            <w:vAlign w:val="center"/>
          </w:tcPr>
          <w:p w14:paraId="1F7776C2" w14:textId="318EF8AF" w:rsidR="00BE55D4" w:rsidRPr="001E7771" w:rsidRDefault="00F07646" w:rsidP="001E7771">
            <w:pPr>
              <w:ind w:firstLine="0"/>
              <w:jc w:val="center"/>
              <w:rPr>
                <w:sz w:val="22"/>
              </w:rPr>
            </w:pPr>
            <w:r w:rsidRPr="001E7771">
              <w:rPr>
                <w:sz w:val="22"/>
              </w:rPr>
              <w:t>61</w:t>
            </w:r>
            <w:r w:rsidR="00633750" w:rsidRPr="001E7771">
              <w:rPr>
                <w:sz w:val="22"/>
              </w:rPr>
              <w:t>,</w:t>
            </w:r>
            <w:r w:rsidRPr="001E7771">
              <w:rPr>
                <w:sz w:val="22"/>
              </w:rPr>
              <w:t>9%*</w:t>
            </w:r>
          </w:p>
        </w:tc>
        <w:tc>
          <w:tcPr>
            <w:tcW w:w="970" w:type="dxa"/>
            <w:vAlign w:val="center"/>
          </w:tcPr>
          <w:p w14:paraId="4513B662" w14:textId="4353F4DC" w:rsidR="00BE55D4" w:rsidRPr="001E7771" w:rsidRDefault="00985E55" w:rsidP="001E7771">
            <w:pPr>
              <w:ind w:firstLine="0"/>
              <w:jc w:val="center"/>
              <w:rPr>
                <w:sz w:val="22"/>
              </w:rPr>
            </w:pPr>
            <w:r w:rsidRPr="001E7771">
              <w:rPr>
                <w:sz w:val="22"/>
              </w:rPr>
              <w:t>20</w:t>
            </w:r>
            <w:r w:rsidR="00633750" w:rsidRPr="001E7771">
              <w:rPr>
                <w:sz w:val="22"/>
              </w:rPr>
              <w:t>,</w:t>
            </w:r>
            <w:r w:rsidRPr="001E7771">
              <w:rPr>
                <w:sz w:val="22"/>
              </w:rPr>
              <w:t>7%</w:t>
            </w:r>
          </w:p>
        </w:tc>
        <w:tc>
          <w:tcPr>
            <w:tcW w:w="1433" w:type="dxa"/>
            <w:vAlign w:val="center"/>
          </w:tcPr>
          <w:p w14:paraId="2048B980" w14:textId="2E19D209" w:rsidR="00BE55D4" w:rsidRPr="001E7771" w:rsidRDefault="008455C4" w:rsidP="001E7771">
            <w:pPr>
              <w:ind w:firstLine="0"/>
              <w:jc w:val="center"/>
              <w:rPr>
                <w:sz w:val="22"/>
              </w:rPr>
            </w:pPr>
            <w:r w:rsidRPr="001E7771">
              <w:rPr>
                <w:sz w:val="22"/>
              </w:rPr>
              <w:t>51</w:t>
            </w:r>
            <w:r w:rsidR="00633750" w:rsidRPr="001E7771">
              <w:rPr>
                <w:sz w:val="22"/>
              </w:rPr>
              <w:t>,</w:t>
            </w:r>
            <w:r w:rsidRPr="001E7771">
              <w:rPr>
                <w:sz w:val="22"/>
              </w:rPr>
              <w:t>0%*</w:t>
            </w:r>
          </w:p>
        </w:tc>
        <w:tc>
          <w:tcPr>
            <w:tcW w:w="1326" w:type="dxa"/>
            <w:vAlign w:val="center"/>
          </w:tcPr>
          <w:p w14:paraId="21012C8F" w14:textId="7A1B985A" w:rsidR="00BE55D4" w:rsidRPr="001E7771" w:rsidRDefault="00237109" w:rsidP="001E7771">
            <w:pPr>
              <w:ind w:firstLine="0"/>
              <w:jc w:val="center"/>
              <w:rPr>
                <w:sz w:val="22"/>
              </w:rPr>
            </w:pPr>
            <w:r w:rsidRPr="001E7771">
              <w:rPr>
                <w:sz w:val="22"/>
              </w:rPr>
              <w:t>61</w:t>
            </w:r>
            <w:r w:rsidR="00633750" w:rsidRPr="001E7771">
              <w:rPr>
                <w:sz w:val="22"/>
              </w:rPr>
              <w:t>,</w:t>
            </w:r>
            <w:r w:rsidRPr="001E7771">
              <w:rPr>
                <w:sz w:val="22"/>
              </w:rPr>
              <w:t>4%*</w:t>
            </w:r>
          </w:p>
        </w:tc>
      </w:tr>
      <w:tr w:rsidR="00BE55D4" w14:paraId="2ACF05AA" w14:textId="77777777" w:rsidTr="001E7771">
        <w:tc>
          <w:tcPr>
            <w:tcW w:w="1791" w:type="dxa"/>
            <w:vAlign w:val="center"/>
          </w:tcPr>
          <w:p w14:paraId="236349AD" w14:textId="6C0F3945" w:rsidR="00BE55D4" w:rsidRPr="001E7771" w:rsidRDefault="000A6DE2" w:rsidP="00273451">
            <w:pPr>
              <w:ind w:firstLine="0"/>
              <w:rPr>
                <w:sz w:val="22"/>
                <w:vertAlign w:val="superscript"/>
              </w:rPr>
            </w:pPr>
            <w:r w:rsidRPr="001E7771">
              <w:rPr>
                <w:sz w:val="22"/>
              </w:rPr>
              <w:t>Ремиссия среди пациентов в ремиссии исходно</w:t>
            </w:r>
            <w:r w:rsidRPr="001E7771">
              <w:rPr>
                <w:sz w:val="22"/>
                <w:vertAlign w:val="superscript"/>
                <w:lang w:val="en-US"/>
              </w:rPr>
              <w:t>a</w:t>
            </w:r>
            <w:r w:rsidRPr="001E7771">
              <w:rPr>
                <w:sz w:val="22"/>
                <w:vertAlign w:val="superscript"/>
              </w:rPr>
              <w:t>,</w:t>
            </w:r>
            <w:r w:rsidRPr="001E7771">
              <w:rPr>
                <w:sz w:val="22"/>
                <w:vertAlign w:val="superscript"/>
                <w:lang w:val="en-US"/>
              </w:rPr>
              <w:t>f</w:t>
            </w:r>
          </w:p>
        </w:tc>
        <w:tc>
          <w:tcPr>
            <w:tcW w:w="970" w:type="dxa"/>
            <w:vAlign w:val="center"/>
          </w:tcPr>
          <w:p w14:paraId="330E38E1" w14:textId="0680AB1B" w:rsidR="00BE55D4" w:rsidRPr="001E7771" w:rsidRDefault="000C2AAA" w:rsidP="001E7771">
            <w:pPr>
              <w:ind w:firstLine="0"/>
              <w:jc w:val="center"/>
              <w:rPr>
                <w:sz w:val="22"/>
              </w:rPr>
            </w:pPr>
            <w:r w:rsidRPr="001E7771">
              <w:rPr>
                <w:sz w:val="22"/>
              </w:rPr>
              <w:t>10</w:t>
            </w:r>
            <w:r w:rsidR="00633750" w:rsidRPr="001E7771">
              <w:rPr>
                <w:sz w:val="22"/>
              </w:rPr>
              <w:t>,</w:t>
            </w:r>
            <w:r w:rsidRPr="001E7771">
              <w:rPr>
                <w:sz w:val="22"/>
              </w:rPr>
              <w:t>2%</w:t>
            </w:r>
          </w:p>
        </w:tc>
        <w:tc>
          <w:tcPr>
            <w:tcW w:w="1433" w:type="dxa"/>
            <w:vAlign w:val="center"/>
          </w:tcPr>
          <w:p w14:paraId="43A8F112" w14:textId="19AA1542" w:rsidR="00BE55D4" w:rsidRPr="001E7771" w:rsidRDefault="00DD37DE" w:rsidP="001E7771">
            <w:pPr>
              <w:ind w:firstLine="0"/>
              <w:jc w:val="center"/>
              <w:rPr>
                <w:sz w:val="22"/>
              </w:rPr>
            </w:pPr>
            <w:r w:rsidRPr="001E7771">
              <w:rPr>
                <w:sz w:val="22"/>
              </w:rPr>
              <w:t>46</w:t>
            </w:r>
            <w:r w:rsidR="00633750" w:rsidRPr="001E7771">
              <w:rPr>
                <w:sz w:val="22"/>
              </w:rPr>
              <w:t>,</w:t>
            </w:r>
            <w:r w:rsidRPr="001E7771">
              <w:rPr>
                <w:sz w:val="22"/>
              </w:rPr>
              <w:t>2%*</w:t>
            </w:r>
          </w:p>
        </w:tc>
        <w:tc>
          <w:tcPr>
            <w:tcW w:w="1433" w:type="dxa"/>
            <w:vAlign w:val="center"/>
          </w:tcPr>
          <w:p w14:paraId="43351781" w14:textId="2ED9F68C" w:rsidR="00BE55D4" w:rsidRPr="001E7771" w:rsidRDefault="00F07646" w:rsidP="001E7771">
            <w:pPr>
              <w:ind w:firstLine="0"/>
              <w:jc w:val="center"/>
              <w:rPr>
                <w:sz w:val="22"/>
              </w:rPr>
            </w:pPr>
            <w:r w:rsidRPr="001E7771">
              <w:rPr>
                <w:sz w:val="22"/>
              </w:rPr>
              <w:t>56</w:t>
            </w:r>
            <w:r w:rsidR="00633750" w:rsidRPr="001E7771">
              <w:rPr>
                <w:sz w:val="22"/>
              </w:rPr>
              <w:t>,</w:t>
            </w:r>
            <w:r w:rsidRPr="001E7771">
              <w:rPr>
                <w:sz w:val="22"/>
              </w:rPr>
              <w:t>4%*</w:t>
            </w:r>
          </w:p>
        </w:tc>
        <w:tc>
          <w:tcPr>
            <w:tcW w:w="970" w:type="dxa"/>
            <w:vAlign w:val="center"/>
          </w:tcPr>
          <w:p w14:paraId="66D39324" w14:textId="391CF509" w:rsidR="00BE55D4" w:rsidRPr="001E7771" w:rsidRDefault="00985E55" w:rsidP="001E7771">
            <w:pPr>
              <w:ind w:firstLine="0"/>
              <w:jc w:val="center"/>
              <w:rPr>
                <w:sz w:val="22"/>
              </w:rPr>
            </w:pPr>
            <w:r w:rsidRPr="001E7771">
              <w:rPr>
                <w:sz w:val="22"/>
              </w:rPr>
              <w:t>11</w:t>
            </w:r>
            <w:r w:rsidR="00633750" w:rsidRPr="001E7771">
              <w:rPr>
                <w:sz w:val="22"/>
              </w:rPr>
              <w:t>,</w:t>
            </w:r>
            <w:r w:rsidRPr="001E7771">
              <w:rPr>
                <w:sz w:val="22"/>
              </w:rPr>
              <w:t>9%</w:t>
            </w:r>
          </w:p>
        </w:tc>
        <w:tc>
          <w:tcPr>
            <w:tcW w:w="1433" w:type="dxa"/>
            <w:vAlign w:val="center"/>
          </w:tcPr>
          <w:p w14:paraId="5DC0BFC4" w14:textId="0FDE9709" w:rsidR="00BE55D4" w:rsidRPr="001E7771" w:rsidRDefault="008455C4" w:rsidP="001E7771">
            <w:pPr>
              <w:ind w:firstLine="0"/>
              <w:jc w:val="center"/>
              <w:rPr>
                <w:sz w:val="22"/>
              </w:rPr>
            </w:pPr>
            <w:r w:rsidRPr="001E7771">
              <w:rPr>
                <w:sz w:val="22"/>
              </w:rPr>
              <w:t>50</w:t>
            </w:r>
            <w:r w:rsidR="00633750" w:rsidRPr="001E7771">
              <w:rPr>
                <w:sz w:val="22"/>
              </w:rPr>
              <w:t>,</w:t>
            </w:r>
            <w:r w:rsidRPr="001E7771">
              <w:rPr>
                <w:sz w:val="22"/>
              </w:rPr>
              <w:t>8%*</w:t>
            </w:r>
          </w:p>
        </w:tc>
        <w:tc>
          <w:tcPr>
            <w:tcW w:w="1326" w:type="dxa"/>
            <w:vAlign w:val="center"/>
          </w:tcPr>
          <w:p w14:paraId="4689AD6D" w14:textId="796DDA81" w:rsidR="00BE55D4" w:rsidRPr="001E7771" w:rsidRDefault="00237109" w:rsidP="001E7771">
            <w:pPr>
              <w:ind w:firstLine="0"/>
              <w:jc w:val="center"/>
              <w:rPr>
                <w:sz w:val="22"/>
              </w:rPr>
            </w:pPr>
            <w:r w:rsidRPr="001E7771">
              <w:rPr>
                <w:sz w:val="22"/>
              </w:rPr>
              <w:t>65</w:t>
            </w:r>
            <w:r w:rsidR="00633750" w:rsidRPr="001E7771">
              <w:rPr>
                <w:sz w:val="22"/>
              </w:rPr>
              <w:t>,</w:t>
            </w:r>
            <w:r w:rsidRPr="001E7771">
              <w:rPr>
                <w:sz w:val="22"/>
              </w:rPr>
              <w:t>5%*</w:t>
            </w:r>
          </w:p>
        </w:tc>
      </w:tr>
      <w:tr w:rsidR="00BE55D4" w14:paraId="02E05C59" w14:textId="77777777" w:rsidTr="001E7771">
        <w:tc>
          <w:tcPr>
            <w:tcW w:w="1791" w:type="dxa"/>
            <w:vAlign w:val="center"/>
          </w:tcPr>
          <w:p w14:paraId="63192725" w14:textId="6FF383AB" w:rsidR="00BE55D4" w:rsidRPr="001E7771" w:rsidRDefault="0040121D" w:rsidP="00273451">
            <w:pPr>
              <w:ind w:firstLine="0"/>
              <w:rPr>
                <w:sz w:val="22"/>
                <w:vertAlign w:val="superscript"/>
              </w:rPr>
            </w:pPr>
            <w:r w:rsidRPr="001E7771">
              <w:rPr>
                <w:sz w:val="22"/>
              </w:rPr>
              <w:t xml:space="preserve">Поддержание ремиссии без терапии ГКС на неделях 24 и 52 среди пациентов с ремиссией </w:t>
            </w:r>
            <w:r w:rsidRPr="001E7771">
              <w:rPr>
                <w:sz w:val="22"/>
              </w:rPr>
              <w:lastRenderedPageBreak/>
              <w:t>исходно</w:t>
            </w:r>
            <w:r w:rsidR="001957A5" w:rsidRPr="001E7771">
              <w:rPr>
                <w:sz w:val="22"/>
                <w:vertAlign w:val="superscript"/>
                <w:lang w:val="en-US"/>
              </w:rPr>
              <w:t>e</w:t>
            </w:r>
            <w:r w:rsidR="001957A5" w:rsidRPr="001E7771">
              <w:rPr>
                <w:sz w:val="22"/>
                <w:vertAlign w:val="superscript"/>
              </w:rPr>
              <w:t>,</w:t>
            </w:r>
            <w:r w:rsidR="001957A5" w:rsidRPr="001E7771">
              <w:rPr>
                <w:sz w:val="22"/>
                <w:vertAlign w:val="superscript"/>
                <w:lang w:val="en-US"/>
              </w:rPr>
              <w:t>f</w:t>
            </w:r>
          </w:p>
        </w:tc>
        <w:tc>
          <w:tcPr>
            <w:tcW w:w="970" w:type="dxa"/>
            <w:vAlign w:val="center"/>
          </w:tcPr>
          <w:p w14:paraId="56FF8EDB" w14:textId="57E3BCD6" w:rsidR="00BE55D4" w:rsidRPr="001E7771" w:rsidRDefault="000C2AAA" w:rsidP="001E7771">
            <w:pPr>
              <w:ind w:firstLine="0"/>
              <w:jc w:val="center"/>
              <w:rPr>
                <w:sz w:val="22"/>
              </w:rPr>
            </w:pPr>
            <w:r w:rsidRPr="001E7771">
              <w:rPr>
                <w:sz w:val="22"/>
              </w:rPr>
              <w:lastRenderedPageBreak/>
              <w:t>5</w:t>
            </w:r>
            <w:r w:rsidR="00633750" w:rsidRPr="001E7771">
              <w:rPr>
                <w:sz w:val="22"/>
              </w:rPr>
              <w:t>,</w:t>
            </w:r>
            <w:r w:rsidRPr="001E7771">
              <w:rPr>
                <w:sz w:val="22"/>
              </w:rPr>
              <w:t>1%</w:t>
            </w:r>
          </w:p>
        </w:tc>
        <w:tc>
          <w:tcPr>
            <w:tcW w:w="1433" w:type="dxa"/>
            <w:vAlign w:val="center"/>
          </w:tcPr>
          <w:p w14:paraId="25184E4A" w14:textId="110A519A" w:rsidR="00BE55D4" w:rsidRPr="001E7771" w:rsidRDefault="00DD37DE" w:rsidP="001E7771">
            <w:pPr>
              <w:ind w:firstLine="0"/>
              <w:jc w:val="center"/>
              <w:rPr>
                <w:sz w:val="22"/>
              </w:rPr>
            </w:pPr>
            <w:r w:rsidRPr="001E7771">
              <w:rPr>
                <w:sz w:val="22"/>
              </w:rPr>
              <w:t>35</w:t>
            </w:r>
            <w:r w:rsidR="00633750" w:rsidRPr="001E7771">
              <w:rPr>
                <w:sz w:val="22"/>
              </w:rPr>
              <w:t>,</w:t>
            </w:r>
            <w:r w:rsidRPr="001E7771">
              <w:rPr>
                <w:sz w:val="22"/>
              </w:rPr>
              <w:t>4%*</w:t>
            </w:r>
          </w:p>
        </w:tc>
        <w:tc>
          <w:tcPr>
            <w:tcW w:w="1433" w:type="dxa"/>
            <w:vAlign w:val="center"/>
          </w:tcPr>
          <w:p w14:paraId="3080217C" w14:textId="33481385" w:rsidR="00BE55D4" w:rsidRPr="001E7771" w:rsidRDefault="009C0E3D" w:rsidP="001E7771">
            <w:pPr>
              <w:ind w:firstLine="0"/>
              <w:jc w:val="center"/>
              <w:rPr>
                <w:sz w:val="22"/>
              </w:rPr>
            </w:pPr>
            <w:r w:rsidRPr="001E7771">
              <w:rPr>
                <w:sz w:val="22"/>
              </w:rPr>
              <w:t>47</w:t>
            </w:r>
            <w:r w:rsidR="00633750" w:rsidRPr="001E7771">
              <w:rPr>
                <w:sz w:val="22"/>
              </w:rPr>
              <w:t>,</w:t>
            </w:r>
            <w:r w:rsidRPr="001E7771">
              <w:rPr>
                <w:sz w:val="22"/>
              </w:rPr>
              <w:t>3%*</w:t>
            </w:r>
          </w:p>
        </w:tc>
        <w:tc>
          <w:tcPr>
            <w:tcW w:w="970" w:type="dxa"/>
            <w:vAlign w:val="center"/>
          </w:tcPr>
          <w:p w14:paraId="3E915927" w14:textId="7B043ACB" w:rsidR="00BE55D4" w:rsidRPr="001E7771" w:rsidRDefault="00985E55" w:rsidP="001E7771">
            <w:pPr>
              <w:ind w:firstLine="0"/>
              <w:jc w:val="center"/>
              <w:rPr>
                <w:sz w:val="22"/>
              </w:rPr>
            </w:pPr>
            <w:r w:rsidRPr="001E7771">
              <w:rPr>
                <w:sz w:val="22"/>
              </w:rPr>
              <w:t>11</w:t>
            </w:r>
            <w:r w:rsidR="00633750" w:rsidRPr="001E7771">
              <w:rPr>
                <w:sz w:val="22"/>
              </w:rPr>
              <w:t>,</w:t>
            </w:r>
            <w:r w:rsidRPr="001E7771">
              <w:rPr>
                <w:sz w:val="22"/>
              </w:rPr>
              <w:t>9%</w:t>
            </w:r>
          </w:p>
        </w:tc>
        <w:tc>
          <w:tcPr>
            <w:tcW w:w="1433" w:type="dxa"/>
            <w:vAlign w:val="center"/>
          </w:tcPr>
          <w:p w14:paraId="69161577" w14:textId="67082481" w:rsidR="00BE55D4" w:rsidRPr="001E7771" w:rsidRDefault="009576CD" w:rsidP="001E7771">
            <w:pPr>
              <w:ind w:firstLine="0"/>
              <w:jc w:val="center"/>
              <w:rPr>
                <w:sz w:val="22"/>
              </w:rPr>
            </w:pPr>
            <w:r w:rsidRPr="001E7771">
              <w:rPr>
                <w:sz w:val="22"/>
              </w:rPr>
              <w:t>47</w:t>
            </w:r>
            <w:r w:rsidR="00633750" w:rsidRPr="001E7771">
              <w:rPr>
                <w:sz w:val="22"/>
              </w:rPr>
              <w:t>,</w:t>
            </w:r>
            <w:r w:rsidRPr="001E7771">
              <w:rPr>
                <w:sz w:val="22"/>
              </w:rPr>
              <w:t>7%*</w:t>
            </w:r>
          </w:p>
        </w:tc>
        <w:tc>
          <w:tcPr>
            <w:tcW w:w="1326" w:type="dxa"/>
            <w:vAlign w:val="center"/>
          </w:tcPr>
          <w:p w14:paraId="0F427071" w14:textId="04E913EC" w:rsidR="00BE55D4" w:rsidRPr="001E7771" w:rsidRDefault="00237109" w:rsidP="001E7771">
            <w:pPr>
              <w:ind w:firstLine="0"/>
              <w:jc w:val="center"/>
              <w:rPr>
                <w:sz w:val="22"/>
              </w:rPr>
            </w:pPr>
            <w:r w:rsidRPr="001E7771">
              <w:rPr>
                <w:sz w:val="22"/>
              </w:rPr>
              <w:t>58</w:t>
            </w:r>
            <w:r w:rsidR="00633750" w:rsidRPr="001E7771">
              <w:rPr>
                <w:sz w:val="22"/>
              </w:rPr>
              <w:t>,</w:t>
            </w:r>
            <w:r w:rsidRPr="001E7771">
              <w:rPr>
                <w:sz w:val="22"/>
              </w:rPr>
              <w:t>2%*</w:t>
            </w:r>
          </w:p>
        </w:tc>
      </w:tr>
      <w:tr w:rsidR="001957A5" w14:paraId="542D27BE" w14:textId="77777777" w:rsidTr="001E7771">
        <w:tc>
          <w:tcPr>
            <w:tcW w:w="1791" w:type="dxa"/>
            <w:vAlign w:val="center"/>
          </w:tcPr>
          <w:p w14:paraId="2583F396" w14:textId="7890A9E8" w:rsidR="001957A5" w:rsidRPr="001E7771" w:rsidRDefault="001957A5" w:rsidP="00273451">
            <w:pPr>
              <w:ind w:firstLine="0"/>
              <w:rPr>
                <w:sz w:val="22"/>
                <w:vertAlign w:val="superscript"/>
              </w:rPr>
            </w:pPr>
            <w:r w:rsidRPr="001E7771">
              <w:rPr>
                <w:sz w:val="22"/>
              </w:rPr>
              <w:t xml:space="preserve">Ремиссия без терапии ГКС </w:t>
            </w:r>
            <w:r w:rsidR="00150299" w:rsidRPr="001E7771">
              <w:rPr>
                <w:sz w:val="22"/>
              </w:rPr>
              <w:t>среди пациентов, получавших ГКС исходно</w:t>
            </w:r>
            <w:r w:rsidR="00150299" w:rsidRPr="001E7771">
              <w:rPr>
                <w:sz w:val="22"/>
                <w:vertAlign w:val="superscript"/>
                <w:lang w:val="en-US"/>
              </w:rPr>
              <w:t>a</w:t>
            </w:r>
            <w:r w:rsidR="00150299" w:rsidRPr="001E7771">
              <w:rPr>
                <w:sz w:val="22"/>
                <w:vertAlign w:val="superscript"/>
              </w:rPr>
              <w:t>,</w:t>
            </w:r>
            <w:r w:rsidR="00150299" w:rsidRPr="001E7771">
              <w:rPr>
                <w:sz w:val="22"/>
                <w:vertAlign w:val="superscript"/>
                <w:lang w:val="en-US"/>
              </w:rPr>
              <w:t>g</w:t>
            </w:r>
          </w:p>
        </w:tc>
        <w:tc>
          <w:tcPr>
            <w:tcW w:w="970" w:type="dxa"/>
            <w:vAlign w:val="center"/>
          </w:tcPr>
          <w:p w14:paraId="52248DD8" w14:textId="3A0F362B" w:rsidR="001957A5" w:rsidRPr="001E7771" w:rsidRDefault="00B625B2" w:rsidP="001E7771">
            <w:pPr>
              <w:ind w:firstLine="0"/>
              <w:jc w:val="center"/>
              <w:rPr>
                <w:sz w:val="22"/>
              </w:rPr>
            </w:pPr>
            <w:r w:rsidRPr="001E7771">
              <w:rPr>
                <w:sz w:val="22"/>
              </w:rPr>
              <w:t>10</w:t>
            </w:r>
            <w:r w:rsidR="00633750" w:rsidRPr="001E7771">
              <w:rPr>
                <w:sz w:val="22"/>
              </w:rPr>
              <w:t>,</w:t>
            </w:r>
            <w:r w:rsidRPr="001E7771">
              <w:rPr>
                <w:sz w:val="22"/>
              </w:rPr>
              <w:t>9%</w:t>
            </w:r>
          </w:p>
        </w:tc>
        <w:tc>
          <w:tcPr>
            <w:tcW w:w="1433" w:type="dxa"/>
            <w:vAlign w:val="center"/>
          </w:tcPr>
          <w:p w14:paraId="5F6274D4" w14:textId="67A23617" w:rsidR="001957A5" w:rsidRPr="001E7771" w:rsidRDefault="00DD37DE" w:rsidP="001E7771">
            <w:pPr>
              <w:ind w:firstLine="0"/>
              <w:jc w:val="center"/>
              <w:rPr>
                <w:sz w:val="22"/>
              </w:rPr>
            </w:pPr>
            <w:r w:rsidRPr="001E7771">
              <w:rPr>
                <w:sz w:val="22"/>
              </w:rPr>
              <w:t>27</w:t>
            </w:r>
            <w:r w:rsidR="00633750" w:rsidRPr="001E7771">
              <w:rPr>
                <w:sz w:val="22"/>
              </w:rPr>
              <w:t>,</w:t>
            </w:r>
            <w:r w:rsidRPr="001E7771">
              <w:rPr>
                <w:sz w:val="22"/>
              </w:rPr>
              <w:t>7%†</w:t>
            </w:r>
          </w:p>
        </w:tc>
        <w:tc>
          <w:tcPr>
            <w:tcW w:w="1433" w:type="dxa"/>
            <w:vAlign w:val="center"/>
          </w:tcPr>
          <w:p w14:paraId="5F28CF4B" w14:textId="49C6A0B1" w:rsidR="001957A5" w:rsidRPr="001E7771" w:rsidRDefault="009C0E3D" w:rsidP="001E7771">
            <w:pPr>
              <w:ind w:firstLine="0"/>
              <w:jc w:val="center"/>
              <w:rPr>
                <w:sz w:val="22"/>
              </w:rPr>
            </w:pPr>
            <w:r w:rsidRPr="001E7771">
              <w:rPr>
                <w:sz w:val="22"/>
              </w:rPr>
              <w:t>27</w:t>
            </w:r>
            <w:r w:rsidR="00633750" w:rsidRPr="001E7771">
              <w:rPr>
                <w:sz w:val="22"/>
              </w:rPr>
              <w:t>,</w:t>
            </w:r>
            <w:r w:rsidRPr="001E7771">
              <w:rPr>
                <w:sz w:val="22"/>
              </w:rPr>
              <w:t>6%†</w:t>
            </w:r>
          </w:p>
        </w:tc>
        <w:tc>
          <w:tcPr>
            <w:tcW w:w="970" w:type="dxa"/>
            <w:vAlign w:val="center"/>
          </w:tcPr>
          <w:p w14:paraId="3BA547C3" w14:textId="42AAEBA1" w:rsidR="001957A5" w:rsidRPr="001E7771" w:rsidRDefault="00985E55" w:rsidP="001E7771">
            <w:pPr>
              <w:ind w:firstLine="0"/>
              <w:jc w:val="center"/>
              <w:rPr>
                <w:sz w:val="22"/>
              </w:rPr>
            </w:pPr>
            <w:r w:rsidRPr="001E7771">
              <w:rPr>
                <w:sz w:val="22"/>
              </w:rPr>
              <w:t>13</w:t>
            </w:r>
            <w:r w:rsidR="00633750" w:rsidRPr="001E7771">
              <w:rPr>
                <w:sz w:val="22"/>
              </w:rPr>
              <w:t>,</w:t>
            </w:r>
            <w:r w:rsidRPr="001E7771">
              <w:rPr>
                <w:sz w:val="22"/>
              </w:rPr>
              <w:t>9%</w:t>
            </w:r>
          </w:p>
        </w:tc>
        <w:tc>
          <w:tcPr>
            <w:tcW w:w="1433" w:type="dxa"/>
            <w:vAlign w:val="center"/>
          </w:tcPr>
          <w:p w14:paraId="4EBEE3AC" w14:textId="4FE5CDBE" w:rsidR="001957A5" w:rsidRPr="001E7771" w:rsidRDefault="009576CD" w:rsidP="001E7771">
            <w:pPr>
              <w:ind w:firstLine="0"/>
              <w:jc w:val="center"/>
              <w:rPr>
                <w:sz w:val="22"/>
              </w:rPr>
            </w:pPr>
            <w:r w:rsidRPr="001E7771">
              <w:rPr>
                <w:sz w:val="22"/>
              </w:rPr>
              <w:t>32</w:t>
            </w:r>
            <w:r w:rsidR="00633750" w:rsidRPr="001E7771">
              <w:rPr>
                <w:sz w:val="22"/>
              </w:rPr>
              <w:t>,</w:t>
            </w:r>
            <w:r w:rsidRPr="001E7771">
              <w:rPr>
                <w:sz w:val="22"/>
              </w:rPr>
              <w:t>7%†</w:t>
            </w:r>
          </w:p>
        </w:tc>
        <w:tc>
          <w:tcPr>
            <w:tcW w:w="1326" w:type="dxa"/>
            <w:vAlign w:val="center"/>
          </w:tcPr>
          <w:p w14:paraId="0C31238A" w14:textId="70A28049" w:rsidR="001957A5" w:rsidRPr="001E7771" w:rsidRDefault="00237109" w:rsidP="001E7771">
            <w:pPr>
              <w:ind w:firstLine="0"/>
              <w:jc w:val="center"/>
              <w:rPr>
                <w:sz w:val="22"/>
              </w:rPr>
            </w:pPr>
            <w:r w:rsidRPr="001E7771">
              <w:rPr>
                <w:sz w:val="22"/>
              </w:rPr>
              <w:t>31</w:t>
            </w:r>
            <w:r w:rsidR="00633750" w:rsidRPr="001E7771">
              <w:rPr>
                <w:sz w:val="22"/>
              </w:rPr>
              <w:t>,</w:t>
            </w:r>
            <w:r w:rsidRPr="001E7771">
              <w:rPr>
                <w:sz w:val="22"/>
              </w:rPr>
              <w:t>0%†</w:t>
            </w:r>
          </w:p>
        </w:tc>
      </w:tr>
      <w:tr w:rsidR="001E7771" w14:paraId="3B875303" w14:textId="77777777" w:rsidTr="004335CD">
        <w:tc>
          <w:tcPr>
            <w:tcW w:w="9356" w:type="dxa"/>
            <w:gridSpan w:val="7"/>
            <w:vAlign w:val="center"/>
          </w:tcPr>
          <w:p w14:paraId="36F403DF" w14:textId="77777777" w:rsidR="001E7771" w:rsidRPr="001E7771" w:rsidRDefault="001E7771" w:rsidP="001E7771">
            <w:pPr>
              <w:pStyle w:val="SDcomments"/>
              <w:ind w:firstLine="0"/>
              <w:rPr>
                <w:b/>
                <w:iCs/>
              </w:rPr>
            </w:pPr>
            <w:r w:rsidRPr="001E7771">
              <w:rPr>
                <w:b/>
                <w:iCs/>
              </w:rPr>
              <w:t xml:space="preserve">Примечание: </w:t>
            </w:r>
          </w:p>
          <w:p w14:paraId="10983DCB" w14:textId="26ED0FAE" w:rsidR="001E7771" w:rsidRPr="001E7771" w:rsidRDefault="001E7771" w:rsidP="001E7771">
            <w:pPr>
              <w:pStyle w:val="SDcomments"/>
              <w:ind w:firstLine="0"/>
            </w:pPr>
            <w:r>
              <w:t xml:space="preserve">ГКС – глюкокорикостероид; </w:t>
            </w:r>
            <w:r>
              <w:rPr>
                <w:vertAlign w:val="superscript"/>
                <w:lang w:val="en-US"/>
              </w:rPr>
              <w:t>a</w:t>
            </w:r>
            <w:r>
              <w:t xml:space="preserve"> – ремиссия определялась как клиническая ремиссия (показатель по шкале Мейо </w:t>
            </w:r>
            <w:r>
              <w:rPr>
                <w:rFonts w:cs="Times New Roman"/>
              </w:rPr>
              <w:t>≤ 2 баллов</w:t>
            </w:r>
            <w:r w:rsidRPr="000F49AE">
              <w:rPr>
                <w:rFonts w:cs="Times New Roman"/>
              </w:rPr>
              <w:t xml:space="preserve"> </w:t>
            </w:r>
            <w:r>
              <w:rPr>
                <w:rFonts w:cs="Times New Roman"/>
              </w:rPr>
              <w:t xml:space="preserve">и отстутствие превышения 1 балла по какой-либо подшкале), а также показатель по подшкале кровотечения из прямой кишки, равный 0; </w:t>
            </w:r>
            <w:r>
              <w:rPr>
                <w:vertAlign w:val="superscript"/>
                <w:lang w:val="en-US"/>
              </w:rPr>
              <w:t>b</w:t>
            </w:r>
            <w:r>
              <w:t xml:space="preserve"> – улучшение эндоскопической картины слизистой оболочки, определяемое по подшкалам шкалы Мейо на 0 баллов (нормальная картина или отсутствие активности заболевания) или 1 балл (эритема, снижение сосудистого рисунка); </w:t>
            </w:r>
            <w:r>
              <w:rPr>
                <w:vertAlign w:val="superscript"/>
                <w:lang w:val="en-US"/>
              </w:rPr>
              <w:t>c</w:t>
            </w:r>
            <w:r>
              <w:t xml:space="preserve"> – эндоскопическая нормализация картины слизистой оболочки, определяемая как показатели по подшкалам шкалы Мейо, равные 0; </w:t>
            </w:r>
            <w:r>
              <w:rPr>
                <w:vertAlign w:val="superscript"/>
                <w:lang w:val="en-US"/>
              </w:rPr>
              <w:t>d</w:t>
            </w:r>
            <w:r>
              <w:t xml:space="preserve"> – поддержание клинического ответа определяли как снижение от значения в индукционном исследовании (OCTAVE Induction 1 или OCTAVE Induction 2) исходного показателя по шкале Мейо на </w:t>
            </w:r>
            <w:r>
              <w:rPr>
                <w:rFonts w:cs="Times New Roman"/>
              </w:rPr>
              <w:t>≥</w:t>
            </w:r>
            <w:r>
              <w:t xml:space="preserve"> 3 балла и на </w:t>
            </w:r>
            <w:r>
              <w:rPr>
                <w:rFonts w:cs="Times New Roman"/>
              </w:rPr>
              <w:t xml:space="preserve">≥ </w:t>
            </w:r>
            <w:r>
              <w:t xml:space="preserve">30% с сопутствующим снижением показателя по подшкале кровотечения из прямой кишки на </w:t>
            </w:r>
            <w:r>
              <w:rPr>
                <w:rFonts w:cs="Times New Roman"/>
              </w:rPr>
              <w:t>≥</w:t>
            </w:r>
            <w:r>
              <w:t xml:space="preserve"> 1 балл или абсолютным показателем по этой подшкале, равным 0 или 1 балл; пациенты должны были быть с клиническим ответом исходно при включении в исследование </w:t>
            </w:r>
            <w:r w:rsidRPr="00762CE2">
              <w:t>OCTAVE sustain</w:t>
            </w:r>
            <w:r>
              <w:t xml:space="preserve">; </w:t>
            </w:r>
            <w:r>
              <w:rPr>
                <w:vertAlign w:val="superscript"/>
                <w:lang w:val="en-US"/>
              </w:rPr>
              <w:t>e</w:t>
            </w:r>
            <w:r w:rsidRPr="00513CA0">
              <w:t xml:space="preserve"> </w:t>
            </w:r>
            <w:r>
              <w:t>–</w:t>
            </w:r>
            <w:r w:rsidRPr="00513CA0">
              <w:t xml:space="preserve"> </w:t>
            </w:r>
            <w:r>
              <w:t xml:space="preserve">поддержание ремиссии без терапии ГКС определялось как ремиссия при отсутствии использования ГКС в течение не менее 4 недель до визитов на неделях 24 и 52; </w:t>
            </w:r>
            <w:r w:rsidRPr="005939AC">
              <w:rPr>
                <w:vertAlign w:val="superscript"/>
              </w:rPr>
              <w:t>f</w:t>
            </w:r>
            <w:r w:rsidRPr="005939AC">
              <w:t xml:space="preserve"> </w:t>
            </w:r>
            <w:r>
              <w:t xml:space="preserve">– </w:t>
            </w:r>
            <w:r w:rsidRPr="005939AC">
              <w:t>N</w:t>
            </w:r>
            <w:r>
              <w:t xml:space="preserve"> </w:t>
            </w:r>
            <w:r w:rsidRPr="005939AC">
              <w:t>=</w:t>
            </w:r>
            <w:r>
              <w:t xml:space="preserve"> </w:t>
            </w:r>
            <w:r w:rsidRPr="005939AC">
              <w:t xml:space="preserve">59 </w:t>
            </w:r>
            <w:r>
              <w:t>для плацебо</w:t>
            </w:r>
            <w:r w:rsidRPr="005939AC">
              <w:t>, N</w:t>
            </w:r>
            <w:r>
              <w:t xml:space="preserve"> </w:t>
            </w:r>
            <w:r w:rsidRPr="005939AC">
              <w:t>=</w:t>
            </w:r>
            <w:r>
              <w:t xml:space="preserve"> </w:t>
            </w:r>
            <w:r w:rsidRPr="005939AC">
              <w:t xml:space="preserve">65 </w:t>
            </w:r>
            <w:r>
              <w:t>для тофацитиниба</w:t>
            </w:r>
            <w:r w:rsidRPr="005939AC">
              <w:t xml:space="preserve"> 5 </w:t>
            </w:r>
            <w:r>
              <w:t>мг 2 раза в день</w:t>
            </w:r>
            <w:r w:rsidRPr="005939AC">
              <w:t>, N</w:t>
            </w:r>
            <w:r>
              <w:t xml:space="preserve"> </w:t>
            </w:r>
            <w:r w:rsidRPr="005939AC">
              <w:t>=</w:t>
            </w:r>
            <w:r>
              <w:t xml:space="preserve"> </w:t>
            </w:r>
            <w:r w:rsidRPr="005939AC">
              <w:t xml:space="preserve">55 </w:t>
            </w:r>
            <w:r>
              <w:t>для тофацитиниба</w:t>
            </w:r>
            <w:r w:rsidRPr="005939AC">
              <w:t xml:space="preserve"> 10 </w:t>
            </w:r>
            <w:r>
              <w:t>мг 2 раза в день;</w:t>
            </w:r>
            <w:r w:rsidRPr="00D72514">
              <w:t xml:space="preserve"> </w:t>
            </w:r>
            <w:r w:rsidRPr="00D72514">
              <w:rPr>
                <w:vertAlign w:val="superscript"/>
              </w:rPr>
              <w:t>g</w:t>
            </w:r>
            <w:r w:rsidRPr="00D72514">
              <w:t xml:space="preserve"> </w:t>
            </w:r>
            <w:r>
              <w:t xml:space="preserve">– </w:t>
            </w:r>
            <w:r w:rsidRPr="00D72514">
              <w:t>N</w:t>
            </w:r>
            <w:r>
              <w:t xml:space="preserve"> </w:t>
            </w:r>
            <w:r w:rsidRPr="00D72514">
              <w:t>=</w:t>
            </w:r>
            <w:r>
              <w:t xml:space="preserve"> </w:t>
            </w:r>
            <w:r w:rsidRPr="00D72514">
              <w:t xml:space="preserve">101 </w:t>
            </w:r>
            <w:r>
              <w:t>для плацебо</w:t>
            </w:r>
            <w:r w:rsidRPr="00D72514">
              <w:t>, N</w:t>
            </w:r>
            <w:r>
              <w:t xml:space="preserve"> </w:t>
            </w:r>
            <w:r w:rsidRPr="00D72514">
              <w:t>=</w:t>
            </w:r>
            <w:r>
              <w:t xml:space="preserve"> </w:t>
            </w:r>
            <w:r w:rsidRPr="00D72514">
              <w:t xml:space="preserve">101 </w:t>
            </w:r>
            <w:r>
              <w:t>для тофацитиниба</w:t>
            </w:r>
            <w:r w:rsidRPr="00D72514">
              <w:t xml:space="preserve"> 5 </w:t>
            </w:r>
            <w:r>
              <w:t>мг 2 раза в день</w:t>
            </w:r>
            <w:r w:rsidRPr="00D72514">
              <w:t>, N</w:t>
            </w:r>
            <w:r>
              <w:t xml:space="preserve"> </w:t>
            </w:r>
            <w:r w:rsidRPr="00D72514">
              <w:t>=</w:t>
            </w:r>
            <w:r>
              <w:t xml:space="preserve"> </w:t>
            </w:r>
            <w:r w:rsidRPr="00D72514">
              <w:t xml:space="preserve">87 </w:t>
            </w:r>
            <w:r>
              <w:t>для тофацитиниба</w:t>
            </w:r>
            <w:r w:rsidRPr="00D72514">
              <w:t xml:space="preserve"> 10 </w:t>
            </w:r>
            <w:r>
              <w:t>мг 2 раза в день;</w:t>
            </w:r>
            <w:r w:rsidRPr="005939AC">
              <w:t xml:space="preserve"> </w:t>
            </w:r>
            <w:r w:rsidRPr="00E3219E">
              <w:t>*</w:t>
            </w:r>
            <w:r>
              <w:t xml:space="preserve"> – статистически значимые различия, </w:t>
            </w:r>
            <w:r w:rsidRPr="00E3219E">
              <w:t>p</w:t>
            </w:r>
            <w:r>
              <w:t xml:space="preserve"> </w:t>
            </w:r>
            <w:r w:rsidRPr="00E3219E">
              <w:t>&lt;</w:t>
            </w:r>
            <w:r>
              <w:t xml:space="preserve"> </w:t>
            </w:r>
            <w:r w:rsidRPr="00E3219E">
              <w:t>0</w:t>
            </w:r>
            <w:r>
              <w:t>,</w:t>
            </w:r>
            <w:r w:rsidRPr="00E3219E">
              <w:t xml:space="preserve">0001; </w:t>
            </w:r>
            <w:r>
              <w:t xml:space="preserve">** – статистически значимые различия, </w:t>
            </w:r>
            <w:r w:rsidRPr="00E3219E">
              <w:t>p</w:t>
            </w:r>
            <w:r>
              <w:t xml:space="preserve"> </w:t>
            </w:r>
            <w:r w:rsidRPr="00E3219E">
              <w:t>&lt;</w:t>
            </w:r>
            <w:r>
              <w:t xml:space="preserve"> </w:t>
            </w:r>
            <w:r w:rsidRPr="00E3219E">
              <w:t>0</w:t>
            </w:r>
            <w:r>
              <w:t>,</w:t>
            </w:r>
            <w:r w:rsidRPr="00E3219E">
              <w:t xml:space="preserve">001; † </w:t>
            </w:r>
            <w:r>
              <w:t xml:space="preserve">– статистически значимые различия, </w:t>
            </w:r>
            <w:r w:rsidRPr="00E3219E">
              <w:t>p</w:t>
            </w:r>
            <w:r>
              <w:t xml:space="preserve"> </w:t>
            </w:r>
            <w:r w:rsidRPr="00E3219E">
              <w:t>&lt;</w:t>
            </w:r>
            <w:r>
              <w:t xml:space="preserve"> </w:t>
            </w:r>
            <w:r w:rsidRPr="00E3219E">
              <w:t>0</w:t>
            </w:r>
            <w:r>
              <w:t>,</w:t>
            </w:r>
            <w:r w:rsidRPr="00E3219E">
              <w:t>05</w:t>
            </w:r>
            <w:r>
              <w:t>.</w:t>
            </w:r>
          </w:p>
        </w:tc>
      </w:tr>
    </w:tbl>
    <w:p w14:paraId="58204F9A" w14:textId="77777777" w:rsidR="00312931" w:rsidRDefault="00312931" w:rsidP="0063423A">
      <w:pPr>
        <w:pStyle w:val="SDcomments"/>
        <w:ind w:firstLine="0"/>
      </w:pPr>
    </w:p>
    <w:p w14:paraId="0E850D69" w14:textId="4CC0211F" w:rsidR="004861FD" w:rsidRPr="004861FD" w:rsidRDefault="004861FD" w:rsidP="004861FD">
      <w:pPr>
        <w:pStyle w:val="SDText"/>
        <w:ind w:firstLine="0"/>
        <w:contextualSpacing/>
        <w:rPr>
          <w:b/>
        </w:rPr>
      </w:pPr>
      <w:r w:rsidRPr="004861FD">
        <w:rPr>
          <w:b/>
        </w:rPr>
        <w:t>Исследование поддержания ремиссии OCTAVE Sustain</w:t>
      </w:r>
    </w:p>
    <w:p w14:paraId="0266B124" w14:textId="77777777" w:rsidR="00220E80" w:rsidRDefault="00220E80" w:rsidP="00D22A13">
      <w:pPr>
        <w:pStyle w:val="SDText"/>
        <w:contextualSpacing/>
      </w:pPr>
    </w:p>
    <w:p w14:paraId="02AF7695" w14:textId="320FD331" w:rsidR="00783528" w:rsidRPr="00273451" w:rsidRDefault="00783528" w:rsidP="00783528">
      <w:pPr>
        <w:pStyle w:val="SDText"/>
      </w:pPr>
      <w:r>
        <w:t xml:space="preserve">В обеих подгруппах пациентов с предшествующим недостаточных ответом на терапию ингибиторами </w:t>
      </w:r>
      <w:r>
        <w:rPr>
          <w:lang w:val="en-US"/>
        </w:rPr>
        <w:t>TNF</w:t>
      </w:r>
      <w:r w:rsidRPr="00B1038C">
        <w:t>-</w:t>
      </w:r>
      <w:r>
        <w:rPr>
          <w:rFonts w:cs="Times New Roman"/>
        </w:rPr>
        <w:t>α</w:t>
      </w:r>
      <w:r>
        <w:t xml:space="preserve"> или без него большая доля пациентов, получавших тофацитиниб в дозе 5 мг два раза в день, либо тофацитиниб в дозе 10 мг два раза в день, по сравнению с больными, получавшими плацебо, достигла на 52 неделе исследования OCTAVE Sustain следующих конечных точек: ремиссия, улучшение эндоскопической картины слизистой оболочки или устойчивая ремиссия без терапии ГКС на 24 и 52 неделе среди пациентов с ремиссией </w:t>
      </w:r>
      <w:r w:rsidRPr="001E7771">
        <w:t>исходно (</w:t>
      </w:r>
      <w:r w:rsidR="003B2BB9" w:rsidRPr="001E7771">
        <w:fldChar w:fldCharType="begin"/>
      </w:r>
      <w:r w:rsidR="003B2BB9" w:rsidRPr="001E7771">
        <w:instrText xml:space="preserve"> REF _Ref120700734 \h </w:instrText>
      </w:r>
      <w:r w:rsidR="001E7771" w:rsidRPr="001E7771">
        <w:instrText xml:space="preserve"> \* MERGEFORMAT </w:instrText>
      </w:r>
      <w:r w:rsidR="003B2BB9" w:rsidRPr="001E7771">
        <w:fldChar w:fldCharType="separate"/>
      </w:r>
      <w:r w:rsidR="00383E6F" w:rsidRPr="001E7771">
        <w:rPr>
          <w:bCs/>
        </w:rPr>
        <w:t xml:space="preserve">Таблица </w:t>
      </w:r>
      <w:r w:rsidR="00383E6F" w:rsidRPr="001E7771">
        <w:rPr>
          <w:bCs/>
          <w:noProof/>
        </w:rPr>
        <w:t>4</w:t>
      </w:r>
      <w:r w:rsidR="00383E6F" w:rsidRPr="001E7771">
        <w:rPr>
          <w:bCs/>
        </w:rPr>
        <w:noBreakHyphen/>
      </w:r>
      <w:r w:rsidR="00383E6F" w:rsidRPr="001E7771">
        <w:rPr>
          <w:bCs/>
          <w:noProof/>
        </w:rPr>
        <w:t>19</w:t>
      </w:r>
      <w:r w:rsidR="003B2BB9" w:rsidRPr="001E7771">
        <w:fldChar w:fldCharType="end"/>
      </w:r>
      <w:r w:rsidRPr="001E7771">
        <w:t>). Эти</w:t>
      </w:r>
      <w:r>
        <w:t xml:space="preserve"> различия по сравнению с плацебо были сопоставимыми в группах пациентов, получавших тофацитиниб в дозе 5 мг два раза в день или тофацитиниб в дозе 10 мг два раза в день в подгруппе пациентов без предшествующей неудачи терапии ингибиторами </w:t>
      </w:r>
      <w:r>
        <w:rPr>
          <w:lang w:val="en-US"/>
        </w:rPr>
        <w:t>TNF</w:t>
      </w:r>
      <w:r w:rsidRPr="00B1038C">
        <w:t>-</w:t>
      </w:r>
      <w:r>
        <w:rPr>
          <w:rFonts w:cs="Times New Roman"/>
        </w:rPr>
        <w:t>α</w:t>
      </w:r>
      <w:r>
        <w:t xml:space="preserve">. В подгруппе пациентов с предшествующей неудачей терапии ингибиторами </w:t>
      </w:r>
      <w:r>
        <w:rPr>
          <w:lang w:val="en-US"/>
        </w:rPr>
        <w:t>TNF</w:t>
      </w:r>
      <w:r w:rsidRPr="00B1038C">
        <w:t>-</w:t>
      </w:r>
      <w:r>
        <w:rPr>
          <w:rFonts w:cs="Times New Roman"/>
        </w:rPr>
        <w:t>α</w:t>
      </w:r>
      <w:r>
        <w:t>, наблюдаемое различие показателя</w:t>
      </w:r>
      <w:r w:rsidR="00383E6F">
        <w:t xml:space="preserve"> </w:t>
      </w:r>
      <w:r>
        <w:t xml:space="preserve">на фоне активной терапии или плацебо было более выраженным для тофацитиниба в дозе 10 мг два раза в день по сравнению с тофацитинибом в дозе 5 мг два раза в день на 9,7–16,7 процентных пункта по всем первичным и ключевым вторичным конечным точкам </w:t>
      </w:r>
      <w:r>
        <w:fldChar w:fldCharType="begin"/>
      </w:r>
      <w:r>
        <w:instrText xml:space="preserve"> ADDIN ZOTERO_ITEM CSL_CITATION {"citationID":"Yo2dapAS","properties":{"formattedCitation":"[24]","plainCitation":"[24]","noteIndex":0},"citationItems":[{"id":87800,"uris":["http://zotero.org/groups/4742804/items/TPCQ89X9"],"itemData":{"id":87800,"type":"webpage","title":"Xeljanz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Pr>
          <w:rFonts w:cs="Times New Roman"/>
        </w:rPr>
        <w:t>[2</w:t>
      </w:r>
      <w:r w:rsidRPr="008D5290">
        <w:rPr>
          <w:rFonts w:cs="Times New Roman"/>
        </w:rPr>
        <w:t>]</w:t>
      </w:r>
      <w:r>
        <w:fldChar w:fldCharType="end"/>
      </w:r>
      <w:r>
        <w:t>.</w:t>
      </w:r>
    </w:p>
    <w:p w14:paraId="3E811135" w14:textId="6C966C05" w:rsidR="00821A7F" w:rsidRDefault="00783528" w:rsidP="001E7771">
      <w:pPr>
        <w:pStyle w:val="SDText"/>
        <w:spacing w:after="0"/>
        <w:ind w:firstLine="0"/>
      </w:pPr>
      <w:bookmarkStart w:id="250" w:name="_Ref120700734"/>
      <w:r w:rsidRPr="003B2BB9">
        <w:rPr>
          <w:b/>
          <w:bCs/>
        </w:rPr>
        <w:lastRenderedPageBreak/>
        <w:t xml:space="preserve">Таблица </w:t>
      </w:r>
      <w:r w:rsidR="00652269" w:rsidRPr="003B2BB9">
        <w:rPr>
          <w:b/>
          <w:bCs/>
        </w:rPr>
        <w:fldChar w:fldCharType="begin"/>
      </w:r>
      <w:r w:rsidR="00652269" w:rsidRPr="003B2BB9">
        <w:rPr>
          <w:b/>
          <w:bCs/>
        </w:rPr>
        <w:instrText xml:space="preserve"> STYLEREF 1 \s </w:instrText>
      </w:r>
      <w:r w:rsidR="00652269" w:rsidRPr="003B2BB9">
        <w:rPr>
          <w:b/>
          <w:bCs/>
        </w:rPr>
        <w:fldChar w:fldCharType="separate"/>
      </w:r>
      <w:r w:rsidR="00383E6F">
        <w:rPr>
          <w:b/>
          <w:bCs/>
          <w:noProof/>
        </w:rPr>
        <w:t>4</w:t>
      </w:r>
      <w:r w:rsidR="00652269" w:rsidRPr="003B2BB9">
        <w:rPr>
          <w:b/>
          <w:bCs/>
        </w:rPr>
        <w:fldChar w:fldCharType="end"/>
      </w:r>
      <w:r w:rsidR="00652269" w:rsidRPr="003B2BB9">
        <w:rPr>
          <w:b/>
          <w:bCs/>
        </w:rPr>
        <w:noBreakHyphen/>
      </w:r>
      <w:r w:rsidR="00652269" w:rsidRPr="003B2BB9">
        <w:rPr>
          <w:b/>
          <w:bCs/>
        </w:rPr>
        <w:fldChar w:fldCharType="begin"/>
      </w:r>
      <w:r w:rsidR="00652269" w:rsidRPr="003B2BB9">
        <w:rPr>
          <w:b/>
          <w:bCs/>
        </w:rPr>
        <w:instrText xml:space="preserve"> SEQ Таблица \* ARABIC \s 1 </w:instrText>
      </w:r>
      <w:r w:rsidR="00652269" w:rsidRPr="003B2BB9">
        <w:rPr>
          <w:b/>
          <w:bCs/>
        </w:rPr>
        <w:fldChar w:fldCharType="separate"/>
      </w:r>
      <w:r w:rsidR="00383E6F">
        <w:rPr>
          <w:b/>
          <w:bCs/>
          <w:noProof/>
        </w:rPr>
        <w:t>19</w:t>
      </w:r>
      <w:r w:rsidR="00652269" w:rsidRPr="003B2BB9">
        <w:rPr>
          <w:b/>
          <w:bCs/>
        </w:rPr>
        <w:fldChar w:fldCharType="end"/>
      </w:r>
      <w:bookmarkEnd w:id="250"/>
      <w:r w:rsidR="003B2BB9" w:rsidRPr="003B2BB9">
        <w:rPr>
          <w:b/>
          <w:bCs/>
        </w:rPr>
        <w:t>.</w:t>
      </w:r>
      <w:r>
        <w:t xml:space="preserve"> </w:t>
      </w:r>
      <w:r w:rsidR="00A756AD">
        <w:t xml:space="preserve">Доля пациентов, достигших </w:t>
      </w:r>
      <w:r w:rsidR="007E5156">
        <w:t>первичных и вторичных конечных точек</w:t>
      </w:r>
      <w:r w:rsidR="00CF1428">
        <w:t xml:space="preserve"> на неделе 52 </w:t>
      </w:r>
      <w:r w:rsidR="00D11363">
        <w:t xml:space="preserve">в зависимости от ответа на терапию </w:t>
      </w:r>
      <w:r w:rsidR="00D11363" w:rsidRPr="00D11363">
        <w:t>TNF-α</w:t>
      </w:r>
      <w:r w:rsidR="00252180">
        <w:t xml:space="preserve"> (исследование </w:t>
      </w:r>
      <w:r w:rsidR="00252180" w:rsidRPr="00252180">
        <w:t>OCTAVE Sustain</w:t>
      </w:r>
      <w:r w:rsidR="00252180">
        <w:t xml:space="preserve">, оценка </w:t>
      </w:r>
      <w:r w:rsidR="00505684">
        <w:t>центральным эндоскопистом)</w:t>
      </w:r>
      <w:r w:rsidR="003B2BB9">
        <w:t>.</w:t>
      </w:r>
    </w:p>
    <w:tbl>
      <w:tblPr>
        <w:tblStyle w:val="a4"/>
        <w:tblW w:w="0" w:type="auto"/>
        <w:tblInd w:w="108" w:type="dxa"/>
        <w:tblLook w:val="04A0" w:firstRow="1" w:lastRow="0" w:firstColumn="1" w:lastColumn="0" w:noHBand="0" w:noVBand="1"/>
      </w:tblPr>
      <w:tblGrid>
        <w:gridCol w:w="2552"/>
        <w:gridCol w:w="2268"/>
        <w:gridCol w:w="2250"/>
        <w:gridCol w:w="2286"/>
      </w:tblGrid>
      <w:tr w:rsidR="00DC7F06" w14:paraId="54B2516C" w14:textId="77777777" w:rsidTr="001E7771">
        <w:trPr>
          <w:tblHeader/>
        </w:trPr>
        <w:tc>
          <w:tcPr>
            <w:tcW w:w="2552" w:type="dxa"/>
            <w:shd w:val="clear" w:color="auto" w:fill="D9D9D9" w:themeFill="background1" w:themeFillShade="D9"/>
            <w:vAlign w:val="center"/>
          </w:tcPr>
          <w:p w14:paraId="5E477A06" w14:textId="0907C9BC" w:rsidR="00DC7F06" w:rsidRPr="00DC7F06" w:rsidRDefault="00DC7F06" w:rsidP="00DC7F06">
            <w:pPr>
              <w:ind w:firstLine="0"/>
              <w:jc w:val="center"/>
              <w:rPr>
                <w:b/>
                <w:bCs/>
              </w:rPr>
            </w:pPr>
            <w:r>
              <w:rPr>
                <w:b/>
                <w:bCs/>
              </w:rPr>
              <w:t>Конечная точка</w:t>
            </w:r>
          </w:p>
        </w:tc>
        <w:tc>
          <w:tcPr>
            <w:tcW w:w="2268" w:type="dxa"/>
            <w:shd w:val="clear" w:color="auto" w:fill="D9D9D9" w:themeFill="background1" w:themeFillShade="D9"/>
            <w:vAlign w:val="center"/>
          </w:tcPr>
          <w:p w14:paraId="77211370" w14:textId="789F128C" w:rsidR="00DC7F06" w:rsidRPr="00DC7F06" w:rsidRDefault="00DC7F06" w:rsidP="00DC7F06">
            <w:pPr>
              <w:ind w:firstLine="0"/>
              <w:jc w:val="center"/>
              <w:rPr>
                <w:b/>
                <w:bCs/>
              </w:rPr>
            </w:pPr>
            <w:r>
              <w:rPr>
                <w:b/>
                <w:bCs/>
              </w:rPr>
              <w:t>Плацебо (</w:t>
            </w:r>
            <w:r>
              <w:rPr>
                <w:b/>
                <w:bCs/>
                <w:lang w:val="en-US"/>
              </w:rPr>
              <w:t>N = 198)</w:t>
            </w:r>
          </w:p>
        </w:tc>
        <w:tc>
          <w:tcPr>
            <w:tcW w:w="2250" w:type="dxa"/>
            <w:shd w:val="clear" w:color="auto" w:fill="D9D9D9" w:themeFill="background1" w:themeFillShade="D9"/>
            <w:vAlign w:val="center"/>
          </w:tcPr>
          <w:p w14:paraId="0A2AC976" w14:textId="77777777" w:rsidR="001E7771" w:rsidRDefault="00593BA3" w:rsidP="00DC7F06">
            <w:pPr>
              <w:ind w:firstLine="0"/>
              <w:jc w:val="center"/>
              <w:rPr>
                <w:b/>
                <w:bCs/>
              </w:rPr>
            </w:pPr>
            <w:r>
              <w:rPr>
                <w:b/>
                <w:bCs/>
              </w:rPr>
              <w:t xml:space="preserve">Тофацитиниб 5 мг 2 раза в день </w:t>
            </w:r>
          </w:p>
          <w:p w14:paraId="4AF3B908" w14:textId="62BD1064" w:rsidR="00DC7F06" w:rsidRPr="00593BA3" w:rsidRDefault="00593BA3" w:rsidP="00DC7F06">
            <w:pPr>
              <w:ind w:firstLine="0"/>
              <w:jc w:val="center"/>
              <w:rPr>
                <w:b/>
                <w:bCs/>
              </w:rPr>
            </w:pPr>
            <w:r>
              <w:rPr>
                <w:b/>
                <w:bCs/>
              </w:rPr>
              <w:t>(</w:t>
            </w:r>
            <w:r>
              <w:rPr>
                <w:b/>
                <w:bCs/>
                <w:lang w:val="en-US"/>
              </w:rPr>
              <w:t>N</w:t>
            </w:r>
            <w:r w:rsidRPr="00593BA3">
              <w:rPr>
                <w:b/>
                <w:bCs/>
              </w:rPr>
              <w:t xml:space="preserve"> = 198)</w:t>
            </w:r>
          </w:p>
        </w:tc>
        <w:tc>
          <w:tcPr>
            <w:tcW w:w="2286" w:type="dxa"/>
            <w:shd w:val="clear" w:color="auto" w:fill="D9D9D9" w:themeFill="background1" w:themeFillShade="D9"/>
            <w:vAlign w:val="center"/>
          </w:tcPr>
          <w:p w14:paraId="3B054B29" w14:textId="77777777" w:rsidR="001E7771" w:rsidRDefault="00593BA3" w:rsidP="00DC7F06">
            <w:pPr>
              <w:ind w:firstLine="0"/>
              <w:jc w:val="center"/>
              <w:rPr>
                <w:b/>
                <w:bCs/>
              </w:rPr>
            </w:pPr>
            <w:r>
              <w:rPr>
                <w:b/>
                <w:bCs/>
              </w:rPr>
              <w:t xml:space="preserve">Тофацитиниб 5 мг 2 раза в день </w:t>
            </w:r>
          </w:p>
          <w:p w14:paraId="030E3FCD" w14:textId="44A64DD9" w:rsidR="00DC7F06" w:rsidRPr="00DC7F06" w:rsidRDefault="00593BA3" w:rsidP="00DC7F06">
            <w:pPr>
              <w:ind w:firstLine="0"/>
              <w:jc w:val="center"/>
              <w:rPr>
                <w:b/>
                <w:bCs/>
              </w:rPr>
            </w:pPr>
            <w:r>
              <w:rPr>
                <w:b/>
                <w:bCs/>
              </w:rPr>
              <w:t>(</w:t>
            </w:r>
            <w:r>
              <w:rPr>
                <w:b/>
                <w:bCs/>
                <w:lang w:val="en-US"/>
              </w:rPr>
              <w:t>N</w:t>
            </w:r>
            <w:r w:rsidRPr="00593BA3">
              <w:rPr>
                <w:b/>
                <w:bCs/>
              </w:rPr>
              <w:t xml:space="preserve"> = 19</w:t>
            </w:r>
            <w:r>
              <w:rPr>
                <w:b/>
                <w:bCs/>
              </w:rPr>
              <w:t>7</w:t>
            </w:r>
            <w:r w:rsidRPr="00593BA3">
              <w:rPr>
                <w:b/>
                <w:bCs/>
              </w:rPr>
              <w:t>)</w:t>
            </w:r>
          </w:p>
        </w:tc>
      </w:tr>
      <w:tr w:rsidR="00BE6959" w14:paraId="5E464E21" w14:textId="77777777" w:rsidTr="001E7771">
        <w:tc>
          <w:tcPr>
            <w:tcW w:w="9356" w:type="dxa"/>
            <w:gridSpan w:val="4"/>
          </w:tcPr>
          <w:p w14:paraId="3CB747B2" w14:textId="080CCC0B" w:rsidR="00BE6959" w:rsidRPr="00B9515D" w:rsidRDefault="00BE6959" w:rsidP="00505684">
            <w:pPr>
              <w:ind w:firstLine="0"/>
              <w:rPr>
                <w:vertAlign w:val="superscript"/>
                <w:lang w:val="en-US"/>
              </w:rPr>
            </w:pPr>
            <w:r>
              <w:t>Ремиссия</w:t>
            </w:r>
            <w:r w:rsidR="00B9515D">
              <w:rPr>
                <w:vertAlign w:val="superscript"/>
                <w:lang w:val="en-US"/>
              </w:rPr>
              <w:t>a</w:t>
            </w:r>
          </w:p>
        </w:tc>
      </w:tr>
      <w:tr w:rsidR="00BE6959" w14:paraId="350462A4" w14:textId="77777777" w:rsidTr="001E7771">
        <w:tc>
          <w:tcPr>
            <w:tcW w:w="2552" w:type="dxa"/>
          </w:tcPr>
          <w:p w14:paraId="4A30395B" w14:textId="40F2DE4F" w:rsidR="00BE6959" w:rsidRDefault="00BE6959" w:rsidP="00BE6959">
            <w:pPr>
              <w:ind w:firstLine="0"/>
            </w:pPr>
            <w:r>
              <w:t xml:space="preserve">Подгруппа пациентов с предшествующей неудачей терапии ингибиторами </w:t>
            </w:r>
            <w:r w:rsidRPr="00CA07A4">
              <w:t>TNF-α</w:t>
            </w:r>
          </w:p>
        </w:tc>
        <w:tc>
          <w:tcPr>
            <w:tcW w:w="2268" w:type="dxa"/>
            <w:vAlign w:val="center"/>
          </w:tcPr>
          <w:p w14:paraId="40BB9781" w14:textId="77777777" w:rsidR="00777156" w:rsidRDefault="00777156" w:rsidP="001E7771">
            <w:pPr>
              <w:ind w:firstLine="0"/>
              <w:jc w:val="center"/>
            </w:pPr>
            <w:r>
              <w:t>10/89</w:t>
            </w:r>
          </w:p>
          <w:p w14:paraId="37152B14" w14:textId="25C35E8F" w:rsidR="00BE6959" w:rsidRDefault="00777156" w:rsidP="001E7771">
            <w:pPr>
              <w:ind w:firstLine="0"/>
              <w:jc w:val="center"/>
            </w:pPr>
            <w:r>
              <w:t>(11</w:t>
            </w:r>
            <w:r w:rsidR="00987FEA">
              <w:t>,</w:t>
            </w:r>
            <w:r>
              <w:t>2%)</w:t>
            </w:r>
          </w:p>
        </w:tc>
        <w:tc>
          <w:tcPr>
            <w:tcW w:w="2250" w:type="dxa"/>
            <w:vAlign w:val="center"/>
          </w:tcPr>
          <w:p w14:paraId="354E806E" w14:textId="77777777" w:rsidR="00AD37F7" w:rsidRDefault="00AD37F7" w:rsidP="001E7771">
            <w:pPr>
              <w:ind w:firstLine="0"/>
              <w:jc w:val="center"/>
            </w:pPr>
            <w:r>
              <w:t>20/83</w:t>
            </w:r>
          </w:p>
          <w:p w14:paraId="422281FF" w14:textId="1089805A" w:rsidR="00BE6959" w:rsidRDefault="00AD37F7" w:rsidP="001E7771">
            <w:pPr>
              <w:ind w:firstLine="0"/>
              <w:jc w:val="center"/>
            </w:pPr>
            <w:r>
              <w:t>(24</w:t>
            </w:r>
            <w:r w:rsidR="00987FEA">
              <w:t>,</w:t>
            </w:r>
            <w:r>
              <w:t>1%)</w:t>
            </w:r>
          </w:p>
        </w:tc>
        <w:tc>
          <w:tcPr>
            <w:tcW w:w="2286" w:type="dxa"/>
            <w:vAlign w:val="center"/>
          </w:tcPr>
          <w:p w14:paraId="21F92BC6" w14:textId="77777777" w:rsidR="00B50861" w:rsidRDefault="00B50861" w:rsidP="001E7771">
            <w:pPr>
              <w:ind w:firstLine="0"/>
              <w:jc w:val="center"/>
            </w:pPr>
            <w:r>
              <w:t>34/93</w:t>
            </w:r>
          </w:p>
          <w:p w14:paraId="40E1E469" w14:textId="592EB6FF" w:rsidR="00BE6959" w:rsidRDefault="00B50861" w:rsidP="001E7771">
            <w:pPr>
              <w:ind w:firstLine="0"/>
              <w:jc w:val="center"/>
            </w:pPr>
            <w:r>
              <w:t>(36</w:t>
            </w:r>
            <w:r w:rsidR="00987FEA">
              <w:t>,</w:t>
            </w:r>
            <w:r>
              <w:t>6%)</w:t>
            </w:r>
          </w:p>
        </w:tc>
      </w:tr>
      <w:tr w:rsidR="00BE6959" w14:paraId="7E6991EE" w14:textId="77777777" w:rsidTr="001E7771">
        <w:tc>
          <w:tcPr>
            <w:tcW w:w="2552" w:type="dxa"/>
          </w:tcPr>
          <w:p w14:paraId="044906E6" w14:textId="40474335" w:rsidR="00BE6959" w:rsidRDefault="00BE6959" w:rsidP="00BE6959">
            <w:pPr>
              <w:ind w:firstLine="0"/>
            </w:pPr>
            <w:r w:rsidRPr="00BB1053">
              <w:t xml:space="preserve">Подгруппа пациентов </w:t>
            </w:r>
            <w:r>
              <w:t xml:space="preserve">без </w:t>
            </w:r>
            <w:r w:rsidRPr="00BB1053">
              <w:t>предшествующей неудач</w:t>
            </w:r>
            <w:r>
              <w:t>и</w:t>
            </w:r>
            <w:r w:rsidRPr="00BB1053">
              <w:t xml:space="preserve"> терапии ингибиторами TNF-α</w:t>
            </w:r>
            <w:r>
              <w:rPr>
                <w:vertAlign w:val="superscript"/>
                <w:lang w:val="en-US"/>
              </w:rPr>
              <w:t>b</w:t>
            </w:r>
          </w:p>
        </w:tc>
        <w:tc>
          <w:tcPr>
            <w:tcW w:w="2268" w:type="dxa"/>
            <w:vAlign w:val="center"/>
          </w:tcPr>
          <w:p w14:paraId="4EB1B65E" w14:textId="77777777" w:rsidR="00777156" w:rsidRDefault="00777156" w:rsidP="001E7771">
            <w:pPr>
              <w:ind w:firstLine="0"/>
              <w:jc w:val="center"/>
            </w:pPr>
            <w:r>
              <w:t>12/109</w:t>
            </w:r>
          </w:p>
          <w:p w14:paraId="009A4674" w14:textId="5E3C02CD" w:rsidR="00BE6959" w:rsidRDefault="00777156" w:rsidP="001E7771">
            <w:pPr>
              <w:ind w:firstLine="0"/>
              <w:jc w:val="center"/>
            </w:pPr>
            <w:r>
              <w:t>(11</w:t>
            </w:r>
            <w:r w:rsidR="00987FEA">
              <w:t>,</w:t>
            </w:r>
            <w:r>
              <w:t>0%)</w:t>
            </w:r>
          </w:p>
        </w:tc>
        <w:tc>
          <w:tcPr>
            <w:tcW w:w="2250" w:type="dxa"/>
            <w:vAlign w:val="center"/>
          </w:tcPr>
          <w:p w14:paraId="5552D92E" w14:textId="77777777" w:rsidR="00AD37F7" w:rsidRDefault="00AD37F7" w:rsidP="001E7771">
            <w:pPr>
              <w:ind w:firstLine="0"/>
              <w:jc w:val="center"/>
            </w:pPr>
            <w:r>
              <w:t>48/115</w:t>
            </w:r>
          </w:p>
          <w:p w14:paraId="398D79A7" w14:textId="3A5E68AA" w:rsidR="00BE6959" w:rsidRDefault="00AD37F7" w:rsidP="001E7771">
            <w:pPr>
              <w:ind w:firstLine="0"/>
              <w:jc w:val="center"/>
            </w:pPr>
            <w:r>
              <w:t>(41</w:t>
            </w:r>
            <w:r w:rsidR="00987FEA">
              <w:t>,</w:t>
            </w:r>
            <w:r>
              <w:t>7%)</w:t>
            </w:r>
          </w:p>
        </w:tc>
        <w:tc>
          <w:tcPr>
            <w:tcW w:w="2286" w:type="dxa"/>
            <w:vAlign w:val="center"/>
          </w:tcPr>
          <w:p w14:paraId="1B4DCED1" w14:textId="77777777" w:rsidR="00B50861" w:rsidRDefault="00B50861" w:rsidP="001E7771">
            <w:pPr>
              <w:ind w:firstLine="0"/>
              <w:jc w:val="center"/>
            </w:pPr>
            <w:r>
              <w:t>46/104</w:t>
            </w:r>
          </w:p>
          <w:p w14:paraId="0380C747" w14:textId="48D63C68" w:rsidR="00BE6959" w:rsidRDefault="00B50861" w:rsidP="001E7771">
            <w:pPr>
              <w:ind w:firstLine="0"/>
              <w:jc w:val="center"/>
            </w:pPr>
            <w:r>
              <w:t>(44</w:t>
            </w:r>
            <w:r w:rsidR="00987FEA">
              <w:t>,</w:t>
            </w:r>
            <w:r>
              <w:t>2%)</w:t>
            </w:r>
          </w:p>
        </w:tc>
      </w:tr>
      <w:tr w:rsidR="00BE6959" w14:paraId="2122E148" w14:textId="77777777" w:rsidTr="001E7771">
        <w:tc>
          <w:tcPr>
            <w:tcW w:w="9356" w:type="dxa"/>
            <w:gridSpan w:val="4"/>
          </w:tcPr>
          <w:p w14:paraId="13042598" w14:textId="6DFC6882" w:rsidR="00BE6959" w:rsidRPr="00B9515D" w:rsidRDefault="00376B75" w:rsidP="00505684">
            <w:pPr>
              <w:ind w:firstLine="0"/>
              <w:rPr>
                <w:vertAlign w:val="superscript"/>
              </w:rPr>
            </w:pPr>
            <w:r>
              <w:t>Улучшение эндоскопической картины слизистой оболочки</w:t>
            </w:r>
            <w:r w:rsidR="00B9515D">
              <w:rPr>
                <w:vertAlign w:val="superscript"/>
                <w:lang w:val="en-US"/>
              </w:rPr>
              <w:t>c</w:t>
            </w:r>
          </w:p>
        </w:tc>
      </w:tr>
      <w:tr w:rsidR="00376B75" w14:paraId="078A7AFF" w14:textId="77777777" w:rsidTr="001E7771">
        <w:tc>
          <w:tcPr>
            <w:tcW w:w="2552" w:type="dxa"/>
          </w:tcPr>
          <w:p w14:paraId="52295AD0" w14:textId="0B4224DA" w:rsidR="00376B75" w:rsidRDefault="00376B75" w:rsidP="00376B75">
            <w:pPr>
              <w:ind w:firstLine="0"/>
            </w:pPr>
            <w:r>
              <w:t xml:space="preserve">Подгруппа пациентов с предшествующей неудачей терапии ингибиторами </w:t>
            </w:r>
            <w:r w:rsidRPr="00CA07A4">
              <w:t>TNF-α</w:t>
            </w:r>
          </w:p>
        </w:tc>
        <w:tc>
          <w:tcPr>
            <w:tcW w:w="2268" w:type="dxa"/>
            <w:vAlign w:val="center"/>
          </w:tcPr>
          <w:p w14:paraId="6F12F0C2" w14:textId="77777777" w:rsidR="00777156" w:rsidRDefault="00777156" w:rsidP="001E7771">
            <w:pPr>
              <w:ind w:firstLine="0"/>
              <w:jc w:val="center"/>
            </w:pPr>
            <w:r>
              <w:t>11/89</w:t>
            </w:r>
          </w:p>
          <w:p w14:paraId="178DC2FB" w14:textId="4C658992" w:rsidR="00376B75" w:rsidRDefault="00777156" w:rsidP="001E7771">
            <w:pPr>
              <w:ind w:firstLine="0"/>
              <w:jc w:val="center"/>
            </w:pPr>
            <w:r>
              <w:t>(12</w:t>
            </w:r>
            <w:r w:rsidR="00987FEA">
              <w:t>,</w:t>
            </w:r>
            <w:r>
              <w:t>4%)</w:t>
            </w:r>
          </w:p>
        </w:tc>
        <w:tc>
          <w:tcPr>
            <w:tcW w:w="2250" w:type="dxa"/>
            <w:vAlign w:val="center"/>
          </w:tcPr>
          <w:p w14:paraId="3E073B60" w14:textId="77777777" w:rsidR="005F31CA" w:rsidRDefault="005F31CA" w:rsidP="001E7771">
            <w:pPr>
              <w:ind w:firstLine="0"/>
              <w:jc w:val="center"/>
            </w:pPr>
            <w:r>
              <w:t>25/83</w:t>
            </w:r>
          </w:p>
          <w:p w14:paraId="347DD813" w14:textId="4711EEBD" w:rsidR="00376B75" w:rsidRDefault="005F31CA" w:rsidP="001E7771">
            <w:pPr>
              <w:ind w:firstLine="0"/>
              <w:jc w:val="center"/>
            </w:pPr>
            <w:r>
              <w:t>(30</w:t>
            </w:r>
            <w:r w:rsidR="00987FEA">
              <w:t>,</w:t>
            </w:r>
            <w:r>
              <w:t>1%)</w:t>
            </w:r>
          </w:p>
        </w:tc>
        <w:tc>
          <w:tcPr>
            <w:tcW w:w="2286" w:type="dxa"/>
            <w:vAlign w:val="center"/>
          </w:tcPr>
          <w:p w14:paraId="45A5701F" w14:textId="77777777" w:rsidR="00B50861" w:rsidRDefault="00B50861" w:rsidP="001E7771">
            <w:pPr>
              <w:ind w:firstLine="0"/>
              <w:jc w:val="center"/>
            </w:pPr>
            <w:r>
              <w:t>37/93</w:t>
            </w:r>
          </w:p>
          <w:p w14:paraId="5AD70FEA" w14:textId="30F3DF59" w:rsidR="00376B75" w:rsidRDefault="00B50861" w:rsidP="001E7771">
            <w:pPr>
              <w:ind w:firstLine="0"/>
              <w:jc w:val="center"/>
            </w:pPr>
            <w:r>
              <w:t>(39</w:t>
            </w:r>
            <w:r w:rsidR="00987FEA">
              <w:t>,</w:t>
            </w:r>
            <w:r>
              <w:t>8%)</w:t>
            </w:r>
          </w:p>
        </w:tc>
      </w:tr>
      <w:tr w:rsidR="00376B75" w14:paraId="5B41DD81" w14:textId="77777777" w:rsidTr="001E7771">
        <w:tc>
          <w:tcPr>
            <w:tcW w:w="2552" w:type="dxa"/>
          </w:tcPr>
          <w:p w14:paraId="669D4D32" w14:textId="038C6A5C" w:rsidR="00376B75" w:rsidRDefault="00376B75" w:rsidP="00376B75">
            <w:pPr>
              <w:ind w:firstLine="0"/>
            </w:pPr>
            <w:r w:rsidRPr="00BB1053">
              <w:t xml:space="preserve">Подгруппа пациентов </w:t>
            </w:r>
            <w:r>
              <w:t xml:space="preserve">без </w:t>
            </w:r>
            <w:r w:rsidRPr="00BB1053">
              <w:t>предшествующей неудач</w:t>
            </w:r>
            <w:r>
              <w:t>и</w:t>
            </w:r>
            <w:r w:rsidRPr="00BB1053">
              <w:t xml:space="preserve"> терапии ингибиторами TNF-α</w:t>
            </w:r>
            <w:r>
              <w:rPr>
                <w:vertAlign w:val="superscript"/>
                <w:lang w:val="en-US"/>
              </w:rPr>
              <w:t>b</w:t>
            </w:r>
          </w:p>
        </w:tc>
        <w:tc>
          <w:tcPr>
            <w:tcW w:w="2268" w:type="dxa"/>
            <w:vAlign w:val="center"/>
          </w:tcPr>
          <w:p w14:paraId="7AA5A546" w14:textId="77777777" w:rsidR="00777156" w:rsidRDefault="00777156" w:rsidP="001E7771">
            <w:pPr>
              <w:ind w:firstLine="0"/>
              <w:jc w:val="center"/>
            </w:pPr>
            <w:r>
              <w:t>15/109</w:t>
            </w:r>
          </w:p>
          <w:p w14:paraId="3BA758B9" w14:textId="2EB7DFFE" w:rsidR="00376B75" w:rsidRDefault="00777156" w:rsidP="001E7771">
            <w:pPr>
              <w:ind w:firstLine="0"/>
              <w:jc w:val="center"/>
            </w:pPr>
            <w:r>
              <w:t>(13</w:t>
            </w:r>
            <w:r w:rsidR="00987FEA">
              <w:t>,</w:t>
            </w:r>
            <w:r>
              <w:t>8%)</w:t>
            </w:r>
          </w:p>
        </w:tc>
        <w:tc>
          <w:tcPr>
            <w:tcW w:w="2250" w:type="dxa"/>
            <w:vAlign w:val="center"/>
          </w:tcPr>
          <w:p w14:paraId="65E75F60" w14:textId="77777777" w:rsidR="005F31CA" w:rsidRDefault="005F31CA" w:rsidP="001E7771">
            <w:pPr>
              <w:ind w:firstLine="0"/>
              <w:jc w:val="center"/>
            </w:pPr>
            <w:r>
              <w:t>49/115</w:t>
            </w:r>
          </w:p>
          <w:p w14:paraId="1E0377B8" w14:textId="564DF13F" w:rsidR="00376B75" w:rsidRDefault="005F31CA" w:rsidP="001E7771">
            <w:pPr>
              <w:ind w:firstLine="0"/>
              <w:jc w:val="center"/>
            </w:pPr>
            <w:r>
              <w:t>(42</w:t>
            </w:r>
            <w:r w:rsidR="00987FEA">
              <w:t>,</w:t>
            </w:r>
            <w:r>
              <w:t>6%)</w:t>
            </w:r>
          </w:p>
        </w:tc>
        <w:tc>
          <w:tcPr>
            <w:tcW w:w="2286" w:type="dxa"/>
            <w:vAlign w:val="center"/>
          </w:tcPr>
          <w:p w14:paraId="0670430D" w14:textId="77777777" w:rsidR="00B50861" w:rsidRDefault="00B50861" w:rsidP="001E7771">
            <w:pPr>
              <w:ind w:firstLine="0"/>
              <w:jc w:val="center"/>
            </w:pPr>
            <w:r>
              <w:t>53/104</w:t>
            </w:r>
          </w:p>
          <w:p w14:paraId="06147E67" w14:textId="5FAFFCFB" w:rsidR="00376B75" w:rsidRDefault="00B50861" w:rsidP="001E7771">
            <w:pPr>
              <w:ind w:firstLine="0"/>
              <w:jc w:val="center"/>
            </w:pPr>
            <w:r>
              <w:t>(51</w:t>
            </w:r>
            <w:r w:rsidR="00987FEA">
              <w:t>,</w:t>
            </w:r>
            <w:r>
              <w:t>0%)</w:t>
            </w:r>
          </w:p>
        </w:tc>
      </w:tr>
      <w:tr w:rsidR="00376B75" w14:paraId="3457033B" w14:textId="77777777" w:rsidTr="001E7771">
        <w:tc>
          <w:tcPr>
            <w:tcW w:w="9356" w:type="dxa"/>
            <w:gridSpan w:val="4"/>
          </w:tcPr>
          <w:p w14:paraId="3D77B491" w14:textId="07422B02" w:rsidR="00376B75" w:rsidRPr="002F1FED" w:rsidRDefault="001C7987" w:rsidP="00505684">
            <w:pPr>
              <w:ind w:firstLine="0"/>
              <w:rPr>
                <w:vertAlign w:val="superscript"/>
              </w:rPr>
            </w:pPr>
            <w:r w:rsidRPr="001C7987">
              <w:t>Поддержание ремиссии без терапии ГКС на неделях 24 и 52 среди пациентов с ремиссией исходно</w:t>
            </w:r>
            <w:r w:rsidR="00B9515D">
              <w:rPr>
                <w:vertAlign w:val="superscript"/>
                <w:lang w:val="en-US"/>
              </w:rPr>
              <w:t>d</w:t>
            </w:r>
          </w:p>
        </w:tc>
      </w:tr>
      <w:tr w:rsidR="00817DF9" w14:paraId="5534F176" w14:textId="77777777" w:rsidTr="001E7771">
        <w:tc>
          <w:tcPr>
            <w:tcW w:w="2552" w:type="dxa"/>
          </w:tcPr>
          <w:p w14:paraId="07DC0751" w14:textId="51703ED8" w:rsidR="00817DF9" w:rsidRDefault="00817DF9" w:rsidP="00817DF9">
            <w:pPr>
              <w:ind w:firstLine="0"/>
            </w:pPr>
            <w:r>
              <w:t xml:space="preserve">Подгруппа пациентов с предшествующей неудачей терапии ингибиторами </w:t>
            </w:r>
            <w:r w:rsidRPr="00CA07A4">
              <w:t>TNF-α</w:t>
            </w:r>
          </w:p>
        </w:tc>
        <w:tc>
          <w:tcPr>
            <w:tcW w:w="2268" w:type="dxa"/>
            <w:vAlign w:val="center"/>
          </w:tcPr>
          <w:p w14:paraId="31BFDAFC" w14:textId="77777777" w:rsidR="00AD37F7" w:rsidRDefault="00AD37F7" w:rsidP="001E7771">
            <w:pPr>
              <w:ind w:firstLine="0"/>
              <w:jc w:val="center"/>
            </w:pPr>
            <w:r>
              <w:t>1/21</w:t>
            </w:r>
          </w:p>
          <w:p w14:paraId="1F116966" w14:textId="0E11BA2A" w:rsidR="00817DF9" w:rsidRDefault="00AD37F7" w:rsidP="001E7771">
            <w:pPr>
              <w:ind w:firstLine="0"/>
              <w:jc w:val="center"/>
            </w:pPr>
            <w:r>
              <w:t>(4</w:t>
            </w:r>
            <w:r w:rsidR="00987FEA">
              <w:t>,</w:t>
            </w:r>
            <w:r>
              <w:t>8%)</w:t>
            </w:r>
          </w:p>
        </w:tc>
        <w:tc>
          <w:tcPr>
            <w:tcW w:w="2250" w:type="dxa"/>
            <w:vAlign w:val="center"/>
          </w:tcPr>
          <w:p w14:paraId="526494A9" w14:textId="77777777" w:rsidR="005F31CA" w:rsidRDefault="005F31CA" w:rsidP="001E7771">
            <w:pPr>
              <w:ind w:firstLine="0"/>
              <w:jc w:val="center"/>
            </w:pPr>
            <w:r>
              <w:t>4/18</w:t>
            </w:r>
          </w:p>
          <w:p w14:paraId="7A051FA7" w14:textId="29E0DAE7" w:rsidR="00817DF9" w:rsidRDefault="005F31CA" w:rsidP="001E7771">
            <w:pPr>
              <w:ind w:firstLine="0"/>
              <w:jc w:val="center"/>
            </w:pPr>
            <w:r>
              <w:t>(22</w:t>
            </w:r>
            <w:r w:rsidR="00987FEA">
              <w:t>,</w:t>
            </w:r>
            <w:r>
              <w:t>2%)</w:t>
            </w:r>
          </w:p>
        </w:tc>
        <w:tc>
          <w:tcPr>
            <w:tcW w:w="2286" w:type="dxa"/>
            <w:vAlign w:val="center"/>
          </w:tcPr>
          <w:p w14:paraId="05B4A358" w14:textId="77777777" w:rsidR="00B50861" w:rsidRDefault="00B50861" w:rsidP="001E7771">
            <w:pPr>
              <w:ind w:firstLine="0"/>
              <w:jc w:val="center"/>
            </w:pPr>
            <w:r>
              <w:t>7/18</w:t>
            </w:r>
          </w:p>
          <w:p w14:paraId="319C5350" w14:textId="0E029B00" w:rsidR="00817DF9" w:rsidRDefault="00B50861" w:rsidP="001E7771">
            <w:pPr>
              <w:ind w:firstLine="0"/>
              <w:jc w:val="center"/>
            </w:pPr>
            <w:r>
              <w:t>(38</w:t>
            </w:r>
            <w:r w:rsidR="00987FEA">
              <w:t>,</w:t>
            </w:r>
            <w:r>
              <w:t>9%)</w:t>
            </w:r>
          </w:p>
        </w:tc>
      </w:tr>
      <w:tr w:rsidR="00817DF9" w14:paraId="5FD9AF48" w14:textId="77777777" w:rsidTr="001E7771">
        <w:tc>
          <w:tcPr>
            <w:tcW w:w="2552" w:type="dxa"/>
          </w:tcPr>
          <w:p w14:paraId="6B202E0E" w14:textId="5A27B3D1" w:rsidR="00817DF9" w:rsidRDefault="00817DF9" w:rsidP="00817DF9">
            <w:pPr>
              <w:ind w:firstLine="0"/>
            </w:pPr>
            <w:r w:rsidRPr="00BB1053">
              <w:t xml:space="preserve">Подгруппа пациентов </w:t>
            </w:r>
            <w:r>
              <w:t xml:space="preserve">без </w:t>
            </w:r>
            <w:r w:rsidRPr="00BB1053">
              <w:t>предшествующей неудач</w:t>
            </w:r>
            <w:r>
              <w:t>и</w:t>
            </w:r>
            <w:r w:rsidRPr="00BB1053">
              <w:t xml:space="preserve"> терапии ингибиторами TNF-α</w:t>
            </w:r>
            <w:r>
              <w:rPr>
                <w:vertAlign w:val="superscript"/>
                <w:lang w:val="en-US"/>
              </w:rPr>
              <w:t>b</w:t>
            </w:r>
          </w:p>
        </w:tc>
        <w:tc>
          <w:tcPr>
            <w:tcW w:w="2268" w:type="dxa"/>
            <w:vAlign w:val="center"/>
          </w:tcPr>
          <w:p w14:paraId="741A5169" w14:textId="77777777" w:rsidR="00AD37F7" w:rsidRDefault="00AD37F7" w:rsidP="001E7771">
            <w:pPr>
              <w:ind w:firstLine="0"/>
              <w:jc w:val="center"/>
            </w:pPr>
            <w:r>
              <w:t>2/38</w:t>
            </w:r>
          </w:p>
          <w:p w14:paraId="4C93C865" w14:textId="61B4E068" w:rsidR="00817DF9" w:rsidRDefault="00AD37F7" w:rsidP="001E7771">
            <w:pPr>
              <w:ind w:firstLine="0"/>
              <w:jc w:val="center"/>
            </w:pPr>
            <w:r>
              <w:t>(5</w:t>
            </w:r>
            <w:r w:rsidR="00987FEA">
              <w:t>,</w:t>
            </w:r>
            <w:r>
              <w:t>3%)</w:t>
            </w:r>
          </w:p>
        </w:tc>
        <w:tc>
          <w:tcPr>
            <w:tcW w:w="2250" w:type="dxa"/>
            <w:vAlign w:val="center"/>
          </w:tcPr>
          <w:p w14:paraId="696895A0" w14:textId="77777777" w:rsidR="005F31CA" w:rsidRDefault="005F31CA" w:rsidP="001E7771">
            <w:pPr>
              <w:ind w:firstLine="0"/>
              <w:jc w:val="center"/>
            </w:pPr>
            <w:r>
              <w:t>19/47</w:t>
            </w:r>
          </w:p>
          <w:p w14:paraId="5C7BA787" w14:textId="0F118485" w:rsidR="00817DF9" w:rsidRDefault="005F31CA" w:rsidP="001E7771">
            <w:pPr>
              <w:ind w:firstLine="0"/>
              <w:jc w:val="center"/>
            </w:pPr>
            <w:r>
              <w:t>(40</w:t>
            </w:r>
            <w:r w:rsidR="00987FEA">
              <w:t>,</w:t>
            </w:r>
            <w:r>
              <w:t>4%)</w:t>
            </w:r>
          </w:p>
        </w:tc>
        <w:tc>
          <w:tcPr>
            <w:tcW w:w="2286" w:type="dxa"/>
            <w:vAlign w:val="center"/>
          </w:tcPr>
          <w:p w14:paraId="76B49816" w14:textId="77777777" w:rsidR="00987FEA" w:rsidRDefault="00987FEA" w:rsidP="001E7771">
            <w:pPr>
              <w:ind w:firstLine="0"/>
              <w:jc w:val="center"/>
            </w:pPr>
            <w:r>
              <w:t>19/37</w:t>
            </w:r>
          </w:p>
          <w:p w14:paraId="0ED6C1E9" w14:textId="0FAFC0EF" w:rsidR="00817DF9" w:rsidRDefault="00987FEA" w:rsidP="001E7771">
            <w:pPr>
              <w:ind w:firstLine="0"/>
              <w:jc w:val="center"/>
            </w:pPr>
            <w:r>
              <w:t>(51,4%)</w:t>
            </w:r>
          </w:p>
        </w:tc>
      </w:tr>
      <w:tr w:rsidR="001E7771" w14:paraId="233A5790" w14:textId="77777777" w:rsidTr="004335CD">
        <w:tc>
          <w:tcPr>
            <w:tcW w:w="9356" w:type="dxa"/>
            <w:gridSpan w:val="4"/>
          </w:tcPr>
          <w:p w14:paraId="60619F40" w14:textId="77777777" w:rsidR="001E7771" w:rsidRPr="001E7771" w:rsidRDefault="001E7771" w:rsidP="001E7771">
            <w:pPr>
              <w:pStyle w:val="SDcomments"/>
              <w:ind w:firstLine="0"/>
              <w:rPr>
                <w:b/>
                <w:iCs/>
              </w:rPr>
            </w:pPr>
            <w:r w:rsidRPr="001E7771">
              <w:rPr>
                <w:b/>
                <w:iCs/>
              </w:rPr>
              <w:t xml:space="preserve">Примечание: </w:t>
            </w:r>
          </w:p>
          <w:p w14:paraId="127EBD8C" w14:textId="629C9461" w:rsidR="001E7771" w:rsidRDefault="001E7771" w:rsidP="001E7771">
            <w:pPr>
              <w:pStyle w:val="SDcomments"/>
              <w:ind w:firstLine="0"/>
            </w:pPr>
            <w:r w:rsidRPr="00913CF3">
              <w:t>TNF-α</w:t>
            </w:r>
            <w:r>
              <w:t xml:space="preserve"> – фактор некроза опухоли-</w:t>
            </w:r>
            <w:r w:rsidRPr="00913CF3">
              <w:t>α</w:t>
            </w:r>
            <w:r>
              <w:t xml:space="preserve"> (</w:t>
            </w:r>
            <w:r>
              <w:rPr>
                <w:lang w:val="en-US"/>
              </w:rPr>
              <w:t>tumour</w:t>
            </w:r>
            <w:r w:rsidRPr="00F634F3">
              <w:t xml:space="preserve"> </w:t>
            </w:r>
            <w:r>
              <w:rPr>
                <w:lang w:val="en-US"/>
              </w:rPr>
              <w:t>necrosis</w:t>
            </w:r>
            <w:r w:rsidRPr="00F634F3">
              <w:t xml:space="preserve"> </w:t>
            </w:r>
            <w:r>
              <w:rPr>
                <w:lang w:val="en-US"/>
              </w:rPr>
              <w:t>factor</w:t>
            </w:r>
            <w:r w:rsidRPr="00F634F3">
              <w:t>-α</w:t>
            </w:r>
            <w:r w:rsidRPr="00F86E99">
              <w:t>)</w:t>
            </w:r>
            <w:r>
              <w:t xml:space="preserve">; </w:t>
            </w:r>
            <w:r>
              <w:rPr>
                <w:vertAlign w:val="superscript"/>
                <w:lang w:val="en-US"/>
              </w:rPr>
              <w:t>a</w:t>
            </w:r>
            <w:r>
              <w:t xml:space="preserve"> – ремиссия определялась как клиническая ремиссия (показатель по шкале Мейо </w:t>
            </w:r>
            <w:r>
              <w:rPr>
                <w:rFonts w:cs="Times New Roman"/>
              </w:rPr>
              <w:t>≤ 2 баллов</w:t>
            </w:r>
            <w:r w:rsidRPr="000F49AE">
              <w:rPr>
                <w:rFonts w:cs="Times New Roman"/>
              </w:rPr>
              <w:t xml:space="preserve"> </w:t>
            </w:r>
            <w:r>
              <w:rPr>
                <w:rFonts w:cs="Times New Roman"/>
              </w:rPr>
              <w:t xml:space="preserve">и отсутствие превышения 1 балла по какой-либо подшкале), а также показатель по подшкале кровотечения из прямой кишки, равный 0; </w:t>
            </w:r>
            <w:r w:rsidRPr="00CF291D">
              <w:rPr>
                <w:vertAlign w:val="superscript"/>
              </w:rPr>
              <w:t>b</w:t>
            </w:r>
            <w:r>
              <w:t xml:space="preserve"> – включая пациентов, ранее не получ</w:t>
            </w:r>
            <w:r w:rsidR="00587293">
              <w:t>и</w:t>
            </w:r>
            <w:r>
              <w:t>вших ингибиторы</w:t>
            </w:r>
            <w:r w:rsidRPr="00CF77BE">
              <w:t xml:space="preserve"> TNF-α</w:t>
            </w:r>
            <w:r>
              <w:t xml:space="preserve">; </w:t>
            </w:r>
            <w:r>
              <w:rPr>
                <w:vertAlign w:val="superscript"/>
                <w:lang w:val="en-US"/>
              </w:rPr>
              <w:t>c</w:t>
            </w:r>
            <w:r>
              <w:t xml:space="preserve"> – улучшение эндоскопической картины слизистой оболочки, определяемое по подшкалам шкалы Мейо на 0 баллов (нормальная картина или отсутствие активности заболевания) или 1 балл (эритема, снижение сосудистого рисунка); </w:t>
            </w:r>
            <w:r>
              <w:rPr>
                <w:vertAlign w:val="superscript"/>
                <w:lang w:val="en-US"/>
              </w:rPr>
              <w:t>d</w:t>
            </w:r>
            <w:r>
              <w:t xml:space="preserve"> –</w:t>
            </w:r>
            <w:r w:rsidRPr="00CE19EA">
              <w:t xml:space="preserve"> </w:t>
            </w:r>
            <w:r>
              <w:t>поддержание ремиссии без терапии ГКС определялось как ремиссия при отсутствии использования ГКС в течение не менее 4 недель до визитов на неделях 24 и 52.</w:t>
            </w:r>
          </w:p>
        </w:tc>
      </w:tr>
    </w:tbl>
    <w:p w14:paraId="3991A734" w14:textId="524BFCAE" w:rsidR="00421A5C" w:rsidRPr="0044291B" w:rsidRDefault="00421A5C" w:rsidP="00D22A13">
      <w:pPr>
        <w:pStyle w:val="SDText"/>
        <w:contextualSpacing/>
      </w:pPr>
    </w:p>
    <w:p w14:paraId="6A9A2CDC" w14:textId="05B75752" w:rsidR="00220E80" w:rsidRPr="001E7771" w:rsidRDefault="005579D5" w:rsidP="005579D5">
      <w:pPr>
        <w:pStyle w:val="SDText"/>
        <w:contextualSpacing/>
      </w:pPr>
      <w:r w:rsidRPr="001E7771">
        <w:t xml:space="preserve">В обеих группах тофацитиниба, </w:t>
      </w:r>
      <w:r w:rsidR="00D840D2" w:rsidRPr="001E7771">
        <w:t>д</w:t>
      </w:r>
      <w:r w:rsidRPr="001E7771">
        <w:t xml:space="preserve">оля пациентов </w:t>
      </w:r>
      <w:r w:rsidR="00D840D2" w:rsidRPr="001E7771">
        <w:t>с</w:t>
      </w:r>
      <w:r w:rsidRPr="001E7771">
        <w:t xml:space="preserve"> неэффективность</w:t>
      </w:r>
      <w:r w:rsidR="00D840D2" w:rsidRPr="001E7771">
        <w:t>ю</w:t>
      </w:r>
      <w:r w:rsidRPr="001E7771">
        <w:t xml:space="preserve"> </w:t>
      </w:r>
      <w:r w:rsidR="005C6452" w:rsidRPr="001E7771">
        <w:t>терапии</w:t>
      </w:r>
      <w:r w:rsidRPr="001E7771">
        <w:t xml:space="preserve">, была ниже по сравнению с плацебо </w:t>
      </w:r>
      <w:r w:rsidR="00DD3569" w:rsidRPr="001E7771">
        <w:t xml:space="preserve">при каждой оценке, начиная с </w:t>
      </w:r>
      <w:r w:rsidRPr="001E7771">
        <w:t>8 недел</w:t>
      </w:r>
      <w:r w:rsidR="00DD3569" w:rsidRPr="001E7771">
        <w:t>и</w:t>
      </w:r>
      <w:r w:rsidRPr="001E7771">
        <w:t xml:space="preserve"> (</w:t>
      </w:r>
      <w:r w:rsidR="00FE6221" w:rsidRPr="001E7771">
        <w:fldChar w:fldCharType="begin"/>
      </w:r>
      <w:r w:rsidR="00FE6221" w:rsidRPr="001E7771">
        <w:instrText xml:space="preserve"> REF _Ref121141974 \h </w:instrText>
      </w:r>
      <w:r w:rsidR="001E7771" w:rsidRPr="001E7771">
        <w:instrText xml:space="preserve"> \* MERGEFORMAT </w:instrText>
      </w:r>
      <w:r w:rsidR="00FE6221" w:rsidRPr="001E7771">
        <w:fldChar w:fldCharType="separate"/>
      </w:r>
      <w:r w:rsidR="00383E6F" w:rsidRPr="001E7771">
        <w:rPr>
          <w:bCs/>
        </w:rPr>
        <w:t xml:space="preserve">Рисунок </w:t>
      </w:r>
      <w:r w:rsidR="00383E6F" w:rsidRPr="001E7771">
        <w:rPr>
          <w:bCs/>
          <w:noProof/>
        </w:rPr>
        <w:t>4</w:t>
      </w:r>
      <w:r w:rsidR="00383E6F" w:rsidRPr="001E7771">
        <w:rPr>
          <w:bCs/>
        </w:rPr>
        <w:noBreakHyphen/>
      </w:r>
      <w:r w:rsidR="00383E6F" w:rsidRPr="001E7771">
        <w:rPr>
          <w:bCs/>
          <w:noProof/>
        </w:rPr>
        <w:t>2</w:t>
      </w:r>
      <w:r w:rsidR="00FE6221" w:rsidRPr="001E7771">
        <w:fldChar w:fldCharType="end"/>
      </w:r>
      <w:r w:rsidR="00670457" w:rsidRPr="001E7771">
        <w:t>)</w:t>
      </w:r>
      <w:r w:rsidR="00A30C4F" w:rsidRPr="001E7771">
        <w:t xml:space="preserve"> </w:t>
      </w:r>
      <w:r w:rsidR="00A30C4F" w:rsidRPr="001E7771">
        <w:fldChar w:fldCharType="begin"/>
      </w:r>
      <w:r w:rsidR="00A30C4F" w:rsidRPr="001E7771">
        <w:instrText xml:space="preserve"> ADDIN ZOTERO_ITEM CSL_CITATION {"citationID":"6YSFfpqC","properties":{"formattedCitation":"[24]","plainCitation":"[24]","noteIndex":0},"citationItems":[{"id":87800,"uris":["http://zotero.org/groups/4742804/items/TPCQ89X9"],"itemData":{"id":87800,"type":"webpage","title":"Xeljanz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A30C4F" w:rsidRPr="001E7771">
        <w:fldChar w:fldCharType="separate"/>
      </w:r>
      <w:r w:rsidR="00A30C4F" w:rsidRPr="001E7771">
        <w:rPr>
          <w:rFonts w:cs="Times New Roman"/>
        </w:rPr>
        <w:t>[2]</w:t>
      </w:r>
      <w:r w:rsidR="00A30C4F" w:rsidRPr="001E7771">
        <w:fldChar w:fldCharType="end"/>
      </w:r>
      <w:r w:rsidR="00670457" w:rsidRPr="001E7771">
        <w:t>.</w:t>
      </w:r>
    </w:p>
    <w:p w14:paraId="0C8B765C" w14:textId="77777777" w:rsidR="001E7771" w:rsidRDefault="001E7771" w:rsidP="00FE6221">
      <w:pPr>
        <w:pStyle w:val="SDText"/>
        <w:ind w:firstLine="0"/>
        <w:rPr>
          <w:b/>
          <w:bCs/>
        </w:rPr>
      </w:pPr>
      <w:bookmarkStart w:id="251" w:name="_Ref121141974"/>
    </w:p>
    <w:p w14:paraId="3E24914E" w14:textId="77777777" w:rsidR="001E7771" w:rsidRDefault="001E7771" w:rsidP="00FE6221">
      <w:pPr>
        <w:pStyle w:val="SDText"/>
        <w:ind w:firstLine="0"/>
        <w:rPr>
          <w:b/>
          <w:bCs/>
        </w:rPr>
      </w:pPr>
    </w:p>
    <w:p w14:paraId="454C282E" w14:textId="0C455267" w:rsidR="00FE6221" w:rsidRDefault="00DC6D16" w:rsidP="00791E09">
      <w:pPr>
        <w:spacing w:after="0"/>
        <w:ind w:firstLine="0"/>
      </w:pPr>
      <w:r>
        <w:rPr>
          <w:b/>
          <w:bCs/>
        </w:rPr>
        <w:br w:type="page"/>
      </w:r>
      <w:r w:rsidR="00FE6221" w:rsidRPr="00FE6221">
        <w:rPr>
          <w:b/>
          <w:bCs/>
        </w:rPr>
        <w:lastRenderedPageBreak/>
        <w:t xml:space="preserve">Рисунок </w:t>
      </w:r>
      <w:r w:rsidR="00FE6221" w:rsidRPr="00FE6221">
        <w:rPr>
          <w:b/>
          <w:bCs/>
        </w:rPr>
        <w:fldChar w:fldCharType="begin"/>
      </w:r>
      <w:r w:rsidR="00FE6221" w:rsidRPr="00FE6221">
        <w:rPr>
          <w:b/>
          <w:bCs/>
        </w:rPr>
        <w:instrText xml:space="preserve"> STYLEREF 1 \s </w:instrText>
      </w:r>
      <w:r w:rsidR="00FE6221" w:rsidRPr="00FE6221">
        <w:rPr>
          <w:b/>
          <w:bCs/>
        </w:rPr>
        <w:fldChar w:fldCharType="separate"/>
      </w:r>
      <w:r w:rsidR="00383E6F">
        <w:rPr>
          <w:b/>
          <w:bCs/>
          <w:noProof/>
        </w:rPr>
        <w:t>4</w:t>
      </w:r>
      <w:r w:rsidR="00FE6221" w:rsidRPr="00FE6221">
        <w:rPr>
          <w:b/>
          <w:bCs/>
        </w:rPr>
        <w:fldChar w:fldCharType="end"/>
      </w:r>
      <w:r w:rsidR="00FE6221" w:rsidRPr="00FE6221">
        <w:rPr>
          <w:b/>
          <w:bCs/>
        </w:rPr>
        <w:noBreakHyphen/>
      </w:r>
      <w:r w:rsidR="00FE6221" w:rsidRPr="00FE6221">
        <w:rPr>
          <w:b/>
          <w:bCs/>
        </w:rPr>
        <w:fldChar w:fldCharType="begin"/>
      </w:r>
      <w:r w:rsidR="00FE6221" w:rsidRPr="00FE6221">
        <w:rPr>
          <w:b/>
          <w:bCs/>
        </w:rPr>
        <w:instrText xml:space="preserve"> SEQ Рисунок \* ARABIC \s 1 </w:instrText>
      </w:r>
      <w:r w:rsidR="00FE6221" w:rsidRPr="00FE6221">
        <w:rPr>
          <w:b/>
          <w:bCs/>
        </w:rPr>
        <w:fldChar w:fldCharType="separate"/>
      </w:r>
      <w:r w:rsidR="00383E6F">
        <w:rPr>
          <w:b/>
          <w:bCs/>
          <w:noProof/>
        </w:rPr>
        <w:t>2</w:t>
      </w:r>
      <w:r w:rsidR="00FE6221" w:rsidRPr="00FE6221">
        <w:rPr>
          <w:b/>
          <w:bCs/>
        </w:rPr>
        <w:fldChar w:fldCharType="end"/>
      </w:r>
      <w:bookmarkEnd w:id="251"/>
      <w:r w:rsidR="00FE6221" w:rsidRPr="00FE6221">
        <w:rPr>
          <w:b/>
          <w:bCs/>
        </w:rPr>
        <w:t>.</w:t>
      </w:r>
      <w:r w:rsidR="00FE6221">
        <w:t xml:space="preserve"> Время до регистрации неудачи терапии в исследовании </w:t>
      </w:r>
      <w:r w:rsidR="00FE6221" w:rsidRPr="004B1FA7">
        <w:t>OCTAVE sustain</w:t>
      </w:r>
      <w:r w:rsidR="00FE6221">
        <w:t xml:space="preserve"> (кривые Каплана-Мейера).</w:t>
      </w:r>
    </w:p>
    <w:p w14:paraId="417B067C" w14:textId="76ED464C" w:rsidR="00E32330" w:rsidRDefault="00E32330" w:rsidP="00791E09">
      <w:pPr>
        <w:pStyle w:val="SDText"/>
        <w:ind w:firstLine="0"/>
        <w:contextualSpacing/>
      </w:pPr>
      <w:r>
        <w:rPr>
          <w:noProof/>
          <w:lang w:eastAsia="ru-RU"/>
        </w:rPr>
        <w:drawing>
          <wp:inline distT="0" distB="0" distL="0" distR="0" wp14:anchorId="510088CE" wp14:editId="645B1A38">
            <wp:extent cx="6124755" cy="34558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6141486" cy="3465308"/>
                    </a:xfrm>
                    <a:prstGeom prst="rect">
                      <a:avLst/>
                    </a:prstGeom>
                  </pic:spPr>
                </pic:pic>
              </a:graphicData>
            </a:graphic>
          </wp:inline>
        </w:drawing>
      </w:r>
    </w:p>
    <w:p w14:paraId="64860E62" w14:textId="77777777" w:rsidR="001E7771" w:rsidRPr="00C23B3C" w:rsidRDefault="0064127E" w:rsidP="00F02773">
      <w:pPr>
        <w:pStyle w:val="SDcomments"/>
        <w:ind w:firstLine="0"/>
      </w:pPr>
      <w:r w:rsidRPr="001E7771">
        <w:rPr>
          <w:b/>
          <w:iCs/>
        </w:rPr>
        <w:t>Примечани</w:t>
      </w:r>
      <w:r w:rsidR="001E7771" w:rsidRPr="001E7771">
        <w:rPr>
          <w:b/>
          <w:iCs/>
        </w:rPr>
        <w:t>е</w:t>
      </w:r>
      <w:r w:rsidRPr="001E7771">
        <w:rPr>
          <w:b/>
          <w:iCs/>
        </w:rPr>
        <w:t>:</w:t>
      </w:r>
      <w:r w:rsidRPr="008F20AC">
        <w:rPr>
          <w:i/>
          <w:iCs/>
        </w:rPr>
        <w:t xml:space="preserve"> </w:t>
      </w:r>
    </w:p>
    <w:p w14:paraId="72C5279F" w14:textId="0F1645F2" w:rsidR="0064127E" w:rsidRPr="00F02773" w:rsidRDefault="0064127E" w:rsidP="00F02773">
      <w:pPr>
        <w:pStyle w:val="SDcomments"/>
        <w:ind w:firstLine="0"/>
      </w:pPr>
      <w:r>
        <w:rPr>
          <w:lang w:val="en-US"/>
        </w:rPr>
        <w:t>PREPORTION</w:t>
      </w:r>
      <w:r w:rsidRPr="008F20AC">
        <w:t xml:space="preserve"> </w:t>
      </w:r>
      <w:r>
        <w:rPr>
          <w:lang w:val="en-US"/>
        </w:rPr>
        <w:t>OF</w:t>
      </w:r>
      <w:r w:rsidRPr="008F20AC">
        <w:t xml:space="preserve"> </w:t>
      </w:r>
      <w:r>
        <w:rPr>
          <w:lang w:val="en-US"/>
        </w:rPr>
        <w:t>SUBJECT</w:t>
      </w:r>
      <w:r w:rsidRPr="008F20AC">
        <w:t xml:space="preserve"> </w:t>
      </w:r>
      <w:r>
        <w:rPr>
          <w:lang w:val="en-US"/>
        </w:rPr>
        <w:t>WITH</w:t>
      </w:r>
      <w:r w:rsidRPr="008F20AC">
        <w:t xml:space="preserve"> </w:t>
      </w:r>
      <w:r>
        <w:rPr>
          <w:lang w:val="en-US"/>
        </w:rPr>
        <w:t>EVENT</w:t>
      </w:r>
      <w:r w:rsidRPr="008F20AC">
        <w:t xml:space="preserve"> – </w:t>
      </w:r>
      <w:r>
        <w:t>доля</w:t>
      </w:r>
      <w:r w:rsidRPr="008F20AC">
        <w:t xml:space="preserve"> </w:t>
      </w:r>
      <w:r>
        <w:t>пациентов</w:t>
      </w:r>
      <w:r w:rsidRPr="008F20AC">
        <w:t xml:space="preserve"> </w:t>
      </w:r>
      <w:r>
        <w:t>с</w:t>
      </w:r>
      <w:r w:rsidRPr="008F20AC">
        <w:t xml:space="preserve"> </w:t>
      </w:r>
      <w:r>
        <w:t>событием</w:t>
      </w:r>
      <w:r w:rsidRPr="008F20AC">
        <w:t xml:space="preserve">; </w:t>
      </w:r>
      <w:r>
        <w:rPr>
          <w:lang w:val="en-US"/>
        </w:rPr>
        <w:t>TIME</w:t>
      </w:r>
      <w:r w:rsidRPr="008F20AC">
        <w:t xml:space="preserve"> </w:t>
      </w:r>
      <w:r w:rsidR="008F20AC">
        <w:rPr>
          <w:lang w:val="en-US"/>
        </w:rPr>
        <w:t>TO</w:t>
      </w:r>
      <w:r w:rsidR="008F20AC" w:rsidRPr="008F20AC">
        <w:t xml:space="preserve"> </w:t>
      </w:r>
      <w:r w:rsidR="008F20AC">
        <w:rPr>
          <w:lang w:val="en-US"/>
        </w:rPr>
        <w:t>TREATMENT</w:t>
      </w:r>
      <w:r w:rsidR="008F20AC" w:rsidRPr="008F20AC">
        <w:t xml:space="preserve"> </w:t>
      </w:r>
      <w:r w:rsidR="008F20AC">
        <w:rPr>
          <w:lang w:val="en-US"/>
        </w:rPr>
        <w:t>FAILURE</w:t>
      </w:r>
      <w:r w:rsidR="008F20AC" w:rsidRPr="008F20AC">
        <w:t xml:space="preserve"> (</w:t>
      </w:r>
      <w:r w:rsidR="008F20AC">
        <w:rPr>
          <w:lang w:val="en-US"/>
        </w:rPr>
        <w:t>WEEKS</w:t>
      </w:r>
      <w:r w:rsidR="008F20AC" w:rsidRPr="008F20AC">
        <w:t xml:space="preserve">) – </w:t>
      </w:r>
      <w:r w:rsidR="008F20AC">
        <w:t>время</w:t>
      </w:r>
      <w:r w:rsidR="008F20AC" w:rsidRPr="008F20AC">
        <w:t xml:space="preserve"> </w:t>
      </w:r>
      <w:r w:rsidR="008F20AC">
        <w:t>до</w:t>
      </w:r>
      <w:r w:rsidR="008F20AC" w:rsidRPr="008F20AC">
        <w:t xml:space="preserve"> </w:t>
      </w:r>
      <w:r w:rsidR="008F20AC">
        <w:t>регистрации</w:t>
      </w:r>
      <w:r w:rsidR="008F20AC" w:rsidRPr="008F20AC">
        <w:t xml:space="preserve"> </w:t>
      </w:r>
      <w:r w:rsidR="008F20AC">
        <w:t>неудачи</w:t>
      </w:r>
      <w:r w:rsidR="008F20AC" w:rsidRPr="008F20AC">
        <w:t xml:space="preserve"> </w:t>
      </w:r>
      <w:r w:rsidR="008F20AC">
        <w:t xml:space="preserve">терапии (недели); </w:t>
      </w:r>
      <w:r w:rsidR="008D761A">
        <w:rPr>
          <w:lang w:val="en-US"/>
        </w:rPr>
        <w:t>TOFACITINIB</w:t>
      </w:r>
      <w:r w:rsidR="008D761A" w:rsidRPr="008D761A">
        <w:t xml:space="preserve"> 5 </w:t>
      </w:r>
      <w:r w:rsidR="008D761A">
        <w:rPr>
          <w:lang w:val="en-US"/>
        </w:rPr>
        <w:t>mg</w:t>
      </w:r>
      <w:r w:rsidR="008D761A" w:rsidRPr="008D761A">
        <w:t xml:space="preserve"> </w:t>
      </w:r>
      <w:r w:rsidR="008D761A">
        <w:rPr>
          <w:lang w:val="en-US"/>
        </w:rPr>
        <w:t>BID</w:t>
      </w:r>
      <w:r w:rsidR="008D761A" w:rsidRPr="008D761A">
        <w:t xml:space="preserve"> </w:t>
      </w:r>
      <w:r w:rsidR="008D761A">
        <w:t>–</w:t>
      </w:r>
      <w:r w:rsidR="008D761A" w:rsidRPr="008D761A">
        <w:t xml:space="preserve"> </w:t>
      </w:r>
      <w:r w:rsidR="008D761A">
        <w:t xml:space="preserve">тофацитиниб 5 мг 2 раза в день; </w:t>
      </w:r>
      <w:r w:rsidR="008D761A">
        <w:rPr>
          <w:lang w:val="en-US"/>
        </w:rPr>
        <w:t>TOFACITINIB</w:t>
      </w:r>
      <w:r w:rsidR="008D761A" w:rsidRPr="008D761A">
        <w:t xml:space="preserve"> </w:t>
      </w:r>
      <w:r w:rsidR="008D761A">
        <w:t>10</w:t>
      </w:r>
      <w:r w:rsidR="008D761A" w:rsidRPr="008D761A">
        <w:t xml:space="preserve"> </w:t>
      </w:r>
      <w:r w:rsidR="008D761A">
        <w:rPr>
          <w:lang w:val="en-US"/>
        </w:rPr>
        <w:t>mg</w:t>
      </w:r>
      <w:r w:rsidR="008D761A" w:rsidRPr="008D761A">
        <w:t xml:space="preserve"> </w:t>
      </w:r>
      <w:r w:rsidR="008D761A">
        <w:rPr>
          <w:lang w:val="en-US"/>
        </w:rPr>
        <w:t>BID</w:t>
      </w:r>
      <w:r w:rsidR="008D761A" w:rsidRPr="008D761A">
        <w:t xml:space="preserve"> </w:t>
      </w:r>
      <w:r w:rsidR="008D761A">
        <w:t>–</w:t>
      </w:r>
      <w:r w:rsidR="008D761A" w:rsidRPr="008D761A">
        <w:t xml:space="preserve"> </w:t>
      </w:r>
      <w:r w:rsidR="008D761A">
        <w:t xml:space="preserve">тофацитиниб 10 мг 2 раза в день; </w:t>
      </w:r>
      <w:r w:rsidR="008D761A">
        <w:rPr>
          <w:lang w:val="en-US"/>
        </w:rPr>
        <w:t>PLACEBO</w:t>
      </w:r>
      <w:r w:rsidR="008D761A" w:rsidRPr="008D761A">
        <w:t xml:space="preserve"> </w:t>
      </w:r>
      <w:r w:rsidR="008D761A">
        <w:t>–</w:t>
      </w:r>
      <w:r w:rsidR="008D761A" w:rsidRPr="008D761A">
        <w:t xml:space="preserve"> </w:t>
      </w:r>
      <w:r w:rsidR="008D761A">
        <w:t>плацебо</w:t>
      </w:r>
      <w:r w:rsidR="00DB203D">
        <w:t xml:space="preserve">; неудачу терапии определяли как увеличение балла по шкале Мейо на ≥ 3 баллов по сравнению с исходным уровнем в исследовании </w:t>
      </w:r>
      <w:r w:rsidR="00DB203D" w:rsidRPr="00DB203D">
        <w:t>OCTAVE sustain</w:t>
      </w:r>
      <w:r w:rsidR="00DB203D">
        <w:t>, сопровождавшееся увеличение показателя по подшкале ректального кровотечения на ≥ 1 балла и увеличением</w:t>
      </w:r>
      <w:r w:rsidR="00057BB8">
        <w:t xml:space="preserve"> показателя</w:t>
      </w:r>
      <w:r w:rsidR="00DB203D">
        <w:t xml:space="preserve"> </w:t>
      </w:r>
      <w:r w:rsidR="00057BB8">
        <w:t xml:space="preserve">по </w:t>
      </w:r>
      <w:r w:rsidR="00DB203D">
        <w:t>подшкал</w:t>
      </w:r>
      <w:r w:rsidR="00057BB8">
        <w:t>е</w:t>
      </w:r>
      <w:r w:rsidR="00DB203D">
        <w:t xml:space="preserve"> </w:t>
      </w:r>
      <w:r w:rsidR="00057BB8">
        <w:t xml:space="preserve">эндоскопической оценки </w:t>
      </w:r>
      <w:r w:rsidR="00DB203D">
        <w:t xml:space="preserve">на ≥ 1 балла, </w:t>
      </w:r>
      <w:r w:rsidR="00105E49">
        <w:t>приводящего к абсолютному значению</w:t>
      </w:r>
      <w:r w:rsidR="00DB203D">
        <w:t xml:space="preserve"> </w:t>
      </w:r>
      <w:r w:rsidR="00105E49">
        <w:t xml:space="preserve">показателя по </w:t>
      </w:r>
      <w:r w:rsidR="00DB203D">
        <w:t>подшкал</w:t>
      </w:r>
      <w:r w:rsidR="00105E49">
        <w:t>е</w:t>
      </w:r>
      <w:r w:rsidR="00DB203D">
        <w:t xml:space="preserve"> </w:t>
      </w:r>
      <w:r w:rsidR="00105E49">
        <w:t xml:space="preserve">эндоскопической оценки до </w:t>
      </w:r>
      <w:r w:rsidR="00DB203D">
        <w:t>≥ 2</w:t>
      </w:r>
      <w:r w:rsidR="00105E49">
        <w:t xml:space="preserve"> балла</w:t>
      </w:r>
      <w:r w:rsidR="00DB203D">
        <w:t xml:space="preserve"> после лечения </w:t>
      </w:r>
      <w:r w:rsidR="00B1034F">
        <w:t xml:space="preserve">по крайней мере </w:t>
      </w:r>
      <w:r w:rsidR="00DB203D">
        <w:t>в течение 8 недель в исследовании</w:t>
      </w:r>
      <w:r w:rsidR="00F02773">
        <w:t>;</w:t>
      </w:r>
      <w:r w:rsidR="00F02773" w:rsidRPr="00F02773">
        <w:t xml:space="preserve"> </w:t>
      </w:r>
      <w:r w:rsidR="00F02773">
        <w:t xml:space="preserve">p &lt; 0,0001 </w:t>
      </w:r>
      <w:r w:rsidR="00A43CE9">
        <w:t>при сравнении показателя на фоне терапии</w:t>
      </w:r>
      <w:r w:rsidR="00F02773">
        <w:t xml:space="preserve"> тофацитиниб</w:t>
      </w:r>
      <w:r w:rsidR="00A43CE9">
        <w:t>ом в дозе</w:t>
      </w:r>
      <w:r w:rsidR="00F02773">
        <w:t xml:space="preserve"> 5 мг 2 раза в день по сравнению с</w:t>
      </w:r>
      <w:r w:rsidR="00A43CE9">
        <w:t>о значением показателя при использовании</w:t>
      </w:r>
      <w:r w:rsidR="00F02773">
        <w:t xml:space="preserve"> плацебо; </w:t>
      </w:r>
      <w:r w:rsidR="00F02773" w:rsidRPr="00F02773">
        <w:rPr>
          <w:lang w:val="en-US"/>
        </w:rPr>
        <w:t>p</w:t>
      </w:r>
      <w:r w:rsidR="00F02773" w:rsidRPr="00F02773">
        <w:t xml:space="preserve"> &lt; 0,0001 </w:t>
      </w:r>
      <w:r w:rsidR="00A43CE9">
        <w:t xml:space="preserve">при сравнении показателя на фоне терапии тофацитинибом в дозе </w:t>
      </w:r>
      <w:r w:rsidR="00F02773" w:rsidRPr="00F02773">
        <w:t xml:space="preserve">10 </w:t>
      </w:r>
      <w:r w:rsidR="00A43CE9">
        <w:t>мг</w:t>
      </w:r>
      <w:r w:rsidR="00F02773" w:rsidRPr="00F02773">
        <w:t xml:space="preserve"> </w:t>
      </w:r>
      <w:r w:rsidR="00A43CE9">
        <w:t>2 раза в день по сравнению со значением показателя при использовании плацебо.</w:t>
      </w:r>
    </w:p>
    <w:p w14:paraId="374BAAB6" w14:textId="6CE0D152" w:rsidR="0044291B" w:rsidRPr="00F02773" w:rsidRDefault="0044291B" w:rsidP="0064127E">
      <w:pPr>
        <w:pStyle w:val="SDcomments"/>
        <w:ind w:firstLine="0"/>
      </w:pPr>
    </w:p>
    <w:p w14:paraId="07CB2264" w14:textId="38F2E69D" w:rsidR="0044291B" w:rsidRPr="00F02773" w:rsidRDefault="00A15933" w:rsidP="00C13EBE">
      <w:pPr>
        <w:pStyle w:val="SDText"/>
        <w:spacing w:after="0"/>
      </w:pPr>
      <w:r>
        <w:t xml:space="preserve">Для тофацитиниба в сравнении с плацебо продемонстрировали более выраженное улучшение от исходного значения показателя физического компонента и показателя психологического компонента, а также всех 8 доменов </w:t>
      </w:r>
      <w:r>
        <w:rPr>
          <w:lang w:val="en-US"/>
        </w:rPr>
        <w:t>SF</w:t>
      </w:r>
      <w:r w:rsidRPr="00B87EDB">
        <w:t>-36</w:t>
      </w:r>
      <w:r>
        <w:t xml:space="preserve"> на неделе 24 и 52. Кроме того, тофацитиниб обладал превосходством над плацебо в отношении общего показателя и показателя по всем 4 подшкалам (симптомы со стороны кишечника, системная функция, эмоциональная функция и социальная функция) </w:t>
      </w:r>
      <w:r w:rsidRPr="00073FB6">
        <w:t>IBDQ</w:t>
      </w:r>
      <w:r>
        <w:t xml:space="preserve"> на неделе 24 и 52. Улучшения на фоне терапии тофацитинибом в сравнении с плацебо также наблюдали при </w:t>
      </w:r>
      <w:r w:rsidRPr="0044291B">
        <w:t>оценке по EQ-5D и различным доменам WPAI-UC</w:t>
      </w:r>
      <w:r w:rsidR="00265774">
        <w:t xml:space="preserve"> </w:t>
      </w:r>
      <w:r w:rsidR="00265774" w:rsidRPr="0044291B">
        <w:fldChar w:fldCharType="begin"/>
      </w:r>
      <w:r w:rsidR="00265774" w:rsidRPr="0044291B">
        <w:instrText xml:space="preserve"> ADDIN ZOTERO_ITEM CSL_CITATION {"citationID":"6YSFfpqC","properties":{"formattedCitation":"[24]","plainCitation":"[24]","noteIndex":0},"citationItems":[{"id":87800,"uris":["http://zotero.org/groups/4742804/items/TPCQ89X9"],"itemData":{"id":87800,"type":"webpage","title":"Xeljanz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265774" w:rsidRPr="0044291B">
        <w:fldChar w:fldCharType="separate"/>
      </w:r>
      <w:r w:rsidR="00265774" w:rsidRPr="0044291B">
        <w:rPr>
          <w:rFonts w:cs="Times New Roman"/>
        </w:rPr>
        <w:t>[2]</w:t>
      </w:r>
      <w:r w:rsidR="00265774" w:rsidRPr="0044291B">
        <w:fldChar w:fldCharType="end"/>
      </w:r>
      <w:r w:rsidR="00265774" w:rsidRPr="0044291B">
        <w:t>.</w:t>
      </w:r>
    </w:p>
    <w:p w14:paraId="0615F5B9" w14:textId="77777777" w:rsidR="00670457" w:rsidRPr="00F02773" w:rsidRDefault="00670457">
      <w:pPr>
        <w:pStyle w:val="SDcomments"/>
        <w:ind w:firstLine="0"/>
      </w:pPr>
    </w:p>
    <w:p w14:paraId="5DCBD055" w14:textId="583D6BEC" w:rsidR="00220E80" w:rsidRPr="00220E80" w:rsidRDefault="00220E80" w:rsidP="00C13EBE">
      <w:pPr>
        <w:pStyle w:val="SDText"/>
        <w:spacing w:after="0"/>
        <w:ind w:firstLine="0"/>
        <w:contextualSpacing/>
        <w:rPr>
          <w:b/>
        </w:rPr>
      </w:pPr>
      <w:r>
        <w:rPr>
          <w:b/>
        </w:rPr>
        <w:t>Открытое исследование</w:t>
      </w:r>
      <w:r w:rsidRPr="004861FD">
        <w:rPr>
          <w:b/>
        </w:rPr>
        <w:t xml:space="preserve"> </w:t>
      </w:r>
      <w:r>
        <w:rPr>
          <w:b/>
        </w:rPr>
        <w:t xml:space="preserve">расширенного доступа </w:t>
      </w:r>
      <w:r w:rsidRPr="004861FD">
        <w:rPr>
          <w:b/>
        </w:rPr>
        <w:t xml:space="preserve">OCTAVE </w:t>
      </w:r>
      <w:r>
        <w:rPr>
          <w:b/>
          <w:lang w:val="en-US"/>
        </w:rPr>
        <w:t>Open</w:t>
      </w:r>
    </w:p>
    <w:p w14:paraId="7EFEAC11" w14:textId="77777777" w:rsidR="00220E80" w:rsidRDefault="00220E80" w:rsidP="00C13EBE">
      <w:pPr>
        <w:pStyle w:val="SDText"/>
        <w:spacing w:after="0"/>
        <w:contextualSpacing/>
      </w:pPr>
    </w:p>
    <w:p w14:paraId="25D27E07" w14:textId="069001A3" w:rsidR="009939CE" w:rsidRDefault="00B032FC" w:rsidP="00D22A13">
      <w:pPr>
        <w:pStyle w:val="SDText"/>
        <w:contextualSpacing/>
      </w:pPr>
      <w:r>
        <w:t>В</w:t>
      </w:r>
      <w:r w:rsidRPr="00A345BE">
        <w:t xml:space="preserve"> </w:t>
      </w:r>
      <w:r>
        <w:t xml:space="preserve">исследовании </w:t>
      </w:r>
      <w:r w:rsidR="00A345BE" w:rsidRPr="00A345BE">
        <w:t>OCTAVE Open</w:t>
      </w:r>
      <w:r w:rsidR="00A345BE">
        <w:t xml:space="preserve"> </w:t>
      </w:r>
      <w:r w:rsidR="001678B4">
        <w:t>включали</w:t>
      </w:r>
      <w:r w:rsidR="003B0CF4">
        <w:t xml:space="preserve"> больных, не достигших клинического ответа в исследованиях </w:t>
      </w:r>
      <w:r w:rsidR="003B0CF4" w:rsidRPr="003B0CF4">
        <w:t xml:space="preserve">OCTAVE Induction </w:t>
      </w:r>
      <w:r w:rsidR="003B0CF4">
        <w:t>1 и</w:t>
      </w:r>
      <w:r w:rsidR="003B0CF4" w:rsidRPr="003B0CF4">
        <w:t xml:space="preserve"> </w:t>
      </w:r>
      <w:r w:rsidR="003B0CF4" w:rsidRPr="00395CE2">
        <w:t xml:space="preserve">OCTAVE Induction </w:t>
      </w:r>
      <w:r w:rsidR="003B0CF4">
        <w:t xml:space="preserve">2, </w:t>
      </w:r>
      <w:r w:rsidR="00A345BE">
        <w:t xml:space="preserve">после 8 недель терапии тофацитинибом в дозе </w:t>
      </w:r>
      <w:r w:rsidR="00395399">
        <w:t>10 мг 2 раза в день</w:t>
      </w:r>
      <w:r w:rsidR="00B07D51">
        <w:t xml:space="preserve">. После дополнительных 8 недель </w:t>
      </w:r>
      <w:r w:rsidR="00B07D51">
        <w:lastRenderedPageBreak/>
        <w:t>терапии</w:t>
      </w:r>
      <w:r w:rsidR="00395399">
        <w:t xml:space="preserve"> </w:t>
      </w:r>
      <w:r w:rsidR="00B07D51">
        <w:t xml:space="preserve">в исследовании </w:t>
      </w:r>
      <w:r w:rsidR="00B07D51" w:rsidRPr="00A345BE">
        <w:t>OCTAVE Open</w:t>
      </w:r>
      <w:r w:rsidR="00B07D51">
        <w:t xml:space="preserve"> </w:t>
      </w:r>
      <w:r w:rsidR="00395399">
        <w:t xml:space="preserve">у 53% (154 из 293) пациентов отмечали клинический ответ, а у </w:t>
      </w:r>
      <w:r w:rsidR="007817FE">
        <w:t>14% (42 из 293) больных – достижение ремиссии</w:t>
      </w:r>
      <w:r w:rsidR="00D51196">
        <w:t xml:space="preserve"> </w:t>
      </w:r>
      <w:r w:rsidR="00DC1814">
        <w:fldChar w:fldCharType="begin"/>
      </w:r>
      <w:r w:rsidR="00DC1814">
        <w:instrText xml:space="preserve"> ADDIN ZOTERO_ITEM CSL_CITATION {"citationID":"ss5zzog5","properties":{"formattedCitation":"[24]","plainCitation":"[24]","noteIndex":0},"citationItems":[{"id":87800,"uris":["http://zotero.org/groups/4742804/items/TPCQ89X9"],"itemData":{"id":87800,"type":"webpage","title":"Xeljanz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DC1814">
        <w:fldChar w:fldCharType="separate"/>
      </w:r>
      <w:r w:rsidR="00DC1814">
        <w:rPr>
          <w:rFonts w:cs="Times New Roman"/>
        </w:rPr>
        <w:t>[2</w:t>
      </w:r>
      <w:r w:rsidR="00DC1814" w:rsidRPr="008D5290">
        <w:rPr>
          <w:rFonts w:cs="Times New Roman"/>
        </w:rPr>
        <w:t>]</w:t>
      </w:r>
      <w:r w:rsidR="00DC1814">
        <w:fldChar w:fldCharType="end"/>
      </w:r>
      <w:r w:rsidR="00DC1814">
        <w:t>.</w:t>
      </w:r>
    </w:p>
    <w:p w14:paraId="5B2AF3FA" w14:textId="59B739F2" w:rsidR="0088189D" w:rsidRDefault="00057182" w:rsidP="000C4FC5">
      <w:pPr>
        <w:pStyle w:val="SDText"/>
        <w:contextualSpacing/>
      </w:pPr>
      <w:r>
        <w:t>Для п</w:t>
      </w:r>
      <w:r w:rsidR="000C4FC5">
        <w:t>ациент</w:t>
      </w:r>
      <w:r>
        <w:t>ов</w:t>
      </w:r>
      <w:r w:rsidR="000C4FC5">
        <w:t>, достигши</w:t>
      </w:r>
      <w:r>
        <w:t>х</w:t>
      </w:r>
      <w:r w:rsidR="000C4FC5">
        <w:t xml:space="preserve"> клинического ответа в одном из индукционных исследований (OCTAVE Induction 1 или OCTAVE Induction 2) </w:t>
      </w:r>
      <w:r>
        <w:t>на фоне терапии</w:t>
      </w:r>
      <w:r w:rsidR="000C4FC5">
        <w:t xml:space="preserve"> тофацитинибом в дозе 10 мг два раза в день, </w:t>
      </w:r>
      <w:r w:rsidR="00C03691">
        <w:t>для которых зарегистрировали неудачу терапии после</w:t>
      </w:r>
      <w:r w:rsidR="000C4FC5">
        <w:t xml:space="preserve"> </w:t>
      </w:r>
      <w:r w:rsidR="00C03691">
        <w:t xml:space="preserve">снижения </w:t>
      </w:r>
      <w:r w:rsidR="000C4FC5">
        <w:t>доз</w:t>
      </w:r>
      <w:r w:rsidR="00C03691">
        <w:t>ы</w:t>
      </w:r>
      <w:r w:rsidR="000C4FC5">
        <w:t xml:space="preserve"> до 5 мг тофацитиниба два раза в день или после прерывания лечения в OCTAVE Sustain (т.</w:t>
      </w:r>
      <w:r w:rsidR="00C03691">
        <w:t xml:space="preserve"> </w:t>
      </w:r>
      <w:r w:rsidR="000C4FC5">
        <w:t>е. рандомиз</w:t>
      </w:r>
      <w:r w:rsidR="00C03691">
        <w:t>ации</w:t>
      </w:r>
      <w:r w:rsidR="000C4FC5">
        <w:t xml:space="preserve"> в группу плацебо), </w:t>
      </w:r>
      <w:r w:rsidR="00C03691">
        <w:t xml:space="preserve">в исследовании </w:t>
      </w:r>
      <w:r w:rsidR="00C03691" w:rsidRPr="00A345BE">
        <w:t>OCTAVE Open</w:t>
      </w:r>
      <w:r w:rsidR="00C03691">
        <w:t xml:space="preserve"> </w:t>
      </w:r>
      <w:r w:rsidR="000C4FC5">
        <w:t>доз</w:t>
      </w:r>
      <w:r w:rsidR="00C03691">
        <w:t>у</w:t>
      </w:r>
      <w:r w:rsidR="000C4FC5">
        <w:t xml:space="preserve"> увелич</w:t>
      </w:r>
      <w:r w:rsidR="00C03691">
        <w:t>ивали</w:t>
      </w:r>
      <w:r w:rsidR="000C4FC5">
        <w:t xml:space="preserve"> до 10 мг тофацитиниба два раза в день. </w:t>
      </w:r>
      <w:r w:rsidR="00F626A6">
        <w:t>Среди п</w:t>
      </w:r>
      <w:r w:rsidR="00D51196">
        <w:t>ациентов</w:t>
      </w:r>
      <w:r w:rsidR="00815001">
        <w:t xml:space="preserve"> с неудачей терапии в исследовании </w:t>
      </w:r>
      <w:r w:rsidR="00815001" w:rsidRPr="00815001">
        <w:t>OCTAVE Sustain</w:t>
      </w:r>
      <w:r w:rsidR="00815001">
        <w:t xml:space="preserve"> </w:t>
      </w:r>
      <w:r w:rsidR="00D241A3">
        <w:t xml:space="preserve">через 8 недель от начала терапии в исследовании </w:t>
      </w:r>
      <w:r w:rsidR="00D241A3" w:rsidRPr="00A345BE">
        <w:t>OCTAVE Open</w:t>
      </w:r>
      <w:r w:rsidR="00D241A3">
        <w:t xml:space="preserve"> </w:t>
      </w:r>
      <w:r w:rsidR="00B92F26">
        <w:t>ремиссию</w:t>
      </w:r>
      <w:r w:rsidR="00D241A3">
        <w:t xml:space="preserve"> отмечали у </w:t>
      </w:r>
      <w:r w:rsidR="00B554AF">
        <w:t>35% (20 из 58) пациентов</w:t>
      </w:r>
      <w:r w:rsidR="006F2AE3">
        <w:t xml:space="preserve">, получавших тофацитиниб в дозе 5 мг 2 раза в день </w:t>
      </w:r>
      <w:r w:rsidR="00BE237B">
        <w:t xml:space="preserve">в исследовании </w:t>
      </w:r>
      <w:r w:rsidR="00BE237B" w:rsidRPr="00BE237B">
        <w:t>OCTAVE Sustain</w:t>
      </w:r>
      <w:r w:rsidR="00A12A03">
        <w:t>,</w:t>
      </w:r>
      <w:r w:rsidR="00BE237B" w:rsidRPr="00BE237B">
        <w:t xml:space="preserve"> </w:t>
      </w:r>
      <w:r w:rsidR="006F2AE3">
        <w:t xml:space="preserve">и у </w:t>
      </w:r>
      <w:r w:rsidR="00CA059C">
        <w:t>40% (40 из 99) больных</w:t>
      </w:r>
      <w:r w:rsidR="00BE237B">
        <w:t xml:space="preserve"> с перерывом в приеме препарата после исследования </w:t>
      </w:r>
      <w:r w:rsidR="00BE237B" w:rsidRPr="00815001">
        <w:t>OCTAVE Sustain</w:t>
      </w:r>
      <w:r w:rsidR="00CC34B9">
        <w:t>.</w:t>
      </w:r>
      <w:r w:rsidR="000B0386">
        <w:t xml:space="preserve"> </w:t>
      </w:r>
      <w:r w:rsidR="00CC34B9">
        <w:t>Ч</w:t>
      </w:r>
      <w:r w:rsidR="00A81FBB">
        <w:t xml:space="preserve">ерез 12 мес. терапии в исследовании </w:t>
      </w:r>
      <w:r w:rsidR="00A81FBB" w:rsidRPr="00A345BE">
        <w:t>OCTAVE Open</w:t>
      </w:r>
      <w:r w:rsidR="00A81FBB">
        <w:t xml:space="preserve"> </w:t>
      </w:r>
      <w:r w:rsidR="000B0386">
        <w:t>52</w:t>
      </w:r>
      <w:r w:rsidR="00CC34B9">
        <w:t>%</w:t>
      </w:r>
      <w:r w:rsidR="000B0386">
        <w:t xml:space="preserve"> </w:t>
      </w:r>
      <w:r w:rsidR="0088189D" w:rsidRPr="0088189D">
        <w:t xml:space="preserve">(25/48) </w:t>
      </w:r>
      <w:r w:rsidR="000B0386">
        <w:t xml:space="preserve">и 45% </w:t>
      </w:r>
      <w:r w:rsidR="0088189D" w:rsidRPr="0088189D">
        <w:t xml:space="preserve">(37/83) </w:t>
      </w:r>
      <w:r w:rsidR="000B0386">
        <w:t>из этих пациентов</w:t>
      </w:r>
      <w:r w:rsidR="007817FE">
        <w:t xml:space="preserve"> </w:t>
      </w:r>
      <w:r w:rsidR="000B0386">
        <w:t>соответственно достигли ремиссии</w:t>
      </w:r>
      <w:r w:rsidR="00E47847">
        <w:t xml:space="preserve"> </w:t>
      </w:r>
      <w:r w:rsidR="00DC1814">
        <w:fldChar w:fldCharType="begin"/>
      </w:r>
      <w:r w:rsidR="00DC1814">
        <w:instrText xml:space="preserve"> ADDIN ZOTERO_ITEM CSL_CITATION {"citationID":"ss5zzog5","properties":{"formattedCitation":"[24]","plainCitation":"[24]","noteIndex":0},"citationItems":[{"id":87800,"uris":["http://zotero.org/groups/4742804/items/TPCQ89X9"],"itemData":{"id":87800,"type":"webpage","title":"Xeljanz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DC1814">
        <w:fldChar w:fldCharType="separate"/>
      </w:r>
      <w:r w:rsidR="00DC1814">
        <w:rPr>
          <w:rFonts w:cs="Times New Roman"/>
        </w:rPr>
        <w:t>[2</w:t>
      </w:r>
      <w:r w:rsidR="00DC1814" w:rsidRPr="008D5290">
        <w:rPr>
          <w:rFonts w:cs="Times New Roman"/>
        </w:rPr>
        <w:t>]</w:t>
      </w:r>
      <w:r w:rsidR="00DC1814">
        <w:fldChar w:fldCharType="end"/>
      </w:r>
      <w:r w:rsidR="00DC1814">
        <w:t>.</w:t>
      </w:r>
    </w:p>
    <w:p w14:paraId="03A00E04" w14:textId="142B460C" w:rsidR="00414470" w:rsidRPr="00B032FC" w:rsidRDefault="00E47847" w:rsidP="000C4FC5">
      <w:pPr>
        <w:pStyle w:val="SDText"/>
        <w:contextualSpacing/>
      </w:pPr>
      <w:r>
        <w:t>Кроме того, через 12 мес. от начала исследования OCTAVE Open 74% (48/65) пациентов, достигших ремиссии в конце исследования OCTAVE Sustain, прини</w:t>
      </w:r>
      <w:r w:rsidR="00BC258D">
        <w:t>ма</w:t>
      </w:r>
      <w:r>
        <w:t>вших тофацитиниб в дозе 5 мг 2</w:t>
      </w:r>
      <w:r w:rsidR="00DD0A7E">
        <w:t xml:space="preserve"> раза </w:t>
      </w:r>
      <w:r>
        <w:t xml:space="preserve">в день либо тофацитиниб в дозе 10 мг 2 </w:t>
      </w:r>
      <w:r w:rsidR="00DD0A7E">
        <w:t xml:space="preserve">раза </w:t>
      </w:r>
      <w:r>
        <w:t>в день ежедневно</w:t>
      </w:r>
      <w:r w:rsidR="00BC258D">
        <w:t>,</w:t>
      </w:r>
      <w:r>
        <w:t xml:space="preserve"> оставались в фазе ремиссии на фоне приема тофацитиниба в дозе 5 мг 2 раза в день</w:t>
      </w:r>
      <w:r w:rsidR="000B0386">
        <w:t xml:space="preserve"> </w:t>
      </w:r>
      <w:r w:rsidR="007817FE">
        <w:fldChar w:fldCharType="begin"/>
      </w:r>
      <w:r w:rsidR="008D5290">
        <w:instrText xml:space="preserve"> ADDIN ZOTERO_ITEM CSL_CITATION {"citationID":"ss5zzog5","properties":{"formattedCitation":"[24]","plainCitation":"[24]","noteIndex":0},"citationItems":[{"id":87800,"uris":["http://zotero.org/groups/4742804/items/TPCQ89X9"],"itemData":{"id":87800,"type":"webpage","title":"Xeljanz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7817FE">
        <w:fldChar w:fldCharType="separate"/>
      </w:r>
      <w:r w:rsidR="00DE2C35">
        <w:rPr>
          <w:rFonts w:cs="Times New Roman"/>
        </w:rPr>
        <w:t>[2</w:t>
      </w:r>
      <w:r w:rsidR="008D5290" w:rsidRPr="008D5290">
        <w:rPr>
          <w:rFonts w:cs="Times New Roman"/>
        </w:rPr>
        <w:t>]</w:t>
      </w:r>
      <w:r w:rsidR="007817FE">
        <w:fldChar w:fldCharType="end"/>
      </w:r>
      <w:r w:rsidR="007817FE">
        <w:t>.</w:t>
      </w:r>
    </w:p>
    <w:p w14:paraId="6264E981" w14:textId="2CDA3874" w:rsidR="00234211" w:rsidRDefault="003C7C10" w:rsidP="00220E80">
      <w:pPr>
        <w:pStyle w:val="SDText"/>
        <w:spacing w:after="0"/>
        <w:contextualSpacing/>
      </w:pPr>
      <w:r>
        <w:t>Проведен</w:t>
      </w:r>
      <w:r w:rsidR="0009275D">
        <w:t xml:space="preserve"> анализ результатов исследований </w:t>
      </w:r>
      <w:r w:rsidR="00313B2F" w:rsidRPr="00313B2F">
        <w:t xml:space="preserve">OCTAVE Induction 1 </w:t>
      </w:r>
      <w:r w:rsidR="00313B2F">
        <w:t>и</w:t>
      </w:r>
      <w:r w:rsidR="00313B2F" w:rsidRPr="00313B2F">
        <w:t xml:space="preserve"> OCTAVE Induction</w:t>
      </w:r>
      <w:r w:rsidR="00313B2F">
        <w:t xml:space="preserve"> </w:t>
      </w:r>
      <w:r w:rsidR="00313B2F" w:rsidRPr="00313B2F">
        <w:t>2</w:t>
      </w:r>
      <w:r w:rsidR="006C44FE">
        <w:t xml:space="preserve"> с целью оценки влияния терапии тофацитинибом на качество жизни, связанное со здоровьем. </w:t>
      </w:r>
      <w:r w:rsidR="00F761DB">
        <w:t>На неделях 4 и 8 отмечали статистически значимое</w:t>
      </w:r>
      <w:r w:rsidR="00A1229B">
        <w:t xml:space="preserve"> </w:t>
      </w:r>
      <w:r w:rsidR="00F761DB">
        <w:t>(</w:t>
      </w:r>
      <w:r w:rsidR="00F761DB">
        <w:rPr>
          <w:lang w:val="en-US"/>
        </w:rPr>
        <w:t>p</w:t>
      </w:r>
      <w:r w:rsidR="00F761DB" w:rsidRPr="00F761DB">
        <w:t xml:space="preserve"> &lt; </w:t>
      </w:r>
      <w:r w:rsidR="00F761DB">
        <w:t xml:space="preserve">0,05) улучшение показателей по всем подшкалам </w:t>
      </w:r>
      <w:r w:rsidR="00BB6791" w:rsidRPr="00BB6791">
        <w:t>IBDQ</w:t>
      </w:r>
      <w:r w:rsidR="00BB6791">
        <w:t xml:space="preserve"> у пациентов из групп тофацитиниба, по сравнению со значениями у больных из группы плацебо</w:t>
      </w:r>
      <w:r w:rsidR="00BE7FA0">
        <w:t xml:space="preserve">. В общей популяции наиболее выраженные различия отмечали для пунктов </w:t>
      </w:r>
      <w:r w:rsidR="00476744">
        <w:t xml:space="preserve">«стул был жидким» </w:t>
      </w:r>
      <w:r w:rsidR="0048331A">
        <w:t>на неделях 4 и 8</w:t>
      </w:r>
      <w:r w:rsidR="00BC258D">
        <w:t>,</w:t>
      </w:r>
      <w:r w:rsidR="0048331A">
        <w:t xml:space="preserve"> и «проблемы с кровотечением из прямой кишки» на неделе 8</w:t>
      </w:r>
      <w:r w:rsidR="00367E56">
        <w:t xml:space="preserve"> (средняя разность 1,1, оба </w:t>
      </w:r>
      <w:r w:rsidR="006C57B2">
        <w:t xml:space="preserve">пункта находились </w:t>
      </w:r>
      <w:r w:rsidR="00367E56">
        <w:t>в доменах симптомов со стороны кишечника)</w:t>
      </w:r>
      <w:r w:rsidR="003065AA">
        <w:t>. Для этих пунктов также показали наибольший размер эффекта</w:t>
      </w:r>
      <w:r w:rsidR="006F11D8">
        <w:t xml:space="preserve">. Преимущество терапии тофацитинибом в целом было несколько </w:t>
      </w:r>
      <w:r w:rsidR="006C57B2">
        <w:t xml:space="preserve">более </w:t>
      </w:r>
      <w:r w:rsidR="007E4635">
        <w:t>вы</w:t>
      </w:r>
      <w:r w:rsidR="006C57B2">
        <w:t>раженным</w:t>
      </w:r>
      <w:r w:rsidR="007E4635">
        <w:t xml:space="preserve"> среди пациентов, ранее получавших ингибиторы </w:t>
      </w:r>
      <w:r w:rsidR="007E4635">
        <w:rPr>
          <w:lang w:val="en-US"/>
        </w:rPr>
        <w:t>TNF</w:t>
      </w:r>
      <w:r w:rsidR="007E4635" w:rsidRPr="007E4635">
        <w:t>-</w:t>
      </w:r>
      <w:r w:rsidR="007E4635">
        <w:rPr>
          <w:rFonts w:cs="Times New Roman"/>
        </w:rPr>
        <w:t>α, чем у больных</w:t>
      </w:r>
      <w:r w:rsidR="00BC258D">
        <w:rPr>
          <w:rFonts w:cs="Times New Roman"/>
        </w:rPr>
        <w:t>,</w:t>
      </w:r>
      <w:r w:rsidR="007E4635">
        <w:rPr>
          <w:rFonts w:cs="Times New Roman"/>
        </w:rPr>
        <w:t xml:space="preserve"> не получавших препараты этого класса</w:t>
      </w:r>
      <w:r w:rsidR="00677A23" w:rsidRPr="00313B2F">
        <w:t xml:space="preserve"> </w:t>
      </w:r>
      <w:r w:rsidR="00234211">
        <w:fldChar w:fldCharType="begin"/>
      </w:r>
      <w:r w:rsidR="0062670E">
        <w:instrText xml:space="preserve"> ADDIN ZOTERO_ITEM CSL_CITATION {"citationID":"F1PYzqKb","properties":{"formattedCitation":"[34]","plainCitation":"[34]","noteIndex":0},"citationItems":[{"id":87776,"uris":["http://zotero.org/groups/4742804/items/H7HIR8ER"],"itemData":{"id":87776,"type":"article-journal","abstract":"Tofacitinib is an oral, small molecule Janus kinase inhibitor for the treatment of ulcerative colitis (UC). We examined the effect of tofacitinib induction treatment on Inflammatory Bowel Disease Questionnaire (IBDQ) items in adults with moderate to severe UC.Data were pooled from the randomized, 8‑week, double-blind, phase 3 OCTAVE Induction 1 and 2 studies. The IBDQ was self-administered by patients at baseline, week 4, and week 8, with higher scores indicating better health-related quality of life (HRQoL). Change from baseline in IBDQ items was analyzed for 10 mg of tofacitinib twice daily (BID) vs placebo using a linear mixed-effects model, with no multiplicity adjustment performed. Effect sizes were calculated. Subgroup analyses by tumor necrosis factor inhibitor (TNFi) experience were performed.Significant improvements (nominal P &amp;lt; 0.05) were observed in all IBDQ items with 10 mg of tofacitinib BID vs placebo at weeks 4 and 8. For the overall population, the largest treatment differences across all items were reported for “bowel movements been loose” at weeks 4 and 8, and “problem with rectal bleeding” at week 8 (mean treatment differences all 1.1; both in bowel symptoms domain). These items also showed the largest effect sizes. Treatment benefits were generally slightly numerically higher in TNFi-experienced vs TNFi-naïve patients.Tofacitinib induction therapy improved all IBDQ items vs placebo in patients with UC, reflecting improvements in HRQoL, with greatest benefits reported in bowel symptoms domain items (Funded by Pfizer Inc; OCTAVE Induction 1 and OCTAVE Induction 2; ClinicalTrials.gov, NCT01465763 and NCT01458951, respectively).","container-title":"Inflammatory Bowel Diseases","DOI":"10.1093/ibd/izaa193","ISSN":"1078-0998","issue":"7","journalAbbreviation":"Inflammatory Bowel Diseases","page":"983-993","source":"Silverchair","title":"Tofacitinib in patients with ulcerative colitis: inflammatory bowel disease questionnaire items in phase 3 randomized controlled induction studies","title-short":"Tofacitinib in Patients with Ulcerative Colitis","volume":"27","author":[{"family":"Dubinsky","given":"Marla C"},{"family":"DiBonaventura","given":"Marco"},{"family":"Fan","given":"Haiyun"},{"family":"Bushmakin","given":"Andrew G"},{"family":"Cappelleri","given":"Joseph C"},{"family":"Maller","given":"Eric"},{"family":"Thorpe","given":"Andrew J"},{"family":"Salese","given":"Leonardo"},{"family":"Panés","given":"Julian"}],"issued":{"date-parts":[["2021",7,1]]}}}],"schema":"https://github.com/citation-style-language/schema/raw/master/csl-citation.json"} </w:instrText>
      </w:r>
      <w:r w:rsidR="00234211">
        <w:fldChar w:fldCharType="separate"/>
      </w:r>
      <w:r w:rsidR="00DE2C35">
        <w:rPr>
          <w:rFonts w:cs="Times New Roman"/>
        </w:rPr>
        <w:t>[</w:t>
      </w:r>
      <w:r w:rsidR="00DE2C35" w:rsidRPr="00364071">
        <w:rPr>
          <w:rFonts w:cs="Times New Roman"/>
        </w:rPr>
        <w:t>12</w:t>
      </w:r>
      <w:r w:rsidR="0062670E" w:rsidRPr="0062670E">
        <w:rPr>
          <w:rFonts w:cs="Times New Roman"/>
        </w:rPr>
        <w:t>]</w:t>
      </w:r>
      <w:r w:rsidR="00234211">
        <w:fldChar w:fldCharType="end"/>
      </w:r>
      <w:r w:rsidR="007E4635">
        <w:t>.</w:t>
      </w:r>
    </w:p>
    <w:p w14:paraId="6C98CE7E" w14:textId="77777777" w:rsidR="00220E80" w:rsidRPr="00313B2F" w:rsidRDefault="00220E80" w:rsidP="00220E80">
      <w:pPr>
        <w:pStyle w:val="SDText"/>
        <w:spacing w:after="0"/>
        <w:contextualSpacing/>
      </w:pPr>
    </w:p>
    <w:p w14:paraId="25661A2A" w14:textId="344DDD71" w:rsidR="00E46BCF" w:rsidRDefault="009E14FC" w:rsidP="00220E80">
      <w:pPr>
        <w:pStyle w:val="4"/>
        <w:numPr>
          <w:ilvl w:val="0"/>
          <w:numId w:val="0"/>
        </w:numPr>
        <w:ind w:left="864" w:hanging="864"/>
        <w:contextualSpacing/>
      </w:pPr>
      <w:bookmarkStart w:id="252" w:name="_Toc121592606"/>
      <w:r>
        <w:t>4</w:t>
      </w:r>
      <w:r w:rsidR="00D22A13">
        <w:t xml:space="preserve">.3.1.6. </w:t>
      </w:r>
      <w:r w:rsidR="0027768C">
        <w:t>Ювенильный идиопатический</w:t>
      </w:r>
      <w:r w:rsidR="00E46BCF" w:rsidRPr="002A02F7">
        <w:t xml:space="preserve"> артрит</w:t>
      </w:r>
      <w:bookmarkEnd w:id="252"/>
    </w:p>
    <w:p w14:paraId="0A10A1FF" w14:textId="77777777" w:rsidR="00D22A13" w:rsidRDefault="00D22A13" w:rsidP="00220E80">
      <w:pPr>
        <w:pStyle w:val="SDText"/>
        <w:spacing w:after="0"/>
        <w:contextualSpacing/>
      </w:pPr>
    </w:p>
    <w:p w14:paraId="44E7FFDC" w14:textId="77777777" w:rsidR="00A92EE5" w:rsidRDefault="00A12EA6" w:rsidP="00D35AC9">
      <w:pPr>
        <w:pStyle w:val="SDText"/>
        <w:spacing w:after="0"/>
        <w:contextualSpacing/>
      </w:pPr>
      <w:r>
        <w:t xml:space="preserve">Эффективность </w:t>
      </w:r>
      <w:r w:rsidRPr="00DC4814">
        <w:t xml:space="preserve">тофацитиниба для лечения </w:t>
      </w:r>
      <w:r>
        <w:t>ЮИА</w:t>
      </w:r>
      <w:r w:rsidRPr="00A12EA6">
        <w:t xml:space="preserve"> </w:t>
      </w:r>
      <w:r>
        <w:t>изучали в</w:t>
      </w:r>
      <w:r w:rsidR="00E46BCF">
        <w:t xml:space="preserve"> </w:t>
      </w:r>
      <w:r>
        <w:t xml:space="preserve">завершенном </w:t>
      </w:r>
      <w:r w:rsidR="00E46BCF">
        <w:t xml:space="preserve">исследовании </w:t>
      </w:r>
      <w:r w:rsidR="00E46BCF" w:rsidRPr="00322D94">
        <w:t>JIA-I</w:t>
      </w:r>
      <w:r w:rsidR="00E46BCF">
        <w:t xml:space="preserve"> (</w:t>
      </w:r>
      <w:r w:rsidR="00E46BCF" w:rsidRPr="00DC4814">
        <w:t>A3921104</w:t>
      </w:r>
      <w:r w:rsidR="00E46BCF">
        <w:t>)</w:t>
      </w:r>
      <w:r w:rsidR="00E46BCF" w:rsidRPr="00DC4814">
        <w:t xml:space="preserve"> фазы </w:t>
      </w:r>
      <w:r w:rsidR="00E46BCF">
        <w:rPr>
          <w:lang w:val="en-US"/>
        </w:rPr>
        <w:t>III</w:t>
      </w:r>
      <w:r>
        <w:t xml:space="preserve"> и продолжающемся </w:t>
      </w:r>
      <w:r w:rsidR="00AF67E7">
        <w:t xml:space="preserve">расширенном </w:t>
      </w:r>
      <w:r>
        <w:t xml:space="preserve">исследовании </w:t>
      </w:r>
      <w:r w:rsidR="00AF67E7" w:rsidRPr="00AF67E7">
        <w:t>(LTE) (A3921145)</w:t>
      </w:r>
      <w:r w:rsidR="00E46BCF" w:rsidRPr="00DC4814">
        <w:t>. В этих исследованиях</w:t>
      </w:r>
      <w:r w:rsidR="00E46BCF">
        <w:t xml:space="preserve"> </w:t>
      </w:r>
      <w:r w:rsidR="00E46BCF" w:rsidRPr="00DC4814">
        <w:t xml:space="preserve">были включены следующие подгруппы </w:t>
      </w:r>
      <w:r w:rsidR="00E46BCF">
        <w:t>пациентов</w:t>
      </w:r>
      <w:r w:rsidR="00E46BCF" w:rsidRPr="00DC4814">
        <w:t>: пациенты с полиартритом</w:t>
      </w:r>
      <w:r w:rsidR="00E46BCF">
        <w:t>, артритом, положительным по ревматоидному фактору (РФ+) или отрицательным по ревматоидному фактору (РФ-)</w:t>
      </w:r>
      <w:r w:rsidR="00E46BCF" w:rsidRPr="00DC4814">
        <w:t>,</w:t>
      </w:r>
      <w:r w:rsidR="00E46BCF">
        <w:t xml:space="preserve"> с </w:t>
      </w:r>
      <w:r w:rsidR="00E46BCF" w:rsidRPr="00DC4814">
        <w:t>олигоартрит</w:t>
      </w:r>
      <w:r w:rsidR="00E46BCF">
        <w:t>ом</w:t>
      </w:r>
      <w:r w:rsidR="00E46BCF" w:rsidRPr="00DC4814">
        <w:t xml:space="preserve">, </w:t>
      </w:r>
      <w:r w:rsidR="00E46BCF">
        <w:t xml:space="preserve">с </w:t>
      </w:r>
      <w:r w:rsidR="00E46BCF" w:rsidRPr="00DC4814">
        <w:t>системны</w:t>
      </w:r>
      <w:r w:rsidR="00E46BCF">
        <w:t>м</w:t>
      </w:r>
      <w:r w:rsidR="00E46BCF" w:rsidRPr="00DC4814">
        <w:t xml:space="preserve"> ЮИА с активным артритом и</w:t>
      </w:r>
      <w:r w:rsidR="00E46BCF">
        <w:t xml:space="preserve">ли без </w:t>
      </w:r>
      <w:r w:rsidR="00E46BCF" w:rsidRPr="00DC4814">
        <w:t xml:space="preserve">системных симптомов и две отдельные подгруппы пациентов с ювенильным </w:t>
      </w:r>
      <w:r w:rsidR="00E46BCF">
        <w:t>псориатическим артритом</w:t>
      </w:r>
      <w:r w:rsidR="00E46BCF" w:rsidRPr="00DC4814">
        <w:t xml:space="preserve"> и энтезит</w:t>
      </w:r>
      <w:r w:rsidR="00E46BCF">
        <w:t xml:space="preserve">-ассоциированным </w:t>
      </w:r>
      <w:r w:rsidR="00E46BCF" w:rsidRPr="00DC4814">
        <w:t>артритом.</w:t>
      </w:r>
      <w:r w:rsidR="00E46BCF" w:rsidRPr="00006F5E">
        <w:t xml:space="preserve"> </w:t>
      </w:r>
      <w:r w:rsidR="00B00E95">
        <w:t xml:space="preserve">Однако популяция оценки эффективности </w:t>
      </w:r>
      <w:r w:rsidR="00D35AC9">
        <w:t xml:space="preserve">при </w:t>
      </w:r>
      <w:r w:rsidR="00D35AC9" w:rsidRPr="00D35AC9">
        <w:t>ЮИА</w:t>
      </w:r>
      <w:r w:rsidR="00B00E95">
        <w:t xml:space="preserve"> включа</w:t>
      </w:r>
      <w:r w:rsidR="00D35AC9">
        <w:t>ла</w:t>
      </w:r>
      <w:r w:rsidR="00B00E95">
        <w:t xml:space="preserve"> только подгруппы с RF+ или RF-полиартритом или распространенным олигоартритом; неубедительные результаты были </w:t>
      </w:r>
      <w:r w:rsidR="00D35AC9">
        <w:t>от</w:t>
      </w:r>
      <w:r w:rsidR="00B00E95">
        <w:t>мечены в подгруппе пациентов</w:t>
      </w:r>
      <w:r w:rsidR="00D35AC9">
        <w:t xml:space="preserve"> </w:t>
      </w:r>
      <w:r w:rsidR="00B00E95">
        <w:t>с системным ЮИА с активным артритом и отсутствием текущих системных симптомов. Пациент</w:t>
      </w:r>
      <w:r w:rsidR="00D35AC9">
        <w:t>ов</w:t>
      </w:r>
      <w:r w:rsidR="00B00E95">
        <w:t xml:space="preserve"> с ювенильным </w:t>
      </w:r>
      <w:r w:rsidR="00D35AC9">
        <w:t xml:space="preserve">псориатическим артритом </w:t>
      </w:r>
      <w:r w:rsidR="00B00E95">
        <w:t>включ</w:t>
      </w:r>
      <w:r w:rsidR="00D35AC9">
        <w:t>или</w:t>
      </w:r>
      <w:r w:rsidR="00B00E95">
        <w:t xml:space="preserve"> как отдельн</w:t>
      </w:r>
      <w:r w:rsidR="00D35AC9">
        <w:t>ую</w:t>
      </w:r>
      <w:r w:rsidR="00B00E95">
        <w:t xml:space="preserve"> подгрупп</w:t>
      </w:r>
      <w:r w:rsidR="00D35AC9">
        <w:t>у оценки</w:t>
      </w:r>
      <w:r w:rsidR="00B00E95">
        <w:t xml:space="preserve"> эффективности. Пациент</w:t>
      </w:r>
      <w:r w:rsidR="00A92EE5">
        <w:t>ов</w:t>
      </w:r>
      <w:r w:rsidR="00B00E95">
        <w:t xml:space="preserve"> с </w:t>
      </w:r>
      <w:r w:rsidR="00A92EE5" w:rsidRPr="00A92EE5">
        <w:t>энтезит-ассоциированным артритом</w:t>
      </w:r>
      <w:r w:rsidR="00B00E95">
        <w:t xml:space="preserve"> не включ</w:t>
      </w:r>
      <w:r w:rsidR="00D35AC9">
        <w:t>али</w:t>
      </w:r>
      <w:r w:rsidR="00B00E95">
        <w:t xml:space="preserve"> в анализ эффективности</w:t>
      </w:r>
      <w:r w:rsidR="00A92EE5">
        <w:t>.</w:t>
      </w:r>
    </w:p>
    <w:p w14:paraId="3BFE5373" w14:textId="751C6468" w:rsidR="00F22587" w:rsidRDefault="00B00E95" w:rsidP="00A0283D">
      <w:pPr>
        <w:pStyle w:val="SDText"/>
        <w:spacing w:after="0"/>
        <w:contextualSpacing/>
      </w:pPr>
      <w:r>
        <w:lastRenderedPageBreak/>
        <w:t xml:space="preserve"> </w:t>
      </w:r>
      <w:r w:rsidR="00D91B01">
        <w:t>Все п</w:t>
      </w:r>
      <w:r w:rsidR="00E46BCF">
        <w:t>ациенты получали тофацитиниб в дозе 5 мг в таблетках, покрытых пленочной оболочкой, 2 раза в день или эквивалентную дозу тофацитиниба в растворе для приема внутрь в пересчете на массу тела 2 раза в день в течение 18 недель (вводный период); пациенты</w:t>
      </w:r>
      <w:r w:rsidR="00F03618" w:rsidRPr="00F03618">
        <w:t xml:space="preserve"> </w:t>
      </w:r>
      <w:r w:rsidR="00F03618">
        <w:t>с д</w:t>
      </w:r>
      <w:r w:rsidR="00F03618" w:rsidRPr="00F03618">
        <w:t>остижение</w:t>
      </w:r>
      <w:r w:rsidR="00F03618">
        <w:t>м по крайней мере</w:t>
      </w:r>
      <w:r w:rsidR="00F03618" w:rsidRPr="00F03618">
        <w:t xml:space="preserve"> 30% улучшения в соответствии с критериями Американского колледжа ревматологии (American college rheumatology</w:t>
      </w:r>
      <w:r w:rsidR="00F03618">
        <w:t xml:space="preserve">, </w:t>
      </w:r>
      <w:r w:rsidR="00E46BCF">
        <w:t>ACR30</w:t>
      </w:r>
      <w:r w:rsidR="00F03618">
        <w:t>)</w:t>
      </w:r>
      <w:r w:rsidR="00E46BCF">
        <w:t xml:space="preserve"> в конце открытой фазы, были рандомизированы в соотношении 1:1 в группу терапии тофацитинибом в дозе 5 мг в таблетках, покрытых пленочной оболочкой, в форме раствора для приема внутрь, или в группу плацебо, терапия в двойном слепом плацебо-контролируемом периоде продолжалась в течение 26 недель. Пациент</w:t>
      </w:r>
      <w:r w:rsidR="00151635">
        <w:t>ы</w:t>
      </w:r>
      <w:r w:rsidR="00E46BCF">
        <w:t>, не достигши</w:t>
      </w:r>
      <w:r w:rsidR="007B18C4">
        <w:t>е</w:t>
      </w:r>
      <w:r w:rsidR="00E46BCF">
        <w:t xml:space="preserve"> ACR30 по окончании открытого вводного периода или с наличием по крайней мере одного эпизода обострения заболевания в этот период, были исключены из исследования. </w:t>
      </w:r>
      <w:r w:rsidR="005F3862">
        <w:t xml:space="preserve">В целом 225 пациентов были включены в открытую вводную фазу. </w:t>
      </w:r>
      <w:r w:rsidR="00A0283D">
        <w:t>Из них 173 (76,9%) пациентов могли быть рандомизированы в двойную слепую фазу для получения активной терапии тофацитинибом с дозировкой 5 мг в лекарственной форме таблетки, покрытые пленочной оболочкой, или раствор тофацитиниба для приема внутрь в пересчете на массу 2 раза в день (n = 88) или плацебо (n = 85). В группе тофацитиниба 58 (65,9%) пациентов и 58 (68,2%) пациентов в группе плацебо во время двойной слепой фазы</w:t>
      </w:r>
      <w:r w:rsidR="00A0283D" w:rsidRPr="00A0283D">
        <w:t xml:space="preserve"> </w:t>
      </w:r>
      <w:r w:rsidR="00A0283D">
        <w:t xml:space="preserve">принимали метотрексат, который был разрешен, но не обязателен по протоколу. </w:t>
      </w:r>
    </w:p>
    <w:p w14:paraId="6B4DE6F3" w14:textId="4616E4CB" w:rsidR="00212AFB" w:rsidRDefault="00212AFB" w:rsidP="00212AFB">
      <w:pPr>
        <w:pStyle w:val="SDText"/>
        <w:spacing w:after="0"/>
        <w:contextualSpacing/>
      </w:pPr>
      <w:r>
        <w:t>Данные 133 пациентов</w:t>
      </w:r>
      <w:r w:rsidR="00D96DA9">
        <w:t xml:space="preserve"> </w:t>
      </w:r>
      <w:r>
        <w:t xml:space="preserve">с </w:t>
      </w:r>
      <w:r w:rsidR="00AC63F4">
        <w:t>п</w:t>
      </w:r>
      <w:r>
        <w:t xml:space="preserve">ЮИА [РФ+ или РФ- полиартрит и распространенный олигоартрит] и 15 </w:t>
      </w:r>
      <w:r w:rsidR="00D332CF">
        <w:t xml:space="preserve">больных </w:t>
      </w:r>
      <w:r>
        <w:t>с ювенильны</w:t>
      </w:r>
      <w:r w:rsidR="00AC63F4">
        <w:t>м</w:t>
      </w:r>
      <w:r>
        <w:t xml:space="preserve"> </w:t>
      </w:r>
      <w:r w:rsidR="00AC63F4">
        <w:t>псориатическим артритом</w:t>
      </w:r>
      <w:r>
        <w:t>, рандомизированны</w:t>
      </w:r>
      <w:r w:rsidR="00AC63F4">
        <w:t>х</w:t>
      </w:r>
      <w:r>
        <w:t xml:space="preserve"> в двойную слепую фазу исследования и включенны</w:t>
      </w:r>
      <w:r w:rsidR="00AC63F4">
        <w:t>е</w:t>
      </w:r>
      <w:r>
        <w:t xml:space="preserve"> в анализ эффективности</w:t>
      </w:r>
      <w:r w:rsidR="00AC63F4">
        <w:t>,</w:t>
      </w:r>
      <w:r>
        <w:t xml:space="preserve"> представлены ниже.</w:t>
      </w:r>
    </w:p>
    <w:p w14:paraId="574B85C6" w14:textId="243447B7" w:rsidR="0084770C" w:rsidRDefault="00E46BCF" w:rsidP="0084770C">
      <w:pPr>
        <w:pStyle w:val="SDText"/>
        <w:spacing w:after="0"/>
        <w:contextualSpacing/>
      </w:pPr>
      <w:r>
        <w:t xml:space="preserve">К 44 неделе у статистически значимо меньшей доли пациентов в группе тофацитиниба зарегистрировали обострение, по сравнению с группой плацебо (28 против 53%, разность -24,7%, 95% ДИ от -40,8 до -8,5). У статистически значимо большей доли пациентов зарегистрировали достижение ACR30 (72 против 47%, разность 24,7, 95% ДИ 8,5–40,8), </w:t>
      </w:r>
      <w:r w:rsidRPr="00C47BC6">
        <w:t>ACR</w:t>
      </w:r>
      <w:r>
        <w:t>5</w:t>
      </w:r>
      <w:r w:rsidRPr="00C47BC6">
        <w:t>0</w:t>
      </w:r>
      <w:r>
        <w:t xml:space="preserve"> (67 против 47%, разность 20,2, 95% ДИ 3,72–36,7) и </w:t>
      </w:r>
      <w:r w:rsidRPr="00C47BC6">
        <w:t>ACR</w:t>
      </w:r>
      <w:r>
        <w:t>7</w:t>
      </w:r>
      <w:r w:rsidRPr="00C47BC6">
        <w:t>0</w:t>
      </w:r>
      <w:r>
        <w:t xml:space="preserve"> (55 против 38%, разность 17,4, 95% ДИ 0,65–34,0). </w:t>
      </w:r>
      <w:r w:rsidR="00956C7C">
        <w:t xml:space="preserve">При анализе развития обострения заболевания и результатов по ACR30/50/70 при ЮИА отмечали превосходство для тофацитиниба в дозе 5 мг два раза в день по сравнению с плацебо в </w:t>
      </w:r>
      <w:r w:rsidR="00FA7AA2">
        <w:t>под</w:t>
      </w:r>
      <w:r w:rsidR="00956C7C">
        <w:t>групп</w:t>
      </w:r>
      <w:r w:rsidR="00FA7AA2">
        <w:t>ах пациентов с</w:t>
      </w:r>
      <w:r w:rsidR="00956C7C">
        <w:t xml:space="preserve"> RF+ полиартрит</w:t>
      </w:r>
      <w:r w:rsidR="00FA7AA2">
        <w:t>ом</w:t>
      </w:r>
      <w:r w:rsidR="00956C7C">
        <w:t>, RF-полиартрит</w:t>
      </w:r>
      <w:r w:rsidR="00FA7AA2">
        <w:t>ом</w:t>
      </w:r>
      <w:r w:rsidR="00956C7C">
        <w:t>, рас</w:t>
      </w:r>
      <w:r w:rsidR="00FA7AA2">
        <w:t xml:space="preserve">пространенным </w:t>
      </w:r>
      <w:r w:rsidR="00956C7C">
        <w:t>олигоартрит</w:t>
      </w:r>
      <w:r w:rsidR="00FA7AA2">
        <w:t>ом</w:t>
      </w:r>
      <w:r w:rsidR="00B16F2C">
        <w:t xml:space="preserve">, а также в подгруппах пациентов с </w:t>
      </w:r>
      <w:r w:rsidR="006A08ED">
        <w:t xml:space="preserve">ювенильным псориатическим артритом и ЮИА, </w:t>
      </w:r>
      <w:r w:rsidR="00956C7C">
        <w:t>соответств</w:t>
      </w:r>
      <w:r w:rsidR="006A08ED">
        <w:t>ующее</w:t>
      </w:r>
      <w:r w:rsidR="00956C7C">
        <w:t xml:space="preserve"> таков</w:t>
      </w:r>
      <w:r w:rsidR="006A08ED">
        <w:t>ому</w:t>
      </w:r>
      <w:r w:rsidR="00956C7C">
        <w:t xml:space="preserve"> для общей популяции </w:t>
      </w:r>
      <w:r w:rsidR="006A08ED">
        <w:t xml:space="preserve">в </w:t>
      </w:r>
      <w:r w:rsidR="00956C7C">
        <w:t>исследовани</w:t>
      </w:r>
      <w:r w:rsidR="006A08ED">
        <w:t>и</w:t>
      </w:r>
      <w:r w:rsidR="00956C7C">
        <w:t xml:space="preserve">. </w:t>
      </w:r>
      <w:r>
        <w:t xml:space="preserve">Кроме того, превосходство тофацитиниба в отношении </w:t>
      </w:r>
      <w:r w:rsidR="00A5273D">
        <w:t xml:space="preserve">развития обострения заболевания и результатов по ACR30/50/70 </w:t>
      </w:r>
      <w:r>
        <w:t>отмечали в подгруппах больных, получавших и не получавших метотрексат</w:t>
      </w:r>
      <w:r w:rsidR="0021366F">
        <w:t xml:space="preserve"> в день 1 (</w:t>
      </w:r>
      <w:r w:rsidR="0021366F" w:rsidRPr="0021366F">
        <w:t>n</w:t>
      </w:r>
      <w:r w:rsidR="0021366F">
        <w:t xml:space="preserve"> </w:t>
      </w:r>
      <w:r w:rsidR="0021366F" w:rsidRPr="0021366F">
        <w:t>=</w:t>
      </w:r>
      <w:r w:rsidR="0021366F">
        <w:t xml:space="preserve"> </w:t>
      </w:r>
      <w:r w:rsidR="0021366F" w:rsidRPr="0021366F">
        <w:t xml:space="preserve">101 </w:t>
      </w:r>
      <w:r w:rsidR="0021366F">
        <w:rPr>
          <w:rFonts w:cs="Times New Roman"/>
        </w:rPr>
        <w:t>[</w:t>
      </w:r>
      <w:r w:rsidR="0021366F" w:rsidRPr="0021366F">
        <w:t>76%]</w:t>
      </w:r>
      <w:r w:rsidR="00706F33">
        <w:t xml:space="preserve"> против n = 32 </w:t>
      </w:r>
      <w:r w:rsidR="00706F33">
        <w:rPr>
          <w:rFonts w:cs="Times New Roman"/>
        </w:rPr>
        <w:t>[</w:t>
      </w:r>
      <w:r w:rsidR="00706F33">
        <w:t>24%])</w:t>
      </w:r>
      <w:r>
        <w:t>, а также в подгруппах пациентов, ранее получавших или не получавших БМАРП</w:t>
      </w:r>
      <w:r w:rsidR="00A105C4" w:rsidRPr="00A105C4">
        <w:t xml:space="preserve"> </w:t>
      </w:r>
      <w:r w:rsidR="00A105C4">
        <w:t>(</w:t>
      </w:r>
      <w:r w:rsidR="00A105C4" w:rsidRPr="00A105C4">
        <w:t>n</w:t>
      </w:r>
      <w:r w:rsidR="00A105C4">
        <w:t xml:space="preserve"> </w:t>
      </w:r>
      <w:r w:rsidR="00A105C4" w:rsidRPr="00A105C4">
        <w:t>=</w:t>
      </w:r>
      <w:r w:rsidR="00A105C4">
        <w:t xml:space="preserve"> </w:t>
      </w:r>
      <w:r w:rsidR="00A105C4" w:rsidRPr="00A105C4">
        <w:t xml:space="preserve">39 </w:t>
      </w:r>
      <w:r w:rsidR="00A105C4">
        <w:rPr>
          <w:rFonts w:cs="Times New Roman"/>
        </w:rPr>
        <w:t>[</w:t>
      </w:r>
      <w:r w:rsidR="00A105C4" w:rsidRPr="00A105C4">
        <w:t>29%]</w:t>
      </w:r>
      <w:r w:rsidR="00A105C4">
        <w:t xml:space="preserve"> против </w:t>
      </w:r>
      <w:r w:rsidR="0084770C" w:rsidRPr="0084770C">
        <w:t>n</w:t>
      </w:r>
      <w:r w:rsidR="0084770C">
        <w:t xml:space="preserve"> </w:t>
      </w:r>
      <w:r w:rsidR="0084770C" w:rsidRPr="0084770C">
        <w:t>=</w:t>
      </w:r>
      <w:r w:rsidR="0084770C">
        <w:t xml:space="preserve"> </w:t>
      </w:r>
      <w:r w:rsidR="0084770C" w:rsidRPr="0084770C">
        <w:t xml:space="preserve">94 </w:t>
      </w:r>
      <w:r w:rsidR="0084770C">
        <w:rPr>
          <w:rFonts w:cs="Times New Roman"/>
        </w:rPr>
        <w:t>[</w:t>
      </w:r>
      <w:r w:rsidR="0084770C" w:rsidRPr="0084770C">
        <w:t>71%]</w:t>
      </w:r>
      <w:r w:rsidR="0084770C">
        <w:t>)</w:t>
      </w:r>
      <w:r>
        <w:t xml:space="preserve"> </w:t>
      </w:r>
      <w:r w:rsidR="0084770C">
        <w:fldChar w:fldCharType="begin"/>
      </w:r>
      <w:r w:rsidR="0084770C">
        <w:instrText xml:space="preserve"> ADDIN ZOTERO_ITEM CSL_CITATION {"citationID":"kkWresLS","properties":{"formattedCitation":"[24]","plainCitation":"[24]","noteIndex":0},"citationItems":[{"id":87800,"uris":["http://zotero.org/groups/4742804/items/TPCQ89X9"],"itemData":{"id":87800,"type":"webpage","title":"Xeljanz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84770C">
        <w:fldChar w:fldCharType="separate"/>
      </w:r>
      <w:r w:rsidR="0084770C">
        <w:rPr>
          <w:rFonts w:cs="Times New Roman"/>
        </w:rPr>
        <w:t>[2</w:t>
      </w:r>
      <w:r w:rsidR="0084770C" w:rsidRPr="008D5290">
        <w:rPr>
          <w:rFonts w:cs="Times New Roman"/>
        </w:rPr>
        <w:t>]</w:t>
      </w:r>
      <w:r w:rsidR="0084770C">
        <w:fldChar w:fldCharType="end"/>
      </w:r>
      <w:r w:rsidR="0084770C">
        <w:t>.</w:t>
      </w:r>
    </w:p>
    <w:p w14:paraId="04AFF0BB" w14:textId="11132CF7" w:rsidR="0084770C" w:rsidRDefault="00D96DA9" w:rsidP="00D96DA9">
      <w:pPr>
        <w:pStyle w:val="SDText"/>
        <w:spacing w:after="0"/>
        <w:contextualSpacing/>
      </w:pPr>
      <w:r>
        <w:t xml:space="preserve">В исследовании </w:t>
      </w:r>
      <w:r w:rsidRPr="00D96DA9">
        <w:t>JIA-I</w:t>
      </w:r>
      <w:r>
        <w:t xml:space="preserve"> на 2 неделе открытой вводной фазы ответ по ACR30 у пациентов с пЮИА составил 45,03</w:t>
      </w:r>
      <w:r w:rsidRPr="003C7C10">
        <w:t>%</w:t>
      </w:r>
      <w:r w:rsidR="000335DB" w:rsidRPr="003C7C10">
        <w:t xml:space="preserve"> (</w:t>
      </w:r>
      <w:r w:rsidR="000335DB" w:rsidRPr="003C7C10">
        <w:fldChar w:fldCharType="begin"/>
      </w:r>
      <w:r w:rsidR="000335DB" w:rsidRPr="003C7C10">
        <w:instrText xml:space="preserve"> REF _Ref120615030 \h </w:instrText>
      </w:r>
      <w:r w:rsidR="003C7C10" w:rsidRPr="003C7C10">
        <w:instrText xml:space="preserve"> \* MERGEFORMAT </w:instrText>
      </w:r>
      <w:r w:rsidR="000335DB" w:rsidRPr="003C7C10">
        <w:fldChar w:fldCharType="separate"/>
      </w:r>
      <w:r w:rsidR="00383E6F" w:rsidRPr="003C7C10">
        <w:rPr>
          <w:bCs/>
        </w:rPr>
        <w:t xml:space="preserve">Таблица </w:t>
      </w:r>
      <w:r w:rsidR="00383E6F" w:rsidRPr="003C7C10">
        <w:rPr>
          <w:bCs/>
          <w:noProof/>
        </w:rPr>
        <w:t>4</w:t>
      </w:r>
      <w:r w:rsidR="00383E6F" w:rsidRPr="003C7C10">
        <w:rPr>
          <w:bCs/>
        </w:rPr>
        <w:noBreakHyphen/>
      </w:r>
      <w:r w:rsidR="00383E6F" w:rsidRPr="003C7C10">
        <w:rPr>
          <w:bCs/>
          <w:noProof/>
        </w:rPr>
        <w:t>20</w:t>
      </w:r>
      <w:r w:rsidR="000335DB" w:rsidRPr="003C7C10">
        <w:fldChar w:fldCharType="end"/>
      </w:r>
      <w:r w:rsidR="000335DB" w:rsidRPr="003C7C10">
        <w:t>)</w:t>
      </w:r>
      <w:r w:rsidR="00A37AE3" w:rsidRPr="003C7C10">
        <w:t xml:space="preserve"> </w:t>
      </w:r>
      <w:r w:rsidR="00A37AE3" w:rsidRPr="003C7C10">
        <w:fldChar w:fldCharType="begin"/>
      </w:r>
      <w:r w:rsidR="00A37AE3" w:rsidRPr="003C7C10">
        <w:instrText xml:space="preserve"> ADDIN ZOTERO_ITEM CSL_CITATION {"citationID":"kkWresLS","properties":{"formattedCitation":"[24]","plainCitation":"[24]","noteIndex":0},"citationItems":[{"id":87800,"uris":["http://zotero.org/groups/4742804/items/TPCQ89X9"],"itemData":{"id":87800,"type":"webpage","title":"Xeljanz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A37AE3" w:rsidRPr="003C7C10">
        <w:fldChar w:fldCharType="separate"/>
      </w:r>
      <w:r w:rsidR="00A37AE3" w:rsidRPr="003C7C10">
        <w:rPr>
          <w:rFonts w:cs="Times New Roman"/>
        </w:rPr>
        <w:t>[2]</w:t>
      </w:r>
      <w:r w:rsidR="00A37AE3" w:rsidRPr="003C7C10">
        <w:fldChar w:fldCharType="end"/>
      </w:r>
      <w:r w:rsidR="00A37AE3">
        <w:t>.</w:t>
      </w:r>
    </w:p>
    <w:p w14:paraId="27B0B52D" w14:textId="77777777" w:rsidR="003C7C10" w:rsidRDefault="003C7C10" w:rsidP="00D96DA9">
      <w:pPr>
        <w:pStyle w:val="SDText"/>
        <w:spacing w:after="0"/>
        <w:contextualSpacing/>
      </w:pPr>
    </w:p>
    <w:p w14:paraId="007CD68C" w14:textId="7D7F9903" w:rsidR="00A37AE3" w:rsidRDefault="00A37AE3" w:rsidP="003C7C10">
      <w:pPr>
        <w:pStyle w:val="SDText"/>
        <w:spacing w:after="0"/>
        <w:ind w:firstLine="0"/>
      </w:pPr>
      <w:bookmarkStart w:id="253" w:name="_Ref120615030"/>
      <w:r w:rsidRPr="00BD12CB">
        <w:rPr>
          <w:b/>
          <w:bCs/>
        </w:rPr>
        <w:t xml:space="preserve">Таблица </w:t>
      </w:r>
      <w:r w:rsidR="00652269" w:rsidRPr="00BD12CB">
        <w:rPr>
          <w:b/>
          <w:bCs/>
        </w:rPr>
        <w:fldChar w:fldCharType="begin"/>
      </w:r>
      <w:r w:rsidR="00652269" w:rsidRPr="00BD12CB">
        <w:rPr>
          <w:b/>
          <w:bCs/>
        </w:rPr>
        <w:instrText xml:space="preserve"> STYLEREF 1 \s </w:instrText>
      </w:r>
      <w:r w:rsidR="00652269" w:rsidRPr="00BD12CB">
        <w:rPr>
          <w:b/>
          <w:bCs/>
        </w:rPr>
        <w:fldChar w:fldCharType="separate"/>
      </w:r>
      <w:r w:rsidR="00383E6F">
        <w:rPr>
          <w:b/>
          <w:bCs/>
          <w:noProof/>
        </w:rPr>
        <w:t>4</w:t>
      </w:r>
      <w:r w:rsidR="00652269" w:rsidRPr="00BD12CB">
        <w:rPr>
          <w:b/>
          <w:bCs/>
        </w:rPr>
        <w:fldChar w:fldCharType="end"/>
      </w:r>
      <w:r w:rsidR="00652269" w:rsidRPr="00BD12CB">
        <w:rPr>
          <w:b/>
          <w:bCs/>
        </w:rPr>
        <w:noBreakHyphen/>
      </w:r>
      <w:r w:rsidR="00652269" w:rsidRPr="00BD12CB">
        <w:rPr>
          <w:b/>
          <w:bCs/>
        </w:rPr>
        <w:fldChar w:fldCharType="begin"/>
      </w:r>
      <w:r w:rsidR="00652269" w:rsidRPr="00BD12CB">
        <w:rPr>
          <w:b/>
          <w:bCs/>
        </w:rPr>
        <w:instrText xml:space="preserve"> SEQ Таблица \* ARABIC \s 1 </w:instrText>
      </w:r>
      <w:r w:rsidR="00652269" w:rsidRPr="00BD12CB">
        <w:rPr>
          <w:b/>
          <w:bCs/>
        </w:rPr>
        <w:fldChar w:fldCharType="separate"/>
      </w:r>
      <w:r w:rsidR="00383E6F">
        <w:rPr>
          <w:b/>
          <w:bCs/>
          <w:noProof/>
        </w:rPr>
        <w:t>20</w:t>
      </w:r>
      <w:r w:rsidR="00652269" w:rsidRPr="00BD12CB">
        <w:rPr>
          <w:b/>
          <w:bCs/>
        </w:rPr>
        <w:fldChar w:fldCharType="end"/>
      </w:r>
      <w:bookmarkEnd w:id="253"/>
      <w:r w:rsidR="00BD12CB" w:rsidRPr="00BD12CB">
        <w:rPr>
          <w:b/>
          <w:bCs/>
        </w:rPr>
        <w:t>.</w:t>
      </w:r>
      <w:r>
        <w:t xml:space="preserve"> Первичные и вторичные конечные точки </w:t>
      </w:r>
      <w:r w:rsidR="00EB0E29">
        <w:t xml:space="preserve">эффективности у пациентов с пЮИА на неделе 44 </w:t>
      </w:r>
      <w:r w:rsidR="00DE6CED">
        <w:t xml:space="preserve">в исследовании </w:t>
      </w:r>
      <w:r w:rsidR="00DE6CED" w:rsidRPr="00DE6CED">
        <w:t>JIA-I (</w:t>
      </w:r>
      <w:r w:rsidR="00DE6CED">
        <w:t>все значения</w:t>
      </w:r>
      <w:r w:rsidR="00DE6CED" w:rsidRPr="00DE6CED">
        <w:t xml:space="preserve"> p</w:t>
      </w:r>
      <w:r w:rsidR="00DE6CED">
        <w:t xml:space="preserve"> </w:t>
      </w:r>
      <w:r w:rsidR="00DE6CED" w:rsidRPr="00DE6CED">
        <w:t>&lt;</w:t>
      </w:r>
      <w:r w:rsidR="00DE6CED">
        <w:t xml:space="preserve"> </w:t>
      </w:r>
      <w:r w:rsidR="00DE6CED" w:rsidRPr="00DE6CED">
        <w:t>0</w:t>
      </w:r>
      <w:r w:rsidR="00DE6CED">
        <w:t>,</w:t>
      </w:r>
      <w:r w:rsidR="00DE6CED" w:rsidRPr="00DE6CED">
        <w:t>05)</w:t>
      </w:r>
      <w:r w:rsidR="00BD12CB">
        <w:t>.</w:t>
      </w:r>
    </w:p>
    <w:tbl>
      <w:tblPr>
        <w:tblStyle w:val="a4"/>
        <w:tblW w:w="0" w:type="auto"/>
        <w:tblInd w:w="108" w:type="dxa"/>
        <w:tblLook w:val="04A0" w:firstRow="1" w:lastRow="0" w:firstColumn="1" w:lastColumn="0" w:noHBand="0" w:noVBand="1"/>
      </w:tblPr>
      <w:tblGrid>
        <w:gridCol w:w="2284"/>
        <w:gridCol w:w="2393"/>
        <w:gridCol w:w="2393"/>
        <w:gridCol w:w="2286"/>
      </w:tblGrid>
      <w:tr w:rsidR="00DB2692" w14:paraId="613C2744" w14:textId="77777777" w:rsidTr="003C7C10">
        <w:tc>
          <w:tcPr>
            <w:tcW w:w="2284" w:type="dxa"/>
            <w:shd w:val="clear" w:color="auto" w:fill="D9D9D9" w:themeFill="background1" w:themeFillShade="D9"/>
            <w:vAlign w:val="center"/>
          </w:tcPr>
          <w:p w14:paraId="437C3BCC" w14:textId="27D05723" w:rsidR="00DB2692" w:rsidRPr="00DB2692" w:rsidRDefault="00DB2692" w:rsidP="003C7C10">
            <w:pPr>
              <w:ind w:firstLine="0"/>
              <w:jc w:val="center"/>
              <w:rPr>
                <w:b/>
                <w:bCs/>
              </w:rPr>
            </w:pPr>
            <w:r>
              <w:rPr>
                <w:b/>
                <w:bCs/>
              </w:rPr>
              <w:t>Первичная конечная точка</w:t>
            </w:r>
          </w:p>
        </w:tc>
        <w:tc>
          <w:tcPr>
            <w:tcW w:w="2393" w:type="dxa"/>
            <w:shd w:val="clear" w:color="auto" w:fill="D9D9D9" w:themeFill="background1" w:themeFillShade="D9"/>
            <w:vAlign w:val="center"/>
          </w:tcPr>
          <w:p w14:paraId="100ECDFD" w14:textId="063706AD" w:rsidR="00DB2692" w:rsidRPr="00DB2692" w:rsidRDefault="00FB071F" w:rsidP="003C7C10">
            <w:pPr>
              <w:ind w:firstLine="0"/>
              <w:jc w:val="center"/>
              <w:rPr>
                <w:b/>
                <w:bCs/>
              </w:rPr>
            </w:pPr>
            <w:r>
              <w:rPr>
                <w:b/>
                <w:bCs/>
              </w:rPr>
              <w:t>Группа лечения</w:t>
            </w:r>
          </w:p>
        </w:tc>
        <w:tc>
          <w:tcPr>
            <w:tcW w:w="2393" w:type="dxa"/>
            <w:shd w:val="clear" w:color="auto" w:fill="D9D9D9" w:themeFill="background1" w:themeFillShade="D9"/>
            <w:vAlign w:val="center"/>
          </w:tcPr>
          <w:p w14:paraId="23012453" w14:textId="2588A8D7" w:rsidR="00DB2692" w:rsidRPr="00DB2692" w:rsidRDefault="00FB071F" w:rsidP="003C7C10">
            <w:pPr>
              <w:ind w:firstLine="0"/>
              <w:jc w:val="center"/>
              <w:rPr>
                <w:b/>
                <w:bCs/>
              </w:rPr>
            </w:pPr>
            <w:r>
              <w:rPr>
                <w:b/>
                <w:bCs/>
              </w:rPr>
              <w:t xml:space="preserve">Частота </w:t>
            </w:r>
            <w:r w:rsidR="00CC52C4">
              <w:rPr>
                <w:b/>
                <w:bCs/>
              </w:rPr>
              <w:t>развития обострений</w:t>
            </w:r>
          </w:p>
        </w:tc>
        <w:tc>
          <w:tcPr>
            <w:tcW w:w="2286" w:type="dxa"/>
            <w:shd w:val="clear" w:color="auto" w:fill="D9D9D9" w:themeFill="background1" w:themeFillShade="D9"/>
            <w:vAlign w:val="center"/>
          </w:tcPr>
          <w:p w14:paraId="7DDB4D94" w14:textId="0FAD1795" w:rsidR="00DB2692" w:rsidRPr="00DB2692" w:rsidRDefault="00FB071F" w:rsidP="003C7C10">
            <w:pPr>
              <w:ind w:firstLine="0"/>
              <w:jc w:val="center"/>
              <w:rPr>
                <w:b/>
                <w:bCs/>
              </w:rPr>
            </w:pPr>
            <w:r>
              <w:rPr>
                <w:b/>
                <w:bCs/>
              </w:rPr>
              <w:t>Разность (в %) по сравнению с плацебо (95% ДИ)</w:t>
            </w:r>
          </w:p>
        </w:tc>
      </w:tr>
      <w:tr w:rsidR="008A736E" w14:paraId="2B740B98" w14:textId="77777777" w:rsidTr="003C7C10">
        <w:trPr>
          <w:trHeight w:val="140"/>
        </w:trPr>
        <w:tc>
          <w:tcPr>
            <w:tcW w:w="2284" w:type="dxa"/>
            <w:vMerge w:val="restart"/>
          </w:tcPr>
          <w:p w14:paraId="5BBB4952" w14:textId="6ADF8964" w:rsidR="008A736E" w:rsidRDefault="008A736E" w:rsidP="00DE6CED">
            <w:pPr>
              <w:ind w:firstLine="0"/>
            </w:pPr>
            <w:r>
              <w:t>Частота обострения</w:t>
            </w:r>
          </w:p>
        </w:tc>
        <w:tc>
          <w:tcPr>
            <w:tcW w:w="2393" w:type="dxa"/>
          </w:tcPr>
          <w:p w14:paraId="3AF8C507" w14:textId="6CE2FD2A" w:rsidR="008A736E" w:rsidRPr="00682F3A" w:rsidRDefault="00682F3A" w:rsidP="003C7C10">
            <w:pPr>
              <w:ind w:firstLine="0"/>
              <w:jc w:val="left"/>
            </w:pPr>
            <w:r>
              <w:t>Тофацитиниб 5 мг 2 раза в день (</w:t>
            </w:r>
            <w:r>
              <w:rPr>
                <w:lang w:val="en-US"/>
              </w:rPr>
              <w:t>n</w:t>
            </w:r>
            <w:r w:rsidRPr="00682F3A">
              <w:t xml:space="preserve"> = 67)</w:t>
            </w:r>
          </w:p>
        </w:tc>
        <w:tc>
          <w:tcPr>
            <w:tcW w:w="2393" w:type="dxa"/>
          </w:tcPr>
          <w:p w14:paraId="74AB6925" w14:textId="54FD8F74" w:rsidR="008A736E" w:rsidRPr="00682F3A" w:rsidRDefault="00682F3A" w:rsidP="003C7C10">
            <w:pPr>
              <w:ind w:firstLine="0"/>
              <w:jc w:val="center"/>
              <w:rPr>
                <w:lang w:val="en-US"/>
              </w:rPr>
            </w:pPr>
            <w:r>
              <w:rPr>
                <w:lang w:val="en-US"/>
              </w:rPr>
              <w:t>28%</w:t>
            </w:r>
          </w:p>
        </w:tc>
        <w:tc>
          <w:tcPr>
            <w:tcW w:w="2286" w:type="dxa"/>
            <w:vMerge w:val="restart"/>
          </w:tcPr>
          <w:p w14:paraId="6EED94D8" w14:textId="23DAA29A" w:rsidR="008A736E" w:rsidRDefault="00885CEA" w:rsidP="003C7C10">
            <w:pPr>
              <w:ind w:firstLine="0"/>
              <w:jc w:val="center"/>
            </w:pPr>
            <w:r w:rsidRPr="00885CEA">
              <w:t>-24</w:t>
            </w:r>
            <w:r>
              <w:t>,</w:t>
            </w:r>
            <w:r w:rsidRPr="00885CEA">
              <w:t>7 (-40</w:t>
            </w:r>
            <w:r>
              <w:t>,</w:t>
            </w:r>
            <w:r w:rsidRPr="00885CEA">
              <w:t>8</w:t>
            </w:r>
            <w:r>
              <w:t>;</w:t>
            </w:r>
            <w:r w:rsidRPr="00885CEA">
              <w:t xml:space="preserve"> -8</w:t>
            </w:r>
            <w:r>
              <w:t>,</w:t>
            </w:r>
            <w:r w:rsidRPr="00885CEA">
              <w:t>5)</w:t>
            </w:r>
          </w:p>
        </w:tc>
      </w:tr>
      <w:tr w:rsidR="008A736E" w14:paraId="09B06F34" w14:textId="77777777" w:rsidTr="003C7C10">
        <w:trPr>
          <w:trHeight w:val="140"/>
        </w:trPr>
        <w:tc>
          <w:tcPr>
            <w:tcW w:w="2284" w:type="dxa"/>
            <w:vMerge/>
          </w:tcPr>
          <w:p w14:paraId="2F499246" w14:textId="77777777" w:rsidR="008A736E" w:rsidRDefault="008A736E" w:rsidP="00DE6CED">
            <w:pPr>
              <w:ind w:firstLine="0"/>
            </w:pPr>
          </w:p>
        </w:tc>
        <w:tc>
          <w:tcPr>
            <w:tcW w:w="2393" w:type="dxa"/>
          </w:tcPr>
          <w:p w14:paraId="347D5D4C" w14:textId="3B3CDE08" w:rsidR="008A736E" w:rsidRPr="00682F3A" w:rsidRDefault="00682F3A" w:rsidP="003C7C10">
            <w:pPr>
              <w:ind w:firstLine="0"/>
              <w:jc w:val="left"/>
              <w:rPr>
                <w:lang w:val="en-US"/>
              </w:rPr>
            </w:pPr>
            <w:r>
              <w:t>Плацебо (</w:t>
            </w:r>
            <w:r>
              <w:rPr>
                <w:lang w:val="en-US"/>
              </w:rPr>
              <w:t>n = 66)</w:t>
            </w:r>
          </w:p>
        </w:tc>
        <w:tc>
          <w:tcPr>
            <w:tcW w:w="2393" w:type="dxa"/>
          </w:tcPr>
          <w:p w14:paraId="48710C98" w14:textId="60954009" w:rsidR="008A736E" w:rsidRPr="00682F3A" w:rsidRDefault="00682F3A" w:rsidP="003C7C10">
            <w:pPr>
              <w:ind w:firstLine="0"/>
              <w:jc w:val="center"/>
              <w:rPr>
                <w:lang w:val="en-US"/>
              </w:rPr>
            </w:pPr>
            <w:r>
              <w:rPr>
                <w:lang w:val="en-US"/>
              </w:rPr>
              <w:t>53%</w:t>
            </w:r>
          </w:p>
        </w:tc>
        <w:tc>
          <w:tcPr>
            <w:tcW w:w="2286" w:type="dxa"/>
            <w:vMerge/>
          </w:tcPr>
          <w:p w14:paraId="33FCF0D8" w14:textId="77777777" w:rsidR="008A736E" w:rsidRDefault="008A736E" w:rsidP="00DE6CED">
            <w:pPr>
              <w:ind w:firstLine="0"/>
            </w:pPr>
          </w:p>
        </w:tc>
      </w:tr>
      <w:tr w:rsidR="00CC52C4" w14:paraId="09D6B66E" w14:textId="77777777" w:rsidTr="003C7C10">
        <w:tc>
          <w:tcPr>
            <w:tcW w:w="2284" w:type="dxa"/>
            <w:shd w:val="clear" w:color="auto" w:fill="D9D9D9" w:themeFill="background1" w:themeFillShade="D9"/>
            <w:vAlign w:val="center"/>
          </w:tcPr>
          <w:p w14:paraId="1DED9A11" w14:textId="09F5B4A4" w:rsidR="00CC52C4" w:rsidRDefault="00CC52C4" w:rsidP="00791E09">
            <w:pPr>
              <w:ind w:firstLine="0"/>
              <w:jc w:val="center"/>
            </w:pPr>
            <w:r>
              <w:rPr>
                <w:b/>
                <w:bCs/>
              </w:rPr>
              <w:lastRenderedPageBreak/>
              <w:t>Вторичные конечные точки</w:t>
            </w:r>
          </w:p>
        </w:tc>
        <w:tc>
          <w:tcPr>
            <w:tcW w:w="2393" w:type="dxa"/>
            <w:shd w:val="clear" w:color="auto" w:fill="D9D9D9" w:themeFill="background1" w:themeFillShade="D9"/>
            <w:vAlign w:val="center"/>
          </w:tcPr>
          <w:p w14:paraId="3F3C3B78" w14:textId="7873D5B0" w:rsidR="00CC52C4" w:rsidRDefault="00CC52C4" w:rsidP="00791E09">
            <w:pPr>
              <w:ind w:firstLine="0"/>
              <w:jc w:val="center"/>
            </w:pPr>
            <w:r>
              <w:rPr>
                <w:b/>
                <w:bCs/>
              </w:rPr>
              <w:t>Группа лечения</w:t>
            </w:r>
          </w:p>
        </w:tc>
        <w:tc>
          <w:tcPr>
            <w:tcW w:w="2393" w:type="dxa"/>
            <w:shd w:val="clear" w:color="auto" w:fill="D9D9D9" w:themeFill="background1" w:themeFillShade="D9"/>
            <w:vAlign w:val="center"/>
          </w:tcPr>
          <w:p w14:paraId="04C23467" w14:textId="483CD199" w:rsidR="00CC52C4" w:rsidRDefault="00CC52C4" w:rsidP="00791E09">
            <w:pPr>
              <w:ind w:firstLine="0"/>
              <w:jc w:val="center"/>
            </w:pPr>
            <w:r>
              <w:rPr>
                <w:b/>
                <w:bCs/>
              </w:rPr>
              <w:t>Частота достижения ответа</w:t>
            </w:r>
          </w:p>
        </w:tc>
        <w:tc>
          <w:tcPr>
            <w:tcW w:w="2286" w:type="dxa"/>
            <w:shd w:val="clear" w:color="auto" w:fill="D9D9D9" w:themeFill="background1" w:themeFillShade="D9"/>
            <w:vAlign w:val="center"/>
          </w:tcPr>
          <w:p w14:paraId="296103AC" w14:textId="5251F9B8" w:rsidR="00CC52C4" w:rsidRDefault="00CC52C4" w:rsidP="00791E09">
            <w:pPr>
              <w:ind w:firstLine="0"/>
              <w:jc w:val="center"/>
            </w:pPr>
            <w:r>
              <w:rPr>
                <w:b/>
                <w:bCs/>
              </w:rPr>
              <w:t>Разность (в %) по сравнению с плацебо (95% ДИ)</w:t>
            </w:r>
          </w:p>
        </w:tc>
      </w:tr>
      <w:tr w:rsidR="00702944" w14:paraId="70637DF7" w14:textId="77777777" w:rsidTr="003C7C10">
        <w:trPr>
          <w:trHeight w:val="140"/>
        </w:trPr>
        <w:tc>
          <w:tcPr>
            <w:tcW w:w="2284" w:type="dxa"/>
            <w:vMerge w:val="restart"/>
          </w:tcPr>
          <w:p w14:paraId="0D213E61" w14:textId="327AFC47" w:rsidR="00702944" w:rsidRDefault="00702944" w:rsidP="00702944">
            <w:pPr>
              <w:ind w:firstLine="0"/>
            </w:pPr>
            <w:r>
              <w:t>ЮИА</w:t>
            </w:r>
            <w:r w:rsidRPr="00702944">
              <w:t xml:space="preserve"> ACR30</w:t>
            </w:r>
          </w:p>
        </w:tc>
        <w:tc>
          <w:tcPr>
            <w:tcW w:w="2393" w:type="dxa"/>
          </w:tcPr>
          <w:p w14:paraId="4F62CD5A" w14:textId="3FCFBDAA" w:rsidR="00702944" w:rsidRDefault="00702944" w:rsidP="00702944">
            <w:pPr>
              <w:ind w:firstLine="0"/>
            </w:pPr>
            <w:r>
              <w:t>Тофацитиниб 5 мг 2 раза в день (</w:t>
            </w:r>
            <w:r>
              <w:rPr>
                <w:lang w:val="en-US"/>
              </w:rPr>
              <w:t>n</w:t>
            </w:r>
            <w:r w:rsidRPr="00682F3A">
              <w:t xml:space="preserve"> = 67)</w:t>
            </w:r>
          </w:p>
        </w:tc>
        <w:tc>
          <w:tcPr>
            <w:tcW w:w="2393" w:type="dxa"/>
            <w:vAlign w:val="center"/>
          </w:tcPr>
          <w:p w14:paraId="1C6CE5CA" w14:textId="2BCAABDA" w:rsidR="00702944" w:rsidRDefault="00B95132" w:rsidP="003C7C10">
            <w:pPr>
              <w:ind w:firstLine="0"/>
              <w:jc w:val="center"/>
            </w:pPr>
            <w:r>
              <w:t>72</w:t>
            </w:r>
            <w:r w:rsidR="00702944">
              <w:rPr>
                <w:lang w:val="en-US"/>
              </w:rPr>
              <w:t>%</w:t>
            </w:r>
          </w:p>
        </w:tc>
        <w:tc>
          <w:tcPr>
            <w:tcW w:w="2286" w:type="dxa"/>
            <w:vMerge w:val="restart"/>
            <w:vAlign w:val="center"/>
          </w:tcPr>
          <w:p w14:paraId="18B84609" w14:textId="306663A7" w:rsidR="00702944" w:rsidRDefault="00B95132" w:rsidP="003C7C10">
            <w:pPr>
              <w:ind w:firstLine="0"/>
              <w:jc w:val="center"/>
            </w:pPr>
            <w:r w:rsidRPr="00B95132">
              <w:t>24</w:t>
            </w:r>
            <w:r>
              <w:t>,</w:t>
            </w:r>
            <w:r w:rsidRPr="00B95132">
              <w:t>7 (8</w:t>
            </w:r>
            <w:r>
              <w:t>,</w:t>
            </w:r>
            <w:r w:rsidRPr="00B95132">
              <w:t>50</w:t>
            </w:r>
            <w:r>
              <w:t xml:space="preserve">; </w:t>
            </w:r>
            <w:r w:rsidRPr="00B95132">
              <w:t>40</w:t>
            </w:r>
            <w:r>
              <w:t>,</w:t>
            </w:r>
            <w:r w:rsidRPr="00B95132">
              <w:t>8)</w:t>
            </w:r>
          </w:p>
        </w:tc>
      </w:tr>
      <w:tr w:rsidR="00702944" w14:paraId="664EABE6" w14:textId="77777777" w:rsidTr="003C7C10">
        <w:trPr>
          <w:trHeight w:val="140"/>
        </w:trPr>
        <w:tc>
          <w:tcPr>
            <w:tcW w:w="2284" w:type="dxa"/>
            <w:vMerge/>
          </w:tcPr>
          <w:p w14:paraId="239FFF3D" w14:textId="77777777" w:rsidR="00702944" w:rsidRDefault="00702944" w:rsidP="00702944">
            <w:pPr>
              <w:ind w:firstLine="0"/>
            </w:pPr>
          </w:p>
        </w:tc>
        <w:tc>
          <w:tcPr>
            <w:tcW w:w="2393" w:type="dxa"/>
          </w:tcPr>
          <w:p w14:paraId="4C0F9370" w14:textId="223A5FF3" w:rsidR="00702944" w:rsidRDefault="00702944" w:rsidP="00702944">
            <w:pPr>
              <w:ind w:firstLine="0"/>
            </w:pPr>
            <w:r>
              <w:t>Плацебо (</w:t>
            </w:r>
            <w:r>
              <w:rPr>
                <w:lang w:val="en-US"/>
              </w:rPr>
              <w:t>n = 66)</w:t>
            </w:r>
          </w:p>
        </w:tc>
        <w:tc>
          <w:tcPr>
            <w:tcW w:w="2393" w:type="dxa"/>
            <w:vAlign w:val="center"/>
          </w:tcPr>
          <w:p w14:paraId="0C980615" w14:textId="431A1A86" w:rsidR="00702944" w:rsidRDefault="00B95132" w:rsidP="003C7C10">
            <w:pPr>
              <w:ind w:firstLine="0"/>
              <w:jc w:val="center"/>
            </w:pPr>
            <w:r>
              <w:t>47</w:t>
            </w:r>
            <w:r w:rsidR="00702944">
              <w:rPr>
                <w:lang w:val="en-US"/>
              </w:rPr>
              <w:t>%</w:t>
            </w:r>
          </w:p>
        </w:tc>
        <w:tc>
          <w:tcPr>
            <w:tcW w:w="2286" w:type="dxa"/>
            <w:vMerge/>
            <w:vAlign w:val="center"/>
          </w:tcPr>
          <w:p w14:paraId="3F2E17AA" w14:textId="77777777" w:rsidR="00702944" w:rsidRDefault="00702944" w:rsidP="003C7C10">
            <w:pPr>
              <w:ind w:firstLine="0"/>
              <w:jc w:val="center"/>
            </w:pPr>
          </w:p>
        </w:tc>
      </w:tr>
      <w:tr w:rsidR="00B95132" w14:paraId="10E46916" w14:textId="77777777" w:rsidTr="003C7C10">
        <w:trPr>
          <w:trHeight w:val="140"/>
        </w:trPr>
        <w:tc>
          <w:tcPr>
            <w:tcW w:w="2284" w:type="dxa"/>
            <w:vMerge w:val="restart"/>
          </w:tcPr>
          <w:p w14:paraId="33E45D80" w14:textId="5A95FF52" w:rsidR="00B95132" w:rsidRDefault="00B95132" w:rsidP="00B95132">
            <w:pPr>
              <w:ind w:firstLine="0"/>
            </w:pPr>
            <w:r w:rsidRPr="000A3FF7">
              <w:t>ЮИА ACR</w:t>
            </w:r>
            <w:r>
              <w:t>5</w:t>
            </w:r>
            <w:r w:rsidRPr="000A3FF7">
              <w:t>0</w:t>
            </w:r>
          </w:p>
        </w:tc>
        <w:tc>
          <w:tcPr>
            <w:tcW w:w="2393" w:type="dxa"/>
          </w:tcPr>
          <w:p w14:paraId="5AE3B936" w14:textId="5D4F4B09" w:rsidR="00B95132" w:rsidRDefault="00B95132" w:rsidP="00B95132">
            <w:pPr>
              <w:ind w:firstLine="0"/>
            </w:pPr>
            <w:r>
              <w:t>Тофацитиниб 5 мг 2 раза в день (</w:t>
            </w:r>
            <w:r>
              <w:rPr>
                <w:lang w:val="en-US"/>
              </w:rPr>
              <w:t>n</w:t>
            </w:r>
            <w:r w:rsidRPr="00682F3A">
              <w:t xml:space="preserve"> = 67)</w:t>
            </w:r>
          </w:p>
        </w:tc>
        <w:tc>
          <w:tcPr>
            <w:tcW w:w="2393" w:type="dxa"/>
            <w:vAlign w:val="center"/>
          </w:tcPr>
          <w:p w14:paraId="6D4531EB" w14:textId="1FBF00B1" w:rsidR="00B95132" w:rsidRDefault="00B64740" w:rsidP="003C7C10">
            <w:pPr>
              <w:ind w:firstLine="0"/>
              <w:jc w:val="center"/>
            </w:pPr>
            <w:r>
              <w:t>67</w:t>
            </w:r>
            <w:r w:rsidR="00B95132">
              <w:rPr>
                <w:lang w:val="en-US"/>
              </w:rPr>
              <w:t>%</w:t>
            </w:r>
          </w:p>
        </w:tc>
        <w:tc>
          <w:tcPr>
            <w:tcW w:w="2286" w:type="dxa"/>
            <w:vMerge w:val="restart"/>
            <w:vAlign w:val="center"/>
          </w:tcPr>
          <w:p w14:paraId="1298F464" w14:textId="03B265E8" w:rsidR="00B95132" w:rsidRDefault="00B64740" w:rsidP="003C7C10">
            <w:pPr>
              <w:ind w:firstLine="0"/>
              <w:jc w:val="center"/>
            </w:pPr>
            <w:r w:rsidRPr="00B64740">
              <w:t>20</w:t>
            </w:r>
            <w:r>
              <w:t>,</w:t>
            </w:r>
            <w:r w:rsidRPr="00B64740">
              <w:t>2 (3</w:t>
            </w:r>
            <w:r>
              <w:t>,</w:t>
            </w:r>
            <w:r w:rsidRPr="00B64740">
              <w:t>72</w:t>
            </w:r>
            <w:r>
              <w:t>;</w:t>
            </w:r>
            <w:r w:rsidRPr="00B64740">
              <w:t xml:space="preserve"> 36</w:t>
            </w:r>
            <w:r>
              <w:t>,</w:t>
            </w:r>
            <w:r w:rsidRPr="00B64740">
              <w:t>7)</w:t>
            </w:r>
          </w:p>
        </w:tc>
      </w:tr>
      <w:tr w:rsidR="00B95132" w14:paraId="362A7D3B" w14:textId="77777777" w:rsidTr="003C7C10">
        <w:trPr>
          <w:trHeight w:val="140"/>
        </w:trPr>
        <w:tc>
          <w:tcPr>
            <w:tcW w:w="2284" w:type="dxa"/>
            <w:vMerge/>
          </w:tcPr>
          <w:p w14:paraId="3AD88C3A" w14:textId="77777777" w:rsidR="00B95132" w:rsidRPr="000A3FF7" w:rsidRDefault="00B95132" w:rsidP="00B95132">
            <w:pPr>
              <w:ind w:firstLine="0"/>
            </w:pPr>
          </w:p>
        </w:tc>
        <w:tc>
          <w:tcPr>
            <w:tcW w:w="2393" w:type="dxa"/>
          </w:tcPr>
          <w:p w14:paraId="2088639D" w14:textId="51DBDAC2" w:rsidR="00B95132" w:rsidRDefault="00B95132" w:rsidP="00B95132">
            <w:pPr>
              <w:ind w:firstLine="0"/>
            </w:pPr>
            <w:r>
              <w:t>Плацебо (</w:t>
            </w:r>
            <w:r>
              <w:rPr>
                <w:lang w:val="en-US"/>
              </w:rPr>
              <w:t>n = 66)</w:t>
            </w:r>
          </w:p>
        </w:tc>
        <w:tc>
          <w:tcPr>
            <w:tcW w:w="2393" w:type="dxa"/>
            <w:vAlign w:val="center"/>
          </w:tcPr>
          <w:p w14:paraId="2B625002" w14:textId="7A6433AB" w:rsidR="00B95132" w:rsidRDefault="00B95132" w:rsidP="003C7C10">
            <w:pPr>
              <w:ind w:firstLine="0"/>
              <w:jc w:val="center"/>
            </w:pPr>
            <w:r>
              <w:t>47</w:t>
            </w:r>
            <w:r>
              <w:rPr>
                <w:lang w:val="en-US"/>
              </w:rPr>
              <w:t>%</w:t>
            </w:r>
          </w:p>
        </w:tc>
        <w:tc>
          <w:tcPr>
            <w:tcW w:w="2286" w:type="dxa"/>
            <w:vMerge/>
            <w:vAlign w:val="center"/>
          </w:tcPr>
          <w:p w14:paraId="75A42BA0" w14:textId="77777777" w:rsidR="00B95132" w:rsidRDefault="00B95132" w:rsidP="003C7C10">
            <w:pPr>
              <w:ind w:firstLine="0"/>
              <w:jc w:val="center"/>
            </w:pPr>
          </w:p>
        </w:tc>
      </w:tr>
      <w:tr w:rsidR="00B64740" w14:paraId="43BF0C38" w14:textId="77777777" w:rsidTr="003C7C10">
        <w:trPr>
          <w:trHeight w:val="140"/>
        </w:trPr>
        <w:tc>
          <w:tcPr>
            <w:tcW w:w="2284" w:type="dxa"/>
            <w:vMerge w:val="restart"/>
          </w:tcPr>
          <w:p w14:paraId="25A032C8" w14:textId="50693327" w:rsidR="00B64740" w:rsidRDefault="00B64740" w:rsidP="00B64740">
            <w:pPr>
              <w:ind w:firstLine="0"/>
            </w:pPr>
            <w:r w:rsidRPr="000A3FF7">
              <w:t>ЮИА ACR</w:t>
            </w:r>
            <w:r>
              <w:t>7</w:t>
            </w:r>
            <w:r w:rsidRPr="000A3FF7">
              <w:t>0</w:t>
            </w:r>
          </w:p>
        </w:tc>
        <w:tc>
          <w:tcPr>
            <w:tcW w:w="2393" w:type="dxa"/>
          </w:tcPr>
          <w:p w14:paraId="0DC8E891" w14:textId="2B9A332F" w:rsidR="00B64740" w:rsidRDefault="00B64740" w:rsidP="00B64740">
            <w:pPr>
              <w:ind w:firstLine="0"/>
            </w:pPr>
            <w:r>
              <w:t>Тофацитиниб 5 мг 2 раза в день (</w:t>
            </w:r>
            <w:r>
              <w:rPr>
                <w:lang w:val="en-US"/>
              </w:rPr>
              <w:t>n</w:t>
            </w:r>
            <w:r w:rsidRPr="00682F3A">
              <w:t xml:space="preserve"> = 67)</w:t>
            </w:r>
          </w:p>
        </w:tc>
        <w:tc>
          <w:tcPr>
            <w:tcW w:w="2393" w:type="dxa"/>
            <w:vAlign w:val="center"/>
          </w:tcPr>
          <w:p w14:paraId="6F8EC835" w14:textId="7690081F" w:rsidR="00B64740" w:rsidRDefault="003572D5" w:rsidP="003C7C10">
            <w:pPr>
              <w:ind w:firstLine="0"/>
              <w:jc w:val="center"/>
            </w:pPr>
            <w:r>
              <w:t>55</w:t>
            </w:r>
            <w:r w:rsidR="00B64740">
              <w:rPr>
                <w:lang w:val="en-US"/>
              </w:rPr>
              <w:t>%</w:t>
            </w:r>
          </w:p>
        </w:tc>
        <w:tc>
          <w:tcPr>
            <w:tcW w:w="2286" w:type="dxa"/>
            <w:vMerge w:val="restart"/>
            <w:vAlign w:val="center"/>
          </w:tcPr>
          <w:p w14:paraId="53A388AC" w14:textId="34D37275" w:rsidR="00B64740" w:rsidRDefault="003572D5" w:rsidP="003C7C10">
            <w:pPr>
              <w:ind w:firstLine="0"/>
              <w:jc w:val="center"/>
            </w:pPr>
            <w:r w:rsidRPr="003572D5">
              <w:t>17</w:t>
            </w:r>
            <w:r>
              <w:t>,</w:t>
            </w:r>
            <w:r w:rsidRPr="003572D5">
              <w:t>4 (0</w:t>
            </w:r>
            <w:r>
              <w:t>,</w:t>
            </w:r>
            <w:r w:rsidRPr="003572D5">
              <w:t>65</w:t>
            </w:r>
            <w:r>
              <w:t>;</w:t>
            </w:r>
            <w:r w:rsidRPr="003572D5">
              <w:t xml:space="preserve"> 34</w:t>
            </w:r>
            <w:r>
              <w:t>,</w:t>
            </w:r>
            <w:r w:rsidRPr="003572D5">
              <w:t>0)</w:t>
            </w:r>
          </w:p>
        </w:tc>
      </w:tr>
      <w:tr w:rsidR="00B64740" w14:paraId="42E77E4F" w14:textId="77777777" w:rsidTr="003C7C10">
        <w:trPr>
          <w:trHeight w:val="140"/>
        </w:trPr>
        <w:tc>
          <w:tcPr>
            <w:tcW w:w="2284" w:type="dxa"/>
            <w:vMerge/>
          </w:tcPr>
          <w:p w14:paraId="407EE26E" w14:textId="77777777" w:rsidR="00B64740" w:rsidRPr="000A3FF7" w:rsidRDefault="00B64740" w:rsidP="00B64740">
            <w:pPr>
              <w:ind w:firstLine="0"/>
            </w:pPr>
          </w:p>
        </w:tc>
        <w:tc>
          <w:tcPr>
            <w:tcW w:w="2393" w:type="dxa"/>
          </w:tcPr>
          <w:p w14:paraId="5EC16263" w14:textId="05346A9B" w:rsidR="00B64740" w:rsidRDefault="00B64740" w:rsidP="00B64740">
            <w:pPr>
              <w:ind w:firstLine="0"/>
            </w:pPr>
            <w:r>
              <w:t>Плацебо (</w:t>
            </w:r>
            <w:r>
              <w:rPr>
                <w:lang w:val="en-US"/>
              </w:rPr>
              <w:t>n = 66)</w:t>
            </w:r>
          </w:p>
        </w:tc>
        <w:tc>
          <w:tcPr>
            <w:tcW w:w="2393" w:type="dxa"/>
          </w:tcPr>
          <w:p w14:paraId="3BE8544B" w14:textId="0422613C" w:rsidR="00B64740" w:rsidRDefault="003572D5" w:rsidP="003C7C10">
            <w:pPr>
              <w:ind w:firstLine="0"/>
              <w:jc w:val="center"/>
            </w:pPr>
            <w:r>
              <w:t>38</w:t>
            </w:r>
            <w:r w:rsidR="00B64740">
              <w:rPr>
                <w:lang w:val="en-US"/>
              </w:rPr>
              <w:t>%</w:t>
            </w:r>
          </w:p>
        </w:tc>
        <w:tc>
          <w:tcPr>
            <w:tcW w:w="2286" w:type="dxa"/>
            <w:vMerge/>
          </w:tcPr>
          <w:p w14:paraId="5AF6A367" w14:textId="77777777" w:rsidR="00B64740" w:rsidRDefault="00B64740" w:rsidP="00B64740">
            <w:pPr>
              <w:ind w:firstLine="0"/>
            </w:pPr>
          </w:p>
        </w:tc>
      </w:tr>
      <w:tr w:rsidR="00F3465D" w14:paraId="4F8334FB" w14:textId="77777777" w:rsidTr="003C7C10">
        <w:tc>
          <w:tcPr>
            <w:tcW w:w="2284" w:type="dxa"/>
            <w:shd w:val="clear" w:color="auto" w:fill="D9D9D9" w:themeFill="background1" w:themeFillShade="D9"/>
            <w:vAlign w:val="center"/>
          </w:tcPr>
          <w:p w14:paraId="1344A31A" w14:textId="129ADBCD" w:rsidR="00F3465D" w:rsidRPr="00F3465D" w:rsidRDefault="00F3465D" w:rsidP="00791E09">
            <w:pPr>
              <w:ind w:firstLine="0"/>
              <w:jc w:val="center"/>
            </w:pPr>
            <w:r>
              <w:rPr>
                <w:b/>
                <w:bCs/>
              </w:rPr>
              <w:t>Вторичная конечная точка (</w:t>
            </w:r>
            <w:r w:rsidR="00C1316A">
              <w:rPr>
                <w:b/>
                <w:bCs/>
              </w:rPr>
              <w:t>ошибка первого рода)</w:t>
            </w:r>
          </w:p>
        </w:tc>
        <w:tc>
          <w:tcPr>
            <w:tcW w:w="2393" w:type="dxa"/>
            <w:shd w:val="clear" w:color="auto" w:fill="D9D9D9" w:themeFill="background1" w:themeFillShade="D9"/>
            <w:vAlign w:val="center"/>
          </w:tcPr>
          <w:p w14:paraId="4B31DF5B" w14:textId="004449C6" w:rsidR="00F3465D" w:rsidRDefault="00F3465D" w:rsidP="00791E09">
            <w:pPr>
              <w:ind w:firstLine="0"/>
              <w:jc w:val="center"/>
            </w:pPr>
            <w:r>
              <w:rPr>
                <w:b/>
                <w:bCs/>
              </w:rPr>
              <w:t>Группа лечения</w:t>
            </w:r>
          </w:p>
        </w:tc>
        <w:tc>
          <w:tcPr>
            <w:tcW w:w="2393" w:type="dxa"/>
            <w:shd w:val="clear" w:color="auto" w:fill="D9D9D9" w:themeFill="background1" w:themeFillShade="D9"/>
            <w:vAlign w:val="center"/>
          </w:tcPr>
          <w:p w14:paraId="535287C4" w14:textId="7A1F4A0B" w:rsidR="00F3465D" w:rsidRPr="003C4BC6" w:rsidRDefault="003C4BC6" w:rsidP="00791E09">
            <w:pPr>
              <w:ind w:firstLine="0"/>
              <w:jc w:val="center"/>
              <w:rPr>
                <w:b/>
                <w:bCs/>
              </w:rPr>
            </w:pPr>
            <w:r w:rsidRPr="003C4BC6">
              <w:rPr>
                <w:b/>
                <w:bCs/>
              </w:rPr>
              <w:t>Среднее значение, вычисленное методом наименьших квадратов</w:t>
            </w:r>
            <w:r>
              <w:rPr>
                <w:b/>
                <w:bCs/>
              </w:rPr>
              <w:t xml:space="preserve"> (стандартная ошибка среднего)</w:t>
            </w:r>
          </w:p>
        </w:tc>
        <w:tc>
          <w:tcPr>
            <w:tcW w:w="2286" w:type="dxa"/>
            <w:shd w:val="clear" w:color="auto" w:fill="D9D9D9" w:themeFill="background1" w:themeFillShade="D9"/>
            <w:vAlign w:val="center"/>
          </w:tcPr>
          <w:p w14:paraId="202F3EA6" w14:textId="5B2E4F2B" w:rsidR="00F3465D" w:rsidRDefault="00F3465D" w:rsidP="00791E09">
            <w:pPr>
              <w:ind w:firstLine="0"/>
              <w:jc w:val="center"/>
            </w:pPr>
            <w:r>
              <w:rPr>
                <w:b/>
                <w:bCs/>
              </w:rPr>
              <w:t>Разность (в %) по сравнению с плацебо (95% ДИ)</w:t>
            </w:r>
          </w:p>
        </w:tc>
      </w:tr>
      <w:tr w:rsidR="003C4BC6" w14:paraId="379A9233" w14:textId="77777777" w:rsidTr="003C7C10">
        <w:trPr>
          <w:trHeight w:val="690"/>
        </w:trPr>
        <w:tc>
          <w:tcPr>
            <w:tcW w:w="2284" w:type="dxa"/>
            <w:vMerge w:val="restart"/>
          </w:tcPr>
          <w:p w14:paraId="77945061" w14:textId="0B082B41" w:rsidR="003C4BC6" w:rsidRDefault="003C4BC6" w:rsidP="003C4BC6">
            <w:pPr>
              <w:ind w:firstLine="0"/>
            </w:pPr>
            <w:r>
              <w:t xml:space="preserve">Изменение индекса инвалидизации </w:t>
            </w:r>
            <w:r w:rsidRPr="0009278A">
              <w:t xml:space="preserve">CHAQ </w:t>
            </w:r>
            <w:r>
              <w:t>от исходного значения в двойной слепой фазе</w:t>
            </w:r>
          </w:p>
        </w:tc>
        <w:tc>
          <w:tcPr>
            <w:tcW w:w="2393" w:type="dxa"/>
            <w:vAlign w:val="center"/>
          </w:tcPr>
          <w:p w14:paraId="0FDC9938" w14:textId="3AC045FE" w:rsidR="003C4BC6" w:rsidRDefault="003C4BC6" w:rsidP="003C4BC6">
            <w:pPr>
              <w:ind w:firstLine="0"/>
            </w:pPr>
            <w:r>
              <w:t>Тофацитиниб 5 мг 2 раза в день (</w:t>
            </w:r>
            <w:r w:rsidR="00C84CBF">
              <w:rPr>
                <w:lang w:val="en-US"/>
              </w:rPr>
              <w:t>N</w:t>
            </w:r>
            <w:r w:rsidRPr="00682F3A">
              <w:t xml:space="preserve"> = 67</w:t>
            </w:r>
            <w:r w:rsidR="00C84CBF">
              <w:t xml:space="preserve">, </w:t>
            </w:r>
            <w:r w:rsidR="00C84CBF">
              <w:rPr>
                <w:lang w:val="en-US"/>
              </w:rPr>
              <w:t>n</w:t>
            </w:r>
            <w:r w:rsidR="00C84CBF" w:rsidRPr="00C84CBF">
              <w:t xml:space="preserve"> = 46</w:t>
            </w:r>
            <w:r w:rsidRPr="00682F3A">
              <w:t>)</w:t>
            </w:r>
          </w:p>
        </w:tc>
        <w:tc>
          <w:tcPr>
            <w:tcW w:w="2393" w:type="dxa"/>
            <w:vAlign w:val="center"/>
          </w:tcPr>
          <w:p w14:paraId="1CEEB61D" w14:textId="26B6EEF8" w:rsidR="003C4BC6" w:rsidRDefault="00CE2420" w:rsidP="003C7C10">
            <w:pPr>
              <w:ind w:firstLine="0"/>
              <w:jc w:val="center"/>
            </w:pPr>
            <w:r w:rsidRPr="00CE2420">
              <w:t>-0</w:t>
            </w:r>
            <w:r>
              <w:t>,</w:t>
            </w:r>
            <w:r w:rsidRPr="00CE2420">
              <w:t>11 (0</w:t>
            </w:r>
            <w:r>
              <w:t>,</w:t>
            </w:r>
            <w:r w:rsidRPr="00CE2420">
              <w:t>04)</w:t>
            </w:r>
          </w:p>
        </w:tc>
        <w:tc>
          <w:tcPr>
            <w:tcW w:w="2286" w:type="dxa"/>
            <w:vMerge w:val="restart"/>
            <w:vAlign w:val="center"/>
          </w:tcPr>
          <w:p w14:paraId="0CCD35EE" w14:textId="5D682028" w:rsidR="003C4BC6" w:rsidRDefault="00CE2420" w:rsidP="003C7C10">
            <w:pPr>
              <w:ind w:firstLine="0"/>
              <w:jc w:val="center"/>
            </w:pPr>
            <w:r w:rsidRPr="00CE2420">
              <w:t>-0</w:t>
            </w:r>
            <w:r>
              <w:t>,</w:t>
            </w:r>
            <w:r w:rsidRPr="00CE2420">
              <w:t>11 (-0</w:t>
            </w:r>
            <w:r>
              <w:t>,</w:t>
            </w:r>
            <w:r w:rsidRPr="00CE2420">
              <w:t>22</w:t>
            </w:r>
            <w:r>
              <w:t>;</w:t>
            </w:r>
            <w:r w:rsidRPr="00CE2420">
              <w:t xml:space="preserve"> -0</w:t>
            </w:r>
            <w:r>
              <w:t>,</w:t>
            </w:r>
            <w:r w:rsidRPr="00CE2420">
              <w:t>01)</w:t>
            </w:r>
          </w:p>
        </w:tc>
      </w:tr>
      <w:tr w:rsidR="003C4BC6" w14:paraId="7044909D" w14:textId="77777777" w:rsidTr="003C7C10">
        <w:trPr>
          <w:trHeight w:val="690"/>
        </w:trPr>
        <w:tc>
          <w:tcPr>
            <w:tcW w:w="2284" w:type="dxa"/>
            <w:vMerge/>
          </w:tcPr>
          <w:p w14:paraId="4AA11384" w14:textId="77777777" w:rsidR="003C4BC6" w:rsidRDefault="003C4BC6" w:rsidP="003C4BC6">
            <w:pPr>
              <w:ind w:firstLine="0"/>
            </w:pPr>
          </w:p>
        </w:tc>
        <w:tc>
          <w:tcPr>
            <w:tcW w:w="2393" w:type="dxa"/>
            <w:vAlign w:val="center"/>
          </w:tcPr>
          <w:p w14:paraId="20769502" w14:textId="26FD589C" w:rsidR="003C4BC6" w:rsidRDefault="003C4BC6" w:rsidP="003C4BC6">
            <w:pPr>
              <w:ind w:firstLine="0"/>
            </w:pPr>
            <w:r>
              <w:t>Плацебо (</w:t>
            </w:r>
            <w:r w:rsidR="00C84CBF">
              <w:rPr>
                <w:lang w:val="en-US"/>
              </w:rPr>
              <w:t xml:space="preserve">N </w:t>
            </w:r>
            <w:r>
              <w:rPr>
                <w:lang w:val="en-US"/>
              </w:rPr>
              <w:t>= 66</w:t>
            </w:r>
            <w:r w:rsidR="00C84CBF">
              <w:t xml:space="preserve">, </w:t>
            </w:r>
            <w:r w:rsidR="00C84CBF">
              <w:rPr>
                <w:lang w:val="en-US"/>
              </w:rPr>
              <w:t>n = 31</w:t>
            </w:r>
            <w:r>
              <w:rPr>
                <w:lang w:val="en-US"/>
              </w:rPr>
              <w:t>)</w:t>
            </w:r>
          </w:p>
        </w:tc>
        <w:tc>
          <w:tcPr>
            <w:tcW w:w="2393" w:type="dxa"/>
            <w:vAlign w:val="center"/>
          </w:tcPr>
          <w:p w14:paraId="003F3058" w14:textId="4DF7657D" w:rsidR="003C4BC6" w:rsidRDefault="00CE2420" w:rsidP="003C7C10">
            <w:pPr>
              <w:ind w:firstLine="0"/>
              <w:jc w:val="center"/>
            </w:pPr>
            <w:r w:rsidRPr="00CE2420">
              <w:t>0</w:t>
            </w:r>
            <w:r>
              <w:t>,</w:t>
            </w:r>
            <w:r w:rsidRPr="00CE2420">
              <w:t>00 (0</w:t>
            </w:r>
            <w:r>
              <w:t>,</w:t>
            </w:r>
            <w:r w:rsidRPr="00CE2420">
              <w:t>04)</w:t>
            </w:r>
          </w:p>
        </w:tc>
        <w:tc>
          <w:tcPr>
            <w:tcW w:w="2286" w:type="dxa"/>
            <w:vMerge/>
          </w:tcPr>
          <w:p w14:paraId="132E3F71" w14:textId="77777777" w:rsidR="003C4BC6" w:rsidRDefault="003C4BC6" w:rsidP="003C4BC6">
            <w:pPr>
              <w:ind w:firstLine="0"/>
            </w:pPr>
          </w:p>
        </w:tc>
      </w:tr>
      <w:tr w:rsidR="003C7C10" w14:paraId="13157F77" w14:textId="77777777" w:rsidTr="004335CD">
        <w:trPr>
          <w:trHeight w:val="690"/>
        </w:trPr>
        <w:tc>
          <w:tcPr>
            <w:tcW w:w="9356" w:type="dxa"/>
            <w:gridSpan w:val="4"/>
          </w:tcPr>
          <w:p w14:paraId="66735509" w14:textId="77777777" w:rsidR="003C7C10" w:rsidRDefault="003C7C10" w:rsidP="003C7C10">
            <w:pPr>
              <w:pStyle w:val="SDcomments"/>
              <w:ind w:firstLine="0"/>
            </w:pPr>
            <w:r w:rsidRPr="003C7C10">
              <w:rPr>
                <w:b/>
                <w:iCs/>
              </w:rPr>
              <w:t>Примечание</w:t>
            </w:r>
            <w:r w:rsidRPr="003C7C10">
              <w:rPr>
                <w:b/>
              </w:rPr>
              <w:t>:</w:t>
            </w:r>
            <w:r w:rsidRPr="003D1528">
              <w:t xml:space="preserve"> </w:t>
            </w:r>
          </w:p>
          <w:p w14:paraId="74FFC42A" w14:textId="3E86E419" w:rsidR="003C7C10" w:rsidRDefault="003C7C10" w:rsidP="003C7C10">
            <w:pPr>
              <w:pStyle w:val="SDcomments"/>
              <w:ind w:firstLine="0"/>
            </w:pPr>
            <w:r w:rsidRPr="003D1528">
              <w:t xml:space="preserve">ЮИА </w:t>
            </w:r>
            <w:r>
              <w:t xml:space="preserve">– ювенильный идиопатический артрит; </w:t>
            </w:r>
            <w:r w:rsidRPr="00E96D8B">
              <w:t xml:space="preserve">пЮИА </w:t>
            </w:r>
            <w:r>
              <w:t xml:space="preserve">– полиартикулярный ювенильный идиопатический артрит; </w:t>
            </w:r>
            <w:r w:rsidRPr="00F03618">
              <w:t>ACR30</w:t>
            </w:r>
            <w:r>
              <w:t xml:space="preserve"> – д</w:t>
            </w:r>
            <w:r w:rsidRPr="00F03618">
              <w:t>остижение 30% улучшения в соответствии с критериями Американского колледжа ревматологии (American college rheumatology)</w:t>
            </w:r>
            <w:r>
              <w:t xml:space="preserve">; </w:t>
            </w:r>
            <w:r w:rsidRPr="00F03618">
              <w:t>ACR</w:t>
            </w:r>
            <w:r>
              <w:t>5</w:t>
            </w:r>
            <w:r w:rsidRPr="00F03618">
              <w:t>0</w:t>
            </w:r>
            <w:r>
              <w:t xml:space="preserve"> – д</w:t>
            </w:r>
            <w:r w:rsidRPr="00F03618">
              <w:t>остижение 30% улучшения в соответствии с критериями Американского колледжа ревматологии (American college rheumatology)</w:t>
            </w:r>
            <w:r>
              <w:t>;</w:t>
            </w:r>
            <w:r w:rsidRPr="00F03618">
              <w:t xml:space="preserve"> ACR</w:t>
            </w:r>
            <w:r>
              <w:t>7</w:t>
            </w:r>
            <w:r w:rsidRPr="00F03618">
              <w:t>0</w:t>
            </w:r>
            <w:r>
              <w:t xml:space="preserve"> – д</w:t>
            </w:r>
            <w:r w:rsidRPr="00F03618">
              <w:t xml:space="preserve">остижение </w:t>
            </w:r>
            <w:r>
              <w:t>7</w:t>
            </w:r>
            <w:r w:rsidRPr="00F03618">
              <w:t>0% улучшения в соответствии с критериями Американского колледжа ревматологии (American college rheumatology)</w:t>
            </w:r>
            <w:r>
              <w:t xml:space="preserve">; </w:t>
            </w:r>
            <w:r w:rsidRPr="003D1528">
              <w:t xml:space="preserve">CHAQ </w:t>
            </w:r>
            <w:r>
              <w:t>– о</w:t>
            </w:r>
            <w:r w:rsidRPr="003D1528">
              <w:t>просник оценки здоровья детей (Children's Health Assessment Questionnaire</w:t>
            </w:r>
            <w:r>
              <w:t>); ДИ – доверительный интервал.</w:t>
            </w:r>
          </w:p>
        </w:tc>
      </w:tr>
    </w:tbl>
    <w:p w14:paraId="6767569D" w14:textId="77777777" w:rsidR="00F03618" w:rsidRPr="003D1528" w:rsidRDefault="00F03618" w:rsidP="00CE2420">
      <w:pPr>
        <w:pStyle w:val="SDcomments"/>
        <w:ind w:firstLine="0"/>
      </w:pPr>
    </w:p>
    <w:p w14:paraId="418CC8B6" w14:textId="354A373F" w:rsidR="001C3706" w:rsidRDefault="009763A8" w:rsidP="009763A8">
      <w:pPr>
        <w:pStyle w:val="SDText"/>
        <w:spacing w:after="0"/>
        <w:contextualSpacing/>
      </w:pPr>
      <w:r>
        <w:t xml:space="preserve">В ходе двойной слепой фазы для каждого из компонентов ответа согласно </w:t>
      </w:r>
      <w:r w:rsidR="00CB49EF">
        <w:t xml:space="preserve">критериям </w:t>
      </w:r>
      <w:r>
        <w:t>ACR при ЮИА показали более выраженное улучшение по сравнению с исходным уровнем в открытой фазе (день 1) на неделе 24 и неделе 44 для пациентов с пЮИА, получавши</w:t>
      </w:r>
      <w:r w:rsidR="001C4522">
        <w:t>х</w:t>
      </w:r>
      <w:r>
        <w:t xml:space="preserve"> лечение пероральн</w:t>
      </w:r>
      <w:r w:rsidR="001C4522">
        <w:t>о</w:t>
      </w:r>
      <w:r>
        <w:t xml:space="preserve"> раствором тофацитиниба в дозе 5 мг два раза в день или </w:t>
      </w:r>
      <w:r w:rsidR="001C4522">
        <w:t xml:space="preserve">в дозе, </w:t>
      </w:r>
      <w:r>
        <w:t xml:space="preserve">эквивалентной </w:t>
      </w:r>
      <w:r w:rsidR="001C4522">
        <w:t xml:space="preserve">по </w:t>
      </w:r>
      <w:r>
        <w:t xml:space="preserve">массе </w:t>
      </w:r>
      <w:r w:rsidR="001C4522">
        <w:t xml:space="preserve">тела, </w:t>
      </w:r>
      <w:r>
        <w:t>два раза в день по сравнению с теми, кто получал плацебо в исследовании JIA-I.</w:t>
      </w:r>
    </w:p>
    <w:p w14:paraId="0C6A3330" w14:textId="610CF58E" w:rsidR="00E46BCF" w:rsidRDefault="00067554" w:rsidP="00067554">
      <w:pPr>
        <w:pStyle w:val="SDText"/>
        <w:spacing w:after="0"/>
        <w:contextualSpacing/>
      </w:pPr>
      <w:r>
        <w:t xml:space="preserve">Изменения физической функции в исследовании JIA-I определяли с помощью индекса инвалидизации CHAQ. Выраженность изменения индекса инвалидизации CHAQ у пациентов с пЮИА по сравнению с исходным уровнем в двойной слепой фазе было значительно ниже у пациентов, получавших тофацитиниб в таблетках, покрытых пленочной оболочкой, по 5 мг два раза в день или в перорально в форме раствора в пересчете на массу тела два раза в день по сравнению со значением у больных из группы плацебо на неделе </w:t>
      </w:r>
      <w:r w:rsidRPr="003C7C10">
        <w:t>44 (</w:t>
      </w:r>
      <w:r w:rsidR="005E5905" w:rsidRPr="003C7C10">
        <w:fldChar w:fldCharType="begin"/>
      </w:r>
      <w:r w:rsidR="005E5905" w:rsidRPr="003C7C10">
        <w:instrText xml:space="preserve"> REF _Ref120615030 \h </w:instrText>
      </w:r>
      <w:r w:rsidR="003C7C10" w:rsidRPr="003C7C10">
        <w:instrText xml:space="preserve"> \* MERGEFORMAT </w:instrText>
      </w:r>
      <w:r w:rsidR="005E5905" w:rsidRPr="003C7C10">
        <w:fldChar w:fldCharType="separate"/>
      </w:r>
      <w:r w:rsidR="00383E6F" w:rsidRPr="003C7C10">
        <w:rPr>
          <w:bCs/>
        </w:rPr>
        <w:t xml:space="preserve">Таблица </w:t>
      </w:r>
      <w:r w:rsidR="00383E6F" w:rsidRPr="003C7C10">
        <w:rPr>
          <w:bCs/>
          <w:noProof/>
        </w:rPr>
        <w:t>4</w:t>
      </w:r>
      <w:r w:rsidR="00383E6F" w:rsidRPr="003C7C10">
        <w:rPr>
          <w:bCs/>
        </w:rPr>
        <w:noBreakHyphen/>
      </w:r>
      <w:r w:rsidR="00383E6F" w:rsidRPr="003C7C10">
        <w:rPr>
          <w:bCs/>
          <w:noProof/>
        </w:rPr>
        <w:t>20</w:t>
      </w:r>
      <w:r w:rsidR="005E5905" w:rsidRPr="003C7C10">
        <w:fldChar w:fldCharType="end"/>
      </w:r>
      <w:r w:rsidRPr="003C7C10">
        <w:t xml:space="preserve">). </w:t>
      </w:r>
      <w:r w:rsidR="004E63E2" w:rsidRPr="003C7C10">
        <w:t>Для</w:t>
      </w:r>
      <w:r w:rsidR="004E63E2">
        <w:t xml:space="preserve"> тофацитиниба в дозе 5 мг два раза в день по сравнению с плацебо показали превосходство в отношении с</w:t>
      </w:r>
      <w:r>
        <w:t>редне</w:t>
      </w:r>
      <w:r w:rsidR="004E63E2">
        <w:t>го</w:t>
      </w:r>
      <w:r>
        <w:t xml:space="preserve"> изменени</w:t>
      </w:r>
      <w:r w:rsidR="004E63E2">
        <w:t>я</w:t>
      </w:r>
      <w:r>
        <w:t xml:space="preserve"> индекса инвалидизации CHAQ </w:t>
      </w:r>
      <w:r w:rsidR="006573F9">
        <w:t>в ходе</w:t>
      </w:r>
      <w:r>
        <w:t xml:space="preserve"> двойно</w:t>
      </w:r>
      <w:r w:rsidR="006573F9">
        <w:t>й</w:t>
      </w:r>
      <w:r>
        <w:t xml:space="preserve"> слепо</w:t>
      </w:r>
      <w:r w:rsidR="006573F9">
        <w:t>й фазы от</w:t>
      </w:r>
      <w:r>
        <w:t xml:space="preserve"> исходного</w:t>
      </w:r>
      <w:r w:rsidR="006573F9">
        <w:t xml:space="preserve"> значения</w:t>
      </w:r>
      <w:r>
        <w:t xml:space="preserve"> в </w:t>
      </w:r>
      <w:r w:rsidR="004E63E2">
        <w:t>под</w:t>
      </w:r>
      <w:r>
        <w:t>групп</w:t>
      </w:r>
      <w:r w:rsidR="004E63E2">
        <w:t>ах</w:t>
      </w:r>
      <w:r>
        <w:t xml:space="preserve"> </w:t>
      </w:r>
      <w:r w:rsidR="00CB49EF">
        <w:lastRenderedPageBreak/>
        <w:t xml:space="preserve">пациентов с </w:t>
      </w:r>
      <w:r>
        <w:t>RF+ полиартрит</w:t>
      </w:r>
      <w:r w:rsidR="00CB49EF">
        <w:t>ом</w:t>
      </w:r>
      <w:r>
        <w:t>, RF- полиартрит</w:t>
      </w:r>
      <w:r w:rsidR="00CB49EF">
        <w:t>ом</w:t>
      </w:r>
      <w:r>
        <w:t>, рас</w:t>
      </w:r>
      <w:r w:rsidR="004E63E2">
        <w:t>простран</w:t>
      </w:r>
      <w:r w:rsidR="007F2F0A">
        <w:t>ен</w:t>
      </w:r>
      <w:r w:rsidR="004E63E2">
        <w:t>ны</w:t>
      </w:r>
      <w:r w:rsidR="00CB49EF">
        <w:t>м</w:t>
      </w:r>
      <w:r>
        <w:t xml:space="preserve"> олигоартрит</w:t>
      </w:r>
      <w:r w:rsidR="00CB49EF">
        <w:t>ом</w:t>
      </w:r>
      <w:r w:rsidR="004E63E2">
        <w:t xml:space="preserve">, а также в подгруппах пациентов с </w:t>
      </w:r>
      <w:r w:rsidR="007F2F0A">
        <w:t xml:space="preserve">ювенильным </w:t>
      </w:r>
      <w:r w:rsidR="004E63E2">
        <w:t>псориатическим артритом</w:t>
      </w:r>
      <w:r>
        <w:t xml:space="preserve"> </w:t>
      </w:r>
      <w:r w:rsidR="004E63E2">
        <w:t>и ЮИА</w:t>
      </w:r>
      <w:r>
        <w:t xml:space="preserve"> и соответствовали таковым для общей популяции исследования </w:t>
      </w:r>
      <w:r w:rsidR="00E46BCF">
        <w:fldChar w:fldCharType="begin"/>
      </w:r>
      <w:r w:rsidR="008D5290">
        <w:instrText xml:space="preserve"> ADDIN ZOTERO_ITEM CSL_CITATION {"citationID":"kkWresLS","properties":{"formattedCitation":"[24]","plainCitation":"[24]","noteIndex":0},"citationItems":[{"id":87800,"uris":["http://zotero.org/groups/4742804/items/TPCQ89X9"],"itemData":{"id":87800,"type":"webpage","title":"Xeljanz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46BCF">
        <w:fldChar w:fldCharType="separate"/>
      </w:r>
      <w:r w:rsidR="00DE2C35">
        <w:rPr>
          <w:rFonts w:cs="Times New Roman"/>
        </w:rPr>
        <w:t>[2</w:t>
      </w:r>
      <w:r w:rsidR="008D5290" w:rsidRPr="008D5290">
        <w:rPr>
          <w:rFonts w:cs="Times New Roman"/>
        </w:rPr>
        <w:t>]</w:t>
      </w:r>
      <w:r w:rsidR="00E46BCF">
        <w:fldChar w:fldCharType="end"/>
      </w:r>
      <w:r w:rsidR="00E46BCF">
        <w:t>.</w:t>
      </w:r>
    </w:p>
    <w:p w14:paraId="69C226EF" w14:textId="3BA22B01" w:rsidR="008C3898" w:rsidRDefault="007003A8" w:rsidP="007003A8">
      <w:pPr>
        <w:pStyle w:val="3"/>
        <w:numPr>
          <w:ilvl w:val="0"/>
          <w:numId w:val="0"/>
        </w:numPr>
        <w:ind w:left="720" w:hanging="720"/>
      </w:pPr>
      <w:bookmarkStart w:id="254" w:name="_Toc115421085"/>
      <w:bookmarkStart w:id="255" w:name="_Toc121592607"/>
      <w:r>
        <w:t xml:space="preserve">4.3.2. </w:t>
      </w:r>
      <w:r w:rsidR="00F50485" w:rsidRPr="00F50485">
        <w:t>Клиническая безопасность</w:t>
      </w:r>
      <w:bookmarkEnd w:id="254"/>
      <w:bookmarkEnd w:id="255"/>
    </w:p>
    <w:p w14:paraId="6A79EF0B" w14:textId="77777777" w:rsidR="00D22A13" w:rsidRPr="00D22A13" w:rsidRDefault="00D22A13" w:rsidP="002F5B6A">
      <w:pPr>
        <w:pStyle w:val="SDText"/>
        <w:spacing w:after="0"/>
        <w:contextualSpacing/>
      </w:pPr>
    </w:p>
    <w:p w14:paraId="27321E8D" w14:textId="05C00407" w:rsidR="00F50485" w:rsidRDefault="009E14FC" w:rsidP="002F5B6A">
      <w:pPr>
        <w:pStyle w:val="4"/>
        <w:numPr>
          <w:ilvl w:val="0"/>
          <w:numId w:val="0"/>
        </w:numPr>
        <w:contextualSpacing/>
      </w:pPr>
      <w:bookmarkStart w:id="256" w:name="_Toc115421086"/>
      <w:bookmarkStart w:id="257" w:name="_Toc121592608"/>
      <w:r>
        <w:t xml:space="preserve">4.3.2.1. </w:t>
      </w:r>
      <w:r w:rsidR="00035104" w:rsidRPr="00035104">
        <w:t>Степень воздействия на пациентов</w:t>
      </w:r>
      <w:bookmarkEnd w:id="256"/>
      <w:bookmarkEnd w:id="257"/>
    </w:p>
    <w:p w14:paraId="62D47154" w14:textId="77777777" w:rsidR="00D22A13" w:rsidRPr="00D22A13" w:rsidRDefault="00D22A13" w:rsidP="002F5B6A">
      <w:pPr>
        <w:spacing w:after="0"/>
        <w:contextualSpacing/>
      </w:pPr>
    </w:p>
    <w:p w14:paraId="731F9191" w14:textId="32674242" w:rsidR="005F064C" w:rsidRPr="009E14FC" w:rsidRDefault="009E14FC" w:rsidP="002F5B6A">
      <w:pPr>
        <w:pStyle w:val="5"/>
        <w:numPr>
          <w:ilvl w:val="0"/>
          <w:numId w:val="0"/>
        </w:numPr>
        <w:ind w:left="1008" w:hanging="1008"/>
        <w:contextualSpacing/>
        <w:rPr>
          <w:b/>
          <w:i w:val="0"/>
        </w:rPr>
      </w:pPr>
      <w:r w:rsidRPr="009E14FC">
        <w:rPr>
          <w:b/>
          <w:i w:val="0"/>
        </w:rPr>
        <w:t xml:space="preserve">4.3.2.1.1. </w:t>
      </w:r>
      <w:r w:rsidR="005F064C" w:rsidRPr="009E14FC">
        <w:rPr>
          <w:b/>
          <w:i w:val="0"/>
        </w:rPr>
        <w:t>Таблетки, покрытые пленочной оболочкой</w:t>
      </w:r>
    </w:p>
    <w:p w14:paraId="0B0C98C8" w14:textId="77777777" w:rsidR="00D22A13" w:rsidRDefault="00D22A13" w:rsidP="002F5B6A">
      <w:pPr>
        <w:pStyle w:val="SDText"/>
        <w:spacing w:after="0"/>
        <w:contextualSpacing/>
      </w:pPr>
    </w:p>
    <w:p w14:paraId="37E3B35F" w14:textId="2EA406E8" w:rsidR="008937F7" w:rsidRDefault="001867FD" w:rsidP="00220E80">
      <w:pPr>
        <w:pStyle w:val="SDText"/>
        <w:spacing w:after="0"/>
        <w:contextualSpacing/>
      </w:pPr>
      <w:r>
        <w:t>В исследовани</w:t>
      </w:r>
      <w:r w:rsidR="00BA3818">
        <w:t>ях</w:t>
      </w:r>
      <w:r>
        <w:t xml:space="preserve"> фаз </w:t>
      </w:r>
      <w:r>
        <w:rPr>
          <w:lang w:val="en-US"/>
        </w:rPr>
        <w:t>II</w:t>
      </w:r>
      <w:r w:rsidRPr="001867FD">
        <w:t xml:space="preserve"> </w:t>
      </w:r>
      <w:r>
        <w:t xml:space="preserve">и </w:t>
      </w:r>
      <w:r>
        <w:rPr>
          <w:lang w:val="en-US"/>
        </w:rPr>
        <w:t>III</w:t>
      </w:r>
      <w:r w:rsidR="0033756D">
        <w:t>,</w:t>
      </w:r>
      <w:r w:rsidR="00BA3818">
        <w:t xml:space="preserve"> и</w:t>
      </w:r>
      <w:r w:rsidR="00F92606">
        <w:t xml:space="preserve"> </w:t>
      </w:r>
      <w:r w:rsidR="0033756D">
        <w:t xml:space="preserve">в </w:t>
      </w:r>
      <w:r w:rsidR="00F92606">
        <w:t>открытых неконтролируемых расширенных</w:t>
      </w:r>
      <w:r w:rsidR="00A1229B">
        <w:t xml:space="preserve"> </w:t>
      </w:r>
      <w:r w:rsidR="00F92606">
        <w:t>исследовани</w:t>
      </w:r>
      <w:r w:rsidR="0033756D">
        <w:t>ях</w:t>
      </w:r>
      <w:r w:rsidR="00F92606">
        <w:t xml:space="preserve"> длительност</w:t>
      </w:r>
      <w:r w:rsidR="00BA3818">
        <w:t xml:space="preserve">ью </w:t>
      </w:r>
      <w:r w:rsidR="00F92606">
        <w:t>до 114 мес.</w:t>
      </w:r>
      <w:r w:rsidR="00BA3818">
        <w:t xml:space="preserve"> приняли участие 4040 пациентов (</w:t>
      </w:r>
      <w:r w:rsidR="008937F7">
        <w:t>общая экспозиция 16113 пациенто-лет)</w:t>
      </w:r>
      <w:r w:rsidR="00F92606">
        <w:t xml:space="preserve"> </w:t>
      </w:r>
      <w:r w:rsidR="0070566B">
        <w:fldChar w:fldCharType="begin"/>
      </w:r>
      <w:r w:rsidR="00B53860">
        <w:instrText xml:space="preserve"> ADDIN ZOTERO_ITEM CSL_CITATION {"citationID":"UaV3gW72","properties":{"formattedCitation":"[48]","plainCitation":"[48]","noteIndex":0},"citationItems":[{"id":87797,"uris":["http://zotero.org/groups/4742804/items/MS9NIWK7"],"itemData":{"id":87797,"type":"webpage","title":"Product monograph. XELJANZ® tofacitinib, tablets, oral 5 mg tofacitinib (as tofacitinib citrate) 10 mg tofacitinib (as tofacitinib citrate). PrXELJANZ® XR tofacitinib extended-release, tablets, oral 11 mg tofacitinib (as tofacitinib citrate)","URL":"https://www.pfizer.ca/sites/default/files/202206/Xeljanz_PM_EN_258173_09-May-2022.pdf","author":[{"family":"Pfizer Canada ULC","given":""}],"accessed":{"date-parts":[["2022",8,3]]},"issued":{"date-parts":[["2022"]]}}}],"schema":"https://github.com/citation-style-language/schema/raw/master/csl-citation.json"} </w:instrText>
      </w:r>
      <w:r w:rsidR="0070566B">
        <w:fldChar w:fldCharType="separate"/>
      </w:r>
      <w:r w:rsidR="00DE2C35">
        <w:rPr>
          <w:rFonts w:cs="Times New Roman"/>
        </w:rPr>
        <w:t>[</w:t>
      </w:r>
      <w:r w:rsidR="00DE2C35" w:rsidRPr="00DE2C35">
        <w:rPr>
          <w:rFonts w:cs="Times New Roman"/>
        </w:rPr>
        <w:t>26</w:t>
      </w:r>
      <w:r w:rsidR="00B53860" w:rsidRPr="00B53860">
        <w:rPr>
          <w:rFonts w:cs="Times New Roman"/>
        </w:rPr>
        <w:t>]</w:t>
      </w:r>
      <w:r w:rsidR="0070566B">
        <w:fldChar w:fldCharType="end"/>
      </w:r>
      <w:r w:rsidR="008937F7">
        <w:t>.</w:t>
      </w:r>
    </w:p>
    <w:p w14:paraId="65A9CA3F" w14:textId="77777777" w:rsidR="00220E80" w:rsidRPr="00460CC1" w:rsidRDefault="00220E80" w:rsidP="00220E80">
      <w:pPr>
        <w:pStyle w:val="SDText"/>
        <w:spacing w:after="0"/>
        <w:contextualSpacing/>
      </w:pPr>
    </w:p>
    <w:p w14:paraId="7E693E0D" w14:textId="3E659CEB" w:rsidR="005F064C" w:rsidRPr="00D22A13" w:rsidRDefault="009E14FC" w:rsidP="00220E80">
      <w:pPr>
        <w:pStyle w:val="5"/>
        <w:numPr>
          <w:ilvl w:val="0"/>
          <w:numId w:val="0"/>
        </w:numPr>
        <w:spacing w:before="0"/>
        <w:contextualSpacing/>
        <w:rPr>
          <w:b/>
          <w:i w:val="0"/>
        </w:rPr>
      </w:pPr>
      <w:r>
        <w:rPr>
          <w:b/>
          <w:i w:val="0"/>
        </w:rPr>
        <w:t xml:space="preserve">4.3.2.1.2. </w:t>
      </w:r>
      <w:r w:rsidR="005F064C" w:rsidRPr="00D22A13">
        <w:rPr>
          <w:b/>
          <w:i w:val="0"/>
        </w:rPr>
        <w:t>Таблетки с модифицированным высвобождением, покрытые пленочной оболочкой</w:t>
      </w:r>
    </w:p>
    <w:p w14:paraId="7D4DEE65" w14:textId="77777777" w:rsidR="00D22A13" w:rsidRDefault="00D22A13" w:rsidP="00220E80">
      <w:pPr>
        <w:pStyle w:val="SDText"/>
        <w:spacing w:after="0"/>
        <w:contextualSpacing/>
      </w:pPr>
    </w:p>
    <w:p w14:paraId="6A8BCC10" w14:textId="2D77272C" w:rsidR="00CA542F" w:rsidRDefault="00E5486D" w:rsidP="00220E80">
      <w:pPr>
        <w:pStyle w:val="SDText"/>
        <w:spacing w:after="0"/>
        <w:contextualSpacing/>
      </w:pPr>
      <w:r>
        <w:t xml:space="preserve">В 6 исследованиях клинической фармакокинетики фазы </w:t>
      </w:r>
      <w:r>
        <w:rPr>
          <w:lang w:val="en-US"/>
        </w:rPr>
        <w:t>I</w:t>
      </w:r>
      <w:r w:rsidRPr="00E5486D">
        <w:t xml:space="preserve"> </w:t>
      </w:r>
      <w:r>
        <w:t>приняли участие 112 здоровых добровольцев</w:t>
      </w:r>
      <w:r w:rsidR="00D14F4F">
        <w:t xml:space="preserve">, которые принимали тофацитиниб в дозе 11 мг однократно или </w:t>
      </w:r>
      <w:r w:rsidR="00AC6A0F">
        <w:t>один раз в день</w:t>
      </w:r>
      <w:r w:rsidR="00D14F4F">
        <w:t xml:space="preserve"> </w:t>
      </w:r>
      <w:r w:rsidR="00AC6A0F">
        <w:t xml:space="preserve">в течение 5 дней </w:t>
      </w:r>
      <w:r w:rsidR="00CA542F">
        <w:t>натощак</w:t>
      </w:r>
      <w:r w:rsidR="00BC258D">
        <w:t>,</w:t>
      </w:r>
      <w:r w:rsidR="00CA542F">
        <w:t xml:space="preserve"> или после приема пищи </w:t>
      </w:r>
      <w:r w:rsidR="001E322E" w:rsidRPr="00F45A43">
        <w:fldChar w:fldCharType="begin"/>
      </w:r>
      <w:r w:rsidR="0062670E">
        <w:instrText xml:space="preserve"> ADDIN ZOTERO_ITEM CSL_CITATION {"citationID":"DHogpEO7","properties":{"formattedCitation":"[45]","plainCitation":"[45]","noteIndex":0},"citationItems":[{"id":87801,"uris":["http://zotero.org/groups/4742804/items/5N4VWD6H"],"itemData":{"id":87801,"type":"webpage","title":"Xeljanz (tofacitinib) Extended Release (XR) Tablets. Company:  Pfizer, Inc.. Application No.:  208246. Approval Date: 02/23/2016. Clinical Pharmacology Biopharmaceutics Review","URL":"https://www.accessdata.fda.gov/drugsatfda_docs/nda/2016/208246Orig1s000TOC.cfm","accessed":{"date-parts":[["2022",8,3]]}}}],"schema":"https://github.com/citation-style-language/schema/raw/master/csl-citation.json"} </w:instrText>
      </w:r>
      <w:r w:rsidR="001E322E" w:rsidRPr="00F45A43">
        <w:fldChar w:fldCharType="separate"/>
      </w:r>
      <w:r w:rsidR="00DE2C35">
        <w:rPr>
          <w:rFonts w:cs="Times New Roman"/>
        </w:rPr>
        <w:t>[27</w:t>
      </w:r>
      <w:r w:rsidR="0062670E" w:rsidRPr="0062670E">
        <w:rPr>
          <w:rFonts w:cs="Times New Roman"/>
        </w:rPr>
        <w:t>]</w:t>
      </w:r>
      <w:r w:rsidR="001E322E" w:rsidRPr="00F45A43">
        <w:fldChar w:fldCharType="end"/>
      </w:r>
      <w:r w:rsidR="001E322E">
        <w:t>.</w:t>
      </w:r>
      <w:r w:rsidR="006C17AB" w:rsidRPr="006C17AB">
        <w:t xml:space="preserve"> </w:t>
      </w:r>
      <w:r w:rsidR="006C17AB">
        <w:t xml:space="preserve">В </w:t>
      </w:r>
      <w:r w:rsidR="00C50DFD">
        <w:t xml:space="preserve">открытом периоде исследования </w:t>
      </w:r>
      <w:r w:rsidR="006C17AB" w:rsidRPr="00473530">
        <w:t>ORAL Shift III</w:t>
      </w:r>
      <w:r w:rsidR="006C17AB">
        <w:rPr>
          <w:lang w:val="en-US"/>
        </w:rPr>
        <w:t>b</w:t>
      </w:r>
      <w:r w:rsidR="006C17AB">
        <w:t>–</w:t>
      </w:r>
      <w:r w:rsidR="006C17AB">
        <w:rPr>
          <w:lang w:val="en-US"/>
        </w:rPr>
        <w:t>IV</w:t>
      </w:r>
      <w:r w:rsidR="006C17AB" w:rsidRPr="00473530">
        <w:t xml:space="preserve"> </w:t>
      </w:r>
      <w:r w:rsidR="006C17AB">
        <w:t>фазы</w:t>
      </w:r>
      <w:r w:rsidR="006C17AB" w:rsidRPr="00473530">
        <w:t xml:space="preserve"> </w:t>
      </w:r>
      <w:r w:rsidR="006C17AB">
        <w:t xml:space="preserve">приняли участие 694 пациента, из которых 623 больных получали лечение </w:t>
      </w:r>
      <w:r w:rsidR="0037714F">
        <w:t xml:space="preserve">тофацитинибом в дозе 11 мг 1 раз в день </w:t>
      </w:r>
      <w:r w:rsidR="006C17AB">
        <w:t xml:space="preserve">в течение 24 недель </w:t>
      </w:r>
      <w:r w:rsidR="006C17AB">
        <w:fldChar w:fldCharType="begin"/>
      </w:r>
      <w:r w:rsidR="008D5290">
        <w:instrText xml:space="preserve"> ADDIN ZOTERO_ITEM CSL_CITATION {"citationID":"drXWWMR5","properties":{"formattedCitation":"[30]","plainCitation":"[30]","noteIndex":0},"citationItems":[{"id":87795,"uris":["http://zotero.org/groups/4742804/items/UV9PI7FR"],"itemData":{"id":87795,"type":"article-journal","abstract":"Background\nTofacitinib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rsidR="006C17AB">
        <w:fldChar w:fldCharType="separate"/>
      </w:r>
      <w:r w:rsidR="00DE2C35">
        <w:rPr>
          <w:rFonts w:cs="Times New Roman"/>
        </w:rPr>
        <w:t>[</w:t>
      </w:r>
      <w:r w:rsidR="00DE2C35" w:rsidRPr="00DE2C35">
        <w:rPr>
          <w:rFonts w:cs="Times New Roman"/>
        </w:rPr>
        <w:t>8</w:t>
      </w:r>
      <w:r w:rsidR="008D5290" w:rsidRPr="008D5290">
        <w:rPr>
          <w:rFonts w:cs="Times New Roman"/>
        </w:rPr>
        <w:t>]</w:t>
      </w:r>
      <w:r w:rsidR="006C17AB">
        <w:fldChar w:fldCharType="end"/>
      </w:r>
      <w:r w:rsidR="00C50DFD">
        <w:t>, а д</w:t>
      </w:r>
      <w:r w:rsidR="006C17AB">
        <w:t>ля получения терапии в двойном слепом периоде были рандомизированы 5</w:t>
      </w:r>
      <w:r w:rsidR="0025615B">
        <w:t>3</w:t>
      </w:r>
      <w:r w:rsidR="006C17AB">
        <w:t>3 пациента</w:t>
      </w:r>
      <w:r w:rsidR="0037714F">
        <w:t xml:space="preserve"> (267 в группу монотерапии тофацитинибом в указанной дозе, 266 – в группу комбинированной терапии)</w:t>
      </w:r>
      <w:r w:rsidR="006C17AB">
        <w:t xml:space="preserve"> </w:t>
      </w:r>
      <w:r w:rsidR="006C17AB">
        <w:fldChar w:fldCharType="begin"/>
      </w:r>
      <w:r w:rsidR="008D5290">
        <w:instrText xml:space="preserve"> ADDIN ZOTERO_ITEM CSL_CITATION {"citationID":"pGY7ZvTc","properties":{"formattedCitation":"[30]","plainCitation":"[30]","noteIndex":0},"citationItems":[{"id":87795,"uris":["http://zotero.org/groups/4742804/items/UV9PI7FR"],"itemData":{"id":87795,"type":"article-journal","abstract":"Background\nTofacitinib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rsidR="006C17AB">
        <w:fldChar w:fldCharType="separate"/>
      </w:r>
      <w:r w:rsidR="00DE2C35">
        <w:rPr>
          <w:rFonts w:cs="Times New Roman"/>
        </w:rPr>
        <w:t>[</w:t>
      </w:r>
      <w:r w:rsidR="00DE2C35" w:rsidRPr="00364071">
        <w:rPr>
          <w:rFonts w:cs="Times New Roman"/>
        </w:rPr>
        <w:t>8</w:t>
      </w:r>
      <w:r w:rsidR="008D5290" w:rsidRPr="008D5290">
        <w:rPr>
          <w:rFonts w:cs="Times New Roman"/>
        </w:rPr>
        <w:t>]</w:t>
      </w:r>
      <w:r w:rsidR="006C17AB">
        <w:fldChar w:fldCharType="end"/>
      </w:r>
      <w:r w:rsidR="006C17AB">
        <w:t>.</w:t>
      </w:r>
      <w:r w:rsidR="006C17AB" w:rsidRPr="00AA513A">
        <w:t xml:space="preserve"> </w:t>
      </w:r>
    </w:p>
    <w:p w14:paraId="05233EDF" w14:textId="77777777" w:rsidR="00D22A13" w:rsidRPr="00D22A13" w:rsidRDefault="00D22A13" w:rsidP="002F5B6A">
      <w:pPr>
        <w:pStyle w:val="SDText"/>
        <w:spacing w:after="0"/>
        <w:contextualSpacing/>
      </w:pPr>
    </w:p>
    <w:p w14:paraId="585C9270" w14:textId="5B41AD06" w:rsidR="00747C94" w:rsidRDefault="009E14FC" w:rsidP="002F5B6A">
      <w:pPr>
        <w:pStyle w:val="4"/>
        <w:numPr>
          <w:ilvl w:val="0"/>
          <w:numId w:val="0"/>
        </w:numPr>
        <w:contextualSpacing/>
      </w:pPr>
      <w:bookmarkStart w:id="258" w:name="_Toc121592609"/>
      <w:r>
        <w:t xml:space="preserve">4.3.2.2. </w:t>
      </w:r>
      <w:r w:rsidR="00D512CD" w:rsidRPr="00D512CD">
        <w:t>Нежелательные явления</w:t>
      </w:r>
      <w:bookmarkEnd w:id="258"/>
    </w:p>
    <w:p w14:paraId="342F9C19" w14:textId="77777777" w:rsidR="00D22A13" w:rsidRPr="00D22A13" w:rsidRDefault="00D22A13" w:rsidP="002F5B6A">
      <w:pPr>
        <w:spacing w:after="0"/>
      </w:pPr>
    </w:p>
    <w:p w14:paraId="63920AB2" w14:textId="0197AE3A" w:rsidR="005F064C" w:rsidRPr="00D22A13" w:rsidRDefault="009E14FC" w:rsidP="002F5B6A">
      <w:pPr>
        <w:pStyle w:val="5"/>
        <w:numPr>
          <w:ilvl w:val="0"/>
          <w:numId w:val="0"/>
        </w:numPr>
        <w:ind w:left="1008" w:hanging="1008"/>
        <w:contextualSpacing/>
        <w:rPr>
          <w:b/>
          <w:i w:val="0"/>
        </w:rPr>
      </w:pPr>
      <w:r>
        <w:rPr>
          <w:b/>
          <w:i w:val="0"/>
        </w:rPr>
        <w:t xml:space="preserve">4.3.2.2.1. </w:t>
      </w:r>
      <w:r w:rsidR="005F064C" w:rsidRPr="00D22A13">
        <w:rPr>
          <w:b/>
          <w:i w:val="0"/>
        </w:rPr>
        <w:t>Таблетки, покрытые пленочной оболочкой</w:t>
      </w:r>
    </w:p>
    <w:p w14:paraId="21844691" w14:textId="77777777" w:rsidR="00D22A13" w:rsidRDefault="00D22A13" w:rsidP="002F5B6A">
      <w:pPr>
        <w:pStyle w:val="SDText"/>
        <w:spacing w:after="0"/>
        <w:contextualSpacing/>
      </w:pPr>
    </w:p>
    <w:p w14:paraId="3EE2366D" w14:textId="3C3A1FA5" w:rsidR="00447E91" w:rsidRPr="00143A09" w:rsidRDefault="001C19C7" w:rsidP="002F5B6A">
      <w:pPr>
        <w:pStyle w:val="SDText"/>
        <w:spacing w:after="0"/>
        <w:contextualSpacing/>
        <w:rPr>
          <w:b/>
        </w:rPr>
      </w:pPr>
      <w:r>
        <w:t>Наиболее част</w:t>
      </w:r>
      <w:r w:rsidR="00445271">
        <w:t>ы</w:t>
      </w:r>
      <w:r w:rsidR="006B6743">
        <w:t>е</w:t>
      </w:r>
      <w:r>
        <w:t xml:space="preserve"> </w:t>
      </w:r>
      <w:r w:rsidR="00917727">
        <w:t>НР</w:t>
      </w:r>
      <w:r>
        <w:t xml:space="preserve"> в течение первых 3 мес</w:t>
      </w:r>
      <w:r w:rsidR="00917727">
        <w:t>.</w:t>
      </w:r>
      <w:r>
        <w:t xml:space="preserve"> двойн</w:t>
      </w:r>
      <w:r w:rsidR="00445271">
        <w:t>ых</w:t>
      </w:r>
      <w:r>
        <w:t xml:space="preserve"> слеп</w:t>
      </w:r>
      <w:r w:rsidR="00445271">
        <w:t>ых</w:t>
      </w:r>
      <w:r>
        <w:t xml:space="preserve"> плацебо</w:t>
      </w:r>
      <w:r w:rsidR="00445271">
        <w:t>-контролируемых</w:t>
      </w:r>
      <w:r w:rsidR="00917727">
        <w:t xml:space="preserve"> </w:t>
      </w:r>
      <w:r>
        <w:t xml:space="preserve">или </w:t>
      </w:r>
      <w:r w:rsidR="00445271">
        <w:t>с активным контролем (</w:t>
      </w:r>
      <w:r>
        <w:t>метотрексат</w:t>
      </w:r>
      <w:r w:rsidR="00445271">
        <w:t>) исследований</w:t>
      </w:r>
      <w:r>
        <w:t xml:space="preserve"> </w:t>
      </w:r>
      <w:r w:rsidR="005A01A3">
        <w:t xml:space="preserve">с участием пациентов с РА </w:t>
      </w:r>
      <w:r>
        <w:t>включали головную боль (3,9%), инфекции верхних дыхательных путей (3,8%),</w:t>
      </w:r>
      <w:r w:rsidR="00445271">
        <w:t xml:space="preserve"> </w:t>
      </w:r>
      <w:r>
        <w:t>вирусн</w:t>
      </w:r>
      <w:r w:rsidR="00445271">
        <w:t>ые</w:t>
      </w:r>
      <w:r>
        <w:t xml:space="preserve"> инфекци</w:t>
      </w:r>
      <w:r w:rsidR="00445271">
        <w:t>и</w:t>
      </w:r>
      <w:r>
        <w:t xml:space="preserve"> верхних дыхательных путей (3,3%), диаре</w:t>
      </w:r>
      <w:r w:rsidR="00BC258D">
        <w:t>ю</w:t>
      </w:r>
      <w:r>
        <w:t xml:space="preserve"> (2,9%), тошнот</w:t>
      </w:r>
      <w:r w:rsidR="00BC258D">
        <w:t>у</w:t>
      </w:r>
      <w:r>
        <w:t xml:space="preserve"> (2,7%) и </w:t>
      </w:r>
      <w:r w:rsidR="007E5A7B">
        <w:t>АГ</w:t>
      </w:r>
      <w:r w:rsidR="00445271">
        <w:t xml:space="preserve"> </w:t>
      </w:r>
      <w:r>
        <w:t>(2,2%)</w:t>
      </w:r>
      <w:r w:rsidR="00C70745">
        <w:t xml:space="preserve">. </w:t>
      </w:r>
      <w:r w:rsidR="007A6E03">
        <w:t>В целом профил</w:t>
      </w:r>
      <w:r w:rsidR="006E1F17">
        <w:t>и</w:t>
      </w:r>
      <w:r w:rsidR="007A6E03">
        <w:t xml:space="preserve"> безопасности у пациентов с РА</w:t>
      </w:r>
      <w:r w:rsidR="006E1F17">
        <w:t xml:space="preserve">, </w:t>
      </w:r>
      <w:r w:rsidR="00A30823">
        <w:t>АС</w:t>
      </w:r>
      <w:r w:rsidR="006E1F17">
        <w:t xml:space="preserve"> и </w:t>
      </w:r>
      <w:r w:rsidR="007A6E03">
        <w:t xml:space="preserve">псориатическим артритом </w:t>
      </w:r>
      <w:r w:rsidR="000E7FE5">
        <w:t>был</w:t>
      </w:r>
      <w:r w:rsidR="006E1F17">
        <w:t>и</w:t>
      </w:r>
      <w:r w:rsidR="000E7FE5">
        <w:t xml:space="preserve"> сопоставимым</w:t>
      </w:r>
      <w:r w:rsidR="006E1F17">
        <w:t>и</w:t>
      </w:r>
      <w:r w:rsidR="000E7FE5">
        <w:t xml:space="preserve">. Наиболее частыми НР на фоне использования тофацитиниба в дозе 10 мг 2 раза в день </w:t>
      </w:r>
      <w:r w:rsidR="00015A51">
        <w:t xml:space="preserve">в исследования индукции </w:t>
      </w:r>
      <w:r w:rsidR="00015A51" w:rsidRPr="00143A09">
        <w:t>ремиссии у пациентов с ЯК являлись головная боль, назофарингит, тошнота и артралгия</w:t>
      </w:r>
      <w:r w:rsidR="007A6E03" w:rsidRPr="00143A09">
        <w:t xml:space="preserve"> </w:t>
      </w:r>
      <w:r w:rsidR="00F45E30" w:rsidRPr="00143A09">
        <w:t>(</w:t>
      </w:r>
      <w:r w:rsidR="00811C81" w:rsidRPr="00143A09">
        <w:fldChar w:fldCharType="begin"/>
      </w:r>
      <w:r w:rsidR="00811C81" w:rsidRPr="00143A09">
        <w:instrText xml:space="preserve"> REF _Ref121142192 \h </w:instrText>
      </w:r>
      <w:r w:rsidR="00143A09" w:rsidRPr="00143A09">
        <w:instrText xml:space="preserve"> \* MERGEFORMAT </w:instrText>
      </w:r>
      <w:r w:rsidR="00811C81" w:rsidRPr="00143A09">
        <w:fldChar w:fldCharType="separate"/>
      </w:r>
      <w:r w:rsidR="00383E6F" w:rsidRPr="00143A09">
        <w:rPr>
          <w:bCs/>
        </w:rPr>
        <w:t xml:space="preserve">Таблица </w:t>
      </w:r>
      <w:r w:rsidR="00383E6F" w:rsidRPr="00143A09">
        <w:rPr>
          <w:bCs/>
          <w:noProof/>
        </w:rPr>
        <w:t>4</w:t>
      </w:r>
      <w:r w:rsidR="00383E6F" w:rsidRPr="00143A09">
        <w:rPr>
          <w:bCs/>
        </w:rPr>
        <w:noBreakHyphen/>
      </w:r>
      <w:r w:rsidR="00383E6F" w:rsidRPr="00143A09">
        <w:rPr>
          <w:bCs/>
          <w:noProof/>
        </w:rPr>
        <w:t>21</w:t>
      </w:r>
      <w:r w:rsidR="00811C81" w:rsidRPr="00143A09">
        <w:fldChar w:fldCharType="end"/>
      </w:r>
      <w:r w:rsidR="00F45E30" w:rsidRPr="00143A09">
        <w:t>)</w:t>
      </w:r>
      <w:r w:rsidR="001402D8" w:rsidRPr="00143A09">
        <w:t xml:space="preserve"> </w:t>
      </w:r>
      <w:r w:rsidR="00447E91" w:rsidRPr="00143A09">
        <w:fldChar w:fldCharType="begin"/>
      </w:r>
      <w:r w:rsidR="008D5290" w:rsidRPr="00143A09">
        <w:instrText xml:space="preserve"> ADDIN ZOTERO_ITEM CSL_CITATION {"citationID":"eN0jbxTJ","properties":{"formattedCitation":"[24]","plainCitation":"[24]","noteIndex":0},"citationItems":[{"id":87800,"uris":["http://zotero.org/groups/4742804/items/TPCQ89X9"],"itemData":{"id":87800,"type":"webpage","title":"Xeljanz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47E91" w:rsidRPr="00143A09">
        <w:fldChar w:fldCharType="separate"/>
      </w:r>
      <w:r w:rsidR="00DE2C35" w:rsidRPr="00143A09">
        <w:rPr>
          <w:rFonts w:cs="Times New Roman"/>
        </w:rPr>
        <w:t>[2</w:t>
      </w:r>
      <w:r w:rsidR="008D5290" w:rsidRPr="00143A09">
        <w:rPr>
          <w:rFonts w:cs="Times New Roman"/>
        </w:rPr>
        <w:t>]</w:t>
      </w:r>
      <w:r w:rsidR="00447E91" w:rsidRPr="00143A09">
        <w:fldChar w:fldCharType="end"/>
      </w:r>
      <w:r w:rsidR="001402D8" w:rsidRPr="00143A09">
        <w:t>.</w:t>
      </w:r>
    </w:p>
    <w:p w14:paraId="6A93F28E" w14:textId="77777777" w:rsidR="00D22A13" w:rsidRDefault="00D22A13" w:rsidP="002F5B6A">
      <w:pPr>
        <w:pStyle w:val="SDText"/>
        <w:spacing w:after="0"/>
        <w:contextualSpacing/>
      </w:pPr>
    </w:p>
    <w:p w14:paraId="74CFA0BA" w14:textId="77777777" w:rsidR="00791E09" w:rsidRDefault="00791E09" w:rsidP="00143A09">
      <w:pPr>
        <w:pStyle w:val="SDText"/>
        <w:spacing w:after="0"/>
        <w:ind w:firstLine="0"/>
        <w:rPr>
          <w:b/>
          <w:bCs/>
        </w:rPr>
        <w:sectPr w:rsidR="00791E09" w:rsidSect="00C13EBE">
          <w:pgSz w:w="11906" w:h="16838"/>
          <w:pgMar w:top="703" w:right="850" w:bottom="1134" w:left="1701" w:header="709" w:footer="708" w:gutter="0"/>
          <w:cols w:space="708"/>
          <w:docGrid w:linePitch="360"/>
        </w:sectPr>
      </w:pPr>
      <w:bookmarkStart w:id="259" w:name="_Ref121142192"/>
    </w:p>
    <w:p w14:paraId="01233CE7" w14:textId="3DA4C2BD" w:rsidR="00F45E30" w:rsidRDefault="00BE43B3" w:rsidP="00143A09">
      <w:pPr>
        <w:pStyle w:val="SDText"/>
        <w:spacing w:after="0"/>
        <w:ind w:firstLine="0"/>
      </w:pPr>
      <w:r w:rsidRPr="00811C81">
        <w:rPr>
          <w:b/>
          <w:bCs/>
        </w:rPr>
        <w:lastRenderedPageBreak/>
        <w:t xml:space="preserve">Таблица </w:t>
      </w:r>
      <w:r w:rsidR="00652269" w:rsidRPr="00811C81">
        <w:rPr>
          <w:b/>
          <w:bCs/>
        </w:rPr>
        <w:fldChar w:fldCharType="begin"/>
      </w:r>
      <w:r w:rsidR="00652269" w:rsidRPr="00811C81">
        <w:rPr>
          <w:b/>
          <w:bCs/>
        </w:rPr>
        <w:instrText xml:space="preserve"> STYLEREF 1 \s </w:instrText>
      </w:r>
      <w:r w:rsidR="00652269" w:rsidRPr="00811C81">
        <w:rPr>
          <w:b/>
          <w:bCs/>
        </w:rPr>
        <w:fldChar w:fldCharType="separate"/>
      </w:r>
      <w:r w:rsidR="00383E6F">
        <w:rPr>
          <w:b/>
          <w:bCs/>
          <w:noProof/>
        </w:rPr>
        <w:t>4</w:t>
      </w:r>
      <w:r w:rsidR="00652269" w:rsidRPr="00811C81">
        <w:rPr>
          <w:b/>
          <w:bCs/>
        </w:rPr>
        <w:fldChar w:fldCharType="end"/>
      </w:r>
      <w:r w:rsidR="00652269" w:rsidRPr="00811C81">
        <w:rPr>
          <w:b/>
          <w:bCs/>
        </w:rPr>
        <w:noBreakHyphen/>
      </w:r>
      <w:r w:rsidR="00652269" w:rsidRPr="00811C81">
        <w:rPr>
          <w:b/>
          <w:bCs/>
        </w:rPr>
        <w:fldChar w:fldCharType="begin"/>
      </w:r>
      <w:r w:rsidR="00652269" w:rsidRPr="00811C81">
        <w:rPr>
          <w:b/>
          <w:bCs/>
        </w:rPr>
        <w:instrText xml:space="preserve"> SEQ Таблица \* ARABIC \s 1 </w:instrText>
      </w:r>
      <w:r w:rsidR="00652269" w:rsidRPr="00811C81">
        <w:rPr>
          <w:b/>
          <w:bCs/>
        </w:rPr>
        <w:fldChar w:fldCharType="separate"/>
      </w:r>
      <w:r w:rsidR="00383E6F">
        <w:rPr>
          <w:b/>
          <w:bCs/>
          <w:noProof/>
        </w:rPr>
        <w:t>21</w:t>
      </w:r>
      <w:r w:rsidR="00652269" w:rsidRPr="00811C81">
        <w:rPr>
          <w:b/>
          <w:bCs/>
        </w:rPr>
        <w:fldChar w:fldCharType="end"/>
      </w:r>
      <w:bookmarkEnd w:id="259"/>
      <w:r w:rsidR="00D22A13" w:rsidRPr="00811C81">
        <w:rPr>
          <w:b/>
          <w:bCs/>
          <w:noProof/>
        </w:rPr>
        <w:t>.</w:t>
      </w:r>
      <w:r w:rsidR="00D22A13">
        <w:t xml:space="preserve"> НР, зарегистрированные в клинических исследованиях с участием пациентов с РА, псориатическим артритом, АС или ЯК, на фоне использования тофацитиниба.</w:t>
      </w:r>
    </w:p>
    <w:tbl>
      <w:tblPr>
        <w:tblStyle w:val="a4"/>
        <w:tblW w:w="0" w:type="auto"/>
        <w:tblInd w:w="108" w:type="dxa"/>
        <w:tblLayout w:type="fixed"/>
        <w:tblLook w:val="04A0" w:firstRow="1" w:lastRow="0" w:firstColumn="1" w:lastColumn="0" w:noHBand="0" w:noVBand="1"/>
      </w:tblPr>
      <w:tblGrid>
        <w:gridCol w:w="1555"/>
        <w:gridCol w:w="1615"/>
        <w:gridCol w:w="1379"/>
        <w:gridCol w:w="1588"/>
        <w:gridCol w:w="1487"/>
        <w:gridCol w:w="1732"/>
      </w:tblGrid>
      <w:tr w:rsidR="006F1DAF" w14:paraId="325852ED" w14:textId="77777777" w:rsidTr="00791E09">
        <w:trPr>
          <w:tblHeader/>
        </w:trPr>
        <w:tc>
          <w:tcPr>
            <w:tcW w:w="1555" w:type="dxa"/>
            <w:shd w:val="clear" w:color="auto" w:fill="D9D9D9" w:themeFill="background1" w:themeFillShade="D9"/>
            <w:vAlign w:val="center"/>
          </w:tcPr>
          <w:p w14:paraId="13E76654" w14:textId="66047FD8" w:rsidR="002D24E7" w:rsidRPr="002F5B6A" w:rsidRDefault="002D24E7" w:rsidP="00791E09">
            <w:pPr>
              <w:ind w:firstLine="0"/>
              <w:contextualSpacing/>
              <w:jc w:val="center"/>
              <w:rPr>
                <w:b/>
                <w:bCs/>
                <w:sz w:val="22"/>
              </w:rPr>
            </w:pPr>
            <w:r w:rsidRPr="002F5B6A">
              <w:rPr>
                <w:b/>
                <w:bCs/>
                <w:sz w:val="22"/>
              </w:rPr>
              <w:t>Класс системы органов</w:t>
            </w:r>
          </w:p>
        </w:tc>
        <w:tc>
          <w:tcPr>
            <w:tcW w:w="1615" w:type="dxa"/>
            <w:shd w:val="clear" w:color="auto" w:fill="D9D9D9" w:themeFill="background1" w:themeFillShade="D9"/>
            <w:vAlign w:val="center"/>
          </w:tcPr>
          <w:p w14:paraId="2F4D62B5" w14:textId="02A51A60" w:rsidR="002D24E7" w:rsidRPr="002F5B6A" w:rsidRDefault="002D24E7" w:rsidP="00791E09">
            <w:pPr>
              <w:ind w:firstLine="0"/>
              <w:contextualSpacing/>
              <w:jc w:val="center"/>
              <w:rPr>
                <w:b/>
                <w:bCs/>
                <w:sz w:val="22"/>
              </w:rPr>
            </w:pPr>
            <w:r w:rsidRPr="002F5B6A">
              <w:rPr>
                <w:b/>
                <w:bCs/>
                <w:sz w:val="22"/>
              </w:rPr>
              <w:t xml:space="preserve">Частые (от </w:t>
            </w:r>
            <w:r w:rsidRPr="002F5B6A">
              <w:rPr>
                <w:rFonts w:cs="Times New Roman"/>
                <w:b/>
                <w:bCs/>
                <w:sz w:val="22"/>
              </w:rPr>
              <w:t>≥</w:t>
            </w:r>
            <w:r w:rsidRPr="002F5B6A">
              <w:rPr>
                <w:b/>
                <w:bCs/>
                <w:sz w:val="22"/>
                <w:lang w:val="en-US"/>
              </w:rPr>
              <w:t xml:space="preserve"> 1/100</w:t>
            </w:r>
            <w:r w:rsidRPr="002F5B6A">
              <w:rPr>
                <w:b/>
                <w:bCs/>
                <w:sz w:val="22"/>
              </w:rPr>
              <w:t xml:space="preserve"> до </w:t>
            </w:r>
            <w:r w:rsidRPr="002F5B6A">
              <w:rPr>
                <w:b/>
                <w:bCs/>
                <w:sz w:val="22"/>
                <w:lang w:val="en-US"/>
              </w:rPr>
              <w:t xml:space="preserve">&lt; </w:t>
            </w:r>
            <w:r w:rsidRPr="002F5B6A">
              <w:rPr>
                <w:b/>
                <w:bCs/>
                <w:sz w:val="22"/>
              </w:rPr>
              <w:t>1/10)</w:t>
            </w:r>
          </w:p>
        </w:tc>
        <w:tc>
          <w:tcPr>
            <w:tcW w:w="1379" w:type="dxa"/>
            <w:shd w:val="clear" w:color="auto" w:fill="D9D9D9" w:themeFill="background1" w:themeFillShade="D9"/>
            <w:vAlign w:val="center"/>
          </w:tcPr>
          <w:p w14:paraId="46D08A74" w14:textId="55D3AA1F" w:rsidR="002D24E7" w:rsidRPr="002F5B6A" w:rsidRDefault="002D24E7" w:rsidP="00791E09">
            <w:pPr>
              <w:ind w:firstLine="0"/>
              <w:contextualSpacing/>
              <w:jc w:val="center"/>
              <w:rPr>
                <w:b/>
                <w:bCs/>
                <w:sz w:val="22"/>
              </w:rPr>
            </w:pPr>
            <w:r w:rsidRPr="002F5B6A">
              <w:rPr>
                <w:b/>
                <w:bCs/>
                <w:sz w:val="22"/>
              </w:rPr>
              <w:t xml:space="preserve">Нечастые (от </w:t>
            </w:r>
            <w:r w:rsidRPr="002F5B6A">
              <w:rPr>
                <w:rFonts w:cs="Times New Roman"/>
                <w:b/>
                <w:bCs/>
                <w:sz w:val="22"/>
              </w:rPr>
              <w:t>≥</w:t>
            </w:r>
            <w:r w:rsidRPr="002F5B6A">
              <w:rPr>
                <w:b/>
                <w:bCs/>
                <w:sz w:val="22"/>
                <w:lang w:val="en-US"/>
              </w:rPr>
              <w:t xml:space="preserve"> 1/100</w:t>
            </w:r>
            <w:r w:rsidR="003958BB" w:rsidRPr="002F5B6A">
              <w:rPr>
                <w:b/>
                <w:bCs/>
                <w:sz w:val="22"/>
              </w:rPr>
              <w:t xml:space="preserve">0 </w:t>
            </w:r>
            <w:r w:rsidRPr="002F5B6A">
              <w:rPr>
                <w:b/>
                <w:bCs/>
                <w:sz w:val="22"/>
              </w:rPr>
              <w:t xml:space="preserve">до </w:t>
            </w:r>
            <w:r w:rsidRPr="002F5B6A">
              <w:rPr>
                <w:b/>
                <w:bCs/>
                <w:sz w:val="22"/>
                <w:lang w:val="en-US"/>
              </w:rPr>
              <w:t xml:space="preserve">&lt; </w:t>
            </w:r>
            <w:r w:rsidRPr="002F5B6A">
              <w:rPr>
                <w:b/>
                <w:bCs/>
                <w:sz w:val="22"/>
              </w:rPr>
              <w:t>1/10</w:t>
            </w:r>
            <w:r w:rsidR="003958BB" w:rsidRPr="002F5B6A">
              <w:rPr>
                <w:b/>
                <w:bCs/>
                <w:sz w:val="22"/>
              </w:rPr>
              <w:t>0</w:t>
            </w:r>
            <w:r w:rsidRPr="002F5B6A">
              <w:rPr>
                <w:b/>
                <w:bCs/>
                <w:sz w:val="22"/>
              </w:rPr>
              <w:t>)</w:t>
            </w:r>
          </w:p>
        </w:tc>
        <w:tc>
          <w:tcPr>
            <w:tcW w:w="1588" w:type="dxa"/>
            <w:shd w:val="clear" w:color="auto" w:fill="D9D9D9" w:themeFill="background1" w:themeFillShade="D9"/>
            <w:vAlign w:val="center"/>
          </w:tcPr>
          <w:p w14:paraId="495C4FAB" w14:textId="6490FEFE" w:rsidR="002D24E7" w:rsidRPr="002F5B6A" w:rsidRDefault="003958BB" w:rsidP="00791E09">
            <w:pPr>
              <w:ind w:firstLine="0"/>
              <w:contextualSpacing/>
              <w:jc w:val="center"/>
              <w:rPr>
                <w:b/>
                <w:bCs/>
                <w:sz w:val="22"/>
              </w:rPr>
            </w:pPr>
            <w:r w:rsidRPr="002F5B6A">
              <w:rPr>
                <w:b/>
                <w:bCs/>
                <w:sz w:val="22"/>
              </w:rPr>
              <w:t>Редкие</w:t>
            </w:r>
            <w:r w:rsidR="002D24E7" w:rsidRPr="002F5B6A">
              <w:rPr>
                <w:b/>
                <w:bCs/>
                <w:sz w:val="22"/>
              </w:rPr>
              <w:t xml:space="preserve"> (от </w:t>
            </w:r>
            <w:r w:rsidR="002D24E7" w:rsidRPr="002F5B6A">
              <w:rPr>
                <w:rFonts w:cs="Times New Roman"/>
                <w:b/>
                <w:bCs/>
                <w:sz w:val="22"/>
              </w:rPr>
              <w:t>≥</w:t>
            </w:r>
            <w:r w:rsidR="002D24E7" w:rsidRPr="002F5B6A">
              <w:rPr>
                <w:b/>
                <w:bCs/>
                <w:sz w:val="22"/>
                <w:lang w:val="en-US"/>
              </w:rPr>
              <w:t xml:space="preserve"> 1/100</w:t>
            </w:r>
            <w:r w:rsidRPr="002F5B6A">
              <w:rPr>
                <w:b/>
                <w:bCs/>
                <w:sz w:val="22"/>
              </w:rPr>
              <w:t>00</w:t>
            </w:r>
            <w:r w:rsidR="002D24E7" w:rsidRPr="002F5B6A">
              <w:rPr>
                <w:b/>
                <w:bCs/>
                <w:sz w:val="22"/>
              </w:rPr>
              <w:t xml:space="preserve"> до </w:t>
            </w:r>
            <w:r w:rsidR="002D24E7" w:rsidRPr="002F5B6A">
              <w:rPr>
                <w:b/>
                <w:bCs/>
                <w:sz w:val="22"/>
                <w:lang w:val="en-US"/>
              </w:rPr>
              <w:t xml:space="preserve">&lt; </w:t>
            </w:r>
            <w:r w:rsidR="002D24E7" w:rsidRPr="002F5B6A">
              <w:rPr>
                <w:b/>
                <w:bCs/>
                <w:sz w:val="22"/>
              </w:rPr>
              <w:t>1/10</w:t>
            </w:r>
            <w:r w:rsidR="00BD3436" w:rsidRPr="002F5B6A">
              <w:rPr>
                <w:b/>
                <w:bCs/>
                <w:sz w:val="22"/>
              </w:rPr>
              <w:t>00</w:t>
            </w:r>
            <w:r w:rsidR="002D24E7" w:rsidRPr="002F5B6A">
              <w:rPr>
                <w:b/>
                <w:bCs/>
                <w:sz w:val="22"/>
              </w:rPr>
              <w:t>)</w:t>
            </w:r>
          </w:p>
        </w:tc>
        <w:tc>
          <w:tcPr>
            <w:tcW w:w="1487" w:type="dxa"/>
            <w:shd w:val="clear" w:color="auto" w:fill="D9D9D9" w:themeFill="background1" w:themeFillShade="D9"/>
            <w:vAlign w:val="center"/>
          </w:tcPr>
          <w:p w14:paraId="7569308E" w14:textId="200D9BE4" w:rsidR="002D24E7" w:rsidRPr="002F5B6A" w:rsidRDefault="00BD3436" w:rsidP="00791E09">
            <w:pPr>
              <w:ind w:firstLine="0"/>
              <w:contextualSpacing/>
              <w:jc w:val="center"/>
              <w:rPr>
                <w:b/>
                <w:bCs/>
                <w:sz w:val="22"/>
              </w:rPr>
            </w:pPr>
            <w:r w:rsidRPr="002F5B6A">
              <w:rPr>
                <w:b/>
                <w:bCs/>
                <w:sz w:val="22"/>
              </w:rPr>
              <w:t>Очень редкие</w:t>
            </w:r>
            <w:r w:rsidR="002D24E7" w:rsidRPr="002F5B6A">
              <w:rPr>
                <w:b/>
                <w:bCs/>
                <w:sz w:val="22"/>
              </w:rPr>
              <w:t xml:space="preserve"> (</w:t>
            </w:r>
            <w:r w:rsidR="002D24E7" w:rsidRPr="002F5B6A">
              <w:rPr>
                <w:b/>
                <w:bCs/>
                <w:sz w:val="22"/>
                <w:lang w:val="en-US"/>
              </w:rPr>
              <w:t xml:space="preserve">&lt; </w:t>
            </w:r>
            <w:r w:rsidR="002D24E7" w:rsidRPr="002F5B6A">
              <w:rPr>
                <w:b/>
                <w:bCs/>
                <w:sz w:val="22"/>
              </w:rPr>
              <w:t>1/10</w:t>
            </w:r>
            <w:r w:rsidRPr="002F5B6A">
              <w:rPr>
                <w:b/>
                <w:bCs/>
                <w:sz w:val="22"/>
              </w:rPr>
              <w:t>000</w:t>
            </w:r>
            <w:r w:rsidR="002D24E7" w:rsidRPr="002F5B6A">
              <w:rPr>
                <w:b/>
                <w:bCs/>
                <w:sz w:val="22"/>
              </w:rPr>
              <w:t>)</w:t>
            </w:r>
          </w:p>
        </w:tc>
        <w:tc>
          <w:tcPr>
            <w:tcW w:w="1732" w:type="dxa"/>
            <w:shd w:val="clear" w:color="auto" w:fill="D9D9D9" w:themeFill="background1" w:themeFillShade="D9"/>
            <w:vAlign w:val="center"/>
          </w:tcPr>
          <w:p w14:paraId="5F78A4D4" w14:textId="6BA7C8D3" w:rsidR="002D24E7" w:rsidRPr="002F5B6A" w:rsidRDefault="002D24E7" w:rsidP="00791E09">
            <w:pPr>
              <w:ind w:firstLine="0"/>
              <w:contextualSpacing/>
              <w:jc w:val="center"/>
              <w:rPr>
                <w:b/>
                <w:bCs/>
                <w:sz w:val="22"/>
              </w:rPr>
            </w:pPr>
            <w:r w:rsidRPr="002F5B6A">
              <w:rPr>
                <w:b/>
                <w:bCs/>
                <w:sz w:val="22"/>
              </w:rPr>
              <w:t>Ча</w:t>
            </w:r>
            <w:r w:rsidR="00237B52" w:rsidRPr="002F5B6A">
              <w:rPr>
                <w:b/>
                <w:bCs/>
                <w:sz w:val="22"/>
              </w:rPr>
              <w:t>стота неизвестна</w:t>
            </w:r>
            <w:r w:rsidRPr="002F5B6A">
              <w:rPr>
                <w:b/>
                <w:bCs/>
                <w:sz w:val="22"/>
              </w:rPr>
              <w:t xml:space="preserve"> (</w:t>
            </w:r>
            <w:r w:rsidR="00237B52" w:rsidRPr="002F5B6A">
              <w:rPr>
                <w:b/>
                <w:bCs/>
                <w:sz w:val="22"/>
              </w:rPr>
              <w:t>невозможно определить на основании имеющихся данных</w:t>
            </w:r>
            <w:r w:rsidRPr="002F5B6A">
              <w:rPr>
                <w:b/>
                <w:bCs/>
                <w:sz w:val="22"/>
              </w:rPr>
              <w:t>)</w:t>
            </w:r>
          </w:p>
        </w:tc>
      </w:tr>
      <w:tr w:rsidR="006F1DAF" w14:paraId="113EBF93" w14:textId="77777777" w:rsidTr="00143A09">
        <w:tc>
          <w:tcPr>
            <w:tcW w:w="1555" w:type="dxa"/>
          </w:tcPr>
          <w:p w14:paraId="017215E2" w14:textId="2D52A754" w:rsidR="00F70071" w:rsidRPr="00D22A13" w:rsidRDefault="00237B52" w:rsidP="00D22A13">
            <w:pPr>
              <w:ind w:firstLine="0"/>
              <w:contextualSpacing/>
              <w:rPr>
                <w:rFonts w:cs="Times New Roman"/>
                <w:sz w:val="22"/>
              </w:rPr>
            </w:pPr>
            <w:r w:rsidRPr="00D22A13">
              <w:rPr>
                <w:rFonts w:cs="Times New Roman"/>
                <w:sz w:val="22"/>
              </w:rPr>
              <w:t>Инфекции и инвазии</w:t>
            </w:r>
          </w:p>
        </w:tc>
        <w:tc>
          <w:tcPr>
            <w:tcW w:w="1615" w:type="dxa"/>
          </w:tcPr>
          <w:p w14:paraId="5D4F450E" w14:textId="77777777" w:rsidR="00531268" w:rsidRPr="00D22A13" w:rsidRDefault="00531268" w:rsidP="00D22A13">
            <w:pPr>
              <w:ind w:firstLine="0"/>
              <w:contextualSpacing/>
              <w:rPr>
                <w:rFonts w:cs="Times New Roman"/>
                <w:sz w:val="22"/>
              </w:rPr>
            </w:pPr>
            <w:r w:rsidRPr="00D22A13">
              <w:rPr>
                <w:rFonts w:cs="Times New Roman"/>
                <w:sz w:val="22"/>
              </w:rPr>
              <w:t>Пневмония</w:t>
            </w:r>
          </w:p>
          <w:p w14:paraId="45190546" w14:textId="31C6E26F" w:rsidR="00531268" w:rsidRPr="00D22A13" w:rsidRDefault="006A4AAB" w:rsidP="00D22A13">
            <w:pPr>
              <w:ind w:firstLine="0"/>
              <w:contextualSpacing/>
              <w:rPr>
                <w:rFonts w:cs="Times New Roman"/>
                <w:sz w:val="22"/>
              </w:rPr>
            </w:pPr>
            <w:r w:rsidRPr="00D22A13">
              <w:rPr>
                <w:rFonts w:cs="Times New Roman"/>
                <w:sz w:val="22"/>
              </w:rPr>
              <w:t>Г</w:t>
            </w:r>
            <w:r w:rsidR="00531268" w:rsidRPr="00D22A13">
              <w:rPr>
                <w:rFonts w:cs="Times New Roman"/>
                <w:sz w:val="22"/>
              </w:rPr>
              <w:t>рипп</w:t>
            </w:r>
          </w:p>
          <w:p w14:paraId="6BEC2A70" w14:textId="6627C3FF" w:rsidR="00531268" w:rsidRPr="00D22A13" w:rsidRDefault="00531268" w:rsidP="00D22A13">
            <w:pPr>
              <w:ind w:firstLine="0"/>
              <w:contextualSpacing/>
              <w:rPr>
                <w:rFonts w:cs="Times New Roman"/>
                <w:sz w:val="22"/>
              </w:rPr>
            </w:pPr>
            <w:r w:rsidRPr="00D22A13">
              <w:rPr>
                <w:rFonts w:cs="Times New Roman"/>
                <w:sz w:val="22"/>
              </w:rPr>
              <w:t xml:space="preserve">Опоясывающий </w:t>
            </w:r>
            <w:r w:rsidR="006A4AAB" w:rsidRPr="00D22A13">
              <w:rPr>
                <w:rFonts w:cs="Times New Roman"/>
                <w:sz w:val="22"/>
              </w:rPr>
              <w:t>лишай</w:t>
            </w:r>
          </w:p>
          <w:p w14:paraId="4E701AF4" w14:textId="567F8FBA" w:rsidR="00531268" w:rsidRPr="00D22A13" w:rsidRDefault="006A4AAB" w:rsidP="00D22A13">
            <w:pPr>
              <w:ind w:firstLine="0"/>
              <w:contextualSpacing/>
              <w:rPr>
                <w:rFonts w:cs="Times New Roman"/>
                <w:sz w:val="22"/>
              </w:rPr>
            </w:pPr>
            <w:r w:rsidRPr="00D22A13">
              <w:rPr>
                <w:rFonts w:cs="Times New Roman"/>
                <w:sz w:val="22"/>
              </w:rPr>
              <w:t>Инфекции мочевыводящих путей</w:t>
            </w:r>
          </w:p>
          <w:p w14:paraId="3DC6E2B3" w14:textId="77777777" w:rsidR="00531268" w:rsidRPr="00D22A13" w:rsidRDefault="00531268" w:rsidP="00D22A13">
            <w:pPr>
              <w:ind w:firstLine="0"/>
              <w:contextualSpacing/>
              <w:rPr>
                <w:rFonts w:cs="Times New Roman"/>
                <w:sz w:val="22"/>
              </w:rPr>
            </w:pPr>
            <w:r w:rsidRPr="00D22A13">
              <w:rPr>
                <w:rFonts w:cs="Times New Roman"/>
                <w:sz w:val="22"/>
              </w:rPr>
              <w:t>Синусит</w:t>
            </w:r>
          </w:p>
          <w:p w14:paraId="11F3C1A0" w14:textId="77777777" w:rsidR="00531268" w:rsidRPr="00D22A13" w:rsidRDefault="00531268" w:rsidP="00D22A13">
            <w:pPr>
              <w:ind w:firstLine="0"/>
              <w:contextualSpacing/>
              <w:rPr>
                <w:rFonts w:cs="Times New Roman"/>
                <w:sz w:val="22"/>
              </w:rPr>
            </w:pPr>
            <w:r w:rsidRPr="00D22A13">
              <w:rPr>
                <w:rFonts w:cs="Times New Roman"/>
                <w:sz w:val="22"/>
              </w:rPr>
              <w:t>Бронхит</w:t>
            </w:r>
          </w:p>
          <w:p w14:paraId="4F57CD5F" w14:textId="77777777" w:rsidR="00531268" w:rsidRPr="00D22A13" w:rsidRDefault="00531268" w:rsidP="00D22A13">
            <w:pPr>
              <w:ind w:firstLine="0"/>
              <w:contextualSpacing/>
              <w:rPr>
                <w:rFonts w:cs="Times New Roman"/>
                <w:sz w:val="22"/>
              </w:rPr>
            </w:pPr>
            <w:r w:rsidRPr="00D22A13">
              <w:rPr>
                <w:rFonts w:cs="Times New Roman"/>
                <w:sz w:val="22"/>
              </w:rPr>
              <w:t>Назофарингит</w:t>
            </w:r>
          </w:p>
          <w:p w14:paraId="10BE3308" w14:textId="766EA2D4" w:rsidR="00F70071" w:rsidRPr="00D22A13" w:rsidRDefault="00531268" w:rsidP="00D22A13">
            <w:pPr>
              <w:ind w:firstLine="0"/>
              <w:contextualSpacing/>
              <w:rPr>
                <w:rFonts w:cs="Times New Roman"/>
                <w:sz w:val="22"/>
              </w:rPr>
            </w:pPr>
            <w:r w:rsidRPr="00D22A13">
              <w:rPr>
                <w:rFonts w:cs="Times New Roman"/>
                <w:sz w:val="22"/>
              </w:rPr>
              <w:t>Фарингит</w:t>
            </w:r>
          </w:p>
        </w:tc>
        <w:tc>
          <w:tcPr>
            <w:tcW w:w="1379" w:type="dxa"/>
          </w:tcPr>
          <w:p w14:paraId="751F26E0" w14:textId="77777777" w:rsidR="00384980" w:rsidRPr="00D22A13" w:rsidRDefault="00384980" w:rsidP="00D22A13">
            <w:pPr>
              <w:ind w:firstLine="0"/>
              <w:contextualSpacing/>
              <w:rPr>
                <w:rFonts w:cs="Times New Roman"/>
                <w:sz w:val="22"/>
              </w:rPr>
            </w:pPr>
            <w:r w:rsidRPr="00D22A13">
              <w:rPr>
                <w:rFonts w:cs="Times New Roman"/>
                <w:sz w:val="22"/>
              </w:rPr>
              <w:t>Туберкулез</w:t>
            </w:r>
          </w:p>
          <w:p w14:paraId="47235F81" w14:textId="77777777" w:rsidR="00384980" w:rsidRPr="00D22A13" w:rsidRDefault="00384980" w:rsidP="00D22A13">
            <w:pPr>
              <w:ind w:firstLine="0"/>
              <w:contextualSpacing/>
              <w:rPr>
                <w:rFonts w:cs="Times New Roman"/>
                <w:sz w:val="22"/>
              </w:rPr>
            </w:pPr>
            <w:r w:rsidRPr="00D22A13">
              <w:rPr>
                <w:rFonts w:cs="Times New Roman"/>
                <w:sz w:val="22"/>
              </w:rPr>
              <w:t>Дивертикулит</w:t>
            </w:r>
          </w:p>
          <w:p w14:paraId="3313A2B8" w14:textId="77777777" w:rsidR="00384980" w:rsidRPr="00D22A13" w:rsidRDefault="00384980" w:rsidP="00D22A13">
            <w:pPr>
              <w:ind w:firstLine="0"/>
              <w:contextualSpacing/>
              <w:rPr>
                <w:rFonts w:cs="Times New Roman"/>
                <w:sz w:val="22"/>
              </w:rPr>
            </w:pPr>
            <w:r w:rsidRPr="00D22A13">
              <w:rPr>
                <w:rFonts w:cs="Times New Roman"/>
                <w:sz w:val="22"/>
              </w:rPr>
              <w:t>Пиелонефрит</w:t>
            </w:r>
          </w:p>
          <w:p w14:paraId="135631EE" w14:textId="77777777" w:rsidR="00384980" w:rsidRPr="00D22A13" w:rsidRDefault="00384980" w:rsidP="00D22A13">
            <w:pPr>
              <w:ind w:firstLine="0"/>
              <w:contextualSpacing/>
              <w:rPr>
                <w:rFonts w:cs="Times New Roman"/>
                <w:sz w:val="22"/>
              </w:rPr>
            </w:pPr>
            <w:r w:rsidRPr="00D22A13">
              <w:rPr>
                <w:rFonts w:cs="Times New Roman"/>
                <w:sz w:val="22"/>
              </w:rPr>
              <w:t>Целлюлит</w:t>
            </w:r>
          </w:p>
          <w:p w14:paraId="6CC63D11" w14:textId="77777777" w:rsidR="00384980" w:rsidRPr="00D22A13" w:rsidRDefault="00384980" w:rsidP="00D22A13">
            <w:pPr>
              <w:ind w:firstLine="0"/>
              <w:contextualSpacing/>
              <w:rPr>
                <w:rFonts w:cs="Times New Roman"/>
                <w:sz w:val="22"/>
              </w:rPr>
            </w:pPr>
            <w:r w:rsidRPr="00D22A13">
              <w:rPr>
                <w:rFonts w:cs="Times New Roman"/>
                <w:sz w:val="22"/>
              </w:rPr>
              <w:t>Простой герпес</w:t>
            </w:r>
          </w:p>
          <w:p w14:paraId="0C21AB91" w14:textId="77777777" w:rsidR="00384980" w:rsidRPr="00D22A13" w:rsidRDefault="00384980" w:rsidP="00D22A13">
            <w:pPr>
              <w:ind w:firstLine="0"/>
              <w:contextualSpacing/>
              <w:rPr>
                <w:rFonts w:cs="Times New Roman"/>
                <w:sz w:val="22"/>
              </w:rPr>
            </w:pPr>
            <w:r w:rsidRPr="00D22A13">
              <w:rPr>
                <w:rFonts w:cs="Times New Roman"/>
                <w:sz w:val="22"/>
              </w:rPr>
              <w:t>Вирусный гастроэнтерит</w:t>
            </w:r>
          </w:p>
          <w:p w14:paraId="6BB868A9" w14:textId="02BF8CDB" w:rsidR="00F70071" w:rsidRPr="00D22A13" w:rsidRDefault="00384980" w:rsidP="00D22A13">
            <w:pPr>
              <w:ind w:firstLine="0"/>
              <w:contextualSpacing/>
              <w:rPr>
                <w:rFonts w:cs="Times New Roman"/>
                <w:sz w:val="22"/>
              </w:rPr>
            </w:pPr>
            <w:r w:rsidRPr="00D22A13">
              <w:rPr>
                <w:rFonts w:cs="Times New Roman"/>
                <w:sz w:val="22"/>
              </w:rPr>
              <w:t>Вирусная инфекция</w:t>
            </w:r>
          </w:p>
        </w:tc>
        <w:tc>
          <w:tcPr>
            <w:tcW w:w="1588" w:type="dxa"/>
          </w:tcPr>
          <w:p w14:paraId="0FDDA78E" w14:textId="77777777" w:rsidR="0047061D" w:rsidRPr="00D22A13" w:rsidRDefault="0047061D" w:rsidP="00D22A13">
            <w:pPr>
              <w:ind w:firstLine="0"/>
              <w:contextualSpacing/>
              <w:rPr>
                <w:rFonts w:cs="Times New Roman"/>
                <w:sz w:val="22"/>
              </w:rPr>
            </w:pPr>
            <w:r w:rsidRPr="00D22A13">
              <w:rPr>
                <w:rFonts w:cs="Times New Roman"/>
                <w:sz w:val="22"/>
              </w:rPr>
              <w:t>Сепсис</w:t>
            </w:r>
          </w:p>
          <w:p w14:paraId="4571A457" w14:textId="1B5800B7" w:rsidR="0047061D" w:rsidRPr="00D22A13" w:rsidRDefault="0047061D" w:rsidP="00D22A13">
            <w:pPr>
              <w:ind w:firstLine="0"/>
              <w:contextualSpacing/>
              <w:rPr>
                <w:rFonts w:cs="Times New Roman"/>
                <w:sz w:val="22"/>
              </w:rPr>
            </w:pPr>
            <w:r w:rsidRPr="00D22A13">
              <w:rPr>
                <w:rFonts w:cs="Times New Roman"/>
                <w:sz w:val="22"/>
              </w:rPr>
              <w:t>Уросепсис</w:t>
            </w:r>
          </w:p>
          <w:p w14:paraId="11463BF4" w14:textId="02776F07" w:rsidR="0047061D" w:rsidRPr="00D22A13" w:rsidRDefault="00EE3634" w:rsidP="00D22A13">
            <w:pPr>
              <w:ind w:firstLine="0"/>
              <w:contextualSpacing/>
              <w:rPr>
                <w:rFonts w:cs="Times New Roman"/>
                <w:sz w:val="22"/>
              </w:rPr>
            </w:pPr>
            <w:r w:rsidRPr="00D22A13">
              <w:rPr>
                <w:rFonts w:cs="Times New Roman"/>
                <w:sz w:val="22"/>
              </w:rPr>
              <w:t>Диссеминированный туберкулез</w:t>
            </w:r>
          </w:p>
          <w:p w14:paraId="4E76C540" w14:textId="50DF9290" w:rsidR="0047061D" w:rsidRPr="00D22A13" w:rsidRDefault="00EE3634" w:rsidP="00D22A13">
            <w:pPr>
              <w:ind w:firstLine="0"/>
              <w:contextualSpacing/>
              <w:rPr>
                <w:rFonts w:cs="Times New Roman"/>
                <w:sz w:val="22"/>
              </w:rPr>
            </w:pPr>
            <w:r w:rsidRPr="00D22A13">
              <w:rPr>
                <w:rFonts w:cs="Times New Roman"/>
                <w:sz w:val="22"/>
              </w:rPr>
              <w:t>Б</w:t>
            </w:r>
            <w:r w:rsidR="0047061D" w:rsidRPr="00D22A13">
              <w:rPr>
                <w:rFonts w:cs="Times New Roman"/>
                <w:sz w:val="22"/>
              </w:rPr>
              <w:t>актериемия</w:t>
            </w:r>
          </w:p>
          <w:p w14:paraId="3D79F846" w14:textId="0523D04B" w:rsidR="0047061D" w:rsidRPr="00D22A13" w:rsidRDefault="0047061D" w:rsidP="00D22A13">
            <w:pPr>
              <w:ind w:firstLine="0"/>
              <w:contextualSpacing/>
              <w:rPr>
                <w:rFonts w:cs="Times New Roman"/>
                <w:sz w:val="22"/>
              </w:rPr>
            </w:pPr>
            <w:r w:rsidRPr="00D22A13">
              <w:rPr>
                <w:rFonts w:cs="Times New Roman"/>
                <w:sz w:val="22"/>
              </w:rPr>
              <w:t>Пневмо</w:t>
            </w:r>
            <w:r w:rsidR="00EE3634" w:rsidRPr="00D22A13">
              <w:rPr>
                <w:rFonts w:cs="Times New Roman"/>
                <w:sz w:val="22"/>
              </w:rPr>
              <w:t>ния, вызванная</w:t>
            </w:r>
          </w:p>
          <w:p w14:paraId="5FEAD62F" w14:textId="77777777" w:rsidR="00671B3B" w:rsidRPr="00D22A13" w:rsidRDefault="00671B3B" w:rsidP="00D22A13">
            <w:pPr>
              <w:ind w:firstLine="0"/>
              <w:contextualSpacing/>
              <w:rPr>
                <w:rFonts w:cs="Times New Roman"/>
                <w:i/>
                <w:iCs/>
                <w:sz w:val="22"/>
              </w:rPr>
            </w:pPr>
            <w:r w:rsidRPr="00D22A13">
              <w:rPr>
                <w:rFonts w:cs="Times New Roman"/>
                <w:i/>
                <w:iCs/>
                <w:sz w:val="22"/>
              </w:rPr>
              <w:t>Pneumocystis</w:t>
            </w:r>
          </w:p>
          <w:p w14:paraId="314760AF" w14:textId="77777777" w:rsidR="00671B3B" w:rsidRPr="00D22A13" w:rsidRDefault="00671B3B" w:rsidP="00D22A13">
            <w:pPr>
              <w:ind w:firstLine="0"/>
              <w:contextualSpacing/>
              <w:rPr>
                <w:rFonts w:cs="Times New Roman"/>
                <w:i/>
                <w:iCs/>
                <w:sz w:val="22"/>
              </w:rPr>
            </w:pPr>
            <w:r w:rsidRPr="00D22A13">
              <w:rPr>
                <w:rFonts w:cs="Times New Roman"/>
                <w:i/>
                <w:iCs/>
                <w:sz w:val="22"/>
              </w:rPr>
              <w:t xml:space="preserve">jirovecii </w:t>
            </w:r>
          </w:p>
          <w:p w14:paraId="79D90F22" w14:textId="347FA157" w:rsidR="0047061D" w:rsidRPr="00D22A13" w:rsidRDefault="0047061D" w:rsidP="00D22A13">
            <w:pPr>
              <w:ind w:firstLine="0"/>
              <w:contextualSpacing/>
              <w:rPr>
                <w:rFonts w:cs="Times New Roman"/>
                <w:sz w:val="22"/>
              </w:rPr>
            </w:pPr>
            <w:r w:rsidRPr="00D22A13">
              <w:rPr>
                <w:rFonts w:cs="Times New Roman"/>
                <w:sz w:val="22"/>
              </w:rPr>
              <w:t>Пневмококков</w:t>
            </w:r>
            <w:r w:rsidR="00671B3B" w:rsidRPr="00D22A13">
              <w:rPr>
                <w:rFonts w:cs="Times New Roman"/>
                <w:sz w:val="22"/>
              </w:rPr>
              <w:t>ая пневмония</w:t>
            </w:r>
          </w:p>
          <w:p w14:paraId="72F7D42B" w14:textId="4E94363E" w:rsidR="00671B3B" w:rsidRPr="00D22A13" w:rsidRDefault="00671B3B" w:rsidP="00D22A13">
            <w:pPr>
              <w:ind w:firstLine="0"/>
              <w:contextualSpacing/>
              <w:rPr>
                <w:rFonts w:cs="Times New Roman"/>
                <w:sz w:val="22"/>
              </w:rPr>
            </w:pPr>
            <w:r w:rsidRPr="00D22A13">
              <w:rPr>
                <w:rFonts w:cs="Times New Roman"/>
                <w:sz w:val="22"/>
              </w:rPr>
              <w:t>Б</w:t>
            </w:r>
            <w:r w:rsidR="0047061D" w:rsidRPr="00D22A13">
              <w:rPr>
                <w:rFonts w:cs="Times New Roman"/>
                <w:sz w:val="22"/>
              </w:rPr>
              <w:t>актериальн</w:t>
            </w:r>
            <w:r w:rsidRPr="00D22A13">
              <w:rPr>
                <w:rFonts w:cs="Times New Roman"/>
                <w:sz w:val="22"/>
              </w:rPr>
              <w:t>ая пневмония</w:t>
            </w:r>
          </w:p>
          <w:p w14:paraId="03454F45" w14:textId="50C6A356" w:rsidR="0047061D" w:rsidRPr="00D22A13" w:rsidRDefault="0047061D" w:rsidP="00D22A13">
            <w:pPr>
              <w:ind w:firstLine="0"/>
              <w:contextualSpacing/>
              <w:rPr>
                <w:rFonts w:cs="Times New Roman"/>
                <w:sz w:val="22"/>
              </w:rPr>
            </w:pPr>
            <w:r w:rsidRPr="00D22A13">
              <w:rPr>
                <w:rFonts w:cs="Times New Roman"/>
                <w:sz w:val="22"/>
              </w:rPr>
              <w:t>Цитомегаловир</w:t>
            </w:r>
            <w:r w:rsidR="00671B3B" w:rsidRPr="00D22A13">
              <w:rPr>
                <w:rFonts w:cs="Times New Roman"/>
                <w:sz w:val="22"/>
              </w:rPr>
              <w:t>ус</w:t>
            </w:r>
            <w:r w:rsidR="00FC0FA7" w:rsidRPr="00D22A13">
              <w:rPr>
                <w:rFonts w:cs="Times New Roman"/>
                <w:sz w:val="22"/>
              </w:rPr>
              <w:t>н</w:t>
            </w:r>
            <w:r w:rsidRPr="00D22A13">
              <w:rPr>
                <w:rFonts w:cs="Times New Roman"/>
                <w:sz w:val="22"/>
              </w:rPr>
              <w:t>а</w:t>
            </w:r>
            <w:r w:rsidR="00671B3B" w:rsidRPr="00D22A13">
              <w:rPr>
                <w:rFonts w:cs="Times New Roman"/>
                <w:sz w:val="22"/>
              </w:rPr>
              <w:t>я</w:t>
            </w:r>
            <w:r w:rsidRPr="00D22A13">
              <w:rPr>
                <w:rFonts w:cs="Times New Roman"/>
                <w:sz w:val="22"/>
              </w:rPr>
              <w:t xml:space="preserve"> инфекция</w:t>
            </w:r>
          </w:p>
          <w:p w14:paraId="14FEAFD5" w14:textId="77777777" w:rsidR="0047061D" w:rsidRPr="00D22A13" w:rsidRDefault="0047061D" w:rsidP="00D22A13">
            <w:pPr>
              <w:ind w:firstLine="0"/>
              <w:contextualSpacing/>
              <w:rPr>
                <w:rFonts w:cs="Times New Roman"/>
                <w:sz w:val="22"/>
              </w:rPr>
            </w:pPr>
            <w:r w:rsidRPr="00D22A13">
              <w:rPr>
                <w:rFonts w:cs="Times New Roman"/>
                <w:sz w:val="22"/>
              </w:rPr>
              <w:t>Артрит</w:t>
            </w:r>
          </w:p>
          <w:p w14:paraId="1C940DED" w14:textId="09AC46D7" w:rsidR="00F70071" w:rsidRPr="00D22A13" w:rsidRDefault="0047061D" w:rsidP="00D22A13">
            <w:pPr>
              <w:ind w:firstLine="0"/>
              <w:contextualSpacing/>
              <w:rPr>
                <w:rFonts w:cs="Times New Roman"/>
                <w:sz w:val="22"/>
              </w:rPr>
            </w:pPr>
            <w:r w:rsidRPr="00D22A13">
              <w:rPr>
                <w:rFonts w:cs="Times New Roman"/>
                <w:sz w:val="22"/>
              </w:rPr>
              <w:t>бактериальный</w:t>
            </w:r>
          </w:p>
        </w:tc>
        <w:tc>
          <w:tcPr>
            <w:tcW w:w="1487" w:type="dxa"/>
          </w:tcPr>
          <w:p w14:paraId="6F85650D" w14:textId="77777777" w:rsidR="00F70071" w:rsidRPr="00D22A13" w:rsidRDefault="00FC0FA7" w:rsidP="00D22A13">
            <w:pPr>
              <w:ind w:firstLine="0"/>
              <w:contextualSpacing/>
              <w:rPr>
                <w:rFonts w:cs="Times New Roman"/>
                <w:sz w:val="22"/>
              </w:rPr>
            </w:pPr>
            <w:r w:rsidRPr="00D22A13">
              <w:rPr>
                <w:rFonts w:cs="Times New Roman"/>
                <w:sz w:val="22"/>
              </w:rPr>
              <w:t>Туберкулез центральной нервной системы</w:t>
            </w:r>
          </w:p>
          <w:p w14:paraId="106055B1" w14:textId="77777777" w:rsidR="00FC0FA7" w:rsidRPr="00D22A13" w:rsidRDefault="00FC0FA7" w:rsidP="00D22A13">
            <w:pPr>
              <w:ind w:firstLine="0"/>
              <w:contextualSpacing/>
              <w:rPr>
                <w:rFonts w:cs="Times New Roman"/>
                <w:sz w:val="22"/>
              </w:rPr>
            </w:pPr>
            <w:r w:rsidRPr="00D22A13">
              <w:rPr>
                <w:rFonts w:cs="Times New Roman"/>
                <w:sz w:val="22"/>
              </w:rPr>
              <w:t>Криптококковый менингит</w:t>
            </w:r>
          </w:p>
          <w:p w14:paraId="7748C5AB" w14:textId="77777777" w:rsidR="00FC0FA7" w:rsidRPr="00D22A13" w:rsidRDefault="00A87120" w:rsidP="00D22A13">
            <w:pPr>
              <w:ind w:firstLine="0"/>
              <w:contextualSpacing/>
              <w:rPr>
                <w:rFonts w:cs="Times New Roman"/>
                <w:sz w:val="22"/>
              </w:rPr>
            </w:pPr>
            <w:r w:rsidRPr="00D22A13">
              <w:rPr>
                <w:rFonts w:cs="Times New Roman"/>
                <w:sz w:val="22"/>
              </w:rPr>
              <w:t>Некротический фасциит</w:t>
            </w:r>
          </w:p>
          <w:p w14:paraId="2E36ABB9" w14:textId="77777777" w:rsidR="00A87120" w:rsidRPr="00D22A13" w:rsidRDefault="00A87120" w:rsidP="00D22A13">
            <w:pPr>
              <w:ind w:firstLine="0"/>
              <w:contextualSpacing/>
              <w:rPr>
                <w:rFonts w:cs="Times New Roman"/>
                <w:sz w:val="22"/>
              </w:rPr>
            </w:pPr>
            <w:r w:rsidRPr="00D22A13">
              <w:rPr>
                <w:rFonts w:cs="Times New Roman"/>
                <w:sz w:val="22"/>
              </w:rPr>
              <w:t>Энцефалит</w:t>
            </w:r>
          </w:p>
          <w:p w14:paraId="5F6FB7D5" w14:textId="77777777" w:rsidR="00A87120" w:rsidRPr="00D22A13" w:rsidRDefault="00A87120" w:rsidP="00D22A13">
            <w:pPr>
              <w:ind w:firstLine="0"/>
              <w:contextualSpacing/>
              <w:rPr>
                <w:rFonts w:cs="Times New Roman"/>
                <w:sz w:val="22"/>
              </w:rPr>
            </w:pPr>
            <w:r w:rsidRPr="00D22A13">
              <w:rPr>
                <w:rFonts w:cs="Times New Roman"/>
                <w:sz w:val="22"/>
              </w:rPr>
              <w:t xml:space="preserve">Стафилококковая </w:t>
            </w:r>
            <w:r w:rsidR="009A0216" w:rsidRPr="00D22A13">
              <w:rPr>
                <w:rFonts w:cs="Times New Roman"/>
                <w:sz w:val="22"/>
              </w:rPr>
              <w:t>бактериемия</w:t>
            </w:r>
          </w:p>
          <w:p w14:paraId="0E0DF250" w14:textId="517DF828" w:rsidR="009A0216" w:rsidRPr="00D22A13" w:rsidRDefault="009A0216" w:rsidP="00D22A13">
            <w:pPr>
              <w:ind w:firstLine="0"/>
              <w:contextualSpacing/>
              <w:rPr>
                <w:rFonts w:cs="Times New Roman"/>
                <w:i/>
                <w:iCs/>
                <w:sz w:val="22"/>
              </w:rPr>
            </w:pPr>
            <w:r w:rsidRPr="00D22A13">
              <w:rPr>
                <w:rFonts w:cs="Times New Roman"/>
                <w:sz w:val="22"/>
              </w:rPr>
              <w:t xml:space="preserve">Инфекции, вызванные комплексом </w:t>
            </w:r>
            <w:r w:rsidRPr="00D22A13">
              <w:rPr>
                <w:rFonts w:cs="Times New Roman"/>
                <w:i/>
                <w:iCs/>
                <w:sz w:val="22"/>
              </w:rPr>
              <w:t>Mycobacterium avium</w:t>
            </w:r>
          </w:p>
          <w:p w14:paraId="76E6F5F7" w14:textId="59DA3307" w:rsidR="009A0216" w:rsidRPr="00D22A13" w:rsidRDefault="00DD7420" w:rsidP="00D22A13">
            <w:pPr>
              <w:ind w:firstLine="0"/>
              <w:contextualSpacing/>
              <w:rPr>
                <w:rFonts w:cs="Times New Roman"/>
                <w:sz w:val="22"/>
              </w:rPr>
            </w:pPr>
            <w:r w:rsidRPr="00D22A13">
              <w:rPr>
                <w:rFonts w:cs="Times New Roman"/>
                <w:sz w:val="22"/>
              </w:rPr>
              <w:t>Атипичная микобактериальная инфекция</w:t>
            </w:r>
          </w:p>
        </w:tc>
        <w:tc>
          <w:tcPr>
            <w:tcW w:w="1732" w:type="dxa"/>
          </w:tcPr>
          <w:p w14:paraId="1576FFC4" w14:textId="1C84061D" w:rsidR="00F70071" w:rsidRPr="00D22A13" w:rsidRDefault="00CC0B18" w:rsidP="00D22A13">
            <w:pPr>
              <w:ind w:firstLine="0"/>
              <w:contextualSpacing/>
              <w:rPr>
                <w:rFonts w:cs="Times New Roman"/>
                <w:sz w:val="22"/>
              </w:rPr>
            </w:pPr>
            <w:r w:rsidRPr="00D22A13">
              <w:rPr>
                <w:rFonts w:cs="Times New Roman"/>
                <w:sz w:val="22"/>
              </w:rPr>
              <w:t>–</w:t>
            </w:r>
          </w:p>
        </w:tc>
      </w:tr>
      <w:tr w:rsidR="006F1DAF" w14:paraId="073AF088" w14:textId="77777777" w:rsidTr="00143A09">
        <w:tc>
          <w:tcPr>
            <w:tcW w:w="1555" w:type="dxa"/>
          </w:tcPr>
          <w:p w14:paraId="2F4814D0" w14:textId="43F85A33" w:rsidR="00F70071" w:rsidRPr="00D22A13" w:rsidRDefault="00932D50" w:rsidP="00D22A13">
            <w:pPr>
              <w:ind w:firstLine="0"/>
              <w:contextualSpacing/>
              <w:rPr>
                <w:rFonts w:cs="Times New Roman"/>
                <w:sz w:val="22"/>
              </w:rPr>
            </w:pPr>
            <w:r w:rsidRPr="00D22A13">
              <w:rPr>
                <w:rFonts w:cs="Times New Roman"/>
                <w:sz w:val="22"/>
              </w:rPr>
              <w:t>Д</w:t>
            </w:r>
            <w:r w:rsidR="00B561C4" w:rsidRPr="00D22A13">
              <w:rPr>
                <w:rFonts w:cs="Times New Roman"/>
                <w:sz w:val="22"/>
              </w:rPr>
              <w:t>оброкачественные, злокачественные и неуточненн</w:t>
            </w:r>
            <w:r w:rsidR="005306E7" w:rsidRPr="00D22A13">
              <w:rPr>
                <w:rFonts w:cs="Times New Roman"/>
                <w:sz w:val="22"/>
              </w:rPr>
              <w:t xml:space="preserve">ые </w:t>
            </w:r>
            <w:r w:rsidR="00F273F9" w:rsidRPr="00D22A13">
              <w:rPr>
                <w:rFonts w:cs="Times New Roman"/>
                <w:sz w:val="22"/>
              </w:rPr>
              <w:t>новообразования</w:t>
            </w:r>
            <w:r w:rsidR="005306E7" w:rsidRPr="00D22A13">
              <w:rPr>
                <w:rFonts w:cs="Times New Roman"/>
                <w:sz w:val="22"/>
              </w:rPr>
              <w:t xml:space="preserve"> (включая кисты и полипы)</w:t>
            </w:r>
          </w:p>
        </w:tc>
        <w:tc>
          <w:tcPr>
            <w:tcW w:w="1615" w:type="dxa"/>
          </w:tcPr>
          <w:p w14:paraId="7B53420E" w14:textId="3C47BB2C" w:rsidR="00F70071" w:rsidRPr="00D22A13" w:rsidRDefault="00CC0B18" w:rsidP="00D22A13">
            <w:pPr>
              <w:ind w:firstLine="0"/>
              <w:contextualSpacing/>
              <w:rPr>
                <w:rFonts w:cs="Times New Roman"/>
                <w:sz w:val="22"/>
              </w:rPr>
            </w:pPr>
            <w:r w:rsidRPr="00D22A13">
              <w:rPr>
                <w:rFonts w:cs="Times New Roman"/>
                <w:sz w:val="22"/>
              </w:rPr>
              <w:t>–</w:t>
            </w:r>
          </w:p>
        </w:tc>
        <w:tc>
          <w:tcPr>
            <w:tcW w:w="1379" w:type="dxa"/>
          </w:tcPr>
          <w:p w14:paraId="2E9277F1" w14:textId="77777777" w:rsidR="00F70071" w:rsidRPr="00D22A13" w:rsidRDefault="003E0E3F" w:rsidP="00D22A13">
            <w:pPr>
              <w:ind w:firstLine="0"/>
              <w:contextualSpacing/>
              <w:rPr>
                <w:rFonts w:cs="Times New Roman"/>
                <w:sz w:val="22"/>
              </w:rPr>
            </w:pPr>
            <w:r w:rsidRPr="00D22A13">
              <w:rPr>
                <w:rFonts w:cs="Times New Roman"/>
                <w:sz w:val="22"/>
              </w:rPr>
              <w:t>Рак легких</w:t>
            </w:r>
          </w:p>
          <w:p w14:paraId="441A12C4" w14:textId="44547C3A" w:rsidR="003E0E3F" w:rsidRPr="00D22A13" w:rsidRDefault="00FA0981" w:rsidP="00D22A13">
            <w:pPr>
              <w:ind w:firstLine="0"/>
              <w:contextualSpacing/>
              <w:rPr>
                <w:rFonts w:cs="Times New Roman"/>
                <w:sz w:val="22"/>
              </w:rPr>
            </w:pPr>
            <w:r w:rsidRPr="00D22A13">
              <w:rPr>
                <w:rFonts w:cs="Times New Roman"/>
                <w:sz w:val="22"/>
              </w:rPr>
              <w:t>НМРК</w:t>
            </w:r>
          </w:p>
        </w:tc>
        <w:tc>
          <w:tcPr>
            <w:tcW w:w="1588" w:type="dxa"/>
          </w:tcPr>
          <w:p w14:paraId="374EB076" w14:textId="0FADC635" w:rsidR="00F70071" w:rsidRPr="00D22A13" w:rsidRDefault="00CC0B18" w:rsidP="00D22A13">
            <w:pPr>
              <w:ind w:firstLine="0"/>
              <w:contextualSpacing/>
              <w:rPr>
                <w:rFonts w:cs="Times New Roman"/>
                <w:sz w:val="22"/>
              </w:rPr>
            </w:pPr>
            <w:r w:rsidRPr="00D22A13">
              <w:rPr>
                <w:rFonts w:cs="Times New Roman"/>
                <w:sz w:val="22"/>
              </w:rPr>
              <w:t>Лимфома</w:t>
            </w:r>
          </w:p>
        </w:tc>
        <w:tc>
          <w:tcPr>
            <w:tcW w:w="1487" w:type="dxa"/>
          </w:tcPr>
          <w:p w14:paraId="60D46EBD" w14:textId="53CD4A5A" w:rsidR="00F70071" w:rsidRPr="00D22A13" w:rsidRDefault="00CC0B18" w:rsidP="00D22A13">
            <w:pPr>
              <w:ind w:firstLine="0"/>
              <w:contextualSpacing/>
              <w:rPr>
                <w:rFonts w:cs="Times New Roman"/>
                <w:sz w:val="22"/>
              </w:rPr>
            </w:pPr>
            <w:r w:rsidRPr="00D22A13">
              <w:rPr>
                <w:rFonts w:cs="Times New Roman"/>
                <w:sz w:val="22"/>
              </w:rPr>
              <w:t>–</w:t>
            </w:r>
          </w:p>
        </w:tc>
        <w:tc>
          <w:tcPr>
            <w:tcW w:w="1732" w:type="dxa"/>
          </w:tcPr>
          <w:p w14:paraId="50A93AA0" w14:textId="12C6B27D" w:rsidR="00F70071" w:rsidRPr="00D22A13" w:rsidRDefault="00CC0B18" w:rsidP="00D22A13">
            <w:pPr>
              <w:ind w:firstLine="0"/>
              <w:contextualSpacing/>
              <w:rPr>
                <w:rFonts w:cs="Times New Roman"/>
                <w:sz w:val="22"/>
              </w:rPr>
            </w:pPr>
            <w:r w:rsidRPr="00D22A13">
              <w:rPr>
                <w:rFonts w:cs="Times New Roman"/>
                <w:sz w:val="22"/>
              </w:rPr>
              <w:t>–</w:t>
            </w:r>
          </w:p>
        </w:tc>
      </w:tr>
      <w:tr w:rsidR="006F1DAF" w14:paraId="6AAD0458" w14:textId="77777777" w:rsidTr="00143A09">
        <w:tc>
          <w:tcPr>
            <w:tcW w:w="1555" w:type="dxa"/>
          </w:tcPr>
          <w:p w14:paraId="7B2A542A" w14:textId="4361E2D6" w:rsidR="00F70071" w:rsidRPr="00D22A13" w:rsidRDefault="00CC0B18" w:rsidP="00D22A13">
            <w:pPr>
              <w:ind w:firstLine="0"/>
              <w:contextualSpacing/>
              <w:rPr>
                <w:rFonts w:cs="Times New Roman"/>
                <w:sz w:val="22"/>
              </w:rPr>
            </w:pPr>
            <w:r w:rsidRPr="00D22A13">
              <w:rPr>
                <w:rFonts w:cs="Times New Roman"/>
                <w:sz w:val="22"/>
              </w:rPr>
              <w:t>Нарушения со стороны к</w:t>
            </w:r>
            <w:r w:rsidR="00CF2FC8" w:rsidRPr="00D22A13">
              <w:rPr>
                <w:rFonts w:cs="Times New Roman"/>
                <w:sz w:val="22"/>
              </w:rPr>
              <w:t>рови</w:t>
            </w:r>
            <w:r w:rsidRPr="00D22A13">
              <w:rPr>
                <w:rFonts w:cs="Times New Roman"/>
                <w:sz w:val="22"/>
              </w:rPr>
              <w:t xml:space="preserve"> и лимфатической системы</w:t>
            </w:r>
          </w:p>
        </w:tc>
        <w:tc>
          <w:tcPr>
            <w:tcW w:w="1615" w:type="dxa"/>
          </w:tcPr>
          <w:p w14:paraId="7ECAB178" w14:textId="77777777" w:rsidR="00F70071" w:rsidRPr="00D22A13" w:rsidRDefault="008E54CE" w:rsidP="00D22A13">
            <w:pPr>
              <w:ind w:firstLine="0"/>
              <w:contextualSpacing/>
              <w:rPr>
                <w:rFonts w:cs="Times New Roman"/>
                <w:sz w:val="22"/>
              </w:rPr>
            </w:pPr>
            <w:r w:rsidRPr="00D22A13">
              <w:rPr>
                <w:rFonts w:cs="Times New Roman"/>
                <w:sz w:val="22"/>
              </w:rPr>
              <w:t>Лимфопения</w:t>
            </w:r>
          </w:p>
          <w:p w14:paraId="21EBC965" w14:textId="2CE9CA68" w:rsidR="008E54CE" w:rsidRPr="00D22A13" w:rsidRDefault="008E54CE" w:rsidP="00D22A13">
            <w:pPr>
              <w:ind w:firstLine="0"/>
              <w:contextualSpacing/>
              <w:rPr>
                <w:rFonts w:cs="Times New Roman"/>
                <w:sz w:val="22"/>
              </w:rPr>
            </w:pPr>
            <w:r w:rsidRPr="00D22A13">
              <w:rPr>
                <w:rFonts w:cs="Times New Roman"/>
                <w:sz w:val="22"/>
              </w:rPr>
              <w:t>Анемия</w:t>
            </w:r>
          </w:p>
        </w:tc>
        <w:tc>
          <w:tcPr>
            <w:tcW w:w="1379" w:type="dxa"/>
          </w:tcPr>
          <w:p w14:paraId="7AFC5BAF" w14:textId="77777777" w:rsidR="00F70071" w:rsidRPr="00D22A13" w:rsidRDefault="008E54CE" w:rsidP="00D22A13">
            <w:pPr>
              <w:ind w:firstLine="0"/>
              <w:contextualSpacing/>
              <w:rPr>
                <w:rFonts w:cs="Times New Roman"/>
                <w:sz w:val="22"/>
              </w:rPr>
            </w:pPr>
            <w:r w:rsidRPr="00D22A13">
              <w:rPr>
                <w:rFonts w:cs="Times New Roman"/>
                <w:sz w:val="22"/>
              </w:rPr>
              <w:t>Лейкопения</w:t>
            </w:r>
          </w:p>
          <w:p w14:paraId="6D99DE29" w14:textId="615AB6D5" w:rsidR="008E54CE" w:rsidRPr="00D22A13" w:rsidRDefault="008E54CE" w:rsidP="00D22A13">
            <w:pPr>
              <w:ind w:firstLine="0"/>
              <w:contextualSpacing/>
              <w:rPr>
                <w:rFonts w:cs="Times New Roman"/>
                <w:sz w:val="22"/>
              </w:rPr>
            </w:pPr>
            <w:r w:rsidRPr="00D22A13">
              <w:rPr>
                <w:rFonts w:cs="Times New Roman"/>
                <w:sz w:val="22"/>
              </w:rPr>
              <w:t>Нейтропения</w:t>
            </w:r>
          </w:p>
        </w:tc>
        <w:tc>
          <w:tcPr>
            <w:tcW w:w="1588" w:type="dxa"/>
          </w:tcPr>
          <w:p w14:paraId="42ECCD1F" w14:textId="76380B95" w:rsidR="00F70071" w:rsidRPr="00D22A13" w:rsidRDefault="008E54CE" w:rsidP="00D22A13">
            <w:pPr>
              <w:ind w:firstLine="0"/>
              <w:contextualSpacing/>
              <w:rPr>
                <w:rFonts w:cs="Times New Roman"/>
                <w:sz w:val="22"/>
              </w:rPr>
            </w:pPr>
            <w:r w:rsidRPr="00D22A13">
              <w:rPr>
                <w:rFonts w:cs="Times New Roman"/>
                <w:sz w:val="22"/>
              </w:rPr>
              <w:t>–</w:t>
            </w:r>
          </w:p>
        </w:tc>
        <w:tc>
          <w:tcPr>
            <w:tcW w:w="1487" w:type="dxa"/>
          </w:tcPr>
          <w:p w14:paraId="1185EC6A" w14:textId="1706C593" w:rsidR="00F70071" w:rsidRPr="00D22A13" w:rsidRDefault="008E54CE" w:rsidP="00D22A13">
            <w:pPr>
              <w:ind w:firstLine="0"/>
              <w:contextualSpacing/>
              <w:rPr>
                <w:rFonts w:cs="Times New Roman"/>
                <w:sz w:val="22"/>
              </w:rPr>
            </w:pPr>
            <w:r w:rsidRPr="00D22A13">
              <w:rPr>
                <w:rFonts w:cs="Times New Roman"/>
                <w:sz w:val="22"/>
              </w:rPr>
              <w:t>–</w:t>
            </w:r>
          </w:p>
        </w:tc>
        <w:tc>
          <w:tcPr>
            <w:tcW w:w="1732" w:type="dxa"/>
          </w:tcPr>
          <w:p w14:paraId="59CB634A" w14:textId="5E1B5DDB" w:rsidR="00F70071" w:rsidRPr="00D22A13" w:rsidRDefault="008E54CE" w:rsidP="00D22A13">
            <w:pPr>
              <w:ind w:firstLine="0"/>
              <w:contextualSpacing/>
              <w:rPr>
                <w:rFonts w:cs="Times New Roman"/>
                <w:sz w:val="22"/>
              </w:rPr>
            </w:pPr>
            <w:r w:rsidRPr="00D22A13">
              <w:rPr>
                <w:rFonts w:cs="Times New Roman"/>
                <w:sz w:val="22"/>
              </w:rPr>
              <w:t>–</w:t>
            </w:r>
          </w:p>
        </w:tc>
      </w:tr>
      <w:tr w:rsidR="006F1DAF" w14:paraId="74854F34" w14:textId="77777777" w:rsidTr="00143A09">
        <w:tc>
          <w:tcPr>
            <w:tcW w:w="1555" w:type="dxa"/>
          </w:tcPr>
          <w:p w14:paraId="0A8C847B" w14:textId="14AB7146" w:rsidR="00F70071" w:rsidRPr="00D22A13" w:rsidRDefault="00B178CF" w:rsidP="00D22A13">
            <w:pPr>
              <w:ind w:firstLine="0"/>
              <w:contextualSpacing/>
              <w:rPr>
                <w:rFonts w:cs="Times New Roman"/>
                <w:sz w:val="22"/>
              </w:rPr>
            </w:pPr>
            <w:r w:rsidRPr="00D22A13">
              <w:rPr>
                <w:rFonts w:cs="Times New Roman"/>
                <w:sz w:val="22"/>
              </w:rPr>
              <w:t>Нарушения со стороны иммунной системы</w:t>
            </w:r>
          </w:p>
        </w:tc>
        <w:tc>
          <w:tcPr>
            <w:tcW w:w="1615" w:type="dxa"/>
          </w:tcPr>
          <w:p w14:paraId="4BC3145C" w14:textId="3F107FA9" w:rsidR="00F70071" w:rsidRPr="00D22A13" w:rsidRDefault="00B178CF" w:rsidP="00D22A13">
            <w:pPr>
              <w:ind w:firstLine="0"/>
              <w:contextualSpacing/>
              <w:rPr>
                <w:rFonts w:cs="Times New Roman"/>
                <w:sz w:val="22"/>
              </w:rPr>
            </w:pPr>
            <w:r w:rsidRPr="00D22A13">
              <w:rPr>
                <w:rFonts w:cs="Times New Roman"/>
                <w:sz w:val="22"/>
              </w:rPr>
              <w:t>–</w:t>
            </w:r>
          </w:p>
        </w:tc>
        <w:tc>
          <w:tcPr>
            <w:tcW w:w="1379" w:type="dxa"/>
          </w:tcPr>
          <w:p w14:paraId="15F0F7AC" w14:textId="1A31AC8D" w:rsidR="00F70071" w:rsidRPr="00D22A13" w:rsidRDefault="00B178CF" w:rsidP="00D22A13">
            <w:pPr>
              <w:ind w:firstLine="0"/>
              <w:contextualSpacing/>
              <w:rPr>
                <w:rFonts w:cs="Times New Roman"/>
                <w:sz w:val="22"/>
              </w:rPr>
            </w:pPr>
            <w:r w:rsidRPr="00D22A13">
              <w:rPr>
                <w:rFonts w:cs="Times New Roman"/>
                <w:sz w:val="22"/>
              </w:rPr>
              <w:t>–</w:t>
            </w:r>
          </w:p>
        </w:tc>
        <w:tc>
          <w:tcPr>
            <w:tcW w:w="1588" w:type="dxa"/>
          </w:tcPr>
          <w:p w14:paraId="585A4AB0" w14:textId="0E618227" w:rsidR="00F70071" w:rsidRPr="00D22A13" w:rsidRDefault="00B178CF" w:rsidP="00D22A13">
            <w:pPr>
              <w:ind w:firstLine="0"/>
              <w:contextualSpacing/>
              <w:rPr>
                <w:rFonts w:cs="Times New Roman"/>
                <w:sz w:val="22"/>
              </w:rPr>
            </w:pPr>
            <w:r w:rsidRPr="00D22A13">
              <w:rPr>
                <w:rFonts w:cs="Times New Roman"/>
                <w:sz w:val="22"/>
              </w:rPr>
              <w:t>–</w:t>
            </w:r>
          </w:p>
        </w:tc>
        <w:tc>
          <w:tcPr>
            <w:tcW w:w="1487" w:type="dxa"/>
          </w:tcPr>
          <w:p w14:paraId="1AF02D8A" w14:textId="6AA845BF" w:rsidR="00F70071" w:rsidRPr="00D22A13" w:rsidRDefault="00B178CF" w:rsidP="00D22A13">
            <w:pPr>
              <w:ind w:firstLine="0"/>
              <w:contextualSpacing/>
              <w:rPr>
                <w:rFonts w:cs="Times New Roman"/>
                <w:sz w:val="22"/>
              </w:rPr>
            </w:pPr>
            <w:r w:rsidRPr="00D22A13">
              <w:rPr>
                <w:rFonts w:cs="Times New Roman"/>
                <w:sz w:val="22"/>
              </w:rPr>
              <w:t>–</w:t>
            </w:r>
          </w:p>
        </w:tc>
        <w:tc>
          <w:tcPr>
            <w:tcW w:w="1732" w:type="dxa"/>
          </w:tcPr>
          <w:p w14:paraId="4239BD84" w14:textId="022E0230" w:rsidR="00F70071" w:rsidRPr="00D22A13" w:rsidRDefault="00304616" w:rsidP="00D22A13">
            <w:pPr>
              <w:ind w:firstLine="0"/>
              <w:contextualSpacing/>
              <w:rPr>
                <w:rFonts w:cs="Times New Roman"/>
                <w:sz w:val="22"/>
              </w:rPr>
            </w:pPr>
            <w:r w:rsidRPr="00D22A13">
              <w:rPr>
                <w:rFonts w:cs="Times New Roman"/>
                <w:sz w:val="22"/>
              </w:rPr>
              <w:t>Гиперчувстви</w:t>
            </w:r>
            <w:r w:rsidR="006F1DAF" w:rsidRPr="00D22A13">
              <w:rPr>
                <w:rFonts w:cs="Times New Roman"/>
                <w:sz w:val="22"/>
              </w:rPr>
              <w:t>те</w:t>
            </w:r>
            <w:r w:rsidRPr="00D22A13">
              <w:rPr>
                <w:rFonts w:cs="Times New Roman"/>
                <w:sz w:val="22"/>
              </w:rPr>
              <w:t>льность</w:t>
            </w:r>
            <w:r w:rsidR="006F1DAF" w:rsidRPr="00D22A13">
              <w:rPr>
                <w:rFonts w:cs="Times New Roman"/>
                <w:sz w:val="22"/>
              </w:rPr>
              <w:t>*</w:t>
            </w:r>
          </w:p>
          <w:p w14:paraId="7984EDC8" w14:textId="473BDAA4" w:rsidR="00304616" w:rsidRPr="00D22A13" w:rsidRDefault="00304616" w:rsidP="00D22A13">
            <w:pPr>
              <w:ind w:firstLine="0"/>
              <w:contextualSpacing/>
              <w:rPr>
                <w:rFonts w:cs="Times New Roman"/>
                <w:sz w:val="22"/>
              </w:rPr>
            </w:pPr>
            <w:r w:rsidRPr="00D22A13">
              <w:rPr>
                <w:rFonts w:cs="Times New Roman"/>
                <w:sz w:val="22"/>
              </w:rPr>
              <w:t>Ангионевротический отек</w:t>
            </w:r>
            <w:r w:rsidR="006F1DAF" w:rsidRPr="00D22A13">
              <w:rPr>
                <w:rFonts w:cs="Times New Roman"/>
                <w:sz w:val="22"/>
              </w:rPr>
              <w:t>*</w:t>
            </w:r>
          </w:p>
          <w:p w14:paraId="0B0FB451" w14:textId="3D56311C" w:rsidR="00304616" w:rsidRPr="00D22A13" w:rsidRDefault="00304616" w:rsidP="00D22A13">
            <w:pPr>
              <w:ind w:firstLine="0"/>
              <w:contextualSpacing/>
              <w:rPr>
                <w:rFonts w:cs="Times New Roman"/>
                <w:sz w:val="22"/>
              </w:rPr>
            </w:pPr>
            <w:r w:rsidRPr="00D22A13">
              <w:rPr>
                <w:rFonts w:cs="Times New Roman"/>
                <w:sz w:val="22"/>
              </w:rPr>
              <w:t>Крапивница</w:t>
            </w:r>
            <w:r w:rsidR="006F1DAF" w:rsidRPr="00D22A13">
              <w:rPr>
                <w:rFonts w:cs="Times New Roman"/>
                <w:sz w:val="22"/>
              </w:rPr>
              <w:t>*</w:t>
            </w:r>
          </w:p>
        </w:tc>
      </w:tr>
      <w:tr w:rsidR="006F1DAF" w14:paraId="36899C80" w14:textId="77777777" w:rsidTr="00143A09">
        <w:tc>
          <w:tcPr>
            <w:tcW w:w="1555" w:type="dxa"/>
          </w:tcPr>
          <w:p w14:paraId="393C7E8B" w14:textId="242C71D7" w:rsidR="00F70071" w:rsidRPr="00D22A13" w:rsidRDefault="00E92A2C" w:rsidP="00D22A13">
            <w:pPr>
              <w:ind w:firstLine="0"/>
              <w:contextualSpacing/>
              <w:rPr>
                <w:rFonts w:cs="Times New Roman"/>
                <w:sz w:val="22"/>
              </w:rPr>
            </w:pPr>
            <w:r w:rsidRPr="00D22A13">
              <w:rPr>
                <w:rFonts w:cs="Times New Roman"/>
                <w:sz w:val="22"/>
              </w:rPr>
              <w:t xml:space="preserve">Нарушения </w:t>
            </w:r>
            <w:r w:rsidRPr="00D22A13">
              <w:rPr>
                <w:rFonts w:cs="Times New Roman"/>
                <w:sz w:val="22"/>
              </w:rPr>
              <w:lastRenderedPageBreak/>
              <w:t xml:space="preserve">метаболизма и </w:t>
            </w:r>
            <w:r w:rsidR="00CF2FC8" w:rsidRPr="00D22A13">
              <w:rPr>
                <w:rFonts w:cs="Times New Roman"/>
                <w:sz w:val="22"/>
              </w:rPr>
              <w:t>питания</w:t>
            </w:r>
          </w:p>
        </w:tc>
        <w:tc>
          <w:tcPr>
            <w:tcW w:w="1615" w:type="dxa"/>
          </w:tcPr>
          <w:p w14:paraId="60CF6FB0" w14:textId="5EE41600" w:rsidR="00F70071" w:rsidRPr="00D22A13" w:rsidRDefault="00E92A2C" w:rsidP="00D22A13">
            <w:pPr>
              <w:ind w:firstLine="0"/>
              <w:contextualSpacing/>
              <w:rPr>
                <w:rFonts w:cs="Times New Roman"/>
                <w:sz w:val="22"/>
              </w:rPr>
            </w:pPr>
            <w:r w:rsidRPr="00D22A13">
              <w:rPr>
                <w:rFonts w:cs="Times New Roman"/>
                <w:sz w:val="22"/>
              </w:rPr>
              <w:lastRenderedPageBreak/>
              <w:t>–</w:t>
            </w:r>
          </w:p>
        </w:tc>
        <w:tc>
          <w:tcPr>
            <w:tcW w:w="1379" w:type="dxa"/>
          </w:tcPr>
          <w:p w14:paraId="37868E9E" w14:textId="77777777" w:rsidR="00F70071" w:rsidRPr="00D22A13" w:rsidRDefault="00085AC9" w:rsidP="00D22A13">
            <w:pPr>
              <w:ind w:firstLine="0"/>
              <w:contextualSpacing/>
              <w:rPr>
                <w:rFonts w:cs="Times New Roman"/>
                <w:sz w:val="22"/>
              </w:rPr>
            </w:pPr>
            <w:r w:rsidRPr="00D22A13">
              <w:rPr>
                <w:rFonts w:cs="Times New Roman"/>
                <w:sz w:val="22"/>
              </w:rPr>
              <w:t>Дислипиде</w:t>
            </w:r>
            <w:r w:rsidRPr="00D22A13">
              <w:rPr>
                <w:rFonts w:cs="Times New Roman"/>
                <w:sz w:val="22"/>
              </w:rPr>
              <w:lastRenderedPageBreak/>
              <w:t>мия</w:t>
            </w:r>
          </w:p>
          <w:p w14:paraId="5415C118" w14:textId="77777777" w:rsidR="00085AC9" w:rsidRPr="00D22A13" w:rsidRDefault="00085AC9" w:rsidP="00D22A13">
            <w:pPr>
              <w:ind w:firstLine="0"/>
              <w:contextualSpacing/>
              <w:rPr>
                <w:rFonts w:cs="Times New Roman"/>
                <w:sz w:val="22"/>
              </w:rPr>
            </w:pPr>
            <w:r w:rsidRPr="00D22A13">
              <w:rPr>
                <w:rFonts w:cs="Times New Roman"/>
                <w:sz w:val="22"/>
              </w:rPr>
              <w:t>Гиперлипидемия</w:t>
            </w:r>
          </w:p>
          <w:p w14:paraId="10FCA0EF" w14:textId="3F218EF1" w:rsidR="00085AC9" w:rsidRPr="00D22A13" w:rsidRDefault="00085AC9" w:rsidP="00D22A13">
            <w:pPr>
              <w:ind w:firstLine="0"/>
              <w:contextualSpacing/>
              <w:rPr>
                <w:rFonts w:cs="Times New Roman"/>
                <w:sz w:val="22"/>
              </w:rPr>
            </w:pPr>
            <w:r w:rsidRPr="00D22A13">
              <w:rPr>
                <w:rFonts w:cs="Times New Roman"/>
                <w:sz w:val="22"/>
              </w:rPr>
              <w:t>Дегидратация</w:t>
            </w:r>
          </w:p>
        </w:tc>
        <w:tc>
          <w:tcPr>
            <w:tcW w:w="1588" w:type="dxa"/>
          </w:tcPr>
          <w:p w14:paraId="46B6BD2D" w14:textId="5570B203" w:rsidR="00F70071" w:rsidRPr="00D22A13" w:rsidRDefault="00085AC9" w:rsidP="00D22A13">
            <w:pPr>
              <w:ind w:firstLine="0"/>
              <w:contextualSpacing/>
              <w:rPr>
                <w:rFonts w:cs="Times New Roman"/>
                <w:sz w:val="22"/>
              </w:rPr>
            </w:pPr>
            <w:r w:rsidRPr="00D22A13">
              <w:rPr>
                <w:rFonts w:cs="Times New Roman"/>
                <w:sz w:val="22"/>
              </w:rPr>
              <w:lastRenderedPageBreak/>
              <w:t>–</w:t>
            </w:r>
          </w:p>
        </w:tc>
        <w:tc>
          <w:tcPr>
            <w:tcW w:w="1487" w:type="dxa"/>
          </w:tcPr>
          <w:p w14:paraId="6B8444B5" w14:textId="777820BA" w:rsidR="00F70071" w:rsidRPr="00D22A13" w:rsidRDefault="00085AC9" w:rsidP="00D22A13">
            <w:pPr>
              <w:ind w:firstLine="0"/>
              <w:contextualSpacing/>
              <w:rPr>
                <w:rFonts w:cs="Times New Roman"/>
                <w:sz w:val="22"/>
              </w:rPr>
            </w:pPr>
            <w:r w:rsidRPr="00D22A13">
              <w:rPr>
                <w:rFonts w:cs="Times New Roman"/>
                <w:sz w:val="22"/>
              </w:rPr>
              <w:t>–</w:t>
            </w:r>
          </w:p>
        </w:tc>
        <w:tc>
          <w:tcPr>
            <w:tcW w:w="1732" w:type="dxa"/>
          </w:tcPr>
          <w:p w14:paraId="4C4CBA08" w14:textId="655533EC" w:rsidR="00F70071" w:rsidRPr="00D22A13" w:rsidRDefault="00085AC9" w:rsidP="00D22A13">
            <w:pPr>
              <w:ind w:firstLine="0"/>
              <w:contextualSpacing/>
              <w:rPr>
                <w:rFonts w:cs="Times New Roman"/>
                <w:sz w:val="22"/>
              </w:rPr>
            </w:pPr>
            <w:r w:rsidRPr="00D22A13">
              <w:rPr>
                <w:rFonts w:cs="Times New Roman"/>
                <w:sz w:val="22"/>
              </w:rPr>
              <w:t>–</w:t>
            </w:r>
          </w:p>
        </w:tc>
      </w:tr>
      <w:tr w:rsidR="006F1DAF" w14:paraId="5DF629A7" w14:textId="77777777" w:rsidTr="00143A09">
        <w:tc>
          <w:tcPr>
            <w:tcW w:w="1555" w:type="dxa"/>
          </w:tcPr>
          <w:p w14:paraId="58459AF0" w14:textId="292F1278" w:rsidR="00B159DC" w:rsidRPr="00D22A13" w:rsidRDefault="00B159DC" w:rsidP="00D22A13">
            <w:pPr>
              <w:ind w:firstLine="0"/>
              <w:contextualSpacing/>
              <w:rPr>
                <w:rFonts w:cs="Times New Roman"/>
                <w:sz w:val="22"/>
                <w:lang w:val="en-US"/>
              </w:rPr>
            </w:pPr>
            <w:r w:rsidRPr="00D22A13">
              <w:rPr>
                <w:rFonts w:cs="Times New Roman"/>
                <w:sz w:val="22"/>
              </w:rPr>
              <w:t>Психические расстройства</w:t>
            </w:r>
          </w:p>
        </w:tc>
        <w:tc>
          <w:tcPr>
            <w:tcW w:w="1615" w:type="dxa"/>
          </w:tcPr>
          <w:p w14:paraId="0155CB1F" w14:textId="7636045F" w:rsidR="00B159DC" w:rsidRPr="00D22A13" w:rsidRDefault="00B159DC" w:rsidP="00D22A13">
            <w:pPr>
              <w:ind w:firstLine="0"/>
              <w:contextualSpacing/>
              <w:rPr>
                <w:rFonts w:cs="Times New Roman"/>
                <w:sz w:val="22"/>
              </w:rPr>
            </w:pPr>
            <w:r w:rsidRPr="00D22A13">
              <w:rPr>
                <w:rFonts w:cs="Times New Roman"/>
                <w:sz w:val="22"/>
              </w:rPr>
              <w:t>–</w:t>
            </w:r>
          </w:p>
        </w:tc>
        <w:tc>
          <w:tcPr>
            <w:tcW w:w="1379" w:type="dxa"/>
          </w:tcPr>
          <w:p w14:paraId="535E273F" w14:textId="60D2F1DC" w:rsidR="00B159DC" w:rsidRPr="00D22A13" w:rsidRDefault="00B159DC" w:rsidP="00D22A13">
            <w:pPr>
              <w:ind w:firstLine="0"/>
              <w:contextualSpacing/>
              <w:rPr>
                <w:rFonts w:cs="Times New Roman"/>
                <w:sz w:val="22"/>
              </w:rPr>
            </w:pPr>
            <w:r w:rsidRPr="00D22A13">
              <w:rPr>
                <w:rFonts w:cs="Times New Roman"/>
                <w:sz w:val="22"/>
              </w:rPr>
              <w:t>Бессонница</w:t>
            </w:r>
          </w:p>
        </w:tc>
        <w:tc>
          <w:tcPr>
            <w:tcW w:w="1588" w:type="dxa"/>
          </w:tcPr>
          <w:p w14:paraId="5E148490" w14:textId="37F725EC" w:rsidR="00B159DC" w:rsidRPr="00D22A13" w:rsidRDefault="00B159DC" w:rsidP="00D22A13">
            <w:pPr>
              <w:ind w:firstLine="0"/>
              <w:contextualSpacing/>
              <w:rPr>
                <w:rFonts w:cs="Times New Roman"/>
                <w:sz w:val="22"/>
              </w:rPr>
            </w:pPr>
            <w:r w:rsidRPr="00D22A13">
              <w:rPr>
                <w:rFonts w:cs="Times New Roman"/>
                <w:sz w:val="22"/>
              </w:rPr>
              <w:t>–</w:t>
            </w:r>
          </w:p>
        </w:tc>
        <w:tc>
          <w:tcPr>
            <w:tcW w:w="1487" w:type="dxa"/>
          </w:tcPr>
          <w:p w14:paraId="542E6419" w14:textId="1F76A145" w:rsidR="00B159DC" w:rsidRPr="00D22A13" w:rsidRDefault="00B159DC" w:rsidP="00D22A13">
            <w:pPr>
              <w:ind w:firstLine="0"/>
              <w:contextualSpacing/>
              <w:rPr>
                <w:rFonts w:cs="Times New Roman"/>
                <w:sz w:val="22"/>
              </w:rPr>
            </w:pPr>
            <w:r w:rsidRPr="00D22A13">
              <w:rPr>
                <w:rFonts w:cs="Times New Roman"/>
                <w:sz w:val="22"/>
              </w:rPr>
              <w:t>–</w:t>
            </w:r>
          </w:p>
        </w:tc>
        <w:tc>
          <w:tcPr>
            <w:tcW w:w="1732" w:type="dxa"/>
          </w:tcPr>
          <w:p w14:paraId="12C3007B" w14:textId="25159DA6" w:rsidR="00B159DC" w:rsidRPr="00D22A13" w:rsidRDefault="00B159DC" w:rsidP="00D22A13">
            <w:pPr>
              <w:ind w:firstLine="0"/>
              <w:contextualSpacing/>
              <w:rPr>
                <w:rFonts w:cs="Times New Roman"/>
                <w:sz w:val="22"/>
              </w:rPr>
            </w:pPr>
            <w:r w:rsidRPr="00D22A13">
              <w:rPr>
                <w:rFonts w:cs="Times New Roman"/>
                <w:sz w:val="22"/>
              </w:rPr>
              <w:t>–</w:t>
            </w:r>
          </w:p>
        </w:tc>
      </w:tr>
      <w:tr w:rsidR="006F1DAF" w14:paraId="7B4B2E13" w14:textId="77777777" w:rsidTr="00143A09">
        <w:tc>
          <w:tcPr>
            <w:tcW w:w="1555" w:type="dxa"/>
          </w:tcPr>
          <w:p w14:paraId="47A8C3A2" w14:textId="151D2807" w:rsidR="001D50CC" w:rsidRPr="00D22A13" w:rsidRDefault="001D50CC" w:rsidP="00D22A13">
            <w:pPr>
              <w:ind w:firstLine="0"/>
              <w:contextualSpacing/>
              <w:rPr>
                <w:rFonts w:cs="Times New Roman"/>
                <w:sz w:val="22"/>
              </w:rPr>
            </w:pPr>
            <w:r w:rsidRPr="00D22A13">
              <w:rPr>
                <w:rFonts w:cs="Times New Roman"/>
                <w:sz w:val="22"/>
              </w:rPr>
              <w:t>Нарушения со стороны нервной системы</w:t>
            </w:r>
          </w:p>
        </w:tc>
        <w:tc>
          <w:tcPr>
            <w:tcW w:w="1615" w:type="dxa"/>
          </w:tcPr>
          <w:p w14:paraId="30660122" w14:textId="22D92086" w:rsidR="001D50CC" w:rsidRPr="00D22A13" w:rsidRDefault="001D50CC" w:rsidP="00D22A13">
            <w:pPr>
              <w:ind w:firstLine="0"/>
              <w:contextualSpacing/>
              <w:rPr>
                <w:rFonts w:cs="Times New Roman"/>
                <w:sz w:val="22"/>
              </w:rPr>
            </w:pPr>
            <w:r w:rsidRPr="00D22A13">
              <w:rPr>
                <w:rFonts w:cs="Times New Roman"/>
                <w:sz w:val="22"/>
              </w:rPr>
              <w:t>Головная боль</w:t>
            </w:r>
          </w:p>
        </w:tc>
        <w:tc>
          <w:tcPr>
            <w:tcW w:w="1379" w:type="dxa"/>
          </w:tcPr>
          <w:p w14:paraId="544642AD" w14:textId="7A51681D" w:rsidR="001D50CC" w:rsidRPr="00D22A13" w:rsidRDefault="001D50CC" w:rsidP="00D22A13">
            <w:pPr>
              <w:ind w:firstLine="0"/>
              <w:contextualSpacing/>
              <w:rPr>
                <w:rFonts w:cs="Times New Roman"/>
                <w:sz w:val="22"/>
              </w:rPr>
            </w:pPr>
            <w:r w:rsidRPr="00D22A13">
              <w:rPr>
                <w:rFonts w:cs="Times New Roman"/>
                <w:sz w:val="22"/>
              </w:rPr>
              <w:t>Парестезия</w:t>
            </w:r>
          </w:p>
        </w:tc>
        <w:tc>
          <w:tcPr>
            <w:tcW w:w="1588" w:type="dxa"/>
          </w:tcPr>
          <w:p w14:paraId="2678D212" w14:textId="10DB583C" w:rsidR="001D50CC" w:rsidRPr="00D22A13" w:rsidRDefault="001D50CC" w:rsidP="00D22A13">
            <w:pPr>
              <w:ind w:firstLine="0"/>
              <w:contextualSpacing/>
              <w:rPr>
                <w:rFonts w:cs="Times New Roman"/>
                <w:sz w:val="22"/>
              </w:rPr>
            </w:pPr>
            <w:r w:rsidRPr="00D22A13">
              <w:rPr>
                <w:rFonts w:cs="Times New Roman"/>
                <w:sz w:val="22"/>
              </w:rPr>
              <w:t>–</w:t>
            </w:r>
          </w:p>
        </w:tc>
        <w:tc>
          <w:tcPr>
            <w:tcW w:w="1487" w:type="dxa"/>
          </w:tcPr>
          <w:p w14:paraId="041FD39C" w14:textId="49D4A24E" w:rsidR="001D50CC" w:rsidRPr="00D22A13" w:rsidRDefault="001D50CC" w:rsidP="00D22A13">
            <w:pPr>
              <w:ind w:firstLine="0"/>
              <w:contextualSpacing/>
              <w:rPr>
                <w:rFonts w:cs="Times New Roman"/>
                <w:sz w:val="22"/>
              </w:rPr>
            </w:pPr>
            <w:r w:rsidRPr="00D22A13">
              <w:rPr>
                <w:rFonts w:cs="Times New Roman"/>
                <w:sz w:val="22"/>
              </w:rPr>
              <w:t>–</w:t>
            </w:r>
          </w:p>
        </w:tc>
        <w:tc>
          <w:tcPr>
            <w:tcW w:w="1732" w:type="dxa"/>
          </w:tcPr>
          <w:p w14:paraId="5405BDB2" w14:textId="7D636020" w:rsidR="001D50CC" w:rsidRPr="00D22A13" w:rsidRDefault="001D50CC" w:rsidP="00D22A13">
            <w:pPr>
              <w:ind w:firstLine="0"/>
              <w:contextualSpacing/>
              <w:rPr>
                <w:rFonts w:cs="Times New Roman"/>
                <w:sz w:val="22"/>
              </w:rPr>
            </w:pPr>
            <w:r w:rsidRPr="00D22A13">
              <w:rPr>
                <w:rFonts w:cs="Times New Roman"/>
                <w:sz w:val="22"/>
              </w:rPr>
              <w:t>–</w:t>
            </w:r>
          </w:p>
        </w:tc>
      </w:tr>
      <w:tr w:rsidR="006F1DAF" w14:paraId="746A0CA3" w14:textId="77777777" w:rsidTr="00143A09">
        <w:tc>
          <w:tcPr>
            <w:tcW w:w="1555" w:type="dxa"/>
          </w:tcPr>
          <w:p w14:paraId="0E2B6227" w14:textId="402534A7" w:rsidR="00A2424C" w:rsidRPr="00D22A13" w:rsidRDefault="00A2424C" w:rsidP="00D22A13">
            <w:pPr>
              <w:ind w:firstLine="0"/>
              <w:contextualSpacing/>
              <w:rPr>
                <w:rFonts w:cs="Times New Roman"/>
                <w:sz w:val="22"/>
              </w:rPr>
            </w:pPr>
            <w:r w:rsidRPr="00D22A13">
              <w:rPr>
                <w:rFonts w:cs="Times New Roman"/>
                <w:sz w:val="22"/>
              </w:rPr>
              <w:t>Нарушения со стороны сердца</w:t>
            </w:r>
          </w:p>
        </w:tc>
        <w:tc>
          <w:tcPr>
            <w:tcW w:w="1615" w:type="dxa"/>
          </w:tcPr>
          <w:p w14:paraId="31613A7A" w14:textId="1A19585F" w:rsidR="00A2424C" w:rsidRPr="00D22A13" w:rsidRDefault="00A2424C" w:rsidP="00D22A13">
            <w:pPr>
              <w:ind w:firstLine="0"/>
              <w:contextualSpacing/>
              <w:rPr>
                <w:rFonts w:cs="Times New Roman"/>
                <w:sz w:val="22"/>
              </w:rPr>
            </w:pPr>
            <w:r w:rsidRPr="00D22A13">
              <w:rPr>
                <w:rFonts w:cs="Times New Roman"/>
                <w:sz w:val="22"/>
              </w:rPr>
              <w:t>–</w:t>
            </w:r>
          </w:p>
        </w:tc>
        <w:tc>
          <w:tcPr>
            <w:tcW w:w="1379" w:type="dxa"/>
          </w:tcPr>
          <w:p w14:paraId="7A0D18A8" w14:textId="3B992A64" w:rsidR="00A2424C" w:rsidRPr="00D22A13" w:rsidRDefault="00A2424C" w:rsidP="00D22A13">
            <w:pPr>
              <w:ind w:firstLine="0"/>
              <w:contextualSpacing/>
              <w:rPr>
                <w:rFonts w:cs="Times New Roman"/>
                <w:sz w:val="22"/>
              </w:rPr>
            </w:pPr>
            <w:r w:rsidRPr="00D22A13">
              <w:rPr>
                <w:rFonts w:cs="Times New Roman"/>
                <w:sz w:val="22"/>
              </w:rPr>
              <w:t>Инфаркт миокарда</w:t>
            </w:r>
          </w:p>
        </w:tc>
        <w:tc>
          <w:tcPr>
            <w:tcW w:w="1588" w:type="dxa"/>
          </w:tcPr>
          <w:p w14:paraId="6377EA07" w14:textId="0C6521DC" w:rsidR="00A2424C" w:rsidRPr="00D22A13" w:rsidRDefault="00A2424C" w:rsidP="00D22A13">
            <w:pPr>
              <w:ind w:firstLine="0"/>
              <w:contextualSpacing/>
              <w:rPr>
                <w:rFonts w:cs="Times New Roman"/>
                <w:sz w:val="22"/>
              </w:rPr>
            </w:pPr>
            <w:r w:rsidRPr="00D22A13">
              <w:rPr>
                <w:rFonts w:cs="Times New Roman"/>
                <w:sz w:val="22"/>
              </w:rPr>
              <w:t>–</w:t>
            </w:r>
          </w:p>
        </w:tc>
        <w:tc>
          <w:tcPr>
            <w:tcW w:w="1487" w:type="dxa"/>
          </w:tcPr>
          <w:p w14:paraId="0A59F845" w14:textId="1ED0A04F" w:rsidR="00A2424C" w:rsidRPr="00D22A13" w:rsidRDefault="00A2424C" w:rsidP="00D22A13">
            <w:pPr>
              <w:ind w:firstLine="0"/>
              <w:contextualSpacing/>
              <w:rPr>
                <w:rFonts w:cs="Times New Roman"/>
                <w:sz w:val="22"/>
              </w:rPr>
            </w:pPr>
            <w:r w:rsidRPr="00D22A13">
              <w:rPr>
                <w:rFonts w:cs="Times New Roman"/>
                <w:sz w:val="22"/>
              </w:rPr>
              <w:t>–</w:t>
            </w:r>
          </w:p>
        </w:tc>
        <w:tc>
          <w:tcPr>
            <w:tcW w:w="1732" w:type="dxa"/>
          </w:tcPr>
          <w:p w14:paraId="38962DDB" w14:textId="44A2B0B2" w:rsidR="00A2424C" w:rsidRPr="00D22A13" w:rsidRDefault="00A2424C" w:rsidP="00D22A13">
            <w:pPr>
              <w:ind w:firstLine="0"/>
              <w:contextualSpacing/>
              <w:rPr>
                <w:rFonts w:cs="Times New Roman"/>
                <w:sz w:val="22"/>
              </w:rPr>
            </w:pPr>
            <w:r w:rsidRPr="00D22A13">
              <w:rPr>
                <w:rFonts w:cs="Times New Roman"/>
                <w:sz w:val="22"/>
              </w:rPr>
              <w:t>–</w:t>
            </w:r>
          </w:p>
        </w:tc>
      </w:tr>
      <w:tr w:rsidR="006F1DAF" w14:paraId="67BA5163" w14:textId="77777777" w:rsidTr="00143A09">
        <w:tc>
          <w:tcPr>
            <w:tcW w:w="1555" w:type="dxa"/>
          </w:tcPr>
          <w:p w14:paraId="2373C081" w14:textId="04934D30" w:rsidR="002B5C3F" w:rsidRPr="00D22A13" w:rsidRDefault="002B5C3F" w:rsidP="00D22A13">
            <w:pPr>
              <w:ind w:firstLine="0"/>
              <w:contextualSpacing/>
              <w:rPr>
                <w:rFonts w:cs="Times New Roman"/>
                <w:sz w:val="22"/>
              </w:rPr>
            </w:pPr>
            <w:r w:rsidRPr="00D22A13">
              <w:rPr>
                <w:rFonts w:cs="Times New Roman"/>
                <w:sz w:val="22"/>
              </w:rPr>
              <w:t>Нарушения со стороны сосудов</w:t>
            </w:r>
          </w:p>
        </w:tc>
        <w:tc>
          <w:tcPr>
            <w:tcW w:w="1615" w:type="dxa"/>
          </w:tcPr>
          <w:p w14:paraId="2AACCEEF" w14:textId="1BAAE1EC" w:rsidR="002B5C3F" w:rsidRPr="00D22A13" w:rsidRDefault="002B5C3F" w:rsidP="00D22A13">
            <w:pPr>
              <w:ind w:firstLine="0"/>
              <w:contextualSpacing/>
              <w:rPr>
                <w:rFonts w:cs="Times New Roman"/>
                <w:sz w:val="22"/>
              </w:rPr>
            </w:pPr>
            <w:r w:rsidRPr="00D22A13">
              <w:rPr>
                <w:rFonts w:cs="Times New Roman"/>
                <w:sz w:val="22"/>
              </w:rPr>
              <w:t>Гипертензия</w:t>
            </w:r>
          </w:p>
        </w:tc>
        <w:tc>
          <w:tcPr>
            <w:tcW w:w="1379" w:type="dxa"/>
          </w:tcPr>
          <w:p w14:paraId="428B77E6" w14:textId="1DB4EAB9" w:rsidR="002B5C3F" w:rsidRPr="00D22A13" w:rsidRDefault="002B5C3F" w:rsidP="00D22A13">
            <w:pPr>
              <w:ind w:firstLine="0"/>
              <w:contextualSpacing/>
              <w:rPr>
                <w:rFonts w:cs="Times New Roman"/>
                <w:sz w:val="22"/>
              </w:rPr>
            </w:pPr>
            <w:r w:rsidRPr="00D22A13">
              <w:rPr>
                <w:rFonts w:cs="Times New Roman"/>
                <w:sz w:val="22"/>
              </w:rPr>
              <w:t>Венозная тромбоэмболия</w:t>
            </w:r>
            <w:r w:rsidR="001932CC" w:rsidRPr="00D22A13">
              <w:rPr>
                <w:rFonts w:cs="Times New Roman"/>
                <w:sz w:val="22"/>
              </w:rPr>
              <w:t>**</w:t>
            </w:r>
          </w:p>
        </w:tc>
        <w:tc>
          <w:tcPr>
            <w:tcW w:w="1588" w:type="dxa"/>
          </w:tcPr>
          <w:p w14:paraId="7B837A8F" w14:textId="7C1288E2" w:rsidR="002B5C3F" w:rsidRPr="00D22A13" w:rsidRDefault="002B5C3F" w:rsidP="00D22A13">
            <w:pPr>
              <w:ind w:firstLine="0"/>
              <w:contextualSpacing/>
              <w:rPr>
                <w:rFonts w:cs="Times New Roman"/>
                <w:sz w:val="22"/>
              </w:rPr>
            </w:pPr>
            <w:r w:rsidRPr="00D22A13">
              <w:rPr>
                <w:rFonts w:cs="Times New Roman"/>
                <w:sz w:val="22"/>
              </w:rPr>
              <w:t>–</w:t>
            </w:r>
          </w:p>
        </w:tc>
        <w:tc>
          <w:tcPr>
            <w:tcW w:w="1487" w:type="dxa"/>
          </w:tcPr>
          <w:p w14:paraId="7E01AF24" w14:textId="6E1A3F8F" w:rsidR="002B5C3F" w:rsidRPr="00D22A13" w:rsidRDefault="002B5C3F" w:rsidP="00D22A13">
            <w:pPr>
              <w:ind w:firstLine="0"/>
              <w:contextualSpacing/>
              <w:rPr>
                <w:rFonts w:cs="Times New Roman"/>
                <w:sz w:val="22"/>
              </w:rPr>
            </w:pPr>
            <w:r w:rsidRPr="00D22A13">
              <w:rPr>
                <w:rFonts w:cs="Times New Roman"/>
                <w:sz w:val="22"/>
              </w:rPr>
              <w:t>–</w:t>
            </w:r>
          </w:p>
        </w:tc>
        <w:tc>
          <w:tcPr>
            <w:tcW w:w="1732" w:type="dxa"/>
          </w:tcPr>
          <w:p w14:paraId="21A8E733" w14:textId="00053BBA" w:rsidR="002B5C3F" w:rsidRPr="00D22A13" w:rsidRDefault="002B5C3F" w:rsidP="00D22A13">
            <w:pPr>
              <w:ind w:firstLine="0"/>
              <w:contextualSpacing/>
              <w:rPr>
                <w:rFonts w:cs="Times New Roman"/>
                <w:sz w:val="22"/>
              </w:rPr>
            </w:pPr>
            <w:r w:rsidRPr="00D22A13">
              <w:rPr>
                <w:rFonts w:cs="Times New Roman"/>
                <w:sz w:val="22"/>
              </w:rPr>
              <w:t>–</w:t>
            </w:r>
          </w:p>
        </w:tc>
      </w:tr>
      <w:tr w:rsidR="006F1DAF" w14:paraId="11388088" w14:textId="77777777" w:rsidTr="00143A09">
        <w:tc>
          <w:tcPr>
            <w:tcW w:w="1555" w:type="dxa"/>
          </w:tcPr>
          <w:p w14:paraId="71D13634" w14:textId="23122F52" w:rsidR="00AA1876" w:rsidRPr="00D22A13" w:rsidRDefault="00AA1876" w:rsidP="00D22A13">
            <w:pPr>
              <w:ind w:firstLine="0"/>
              <w:contextualSpacing/>
              <w:rPr>
                <w:rFonts w:cs="Times New Roman"/>
                <w:sz w:val="22"/>
              </w:rPr>
            </w:pPr>
            <w:r w:rsidRPr="00D22A13">
              <w:rPr>
                <w:rFonts w:cs="Times New Roman"/>
                <w:sz w:val="22"/>
              </w:rPr>
              <w:t>Нарушения со стороны дыхательной системы, органов грудной клетки и средостения</w:t>
            </w:r>
          </w:p>
        </w:tc>
        <w:tc>
          <w:tcPr>
            <w:tcW w:w="1615" w:type="dxa"/>
          </w:tcPr>
          <w:p w14:paraId="021950AC" w14:textId="57D79339" w:rsidR="00AA1876" w:rsidRPr="00D22A13" w:rsidRDefault="00AA1876" w:rsidP="00D22A13">
            <w:pPr>
              <w:ind w:firstLine="0"/>
              <w:contextualSpacing/>
              <w:rPr>
                <w:rFonts w:cs="Times New Roman"/>
                <w:sz w:val="22"/>
              </w:rPr>
            </w:pPr>
            <w:r w:rsidRPr="00D22A13">
              <w:rPr>
                <w:rFonts w:cs="Times New Roman"/>
                <w:sz w:val="22"/>
              </w:rPr>
              <w:t>Кашель</w:t>
            </w:r>
          </w:p>
        </w:tc>
        <w:tc>
          <w:tcPr>
            <w:tcW w:w="1379" w:type="dxa"/>
          </w:tcPr>
          <w:p w14:paraId="0267B043" w14:textId="77777777" w:rsidR="00AA1876" w:rsidRPr="00D22A13" w:rsidRDefault="00AA1876" w:rsidP="00D22A13">
            <w:pPr>
              <w:ind w:firstLine="0"/>
              <w:contextualSpacing/>
              <w:rPr>
                <w:rFonts w:cs="Times New Roman"/>
                <w:sz w:val="22"/>
              </w:rPr>
            </w:pPr>
            <w:r w:rsidRPr="00D22A13">
              <w:rPr>
                <w:rFonts w:cs="Times New Roman"/>
                <w:sz w:val="22"/>
              </w:rPr>
              <w:t>Одышка</w:t>
            </w:r>
          </w:p>
          <w:p w14:paraId="203879A1" w14:textId="13F53427" w:rsidR="00AA1876" w:rsidRPr="00D22A13" w:rsidRDefault="00AA1876" w:rsidP="00D22A13">
            <w:pPr>
              <w:ind w:firstLine="0"/>
              <w:contextualSpacing/>
              <w:rPr>
                <w:rFonts w:cs="Times New Roman"/>
                <w:sz w:val="22"/>
              </w:rPr>
            </w:pPr>
            <w:r w:rsidRPr="00D22A13">
              <w:rPr>
                <w:rFonts w:cs="Times New Roman"/>
                <w:sz w:val="22"/>
              </w:rPr>
              <w:t>Отек слизистой оболочки придаточных пазух носа</w:t>
            </w:r>
          </w:p>
        </w:tc>
        <w:tc>
          <w:tcPr>
            <w:tcW w:w="1588" w:type="dxa"/>
          </w:tcPr>
          <w:p w14:paraId="319ED03C" w14:textId="5728AD0A" w:rsidR="00AA1876" w:rsidRPr="00D22A13" w:rsidRDefault="00AA1876" w:rsidP="00D22A13">
            <w:pPr>
              <w:ind w:firstLine="0"/>
              <w:contextualSpacing/>
              <w:rPr>
                <w:rFonts w:cs="Times New Roman"/>
                <w:sz w:val="22"/>
              </w:rPr>
            </w:pPr>
            <w:r w:rsidRPr="00D22A13">
              <w:rPr>
                <w:rFonts w:cs="Times New Roman"/>
                <w:sz w:val="22"/>
              </w:rPr>
              <w:t>–</w:t>
            </w:r>
          </w:p>
        </w:tc>
        <w:tc>
          <w:tcPr>
            <w:tcW w:w="1487" w:type="dxa"/>
          </w:tcPr>
          <w:p w14:paraId="34A767DD" w14:textId="4E8334DE" w:rsidR="00AA1876" w:rsidRPr="00D22A13" w:rsidRDefault="00AA1876" w:rsidP="00D22A13">
            <w:pPr>
              <w:ind w:firstLine="0"/>
              <w:contextualSpacing/>
              <w:rPr>
                <w:rFonts w:cs="Times New Roman"/>
                <w:sz w:val="22"/>
              </w:rPr>
            </w:pPr>
            <w:r w:rsidRPr="00D22A13">
              <w:rPr>
                <w:rFonts w:cs="Times New Roman"/>
                <w:sz w:val="22"/>
              </w:rPr>
              <w:t>–</w:t>
            </w:r>
          </w:p>
        </w:tc>
        <w:tc>
          <w:tcPr>
            <w:tcW w:w="1732" w:type="dxa"/>
          </w:tcPr>
          <w:p w14:paraId="15484980" w14:textId="1A90197E" w:rsidR="00AA1876" w:rsidRPr="00D22A13" w:rsidRDefault="00AA1876" w:rsidP="00D22A13">
            <w:pPr>
              <w:ind w:firstLine="0"/>
              <w:contextualSpacing/>
              <w:rPr>
                <w:rFonts w:cs="Times New Roman"/>
                <w:sz w:val="22"/>
              </w:rPr>
            </w:pPr>
            <w:r w:rsidRPr="00D22A13">
              <w:rPr>
                <w:rFonts w:cs="Times New Roman"/>
                <w:sz w:val="22"/>
              </w:rPr>
              <w:t>–</w:t>
            </w:r>
          </w:p>
        </w:tc>
      </w:tr>
      <w:tr w:rsidR="006F1DAF" w14:paraId="2E392832" w14:textId="77777777" w:rsidTr="00143A09">
        <w:tc>
          <w:tcPr>
            <w:tcW w:w="1555" w:type="dxa"/>
          </w:tcPr>
          <w:p w14:paraId="3FA78A64" w14:textId="0F5F8C89" w:rsidR="006F7138" w:rsidRPr="00D22A13" w:rsidRDefault="006F7138" w:rsidP="00D22A13">
            <w:pPr>
              <w:ind w:firstLine="0"/>
              <w:contextualSpacing/>
              <w:rPr>
                <w:rFonts w:cs="Times New Roman"/>
                <w:sz w:val="22"/>
              </w:rPr>
            </w:pPr>
            <w:r w:rsidRPr="00D22A13">
              <w:rPr>
                <w:rFonts w:cs="Times New Roman"/>
                <w:sz w:val="22"/>
              </w:rPr>
              <w:t>Желудочно-кишечные нарушения</w:t>
            </w:r>
          </w:p>
        </w:tc>
        <w:tc>
          <w:tcPr>
            <w:tcW w:w="1615" w:type="dxa"/>
          </w:tcPr>
          <w:p w14:paraId="1A9AEEA3" w14:textId="77777777" w:rsidR="006F7138" w:rsidRPr="00D22A13" w:rsidRDefault="006F7138" w:rsidP="00D22A13">
            <w:pPr>
              <w:ind w:firstLine="0"/>
              <w:contextualSpacing/>
              <w:rPr>
                <w:rFonts w:cs="Times New Roman"/>
                <w:sz w:val="22"/>
              </w:rPr>
            </w:pPr>
            <w:r w:rsidRPr="00D22A13">
              <w:rPr>
                <w:rFonts w:cs="Times New Roman"/>
                <w:sz w:val="22"/>
              </w:rPr>
              <w:t>Боль в животе</w:t>
            </w:r>
          </w:p>
          <w:p w14:paraId="3DBDE9DE" w14:textId="77777777" w:rsidR="006F7138" w:rsidRPr="00D22A13" w:rsidRDefault="006F7138" w:rsidP="00D22A13">
            <w:pPr>
              <w:ind w:firstLine="0"/>
              <w:contextualSpacing/>
              <w:rPr>
                <w:rFonts w:cs="Times New Roman"/>
                <w:sz w:val="22"/>
              </w:rPr>
            </w:pPr>
            <w:r w:rsidRPr="00D22A13">
              <w:rPr>
                <w:rFonts w:cs="Times New Roman"/>
                <w:sz w:val="22"/>
              </w:rPr>
              <w:t>Рвота</w:t>
            </w:r>
          </w:p>
          <w:p w14:paraId="109A9CDF" w14:textId="77777777" w:rsidR="006F7138" w:rsidRPr="00D22A13" w:rsidRDefault="006F7138" w:rsidP="00D22A13">
            <w:pPr>
              <w:ind w:firstLine="0"/>
              <w:contextualSpacing/>
              <w:rPr>
                <w:rFonts w:cs="Times New Roman"/>
                <w:sz w:val="22"/>
              </w:rPr>
            </w:pPr>
            <w:r w:rsidRPr="00D22A13">
              <w:rPr>
                <w:rFonts w:cs="Times New Roman"/>
                <w:sz w:val="22"/>
              </w:rPr>
              <w:t>Диарея</w:t>
            </w:r>
          </w:p>
          <w:p w14:paraId="06772E29" w14:textId="77777777" w:rsidR="006F7138" w:rsidRPr="00D22A13" w:rsidRDefault="006F7138" w:rsidP="00D22A13">
            <w:pPr>
              <w:ind w:firstLine="0"/>
              <w:contextualSpacing/>
              <w:rPr>
                <w:rFonts w:cs="Times New Roman"/>
                <w:sz w:val="22"/>
              </w:rPr>
            </w:pPr>
            <w:r w:rsidRPr="00D22A13">
              <w:rPr>
                <w:rFonts w:cs="Times New Roman"/>
                <w:sz w:val="22"/>
              </w:rPr>
              <w:t>Тошнота</w:t>
            </w:r>
          </w:p>
          <w:p w14:paraId="08212580" w14:textId="77777777" w:rsidR="006F7138" w:rsidRPr="00D22A13" w:rsidRDefault="006F7138" w:rsidP="00D22A13">
            <w:pPr>
              <w:ind w:firstLine="0"/>
              <w:contextualSpacing/>
              <w:rPr>
                <w:rFonts w:cs="Times New Roman"/>
                <w:sz w:val="22"/>
              </w:rPr>
            </w:pPr>
            <w:r w:rsidRPr="00D22A13">
              <w:rPr>
                <w:rFonts w:cs="Times New Roman"/>
                <w:sz w:val="22"/>
              </w:rPr>
              <w:t>Гастрит</w:t>
            </w:r>
          </w:p>
          <w:p w14:paraId="197505E2" w14:textId="6038C4F5" w:rsidR="006F7138" w:rsidRPr="00D22A13" w:rsidRDefault="006F7138" w:rsidP="00D22A13">
            <w:pPr>
              <w:ind w:firstLine="0"/>
              <w:contextualSpacing/>
              <w:rPr>
                <w:rFonts w:cs="Times New Roman"/>
                <w:sz w:val="22"/>
              </w:rPr>
            </w:pPr>
            <w:r w:rsidRPr="00D22A13">
              <w:rPr>
                <w:rFonts w:cs="Times New Roman"/>
                <w:sz w:val="22"/>
              </w:rPr>
              <w:t>Диспепсия</w:t>
            </w:r>
          </w:p>
        </w:tc>
        <w:tc>
          <w:tcPr>
            <w:tcW w:w="1379" w:type="dxa"/>
          </w:tcPr>
          <w:p w14:paraId="396F63A1" w14:textId="40FEEA35" w:rsidR="006F7138" w:rsidRPr="00D22A13" w:rsidRDefault="006F7138" w:rsidP="00D22A13">
            <w:pPr>
              <w:ind w:firstLine="0"/>
              <w:contextualSpacing/>
              <w:rPr>
                <w:rFonts w:cs="Times New Roman"/>
                <w:sz w:val="22"/>
              </w:rPr>
            </w:pPr>
            <w:r w:rsidRPr="00D22A13">
              <w:rPr>
                <w:rFonts w:cs="Times New Roman"/>
                <w:sz w:val="22"/>
              </w:rPr>
              <w:t>–</w:t>
            </w:r>
          </w:p>
        </w:tc>
        <w:tc>
          <w:tcPr>
            <w:tcW w:w="1588" w:type="dxa"/>
          </w:tcPr>
          <w:p w14:paraId="014DD7A2" w14:textId="0E6BD650" w:rsidR="006F7138" w:rsidRPr="00D22A13" w:rsidRDefault="006F7138" w:rsidP="00D22A13">
            <w:pPr>
              <w:ind w:firstLine="0"/>
              <w:contextualSpacing/>
              <w:rPr>
                <w:rFonts w:cs="Times New Roman"/>
                <w:sz w:val="22"/>
              </w:rPr>
            </w:pPr>
            <w:r w:rsidRPr="00D22A13">
              <w:rPr>
                <w:rFonts w:cs="Times New Roman"/>
                <w:sz w:val="22"/>
              </w:rPr>
              <w:t>–</w:t>
            </w:r>
          </w:p>
        </w:tc>
        <w:tc>
          <w:tcPr>
            <w:tcW w:w="1487" w:type="dxa"/>
          </w:tcPr>
          <w:p w14:paraId="2256018C" w14:textId="5A09737B" w:rsidR="006F7138" w:rsidRPr="00D22A13" w:rsidRDefault="006F7138" w:rsidP="00D22A13">
            <w:pPr>
              <w:ind w:firstLine="0"/>
              <w:contextualSpacing/>
              <w:rPr>
                <w:rFonts w:cs="Times New Roman"/>
                <w:sz w:val="22"/>
              </w:rPr>
            </w:pPr>
            <w:r w:rsidRPr="00D22A13">
              <w:rPr>
                <w:rFonts w:cs="Times New Roman"/>
                <w:sz w:val="22"/>
              </w:rPr>
              <w:t>–</w:t>
            </w:r>
          </w:p>
        </w:tc>
        <w:tc>
          <w:tcPr>
            <w:tcW w:w="1732" w:type="dxa"/>
          </w:tcPr>
          <w:p w14:paraId="58862B54" w14:textId="37A02D45" w:rsidR="006F7138" w:rsidRPr="00D22A13" w:rsidRDefault="006F7138" w:rsidP="00D22A13">
            <w:pPr>
              <w:ind w:firstLine="0"/>
              <w:contextualSpacing/>
              <w:rPr>
                <w:rFonts w:cs="Times New Roman"/>
                <w:sz w:val="22"/>
              </w:rPr>
            </w:pPr>
            <w:r w:rsidRPr="00D22A13">
              <w:rPr>
                <w:rFonts w:cs="Times New Roman"/>
                <w:sz w:val="22"/>
              </w:rPr>
              <w:t>–</w:t>
            </w:r>
          </w:p>
        </w:tc>
      </w:tr>
      <w:tr w:rsidR="006F1DAF" w14:paraId="1F78BADA" w14:textId="77777777" w:rsidTr="00143A09">
        <w:tc>
          <w:tcPr>
            <w:tcW w:w="1555" w:type="dxa"/>
          </w:tcPr>
          <w:p w14:paraId="61C7CCE5" w14:textId="56C27232" w:rsidR="00262FB0" w:rsidRPr="00D22A13" w:rsidRDefault="00262FB0" w:rsidP="00D22A13">
            <w:pPr>
              <w:ind w:firstLine="0"/>
              <w:contextualSpacing/>
              <w:rPr>
                <w:rFonts w:cs="Times New Roman"/>
                <w:sz w:val="22"/>
              </w:rPr>
            </w:pPr>
            <w:r w:rsidRPr="00D22A13">
              <w:rPr>
                <w:rFonts w:cs="Times New Roman"/>
                <w:sz w:val="22"/>
              </w:rPr>
              <w:t>Нарушения со стороны печени и желчевыводящих путей</w:t>
            </w:r>
          </w:p>
        </w:tc>
        <w:tc>
          <w:tcPr>
            <w:tcW w:w="1615" w:type="dxa"/>
          </w:tcPr>
          <w:p w14:paraId="490C5903" w14:textId="6113EA23" w:rsidR="00262FB0" w:rsidRPr="00D22A13" w:rsidRDefault="00262FB0" w:rsidP="00D22A13">
            <w:pPr>
              <w:ind w:firstLine="0"/>
              <w:contextualSpacing/>
              <w:rPr>
                <w:rFonts w:cs="Times New Roman"/>
                <w:sz w:val="22"/>
              </w:rPr>
            </w:pPr>
            <w:r w:rsidRPr="00D22A13">
              <w:rPr>
                <w:rFonts w:cs="Times New Roman"/>
                <w:sz w:val="22"/>
              </w:rPr>
              <w:t>–</w:t>
            </w:r>
            <w:r w:rsidRPr="00D22A13">
              <w:rPr>
                <w:rFonts w:cs="Times New Roman"/>
                <w:sz w:val="22"/>
              </w:rPr>
              <w:tab/>
            </w:r>
          </w:p>
        </w:tc>
        <w:tc>
          <w:tcPr>
            <w:tcW w:w="1379" w:type="dxa"/>
          </w:tcPr>
          <w:p w14:paraId="4006D91F" w14:textId="77777777" w:rsidR="00262FB0" w:rsidRPr="00D22A13" w:rsidRDefault="00262FB0" w:rsidP="00D22A13">
            <w:pPr>
              <w:ind w:firstLine="0"/>
              <w:contextualSpacing/>
              <w:rPr>
                <w:rFonts w:cs="Times New Roman"/>
                <w:sz w:val="22"/>
              </w:rPr>
            </w:pPr>
            <w:r w:rsidRPr="00D22A13">
              <w:rPr>
                <w:rFonts w:cs="Times New Roman"/>
                <w:sz w:val="22"/>
              </w:rPr>
              <w:t>Стеатоз печени</w:t>
            </w:r>
          </w:p>
          <w:p w14:paraId="546FB9C3" w14:textId="77777777" w:rsidR="00262FB0" w:rsidRPr="00D22A13" w:rsidRDefault="00262FB0" w:rsidP="00D22A13">
            <w:pPr>
              <w:ind w:firstLine="0"/>
              <w:contextualSpacing/>
              <w:rPr>
                <w:rFonts w:cs="Times New Roman"/>
                <w:sz w:val="22"/>
              </w:rPr>
            </w:pPr>
            <w:r w:rsidRPr="00D22A13">
              <w:rPr>
                <w:rFonts w:cs="Times New Roman"/>
                <w:sz w:val="22"/>
              </w:rPr>
              <w:t>Увеличение активности печеночных ферментов</w:t>
            </w:r>
          </w:p>
          <w:p w14:paraId="69374B58" w14:textId="77777777" w:rsidR="00262FB0" w:rsidRPr="00D22A13" w:rsidRDefault="00262FB0" w:rsidP="00D22A13">
            <w:pPr>
              <w:ind w:firstLine="0"/>
              <w:contextualSpacing/>
              <w:rPr>
                <w:rFonts w:cs="Times New Roman"/>
                <w:sz w:val="22"/>
              </w:rPr>
            </w:pPr>
            <w:r w:rsidRPr="00D22A13">
              <w:rPr>
                <w:rFonts w:cs="Times New Roman"/>
                <w:sz w:val="22"/>
              </w:rPr>
              <w:t>Увеличение активности трансаминаз</w:t>
            </w:r>
          </w:p>
          <w:p w14:paraId="79BFB089" w14:textId="5351E95B" w:rsidR="00262FB0" w:rsidRPr="00D22A13" w:rsidRDefault="00262FB0" w:rsidP="00D22A13">
            <w:pPr>
              <w:ind w:firstLine="0"/>
              <w:contextualSpacing/>
              <w:rPr>
                <w:rFonts w:cs="Times New Roman"/>
                <w:sz w:val="22"/>
              </w:rPr>
            </w:pPr>
            <w:r w:rsidRPr="00D22A13">
              <w:rPr>
                <w:rFonts w:cs="Times New Roman"/>
                <w:sz w:val="22"/>
              </w:rPr>
              <w:t>Увеличение активности ГГТ</w:t>
            </w:r>
          </w:p>
        </w:tc>
        <w:tc>
          <w:tcPr>
            <w:tcW w:w="1588" w:type="dxa"/>
          </w:tcPr>
          <w:p w14:paraId="49E47FEA" w14:textId="69D8B2AC" w:rsidR="00262FB0" w:rsidRPr="00D22A13" w:rsidRDefault="00262FB0" w:rsidP="00D22A13">
            <w:pPr>
              <w:ind w:firstLine="0"/>
              <w:contextualSpacing/>
              <w:rPr>
                <w:rFonts w:cs="Times New Roman"/>
                <w:sz w:val="22"/>
              </w:rPr>
            </w:pPr>
            <w:r w:rsidRPr="00D22A13">
              <w:rPr>
                <w:rFonts w:cs="Times New Roman"/>
                <w:sz w:val="22"/>
              </w:rPr>
              <w:t>Нарушение показателей печеночных проб</w:t>
            </w:r>
          </w:p>
        </w:tc>
        <w:tc>
          <w:tcPr>
            <w:tcW w:w="1487" w:type="dxa"/>
          </w:tcPr>
          <w:p w14:paraId="5E0C0F7E" w14:textId="32C3F930" w:rsidR="00262FB0" w:rsidRPr="00D22A13" w:rsidRDefault="00262FB0" w:rsidP="00D22A13">
            <w:pPr>
              <w:ind w:firstLine="0"/>
              <w:contextualSpacing/>
              <w:rPr>
                <w:rFonts w:cs="Times New Roman"/>
                <w:sz w:val="22"/>
              </w:rPr>
            </w:pPr>
            <w:r w:rsidRPr="00D22A13">
              <w:rPr>
                <w:rFonts w:cs="Times New Roman"/>
                <w:sz w:val="22"/>
              </w:rPr>
              <w:t>–</w:t>
            </w:r>
          </w:p>
        </w:tc>
        <w:tc>
          <w:tcPr>
            <w:tcW w:w="1732" w:type="dxa"/>
          </w:tcPr>
          <w:p w14:paraId="0FBB4CA9" w14:textId="233B6DFF" w:rsidR="00262FB0" w:rsidRPr="00D22A13" w:rsidRDefault="00262FB0" w:rsidP="00D22A13">
            <w:pPr>
              <w:ind w:firstLine="0"/>
              <w:contextualSpacing/>
              <w:rPr>
                <w:rFonts w:cs="Times New Roman"/>
                <w:sz w:val="22"/>
              </w:rPr>
            </w:pPr>
            <w:r w:rsidRPr="00D22A13">
              <w:rPr>
                <w:rFonts w:cs="Times New Roman"/>
                <w:sz w:val="22"/>
              </w:rPr>
              <w:t>–</w:t>
            </w:r>
          </w:p>
        </w:tc>
      </w:tr>
      <w:tr w:rsidR="006F1DAF" w14:paraId="29D15976" w14:textId="77777777" w:rsidTr="00143A09">
        <w:tc>
          <w:tcPr>
            <w:tcW w:w="1555" w:type="dxa"/>
          </w:tcPr>
          <w:p w14:paraId="75A4ED4C" w14:textId="61E707EA" w:rsidR="00262FB0" w:rsidRPr="00D22A13" w:rsidRDefault="00262FB0" w:rsidP="00D22A13">
            <w:pPr>
              <w:ind w:firstLine="0"/>
              <w:contextualSpacing/>
              <w:rPr>
                <w:rFonts w:cs="Times New Roman"/>
                <w:sz w:val="22"/>
              </w:rPr>
            </w:pPr>
            <w:r w:rsidRPr="00D22A13">
              <w:rPr>
                <w:rFonts w:cs="Times New Roman"/>
                <w:sz w:val="22"/>
              </w:rPr>
              <w:t xml:space="preserve">Нарушения </w:t>
            </w:r>
            <w:r w:rsidRPr="00D22A13">
              <w:rPr>
                <w:rFonts w:cs="Times New Roman"/>
                <w:sz w:val="22"/>
              </w:rPr>
              <w:lastRenderedPageBreak/>
              <w:t>со стороны кожи и подкожной клетчатки</w:t>
            </w:r>
          </w:p>
        </w:tc>
        <w:tc>
          <w:tcPr>
            <w:tcW w:w="1615" w:type="dxa"/>
          </w:tcPr>
          <w:p w14:paraId="53306DFA" w14:textId="7DEA3868" w:rsidR="00262FB0" w:rsidRPr="00D22A13" w:rsidRDefault="00262FB0" w:rsidP="00D22A13">
            <w:pPr>
              <w:ind w:firstLine="0"/>
              <w:contextualSpacing/>
              <w:rPr>
                <w:rFonts w:cs="Times New Roman"/>
                <w:sz w:val="22"/>
              </w:rPr>
            </w:pPr>
            <w:r w:rsidRPr="00D22A13">
              <w:rPr>
                <w:rFonts w:cs="Times New Roman"/>
                <w:sz w:val="22"/>
              </w:rPr>
              <w:lastRenderedPageBreak/>
              <w:t>Сыпь</w:t>
            </w:r>
          </w:p>
        </w:tc>
        <w:tc>
          <w:tcPr>
            <w:tcW w:w="1379" w:type="dxa"/>
          </w:tcPr>
          <w:p w14:paraId="0F4479EC" w14:textId="77777777" w:rsidR="00262FB0" w:rsidRPr="00D22A13" w:rsidRDefault="00262FB0" w:rsidP="00D22A13">
            <w:pPr>
              <w:ind w:firstLine="0"/>
              <w:contextualSpacing/>
              <w:rPr>
                <w:rFonts w:cs="Times New Roman"/>
                <w:sz w:val="22"/>
              </w:rPr>
            </w:pPr>
            <w:r w:rsidRPr="00D22A13">
              <w:rPr>
                <w:rFonts w:cs="Times New Roman"/>
                <w:sz w:val="22"/>
              </w:rPr>
              <w:t>Эритема</w:t>
            </w:r>
          </w:p>
          <w:p w14:paraId="03F7E2EB" w14:textId="58168CF6" w:rsidR="00262FB0" w:rsidRPr="00D22A13" w:rsidRDefault="00262FB0" w:rsidP="00D22A13">
            <w:pPr>
              <w:ind w:firstLine="0"/>
              <w:contextualSpacing/>
              <w:rPr>
                <w:rFonts w:cs="Times New Roman"/>
                <w:sz w:val="22"/>
              </w:rPr>
            </w:pPr>
            <w:r w:rsidRPr="00D22A13">
              <w:rPr>
                <w:rFonts w:cs="Times New Roman"/>
                <w:sz w:val="22"/>
              </w:rPr>
              <w:lastRenderedPageBreak/>
              <w:t>Зуд</w:t>
            </w:r>
          </w:p>
        </w:tc>
        <w:tc>
          <w:tcPr>
            <w:tcW w:w="1588" w:type="dxa"/>
          </w:tcPr>
          <w:p w14:paraId="57C915B4" w14:textId="2B49CCA7" w:rsidR="00262FB0" w:rsidRPr="00D22A13" w:rsidRDefault="00262FB0" w:rsidP="00D22A13">
            <w:pPr>
              <w:ind w:firstLine="0"/>
              <w:contextualSpacing/>
              <w:rPr>
                <w:rFonts w:cs="Times New Roman"/>
                <w:sz w:val="22"/>
              </w:rPr>
            </w:pPr>
            <w:r w:rsidRPr="00D22A13">
              <w:rPr>
                <w:rFonts w:cs="Times New Roman"/>
                <w:sz w:val="22"/>
              </w:rPr>
              <w:lastRenderedPageBreak/>
              <w:t>–</w:t>
            </w:r>
          </w:p>
        </w:tc>
        <w:tc>
          <w:tcPr>
            <w:tcW w:w="1487" w:type="dxa"/>
          </w:tcPr>
          <w:p w14:paraId="58528D68" w14:textId="493CF457" w:rsidR="00262FB0" w:rsidRPr="00D22A13" w:rsidRDefault="00262FB0" w:rsidP="00D22A13">
            <w:pPr>
              <w:ind w:firstLine="0"/>
              <w:contextualSpacing/>
              <w:rPr>
                <w:rFonts w:cs="Times New Roman"/>
                <w:sz w:val="22"/>
              </w:rPr>
            </w:pPr>
            <w:r w:rsidRPr="00D22A13">
              <w:rPr>
                <w:rFonts w:cs="Times New Roman"/>
                <w:sz w:val="22"/>
              </w:rPr>
              <w:t>–</w:t>
            </w:r>
          </w:p>
        </w:tc>
        <w:tc>
          <w:tcPr>
            <w:tcW w:w="1732" w:type="dxa"/>
          </w:tcPr>
          <w:p w14:paraId="7207A1A6" w14:textId="4276927F" w:rsidR="00262FB0" w:rsidRPr="00D22A13" w:rsidRDefault="00262FB0" w:rsidP="00D22A13">
            <w:pPr>
              <w:ind w:firstLine="0"/>
              <w:contextualSpacing/>
              <w:rPr>
                <w:rFonts w:cs="Times New Roman"/>
                <w:sz w:val="22"/>
              </w:rPr>
            </w:pPr>
            <w:r w:rsidRPr="00D22A13">
              <w:rPr>
                <w:rFonts w:cs="Times New Roman"/>
                <w:sz w:val="22"/>
              </w:rPr>
              <w:t>–</w:t>
            </w:r>
          </w:p>
        </w:tc>
      </w:tr>
      <w:tr w:rsidR="006F1DAF" w14:paraId="1CBE3D61" w14:textId="77777777" w:rsidTr="00143A09">
        <w:tc>
          <w:tcPr>
            <w:tcW w:w="1555" w:type="dxa"/>
          </w:tcPr>
          <w:p w14:paraId="5F61DCF5" w14:textId="14F73F8B" w:rsidR="00C919B6" w:rsidRPr="00D22A13" w:rsidRDefault="00C919B6" w:rsidP="00D22A13">
            <w:pPr>
              <w:ind w:firstLine="0"/>
              <w:contextualSpacing/>
              <w:rPr>
                <w:rFonts w:cs="Times New Roman"/>
                <w:sz w:val="22"/>
              </w:rPr>
            </w:pPr>
            <w:r w:rsidRPr="00D22A13">
              <w:rPr>
                <w:rFonts w:cs="Times New Roman"/>
                <w:sz w:val="22"/>
              </w:rPr>
              <w:t>Нарушения со стороны мышечной, скелетной и соединительной ткани</w:t>
            </w:r>
          </w:p>
        </w:tc>
        <w:tc>
          <w:tcPr>
            <w:tcW w:w="1615" w:type="dxa"/>
          </w:tcPr>
          <w:p w14:paraId="48667BB8" w14:textId="10AFD1A5" w:rsidR="00C919B6" w:rsidRPr="00D22A13" w:rsidRDefault="00C919B6" w:rsidP="00D22A13">
            <w:pPr>
              <w:ind w:firstLine="0"/>
              <w:contextualSpacing/>
              <w:rPr>
                <w:rFonts w:cs="Times New Roman"/>
                <w:sz w:val="22"/>
              </w:rPr>
            </w:pPr>
            <w:r w:rsidRPr="00D22A13">
              <w:rPr>
                <w:rFonts w:cs="Times New Roman"/>
                <w:sz w:val="22"/>
              </w:rPr>
              <w:t>Артралгия</w:t>
            </w:r>
          </w:p>
        </w:tc>
        <w:tc>
          <w:tcPr>
            <w:tcW w:w="1379" w:type="dxa"/>
          </w:tcPr>
          <w:p w14:paraId="77CB015C" w14:textId="77777777" w:rsidR="00C919B6" w:rsidRPr="00D22A13" w:rsidRDefault="00C919B6" w:rsidP="00D22A13">
            <w:pPr>
              <w:ind w:firstLine="0"/>
              <w:contextualSpacing/>
              <w:rPr>
                <w:rFonts w:cs="Times New Roman"/>
                <w:sz w:val="22"/>
              </w:rPr>
            </w:pPr>
            <w:r w:rsidRPr="00D22A13">
              <w:rPr>
                <w:rFonts w:cs="Times New Roman"/>
                <w:sz w:val="22"/>
              </w:rPr>
              <w:t>Отек сустава</w:t>
            </w:r>
          </w:p>
          <w:p w14:paraId="1EA51E15" w14:textId="35134DF5" w:rsidR="00C919B6" w:rsidRPr="00D22A13" w:rsidRDefault="00C919B6" w:rsidP="00D22A13">
            <w:pPr>
              <w:ind w:firstLine="0"/>
              <w:contextualSpacing/>
              <w:rPr>
                <w:rFonts w:cs="Times New Roman"/>
                <w:sz w:val="22"/>
              </w:rPr>
            </w:pPr>
            <w:r w:rsidRPr="00D22A13">
              <w:rPr>
                <w:rFonts w:cs="Times New Roman"/>
                <w:sz w:val="22"/>
              </w:rPr>
              <w:t>Тенденит</w:t>
            </w:r>
          </w:p>
        </w:tc>
        <w:tc>
          <w:tcPr>
            <w:tcW w:w="1588" w:type="dxa"/>
          </w:tcPr>
          <w:p w14:paraId="3F7FD61C" w14:textId="1CC92DF9" w:rsidR="00C919B6" w:rsidRPr="00D22A13" w:rsidRDefault="00C919B6" w:rsidP="00D22A13">
            <w:pPr>
              <w:ind w:firstLine="0"/>
              <w:contextualSpacing/>
              <w:rPr>
                <w:rFonts w:cs="Times New Roman"/>
                <w:sz w:val="22"/>
              </w:rPr>
            </w:pPr>
            <w:r w:rsidRPr="00D22A13">
              <w:rPr>
                <w:rFonts w:cs="Times New Roman"/>
                <w:sz w:val="22"/>
              </w:rPr>
              <w:t>Мышечно-скелетная боль</w:t>
            </w:r>
          </w:p>
        </w:tc>
        <w:tc>
          <w:tcPr>
            <w:tcW w:w="1487" w:type="dxa"/>
          </w:tcPr>
          <w:p w14:paraId="2645B8C7" w14:textId="4DE8B41A" w:rsidR="00C919B6" w:rsidRPr="00D22A13" w:rsidRDefault="00C919B6" w:rsidP="00D22A13">
            <w:pPr>
              <w:ind w:firstLine="0"/>
              <w:contextualSpacing/>
              <w:rPr>
                <w:rFonts w:cs="Times New Roman"/>
                <w:sz w:val="22"/>
              </w:rPr>
            </w:pPr>
            <w:r w:rsidRPr="00D22A13">
              <w:rPr>
                <w:rFonts w:cs="Times New Roman"/>
                <w:sz w:val="22"/>
              </w:rPr>
              <w:t>–</w:t>
            </w:r>
          </w:p>
        </w:tc>
        <w:tc>
          <w:tcPr>
            <w:tcW w:w="1732" w:type="dxa"/>
          </w:tcPr>
          <w:p w14:paraId="5BCE8481" w14:textId="7352223C" w:rsidR="00C919B6" w:rsidRPr="00D22A13" w:rsidRDefault="00C919B6" w:rsidP="00D22A13">
            <w:pPr>
              <w:ind w:firstLine="0"/>
              <w:contextualSpacing/>
              <w:rPr>
                <w:rFonts w:cs="Times New Roman"/>
                <w:sz w:val="22"/>
              </w:rPr>
            </w:pPr>
            <w:r w:rsidRPr="00D22A13">
              <w:rPr>
                <w:rFonts w:cs="Times New Roman"/>
                <w:sz w:val="22"/>
              </w:rPr>
              <w:t>–</w:t>
            </w:r>
          </w:p>
        </w:tc>
      </w:tr>
      <w:tr w:rsidR="006F1DAF" w14:paraId="720B0ACB" w14:textId="77777777" w:rsidTr="00143A09">
        <w:tc>
          <w:tcPr>
            <w:tcW w:w="1555" w:type="dxa"/>
          </w:tcPr>
          <w:p w14:paraId="49457706" w14:textId="65FB7CE4" w:rsidR="00A2090E" w:rsidRPr="00D22A13" w:rsidRDefault="00A2090E" w:rsidP="00D22A13">
            <w:pPr>
              <w:ind w:firstLine="0"/>
              <w:contextualSpacing/>
              <w:rPr>
                <w:rFonts w:cs="Times New Roman"/>
                <w:sz w:val="22"/>
              </w:rPr>
            </w:pPr>
            <w:r w:rsidRPr="00D22A13">
              <w:rPr>
                <w:rFonts w:cs="Times New Roman"/>
                <w:sz w:val="22"/>
              </w:rPr>
              <w:t>Общие нарушения и реакции в месте введения</w:t>
            </w:r>
          </w:p>
        </w:tc>
        <w:tc>
          <w:tcPr>
            <w:tcW w:w="1615" w:type="dxa"/>
          </w:tcPr>
          <w:p w14:paraId="08F3F148" w14:textId="3C760693" w:rsidR="00A2090E" w:rsidRPr="00D22A13" w:rsidRDefault="00A2090E" w:rsidP="00D22A13">
            <w:pPr>
              <w:ind w:firstLine="0"/>
              <w:contextualSpacing/>
              <w:rPr>
                <w:rFonts w:cs="Times New Roman"/>
                <w:sz w:val="22"/>
              </w:rPr>
            </w:pPr>
            <w:r w:rsidRPr="00D22A13">
              <w:rPr>
                <w:rFonts w:cs="Times New Roman"/>
                <w:sz w:val="22"/>
              </w:rPr>
              <w:t>Отек периферический</w:t>
            </w:r>
          </w:p>
        </w:tc>
        <w:tc>
          <w:tcPr>
            <w:tcW w:w="1379" w:type="dxa"/>
          </w:tcPr>
          <w:p w14:paraId="5299ADA8" w14:textId="77777777" w:rsidR="00A2090E" w:rsidRPr="00D22A13" w:rsidRDefault="00A2090E" w:rsidP="00D22A13">
            <w:pPr>
              <w:ind w:firstLine="0"/>
              <w:contextualSpacing/>
              <w:rPr>
                <w:rFonts w:cs="Times New Roman"/>
                <w:sz w:val="22"/>
              </w:rPr>
            </w:pPr>
            <w:r w:rsidRPr="00D22A13">
              <w:rPr>
                <w:rFonts w:cs="Times New Roman"/>
                <w:sz w:val="22"/>
              </w:rPr>
              <w:t>Лихорадка</w:t>
            </w:r>
          </w:p>
          <w:p w14:paraId="117C114E" w14:textId="220B93FE" w:rsidR="00A2090E" w:rsidRPr="00D22A13" w:rsidRDefault="00A2090E" w:rsidP="00D22A13">
            <w:pPr>
              <w:ind w:firstLine="0"/>
              <w:contextualSpacing/>
              <w:rPr>
                <w:rFonts w:cs="Times New Roman"/>
                <w:sz w:val="22"/>
              </w:rPr>
            </w:pPr>
            <w:r w:rsidRPr="00D22A13">
              <w:rPr>
                <w:rFonts w:cs="Times New Roman"/>
                <w:sz w:val="22"/>
              </w:rPr>
              <w:t>Усталость</w:t>
            </w:r>
          </w:p>
        </w:tc>
        <w:tc>
          <w:tcPr>
            <w:tcW w:w="1588" w:type="dxa"/>
          </w:tcPr>
          <w:p w14:paraId="5FB08F03" w14:textId="76CBB783" w:rsidR="00A2090E" w:rsidRPr="00D22A13" w:rsidRDefault="00A2090E" w:rsidP="00D22A13">
            <w:pPr>
              <w:ind w:firstLine="0"/>
              <w:contextualSpacing/>
              <w:rPr>
                <w:rFonts w:cs="Times New Roman"/>
                <w:sz w:val="22"/>
              </w:rPr>
            </w:pPr>
            <w:r w:rsidRPr="00D22A13">
              <w:rPr>
                <w:rFonts w:cs="Times New Roman"/>
                <w:sz w:val="22"/>
              </w:rPr>
              <w:t>–</w:t>
            </w:r>
          </w:p>
        </w:tc>
        <w:tc>
          <w:tcPr>
            <w:tcW w:w="1487" w:type="dxa"/>
          </w:tcPr>
          <w:p w14:paraId="136B5057" w14:textId="004C25A3" w:rsidR="00A2090E" w:rsidRPr="00D22A13" w:rsidRDefault="00A2090E" w:rsidP="00D22A13">
            <w:pPr>
              <w:ind w:firstLine="0"/>
              <w:contextualSpacing/>
              <w:rPr>
                <w:rFonts w:cs="Times New Roman"/>
                <w:sz w:val="22"/>
              </w:rPr>
            </w:pPr>
            <w:r w:rsidRPr="00D22A13">
              <w:rPr>
                <w:rFonts w:cs="Times New Roman"/>
                <w:sz w:val="22"/>
              </w:rPr>
              <w:t>–</w:t>
            </w:r>
          </w:p>
        </w:tc>
        <w:tc>
          <w:tcPr>
            <w:tcW w:w="1732" w:type="dxa"/>
          </w:tcPr>
          <w:p w14:paraId="16F5E2D0" w14:textId="044C9A3D" w:rsidR="00A2090E" w:rsidRPr="00D22A13" w:rsidRDefault="00A2090E" w:rsidP="00D22A13">
            <w:pPr>
              <w:ind w:firstLine="0"/>
              <w:contextualSpacing/>
              <w:rPr>
                <w:rFonts w:cs="Times New Roman"/>
                <w:sz w:val="22"/>
              </w:rPr>
            </w:pPr>
            <w:r w:rsidRPr="00D22A13">
              <w:rPr>
                <w:rFonts w:cs="Times New Roman"/>
                <w:sz w:val="22"/>
              </w:rPr>
              <w:t>–</w:t>
            </w:r>
          </w:p>
        </w:tc>
      </w:tr>
      <w:tr w:rsidR="007A763A" w14:paraId="15A61F47" w14:textId="77777777" w:rsidTr="00143A09">
        <w:tc>
          <w:tcPr>
            <w:tcW w:w="1555" w:type="dxa"/>
          </w:tcPr>
          <w:p w14:paraId="1BBFA0DB" w14:textId="2345A77C" w:rsidR="007A763A" w:rsidRPr="00D22A13" w:rsidRDefault="007A763A" w:rsidP="00D22A13">
            <w:pPr>
              <w:ind w:firstLine="0"/>
              <w:contextualSpacing/>
              <w:rPr>
                <w:rFonts w:cs="Times New Roman"/>
                <w:sz w:val="22"/>
              </w:rPr>
            </w:pPr>
            <w:r w:rsidRPr="00D22A13">
              <w:rPr>
                <w:rFonts w:cs="Times New Roman"/>
                <w:sz w:val="22"/>
              </w:rPr>
              <w:t>Лабораторные и инструментальные данные</w:t>
            </w:r>
          </w:p>
        </w:tc>
        <w:tc>
          <w:tcPr>
            <w:tcW w:w="1615" w:type="dxa"/>
          </w:tcPr>
          <w:p w14:paraId="218ABDEA" w14:textId="1DDE6563" w:rsidR="007A763A" w:rsidRPr="00D22A13" w:rsidRDefault="007A763A" w:rsidP="00D22A13">
            <w:pPr>
              <w:ind w:firstLine="0"/>
              <w:contextualSpacing/>
              <w:rPr>
                <w:rFonts w:cs="Times New Roman"/>
                <w:sz w:val="22"/>
              </w:rPr>
            </w:pPr>
            <w:r w:rsidRPr="00D22A13">
              <w:rPr>
                <w:rFonts w:cs="Times New Roman"/>
                <w:sz w:val="22"/>
              </w:rPr>
              <w:t>Увеличение активности креатинфосфокиназы в крови</w:t>
            </w:r>
          </w:p>
        </w:tc>
        <w:tc>
          <w:tcPr>
            <w:tcW w:w="1379" w:type="dxa"/>
          </w:tcPr>
          <w:p w14:paraId="0C6CD90C" w14:textId="77777777" w:rsidR="007A763A" w:rsidRPr="00D22A13" w:rsidRDefault="007A763A" w:rsidP="00D22A13">
            <w:pPr>
              <w:ind w:firstLine="0"/>
              <w:contextualSpacing/>
              <w:rPr>
                <w:rFonts w:cs="Times New Roman"/>
                <w:sz w:val="22"/>
              </w:rPr>
            </w:pPr>
            <w:r w:rsidRPr="00D22A13">
              <w:rPr>
                <w:rFonts w:cs="Times New Roman"/>
                <w:sz w:val="22"/>
              </w:rPr>
              <w:t>Увеличение уровня креатинина в крови</w:t>
            </w:r>
          </w:p>
          <w:p w14:paraId="747C7D4C" w14:textId="77777777" w:rsidR="007A763A" w:rsidRPr="00D22A13" w:rsidRDefault="007A763A" w:rsidP="00D22A13">
            <w:pPr>
              <w:ind w:firstLine="0"/>
              <w:contextualSpacing/>
              <w:rPr>
                <w:rFonts w:cs="Times New Roman"/>
                <w:sz w:val="22"/>
              </w:rPr>
            </w:pPr>
            <w:r w:rsidRPr="00D22A13">
              <w:rPr>
                <w:rFonts w:cs="Times New Roman"/>
                <w:sz w:val="22"/>
              </w:rPr>
              <w:t>Увеличение уровня холестерина в крови</w:t>
            </w:r>
          </w:p>
          <w:p w14:paraId="36D1F6E8" w14:textId="33960D63" w:rsidR="007A763A" w:rsidRPr="00D22A13" w:rsidRDefault="007A763A" w:rsidP="00D22A13">
            <w:pPr>
              <w:ind w:firstLine="0"/>
              <w:contextualSpacing/>
              <w:rPr>
                <w:rFonts w:cs="Times New Roman"/>
                <w:sz w:val="22"/>
              </w:rPr>
            </w:pPr>
            <w:r w:rsidRPr="00D22A13">
              <w:rPr>
                <w:rFonts w:cs="Times New Roman"/>
                <w:sz w:val="22"/>
              </w:rPr>
              <w:t xml:space="preserve">Увеличение уровня </w:t>
            </w:r>
            <w:r w:rsidR="00485A41" w:rsidRPr="00D22A13">
              <w:rPr>
                <w:rFonts w:cs="Times New Roman"/>
                <w:sz w:val="22"/>
              </w:rPr>
              <w:t>ЛПНП</w:t>
            </w:r>
          </w:p>
          <w:p w14:paraId="62A47101" w14:textId="26128EA5" w:rsidR="007A763A" w:rsidRPr="00D22A13" w:rsidRDefault="007A763A" w:rsidP="00D22A13">
            <w:pPr>
              <w:ind w:firstLine="0"/>
              <w:contextualSpacing/>
              <w:rPr>
                <w:rFonts w:cs="Times New Roman"/>
                <w:sz w:val="22"/>
              </w:rPr>
            </w:pPr>
            <w:r w:rsidRPr="00D22A13">
              <w:rPr>
                <w:rFonts w:cs="Times New Roman"/>
                <w:sz w:val="22"/>
              </w:rPr>
              <w:t>Увеличение массы тела</w:t>
            </w:r>
          </w:p>
        </w:tc>
        <w:tc>
          <w:tcPr>
            <w:tcW w:w="1588" w:type="dxa"/>
          </w:tcPr>
          <w:p w14:paraId="599019A4" w14:textId="0403683C" w:rsidR="007A763A" w:rsidRPr="00D22A13" w:rsidRDefault="007A763A" w:rsidP="00D22A13">
            <w:pPr>
              <w:ind w:firstLine="0"/>
              <w:contextualSpacing/>
              <w:rPr>
                <w:rFonts w:cs="Times New Roman"/>
                <w:sz w:val="22"/>
              </w:rPr>
            </w:pPr>
            <w:r w:rsidRPr="00D22A13">
              <w:rPr>
                <w:rFonts w:cs="Times New Roman"/>
                <w:sz w:val="22"/>
              </w:rPr>
              <w:t>–</w:t>
            </w:r>
          </w:p>
        </w:tc>
        <w:tc>
          <w:tcPr>
            <w:tcW w:w="1487" w:type="dxa"/>
          </w:tcPr>
          <w:p w14:paraId="08348019" w14:textId="11C27AC6" w:rsidR="007A763A" w:rsidRPr="00D22A13" w:rsidRDefault="007A763A" w:rsidP="00D22A13">
            <w:pPr>
              <w:ind w:firstLine="0"/>
              <w:contextualSpacing/>
              <w:rPr>
                <w:rFonts w:cs="Times New Roman"/>
                <w:sz w:val="22"/>
              </w:rPr>
            </w:pPr>
            <w:r w:rsidRPr="00D22A13">
              <w:rPr>
                <w:rFonts w:cs="Times New Roman"/>
                <w:sz w:val="22"/>
              </w:rPr>
              <w:t>–</w:t>
            </w:r>
          </w:p>
        </w:tc>
        <w:tc>
          <w:tcPr>
            <w:tcW w:w="1732" w:type="dxa"/>
          </w:tcPr>
          <w:p w14:paraId="6122F88D" w14:textId="6CECC183" w:rsidR="007A763A" w:rsidRPr="00D22A13" w:rsidRDefault="007A763A" w:rsidP="00D22A13">
            <w:pPr>
              <w:ind w:firstLine="0"/>
              <w:contextualSpacing/>
              <w:rPr>
                <w:rFonts w:cs="Times New Roman"/>
                <w:sz w:val="22"/>
              </w:rPr>
            </w:pPr>
            <w:r w:rsidRPr="00D22A13">
              <w:rPr>
                <w:rFonts w:cs="Times New Roman"/>
                <w:sz w:val="22"/>
              </w:rPr>
              <w:t>–</w:t>
            </w:r>
          </w:p>
        </w:tc>
      </w:tr>
      <w:tr w:rsidR="00A16D3E" w14:paraId="0234338D" w14:textId="77777777" w:rsidTr="00143A09">
        <w:tc>
          <w:tcPr>
            <w:tcW w:w="1555" w:type="dxa"/>
          </w:tcPr>
          <w:p w14:paraId="5C29F9C4" w14:textId="6467C0FB" w:rsidR="00A16D3E" w:rsidRPr="00D22A13" w:rsidRDefault="00A16D3E" w:rsidP="00D22A13">
            <w:pPr>
              <w:ind w:firstLine="0"/>
              <w:contextualSpacing/>
              <w:rPr>
                <w:rFonts w:cs="Times New Roman"/>
                <w:sz w:val="22"/>
              </w:rPr>
            </w:pPr>
            <w:r w:rsidRPr="00D22A13">
              <w:rPr>
                <w:rFonts w:cs="Times New Roman"/>
                <w:sz w:val="22"/>
              </w:rPr>
              <w:t>Травмы, интоксикации и осложнения процедур</w:t>
            </w:r>
          </w:p>
        </w:tc>
        <w:tc>
          <w:tcPr>
            <w:tcW w:w="1615" w:type="dxa"/>
          </w:tcPr>
          <w:p w14:paraId="515FCE7C" w14:textId="67356573" w:rsidR="00A16D3E" w:rsidRPr="00D22A13" w:rsidRDefault="00A16D3E" w:rsidP="00D22A13">
            <w:pPr>
              <w:ind w:firstLine="0"/>
              <w:contextualSpacing/>
              <w:rPr>
                <w:rFonts w:cs="Times New Roman"/>
                <w:sz w:val="22"/>
              </w:rPr>
            </w:pPr>
            <w:r w:rsidRPr="00D22A13">
              <w:rPr>
                <w:rFonts w:cs="Times New Roman"/>
                <w:sz w:val="22"/>
              </w:rPr>
              <w:t>–</w:t>
            </w:r>
            <w:r w:rsidRPr="00D22A13">
              <w:rPr>
                <w:rFonts w:cs="Times New Roman"/>
                <w:sz w:val="22"/>
              </w:rPr>
              <w:tab/>
            </w:r>
          </w:p>
        </w:tc>
        <w:tc>
          <w:tcPr>
            <w:tcW w:w="1379" w:type="dxa"/>
          </w:tcPr>
          <w:p w14:paraId="0BFB3368" w14:textId="77777777" w:rsidR="00A16D3E" w:rsidRPr="00D22A13" w:rsidRDefault="00A16D3E" w:rsidP="00D22A13">
            <w:pPr>
              <w:ind w:firstLine="0"/>
              <w:contextualSpacing/>
              <w:rPr>
                <w:rFonts w:cs="Times New Roman"/>
                <w:sz w:val="22"/>
              </w:rPr>
            </w:pPr>
            <w:r w:rsidRPr="00D22A13">
              <w:rPr>
                <w:rFonts w:cs="Times New Roman"/>
                <w:sz w:val="22"/>
              </w:rPr>
              <w:t>Растяжение связок</w:t>
            </w:r>
          </w:p>
          <w:p w14:paraId="638155AB" w14:textId="6BF3F91B" w:rsidR="00A16D3E" w:rsidRPr="00D22A13" w:rsidRDefault="00A16D3E" w:rsidP="00D22A13">
            <w:pPr>
              <w:ind w:firstLine="0"/>
              <w:contextualSpacing/>
              <w:rPr>
                <w:rFonts w:cs="Times New Roman"/>
                <w:sz w:val="22"/>
              </w:rPr>
            </w:pPr>
            <w:r w:rsidRPr="00D22A13">
              <w:rPr>
                <w:rFonts w:cs="Times New Roman"/>
                <w:sz w:val="22"/>
              </w:rPr>
              <w:t>Растяжение мышц</w:t>
            </w:r>
          </w:p>
        </w:tc>
        <w:tc>
          <w:tcPr>
            <w:tcW w:w="1588" w:type="dxa"/>
          </w:tcPr>
          <w:p w14:paraId="73C06D2A" w14:textId="6234A01F" w:rsidR="00A16D3E" w:rsidRPr="00D22A13" w:rsidRDefault="00A16D3E" w:rsidP="00D22A13">
            <w:pPr>
              <w:ind w:firstLine="0"/>
              <w:contextualSpacing/>
              <w:rPr>
                <w:rFonts w:cs="Times New Roman"/>
                <w:sz w:val="22"/>
              </w:rPr>
            </w:pPr>
            <w:r w:rsidRPr="00D22A13">
              <w:rPr>
                <w:rFonts w:cs="Times New Roman"/>
                <w:sz w:val="22"/>
              </w:rPr>
              <w:t>–</w:t>
            </w:r>
          </w:p>
        </w:tc>
        <w:tc>
          <w:tcPr>
            <w:tcW w:w="1487" w:type="dxa"/>
          </w:tcPr>
          <w:p w14:paraId="3828E19D" w14:textId="17EFC1CC" w:rsidR="00A16D3E" w:rsidRPr="00D22A13" w:rsidRDefault="00A16D3E" w:rsidP="00D22A13">
            <w:pPr>
              <w:ind w:firstLine="0"/>
              <w:contextualSpacing/>
              <w:rPr>
                <w:rFonts w:cs="Times New Roman"/>
                <w:sz w:val="22"/>
              </w:rPr>
            </w:pPr>
            <w:r w:rsidRPr="00D22A13">
              <w:rPr>
                <w:rFonts w:cs="Times New Roman"/>
                <w:sz w:val="22"/>
              </w:rPr>
              <w:t>–</w:t>
            </w:r>
          </w:p>
        </w:tc>
        <w:tc>
          <w:tcPr>
            <w:tcW w:w="1732" w:type="dxa"/>
          </w:tcPr>
          <w:p w14:paraId="13641988" w14:textId="63EA5E3D" w:rsidR="00A16D3E" w:rsidRPr="00D22A13" w:rsidRDefault="00A16D3E" w:rsidP="00D22A13">
            <w:pPr>
              <w:ind w:firstLine="0"/>
              <w:contextualSpacing/>
              <w:rPr>
                <w:rFonts w:cs="Times New Roman"/>
                <w:sz w:val="22"/>
              </w:rPr>
            </w:pPr>
            <w:r w:rsidRPr="00D22A13">
              <w:rPr>
                <w:rFonts w:cs="Times New Roman"/>
                <w:sz w:val="22"/>
              </w:rPr>
              <w:t>–</w:t>
            </w:r>
          </w:p>
        </w:tc>
      </w:tr>
      <w:tr w:rsidR="00D22A13" w14:paraId="3EE58B6F" w14:textId="77777777" w:rsidTr="00143A09">
        <w:tc>
          <w:tcPr>
            <w:tcW w:w="9356" w:type="dxa"/>
            <w:gridSpan w:val="6"/>
          </w:tcPr>
          <w:p w14:paraId="321F9CF7" w14:textId="1549735F" w:rsidR="00D22A13" w:rsidRPr="00D22A13" w:rsidRDefault="00D22A13" w:rsidP="00D22A13">
            <w:pPr>
              <w:pStyle w:val="SDcomments"/>
              <w:ind w:firstLine="0"/>
              <w:rPr>
                <w:b/>
                <w:iCs/>
              </w:rPr>
            </w:pPr>
            <w:r w:rsidRPr="00D22A13">
              <w:rPr>
                <w:b/>
                <w:iCs/>
              </w:rPr>
              <w:t>Примечани</w:t>
            </w:r>
            <w:r w:rsidR="002F5B6A">
              <w:rPr>
                <w:b/>
                <w:iCs/>
              </w:rPr>
              <w:t>е</w:t>
            </w:r>
            <w:r w:rsidRPr="00D22A13">
              <w:rPr>
                <w:b/>
                <w:iCs/>
              </w:rPr>
              <w:t>:</w:t>
            </w:r>
          </w:p>
          <w:p w14:paraId="0486B54A" w14:textId="01D58959" w:rsidR="00D22A13" w:rsidRPr="00FA267B" w:rsidRDefault="00D22A13" w:rsidP="00D22A13">
            <w:pPr>
              <w:pStyle w:val="SDcomments"/>
              <w:ind w:firstLine="0"/>
            </w:pPr>
            <w:r>
              <w:t xml:space="preserve">* </w:t>
            </w:r>
            <w:r w:rsidRPr="00240121">
              <w:t>–</w:t>
            </w:r>
            <w:r>
              <w:t xml:space="preserve"> не основании спонтанных сообщений; ** </w:t>
            </w:r>
            <w:r w:rsidRPr="00240121">
              <w:t>–</w:t>
            </w:r>
            <w:r>
              <w:t xml:space="preserve"> включая легочную эмболию и тромбоз глубоких вен; НР – нежелательная реакция; РА – ревматоидный артрит; АС – анкилозирующий спондилит (спондилоартрит); ЯК – язвенный колит; НМРК – немеланомный рак кожи; ЛПНП – липопротеины низкой плотности.</w:t>
            </w:r>
          </w:p>
        </w:tc>
      </w:tr>
    </w:tbl>
    <w:p w14:paraId="6D641E3D" w14:textId="34694032" w:rsidR="00C679CF" w:rsidRDefault="00C679CF" w:rsidP="002F5B6A">
      <w:pPr>
        <w:pStyle w:val="SDText"/>
        <w:spacing w:after="0"/>
      </w:pPr>
    </w:p>
    <w:p w14:paraId="44D09707" w14:textId="6E96EE68" w:rsidR="00B7225B" w:rsidRDefault="009E41D0" w:rsidP="002F5B6A">
      <w:pPr>
        <w:pStyle w:val="SDText"/>
        <w:spacing w:after="0"/>
        <w:contextualSpacing/>
      </w:pPr>
      <w:r>
        <w:t>НР</w:t>
      </w:r>
      <w:r w:rsidR="00B7225B">
        <w:t xml:space="preserve"> у пациентов с ЮИА в программе клинических исследований были </w:t>
      </w:r>
      <w:r>
        <w:t>с</w:t>
      </w:r>
      <w:r w:rsidR="0052450D">
        <w:t>о</w:t>
      </w:r>
      <w:r>
        <w:t>поставимыми</w:t>
      </w:r>
      <w:r w:rsidR="00B7225B">
        <w:t xml:space="preserve"> по типу и частоте</w:t>
      </w:r>
      <w:r>
        <w:t xml:space="preserve"> с НР </w:t>
      </w:r>
      <w:r w:rsidR="00B7225B">
        <w:t>у взрослых пациентов с РА, за исключением некоторых инфекций (грипп, фарингит, синусит, вирусная инфекция) и желудочно-кишечны</w:t>
      </w:r>
      <w:r w:rsidR="00DA4C02">
        <w:t>х</w:t>
      </w:r>
      <w:r w:rsidR="00B7225B">
        <w:t xml:space="preserve"> </w:t>
      </w:r>
      <w:r>
        <w:t xml:space="preserve">нарушений </w:t>
      </w:r>
      <w:r w:rsidR="00B7225B">
        <w:t>или общи</w:t>
      </w:r>
      <w:r>
        <w:t>х</w:t>
      </w:r>
      <w:r w:rsidR="00B7225B">
        <w:t xml:space="preserve"> расстройств (боль в животе, тошнота, рвота, лихорадка, головная боль, кашель), которые чаще встречались у детей с ЮИА</w:t>
      </w:r>
      <w:r w:rsidR="00FB022D">
        <w:t>. М</w:t>
      </w:r>
      <w:r>
        <w:t>етотрексат</w:t>
      </w:r>
      <w:r w:rsidR="00B7225B">
        <w:t xml:space="preserve"> был наиболее част</w:t>
      </w:r>
      <w:r w:rsidR="004B6793">
        <w:t xml:space="preserve">ым </w:t>
      </w:r>
      <w:r w:rsidR="0052450D">
        <w:t>препаратом</w:t>
      </w:r>
      <w:r w:rsidR="0093153F">
        <w:t>,</w:t>
      </w:r>
      <w:r w:rsidR="0052450D">
        <w:t xml:space="preserve"> </w:t>
      </w:r>
      <w:r w:rsidR="00B7225B">
        <w:t xml:space="preserve">сопутствующим </w:t>
      </w:r>
      <w:r w:rsidR="0052450D">
        <w:t xml:space="preserve">терапии, относящимся к </w:t>
      </w:r>
      <w:r w:rsidR="00617ECD">
        <w:t>т</w:t>
      </w:r>
      <w:r w:rsidR="0052450D">
        <w:t xml:space="preserve">радиционным </w:t>
      </w:r>
      <w:r w:rsidR="00617ECD">
        <w:t>сБМАРП</w:t>
      </w:r>
      <w:r w:rsidR="00B7225B">
        <w:t xml:space="preserve"> (в 1 день </w:t>
      </w:r>
      <w:r w:rsidR="00FB022D">
        <w:t xml:space="preserve">у </w:t>
      </w:r>
      <w:r w:rsidR="00B7225B">
        <w:t xml:space="preserve">156 из 157 пациентов). </w:t>
      </w:r>
      <w:r w:rsidR="00FB022D">
        <w:t>Д</w:t>
      </w:r>
      <w:r w:rsidR="00B7225B">
        <w:t xml:space="preserve">анных о профиле безопасности </w:t>
      </w:r>
      <w:r w:rsidR="00B7225B">
        <w:lastRenderedPageBreak/>
        <w:t>тофацитиниба</w:t>
      </w:r>
      <w:r w:rsidR="0093153F">
        <w:t>,</w:t>
      </w:r>
      <w:r w:rsidR="004C4388">
        <w:t xml:space="preserve"> </w:t>
      </w:r>
      <w:r w:rsidR="00FB022D">
        <w:t xml:space="preserve">применяемого </w:t>
      </w:r>
      <w:r w:rsidR="00B7225B">
        <w:t xml:space="preserve">одновременно с любыми другими </w:t>
      </w:r>
      <w:r w:rsidR="00FB022D">
        <w:t>т</w:t>
      </w:r>
      <w:r w:rsidR="009230E7">
        <w:t xml:space="preserve">радиционными </w:t>
      </w:r>
      <w:r w:rsidR="00FB022D">
        <w:t>сБМАРП</w:t>
      </w:r>
      <w:r w:rsidR="0093153F">
        <w:t>,</w:t>
      </w:r>
      <w:r w:rsidR="00AE3C29" w:rsidRPr="00AE3C29">
        <w:t xml:space="preserve"> </w:t>
      </w:r>
      <w:r w:rsidR="00FB022D">
        <w:t xml:space="preserve">недостаточно </w:t>
      </w:r>
      <w:r w:rsidR="00AE3C29">
        <w:fldChar w:fldCharType="begin"/>
      </w:r>
      <w:r w:rsidR="008D5290">
        <w:instrText xml:space="preserve"> ADDIN ZOTERO_ITEM CSL_CITATION {"citationID":"K8VyRXKh","properties":{"formattedCitation":"[24]","plainCitation":"[24]","noteIndex":0},"citationItems":[{"id":87800,"uris":["http://zotero.org/groups/4742804/items/TPCQ89X9"],"itemData":{"id":87800,"type":"webpage","title":"Xeljanz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AE3C29">
        <w:fldChar w:fldCharType="separate"/>
      </w:r>
      <w:r w:rsidR="00DE2C35">
        <w:rPr>
          <w:rFonts w:cs="Times New Roman"/>
        </w:rPr>
        <w:t>[2</w:t>
      </w:r>
      <w:r w:rsidR="008D5290" w:rsidRPr="008D5290">
        <w:rPr>
          <w:rFonts w:cs="Times New Roman"/>
        </w:rPr>
        <w:t>]</w:t>
      </w:r>
      <w:r w:rsidR="00AE3C29">
        <w:fldChar w:fldCharType="end"/>
      </w:r>
      <w:r w:rsidR="00AE3C29">
        <w:t>.</w:t>
      </w:r>
    </w:p>
    <w:p w14:paraId="2C852901" w14:textId="048DEF75" w:rsidR="004C4388" w:rsidRDefault="004C4388" w:rsidP="00D22A13">
      <w:pPr>
        <w:pStyle w:val="SDText"/>
        <w:contextualSpacing/>
      </w:pPr>
      <w:r>
        <w:t xml:space="preserve">В двойном слепом периоде исследования </w:t>
      </w:r>
      <w:r w:rsidR="00FB022D" w:rsidRPr="00FB022D">
        <w:t>A3921104</w:t>
      </w:r>
      <w:r w:rsidR="00FB022D">
        <w:t xml:space="preserve"> </w:t>
      </w:r>
      <w:r>
        <w:t xml:space="preserve">фазы </w:t>
      </w:r>
      <w:r w:rsidR="00FB022D">
        <w:rPr>
          <w:lang w:val="en-US"/>
        </w:rPr>
        <w:t>III</w:t>
      </w:r>
      <w:r>
        <w:t xml:space="preserve"> </w:t>
      </w:r>
      <w:r w:rsidR="00FB022D">
        <w:t>наиболее часты</w:t>
      </w:r>
      <w:r w:rsidR="00DA4C02">
        <w:t>е</w:t>
      </w:r>
      <w:r w:rsidR="00FB022D">
        <w:t xml:space="preserve"> НР относились к </w:t>
      </w:r>
      <w:r>
        <w:t>инфекци</w:t>
      </w:r>
      <w:r w:rsidR="00FB022D">
        <w:t>ям</w:t>
      </w:r>
      <w:r>
        <w:t xml:space="preserve"> (44,3%). Инфекции, как правило, были легкой или средней степени тяжести. В </w:t>
      </w:r>
      <w:r w:rsidR="00F527CB">
        <w:t xml:space="preserve">общей </w:t>
      </w:r>
      <w:r>
        <w:t>популяции безопасност</w:t>
      </w:r>
      <w:r w:rsidR="00F527CB">
        <w:t>и</w:t>
      </w:r>
      <w:r>
        <w:t xml:space="preserve"> у 7 пациентов развились серьезные инфекции во время лечения тофацитинибом в течение отчетного периода (до 28 дней после приема последней дозы исследуемого препарата), </w:t>
      </w:r>
      <w:r w:rsidR="00F527CB">
        <w:t>частота равнялась</w:t>
      </w:r>
      <w:r>
        <w:t xml:space="preserve"> 1,92 пациента на 100 пациенто-лет</w:t>
      </w:r>
      <w:r w:rsidR="00F527CB">
        <w:t>. Этими серьезными инфекциями являлись</w:t>
      </w:r>
      <w:r>
        <w:t xml:space="preserve"> пневмония, эпидуральная эмпиема (с синусит</w:t>
      </w:r>
      <w:r w:rsidR="003A79B8">
        <w:t>ом</w:t>
      </w:r>
      <w:r>
        <w:t xml:space="preserve"> и поднадкостничны</w:t>
      </w:r>
      <w:r w:rsidR="003A79B8">
        <w:t>м</w:t>
      </w:r>
      <w:r>
        <w:t xml:space="preserve"> абсцесс</w:t>
      </w:r>
      <w:r w:rsidR="003A79B8">
        <w:t>ом</w:t>
      </w:r>
      <w:r>
        <w:t xml:space="preserve">), </w:t>
      </w:r>
      <w:r w:rsidR="00707625">
        <w:t xml:space="preserve">эпителиальный </w:t>
      </w:r>
      <w:r>
        <w:t>копчиков</w:t>
      </w:r>
      <w:r w:rsidR="00707625">
        <w:t>ый</w:t>
      </w:r>
      <w:r>
        <w:t xml:space="preserve"> </w:t>
      </w:r>
      <w:r w:rsidR="00707625">
        <w:t>ход</w:t>
      </w:r>
      <w:r>
        <w:t>, аппендицит, пиелонефрит</w:t>
      </w:r>
      <w:r w:rsidR="003A79B8">
        <w:t>, вызванный кишечной палочкой</w:t>
      </w:r>
      <w:r>
        <w:t xml:space="preserve">, абсцесс конечностей и </w:t>
      </w:r>
      <w:r w:rsidR="00D96F4B">
        <w:t>инфекция мочевыводящих путей</w:t>
      </w:r>
      <w:r>
        <w:t xml:space="preserve">. В комплексной популяции безопасности у 3 пациентов </w:t>
      </w:r>
      <w:r w:rsidR="00D96F4B">
        <w:t>отмечали</w:t>
      </w:r>
      <w:r>
        <w:t xml:space="preserve"> несерьезные случаи опоясывающего </w:t>
      </w:r>
      <w:r w:rsidR="00D96F4B">
        <w:t>лишая</w:t>
      </w:r>
      <w:r>
        <w:t xml:space="preserve"> в течение отчетн</w:t>
      </w:r>
      <w:r w:rsidR="00D96F4B">
        <w:t>ого периода</w:t>
      </w:r>
      <w:r>
        <w:t xml:space="preserve">, </w:t>
      </w:r>
      <w:r w:rsidR="00D96F4B">
        <w:t xml:space="preserve">частота равнялась </w:t>
      </w:r>
      <w:r>
        <w:t xml:space="preserve">0,82 на 100 пациенто-лет. Еще у одного пациента развился случай серьезного </w:t>
      </w:r>
      <w:r w:rsidR="00D96F4B">
        <w:t>опоясывающего лишая</w:t>
      </w:r>
      <w:r>
        <w:t xml:space="preserve"> </w:t>
      </w:r>
      <w:r w:rsidR="00D96F4B">
        <w:t xml:space="preserve">в период, не входящий в отчетный </w:t>
      </w:r>
      <w:r w:rsidR="00AE3C29">
        <w:fldChar w:fldCharType="begin"/>
      </w:r>
      <w:r w:rsidR="008D5290">
        <w:instrText xml:space="preserve"> ADDIN ZOTERO_ITEM CSL_CITATION {"citationID":"B7uzfJEE","properties":{"formattedCitation":"[24]","plainCitation":"[24]","noteIndex":0},"citationItems":[{"id":87800,"uris":["http://zotero.org/groups/4742804/items/TPCQ89X9"],"itemData":{"id":87800,"type":"webpage","title":"Xeljanz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AE3C29">
        <w:fldChar w:fldCharType="separate"/>
      </w:r>
      <w:r w:rsidR="00DE2C35">
        <w:rPr>
          <w:rFonts w:cs="Times New Roman"/>
        </w:rPr>
        <w:t>[2</w:t>
      </w:r>
      <w:r w:rsidR="008D5290" w:rsidRPr="008D5290">
        <w:rPr>
          <w:rFonts w:cs="Times New Roman"/>
        </w:rPr>
        <w:t>]</w:t>
      </w:r>
      <w:r w:rsidR="00AE3C29">
        <w:fldChar w:fldCharType="end"/>
      </w:r>
      <w:r w:rsidR="00AE3C29">
        <w:t>.</w:t>
      </w:r>
    </w:p>
    <w:p w14:paraId="115C6BE8" w14:textId="31745D91" w:rsidR="004C4388" w:rsidRDefault="00AE3C29" w:rsidP="00220E80">
      <w:pPr>
        <w:pStyle w:val="SDText"/>
        <w:spacing w:after="0"/>
        <w:contextualSpacing/>
      </w:pPr>
      <w:r>
        <w:t>Пациенты</w:t>
      </w:r>
      <w:r w:rsidR="0053776D">
        <w:t>, включенные</w:t>
      </w:r>
      <w:r>
        <w:t xml:space="preserve"> в исследовани</w:t>
      </w:r>
      <w:r w:rsidR="0093153F">
        <w:t>е</w:t>
      </w:r>
      <w:r>
        <w:t xml:space="preserve"> </w:t>
      </w:r>
      <w:r w:rsidR="0053776D" w:rsidRPr="00FB022D">
        <w:t>A3921104</w:t>
      </w:r>
      <w:r w:rsidR="0053776D">
        <w:t xml:space="preserve">, </w:t>
      </w:r>
      <w:r>
        <w:t>должны были иметь</w:t>
      </w:r>
      <w:r w:rsidR="0053776D">
        <w:t xml:space="preserve"> активность</w:t>
      </w:r>
      <w:r>
        <w:t xml:space="preserve"> АСТ и АЛТ </w:t>
      </w:r>
      <w:r w:rsidR="00C83F53">
        <w:t>не превышающую верхнюю границу нормы (ВГН) в 1,5 раза</w:t>
      </w:r>
      <w:r>
        <w:t xml:space="preserve">. В </w:t>
      </w:r>
      <w:r w:rsidR="00C83F53">
        <w:t>общей популяции</w:t>
      </w:r>
      <w:r>
        <w:t xml:space="preserve"> безопасности было 2 пациента с повышением уровня АЛТ в ≥ 3 раз выше ВГН при 2 последовательных визитах. Ни одно событие не </w:t>
      </w:r>
      <w:r w:rsidR="00CB3942">
        <w:t>отвечало критериям</w:t>
      </w:r>
      <w:r>
        <w:t xml:space="preserve"> закон</w:t>
      </w:r>
      <w:r w:rsidR="00CB3942">
        <w:t>а</w:t>
      </w:r>
      <w:r>
        <w:t xml:space="preserve"> </w:t>
      </w:r>
      <w:r w:rsidR="00CB3942">
        <w:t>Хая.</w:t>
      </w:r>
      <w:r>
        <w:t xml:space="preserve"> Оба пациента получали фоновую терапию метотрексатом, и каждый случай разрешался после прекращения лечения</w:t>
      </w:r>
      <w:r w:rsidR="00CB3942">
        <w:t xml:space="preserve"> </w:t>
      </w:r>
      <w:r>
        <w:t>метотрексат</w:t>
      </w:r>
      <w:r w:rsidR="00CB3942">
        <w:t>ом</w:t>
      </w:r>
      <w:r>
        <w:t xml:space="preserve"> и </w:t>
      </w:r>
      <w:r w:rsidR="00F47B47">
        <w:t>полной</w:t>
      </w:r>
      <w:r>
        <w:t xml:space="preserve"> </w:t>
      </w:r>
      <w:r w:rsidR="00F47B47">
        <w:t>отмен</w:t>
      </w:r>
      <w:r w:rsidR="003B30B0">
        <w:t>ы</w:t>
      </w:r>
      <w:r>
        <w:t xml:space="preserve"> тофацитиниба </w:t>
      </w:r>
      <w:r>
        <w:fldChar w:fldCharType="begin"/>
      </w:r>
      <w:r w:rsidR="008D5290">
        <w:instrText xml:space="preserve"> ADDIN ZOTERO_ITEM CSL_CITATION {"citationID":"Hw9roYTj","properties":{"formattedCitation":"[24]","plainCitation":"[24]","noteIndex":0},"citationItems":[{"id":87800,"uris":["http://zotero.org/groups/4742804/items/TPCQ89X9"],"itemData":{"id":87800,"type":"webpage","title":"Xeljanz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58365B44" w14:textId="77777777" w:rsidR="00220E80" w:rsidRPr="00832591" w:rsidRDefault="00220E80" w:rsidP="00220E80">
      <w:pPr>
        <w:pStyle w:val="SDText"/>
        <w:spacing w:after="0"/>
        <w:contextualSpacing/>
      </w:pPr>
    </w:p>
    <w:p w14:paraId="4F87BF34" w14:textId="3303A1E4" w:rsidR="005F064C" w:rsidRPr="00D22A13" w:rsidRDefault="009E14FC" w:rsidP="00220E80">
      <w:pPr>
        <w:pStyle w:val="5"/>
        <w:numPr>
          <w:ilvl w:val="0"/>
          <w:numId w:val="0"/>
        </w:numPr>
        <w:spacing w:before="0"/>
        <w:contextualSpacing/>
        <w:rPr>
          <w:b/>
          <w:i w:val="0"/>
        </w:rPr>
      </w:pPr>
      <w:r>
        <w:rPr>
          <w:b/>
          <w:i w:val="0"/>
        </w:rPr>
        <w:t xml:space="preserve">4.3.2.2.2. </w:t>
      </w:r>
      <w:r w:rsidR="005F064C" w:rsidRPr="00D22A13">
        <w:rPr>
          <w:b/>
          <w:i w:val="0"/>
        </w:rPr>
        <w:t>Таблетки с модифицированным высвобождением, покрытые пленочной оболочкой</w:t>
      </w:r>
    </w:p>
    <w:p w14:paraId="4D28EF2D" w14:textId="77777777" w:rsidR="00D22A13" w:rsidRDefault="00D22A13" w:rsidP="00220E80">
      <w:pPr>
        <w:pStyle w:val="SDText"/>
        <w:spacing w:after="0"/>
        <w:contextualSpacing/>
      </w:pPr>
    </w:p>
    <w:p w14:paraId="366C8078" w14:textId="6FD163EC" w:rsidR="00D22A13" w:rsidRDefault="00C8369B" w:rsidP="00220E80">
      <w:pPr>
        <w:pStyle w:val="SDText"/>
        <w:spacing w:after="0"/>
        <w:contextualSpacing/>
      </w:pPr>
      <w:r>
        <w:t xml:space="preserve">В исследовании </w:t>
      </w:r>
      <w:r w:rsidRPr="00473530">
        <w:t xml:space="preserve">ORAL Shift </w:t>
      </w:r>
      <w:r w:rsidR="00607B7B">
        <w:t xml:space="preserve">у </w:t>
      </w:r>
      <w:r w:rsidR="006D23DB">
        <w:t>107 (41%) из 264 пациентов в группе тофацитиниба</w:t>
      </w:r>
      <w:r w:rsidR="0001589C">
        <w:t xml:space="preserve"> </w:t>
      </w:r>
      <w:r w:rsidR="003B30B0">
        <w:t xml:space="preserve">из </w:t>
      </w:r>
      <w:r w:rsidR="006D23DB">
        <w:t>групп</w:t>
      </w:r>
      <w:r w:rsidR="003B30B0">
        <w:t>ы</w:t>
      </w:r>
      <w:r w:rsidR="006D23DB">
        <w:t xml:space="preserve"> монотерапии и у 109 (41%) из 266 </w:t>
      </w:r>
      <w:r w:rsidR="00040ED6">
        <w:t>больных из</w:t>
      </w:r>
      <w:r w:rsidR="006D23DB">
        <w:t xml:space="preserve"> групп</w:t>
      </w:r>
      <w:r w:rsidR="00040ED6">
        <w:t>ы</w:t>
      </w:r>
      <w:r w:rsidR="006D23DB">
        <w:t xml:space="preserve"> тофацитиниб</w:t>
      </w:r>
      <w:r w:rsidR="00607B7B">
        <w:t xml:space="preserve"> +</w:t>
      </w:r>
      <w:r w:rsidR="006D23DB">
        <w:t xml:space="preserve"> метотрексат </w:t>
      </w:r>
      <w:r w:rsidR="00D15A3F">
        <w:t>зарегистрировали НЯ</w:t>
      </w:r>
      <w:r w:rsidR="00CC10BD">
        <w:t>.</w:t>
      </w:r>
      <w:r w:rsidR="006D23DB">
        <w:t xml:space="preserve"> </w:t>
      </w:r>
      <w:r w:rsidR="00066C14">
        <w:t xml:space="preserve">Большинство </w:t>
      </w:r>
      <w:r w:rsidR="00CC10BD">
        <w:t>НЯ</w:t>
      </w:r>
      <w:r w:rsidR="00066C14">
        <w:t xml:space="preserve"> были легкой или средней степени тяжести. Наиболее часты</w:t>
      </w:r>
      <w:r w:rsidR="003B30B0">
        <w:t>ми</w:t>
      </w:r>
      <w:r w:rsidR="00066C14">
        <w:t xml:space="preserve"> </w:t>
      </w:r>
      <w:r w:rsidR="00CC10BD">
        <w:t>НЯ</w:t>
      </w:r>
      <w:r w:rsidR="00066C14">
        <w:t xml:space="preserve"> (возникающи</w:t>
      </w:r>
      <w:r w:rsidR="003B30B0">
        <w:t>ми</w:t>
      </w:r>
      <w:r w:rsidR="00066C14">
        <w:t xml:space="preserve"> </w:t>
      </w:r>
      <w:r w:rsidR="00CC10BD">
        <w:t>у</w:t>
      </w:r>
      <w:r w:rsidR="00066C14">
        <w:t xml:space="preserve"> ≥</w:t>
      </w:r>
      <w:r w:rsidR="00CC10BD">
        <w:t xml:space="preserve"> </w:t>
      </w:r>
      <w:r w:rsidR="00066C14">
        <w:t xml:space="preserve">2% пациентов </w:t>
      </w:r>
      <w:r w:rsidR="00CC10BD">
        <w:t>из</w:t>
      </w:r>
      <w:r w:rsidR="00066C14">
        <w:t xml:space="preserve"> обеих групп лечения) были </w:t>
      </w:r>
      <w:r w:rsidR="00CC10BD">
        <w:t>увеличение активности АЛТ</w:t>
      </w:r>
      <w:r w:rsidR="00066C14">
        <w:t xml:space="preserve"> (</w:t>
      </w:r>
      <w:r w:rsidR="00CC10BD">
        <w:t>5</w:t>
      </w:r>
      <w:r w:rsidR="00066C14">
        <w:t xml:space="preserve"> [2%] из 264 в группе монотерапии тофацитинибом по сравнению с </w:t>
      </w:r>
      <w:r w:rsidR="00CC10BD">
        <w:t>10</w:t>
      </w:r>
      <w:r w:rsidR="00066C14">
        <w:t xml:space="preserve"> [4%] из 266 в </w:t>
      </w:r>
      <w:r w:rsidR="00CC10BD">
        <w:t>групп</w:t>
      </w:r>
      <w:r w:rsidR="003B30B0">
        <w:t>е</w:t>
      </w:r>
      <w:r w:rsidR="00066C14">
        <w:t xml:space="preserve"> тофацитиниб </w:t>
      </w:r>
      <w:r w:rsidR="00CC10BD">
        <w:t>+</w:t>
      </w:r>
      <w:r w:rsidR="00066C14">
        <w:t xml:space="preserve"> метотрексат) и назофарингит (</w:t>
      </w:r>
      <w:r w:rsidR="00CC10BD">
        <w:t>5</w:t>
      </w:r>
      <w:r w:rsidR="00066C14">
        <w:t xml:space="preserve"> [2%] против </w:t>
      </w:r>
      <w:r w:rsidR="00CC10BD">
        <w:t>7</w:t>
      </w:r>
      <w:r w:rsidR="00066C14">
        <w:t xml:space="preserve"> [3%]</w:t>
      </w:r>
      <w:r w:rsidR="00CC10BD">
        <w:t xml:space="preserve"> соответственно</w:t>
      </w:r>
      <w:r w:rsidR="00066C14">
        <w:t xml:space="preserve">). </w:t>
      </w:r>
      <w:r w:rsidR="002C466B">
        <w:t>Частота НЯ, характеризующих переносимость</w:t>
      </w:r>
      <w:r w:rsidR="00066C14">
        <w:t xml:space="preserve"> (например, тошнота, рвота, диарея, головные боли, дискомфорт в животе)</w:t>
      </w:r>
      <w:r w:rsidR="00CC10BD">
        <w:t>,</w:t>
      </w:r>
      <w:r w:rsidR="00066C14">
        <w:t xml:space="preserve"> был</w:t>
      </w:r>
      <w:r w:rsidR="002C466B">
        <w:t>а</w:t>
      </w:r>
      <w:r w:rsidR="00066C14">
        <w:t xml:space="preserve"> низк</w:t>
      </w:r>
      <w:r w:rsidR="002C466B">
        <w:t>ой</w:t>
      </w:r>
      <w:r w:rsidR="00066C14">
        <w:t xml:space="preserve"> (&lt;</w:t>
      </w:r>
      <w:r w:rsidR="002C466B">
        <w:t xml:space="preserve"> </w:t>
      </w:r>
      <w:r w:rsidR="00066C14">
        <w:t xml:space="preserve">2%) </w:t>
      </w:r>
      <w:r w:rsidR="002C466B">
        <w:t>для</w:t>
      </w:r>
      <w:r w:rsidR="00066C14">
        <w:t xml:space="preserve"> об</w:t>
      </w:r>
      <w:r w:rsidR="003B30B0">
        <w:t>е</w:t>
      </w:r>
      <w:r w:rsidR="00066C14">
        <w:t xml:space="preserve">их групп </w:t>
      </w:r>
      <w:r w:rsidR="002C466B">
        <w:fldChar w:fldCharType="begin"/>
      </w:r>
      <w:r w:rsidR="008D5290">
        <w:instrText xml:space="preserve"> ADDIN ZOTERO_ITEM CSL_CITATION {"citationID":"Qy416bVq","properties":{"formattedCitation":"[30]","plainCitation":"[30]","noteIndex":0},"citationItems":[{"id":87795,"uris":["http://zotero.org/groups/4742804/items/UV9PI7FR"],"itemData":{"id":87795,"type":"article-journal","abstract":"Background\nTofacitinib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rsidR="002C466B">
        <w:fldChar w:fldCharType="separate"/>
      </w:r>
      <w:r w:rsidR="00DE2C35">
        <w:rPr>
          <w:rFonts w:cs="Times New Roman"/>
        </w:rPr>
        <w:t>[</w:t>
      </w:r>
      <w:r w:rsidR="00DE2C35" w:rsidRPr="00014867">
        <w:rPr>
          <w:rFonts w:cs="Times New Roman"/>
        </w:rPr>
        <w:t>8</w:t>
      </w:r>
      <w:r w:rsidR="008D5290" w:rsidRPr="008D5290">
        <w:rPr>
          <w:rFonts w:cs="Times New Roman"/>
        </w:rPr>
        <w:t>]</w:t>
      </w:r>
      <w:r w:rsidR="002C466B">
        <w:fldChar w:fldCharType="end"/>
      </w:r>
      <w:r w:rsidR="002F5B6A">
        <w:t>.</w:t>
      </w:r>
    </w:p>
    <w:p w14:paraId="4EF351F0" w14:textId="77777777" w:rsidR="00220E80" w:rsidRDefault="00220E80" w:rsidP="00220E80">
      <w:pPr>
        <w:pStyle w:val="SDText"/>
        <w:spacing w:after="0"/>
        <w:contextualSpacing/>
      </w:pPr>
    </w:p>
    <w:p w14:paraId="158C9376" w14:textId="2D6671DC" w:rsidR="007A31F7" w:rsidRDefault="009E14FC" w:rsidP="009E14FC">
      <w:pPr>
        <w:pStyle w:val="4"/>
        <w:numPr>
          <w:ilvl w:val="0"/>
          <w:numId w:val="0"/>
        </w:numPr>
        <w:contextualSpacing/>
      </w:pPr>
      <w:bookmarkStart w:id="260" w:name="_Toc115421088"/>
      <w:bookmarkStart w:id="261" w:name="_Toc121592610"/>
      <w:r>
        <w:t xml:space="preserve">4.3.2.3. </w:t>
      </w:r>
      <w:r w:rsidR="007A31F7" w:rsidRPr="007A31F7">
        <w:t>Серьезные нежелательные явления, летальные исходы и явления, представляющие особый интерес</w:t>
      </w:r>
      <w:bookmarkEnd w:id="260"/>
      <w:bookmarkEnd w:id="261"/>
    </w:p>
    <w:p w14:paraId="7B893D61" w14:textId="77777777" w:rsidR="00D22A13" w:rsidRPr="00D22A13" w:rsidRDefault="00D22A13" w:rsidP="00220E80">
      <w:pPr>
        <w:spacing w:after="0"/>
      </w:pPr>
    </w:p>
    <w:p w14:paraId="413D52C9" w14:textId="4E2AD595" w:rsidR="005F064C" w:rsidRPr="00D22A13" w:rsidRDefault="009E14FC" w:rsidP="00220E80">
      <w:pPr>
        <w:pStyle w:val="5"/>
        <w:numPr>
          <w:ilvl w:val="0"/>
          <w:numId w:val="0"/>
        </w:numPr>
        <w:ind w:left="1008" w:hanging="1008"/>
        <w:contextualSpacing/>
        <w:rPr>
          <w:b/>
          <w:i w:val="0"/>
        </w:rPr>
      </w:pPr>
      <w:r>
        <w:rPr>
          <w:b/>
          <w:i w:val="0"/>
        </w:rPr>
        <w:t xml:space="preserve">4.3.2.3.1. </w:t>
      </w:r>
      <w:r w:rsidR="005F064C" w:rsidRPr="00D22A13">
        <w:rPr>
          <w:b/>
          <w:i w:val="0"/>
        </w:rPr>
        <w:t>Таблетки, покрытые пленочной оболочкой</w:t>
      </w:r>
    </w:p>
    <w:p w14:paraId="5B049E82" w14:textId="77777777" w:rsidR="00D22A13" w:rsidRDefault="00D22A13" w:rsidP="00220E80">
      <w:pPr>
        <w:pStyle w:val="SDText"/>
        <w:spacing w:after="0"/>
        <w:contextualSpacing/>
      </w:pPr>
    </w:p>
    <w:p w14:paraId="140D473B" w14:textId="07B23263" w:rsidR="001C19C7" w:rsidRDefault="001C19C7" w:rsidP="00220E80">
      <w:pPr>
        <w:pStyle w:val="SDText"/>
        <w:spacing w:after="0"/>
        <w:contextualSpacing/>
      </w:pPr>
      <w:r w:rsidRPr="00FF31EF">
        <w:t xml:space="preserve">Наиболее частыми серьезными </w:t>
      </w:r>
      <w:r w:rsidR="00D64025">
        <w:t>НР</w:t>
      </w:r>
      <w:r w:rsidRPr="00FF31EF">
        <w:t xml:space="preserve"> </w:t>
      </w:r>
      <w:r w:rsidR="005A01A3">
        <w:t xml:space="preserve">в исследованиях с участием пациентов с РА </w:t>
      </w:r>
      <w:r w:rsidRPr="00FF31EF">
        <w:t xml:space="preserve">были серьезные инфекции. В </w:t>
      </w:r>
      <w:r>
        <w:t xml:space="preserve">длительных исследованиях </w:t>
      </w:r>
      <w:r w:rsidRPr="00FF31EF">
        <w:t xml:space="preserve">безопасности для </w:t>
      </w:r>
      <w:r>
        <w:t>всей популяции</w:t>
      </w:r>
      <w:r w:rsidRPr="00FF31EF">
        <w:t>, подвергш</w:t>
      </w:r>
      <w:r>
        <w:t>ей</w:t>
      </w:r>
      <w:r w:rsidRPr="00FF31EF">
        <w:t xml:space="preserve">ся воздействию, наиболее частыми серьезными инфекциями, о которых сообщалось при </w:t>
      </w:r>
      <w:r>
        <w:t>использовании</w:t>
      </w:r>
      <w:r w:rsidRPr="00FF31EF">
        <w:t xml:space="preserve"> тофацитиниба, были</w:t>
      </w:r>
      <w:r>
        <w:t xml:space="preserve"> </w:t>
      </w:r>
      <w:r w:rsidRPr="00FF31EF">
        <w:t>пневмония (1,7%), опоясывающий герпес (0,6%), инфекция мочевыводящих путей (0,4%), флегмона (0,4%), дивертикулит</w:t>
      </w:r>
      <w:r>
        <w:t xml:space="preserve"> </w:t>
      </w:r>
      <w:r w:rsidRPr="00FF31EF">
        <w:t xml:space="preserve">(0,3%) и аппендицит (0,2%). Среди оппортунистических инфекций </w:t>
      </w:r>
      <w:r>
        <w:t xml:space="preserve">были </w:t>
      </w:r>
      <w:r w:rsidRPr="00FF31EF">
        <w:t>туберкулез и другие микобактериальные</w:t>
      </w:r>
      <w:r>
        <w:t xml:space="preserve"> </w:t>
      </w:r>
      <w:r w:rsidRPr="00FF31EF">
        <w:t>инфекции, криптококк</w:t>
      </w:r>
      <w:r>
        <w:t>оз</w:t>
      </w:r>
      <w:r w:rsidRPr="00FF31EF">
        <w:t xml:space="preserve">, гистоплазмоз, кандидоз пищевода, мультидерматомный опоясывающий </w:t>
      </w:r>
      <w:r>
        <w:t>лишай</w:t>
      </w:r>
      <w:r w:rsidRPr="00FF31EF">
        <w:t>,</w:t>
      </w:r>
      <w:r>
        <w:t xml:space="preserve"> </w:t>
      </w:r>
      <w:r w:rsidRPr="00FF31EF">
        <w:t xml:space="preserve">при </w:t>
      </w:r>
      <w:r w:rsidR="0019117A">
        <w:t>использовании</w:t>
      </w:r>
      <w:r w:rsidRPr="00FF31EF">
        <w:t xml:space="preserve"> тофацитиниба </w:t>
      </w:r>
      <w:r>
        <w:t>отмечали случаи</w:t>
      </w:r>
      <w:r w:rsidRPr="00FF31EF">
        <w:t xml:space="preserve"> цитомегаловирусной инфекции, </w:t>
      </w:r>
      <w:r>
        <w:t>полиома</w:t>
      </w:r>
      <w:r w:rsidRPr="00FF31EF">
        <w:t>вирусн</w:t>
      </w:r>
      <w:r>
        <w:t>ой</w:t>
      </w:r>
      <w:r w:rsidRPr="00FF31EF">
        <w:t xml:space="preserve"> инфекци</w:t>
      </w:r>
      <w:r>
        <w:t>и</w:t>
      </w:r>
      <w:r w:rsidRPr="00FF31EF">
        <w:t xml:space="preserve"> и </w:t>
      </w:r>
      <w:r w:rsidRPr="00FF31EF">
        <w:lastRenderedPageBreak/>
        <w:t>листериоз</w:t>
      </w:r>
      <w:r>
        <w:t>а</w:t>
      </w:r>
      <w:r w:rsidRPr="00FF31EF">
        <w:t xml:space="preserve">. </w:t>
      </w:r>
      <w:r>
        <w:t>У н</w:t>
      </w:r>
      <w:r w:rsidRPr="00FF31EF">
        <w:t>е</w:t>
      </w:r>
      <w:r>
        <w:t xml:space="preserve">которых </w:t>
      </w:r>
      <w:r w:rsidRPr="00FF31EF">
        <w:t>пациентов наблюда</w:t>
      </w:r>
      <w:r>
        <w:t>ли</w:t>
      </w:r>
      <w:r w:rsidRPr="00FF31EF">
        <w:t xml:space="preserve"> диссеминированное, а не локализованное заболевание. </w:t>
      </w:r>
      <w:r>
        <w:t>Кроме того, регистрировали д</w:t>
      </w:r>
      <w:r w:rsidRPr="00FF31EF">
        <w:t>ругие серьезные инфекции, которые</w:t>
      </w:r>
      <w:r>
        <w:t xml:space="preserve"> </w:t>
      </w:r>
      <w:r w:rsidRPr="00FF31EF">
        <w:t xml:space="preserve">в клинических исследованиях также не </w:t>
      </w:r>
      <w:r>
        <w:t>выявляли</w:t>
      </w:r>
      <w:r w:rsidRPr="00FF31EF">
        <w:t xml:space="preserve"> (например, кокцидиоидомикоз)</w:t>
      </w:r>
      <w:r w:rsidR="00C16768">
        <w:t xml:space="preserve">. В </w:t>
      </w:r>
      <w:r w:rsidR="00C16768" w:rsidRPr="00C16768">
        <w:t>исследовани</w:t>
      </w:r>
      <w:r w:rsidR="00C16768">
        <w:t>ях</w:t>
      </w:r>
      <w:r w:rsidR="00C16768" w:rsidRPr="00C16768">
        <w:t xml:space="preserve"> индукции </w:t>
      </w:r>
      <w:r w:rsidR="00C16768">
        <w:t xml:space="preserve">и поддержания </w:t>
      </w:r>
      <w:r w:rsidR="00C16768" w:rsidRPr="00C16768">
        <w:t xml:space="preserve">ремиссии у пациентов с ЯК </w:t>
      </w:r>
      <w:r w:rsidR="00D64025">
        <w:t>наиболее часты</w:t>
      </w:r>
      <w:r w:rsidR="007644F4">
        <w:t>е</w:t>
      </w:r>
      <w:r w:rsidR="00D64025">
        <w:t xml:space="preserve"> серьезны</w:t>
      </w:r>
      <w:r w:rsidR="007644F4">
        <w:t>е</w:t>
      </w:r>
      <w:r w:rsidR="00D64025">
        <w:t xml:space="preserve"> НР </w:t>
      </w:r>
      <w:r w:rsidR="007644F4">
        <w:t xml:space="preserve">относились к </w:t>
      </w:r>
      <w:r w:rsidR="007F19E8">
        <w:t>ка</w:t>
      </w:r>
      <w:r w:rsidR="007644F4">
        <w:t>тегориям нарушения со стороны ЖКТ и инфекции, наиболее частой серьезной НР являлось ухудшение ЯК</w:t>
      </w:r>
      <w:r w:rsidRPr="001C19C7">
        <w:t xml:space="preserve"> </w:t>
      </w:r>
      <w:r>
        <w:fldChar w:fldCharType="begin"/>
      </w:r>
      <w:r w:rsidR="008D5290">
        <w:instrText xml:space="preserve"> ADDIN ZOTERO_ITEM CSL_CITATION {"citationID":"ntk8x7an","properties":{"formattedCitation":"[24]","plainCitation":"[24]","noteIndex":0},"citationItems":[{"id":87800,"uris":["http://zotero.org/groups/4742804/items/TPCQ89X9"],"itemData":{"id":87800,"type":"webpage","title":"Xeljanz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7B4E1BF1" w14:textId="70705CEE" w:rsidR="007F19E8" w:rsidRDefault="007F19E8" w:rsidP="00D22A13">
      <w:pPr>
        <w:pStyle w:val="SDText"/>
        <w:contextualSpacing/>
      </w:pPr>
      <w:r>
        <w:t>В крупном рандомизированном пострегистрационном исследовании безопасности пациент</w:t>
      </w:r>
      <w:r w:rsidR="0049146E">
        <w:t>ы</w:t>
      </w:r>
      <w:r>
        <w:t xml:space="preserve"> с </w:t>
      </w:r>
      <w:r w:rsidR="0049146E">
        <w:t>РА</w:t>
      </w:r>
      <w:r w:rsidR="00CC1CCA">
        <w:t xml:space="preserve"> </w:t>
      </w:r>
      <w:r>
        <w:t xml:space="preserve">были в возрасте 50 лет и старше и имели как минимум один дополнительный фактор </w:t>
      </w:r>
      <w:r w:rsidR="008232F5">
        <w:t xml:space="preserve">риска </w:t>
      </w:r>
      <w:r>
        <w:t>сердечно-сосудист</w:t>
      </w:r>
      <w:r w:rsidR="008232F5">
        <w:t>ых заболеваний</w:t>
      </w:r>
      <w:r>
        <w:t>, наблюда</w:t>
      </w:r>
      <w:r w:rsidR="00A25A33">
        <w:t>ли</w:t>
      </w:r>
      <w:r>
        <w:t xml:space="preserve"> дозозависим</w:t>
      </w:r>
      <w:r w:rsidR="00A25A33">
        <w:t>ое</w:t>
      </w:r>
      <w:r>
        <w:t xml:space="preserve"> </w:t>
      </w:r>
      <w:r w:rsidR="00A25A33">
        <w:t xml:space="preserve">повышение частоты ВТЭ </w:t>
      </w:r>
      <w:r>
        <w:t>у пациентов, получавших тофацитиниб</w:t>
      </w:r>
      <w:r w:rsidR="00A25A33">
        <w:t>,</w:t>
      </w:r>
      <w:r w:rsidR="00CC1CCA">
        <w:t xml:space="preserve"> </w:t>
      </w:r>
      <w:r>
        <w:t xml:space="preserve">по сравнению с ингибиторами </w:t>
      </w:r>
      <w:r w:rsidR="00A25A33">
        <w:rPr>
          <w:lang w:val="en-US"/>
        </w:rPr>
        <w:t>TNF</w:t>
      </w:r>
      <w:r w:rsidR="00A25A33" w:rsidRPr="00A25A33">
        <w:t>-</w:t>
      </w:r>
      <w:r w:rsidR="00A25A33">
        <w:rPr>
          <w:rFonts w:cs="Times New Roman"/>
        </w:rPr>
        <w:t>α</w:t>
      </w:r>
      <w:r>
        <w:t>. Большинство из этих событий были серьезными, а некоторые закончились смертью. В</w:t>
      </w:r>
      <w:r w:rsidR="00CC1CCA">
        <w:t xml:space="preserve"> </w:t>
      </w:r>
      <w:r>
        <w:t>промежуточн</w:t>
      </w:r>
      <w:r w:rsidR="00992221">
        <w:t>ом</w:t>
      </w:r>
      <w:r>
        <w:t xml:space="preserve"> анализ</w:t>
      </w:r>
      <w:r w:rsidR="00992221">
        <w:t>е</w:t>
      </w:r>
      <w:r>
        <w:t xml:space="preserve"> безопасности </w:t>
      </w:r>
      <w:r w:rsidR="00B01171">
        <w:t xml:space="preserve">частота тромбоэмболии </w:t>
      </w:r>
      <w:r w:rsidR="001A52BB">
        <w:t xml:space="preserve">легочной артерии (ТЭЛА) </w:t>
      </w:r>
      <w:r>
        <w:t>(95% ДИ) для тофацитиниба в дозе 10 мг два раза в день,</w:t>
      </w:r>
      <w:r w:rsidR="00CC1CCA">
        <w:t xml:space="preserve"> </w:t>
      </w:r>
      <w:r>
        <w:t>тофацитиниб</w:t>
      </w:r>
      <w:r w:rsidR="00EC4028">
        <w:t>а</w:t>
      </w:r>
      <w:r>
        <w:t xml:space="preserve"> </w:t>
      </w:r>
      <w:r w:rsidR="00B01171">
        <w:t xml:space="preserve">в дозе </w:t>
      </w:r>
      <w:r>
        <w:t>5 мг два раза в день</w:t>
      </w:r>
      <w:r w:rsidR="008836E0">
        <w:t xml:space="preserve"> и</w:t>
      </w:r>
      <w:r>
        <w:t xml:space="preserve"> ингибитор</w:t>
      </w:r>
      <w:r w:rsidR="008836E0">
        <w:t>ов</w:t>
      </w:r>
      <w:r>
        <w:t xml:space="preserve"> </w:t>
      </w:r>
      <w:r w:rsidR="008836E0">
        <w:rPr>
          <w:lang w:val="en-US"/>
        </w:rPr>
        <w:t>TNF</w:t>
      </w:r>
      <w:r w:rsidR="008836E0" w:rsidRPr="00A25A33">
        <w:t>-</w:t>
      </w:r>
      <w:r w:rsidR="008836E0">
        <w:rPr>
          <w:rFonts w:cs="Times New Roman"/>
        </w:rPr>
        <w:t>α</w:t>
      </w:r>
      <w:r w:rsidR="008836E0">
        <w:t xml:space="preserve"> составила </w:t>
      </w:r>
      <w:r>
        <w:t>0,54 (0,32–0,87), 0,27 (0,12–0,52) и 0,09</w:t>
      </w:r>
      <w:r w:rsidR="00CC1CCA">
        <w:t xml:space="preserve"> </w:t>
      </w:r>
      <w:r>
        <w:t xml:space="preserve">(0,02–0,26) случаев на 100 пациенто-лет соответственно. По сравнению с ингибиторами </w:t>
      </w:r>
      <w:r w:rsidR="008836E0">
        <w:rPr>
          <w:lang w:val="en-US"/>
        </w:rPr>
        <w:t>TNF</w:t>
      </w:r>
      <w:r w:rsidR="008836E0" w:rsidRPr="00A25A33">
        <w:t>-</w:t>
      </w:r>
      <w:r w:rsidR="008836E0">
        <w:rPr>
          <w:rFonts w:cs="Times New Roman"/>
        </w:rPr>
        <w:t>α</w:t>
      </w:r>
      <w:r>
        <w:t>,</w:t>
      </w:r>
      <w:r w:rsidR="00CC1CCA">
        <w:t xml:space="preserve"> </w:t>
      </w:r>
      <w:r>
        <w:t>отношение рисков (</w:t>
      </w:r>
      <w:r w:rsidR="002B0F05" w:rsidRPr="002B0F05">
        <w:t>hazard ratio</w:t>
      </w:r>
      <w:r w:rsidR="002B0F05">
        <w:t xml:space="preserve">, </w:t>
      </w:r>
      <w:r w:rsidR="002B0F05" w:rsidRPr="002B0F05">
        <w:t>HR</w:t>
      </w:r>
      <w:r>
        <w:t xml:space="preserve">) для </w:t>
      </w:r>
      <w:r w:rsidR="001A52BB">
        <w:t xml:space="preserve">ТЭЛА </w:t>
      </w:r>
      <w:r>
        <w:t>составило 5,96 (1,75</w:t>
      </w:r>
      <w:r w:rsidR="00D63757">
        <w:t>–</w:t>
      </w:r>
      <w:r>
        <w:t>20,33) и 2,99 (0,81</w:t>
      </w:r>
      <w:r w:rsidR="00D63757">
        <w:t>–</w:t>
      </w:r>
      <w:r>
        <w:t xml:space="preserve">11,06) для тофацитиниба </w:t>
      </w:r>
      <w:r w:rsidR="008836E0">
        <w:t xml:space="preserve">в дозе </w:t>
      </w:r>
      <w:r>
        <w:t xml:space="preserve">10 мг </w:t>
      </w:r>
      <w:r w:rsidR="008836E0">
        <w:t>2 раза в день</w:t>
      </w:r>
      <w:r w:rsidR="00CC1CCA">
        <w:t xml:space="preserve"> </w:t>
      </w:r>
      <w:r>
        <w:t>и тофацитиниб</w:t>
      </w:r>
      <w:r w:rsidR="00D63757">
        <w:t>а в дозе</w:t>
      </w:r>
      <w:r>
        <w:t xml:space="preserve"> 5 мг 2 раза в день соответственно</w:t>
      </w:r>
      <w:r w:rsidR="0049146E" w:rsidRPr="0049146E">
        <w:t xml:space="preserve"> </w:t>
      </w:r>
      <w:r w:rsidR="0049146E">
        <w:fldChar w:fldCharType="begin"/>
      </w:r>
      <w:r w:rsidR="008D5290">
        <w:instrText xml:space="preserve"> ADDIN ZOTERO_ITEM CSL_CITATION {"citationID":"MIcB9KDB","properties":{"formattedCitation":"[24]","plainCitation":"[24]","noteIndex":0},"citationItems":[{"id":87800,"uris":["http://zotero.org/groups/4742804/items/TPCQ89X9"],"itemData":{"id":87800,"type":"webpage","title":"Xeljanz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9146E">
        <w:fldChar w:fldCharType="separate"/>
      </w:r>
      <w:r w:rsidR="00DE2C35">
        <w:rPr>
          <w:rFonts w:cs="Times New Roman"/>
        </w:rPr>
        <w:t>[2</w:t>
      </w:r>
      <w:r w:rsidR="008D5290" w:rsidRPr="008D5290">
        <w:rPr>
          <w:rFonts w:cs="Times New Roman"/>
        </w:rPr>
        <w:t>]</w:t>
      </w:r>
      <w:r w:rsidR="0049146E">
        <w:fldChar w:fldCharType="end"/>
      </w:r>
      <w:r w:rsidR="0049146E">
        <w:t>.</w:t>
      </w:r>
    </w:p>
    <w:p w14:paraId="6A55FA71" w14:textId="12EFA3A2" w:rsidR="003C3679" w:rsidRDefault="003C3679" w:rsidP="00D22A13">
      <w:pPr>
        <w:pStyle w:val="SDText"/>
        <w:contextualSpacing/>
      </w:pPr>
      <w:r>
        <w:t xml:space="preserve">При анализе в подгруппе пациентов с факторами риска ВТЭ в указанном выше промежуточном исследовании </w:t>
      </w:r>
      <w:r w:rsidR="00EC4028">
        <w:t xml:space="preserve">безопасности </w:t>
      </w:r>
      <w:r>
        <w:t xml:space="preserve">риск ТЭЛА был еще больше увеличен. По сравнению с ингибиторами </w:t>
      </w:r>
      <w:r>
        <w:rPr>
          <w:lang w:val="en-US"/>
        </w:rPr>
        <w:t>TNF</w:t>
      </w:r>
      <w:r w:rsidRPr="00A25A33">
        <w:t>-</w:t>
      </w:r>
      <w:r>
        <w:rPr>
          <w:rFonts w:cs="Times New Roman"/>
        </w:rPr>
        <w:t>α</w:t>
      </w:r>
      <w:r w:rsidR="00EC4028">
        <w:rPr>
          <w:rFonts w:cs="Times New Roman"/>
        </w:rPr>
        <w:t>,</w:t>
      </w:r>
      <w:r>
        <w:t xml:space="preserve"> </w:t>
      </w:r>
      <w:r w:rsidR="002B0F05" w:rsidRPr="002B0F05">
        <w:t>HR</w:t>
      </w:r>
      <w:r>
        <w:t xml:space="preserve"> для ТЭЛА составило 9,14 (2,11–39,56) для тофацитиниба в дозе 10 мг два раза в сутки и 3,92 (0,83–18,48) для тофацитиниба в дозе 5 мг два раза в сутки </w:t>
      </w:r>
      <w:r w:rsidR="002B0F05">
        <w:fldChar w:fldCharType="begin"/>
      </w:r>
      <w:r w:rsidR="008D5290">
        <w:instrText xml:space="preserve"> ADDIN ZOTERO_ITEM CSL_CITATION {"citationID":"RGxDRxLT","properties":{"formattedCitation":"[24]","plainCitation":"[24]","noteIndex":0},"citationItems":[{"id":87800,"uris":["http://zotero.org/groups/4742804/items/TPCQ89X9"],"itemData":{"id":87800,"type":"webpage","title":"Xeljanz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2B0F05">
        <w:fldChar w:fldCharType="separate"/>
      </w:r>
      <w:r w:rsidR="00DE2C35">
        <w:rPr>
          <w:rFonts w:cs="Times New Roman"/>
        </w:rPr>
        <w:t>[2</w:t>
      </w:r>
      <w:r w:rsidR="008D5290" w:rsidRPr="008D5290">
        <w:rPr>
          <w:rFonts w:cs="Times New Roman"/>
        </w:rPr>
        <w:t>]</w:t>
      </w:r>
      <w:r w:rsidR="002B0F05">
        <w:fldChar w:fldCharType="end"/>
      </w:r>
      <w:r w:rsidR="002B0F05">
        <w:t>.</w:t>
      </w:r>
    </w:p>
    <w:p w14:paraId="3228D8C0" w14:textId="5A619DDA" w:rsidR="00770803" w:rsidRDefault="00770803" w:rsidP="00D22A13">
      <w:pPr>
        <w:pStyle w:val="SDText"/>
        <w:contextualSpacing/>
      </w:pPr>
      <w:r>
        <w:t xml:space="preserve">В рандомизированных контролируемых клинических исследованиях фаз </w:t>
      </w:r>
      <w:r>
        <w:rPr>
          <w:lang w:val="en-US"/>
        </w:rPr>
        <w:t>II</w:t>
      </w:r>
      <w:r w:rsidRPr="00770803">
        <w:t xml:space="preserve"> </w:t>
      </w:r>
      <w:r>
        <w:t xml:space="preserve">и </w:t>
      </w:r>
      <w:r>
        <w:rPr>
          <w:lang w:val="en-US"/>
        </w:rPr>
        <w:t>III</w:t>
      </w:r>
      <w:r w:rsidR="00DC57C0">
        <w:t xml:space="preserve">, в которых приняли участие 420 пациентов с </w:t>
      </w:r>
      <w:r w:rsidR="00A30823">
        <w:t>АС</w:t>
      </w:r>
      <w:r w:rsidR="00D30C23">
        <w:t xml:space="preserve"> (233 пациенто-лет)</w:t>
      </w:r>
      <w:r w:rsidR="00DC57C0">
        <w:t xml:space="preserve">, </w:t>
      </w:r>
      <w:r w:rsidR="00D30C23">
        <w:t xml:space="preserve">получавших тофацитиниб до 48 недель, </w:t>
      </w:r>
      <w:r w:rsidR="00DC57C0">
        <w:t xml:space="preserve">случаев ВТЭ не зарегистрировали </w:t>
      </w:r>
      <w:r w:rsidR="00D30C23">
        <w:fldChar w:fldCharType="begin"/>
      </w:r>
      <w:r w:rsidR="008D5290">
        <w:instrText xml:space="preserve"> ADDIN ZOTERO_ITEM CSL_CITATION {"citationID":"rLSn3Zc3","properties":{"formattedCitation":"[24]","plainCitation":"[24]","noteIndex":0},"citationItems":[{"id":87800,"uris":["http://zotero.org/groups/4742804/items/TPCQ89X9"],"itemData":{"id":87800,"type":"webpage","title":"Xeljanz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D30C23">
        <w:fldChar w:fldCharType="separate"/>
      </w:r>
      <w:r w:rsidR="00DE2C35">
        <w:rPr>
          <w:rFonts w:cs="Times New Roman"/>
        </w:rPr>
        <w:t>[2</w:t>
      </w:r>
      <w:r w:rsidR="008D5290" w:rsidRPr="008D5290">
        <w:rPr>
          <w:rFonts w:cs="Times New Roman"/>
        </w:rPr>
        <w:t>]</w:t>
      </w:r>
      <w:r w:rsidR="00D30C23">
        <w:fldChar w:fldCharType="end"/>
      </w:r>
      <w:r w:rsidR="00D30C23">
        <w:t>.</w:t>
      </w:r>
    </w:p>
    <w:p w14:paraId="0FA491AA" w14:textId="67F3D4A7" w:rsidR="00D30C23" w:rsidRDefault="00C6211A" w:rsidP="00D22A13">
      <w:pPr>
        <w:pStyle w:val="SDText"/>
        <w:contextualSpacing/>
      </w:pPr>
      <w:r>
        <w:t xml:space="preserve">В исследованиях с участием пациентов с ЯК случаи ВТЭ отмечали среди больных с наличием </w:t>
      </w:r>
      <w:r w:rsidR="00B74522">
        <w:t xml:space="preserve">факторов риска ВТЭ, получавших тофацитиниб в дозе 10 мг 2 раза в день </w:t>
      </w:r>
      <w:r w:rsidR="00B74522">
        <w:fldChar w:fldCharType="begin"/>
      </w:r>
      <w:r w:rsidR="008D5290">
        <w:instrText xml:space="preserve"> ADDIN ZOTERO_ITEM CSL_CITATION {"citationID":"2MBz0sVO","properties":{"formattedCitation":"[24]","plainCitation":"[24]","noteIndex":0},"citationItems":[{"id":87800,"uris":["http://zotero.org/groups/4742804/items/TPCQ89X9"],"itemData":{"id":87800,"type":"webpage","title":"Xeljanz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B74522">
        <w:fldChar w:fldCharType="separate"/>
      </w:r>
      <w:r w:rsidR="00DE2C35">
        <w:rPr>
          <w:rFonts w:cs="Times New Roman"/>
        </w:rPr>
        <w:t>[2</w:t>
      </w:r>
      <w:r w:rsidR="008D5290" w:rsidRPr="008D5290">
        <w:rPr>
          <w:rFonts w:cs="Times New Roman"/>
        </w:rPr>
        <w:t>]</w:t>
      </w:r>
      <w:r w:rsidR="00B74522">
        <w:fldChar w:fldCharType="end"/>
      </w:r>
      <w:r w:rsidR="00B74522">
        <w:t>.</w:t>
      </w:r>
    </w:p>
    <w:p w14:paraId="2EC28C0B" w14:textId="699BACE8" w:rsidR="000407D1" w:rsidRDefault="00F1130D" w:rsidP="00D22A13">
      <w:pPr>
        <w:pStyle w:val="SDText"/>
        <w:contextualSpacing/>
      </w:pPr>
      <w:r>
        <w:t xml:space="preserve">В контролируемых клинических исследованиях фазы </w:t>
      </w:r>
      <w:r w:rsidR="00EE0816">
        <w:rPr>
          <w:lang w:val="en-US"/>
        </w:rPr>
        <w:t>III</w:t>
      </w:r>
      <w:r>
        <w:t xml:space="preserve"> частота инфекций в </w:t>
      </w:r>
      <w:r w:rsidR="00EE0816">
        <w:t xml:space="preserve">период </w:t>
      </w:r>
      <w:r>
        <w:t>0</w:t>
      </w:r>
      <w:r w:rsidR="00EE0816">
        <w:t>–</w:t>
      </w:r>
      <w:r>
        <w:t>3 мес</w:t>
      </w:r>
      <w:r w:rsidR="00EE0816">
        <w:t>.</w:t>
      </w:r>
      <w:r>
        <w:t xml:space="preserve"> при </w:t>
      </w:r>
      <w:r w:rsidR="00E0764E">
        <w:t>монотерапии</w:t>
      </w:r>
      <w:r w:rsidR="00EE0816">
        <w:t xml:space="preserve"> тофацитиниб</w:t>
      </w:r>
      <w:r w:rsidR="00E0764E">
        <w:t xml:space="preserve">ом </w:t>
      </w:r>
      <w:r w:rsidR="00EE0816">
        <w:t>в дозе</w:t>
      </w:r>
      <w:r>
        <w:t xml:space="preserve"> 5 мг два раза в день (всего 616 пациентов) и </w:t>
      </w:r>
      <w:r w:rsidR="00EE0816">
        <w:t xml:space="preserve">в </w:t>
      </w:r>
      <w:r>
        <w:t>групп</w:t>
      </w:r>
      <w:r w:rsidR="00EE0816">
        <w:t>е</w:t>
      </w:r>
      <w:r>
        <w:t xml:space="preserve"> монотерапии тофацитинибом по 10 мг два раза в день (всего 642 пациента)</w:t>
      </w:r>
      <w:r w:rsidR="00E0764E">
        <w:t xml:space="preserve"> составила </w:t>
      </w:r>
      <w:r>
        <w:t>16,2% (100 пациентов) и 17,9% (115 пациентов) соответственно по сравнению с 18,9% (23 пациента)</w:t>
      </w:r>
      <w:r w:rsidR="0001589C">
        <w:t xml:space="preserve"> </w:t>
      </w:r>
      <w:r w:rsidR="00413395">
        <w:t xml:space="preserve">в </w:t>
      </w:r>
      <w:r>
        <w:t>групп</w:t>
      </w:r>
      <w:r w:rsidR="00413395">
        <w:t>е</w:t>
      </w:r>
      <w:r>
        <w:t xml:space="preserve"> плацебо (всего 122 пациента). В контролируемых клинических исследованиях фазы </w:t>
      </w:r>
      <w:r w:rsidR="007576A0">
        <w:rPr>
          <w:lang w:val="en-US"/>
        </w:rPr>
        <w:t>III</w:t>
      </w:r>
      <w:r w:rsidR="007576A0" w:rsidRPr="007576A0">
        <w:t xml:space="preserve"> </w:t>
      </w:r>
      <w:r>
        <w:t>с фонов</w:t>
      </w:r>
      <w:r w:rsidR="007576A0">
        <w:t>ой терапией</w:t>
      </w:r>
      <w:r>
        <w:t xml:space="preserve"> </w:t>
      </w:r>
      <w:r w:rsidR="007576A0">
        <w:t>БМАРП</w:t>
      </w:r>
      <w:r>
        <w:t xml:space="preserve"> частота инфекций в </w:t>
      </w:r>
      <w:r w:rsidR="007576A0">
        <w:t>период</w:t>
      </w:r>
      <w:r>
        <w:t xml:space="preserve"> 0</w:t>
      </w:r>
      <w:r w:rsidR="007576A0">
        <w:t>–</w:t>
      </w:r>
      <w:r>
        <w:t>3 мес</w:t>
      </w:r>
      <w:r w:rsidR="007576A0">
        <w:t>.</w:t>
      </w:r>
      <w:r>
        <w:t xml:space="preserve"> при</w:t>
      </w:r>
      <w:r w:rsidR="007576A0">
        <w:t xml:space="preserve"> использовании тофацитиниба в дозе</w:t>
      </w:r>
      <w:r>
        <w:t xml:space="preserve"> 5 мг 2 раза в сутки (всего 973 пациента) и</w:t>
      </w:r>
      <w:r w:rsidR="007576A0">
        <w:t>ли</w:t>
      </w:r>
      <w:r>
        <w:t xml:space="preserve"> 10 мг 2 раза в сутки ежедневно (всего 969 пациентов) </w:t>
      </w:r>
      <w:r w:rsidR="007576A0">
        <w:t>равнялась</w:t>
      </w:r>
      <w:r>
        <w:t xml:space="preserve"> 21,3% (207 пациентов) и 21,8% (211 пациентов) соответственно по сравнению с 18,4% (103 пациента) в группе плацебо (всего 559 больных)</w:t>
      </w:r>
      <w:r w:rsidRPr="00F1130D">
        <w:t xml:space="preserve"> </w:t>
      </w:r>
      <w:r>
        <w:fldChar w:fldCharType="begin"/>
      </w:r>
      <w:r w:rsidR="008D5290">
        <w:instrText xml:space="preserve"> ADDIN ZOTERO_ITEM CSL_CITATION {"citationID":"qFp5boyp","properties":{"formattedCitation":"[24]","plainCitation":"[24]","noteIndex":0},"citationItems":[{"id":87800,"uris":["http://zotero.org/groups/4742804/items/TPCQ89X9"],"itemData":{"id":87800,"type":"webpage","title":"Xeljanz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274B1CB8" w14:textId="3EA833A7" w:rsidR="00E70FC5" w:rsidRDefault="00E70FC5" w:rsidP="00D22A13">
      <w:pPr>
        <w:pStyle w:val="SDText"/>
        <w:contextualSpacing/>
      </w:pPr>
      <w:r>
        <w:t xml:space="preserve">Наиболее частыми инфекциями являлись инфекции верхних дыхательных путей и назофарингит (3,7 и 3,2% соответственно) </w:t>
      </w:r>
      <w:r>
        <w:fldChar w:fldCharType="begin"/>
      </w:r>
      <w:r w:rsidR="008D5290">
        <w:instrText xml:space="preserve"> ADDIN ZOTERO_ITEM CSL_CITATION {"citationID":"lu6KUZvm","properties":{"formattedCitation":"[24]","plainCitation":"[24]","noteIndex":0},"citationItems":[{"id":87800,"uris":["http://zotero.org/groups/4742804/items/TPCQ89X9"],"itemData":{"id":87800,"type":"webpage","title":"Xeljanz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7E52EFFC" w14:textId="024D09C0" w:rsidR="009D3F42" w:rsidRDefault="009D3F42" w:rsidP="00D22A13">
      <w:pPr>
        <w:pStyle w:val="SDText"/>
        <w:contextualSpacing/>
      </w:pPr>
      <w:r>
        <w:t xml:space="preserve">Общая частота инфекций при использовании тофацитиниба в </w:t>
      </w:r>
      <w:r w:rsidR="00A412B3">
        <w:t>длительных исследованиях безопасности</w:t>
      </w:r>
      <w:r>
        <w:t xml:space="preserve"> во всей популяции, подвергавшейся воздействию (всего 4867 пациентов)</w:t>
      </w:r>
      <w:r w:rsidR="00413395">
        <w:t>,</w:t>
      </w:r>
      <w:r>
        <w:t xml:space="preserve"> составил</w:t>
      </w:r>
      <w:r w:rsidR="00A412B3">
        <w:t>а</w:t>
      </w:r>
      <w:r>
        <w:t xml:space="preserve"> 46,1 пациента с явлениями на 100 пациенто-лет (43,8 и 47,2 пациента с события</w:t>
      </w:r>
      <w:r w:rsidR="00C96E9F">
        <w:t>ми</w:t>
      </w:r>
      <w:r>
        <w:t xml:space="preserve"> п</w:t>
      </w:r>
      <w:r w:rsidR="00C96E9F">
        <w:t>ри использовании тофацитиниба в дозе</w:t>
      </w:r>
      <w:r>
        <w:t xml:space="preserve"> 5 мг и 10 мг два раза в день соответственно). Для пациентов на монотерапии </w:t>
      </w:r>
      <w:r w:rsidR="00C96E9F">
        <w:t>(</w:t>
      </w:r>
      <w:r w:rsidR="00C96E9F">
        <w:rPr>
          <w:lang w:val="en-US"/>
        </w:rPr>
        <w:t>n</w:t>
      </w:r>
      <w:r w:rsidR="00C96E9F" w:rsidRPr="00C96E9F">
        <w:t xml:space="preserve"> =</w:t>
      </w:r>
      <w:r w:rsidR="00C96E9F">
        <w:t xml:space="preserve"> 1750) </w:t>
      </w:r>
      <w:r>
        <w:t xml:space="preserve">показатели составили 48,9 и 41,9 пациентов с событиями на 100 пациенто-лет для </w:t>
      </w:r>
      <w:r w:rsidR="00C96E9F">
        <w:t xml:space="preserve">доз </w:t>
      </w:r>
      <w:r>
        <w:t xml:space="preserve">5 мг и 10 мг два раза в день соответственно. Для пациентов </w:t>
      </w:r>
      <w:r w:rsidR="00B42E83">
        <w:t xml:space="preserve">с </w:t>
      </w:r>
      <w:r>
        <w:t>фон</w:t>
      </w:r>
      <w:r w:rsidR="00B42E83">
        <w:t>овой терапией</w:t>
      </w:r>
      <w:r>
        <w:t xml:space="preserve"> </w:t>
      </w:r>
      <w:r w:rsidR="00B42E83">
        <w:t>БМАРП</w:t>
      </w:r>
      <w:r>
        <w:t xml:space="preserve"> </w:t>
      </w:r>
      <w:r w:rsidR="00B42E83">
        <w:t>(</w:t>
      </w:r>
      <w:r w:rsidR="00B42E83">
        <w:rPr>
          <w:lang w:val="en-US"/>
        </w:rPr>
        <w:t>n</w:t>
      </w:r>
      <w:r w:rsidR="00B42E83" w:rsidRPr="00C96E9F">
        <w:t xml:space="preserve"> =</w:t>
      </w:r>
      <w:r w:rsidR="00B42E83">
        <w:t xml:space="preserve"> 3117) </w:t>
      </w:r>
      <w:r>
        <w:t xml:space="preserve">показатели </w:t>
      </w:r>
      <w:r>
        <w:lastRenderedPageBreak/>
        <w:t>составили 41,0 и 50,3 пациента с событиями на 100 пациенто-лет для 5 мг и 10 мг два раза в день соответственно</w:t>
      </w:r>
      <w:r w:rsidRPr="009D3F42">
        <w:t xml:space="preserve"> </w:t>
      </w:r>
      <w:r>
        <w:fldChar w:fldCharType="begin"/>
      </w:r>
      <w:r w:rsidR="008D5290">
        <w:instrText xml:space="preserve"> ADDIN ZOTERO_ITEM CSL_CITATION {"citationID":"rWMuMx0O","properties":{"formattedCitation":"[24]","plainCitation":"[24]","noteIndex":0},"citationItems":[{"id":87800,"uris":["http://zotero.org/groups/4742804/items/TPCQ89X9"],"itemData":{"id":87800,"type":"webpage","title":"Xeljanz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36B8AC3F" w14:textId="0529952A" w:rsidR="00D4133D" w:rsidRDefault="00D4133D" w:rsidP="00D22A13">
      <w:pPr>
        <w:pStyle w:val="SDText"/>
        <w:contextualSpacing/>
      </w:pPr>
      <w:r>
        <w:t xml:space="preserve">В клинических исследованиях фазы </w:t>
      </w:r>
      <w:r>
        <w:rPr>
          <w:lang w:val="en-US"/>
        </w:rPr>
        <w:t>II</w:t>
      </w:r>
      <w:r>
        <w:t xml:space="preserve"> и фазы </w:t>
      </w:r>
      <w:r>
        <w:rPr>
          <w:lang w:val="en-US"/>
        </w:rPr>
        <w:t>III</w:t>
      </w:r>
      <w:r>
        <w:t xml:space="preserve"> в </w:t>
      </w:r>
      <w:r w:rsidR="0070622D">
        <w:t>ходе</w:t>
      </w:r>
      <w:r>
        <w:t xml:space="preserve"> плацебо-контролируемого периода до 16 недель частота инфекций в группе тофацитиниб</w:t>
      </w:r>
      <w:r w:rsidR="0070622D">
        <w:t>а</w:t>
      </w:r>
      <w:r>
        <w:t xml:space="preserve"> в дозе 5 мг два раза в день (</w:t>
      </w:r>
      <w:r w:rsidR="0070622D">
        <w:rPr>
          <w:lang w:val="en-US"/>
        </w:rPr>
        <w:t>n</w:t>
      </w:r>
      <w:r w:rsidR="0070622D" w:rsidRPr="0070622D">
        <w:t xml:space="preserve"> = </w:t>
      </w:r>
      <w:r>
        <w:t xml:space="preserve">185) </w:t>
      </w:r>
      <w:r w:rsidR="003A34EE">
        <w:t xml:space="preserve">составила </w:t>
      </w:r>
      <w:r>
        <w:t>27,6%, а частота в группе плацебо (</w:t>
      </w:r>
      <w:r w:rsidR="003A34EE">
        <w:rPr>
          <w:lang w:val="en-US"/>
        </w:rPr>
        <w:t>n</w:t>
      </w:r>
      <w:r w:rsidR="003A34EE" w:rsidRPr="0070622D">
        <w:t xml:space="preserve"> = </w:t>
      </w:r>
      <w:r>
        <w:t>187)</w:t>
      </w:r>
      <w:r w:rsidR="003A34EE">
        <w:t xml:space="preserve"> – </w:t>
      </w:r>
      <w:r>
        <w:t xml:space="preserve">23,0%. </w:t>
      </w:r>
      <w:r w:rsidR="003A34EE">
        <w:t xml:space="preserve">В клинических исследованиях фазы </w:t>
      </w:r>
      <w:r w:rsidR="003A34EE">
        <w:rPr>
          <w:lang w:val="en-US"/>
        </w:rPr>
        <w:t>II</w:t>
      </w:r>
      <w:r w:rsidR="003A34EE">
        <w:t xml:space="preserve"> и фазы </w:t>
      </w:r>
      <w:r w:rsidR="003A34EE">
        <w:rPr>
          <w:lang w:val="en-US"/>
        </w:rPr>
        <w:t>III</w:t>
      </w:r>
      <w:r w:rsidR="003A34EE">
        <w:t xml:space="preserve"> </w:t>
      </w:r>
      <w:r>
        <w:t xml:space="preserve">с участием 316 пациентов, получавших тофацитиниб в дозе 5 мг два раза в день в течение 48 недель, частота инфекций составила 35,1% </w:t>
      </w:r>
      <w:r>
        <w:fldChar w:fldCharType="begin"/>
      </w:r>
      <w:r w:rsidR="008D5290">
        <w:instrText xml:space="preserve"> ADDIN ZOTERO_ITEM CSL_CITATION {"citationID":"LhQjnrcz","properties":{"formattedCitation":"[24]","plainCitation":"[24]","noteIndex":0},"citationItems":[{"id":87800,"uris":["http://zotero.org/groups/4742804/items/TPCQ89X9"],"itemData":{"id":87800,"type":"webpage","title":"Xeljanz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10BFACB9" w14:textId="2DD7A791" w:rsidR="000F329E" w:rsidRDefault="000F329E" w:rsidP="00D22A13">
      <w:pPr>
        <w:pStyle w:val="SDText"/>
        <w:contextualSpacing/>
      </w:pPr>
      <w:r>
        <w:t xml:space="preserve">В рандомизированных 8-недельных исследованиях </w:t>
      </w:r>
      <w:r w:rsidR="002D0FE3" w:rsidRPr="002D0FE3">
        <w:t>индукци</w:t>
      </w:r>
      <w:r w:rsidR="002D0FE3">
        <w:t>и ремиссии</w:t>
      </w:r>
      <w:r w:rsidR="002D0FE3" w:rsidRPr="002D0FE3">
        <w:t xml:space="preserve"> </w:t>
      </w:r>
      <w:r w:rsidR="002D0FE3">
        <w:t xml:space="preserve">ЯК </w:t>
      </w:r>
      <w:r>
        <w:t xml:space="preserve">фазы </w:t>
      </w:r>
      <w:r w:rsidR="002D0FE3">
        <w:rPr>
          <w:lang w:val="en-US"/>
        </w:rPr>
        <w:t>II</w:t>
      </w:r>
      <w:r w:rsidR="002D0FE3" w:rsidRPr="002D0FE3">
        <w:t>/</w:t>
      </w:r>
      <w:r w:rsidR="002D0FE3">
        <w:rPr>
          <w:lang w:val="en-US"/>
        </w:rPr>
        <w:t>III</w:t>
      </w:r>
      <w:r>
        <w:t xml:space="preserve"> доля пациентов с инфекциями </w:t>
      </w:r>
      <w:r w:rsidR="002D0FE3">
        <w:t>составила</w:t>
      </w:r>
      <w:r>
        <w:t xml:space="preserve"> 21,1% (198 пациентов) в группе</w:t>
      </w:r>
      <w:r w:rsidR="000001B4">
        <w:t xml:space="preserve"> </w:t>
      </w:r>
      <w:r>
        <w:t>тофацитиниб</w:t>
      </w:r>
      <w:r w:rsidR="000001B4">
        <w:t>а</w:t>
      </w:r>
      <w:r>
        <w:t xml:space="preserve"> в дозе 10 мг два раза в день, по сравнению с 15,2% (43 пациента) в группе</w:t>
      </w:r>
      <w:r w:rsidR="000001B4">
        <w:t xml:space="preserve"> </w:t>
      </w:r>
      <w:r>
        <w:t xml:space="preserve">плацебо. В рандомизированном 52-недельном исследовании </w:t>
      </w:r>
      <w:r w:rsidR="000001B4">
        <w:t xml:space="preserve">поддержания ремиссии </w:t>
      </w:r>
      <w:r>
        <w:t xml:space="preserve">фазы </w:t>
      </w:r>
      <w:r w:rsidR="000001B4">
        <w:rPr>
          <w:lang w:val="en-US"/>
        </w:rPr>
        <w:t>III</w:t>
      </w:r>
      <w:r>
        <w:t xml:space="preserve"> доля пациентов с инфекци</w:t>
      </w:r>
      <w:r w:rsidR="000001B4">
        <w:t>ями</w:t>
      </w:r>
      <w:r>
        <w:t xml:space="preserve"> </w:t>
      </w:r>
      <w:r w:rsidR="000001B4">
        <w:t>равнялась</w:t>
      </w:r>
      <w:r>
        <w:t xml:space="preserve"> 35,9% (71 пациент) </w:t>
      </w:r>
      <w:r w:rsidR="001F2574">
        <w:t xml:space="preserve">при использовании тофацитиниба </w:t>
      </w:r>
      <w:r>
        <w:t xml:space="preserve">в дозе 5 мг два раза в день и 39,8% (78 пациентов) </w:t>
      </w:r>
      <w:r w:rsidR="001F2574">
        <w:t xml:space="preserve">в группе тофацитиниба </w:t>
      </w:r>
      <w:r>
        <w:t xml:space="preserve">в дозе 10 мг </w:t>
      </w:r>
      <w:r w:rsidR="001F2574">
        <w:t xml:space="preserve">два раза </w:t>
      </w:r>
      <w:r>
        <w:t xml:space="preserve">в день ежедневно по сравнению с 24,2% (48 пациентов) в группе плацебо. За весь </w:t>
      </w:r>
      <w:r w:rsidR="00364067">
        <w:t>период применения</w:t>
      </w:r>
      <w:r>
        <w:t xml:space="preserve"> тофацитиниб</w:t>
      </w:r>
      <w:r w:rsidR="00364067">
        <w:t>а</w:t>
      </w:r>
      <w:r>
        <w:t xml:space="preserve"> наиболее часто</w:t>
      </w:r>
      <w:r w:rsidR="001F3A10">
        <w:t>й</w:t>
      </w:r>
      <w:r>
        <w:t xml:space="preserve"> инфекцией был назофарингит, встречающийся у 18,2% больных (211 больных). За весь </w:t>
      </w:r>
      <w:r w:rsidR="0066235D">
        <w:t>период</w:t>
      </w:r>
      <w:r>
        <w:t xml:space="preserve"> </w:t>
      </w:r>
      <w:r w:rsidR="001F3A10">
        <w:t>применения</w:t>
      </w:r>
      <w:r>
        <w:t xml:space="preserve"> тофацитиниб</w:t>
      </w:r>
      <w:r w:rsidR="001F3A10">
        <w:t>а</w:t>
      </w:r>
      <w:r>
        <w:t xml:space="preserve"> общая частота инфекций </w:t>
      </w:r>
      <w:r w:rsidR="0066235D">
        <w:t>составила</w:t>
      </w:r>
      <w:r>
        <w:t xml:space="preserve"> 60,3 события на 100 пациенто-лет (49,4% пациентов, всего 572 пациента)</w:t>
      </w:r>
      <w:r w:rsidR="00364067">
        <w:t xml:space="preserve"> </w:t>
      </w:r>
      <w:r w:rsidR="00364067">
        <w:fldChar w:fldCharType="begin"/>
      </w:r>
      <w:r w:rsidR="008D5290">
        <w:instrText xml:space="preserve"> ADDIN ZOTERO_ITEM CSL_CITATION {"citationID":"MEUBL8iz","properties":{"formattedCitation":"[24]","plainCitation":"[24]","noteIndex":0},"citationItems":[{"id":87800,"uris":["http://zotero.org/groups/4742804/items/TPCQ89X9"],"itemData":{"id":87800,"type":"webpage","title":"Xeljanz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364067">
        <w:fldChar w:fldCharType="separate"/>
      </w:r>
      <w:r w:rsidR="00DE2C35">
        <w:rPr>
          <w:rFonts w:cs="Times New Roman"/>
        </w:rPr>
        <w:t>[2</w:t>
      </w:r>
      <w:r w:rsidR="008D5290" w:rsidRPr="008D5290">
        <w:rPr>
          <w:rFonts w:cs="Times New Roman"/>
        </w:rPr>
        <w:t>]</w:t>
      </w:r>
      <w:r w:rsidR="00364067">
        <w:fldChar w:fldCharType="end"/>
      </w:r>
      <w:r w:rsidR="00364067">
        <w:t>.</w:t>
      </w:r>
    </w:p>
    <w:p w14:paraId="6CA0607E" w14:textId="6334BFEE" w:rsidR="007754E9" w:rsidRDefault="00512A78" w:rsidP="00D22A13">
      <w:pPr>
        <w:pStyle w:val="SDText"/>
        <w:contextualSpacing/>
      </w:pPr>
      <w:r>
        <w:t xml:space="preserve">В 6-месячных и 24-месячных контролируемых клинических исследованиях </w:t>
      </w:r>
      <w:r w:rsidR="007754E9">
        <w:t xml:space="preserve">с участием пациентов с РА </w:t>
      </w:r>
      <w:r>
        <w:t xml:space="preserve">частота серьезных инфекций в группе монотерапии тофацитинибом в дозе 5 мг два раза в сутки составила 1,7 пациента с событиями на 100 пациенто-лет. В группе монотерапии тофацитинибом по 10 мг 2 раза в сутки частота событий составила 1,6 пациента </w:t>
      </w:r>
      <w:r w:rsidR="00E73DBB">
        <w:t xml:space="preserve">на </w:t>
      </w:r>
      <w:r>
        <w:t xml:space="preserve">100 пациенто-лет, </w:t>
      </w:r>
      <w:r w:rsidR="00E73DBB">
        <w:t xml:space="preserve">для группы плацебо – </w:t>
      </w:r>
      <w:r>
        <w:t xml:space="preserve">0 событий на 100 пациенто-лет, а </w:t>
      </w:r>
      <w:r w:rsidR="00E73DBB">
        <w:t xml:space="preserve">для группы метотрексата – </w:t>
      </w:r>
      <w:r>
        <w:t>1,9 пациентов с событиями на 100 пациенто-лет</w:t>
      </w:r>
      <w:r w:rsidR="00514AAC">
        <w:t xml:space="preserve">. </w:t>
      </w:r>
      <w:r w:rsidR="0005639E">
        <w:t xml:space="preserve">В исследованиях продолжительностью 6, 12 или 24 мес. частота серьезных инфекций при использовании тофацитиниба в дозе 5 мг два раза в день и в дозе 10 мг два раза в день </w:t>
      </w:r>
      <w:r w:rsidR="003201D5">
        <w:t>в составе комбинированной терапии с</w:t>
      </w:r>
      <w:r w:rsidR="0005639E">
        <w:t xml:space="preserve"> </w:t>
      </w:r>
      <w:r w:rsidR="003201D5">
        <w:t>БМАРП</w:t>
      </w:r>
      <w:r w:rsidR="00CE60D7">
        <w:t xml:space="preserve"> </w:t>
      </w:r>
      <w:r w:rsidR="003201D5">
        <w:t>составила</w:t>
      </w:r>
      <w:r w:rsidR="0005639E">
        <w:t xml:space="preserve"> 3,6 и 3,4 пациента с событиями </w:t>
      </w:r>
      <w:r w:rsidR="003201D5">
        <w:t>на</w:t>
      </w:r>
      <w:r w:rsidR="0005639E">
        <w:t xml:space="preserve"> 100 пациенто-лет соответственно по сравнению с 1,7 пациента с событиями на 100 пациенто-лет в группа плацебо плюс </w:t>
      </w:r>
      <w:r w:rsidR="003201D5">
        <w:t>БМАРП</w:t>
      </w:r>
      <w:r w:rsidR="00514AAC">
        <w:t xml:space="preserve">. </w:t>
      </w:r>
      <w:r w:rsidR="0005639E">
        <w:t xml:space="preserve">В </w:t>
      </w:r>
      <w:r w:rsidR="00CE60D7">
        <w:t xml:space="preserve">ходе </w:t>
      </w:r>
      <w:r w:rsidR="0005639E">
        <w:t>долгосрочн</w:t>
      </w:r>
      <w:r w:rsidR="00CE60D7">
        <w:t>ых исследований</w:t>
      </w:r>
      <w:r w:rsidR="0005639E">
        <w:t xml:space="preserve"> безопасности для </w:t>
      </w:r>
      <w:r w:rsidR="00CE60D7">
        <w:t>всей популяции</w:t>
      </w:r>
      <w:r w:rsidR="0005639E">
        <w:t>, подвергше</w:t>
      </w:r>
      <w:r w:rsidR="00CE60D7">
        <w:t>й</w:t>
      </w:r>
      <w:r w:rsidR="0005639E">
        <w:t xml:space="preserve">ся воздействию, общая частота серьезных инфекций составила 2,4 и 3,0 пациента с событиями на 100 пациенто-лет для групп тофацитиниба </w:t>
      </w:r>
      <w:r w:rsidR="00CE60D7">
        <w:t xml:space="preserve">в дозе </w:t>
      </w:r>
      <w:r w:rsidR="0005639E">
        <w:t>5 мг и 10 мг два раза в день соответственно. Наиболее распространенными серьезными инфекциями были пневмония, опоясывающий герпес, инфекции мочевыводящих путей</w:t>
      </w:r>
      <w:r w:rsidR="00CE60D7">
        <w:t>,</w:t>
      </w:r>
      <w:r w:rsidR="0005639E">
        <w:t xml:space="preserve"> </w:t>
      </w:r>
      <w:r w:rsidR="00045B5B">
        <w:t>целлюлит,</w:t>
      </w:r>
      <w:r w:rsidR="0005639E">
        <w:t xml:space="preserve"> гастроэнтерит и дивертикулит. </w:t>
      </w:r>
      <w:r w:rsidR="00045B5B">
        <w:t>Регистрировали также с</w:t>
      </w:r>
      <w:r w:rsidR="0005639E">
        <w:t xml:space="preserve">лучаи оппортунистических инфекций </w:t>
      </w:r>
      <w:r w:rsidR="00045B5B">
        <w:fldChar w:fldCharType="begin"/>
      </w:r>
      <w:r w:rsidR="008D5290">
        <w:instrText xml:space="preserve"> ADDIN ZOTERO_ITEM CSL_CITATION {"citationID":"KB0eBiCK","properties":{"formattedCitation":"[24]","plainCitation":"[24]","noteIndex":0},"citationItems":[{"id":87800,"uris":["http://zotero.org/groups/4742804/items/TPCQ89X9"],"itemData":{"id":87800,"type":"webpage","title":"Xeljanz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045B5B">
        <w:fldChar w:fldCharType="separate"/>
      </w:r>
      <w:r w:rsidR="00DE2C35">
        <w:rPr>
          <w:rFonts w:cs="Times New Roman"/>
        </w:rPr>
        <w:t>[2</w:t>
      </w:r>
      <w:r w:rsidR="008D5290" w:rsidRPr="008D5290">
        <w:rPr>
          <w:rFonts w:cs="Times New Roman"/>
        </w:rPr>
        <w:t>]</w:t>
      </w:r>
      <w:r w:rsidR="00045B5B">
        <w:fldChar w:fldCharType="end"/>
      </w:r>
      <w:r w:rsidR="00045B5B">
        <w:t>.</w:t>
      </w:r>
    </w:p>
    <w:p w14:paraId="541887C5" w14:textId="6DBEF21F" w:rsidR="00936E81" w:rsidRDefault="00936E81" w:rsidP="00D22A13">
      <w:pPr>
        <w:pStyle w:val="SDText"/>
        <w:contextualSpacing/>
      </w:pPr>
      <w:r>
        <w:t xml:space="preserve">В комбинированных клинических исследованиях фазы </w:t>
      </w:r>
      <w:r>
        <w:rPr>
          <w:lang w:val="en-US"/>
        </w:rPr>
        <w:t>II</w:t>
      </w:r>
      <w:r>
        <w:t xml:space="preserve"> и фазы </w:t>
      </w:r>
      <w:r>
        <w:rPr>
          <w:lang w:val="en-US"/>
        </w:rPr>
        <w:t>III</w:t>
      </w:r>
      <w:r>
        <w:t xml:space="preserve"> среди 316 пациентов с </w:t>
      </w:r>
      <w:r w:rsidR="00A30823">
        <w:t>АС</w:t>
      </w:r>
      <w:r>
        <w:t>, получавших тофацитиниб</w:t>
      </w:r>
      <w:r w:rsidRPr="00936E81">
        <w:t xml:space="preserve"> </w:t>
      </w:r>
      <w:r>
        <w:t xml:space="preserve">в дозе 5 мг два раза в день до 48 недель, зарегистрировали 1 случай серьезной инфекции (асептический менингит), частота серьезных инфекций составила 0,43 пациента с событиями на 100 пациенто-лет </w:t>
      </w:r>
      <w:r>
        <w:fldChar w:fldCharType="begin"/>
      </w:r>
      <w:r w:rsidR="008D5290">
        <w:instrText xml:space="preserve"> ADDIN ZOTERO_ITEM CSL_CITATION {"citationID":"WNp536dS","properties":{"formattedCitation":"[24]","plainCitation":"[24]","noteIndex":0},"citationItems":[{"id":87800,"uris":["http://zotero.org/groups/4742804/items/TPCQ89X9"],"itemData":{"id":87800,"type":"webpage","title":"Xeljanz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8D5290" w:rsidRPr="008D5290">
        <w:rPr>
          <w:rFonts w:cs="Times New Roman"/>
        </w:rPr>
        <w:t>[24]</w:t>
      </w:r>
      <w:r>
        <w:fldChar w:fldCharType="end"/>
      </w:r>
      <w:r>
        <w:t>.</w:t>
      </w:r>
    </w:p>
    <w:p w14:paraId="4CBDFDDB" w14:textId="078C11D4" w:rsidR="00F00AC4" w:rsidRDefault="00F00AC4" w:rsidP="00D22A13">
      <w:pPr>
        <w:pStyle w:val="SDText"/>
        <w:contextualSpacing/>
      </w:pPr>
      <w:r>
        <w:t xml:space="preserve">Частота и тип серьезных инфекций в исследованиях с участием пациентов с ЯК </w:t>
      </w:r>
      <w:r w:rsidR="0056580A">
        <w:t>был</w:t>
      </w:r>
      <w:r w:rsidR="00F71D7C">
        <w:t>и</w:t>
      </w:r>
      <w:r w:rsidR="0056580A">
        <w:t xml:space="preserve"> сопоставим</w:t>
      </w:r>
      <w:r w:rsidR="00F71D7C">
        <w:t>ы</w:t>
      </w:r>
      <w:r w:rsidR="0056580A">
        <w:t xml:space="preserve"> с частотой и типом серьезных инфекций в исследованиях с участием пациентов с РА</w:t>
      </w:r>
      <w:r w:rsidR="00523298">
        <w:t>, получавших монотерапию тофацитинибом</w:t>
      </w:r>
      <w:r w:rsidR="0056580A">
        <w:t xml:space="preserve"> </w:t>
      </w:r>
      <w:r w:rsidR="0056580A">
        <w:fldChar w:fldCharType="begin"/>
      </w:r>
      <w:r w:rsidR="008D5290">
        <w:instrText xml:space="preserve"> ADDIN ZOTERO_ITEM CSL_CITATION {"citationID":"aYCtED6R","properties":{"formattedCitation":"[24]","plainCitation":"[24]","noteIndex":0},"citationItems":[{"id":87800,"uris":["http://zotero.org/groups/4742804/items/TPCQ89X9"],"itemData":{"id":87800,"type":"webpage","title":"Xeljanz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56580A">
        <w:fldChar w:fldCharType="separate"/>
      </w:r>
      <w:r w:rsidR="00DE2C35">
        <w:rPr>
          <w:rFonts w:cs="Times New Roman"/>
        </w:rPr>
        <w:t>[2</w:t>
      </w:r>
      <w:r w:rsidR="008D5290" w:rsidRPr="008D5290">
        <w:rPr>
          <w:rFonts w:cs="Times New Roman"/>
        </w:rPr>
        <w:t>]</w:t>
      </w:r>
      <w:r w:rsidR="0056580A">
        <w:fldChar w:fldCharType="end"/>
      </w:r>
      <w:r w:rsidR="0056580A">
        <w:t>.</w:t>
      </w:r>
    </w:p>
    <w:p w14:paraId="4DCE297C" w14:textId="16DD389F" w:rsidR="00A05C47" w:rsidRDefault="00A05C47" w:rsidP="00D22A13">
      <w:pPr>
        <w:pStyle w:val="SDText"/>
        <w:contextualSpacing/>
      </w:pPr>
      <w:r>
        <w:t xml:space="preserve">Из 4271 </w:t>
      </w:r>
      <w:r w:rsidR="001E3242">
        <w:t xml:space="preserve">включенного в исследования </w:t>
      </w:r>
      <w:r>
        <w:t>пациента</w:t>
      </w:r>
      <w:r w:rsidR="001E3242" w:rsidRPr="001E3242">
        <w:t xml:space="preserve"> </w:t>
      </w:r>
      <w:r w:rsidR="001E3242">
        <w:t>с РА</w:t>
      </w:r>
      <w:r>
        <w:t xml:space="preserve"> 608 </w:t>
      </w:r>
      <w:r w:rsidR="001E3242">
        <w:t>больных</w:t>
      </w:r>
      <w:r>
        <w:t xml:space="preserve"> были в возрасте 65 лет и старше, в том числе 85 больных </w:t>
      </w:r>
      <w:r w:rsidR="001E3242">
        <w:t xml:space="preserve">– в возрасте </w:t>
      </w:r>
      <w:r>
        <w:t>75 лет и старше. Частота серьезных инфекци</w:t>
      </w:r>
      <w:r w:rsidR="001E3242">
        <w:t>й</w:t>
      </w:r>
      <w:r>
        <w:t xml:space="preserve"> среди пациентов в возрасте 65 лет и старше, получавших тофацитиниб, была выше, чем у пациентов, получавших тофацитиниб</w:t>
      </w:r>
      <w:r w:rsidR="00F71D7C">
        <w:t>,</w:t>
      </w:r>
      <w:r>
        <w:t xml:space="preserve"> </w:t>
      </w:r>
      <w:r w:rsidR="001E3242">
        <w:t xml:space="preserve">в возрасте до </w:t>
      </w:r>
      <w:r>
        <w:t>65 лет (4,8 на 100 пациенто-лет против 2,4 на 100 пациенто-лет соответственно)</w:t>
      </w:r>
      <w:r w:rsidR="001E3242">
        <w:t xml:space="preserve"> </w:t>
      </w:r>
      <w:r w:rsidR="001E3242">
        <w:fldChar w:fldCharType="begin"/>
      </w:r>
      <w:r w:rsidR="008D5290">
        <w:instrText xml:space="preserve"> ADDIN ZOTERO_ITEM CSL_CITATION {"citationID":"io9z5eka","properties":{"formattedCitation":"[24]","plainCitation":"[24]","noteIndex":0},"citationItems":[{"id":87800,"uris":["http://zotero.org/groups/4742804/items/TPCQ89X9"],"itemData":{"id":87800,"type":"webpage","title":"Xeljanz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1E3242">
        <w:fldChar w:fldCharType="separate"/>
      </w:r>
      <w:r w:rsidR="00DE2C35">
        <w:rPr>
          <w:rFonts w:cs="Times New Roman"/>
        </w:rPr>
        <w:t>[2</w:t>
      </w:r>
      <w:r w:rsidR="008D5290" w:rsidRPr="008D5290">
        <w:rPr>
          <w:rFonts w:cs="Times New Roman"/>
        </w:rPr>
        <w:t>]</w:t>
      </w:r>
      <w:r w:rsidR="001E3242">
        <w:fldChar w:fldCharType="end"/>
      </w:r>
      <w:r w:rsidR="001E3242">
        <w:t>.</w:t>
      </w:r>
    </w:p>
    <w:p w14:paraId="13ABF32D" w14:textId="75B8076D" w:rsidR="00D87FFE" w:rsidRDefault="00453DFF" w:rsidP="00D22A13">
      <w:pPr>
        <w:pStyle w:val="SDText"/>
        <w:contextualSpacing/>
      </w:pPr>
      <w:r>
        <w:lastRenderedPageBreak/>
        <w:t>Согласно д</w:t>
      </w:r>
      <w:r w:rsidR="00D87FFE">
        <w:t>анны</w:t>
      </w:r>
      <w:r>
        <w:t>м</w:t>
      </w:r>
      <w:r w:rsidR="00D87FFE">
        <w:t xml:space="preserve"> неинтервенционного </w:t>
      </w:r>
      <w:r>
        <w:t xml:space="preserve">пострегистрационного </w:t>
      </w:r>
      <w:r w:rsidR="00D87FFE">
        <w:t xml:space="preserve">исследования безопасности, в котором оценивали </w:t>
      </w:r>
      <w:r w:rsidR="003B0DEC">
        <w:t xml:space="preserve">безопасность </w:t>
      </w:r>
      <w:r w:rsidR="00D87FFE">
        <w:t>тофацитиниб</w:t>
      </w:r>
      <w:r w:rsidR="003B0DEC">
        <w:t>а</w:t>
      </w:r>
      <w:r w:rsidR="00D87FFE">
        <w:t xml:space="preserve"> у пациентов с РА, более высок</w:t>
      </w:r>
      <w:r w:rsidR="00ED29D5">
        <w:t>ую</w:t>
      </w:r>
      <w:r w:rsidR="003B0DEC">
        <w:t xml:space="preserve"> частот</w:t>
      </w:r>
      <w:r w:rsidR="00ED29D5">
        <w:t>у</w:t>
      </w:r>
      <w:r w:rsidR="003B0DEC">
        <w:t xml:space="preserve"> </w:t>
      </w:r>
      <w:r w:rsidR="00D87FFE">
        <w:t>тяжел</w:t>
      </w:r>
      <w:r w:rsidR="003B0DEC">
        <w:t>ых</w:t>
      </w:r>
      <w:r w:rsidR="00D87FFE">
        <w:t xml:space="preserve"> инфекци</w:t>
      </w:r>
      <w:r w:rsidR="003B0DEC">
        <w:t>й</w:t>
      </w:r>
      <w:r w:rsidR="00D87FFE">
        <w:t xml:space="preserve"> </w:t>
      </w:r>
      <w:r w:rsidR="003B0DEC">
        <w:t>отмечали</w:t>
      </w:r>
      <w:r w:rsidR="00D87FFE">
        <w:t xml:space="preserve"> для таблеток с пролонгированным высвобождением </w:t>
      </w:r>
      <w:r w:rsidR="003B0DEC">
        <w:t xml:space="preserve">с дозировкой </w:t>
      </w:r>
      <w:r w:rsidR="00D87FFE">
        <w:t>11 мг, принимаемых один раз в день, чем для таблеток</w:t>
      </w:r>
      <w:r w:rsidR="002E3E21">
        <w:t xml:space="preserve">, покрытых </w:t>
      </w:r>
      <w:r w:rsidR="00D87FFE">
        <w:t>пленочн</w:t>
      </w:r>
      <w:r w:rsidR="002E3E21">
        <w:t xml:space="preserve">ой оболочкой, </w:t>
      </w:r>
      <w:r w:rsidR="003B0DEC">
        <w:t xml:space="preserve">с дозировкой </w:t>
      </w:r>
      <w:r w:rsidR="00D87FFE">
        <w:t>5 мг</w:t>
      </w:r>
      <w:r w:rsidR="003B0DEC">
        <w:t>, принимаемых 2</w:t>
      </w:r>
      <w:r w:rsidR="00D87FFE">
        <w:t xml:space="preserve"> раза в день. </w:t>
      </w:r>
      <w:r w:rsidR="004D3DEF">
        <w:t xml:space="preserve">Общий коэффициент </w:t>
      </w:r>
      <w:r w:rsidR="00D87FFE">
        <w:t xml:space="preserve">заболеваемости (95% ДИ) (т. е. без поправки на возраст или пол) </w:t>
      </w:r>
      <w:r w:rsidR="00CB2144">
        <w:t>через 12 мес</w:t>
      </w:r>
      <w:r w:rsidR="00566AA6">
        <w:t xml:space="preserve">. </w:t>
      </w:r>
      <w:r w:rsidR="00CB2144">
        <w:t xml:space="preserve">после начала </w:t>
      </w:r>
      <w:r w:rsidR="00566AA6">
        <w:t>приема тофацитиниба</w:t>
      </w:r>
      <w:r w:rsidR="00CB2144">
        <w:t xml:space="preserve"> состав</w:t>
      </w:r>
      <w:r w:rsidR="00566AA6">
        <w:t xml:space="preserve">ил </w:t>
      </w:r>
      <w:r w:rsidR="00CB2144">
        <w:t>3,45 (1,93, 5,69) и 2,78 (1,74, 4,21), а через 36 мес</w:t>
      </w:r>
      <w:r w:rsidR="00566AA6">
        <w:t>.</w:t>
      </w:r>
      <w:r w:rsidR="00A1229B">
        <w:t xml:space="preserve"> </w:t>
      </w:r>
      <w:r w:rsidR="00566AA6">
        <w:t>–</w:t>
      </w:r>
      <w:r w:rsidR="00A1229B">
        <w:t xml:space="preserve"> </w:t>
      </w:r>
      <w:r w:rsidR="00CB2144">
        <w:t xml:space="preserve">4,71 (3,08, 6,91) и 2,79 (2,01, 3,77) на 100 пациенто-лет </w:t>
      </w:r>
      <w:r w:rsidR="007111ED">
        <w:t>для препарата с дозировкой</w:t>
      </w:r>
      <w:r w:rsidR="00CB2144">
        <w:t xml:space="preserve"> 11 и 5 мг</w:t>
      </w:r>
      <w:r w:rsidR="007111ED">
        <w:t xml:space="preserve"> </w:t>
      </w:r>
      <w:r w:rsidR="00CB2144">
        <w:t xml:space="preserve">соответственно. Нескорректированное </w:t>
      </w:r>
      <w:r w:rsidR="007A0505">
        <w:rPr>
          <w:lang w:val="en-US"/>
        </w:rPr>
        <w:t>HR</w:t>
      </w:r>
      <w:r w:rsidR="00CB2144">
        <w:t xml:space="preserve"> составило 1,30 (95% ДИ: 0,67, 2,50) </w:t>
      </w:r>
      <w:r w:rsidR="007A0505">
        <w:t>через</w:t>
      </w:r>
      <w:r w:rsidR="00CB2144">
        <w:t xml:space="preserve"> 12 мес</w:t>
      </w:r>
      <w:r w:rsidR="007A0505">
        <w:t>.</w:t>
      </w:r>
      <w:r w:rsidR="00CB2144">
        <w:t xml:space="preserve"> и 1,93 (95% ДИ: 1,15, 3,24) через 36 мес</w:t>
      </w:r>
      <w:r w:rsidR="007A0505">
        <w:t>.</w:t>
      </w:r>
      <w:r w:rsidR="00CB2144">
        <w:t xml:space="preserve"> для </w:t>
      </w:r>
      <w:r w:rsidR="007A0505">
        <w:t xml:space="preserve">дозировки </w:t>
      </w:r>
      <w:r w:rsidR="00CB2144">
        <w:t xml:space="preserve">11 мг по сравнению с 5 мг. Данные </w:t>
      </w:r>
      <w:r w:rsidR="007A0505">
        <w:t xml:space="preserve">были </w:t>
      </w:r>
      <w:r w:rsidR="00CB2144">
        <w:t xml:space="preserve">основаны на небольшом количестве пациентов с относительно большими </w:t>
      </w:r>
      <w:r w:rsidR="00990D1E">
        <w:t>ДИ</w:t>
      </w:r>
      <w:r w:rsidR="00CB2144">
        <w:t xml:space="preserve"> и ограниченным временем наблюдения </w:t>
      </w:r>
      <w:r w:rsidR="00CB2144">
        <w:fldChar w:fldCharType="begin"/>
      </w:r>
      <w:r w:rsidR="008D5290">
        <w:instrText xml:space="preserve"> ADDIN ZOTERO_ITEM CSL_CITATION {"citationID":"Z3GDgez3","properties":{"formattedCitation":"[24]","plainCitation":"[24]","noteIndex":0},"citationItems":[{"id":87800,"uris":["http://zotero.org/groups/4742804/items/TPCQ89X9"],"itemData":{"id":87800,"type":"webpage","title":"Xeljanz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CB2144">
        <w:fldChar w:fldCharType="separate"/>
      </w:r>
      <w:r w:rsidR="00DE2C35">
        <w:rPr>
          <w:rFonts w:cs="Times New Roman"/>
        </w:rPr>
        <w:t>[2</w:t>
      </w:r>
      <w:r w:rsidR="008D5290" w:rsidRPr="008D5290">
        <w:rPr>
          <w:rFonts w:cs="Times New Roman"/>
        </w:rPr>
        <w:t>]</w:t>
      </w:r>
      <w:r w:rsidR="00CB2144">
        <w:fldChar w:fldCharType="end"/>
      </w:r>
      <w:r w:rsidR="00CB2144">
        <w:t>.</w:t>
      </w:r>
    </w:p>
    <w:p w14:paraId="4A1A1723" w14:textId="52D4ED53" w:rsidR="00BA07E8" w:rsidRDefault="00973F03" w:rsidP="00D22A13">
      <w:pPr>
        <w:pStyle w:val="SDText"/>
        <w:contextualSpacing/>
      </w:pPr>
      <w:r>
        <w:t>Японцы и корейцы</w:t>
      </w:r>
      <w:r w:rsidR="00BA07E8">
        <w:t xml:space="preserve">, получающие лечение тофацитинибом, или пациенты с длительно текущим РА, которые ранее получали два или более биологических </w:t>
      </w:r>
      <w:r>
        <w:t>БМАРП</w:t>
      </w:r>
      <w:r w:rsidR="00BA07E8">
        <w:t xml:space="preserve">, или пациенты с </w:t>
      </w:r>
      <w:r w:rsidR="005E5BC5">
        <w:t>абсолютным количеством лимфоцитов</w:t>
      </w:r>
      <w:r w:rsidR="00BA07E8">
        <w:t xml:space="preserve"> </w:t>
      </w:r>
      <w:r w:rsidR="003A42A5" w:rsidRPr="003A42A5">
        <w:t>&lt;</w:t>
      </w:r>
      <w:r w:rsidR="00BA07E8">
        <w:t xml:space="preserve"> 1000 клеток/мм</w:t>
      </w:r>
      <w:r w:rsidR="00BA07E8" w:rsidRPr="003A42A5">
        <w:rPr>
          <w:vertAlign w:val="superscript"/>
        </w:rPr>
        <w:t>3</w:t>
      </w:r>
      <w:r w:rsidR="00BA07E8">
        <w:t xml:space="preserve">, или пациенты, получающие </w:t>
      </w:r>
      <w:r w:rsidR="003A42A5">
        <w:t>тофацитиниб в дозе</w:t>
      </w:r>
      <w:r w:rsidR="003A42A5" w:rsidRPr="003A42A5">
        <w:t xml:space="preserve"> </w:t>
      </w:r>
      <w:r w:rsidR="00BA07E8">
        <w:t xml:space="preserve">10 мг два раза в день, могут иметь повышенный риск </w:t>
      </w:r>
      <w:r w:rsidR="0023154D">
        <w:t xml:space="preserve">опоясывающего </w:t>
      </w:r>
      <w:r w:rsidR="00BA07E8">
        <w:t>лиша</w:t>
      </w:r>
      <w:r w:rsidR="0023154D">
        <w:t>я</w:t>
      </w:r>
      <w:r w:rsidR="00F37B43">
        <w:t xml:space="preserve">. </w:t>
      </w:r>
      <w:r w:rsidR="00BA07E8">
        <w:t>В крупном (</w:t>
      </w:r>
      <w:r w:rsidR="0023154D">
        <w:t xml:space="preserve">n </w:t>
      </w:r>
      <w:r w:rsidR="00BA07E8">
        <w:t>=</w:t>
      </w:r>
      <w:r w:rsidR="0023154D">
        <w:t xml:space="preserve"> </w:t>
      </w:r>
      <w:r w:rsidR="00BA07E8">
        <w:t>4362) рандомизированном пострегистрационном исследовании безопасности у пациентов с РА</w:t>
      </w:r>
      <w:r w:rsidR="0023154D">
        <w:t xml:space="preserve"> в возрасте</w:t>
      </w:r>
      <w:r>
        <w:t xml:space="preserve"> </w:t>
      </w:r>
      <w:r w:rsidR="00BA07E8">
        <w:t xml:space="preserve">50 лет и старше по крайней мере с одним дополнительным </w:t>
      </w:r>
      <w:r w:rsidR="0023154D">
        <w:t xml:space="preserve">фактором риска </w:t>
      </w:r>
      <w:r w:rsidR="00BA07E8">
        <w:t>сердечно-сосудисты</w:t>
      </w:r>
      <w:r w:rsidR="0023154D">
        <w:t>х заболеваний</w:t>
      </w:r>
      <w:r w:rsidR="00BA07E8">
        <w:t xml:space="preserve">, повышение частоты опоясывающего </w:t>
      </w:r>
      <w:r w:rsidR="0023154D">
        <w:t xml:space="preserve">лишая </w:t>
      </w:r>
      <w:r w:rsidR="00BA07E8">
        <w:t xml:space="preserve">наблюдали у пациентов, получавших тофацитиниб, по сравнению с </w:t>
      </w:r>
      <w:r w:rsidR="0023154D">
        <w:t xml:space="preserve">больными, получавшими </w:t>
      </w:r>
      <w:r w:rsidR="00BA07E8">
        <w:t>ингибитор</w:t>
      </w:r>
      <w:r w:rsidR="009A64FA">
        <w:t>ы</w:t>
      </w:r>
      <w:r w:rsidR="00BA07E8">
        <w:t xml:space="preserve"> </w:t>
      </w:r>
      <w:r w:rsidR="0023154D">
        <w:rPr>
          <w:lang w:val="en-US"/>
        </w:rPr>
        <w:t>TNF</w:t>
      </w:r>
      <w:r w:rsidR="0023154D" w:rsidRPr="0023154D">
        <w:t>-</w:t>
      </w:r>
      <w:r w:rsidR="0023154D">
        <w:rPr>
          <w:rFonts w:cs="Times New Roman"/>
        </w:rPr>
        <w:t>α</w:t>
      </w:r>
      <w:r w:rsidR="00BA07E8">
        <w:t xml:space="preserve">. </w:t>
      </w:r>
      <w:r w:rsidR="0023154D">
        <w:t xml:space="preserve">Частота </w:t>
      </w:r>
      <w:r w:rsidR="00BA07E8">
        <w:t>(95% ДИ) опоясывающего герпеса для тофацитиниба в дозе 5 мг два раза в день, тофацитиниба в дозе 10 мг два раза в день и</w:t>
      </w:r>
      <w:r>
        <w:t xml:space="preserve"> </w:t>
      </w:r>
      <w:r w:rsidR="0023154D">
        <w:t>и</w:t>
      </w:r>
      <w:r w:rsidR="00BA07E8">
        <w:t>нгибитор</w:t>
      </w:r>
      <w:r w:rsidR="0023154D">
        <w:t>ов</w:t>
      </w:r>
      <w:r w:rsidR="00BA07E8">
        <w:t xml:space="preserve"> </w:t>
      </w:r>
      <w:r w:rsidR="0023154D">
        <w:rPr>
          <w:lang w:val="en-US"/>
        </w:rPr>
        <w:t>TNF</w:t>
      </w:r>
      <w:r w:rsidR="0023154D" w:rsidRPr="0023154D">
        <w:t>-</w:t>
      </w:r>
      <w:r w:rsidR="0023154D">
        <w:rPr>
          <w:rFonts w:cs="Times New Roman"/>
        </w:rPr>
        <w:t>α</w:t>
      </w:r>
      <w:r w:rsidR="00BA07E8">
        <w:t xml:space="preserve"> </w:t>
      </w:r>
      <w:r w:rsidR="0023154D">
        <w:t>составила</w:t>
      </w:r>
      <w:r w:rsidR="00BA07E8">
        <w:t xml:space="preserve"> 3,75 (3,22, 4,34), 3,94 (3,38, 4,57) и 1,18 (0,90, 1,52) </w:t>
      </w:r>
      <w:r w:rsidR="0023154D">
        <w:t>на</w:t>
      </w:r>
      <w:r>
        <w:t xml:space="preserve"> </w:t>
      </w:r>
      <w:r w:rsidR="00BA07E8">
        <w:t>100 пациенто-лет соответственно</w:t>
      </w:r>
      <w:r w:rsidR="0023154D">
        <w:t xml:space="preserve"> </w:t>
      </w:r>
      <w:r w:rsidR="0023154D">
        <w:fldChar w:fldCharType="begin"/>
      </w:r>
      <w:r w:rsidR="008D5290">
        <w:instrText xml:space="preserve"> ADDIN ZOTERO_ITEM CSL_CITATION {"citationID":"JTP2eItb","properties":{"formattedCitation":"[24]","plainCitation":"[24]","noteIndex":0},"citationItems":[{"id":87800,"uris":["http://zotero.org/groups/4742804/items/TPCQ89X9"],"itemData":{"id":87800,"type":"webpage","title":"Xeljanz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23154D">
        <w:fldChar w:fldCharType="separate"/>
      </w:r>
      <w:r w:rsidR="00DE2C35">
        <w:rPr>
          <w:rFonts w:cs="Times New Roman"/>
        </w:rPr>
        <w:t>[2</w:t>
      </w:r>
      <w:r w:rsidR="008D5290" w:rsidRPr="008D5290">
        <w:rPr>
          <w:rFonts w:cs="Times New Roman"/>
        </w:rPr>
        <w:t>]</w:t>
      </w:r>
      <w:r w:rsidR="0023154D">
        <w:fldChar w:fldCharType="end"/>
      </w:r>
      <w:r w:rsidR="0023154D">
        <w:t>.</w:t>
      </w:r>
    </w:p>
    <w:p w14:paraId="7AA2BB18" w14:textId="41ECACA1" w:rsidR="009E52C1" w:rsidRDefault="009E52C1" w:rsidP="00D22A13">
      <w:pPr>
        <w:pStyle w:val="SDText"/>
        <w:contextualSpacing/>
      </w:pPr>
      <w:r>
        <w:t>В крупном (n = 4362) рандомизированном пострегистрационном исследовании безопасности у пациентов с РА, которым 50 лет и старше с по крайней мере одним дополнительным фактором риска</w:t>
      </w:r>
      <w:r w:rsidRPr="009E52C1">
        <w:t xml:space="preserve"> </w:t>
      </w:r>
      <w:r>
        <w:t xml:space="preserve">сердечно-сосудистых заболеваний, </w:t>
      </w:r>
      <w:r w:rsidR="001D606C">
        <w:t>частота</w:t>
      </w:r>
      <w:r>
        <w:t xml:space="preserve"> (95% ДИ) не</w:t>
      </w:r>
      <w:r w:rsidR="001D606C">
        <w:t>фатального</w:t>
      </w:r>
      <w:r>
        <w:t xml:space="preserve"> инфаркта миокарда для тофацитиниба</w:t>
      </w:r>
      <w:r w:rsidR="001D606C">
        <w:t xml:space="preserve"> в дозе</w:t>
      </w:r>
      <w:r>
        <w:t xml:space="preserve"> 5 мг два раза в день, тофацитиниба </w:t>
      </w:r>
      <w:r w:rsidR="001D606C">
        <w:t xml:space="preserve">в дозе </w:t>
      </w:r>
      <w:r>
        <w:t xml:space="preserve">10 мг два раза в день ежедневно, </w:t>
      </w:r>
      <w:r w:rsidR="001D606C">
        <w:t xml:space="preserve">и </w:t>
      </w:r>
      <w:r>
        <w:t>ингибитор</w:t>
      </w:r>
      <w:r w:rsidR="001D606C">
        <w:t>ов</w:t>
      </w:r>
      <w:r>
        <w:t xml:space="preserve"> </w:t>
      </w:r>
      <w:r w:rsidR="001D606C">
        <w:rPr>
          <w:lang w:val="en-US"/>
        </w:rPr>
        <w:t>TNF</w:t>
      </w:r>
      <w:r w:rsidR="001D606C" w:rsidRPr="0023154D">
        <w:t>-</w:t>
      </w:r>
      <w:r w:rsidR="001D606C">
        <w:rPr>
          <w:rFonts w:cs="Times New Roman"/>
        </w:rPr>
        <w:t>α</w:t>
      </w:r>
      <w:r w:rsidR="001D606C">
        <w:t xml:space="preserve"> равнялась</w:t>
      </w:r>
      <w:r>
        <w:t xml:space="preserve"> 0,37 (0,22, 0,57), 0,33 (0,19, 0,53) и 0,16 (0,07, 0,31) на 100 пациенто-лет соответственно. Сообщалось о нескольких фатальных инфарктах миокарда с частотой</w:t>
      </w:r>
      <w:r w:rsidR="001D606C">
        <w:t xml:space="preserve">, сопоставимой </w:t>
      </w:r>
      <w:r>
        <w:t xml:space="preserve">у пациентов, получавших тофацитиниб, по сравнению с ингибиторами </w:t>
      </w:r>
      <w:r w:rsidR="001D606C">
        <w:rPr>
          <w:lang w:val="en-US"/>
        </w:rPr>
        <w:t>TNF</w:t>
      </w:r>
      <w:r w:rsidR="001D606C" w:rsidRPr="0023154D">
        <w:t>-</w:t>
      </w:r>
      <w:r w:rsidR="001D606C">
        <w:rPr>
          <w:rFonts w:cs="Times New Roman"/>
        </w:rPr>
        <w:t>α</w:t>
      </w:r>
      <w:r w:rsidR="00F337FE">
        <w:t xml:space="preserve">. В </w:t>
      </w:r>
      <w:r>
        <w:t xml:space="preserve">исследовании требовалось наблюдение не менее 1500 пациентов в течение 3 лет </w:t>
      </w:r>
      <w:r>
        <w:fldChar w:fldCharType="begin"/>
      </w:r>
      <w:r w:rsidR="008D5290">
        <w:instrText xml:space="preserve"> ADDIN ZOTERO_ITEM CSL_CITATION {"citationID":"czoo5CrX","properties":{"formattedCitation":"[24]","plainCitation":"[24]","noteIndex":0},"citationItems":[{"id":87800,"uris":["http://zotero.org/groups/4742804/items/TPCQ89X9"],"itemData":{"id":87800,"type":"webpage","title":"Xeljanz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49805B29" w14:textId="45903067" w:rsidR="002F1295" w:rsidRDefault="002F1295" w:rsidP="00D22A13">
      <w:pPr>
        <w:pStyle w:val="SDText"/>
        <w:contextualSpacing/>
      </w:pPr>
      <w:r>
        <w:t>В крупном (</w:t>
      </w:r>
      <w:r w:rsidR="00CE7687">
        <w:t xml:space="preserve">n </w:t>
      </w:r>
      <w:r>
        <w:t>=</w:t>
      </w:r>
      <w:r w:rsidR="00CE7687">
        <w:t xml:space="preserve"> </w:t>
      </w:r>
      <w:r>
        <w:t>4362) рандомизированном пострегистрационном исследовании безопасности у пациентов с РА</w:t>
      </w:r>
      <w:r w:rsidR="00CE7687">
        <w:t xml:space="preserve"> в возрасте</w:t>
      </w:r>
      <w:r>
        <w:t xml:space="preserve"> 50 лет и старше </w:t>
      </w:r>
      <w:r w:rsidR="00CE7687">
        <w:t xml:space="preserve">по крайней мере </w:t>
      </w:r>
      <w:r>
        <w:t>с одним дополнительным фактором риска</w:t>
      </w:r>
      <w:r w:rsidR="00CE7687" w:rsidRPr="00CE7687">
        <w:t xml:space="preserve"> </w:t>
      </w:r>
      <w:r w:rsidR="00CE7687">
        <w:t>сердечно-сосудистых заболеваний</w:t>
      </w:r>
      <w:r>
        <w:t xml:space="preserve">, </w:t>
      </w:r>
      <w:r w:rsidR="00CE7687">
        <w:t>частота</w:t>
      </w:r>
      <w:r>
        <w:t xml:space="preserve"> (95% ДИ) рака легких для тофацитиниба </w:t>
      </w:r>
      <w:r w:rsidR="00CE7687">
        <w:t xml:space="preserve">в дозе </w:t>
      </w:r>
      <w:r>
        <w:t xml:space="preserve">5 мг два раза в день, тофацитиниба </w:t>
      </w:r>
      <w:r w:rsidR="00CE7687">
        <w:t xml:space="preserve">в дозе </w:t>
      </w:r>
      <w:r>
        <w:t>10 мг два раза в день и ингибитор</w:t>
      </w:r>
      <w:r w:rsidR="00CE7687">
        <w:t>ов</w:t>
      </w:r>
      <w:r w:rsidR="00CE7687" w:rsidRPr="00CE7687">
        <w:t xml:space="preserve"> </w:t>
      </w:r>
      <w:r w:rsidR="00CE7687">
        <w:rPr>
          <w:lang w:val="en-US"/>
        </w:rPr>
        <w:t>TNF</w:t>
      </w:r>
      <w:r w:rsidR="00CE7687" w:rsidRPr="0023154D">
        <w:t>-</w:t>
      </w:r>
      <w:r w:rsidR="00CE7687">
        <w:rPr>
          <w:rFonts w:cs="Times New Roman"/>
        </w:rPr>
        <w:t>α</w:t>
      </w:r>
      <w:r>
        <w:t xml:space="preserve"> </w:t>
      </w:r>
      <w:r w:rsidR="00CE7687">
        <w:t xml:space="preserve">составила </w:t>
      </w:r>
      <w:r>
        <w:t xml:space="preserve">0,23 (0,12, 0,40), 0,32 (0,18, 0,51) и 0,13 (0,05, 0,26) на 100 пациенто-лет соответственно. </w:t>
      </w:r>
      <w:r w:rsidR="00CE7687">
        <w:t>В исследовании требовалось наблюдение не менее 1500 пациентов в течение 3 лет. Частота</w:t>
      </w:r>
      <w:r>
        <w:t xml:space="preserve"> (95% ДИ) лимфом</w:t>
      </w:r>
      <w:r w:rsidR="00CE7687">
        <w:t>ы</w:t>
      </w:r>
      <w:r>
        <w:t xml:space="preserve"> при </w:t>
      </w:r>
      <w:r w:rsidR="00CE7687">
        <w:t xml:space="preserve">использовании </w:t>
      </w:r>
      <w:r>
        <w:t xml:space="preserve">тофацитиниба в дозе 5 мг </w:t>
      </w:r>
      <w:r w:rsidR="00CE7687">
        <w:t>2 раза в день</w:t>
      </w:r>
      <w:r>
        <w:t xml:space="preserve"> и тофацитиниба в дозе 10 мг </w:t>
      </w:r>
      <w:r w:rsidR="00CE7687">
        <w:t>2 раза в день</w:t>
      </w:r>
      <w:r w:rsidR="009A64FA">
        <w:t>,</w:t>
      </w:r>
      <w:r w:rsidR="00CE7687">
        <w:t xml:space="preserve"> и</w:t>
      </w:r>
      <w:r w:rsidR="00A1229B">
        <w:t xml:space="preserve"> </w:t>
      </w:r>
      <w:r w:rsidR="00CE7687">
        <w:t>ингибитор</w:t>
      </w:r>
      <w:r w:rsidR="009A64FA">
        <w:t>ов</w:t>
      </w:r>
      <w:r w:rsidR="00CE7687">
        <w:t xml:space="preserve"> </w:t>
      </w:r>
      <w:r w:rsidR="00CE7687">
        <w:rPr>
          <w:lang w:val="en-US"/>
        </w:rPr>
        <w:t>TNF</w:t>
      </w:r>
      <w:r w:rsidR="00CE7687" w:rsidRPr="0023154D">
        <w:t>-</w:t>
      </w:r>
      <w:r w:rsidR="00CE7687">
        <w:rPr>
          <w:rFonts w:cs="Times New Roman"/>
        </w:rPr>
        <w:t>α</w:t>
      </w:r>
      <w:r w:rsidR="00CE7687">
        <w:t xml:space="preserve"> равнялась </w:t>
      </w:r>
      <w:r>
        <w:t>0,07 (0,02, 0,18), 0,11 (0,04, 0,24) и 0,02 (0,00, 0,10) на 100 пациенто-лет соответственно</w:t>
      </w:r>
      <w:r w:rsidR="00CE7687">
        <w:t xml:space="preserve"> </w:t>
      </w:r>
      <w:r w:rsidR="00CE7687">
        <w:fldChar w:fldCharType="begin"/>
      </w:r>
      <w:r w:rsidR="008D5290">
        <w:instrText xml:space="preserve"> ADDIN ZOTERO_ITEM CSL_CITATION {"citationID":"ZKKg4zDg","properties":{"formattedCitation":"[24]","plainCitation":"[24]","noteIndex":0},"citationItems":[{"id":87800,"uris":["http://zotero.org/groups/4742804/items/TPCQ89X9"],"itemData":{"id":87800,"type":"webpage","title":"Xeljanz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CE7687">
        <w:fldChar w:fldCharType="separate"/>
      </w:r>
      <w:r w:rsidR="00DE2C35">
        <w:rPr>
          <w:rFonts w:cs="Times New Roman"/>
        </w:rPr>
        <w:t>[2</w:t>
      </w:r>
      <w:r w:rsidR="008D5290" w:rsidRPr="008D5290">
        <w:rPr>
          <w:rFonts w:cs="Times New Roman"/>
        </w:rPr>
        <w:t>]</w:t>
      </w:r>
      <w:r w:rsidR="00CE7687">
        <w:fldChar w:fldCharType="end"/>
      </w:r>
      <w:r w:rsidR="00CE7687">
        <w:t>.</w:t>
      </w:r>
    </w:p>
    <w:p w14:paraId="3E8F077A" w14:textId="04BC91EA" w:rsidR="00F316F4" w:rsidRPr="008E502D" w:rsidRDefault="003667BE" w:rsidP="00D22A13">
      <w:pPr>
        <w:pStyle w:val="SDText"/>
        <w:contextualSpacing/>
      </w:pPr>
      <w:r>
        <w:t>Изучена</w:t>
      </w:r>
      <w:r w:rsidR="00CC5CC3">
        <w:t xml:space="preserve"> безопасность применения тофацитиниба у пациентов </w:t>
      </w:r>
      <w:r w:rsidR="00A73359">
        <w:t>с ЯК. К</w:t>
      </w:r>
      <w:r w:rsidR="008E502D" w:rsidRPr="008E502D">
        <w:t xml:space="preserve">ритерии, аналогичные </w:t>
      </w:r>
      <w:r w:rsidR="00A73359">
        <w:t xml:space="preserve">критериям в </w:t>
      </w:r>
      <w:r w:rsidR="008E502D" w:rsidRPr="008E502D">
        <w:t>клинически</w:t>
      </w:r>
      <w:r w:rsidR="00A73359">
        <w:t>х</w:t>
      </w:r>
      <w:r w:rsidR="008E502D" w:rsidRPr="008E502D">
        <w:t xml:space="preserve"> ис</w:t>
      </w:r>
      <w:r w:rsidR="00A73359">
        <w:t>следованиях</w:t>
      </w:r>
      <w:r w:rsidR="008E502D" w:rsidRPr="008E502D">
        <w:t xml:space="preserve">, были применены к популяционной когорте пациентов </w:t>
      </w:r>
      <w:r w:rsidR="00C8216E" w:rsidRPr="008E502D">
        <w:t xml:space="preserve">с ЯК </w:t>
      </w:r>
      <w:r w:rsidR="008E502D" w:rsidRPr="008E502D">
        <w:t xml:space="preserve">из </w:t>
      </w:r>
      <w:r w:rsidR="00C8216E">
        <w:t xml:space="preserve">административной </w:t>
      </w:r>
      <w:r w:rsidR="008E502D" w:rsidRPr="008E502D">
        <w:t xml:space="preserve">базы данных </w:t>
      </w:r>
      <w:r w:rsidR="008E502D" w:rsidRPr="008E502D">
        <w:rPr>
          <w:lang w:val="en-US"/>
        </w:rPr>
        <w:t>IBM</w:t>
      </w:r>
      <w:r w:rsidR="008E502D" w:rsidRPr="008E502D">
        <w:t xml:space="preserve"> </w:t>
      </w:r>
      <w:r w:rsidR="008E502D" w:rsidRPr="008E502D">
        <w:rPr>
          <w:lang w:val="en-US"/>
        </w:rPr>
        <w:t>MarketScan</w:t>
      </w:r>
      <w:r w:rsidR="008E502D" w:rsidRPr="00C8216E">
        <w:rPr>
          <w:vertAlign w:val="superscript"/>
        </w:rPr>
        <w:t>®</w:t>
      </w:r>
      <w:r w:rsidR="008E502D" w:rsidRPr="008E502D">
        <w:t xml:space="preserve"> (</w:t>
      </w:r>
      <w:r w:rsidR="008E502D" w:rsidRPr="008E502D">
        <w:rPr>
          <w:lang w:val="en-US"/>
        </w:rPr>
        <w:t>n</w:t>
      </w:r>
      <w:r w:rsidR="008E502D" w:rsidRPr="008E502D">
        <w:t xml:space="preserve"> = 22 967)</w:t>
      </w:r>
      <w:r w:rsidR="008E502D">
        <w:t xml:space="preserve"> </w:t>
      </w:r>
      <w:r w:rsidR="008E502D" w:rsidRPr="008E502D">
        <w:t xml:space="preserve">(с октября 2010 г. по сентябрь 2015 г.) для </w:t>
      </w:r>
      <w:r w:rsidR="00B16645">
        <w:t xml:space="preserve">формирования </w:t>
      </w:r>
      <w:r w:rsidR="008E502D" w:rsidRPr="008E502D">
        <w:t>когорт</w:t>
      </w:r>
      <w:r w:rsidR="00B16645">
        <w:t xml:space="preserve">ы </w:t>
      </w:r>
      <w:r w:rsidR="00D63DD9">
        <w:t>пациентов с ЯК</w:t>
      </w:r>
      <w:r w:rsidR="008E502D" w:rsidRPr="008E502D">
        <w:t>, получавш</w:t>
      </w:r>
      <w:r w:rsidR="00D63DD9">
        <w:t>их</w:t>
      </w:r>
      <w:r w:rsidR="008E502D" w:rsidRPr="008E502D">
        <w:t xml:space="preserve"> ингибиторы </w:t>
      </w:r>
      <w:r w:rsidR="008E502D" w:rsidRPr="008E502D">
        <w:rPr>
          <w:lang w:val="en-US"/>
        </w:rPr>
        <w:t>TNF</w:t>
      </w:r>
      <w:r w:rsidR="00D63DD9">
        <w:t>-</w:t>
      </w:r>
      <w:r w:rsidR="00D63DD9">
        <w:rPr>
          <w:rFonts w:cs="Times New Roman"/>
        </w:rPr>
        <w:t>α</w:t>
      </w:r>
      <w:r w:rsidR="00D63DD9">
        <w:t xml:space="preserve"> (</w:t>
      </w:r>
      <w:r w:rsidR="008E502D" w:rsidRPr="008E502D">
        <w:rPr>
          <w:lang w:val="en-US"/>
        </w:rPr>
        <w:t>n</w:t>
      </w:r>
      <w:r w:rsidR="008E502D" w:rsidRPr="008E502D">
        <w:t xml:space="preserve"> = 6366)</w:t>
      </w:r>
      <w:r w:rsidR="009A2B01">
        <w:t>,</w:t>
      </w:r>
      <w:r w:rsidR="008E502D" w:rsidRPr="008E502D">
        <w:t xml:space="preserve"> </w:t>
      </w:r>
      <w:r w:rsidR="00D63DD9">
        <w:t>и</w:t>
      </w:r>
      <w:r w:rsidR="008E502D" w:rsidRPr="008E502D">
        <w:t xml:space="preserve"> </w:t>
      </w:r>
      <w:r w:rsidR="00B16645">
        <w:t>сравнения с</w:t>
      </w:r>
      <w:r w:rsidR="00D63DD9">
        <w:t xml:space="preserve"> </w:t>
      </w:r>
      <w:r w:rsidR="008E502D" w:rsidRPr="008E502D">
        <w:t>когорт</w:t>
      </w:r>
      <w:r w:rsidR="00B16645">
        <w:t>о</w:t>
      </w:r>
      <w:r w:rsidR="00D71200">
        <w:t>й</w:t>
      </w:r>
      <w:r w:rsidR="008E502D" w:rsidRPr="008E502D">
        <w:t xml:space="preserve"> </w:t>
      </w:r>
      <w:r w:rsidR="00AD0AAB">
        <w:t xml:space="preserve">пациентов с ЯК, </w:t>
      </w:r>
      <w:r w:rsidR="00AD0AAB">
        <w:lastRenderedPageBreak/>
        <w:t xml:space="preserve">участвующих в </w:t>
      </w:r>
      <w:r w:rsidR="008E502D" w:rsidRPr="008E502D">
        <w:t>клинических ис</w:t>
      </w:r>
      <w:r w:rsidR="00AD0AAB">
        <w:t>следовани</w:t>
      </w:r>
      <w:r w:rsidR="009A2B01">
        <w:t>ях</w:t>
      </w:r>
      <w:r w:rsidR="00AD0AAB">
        <w:t xml:space="preserve"> и получавших</w:t>
      </w:r>
      <w:r w:rsidR="008E502D" w:rsidRPr="008E502D">
        <w:t xml:space="preserve"> тофацитиниб (</w:t>
      </w:r>
      <w:r w:rsidR="008E502D" w:rsidRPr="008E502D">
        <w:rPr>
          <w:lang w:val="en-US"/>
        </w:rPr>
        <w:t>n</w:t>
      </w:r>
      <w:r w:rsidR="008E502D" w:rsidRPr="008E502D">
        <w:t xml:space="preserve"> = 1157).</w:t>
      </w:r>
      <w:r w:rsidR="00540D96" w:rsidRPr="008E502D">
        <w:t xml:space="preserve"> </w:t>
      </w:r>
      <w:r w:rsidR="00E815DE">
        <w:t>Показатели заболеваемости на 100 пациенто-лет</w:t>
      </w:r>
      <w:r w:rsidR="00D21BFB">
        <w:t xml:space="preserve"> (</w:t>
      </w:r>
      <w:r w:rsidR="00E815DE">
        <w:t>95% доверительный интервал) в когорте</w:t>
      </w:r>
      <w:r w:rsidR="00D21BFB">
        <w:t xml:space="preserve"> пациентов с ЯК из базы данных</w:t>
      </w:r>
      <w:r w:rsidR="00E815DE">
        <w:t xml:space="preserve"> были следующими: серьезные инфекции</w:t>
      </w:r>
      <w:r w:rsidR="00D21BFB">
        <w:t xml:space="preserve"> –</w:t>
      </w:r>
      <w:r w:rsidR="00E815DE">
        <w:t xml:space="preserve"> 3,33 (2,73–4,02); оппортунистические инфекции</w:t>
      </w:r>
      <w:r w:rsidR="00A64CAA">
        <w:t xml:space="preserve">, </w:t>
      </w:r>
      <w:r w:rsidR="00E815DE">
        <w:t xml:space="preserve">за исключением опоясывающего </w:t>
      </w:r>
      <w:r w:rsidR="00A64CAA">
        <w:t>лишая</w:t>
      </w:r>
      <w:r w:rsidR="009A2B01">
        <w:t>,</w:t>
      </w:r>
      <w:r w:rsidR="00E815DE">
        <w:t xml:space="preserve"> </w:t>
      </w:r>
      <w:r w:rsidR="00D21BFB">
        <w:t xml:space="preserve">– </w:t>
      </w:r>
      <w:r w:rsidR="00E815DE">
        <w:t xml:space="preserve">1,45 (1,06–1,93); </w:t>
      </w:r>
      <w:r w:rsidR="00A64CAA">
        <w:t>опоясывающий лишай –</w:t>
      </w:r>
      <w:r w:rsidR="00E815DE">
        <w:t xml:space="preserve"> 1,77 (1,34–2,29); злокачественные новообразования</w:t>
      </w:r>
      <w:r w:rsidR="00A64CAA">
        <w:t xml:space="preserve">, за </w:t>
      </w:r>
      <w:r w:rsidR="00E815DE">
        <w:t>исключ</w:t>
      </w:r>
      <w:r w:rsidR="00A64CAA">
        <w:t>ением</w:t>
      </w:r>
      <w:r w:rsidR="00E815DE">
        <w:t xml:space="preserve"> немеланомн</w:t>
      </w:r>
      <w:r w:rsidR="00A64CAA">
        <w:t>ого</w:t>
      </w:r>
      <w:r w:rsidR="00E815DE">
        <w:t xml:space="preserve"> рак</w:t>
      </w:r>
      <w:r w:rsidR="00A64CAA">
        <w:t>а</w:t>
      </w:r>
      <w:r w:rsidR="00E815DE">
        <w:t xml:space="preserve"> кожи</w:t>
      </w:r>
      <w:r w:rsidR="00A64CAA">
        <w:t xml:space="preserve"> </w:t>
      </w:r>
      <w:r w:rsidR="00FA0981">
        <w:t>(НМРК)</w:t>
      </w:r>
      <w:r w:rsidR="009A2B01">
        <w:t>,</w:t>
      </w:r>
      <w:r w:rsidR="00FA0981">
        <w:t xml:space="preserve"> </w:t>
      </w:r>
      <w:r w:rsidR="00A64CAA">
        <w:t xml:space="preserve">– </w:t>
      </w:r>
      <w:r w:rsidR="00E815DE">
        <w:t xml:space="preserve">0,63 (0,43–0,90); </w:t>
      </w:r>
      <w:r w:rsidR="00FA0981">
        <w:t>НМРК</w:t>
      </w:r>
      <w:r w:rsidR="00A64CAA">
        <w:t xml:space="preserve"> –</w:t>
      </w:r>
      <w:r w:rsidR="00E815DE">
        <w:t xml:space="preserve"> 1,69 (1,35–2,10); </w:t>
      </w:r>
      <w:r w:rsidR="00BE3C2E">
        <w:t>тяжелые</w:t>
      </w:r>
      <w:r w:rsidR="00E815DE">
        <w:t xml:space="preserve"> не</w:t>
      </w:r>
      <w:r w:rsidR="00BE3C2E">
        <w:t>желательные</w:t>
      </w:r>
      <w:r w:rsidR="00E815DE">
        <w:t xml:space="preserve"> сердечно-сосудистые </w:t>
      </w:r>
      <w:r w:rsidR="00BE3C2E">
        <w:t>явления</w:t>
      </w:r>
      <w:r w:rsidR="00E815DE">
        <w:t xml:space="preserve"> (</w:t>
      </w:r>
      <w:r w:rsidR="006F5551" w:rsidRPr="006F5551">
        <w:t>major adverse cardiac events</w:t>
      </w:r>
      <w:r w:rsidR="006F5551">
        <w:t xml:space="preserve">, </w:t>
      </w:r>
      <w:r w:rsidR="00E815DE">
        <w:t>MACE)</w:t>
      </w:r>
      <w:r w:rsidR="00173C30">
        <w:t xml:space="preserve"> –</w:t>
      </w:r>
      <w:r w:rsidR="00E815DE">
        <w:t xml:space="preserve"> 0,51 (0,31-0,79); ТЭЛА</w:t>
      </w:r>
      <w:r w:rsidR="00173C30">
        <w:t xml:space="preserve"> – </w:t>
      </w:r>
      <w:r w:rsidR="00E815DE">
        <w:t>0,54 (0,30–0,89); тромбоз глубоких вен (ТГВ)</w:t>
      </w:r>
      <w:r w:rsidR="00173C30">
        <w:t xml:space="preserve"> – </w:t>
      </w:r>
      <w:r w:rsidR="00E815DE">
        <w:t xml:space="preserve">1,41 (1,00–1,93); перфорации </w:t>
      </w:r>
      <w:r w:rsidR="00173C30">
        <w:t xml:space="preserve">ЖКТ – </w:t>
      </w:r>
      <w:r w:rsidR="00E815DE">
        <w:t xml:space="preserve">0,31 (0,16–0,54). По сравнению с </w:t>
      </w:r>
      <w:r w:rsidR="00186B1F">
        <w:t xml:space="preserve">данными, полученными у пациентов из </w:t>
      </w:r>
      <w:r w:rsidR="00E815DE">
        <w:t>когорт</w:t>
      </w:r>
      <w:r w:rsidR="00186B1F">
        <w:t>ы</w:t>
      </w:r>
      <w:r w:rsidR="00E815DE">
        <w:t xml:space="preserve"> </w:t>
      </w:r>
      <w:r w:rsidR="00186B1F" w:rsidRPr="008E502D">
        <w:t xml:space="preserve">пациентов с ЯК из </w:t>
      </w:r>
      <w:r w:rsidR="00186B1F">
        <w:t xml:space="preserve">административной </w:t>
      </w:r>
      <w:r w:rsidR="00186B1F" w:rsidRPr="008E502D">
        <w:t>базы данных</w:t>
      </w:r>
      <w:r w:rsidR="00186B1F">
        <w:t>,</w:t>
      </w:r>
      <w:r w:rsidR="00186B1F" w:rsidRPr="008E502D">
        <w:t xml:space="preserve"> </w:t>
      </w:r>
      <w:r w:rsidR="00E815DE">
        <w:t xml:space="preserve">у пациентов, получавших тофацитиниб, </w:t>
      </w:r>
      <w:r w:rsidR="00186B1F">
        <w:t xml:space="preserve">отмечали </w:t>
      </w:r>
      <w:r w:rsidR="00E815DE">
        <w:t xml:space="preserve">более низкие показатели заболеваемости серьезными инфекциями (1,75 [1,27–2,36]), </w:t>
      </w:r>
      <w:r w:rsidR="00186B1F">
        <w:t>оппортунистическими инфекциями</w:t>
      </w:r>
      <w:r w:rsidR="00CD44B8">
        <w:t>,</w:t>
      </w:r>
      <w:r w:rsidR="00E815DE">
        <w:t xml:space="preserve"> </w:t>
      </w:r>
      <w:r w:rsidR="00186B1F">
        <w:t xml:space="preserve">за </w:t>
      </w:r>
      <w:r w:rsidR="00E815DE">
        <w:t>исключ</w:t>
      </w:r>
      <w:r w:rsidR="00186B1F">
        <w:t>ением</w:t>
      </w:r>
      <w:r w:rsidR="00E815DE">
        <w:t xml:space="preserve"> </w:t>
      </w:r>
      <w:r w:rsidR="00186B1F">
        <w:t>опоясывающего лишая</w:t>
      </w:r>
      <w:r w:rsidR="009A2B01">
        <w:t>,</w:t>
      </w:r>
      <w:r w:rsidR="00186B1F">
        <w:t xml:space="preserve"> – </w:t>
      </w:r>
      <w:r w:rsidR="00E815DE">
        <w:t xml:space="preserve">0,16 [0,04–0,42]), </w:t>
      </w:r>
      <w:r w:rsidR="00FA0981">
        <w:t>НМРК</w:t>
      </w:r>
      <w:r w:rsidR="00E815DE">
        <w:t xml:space="preserve"> </w:t>
      </w:r>
      <w:r w:rsidR="00186B1F">
        <w:t xml:space="preserve">– </w:t>
      </w:r>
      <w:r w:rsidR="00E815DE">
        <w:t xml:space="preserve">0,78 </w:t>
      </w:r>
      <w:r w:rsidR="00186B1F">
        <w:t>(</w:t>
      </w:r>
      <w:r w:rsidR="00E815DE">
        <w:t xml:space="preserve">0,47–1,22), </w:t>
      </w:r>
      <w:r w:rsidR="00186B1F">
        <w:t>ТЭЛА</w:t>
      </w:r>
      <w:r w:rsidR="00E815DE">
        <w:t xml:space="preserve"> </w:t>
      </w:r>
      <w:r w:rsidR="00186B1F">
        <w:t xml:space="preserve">– </w:t>
      </w:r>
      <w:r w:rsidR="00E815DE">
        <w:t xml:space="preserve">0,16 </w:t>
      </w:r>
      <w:r w:rsidR="00186B1F">
        <w:t>(</w:t>
      </w:r>
      <w:r w:rsidR="00E815DE">
        <w:t xml:space="preserve">0,04–0,41) и ТГВ </w:t>
      </w:r>
      <w:r w:rsidR="00186B1F">
        <w:t xml:space="preserve">– </w:t>
      </w:r>
      <w:r w:rsidR="00E815DE">
        <w:t xml:space="preserve">0,04 </w:t>
      </w:r>
      <w:r w:rsidR="00186B1F">
        <w:t>(</w:t>
      </w:r>
      <w:r w:rsidR="00E815DE">
        <w:t>0,00–0,23), а также более высок</w:t>
      </w:r>
      <w:r w:rsidR="00186B1F">
        <w:t>ие</w:t>
      </w:r>
      <w:r w:rsidR="00E815DE">
        <w:t xml:space="preserve"> </w:t>
      </w:r>
      <w:r w:rsidR="00186B1F">
        <w:t>показатели заболеваемости опоясывающим лишаем</w:t>
      </w:r>
      <w:r w:rsidR="00E815DE">
        <w:t xml:space="preserve"> </w:t>
      </w:r>
      <w:r w:rsidR="00186B1F">
        <w:t xml:space="preserve">– </w:t>
      </w:r>
      <w:r w:rsidR="00E815DE">
        <w:t xml:space="preserve">3,57 </w:t>
      </w:r>
      <w:r w:rsidR="00186B1F">
        <w:t>(</w:t>
      </w:r>
      <w:r w:rsidR="00E815DE">
        <w:t>2,84–4,43)</w:t>
      </w:r>
      <w:r w:rsidR="00592EEE">
        <w:t xml:space="preserve">. Частота заболеваемости </w:t>
      </w:r>
      <w:r w:rsidR="00E815DE">
        <w:t>злокачественны</w:t>
      </w:r>
      <w:r w:rsidR="00186B1F">
        <w:t>ми</w:t>
      </w:r>
      <w:r w:rsidR="00E815DE">
        <w:t xml:space="preserve"> новообразовани</w:t>
      </w:r>
      <w:r w:rsidR="00186B1F">
        <w:t xml:space="preserve">ями, </w:t>
      </w:r>
      <w:r w:rsidR="00E815DE">
        <w:t xml:space="preserve">за исключением </w:t>
      </w:r>
      <w:r w:rsidR="00FA0981">
        <w:t>НМРК</w:t>
      </w:r>
      <w:r w:rsidR="00E815DE">
        <w:t>, MACE и перфораци</w:t>
      </w:r>
      <w:r w:rsidR="00592EEE">
        <w:t>ями</w:t>
      </w:r>
      <w:r w:rsidR="00E815DE">
        <w:t xml:space="preserve"> </w:t>
      </w:r>
      <w:r w:rsidR="00592EEE">
        <w:t>ЖКТ</w:t>
      </w:r>
      <w:r w:rsidR="00E815DE">
        <w:t xml:space="preserve"> была одинаковой. </w:t>
      </w:r>
      <w:r w:rsidR="00592EEE">
        <w:t>С учетом</w:t>
      </w:r>
      <w:r w:rsidR="0019461C">
        <w:t xml:space="preserve"> ограничени</w:t>
      </w:r>
      <w:r w:rsidR="00592EEE">
        <w:t>й</w:t>
      </w:r>
      <w:r w:rsidR="0019461C">
        <w:t xml:space="preserve"> сравнения </w:t>
      </w:r>
      <w:r w:rsidR="00592EEE">
        <w:t>информации из базы данных</w:t>
      </w:r>
      <w:r w:rsidR="0019461C">
        <w:t xml:space="preserve"> с </w:t>
      </w:r>
      <w:r w:rsidR="00592EEE">
        <w:t>результатами</w:t>
      </w:r>
      <w:r w:rsidR="0019461C">
        <w:t xml:space="preserve"> контролируемых клинических ис</w:t>
      </w:r>
      <w:r w:rsidR="00592EEE">
        <w:t>следований</w:t>
      </w:r>
      <w:r w:rsidR="0019461C">
        <w:t xml:space="preserve">, </w:t>
      </w:r>
      <w:r w:rsidR="00592EEE">
        <w:t xml:space="preserve">авторы резюмировали, что </w:t>
      </w:r>
      <w:r w:rsidR="0019461C">
        <w:t>заболеваемост</w:t>
      </w:r>
      <w:r w:rsidR="001B6140">
        <w:t>ь</w:t>
      </w:r>
      <w:r w:rsidR="0019461C">
        <w:t xml:space="preserve"> </w:t>
      </w:r>
      <w:r w:rsidR="00592EEE">
        <w:t>опоясывающим лишаем</w:t>
      </w:r>
      <w:r w:rsidR="0019461C">
        <w:t xml:space="preserve"> среди </w:t>
      </w:r>
      <w:r w:rsidR="00592EEE">
        <w:t>п</w:t>
      </w:r>
      <w:r w:rsidR="0019461C">
        <w:t xml:space="preserve">ациентов, получавших </w:t>
      </w:r>
      <w:r w:rsidR="00F35839">
        <w:t xml:space="preserve">ингибиторы </w:t>
      </w:r>
      <w:r w:rsidR="00592EEE" w:rsidRPr="008E502D">
        <w:rPr>
          <w:lang w:val="en-US"/>
        </w:rPr>
        <w:t>TNF</w:t>
      </w:r>
      <w:r w:rsidR="00592EEE">
        <w:t>-</w:t>
      </w:r>
      <w:r w:rsidR="00592EEE">
        <w:rPr>
          <w:rFonts w:cs="Times New Roman"/>
        </w:rPr>
        <w:t>α</w:t>
      </w:r>
      <w:r w:rsidR="0019461C">
        <w:t>, был</w:t>
      </w:r>
      <w:r w:rsidR="001B6140">
        <w:t>а</w:t>
      </w:r>
      <w:r w:rsidR="0019461C">
        <w:t xml:space="preserve"> </w:t>
      </w:r>
      <w:r w:rsidR="001B6140">
        <w:t>ниже</w:t>
      </w:r>
      <w:r w:rsidR="0019461C">
        <w:t xml:space="preserve">, чем </w:t>
      </w:r>
      <w:r w:rsidR="001B6140">
        <w:t>при использовании</w:t>
      </w:r>
      <w:r w:rsidR="0019461C">
        <w:t xml:space="preserve"> тофацитиниба</w:t>
      </w:r>
      <w:r w:rsidR="001B6140">
        <w:t>, а заболеваемость</w:t>
      </w:r>
      <w:r w:rsidR="0019461C">
        <w:t xml:space="preserve"> тяжелы</w:t>
      </w:r>
      <w:r w:rsidR="001B6140">
        <w:t>ми</w:t>
      </w:r>
      <w:r w:rsidR="0019461C">
        <w:t xml:space="preserve"> инфекци</w:t>
      </w:r>
      <w:r w:rsidR="001B6140">
        <w:t>ями</w:t>
      </w:r>
      <w:r w:rsidR="0019461C">
        <w:t xml:space="preserve">, </w:t>
      </w:r>
      <w:r w:rsidR="001B6140">
        <w:t>оппортунистическими инфекциями</w:t>
      </w:r>
      <w:r w:rsidR="0019461C">
        <w:t xml:space="preserve">, </w:t>
      </w:r>
      <w:r w:rsidR="00FA0981">
        <w:t>НМРК</w:t>
      </w:r>
      <w:r w:rsidR="0019461C">
        <w:t xml:space="preserve">, </w:t>
      </w:r>
      <w:r w:rsidR="001B6140">
        <w:t>ТЭЛА</w:t>
      </w:r>
      <w:r w:rsidR="0019461C">
        <w:t xml:space="preserve"> и </w:t>
      </w:r>
      <w:r w:rsidR="001B6140">
        <w:t xml:space="preserve">ТГВ – </w:t>
      </w:r>
      <w:r w:rsidR="0019461C">
        <w:t xml:space="preserve">выше </w:t>
      </w:r>
      <w:r w:rsidR="007439C4">
        <w:fldChar w:fldCharType="begin"/>
      </w:r>
      <w:r w:rsidR="0062670E">
        <w:instrText xml:space="preserve"> ADDIN ZOTERO_ITEM CSL_CITATION {"citationID":"t7HIp8pN","properties":{"formattedCitation":"[35]","plainCitation":"[35]","noteIndex":0},"citationItems":[{"id":87781,"uris":["http://zotero.org/groups/4742804/items/NZAYA6GR"],"itemData":{"id":87781,"type":"article-journal","container-title":"Inflammatory Bowel Diseases","issue":"9","note":"publisher: Oxford University Press US","page":"1394–1408","source":"Google Scholar","title":"Tofacitinib treatment safety in moderate to severe ulcerative colitis: comparison of observational population cohort data from the IBM MarketScan® administrative claims database with tofacitinib trial data","title-short":"Tofacitinib treatment safety in moderate to severe ulcerative colitis","volume":"27","author":[{"family":"Curtis","given":"Jeffrey R."},{"family":"Regueiro","given":"Miguel"},{"family":"Yun","given":"Huifeng"},{"family":"Su","given":"Chinyu"},{"family":"DiBonaventura","given":"Marco"},{"family":"Lawendy","given":"Nervin"},{"family":"Nduaka","given":"Chudy I."},{"family":"Koram","given":"Nana"},{"family":"Cappelleri","given":"Joseph C."},{"family":"Chan","given":"Gary"}],"issued":{"date-parts":[["2021"]]}}}],"schema":"https://github.com/citation-style-language/schema/raw/master/csl-citation.json"} </w:instrText>
      </w:r>
      <w:r w:rsidR="007439C4">
        <w:fldChar w:fldCharType="separate"/>
      </w:r>
      <w:r w:rsidR="00DE2C35">
        <w:rPr>
          <w:rFonts w:cs="Times New Roman"/>
        </w:rPr>
        <w:t>[</w:t>
      </w:r>
      <w:r w:rsidR="00DE2C35" w:rsidRPr="00DE2C35">
        <w:rPr>
          <w:rFonts w:cs="Times New Roman"/>
        </w:rPr>
        <w:t>13</w:t>
      </w:r>
      <w:r w:rsidR="0062670E" w:rsidRPr="0062670E">
        <w:rPr>
          <w:rFonts w:cs="Times New Roman"/>
        </w:rPr>
        <w:t>]</w:t>
      </w:r>
      <w:r w:rsidR="007439C4">
        <w:fldChar w:fldCharType="end"/>
      </w:r>
      <w:r w:rsidR="0019461C">
        <w:t>.</w:t>
      </w:r>
    </w:p>
    <w:p w14:paraId="24139256" w14:textId="4A0973A2" w:rsidR="00F316F4" w:rsidRPr="00BF2B04" w:rsidRDefault="002F5B6A" w:rsidP="00D22A13">
      <w:pPr>
        <w:pStyle w:val="SDText"/>
        <w:contextualSpacing/>
      </w:pPr>
      <w:r>
        <w:t>В</w:t>
      </w:r>
      <w:r w:rsidR="00066F14">
        <w:t xml:space="preserve"> </w:t>
      </w:r>
      <w:r w:rsidR="00317C0A">
        <w:t>наблюдательном</w:t>
      </w:r>
      <w:r w:rsidR="00066F14">
        <w:t xml:space="preserve"> кого</w:t>
      </w:r>
      <w:r w:rsidR="009A2B01">
        <w:t>р</w:t>
      </w:r>
      <w:r w:rsidR="00066F14">
        <w:t xml:space="preserve">тном исследовании </w:t>
      </w:r>
      <w:r w:rsidR="00046D46">
        <w:t xml:space="preserve">с использованием информации из медицинских баз данных </w:t>
      </w:r>
      <w:r w:rsidR="00BD08B8" w:rsidRPr="00BD08B8">
        <w:t xml:space="preserve">Truven </w:t>
      </w:r>
      <w:r w:rsidR="00BD08B8">
        <w:t xml:space="preserve">и </w:t>
      </w:r>
      <w:r w:rsidR="00BD08B8" w:rsidRPr="00BD08B8">
        <w:t xml:space="preserve">Medicare </w:t>
      </w:r>
      <w:r w:rsidR="00066F14">
        <w:t xml:space="preserve">сравнили риск </w:t>
      </w:r>
      <w:r w:rsidR="00E916CF">
        <w:t>ВТЭ</w:t>
      </w:r>
      <w:r w:rsidR="00066F14">
        <w:t xml:space="preserve"> у пациентов</w:t>
      </w:r>
      <w:r w:rsidR="003B5829">
        <w:t xml:space="preserve"> с РА, получавших тофацитиниб или </w:t>
      </w:r>
      <w:r w:rsidR="003B5829" w:rsidRPr="008E502D">
        <w:rPr>
          <w:lang w:val="en-US"/>
        </w:rPr>
        <w:t>TNF</w:t>
      </w:r>
      <w:r w:rsidR="003B5829">
        <w:t>-</w:t>
      </w:r>
      <w:r w:rsidR="003B5829">
        <w:rPr>
          <w:rFonts w:cs="Times New Roman"/>
        </w:rPr>
        <w:t>α</w:t>
      </w:r>
      <w:r w:rsidR="003B5829">
        <w:t xml:space="preserve">. </w:t>
      </w:r>
      <w:r w:rsidR="00BD08B8">
        <w:t xml:space="preserve">Авторы обнаружили информацию о </w:t>
      </w:r>
      <w:r w:rsidR="00607AC1">
        <w:t xml:space="preserve">34074 пациентах с РА </w:t>
      </w:r>
      <w:r w:rsidR="00CC6D4C">
        <w:t xml:space="preserve">(средний возраст 50 лет, </w:t>
      </w:r>
      <w:r w:rsidR="002E5478">
        <w:t xml:space="preserve">5,6% впервые получали тофацитиниб) </w:t>
      </w:r>
      <w:r w:rsidR="00607AC1">
        <w:t xml:space="preserve">в базе данных </w:t>
      </w:r>
      <w:r w:rsidR="00607AC1" w:rsidRPr="00BD08B8">
        <w:t>Truven</w:t>
      </w:r>
      <w:r w:rsidR="00607AC1" w:rsidRPr="00607AC1">
        <w:t xml:space="preserve"> </w:t>
      </w:r>
      <w:r w:rsidR="00513FEA">
        <w:t xml:space="preserve">в период </w:t>
      </w:r>
      <w:r w:rsidR="00513FEA" w:rsidRPr="00513FEA">
        <w:t>2012–2016</w:t>
      </w:r>
      <w:r w:rsidR="00513FEA">
        <w:t xml:space="preserve"> гг</w:t>
      </w:r>
      <w:r w:rsidR="009A2B01">
        <w:t>.</w:t>
      </w:r>
      <w:r w:rsidR="00513FEA" w:rsidRPr="00513FEA">
        <w:t xml:space="preserve"> </w:t>
      </w:r>
      <w:r w:rsidR="00607AC1">
        <w:t xml:space="preserve">и о 17086 больных РА </w:t>
      </w:r>
      <w:r w:rsidR="0098488A">
        <w:t xml:space="preserve">(средний возраст 71 лет, 5,8% впервые получали тофацитиниб) </w:t>
      </w:r>
      <w:r w:rsidR="00607AC1">
        <w:t xml:space="preserve">в базе данных </w:t>
      </w:r>
      <w:r w:rsidR="00CC6D4C" w:rsidRPr="00CC6D4C">
        <w:t xml:space="preserve">Medicare </w:t>
      </w:r>
      <w:r w:rsidR="00513FEA">
        <w:t xml:space="preserve">в период </w:t>
      </w:r>
      <w:r w:rsidR="00513FEA" w:rsidRPr="00513FEA">
        <w:t>2012–201</w:t>
      </w:r>
      <w:r w:rsidR="00513FEA">
        <w:t xml:space="preserve">5 гг. </w:t>
      </w:r>
      <w:r w:rsidR="00F14E97">
        <w:t>Общи</w:t>
      </w:r>
      <w:r w:rsidR="00F35839">
        <w:t>е</w:t>
      </w:r>
      <w:r w:rsidR="00F14E97">
        <w:t xml:space="preserve"> </w:t>
      </w:r>
      <w:r w:rsidR="008615D4">
        <w:t>показател</w:t>
      </w:r>
      <w:r w:rsidR="00F35839">
        <w:t>и</w:t>
      </w:r>
      <w:r w:rsidR="00F14E97">
        <w:t xml:space="preserve"> заболеваемости ВТЭ на 100 </w:t>
      </w:r>
      <w:r w:rsidR="00122397">
        <w:t>пациенто</w:t>
      </w:r>
      <w:r w:rsidR="00F14E97">
        <w:t xml:space="preserve">-лет </w:t>
      </w:r>
      <w:r w:rsidR="00122397">
        <w:t>равнялись</w:t>
      </w:r>
      <w:r w:rsidR="00F14E97">
        <w:t xml:space="preserve"> 0,60 (95% ДИ 0,26–1,19) и 0,34 (95% ДИ 0,27–0,41) в Truven</w:t>
      </w:r>
      <w:r w:rsidR="00F35839">
        <w:t>,</w:t>
      </w:r>
      <w:r w:rsidR="00F14E97">
        <w:t xml:space="preserve"> и 1,12 (95% ДИ 0,45–2,31) и 0,92 (95% ДИ 0,76–1,11) в Medicare для пациентов, получающих тофацитиниб</w:t>
      </w:r>
      <w:r w:rsidR="00482E78">
        <w:t>,</w:t>
      </w:r>
      <w:r w:rsidR="00F14E97">
        <w:t xml:space="preserve"> и пациентов, получающих ингибиторы </w:t>
      </w:r>
      <w:r w:rsidR="00122397" w:rsidRPr="00122397">
        <w:t>TNF-α</w:t>
      </w:r>
      <w:r w:rsidR="00F14E97">
        <w:t xml:space="preserve"> соответственно. </w:t>
      </w:r>
      <w:r w:rsidR="00E916CF">
        <w:t xml:space="preserve">При расчете </w:t>
      </w:r>
      <w:r w:rsidR="00F14E97">
        <w:t xml:space="preserve">HR с поправкой на показатель предрасположенности </w:t>
      </w:r>
      <w:r w:rsidR="00E916CF">
        <w:t>н</w:t>
      </w:r>
      <w:r w:rsidR="00F35839">
        <w:t>е</w:t>
      </w:r>
      <w:r w:rsidR="00E916CF">
        <w:t xml:space="preserve"> показали </w:t>
      </w:r>
      <w:r w:rsidR="00F14E97">
        <w:t>существенн</w:t>
      </w:r>
      <w:r w:rsidR="00E916CF">
        <w:t>ых</w:t>
      </w:r>
      <w:r w:rsidR="00F14E97">
        <w:t xml:space="preserve"> различий риск</w:t>
      </w:r>
      <w:r w:rsidR="00E916CF">
        <w:t>а</w:t>
      </w:r>
      <w:r w:rsidR="00F14E97">
        <w:t xml:space="preserve"> ВТЭ между пациентами, получавшими тофацитиниб, и пациентами, получавшими ингибиторы </w:t>
      </w:r>
      <w:r w:rsidR="00E916CF" w:rsidRPr="00122397">
        <w:t>TNF-α</w:t>
      </w:r>
      <w:r w:rsidR="00F14E97">
        <w:t xml:space="preserve">, в любой из баз данных, с объединенным </w:t>
      </w:r>
      <w:r w:rsidR="005768DC">
        <w:t>HR</w:t>
      </w:r>
      <w:r w:rsidR="00F14E97">
        <w:t>, равным 1,33 (95% ДИ 0,78–2,24).</w:t>
      </w:r>
      <w:r w:rsidR="00513FEA" w:rsidRPr="00513FEA">
        <w:t xml:space="preserve"> </w:t>
      </w:r>
      <w:r w:rsidR="00BF2B04">
        <w:t>Авторы при</w:t>
      </w:r>
      <w:r w:rsidR="00E54D3F">
        <w:t>ш</w:t>
      </w:r>
      <w:r w:rsidR="00BF2B04">
        <w:t>ли к выводу, что ВТЭ у 50865 пациентов с РА, начавших лечение тофацитинибом или ингибитор</w:t>
      </w:r>
      <w:r w:rsidR="005768DC">
        <w:t>ами</w:t>
      </w:r>
      <w:r w:rsidR="00BF2B04">
        <w:t xml:space="preserve"> </w:t>
      </w:r>
      <w:r w:rsidR="00E54D3F" w:rsidRPr="008E502D">
        <w:rPr>
          <w:lang w:val="en-US"/>
        </w:rPr>
        <w:t>TNF</w:t>
      </w:r>
      <w:r w:rsidR="00E54D3F">
        <w:t>-</w:t>
      </w:r>
      <w:r w:rsidR="00E54D3F">
        <w:rPr>
          <w:rFonts w:cs="Times New Roman"/>
        </w:rPr>
        <w:t>α</w:t>
      </w:r>
      <w:r w:rsidR="00F35839">
        <w:rPr>
          <w:rFonts w:cs="Times New Roman"/>
        </w:rPr>
        <w:t>,</w:t>
      </w:r>
      <w:r w:rsidR="00BF2B04">
        <w:t xml:space="preserve"> встречается нечасто (&lt;</w:t>
      </w:r>
      <w:r w:rsidR="00E54D3F">
        <w:t xml:space="preserve"> </w:t>
      </w:r>
      <w:r w:rsidR="00BF2B04">
        <w:t xml:space="preserve">1 на 100 </w:t>
      </w:r>
      <w:r w:rsidR="00E54D3F">
        <w:t>пациенто</w:t>
      </w:r>
      <w:r w:rsidR="00BF2B04">
        <w:t xml:space="preserve">-лет). </w:t>
      </w:r>
      <w:r w:rsidR="002D3746">
        <w:t>Р</w:t>
      </w:r>
      <w:r w:rsidR="00BF2B04">
        <w:t>иск</w:t>
      </w:r>
      <w:r w:rsidR="002D3746">
        <w:t xml:space="preserve"> развития</w:t>
      </w:r>
      <w:r w:rsidR="00BF2B04">
        <w:t xml:space="preserve"> ВТЭ у пациентов с РА, получающих тофацитиниб</w:t>
      </w:r>
      <w:r w:rsidR="00482E78">
        <w:t>,</w:t>
      </w:r>
      <w:r w:rsidR="002D3746">
        <w:t xml:space="preserve"> был статистически незначимо выше</w:t>
      </w:r>
      <w:r w:rsidR="00BF2B04">
        <w:t xml:space="preserve">, по сравнению с пациентами, получающими ингибиторы </w:t>
      </w:r>
      <w:r w:rsidR="002D3746" w:rsidRPr="002D3746">
        <w:t>TNF-α</w:t>
      </w:r>
      <w:r w:rsidR="00BF2B04">
        <w:t xml:space="preserve"> </w:t>
      </w:r>
      <w:r w:rsidR="000A1DF0">
        <w:rPr>
          <w:lang w:val="en-GB"/>
        </w:rPr>
        <w:fldChar w:fldCharType="begin"/>
      </w:r>
      <w:r w:rsidR="0062670E">
        <w:instrText xml:space="preserve"> ADDIN ZOTERO_ITEM CSL_CITATION {"citationID":"G8aDirM9","properties":{"formattedCitation":"[36]","plainCitation":"[36]","noteIndex":0},"citationItems":[{"id":87788,"uris":["http://zotero.org/groups/4742804/items/RVJ3T6JY"],"itemData":{"id":87788,"type":"article-journal","abstract":"Objective To evaluate the risk of venous thromboembolism (VTE) in rheumatoid arthritis (RA) patients receiving tofacitinib versus those receiving tumor necrosis factor (TNF) inhibitors. Methods RA patients who were initiating treatment with tofacitinib or a TNF inhibitor and had not previously received any biologic agent or tofacitinib were identified from the Truven MarketScan database (2012–2016) or Medicare claims (parts A, B, and D) database (2012–2015). Patients were followed up until treatment discontinuation, treatment switch, insurance disenrollment, or administrative censoring. The outcome of VTE was identified using inpatient claims for pulmonary embolism or deep vein thrombosis. Hazard ratios (HRs) and 95% confidence intervals (95% CIs) were determined using a Cox proportional hazards model after accounting for confounding through propensity score–based fine-stratification weighting. HRs were pooled across databases using the inverse variance meta-analytic method. Results A total of 34,074 RA patients (mean age 50 years; 5.6% tofacitinib initiators) and 17,086 RA patients (mean age 71 years; 5.8% tofacitinib initiators) were identified from the Truven and Medicare databases, respectively. The crude incidence rates of VTE per 100 person-years were 0.60 (95% CI 0.26–1.19) and 0.34 (95% CI 0.27–0.41) in Truven and 1.12 (95% CI 0.45–2.31) and 0.92 (95% CI 0.76–1.11) in Medicare for patients receiving tofacitinib and patients receiving TNF inhibitors, respectively. Propensity score–adjusted HRs showed no significant differences in the risk of VTE between tofacitinib-treated and TNF inhibitor–treated patients in either database, with a pooled HR of 1.33 (95% CI 0.78–2.24). Conclusion Occurrence of VTE in a total of 50,865 RA patients initiating treatment with tofacitinib or a TNF inhibitor was infrequent (&lt;1 per 100 person-years). We observed a numerically higher, but statistically nonsignificant, risk of VTE in RA patients receiving tofacitinib versus those receiving TNF inhibitors.","container-title":"Arthritis &amp; Rheumatology","DOI":"10.1002/art.40798","ISSN":"2326-5205","issue":"6","language":"en","license":"© 2018, American College of Rheumatology","note":"_eprint: https://onlinelibrary.wiley.com/doi/pdf/10.1002/art.40798","page":"892-900","source":"Wiley Online Library","title":"Comparative risk of venous thromboembolism in rheumatoid arthritis patients receiving tofacitinib versus those receiving tumor necrosis factor inhibitors: An observational cohort study","title-short":"Comparative Risk of Venous Thromboembolism in Rheumatoid Arthritis Patients Receiving Tofacitinib Versus Those Receiving Tumor Necrosis Factor Inhibitors","volume":"71","author":[{"family":"Desai","given":"Rishi J."},{"family":"Pawar","given":"Ajinkya"},{"family":"Weinblatt","given":"Michael E."},{"family":"Kim","given":"Seoyoung C."}],"issued":{"date-parts":[["2019"]]}}}],"schema":"https://github.com/citation-style-language/schema/raw/master/csl-citation.json"} </w:instrText>
      </w:r>
      <w:r w:rsidR="000A1DF0">
        <w:rPr>
          <w:lang w:val="en-GB"/>
        </w:rPr>
        <w:fldChar w:fldCharType="separate"/>
      </w:r>
      <w:r w:rsidR="00DE2C35">
        <w:rPr>
          <w:rFonts w:cs="Times New Roman"/>
        </w:rPr>
        <w:t>[</w:t>
      </w:r>
      <w:r w:rsidR="00DE2C35" w:rsidRPr="00014867">
        <w:rPr>
          <w:rFonts w:cs="Times New Roman"/>
        </w:rPr>
        <w:t>14</w:t>
      </w:r>
      <w:r w:rsidR="0062670E" w:rsidRPr="0062670E">
        <w:rPr>
          <w:rFonts w:cs="Times New Roman"/>
        </w:rPr>
        <w:t>]</w:t>
      </w:r>
      <w:r w:rsidR="000A1DF0">
        <w:rPr>
          <w:lang w:val="en-GB"/>
        </w:rPr>
        <w:fldChar w:fldCharType="end"/>
      </w:r>
      <w:r w:rsidR="00BF2B04">
        <w:t>.</w:t>
      </w:r>
    </w:p>
    <w:p w14:paraId="710AAFCB" w14:textId="2A069F2E" w:rsidR="00F316F4" w:rsidRPr="0010773A" w:rsidRDefault="002F5B6A" w:rsidP="00D22A13">
      <w:pPr>
        <w:pStyle w:val="SDText"/>
        <w:contextualSpacing/>
      </w:pPr>
      <w:r>
        <w:t>В</w:t>
      </w:r>
      <w:r w:rsidR="00317C0A">
        <w:t xml:space="preserve"> ходе метаанализа наблюдательных исследований </w:t>
      </w:r>
      <w:r w:rsidR="00CD647A">
        <w:t xml:space="preserve">сравнили риск развития новообразований на фоне терапии </w:t>
      </w:r>
      <w:r w:rsidR="00802EBA">
        <w:t xml:space="preserve">биологическими препаратами, не относящимися к ингибиторам </w:t>
      </w:r>
      <w:r w:rsidR="00802EBA" w:rsidRPr="002D3746">
        <w:t>TNF-α</w:t>
      </w:r>
      <w:r w:rsidR="00655B72">
        <w:t>,</w:t>
      </w:r>
      <w:r w:rsidR="00802EBA">
        <w:t xml:space="preserve"> или тофацитинибом</w:t>
      </w:r>
      <w:r w:rsidR="008F2705">
        <w:t xml:space="preserve"> у пациентов с РА. </w:t>
      </w:r>
      <w:r w:rsidR="00341FEB">
        <w:t xml:space="preserve">Из 2819 идентифицированных статей в общей сложности </w:t>
      </w:r>
      <w:r w:rsidR="00535F2B">
        <w:t xml:space="preserve">в анализ включили результаты </w:t>
      </w:r>
      <w:r w:rsidR="00341FEB">
        <w:t xml:space="preserve">10 исследований с участием более 40587 пациентов с более чем 87622 пациенто-лет воздействия биологических препаратов, отличных от ингибиторов </w:t>
      </w:r>
      <w:r w:rsidR="00535F2B" w:rsidRPr="002D3746">
        <w:t>TNF-α</w:t>
      </w:r>
      <w:r w:rsidR="00341FEB">
        <w:t xml:space="preserve">, и 2221 пациента с более чем 4506 </w:t>
      </w:r>
      <w:r w:rsidR="00535F2B">
        <w:t xml:space="preserve">пациенто-лет воздействия </w:t>
      </w:r>
      <w:r w:rsidR="00341FEB">
        <w:t>тофацитиниб</w:t>
      </w:r>
      <w:r w:rsidR="00535F2B">
        <w:t>ом</w:t>
      </w:r>
      <w:r w:rsidR="00341FEB">
        <w:t xml:space="preserve">. </w:t>
      </w:r>
      <w:r w:rsidR="00535F2B">
        <w:t>В ходе о</w:t>
      </w:r>
      <w:r w:rsidR="00341FEB">
        <w:t>бъединенн</w:t>
      </w:r>
      <w:r w:rsidR="00535F2B">
        <w:t>ого</w:t>
      </w:r>
      <w:r w:rsidR="00341FEB">
        <w:t xml:space="preserve"> анализ</w:t>
      </w:r>
      <w:r w:rsidR="00535F2B">
        <w:t>а данных</w:t>
      </w:r>
      <w:r w:rsidR="00341FEB">
        <w:t xml:space="preserve"> показал</w:t>
      </w:r>
      <w:r w:rsidR="00535F2B">
        <w:t>и отсутствие</w:t>
      </w:r>
      <w:r w:rsidR="00341FEB">
        <w:t xml:space="preserve"> повышенн</w:t>
      </w:r>
      <w:r w:rsidR="00535F2B">
        <w:t>ого</w:t>
      </w:r>
      <w:r w:rsidR="00341FEB">
        <w:t xml:space="preserve"> риск</w:t>
      </w:r>
      <w:r w:rsidR="00535F2B">
        <w:t>а</w:t>
      </w:r>
      <w:r w:rsidR="00341FEB">
        <w:t xml:space="preserve"> развития рака в целом или конкретных типов рака у пациентов с РА, получающих лечение ритуксимабом (объединенный </w:t>
      </w:r>
      <w:r w:rsidR="00087720">
        <w:t xml:space="preserve">относительный риск </w:t>
      </w:r>
      <w:r w:rsidR="00087720">
        <w:rPr>
          <w:rFonts w:cs="Times New Roman"/>
        </w:rPr>
        <w:t>[</w:t>
      </w:r>
      <w:r w:rsidR="00087720" w:rsidRPr="00087720">
        <w:rPr>
          <w:rFonts w:cs="Times New Roman"/>
        </w:rPr>
        <w:t>relative risk</w:t>
      </w:r>
      <w:r w:rsidR="00087720">
        <w:rPr>
          <w:rFonts w:cs="Times New Roman"/>
        </w:rPr>
        <w:t xml:space="preserve">, </w:t>
      </w:r>
      <w:r w:rsidR="00087720" w:rsidRPr="00087720">
        <w:rPr>
          <w:rFonts w:cs="Times New Roman"/>
        </w:rPr>
        <w:t>RR</w:t>
      </w:r>
      <w:r w:rsidR="00655B72" w:rsidRPr="0001589C">
        <w:rPr>
          <w:rFonts w:cs="Times New Roman"/>
        </w:rPr>
        <w:t>]</w:t>
      </w:r>
      <w:r w:rsidR="00341FEB">
        <w:t xml:space="preserve"> 0,87, 95% ДИ 0,74 1,03), тоцилизумаб</w:t>
      </w:r>
      <w:r w:rsidR="00535F2B">
        <w:t>ом</w:t>
      </w:r>
      <w:r w:rsidR="00341FEB">
        <w:t xml:space="preserve"> (объединенный </w:t>
      </w:r>
      <w:r w:rsidR="00087720" w:rsidRPr="00087720">
        <w:rPr>
          <w:rFonts w:cs="Times New Roman"/>
        </w:rPr>
        <w:t>RR</w:t>
      </w:r>
      <w:r w:rsidR="00341FEB">
        <w:t xml:space="preserve"> 0,92, 95% </w:t>
      </w:r>
      <w:r w:rsidR="00341FEB">
        <w:lastRenderedPageBreak/>
        <w:t>ДИ 0,79 1,06) или тофацитиниб</w:t>
      </w:r>
      <w:r w:rsidR="00087720">
        <w:t>ом</w:t>
      </w:r>
      <w:r w:rsidR="00341FEB">
        <w:t xml:space="preserve">, по сравнению с </w:t>
      </w:r>
      <w:r w:rsidR="00087720">
        <w:t>больными, получавшими</w:t>
      </w:r>
      <w:r w:rsidR="00341FEB">
        <w:t xml:space="preserve"> </w:t>
      </w:r>
      <w:r w:rsidR="00087720">
        <w:t>т</w:t>
      </w:r>
      <w:r w:rsidR="00B72311">
        <w:t xml:space="preserve">радиционные </w:t>
      </w:r>
      <w:r w:rsidR="00087720">
        <w:t>сБМАРП</w:t>
      </w:r>
      <w:r w:rsidR="00341FEB">
        <w:t xml:space="preserve"> или </w:t>
      </w:r>
      <w:r w:rsidR="00087720" w:rsidRPr="002D3746">
        <w:t>TNF-α</w:t>
      </w:r>
      <w:r w:rsidR="00341FEB">
        <w:t>. Но абатацепт был связан с не</w:t>
      </w:r>
      <w:r w:rsidR="00087720">
        <w:t>сколько</w:t>
      </w:r>
      <w:r w:rsidR="00341FEB">
        <w:t xml:space="preserve"> повышенным общим риск </w:t>
      </w:r>
      <w:r w:rsidR="00087720">
        <w:t xml:space="preserve">развития рака </w:t>
      </w:r>
      <w:r w:rsidR="00341FEB">
        <w:t xml:space="preserve">(объединенный </w:t>
      </w:r>
      <w:r w:rsidR="00087720" w:rsidRPr="00087720">
        <w:rPr>
          <w:rFonts w:cs="Times New Roman"/>
        </w:rPr>
        <w:t>RR</w:t>
      </w:r>
      <w:r w:rsidR="00341FEB">
        <w:t xml:space="preserve"> 1,13, 95% ДИ 1,02–1,24) и </w:t>
      </w:r>
      <w:r w:rsidR="00087720">
        <w:t>НМРК</w:t>
      </w:r>
      <w:r w:rsidR="00341FEB">
        <w:t xml:space="preserve"> (объединенный </w:t>
      </w:r>
      <w:r w:rsidR="00087720" w:rsidRPr="00087720">
        <w:rPr>
          <w:rFonts w:cs="Times New Roman"/>
        </w:rPr>
        <w:t>RR</w:t>
      </w:r>
      <w:r w:rsidR="00341FEB">
        <w:t xml:space="preserve"> 1,26, 95% ДИ 1,09–1,45), по сравнению с </w:t>
      </w:r>
      <w:r w:rsidR="00087720">
        <w:t>т</w:t>
      </w:r>
      <w:r w:rsidR="00B72311">
        <w:t xml:space="preserve">радиционными </w:t>
      </w:r>
      <w:r w:rsidR="00087720">
        <w:t>сБМАРП</w:t>
      </w:r>
      <w:r w:rsidR="00341FEB">
        <w:t xml:space="preserve"> или </w:t>
      </w:r>
      <w:r w:rsidR="00087720" w:rsidRPr="002D3746">
        <w:t>TNF-α</w:t>
      </w:r>
      <w:r w:rsidR="00341FEB">
        <w:t xml:space="preserve"> у пациентов с РА. </w:t>
      </w:r>
      <w:r w:rsidR="00087720">
        <w:t>Авторы при</w:t>
      </w:r>
      <w:r w:rsidR="00B72311">
        <w:t>ш</w:t>
      </w:r>
      <w:r w:rsidR="00087720">
        <w:t>ли к заключению, что</w:t>
      </w:r>
      <w:r w:rsidR="00341FEB">
        <w:t xml:space="preserve"> среди больных РА наблюдал</w:t>
      </w:r>
      <w:r w:rsidR="00087720">
        <w:t>и</w:t>
      </w:r>
      <w:r w:rsidR="00341FEB">
        <w:t xml:space="preserve"> небольшое статистически значимое увеличение частоты развития рака </w:t>
      </w:r>
      <w:r w:rsidR="00087720">
        <w:t>при</w:t>
      </w:r>
      <w:r w:rsidR="00341FEB">
        <w:t xml:space="preserve"> воздействи</w:t>
      </w:r>
      <w:r w:rsidR="00087720">
        <w:t>и</w:t>
      </w:r>
      <w:r w:rsidR="00341FEB">
        <w:t xml:space="preserve"> абатацепт</w:t>
      </w:r>
      <w:r w:rsidR="00087720">
        <w:t>ом</w:t>
      </w:r>
      <w:r w:rsidR="00341FEB">
        <w:t>, в то время как ритуксимаб, тоцилизумаб или тофацитиниб не увеличива</w:t>
      </w:r>
      <w:r w:rsidR="00087720">
        <w:t>ли</w:t>
      </w:r>
      <w:r w:rsidR="00341FEB">
        <w:t xml:space="preserve"> риск рака по сравнению с </w:t>
      </w:r>
      <w:r w:rsidR="00087720">
        <w:t>т</w:t>
      </w:r>
      <w:r w:rsidR="00B72311">
        <w:t xml:space="preserve">радиционными </w:t>
      </w:r>
      <w:r w:rsidR="00087720">
        <w:t>сБМАРП</w:t>
      </w:r>
      <w:r w:rsidR="00341FEB" w:rsidRPr="00341FEB">
        <w:t xml:space="preserve"> </w:t>
      </w:r>
      <w:r w:rsidR="00341FEB">
        <w:t>или</w:t>
      </w:r>
      <w:r w:rsidR="00341FEB" w:rsidRPr="00341FEB">
        <w:t xml:space="preserve"> </w:t>
      </w:r>
      <w:r w:rsidR="00087720" w:rsidRPr="002D3746">
        <w:t>TNF-α</w:t>
      </w:r>
      <w:r w:rsidR="00341FEB" w:rsidRPr="00341FEB">
        <w:t xml:space="preserve"> </w:t>
      </w:r>
      <w:r w:rsidR="00A22AB8">
        <w:rPr>
          <w:lang w:val="en-GB"/>
        </w:rPr>
        <w:fldChar w:fldCharType="begin"/>
      </w:r>
      <w:r w:rsidR="00B53860">
        <w:instrText xml:space="preserve"> ADDIN ZOTERO_ITEM CSL_CITATION {"citationID":"cD6vo5Xo","properties":{"formattedCitation":"[49]","plainCitation":"[49]","noteIndex":0},"citationItems":[{"id":87785,"uris":["http://zotero.org/groups/4742804/items/GBN7GGVQ"],"itemData":{"id":87785,"type":"article-journal","abstract":"Objectives\nTo assess the risk of developing cancer in patients with rheumatoid arthritis (RA) exposed to non-TNF inhibitors (TNFi) biologics or tofacitinib therapy.\nMethods\nSystematical search of PubMed, EMBASE and Cochrane Library plus a hand search of conference proceedings were performed. Observational studies that reported cancer incidence in patients with RA treated with biologics or tofacitinib with active comparator of conventional synthetic disease-modifying anti-rheumatic drugs (csDMARDs) or TNFi were eligible for inclusion. The pooled relative risk (RR) and 95% confidence interval (CI) were calculated with fix-effects or random-effects model.\nResults\nOf 2,819 identified articles, a total of 10 studies involving over 40,587 patients with more than 87,622 patient-years of exposure to non-TNF inhibitors (TNFi) biologics and 2,221 patients with more than 4,506 patient-years of exposure to tofacitinib were included. Pooled analysis showed there was no increased risk of developing cancer in general or specific cancer types in RA patients receiving treatment with rituximab (pooled RR 0.87, 95% CI 0.74–1.03), tocilizumab (pooled RR 0.92, 95% CI 0.79–1.06), or tofacitinib, compared with those receiving csDMARDs or TNFi. But abatacept was associated with a slightly increased overall cancer risk (pooled RR 1.13, 95% CI 1.02–1.24) and non-melanoma skin cancer (pooled RR 1.26, 95% CI 1.09–1.45), relative to csDMARDs or TNFi in RA patients.\nConclusion\nAmong RA patients, a small statistically significant increase in developing cancer was observed for abatacept exposure, while no increased cancer risk for rituximab, tocilizumab or tofacitinib, in comparison with csDMARDs or TNFi.","container-title":"Seminars in Arthritis and Rheumatism","DOI":"10.1016/j.semarthrit.2020.08.007","ISSN":"0049-0172","issue":"5","journalAbbreviation":"Seminars in Arthritis and Rheumatism","language":"en","page":"930-937","source":"ScienceDirect","title":"Risk of malignancy with non-TNFi biologic or tofacitinib therapy in rheumatoid arthritis: A meta-analysis of observational studies","title-short":"Risk of malignancy with non-TNFi biologic or tofacitinib therapy in rheumatoid arthritis","volume":"50","author":[{"family":"Xie","given":"Wenhui"},{"family":"Yang","given":"Xinlei"},{"family":"Huang","given":"Hong"},{"family":"Gao","given":"Dai"},{"family":"Ji","given":"LanLan"},{"family":"Zhang","given":"Zhuoli"}],"issued":{"date-parts":[["2020",10,1]]}}}],"schema":"https://github.com/citation-style-language/schema/raw/master/csl-citation.json"} </w:instrText>
      </w:r>
      <w:r w:rsidR="00A22AB8">
        <w:rPr>
          <w:lang w:val="en-GB"/>
        </w:rPr>
        <w:fldChar w:fldCharType="separate"/>
      </w:r>
      <w:r w:rsidR="00DE2C35">
        <w:rPr>
          <w:rFonts w:cs="Times New Roman"/>
        </w:rPr>
        <w:t>[</w:t>
      </w:r>
      <w:r w:rsidR="00DE2C35" w:rsidRPr="00014867">
        <w:rPr>
          <w:rFonts w:cs="Times New Roman"/>
        </w:rPr>
        <w:t>28</w:t>
      </w:r>
      <w:r w:rsidR="00B53860" w:rsidRPr="00B53860">
        <w:rPr>
          <w:rFonts w:cs="Times New Roman"/>
        </w:rPr>
        <w:t>]</w:t>
      </w:r>
      <w:r w:rsidR="00A22AB8">
        <w:rPr>
          <w:lang w:val="en-GB"/>
        </w:rPr>
        <w:fldChar w:fldCharType="end"/>
      </w:r>
      <w:r w:rsidR="00087720">
        <w:t>.</w:t>
      </w:r>
    </w:p>
    <w:p w14:paraId="689DBCB6" w14:textId="0B62B24D" w:rsidR="005F064C" w:rsidRDefault="002F5B6A" w:rsidP="002F5B6A">
      <w:pPr>
        <w:pStyle w:val="SDText"/>
        <w:spacing w:after="0"/>
        <w:contextualSpacing/>
      </w:pPr>
      <w:r>
        <w:t>В</w:t>
      </w:r>
      <w:r w:rsidR="007449C2">
        <w:t xml:space="preserve"> ходе систематического обзора и метаанализа </w:t>
      </w:r>
      <w:r w:rsidR="00A566EE">
        <w:t xml:space="preserve">результатов 66 </w:t>
      </w:r>
      <w:r w:rsidR="004F5A6A">
        <w:t xml:space="preserve">рандомизированных контролируемых исследований и 22 длительных расширенных исследований </w:t>
      </w:r>
      <w:r w:rsidR="007449C2">
        <w:t xml:space="preserve">изучили риск </w:t>
      </w:r>
      <w:r w:rsidR="00AA66BE">
        <w:t xml:space="preserve">развития </w:t>
      </w:r>
      <w:r w:rsidR="007449C2">
        <w:t xml:space="preserve">серьезных инфекций на фоне терапии тофацитинибом или </w:t>
      </w:r>
      <w:r w:rsidR="00DC6BDB">
        <w:t xml:space="preserve">биологическими БМАРП у пациентов с РА. </w:t>
      </w:r>
      <w:r w:rsidR="00D46A9A">
        <w:t>З</w:t>
      </w:r>
      <w:r w:rsidR="00AC0C52">
        <w:t>аболеваемост</w:t>
      </w:r>
      <w:r w:rsidR="00D46A9A">
        <w:t>ь</w:t>
      </w:r>
      <w:r w:rsidR="00AC0C52">
        <w:t xml:space="preserve"> (95% ДИ) для абатацепта, ритуксимаба, тоцилизумаб</w:t>
      </w:r>
      <w:r w:rsidR="00190D00">
        <w:t>а</w:t>
      </w:r>
      <w:r w:rsidR="00AC0C52">
        <w:t xml:space="preserve"> и ингибитор</w:t>
      </w:r>
      <w:r w:rsidR="00655B72">
        <w:t>ов</w:t>
      </w:r>
      <w:r w:rsidR="00AC0C52">
        <w:t xml:space="preserve"> </w:t>
      </w:r>
      <w:r w:rsidR="00190D00" w:rsidRPr="002D3746">
        <w:t>TNF-α</w:t>
      </w:r>
      <w:r w:rsidR="00190D00" w:rsidRPr="00341FEB">
        <w:t xml:space="preserve"> </w:t>
      </w:r>
      <w:r w:rsidR="00190D00">
        <w:t>составил</w:t>
      </w:r>
      <w:r w:rsidR="00655B72">
        <w:t>а</w:t>
      </w:r>
      <w:r w:rsidR="00190D00">
        <w:t xml:space="preserve"> </w:t>
      </w:r>
      <w:r w:rsidR="00AC0C52">
        <w:t xml:space="preserve">3,04 (2,49, 3,72), 3,72 (2,99, 4,62), 5,45 (4,26, 6,96) и 4,90 (4,41, 5,44) соответственно. </w:t>
      </w:r>
      <w:r w:rsidR="00D46A9A">
        <w:t>З</w:t>
      </w:r>
      <w:r w:rsidR="00AC0C52">
        <w:t>аболеваемост</w:t>
      </w:r>
      <w:r w:rsidR="00D46A9A">
        <w:t>ь</w:t>
      </w:r>
      <w:r w:rsidR="00AC0C52">
        <w:t xml:space="preserve"> (95% ДИ) для тофацитиниба в дозе 5 и 10 мг </w:t>
      </w:r>
      <w:r w:rsidR="00B65BEE">
        <w:t>2</w:t>
      </w:r>
      <w:r w:rsidR="00AC0C52">
        <w:t xml:space="preserve"> раза в день в исследованиях фазы </w:t>
      </w:r>
      <w:r w:rsidR="00B65BEE">
        <w:rPr>
          <w:lang w:val="en-US"/>
        </w:rPr>
        <w:t>III</w:t>
      </w:r>
      <w:r w:rsidR="00B65BEE" w:rsidRPr="00B65BEE">
        <w:t xml:space="preserve"> </w:t>
      </w:r>
      <w:r w:rsidR="00AC0C52">
        <w:t>составил</w:t>
      </w:r>
      <w:r w:rsidR="00D46A9A">
        <w:t>а</w:t>
      </w:r>
      <w:r w:rsidR="00AC0C52">
        <w:t xml:space="preserve"> 3,02 (2,25, 4,05) и 3,00 (2,24, 4,02) соответственно</w:t>
      </w:r>
      <w:r w:rsidR="005C44BA">
        <w:t>, а</w:t>
      </w:r>
      <w:r w:rsidR="00AC0C52">
        <w:t xml:space="preserve"> заболеваемост</w:t>
      </w:r>
      <w:r w:rsidR="005C44BA">
        <w:t>ь</w:t>
      </w:r>
      <w:r w:rsidR="00AC0C52">
        <w:t xml:space="preserve"> в д</w:t>
      </w:r>
      <w:r w:rsidR="00D46A9A">
        <w:t>лительных</w:t>
      </w:r>
      <w:r w:rsidR="00AC0C52">
        <w:t xml:space="preserve"> расширенных исследованиях </w:t>
      </w:r>
      <w:r w:rsidR="005C44BA">
        <w:t>равнялась</w:t>
      </w:r>
      <w:r w:rsidR="00AC0C52">
        <w:t xml:space="preserve"> 2,50 (2,05, 3,04) и 3,19 (2,74, 3,72)</w:t>
      </w:r>
      <w:r w:rsidR="005B7DB9">
        <w:t xml:space="preserve"> соответственно</w:t>
      </w:r>
      <w:r w:rsidR="00AC0C52">
        <w:t xml:space="preserve">. </w:t>
      </w:r>
      <w:r w:rsidR="00A42958">
        <w:t>О</w:t>
      </w:r>
      <w:r w:rsidR="00AC0C52">
        <w:t xml:space="preserve">тношение рисков </w:t>
      </w:r>
      <w:r w:rsidR="00A42958">
        <w:t>(</w:t>
      </w:r>
      <w:r w:rsidR="00A42958">
        <w:rPr>
          <w:lang w:val="en-US"/>
        </w:rPr>
        <w:t>risk</w:t>
      </w:r>
      <w:r w:rsidR="00A42958" w:rsidRPr="00A42958">
        <w:t xml:space="preserve"> </w:t>
      </w:r>
      <w:r w:rsidR="00A42958">
        <w:rPr>
          <w:lang w:val="en-US"/>
        </w:rPr>
        <w:t>ratio</w:t>
      </w:r>
      <w:r w:rsidR="00A42958" w:rsidRPr="00A42958">
        <w:t xml:space="preserve">, </w:t>
      </w:r>
      <w:r w:rsidR="00A42958">
        <w:rPr>
          <w:lang w:val="en-US"/>
        </w:rPr>
        <w:t>RR</w:t>
      </w:r>
      <w:r w:rsidR="00A42958" w:rsidRPr="00A42958">
        <w:t>)</w:t>
      </w:r>
      <w:r w:rsidR="00A42958">
        <w:t xml:space="preserve"> </w:t>
      </w:r>
      <w:r w:rsidR="00AC0C52">
        <w:t xml:space="preserve">(95% ДИ) по сравнению с плацебо для тофацитиниба в дозах 5 и 10 мг </w:t>
      </w:r>
      <w:r w:rsidR="00A42958">
        <w:t>2</w:t>
      </w:r>
      <w:r w:rsidR="00AC0C52">
        <w:t xml:space="preserve"> раза в </w:t>
      </w:r>
      <w:r w:rsidR="00725C19">
        <w:t>день</w:t>
      </w:r>
      <w:r w:rsidR="00AC0C52">
        <w:t xml:space="preserve"> составляло 2,21 (0,60, 8,14) и 2,02 (0,56, 7,28) соответственно. Раз</w:t>
      </w:r>
      <w:r w:rsidR="00725C19">
        <w:t>ность</w:t>
      </w:r>
      <w:r w:rsidR="00AC0C52">
        <w:t xml:space="preserve"> рисков (95% ДИ) п</w:t>
      </w:r>
      <w:r w:rsidR="00725C19">
        <w:t>ри</w:t>
      </w:r>
      <w:r w:rsidR="00AC0C52">
        <w:t xml:space="preserve"> сравнени</w:t>
      </w:r>
      <w:r w:rsidR="00725C19">
        <w:t>и</w:t>
      </w:r>
      <w:r w:rsidR="00AC0C52">
        <w:t xml:space="preserve"> </w:t>
      </w:r>
      <w:r w:rsidR="00725C19">
        <w:t xml:space="preserve">значений на фоне приема </w:t>
      </w:r>
      <w:r w:rsidR="00AC0C52">
        <w:t xml:space="preserve">плацебо </w:t>
      </w:r>
      <w:r w:rsidR="00725C19">
        <w:t>и</w:t>
      </w:r>
      <w:r w:rsidR="00AC0C52">
        <w:t xml:space="preserve"> тофацитиниба </w:t>
      </w:r>
      <w:r w:rsidR="00725C19">
        <w:t xml:space="preserve">в дозе </w:t>
      </w:r>
      <w:r w:rsidR="00AC0C52">
        <w:t>5 и</w:t>
      </w:r>
      <w:r w:rsidR="00725C19">
        <w:t>ли</w:t>
      </w:r>
      <w:r w:rsidR="00AC0C52">
        <w:t xml:space="preserve"> 10 мг </w:t>
      </w:r>
      <w:r w:rsidR="00725C19">
        <w:t>2 раза в день</w:t>
      </w:r>
      <w:r w:rsidR="00AC0C52">
        <w:t xml:space="preserve"> </w:t>
      </w:r>
      <w:r w:rsidR="00725C19">
        <w:t>равнял</w:t>
      </w:r>
      <w:r w:rsidR="00330798">
        <w:t>а</w:t>
      </w:r>
      <w:r w:rsidR="00725C19">
        <w:t>сь</w:t>
      </w:r>
      <w:r w:rsidR="00AC0C52">
        <w:t xml:space="preserve"> 0,38% (</w:t>
      </w:r>
      <w:r w:rsidR="00725C19">
        <w:t xml:space="preserve">от </w:t>
      </w:r>
      <w:r w:rsidR="00AC0C52">
        <w:t>-0,24</w:t>
      </w:r>
      <w:r w:rsidR="00725C19">
        <w:t xml:space="preserve"> до </w:t>
      </w:r>
      <w:r w:rsidR="00AC0C52">
        <w:t>0,99%) и 0,40% (</w:t>
      </w:r>
      <w:r w:rsidR="00725C19">
        <w:t xml:space="preserve">от </w:t>
      </w:r>
      <w:r w:rsidR="00AC0C52">
        <w:t>-0,22</w:t>
      </w:r>
      <w:r w:rsidR="00725C19">
        <w:t xml:space="preserve"> до</w:t>
      </w:r>
      <w:r w:rsidR="00AC0C52">
        <w:t xml:space="preserve"> 1,02%) соответственно. </w:t>
      </w:r>
      <w:r w:rsidR="004C02A4">
        <w:t>Авторы пришли к выводу, что в</w:t>
      </w:r>
      <w:r w:rsidR="00AC0C52">
        <w:t xml:space="preserve"> интервенционных исследованиях </w:t>
      </w:r>
      <w:r w:rsidR="00975270">
        <w:t>у пациентов с активным РА от умеренной до тяжелой степени</w:t>
      </w:r>
      <w:r w:rsidR="00975270" w:rsidRPr="007613AD">
        <w:t xml:space="preserve"> </w:t>
      </w:r>
      <w:r w:rsidR="00AC0C52">
        <w:t xml:space="preserve">риск серьезных инфекций при </w:t>
      </w:r>
      <w:r w:rsidR="00F2466C">
        <w:t>использовании</w:t>
      </w:r>
      <w:r w:rsidR="00AC0C52">
        <w:t xml:space="preserve"> тофацитиниба </w:t>
      </w:r>
      <w:r w:rsidR="00F2466C">
        <w:t>сопоставим</w:t>
      </w:r>
      <w:r w:rsidR="00AC0C52">
        <w:t xml:space="preserve"> с опубликованными показателями для биологическ</w:t>
      </w:r>
      <w:r w:rsidR="003F5EBB">
        <w:t>их БМАРП</w:t>
      </w:r>
      <w:r w:rsidR="00AC0C52">
        <w:t xml:space="preserve"> </w:t>
      </w:r>
      <w:r w:rsidR="0070252B" w:rsidRPr="007613AD">
        <w:fldChar w:fldCharType="begin"/>
      </w:r>
      <w:r w:rsidR="008D5290">
        <w:instrText xml:space="preserve"> ADDIN ZOTERO_ITEM CSL_CITATION {"citationID":"lTlfZoSz","properties":{"formattedCitation":"[32]","plainCitation":"[32]","noteIndex":0},"citationItems":[{"id":87791,"uris":["http://zotero.org/groups/4742804/items/IA3K49WN"],"itemData":{"id":87791,"type":"article-journal","abstract":"Tofacitinib is an oral Janus kinase inhibitor for the treatment of rheumatoid arthritis (RA). Tofacitinib modulates the signaling of cytokines that are integral to lymphocyte activation, proliferation, and function. Thus, tofacitinib therapy may result in suppression of multiple elements of the immune response. Serious infections have been reported in tofacitinib RA trials. However, limited head-to-head comparator data were available within the tofacitinib RA development program to directly compare rates of serious infections with tofacitinib relative to biologic agents, and specifically adalimumab (employed as an active control agent in two randomized controlled trials of tofacitinib).","container-title":"Arthritis Research &amp; Therapy","DOI":"10.1186/s13075-015-0880-2","ISSN":"1478-6354","issue":"1","journalAbbreviation":"Arthritis Res Ther","language":"en","page":"362","source":"Springer Link","title":"Systematic review and meta-analysis of serious infections with tofacitinib and biologic disease-modifying antirheumatic drug treatment in rheumatoid arthritis clinical trials","volume":"17","author":[{"family":"Strand","given":"Vibeke"},{"family":"Ahadieh","given":"Sima"},{"family":"French","given":"Jonathan"},{"family":"Geier","given":"Jamie"},{"family":"Krishnaswami","given":"Sriram"},{"family":"Menon","given":"Sujatha"},{"family":"Checchio","given":"Tina"},{"family":"Tensfeldt","given":"Thomas G."},{"family":"Hoffman","given":"Elaine"},{"family":"Riese","given":"Richard"},{"family":"Boy","given":"Mary"},{"family":"Gómez-Reino","given":"Juan J."}],"issued":{"date-parts":[["2015",12,15]]}}}],"schema":"https://github.com/citation-style-language/schema/raw/master/csl-citation.json"} </w:instrText>
      </w:r>
      <w:r w:rsidR="0070252B" w:rsidRPr="007613AD">
        <w:fldChar w:fldCharType="separate"/>
      </w:r>
      <w:r w:rsidR="00DE2C35">
        <w:rPr>
          <w:rFonts w:cs="Times New Roman"/>
        </w:rPr>
        <w:t>[</w:t>
      </w:r>
      <w:r w:rsidR="00DE2C35" w:rsidRPr="00364071">
        <w:rPr>
          <w:rFonts w:cs="Times New Roman"/>
        </w:rPr>
        <w:t>10</w:t>
      </w:r>
      <w:r w:rsidR="008D5290" w:rsidRPr="008D5290">
        <w:rPr>
          <w:rFonts w:cs="Times New Roman"/>
        </w:rPr>
        <w:t>]</w:t>
      </w:r>
      <w:r w:rsidR="0070252B" w:rsidRPr="007613AD">
        <w:fldChar w:fldCharType="end"/>
      </w:r>
      <w:r w:rsidR="00717A8D">
        <w:t>.</w:t>
      </w:r>
    </w:p>
    <w:p w14:paraId="59ED75DF" w14:textId="77777777" w:rsidR="00D22A13" w:rsidRPr="007449C2" w:rsidRDefault="00D22A13" w:rsidP="002F5B6A">
      <w:pPr>
        <w:pStyle w:val="SDText"/>
        <w:spacing w:after="0"/>
        <w:contextualSpacing/>
      </w:pPr>
    </w:p>
    <w:p w14:paraId="065D8E34" w14:textId="5C50905A" w:rsidR="005F064C" w:rsidRPr="00D22A13" w:rsidRDefault="009E14FC" w:rsidP="002F5B6A">
      <w:pPr>
        <w:pStyle w:val="5"/>
        <w:numPr>
          <w:ilvl w:val="0"/>
          <w:numId w:val="0"/>
        </w:numPr>
        <w:contextualSpacing/>
        <w:rPr>
          <w:b/>
          <w:i w:val="0"/>
        </w:rPr>
      </w:pPr>
      <w:r>
        <w:rPr>
          <w:b/>
          <w:i w:val="0"/>
        </w:rPr>
        <w:t xml:space="preserve">4.3.2.3.2. </w:t>
      </w:r>
      <w:r w:rsidR="005F064C" w:rsidRPr="00D22A13">
        <w:rPr>
          <w:b/>
          <w:i w:val="0"/>
        </w:rPr>
        <w:t>Таблетки с модифицированным высвобождением, покрытые пленочной оболочкой</w:t>
      </w:r>
    </w:p>
    <w:p w14:paraId="05CFDF1B" w14:textId="77777777" w:rsidR="00D22A13" w:rsidRDefault="00D22A13" w:rsidP="002F5B6A">
      <w:pPr>
        <w:pStyle w:val="SDText"/>
        <w:spacing w:after="0"/>
        <w:contextualSpacing/>
      </w:pPr>
    </w:p>
    <w:p w14:paraId="724C0B81" w14:textId="2ABB80B1" w:rsidR="00B6367F" w:rsidRDefault="00B6367F" w:rsidP="002F5B6A">
      <w:pPr>
        <w:pStyle w:val="SDText"/>
        <w:spacing w:after="0"/>
        <w:contextualSpacing/>
      </w:pPr>
      <w:r>
        <w:t xml:space="preserve">В исследовании </w:t>
      </w:r>
      <w:r w:rsidRPr="00473530">
        <w:t xml:space="preserve">ORAL Shift </w:t>
      </w:r>
      <w:r w:rsidR="00BC730A">
        <w:t>с</w:t>
      </w:r>
      <w:r w:rsidR="00140975">
        <w:t>ерьезные нежелательные явления (СНЯ)</w:t>
      </w:r>
      <w:r>
        <w:t xml:space="preserve"> </w:t>
      </w:r>
      <w:r w:rsidR="00140975">
        <w:t xml:space="preserve">зарегистрировали </w:t>
      </w:r>
      <w:r w:rsidR="00740D3E">
        <w:t xml:space="preserve">у </w:t>
      </w:r>
      <w:r w:rsidR="00510C9D" w:rsidRPr="00510C9D">
        <w:t xml:space="preserve">10 (4%) </w:t>
      </w:r>
      <w:r w:rsidR="00510C9D">
        <w:t xml:space="preserve">и </w:t>
      </w:r>
      <w:r w:rsidR="00510C9D" w:rsidRPr="00510C9D">
        <w:t xml:space="preserve">5 (2%) </w:t>
      </w:r>
      <w:r w:rsidR="00510C9D">
        <w:t>пациентов на фоне монотерапии</w:t>
      </w:r>
      <w:r w:rsidR="009D5A39">
        <w:t>,</w:t>
      </w:r>
      <w:r w:rsidR="00510C9D">
        <w:t xml:space="preserve"> и комбинированной терапии тофацитинибом соответственно. </w:t>
      </w:r>
      <w:r w:rsidR="00E135A4">
        <w:t>Два</w:t>
      </w:r>
      <w:r w:rsidR="00A716C6">
        <w:t xml:space="preserve"> </w:t>
      </w:r>
      <w:r>
        <w:t xml:space="preserve">пациента из группы комбинированной терапии тофацитинибом и метотрексатом умерли. Новых сигналов в отношении </w:t>
      </w:r>
      <w:r w:rsidRPr="004335CD">
        <w:t>безопасности тофацитиниба до 48 недель исследования не зарегистрировали</w:t>
      </w:r>
      <w:r w:rsidR="00CB2B7B" w:rsidRPr="004335CD">
        <w:t xml:space="preserve">. </w:t>
      </w:r>
      <w:r w:rsidR="00045A40" w:rsidRPr="004335CD">
        <w:t xml:space="preserve">Частота НЯ, представляющих особый интерес, также была сопоставима у пациентов из двух </w:t>
      </w:r>
      <w:r w:rsidR="002F23BC" w:rsidRPr="004335CD">
        <w:t>групп (</w:t>
      </w:r>
      <w:r w:rsidR="00C762C6" w:rsidRPr="004335CD">
        <w:fldChar w:fldCharType="begin"/>
      </w:r>
      <w:r w:rsidR="00C762C6" w:rsidRPr="004335CD">
        <w:instrText xml:space="preserve"> REF _Ref114572768 \h </w:instrText>
      </w:r>
      <w:r w:rsidR="004335CD" w:rsidRPr="004335CD">
        <w:instrText xml:space="preserve"> \* MERGEFORMAT </w:instrText>
      </w:r>
      <w:r w:rsidR="00C762C6" w:rsidRPr="004335CD">
        <w:fldChar w:fldCharType="separate"/>
      </w:r>
      <w:r w:rsidR="00383E6F" w:rsidRPr="004335CD">
        <w:t xml:space="preserve">Таблица </w:t>
      </w:r>
      <w:r w:rsidR="00383E6F" w:rsidRPr="004335CD">
        <w:rPr>
          <w:noProof/>
        </w:rPr>
        <w:t>4</w:t>
      </w:r>
      <w:r w:rsidR="00383E6F" w:rsidRPr="004335CD">
        <w:noBreakHyphen/>
      </w:r>
      <w:r w:rsidR="00383E6F" w:rsidRPr="004335CD">
        <w:rPr>
          <w:noProof/>
        </w:rPr>
        <w:t>22</w:t>
      </w:r>
      <w:r w:rsidR="00C762C6" w:rsidRPr="004335CD">
        <w:fldChar w:fldCharType="end"/>
      </w:r>
      <w:r w:rsidR="002F23BC" w:rsidRPr="004335CD">
        <w:t>)</w:t>
      </w:r>
      <w:r w:rsidRPr="004335CD">
        <w:t xml:space="preserve"> </w:t>
      </w:r>
      <w:r w:rsidRPr="004335CD">
        <w:fldChar w:fldCharType="begin"/>
      </w:r>
      <w:r w:rsidR="008D5290" w:rsidRPr="004335CD">
        <w:instrText xml:space="preserve"> ADDIN ZOTERO_ITEM CSL_CITATION {"citationID":"tGwhYJLD","properties":{"formattedCitation":"[30]","plainCitation":"[30]","noteIndex":0},"citationItems":[{"id":87795,"uris":["http://zotero.org/groups/4742804/items/UV9PI7FR"],"itemData":{"id":87795,"type":"article-journal","abstract":"Background\nTofacitinib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rsidRPr="004335CD">
        <w:fldChar w:fldCharType="separate"/>
      </w:r>
      <w:r w:rsidR="00DE2C35" w:rsidRPr="004335CD">
        <w:rPr>
          <w:rFonts w:cs="Times New Roman"/>
        </w:rPr>
        <w:t>[8</w:t>
      </w:r>
      <w:r w:rsidR="008D5290" w:rsidRPr="004335CD">
        <w:rPr>
          <w:rFonts w:cs="Times New Roman"/>
        </w:rPr>
        <w:t>]</w:t>
      </w:r>
      <w:r w:rsidRPr="004335CD">
        <w:fldChar w:fldCharType="end"/>
      </w:r>
      <w:r>
        <w:t>.</w:t>
      </w:r>
    </w:p>
    <w:p w14:paraId="12AEC24A" w14:textId="77777777" w:rsidR="00D22A13" w:rsidRDefault="00D22A13" w:rsidP="00D22A13">
      <w:pPr>
        <w:pStyle w:val="SDText"/>
        <w:contextualSpacing/>
      </w:pPr>
    </w:p>
    <w:p w14:paraId="58BC96FF" w14:textId="0549B72B" w:rsidR="00BB4A5A" w:rsidRDefault="00D22A13" w:rsidP="002F5B6A">
      <w:pPr>
        <w:pStyle w:val="SDText"/>
        <w:spacing w:after="0"/>
        <w:ind w:firstLine="0"/>
        <w:contextualSpacing/>
      </w:pPr>
      <w:bookmarkStart w:id="262" w:name="_Ref114572768"/>
      <w:bookmarkStart w:id="263" w:name="_Toc115421116"/>
      <w:r w:rsidRPr="002F5B6A">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22</w:t>
      </w:r>
      <w:r w:rsidR="00652269">
        <w:rPr>
          <w:b/>
        </w:rPr>
        <w:fldChar w:fldCharType="end"/>
      </w:r>
      <w:bookmarkEnd w:id="262"/>
      <w:r w:rsidRPr="002F5B6A">
        <w:rPr>
          <w:b/>
          <w:noProof/>
        </w:rPr>
        <w:t>.</w:t>
      </w:r>
      <w:bookmarkEnd w:id="263"/>
      <w:r w:rsidRPr="00D22A13">
        <w:rPr>
          <w:b/>
        </w:rPr>
        <w:t xml:space="preserve"> </w:t>
      </w:r>
      <w:r>
        <w:t xml:space="preserve">НЯ, представляющие особый интерес, в исследовании </w:t>
      </w:r>
      <w:r w:rsidRPr="002F23BC">
        <w:t>ORAL Shift</w:t>
      </w:r>
      <w:r>
        <w:t xml:space="preserve"> у пациентов с РА.</w:t>
      </w:r>
    </w:p>
    <w:tbl>
      <w:tblPr>
        <w:tblStyle w:val="a4"/>
        <w:tblW w:w="4873" w:type="pct"/>
        <w:tblInd w:w="136" w:type="dxa"/>
        <w:tblLook w:val="04A0" w:firstRow="1" w:lastRow="0" w:firstColumn="1" w:lastColumn="0" w:noHBand="0" w:noVBand="1"/>
      </w:tblPr>
      <w:tblGrid>
        <w:gridCol w:w="3191"/>
        <w:gridCol w:w="3190"/>
        <w:gridCol w:w="2947"/>
      </w:tblGrid>
      <w:tr w:rsidR="006B701B" w14:paraId="1B6BEE59" w14:textId="77777777" w:rsidTr="002F5B6A">
        <w:trPr>
          <w:tblHeader/>
        </w:trPr>
        <w:tc>
          <w:tcPr>
            <w:tcW w:w="3191" w:type="dxa"/>
            <w:shd w:val="clear" w:color="auto" w:fill="D9D9D9" w:themeFill="background1" w:themeFillShade="D9"/>
            <w:vAlign w:val="center"/>
          </w:tcPr>
          <w:p w14:paraId="231BC72B" w14:textId="4E823DD2" w:rsidR="006B701B" w:rsidRPr="006B701B" w:rsidRDefault="006B701B" w:rsidP="002F5B6A">
            <w:pPr>
              <w:ind w:firstLine="0"/>
              <w:jc w:val="center"/>
              <w:rPr>
                <w:b/>
                <w:bCs/>
              </w:rPr>
            </w:pPr>
            <w:r>
              <w:rPr>
                <w:b/>
                <w:bCs/>
              </w:rPr>
              <w:t>НЯ, представляющее особый интерес</w:t>
            </w:r>
          </w:p>
        </w:tc>
        <w:tc>
          <w:tcPr>
            <w:tcW w:w="3190" w:type="dxa"/>
            <w:shd w:val="clear" w:color="auto" w:fill="D9D9D9" w:themeFill="background1" w:themeFillShade="D9"/>
            <w:vAlign w:val="center"/>
          </w:tcPr>
          <w:p w14:paraId="7BB47A95" w14:textId="1CF4F14E" w:rsidR="006B701B" w:rsidRPr="006B701B" w:rsidRDefault="006B701B" w:rsidP="002F5B6A">
            <w:pPr>
              <w:ind w:firstLine="0"/>
              <w:jc w:val="center"/>
              <w:rPr>
                <w:b/>
                <w:bCs/>
              </w:rPr>
            </w:pPr>
            <w:r>
              <w:rPr>
                <w:b/>
                <w:bCs/>
              </w:rPr>
              <w:t>Группа монотерапии</w:t>
            </w:r>
            <w:r w:rsidR="006D46F2">
              <w:rPr>
                <w:b/>
                <w:bCs/>
              </w:rPr>
              <w:t xml:space="preserve"> тофацитинибом</w:t>
            </w:r>
          </w:p>
        </w:tc>
        <w:tc>
          <w:tcPr>
            <w:tcW w:w="2947" w:type="dxa"/>
            <w:shd w:val="clear" w:color="auto" w:fill="D9D9D9" w:themeFill="background1" w:themeFillShade="D9"/>
            <w:vAlign w:val="center"/>
          </w:tcPr>
          <w:p w14:paraId="55CFAEA6" w14:textId="4755A047" w:rsidR="006B701B" w:rsidRPr="006B701B" w:rsidRDefault="006D46F2" w:rsidP="002F5B6A">
            <w:pPr>
              <w:ind w:firstLine="0"/>
              <w:jc w:val="center"/>
              <w:rPr>
                <w:b/>
                <w:bCs/>
              </w:rPr>
            </w:pPr>
            <w:r>
              <w:rPr>
                <w:b/>
                <w:bCs/>
              </w:rPr>
              <w:t>Группа комбинированной терапии тофацитинибом и метотрексатом</w:t>
            </w:r>
          </w:p>
        </w:tc>
      </w:tr>
      <w:tr w:rsidR="006B701B" w14:paraId="611E0F0C" w14:textId="77777777" w:rsidTr="002F5B6A">
        <w:tc>
          <w:tcPr>
            <w:tcW w:w="3191" w:type="dxa"/>
          </w:tcPr>
          <w:p w14:paraId="16A39038" w14:textId="7700E42D" w:rsidR="006B701B" w:rsidRDefault="00343539" w:rsidP="006D46F2">
            <w:pPr>
              <w:ind w:firstLine="0"/>
            </w:pPr>
            <w:r>
              <w:t>Серьезные инфекции</w:t>
            </w:r>
          </w:p>
        </w:tc>
        <w:tc>
          <w:tcPr>
            <w:tcW w:w="3190" w:type="dxa"/>
          </w:tcPr>
          <w:p w14:paraId="1BE07D8D" w14:textId="3E24F95E" w:rsidR="006B701B" w:rsidRDefault="00EF1B12" w:rsidP="006D46F2">
            <w:pPr>
              <w:ind w:firstLine="0"/>
            </w:pPr>
            <w:r w:rsidRPr="00EF1B12">
              <w:t>2 (1%)</w:t>
            </w:r>
          </w:p>
        </w:tc>
        <w:tc>
          <w:tcPr>
            <w:tcW w:w="2947" w:type="dxa"/>
          </w:tcPr>
          <w:p w14:paraId="0E3D4F76" w14:textId="6F1B3818" w:rsidR="006B701B" w:rsidRDefault="008921FB" w:rsidP="006D46F2">
            <w:pPr>
              <w:ind w:firstLine="0"/>
            </w:pPr>
            <w:r w:rsidRPr="008921FB">
              <w:t>2 (1%)</w:t>
            </w:r>
          </w:p>
        </w:tc>
      </w:tr>
      <w:tr w:rsidR="006B701B" w14:paraId="6EB3788B" w14:textId="77777777" w:rsidTr="002F5B6A">
        <w:tc>
          <w:tcPr>
            <w:tcW w:w="3191" w:type="dxa"/>
          </w:tcPr>
          <w:p w14:paraId="59342D81" w14:textId="5EACFA9D" w:rsidR="006B701B" w:rsidRDefault="00343539" w:rsidP="006D46F2">
            <w:pPr>
              <w:ind w:firstLine="0"/>
            </w:pPr>
            <w:r>
              <w:t>Опоясывающий лишай</w:t>
            </w:r>
            <w:r w:rsidR="00440535">
              <w:t>*</w:t>
            </w:r>
          </w:p>
        </w:tc>
        <w:tc>
          <w:tcPr>
            <w:tcW w:w="3190" w:type="dxa"/>
          </w:tcPr>
          <w:p w14:paraId="41C28827" w14:textId="384D03BB" w:rsidR="006B701B" w:rsidRDefault="00EF1B12" w:rsidP="006D46F2">
            <w:pPr>
              <w:ind w:firstLine="0"/>
            </w:pPr>
            <w:r w:rsidRPr="00EF1B12">
              <w:t>2 (1%)</w:t>
            </w:r>
          </w:p>
        </w:tc>
        <w:tc>
          <w:tcPr>
            <w:tcW w:w="2947" w:type="dxa"/>
          </w:tcPr>
          <w:p w14:paraId="5EEE1549" w14:textId="21EB887E" w:rsidR="006B701B" w:rsidRDefault="008921FB" w:rsidP="006D46F2">
            <w:pPr>
              <w:ind w:firstLine="0"/>
            </w:pPr>
            <w:r w:rsidRPr="008921FB">
              <w:t>3 (1%)</w:t>
            </w:r>
          </w:p>
        </w:tc>
      </w:tr>
      <w:tr w:rsidR="006B701B" w14:paraId="55A4BD7A" w14:textId="77777777" w:rsidTr="002F5B6A">
        <w:tc>
          <w:tcPr>
            <w:tcW w:w="3191" w:type="dxa"/>
          </w:tcPr>
          <w:p w14:paraId="76246354" w14:textId="6B73459C" w:rsidR="006B701B" w:rsidRDefault="00343539" w:rsidP="006D46F2">
            <w:pPr>
              <w:ind w:firstLine="0"/>
            </w:pPr>
            <w:r>
              <w:t>Оппортунистические инфекции</w:t>
            </w:r>
            <w:r w:rsidR="00EE7477">
              <w:t>**</w:t>
            </w:r>
          </w:p>
        </w:tc>
        <w:tc>
          <w:tcPr>
            <w:tcW w:w="3190" w:type="dxa"/>
          </w:tcPr>
          <w:p w14:paraId="6D039103" w14:textId="57C3A169" w:rsidR="006B701B" w:rsidRDefault="00EF1B12" w:rsidP="006D46F2">
            <w:pPr>
              <w:ind w:firstLine="0"/>
            </w:pPr>
            <w:r>
              <w:t>0</w:t>
            </w:r>
          </w:p>
        </w:tc>
        <w:tc>
          <w:tcPr>
            <w:tcW w:w="2947" w:type="dxa"/>
          </w:tcPr>
          <w:p w14:paraId="3CDF17E7" w14:textId="52B310B0" w:rsidR="006B701B" w:rsidRDefault="008921FB" w:rsidP="006D46F2">
            <w:pPr>
              <w:ind w:firstLine="0"/>
            </w:pPr>
            <w:r>
              <w:t>0</w:t>
            </w:r>
          </w:p>
        </w:tc>
      </w:tr>
      <w:tr w:rsidR="006B701B" w14:paraId="6B818049" w14:textId="77777777" w:rsidTr="002F5B6A">
        <w:tc>
          <w:tcPr>
            <w:tcW w:w="3191" w:type="dxa"/>
          </w:tcPr>
          <w:p w14:paraId="2C05D2E1" w14:textId="67636847" w:rsidR="006B701B" w:rsidRDefault="00343539" w:rsidP="006D46F2">
            <w:pPr>
              <w:ind w:firstLine="0"/>
            </w:pPr>
            <w:r>
              <w:t>Новообразования</w:t>
            </w:r>
            <w:r w:rsidR="006A2FD8">
              <w:t>**</w:t>
            </w:r>
          </w:p>
        </w:tc>
        <w:tc>
          <w:tcPr>
            <w:tcW w:w="3190" w:type="dxa"/>
          </w:tcPr>
          <w:p w14:paraId="7677C83E" w14:textId="744B662A" w:rsidR="006B701B" w:rsidRDefault="00924F86" w:rsidP="006D46F2">
            <w:pPr>
              <w:ind w:firstLine="0"/>
            </w:pPr>
            <w:r w:rsidRPr="00924F86">
              <w:t>2 (1%)</w:t>
            </w:r>
          </w:p>
        </w:tc>
        <w:tc>
          <w:tcPr>
            <w:tcW w:w="2947" w:type="dxa"/>
          </w:tcPr>
          <w:p w14:paraId="6C49EFCD" w14:textId="161DED6A" w:rsidR="006B701B" w:rsidRDefault="003E75C5" w:rsidP="006D46F2">
            <w:pPr>
              <w:ind w:firstLine="0"/>
            </w:pPr>
            <w:r w:rsidRPr="003E75C5">
              <w:t>1 (&lt;</w:t>
            </w:r>
            <w:r>
              <w:t xml:space="preserve"> </w:t>
            </w:r>
            <w:r w:rsidRPr="003E75C5">
              <w:t>1%)</w:t>
            </w:r>
          </w:p>
        </w:tc>
      </w:tr>
      <w:tr w:rsidR="006B701B" w14:paraId="0A7CCC18" w14:textId="77777777" w:rsidTr="002F5B6A">
        <w:tc>
          <w:tcPr>
            <w:tcW w:w="3191" w:type="dxa"/>
          </w:tcPr>
          <w:p w14:paraId="62235140" w14:textId="72A5CDB3" w:rsidR="006B701B" w:rsidRDefault="00AE0DAD" w:rsidP="006D46F2">
            <w:pPr>
              <w:ind w:firstLine="0"/>
            </w:pPr>
            <w:r>
              <w:lastRenderedPageBreak/>
              <w:t>Новообразования</w:t>
            </w:r>
            <w:r w:rsidR="00CD44B8">
              <w:t>,</w:t>
            </w:r>
            <w:r>
              <w:t xml:space="preserve"> за исключением НМРК</w:t>
            </w:r>
            <w:r w:rsidR="006A2FD8">
              <w:t>**</w:t>
            </w:r>
          </w:p>
        </w:tc>
        <w:tc>
          <w:tcPr>
            <w:tcW w:w="3190" w:type="dxa"/>
          </w:tcPr>
          <w:p w14:paraId="7FF0F144" w14:textId="6FCF73EF" w:rsidR="006B701B" w:rsidRDefault="00924F86" w:rsidP="006D46F2">
            <w:pPr>
              <w:ind w:firstLine="0"/>
            </w:pPr>
            <w:r w:rsidRPr="00924F86">
              <w:t>1 (&lt;</w:t>
            </w:r>
            <w:r>
              <w:t xml:space="preserve"> </w:t>
            </w:r>
            <w:r w:rsidRPr="00924F86">
              <w:t>1%)</w:t>
            </w:r>
          </w:p>
        </w:tc>
        <w:tc>
          <w:tcPr>
            <w:tcW w:w="2947" w:type="dxa"/>
          </w:tcPr>
          <w:p w14:paraId="5964C8EB" w14:textId="762A4E2C" w:rsidR="006B701B" w:rsidRDefault="003E75C5" w:rsidP="006D46F2">
            <w:pPr>
              <w:ind w:firstLine="0"/>
            </w:pPr>
            <w:r>
              <w:t>0</w:t>
            </w:r>
          </w:p>
        </w:tc>
      </w:tr>
      <w:tr w:rsidR="006B701B" w14:paraId="36C31EB8" w14:textId="77777777" w:rsidTr="002F5B6A">
        <w:tc>
          <w:tcPr>
            <w:tcW w:w="3191" w:type="dxa"/>
          </w:tcPr>
          <w:p w14:paraId="70AE7DB2" w14:textId="194B365A" w:rsidR="006B701B" w:rsidRDefault="00AE0DAD" w:rsidP="006D46F2">
            <w:pPr>
              <w:ind w:firstLine="0"/>
            </w:pPr>
            <w:r>
              <w:t>НМРК</w:t>
            </w:r>
            <w:r w:rsidR="006A2FD8">
              <w:t>**</w:t>
            </w:r>
          </w:p>
        </w:tc>
        <w:tc>
          <w:tcPr>
            <w:tcW w:w="3190" w:type="dxa"/>
          </w:tcPr>
          <w:p w14:paraId="711912B7" w14:textId="0141808E" w:rsidR="006B701B" w:rsidRDefault="00924F86" w:rsidP="006D46F2">
            <w:pPr>
              <w:ind w:firstLine="0"/>
            </w:pPr>
            <w:r w:rsidRPr="00924F86">
              <w:t>1 (&lt;</w:t>
            </w:r>
            <w:r>
              <w:t xml:space="preserve"> </w:t>
            </w:r>
            <w:r w:rsidRPr="00924F86">
              <w:t>1%)</w:t>
            </w:r>
          </w:p>
        </w:tc>
        <w:tc>
          <w:tcPr>
            <w:tcW w:w="2947" w:type="dxa"/>
          </w:tcPr>
          <w:p w14:paraId="69EFFCD3" w14:textId="635AABA2" w:rsidR="006B701B" w:rsidRDefault="003E75C5" w:rsidP="006D46F2">
            <w:pPr>
              <w:ind w:firstLine="0"/>
            </w:pPr>
            <w:r w:rsidRPr="003E75C5">
              <w:t>1 (&lt;</w:t>
            </w:r>
            <w:r>
              <w:t xml:space="preserve"> </w:t>
            </w:r>
            <w:r w:rsidRPr="003E75C5">
              <w:t>1%)</w:t>
            </w:r>
          </w:p>
        </w:tc>
      </w:tr>
      <w:tr w:rsidR="006B701B" w14:paraId="7B02FE95" w14:textId="77777777" w:rsidTr="002F5B6A">
        <w:tc>
          <w:tcPr>
            <w:tcW w:w="3191" w:type="dxa"/>
          </w:tcPr>
          <w:p w14:paraId="767E3A2E" w14:textId="7E69F4CB" w:rsidR="006B701B" w:rsidRDefault="00AE0DAD" w:rsidP="006D46F2">
            <w:pPr>
              <w:ind w:firstLine="0"/>
            </w:pPr>
            <w:r>
              <w:t>ТЭЛА</w:t>
            </w:r>
          </w:p>
        </w:tc>
        <w:tc>
          <w:tcPr>
            <w:tcW w:w="3190" w:type="dxa"/>
          </w:tcPr>
          <w:p w14:paraId="638ADF89" w14:textId="0E839668" w:rsidR="006B701B" w:rsidRDefault="002E04F5" w:rsidP="006D46F2">
            <w:pPr>
              <w:ind w:firstLine="0"/>
            </w:pPr>
            <w:r w:rsidRPr="00924F86">
              <w:t>1 (&lt;</w:t>
            </w:r>
            <w:r>
              <w:t xml:space="preserve"> </w:t>
            </w:r>
            <w:r w:rsidRPr="00924F86">
              <w:t>1%)</w:t>
            </w:r>
          </w:p>
        </w:tc>
        <w:tc>
          <w:tcPr>
            <w:tcW w:w="2947" w:type="dxa"/>
          </w:tcPr>
          <w:p w14:paraId="61AE691A" w14:textId="10B8B65A" w:rsidR="006B701B" w:rsidRDefault="003E75C5" w:rsidP="006D46F2">
            <w:pPr>
              <w:ind w:firstLine="0"/>
            </w:pPr>
            <w:r w:rsidRPr="003E75C5">
              <w:t>2 (1%)</w:t>
            </w:r>
          </w:p>
        </w:tc>
      </w:tr>
      <w:tr w:rsidR="00AE0DAD" w14:paraId="2E9C7574" w14:textId="77777777" w:rsidTr="002F5B6A">
        <w:tc>
          <w:tcPr>
            <w:tcW w:w="3191" w:type="dxa"/>
          </w:tcPr>
          <w:p w14:paraId="2A73978C" w14:textId="32FF6341" w:rsidR="00AE0DAD" w:rsidRDefault="00CC7500" w:rsidP="006D46F2">
            <w:pPr>
              <w:ind w:firstLine="0"/>
            </w:pPr>
            <w:r>
              <w:t>ТГВ</w:t>
            </w:r>
          </w:p>
        </w:tc>
        <w:tc>
          <w:tcPr>
            <w:tcW w:w="3190" w:type="dxa"/>
          </w:tcPr>
          <w:p w14:paraId="2F8999BF" w14:textId="3262F754" w:rsidR="00AE0DAD" w:rsidRDefault="00924F86" w:rsidP="006D46F2">
            <w:pPr>
              <w:ind w:firstLine="0"/>
            </w:pPr>
            <w:r>
              <w:t>0</w:t>
            </w:r>
          </w:p>
        </w:tc>
        <w:tc>
          <w:tcPr>
            <w:tcW w:w="2947" w:type="dxa"/>
          </w:tcPr>
          <w:p w14:paraId="4CDBFD97" w14:textId="0B09B05C" w:rsidR="00AE0DAD" w:rsidRDefault="003E75C5" w:rsidP="006D46F2">
            <w:pPr>
              <w:ind w:firstLine="0"/>
            </w:pPr>
            <w:r w:rsidRPr="003E75C5">
              <w:t>2 (1%)</w:t>
            </w:r>
          </w:p>
        </w:tc>
      </w:tr>
      <w:tr w:rsidR="00AE0DAD" w14:paraId="3C45B378" w14:textId="77777777" w:rsidTr="002F5B6A">
        <w:tc>
          <w:tcPr>
            <w:tcW w:w="3191" w:type="dxa"/>
          </w:tcPr>
          <w:p w14:paraId="4352B6B0" w14:textId="452EEA7A" w:rsidR="00AE0DAD" w:rsidRPr="0045008A" w:rsidRDefault="00CC7500" w:rsidP="006D46F2">
            <w:pPr>
              <w:ind w:firstLine="0"/>
            </w:pPr>
            <w:r>
              <w:rPr>
                <w:lang w:val="en-US"/>
              </w:rPr>
              <w:t>MACE</w:t>
            </w:r>
          </w:p>
        </w:tc>
        <w:tc>
          <w:tcPr>
            <w:tcW w:w="3190" w:type="dxa"/>
          </w:tcPr>
          <w:p w14:paraId="573745B8" w14:textId="54091BB6" w:rsidR="00AE0DAD" w:rsidRDefault="00924F86" w:rsidP="006D46F2">
            <w:pPr>
              <w:ind w:firstLine="0"/>
            </w:pPr>
            <w:r>
              <w:t>0</w:t>
            </w:r>
          </w:p>
        </w:tc>
        <w:tc>
          <w:tcPr>
            <w:tcW w:w="2947" w:type="dxa"/>
          </w:tcPr>
          <w:p w14:paraId="7E7A7E21" w14:textId="549CA114" w:rsidR="00AE0DAD" w:rsidRDefault="00EA04EA" w:rsidP="006D46F2">
            <w:pPr>
              <w:ind w:firstLine="0"/>
            </w:pPr>
            <w:r w:rsidRPr="003E75C5">
              <w:t>1 (&lt;</w:t>
            </w:r>
            <w:r>
              <w:t xml:space="preserve"> </w:t>
            </w:r>
            <w:r w:rsidRPr="003E75C5">
              <w:t>1%)</w:t>
            </w:r>
            <w:r w:rsidR="00420955">
              <w:t>***</w:t>
            </w:r>
          </w:p>
        </w:tc>
      </w:tr>
      <w:tr w:rsidR="00AE0DAD" w14:paraId="77666574" w14:textId="77777777" w:rsidTr="002F5B6A">
        <w:tc>
          <w:tcPr>
            <w:tcW w:w="3191" w:type="dxa"/>
          </w:tcPr>
          <w:p w14:paraId="5902E99E" w14:textId="75CEC09F" w:rsidR="00AE0DAD" w:rsidRDefault="00CC7500" w:rsidP="006D46F2">
            <w:pPr>
              <w:ind w:firstLine="0"/>
            </w:pPr>
            <w:r>
              <w:t>Туберкулез</w:t>
            </w:r>
          </w:p>
        </w:tc>
        <w:tc>
          <w:tcPr>
            <w:tcW w:w="3190" w:type="dxa"/>
          </w:tcPr>
          <w:p w14:paraId="5FC9493C" w14:textId="7E3C866F" w:rsidR="00AE0DAD" w:rsidRDefault="00924F86" w:rsidP="006D46F2">
            <w:pPr>
              <w:ind w:firstLine="0"/>
            </w:pPr>
            <w:r>
              <w:t>0</w:t>
            </w:r>
          </w:p>
        </w:tc>
        <w:tc>
          <w:tcPr>
            <w:tcW w:w="2947" w:type="dxa"/>
          </w:tcPr>
          <w:p w14:paraId="480B5FC8" w14:textId="6057C7AA" w:rsidR="00AE0DAD" w:rsidRDefault="00EA04EA" w:rsidP="006D46F2">
            <w:pPr>
              <w:ind w:firstLine="0"/>
            </w:pPr>
            <w:r>
              <w:t>0</w:t>
            </w:r>
          </w:p>
        </w:tc>
      </w:tr>
      <w:tr w:rsidR="00AE0DAD" w14:paraId="10BFCFDF" w14:textId="77777777" w:rsidTr="002F5B6A">
        <w:tc>
          <w:tcPr>
            <w:tcW w:w="3191" w:type="dxa"/>
          </w:tcPr>
          <w:p w14:paraId="2E4EFF43" w14:textId="5694AEB5" w:rsidR="00AE0DAD" w:rsidRDefault="007847AC" w:rsidP="006D46F2">
            <w:pPr>
              <w:ind w:firstLine="0"/>
            </w:pPr>
            <w:r>
              <w:t>Перфорация ЖКТ или обструкция</w:t>
            </w:r>
            <w:r w:rsidR="006A2FD8">
              <w:t>**</w:t>
            </w:r>
          </w:p>
        </w:tc>
        <w:tc>
          <w:tcPr>
            <w:tcW w:w="3190" w:type="dxa"/>
          </w:tcPr>
          <w:p w14:paraId="27A38B60" w14:textId="540253DE" w:rsidR="00AE0DAD" w:rsidRDefault="002E04F5" w:rsidP="006D46F2">
            <w:pPr>
              <w:ind w:firstLine="0"/>
            </w:pPr>
            <w:r>
              <w:t>0</w:t>
            </w:r>
          </w:p>
        </w:tc>
        <w:tc>
          <w:tcPr>
            <w:tcW w:w="2947" w:type="dxa"/>
          </w:tcPr>
          <w:p w14:paraId="4826BA24" w14:textId="6F291FA5" w:rsidR="00AE0DAD" w:rsidRDefault="00EA04EA" w:rsidP="006D46F2">
            <w:pPr>
              <w:ind w:firstLine="0"/>
            </w:pPr>
            <w:r>
              <w:t>0</w:t>
            </w:r>
          </w:p>
        </w:tc>
      </w:tr>
      <w:tr w:rsidR="00AE0DAD" w14:paraId="3810A463" w14:textId="77777777" w:rsidTr="002F5B6A">
        <w:tc>
          <w:tcPr>
            <w:tcW w:w="3191" w:type="dxa"/>
          </w:tcPr>
          <w:p w14:paraId="29965ADB" w14:textId="39087C6D" w:rsidR="00AE0DAD" w:rsidRDefault="007847AC" w:rsidP="006D46F2">
            <w:pPr>
              <w:ind w:firstLine="0"/>
            </w:pPr>
            <w:r>
              <w:t>Интерстициальное заболевание легких</w:t>
            </w:r>
            <w:r w:rsidR="006A2FD8">
              <w:t>**</w:t>
            </w:r>
          </w:p>
        </w:tc>
        <w:tc>
          <w:tcPr>
            <w:tcW w:w="3190" w:type="dxa"/>
          </w:tcPr>
          <w:p w14:paraId="082849EC" w14:textId="65F7AA01" w:rsidR="00AE0DAD" w:rsidRDefault="008921FB" w:rsidP="006D46F2">
            <w:pPr>
              <w:ind w:firstLine="0"/>
            </w:pPr>
            <w:r w:rsidRPr="008921FB">
              <w:t>1 (&lt; 1%)</w:t>
            </w:r>
          </w:p>
        </w:tc>
        <w:tc>
          <w:tcPr>
            <w:tcW w:w="2947" w:type="dxa"/>
          </w:tcPr>
          <w:p w14:paraId="0CA8855B" w14:textId="0CD8538B" w:rsidR="00AE0DAD" w:rsidRDefault="00EA04EA" w:rsidP="006D46F2">
            <w:pPr>
              <w:ind w:firstLine="0"/>
            </w:pPr>
            <w:r>
              <w:t>0</w:t>
            </w:r>
          </w:p>
        </w:tc>
      </w:tr>
      <w:tr w:rsidR="00AE0DAD" w14:paraId="1094BEEC" w14:textId="77777777" w:rsidTr="002F5B6A">
        <w:tc>
          <w:tcPr>
            <w:tcW w:w="3191" w:type="dxa"/>
          </w:tcPr>
          <w:p w14:paraId="717F49DF" w14:textId="71EABD51" w:rsidR="00AE0DAD" w:rsidRDefault="00EF1B12" w:rsidP="006D46F2">
            <w:pPr>
              <w:ind w:firstLine="0"/>
            </w:pPr>
            <w:r>
              <w:t>НЯ со стороны печени</w:t>
            </w:r>
            <w:r w:rsidR="006A2FD8">
              <w:t>**</w:t>
            </w:r>
          </w:p>
        </w:tc>
        <w:tc>
          <w:tcPr>
            <w:tcW w:w="3190" w:type="dxa"/>
          </w:tcPr>
          <w:p w14:paraId="3B41DD08" w14:textId="2E3064CD" w:rsidR="00AE0DAD" w:rsidRDefault="008921FB" w:rsidP="006D46F2">
            <w:pPr>
              <w:ind w:firstLine="0"/>
            </w:pPr>
            <w:r>
              <w:t>0</w:t>
            </w:r>
          </w:p>
        </w:tc>
        <w:tc>
          <w:tcPr>
            <w:tcW w:w="2947" w:type="dxa"/>
          </w:tcPr>
          <w:p w14:paraId="68C960D5" w14:textId="03381383" w:rsidR="00AE0DAD" w:rsidRDefault="00EA04EA" w:rsidP="006D46F2">
            <w:pPr>
              <w:ind w:firstLine="0"/>
            </w:pPr>
            <w:r w:rsidRPr="00EA04EA">
              <w:t>3 (1%)</w:t>
            </w:r>
          </w:p>
        </w:tc>
      </w:tr>
      <w:tr w:rsidR="00D22A13" w14:paraId="4256C3D4" w14:textId="77777777" w:rsidTr="002F5B6A">
        <w:tc>
          <w:tcPr>
            <w:tcW w:w="9328" w:type="dxa"/>
            <w:gridSpan w:val="3"/>
          </w:tcPr>
          <w:p w14:paraId="0BC7619C" w14:textId="067E1A74" w:rsidR="00D22A13" w:rsidRPr="00D22A13" w:rsidRDefault="00D22A13" w:rsidP="00D22A13">
            <w:pPr>
              <w:pStyle w:val="SDcomments"/>
              <w:ind w:firstLine="0"/>
              <w:rPr>
                <w:b/>
                <w:iCs/>
              </w:rPr>
            </w:pPr>
            <w:r w:rsidRPr="00D22A13">
              <w:rPr>
                <w:b/>
                <w:iCs/>
              </w:rPr>
              <w:t>Примечани</w:t>
            </w:r>
            <w:r w:rsidR="002F5B6A">
              <w:rPr>
                <w:b/>
                <w:iCs/>
              </w:rPr>
              <w:t>е</w:t>
            </w:r>
            <w:r w:rsidRPr="00D22A13">
              <w:rPr>
                <w:b/>
                <w:iCs/>
              </w:rPr>
              <w:t>:</w:t>
            </w:r>
          </w:p>
          <w:p w14:paraId="537B757B" w14:textId="7AF85125" w:rsidR="00D22A13" w:rsidRPr="00EA04EA" w:rsidRDefault="00D22A13" w:rsidP="00D22A13">
            <w:pPr>
              <w:pStyle w:val="SDcomments"/>
              <w:ind w:firstLine="0"/>
            </w:pPr>
            <w:r>
              <w:t xml:space="preserve">НЯ – нежелательное явление; </w:t>
            </w:r>
            <w:r w:rsidRPr="00E1413C">
              <w:t>НМРК</w:t>
            </w:r>
            <w:r>
              <w:t xml:space="preserve"> – немеланомный рак кожи; ТЭЛА – тромбоэмболия легочной артерии; ТГВ – тромбоз глубоких вен; </w:t>
            </w:r>
            <w:r w:rsidRPr="00914C79">
              <w:t xml:space="preserve">MACE </w:t>
            </w:r>
            <w:r>
              <w:t xml:space="preserve">– </w:t>
            </w:r>
            <w:r w:rsidRPr="00914C79">
              <w:t>тяжелые нежелательные сердечно-сосудистые явления (major adverse cardiac events</w:t>
            </w:r>
            <w:r>
              <w:t xml:space="preserve">); ЖКТ – желудочно-кишечный тракт; * – все эпизоды с вовлечением 2 или более дерматомов не являлись серьезными; ** – при оценке независимым экспертным комитетом; </w:t>
            </w:r>
            <w:r w:rsidRPr="00420955">
              <w:t>***</w:t>
            </w:r>
            <w:r>
              <w:t xml:space="preserve"> – произошло более чем через 28 дней после последнего приема препарата в ходе двойной слепой фазы.</w:t>
            </w:r>
          </w:p>
        </w:tc>
      </w:tr>
    </w:tbl>
    <w:p w14:paraId="3D220F75" w14:textId="77777777" w:rsidR="00621182" w:rsidRPr="00E1413C" w:rsidRDefault="00621182" w:rsidP="002F5B6A">
      <w:pPr>
        <w:pStyle w:val="SDText"/>
        <w:spacing w:after="0"/>
        <w:contextualSpacing/>
      </w:pPr>
    </w:p>
    <w:p w14:paraId="2DE625EF" w14:textId="19BEBF6A" w:rsidR="007A31F7" w:rsidRDefault="009E14FC" w:rsidP="002F5B6A">
      <w:pPr>
        <w:pStyle w:val="4"/>
        <w:numPr>
          <w:ilvl w:val="0"/>
          <w:numId w:val="0"/>
        </w:numPr>
        <w:ind w:left="864" w:hanging="864"/>
        <w:contextualSpacing/>
      </w:pPr>
      <w:bookmarkStart w:id="264" w:name="_Toc115421089"/>
      <w:bookmarkStart w:id="265" w:name="_Toc121592611"/>
      <w:r>
        <w:t xml:space="preserve">4.3.2.4. </w:t>
      </w:r>
      <w:r w:rsidR="001231AD" w:rsidRPr="001231AD">
        <w:t>Лабораторные отклонения</w:t>
      </w:r>
      <w:bookmarkEnd w:id="264"/>
      <w:bookmarkEnd w:id="265"/>
    </w:p>
    <w:p w14:paraId="234DF07B" w14:textId="77777777" w:rsidR="00D22A13" w:rsidRPr="00D22A13" w:rsidRDefault="00D22A13" w:rsidP="002F5B6A">
      <w:pPr>
        <w:spacing w:after="0"/>
        <w:contextualSpacing/>
      </w:pPr>
    </w:p>
    <w:p w14:paraId="354F5625" w14:textId="45C1FC81" w:rsidR="005F064C" w:rsidRPr="00D22A13" w:rsidRDefault="009E14FC" w:rsidP="002F5B6A">
      <w:pPr>
        <w:pStyle w:val="5"/>
        <w:numPr>
          <w:ilvl w:val="0"/>
          <w:numId w:val="0"/>
        </w:numPr>
        <w:ind w:left="1008" w:hanging="1008"/>
        <w:contextualSpacing/>
        <w:rPr>
          <w:b/>
          <w:i w:val="0"/>
        </w:rPr>
      </w:pPr>
      <w:r>
        <w:rPr>
          <w:b/>
          <w:i w:val="0"/>
        </w:rPr>
        <w:t xml:space="preserve">4.3.2.4.1. </w:t>
      </w:r>
      <w:r w:rsidR="005F064C" w:rsidRPr="00D22A13">
        <w:rPr>
          <w:b/>
          <w:i w:val="0"/>
        </w:rPr>
        <w:t>Таблетки, покрытые пленочной оболочкой</w:t>
      </w:r>
    </w:p>
    <w:p w14:paraId="000F51B7" w14:textId="77777777" w:rsidR="00D22A13" w:rsidRDefault="00D22A13" w:rsidP="002F5B6A">
      <w:pPr>
        <w:pStyle w:val="SDText"/>
        <w:spacing w:after="0"/>
        <w:contextualSpacing/>
      </w:pPr>
    </w:p>
    <w:p w14:paraId="025DA274" w14:textId="1380C3A1" w:rsidR="00A55CA5" w:rsidRDefault="00B531F2" w:rsidP="002F5B6A">
      <w:pPr>
        <w:pStyle w:val="SDText"/>
        <w:spacing w:after="0"/>
        <w:contextualSpacing/>
      </w:pPr>
      <w:r w:rsidRPr="00B531F2">
        <w:t xml:space="preserve">В контролируемых клинических исследованиях </w:t>
      </w:r>
      <w:r w:rsidR="00F24057">
        <w:t xml:space="preserve">с участием пациентов с </w:t>
      </w:r>
      <w:r w:rsidRPr="00B531F2">
        <w:t xml:space="preserve">РА </w:t>
      </w:r>
      <w:r w:rsidR="00DA0915">
        <w:t>выявили</w:t>
      </w:r>
      <w:r w:rsidRPr="00B531F2">
        <w:t xml:space="preserve"> снижение </w:t>
      </w:r>
      <w:r w:rsidR="00DA0915">
        <w:t>абсолютного количества лимфоцитов</w:t>
      </w:r>
      <w:r w:rsidRPr="00B531F2">
        <w:t xml:space="preserve"> </w:t>
      </w:r>
      <w:r w:rsidR="00187632">
        <w:t xml:space="preserve">до </w:t>
      </w:r>
      <w:r w:rsidR="00187632" w:rsidRPr="00187632">
        <w:t>&lt;</w:t>
      </w:r>
      <w:r w:rsidRPr="00B531F2">
        <w:t>500 клеток/мм</w:t>
      </w:r>
      <w:r w:rsidRPr="00DA0915">
        <w:rPr>
          <w:vertAlign w:val="superscript"/>
        </w:rPr>
        <w:t>3</w:t>
      </w:r>
      <w:r w:rsidRPr="00B531F2">
        <w:t xml:space="preserve"> </w:t>
      </w:r>
      <w:r w:rsidR="00DA0915">
        <w:t>у</w:t>
      </w:r>
      <w:r>
        <w:t xml:space="preserve"> </w:t>
      </w:r>
      <w:r w:rsidRPr="00B531F2">
        <w:t>0,3% пациентов</w:t>
      </w:r>
      <w:r w:rsidR="00CB50AD">
        <w:t xml:space="preserve">, а абсолютное количество лимфоцитов </w:t>
      </w:r>
      <w:r w:rsidRPr="00B531F2">
        <w:t>от 500 до 750 клеток/мм</w:t>
      </w:r>
      <w:r w:rsidRPr="00F505F1">
        <w:rPr>
          <w:vertAlign w:val="superscript"/>
        </w:rPr>
        <w:t>3</w:t>
      </w:r>
      <w:r w:rsidRPr="00B531F2">
        <w:t xml:space="preserve"> </w:t>
      </w:r>
      <w:r w:rsidR="00F505F1">
        <w:t xml:space="preserve">отмечали </w:t>
      </w:r>
      <w:r w:rsidRPr="00B531F2">
        <w:t>у 1,9% пациентов</w:t>
      </w:r>
      <w:r w:rsidR="00F505F1">
        <w:t>, получавших тофацитиниб в дозе</w:t>
      </w:r>
      <w:r w:rsidRPr="00B531F2">
        <w:t xml:space="preserve"> 5 </w:t>
      </w:r>
      <w:r w:rsidR="00F505F1">
        <w:t>мг 2 раза в день или</w:t>
      </w:r>
      <w:r w:rsidR="00A1229B">
        <w:t xml:space="preserve"> </w:t>
      </w:r>
      <w:r w:rsidR="00F505F1">
        <w:t xml:space="preserve">в дозе </w:t>
      </w:r>
      <w:r w:rsidRPr="00B531F2">
        <w:t xml:space="preserve">10 мг </w:t>
      </w:r>
      <w:r w:rsidR="00F505F1">
        <w:t>2</w:t>
      </w:r>
      <w:r w:rsidRPr="00B531F2">
        <w:t xml:space="preserve"> раза в день.</w:t>
      </w:r>
      <w:r>
        <w:t xml:space="preserve"> </w:t>
      </w:r>
      <w:r w:rsidRPr="00B531F2">
        <w:t>В популяции долгосрочн</w:t>
      </w:r>
      <w:r w:rsidR="00F1411C">
        <w:t>ых исследований</w:t>
      </w:r>
      <w:r w:rsidRPr="00B531F2">
        <w:t xml:space="preserve"> безопасности </w:t>
      </w:r>
      <w:r w:rsidR="00F1411C">
        <w:t xml:space="preserve">у пациентов с </w:t>
      </w:r>
      <w:r w:rsidRPr="00B531F2">
        <w:t xml:space="preserve">РА подтвержденное снижение </w:t>
      </w:r>
      <w:r w:rsidR="00187632">
        <w:t>абсолютного количества лимфоцитов</w:t>
      </w:r>
      <w:r w:rsidRPr="00B531F2">
        <w:t xml:space="preserve"> </w:t>
      </w:r>
      <w:r w:rsidR="00187632">
        <w:t xml:space="preserve">до </w:t>
      </w:r>
      <w:r w:rsidR="00187632" w:rsidRPr="00187632">
        <w:t>&lt;</w:t>
      </w:r>
      <w:r w:rsidRPr="00B531F2">
        <w:t>500 клеток/мм</w:t>
      </w:r>
      <w:r w:rsidRPr="00187632">
        <w:rPr>
          <w:vertAlign w:val="superscript"/>
        </w:rPr>
        <w:t>3</w:t>
      </w:r>
      <w:r w:rsidRPr="00B531F2">
        <w:t xml:space="preserve"> </w:t>
      </w:r>
      <w:r w:rsidR="00187632">
        <w:t>зарегистрировали у</w:t>
      </w:r>
      <w:r>
        <w:t xml:space="preserve"> </w:t>
      </w:r>
      <w:r w:rsidRPr="00B531F2">
        <w:t>1,3% пациентов</w:t>
      </w:r>
      <w:r w:rsidR="00187632">
        <w:t xml:space="preserve">, а абсолютное количество лимфоцитов </w:t>
      </w:r>
      <w:r w:rsidR="00187632" w:rsidRPr="00B531F2">
        <w:t xml:space="preserve">от </w:t>
      </w:r>
      <w:r w:rsidRPr="00B531F2">
        <w:t>500 до 750 клеток/мм</w:t>
      </w:r>
      <w:r w:rsidRPr="00187632">
        <w:rPr>
          <w:vertAlign w:val="superscript"/>
        </w:rPr>
        <w:t>3</w:t>
      </w:r>
      <w:r w:rsidRPr="00B531F2">
        <w:t xml:space="preserve"> </w:t>
      </w:r>
      <w:r w:rsidR="00187632">
        <w:t xml:space="preserve">отмечали </w:t>
      </w:r>
      <w:r w:rsidRPr="00B531F2">
        <w:t xml:space="preserve">у 8,4% </w:t>
      </w:r>
      <w:r w:rsidR="00187632" w:rsidRPr="00B531F2">
        <w:t>пациентов</w:t>
      </w:r>
      <w:r w:rsidR="00187632">
        <w:t>, получавших тофацитиниб в дозе</w:t>
      </w:r>
      <w:r w:rsidR="00187632" w:rsidRPr="00B531F2">
        <w:t xml:space="preserve"> 5 </w:t>
      </w:r>
      <w:r w:rsidR="00187632">
        <w:t>мг 2 раза в день или</w:t>
      </w:r>
      <w:r w:rsidR="00A1229B">
        <w:t xml:space="preserve"> </w:t>
      </w:r>
      <w:r w:rsidR="00187632">
        <w:t xml:space="preserve">в дозе </w:t>
      </w:r>
      <w:r w:rsidR="00187632" w:rsidRPr="00B531F2">
        <w:t xml:space="preserve">10 мг </w:t>
      </w:r>
      <w:r w:rsidR="00187632">
        <w:t>2</w:t>
      </w:r>
      <w:r w:rsidR="00187632" w:rsidRPr="00B531F2">
        <w:t xml:space="preserve"> раза в день</w:t>
      </w:r>
      <w:r w:rsidRPr="00B531F2">
        <w:t>.</w:t>
      </w:r>
      <w:r>
        <w:t xml:space="preserve"> </w:t>
      </w:r>
      <w:r w:rsidRPr="00B531F2">
        <w:t xml:space="preserve">Подтвержденный уровень </w:t>
      </w:r>
      <w:r w:rsidR="00187632">
        <w:t>абсолютного количества лимфоцитов</w:t>
      </w:r>
      <w:r w:rsidRPr="00B531F2">
        <w:t xml:space="preserve"> менее 750 клеток/мм</w:t>
      </w:r>
      <w:r w:rsidRPr="00187632">
        <w:rPr>
          <w:vertAlign w:val="superscript"/>
        </w:rPr>
        <w:t>3</w:t>
      </w:r>
      <w:r w:rsidRPr="00B531F2">
        <w:t xml:space="preserve"> был связан с повышенной частотой серьезных</w:t>
      </w:r>
      <w:r>
        <w:t xml:space="preserve"> </w:t>
      </w:r>
      <w:r w:rsidRPr="00B531F2">
        <w:t>инфекци</w:t>
      </w:r>
      <w:r w:rsidR="00187632">
        <w:t>й</w:t>
      </w:r>
      <w:r>
        <w:t xml:space="preserve"> </w:t>
      </w:r>
      <w:r w:rsidR="00447E91">
        <w:fldChar w:fldCharType="begin"/>
      </w:r>
      <w:r w:rsidR="008D5290">
        <w:instrText xml:space="preserve"> ADDIN ZOTERO_ITEM CSL_CITATION {"citationID":"ihLrY6nx","properties":{"formattedCitation":"[24]","plainCitation":"[24]","noteIndex":0},"citationItems":[{"id":87800,"uris":["http://zotero.org/groups/4742804/items/TPCQ89X9"],"itemData":{"id":87800,"type":"webpage","title":"Xeljanz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47E91">
        <w:fldChar w:fldCharType="separate"/>
      </w:r>
      <w:r w:rsidR="00DE2C35">
        <w:rPr>
          <w:rFonts w:cs="Times New Roman"/>
        </w:rPr>
        <w:t>[2</w:t>
      </w:r>
      <w:r w:rsidR="008D5290" w:rsidRPr="008D5290">
        <w:rPr>
          <w:rFonts w:cs="Times New Roman"/>
        </w:rPr>
        <w:t>]</w:t>
      </w:r>
      <w:r w:rsidR="00447E91">
        <w:fldChar w:fldCharType="end"/>
      </w:r>
      <w:r w:rsidR="00187632">
        <w:t>.</w:t>
      </w:r>
    </w:p>
    <w:p w14:paraId="48176B90" w14:textId="57372754" w:rsidR="00A55CA5" w:rsidRDefault="00A55CA5" w:rsidP="00D22A13">
      <w:pPr>
        <w:pStyle w:val="SDText"/>
        <w:contextualSpacing/>
      </w:pPr>
      <w:r>
        <w:t xml:space="preserve">В контролируемых клинических исследованиях с участием пациентов с РА подтверждено снижение </w:t>
      </w:r>
      <w:r w:rsidR="001E0EEE">
        <w:t>абсолютного количества нейтрофилов</w:t>
      </w:r>
      <w:r>
        <w:t xml:space="preserve"> </w:t>
      </w:r>
      <w:r w:rsidR="001E0EEE">
        <w:t xml:space="preserve">до </w:t>
      </w:r>
      <w:r w:rsidR="001E0EEE" w:rsidRPr="001E0EEE">
        <w:t>&lt;</w:t>
      </w:r>
      <w:r>
        <w:t>1000 клеток/мм</w:t>
      </w:r>
      <w:r w:rsidRPr="001E0EEE">
        <w:rPr>
          <w:vertAlign w:val="superscript"/>
        </w:rPr>
        <w:t>3</w:t>
      </w:r>
      <w:r>
        <w:t xml:space="preserve"> </w:t>
      </w:r>
      <w:r w:rsidR="001E0EEE">
        <w:t>у</w:t>
      </w:r>
      <w:r>
        <w:t xml:space="preserve"> 0,08% </w:t>
      </w:r>
      <w:r w:rsidR="001E0EEE" w:rsidRPr="00B531F2">
        <w:t>пациентов</w:t>
      </w:r>
      <w:r w:rsidR="001E0EEE">
        <w:t>, получавших тофацитиниб в дозе</w:t>
      </w:r>
      <w:r w:rsidR="001E0EEE" w:rsidRPr="00B531F2">
        <w:t xml:space="preserve"> 5 </w:t>
      </w:r>
      <w:r w:rsidR="001E0EEE">
        <w:t>мг 2 раза в день или</w:t>
      </w:r>
      <w:r w:rsidR="00A1229B">
        <w:t xml:space="preserve"> </w:t>
      </w:r>
      <w:r w:rsidR="001E0EEE">
        <w:t xml:space="preserve">в дозе </w:t>
      </w:r>
      <w:r w:rsidR="001E0EEE" w:rsidRPr="00B531F2">
        <w:t xml:space="preserve">10 мг </w:t>
      </w:r>
      <w:r w:rsidR="001E0EEE">
        <w:t>2</w:t>
      </w:r>
      <w:r w:rsidR="001E0EEE" w:rsidRPr="00B531F2">
        <w:t xml:space="preserve"> раза в день</w:t>
      </w:r>
      <w:r w:rsidR="001E0EEE">
        <w:t>.</w:t>
      </w:r>
      <w:r>
        <w:t xml:space="preserve"> Не </w:t>
      </w:r>
      <w:r w:rsidR="001E0EEE">
        <w:t>наблюдали</w:t>
      </w:r>
      <w:r>
        <w:t xml:space="preserve"> подтвержденно</w:t>
      </w:r>
      <w:r w:rsidR="00B15720">
        <w:t>го</w:t>
      </w:r>
      <w:r>
        <w:t xml:space="preserve"> снижени</w:t>
      </w:r>
      <w:r w:rsidR="00B15720">
        <w:t>я</w:t>
      </w:r>
      <w:r>
        <w:t xml:space="preserve"> </w:t>
      </w:r>
      <w:r w:rsidR="001E0EEE">
        <w:t>абсолютного количества нейтрофилов</w:t>
      </w:r>
      <w:r>
        <w:t xml:space="preserve"> </w:t>
      </w:r>
      <w:r w:rsidR="002C1B91">
        <w:t xml:space="preserve">до </w:t>
      </w:r>
      <w:r w:rsidR="00220E80">
        <w:t>&lt;</w:t>
      </w:r>
      <w:r>
        <w:t>500 клеток/мм</w:t>
      </w:r>
      <w:r w:rsidRPr="002C1B91">
        <w:rPr>
          <w:vertAlign w:val="superscript"/>
        </w:rPr>
        <w:t>3</w:t>
      </w:r>
      <w:r>
        <w:t xml:space="preserve"> </w:t>
      </w:r>
      <w:r w:rsidR="002C1B91">
        <w:t>ни в одной из групп</w:t>
      </w:r>
      <w:r>
        <w:t xml:space="preserve">. Не </w:t>
      </w:r>
      <w:r w:rsidR="007259F0">
        <w:t>выявили</w:t>
      </w:r>
      <w:r>
        <w:t xml:space="preserve"> четк</w:t>
      </w:r>
      <w:r w:rsidR="007259F0">
        <w:t>ой</w:t>
      </w:r>
      <w:r>
        <w:t xml:space="preserve"> связ</w:t>
      </w:r>
      <w:r w:rsidR="007259F0">
        <w:t>и</w:t>
      </w:r>
      <w:r>
        <w:t xml:space="preserve"> между нейтропенией и возникновением серьезных инфекций. Характер и частота подтвержденного снижения </w:t>
      </w:r>
      <w:r w:rsidR="007259F0">
        <w:t>абсолютного количества нейтрофилов</w:t>
      </w:r>
      <w:r>
        <w:t xml:space="preserve"> в популяции пациентов </w:t>
      </w:r>
      <w:r w:rsidR="007259F0">
        <w:t>с РА в длительных исследовани</w:t>
      </w:r>
      <w:r w:rsidR="00B15720">
        <w:t>ях</w:t>
      </w:r>
      <w:r w:rsidR="007259F0">
        <w:t xml:space="preserve"> </w:t>
      </w:r>
      <w:r>
        <w:t>безопасност</w:t>
      </w:r>
      <w:r w:rsidR="007259F0">
        <w:t>и</w:t>
      </w:r>
      <w:r>
        <w:t xml:space="preserve"> </w:t>
      </w:r>
      <w:r w:rsidR="00F900CE">
        <w:t>был</w:t>
      </w:r>
      <w:r w:rsidR="00B15720">
        <w:t>и</w:t>
      </w:r>
      <w:r w:rsidR="00F900CE">
        <w:t xml:space="preserve"> сопоставимы с наблюдаемым</w:t>
      </w:r>
      <w:r w:rsidR="00B15720">
        <w:t>и</w:t>
      </w:r>
      <w:r>
        <w:t xml:space="preserve"> в контролируемых клинических исследованиях </w:t>
      </w:r>
      <w:r>
        <w:fldChar w:fldCharType="begin"/>
      </w:r>
      <w:r w:rsidR="008D5290">
        <w:instrText xml:space="preserve"> ADDIN ZOTERO_ITEM CSL_CITATION {"citationID":"DDitfl7k","properties":{"formattedCitation":"[24]","plainCitation":"[24]","noteIndex":0},"citationItems":[{"id":87800,"uris":["http://zotero.org/groups/4742804/items/TPCQ89X9"],"itemData":{"id":87800,"type":"webpage","title":"Xeljanz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3FA8A3CE" w14:textId="6BCB930E" w:rsidR="005F064C" w:rsidRDefault="00D50A87" w:rsidP="00D22A13">
      <w:pPr>
        <w:pStyle w:val="SDText"/>
        <w:contextualSpacing/>
      </w:pPr>
      <w:r>
        <w:lastRenderedPageBreak/>
        <w:t>Пациенты с</w:t>
      </w:r>
      <w:r w:rsidRPr="00D50A87">
        <w:t xml:space="preserve"> </w:t>
      </w:r>
      <w:r>
        <w:t>РА,</w:t>
      </w:r>
      <w:r w:rsidRPr="00D50A87">
        <w:t xml:space="preserve"> </w:t>
      </w:r>
      <w:r>
        <w:t xml:space="preserve">псориатическим артритом или </w:t>
      </w:r>
      <w:r w:rsidR="00A30823">
        <w:t>АС</w:t>
      </w:r>
      <w:r>
        <w:t xml:space="preserve">, включаемые в контролируемые клинические исследования фазы </w:t>
      </w:r>
      <w:r>
        <w:rPr>
          <w:lang w:val="en-US"/>
        </w:rPr>
        <w:t>III</w:t>
      </w:r>
      <w:r w:rsidR="00B03773">
        <w:t>,</w:t>
      </w:r>
      <w:r w:rsidR="00A1229B">
        <w:t xml:space="preserve"> </w:t>
      </w:r>
      <w:r>
        <w:t>должны были иметь количество тромбоцитов ≥ 100 000 клеток/мм</w:t>
      </w:r>
      <w:r w:rsidRPr="00D50A87">
        <w:rPr>
          <w:vertAlign w:val="superscript"/>
        </w:rPr>
        <w:t>3</w:t>
      </w:r>
      <w:r>
        <w:t>, поэтому нет информации по пациентам с количе</w:t>
      </w:r>
      <w:r w:rsidR="0038285F">
        <w:t>ством</w:t>
      </w:r>
      <w:r>
        <w:t xml:space="preserve"> тромбоцитов &lt; 100 000 клеток/мм</w:t>
      </w:r>
      <w:r w:rsidRPr="0038285F">
        <w:rPr>
          <w:vertAlign w:val="superscript"/>
        </w:rPr>
        <w:t>3</w:t>
      </w:r>
      <w:r>
        <w:t xml:space="preserve"> до начала лечения тофацитинибом </w:t>
      </w:r>
      <w:r>
        <w:fldChar w:fldCharType="begin"/>
      </w:r>
      <w:r w:rsidR="008D5290">
        <w:instrText xml:space="preserve"> ADDIN ZOTERO_ITEM CSL_CITATION {"citationID":"zFrtDecg","properties":{"formattedCitation":"[24]","plainCitation":"[24]","noteIndex":0},"citationItems":[{"id":87800,"uris":["http://zotero.org/groups/4742804/items/TPCQ89X9"],"itemData":{"id":87800,"type":"webpage","title":"Xeljanz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16A7C818" w14:textId="441B3CEF" w:rsidR="00836948" w:rsidRDefault="00966BC8" w:rsidP="00D22A13">
      <w:pPr>
        <w:pStyle w:val="SDText"/>
        <w:contextualSpacing/>
      </w:pPr>
      <w:r>
        <w:t>Подтвержденное повышение активности печеночных ферментов</w:t>
      </w:r>
      <w:r w:rsidR="00490936">
        <w:t>,</w:t>
      </w:r>
      <w:r>
        <w:t xml:space="preserve"> более чем в 3 раза превыша</w:t>
      </w:r>
      <w:r w:rsidR="00490936">
        <w:t>ющее ВГН</w:t>
      </w:r>
      <w:r w:rsidR="001F07B3">
        <w:t>,</w:t>
      </w:r>
      <w:r>
        <w:t xml:space="preserve"> редко наблюда</w:t>
      </w:r>
      <w:r w:rsidR="00490936">
        <w:t>ли</w:t>
      </w:r>
      <w:r>
        <w:t xml:space="preserve"> у больных РА. У пациентов с повышением активности печеночных ферментов модификация схемы лечения, например, снижение дозы сопутствующего Б</w:t>
      </w:r>
      <w:r w:rsidR="00F522D7">
        <w:t>МАРП</w:t>
      </w:r>
      <w:r>
        <w:t xml:space="preserve">, прекращение приема тофацитиниба или снижение дозы тофацитиниба приводило к снижению или нормализации </w:t>
      </w:r>
      <w:r w:rsidR="00F522D7">
        <w:t xml:space="preserve">активности </w:t>
      </w:r>
      <w:r>
        <w:t>фермент</w:t>
      </w:r>
      <w:r w:rsidR="00F522D7">
        <w:t>ов</w:t>
      </w:r>
      <w:r>
        <w:t xml:space="preserve"> печени. В контролируемой части исследования монотерапии РА фазы </w:t>
      </w:r>
      <w:r w:rsidR="00F522D7">
        <w:rPr>
          <w:lang w:val="en-US"/>
        </w:rPr>
        <w:t>III</w:t>
      </w:r>
      <w:r>
        <w:t xml:space="preserve"> (0–3 мес</w:t>
      </w:r>
      <w:r w:rsidR="00F522D7">
        <w:t>.</w:t>
      </w:r>
      <w:r>
        <w:t>)</w:t>
      </w:r>
      <w:r w:rsidR="00F522D7">
        <w:t xml:space="preserve"> п</w:t>
      </w:r>
      <w:r>
        <w:t xml:space="preserve">овышение </w:t>
      </w:r>
      <w:r w:rsidR="00F522D7">
        <w:t xml:space="preserve">активности </w:t>
      </w:r>
      <w:r>
        <w:t>АЛТ более чем в 3 раза от ВГН наблюдал</w:t>
      </w:r>
      <w:r w:rsidR="00F522D7">
        <w:t>и</w:t>
      </w:r>
      <w:r>
        <w:t xml:space="preserve"> у 1,65, 0,41 и 0% пациентов, получавших плацебо, тофацитиниб </w:t>
      </w:r>
      <w:r w:rsidR="00F522D7">
        <w:t xml:space="preserve">в дозе </w:t>
      </w:r>
      <w:r>
        <w:t xml:space="preserve">5 мг </w:t>
      </w:r>
      <w:r w:rsidR="00F522D7">
        <w:t xml:space="preserve">2 раза в день </w:t>
      </w:r>
      <w:r>
        <w:t xml:space="preserve">и </w:t>
      </w:r>
      <w:r w:rsidR="00F522D7">
        <w:t xml:space="preserve">тофацитиниб в дозе </w:t>
      </w:r>
      <w:r>
        <w:t xml:space="preserve">10 мг </w:t>
      </w:r>
      <w:bookmarkStart w:id="266" w:name="_Hlk114470577"/>
      <w:r w:rsidR="00F522D7">
        <w:t>2</w:t>
      </w:r>
      <w:r>
        <w:t xml:space="preserve"> раза в день </w:t>
      </w:r>
      <w:bookmarkEnd w:id="266"/>
      <w:r>
        <w:t xml:space="preserve">соответственно. В этом исследовании повышение </w:t>
      </w:r>
      <w:r w:rsidR="00F522D7">
        <w:t xml:space="preserve">активности </w:t>
      </w:r>
      <w:r>
        <w:t xml:space="preserve">АСТ более чем в 3 раза </w:t>
      </w:r>
      <w:r w:rsidR="00F522D7">
        <w:t xml:space="preserve">от ВГН </w:t>
      </w:r>
      <w:r>
        <w:t>наблюдал</w:t>
      </w:r>
      <w:r w:rsidR="00F522D7">
        <w:t>и</w:t>
      </w:r>
      <w:r>
        <w:t xml:space="preserve"> у 1,65, 0,41 и 0% пациентов, получавших плацебо, тофацитиниб в дозе 5 мг </w:t>
      </w:r>
      <w:r w:rsidR="00F522D7">
        <w:t xml:space="preserve">2 раза в день </w:t>
      </w:r>
      <w:r>
        <w:t xml:space="preserve">и </w:t>
      </w:r>
      <w:r w:rsidR="00F522D7">
        <w:t xml:space="preserve">тофацитиниб в дозе </w:t>
      </w:r>
      <w:r>
        <w:t xml:space="preserve">10 мг </w:t>
      </w:r>
      <w:r w:rsidR="00F522D7">
        <w:t>2</w:t>
      </w:r>
      <w:r>
        <w:t xml:space="preserve"> раза в день соответственно. </w:t>
      </w:r>
      <w:r w:rsidR="00D16812">
        <w:t xml:space="preserve">В исследовании монотерапии РА </w:t>
      </w:r>
      <w:r w:rsidR="00F522D7">
        <w:rPr>
          <w:lang w:val="en-US"/>
        </w:rPr>
        <w:t>III</w:t>
      </w:r>
      <w:r w:rsidR="00D16812">
        <w:t xml:space="preserve"> фаз</w:t>
      </w:r>
      <w:r w:rsidR="00F522D7">
        <w:t>ы</w:t>
      </w:r>
      <w:r w:rsidR="00D16812">
        <w:t xml:space="preserve"> (0–24 мес</w:t>
      </w:r>
      <w:r w:rsidR="00F522D7">
        <w:t>.</w:t>
      </w:r>
      <w:r w:rsidR="00D16812">
        <w:t xml:space="preserve">) повышение активности АЛТ более чем в 3 раза </w:t>
      </w:r>
      <w:r w:rsidR="00F522D7">
        <w:t xml:space="preserve">от ВГН </w:t>
      </w:r>
      <w:r w:rsidR="00D16812">
        <w:t>наблюдал</w:t>
      </w:r>
      <w:r w:rsidR="00F522D7">
        <w:t xml:space="preserve">и </w:t>
      </w:r>
      <w:r w:rsidR="00D16812">
        <w:t xml:space="preserve">у 7,1, 3,0 и 3,0% пациентов, получавших метотрексат, тофацитиниб </w:t>
      </w:r>
      <w:r w:rsidR="00F522D7">
        <w:t xml:space="preserve">в дозе </w:t>
      </w:r>
      <w:r w:rsidR="00D16812">
        <w:t xml:space="preserve">5 мг </w:t>
      </w:r>
      <w:r w:rsidR="00F522D7">
        <w:t xml:space="preserve">2 раза в день </w:t>
      </w:r>
      <w:r w:rsidR="00D16812">
        <w:t>и</w:t>
      </w:r>
      <w:r w:rsidR="00F522D7" w:rsidRPr="00F522D7">
        <w:t xml:space="preserve"> </w:t>
      </w:r>
      <w:r w:rsidR="00F522D7">
        <w:t>тофацитиниб в дозе</w:t>
      </w:r>
      <w:r w:rsidR="00D16812">
        <w:t xml:space="preserve"> 10 мг </w:t>
      </w:r>
      <w:r w:rsidR="00F522D7">
        <w:t>2</w:t>
      </w:r>
      <w:r w:rsidR="00D16812">
        <w:t xml:space="preserve"> раза в день соответственно. В этом исследовании повышение </w:t>
      </w:r>
      <w:r w:rsidR="00F522D7">
        <w:t>активности</w:t>
      </w:r>
      <w:r w:rsidR="00D16812">
        <w:t xml:space="preserve"> АСТ более чем в 3 раза от ВГН </w:t>
      </w:r>
      <w:r w:rsidR="00F522D7">
        <w:t>выявили</w:t>
      </w:r>
      <w:r w:rsidR="00D16812">
        <w:t xml:space="preserve"> у 3,3, 1,6 и 1,5% пациентов, получавших метотрексат, тофацитиниб в дозе 5 мг </w:t>
      </w:r>
      <w:r w:rsidR="00F522D7">
        <w:t xml:space="preserve">2 раза в день </w:t>
      </w:r>
      <w:r w:rsidR="00D16812">
        <w:t xml:space="preserve">и </w:t>
      </w:r>
      <w:r w:rsidR="00F522D7">
        <w:t xml:space="preserve">тофацитиниб в дозе </w:t>
      </w:r>
      <w:r w:rsidR="00D16812">
        <w:t xml:space="preserve">10 мг </w:t>
      </w:r>
      <w:r w:rsidR="00F522D7">
        <w:t>2</w:t>
      </w:r>
      <w:r w:rsidR="00D16812">
        <w:t xml:space="preserve"> раза в </w:t>
      </w:r>
      <w:r w:rsidR="00F522D7">
        <w:t>день</w:t>
      </w:r>
      <w:r w:rsidR="00D16812">
        <w:t xml:space="preserve"> соответственно. В контролируемой части исследований </w:t>
      </w:r>
      <w:r w:rsidR="00F522D7">
        <w:rPr>
          <w:lang w:val="en-US"/>
        </w:rPr>
        <w:t>III</w:t>
      </w:r>
      <w:r w:rsidR="00D16812">
        <w:t xml:space="preserve"> фазы </w:t>
      </w:r>
      <w:r w:rsidR="00F522D7">
        <w:t xml:space="preserve">у пациентов с </w:t>
      </w:r>
      <w:r w:rsidR="00D16812">
        <w:t>РА</w:t>
      </w:r>
      <w:r w:rsidR="00F522D7">
        <w:t>, получавших</w:t>
      </w:r>
      <w:r w:rsidR="00D16812">
        <w:t xml:space="preserve"> фонов</w:t>
      </w:r>
      <w:r w:rsidR="00F522D7">
        <w:t>ую терапию</w:t>
      </w:r>
      <w:r w:rsidR="00D16812">
        <w:t xml:space="preserve"> Б</w:t>
      </w:r>
      <w:r w:rsidR="00F522D7">
        <w:t>МАРП</w:t>
      </w:r>
      <w:r w:rsidR="00D16812">
        <w:t xml:space="preserve"> (0-3 мес</w:t>
      </w:r>
      <w:r w:rsidR="00F522D7">
        <w:t>.</w:t>
      </w:r>
      <w:r w:rsidR="00D16812">
        <w:t xml:space="preserve">), повышение </w:t>
      </w:r>
      <w:r w:rsidR="00F522D7">
        <w:t xml:space="preserve">активности </w:t>
      </w:r>
      <w:r w:rsidR="00D16812">
        <w:t>АЛТ более чем в 3 раза от ВГН наблюдал</w:t>
      </w:r>
      <w:r w:rsidR="00F522D7">
        <w:t>и</w:t>
      </w:r>
      <w:r w:rsidR="00D16812">
        <w:t xml:space="preserve"> у 0,9, 1,24 и 1,14% пациентов, получавших плацебо, </w:t>
      </w:r>
      <w:r w:rsidR="00F522D7">
        <w:t>тофацитиниб в дозе 5 мг 2 раза в день и тофацитиниб в дозе 10 мг 2 раза в день соответственно</w:t>
      </w:r>
      <w:r w:rsidR="00D16812">
        <w:t xml:space="preserve">. В этих исследованиях повышение </w:t>
      </w:r>
      <w:r w:rsidR="00F522D7">
        <w:t>активности</w:t>
      </w:r>
      <w:r w:rsidR="00D16812">
        <w:t xml:space="preserve"> АСТ более чем в 3 раза от ВГН </w:t>
      </w:r>
      <w:r w:rsidR="00F522D7">
        <w:t>определили</w:t>
      </w:r>
      <w:r w:rsidR="00D16812">
        <w:t xml:space="preserve"> у 0,72, 0,5 и 0,31% пациентов</w:t>
      </w:r>
      <w:r w:rsidR="001F07B3">
        <w:t>,</w:t>
      </w:r>
      <w:r w:rsidR="00D16812">
        <w:t xml:space="preserve"> получавших плацебо, </w:t>
      </w:r>
      <w:r w:rsidR="00F522D7">
        <w:t xml:space="preserve">тофацитиниб в дозе 5 мг 2 раза в день и тофацитиниб в дозе 10 мг 2 раза в день соответственно. </w:t>
      </w:r>
      <w:r w:rsidR="00CA5183">
        <w:t>В д</w:t>
      </w:r>
      <w:r w:rsidR="00F522D7">
        <w:t>лительных</w:t>
      </w:r>
      <w:r w:rsidR="00CA5183">
        <w:t xml:space="preserve"> расширенных исследованиях </w:t>
      </w:r>
      <w:r w:rsidR="00F522D7">
        <w:t xml:space="preserve">с участием пациентов с </w:t>
      </w:r>
      <w:r w:rsidR="00CA5183">
        <w:t xml:space="preserve">РА при монотерапии повышение </w:t>
      </w:r>
      <w:r w:rsidR="00F522D7">
        <w:t>активности</w:t>
      </w:r>
      <w:r w:rsidR="00CA5183">
        <w:t xml:space="preserve"> АЛТ более чем в 3 раза от ВГН </w:t>
      </w:r>
      <w:r w:rsidR="00F522D7">
        <w:t>зарегистрировали</w:t>
      </w:r>
      <w:r w:rsidR="00CA5183">
        <w:t xml:space="preserve"> у 1,1 и 1,4% пациентов, получавших </w:t>
      </w:r>
      <w:r w:rsidR="00F522D7">
        <w:t>тофацитиниб в дозе 5 мг 2 раза в день и тофацитиниб в дозе 10 мг 2 раза в день соответственно.</w:t>
      </w:r>
      <w:r w:rsidR="00CA5183">
        <w:t xml:space="preserve"> Повышение </w:t>
      </w:r>
      <w:r w:rsidR="00F522D7">
        <w:t xml:space="preserve">активности </w:t>
      </w:r>
      <w:r w:rsidR="00CA5183">
        <w:t>АСТ более чем в 3 раза от ВГН наблюдал</w:t>
      </w:r>
      <w:r w:rsidR="00F522D7">
        <w:t>и</w:t>
      </w:r>
      <w:r w:rsidR="00CA5183">
        <w:t xml:space="preserve"> у &lt; 1,0% пациентов, принимавших тофацитиниб в дозе 5 и 10 мг </w:t>
      </w:r>
      <w:r w:rsidR="00F522D7">
        <w:t>2</w:t>
      </w:r>
      <w:r w:rsidR="00CA5183">
        <w:t xml:space="preserve"> раза в день. В д</w:t>
      </w:r>
      <w:r w:rsidR="00F522D7">
        <w:t xml:space="preserve">лительных </w:t>
      </w:r>
      <w:r w:rsidR="00CA5183">
        <w:t xml:space="preserve">расширенных исследованиях </w:t>
      </w:r>
      <w:r w:rsidR="00F522D7">
        <w:t xml:space="preserve">с участием пациентов с </w:t>
      </w:r>
      <w:r w:rsidR="00CA5183">
        <w:t xml:space="preserve">РА </w:t>
      </w:r>
      <w:r w:rsidR="00F522D7">
        <w:t>при</w:t>
      </w:r>
      <w:r w:rsidR="00CA5183">
        <w:t xml:space="preserve"> фон</w:t>
      </w:r>
      <w:r w:rsidR="00F522D7">
        <w:t>овой терапии</w:t>
      </w:r>
      <w:r w:rsidR="00CA5183">
        <w:t xml:space="preserve"> Б</w:t>
      </w:r>
      <w:r w:rsidR="00F522D7">
        <w:t>МАРП</w:t>
      </w:r>
      <w:r w:rsidR="00CA5183">
        <w:t xml:space="preserve"> повышение </w:t>
      </w:r>
      <w:r w:rsidR="00F522D7">
        <w:t>активности</w:t>
      </w:r>
      <w:r w:rsidR="00CA5183">
        <w:t xml:space="preserve"> АЛТ </w:t>
      </w:r>
      <w:r w:rsidR="00336A81">
        <w:t xml:space="preserve">выше </w:t>
      </w:r>
      <w:r w:rsidR="00CA5183">
        <w:t>3 ВГН наблюдал</w:t>
      </w:r>
      <w:r w:rsidR="00336A81">
        <w:t>и</w:t>
      </w:r>
      <w:r w:rsidR="00CA5183">
        <w:t xml:space="preserve"> у 1,8 и 1,6% пациентов, получавших </w:t>
      </w:r>
      <w:r w:rsidR="00336A81">
        <w:t>тофацитиниб в дозе 5 мг 2 раза в день и тофацитиниб в дозе 10 мг 2 раза в день соответственно</w:t>
      </w:r>
      <w:r w:rsidR="00CA5183">
        <w:t xml:space="preserve">. Повышение </w:t>
      </w:r>
      <w:r w:rsidR="00336A81">
        <w:t xml:space="preserve">активности </w:t>
      </w:r>
      <w:r w:rsidR="00CA5183">
        <w:t xml:space="preserve">АСТ более чем в 3 раза от ВГН </w:t>
      </w:r>
      <w:r w:rsidR="00336A81">
        <w:t>выявили</w:t>
      </w:r>
      <w:r w:rsidR="00CA5183">
        <w:t xml:space="preserve"> у &lt; 1,0% пациентов, принимавших тофацитиниб</w:t>
      </w:r>
      <w:r w:rsidR="00336A81">
        <w:t xml:space="preserve"> в дозе</w:t>
      </w:r>
      <w:r w:rsidR="00CA5183">
        <w:t xml:space="preserve"> 5 </w:t>
      </w:r>
      <w:r w:rsidR="00336A81">
        <w:t>или</w:t>
      </w:r>
      <w:r w:rsidR="00CA5183">
        <w:t xml:space="preserve"> 10 мг </w:t>
      </w:r>
      <w:r w:rsidR="00336A81">
        <w:t>2</w:t>
      </w:r>
      <w:r w:rsidR="00CA5183">
        <w:t xml:space="preserve"> раза в день.</w:t>
      </w:r>
      <w:r w:rsidR="00490936" w:rsidRPr="00490936">
        <w:t xml:space="preserve"> </w:t>
      </w:r>
      <w:r w:rsidR="00490936">
        <w:t>В крупном (</w:t>
      </w:r>
      <w:r w:rsidR="00336A81">
        <w:t xml:space="preserve">n </w:t>
      </w:r>
      <w:r w:rsidR="00490936">
        <w:t>=</w:t>
      </w:r>
      <w:r w:rsidR="00336A81">
        <w:t xml:space="preserve"> </w:t>
      </w:r>
      <w:r w:rsidR="00490936">
        <w:t>4362) рандомизированном пострегистрационном исследовании безопасности у пациентов с РА</w:t>
      </w:r>
      <w:r w:rsidR="00336A81">
        <w:t xml:space="preserve"> в возрасте</w:t>
      </w:r>
      <w:r w:rsidR="00490936">
        <w:t xml:space="preserve"> 50 лет и старше, по крайней мере, с одним дополнительным фактором риска</w:t>
      </w:r>
      <w:r w:rsidR="00336A81" w:rsidRPr="00336A81">
        <w:t xml:space="preserve"> </w:t>
      </w:r>
      <w:r w:rsidR="00336A81">
        <w:t>сердечно-сосудистых заболеваний</w:t>
      </w:r>
      <w:r w:rsidR="00490936">
        <w:t xml:space="preserve"> повышение</w:t>
      </w:r>
      <w:r w:rsidR="00336A81">
        <w:t xml:space="preserve"> активности </w:t>
      </w:r>
      <w:r w:rsidR="00490936">
        <w:t xml:space="preserve">АЛТ в 3 раза выше ВГН </w:t>
      </w:r>
      <w:r w:rsidR="00336A81">
        <w:t xml:space="preserve">и более </w:t>
      </w:r>
      <w:r w:rsidR="00490936">
        <w:t>наблюдали у 6,01, 6,54 и 3,77% пациентов, получавших тофацитиниб в дозе 5 мг</w:t>
      </w:r>
      <w:r w:rsidR="00336A81">
        <w:t xml:space="preserve"> 2</w:t>
      </w:r>
      <w:r w:rsidR="00490936">
        <w:t xml:space="preserve"> раза в день, тофацитиниб </w:t>
      </w:r>
      <w:r w:rsidR="00336A81">
        <w:t xml:space="preserve">в дозе </w:t>
      </w:r>
      <w:r w:rsidR="00490936">
        <w:t xml:space="preserve">10 мг </w:t>
      </w:r>
      <w:r w:rsidR="00336A81">
        <w:t>2</w:t>
      </w:r>
      <w:r w:rsidR="00490936">
        <w:t xml:space="preserve"> раза в день и ингибиторы </w:t>
      </w:r>
      <w:r w:rsidR="00336A81">
        <w:rPr>
          <w:lang w:val="en-US"/>
        </w:rPr>
        <w:t>TNF</w:t>
      </w:r>
      <w:r w:rsidR="00336A81" w:rsidRPr="00336A81">
        <w:t>-</w:t>
      </w:r>
      <w:r w:rsidR="00336A81">
        <w:rPr>
          <w:rFonts w:cs="Times New Roman"/>
        </w:rPr>
        <w:t>α</w:t>
      </w:r>
      <w:r w:rsidR="00490936">
        <w:t xml:space="preserve"> соответственно. Повышение </w:t>
      </w:r>
      <w:r w:rsidR="00B11EB1">
        <w:t xml:space="preserve">активности </w:t>
      </w:r>
      <w:r w:rsidR="00490936">
        <w:t xml:space="preserve">АСТ </w:t>
      </w:r>
      <w:r w:rsidR="00B11EB1">
        <w:t>выше</w:t>
      </w:r>
      <w:r w:rsidR="00490936">
        <w:t xml:space="preserve"> 3</w:t>
      </w:r>
      <w:r w:rsidR="00B11EB1">
        <w:t xml:space="preserve"> </w:t>
      </w:r>
      <w:r w:rsidR="00490936">
        <w:t xml:space="preserve">ВГН наблюдали у 3,21, 4,57 и 2,38% пациентов, получавших тофацитиниб </w:t>
      </w:r>
      <w:r w:rsidR="00B11EB1">
        <w:t xml:space="preserve">в дозе </w:t>
      </w:r>
      <w:r w:rsidR="00490936">
        <w:t xml:space="preserve">5 мг 2 раза в </w:t>
      </w:r>
      <w:r w:rsidR="00B11EB1">
        <w:t>день</w:t>
      </w:r>
      <w:r w:rsidR="00490936">
        <w:t xml:space="preserve">, тофацитиниб </w:t>
      </w:r>
      <w:r w:rsidR="00B11EB1">
        <w:t xml:space="preserve">в дозе </w:t>
      </w:r>
      <w:r w:rsidR="00490936">
        <w:t>10 мг 2 раза в</w:t>
      </w:r>
      <w:r w:rsidR="00B11EB1">
        <w:t xml:space="preserve"> день</w:t>
      </w:r>
      <w:r w:rsidR="00490936">
        <w:t xml:space="preserve"> и ингибиторы </w:t>
      </w:r>
      <w:r w:rsidR="00B11EB1">
        <w:rPr>
          <w:lang w:val="en-US"/>
        </w:rPr>
        <w:t>TNF</w:t>
      </w:r>
      <w:r w:rsidR="00B11EB1" w:rsidRPr="00336A81">
        <w:t>-</w:t>
      </w:r>
      <w:r w:rsidR="00B11EB1">
        <w:rPr>
          <w:rFonts w:cs="Times New Roman"/>
        </w:rPr>
        <w:t>α</w:t>
      </w:r>
      <w:r w:rsidR="00490936">
        <w:t xml:space="preserve"> соответственно </w:t>
      </w:r>
      <w:r w:rsidR="00490936">
        <w:fldChar w:fldCharType="begin"/>
      </w:r>
      <w:r w:rsidR="008D5290">
        <w:instrText xml:space="preserve"> ADDIN ZOTERO_ITEM CSL_CITATION {"citationID":"MdVanbEY","properties":{"formattedCitation":"[24]","plainCitation":"[24]","noteIndex":0},"citationItems":[{"id":87800,"uris":["http://zotero.org/groups/4742804/items/TPCQ89X9"],"itemData":{"id":87800,"type":"webpage","title":"Xeljanz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90936">
        <w:fldChar w:fldCharType="separate"/>
      </w:r>
      <w:r w:rsidR="00DE2C35">
        <w:rPr>
          <w:rFonts w:cs="Times New Roman"/>
        </w:rPr>
        <w:t>[2</w:t>
      </w:r>
      <w:r w:rsidR="008D5290" w:rsidRPr="008D5290">
        <w:rPr>
          <w:rFonts w:cs="Times New Roman"/>
        </w:rPr>
        <w:t>]</w:t>
      </w:r>
      <w:r w:rsidR="00490936">
        <w:fldChar w:fldCharType="end"/>
      </w:r>
      <w:r w:rsidR="00490936">
        <w:t>.</w:t>
      </w:r>
    </w:p>
    <w:p w14:paraId="2289799D" w14:textId="5030CB8B" w:rsidR="00780703" w:rsidRDefault="00075FCA" w:rsidP="00D22A13">
      <w:pPr>
        <w:pStyle w:val="SDText"/>
        <w:contextualSpacing/>
      </w:pPr>
      <w:r>
        <w:t>П</w:t>
      </w:r>
      <w:r w:rsidR="00836948">
        <w:t>оказател</w:t>
      </w:r>
      <w:r>
        <w:t>и</w:t>
      </w:r>
      <w:r w:rsidR="00836948">
        <w:t xml:space="preserve"> липи</w:t>
      </w:r>
      <w:r>
        <w:t>дного профиля</w:t>
      </w:r>
      <w:r w:rsidR="00836948">
        <w:t xml:space="preserve"> (общий холестерин, холестерин </w:t>
      </w:r>
      <w:r w:rsidR="00B11EB1">
        <w:t xml:space="preserve">липопротеинов низкой плотности </w:t>
      </w:r>
      <w:r w:rsidR="00B11EB1">
        <w:rPr>
          <w:rFonts w:cs="Times New Roman"/>
        </w:rPr>
        <w:t>[</w:t>
      </w:r>
      <w:r w:rsidR="00836948">
        <w:t>ЛПНП</w:t>
      </w:r>
      <w:r w:rsidR="00B11EB1">
        <w:rPr>
          <w:rFonts w:cs="Times New Roman"/>
        </w:rPr>
        <w:t>]</w:t>
      </w:r>
      <w:r w:rsidR="00836948">
        <w:t xml:space="preserve">, холестерин </w:t>
      </w:r>
      <w:r w:rsidR="00B11EB1">
        <w:t xml:space="preserve">липопротеинов высокой плотности </w:t>
      </w:r>
      <w:r w:rsidR="00B11EB1">
        <w:rPr>
          <w:rFonts w:cs="Times New Roman"/>
        </w:rPr>
        <w:t>[</w:t>
      </w:r>
      <w:r w:rsidR="00836948">
        <w:t>ЛПВП</w:t>
      </w:r>
      <w:r w:rsidR="00B11EB1">
        <w:rPr>
          <w:rFonts w:cs="Times New Roman"/>
        </w:rPr>
        <w:t>]</w:t>
      </w:r>
      <w:r w:rsidR="00836948">
        <w:t xml:space="preserve">, </w:t>
      </w:r>
      <w:r w:rsidR="00836948">
        <w:lastRenderedPageBreak/>
        <w:t>триглицериды) впервые оценивали через 1 ме</w:t>
      </w:r>
      <w:r>
        <w:t>с.</w:t>
      </w:r>
      <w:r w:rsidR="00836948">
        <w:t xml:space="preserve"> после начала лечения тофацитинибом в контролируемом двойном слепом клиническом исследовании</w:t>
      </w:r>
      <w:r>
        <w:t xml:space="preserve"> с участием пациентов с </w:t>
      </w:r>
      <w:r w:rsidR="00836948">
        <w:t xml:space="preserve">РА. </w:t>
      </w:r>
      <w:r w:rsidR="001724AC">
        <w:t>В</w:t>
      </w:r>
      <w:r w:rsidR="00836948">
        <w:t xml:space="preserve"> этот момент времени</w:t>
      </w:r>
      <w:r w:rsidR="001724AC" w:rsidRPr="001724AC">
        <w:t xml:space="preserve"> </w:t>
      </w:r>
      <w:r w:rsidR="001724AC">
        <w:t xml:space="preserve">наблюдали увеличение показателей, которое </w:t>
      </w:r>
      <w:r w:rsidR="00836948">
        <w:t xml:space="preserve">оставалось стабильным в дальнейшем. </w:t>
      </w:r>
      <w:r w:rsidR="008964EE">
        <w:t>Изменения показателей липид</w:t>
      </w:r>
      <w:r w:rsidR="005C4BE8">
        <w:t>ного профиля</w:t>
      </w:r>
      <w:r w:rsidR="008964EE">
        <w:t xml:space="preserve"> от исходного уровня до конца исследования (6</w:t>
      </w:r>
      <w:r w:rsidR="005C4BE8">
        <w:t>–</w:t>
      </w:r>
      <w:r w:rsidR="008964EE">
        <w:t>24 мес</w:t>
      </w:r>
      <w:r w:rsidR="005C4BE8">
        <w:t>.</w:t>
      </w:r>
      <w:r w:rsidR="008964EE">
        <w:t>) в контрол</w:t>
      </w:r>
      <w:r w:rsidR="00535F92">
        <w:t xml:space="preserve">ируемых </w:t>
      </w:r>
      <w:r w:rsidR="008964EE">
        <w:t>клинически</w:t>
      </w:r>
      <w:r w:rsidR="00535F92">
        <w:t>х</w:t>
      </w:r>
      <w:r w:rsidR="008964EE">
        <w:t xml:space="preserve"> исследования</w:t>
      </w:r>
      <w:r w:rsidR="00535F92">
        <w:t>х с участием пациентов с</w:t>
      </w:r>
      <w:r w:rsidR="008964EE">
        <w:t xml:space="preserve"> РА приведены ниже</w:t>
      </w:r>
      <w:r w:rsidR="00780703">
        <w:t>:</w:t>
      </w:r>
    </w:p>
    <w:p w14:paraId="7D73A9D6" w14:textId="157B46ED" w:rsidR="008964EE" w:rsidRDefault="008964EE" w:rsidP="00D22A13">
      <w:pPr>
        <w:pStyle w:val="SDText"/>
        <w:numPr>
          <w:ilvl w:val="0"/>
          <w:numId w:val="3"/>
        </w:numPr>
        <w:contextualSpacing/>
      </w:pPr>
      <w:r>
        <w:t xml:space="preserve">Средний уровень холестерина ЛПНП увеличился на 15% </w:t>
      </w:r>
      <w:r w:rsidR="00DC3ED6">
        <w:t>у пациентов</w:t>
      </w:r>
      <w:r>
        <w:t>, получавш</w:t>
      </w:r>
      <w:r w:rsidR="00DC3ED6">
        <w:t>их</w:t>
      </w:r>
      <w:r>
        <w:t xml:space="preserve"> тофацитиниб в дозе 5 мг </w:t>
      </w:r>
      <w:r w:rsidR="00DC3ED6">
        <w:t>2</w:t>
      </w:r>
      <w:r>
        <w:t xml:space="preserve"> раза в день, и на 20% </w:t>
      </w:r>
      <w:r w:rsidR="00DC3ED6">
        <w:t>у больных</w:t>
      </w:r>
      <w:r>
        <w:t>, получавш</w:t>
      </w:r>
      <w:r w:rsidR="00DC3ED6">
        <w:t>их</w:t>
      </w:r>
      <w:r w:rsidR="00780703">
        <w:t xml:space="preserve"> </w:t>
      </w:r>
      <w:r>
        <w:t xml:space="preserve">тофацитиниб </w:t>
      </w:r>
      <w:r w:rsidR="00DC3ED6">
        <w:t>в дозе</w:t>
      </w:r>
      <w:r>
        <w:t xml:space="preserve"> 10 мг </w:t>
      </w:r>
      <w:r w:rsidR="00DC3ED6">
        <w:t>2</w:t>
      </w:r>
      <w:r>
        <w:t xml:space="preserve"> раза в день</w:t>
      </w:r>
      <w:r w:rsidR="001F07B3">
        <w:t>,</w:t>
      </w:r>
      <w:r>
        <w:t xml:space="preserve"> </w:t>
      </w:r>
      <w:r w:rsidR="00092156">
        <w:t>через 12</w:t>
      </w:r>
      <w:r w:rsidR="00A1229B">
        <w:t xml:space="preserve"> </w:t>
      </w:r>
      <w:r w:rsidR="00092156">
        <w:t>мес</w:t>
      </w:r>
      <w:r w:rsidR="009C236F">
        <w:t>.</w:t>
      </w:r>
      <w:r>
        <w:t xml:space="preserve"> и </w:t>
      </w:r>
      <w:r w:rsidR="009C236F">
        <w:t>повысился</w:t>
      </w:r>
      <w:r>
        <w:t xml:space="preserve"> на 16% </w:t>
      </w:r>
      <w:r w:rsidR="009C236F">
        <w:t>у пациентов из группы</w:t>
      </w:r>
      <w:r>
        <w:t xml:space="preserve"> тофацитиниба</w:t>
      </w:r>
      <w:r w:rsidR="00780703">
        <w:t xml:space="preserve"> </w:t>
      </w:r>
      <w:r w:rsidR="009C236F">
        <w:t xml:space="preserve">в дозе </w:t>
      </w:r>
      <w:r>
        <w:t xml:space="preserve">5 мг </w:t>
      </w:r>
      <w:r w:rsidR="009C236F">
        <w:t>2</w:t>
      </w:r>
      <w:r>
        <w:t xml:space="preserve"> раза в день</w:t>
      </w:r>
      <w:r w:rsidR="001F07B3">
        <w:t>,</w:t>
      </w:r>
      <w:r>
        <w:t xml:space="preserve"> и </w:t>
      </w:r>
      <w:r w:rsidR="009C236F">
        <w:t xml:space="preserve">на </w:t>
      </w:r>
      <w:r>
        <w:t xml:space="preserve">19% </w:t>
      </w:r>
      <w:r w:rsidR="009C236F">
        <w:t>у больных из группы</w:t>
      </w:r>
      <w:r>
        <w:t xml:space="preserve"> тофацитиниба </w:t>
      </w:r>
      <w:r w:rsidR="009C236F">
        <w:t xml:space="preserve">в дозе </w:t>
      </w:r>
      <w:r>
        <w:t xml:space="preserve">10 мг </w:t>
      </w:r>
      <w:r w:rsidR="009C236F">
        <w:t>2</w:t>
      </w:r>
      <w:r>
        <w:t xml:space="preserve"> раза в день </w:t>
      </w:r>
      <w:r w:rsidR="009C236F">
        <w:t>через</w:t>
      </w:r>
      <w:r>
        <w:t xml:space="preserve"> 24 мес.</w:t>
      </w:r>
    </w:p>
    <w:p w14:paraId="40592D4A" w14:textId="420A889B" w:rsidR="008964EE" w:rsidRDefault="008964EE" w:rsidP="00D22A13">
      <w:pPr>
        <w:pStyle w:val="SDText"/>
        <w:numPr>
          <w:ilvl w:val="0"/>
          <w:numId w:val="3"/>
        </w:numPr>
        <w:contextualSpacing/>
      </w:pPr>
      <w:r>
        <w:t xml:space="preserve">Средний уровень холестерина ЛПВП увеличился на 17% </w:t>
      </w:r>
      <w:r w:rsidR="009C236F">
        <w:t>у пациентов</w:t>
      </w:r>
      <w:r>
        <w:t>, получавш</w:t>
      </w:r>
      <w:r w:rsidR="009C236F">
        <w:t>их</w:t>
      </w:r>
      <w:r>
        <w:t xml:space="preserve"> тофацитиниб в дозе 5 мг </w:t>
      </w:r>
      <w:r w:rsidR="009C236F">
        <w:t>2</w:t>
      </w:r>
      <w:r>
        <w:t xml:space="preserve"> раза в день, и на 18% </w:t>
      </w:r>
      <w:r w:rsidR="009C236F">
        <w:t>у больных</w:t>
      </w:r>
      <w:r>
        <w:t>, получавш</w:t>
      </w:r>
      <w:r w:rsidR="009C236F">
        <w:t>их</w:t>
      </w:r>
      <w:r w:rsidR="00780703">
        <w:t xml:space="preserve"> </w:t>
      </w:r>
      <w:r>
        <w:t xml:space="preserve">тофацитиниб </w:t>
      </w:r>
      <w:r w:rsidR="009C236F">
        <w:t>в дозе</w:t>
      </w:r>
      <w:r>
        <w:t xml:space="preserve"> 10 мг </w:t>
      </w:r>
      <w:r w:rsidR="009C236F">
        <w:t>2</w:t>
      </w:r>
      <w:r>
        <w:t xml:space="preserve"> раза в день</w:t>
      </w:r>
      <w:r w:rsidR="001F07B3">
        <w:t>,</w:t>
      </w:r>
      <w:r>
        <w:t xml:space="preserve"> </w:t>
      </w:r>
      <w:r w:rsidR="009C236F">
        <w:t>через</w:t>
      </w:r>
      <w:r>
        <w:t xml:space="preserve"> 12 мес</w:t>
      </w:r>
      <w:r w:rsidR="009C236F">
        <w:t>.</w:t>
      </w:r>
      <w:r>
        <w:t xml:space="preserve"> и </w:t>
      </w:r>
      <w:r w:rsidR="009C236F">
        <w:t>повысился</w:t>
      </w:r>
      <w:r>
        <w:t xml:space="preserve"> на 19% </w:t>
      </w:r>
      <w:r w:rsidR="009C236F">
        <w:t>у пациентов из</w:t>
      </w:r>
      <w:r>
        <w:t xml:space="preserve"> групп</w:t>
      </w:r>
      <w:r w:rsidR="009C236F">
        <w:t>ы</w:t>
      </w:r>
      <w:r>
        <w:t xml:space="preserve"> тофацитиниба</w:t>
      </w:r>
      <w:r w:rsidR="00780703">
        <w:t xml:space="preserve"> </w:t>
      </w:r>
      <w:r w:rsidR="009C236F">
        <w:t xml:space="preserve">в дозе </w:t>
      </w:r>
      <w:r>
        <w:t xml:space="preserve">5 мг </w:t>
      </w:r>
      <w:r w:rsidR="009C236F">
        <w:t>2</w:t>
      </w:r>
      <w:r>
        <w:t xml:space="preserve"> раза в день</w:t>
      </w:r>
      <w:r w:rsidR="001F07B3">
        <w:t>,</w:t>
      </w:r>
      <w:r>
        <w:t xml:space="preserve"> и </w:t>
      </w:r>
      <w:r w:rsidR="009C236F">
        <w:t xml:space="preserve">на </w:t>
      </w:r>
      <w:r>
        <w:t xml:space="preserve">20% </w:t>
      </w:r>
      <w:r w:rsidR="009C236F">
        <w:t>у больных из группы</w:t>
      </w:r>
      <w:r>
        <w:t xml:space="preserve"> тофацитиниба </w:t>
      </w:r>
      <w:r w:rsidR="009C236F">
        <w:t xml:space="preserve">в дозе </w:t>
      </w:r>
      <w:r>
        <w:t xml:space="preserve">10 мг </w:t>
      </w:r>
      <w:r w:rsidR="009C236F">
        <w:t>2</w:t>
      </w:r>
      <w:r>
        <w:t xml:space="preserve"> раза в день </w:t>
      </w:r>
      <w:r w:rsidR="009C236F">
        <w:t>через</w:t>
      </w:r>
      <w:r>
        <w:t xml:space="preserve"> 24 мес.</w:t>
      </w:r>
      <w:r w:rsidR="00F44210" w:rsidRPr="00F44210">
        <w:t xml:space="preserve"> </w:t>
      </w:r>
      <w:r w:rsidR="00F44210">
        <w:fldChar w:fldCharType="begin"/>
      </w:r>
      <w:r w:rsidR="008D5290">
        <w:instrText xml:space="preserve"> ADDIN ZOTERO_ITEM CSL_CITATION {"citationID":"fhs5fTEE","properties":{"formattedCitation":"[24]","plainCitation":"[24]","noteIndex":0},"citationItems":[{"id":87800,"uris":["http://zotero.org/groups/4742804/items/TPCQ89X9"],"itemData":{"id":87800,"type":"webpage","title":"Xeljanz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F44210">
        <w:fldChar w:fldCharType="separate"/>
      </w:r>
      <w:r w:rsidR="00DE2C35">
        <w:rPr>
          <w:rFonts w:cs="Times New Roman"/>
        </w:rPr>
        <w:t>[2</w:t>
      </w:r>
      <w:r w:rsidR="008D5290" w:rsidRPr="008D5290">
        <w:rPr>
          <w:rFonts w:cs="Times New Roman"/>
        </w:rPr>
        <w:t>]</w:t>
      </w:r>
      <w:r w:rsidR="00F44210">
        <w:fldChar w:fldCharType="end"/>
      </w:r>
      <w:r w:rsidR="00F44210">
        <w:t>.</w:t>
      </w:r>
    </w:p>
    <w:p w14:paraId="650BB782" w14:textId="0AD88ACD" w:rsidR="005B374D" w:rsidRDefault="008964EE" w:rsidP="00D22A13">
      <w:pPr>
        <w:pStyle w:val="SDText"/>
        <w:contextualSpacing/>
      </w:pPr>
      <w:r>
        <w:t xml:space="preserve">После прекращения лечения тофацитинибом </w:t>
      </w:r>
      <w:r w:rsidR="009C236F">
        <w:t>показатели</w:t>
      </w:r>
      <w:r>
        <w:t xml:space="preserve"> липид</w:t>
      </w:r>
      <w:r w:rsidR="009C236F">
        <w:t>ного профиля</w:t>
      </w:r>
      <w:r>
        <w:t xml:space="preserve"> вернулись к </w:t>
      </w:r>
      <w:r w:rsidRPr="00F44210">
        <w:t>исходн</w:t>
      </w:r>
      <w:r w:rsidR="009C236F" w:rsidRPr="00F44210">
        <w:t>ым</w:t>
      </w:r>
      <w:r>
        <w:t xml:space="preserve"> уровн</w:t>
      </w:r>
      <w:r w:rsidR="009C236F">
        <w:t>ям</w:t>
      </w:r>
      <w:r w:rsidR="00F44210" w:rsidRPr="00F44210">
        <w:t xml:space="preserve"> </w:t>
      </w:r>
      <w:r w:rsidR="00F44210">
        <w:fldChar w:fldCharType="begin"/>
      </w:r>
      <w:r w:rsidR="008D5290">
        <w:instrText xml:space="preserve"> ADDIN ZOTERO_ITEM CSL_CITATION {"citationID":"sK8PWdxe","properties":{"formattedCitation":"[24]","plainCitation":"[24]","noteIndex":0},"citationItems":[{"id":87800,"uris":["http://zotero.org/groups/4742804/items/TPCQ89X9"],"itemData":{"id":87800,"type":"webpage","title":"Xeljanz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F44210">
        <w:fldChar w:fldCharType="separate"/>
      </w:r>
      <w:r w:rsidR="00DE2C35">
        <w:rPr>
          <w:rFonts w:cs="Times New Roman"/>
        </w:rPr>
        <w:t>[2</w:t>
      </w:r>
      <w:r w:rsidR="008D5290" w:rsidRPr="008D5290">
        <w:rPr>
          <w:rFonts w:cs="Times New Roman"/>
        </w:rPr>
        <w:t>]</w:t>
      </w:r>
      <w:r w:rsidR="00F44210">
        <w:fldChar w:fldCharType="end"/>
      </w:r>
      <w:r w:rsidR="00F44210">
        <w:t>.</w:t>
      </w:r>
    </w:p>
    <w:p w14:paraId="3FAAA4FF" w14:textId="36CFDABF" w:rsidR="0019720C" w:rsidRDefault="00494C30" w:rsidP="00D22A13">
      <w:pPr>
        <w:pStyle w:val="SDText"/>
        <w:contextualSpacing/>
      </w:pPr>
      <w:r>
        <w:t>Средние соотношения холестерина ЛПНП/холестерина ЛПВП и отношени</w:t>
      </w:r>
      <w:r w:rsidR="00B46D70">
        <w:t>е</w:t>
      </w:r>
      <w:r>
        <w:t xml:space="preserve"> аполипопротеин (</w:t>
      </w:r>
      <w:r w:rsidR="00B46D70" w:rsidRPr="00B46D70">
        <w:t>apolipoprotein</w:t>
      </w:r>
      <w:r w:rsidR="00B46D70">
        <w:t xml:space="preserve">, </w:t>
      </w:r>
      <w:r>
        <w:t>Apo)</w:t>
      </w:r>
      <w:r w:rsidR="00307DAA">
        <w:t>B</w:t>
      </w:r>
      <w:r>
        <w:t>/ApoA1 практически не изменил</w:t>
      </w:r>
      <w:r w:rsidR="00B46D70">
        <w:t>ись</w:t>
      </w:r>
      <w:r>
        <w:t xml:space="preserve"> у пациентов, получавших тофацитиниб. В контролируемом клиническом исследовании </w:t>
      </w:r>
      <w:r w:rsidR="00E32ED1">
        <w:t>с участием пациентов с РА</w:t>
      </w:r>
      <w:r>
        <w:t xml:space="preserve"> повышен</w:t>
      </w:r>
      <w:r w:rsidR="002A4644">
        <w:t>ные</w:t>
      </w:r>
      <w:r>
        <w:t xml:space="preserve"> уровн</w:t>
      </w:r>
      <w:r w:rsidR="002A4644">
        <w:t>и</w:t>
      </w:r>
      <w:r>
        <w:t xml:space="preserve"> холестерина ЛПНП и аполипопротеина В сни</w:t>
      </w:r>
      <w:r w:rsidR="002A4644">
        <w:t>жались</w:t>
      </w:r>
      <w:r>
        <w:t xml:space="preserve"> </w:t>
      </w:r>
      <w:r w:rsidR="002A4644">
        <w:t>к исходным уровням</w:t>
      </w:r>
      <w:r>
        <w:t xml:space="preserve"> в ответ на терапию статинами. В популяци</w:t>
      </w:r>
      <w:r w:rsidR="002A4644">
        <w:t>и</w:t>
      </w:r>
      <w:r>
        <w:t xml:space="preserve"> </w:t>
      </w:r>
      <w:r w:rsidR="002A4644">
        <w:t xml:space="preserve">длительных исследований </w:t>
      </w:r>
      <w:r>
        <w:t xml:space="preserve">безопасности </w:t>
      </w:r>
      <w:r w:rsidR="002A4644">
        <w:t xml:space="preserve">с участием пациентов с </w:t>
      </w:r>
      <w:r>
        <w:t>РА повышение показателей липид</w:t>
      </w:r>
      <w:r w:rsidR="002A4644">
        <w:t>ного профиля</w:t>
      </w:r>
      <w:r>
        <w:t xml:space="preserve"> оставалось соответствующим т</w:t>
      </w:r>
      <w:r w:rsidR="006B0282">
        <w:t>ому</w:t>
      </w:r>
      <w:r>
        <w:t xml:space="preserve">, что </w:t>
      </w:r>
      <w:r w:rsidR="002A4644">
        <w:t>отмечали</w:t>
      </w:r>
      <w:r>
        <w:t xml:space="preserve"> в контролируемых клинических исследованиях. </w:t>
      </w:r>
      <w:r w:rsidR="0019720C">
        <w:t>В крупном (</w:t>
      </w:r>
      <w:r w:rsidR="006B0282">
        <w:t xml:space="preserve">n </w:t>
      </w:r>
      <w:r w:rsidR="0019720C">
        <w:t>=</w:t>
      </w:r>
      <w:r w:rsidR="006B0282">
        <w:t xml:space="preserve"> </w:t>
      </w:r>
      <w:r w:rsidR="0019720C">
        <w:t>4362) рандомизированном пострегистрационном исследовании безопасности у пациентов с РА</w:t>
      </w:r>
      <w:r w:rsidR="006B0282">
        <w:t xml:space="preserve"> в возрасте</w:t>
      </w:r>
      <w:r w:rsidR="0019720C">
        <w:t xml:space="preserve"> 50 лет и старше, по крайней мере, с одним дополнительным фактором риска</w:t>
      </w:r>
      <w:r w:rsidR="006B0282" w:rsidRPr="006B0282">
        <w:t xml:space="preserve"> </w:t>
      </w:r>
      <w:r w:rsidR="006B0282">
        <w:t>сердечно-сосудистых заболеваний</w:t>
      </w:r>
      <w:r w:rsidR="0019720C">
        <w:t>, изменени</w:t>
      </w:r>
      <w:r w:rsidR="006B0282">
        <w:t>я</w:t>
      </w:r>
      <w:r w:rsidR="0019720C">
        <w:t xml:space="preserve"> показателей липид</w:t>
      </w:r>
      <w:r w:rsidR="006B0282">
        <w:t>ного профиля</w:t>
      </w:r>
      <w:r w:rsidR="0019720C">
        <w:t xml:space="preserve"> от исходного уровня до 24 мес</w:t>
      </w:r>
      <w:r w:rsidR="006B0282">
        <w:t>.</w:t>
      </w:r>
      <w:r w:rsidR="0019720C">
        <w:t xml:space="preserve"> приведены ниже:</w:t>
      </w:r>
    </w:p>
    <w:p w14:paraId="4A0835EB" w14:textId="29AA0AE7" w:rsidR="0019720C" w:rsidRDefault="0019720C" w:rsidP="00D22A13">
      <w:pPr>
        <w:pStyle w:val="SDText"/>
        <w:numPr>
          <w:ilvl w:val="0"/>
          <w:numId w:val="4"/>
        </w:numPr>
        <w:contextualSpacing/>
      </w:pPr>
      <w:r>
        <w:t xml:space="preserve">Средний уровень холестерина ЛПНП увеличился на 13,80, 17,04 и 5,50% у пациентов, получавших тофацитиниб </w:t>
      </w:r>
      <w:r w:rsidR="00C31F5D">
        <w:t xml:space="preserve">в дозе </w:t>
      </w:r>
      <w:r>
        <w:t xml:space="preserve">5 мг </w:t>
      </w:r>
      <w:r w:rsidR="00786BB7">
        <w:t>2</w:t>
      </w:r>
      <w:r>
        <w:t xml:space="preserve"> раза в день, тофацитиниб </w:t>
      </w:r>
      <w:r w:rsidR="00C31F5D">
        <w:t xml:space="preserve">в дозе </w:t>
      </w:r>
      <w:r>
        <w:t xml:space="preserve">10 мг </w:t>
      </w:r>
      <w:r w:rsidR="00786BB7">
        <w:t>2</w:t>
      </w:r>
      <w:r>
        <w:t xml:space="preserve"> раза в день и ингибитор</w:t>
      </w:r>
      <w:r w:rsidR="00786BB7">
        <w:t>ы</w:t>
      </w:r>
      <w:r>
        <w:t xml:space="preserve"> </w:t>
      </w:r>
      <w:r w:rsidR="00786BB7">
        <w:rPr>
          <w:lang w:val="en-US"/>
        </w:rPr>
        <w:t>TNF</w:t>
      </w:r>
      <w:r w:rsidR="00786BB7" w:rsidRPr="00786BB7">
        <w:t>-</w:t>
      </w:r>
      <w:r w:rsidR="00786BB7">
        <w:rPr>
          <w:rFonts w:cs="Times New Roman"/>
        </w:rPr>
        <w:t>α</w:t>
      </w:r>
      <w:r>
        <w:t xml:space="preserve"> соответственно </w:t>
      </w:r>
      <w:r w:rsidR="00786BB7">
        <w:t>через</w:t>
      </w:r>
      <w:r>
        <w:t xml:space="preserve"> 12 мес</w:t>
      </w:r>
      <w:r w:rsidR="00786BB7">
        <w:t>., а</w:t>
      </w:r>
      <w:r>
        <w:t xml:space="preserve"> через 24 мес</w:t>
      </w:r>
      <w:r w:rsidR="00786BB7">
        <w:t>.</w:t>
      </w:r>
      <w:r>
        <w:t xml:space="preserve"> </w:t>
      </w:r>
      <w:r w:rsidR="00786BB7">
        <w:t xml:space="preserve">повышение </w:t>
      </w:r>
      <w:r>
        <w:t>составил</w:t>
      </w:r>
      <w:r w:rsidR="00786BB7">
        <w:t>о</w:t>
      </w:r>
      <w:r>
        <w:t xml:space="preserve"> 12,71, 18,14 и 3,64% соответственно</w:t>
      </w:r>
      <w:r w:rsidR="0030262C">
        <w:t>.</w:t>
      </w:r>
    </w:p>
    <w:p w14:paraId="23AD781B" w14:textId="6CA43A86" w:rsidR="009C236F" w:rsidRDefault="0019720C" w:rsidP="00D22A13">
      <w:pPr>
        <w:pStyle w:val="SDText"/>
        <w:numPr>
          <w:ilvl w:val="0"/>
          <w:numId w:val="4"/>
        </w:numPr>
        <w:contextualSpacing/>
      </w:pPr>
      <w:r>
        <w:t xml:space="preserve">Средний уровень холестерина ЛПВП увеличился на 11,71, 13,63 и 2,82% у пациентов, получавших тофацитиниб </w:t>
      </w:r>
      <w:r w:rsidR="00C31F5D">
        <w:t xml:space="preserve">в дозе </w:t>
      </w:r>
      <w:r>
        <w:t xml:space="preserve">5 мг два раза в день, тофацитиниб </w:t>
      </w:r>
      <w:r w:rsidR="00C31F5D">
        <w:t xml:space="preserve">в дозе </w:t>
      </w:r>
      <w:r>
        <w:t>10 мг два раза в день и ингибитор</w:t>
      </w:r>
      <w:r w:rsidR="0030262C">
        <w:t>ы</w:t>
      </w:r>
      <w:r>
        <w:t xml:space="preserve"> </w:t>
      </w:r>
      <w:r w:rsidR="00C31F5D">
        <w:rPr>
          <w:lang w:val="en-US"/>
        </w:rPr>
        <w:t>TNF</w:t>
      </w:r>
      <w:r w:rsidR="00C31F5D" w:rsidRPr="00786BB7">
        <w:t>-</w:t>
      </w:r>
      <w:r w:rsidR="00C31F5D">
        <w:rPr>
          <w:rFonts w:cs="Times New Roman"/>
        </w:rPr>
        <w:t>α</w:t>
      </w:r>
      <w:r>
        <w:t xml:space="preserve"> соответственно </w:t>
      </w:r>
      <w:r w:rsidR="00C31F5D">
        <w:t>через</w:t>
      </w:r>
      <w:r>
        <w:t xml:space="preserve"> 12 мес</w:t>
      </w:r>
      <w:r w:rsidR="00C31F5D">
        <w:t>., а</w:t>
      </w:r>
      <w:r>
        <w:t xml:space="preserve"> через 24 мес</w:t>
      </w:r>
      <w:r w:rsidR="00C31F5D">
        <w:t>.</w:t>
      </w:r>
      <w:r>
        <w:t xml:space="preserve"> </w:t>
      </w:r>
      <w:r w:rsidR="009F690C">
        <w:t>повышение</w:t>
      </w:r>
      <w:r>
        <w:t xml:space="preserve"> составил</w:t>
      </w:r>
      <w:r w:rsidR="009F690C">
        <w:t>о</w:t>
      </w:r>
      <w:r>
        <w:t xml:space="preserve"> 11,58, 13,54 и 1,42% соответственно</w:t>
      </w:r>
      <w:r w:rsidR="009E1E0A" w:rsidRPr="009E1E0A">
        <w:t xml:space="preserve"> </w:t>
      </w:r>
      <w:r w:rsidR="009E1E0A">
        <w:fldChar w:fldCharType="begin"/>
      </w:r>
      <w:r w:rsidR="008D5290">
        <w:instrText xml:space="preserve"> ADDIN ZOTERO_ITEM CSL_CITATION {"citationID":"KOW19kRZ","properties":{"formattedCitation":"[24]","plainCitation":"[24]","noteIndex":0},"citationItems":[{"id":87800,"uris":["http://zotero.org/groups/4742804/items/TPCQ89X9"],"itemData":{"id":87800,"type":"webpage","title":"Xeljanz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9E1E0A">
        <w:fldChar w:fldCharType="separate"/>
      </w:r>
      <w:r w:rsidR="00DE2C35">
        <w:rPr>
          <w:rFonts w:cs="Times New Roman"/>
        </w:rPr>
        <w:t>[2</w:t>
      </w:r>
      <w:r w:rsidR="008D5290" w:rsidRPr="008D5290">
        <w:rPr>
          <w:rFonts w:cs="Times New Roman"/>
        </w:rPr>
        <w:t>]</w:t>
      </w:r>
      <w:r w:rsidR="009E1E0A">
        <w:fldChar w:fldCharType="end"/>
      </w:r>
      <w:r w:rsidR="009E1E0A">
        <w:t>.</w:t>
      </w:r>
    </w:p>
    <w:p w14:paraId="2068D7A0" w14:textId="77777777" w:rsidR="00D22A13" w:rsidRDefault="00D22A13" w:rsidP="00220E80">
      <w:pPr>
        <w:pStyle w:val="SDText"/>
        <w:spacing w:after="0"/>
        <w:ind w:left="720" w:firstLine="0"/>
        <w:contextualSpacing/>
      </w:pPr>
    </w:p>
    <w:p w14:paraId="43A0FD6D" w14:textId="6F5FEE2E" w:rsidR="005F064C" w:rsidRPr="00D22A13" w:rsidRDefault="009E14FC" w:rsidP="00220E80">
      <w:pPr>
        <w:pStyle w:val="5"/>
        <w:numPr>
          <w:ilvl w:val="0"/>
          <w:numId w:val="0"/>
        </w:numPr>
        <w:contextualSpacing/>
        <w:rPr>
          <w:b/>
          <w:i w:val="0"/>
        </w:rPr>
      </w:pPr>
      <w:r>
        <w:rPr>
          <w:b/>
          <w:i w:val="0"/>
        </w:rPr>
        <w:t xml:space="preserve">4.3.2.4.2. </w:t>
      </w:r>
      <w:r w:rsidR="005F064C" w:rsidRPr="00D22A13">
        <w:rPr>
          <w:b/>
          <w:i w:val="0"/>
        </w:rPr>
        <w:t>Таблетки с модифицированным выс</w:t>
      </w:r>
      <w:r w:rsidR="002F5B6A">
        <w:rPr>
          <w:b/>
          <w:i w:val="0"/>
        </w:rPr>
        <w:t xml:space="preserve">вобождением, покрытые пленочной </w:t>
      </w:r>
      <w:r w:rsidR="005F064C" w:rsidRPr="00D22A13">
        <w:rPr>
          <w:b/>
          <w:i w:val="0"/>
        </w:rPr>
        <w:t>оболочкой</w:t>
      </w:r>
    </w:p>
    <w:p w14:paraId="7124E239" w14:textId="77777777" w:rsidR="00D22A13" w:rsidRDefault="00D22A13" w:rsidP="00220E80">
      <w:pPr>
        <w:pStyle w:val="SDText"/>
        <w:spacing w:after="0"/>
        <w:contextualSpacing/>
      </w:pPr>
    </w:p>
    <w:p w14:paraId="2F462589" w14:textId="6DEE3D6F" w:rsidR="00BB4A5A" w:rsidRDefault="00E135A4" w:rsidP="00220E80">
      <w:pPr>
        <w:pStyle w:val="SDText"/>
        <w:spacing w:after="0"/>
        <w:contextualSpacing/>
      </w:pPr>
      <w:r>
        <w:t xml:space="preserve">В исследовании </w:t>
      </w:r>
      <w:r w:rsidRPr="00473530">
        <w:t>ORAL Shift</w:t>
      </w:r>
      <w:r w:rsidR="0030262C">
        <w:t>,</w:t>
      </w:r>
      <w:r>
        <w:t xml:space="preserve"> </w:t>
      </w:r>
      <w:r w:rsidR="003B29B9">
        <w:t xml:space="preserve">кроме увеличения активности АЛТ, зарегистрированного у </w:t>
      </w:r>
      <w:r w:rsidR="003B29B9" w:rsidRPr="003B29B9">
        <w:t>5 (2%)</w:t>
      </w:r>
      <w:r w:rsidR="003B29B9">
        <w:t xml:space="preserve"> и </w:t>
      </w:r>
      <w:r w:rsidR="00635752" w:rsidRPr="00635752">
        <w:t>10 (4%)</w:t>
      </w:r>
      <w:r w:rsidR="00635752">
        <w:t xml:space="preserve"> пациентов из групп монотерапии и комбинированной с метотрексатом терапии тофацитинибом в дозе 11 мг 1 раз в день</w:t>
      </w:r>
      <w:r w:rsidR="0030262C">
        <w:t>,</w:t>
      </w:r>
      <w:r w:rsidR="008B2EB5">
        <w:t xml:space="preserve"> и повышения активности АСТ, отмечаемого у </w:t>
      </w:r>
      <w:r w:rsidR="008B2EB5" w:rsidRPr="008B2EB5">
        <w:t>5 (2%)</w:t>
      </w:r>
      <w:r w:rsidR="008B2EB5">
        <w:t xml:space="preserve"> и </w:t>
      </w:r>
      <w:r w:rsidR="007456A9" w:rsidRPr="007456A9">
        <w:t>6 (2%)</w:t>
      </w:r>
      <w:r w:rsidR="007456A9">
        <w:t xml:space="preserve"> пациентов соответственно, других изменений лабораторных показателей не выявили </w:t>
      </w:r>
      <w:r w:rsidR="007456A9">
        <w:fldChar w:fldCharType="begin"/>
      </w:r>
      <w:r w:rsidR="008D5290">
        <w:instrText xml:space="preserve"> ADDIN ZOTERO_ITEM CSL_CITATION {"citationID":"gDDCQTAB","properties":{"formattedCitation":"[30]","plainCitation":"[30]","noteIndex":0},"citationItems":[{"id":87795,"uris":["http://zotero.org/groups/4742804/items/UV9PI7FR"],"itemData":{"id":87795,"type":"article-journal","abstract":"Background\nTofacitinib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rsidR="007456A9">
        <w:fldChar w:fldCharType="separate"/>
      </w:r>
      <w:r w:rsidR="00DE2C35">
        <w:rPr>
          <w:rFonts w:cs="Times New Roman"/>
        </w:rPr>
        <w:t>[</w:t>
      </w:r>
      <w:r w:rsidR="00DE2C35" w:rsidRPr="00014867">
        <w:rPr>
          <w:rFonts w:cs="Times New Roman"/>
        </w:rPr>
        <w:t>8</w:t>
      </w:r>
      <w:r w:rsidR="008D5290" w:rsidRPr="008D5290">
        <w:rPr>
          <w:rFonts w:cs="Times New Roman"/>
        </w:rPr>
        <w:t>]</w:t>
      </w:r>
      <w:r w:rsidR="007456A9">
        <w:fldChar w:fldCharType="end"/>
      </w:r>
      <w:r w:rsidR="007456A9">
        <w:t>.</w:t>
      </w:r>
    </w:p>
    <w:p w14:paraId="67B7BDE4" w14:textId="77777777" w:rsidR="00220E80" w:rsidRPr="00BB4A5A" w:rsidRDefault="00220E80" w:rsidP="00220E80">
      <w:pPr>
        <w:pStyle w:val="SDText"/>
        <w:spacing w:after="0"/>
        <w:contextualSpacing/>
      </w:pPr>
    </w:p>
    <w:p w14:paraId="6CE33B83" w14:textId="3EE48798" w:rsidR="001231AD" w:rsidRDefault="009E14FC" w:rsidP="002F5B6A">
      <w:pPr>
        <w:pStyle w:val="4"/>
        <w:numPr>
          <w:ilvl w:val="0"/>
          <w:numId w:val="0"/>
        </w:numPr>
        <w:contextualSpacing/>
      </w:pPr>
      <w:bookmarkStart w:id="267" w:name="_Toc115421090"/>
      <w:bookmarkStart w:id="268" w:name="_Toc121592612"/>
      <w:r>
        <w:t xml:space="preserve">4.3.2.5. </w:t>
      </w:r>
      <w:r w:rsidR="00B52BB2">
        <w:t>Б</w:t>
      </w:r>
      <w:r w:rsidR="00B52BB2" w:rsidRPr="00B52BB2">
        <w:t>езопасность, связанная с лекарственными взаимодействиями и другими взаимодействиями</w:t>
      </w:r>
      <w:bookmarkEnd w:id="267"/>
      <w:bookmarkEnd w:id="268"/>
    </w:p>
    <w:p w14:paraId="6032B20D" w14:textId="77777777" w:rsidR="009E14FC" w:rsidRPr="009E14FC" w:rsidRDefault="009E14FC" w:rsidP="00220E80">
      <w:pPr>
        <w:spacing w:after="0"/>
      </w:pPr>
    </w:p>
    <w:p w14:paraId="518AD125" w14:textId="66D6CEE7" w:rsidR="005F064C" w:rsidRPr="009E14FC" w:rsidRDefault="009E14FC" w:rsidP="00220E80">
      <w:pPr>
        <w:pStyle w:val="5"/>
        <w:numPr>
          <w:ilvl w:val="0"/>
          <w:numId w:val="0"/>
        </w:numPr>
        <w:ind w:left="1008" w:hanging="1008"/>
        <w:contextualSpacing/>
        <w:rPr>
          <w:b/>
          <w:i w:val="0"/>
        </w:rPr>
      </w:pPr>
      <w:r w:rsidRPr="009E14FC">
        <w:rPr>
          <w:b/>
          <w:i w:val="0"/>
        </w:rPr>
        <w:t xml:space="preserve">4.3.2.5.1. </w:t>
      </w:r>
      <w:r w:rsidR="005F064C" w:rsidRPr="009E14FC">
        <w:rPr>
          <w:b/>
          <w:i w:val="0"/>
        </w:rPr>
        <w:t>Таблетки, покрытые пленочной оболочкой</w:t>
      </w:r>
    </w:p>
    <w:p w14:paraId="13E582C7" w14:textId="77777777" w:rsidR="009E14FC" w:rsidRDefault="009E14FC" w:rsidP="00220E80">
      <w:pPr>
        <w:pStyle w:val="SDText"/>
        <w:spacing w:after="0"/>
        <w:contextualSpacing/>
      </w:pPr>
    </w:p>
    <w:p w14:paraId="2853D698" w14:textId="1DA66DD9" w:rsidR="00594A37" w:rsidRPr="00594A37" w:rsidRDefault="00594A37" w:rsidP="00220E80">
      <w:pPr>
        <w:pStyle w:val="SDText"/>
        <w:spacing w:after="0"/>
        <w:contextualSpacing/>
      </w:pPr>
      <w:r w:rsidRPr="00594A37">
        <w:t xml:space="preserve">Поскольку тофацитиниб метаболизируется CYP3A4, </w:t>
      </w:r>
      <w:r w:rsidR="00E62B26">
        <w:t>возмо</w:t>
      </w:r>
      <w:r w:rsidR="002F77D2">
        <w:t>жн</w:t>
      </w:r>
      <w:r w:rsidR="0030262C">
        <w:t>ы</w:t>
      </w:r>
      <w:r w:rsidR="002F77D2">
        <w:t xml:space="preserve"> </w:t>
      </w:r>
      <w:r w:rsidRPr="00594A37">
        <w:t>взаимодействи</w:t>
      </w:r>
      <w:r w:rsidR="002F77D2">
        <w:t>я</w:t>
      </w:r>
      <w:r w:rsidRPr="00594A37">
        <w:t xml:space="preserve"> с лекарственными средствами, которые ингибируют или индуцируют CYP3A4. Экспозиция тофацитиниба увеличивается при совместном применении с мощными ингибиторами CYP3A4 (например, кетоконазол</w:t>
      </w:r>
      <w:r w:rsidR="002F77D2">
        <w:t>ом</w:t>
      </w:r>
      <w:r w:rsidRPr="00594A37">
        <w:t>)</w:t>
      </w:r>
      <w:r w:rsidR="0030262C">
        <w:t>,</w:t>
      </w:r>
      <w:r w:rsidRPr="00594A37">
        <w:t xml:space="preserve"> или при одновременном применении одного или нескольких лекарственных средств</w:t>
      </w:r>
      <w:r w:rsidR="002F77D2">
        <w:t xml:space="preserve">, приводящих </w:t>
      </w:r>
      <w:r w:rsidR="0030262C">
        <w:t xml:space="preserve">как </w:t>
      </w:r>
      <w:r w:rsidRPr="00594A37">
        <w:t xml:space="preserve">к умеренному ингибированию CYP3A4, так и к сильному ингибированию CYP2C19 (например, флуконазол). Экспозиция тофацитиниба снижается при совместном применении с мощными индукторами CYP (например, рифампицином) </w:t>
      </w:r>
      <w:r>
        <w:fldChar w:fldCharType="begin"/>
      </w:r>
      <w:r w:rsidR="008D5290">
        <w:instrText xml:space="preserve"> ADDIN ZOTERO_ITEM CSL_CITATION {"citationID":"gen29KYR","properties":{"formattedCitation":"[24]","plainCitation":"[24]","noteIndex":0},"citationItems":[{"id":87800,"uris":["http://zotero.org/groups/4742804/items/TPCQ89X9"],"itemData":{"id":87800,"type":"webpage","title":"Xeljanz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0E877E00" w14:textId="2DE0087F" w:rsidR="00E920E0" w:rsidRDefault="00594A37" w:rsidP="00D22A13">
      <w:pPr>
        <w:pStyle w:val="SDText"/>
        <w:contextualSpacing/>
      </w:pPr>
      <w:r w:rsidRPr="00594A37">
        <w:t xml:space="preserve">Ингибиторы только CYP2C19 или P-гликопротеина вряд ли значительно изменят фармакокинетику тофацитиниба </w:t>
      </w:r>
      <w:r w:rsidR="00E920E0">
        <w:fldChar w:fldCharType="begin"/>
      </w:r>
      <w:r w:rsidR="008D5290">
        <w:instrText xml:space="preserve"> ADDIN ZOTERO_ITEM CSL_CITATION {"citationID":"zOgsxMf0","properties":{"formattedCitation":"[24]","plainCitation":"[24]","noteIndex":0},"citationItems":[{"id":87800,"uris":["http://zotero.org/groups/4742804/items/TPCQ89X9"],"itemData":{"id":87800,"type":"webpage","title":"Xeljanz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920E0">
        <w:fldChar w:fldCharType="separate"/>
      </w:r>
      <w:r w:rsidR="00DE2C35">
        <w:rPr>
          <w:rFonts w:cs="Times New Roman"/>
        </w:rPr>
        <w:t>[2</w:t>
      </w:r>
      <w:r w:rsidR="008D5290" w:rsidRPr="008D5290">
        <w:rPr>
          <w:rFonts w:cs="Times New Roman"/>
        </w:rPr>
        <w:t>]</w:t>
      </w:r>
      <w:r w:rsidR="00E920E0">
        <w:fldChar w:fldCharType="end"/>
      </w:r>
      <w:r>
        <w:t>.</w:t>
      </w:r>
    </w:p>
    <w:p w14:paraId="0E8C7B52" w14:textId="71B26FAC" w:rsidR="00775CF4" w:rsidRPr="00594A37" w:rsidRDefault="00775CF4" w:rsidP="00D22A13">
      <w:pPr>
        <w:pStyle w:val="SDText"/>
        <w:contextualSpacing/>
      </w:pPr>
      <w:r>
        <w:t>Одновременное применение с кетоконазолом (сильным ингибитором CYP3A4), флуконазолом (умеренным ингибитором CYP3A4 и мощны</w:t>
      </w:r>
      <w:r w:rsidR="0030262C">
        <w:t>м</w:t>
      </w:r>
      <w:r>
        <w:t xml:space="preserve"> ингибитор</w:t>
      </w:r>
      <w:r w:rsidR="0030262C">
        <w:t>ом</w:t>
      </w:r>
      <w:r>
        <w:t xml:space="preserve"> CYP2C19), такролимус</w:t>
      </w:r>
      <w:r w:rsidR="00830B9C">
        <w:t>ом</w:t>
      </w:r>
      <w:r>
        <w:t xml:space="preserve"> (</w:t>
      </w:r>
      <w:r w:rsidR="00FA0BA7">
        <w:t xml:space="preserve">слабым </w:t>
      </w:r>
      <w:r>
        <w:t>ингибитор</w:t>
      </w:r>
      <w:r w:rsidR="00272AF5">
        <w:t>ом</w:t>
      </w:r>
      <w:r>
        <w:t xml:space="preserve"> CYP3A4) и циклоспорин</w:t>
      </w:r>
      <w:r w:rsidR="00272AF5">
        <w:t>ом</w:t>
      </w:r>
      <w:r>
        <w:t xml:space="preserve"> (умеренны</w:t>
      </w:r>
      <w:r w:rsidR="00272AF5">
        <w:t>м</w:t>
      </w:r>
      <w:r>
        <w:t xml:space="preserve"> ингибитор</w:t>
      </w:r>
      <w:r w:rsidR="00272AF5">
        <w:t>ом</w:t>
      </w:r>
      <w:r>
        <w:t xml:space="preserve"> CYP3A4) увеличивал</w:t>
      </w:r>
      <w:r w:rsidR="00272AF5">
        <w:t>о</w:t>
      </w:r>
      <w:r>
        <w:t xml:space="preserve"> AUC тофацитиниба, в то время как рифампицин (мощный индуктор CYP) снижал </w:t>
      </w:r>
      <w:r w:rsidR="00272AF5">
        <w:t xml:space="preserve">AUC </w:t>
      </w:r>
      <w:r>
        <w:t>тофацитиниб</w:t>
      </w:r>
      <w:r w:rsidR="00272AF5">
        <w:t>а</w:t>
      </w:r>
      <w:r>
        <w:t xml:space="preserve">. Совместное введение тофацитиниба с мощными индукторами CYP (например, </w:t>
      </w:r>
      <w:r w:rsidR="002B1CAF">
        <w:t xml:space="preserve">с </w:t>
      </w:r>
      <w:r>
        <w:t>рифампицином) может привести к потере клинического ответа или его снижени</w:t>
      </w:r>
      <w:r w:rsidR="0030262C">
        <w:t>ю</w:t>
      </w:r>
      <w:r>
        <w:t>. Одновременное применение мощных индукторов CYP3A4 с тофацитиниб</w:t>
      </w:r>
      <w:r w:rsidR="00272AF5">
        <w:t>ом</w:t>
      </w:r>
      <w:r>
        <w:t xml:space="preserve"> не рекомендуется. Совместное введение с кетоконазолом и флуконазолом увеличива</w:t>
      </w:r>
      <w:r w:rsidR="00272AF5">
        <w:t>ло</w:t>
      </w:r>
      <w:r>
        <w:t xml:space="preserve"> C</w:t>
      </w:r>
      <w:r w:rsidRPr="00272AF5">
        <w:rPr>
          <w:vertAlign w:val="subscript"/>
        </w:rPr>
        <w:t>max</w:t>
      </w:r>
      <w:r>
        <w:t xml:space="preserve"> тофацитиниба, в то время как такролимус, циклоспорин и рифампицин снижали C</w:t>
      </w:r>
      <w:r w:rsidRPr="00272AF5">
        <w:rPr>
          <w:vertAlign w:val="subscript"/>
        </w:rPr>
        <w:t>max</w:t>
      </w:r>
      <w:r>
        <w:t xml:space="preserve"> тофацитиниба. Сопутствующий прием метотрексата в дозе 15</w:t>
      </w:r>
      <w:r w:rsidR="00272AF5">
        <w:t>–</w:t>
      </w:r>
      <w:r>
        <w:t>25 мг 1 раз в неделю не влиял на фармакокинетику тофацитиниба у пациентов с РА</w:t>
      </w:r>
      <w:r w:rsidRPr="00775CF4">
        <w:t xml:space="preserve"> </w:t>
      </w:r>
      <w:r>
        <w:fldChar w:fldCharType="begin"/>
      </w:r>
      <w:r w:rsidR="008D5290">
        <w:instrText xml:space="preserve"> ADDIN ZOTERO_ITEM CSL_CITATION {"citationID":"g98TGRNy","properties":{"formattedCitation":"[24]","plainCitation":"[24]","noteIndex":0},"citationItems":[{"id":87800,"uris":["http://zotero.org/groups/4742804/items/TPCQ89X9"],"itemData":{"id":87800,"type":"webpage","title":"Xeljanz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55865667" w14:textId="1254C082" w:rsidR="005F064C" w:rsidRDefault="009714B0" w:rsidP="00D22A13">
      <w:pPr>
        <w:pStyle w:val="SDText"/>
        <w:contextualSpacing/>
      </w:pPr>
      <w:r>
        <w:t xml:space="preserve">Одновременный прием тофацитиниба не влиял на фармакокинетику </w:t>
      </w:r>
      <w:r w:rsidR="00272AF5">
        <w:t xml:space="preserve">левоноргестрела и этинилэстрадиола, входящих в состав </w:t>
      </w:r>
      <w:r>
        <w:t xml:space="preserve">пероральных контрацептивов, у здоровых добровольцев </w:t>
      </w:r>
      <w:r w:rsidR="00272AF5">
        <w:t xml:space="preserve">(женщин) </w:t>
      </w:r>
      <w:r>
        <w:fldChar w:fldCharType="begin"/>
      </w:r>
      <w:r w:rsidR="008D5290">
        <w:instrText xml:space="preserve"> ADDIN ZOTERO_ITEM CSL_CITATION {"citationID":"cMnP3Ma8","properties":{"formattedCitation":"[24]","plainCitation":"[24]","noteIndex":0},"citationItems":[{"id":87800,"uris":["http://zotero.org/groups/4742804/items/TPCQ89X9"],"itemData":{"id":87800,"type":"webpage","title":"Xeljanz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4A506722" w14:textId="0C681E35" w:rsidR="009714B0" w:rsidRDefault="00E62B26" w:rsidP="00220E80">
      <w:pPr>
        <w:pStyle w:val="SDText"/>
        <w:spacing w:after="0"/>
        <w:contextualSpacing/>
      </w:pPr>
      <w:r>
        <w:t>У пациентов с РА одновременный прием тофацитиниба с метотрексатом в дозе 15–25 мг 1 раз в неделю снижал AUC и C</w:t>
      </w:r>
      <w:r w:rsidRPr="00272AF5">
        <w:rPr>
          <w:vertAlign w:val="subscript"/>
        </w:rPr>
        <w:t>max</w:t>
      </w:r>
      <w:r>
        <w:t xml:space="preserve"> метотрексата на 10 и 13% соответственно. </w:t>
      </w:r>
      <w:r w:rsidR="00597094">
        <w:t>Учитывая с</w:t>
      </w:r>
      <w:r>
        <w:t xml:space="preserve">тепень снижения </w:t>
      </w:r>
      <w:r w:rsidR="00272AF5">
        <w:t>экспозиции</w:t>
      </w:r>
      <w:r>
        <w:t xml:space="preserve"> метотрексат</w:t>
      </w:r>
      <w:r w:rsidR="00272AF5">
        <w:t>ом</w:t>
      </w:r>
      <w:r w:rsidR="002B1CAF">
        <w:t>,</w:t>
      </w:r>
      <w:r>
        <w:t xml:space="preserve"> изменени</w:t>
      </w:r>
      <w:r w:rsidR="00AA66BE">
        <w:t xml:space="preserve">я дозы </w:t>
      </w:r>
      <w:r>
        <w:t xml:space="preserve">метотрексата </w:t>
      </w:r>
      <w:r w:rsidR="00597094">
        <w:t xml:space="preserve">не требуется </w:t>
      </w:r>
      <w:r>
        <w:fldChar w:fldCharType="begin"/>
      </w:r>
      <w:r w:rsidR="008D5290">
        <w:instrText xml:space="preserve"> ADDIN ZOTERO_ITEM CSL_CITATION {"citationID":"ehOLhMeX","properties":{"formattedCitation":"[24]","plainCitation":"[24]","noteIndex":0},"citationItems":[{"id":87800,"uris":["http://zotero.org/groups/4742804/items/TPCQ89X9"],"itemData":{"id":87800,"type":"webpage","title":"Xeljanz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39CD2BBE" w14:textId="77777777" w:rsidR="00037921" w:rsidRDefault="00037921" w:rsidP="00220E80">
      <w:pPr>
        <w:pStyle w:val="SDText"/>
        <w:spacing w:after="0"/>
        <w:contextualSpacing/>
      </w:pPr>
    </w:p>
    <w:p w14:paraId="1DAD7EB8" w14:textId="59CC601D" w:rsidR="005F064C" w:rsidRPr="00037921" w:rsidRDefault="009E14FC" w:rsidP="00220E80">
      <w:pPr>
        <w:pStyle w:val="5"/>
        <w:numPr>
          <w:ilvl w:val="0"/>
          <w:numId w:val="0"/>
        </w:numPr>
        <w:contextualSpacing/>
        <w:rPr>
          <w:b/>
          <w:i w:val="0"/>
        </w:rPr>
      </w:pPr>
      <w:r>
        <w:rPr>
          <w:b/>
          <w:i w:val="0"/>
        </w:rPr>
        <w:t xml:space="preserve">4.3.2.5.2. </w:t>
      </w:r>
      <w:r w:rsidR="005F064C" w:rsidRPr="00037921">
        <w:rPr>
          <w:b/>
          <w:i w:val="0"/>
        </w:rPr>
        <w:t>Таблетки с модифицированным высвобождением, покрытые пленочной оболочкой</w:t>
      </w:r>
    </w:p>
    <w:p w14:paraId="0F13DC23" w14:textId="77777777" w:rsidR="00037921" w:rsidRDefault="00037921" w:rsidP="00220E80">
      <w:pPr>
        <w:pStyle w:val="SDText"/>
        <w:spacing w:after="0"/>
        <w:contextualSpacing/>
      </w:pPr>
    </w:p>
    <w:p w14:paraId="4D3DCB1E" w14:textId="727A2499" w:rsidR="00407607" w:rsidRDefault="00407607" w:rsidP="00220E80">
      <w:pPr>
        <w:pStyle w:val="SDText"/>
        <w:spacing w:after="0"/>
        <w:contextualSpacing/>
      </w:pPr>
      <w:r>
        <w:t>На момент написания брошюры исследователя информаци</w:t>
      </w:r>
      <w:r w:rsidR="00BC258D">
        <w:t>и</w:t>
      </w:r>
      <w:r>
        <w:t xml:space="preserve"> по б</w:t>
      </w:r>
      <w:r w:rsidRPr="00407607">
        <w:t>езопасност</w:t>
      </w:r>
      <w:r>
        <w:t>и</w:t>
      </w:r>
      <w:r w:rsidRPr="00407607">
        <w:t>, связанн</w:t>
      </w:r>
      <w:r>
        <w:t>ой</w:t>
      </w:r>
      <w:r w:rsidRPr="00407607">
        <w:t xml:space="preserve"> с лекарственными взаимодействиями и другими взаимодействиями</w:t>
      </w:r>
      <w:r>
        <w:t xml:space="preserve"> тофацитиниба при использовании в лекарственной форме т</w:t>
      </w:r>
      <w:r w:rsidRPr="00983A92">
        <w:t>аблетки с модифицированным высвобождением, покрытые пленочной оболочкой</w:t>
      </w:r>
      <w:r>
        <w:t>, в релевантных источниках литературы не найден</w:t>
      </w:r>
      <w:r w:rsidR="00BC258D">
        <w:t>о</w:t>
      </w:r>
      <w:r>
        <w:t>.</w:t>
      </w:r>
    </w:p>
    <w:p w14:paraId="07F0E277" w14:textId="77777777" w:rsidR="00037921" w:rsidRPr="002A02F7" w:rsidRDefault="00037921" w:rsidP="00220E80">
      <w:pPr>
        <w:pStyle w:val="SDText"/>
        <w:spacing w:after="0"/>
        <w:contextualSpacing/>
      </w:pPr>
    </w:p>
    <w:p w14:paraId="1A2CEE7B" w14:textId="77777777" w:rsidR="00791E09" w:rsidRDefault="00791E09" w:rsidP="00220E80">
      <w:pPr>
        <w:pStyle w:val="4"/>
        <w:numPr>
          <w:ilvl w:val="0"/>
          <w:numId w:val="0"/>
        </w:numPr>
        <w:contextualSpacing/>
        <w:sectPr w:rsidR="00791E09" w:rsidSect="00C13EBE">
          <w:pgSz w:w="11906" w:h="16838"/>
          <w:pgMar w:top="703" w:right="850" w:bottom="1134" w:left="1701" w:header="709" w:footer="708" w:gutter="0"/>
          <w:cols w:space="708"/>
          <w:docGrid w:linePitch="360"/>
        </w:sectPr>
      </w:pPr>
      <w:bookmarkStart w:id="269" w:name="_Toc115421091"/>
      <w:bookmarkStart w:id="270" w:name="_Toc121592613"/>
    </w:p>
    <w:p w14:paraId="4D46105A" w14:textId="765446CC" w:rsidR="00BB4A5A" w:rsidRDefault="009E14FC" w:rsidP="00220E80">
      <w:pPr>
        <w:pStyle w:val="4"/>
        <w:numPr>
          <w:ilvl w:val="0"/>
          <w:numId w:val="0"/>
        </w:numPr>
        <w:contextualSpacing/>
      </w:pPr>
      <w:r>
        <w:lastRenderedPageBreak/>
        <w:t xml:space="preserve">4.3.2.6. </w:t>
      </w:r>
      <w:r w:rsidR="00BB4A5A" w:rsidRPr="00BB4A5A">
        <w:t>Прерывание терапии в связи с нежелательными явлениями</w:t>
      </w:r>
      <w:bookmarkEnd w:id="269"/>
      <w:bookmarkEnd w:id="270"/>
    </w:p>
    <w:p w14:paraId="3F2CA81A" w14:textId="77777777" w:rsidR="00037921" w:rsidRPr="00037921" w:rsidRDefault="00037921" w:rsidP="00220E80">
      <w:pPr>
        <w:spacing w:after="0"/>
      </w:pPr>
    </w:p>
    <w:p w14:paraId="2F39C21E" w14:textId="2D434E5E" w:rsidR="00037921" w:rsidRPr="00F501BD" w:rsidRDefault="009E14FC" w:rsidP="00F501BD">
      <w:pPr>
        <w:pStyle w:val="5"/>
        <w:numPr>
          <w:ilvl w:val="0"/>
          <w:numId w:val="0"/>
        </w:numPr>
        <w:ind w:left="1008" w:hanging="1008"/>
        <w:contextualSpacing/>
        <w:rPr>
          <w:b/>
          <w:i w:val="0"/>
        </w:rPr>
      </w:pPr>
      <w:r>
        <w:rPr>
          <w:b/>
          <w:i w:val="0"/>
        </w:rPr>
        <w:t xml:space="preserve">4.3.2.6.1. </w:t>
      </w:r>
      <w:r w:rsidR="005F064C" w:rsidRPr="00037921">
        <w:rPr>
          <w:b/>
          <w:i w:val="0"/>
        </w:rPr>
        <w:t>Таблетки, покрытые пленочной оболочкой</w:t>
      </w:r>
    </w:p>
    <w:p w14:paraId="136FFED9" w14:textId="7811F1BE" w:rsidR="005F064C" w:rsidRDefault="00686E7A" w:rsidP="00220E80">
      <w:pPr>
        <w:pStyle w:val="SDText"/>
        <w:spacing w:after="0"/>
        <w:contextualSpacing/>
      </w:pPr>
      <w:r>
        <w:t>Доля пациентов, прекративших лечение из-за НР в течение первых 3 мес. в двойных слепых плацебо-контролируемых исследованиях или исследованиях с активным контролем (метотрексат), составила 3,8% для пациентов, принимавших тофацитиниб, наиболее частые инфекции, приводящие к прекращению терапии в течение первых 3 мес. в контролируемых клинических исследованиях</w:t>
      </w:r>
      <w:r w:rsidR="002B1CAF">
        <w:t>,</w:t>
      </w:r>
      <w:r>
        <w:t xml:space="preserve"> включали опоясывающий герпес (0,19%) и пневмонию (0,15%) </w:t>
      </w:r>
      <w:r>
        <w:fldChar w:fldCharType="begin"/>
      </w:r>
      <w:r w:rsidR="008D5290">
        <w:instrText xml:space="preserve"> ADDIN ZOTERO_ITEM CSL_CITATION {"citationID":"4Q2zYocg","properties":{"formattedCitation":"[24]","plainCitation":"[24]","noteIndex":0},"citationItems":[{"id":87800,"uris":["http://zotero.org/groups/4742804/items/TPCQ89X9"],"itemData":{"id":87800,"type":"webpage","title":"Xeljanz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637407CD" w14:textId="77777777" w:rsidR="00220E80" w:rsidRDefault="00220E80" w:rsidP="00220E80">
      <w:pPr>
        <w:pStyle w:val="SDText"/>
        <w:spacing w:after="0"/>
        <w:contextualSpacing/>
      </w:pPr>
    </w:p>
    <w:p w14:paraId="4A909323" w14:textId="6E5471AF" w:rsidR="005F064C" w:rsidRPr="00037921" w:rsidRDefault="009E14FC" w:rsidP="002F5B6A">
      <w:pPr>
        <w:pStyle w:val="5"/>
        <w:numPr>
          <w:ilvl w:val="0"/>
          <w:numId w:val="0"/>
        </w:numPr>
        <w:contextualSpacing/>
        <w:rPr>
          <w:b/>
          <w:i w:val="0"/>
        </w:rPr>
      </w:pPr>
      <w:r>
        <w:rPr>
          <w:b/>
          <w:i w:val="0"/>
        </w:rPr>
        <w:t xml:space="preserve">4.3.2.6.2. </w:t>
      </w:r>
      <w:r w:rsidR="005F064C" w:rsidRPr="00037921">
        <w:rPr>
          <w:b/>
          <w:i w:val="0"/>
        </w:rPr>
        <w:t>Таблетки с модифицированным высвобождением, покрытые пленочной оболочкой</w:t>
      </w:r>
    </w:p>
    <w:p w14:paraId="7D43E6E9" w14:textId="77777777" w:rsidR="00037921" w:rsidRDefault="00037921" w:rsidP="00037921">
      <w:pPr>
        <w:pStyle w:val="SDText"/>
        <w:contextualSpacing/>
      </w:pPr>
    </w:p>
    <w:p w14:paraId="30FE6D9C" w14:textId="335F98A5" w:rsidR="00037921" w:rsidRPr="00BB4A5A" w:rsidRDefault="003534AA" w:rsidP="00F501BD">
      <w:pPr>
        <w:pStyle w:val="SDText"/>
        <w:contextualSpacing/>
      </w:pPr>
      <w:r>
        <w:t xml:space="preserve">В исследовании </w:t>
      </w:r>
      <w:r w:rsidRPr="00473530">
        <w:t xml:space="preserve">ORAL Shift </w:t>
      </w:r>
      <w:r>
        <w:t xml:space="preserve">по 5 пациентов из каждой группы прекратили участие в исследовании из-за развития НЯ </w:t>
      </w:r>
      <w:r>
        <w:fldChar w:fldCharType="begin"/>
      </w:r>
      <w:r w:rsidR="008D5290">
        <w:instrText xml:space="preserve"> ADDIN ZOTERO_ITEM CSL_CITATION {"citationID":"h3kFE9yY","properties":{"formattedCitation":"[30]","plainCitation":"[30]","noteIndex":0},"citationItems":[{"id":87795,"uris":["http://zotero.org/groups/4742804/items/UV9PI7FR"],"itemData":{"id":87795,"type":"article-journal","abstract":"Background\nTofacitinib is an oral Janus kinase (JAK) inhibitor used for the treatment of rheumatoid arthritis. We assessed the efficacy and safety of tofacitinib after methotrexate withdrawal in patients who achieved low disease activity (LDA) with tofacitinib in combination with methotrexate.\nMethods\nORAL Shift was a phase 3b/4 non-inferiority trial in patients aged at least 18 years with moderate-to-severe rheumatoid arthritis and an inadequate response to methotrexate done in 109 centres across 16 countries. After 24 weeks of open-label tofacitinib modified-release 11 mg once daily plus methotrexate, patients who achieved LDA (clinical disease activity index [CDAI] ≤10) were randomly assigned 1:1 via an automated web-based response system to receive tofacitinib plus placebo (tofacitinib monotherapy; ie, masked methotrexate withdrawal) or continue tofacitinib plus methotrexate for 24 weeks in a double-blind manner. The primary endpoint was the least squares mean change from week 24 to week 48 in disease activity score in 28 joints with four variables, including erythrocyte sedimentation rate (DAS28-4[ESR]). The primary analysis was done in all patients who received at least one dose of study treatment in both phases, and safety was assessed in all patients who received at least one dose of study treatment since enrolment. Non-inferiority of tofacitinib monotherapy versus tofacitinib plus methotrexate was declared if the upper bound of the 95% CI for the difference in change in DAS28-4(ESR) between treatment groups was less than 0·6. Safety was assessed in both phases. The trial is registered with ClinicalTrials.gov, NCT02831855, and is complete.\nFindings\nBetween Sept 1, 2016, and Nov 1, 2017, 694 patients were enrolled in the open-label phase and 623 received study treatment for 24 weeks. 533 achieved CDAI-defined LDA and were randomly assigned into the double-blind phase (267 in the tofacitinib monotherapy group and 266 in the tofacitinib plus methotrexate group). Three participants in the monotherapy group did not start treatment so were not included in the primary analysis. Non-inferiority was demonstrated (difference 0·30 [95% CI 0·12–0·48]). 107 (41%) of 264 patients in the tofacitinib monotherapy group and 109 (41%) of 266 in the tofacitinib plus methotrexate group had adverse events; five patients from each group discontinued because of adverse events; two patients died in the tofacitinib plus methotrexate group. No new safety findings were reported up to 48 weeks.\nInterpretation\nPatients with rheumatoid arthritis who achieve LDA with a combination of tofacitinib plus methotrexate may consider withdrawing methotrexate without significant worsening of disease activity or unexpected safety issues.\nFunding\nPfizer.","container-title":"The Lancet Rheumatology","DOI":"10.1016/S2665-9913(19)30005-0","ISSN":"2665-9913","issue":"1","journalAbbreviation":"The Lancet Rheumatology","language":"en","page":"e23-e34","source":"ScienceDirect","title":"Methotrexate withdrawal in patients with rheumatoid arthritis who achieve low disease activity with tofacitinib modified-release 11 mg once daily plus methotrexate (ORAL Shift): a randomised, phase 3b/4, non-inferiority trial","title-short":"Methotrexate withdrawal in patients with rheumatoid arthritis who achieve low disease activity with tofacitinib modified-release 11 mg once daily plus methotrexate (ORAL Shift)","volume":"1","author":[{"family":"Cohen","given":"Stanley B"},{"family":"Pope","given":"Janet"},{"family":"Haraoui","given":"Boulos"},{"family":"Irazoque-Palazuelos","given":"Fedra"},{"family":"Korkosz","given":"Mariusz"},{"family":"Diehl","given":"Annette"},{"family":"Rivas","given":"Jose L"},{"family":"Lukic","given":"Tatjana"},{"family":"Liu","given":"Shixue"},{"family":"Stockert","given":"Lori"},{"family":"Iikuni","given":"Noriko"},{"family":"Keystone","given":"Edward C"}],"issued":{"date-parts":[["2019",9,1]]}}}],"schema":"https://github.com/citation-style-language/schema/raw/master/csl-citation.json"} </w:instrText>
      </w:r>
      <w:r>
        <w:fldChar w:fldCharType="separate"/>
      </w:r>
      <w:r w:rsidR="00DE2C35">
        <w:rPr>
          <w:rFonts w:cs="Times New Roman"/>
        </w:rPr>
        <w:t>[</w:t>
      </w:r>
      <w:r w:rsidR="00DE2C35" w:rsidRPr="00364071">
        <w:rPr>
          <w:rFonts w:cs="Times New Roman"/>
        </w:rPr>
        <w:t>8</w:t>
      </w:r>
      <w:r w:rsidR="008D5290" w:rsidRPr="008D5290">
        <w:rPr>
          <w:rFonts w:cs="Times New Roman"/>
        </w:rPr>
        <w:t>]</w:t>
      </w:r>
      <w:r>
        <w:fldChar w:fldCharType="end"/>
      </w:r>
      <w:r>
        <w:t>.</w:t>
      </w:r>
    </w:p>
    <w:p w14:paraId="726AB6F0" w14:textId="26A70479" w:rsidR="00747C94" w:rsidRDefault="00C23B3C" w:rsidP="00C23B3C">
      <w:pPr>
        <w:pStyle w:val="3"/>
        <w:numPr>
          <w:ilvl w:val="0"/>
          <w:numId w:val="0"/>
        </w:numPr>
        <w:ind w:left="720" w:hanging="720"/>
      </w:pPr>
      <w:bookmarkStart w:id="271" w:name="_Toc115421092"/>
      <w:bookmarkStart w:id="272" w:name="_Toc121592614"/>
      <w:r>
        <w:t xml:space="preserve">4.3.3. </w:t>
      </w:r>
      <w:r w:rsidR="00E55104">
        <w:t>Пострегистрационный опыт применения</w:t>
      </w:r>
      <w:bookmarkEnd w:id="271"/>
      <w:bookmarkEnd w:id="272"/>
    </w:p>
    <w:p w14:paraId="2BBFC1FB" w14:textId="77777777" w:rsidR="00037921" w:rsidRPr="00037921" w:rsidRDefault="00037921" w:rsidP="002F5B6A">
      <w:pPr>
        <w:pStyle w:val="SDText"/>
        <w:spacing w:after="0"/>
      </w:pPr>
    </w:p>
    <w:p w14:paraId="0CAF0800" w14:textId="0CB1EA7C" w:rsidR="008A362F" w:rsidRPr="00037921" w:rsidRDefault="009E14FC" w:rsidP="002F5B6A">
      <w:pPr>
        <w:pStyle w:val="4"/>
        <w:numPr>
          <w:ilvl w:val="0"/>
          <w:numId w:val="0"/>
        </w:numPr>
        <w:ind w:left="864" w:hanging="864"/>
      </w:pPr>
      <w:bookmarkStart w:id="273" w:name="_Toc121592615"/>
      <w:r>
        <w:t xml:space="preserve">4.3.3.1. </w:t>
      </w:r>
      <w:r w:rsidR="008A362F" w:rsidRPr="00037921">
        <w:t>Таблетки, покрытые пленочной оболочкой</w:t>
      </w:r>
      <w:bookmarkEnd w:id="273"/>
    </w:p>
    <w:p w14:paraId="5EE56277" w14:textId="403EE3F6" w:rsidR="003667BE" w:rsidRDefault="003667BE" w:rsidP="003667BE">
      <w:pPr>
        <w:pStyle w:val="SDText"/>
        <w:spacing w:after="0"/>
        <w:ind w:firstLine="0"/>
        <w:contextualSpacing/>
      </w:pPr>
    </w:p>
    <w:p w14:paraId="47BC187A" w14:textId="7D3CB097" w:rsidR="003667BE" w:rsidRPr="003667BE" w:rsidRDefault="003667BE" w:rsidP="003667BE">
      <w:pPr>
        <w:pStyle w:val="SDText"/>
        <w:spacing w:after="0"/>
        <w:ind w:firstLine="0"/>
        <w:contextualSpacing/>
        <w:rPr>
          <w:b/>
        </w:rPr>
      </w:pPr>
      <w:r w:rsidRPr="003667BE">
        <w:rPr>
          <w:b/>
        </w:rPr>
        <w:t>Безопасность у пациентов с ревматоидным артритом</w:t>
      </w:r>
    </w:p>
    <w:p w14:paraId="1C4F8034" w14:textId="77777777" w:rsidR="003667BE" w:rsidRDefault="003667BE" w:rsidP="003667BE">
      <w:pPr>
        <w:pStyle w:val="SDText"/>
        <w:spacing w:after="0"/>
        <w:ind w:firstLine="0"/>
        <w:contextualSpacing/>
      </w:pPr>
    </w:p>
    <w:p w14:paraId="62C5D047" w14:textId="2FE42828" w:rsidR="00C83819" w:rsidRDefault="00460589" w:rsidP="002F5B6A">
      <w:pPr>
        <w:pStyle w:val="SDText"/>
        <w:spacing w:after="0"/>
        <w:contextualSpacing/>
      </w:pPr>
      <w:r>
        <w:t xml:space="preserve">Исследование ORAL Surveillance (A3921133) было </w:t>
      </w:r>
      <w:r w:rsidR="007E5A7B">
        <w:t>крупным</w:t>
      </w:r>
      <w:r>
        <w:t xml:space="preserve"> (</w:t>
      </w:r>
      <w:r w:rsidR="007E5A7B">
        <w:t xml:space="preserve">n </w:t>
      </w:r>
      <w:r>
        <w:t>=</w:t>
      </w:r>
      <w:r w:rsidR="007E5A7B">
        <w:t xml:space="preserve"> </w:t>
      </w:r>
      <w:r>
        <w:t>4362), рандомизированным с активным контролем пострегистрационн</w:t>
      </w:r>
      <w:r w:rsidR="007E5A7B">
        <w:t>ым</w:t>
      </w:r>
      <w:r>
        <w:t xml:space="preserve"> исследование</w:t>
      </w:r>
      <w:r w:rsidR="007E5A7B">
        <w:t>м</w:t>
      </w:r>
      <w:r>
        <w:t xml:space="preserve"> безопасности</w:t>
      </w:r>
      <w:r w:rsidR="007E5A7B">
        <w:t xml:space="preserve"> у</w:t>
      </w:r>
      <w:r>
        <w:t xml:space="preserve"> пациентов с </w:t>
      </w:r>
      <w:r w:rsidR="007E5A7B">
        <w:t>РА</w:t>
      </w:r>
      <w:r>
        <w:t xml:space="preserve"> в возрасте 50 лет и старше</w:t>
      </w:r>
      <w:r w:rsidR="007E5A7B">
        <w:t xml:space="preserve">, которые </w:t>
      </w:r>
      <w:r>
        <w:t xml:space="preserve">имели как минимум один дополнительный фактор риска </w:t>
      </w:r>
      <w:r w:rsidR="007E5A7B">
        <w:t xml:space="preserve">сердечно-сосудистых заболеваний </w:t>
      </w:r>
      <w:r>
        <w:t>(</w:t>
      </w:r>
      <w:r w:rsidR="007E5A7B">
        <w:t>курение</w:t>
      </w:r>
      <w:r>
        <w:t xml:space="preserve">, </w:t>
      </w:r>
      <w:r w:rsidR="007E5A7B">
        <w:t>АГ</w:t>
      </w:r>
      <w:r>
        <w:t xml:space="preserve">, </w:t>
      </w:r>
      <w:r w:rsidR="007E5A7B">
        <w:t>СД</w:t>
      </w:r>
      <w:r>
        <w:t xml:space="preserve">, семейный анамнез преждевременной </w:t>
      </w:r>
      <w:r w:rsidR="00515F21">
        <w:t>ишемической</w:t>
      </w:r>
      <w:r>
        <w:t xml:space="preserve"> </w:t>
      </w:r>
      <w:r w:rsidR="00E94AA4">
        <w:t>болезн</w:t>
      </w:r>
      <w:r w:rsidR="00515F21">
        <w:t>и</w:t>
      </w:r>
      <w:r w:rsidR="00E94AA4">
        <w:t xml:space="preserve"> сердца</w:t>
      </w:r>
      <w:r w:rsidR="00515F21">
        <w:t xml:space="preserve"> </w:t>
      </w:r>
      <w:r w:rsidR="00515F21">
        <w:rPr>
          <w:rFonts w:cs="Times New Roman"/>
        </w:rPr>
        <w:t>[ИБС]</w:t>
      </w:r>
      <w:r w:rsidR="00E94AA4">
        <w:t xml:space="preserve">, </w:t>
      </w:r>
      <w:r w:rsidR="00515F21">
        <w:t>ИБС в анамнезе</w:t>
      </w:r>
      <w:r w:rsidR="00E94AA4">
        <w:t xml:space="preserve">, включая </w:t>
      </w:r>
      <w:r w:rsidR="00A144F0">
        <w:t xml:space="preserve">в анамнезе </w:t>
      </w:r>
      <w:r w:rsidR="00E94AA4">
        <w:t>процедур</w:t>
      </w:r>
      <w:r w:rsidR="00A144F0">
        <w:t>у</w:t>
      </w:r>
      <w:r w:rsidR="00E94AA4">
        <w:t xml:space="preserve"> реваскуляризации, аортокоронарное шунтирование, инфаркт миокарда, остановк</w:t>
      </w:r>
      <w:r w:rsidR="00A144F0">
        <w:t>у</w:t>
      </w:r>
      <w:r w:rsidR="00E94AA4">
        <w:t xml:space="preserve"> сердца, нестабильн</w:t>
      </w:r>
      <w:r w:rsidR="00A144F0">
        <w:t>ую</w:t>
      </w:r>
      <w:r w:rsidR="00E94AA4">
        <w:t xml:space="preserve"> стенокарди</w:t>
      </w:r>
      <w:r w:rsidR="00A144F0">
        <w:t>ю</w:t>
      </w:r>
      <w:r w:rsidR="00E94AA4">
        <w:t>, остр</w:t>
      </w:r>
      <w:r w:rsidR="00E972DB">
        <w:t>ую</w:t>
      </w:r>
      <w:r w:rsidR="00E94AA4">
        <w:t xml:space="preserve"> коронарн</w:t>
      </w:r>
      <w:r w:rsidR="00E972DB">
        <w:t>ую</w:t>
      </w:r>
      <w:r w:rsidR="00E94AA4">
        <w:t xml:space="preserve"> недостаточност</w:t>
      </w:r>
      <w:r w:rsidR="00E972DB">
        <w:t>ь</w:t>
      </w:r>
      <w:r w:rsidR="00E527AD">
        <w:t xml:space="preserve"> </w:t>
      </w:r>
      <w:r w:rsidR="00E94AA4">
        <w:t xml:space="preserve">и наличие внесуставных </w:t>
      </w:r>
      <w:r w:rsidR="001C4C67">
        <w:t>проявлений</w:t>
      </w:r>
      <w:r w:rsidR="00E94AA4">
        <w:t xml:space="preserve"> РА, например</w:t>
      </w:r>
      <w:r w:rsidR="00E972DB">
        <w:t>,</w:t>
      </w:r>
      <w:r w:rsidR="00E94AA4">
        <w:t xml:space="preserve"> узелк</w:t>
      </w:r>
      <w:r w:rsidR="001C4C67">
        <w:t>ов,</w:t>
      </w:r>
      <w:r w:rsidR="00E94AA4">
        <w:t xml:space="preserve"> </w:t>
      </w:r>
      <w:r w:rsidR="001C4C67">
        <w:t xml:space="preserve">синдрома </w:t>
      </w:r>
      <w:r w:rsidR="00E94AA4">
        <w:t>Шегрена, анеми</w:t>
      </w:r>
      <w:r w:rsidR="002709C8">
        <w:t>и</w:t>
      </w:r>
      <w:r w:rsidR="00E94AA4">
        <w:t>, легочны</w:t>
      </w:r>
      <w:r w:rsidR="002709C8">
        <w:t>х</w:t>
      </w:r>
      <w:r w:rsidR="00E94AA4">
        <w:t xml:space="preserve"> проявлени</w:t>
      </w:r>
      <w:r w:rsidR="002709C8">
        <w:t>й</w:t>
      </w:r>
      <w:r w:rsidR="00E94AA4">
        <w:t>). Пациенты должны были находиться на</w:t>
      </w:r>
      <w:r w:rsidR="00E527AD">
        <w:t xml:space="preserve"> </w:t>
      </w:r>
      <w:r w:rsidR="00E94AA4">
        <w:t>стабильн</w:t>
      </w:r>
      <w:r w:rsidR="002709C8">
        <w:t>ой</w:t>
      </w:r>
      <w:r w:rsidR="00E94AA4">
        <w:t xml:space="preserve"> доз</w:t>
      </w:r>
      <w:r w:rsidR="002709C8">
        <w:t>е</w:t>
      </w:r>
      <w:r w:rsidR="00E94AA4">
        <w:t xml:space="preserve"> метотрексата при включении в исследование; корректировка дозы была разрешена во время исследования</w:t>
      </w:r>
      <w:r w:rsidR="00E527AD">
        <w:t xml:space="preserve"> </w:t>
      </w:r>
      <w:r w:rsidR="00C83819">
        <w:fldChar w:fldCharType="begin"/>
      </w:r>
      <w:r w:rsidR="008D5290">
        <w:instrText xml:space="preserve"> ADDIN ZOTERO_ITEM CSL_CITATION {"citationID":"7xnDXDF0","properties":{"formattedCitation":"[24]","plainCitation":"[24]","noteIndex":0},"citationItems":[{"id":87800,"uris":["http://zotero.org/groups/4742804/items/TPCQ89X9"],"itemData":{"id":87800,"type":"webpage","title":"Xeljanz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C83819">
        <w:fldChar w:fldCharType="separate"/>
      </w:r>
      <w:r w:rsidR="00DE2C35">
        <w:rPr>
          <w:rFonts w:cs="Times New Roman"/>
        </w:rPr>
        <w:t>[2</w:t>
      </w:r>
      <w:r w:rsidR="008D5290" w:rsidRPr="008D5290">
        <w:rPr>
          <w:rFonts w:cs="Times New Roman"/>
        </w:rPr>
        <w:t>]</w:t>
      </w:r>
      <w:r w:rsidR="00C83819">
        <w:fldChar w:fldCharType="end"/>
      </w:r>
      <w:r w:rsidR="00E527AD">
        <w:t>.</w:t>
      </w:r>
    </w:p>
    <w:p w14:paraId="34D51B4B" w14:textId="5C957DB5" w:rsidR="00E527AD" w:rsidRDefault="00E527AD" w:rsidP="00037921">
      <w:pPr>
        <w:pStyle w:val="SDText"/>
        <w:contextualSpacing/>
      </w:pPr>
      <w:r>
        <w:t>Пациент</w:t>
      </w:r>
      <w:r w:rsidR="002709C8">
        <w:t>ов</w:t>
      </w:r>
      <w:r>
        <w:t xml:space="preserve"> рандомизирова</w:t>
      </w:r>
      <w:r w:rsidR="002709C8">
        <w:t>ли</w:t>
      </w:r>
      <w:r>
        <w:t xml:space="preserve"> для открытой терапии тофацитинибом в дозе 10 мг </w:t>
      </w:r>
      <w:r w:rsidR="002709C8">
        <w:t xml:space="preserve">2 </w:t>
      </w:r>
      <w:r>
        <w:t xml:space="preserve">раза в </w:t>
      </w:r>
      <w:r w:rsidR="002709C8">
        <w:t>день</w:t>
      </w:r>
      <w:r>
        <w:t xml:space="preserve">, тофацитинибом в дозе 5 мг </w:t>
      </w:r>
      <w:r w:rsidR="002709C8">
        <w:t>2</w:t>
      </w:r>
      <w:r>
        <w:t xml:space="preserve"> раза в </w:t>
      </w:r>
      <w:r w:rsidR="002709C8">
        <w:t>день</w:t>
      </w:r>
      <w:r>
        <w:t xml:space="preserve"> или </w:t>
      </w:r>
      <w:r w:rsidR="002709C8">
        <w:t>и</w:t>
      </w:r>
      <w:r>
        <w:t>нгибитор</w:t>
      </w:r>
      <w:r w:rsidR="002709C8">
        <w:t>ом</w:t>
      </w:r>
      <w:r>
        <w:t xml:space="preserve"> </w:t>
      </w:r>
      <w:r w:rsidR="002709C8">
        <w:rPr>
          <w:lang w:val="en-US"/>
        </w:rPr>
        <w:t>TNF</w:t>
      </w:r>
      <w:r w:rsidR="002709C8" w:rsidRPr="002709C8">
        <w:t>-</w:t>
      </w:r>
      <w:r w:rsidR="002709C8">
        <w:rPr>
          <w:rFonts w:cs="Times New Roman"/>
          <w:lang w:val="en-US"/>
        </w:rPr>
        <w:t>α</w:t>
      </w:r>
      <w:r>
        <w:t xml:space="preserve"> (этанерцепт 50 мг 1 раз в неделю либо адалимумаб 40 мг</w:t>
      </w:r>
      <w:r w:rsidR="00BE1CE7" w:rsidRPr="00BE1CE7">
        <w:t xml:space="preserve"> </w:t>
      </w:r>
      <w:r w:rsidR="00BE1CE7">
        <w:t>каждую вторую</w:t>
      </w:r>
      <w:r>
        <w:t xml:space="preserve"> неделю) в соотношении 1:1:1. Со-первичными конечными точками были злокачественные новообразования, за исключением </w:t>
      </w:r>
      <w:r w:rsidR="00E10827">
        <w:t>НМРК</w:t>
      </w:r>
      <w:r>
        <w:t xml:space="preserve"> и MACE; </w:t>
      </w:r>
      <w:r w:rsidR="002B1CAF">
        <w:t xml:space="preserve">определение </w:t>
      </w:r>
      <w:r>
        <w:t>кумулятивн</w:t>
      </w:r>
      <w:r w:rsidR="002B1CAF">
        <w:t>ой</w:t>
      </w:r>
      <w:r>
        <w:t xml:space="preserve"> заболеваемост</w:t>
      </w:r>
      <w:r w:rsidR="00AB419C">
        <w:t>и</w:t>
      </w:r>
      <w:r>
        <w:t xml:space="preserve"> и статистическ</w:t>
      </w:r>
      <w:r w:rsidR="00AB419C">
        <w:t>ую</w:t>
      </w:r>
      <w:r>
        <w:t xml:space="preserve"> оценк</w:t>
      </w:r>
      <w:r w:rsidR="00AB419C">
        <w:t>у</w:t>
      </w:r>
      <w:r>
        <w:t xml:space="preserve"> конечных точек </w:t>
      </w:r>
      <w:r w:rsidR="00E10827">
        <w:t>проводили д</w:t>
      </w:r>
      <w:r w:rsidR="00E00A5E">
        <w:t>войным слепым методом</w:t>
      </w:r>
      <w:r>
        <w:t xml:space="preserve">. </w:t>
      </w:r>
      <w:r w:rsidR="00E00A5E">
        <w:t>В и</w:t>
      </w:r>
      <w:r>
        <w:t>сследовани</w:t>
      </w:r>
      <w:r w:rsidR="00E00A5E">
        <w:t>и</w:t>
      </w:r>
      <w:r>
        <w:t xml:space="preserve"> было </w:t>
      </w:r>
      <w:r w:rsidR="00E00A5E">
        <w:t xml:space="preserve">предусмотрено </w:t>
      </w:r>
      <w:r>
        <w:t xml:space="preserve">наблюдение не менее </w:t>
      </w:r>
      <w:r w:rsidR="00E00A5E">
        <w:t xml:space="preserve">чем </w:t>
      </w:r>
      <w:r>
        <w:t xml:space="preserve">1500 пациентов в течение 3 лет. </w:t>
      </w:r>
      <w:r w:rsidR="008574D6">
        <w:t>Терапия</w:t>
      </w:r>
      <w:r>
        <w:t xml:space="preserve"> тофацитинибом 10 мг два раза в день был</w:t>
      </w:r>
      <w:r w:rsidR="008574D6">
        <w:t>а</w:t>
      </w:r>
      <w:r>
        <w:t xml:space="preserve"> прекращен</w:t>
      </w:r>
      <w:r w:rsidR="008574D6">
        <w:t>а</w:t>
      </w:r>
      <w:r>
        <w:t>, и пациенты были переведены на</w:t>
      </w:r>
      <w:r w:rsidR="008574D6">
        <w:t xml:space="preserve"> тофацитиниб в дозе</w:t>
      </w:r>
      <w:r>
        <w:t xml:space="preserve"> 5 мг </w:t>
      </w:r>
      <w:r w:rsidR="008574D6">
        <w:t>2</w:t>
      </w:r>
      <w:r>
        <w:t xml:space="preserve"> раза в день из-за дозозависимого сигнал</w:t>
      </w:r>
      <w:r w:rsidR="008574D6">
        <w:t>а</w:t>
      </w:r>
      <w:r>
        <w:t xml:space="preserve"> о ВТЭ. Для пациентов, принимающих тофацитиниб по 10 мг 2 раза в сутки</w:t>
      </w:r>
      <w:r w:rsidR="00AB419C">
        <w:t>,</w:t>
      </w:r>
      <w:r>
        <w:t xml:space="preserve"> </w:t>
      </w:r>
      <w:r w:rsidR="00AB419C">
        <w:t>д</w:t>
      </w:r>
      <w:r>
        <w:t xml:space="preserve">анные, собранные до и после смены дозы, были проанализированы </w:t>
      </w:r>
      <w:r w:rsidR="00902692">
        <w:t xml:space="preserve">отдельно </w:t>
      </w:r>
      <w:r>
        <w:fldChar w:fldCharType="begin"/>
      </w:r>
      <w:r w:rsidR="008D5290">
        <w:instrText xml:space="preserve"> ADDIN ZOTERO_ITEM CSL_CITATION {"citationID":"yfMZGS9j","properties":{"formattedCitation":"[24]","plainCitation":"[24]","noteIndex":0},"citationItems":[{"id":87800,"uris":["http://zotero.org/groups/4742804/items/TPCQ89X9"],"itemData":{"id":87800,"type":"webpage","title":"Xeljanz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39917D2F" w14:textId="3B9FF7DD" w:rsidR="005C1A5E" w:rsidRDefault="00902692" w:rsidP="00037921">
      <w:pPr>
        <w:pStyle w:val="SDText"/>
        <w:contextualSpacing/>
      </w:pPr>
      <w:r>
        <w:t>В и</w:t>
      </w:r>
      <w:r w:rsidR="005C1A5E">
        <w:t>сследовани</w:t>
      </w:r>
      <w:r>
        <w:t>и</w:t>
      </w:r>
      <w:r w:rsidR="005C1A5E">
        <w:t xml:space="preserve"> не </w:t>
      </w:r>
      <w:r>
        <w:t>подтвердили</w:t>
      </w:r>
      <w:r w:rsidR="005C1A5E">
        <w:t xml:space="preserve"> критери</w:t>
      </w:r>
      <w:r>
        <w:t>й</w:t>
      </w:r>
      <w:r w:rsidR="005C1A5E">
        <w:t xml:space="preserve"> не меньшей </w:t>
      </w:r>
      <w:r w:rsidR="009A6DA1">
        <w:t>безопасности</w:t>
      </w:r>
      <w:r w:rsidR="005C1A5E">
        <w:t xml:space="preserve"> при первичном сравнении тофацитиниба </w:t>
      </w:r>
      <w:r w:rsidR="00081AF7">
        <w:t xml:space="preserve">в обеих дозах </w:t>
      </w:r>
      <w:r w:rsidR="005C1A5E">
        <w:t>по отношению к ингибитор</w:t>
      </w:r>
      <w:r w:rsidR="00081AF7">
        <w:t>ам</w:t>
      </w:r>
      <w:r w:rsidR="005C1A5E">
        <w:t xml:space="preserve"> </w:t>
      </w:r>
      <w:r w:rsidR="00081AF7">
        <w:rPr>
          <w:lang w:val="en-US"/>
        </w:rPr>
        <w:t>TNF</w:t>
      </w:r>
      <w:r w:rsidR="00081AF7" w:rsidRPr="002709C8">
        <w:t>-</w:t>
      </w:r>
      <w:r w:rsidR="00081AF7">
        <w:rPr>
          <w:rFonts w:cs="Times New Roman"/>
          <w:lang w:val="en-US"/>
        </w:rPr>
        <w:t>α</w:t>
      </w:r>
      <w:r w:rsidR="005C1A5E">
        <w:t>, поскольку верхн</w:t>
      </w:r>
      <w:r w:rsidR="00081AF7">
        <w:t>яя</w:t>
      </w:r>
      <w:r w:rsidR="005C1A5E">
        <w:t xml:space="preserve"> </w:t>
      </w:r>
      <w:r w:rsidR="00081AF7">
        <w:t>граница</w:t>
      </w:r>
      <w:r w:rsidR="005C1A5E">
        <w:t xml:space="preserve"> 95% ДИ для </w:t>
      </w:r>
      <w:r w:rsidR="001D51C5">
        <w:rPr>
          <w:lang w:val="en-US"/>
        </w:rPr>
        <w:t>HR</w:t>
      </w:r>
      <w:r w:rsidR="005C1A5E">
        <w:t xml:space="preserve"> превышал</w:t>
      </w:r>
      <w:r w:rsidR="00082A5C">
        <w:t>а</w:t>
      </w:r>
      <w:r w:rsidR="005C1A5E">
        <w:t xml:space="preserve"> предварительно определенный критерий не </w:t>
      </w:r>
      <w:r w:rsidR="005C1A5E">
        <w:lastRenderedPageBreak/>
        <w:t>меньшей эффективности 1,8 для MACE и злокачественных новообразований</w:t>
      </w:r>
      <w:r w:rsidR="0030262C">
        <w:t>,</w:t>
      </w:r>
      <w:r w:rsidR="005C1A5E">
        <w:t xml:space="preserve"> кроме НМСК</w:t>
      </w:r>
      <w:r w:rsidR="007E5A7B" w:rsidRPr="007E5A7B">
        <w:t xml:space="preserve"> </w:t>
      </w:r>
      <w:r w:rsidR="007E5A7B">
        <w:fldChar w:fldCharType="begin"/>
      </w:r>
      <w:r w:rsidR="008D5290">
        <w:instrText xml:space="preserve"> ADDIN ZOTERO_ITEM CSL_CITATION {"citationID":"RoJlKg6s","properties":{"formattedCitation":"[24]","plainCitation":"[24]","noteIndex":0},"citationItems":[{"id":87800,"uris":["http://zotero.org/groups/4742804/items/TPCQ89X9"],"itemData":{"id":87800,"type":"webpage","title":"Xeljanz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7E5A7B">
        <w:fldChar w:fldCharType="separate"/>
      </w:r>
      <w:r w:rsidR="00DE2C35">
        <w:rPr>
          <w:rFonts w:cs="Times New Roman"/>
        </w:rPr>
        <w:t>[2</w:t>
      </w:r>
      <w:r w:rsidR="008D5290" w:rsidRPr="008D5290">
        <w:rPr>
          <w:rFonts w:cs="Times New Roman"/>
        </w:rPr>
        <w:t>]</w:t>
      </w:r>
      <w:r w:rsidR="007E5A7B">
        <w:fldChar w:fldCharType="end"/>
      </w:r>
      <w:r w:rsidR="007E5A7B">
        <w:t>.</w:t>
      </w:r>
    </w:p>
    <w:p w14:paraId="628E686B" w14:textId="467FC2F8" w:rsidR="003667BE" w:rsidRDefault="005C1A5E" w:rsidP="003667BE">
      <w:pPr>
        <w:pStyle w:val="SDText"/>
        <w:contextualSpacing/>
      </w:pPr>
      <w:r>
        <w:t>Окончательные результаты представлены ниже для MACE, инфаркта миокарда, злокачественных новообразований, за исключением НМРК, рак</w:t>
      </w:r>
      <w:r w:rsidR="00CF0EC7">
        <w:t>а</w:t>
      </w:r>
      <w:r>
        <w:t xml:space="preserve"> легк</w:t>
      </w:r>
      <w:r w:rsidR="00CF0EC7">
        <w:t xml:space="preserve">их </w:t>
      </w:r>
      <w:r>
        <w:t>и лимфом</w:t>
      </w:r>
      <w:r w:rsidR="00CF0EC7">
        <w:t>ы</w:t>
      </w:r>
      <w:r>
        <w:t xml:space="preserve"> для каждой группы лечения. Результаты промежуточного анализа безопасности (2019 г.) пред</w:t>
      </w:r>
      <w:r w:rsidR="00FF72C9">
        <w:t xml:space="preserve">ставлены </w:t>
      </w:r>
      <w:r>
        <w:t>для ВТЭ, серьезных инфекций и смертности</w:t>
      </w:r>
      <w:r w:rsidR="007E5A7B" w:rsidRPr="007E5A7B">
        <w:t xml:space="preserve"> </w:t>
      </w:r>
      <w:r w:rsidR="007E5A7B">
        <w:fldChar w:fldCharType="begin"/>
      </w:r>
      <w:r w:rsidR="008D5290">
        <w:instrText xml:space="preserve"> ADDIN ZOTERO_ITEM CSL_CITATION {"citationID":"nZ0NqX2O","properties":{"formattedCitation":"[24]","plainCitation":"[24]","noteIndex":0},"citationItems":[{"id":87800,"uris":["http://zotero.org/groups/4742804/items/TPCQ89X9"],"itemData":{"id":87800,"type":"webpage","title":"Xeljanz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7E5A7B">
        <w:fldChar w:fldCharType="separate"/>
      </w:r>
      <w:r w:rsidR="00DE2C35">
        <w:rPr>
          <w:rFonts w:cs="Times New Roman"/>
        </w:rPr>
        <w:t>[2</w:t>
      </w:r>
      <w:r w:rsidR="008D5290" w:rsidRPr="008D5290">
        <w:rPr>
          <w:rFonts w:cs="Times New Roman"/>
        </w:rPr>
        <w:t>]</w:t>
      </w:r>
      <w:r w:rsidR="007E5A7B">
        <w:fldChar w:fldCharType="end"/>
      </w:r>
      <w:r w:rsidR="007E5A7B">
        <w:t>.</w:t>
      </w:r>
    </w:p>
    <w:p w14:paraId="14B409BF" w14:textId="13FEF320" w:rsidR="003667BE" w:rsidRPr="003667BE" w:rsidRDefault="003667BE" w:rsidP="004335CD">
      <w:pPr>
        <w:pStyle w:val="SDText"/>
        <w:ind w:firstLine="0"/>
        <w:contextualSpacing/>
        <w:rPr>
          <w:b/>
          <w:i/>
        </w:rPr>
      </w:pPr>
      <w:r w:rsidRPr="003667BE">
        <w:rPr>
          <w:b/>
          <w:i/>
          <w:lang w:val="en-US"/>
        </w:rPr>
        <w:t>MACE</w:t>
      </w:r>
      <w:r w:rsidRPr="00364071">
        <w:rPr>
          <w:b/>
          <w:i/>
        </w:rPr>
        <w:t xml:space="preserve"> (</w:t>
      </w:r>
      <w:r w:rsidRPr="003667BE">
        <w:rPr>
          <w:b/>
          <w:i/>
        </w:rPr>
        <w:t>включая инфаркт миокарда)</w:t>
      </w:r>
    </w:p>
    <w:p w14:paraId="16CCCC2D" w14:textId="75AF8C00" w:rsidR="00037921" w:rsidRPr="004335CD" w:rsidRDefault="00B303C4" w:rsidP="00F501BD">
      <w:pPr>
        <w:pStyle w:val="SDText"/>
        <w:contextualSpacing/>
      </w:pPr>
      <w:r>
        <w:t>У пациентов, получавших тофацитиниб, наблюдал</w:t>
      </w:r>
      <w:r w:rsidR="00FF72C9">
        <w:t>и</w:t>
      </w:r>
      <w:r>
        <w:t xml:space="preserve"> увеличение частоты не</w:t>
      </w:r>
      <w:r w:rsidR="00FF72C9">
        <w:t xml:space="preserve">фатального </w:t>
      </w:r>
      <w:r>
        <w:t>инфаркт</w:t>
      </w:r>
      <w:r w:rsidR="00FF72C9">
        <w:t>а</w:t>
      </w:r>
      <w:r>
        <w:t xml:space="preserve"> миокарда по сравнению с ингибитором </w:t>
      </w:r>
      <w:r w:rsidR="00FF72C9" w:rsidRPr="004335CD">
        <w:rPr>
          <w:lang w:val="en-US"/>
        </w:rPr>
        <w:t>TNF</w:t>
      </w:r>
      <w:r w:rsidR="00FF72C9" w:rsidRPr="004335CD">
        <w:t>-</w:t>
      </w:r>
      <w:r w:rsidR="00FF72C9" w:rsidRPr="004335CD">
        <w:rPr>
          <w:rFonts w:cs="Times New Roman"/>
          <w:lang w:val="en-US"/>
        </w:rPr>
        <w:t>α</w:t>
      </w:r>
      <w:r w:rsidRPr="004335CD">
        <w:t xml:space="preserve"> (</w:t>
      </w:r>
      <w:r w:rsidR="00F501BD" w:rsidRPr="004335CD">
        <w:fldChar w:fldCharType="begin"/>
      </w:r>
      <w:r w:rsidR="00F501BD" w:rsidRPr="004335CD">
        <w:instrText xml:space="preserve"> REF _Ref120601502 \h </w:instrText>
      </w:r>
      <w:r w:rsidR="004335CD" w:rsidRPr="004335CD">
        <w:instrText xml:space="preserve"> \* MERGEFORMAT </w:instrText>
      </w:r>
      <w:r w:rsidR="00F501BD" w:rsidRPr="004335CD">
        <w:fldChar w:fldCharType="separate"/>
      </w:r>
      <w:r w:rsidR="00383E6F" w:rsidRPr="004335CD">
        <w:rPr>
          <w:bCs/>
        </w:rPr>
        <w:t xml:space="preserve">Таблица </w:t>
      </w:r>
      <w:r w:rsidR="00383E6F" w:rsidRPr="004335CD">
        <w:rPr>
          <w:bCs/>
          <w:noProof/>
        </w:rPr>
        <w:t>4</w:t>
      </w:r>
      <w:r w:rsidR="00383E6F" w:rsidRPr="004335CD">
        <w:rPr>
          <w:bCs/>
        </w:rPr>
        <w:noBreakHyphen/>
      </w:r>
      <w:r w:rsidR="00383E6F" w:rsidRPr="004335CD">
        <w:rPr>
          <w:bCs/>
          <w:noProof/>
        </w:rPr>
        <w:t>23</w:t>
      </w:r>
      <w:r w:rsidR="00F501BD" w:rsidRPr="004335CD">
        <w:fldChar w:fldCharType="end"/>
      </w:r>
      <w:r w:rsidR="007E5A7B" w:rsidRPr="004335CD">
        <w:t xml:space="preserve">) </w:t>
      </w:r>
      <w:r w:rsidR="007E5A7B" w:rsidRPr="004335CD">
        <w:fldChar w:fldCharType="begin"/>
      </w:r>
      <w:r w:rsidR="008D5290" w:rsidRPr="004335CD">
        <w:instrText xml:space="preserve"> ADDIN ZOTERO_ITEM CSL_CITATION {"citationID":"Ia8JAt4V","properties":{"formattedCitation":"[24]","plainCitation":"[24]","noteIndex":0},"citationItems":[{"id":87800,"uris":["http://zotero.org/groups/4742804/items/TPCQ89X9"],"itemData":{"id":87800,"type":"webpage","title":"Xeljanz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7E5A7B" w:rsidRPr="004335CD">
        <w:fldChar w:fldCharType="separate"/>
      </w:r>
      <w:r w:rsidR="008D5290" w:rsidRPr="004335CD">
        <w:rPr>
          <w:rFonts w:cs="Times New Roman"/>
        </w:rPr>
        <w:t>[24]</w:t>
      </w:r>
      <w:r w:rsidR="007E5A7B" w:rsidRPr="004335CD">
        <w:fldChar w:fldCharType="end"/>
      </w:r>
      <w:r w:rsidR="007E5A7B" w:rsidRPr="004335CD">
        <w:t>.</w:t>
      </w:r>
    </w:p>
    <w:p w14:paraId="31D59AAD" w14:textId="77777777" w:rsidR="00791E09" w:rsidRDefault="00791E09" w:rsidP="004335CD">
      <w:pPr>
        <w:pStyle w:val="SDText"/>
        <w:spacing w:after="0"/>
        <w:ind w:firstLine="0"/>
        <w:rPr>
          <w:b/>
          <w:bCs/>
        </w:rPr>
      </w:pPr>
      <w:bookmarkStart w:id="274" w:name="_Ref120601502"/>
    </w:p>
    <w:p w14:paraId="6C9923DC" w14:textId="4EEE94F7" w:rsidR="00B303C4" w:rsidRDefault="00176640" w:rsidP="004335CD">
      <w:pPr>
        <w:pStyle w:val="SDText"/>
        <w:spacing w:after="0"/>
        <w:ind w:firstLine="0"/>
      </w:pPr>
      <w:r w:rsidRPr="00F501BD">
        <w:rPr>
          <w:b/>
          <w:bCs/>
        </w:rPr>
        <w:t xml:space="preserve">Таблица </w:t>
      </w:r>
      <w:r w:rsidR="00652269" w:rsidRPr="00F501BD">
        <w:rPr>
          <w:b/>
          <w:bCs/>
        </w:rPr>
        <w:fldChar w:fldCharType="begin"/>
      </w:r>
      <w:r w:rsidR="00652269" w:rsidRPr="00F501BD">
        <w:rPr>
          <w:b/>
          <w:bCs/>
        </w:rPr>
        <w:instrText xml:space="preserve"> STYLEREF 1 \s </w:instrText>
      </w:r>
      <w:r w:rsidR="00652269" w:rsidRPr="00F501BD">
        <w:rPr>
          <w:b/>
          <w:bCs/>
        </w:rPr>
        <w:fldChar w:fldCharType="separate"/>
      </w:r>
      <w:r w:rsidR="00383E6F">
        <w:rPr>
          <w:b/>
          <w:bCs/>
          <w:noProof/>
        </w:rPr>
        <w:t>4</w:t>
      </w:r>
      <w:r w:rsidR="00652269" w:rsidRPr="00F501BD">
        <w:rPr>
          <w:b/>
          <w:bCs/>
        </w:rPr>
        <w:fldChar w:fldCharType="end"/>
      </w:r>
      <w:r w:rsidR="00652269" w:rsidRPr="00F501BD">
        <w:rPr>
          <w:b/>
          <w:bCs/>
        </w:rPr>
        <w:noBreakHyphen/>
      </w:r>
      <w:r w:rsidR="00652269" w:rsidRPr="00F501BD">
        <w:rPr>
          <w:b/>
          <w:bCs/>
        </w:rPr>
        <w:fldChar w:fldCharType="begin"/>
      </w:r>
      <w:r w:rsidR="00652269" w:rsidRPr="00F501BD">
        <w:rPr>
          <w:b/>
          <w:bCs/>
        </w:rPr>
        <w:instrText xml:space="preserve"> SEQ Таблица \* ARABIC \s 1 </w:instrText>
      </w:r>
      <w:r w:rsidR="00652269" w:rsidRPr="00F501BD">
        <w:rPr>
          <w:b/>
          <w:bCs/>
        </w:rPr>
        <w:fldChar w:fldCharType="separate"/>
      </w:r>
      <w:r w:rsidR="00383E6F">
        <w:rPr>
          <w:b/>
          <w:bCs/>
          <w:noProof/>
        </w:rPr>
        <w:t>23</w:t>
      </w:r>
      <w:r w:rsidR="00652269" w:rsidRPr="00F501BD">
        <w:rPr>
          <w:b/>
          <w:bCs/>
        </w:rPr>
        <w:fldChar w:fldCharType="end"/>
      </w:r>
      <w:bookmarkEnd w:id="274"/>
      <w:r w:rsidR="00037921" w:rsidRPr="00F501BD">
        <w:rPr>
          <w:b/>
          <w:bCs/>
          <w:noProof/>
        </w:rPr>
        <w:t>.</w:t>
      </w:r>
      <w:r w:rsidR="00037921">
        <w:t xml:space="preserve"> Частота и </w:t>
      </w:r>
      <w:r w:rsidR="00037921">
        <w:rPr>
          <w:lang w:val="en-US"/>
        </w:rPr>
        <w:t>HR</w:t>
      </w:r>
      <w:r w:rsidR="00037921" w:rsidRPr="00EF5A1A">
        <w:t xml:space="preserve"> </w:t>
      </w:r>
      <w:r w:rsidR="00037921">
        <w:t xml:space="preserve">для </w:t>
      </w:r>
      <w:r w:rsidR="00037921">
        <w:rPr>
          <w:lang w:val="en-US"/>
        </w:rPr>
        <w:t>MACE</w:t>
      </w:r>
      <w:r w:rsidR="00037921">
        <w:t xml:space="preserve"> и инфаркта миокарда у пациентов с РА в исследовании </w:t>
      </w:r>
      <w:r w:rsidR="00037921" w:rsidRPr="00A37783">
        <w:t>A3921133</w:t>
      </w:r>
      <w:r w:rsidR="00037921">
        <w:t>.</w:t>
      </w:r>
    </w:p>
    <w:tbl>
      <w:tblPr>
        <w:tblStyle w:val="a4"/>
        <w:tblW w:w="4873" w:type="pct"/>
        <w:tblInd w:w="136" w:type="dxa"/>
        <w:tblLook w:val="04A0" w:firstRow="1" w:lastRow="0" w:firstColumn="1" w:lastColumn="0" w:noHBand="0" w:noVBand="1"/>
      </w:tblPr>
      <w:tblGrid>
        <w:gridCol w:w="1915"/>
        <w:gridCol w:w="1914"/>
        <w:gridCol w:w="1914"/>
        <w:gridCol w:w="1914"/>
        <w:gridCol w:w="1671"/>
      </w:tblGrid>
      <w:tr w:rsidR="00900750" w14:paraId="5E5E4AF4" w14:textId="77777777" w:rsidTr="00791E09">
        <w:trPr>
          <w:tblHeader/>
        </w:trPr>
        <w:tc>
          <w:tcPr>
            <w:tcW w:w="1915" w:type="dxa"/>
            <w:shd w:val="clear" w:color="auto" w:fill="D9D9D9" w:themeFill="background1" w:themeFillShade="D9"/>
            <w:vAlign w:val="center"/>
          </w:tcPr>
          <w:p w14:paraId="330EE557" w14:textId="434D933C" w:rsidR="00900750" w:rsidRPr="00900750" w:rsidRDefault="00791E09" w:rsidP="00791E09">
            <w:pPr>
              <w:ind w:firstLine="0"/>
              <w:contextualSpacing/>
              <w:jc w:val="center"/>
              <w:rPr>
                <w:b/>
                <w:bCs/>
              </w:rPr>
            </w:pPr>
            <w:r>
              <w:rPr>
                <w:b/>
                <w:bCs/>
              </w:rPr>
              <w:t>Параметр</w:t>
            </w:r>
          </w:p>
        </w:tc>
        <w:tc>
          <w:tcPr>
            <w:tcW w:w="1914" w:type="dxa"/>
            <w:shd w:val="clear" w:color="auto" w:fill="D9D9D9" w:themeFill="background1" w:themeFillShade="D9"/>
            <w:vAlign w:val="center"/>
          </w:tcPr>
          <w:p w14:paraId="5D810A54" w14:textId="3DDF34BB" w:rsidR="00900750" w:rsidRPr="00900750" w:rsidRDefault="00900750" w:rsidP="00791E09">
            <w:pPr>
              <w:ind w:firstLine="0"/>
              <w:contextualSpacing/>
              <w:jc w:val="center"/>
              <w:rPr>
                <w:b/>
                <w:bCs/>
              </w:rPr>
            </w:pPr>
            <w:r>
              <w:rPr>
                <w:b/>
                <w:bCs/>
              </w:rPr>
              <w:t xml:space="preserve">Тофацитиниб </w:t>
            </w:r>
            <w:r w:rsidR="00C9586A">
              <w:rPr>
                <w:b/>
                <w:bCs/>
              </w:rPr>
              <w:t>5 мг 2 раза в день</w:t>
            </w:r>
          </w:p>
        </w:tc>
        <w:tc>
          <w:tcPr>
            <w:tcW w:w="1914" w:type="dxa"/>
            <w:shd w:val="clear" w:color="auto" w:fill="D9D9D9" w:themeFill="background1" w:themeFillShade="D9"/>
            <w:vAlign w:val="center"/>
          </w:tcPr>
          <w:p w14:paraId="3A761C8C" w14:textId="25C43B01" w:rsidR="00900750" w:rsidRPr="00900750" w:rsidRDefault="00C9586A" w:rsidP="00791E09">
            <w:pPr>
              <w:ind w:firstLine="0"/>
              <w:contextualSpacing/>
              <w:jc w:val="center"/>
              <w:rPr>
                <w:b/>
                <w:bCs/>
              </w:rPr>
            </w:pPr>
            <w:r>
              <w:rPr>
                <w:b/>
                <w:bCs/>
              </w:rPr>
              <w:t>Тофацитиниб 5 мг 2 раза в день</w:t>
            </w:r>
          </w:p>
        </w:tc>
        <w:tc>
          <w:tcPr>
            <w:tcW w:w="1914" w:type="dxa"/>
            <w:shd w:val="clear" w:color="auto" w:fill="D9D9D9" w:themeFill="background1" w:themeFillShade="D9"/>
            <w:vAlign w:val="center"/>
          </w:tcPr>
          <w:p w14:paraId="6031ED24" w14:textId="290F3F58" w:rsidR="00900750" w:rsidRPr="00900750" w:rsidRDefault="00C9586A" w:rsidP="00791E09">
            <w:pPr>
              <w:ind w:firstLine="0"/>
              <w:contextualSpacing/>
              <w:jc w:val="center"/>
              <w:rPr>
                <w:b/>
                <w:bCs/>
              </w:rPr>
            </w:pPr>
            <w:r>
              <w:rPr>
                <w:b/>
                <w:bCs/>
              </w:rPr>
              <w:t>Тофацитиниб 5 или 10 мг 2 раза в день</w:t>
            </w:r>
          </w:p>
        </w:tc>
        <w:tc>
          <w:tcPr>
            <w:tcW w:w="1671" w:type="dxa"/>
            <w:shd w:val="clear" w:color="auto" w:fill="D9D9D9" w:themeFill="background1" w:themeFillShade="D9"/>
            <w:vAlign w:val="center"/>
          </w:tcPr>
          <w:p w14:paraId="76636673" w14:textId="5ED5384F" w:rsidR="00900750" w:rsidRPr="00900750" w:rsidRDefault="00C9586A" w:rsidP="00791E09">
            <w:pPr>
              <w:ind w:firstLine="0"/>
              <w:contextualSpacing/>
              <w:jc w:val="center"/>
              <w:rPr>
                <w:b/>
                <w:bCs/>
              </w:rPr>
            </w:pPr>
            <w:r>
              <w:rPr>
                <w:b/>
                <w:bCs/>
              </w:rPr>
              <w:t xml:space="preserve">Ингибиторы </w:t>
            </w:r>
            <w:r w:rsidRPr="00C9586A">
              <w:rPr>
                <w:b/>
                <w:bCs/>
                <w:lang w:val="en-US"/>
              </w:rPr>
              <w:t>TNF</w:t>
            </w:r>
            <w:r w:rsidRPr="00C9586A">
              <w:rPr>
                <w:b/>
                <w:bCs/>
              </w:rPr>
              <w:t>-</w:t>
            </w:r>
            <w:r w:rsidRPr="00C9586A">
              <w:rPr>
                <w:rFonts w:cs="Times New Roman"/>
                <w:b/>
                <w:bCs/>
                <w:lang w:val="en-US"/>
              </w:rPr>
              <w:t>α</w:t>
            </w:r>
          </w:p>
        </w:tc>
      </w:tr>
      <w:tr w:rsidR="00883F9B" w14:paraId="3298F3C4" w14:textId="77777777" w:rsidTr="002F5B6A">
        <w:tc>
          <w:tcPr>
            <w:tcW w:w="9328" w:type="dxa"/>
            <w:gridSpan w:val="5"/>
          </w:tcPr>
          <w:p w14:paraId="29C62C29" w14:textId="460A80B8" w:rsidR="00883F9B" w:rsidRDefault="00883F9B" w:rsidP="00037921">
            <w:pPr>
              <w:ind w:firstLine="0"/>
              <w:contextualSpacing/>
            </w:pPr>
            <w:r w:rsidRPr="00883F9B">
              <w:t>MACE</w:t>
            </w:r>
          </w:p>
        </w:tc>
      </w:tr>
      <w:tr w:rsidR="00DD470E" w14:paraId="459E763E" w14:textId="77777777" w:rsidTr="004335CD">
        <w:tc>
          <w:tcPr>
            <w:tcW w:w="1915" w:type="dxa"/>
          </w:tcPr>
          <w:p w14:paraId="30CC7BFF" w14:textId="6DDB7781" w:rsidR="00DD470E" w:rsidRDefault="00DD470E" w:rsidP="00037921">
            <w:pPr>
              <w:ind w:firstLine="0"/>
              <w:contextualSpacing/>
            </w:pPr>
            <w:r>
              <w:t>Частота (95% ДИ) на 100 пациенто-лет</w:t>
            </w:r>
          </w:p>
        </w:tc>
        <w:tc>
          <w:tcPr>
            <w:tcW w:w="1914" w:type="dxa"/>
            <w:vAlign w:val="center"/>
          </w:tcPr>
          <w:p w14:paraId="2FBDBEA7" w14:textId="29EE79E2" w:rsidR="00DD470E" w:rsidRDefault="00B904CC" w:rsidP="004335CD">
            <w:pPr>
              <w:ind w:firstLine="0"/>
              <w:contextualSpacing/>
              <w:jc w:val="center"/>
            </w:pPr>
            <w:r w:rsidRPr="00B904CC">
              <w:t>0</w:t>
            </w:r>
            <w:r w:rsidR="00143FD7">
              <w:t>,</w:t>
            </w:r>
            <w:r w:rsidRPr="00B904CC">
              <w:t>91 (0</w:t>
            </w:r>
            <w:r w:rsidR="00143FD7">
              <w:t>,</w:t>
            </w:r>
            <w:r w:rsidRPr="00B904CC">
              <w:t>67, 1</w:t>
            </w:r>
            <w:r w:rsidR="00143FD7">
              <w:t>,</w:t>
            </w:r>
            <w:r w:rsidRPr="00B904CC">
              <w:t>21)</w:t>
            </w:r>
          </w:p>
        </w:tc>
        <w:tc>
          <w:tcPr>
            <w:tcW w:w="1914" w:type="dxa"/>
            <w:vAlign w:val="center"/>
          </w:tcPr>
          <w:p w14:paraId="1D47DE6B" w14:textId="2309813C" w:rsidR="00DD470E" w:rsidRDefault="00B904CC" w:rsidP="004335CD">
            <w:pPr>
              <w:ind w:firstLine="0"/>
              <w:contextualSpacing/>
              <w:jc w:val="center"/>
            </w:pPr>
            <w:r w:rsidRPr="00B904CC">
              <w:t>1</w:t>
            </w:r>
            <w:r w:rsidR="00143FD7">
              <w:t>,</w:t>
            </w:r>
            <w:r w:rsidRPr="00B904CC">
              <w:t>05 (0</w:t>
            </w:r>
            <w:r w:rsidR="00143FD7">
              <w:t>,</w:t>
            </w:r>
            <w:r w:rsidRPr="00B904CC">
              <w:t>78, 1</w:t>
            </w:r>
            <w:r w:rsidR="00143FD7">
              <w:t>,</w:t>
            </w:r>
            <w:r w:rsidRPr="00B904CC">
              <w:t>38)</w:t>
            </w:r>
          </w:p>
        </w:tc>
        <w:tc>
          <w:tcPr>
            <w:tcW w:w="1914" w:type="dxa"/>
            <w:vAlign w:val="center"/>
          </w:tcPr>
          <w:p w14:paraId="692C68DD" w14:textId="6FFA8864" w:rsidR="00DD470E" w:rsidRDefault="00B904CC" w:rsidP="004335CD">
            <w:pPr>
              <w:ind w:firstLine="0"/>
              <w:contextualSpacing/>
              <w:jc w:val="center"/>
            </w:pPr>
            <w:r w:rsidRPr="00B904CC">
              <w:t>0</w:t>
            </w:r>
            <w:r w:rsidR="00143FD7">
              <w:t>,</w:t>
            </w:r>
            <w:r w:rsidRPr="00B904CC">
              <w:t>98 (0</w:t>
            </w:r>
            <w:r w:rsidR="00143FD7">
              <w:t>,</w:t>
            </w:r>
            <w:r w:rsidRPr="00B904CC">
              <w:t>79, 1</w:t>
            </w:r>
            <w:r w:rsidR="00143FD7">
              <w:t>,</w:t>
            </w:r>
            <w:r w:rsidRPr="00B904CC">
              <w:t>19)</w:t>
            </w:r>
          </w:p>
        </w:tc>
        <w:tc>
          <w:tcPr>
            <w:tcW w:w="1671" w:type="dxa"/>
            <w:vAlign w:val="center"/>
          </w:tcPr>
          <w:p w14:paraId="67BFD6C0" w14:textId="51277E7B" w:rsidR="00DD470E" w:rsidRDefault="008E13DB" w:rsidP="004335CD">
            <w:pPr>
              <w:ind w:firstLine="0"/>
              <w:contextualSpacing/>
              <w:jc w:val="center"/>
            </w:pPr>
            <w:r w:rsidRPr="008E13DB">
              <w:t>0</w:t>
            </w:r>
            <w:r w:rsidR="00143FD7">
              <w:t>,</w:t>
            </w:r>
            <w:r w:rsidRPr="008E13DB">
              <w:t>73 (0</w:t>
            </w:r>
            <w:r w:rsidR="00143FD7">
              <w:t>,</w:t>
            </w:r>
            <w:r w:rsidRPr="008E13DB">
              <w:t>52, 1</w:t>
            </w:r>
            <w:r w:rsidR="00143FD7">
              <w:t>,</w:t>
            </w:r>
            <w:r w:rsidRPr="008E13DB">
              <w:t>01)</w:t>
            </w:r>
          </w:p>
        </w:tc>
      </w:tr>
      <w:tr w:rsidR="00DD470E" w14:paraId="4C0B6F37" w14:textId="77777777" w:rsidTr="004335CD">
        <w:tc>
          <w:tcPr>
            <w:tcW w:w="1915" w:type="dxa"/>
          </w:tcPr>
          <w:p w14:paraId="6B2AF0FA" w14:textId="52F0F56C" w:rsidR="00DD470E" w:rsidRDefault="00DD470E" w:rsidP="00037921">
            <w:pPr>
              <w:ind w:firstLine="0"/>
              <w:contextualSpacing/>
            </w:pPr>
            <w:r>
              <w:rPr>
                <w:lang w:val="en-US"/>
              </w:rPr>
              <w:t>HR</w:t>
            </w:r>
            <w:r w:rsidRPr="00DD470E">
              <w:t xml:space="preserve"> (95% </w:t>
            </w:r>
            <w:r>
              <w:t>ДИ) по отношению к и</w:t>
            </w:r>
            <w:r w:rsidRPr="00DD470E">
              <w:t>нгибитор</w:t>
            </w:r>
            <w:r>
              <w:t xml:space="preserve">ам </w:t>
            </w:r>
            <w:r w:rsidRPr="00DD470E">
              <w:t>TNF-α</w:t>
            </w:r>
          </w:p>
        </w:tc>
        <w:tc>
          <w:tcPr>
            <w:tcW w:w="1914" w:type="dxa"/>
            <w:vAlign w:val="center"/>
          </w:tcPr>
          <w:p w14:paraId="696B9975" w14:textId="2B57AC27" w:rsidR="00DD470E" w:rsidRDefault="00B904CC" w:rsidP="004335CD">
            <w:pPr>
              <w:ind w:firstLine="0"/>
              <w:contextualSpacing/>
              <w:jc w:val="center"/>
            </w:pPr>
            <w:r w:rsidRPr="00B904CC">
              <w:t>1</w:t>
            </w:r>
            <w:r w:rsidR="00143FD7">
              <w:t>,</w:t>
            </w:r>
            <w:r w:rsidRPr="00B904CC">
              <w:t>24 (0</w:t>
            </w:r>
            <w:r w:rsidR="00143FD7">
              <w:t>,</w:t>
            </w:r>
            <w:r w:rsidRPr="00B904CC">
              <w:t>81, 1</w:t>
            </w:r>
            <w:r w:rsidR="00143FD7">
              <w:t>,</w:t>
            </w:r>
            <w:r w:rsidRPr="00B904CC">
              <w:t>91)</w:t>
            </w:r>
          </w:p>
        </w:tc>
        <w:tc>
          <w:tcPr>
            <w:tcW w:w="1914" w:type="dxa"/>
            <w:vAlign w:val="center"/>
          </w:tcPr>
          <w:p w14:paraId="5FEB1A68" w14:textId="66B9600D" w:rsidR="00DD470E" w:rsidRDefault="00B904CC" w:rsidP="004335CD">
            <w:pPr>
              <w:ind w:firstLine="0"/>
              <w:contextualSpacing/>
              <w:jc w:val="center"/>
            </w:pPr>
            <w:r w:rsidRPr="00B904CC">
              <w:t>1</w:t>
            </w:r>
            <w:r w:rsidR="00143FD7">
              <w:t>,</w:t>
            </w:r>
            <w:r w:rsidRPr="00B904CC">
              <w:t>43 (0</w:t>
            </w:r>
            <w:r w:rsidR="00143FD7">
              <w:t>,</w:t>
            </w:r>
            <w:r w:rsidRPr="00B904CC">
              <w:t>94, 2</w:t>
            </w:r>
            <w:r w:rsidR="00143FD7">
              <w:t>,</w:t>
            </w:r>
            <w:r w:rsidRPr="00B904CC">
              <w:t>18)</w:t>
            </w:r>
          </w:p>
        </w:tc>
        <w:tc>
          <w:tcPr>
            <w:tcW w:w="1914" w:type="dxa"/>
            <w:vAlign w:val="center"/>
          </w:tcPr>
          <w:p w14:paraId="5961001D" w14:textId="42D5543F" w:rsidR="00DD470E" w:rsidRDefault="008E13DB" w:rsidP="004335CD">
            <w:pPr>
              <w:ind w:firstLine="0"/>
              <w:contextualSpacing/>
              <w:jc w:val="center"/>
            </w:pPr>
            <w:r w:rsidRPr="008E13DB">
              <w:t>1</w:t>
            </w:r>
            <w:r w:rsidR="00143FD7">
              <w:t>,</w:t>
            </w:r>
            <w:r w:rsidRPr="008E13DB">
              <w:t>33 (0</w:t>
            </w:r>
            <w:r w:rsidR="00143FD7">
              <w:t>,</w:t>
            </w:r>
            <w:r w:rsidRPr="008E13DB">
              <w:t>91, 1</w:t>
            </w:r>
            <w:r w:rsidR="00143FD7">
              <w:t>,</w:t>
            </w:r>
            <w:r w:rsidRPr="008E13DB">
              <w:t>94)</w:t>
            </w:r>
          </w:p>
        </w:tc>
        <w:tc>
          <w:tcPr>
            <w:tcW w:w="1671" w:type="dxa"/>
            <w:vAlign w:val="center"/>
          </w:tcPr>
          <w:p w14:paraId="794E4DCB" w14:textId="155198EB" w:rsidR="00DD470E" w:rsidRDefault="008E13DB" w:rsidP="004335CD">
            <w:pPr>
              <w:ind w:firstLine="0"/>
              <w:contextualSpacing/>
              <w:jc w:val="center"/>
            </w:pPr>
            <w:r>
              <w:t>нп</w:t>
            </w:r>
          </w:p>
        </w:tc>
      </w:tr>
      <w:tr w:rsidR="00DD470E" w14:paraId="55E7C98B" w14:textId="77777777" w:rsidTr="002F5B6A">
        <w:tc>
          <w:tcPr>
            <w:tcW w:w="9328" w:type="dxa"/>
            <w:gridSpan w:val="5"/>
          </w:tcPr>
          <w:p w14:paraId="0D7B7FF0" w14:textId="00C05184" w:rsidR="00DD470E" w:rsidRDefault="00DD470E" w:rsidP="00037921">
            <w:pPr>
              <w:ind w:firstLine="0"/>
              <w:contextualSpacing/>
            </w:pPr>
            <w:r>
              <w:t>Фатальный инфаркт миокарда</w:t>
            </w:r>
          </w:p>
        </w:tc>
      </w:tr>
      <w:tr w:rsidR="00DD470E" w14:paraId="34B35F3E" w14:textId="77777777" w:rsidTr="004335CD">
        <w:tc>
          <w:tcPr>
            <w:tcW w:w="1915" w:type="dxa"/>
          </w:tcPr>
          <w:p w14:paraId="382BAB8B" w14:textId="2F27FF71" w:rsidR="00DD470E" w:rsidRDefault="00DD470E" w:rsidP="00037921">
            <w:pPr>
              <w:ind w:firstLine="0"/>
              <w:contextualSpacing/>
            </w:pPr>
            <w:r>
              <w:t>Частота (95% ДИ) на 100 пациенто-лет</w:t>
            </w:r>
          </w:p>
        </w:tc>
        <w:tc>
          <w:tcPr>
            <w:tcW w:w="1914" w:type="dxa"/>
            <w:vAlign w:val="center"/>
          </w:tcPr>
          <w:p w14:paraId="7E60C95C" w14:textId="6BD77C72" w:rsidR="00DD470E" w:rsidRDefault="008E13DB" w:rsidP="004335CD">
            <w:pPr>
              <w:ind w:firstLine="0"/>
              <w:contextualSpacing/>
              <w:jc w:val="center"/>
            </w:pPr>
            <w:r w:rsidRPr="008E13DB">
              <w:t>0</w:t>
            </w:r>
            <w:r w:rsidR="00143FD7">
              <w:t>,</w:t>
            </w:r>
            <w:r w:rsidRPr="008E13DB">
              <w:t>00 (0</w:t>
            </w:r>
            <w:r w:rsidR="00143FD7">
              <w:t>,</w:t>
            </w:r>
            <w:r w:rsidRPr="008E13DB">
              <w:t>00, 0</w:t>
            </w:r>
            <w:r w:rsidR="00143FD7">
              <w:t>,</w:t>
            </w:r>
            <w:r w:rsidRPr="008E13DB">
              <w:t>07)</w:t>
            </w:r>
          </w:p>
        </w:tc>
        <w:tc>
          <w:tcPr>
            <w:tcW w:w="1914" w:type="dxa"/>
            <w:vAlign w:val="center"/>
          </w:tcPr>
          <w:p w14:paraId="6219D4C4" w14:textId="58743218" w:rsidR="00DD470E" w:rsidRDefault="006E116F" w:rsidP="004335CD">
            <w:pPr>
              <w:ind w:firstLine="0"/>
              <w:contextualSpacing/>
              <w:jc w:val="center"/>
            </w:pPr>
            <w:r w:rsidRPr="006E116F">
              <w:t>0</w:t>
            </w:r>
            <w:r w:rsidR="00143FD7">
              <w:t>,</w:t>
            </w:r>
            <w:r w:rsidRPr="006E116F">
              <w:t>06 (0</w:t>
            </w:r>
            <w:r w:rsidR="00143FD7">
              <w:t>,</w:t>
            </w:r>
            <w:r w:rsidRPr="006E116F">
              <w:t>01, 0</w:t>
            </w:r>
            <w:r w:rsidR="00143FD7">
              <w:t>,</w:t>
            </w:r>
            <w:r w:rsidRPr="006E116F">
              <w:t>18)</w:t>
            </w:r>
          </w:p>
        </w:tc>
        <w:tc>
          <w:tcPr>
            <w:tcW w:w="1914" w:type="dxa"/>
            <w:vAlign w:val="center"/>
          </w:tcPr>
          <w:p w14:paraId="14045745" w14:textId="3CE761E7" w:rsidR="00DD470E" w:rsidRDefault="006E116F" w:rsidP="004335CD">
            <w:pPr>
              <w:ind w:firstLine="0"/>
              <w:contextualSpacing/>
              <w:jc w:val="center"/>
            </w:pPr>
            <w:r w:rsidRPr="006E116F">
              <w:t>0</w:t>
            </w:r>
            <w:r w:rsidR="00143FD7">
              <w:t>,</w:t>
            </w:r>
            <w:r w:rsidRPr="006E116F">
              <w:t>03 (0</w:t>
            </w:r>
            <w:r w:rsidR="00143FD7">
              <w:t>,</w:t>
            </w:r>
            <w:r w:rsidRPr="006E116F">
              <w:t>01, 0</w:t>
            </w:r>
            <w:r w:rsidR="00143FD7">
              <w:t>,</w:t>
            </w:r>
            <w:r w:rsidRPr="006E116F">
              <w:t>09)</w:t>
            </w:r>
          </w:p>
        </w:tc>
        <w:tc>
          <w:tcPr>
            <w:tcW w:w="1671" w:type="dxa"/>
            <w:vAlign w:val="center"/>
          </w:tcPr>
          <w:p w14:paraId="0594B368" w14:textId="482AB657" w:rsidR="00DD470E" w:rsidRDefault="0016329A" w:rsidP="004335CD">
            <w:pPr>
              <w:ind w:firstLine="0"/>
              <w:contextualSpacing/>
              <w:jc w:val="center"/>
            </w:pPr>
            <w:r w:rsidRPr="0016329A">
              <w:t>0</w:t>
            </w:r>
            <w:r w:rsidR="00143FD7">
              <w:t>,</w:t>
            </w:r>
            <w:r w:rsidRPr="0016329A">
              <w:t>06 (0</w:t>
            </w:r>
            <w:r w:rsidR="00143FD7">
              <w:t>,</w:t>
            </w:r>
            <w:r w:rsidRPr="0016329A">
              <w:t>01, 0</w:t>
            </w:r>
            <w:r w:rsidR="00143FD7">
              <w:t>,</w:t>
            </w:r>
            <w:r w:rsidRPr="0016329A">
              <w:t>17)</w:t>
            </w:r>
          </w:p>
        </w:tc>
      </w:tr>
      <w:tr w:rsidR="00DD470E" w14:paraId="750B9D94" w14:textId="77777777" w:rsidTr="004335CD">
        <w:tc>
          <w:tcPr>
            <w:tcW w:w="1915" w:type="dxa"/>
          </w:tcPr>
          <w:p w14:paraId="6059ABC8" w14:textId="2C7F5975" w:rsidR="00DD470E" w:rsidRDefault="00DD470E" w:rsidP="00037921">
            <w:pPr>
              <w:ind w:firstLine="0"/>
              <w:contextualSpacing/>
            </w:pPr>
            <w:r>
              <w:rPr>
                <w:lang w:val="en-US"/>
              </w:rPr>
              <w:t>HR</w:t>
            </w:r>
            <w:r w:rsidRPr="00DD470E">
              <w:t xml:space="preserve"> (95% </w:t>
            </w:r>
            <w:r>
              <w:t>ДИ) по отношению к и</w:t>
            </w:r>
            <w:r w:rsidRPr="00DD470E">
              <w:t>нгибитор</w:t>
            </w:r>
            <w:r>
              <w:t xml:space="preserve">ам </w:t>
            </w:r>
            <w:r w:rsidRPr="00DD470E">
              <w:t>TNF-α</w:t>
            </w:r>
          </w:p>
        </w:tc>
        <w:tc>
          <w:tcPr>
            <w:tcW w:w="1914" w:type="dxa"/>
            <w:vAlign w:val="center"/>
          </w:tcPr>
          <w:p w14:paraId="6B2004D3" w14:textId="60707F66" w:rsidR="00DD470E" w:rsidRDefault="006E116F" w:rsidP="004335CD">
            <w:pPr>
              <w:ind w:firstLine="0"/>
              <w:contextualSpacing/>
              <w:jc w:val="center"/>
            </w:pPr>
            <w:r w:rsidRPr="006E116F">
              <w:t>0</w:t>
            </w:r>
            <w:r w:rsidR="00143FD7">
              <w:t>,</w:t>
            </w:r>
            <w:r w:rsidRPr="006E116F">
              <w:t>00 (0</w:t>
            </w:r>
            <w:r w:rsidR="00143FD7">
              <w:t>,</w:t>
            </w:r>
            <w:r w:rsidRPr="006E116F">
              <w:t xml:space="preserve">00, </w:t>
            </w:r>
            <w:r w:rsidR="00143FD7">
              <w:rPr>
                <w:rFonts w:cs="Times New Roman"/>
              </w:rPr>
              <w:t>∞</w:t>
            </w:r>
            <w:r w:rsidRPr="006E116F">
              <w:t>)</w:t>
            </w:r>
          </w:p>
        </w:tc>
        <w:tc>
          <w:tcPr>
            <w:tcW w:w="1914" w:type="dxa"/>
            <w:vAlign w:val="center"/>
          </w:tcPr>
          <w:p w14:paraId="46660571" w14:textId="1A300F0E" w:rsidR="00DD470E" w:rsidRDefault="006E116F" w:rsidP="004335CD">
            <w:pPr>
              <w:ind w:firstLine="0"/>
              <w:contextualSpacing/>
              <w:jc w:val="center"/>
            </w:pPr>
            <w:r w:rsidRPr="006E116F">
              <w:t>1</w:t>
            </w:r>
            <w:r w:rsidR="00143FD7">
              <w:t>,</w:t>
            </w:r>
            <w:r w:rsidRPr="006E116F">
              <w:t>03 (0</w:t>
            </w:r>
            <w:r w:rsidR="00143FD7">
              <w:t>,</w:t>
            </w:r>
            <w:r w:rsidRPr="006E116F">
              <w:t>21, 5</w:t>
            </w:r>
            <w:r w:rsidR="00143FD7">
              <w:t>,</w:t>
            </w:r>
            <w:r w:rsidRPr="006E116F">
              <w:t>11)</w:t>
            </w:r>
          </w:p>
        </w:tc>
        <w:tc>
          <w:tcPr>
            <w:tcW w:w="1914" w:type="dxa"/>
            <w:vAlign w:val="center"/>
          </w:tcPr>
          <w:p w14:paraId="52EBA461" w14:textId="28C69B49" w:rsidR="00DD470E" w:rsidRDefault="006E116F" w:rsidP="004335CD">
            <w:pPr>
              <w:ind w:firstLine="0"/>
              <w:contextualSpacing/>
              <w:jc w:val="center"/>
            </w:pPr>
            <w:r w:rsidRPr="006E116F">
              <w:t>0</w:t>
            </w:r>
            <w:r w:rsidR="00143FD7">
              <w:t>,</w:t>
            </w:r>
            <w:r w:rsidRPr="006E116F">
              <w:t>50 (0</w:t>
            </w:r>
            <w:r w:rsidR="00143FD7">
              <w:t>,</w:t>
            </w:r>
            <w:r w:rsidRPr="006E116F">
              <w:t>10, 2</w:t>
            </w:r>
            <w:r w:rsidR="00143FD7">
              <w:t>,</w:t>
            </w:r>
            <w:r w:rsidRPr="006E116F">
              <w:t>49)</w:t>
            </w:r>
          </w:p>
        </w:tc>
        <w:tc>
          <w:tcPr>
            <w:tcW w:w="1671" w:type="dxa"/>
            <w:vAlign w:val="center"/>
          </w:tcPr>
          <w:p w14:paraId="350DFF65" w14:textId="48355631" w:rsidR="00DD470E" w:rsidRDefault="0016329A" w:rsidP="004335CD">
            <w:pPr>
              <w:ind w:firstLine="0"/>
              <w:contextualSpacing/>
              <w:jc w:val="center"/>
            </w:pPr>
            <w:r>
              <w:t>нп</w:t>
            </w:r>
          </w:p>
        </w:tc>
      </w:tr>
      <w:tr w:rsidR="00E91423" w14:paraId="4D209883" w14:textId="77777777" w:rsidTr="002F5B6A">
        <w:tc>
          <w:tcPr>
            <w:tcW w:w="9328" w:type="dxa"/>
            <w:gridSpan w:val="5"/>
          </w:tcPr>
          <w:p w14:paraId="5E53BA58" w14:textId="4FC8182C" w:rsidR="00E91423" w:rsidRDefault="00E91423" w:rsidP="00037921">
            <w:pPr>
              <w:ind w:firstLine="0"/>
              <w:contextualSpacing/>
            </w:pPr>
            <w:r>
              <w:t>Нефатальный инфаркт миокарда</w:t>
            </w:r>
          </w:p>
        </w:tc>
      </w:tr>
      <w:tr w:rsidR="00E91423" w14:paraId="60A7D468" w14:textId="77777777" w:rsidTr="004335CD">
        <w:tc>
          <w:tcPr>
            <w:tcW w:w="1915" w:type="dxa"/>
          </w:tcPr>
          <w:p w14:paraId="36AC2E1F" w14:textId="01EB8D53" w:rsidR="00E91423" w:rsidRDefault="00E91423" w:rsidP="00037921">
            <w:pPr>
              <w:ind w:firstLine="0"/>
              <w:contextualSpacing/>
            </w:pPr>
            <w:r>
              <w:t>Частота (95% ДИ) на 100 пациенто-лет</w:t>
            </w:r>
          </w:p>
        </w:tc>
        <w:tc>
          <w:tcPr>
            <w:tcW w:w="1914" w:type="dxa"/>
            <w:vAlign w:val="center"/>
          </w:tcPr>
          <w:p w14:paraId="06721ACE" w14:textId="728D0A64" w:rsidR="00E91423" w:rsidRDefault="0016329A" w:rsidP="004335CD">
            <w:pPr>
              <w:ind w:firstLine="0"/>
              <w:contextualSpacing/>
              <w:jc w:val="center"/>
            </w:pPr>
            <w:r w:rsidRPr="0016329A">
              <w:t>0</w:t>
            </w:r>
            <w:r w:rsidR="00143FD7">
              <w:t>,</w:t>
            </w:r>
            <w:r w:rsidRPr="0016329A">
              <w:t>37 (0</w:t>
            </w:r>
            <w:r w:rsidR="00143FD7">
              <w:t>,</w:t>
            </w:r>
            <w:r w:rsidRPr="0016329A">
              <w:t>22, 0</w:t>
            </w:r>
            <w:r w:rsidR="00143FD7">
              <w:t>,</w:t>
            </w:r>
            <w:r w:rsidRPr="0016329A">
              <w:t>57)</w:t>
            </w:r>
          </w:p>
        </w:tc>
        <w:tc>
          <w:tcPr>
            <w:tcW w:w="1914" w:type="dxa"/>
            <w:vAlign w:val="center"/>
          </w:tcPr>
          <w:p w14:paraId="627B0582" w14:textId="407280D0" w:rsidR="00E91423" w:rsidRDefault="002B294A" w:rsidP="004335CD">
            <w:pPr>
              <w:ind w:firstLine="0"/>
              <w:contextualSpacing/>
              <w:jc w:val="center"/>
            </w:pPr>
            <w:r w:rsidRPr="002B294A">
              <w:t>0</w:t>
            </w:r>
            <w:r w:rsidR="00143FD7">
              <w:t>,</w:t>
            </w:r>
            <w:r w:rsidRPr="002B294A">
              <w:t>33 (0</w:t>
            </w:r>
            <w:r w:rsidR="00143FD7">
              <w:t>,</w:t>
            </w:r>
            <w:r w:rsidRPr="002B294A">
              <w:t>19, 0</w:t>
            </w:r>
            <w:r w:rsidR="00143FD7">
              <w:t>,</w:t>
            </w:r>
            <w:r w:rsidRPr="002B294A">
              <w:t>53)</w:t>
            </w:r>
          </w:p>
        </w:tc>
        <w:tc>
          <w:tcPr>
            <w:tcW w:w="1914" w:type="dxa"/>
            <w:vAlign w:val="center"/>
          </w:tcPr>
          <w:p w14:paraId="248F40AB" w14:textId="665CE98D" w:rsidR="00E91423" w:rsidRDefault="002B294A" w:rsidP="004335CD">
            <w:pPr>
              <w:ind w:firstLine="0"/>
              <w:contextualSpacing/>
              <w:jc w:val="center"/>
            </w:pPr>
            <w:r w:rsidRPr="002B294A">
              <w:t>0</w:t>
            </w:r>
            <w:r w:rsidR="00143FD7">
              <w:t>,</w:t>
            </w:r>
            <w:r w:rsidRPr="002B294A">
              <w:t>35 (0</w:t>
            </w:r>
            <w:r w:rsidR="00143FD7">
              <w:t>,</w:t>
            </w:r>
            <w:r w:rsidRPr="002B294A">
              <w:t>24, 0</w:t>
            </w:r>
            <w:r w:rsidR="00143FD7">
              <w:t>,</w:t>
            </w:r>
            <w:r w:rsidRPr="002B294A">
              <w:t>48)</w:t>
            </w:r>
          </w:p>
        </w:tc>
        <w:tc>
          <w:tcPr>
            <w:tcW w:w="1671" w:type="dxa"/>
            <w:vAlign w:val="center"/>
          </w:tcPr>
          <w:p w14:paraId="26B09DF0" w14:textId="0F99EEE3" w:rsidR="00E91423" w:rsidRDefault="00143FD7" w:rsidP="004335CD">
            <w:pPr>
              <w:ind w:firstLine="0"/>
              <w:contextualSpacing/>
              <w:jc w:val="center"/>
            </w:pPr>
            <w:r w:rsidRPr="00143FD7">
              <w:t>0</w:t>
            </w:r>
            <w:r>
              <w:t>,</w:t>
            </w:r>
            <w:r w:rsidRPr="00143FD7">
              <w:t>16 (0</w:t>
            </w:r>
            <w:r>
              <w:t>,</w:t>
            </w:r>
            <w:r w:rsidRPr="00143FD7">
              <w:t>07, 0</w:t>
            </w:r>
            <w:r>
              <w:t>,</w:t>
            </w:r>
            <w:r w:rsidRPr="00143FD7">
              <w:t>31)</w:t>
            </w:r>
          </w:p>
        </w:tc>
      </w:tr>
      <w:tr w:rsidR="00E91423" w14:paraId="47EBB758" w14:textId="77777777" w:rsidTr="004335CD">
        <w:tc>
          <w:tcPr>
            <w:tcW w:w="1915" w:type="dxa"/>
          </w:tcPr>
          <w:p w14:paraId="218C79EB" w14:textId="449958BB" w:rsidR="00E91423" w:rsidRDefault="00E91423" w:rsidP="00037921">
            <w:pPr>
              <w:ind w:firstLine="0"/>
              <w:contextualSpacing/>
            </w:pPr>
            <w:r>
              <w:rPr>
                <w:lang w:val="en-US"/>
              </w:rPr>
              <w:t>HR</w:t>
            </w:r>
            <w:r w:rsidRPr="00DD470E">
              <w:t xml:space="preserve"> (95% </w:t>
            </w:r>
            <w:r>
              <w:t>ДИ) по отношению к и</w:t>
            </w:r>
            <w:r w:rsidRPr="00DD470E">
              <w:t>нгибитор</w:t>
            </w:r>
            <w:r>
              <w:t xml:space="preserve">ам </w:t>
            </w:r>
            <w:r w:rsidRPr="00DD470E">
              <w:t>TNF-α</w:t>
            </w:r>
          </w:p>
        </w:tc>
        <w:tc>
          <w:tcPr>
            <w:tcW w:w="1914" w:type="dxa"/>
            <w:vAlign w:val="center"/>
          </w:tcPr>
          <w:p w14:paraId="252DE192" w14:textId="27F12B65" w:rsidR="00E91423" w:rsidRDefault="002B294A" w:rsidP="004335CD">
            <w:pPr>
              <w:ind w:firstLine="0"/>
              <w:contextualSpacing/>
              <w:jc w:val="center"/>
            </w:pPr>
            <w:r w:rsidRPr="002B294A">
              <w:t>2</w:t>
            </w:r>
            <w:r w:rsidR="00143FD7">
              <w:t>,</w:t>
            </w:r>
            <w:r w:rsidRPr="002B294A">
              <w:t>32 (1</w:t>
            </w:r>
            <w:r w:rsidR="00143FD7">
              <w:t>,</w:t>
            </w:r>
            <w:r w:rsidRPr="002B294A">
              <w:t>02, 5</w:t>
            </w:r>
            <w:r w:rsidR="00143FD7">
              <w:t>,</w:t>
            </w:r>
            <w:r w:rsidRPr="002B294A">
              <w:t>30)</w:t>
            </w:r>
          </w:p>
        </w:tc>
        <w:tc>
          <w:tcPr>
            <w:tcW w:w="1914" w:type="dxa"/>
            <w:vAlign w:val="center"/>
          </w:tcPr>
          <w:p w14:paraId="6C337687" w14:textId="52903067" w:rsidR="00E91423" w:rsidRDefault="002B294A" w:rsidP="004335CD">
            <w:pPr>
              <w:ind w:firstLine="0"/>
              <w:contextualSpacing/>
              <w:jc w:val="center"/>
            </w:pPr>
            <w:r w:rsidRPr="002B294A">
              <w:t>2</w:t>
            </w:r>
            <w:r w:rsidR="00143FD7">
              <w:t>,</w:t>
            </w:r>
            <w:r w:rsidRPr="002B294A">
              <w:t>08 (0</w:t>
            </w:r>
            <w:r w:rsidR="00143FD7">
              <w:t>,</w:t>
            </w:r>
            <w:r w:rsidRPr="002B294A">
              <w:t>89, 4</w:t>
            </w:r>
            <w:r w:rsidR="00143FD7">
              <w:t>,</w:t>
            </w:r>
            <w:r w:rsidRPr="002B294A">
              <w:t>86)</w:t>
            </w:r>
          </w:p>
        </w:tc>
        <w:tc>
          <w:tcPr>
            <w:tcW w:w="1914" w:type="dxa"/>
            <w:vAlign w:val="center"/>
          </w:tcPr>
          <w:p w14:paraId="0D5706BE" w14:textId="11F12D26" w:rsidR="00E91423" w:rsidRDefault="002B294A" w:rsidP="004335CD">
            <w:pPr>
              <w:ind w:firstLine="0"/>
              <w:contextualSpacing/>
              <w:jc w:val="center"/>
            </w:pPr>
            <w:r w:rsidRPr="002B294A">
              <w:t>2</w:t>
            </w:r>
            <w:r w:rsidR="00143FD7">
              <w:t>,</w:t>
            </w:r>
            <w:r w:rsidRPr="002B294A">
              <w:t>20 (1</w:t>
            </w:r>
            <w:r w:rsidR="00143FD7">
              <w:t>,</w:t>
            </w:r>
            <w:r w:rsidRPr="002B294A">
              <w:t>02, 4</w:t>
            </w:r>
            <w:r w:rsidR="00143FD7">
              <w:t>,</w:t>
            </w:r>
            <w:r w:rsidRPr="002B294A">
              <w:t>75)</w:t>
            </w:r>
          </w:p>
        </w:tc>
        <w:tc>
          <w:tcPr>
            <w:tcW w:w="1671" w:type="dxa"/>
            <w:vAlign w:val="center"/>
          </w:tcPr>
          <w:p w14:paraId="5EAA5780" w14:textId="3CAD2281" w:rsidR="00E91423" w:rsidRDefault="00143FD7" w:rsidP="004335CD">
            <w:pPr>
              <w:ind w:firstLine="0"/>
              <w:contextualSpacing/>
              <w:jc w:val="center"/>
            </w:pPr>
            <w:r>
              <w:t>нп</w:t>
            </w:r>
          </w:p>
        </w:tc>
      </w:tr>
      <w:tr w:rsidR="00037921" w14:paraId="50ABB4F8" w14:textId="77777777" w:rsidTr="002F5B6A">
        <w:tc>
          <w:tcPr>
            <w:tcW w:w="9328" w:type="dxa"/>
            <w:gridSpan w:val="5"/>
          </w:tcPr>
          <w:p w14:paraId="6B0F431F" w14:textId="4E4FF95B" w:rsidR="00037921" w:rsidRDefault="00037921" w:rsidP="00037921">
            <w:pPr>
              <w:pStyle w:val="SDcomments"/>
              <w:ind w:firstLine="0"/>
              <w:contextualSpacing/>
              <w:rPr>
                <w:i/>
                <w:iCs/>
              </w:rPr>
            </w:pPr>
            <w:r w:rsidRPr="00037921">
              <w:rPr>
                <w:b/>
                <w:iCs/>
              </w:rPr>
              <w:t>Примечани</w:t>
            </w:r>
            <w:r w:rsidR="00220E80">
              <w:rPr>
                <w:b/>
                <w:iCs/>
              </w:rPr>
              <w:t>е</w:t>
            </w:r>
            <w:r>
              <w:rPr>
                <w:i/>
                <w:iCs/>
              </w:rPr>
              <w:t>:</w:t>
            </w:r>
          </w:p>
          <w:p w14:paraId="5CAC14ED" w14:textId="438EFE56" w:rsidR="00037921" w:rsidRDefault="00037921" w:rsidP="00037921">
            <w:pPr>
              <w:pStyle w:val="SDcomments"/>
              <w:ind w:firstLine="0"/>
              <w:contextualSpacing/>
            </w:pPr>
            <w:r w:rsidRPr="00785F02">
              <w:t>HR</w:t>
            </w:r>
            <w:r>
              <w:t xml:space="preserve"> – отношение рисков (</w:t>
            </w:r>
            <w:r>
              <w:rPr>
                <w:lang w:val="en-US"/>
              </w:rPr>
              <w:t>hazard</w:t>
            </w:r>
            <w:r w:rsidRPr="002D42C3">
              <w:t xml:space="preserve"> </w:t>
            </w:r>
            <w:r>
              <w:rPr>
                <w:lang w:val="en-US"/>
              </w:rPr>
              <w:t>ratio</w:t>
            </w:r>
            <w:r w:rsidRPr="002D42C3">
              <w:t>)</w:t>
            </w:r>
            <w:r>
              <w:t xml:space="preserve">; </w:t>
            </w:r>
            <w:r w:rsidRPr="002D42C3">
              <w:t>MACE</w:t>
            </w:r>
            <w:r>
              <w:t xml:space="preserve"> – </w:t>
            </w:r>
            <w:r w:rsidRPr="002D42C3">
              <w:t>тяжелые нежелательные сердечно-сосудистые явления (major adverse cardiac events</w:t>
            </w:r>
            <w:r>
              <w:t xml:space="preserve">); РА – ревматоидный артрит; </w:t>
            </w:r>
            <w:r w:rsidRPr="002D42C3">
              <w:t>TNF-α</w:t>
            </w:r>
            <w:r>
              <w:t xml:space="preserve"> – фактор некроза опухоли-</w:t>
            </w:r>
            <w:r>
              <w:rPr>
                <w:rFonts w:cs="Times New Roman"/>
              </w:rPr>
              <w:t>α</w:t>
            </w:r>
            <w:r>
              <w:t xml:space="preserve"> (</w:t>
            </w:r>
            <w:r>
              <w:rPr>
                <w:lang w:val="en-US"/>
              </w:rPr>
              <w:t>factor</w:t>
            </w:r>
            <w:r w:rsidRPr="005B7363">
              <w:t xml:space="preserve"> </w:t>
            </w:r>
            <w:r>
              <w:rPr>
                <w:lang w:val="en-US"/>
              </w:rPr>
              <w:t>necrosis</w:t>
            </w:r>
            <w:r w:rsidRPr="005B7363">
              <w:t xml:space="preserve"> </w:t>
            </w:r>
            <w:r>
              <w:rPr>
                <w:lang w:val="en-US"/>
              </w:rPr>
              <w:t>tumor</w:t>
            </w:r>
            <w:r w:rsidRPr="005B7363">
              <w:t>-</w:t>
            </w:r>
            <w:r>
              <w:rPr>
                <w:rFonts w:cs="Times New Roman"/>
              </w:rPr>
              <w:t>α</w:t>
            </w:r>
            <w:r w:rsidRPr="005B7363">
              <w:t>)</w:t>
            </w:r>
            <w:r>
              <w:t>; ДИ – доверительный интервал; нп – не применимо.</w:t>
            </w:r>
          </w:p>
        </w:tc>
      </w:tr>
    </w:tbl>
    <w:p w14:paraId="2E452B0A" w14:textId="7FACFBD9" w:rsidR="00A37783" w:rsidRDefault="00A37783" w:rsidP="00037921">
      <w:pPr>
        <w:pStyle w:val="SDText"/>
        <w:contextualSpacing/>
      </w:pPr>
    </w:p>
    <w:p w14:paraId="2A46A726" w14:textId="4337F220" w:rsidR="00E33AC5" w:rsidRDefault="001F4EC4" w:rsidP="00037921">
      <w:pPr>
        <w:pStyle w:val="SDText"/>
        <w:contextualSpacing/>
      </w:pPr>
      <w:r>
        <w:t>С помощью</w:t>
      </w:r>
      <w:r w:rsidR="0010773A">
        <w:t xml:space="preserve"> </w:t>
      </w:r>
      <w:r>
        <w:t>много</w:t>
      </w:r>
      <w:r w:rsidR="007273CD">
        <w:t xml:space="preserve">факторной </w:t>
      </w:r>
      <w:r>
        <w:t>модел</w:t>
      </w:r>
      <w:r w:rsidR="007273CD">
        <w:t>и</w:t>
      </w:r>
      <w:r>
        <w:t xml:space="preserve"> Кокса с </w:t>
      </w:r>
      <w:r w:rsidR="00874A8B">
        <w:t xml:space="preserve">пошаговым исключением выделили следующие </w:t>
      </w:r>
      <w:r w:rsidR="002F6A12">
        <w:t>прогностические факторы для развития инфаркта миокарда (фатального или нефатального)</w:t>
      </w:r>
      <w:r>
        <w:t xml:space="preserve">: возраст ≥ 65 лет, мужчина, курение в настоящее время или в </w:t>
      </w:r>
      <w:r w:rsidR="00E559F0">
        <w:t>анамнезе</w:t>
      </w:r>
      <w:r>
        <w:t>,</w:t>
      </w:r>
      <w:r w:rsidR="0010773A">
        <w:t xml:space="preserve"> </w:t>
      </w:r>
      <w:r w:rsidR="00E559F0">
        <w:t xml:space="preserve">СД </w:t>
      </w:r>
      <w:r w:rsidR="00E559F0">
        <w:lastRenderedPageBreak/>
        <w:t>в анамнезе</w:t>
      </w:r>
      <w:r>
        <w:t xml:space="preserve"> и </w:t>
      </w:r>
      <w:r w:rsidR="00D93DA9">
        <w:t>заболевание</w:t>
      </w:r>
      <w:r>
        <w:t xml:space="preserve"> коронарн</w:t>
      </w:r>
      <w:r w:rsidR="009C7F0A">
        <w:t>ых</w:t>
      </w:r>
      <w:r>
        <w:t xml:space="preserve"> артери</w:t>
      </w:r>
      <w:r w:rsidR="009C7F0A">
        <w:t>й в анамнезе</w:t>
      </w:r>
      <w:r>
        <w:t xml:space="preserve"> (включая инфаркт миокарда,</w:t>
      </w:r>
      <w:r w:rsidR="0010773A">
        <w:t xml:space="preserve"> </w:t>
      </w:r>
      <w:r w:rsidR="009C7F0A">
        <w:t>ИБС</w:t>
      </w:r>
      <w:r>
        <w:t>, стабильн</w:t>
      </w:r>
      <w:r w:rsidR="009C7F0A">
        <w:t>ую</w:t>
      </w:r>
      <w:r>
        <w:t xml:space="preserve"> стенокарди</w:t>
      </w:r>
      <w:r w:rsidR="009C7F0A">
        <w:t xml:space="preserve">ю </w:t>
      </w:r>
      <w:r>
        <w:t>или операции на коронарных артериях)</w:t>
      </w:r>
      <w:r w:rsidR="009C7F0A">
        <w:t xml:space="preserve"> </w:t>
      </w:r>
      <w:r w:rsidR="006275DB">
        <w:fldChar w:fldCharType="begin"/>
      </w:r>
      <w:r w:rsidR="008D5290">
        <w:instrText xml:space="preserve"> ADDIN ZOTERO_ITEM CSL_CITATION {"citationID":"LYaDU0IS","properties":{"formattedCitation":"[24]","plainCitation":"[24]","noteIndex":0},"citationItems":[{"id":87800,"uris":["http://zotero.org/groups/4742804/items/TPCQ89X9"],"itemData":{"id":87800,"type":"webpage","title":"Xeljanz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6275DB">
        <w:fldChar w:fldCharType="separate"/>
      </w:r>
      <w:r w:rsidR="00DE2C35">
        <w:rPr>
          <w:rFonts w:cs="Times New Roman"/>
        </w:rPr>
        <w:t>[2</w:t>
      </w:r>
      <w:r w:rsidR="008D5290" w:rsidRPr="008D5290">
        <w:rPr>
          <w:rFonts w:cs="Times New Roman"/>
        </w:rPr>
        <w:t>]</w:t>
      </w:r>
      <w:r w:rsidR="006275DB">
        <w:fldChar w:fldCharType="end"/>
      </w:r>
      <w:r w:rsidR="006275DB">
        <w:t>.</w:t>
      </w:r>
    </w:p>
    <w:p w14:paraId="545095C2" w14:textId="5187F180" w:rsidR="003667BE" w:rsidRPr="003667BE" w:rsidRDefault="003667BE" w:rsidP="004335CD">
      <w:pPr>
        <w:pStyle w:val="SDText"/>
        <w:ind w:firstLine="0"/>
        <w:contextualSpacing/>
        <w:rPr>
          <w:b/>
          <w:i/>
        </w:rPr>
      </w:pPr>
      <w:r w:rsidRPr="003667BE">
        <w:rPr>
          <w:b/>
          <w:i/>
        </w:rPr>
        <w:t>Возникновение новообразований</w:t>
      </w:r>
    </w:p>
    <w:p w14:paraId="38D89C6D" w14:textId="23ACB74D" w:rsidR="00C97CB3" w:rsidRPr="004335CD" w:rsidRDefault="00C97CB3" w:rsidP="00037921">
      <w:pPr>
        <w:pStyle w:val="SDText"/>
        <w:contextualSpacing/>
      </w:pPr>
      <w:r>
        <w:t xml:space="preserve">У пациентов, получавших тофацитиниб, в сравнении с больными, </w:t>
      </w:r>
      <w:r w:rsidR="002461FF">
        <w:t xml:space="preserve">получавшими ингибиторы </w:t>
      </w:r>
      <w:r w:rsidR="002461FF" w:rsidRPr="002461FF">
        <w:t>TNF-α</w:t>
      </w:r>
      <w:r w:rsidR="002461FF">
        <w:t xml:space="preserve">, отмечали </w:t>
      </w:r>
      <w:r w:rsidR="000F479D">
        <w:t xml:space="preserve">повышение риска развития новообразований, </w:t>
      </w:r>
      <w:r w:rsidR="0058019D">
        <w:t>ис</w:t>
      </w:r>
      <w:r w:rsidR="000F479D">
        <w:t>ключая НМРК</w:t>
      </w:r>
      <w:r w:rsidR="008F403E">
        <w:t xml:space="preserve">, особенно рака легких и </w:t>
      </w:r>
      <w:r w:rsidR="008F403E" w:rsidRPr="004335CD">
        <w:t>лимфомы (</w:t>
      </w:r>
      <w:r w:rsidR="00FF6489" w:rsidRPr="004335CD">
        <w:fldChar w:fldCharType="begin"/>
      </w:r>
      <w:r w:rsidR="00FF6489" w:rsidRPr="004335CD">
        <w:instrText xml:space="preserve"> REF _Ref114555865 \h </w:instrText>
      </w:r>
      <w:r w:rsidR="004335CD" w:rsidRPr="004335CD">
        <w:instrText xml:space="preserve"> \* MERGEFORMAT </w:instrText>
      </w:r>
      <w:r w:rsidR="00FF6489" w:rsidRPr="004335CD">
        <w:fldChar w:fldCharType="separate"/>
      </w:r>
      <w:r w:rsidR="00383E6F" w:rsidRPr="004335CD">
        <w:t xml:space="preserve">Таблица </w:t>
      </w:r>
      <w:r w:rsidR="00383E6F" w:rsidRPr="004335CD">
        <w:rPr>
          <w:noProof/>
        </w:rPr>
        <w:t>4</w:t>
      </w:r>
      <w:r w:rsidR="00383E6F" w:rsidRPr="004335CD">
        <w:noBreakHyphen/>
      </w:r>
      <w:r w:rsidR="00383E6F" w:rsidRPr="004335CD">
        <w:rPr>
          <w:noProof/>
        </w:rPr>
        <w:t>24</w:t>
      </w:r>
      <w:r w:rsidR="00FF6489" w:rsidRPr="004335CD">
        <w:fldChar w:fldCharType="end"/>
      </w:r>
      <w:r w:rsidR="00E319F2" w:rsidRPr="004335CD">
        <w:t xml:space="preserve">) </w:t>
      </w:r>
      <w:r w:rsidR="00E319F2" w:rsidRPr="004335CD">
        <w:fldChar w:fldCharType="begin"/>
      </w:r>
      <w:r w:rsidR="008D5290" w:rsidRPr="004335CD">
        <w:instrText xml:space="preserve"> ADDIN ZOTERO_ITEM CSL_CITATION {"citationID":"qRKSz1Qj","properties":{"formattedCitation":"[24]","plainCitation":"[24]","noteIndex":0},"citationItems":[{"id":87800,"uris":["http://zotero.org/groups/4742804/items/TPCQ89X9"],"itemData":{"id":87800,"type":"webpage","title":"Xeljanz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319F2" w:rsidRPr="004335CD">
        <w:fldChar w:fldCharType="separate"/>
      </w:r>
      <w:r w:rsidR="00DE2C35" w:rsidRPr="004335CD">
        <w:rPr>
          <w:rFonts w:cs="Times New Roman"/>
        </w:rPr>
        <w:t>[2</w:t>
      </w:r>
      <w:r w:rsidR="008D5290" w:rsidRPr="004335CD">
        <w:rPr>
          <w:rFonts w:cs="Times New Roman"/>
        </w:rPr>
        <w:t>]</w:t>
      </w:r>
      <w:r w:rsidR="00E319F2" w:rsidRPr="004335CD">
        <w:fldChar w:fldCharType="end"/>
      </w:r>
      <w:r w:rsidR="00E319F2" w:rsidRPr="004335CD">
        <w:t>.</w:t>
      </w:r>
    </w:p>
    <w:p w14:paraId="6D2B089B" w14:textId="77777777" w:rsidR="00791E09" w:rsidRDefault="00791E09" w:rsidP="002F5B6A">
      <w:pPr>
        <w:pStyle w:val="SDText"/>
        <w:spacing w:after="0"/>
        <w:ind w:firstLine="0"/>
        <w:contextualSpacing/>
        <w:rPr>
          <w:b/>
        </w:rPr>
      </w:pPr>
      <w:bookmarkStart w:id="275" w:name="_Ref114555865"/>
      <w:bookmarkStart w:id="276" w:name="_Toc115421118"/>
    </w:p>
    <w:p w14:paraId="12AE7ACC" w14:textId="5BE14BEF" w:rsidR="0058019D" w:rsidRDefault="00037921" w:rsidP="002F5B6A">
      <w:pPr>
        <w:pStyle w:val="SDText"/>
        <w:spacing w:after="0"/>
        <w:ind w:firstLine="0"/>
        <w:contextualSpacing/>
      </w:pPr>
      <w:r w:rsidRPr="002F5B6A">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4</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24</w:t>
      </w:r>
      <w:r w:rsidR="00652269">
        <w:rPr>
          <w:b/>
        </w:rPr>
        <w:fldChar w:fldCharType="end"/>
      </w:r>
      <w:bookmarkEnd w:id="275"/>
      <w:r w:rsidRPr="002F5B6A">
        <w:rPr>
          <w:b/>
          <w:noProof/>
        </w:rPr>
        <w:t>.</w:t>
      </w:r>
      <w:bookmarkEnd w:id="276"/>
      <w:r w:rsidRPr="00037921">
        <w:rPr>
          <w:b/>
        </w:rPr>
        <w:t xml:space="preserve"> </w:t>
      </w:r>
      <w:r>
        <w:t xml:space="preserve">Частота и </w:t>
      </w:r>
      <w:r>
        <w:rPr>
          <w:lang w:val="en-US"/>
        </w:rPr>
        <w:t>HR</w:t>
      </w:r>
      <w:r w:rsidRPr="00EF5A1A">
        <w:t xml:space="preserve"> </w:t>
      </w:r>
      <w:r>
        <w:t xml:space="preserve">для новообразований, исключая НМРК, в исследовании </w:t>
      </w:r>
      <w:r w:rsidRPr="00A37783">
        <w:t>A3921133</w:t>
      </w:r>
      <w:r>
        <w:t>.</w:t>
      </w:r>
    </w:p>
    <w:tbl>
      <w:tblPr>
        <w:tblStyle w:val="a4"/>
        <w:tblW w:w="4873" w:type="pct"/>
        <w:tblInd w:w="136" w:type="dxa"/>
        <w:tblLook w:val="04A0" w:firstRow="1" w:lastRow="0" w:firstColumn="1" w:lastColumn="0" w:noHBand="0" w:noVBand="1"/>
      </w:tblPr>
      <w:tblGrid>
        <w:gridCol w:w="2121"/>
        <w:gridCol w:w="1867"/>
        <w:gridCol w:w="1867"/>
        <w:gridCol w:w="1867"/>
        <w:gridCol w:w="1606"/>
      </w:tblGrid>
      <w:tr w:rsidR="00120F07" w14:paraId="5CC1A454" w14:textId="77777777" w:rsidTr="00791E09">
        <w:trPr>
          <w:tblHeader/>
        </w:trPr>
        <w:tc>
          <w:tcPr>
            <w:tcW w:w="2125" w:type="dxa"/>
            <w:shd w:val="clear" w:color="auto" w:fill="D9D9D9" w:themeFill="background1" w:themeFillShade="D9"/>
            <w:vAlign w:val="center"/>
          </w:tcPr>
          <w:p w14:paraId="4DE540AF" w14:textId="6DFE9225" w:rsidR="00120F07" w:rsidRPr="00120F07" w:rsidRDefault="00791E09" w:rsidP="00791E09">
            <w:pPr>
              <w:ind w:firstLine="0"/>
              <w:contextualSpacing/>
              <w:jc w:val="center"/>
              <w:rPr>
                <w:b/>
                <w:bCs/>
              </w:rPr>
            </w:pPr>
            <w:r>
              <w:rPr>
                <w:b/>
                <w:bCs/>
              </w:rPr>
              <w:t>Параметр</w:t>
            </w:r>
          </w:p>
        </w:tc>
        <w:tc>
          <w:tcPr>
            <w:tcW w:w="1869" w:type="dxa"/>
            <w:shd w:val="clear" w:color="auto" w:fill="D9D9D9" w:themeFill="background1" w:themeFillShade="D9"/>
          </w:tcPr>
          <w:p w14:paraId="6EEF4746" w14:textId="3A2D3984" w:rsidR="00120F07" w:rsidRPr="00120F07" w:rsidRDefault="00120F07" w:rsidP="00037921">
            <w:pPr>
              <w:ind w:firstLine="0"/>
              <w:contextualSpacing/>
              <w:jc w:val="center"/>
              <w:rPr>
                <w:b/>
                <w:bCs/>
              </w:rPr>
            </w:pPr>
            <w:r>
              <w:rPr>
                <w:b/>
                <w:bCs/>
              </w:rPr>
              <w:t>Тофацитиниб 5 мг 2 раза в день</w:t>
            </w:r>
          </w:p>
        </w:tc>
        <w:tc>
          <w:tcPr>
            <w:tcW w:w="1869" w:type="dxa"/>
            <w:shd w:val="clear" w:color="auto" w:fill="D9D9D9" w:themeFill="background1" w:themeFillShade="D9"/>
          </w:tcPr>
          <w:p w14:paraId="6C8E3021" w14:textId="74045750" w:rsidR="00120F07" w:rsidRPr="00120F07" w:rsidRDefault="00120F07" w:rsidP="00037921">
            <w:pPr>
              <w:ind w:firstLine="0"/>
              <w:contextualSpacing/>
              <w:jc w:val="center"/>
              <w:rPr>
                <w:b/>
                <w:bCs/>
              </w:rPr>
            </w:pPr>
            <w:r>
              <w:rPr>
                <w:b/>
                <w:bCs/>
              </w:rPr>
              <w:t>Тофацитиниб 5 мг 2 раза в день</w:t>
            </w:r>
          </w:p>
        </w:tc>
        <w:tc>
          <w:tcPr>
            <w:tcW w:w="1869" w:type="dxa"/>
            <w:shd w:val="clear" w:color="auto" w:fill="D9D9D9" w:themeFill="background1" w:themeFillShade="D9"/>
          </w:tcPr>
          <w:p w14:paraId="25D94AD1" w14:textId="65969A83" w:rsidR="00120F07" w:rsidRPr="00120F07" w:rsidRDefault="00120F07" w:rsidP="00037921">
            <w:pPr>
              <w:ind w:firstLine="0"/>
              <w:contextualSpacing/>
              <w:jc w:val="center"/>
              <w:rPr>
                <w:b/>
                <w:bCs/>
              </w:rPr>
            </w:pPr>
            <w:r>
              <w:rPr>
                <w:b/>
                <w:bCs/>
              </w:rPr>
              <w:t>Тофацитиниб 5 или 10 мг 2 раза в день</w:t>
            </w:r>
          </w:p>
        </w:tc>
        <w:tc>
          <w:tcPr>
            <w:tcW w:w="1596" w:type="dxa"/>
            <w:shd w:val="clear" w:color="auto" w:fill="D9D9D9" w:themeFill="background1" w:themeFillShade="D9"/>
          </w:tcPr>
          <w:p w14:paraId="1C17EBE6" w14:textId="5DB27692" w:rsidR="00120F07" w:rsidRPr="00120F07" w:rsidRDefault="00120F07" w:rsidP="00037921">
            <w:pPr>
              <w:ind w:firstLine="0"/>
              <w:contextualSpacing/>
              <w:jc w:val="center"/>
              <w:rPr>
                <w:b/>
                <w:bCs/>
              </w:rPr>
            </w:pPr>
            <w:r>
              <w:rPr>
                <w:b/>
                <w:bCs/>
              </w:rPr>
              <w:t xml:space="preserve">Ингибиторы </w:t>
            </w:r>
            <w:r w:rsidRPr="00C9586A">
              <w:rPr>
                <w:b/>
                <w:bCs/>
                <w:lang w:val="en-US"/>
              </w:rPr>
              <w:t>TNF</w:t>
            </w:r>
            <w:r w:rsidRPr="00C9586A">
              <w:rPr>
                <w:b/>
                <w:bCs/>
              </w:rPr>
              <w:t>-</w:t>
            </w:r>
            <w:r w:rsidRPr="00C9586A">
              <w:rPr>
                <w:rFonts w:cs="Times New Roman"/>
                <w:b/>
                <w:bCs/>
                <w:lang w:val="en-US"/>
              </w:rPr>
              <w:t>α</w:t>
            </w:r>
          </w:p>
        </w:tc>
      </w:tr>
      <w:tr w:rsidR="000A2468" w14:paraId="527B793E" w14:textId="77777777" w:rsidTr="002F5B6A">
        <w:tc>
          <w:tcPr>
            <w:tcW w:w="9328" w:type="dxa"/>
            <w:gridSpan w:val="5"/>
          </w:tcPr>
          <w:p w14:paraId="7B8C5A91" w14:textId="4A7E136A" w:rsidR="000A2468" w:rsidRDefault="000A2468" w:rsidP="00037921">
            <w:pPr>
              <w:ind w:firstLine="0"/>
              <w:contextualSpacing/>
            </w:pPr>
            <w:r>
              <w:t>Новообразования, исключая НМРК</w:t>
            </w:r>
          </w:p>
        </w:tc>
      </w:tr>
      <w:tr w:rsidR="000A2468" w14:paraId="21E2BD99" w14:textId="77777777" w:rsidTr="00D462BD">
        <w:tc>
          <w:tcPr>
            <w:tcW w:w="2125" w:type="dxa"/>
          </w:tcPr>
          <w:p w14:paraId="65E71012" w14:textId="4686B163" w:rsidR="000A2468" w:rsidRDefault="000A2468" w:rsidP="000A2468">
            <w:pPr>
              <w:ind w:firstLine="0"/>
            </w:pPr>
            <w:r>
              <w:t>Частота (95% ДИ) на 100 пациенто-лет</w:t>
            </w:r>
          </w:p>
        </w:tc>
        <w:tc>
          <w:tcPr>
            <w:tcW w:w="1869" w:type="dxa"/>
            <w:vAlign w:val="center"/>
          </w:tcPr>
          <w:p w14:paraId="6C60667E" w14:textId="35C9297B" w:rsidR="000A2468" w:rsidRDefault="00811F3B" w:rsidP="00D462BD">
            <w:pPr>
              <w:ind w:firstLine="0"/>
              <w:jc w:val="center"/>
            </w:pPr>
            <w:r w:rsidRPr="00811F3B">
              <w:t>1</w:t>
            </w:r>
            <w:r w:rsidR="005858B1">
              <w:t>,</w:t>
            </w:r>
            <w:r w:rsidRPr="00811F3B">
              <w:t>13 (0</w:t>
            </w:r>
            <w:r w:rsidR="005858B1">
              <w:t>,</w:t>
            </w:r>
            <w:r w:rsidRPr="00811F3B">
              <w:t>87, 1</w:t>
            </w:r>
            <w:r w:rsidR="005858B1">
              <w:t>,</w:t>
            </w:r>
            <w:r w:rsidRPr="00811F3B">
              <w:t>45)</w:t>
            </w:r>
          </w:p>
        </w:tc>
        <w:tc>
          <w:tcPr>
            <w:tcW w:w="1869" w:type="dxa"/>
            <w:vAlign w:val="center"/>
          </w:tcPr>
          <w:p w14:paraId="4948D573" w14:textId="3488C45E" w:rsidR="000A2468" w:rsidRDefault="009D0941" w:rsidP="00D462BD">
            <w:pPr>
              <w:ind w:firstLine="0"/>
              <w:jc w:val="center"/>
            </w:pPr>
            <w:r w:rsidRPr="009D0941">
              <w:t>1</w:t>
            </w:r>
            <w:r w:rsidR="005858B1">
              <w:t>,</w:t>
            </w:r>
            <w:r w:rsidRPr="009D0941">
              <w:t>13 (0</w:t>
            </w:r>
            <w:r w:rsidR="005858B1">
              <w:t>,</w:t>
            </w:r>
            <w:r w:rsidRPr="009D0941">
              <w:t>86, 1</w:t>
            </w:r>
            <w:r w:rsidR="005858B1">
              <w:t>,</w:t>
            </w:r>
            <w:r w:rsidRPr="009D0941">
              <w:t>45)</w:t>
            </w:r>
          </w:p>
        </w:tc>
        <w:tc>
          <w:tcPr>
            <w:tcW w:w="1869" w:type="dxa"/>
            <w:vAlign w:val="center"/>
          </w:tcPr>
          <w:p w14:paraId="0A31895A" w14:textId="40009C15" w:rsidR="000A2468" w:rsidRDefault="008E0928" w:rsidP="00D462BD">
            <w:pPr>
              <w:ind w:firstLine="0"/>
              <w:jc w:val="center"/>
            </w:pPr>
            <w:r w:rsidRPr="008E0928">
              <w:t>1</w:t>
            </w:r>
            <w:r w:rsidR="005858B1">
              <w:t>,</w:t>
            </w:r>
            <w:r w:rsidRPr="008E0928">
              <w:t>13 (0</w:t>
            </w:r>
            <w:r w:rsidR="005858B1">
              <w:t>,</w:t>
            </w:r>
            <w:r w:rsidRPr="008E0928">
              <w:t>94, 1</w:t>
            </w:r>
            <w:r w:rsidR="005858B1">
              <w:t>,</w:t>
            </w:r>
            <w:r w:rsidRPr="008E0928">
              <w:t>35)</w:t>
            </w:r>
          </w:p>
        </w:tc>
        <w:tc>
          <w:tcPr>
            <w:tcW w:w="1596" w:type="dxa"/>
            <w:vAlign w:val="center"/>
          </w:tcPr>
          <w:p w14:paraId="296EFCBE" w14:textId="03C49BCE" w:rsidR="000A2468" w:rsidRDefault="00BF4123" w:rsidP="00D462BD">
            <w:pPr>
              <w:ind w:firstLine="0"/>
              <w:jc w:val="center"/>
            </w:pPr>
            <w:r w:rsidRPr="00BF4123">
              <w:t>0</w:t>
            </w:r>
            <w:r w:rsidR="005858B1">
              <w:t>,</w:t>
            </w:r>
            <w:r w:rsidRPr="00BF4123">
              <w:t>77 (0</w:t>
            </w:r>
            <w:r w:rsidR="005858B1">
              <w:t>,</w:t>
            </w:r>
            <w:r w:rsidRPr="00BF4123">
              <w:t>55, 1</w:t>
            </w:r>
            <w:r w:rsidR="005858B1">
              <w:t>,</w:t>
            </w:r>
            <w:r w:rsidRPr="00BF4123">
              <w:t>04)</w:t>
            </w:r>
          </w:p>
        </w:tc>
      </w:tr>
      <w:tr w:rsidR="000A2468" w14:paraId="3CE21740" w14:textId="77777777" w:rsidTr="00D462BD">
        <w:tc>
          <w:tcPr>
            <w:tcW w:w="2125" w:type="dxa"/>
          </w:tcPr>
          <w:p w14:paraId="12904F61" w14:textId="384FF8D5" w:rsidR="000A2468" w:rsidRDefault="000A2468" w:rsidP="000A2468">
            <w:pPr>
              <w:ind w:firstLine="0"/>
            </w:pPr>
            <w:r>
              <w:rPr>
                <w:lang w:val="en-US"/>
              </w:rPr>
              <w:t>HR</w:t>
            </w:r>
            <w:r w:rsidRPr="00DD470E">
              <w:t xml:space="preserve"> (95% </w:t>
            </w:r>
            <w:r>
              <w:t>ДИ) по отношению к и</w:t>
            </w:r>
            <w:r w:rsidRPr="00DD470E">
              <w:t>нгибитор</w:t>
            </w:r>
            <w:r>
              <w:t xml:space="preserve">ам </w:t>
            </w:r>
            <w:r w:rsidRPr="00DD470E">
              <w:t>TNF-α</w:t>
            </w:r>
          </w:p>
        </w:tc>
        <w:tc>
          <w:tcPr>
            <w:tcW w:w="1869" w:type="dxa"/>
            <w:vAlign w:val="center"/>
          </w:tcPr>
          <w:p w14:paraId="454209F0" w14:textId="02C65BF1" w:rsidR="000A2468" w:rsidRDefault="00811F3B" w:rsidP="00D462BD">
            <w:pPr>
              <w:ind w:firstLine="0"/>
              <w:jc w:val="center"/>
            </w:pPr>
            <w:r w:rsidRPr="00811F3B">
              <w:t>1</w:t>
            </w:r>
            <w:r w:rsidR="005858B1">
              <w:t>,</w:t>
            </w:r>
            <w:r w:rsidRPr="00811F3B">
              <w:t>47 (1</w:t>
            </w:r>
            <w:r w:rsidR="005858B1">
              <w:t>,</w:t>
            </w:r>
            <w:r w:rsidRPr="00811F3B">
              <w:t>00, 2</w:t>
            </w:r>
            <w:r w:rsidR="005858B1">
              <w:t>,</w:t>
            </w:r>
            <w:r w:rsidRPr="00811F3B">
              <w:t>18)</w:t>
            </w:r>
          </w:p>
        </w:tc>
        <w:tc>
          <w:tcPr>
            <w:tcW w:w="1869" w:type="dxa"/>
            <w:vAlign w:val="center"/>
          </w:tcPr>
          <w:p w14:paraId="118423E4" w14:textId="0672480D" w:rsidR="000A2468" w:rsidRDefault="005B73BA" w:rsidP="00D462BD">
            <w:pPr>
              <w:ind w:firstLine="0"/>
              <w:jc w:val="center"/>
            </w:pPr>
            <w:r w:rsidRPr="005B73BA">
              <w:t>1</w:t>
            </w:r>
            <w:r w:rsidR="005858B1">
              <w:t>,</w:t>
            </w:r>
            <w:r w:rsidRPr="005B73BA">
              <w:t>48 (1</w:t>
            </w:r>
            <w:r w:rsidR="005858B1">
              <w:t>,</w:t>
            </w:r>
            <w:r w:rsidRPr="005B73BA">
              <w:t>00, 2</w:t>
            </w:r>
            <w:r w:rsidR="005858B1">
              <w:t>,</w:t>
            </w:r>
            <w:r w:rsidRPr="005B73BA">
              <w:t>19)</w:t>
            </w:r>
          </w:p>
        </w:tc>
        <w:tc>
          <w:tcPr>
            <w:tcW w:w="1869" w:type="dxa"/>
            <w:vAlign w:val="center"/>
          </w:tcPr>
          <w:p w14:paraId="1561A44B" w14:textId="2240B02E" w:rsidR="000A2468" w:rsidRDefault="008E0928" w:rsidP="00D462BD">
            <w:pPr>
              <w:ind w:firstLine="0"/>
              <w:jc w:val="center"/>
            </w:pPr>
            <w:r w:rsidRPr="008E0928">
              <w:t>1</w:t>
            </w:r>
            <w:r w:rsidR="005858B1">
              <w:t>,</w:t>
            </w:r>
            <w:r w:rsidRPr="008E0928">
              <w:t>48 (1</w:t>
            </w:r>
            <w:r w:rsidR="005858B1">
              <w:t>,</w:t>
            </w:r>
            <w:r w:rsidRPr="008E0928">
              <w:t>04, 2</w:t>
            </w:r>
            <w:r w:rsidR="005858B1">
              <w:t>,</w:t>
            </w:r>
            <w:r w:rsidRPr="008E0928">
              <w:t>09)</w:t>
            </w:r>
          </w:p>
        </w:tc>
        <w:tc>
          <w:tcPr>
            <w:tcW w:w="1596" w:type="dxa"/>
            <w:vAlign w:val="center"/>
          </w:tcPr>
          <w:p w14:paraId="5DE88924" w14:textId="6030E529" w:rsidR="000A2468" w:rsidRDefault="005858B1" w:rsidP="00D462BD">
            <w:pPr>
              <w:ind w:firstLine="0"/>
              <w:jc w:val="center"/>
            </w:pPr>
            <w:r>
              <w:t>нп</w:t>
            </w:r>
          </w:p>
        </w:tc>
      </w:tr>
      <w:tr w:rsidR="000A2468" w14:paraId="1915020C" w14:textId="77777777" w:rsidTr="002F5B6A">
        <w:tc>
          <w:tcPr>
            <w:tcW w:w="9328" w:type="dxa"/>
            <w:gridSpan w:val="5"/>
          </w:tcPr>
          <w:p w14:paraId="0143976E" w14:textId="334BD6D9" w:rsidR="000A2468" w:rsidRDefault="000A2468" w:rsidP="000A2468">
            <w:pPr>
              <w:ind w:firstLine="0"/>
            </w:pPr>
            <w:r>
              <w:t>Рак легких</w:t>
            </w:r>
          </w:p>
        </w:tc>
      </w:tr>
      <w:tr w:rsidR="000A2468" w14:paraId="458F4720" w14:textId="77777777" w:rsidTr="00D462BD">
        <w:tc>
          <w:tcPr>
            <w:tcW w:w="2125" w:type="dxa"/>
          </w:tcPr>
          <w:p w14:paraId="55FC4AD8" w14:textId="7115AE10" w:rsidR="000A2468" w:rsidRDefault="000A2468" w:rsidP="000A2468">
            <w:pPr>
              <w:ind w:firstLine="0"/>
            </w:pPr>
            <w:r>
              <w:t>Частота (95% ДИ) на 100 пациенто-лет</w:t>
            </w:r>
          </w:p>
        </w:tc>
        <w:tc>
          <w:tcPr>
            <w:tcW w:w="1869" w:type="dxa"/>
            <w:vAlign w:val="center"/>
          </w:tcPr>
          <w:p w14:paraId="4AD0268F" w14:textId="40CE47F8" w:rsidR="000A2468" w:rsidRDefault="00811F3B" w:rsidP="00D462BD">
            <w:pPr>
              <w:ind w:firstLine="0"/>
              <w:jc w:val="center"/>
            </w:pPr>
            <w:r w:rsidRPr="00811F3B">
              <w:t>0</w:t>
            </w:r>
            <w:r w:rsidR="005858B1">
              <w:t>,</w:t>
            </w:r>
            <w:r w:rsidRPr="00811F3B">
              <w:t>23 (0</w:t>
            </w:r>
            <w:r w:rsidR="005858B1">
              <w:t>,</w:t>
            </w:r>
            <w:r w:rsidRPr="00811F3B">
              <w:t>12, 0</w:t>
            </w:r>
            <w:r w:rsidR="005858B1">
              <w:t>,</w:t>
            </w:r>
            <w:r w:rsidRPr="00811F3B">
              <w:t>40)</w:t>
            </w:r>
          </w:p>
        </w:tc>
        <w:tc>
          <w:tcPr>
            <w:tcW w:w="1869" w:type="dxa"/>
            <w:vAlign w:val="center"/>
          </w:tcPr>
          <w:p w14:paraId="2E641544" w14:textId="3B68AFC7" w:rsidR="000A2468" w:rsidRDefault="005B73BA" w:rsidP="00D462BD">
            <w:pPr>
              <w:ind w:firstLine="0"/>
              <w:jc w:val="center"/>
            </w:pPr>
            <w:r w:rsidRPr="005B73BA">
              <w:t>0</w:t>
            </w:r>
            <w:r w:rsidR="005858B1">
              <w:t>,</w:t>
            </w:r>
            <w:r w:rsidRPr="005B73BA">
              <w:t>32 (0</w:t>
            </w:r>
            <w:r w:rsidR="005858B1">
              <w:t>,</w:t>
            </w:r>
            <w:r w:rsidRPr="005B73BA">
              <w:t>18, 0</w:t>
            </w:r>
            <w:r w:rsidR="005858B1">
              <w:t>,</w:t>
            </w:r>
            <w:r w:rsidRPr="005B73BA">
              <w:t>51)</w:t>
            </w:r>
          </w:p>
        </w:tc>
        <w:tc>
          <w:tcPr>
            <w:tcW w:w="1869" w:type="dxa"/>
            <w:vAlign w:val="center"/>
          </w:tcPr>
          <w:p w14:paraId="509098F6" w14:textId="331AF500" w:rsidR="000A2468" w:rsidRDefault="008E0928" w:rsidP="00D462BD">
            <w:pPr>
              <w:ind w:firstLine="0"/>
              <w:jc w:val="center"/>
            </w:pPr>
            <w:r w:rsidRPr="008E0928">
              <w:t>0</w:t>
            </w:r>
            <w:r w:rsidR="005858B1">
              <w:t>,</w:t>
            </w:r>
            <w:r w:rsidRPr="008E0928">
              <w:t>28 (0</w:t>
            </w:r>
            <w:r w:rsidR="005858B1">
              <w:t>,</w:t>
            </w:r>
            <w:r w:rsidRPr="008E0928">
              <w:t>19, 0</w:t>
            </w:r>
            <w:r w:rsidR="005858B1">
              <w:t>,</w:t>
            </w:r>
            <w:r w:rsidRPr="008E0928">
              <w:t>39)</w:t>
            </w:r>
          </w:p>
        </w:tc>
        <w:tc>
          <w:tcPr>
            <w:tcW w:w="1596" w:type="dxa"/>
            <w:vAlign w:val="center"/>
          </w:tcPr>
          <w:p w14:paraId="5648E53D" w14:textId="3E417E5C" w:rsidR="000A2468" w:rsidRDefault="005858B1" w:rsidP="00D462BD">
            <w:pPr>
              <w:ind w:firstLine="0"/>
              <w:jc w:val="center"/>
            </w:pPr>
            <w:r w:rsidRPr="005858B1">
              <w:t>0</w:t>
            </w:r>
            <w:r>
              <w:t>,</w:t>
            </w:r>
            <w:r w:rsidRPr="005858B1">
              <w:t>13 (0</w:t>
            </w:r>
            <w:r>
              <w:t>,</w:t>
            </w:r>
            <w:r w:rsidRPr="005858B1">
              <w:t>05, 0</w:t>
            </w:r>
            <w:r>
              <w:t>,</w:t>
            </w:r>
            <w:r w:rsidRPr="005858B1">
              <w:t>26)</w:t>
            </w:r>
          </w:p>
        </w:tc>
      </w:tr>
      <w:tr w:rsidR="000A2468" w14:paraId="64A804A1" w14:textId="77777777" w:rsidTr="00D462BD">
        <w:tc>
          <w:tcPr>
            <w:tcW w:w="2125" w:type="dxa"/>
          </w:tcPr>
          <w:p w14:paraId="24A87B08" w14:textId="67C393D8" w:rsidR="000A2468" w:rsidRDefault="000A2468" w:rsidP="000A2468">
            <w:pPr>
              <w:ind w:firstLine="0"/>
            </w:pPr>
            <w:r>
              <w:rPr>
                <w:lang w:val="en-US"/>
              </w:rPr>
              <w:t>HR</w:t>
            </w:r>
            <w:r w:rsidRPr="00DD470E">
              <w:t xml:space="preserve"> (95% </w:t>
            </w:r>
            <w:r>
              <w:t>ДИ) по отношению к и</w:t>
            </w:r>
            <w:r w:rsidRPr="00DD470E">
              <w:t>нгибитор</w:t>
            </w:r>
            <w:r>
              <w:t xml:space="preserve">ам </w:t>
            </w:r>
            <w:r w:rsidRPr="00DD470E">
              <w:t>TNF-α</w:t>
            </w:r>
          </w:p>
        </w:tc>
        <w:tc>
          <w:tcPr>
            <w:tcW w:w="1869" w:type="dxa"/>
            <w:vAlign w:val="center"/>
          </w:tcPr>
          <w:p w14:paraId="6E84A4AA" w14:textId="2CAD211C" w:rsidR="000A2468" w:rsidRDefault="00811F3B" w:rsidP="00D462BD">
            <w:pPr>
              <w:ind w:firstLine="0"/>
              <w:jc w:val="center"/>
            </w:pPr>
            <w:r w:rsidRPr="00811F3B">
              <w:t>1</w:t>
            </w:r>
            <w:r w:rsidR="005858B1">
              <w:t>,</w:t>
            </w:r>
            <w:r w:rsidRPr="00811F3B">
              <w:t>84 (0</w:t>
            </w:r>
            <w:r w:rsidR="005858B1">
              <w:t>,</w:t>
            </w:r>
            <w:r w:rsidRPr="00811F3B">
              <w:t>74, 4</w:t>
            </w:r>
            <w:r w:rsidR="005858B1">
              <w:t>,</w:t>
            </w:r>
            <w:r w:rsidRPr="00811F3B">
              <w:t>62)</w:t>
            </w:r>
          </w:p>
        </w:tc>
        <w:tc>
          <w:tcPr>
            <w:tcW w:w="1869" w:type="dxa"/>
            <w:vAlign w:val="center"/>
          </w:tcPr>
          <w:p w14:paraId="71AE07E3" w14:textId="42C21C2A" w:rsidR="000A2468" w:rsidRDefault="005B73BA" w:rsidP="00D462BD">
            <w:pPr>
              <w:ind w:firstLine="0"/>
              <w:jc w:val="center"/>
            </w:pPr>
            <w:r w:rsidRPr="005B73BA">
              <w:t>2</w:t>
            </w:r>
            <w:r w:rsidR="005858B1">
              <w:t>,</w:t>
            </w:r>
            <w:r w:rsidRPr="005B73BA">
              <w:t>50 (1</w:t>
            </w:r>
            <w:r w:rsidR="005858B1">
              <w:t>,</w:t>
            </w:r>
            <w:r w:rsidRPr="005B73BA">
              <w:t>04, 6</w:t>
            </w:r>
            <w:r w:rsidR="005858B1">
              <w:t>,</w:t>
            </w:r>
            <w:r w:rsidRPr="005B73BA">
              <w:t>02)</w:t>
            </w:r>
          </w:p>
        </w:tc>
        <w:tc>
          <w:tcPr>
            <w:tcW w:w="1869" w:type="dxa"/>
            <w:vAlign w:val="center"/>
          </w:tcPr>
          <w:p w14:paraId="3C7192AA" w14:textId="3457BFCB" w:rsidR="000A2468" w:rsidRDefault="00BF4123" w:rsidP="00D462BD">
            <w:pPr>
              <w:ind w:firstLine="0"/>
              <w:jc w:val="center"/>
            </w:pPr>
            <w:r w:rsidRPr="00BF4123">
              <w:t>2</w:t>
            </w:r>
            <w:r w:rsidR="005858B1">
              <w:t>,</w:t>
            </w:r>
            <w:r w:rsidRPr="00BF4123">
              <w:t>17 (0</w:t>
            </w:r>
            <w:r w:rsidR="005858B1">
              <w:t>,</w:t>
            </w:r>
            <w:r w:rsidRPr="00BF4123">
              <w:t>95, 4</w:t>
            </w:r>
            <w:r w:rsidR="005858B1">
              <w:t>,</w:t>
            </w:r>
            <w:r w:rsidRPr="00BF4123">
              <w:t>93)</w:t>
            </w:r>
          </w:p>
        </w:tc>
        <w:tc>
          <w:tcPr>
            <w:tcW w:w="1596" w:type="dxa"/>
            <w:vAlign w:val="center"/>
          </w:tcPr>
          <w:p w14:paraId="6C145FB1" w14:textId="0FF0A688" w:rsidR="000A2468" w:rsidRDefault="005858B1" w:rsidP="00D462BD">
            <w:pPr>
              <w:ind w:firstLine="0"/>
              <w:jc w:val="center"/>
            </w:pPr>
            <w:r>
              <w:t>нп</w:t>
            </w:r>
          </w:p>
        </w:tc>
      </w:tr>
      <w:tr w:rsidR="000A2468" w14:paraId="1481819F" w14:textId="77777777" w:rsidTr="002F5B6A">
        <w:tc>
          <w:tcPr>
            <w:tcW w:w="9328" w:type="dxa"/>
            <w:gridSpan w:val="5"/>
          </w:tcPr>
          <w:p w14:paraId="55E02F40" w14:textId="02C94889" w:rsidR="000A2468" w:rsidRDefault="000A2468" w:rsidP="000A2468">
            <w:pPr>
              <w:ind w:firstLine="0"/>
            </w:pPr>
            <w:r>
              <w:t>Лимфома</w:t>
            </w:r>
          </w:p>
        </w:tc>
      </w:tr>
      <w:tr w:rsidR="000A2468" w14:paraId="283C714A" w14:textId="77777777" w:rsidTr="00D462BD">
        <w:tc>
          <w:tcPr>
            <w:tcW w:w="2125" w:type="dxa"/>
          </w:tcPr>
          <w:p w14:paraId="0EC1C981" w14:textId="7EAD6C14" w:rsidR="000A2468" w:rsidRDefault="000A2468" w:rsidP="000A2468">
            <w:pPr>
              <w:ind w:firstLine="0"/>
            </w:pPr>
            <w:r>
              <w:t>Частота (95% ДИ) на 100 пациенто-лет</w:t>
            </w:r>
          </w:p>
        </w:tc>
        <w:tc>
          <w:tcPr>
            <w:tcW w:w="1869" w:type="dxa"/>
            <w:vAlign w:val="center"/>
          </w:tcPr>
          <w:p w14:paraId="3B5C1907" w14:textId="5A1D708A" w:rsidR="000A2468" w:rsidRDefault="009D0941" w:rsidP="00D462BD">
            <w:pPr>
              <w:ind w:firstLine="0"/>
              <w:jc w:val="center"/>
            </w:pPr>
            <w:r w:rsidRPr="009D0941">
              <w:t>0</w:t>
            </w:r>
            <w:r w:rsidR="005858B1">
              <w:t>,</w:t>
            </w:r>
            <w:r w:rsidRPr="009D0941">
              <w:t>07 (0</w:t>
            </w:r>
            <w:r w:rsidR="005858B1">
              <w:t>,</w:t>
            </w:r>
            <w:r w:rsidRPr="009D0941">
              <w:t>02, 0</w:t>
            </w:r>
            <w:r w:rsidR="005858B1">
              <w:t>,</w:t>
            </w:r>
            <w:r w:rsidRPr="009D0941">
              <w:t>18)</w:t>
            </w:r>
          </w:p>
        </w:tc>
        <w:tc>
          <w:tcPr>
            <w:tcW w:w="1869" w:type="dxa"/>
            <w:vAlign w:val="center"/>
          </w:tcPr>
          <w:p w14:paraId="5739001A" w14:textId="4387070D" w:rsidR="000A2468" w:rsidRDefault="005B73BA" w:rsidP="00D462BD">
            <w:pPr>
              <w:ind w:firstLine="0"/>
              <w:jc w:val="center"/>
            </w:pPr>
            <w:r w:rsidRPr="005B73BA">
              <w:t>0</w:t>
            </w:r>
            <w:r w:rsidR="005858B1">
              <w:t>,</w:t>
            </w:r>
            <w:r w:rsidRPr="005B73BA">
              <w:t>11 (0</w:t>
            </w:r>
            <w:r w:rsidR="005858B1">
              <w:t>,</w:t>
            </w:r>
            <w:r w:rsidRPr="005B73BA">
              <w:t>04, 0</w:t>
            </w:r>
            <w:r w:rsidR="005858B1">
              <w:t>,</w:t>
            </w:r>
            <w:r w:rsidRPr="005B73BA">
              <w:t>24)</w:t>
            </w:r>
          </w:p>
        </w:tc>
        <w:tc>
          <w:tcPr>
            <w:tcW w:w="1869" w:type="dxa"/>
            <w:vAlign w:val="center"/>
          </w:tcPr>
          <w:p w14:paraId="40C5C820" w14:textId="434423AA" w:rsidR="000A2468" w:rsidRDefault="00BF4123" w:rsidP="00D462BD">
            <w:pPr>
              <w:ind w:firstLine="0"/>
              <w:jc w:val="center"/>
            </w:pPr>
            <w:r w:rsidRPr="00BF4123">
              <w:t>0</w:t>
            </w:r>
            <w:r w:rsidR="005858B1">
              <w:t>,</w:t>
            </w:r>
            <w:r w:rsidRPr="00BF4123">
              <w:t>09 (0</w:t>
            </w:r>
            <w:r w:rsidR="005858B1">
              <w:t>,</w:t>
            </w:r>
            <w:r w:rsidRPr="00BF4123">
              <w:t>04, 0</w:t>
            </w:r>
            <w:r w:rsidR="005858B1">
              <w:t>,</w:t>
            </w:r>
            <w:r w:rsidRPr="00BF4123">
              <w:t>17)</w:t>
            </w:r>
          </w:p>
        </w:tc>
        <w:tc>
          <w:tcPr>
            <w:tcW w:w="1596" w:type="dxa"/>
            <w:vAlign w:val="center"/>
          </w:tcPr>
          <w:p w14:paraId="7E9B55ED" w14:textId="0C980EF7" w:rsidR="000A2468" w:rsidRDefault="005858B1" w:rsidP="00D462BD">
            <w:pPr>
              <w:ind w:firstLine="0"/>
              <w:jc w:val="center"/>
            </w:pPr>
            <w:r w:rsidRPr="005858B1">
              <w:t>0</w:t>
            </w:r>
            <w:r>
              <w:t>,</w:t>
            </w:r>
            <w:r w:rsidRPr="005858B1">
              <w:t>02 (0</w:t>
            </w:r>
            <w:r>
              <w:t>,</w:t>
            </w:r>
            <w:r w:rsidRPr="005858B1">
              <w:t>00, 0</w:t>
            </w:r>
            <w:r>
              <w:t>,</w:t>
            </w:r>
            <w:r w:rsidRPr="005858B1">
              <w:t>10)</w:t>
            </w:r>
          </w:p>
        </w:tc>
      </w:tr>
      <w:tr w:rsidR="000A2468" w14:paraId="34B7343B" w14:textId="77777777" w:rsidTr="00D462BD">
        <w:tc>
          <w:tcPr>
            <w:tcW w:w="2125" w:type="dxa"/>
          </w:tcPr>
          <w:p w14:paraId="72F7AC8D" w14:textId="5E1836E5" w:rsidR="000A2468" w:rsidRDefault="000A2468" w:rsidP="000A2468">
            <w:pPr>
              <w:ind w:firstLine="0"/>
            </w:pPr>
            <w:r>
              <w:rPr>
                <w:lang w:val="en-US"/>
              </w:rPr>
              <w:t>HR</w:t>
            </w:r>
            <w:r w:rsidRPr="00DD470E">
              <w:t xml:space="preserve"> (95% </w:t>
            </w:r>
            <w:r>
              <w:t>ДИ) по отношению к и</w:t>
            </w:r>
            <w:r w:rsidRPr="00DD470E">
              <w:t>нгибитор</w:t>
            </w:r>
            <w:r>
              <w:t xml:space="preserve">ам </w:t>
            </w:r>
            <w:r w:rsidRPr="00DD470E">
              <w:t>TNF-α</w:t>
            </w:r>
          </w:p>
        </w:tc>
        <w:tc>
          <w:tcPr>
            <w:tcW w:w="1869" w:type="dxa"/>
            <w:vAlign w:val="center"/>
          </w:tcPr>
          <w:p w14:paraId="22A39A0E" w14:textId="56C97E4A" w:rsidR="000A2468" w:rsidRDefault="009D0941" w:rsidP="00D462BD">
            <w:pPr>
              <w:ind w:firstLine="0"/>
              <w:jc w:val="center"/>
            </w:pPr>
            <w:r w:rsidRPr="009D0941">
              <w:t>3</w:t>
            </w:r>
            <w:r w:rsidR="005858B1">
              <w:t>,</w:t>
            </w:r>
            <w:r w:rsidRPr="009D0941">
              <w:t>99 (0</w:t>
            </w:r>
            <w:r w:rsidR="005858B1">
              <w:t>,</w:t>
            </w:r>
            <w:r w:rsidRPr="009D0941">
              <w:t>45, 35</w:t>
            </w:r>
            <w:r w:rsidR="005858B1">
              <w:t>,</w:t>
            </w:r>
            <w:r w:rsidRPr="009D0941">
              <w:t>70)</w:t>
            </w:r>
          </w:p>
        </w:tc>
        <w:tc>
          <w:tcPr>
            <w:tcW w:w="1869" w:type="dxa"/>
            <w:vAlign w:val="center"/>
          </w:tcPr>
          <w:p w14:paraId="7959D63C" w14:textId="6F683707" w:rsidR="000A2468" w:rsidRDefault="008E0928" w:rsidP="00D462BD">
            <w:pPr>
              <w:ind w:firstLine="0"/>
              <w:jc w:val="center"/>
            </w:pPr>
            <w:r w:rsidRPr="008E0928">
              <w:t>6</w:t>
            </w:r>
            <w:r w:rsidR="005858B1">
              <w:t>,</w:t>
            </w:r>
            <w:r w:rsidRPr="008E0928">
              <w:t>24 (0</w:t>
            </w:r>
            <w:r w:rsidR="005858B1">
              <w:t>,</w:t>
            </w:r>
            <w:r w:rsidRPr="008E0928">
              <w:t>75, 51</w:t>
            </w:r>
            <w:r w:rsidR="005858B1">
              <w:t>,</w:t>
            </w:r>
            <w:r w:rsidRPr="008E0928">
              <w:t>86)</w:t>
            </w:r>
          </w:p>
        </w:tc>
        <w:tc>
          <w:tcPr>
            <w:tcW w:w="1869" w:type="dxa"/>
            <w:vAlign w:val="center"/>
          </w:tcPr>
          <w:p w14:paraId="067CC31F" w14:textId="00C8D220" w:rsidR="000A2468" w:rsidRDefault="00BF4123" w:rsidP="00D462BD">
            <w:pPr>
              <w:ind w:firstLine="0"/>
              <w:jc w:val="center"/>
            </w:pPr>
            <w:r w:rsidRPr="00BF4123">
              <w:t>5</w:t>
            </w:r>
            <w:r w:rsidR="005858B1">
              <w:t>,</w:t>
            </w:r>
            <w:r w:rsidRPr="00BF4123">
              <w:t>09 (0</w:t>
            </w:r>
            <w:r w:rsidR="005858B1">
              <w:t>,</w:t>
            </w:r>
            <w:r w:rsidRPr="00BF4123">
              <w:t>65, 39</w:t>
            </w:r>
            <w:r w:rsidR="005858B1">
              <w:t>,</w:t>
            </w:r>
            <w:r w:rsidRPr="00BF4123">
              <w:t>78)</w:t>
            </w:r>
          </w:p>
        </w:tc>
        <w:tc>
          <w:tcPr>
            <w:tcW w:w="1596" w:type="dxa"/>
            <w:vAlign w:val="center"/>
          </w:tcPr>
          <w:p w14:paraId="7B563188" w14:textId="491075C2" w:rsidR="000A2468" w:rsidRDefault="005858B1" w:rsidP="00D462BD">
            <w:pPr>
              <w:ind w:firstLine="0"/>
              <w:jc w:val="center"/>
            </w:pPr>
            <w:r>
              <w:t>нп</w:t>
            </w:r>
          </w:p>
        </w:tc>
      </w:tr>
      <w:tr w:rsidR="00037921" w14:paraId="18B2E005" w14:textId="77777777" w:rsidTr="002F5B6A">
        <w:tc>
          <w:tcPr>
            <w:tcW w:w="9328" w:type="dxa"/>
            <w:gridSpan w:val="5"/>
          </w:tcPr>
          <w:p w14:paraId="1C1CFDC8" w14:textId="664B8FBF" w:rsidR="00037921" w:rsidRPr="00037921" w:rsidRDefault="00037921" w:rsidP="00037921">
            <w:pPr>
              <w:pStyle w:val="SDcomments"/>
              <w:ind w:firstLine="0"/>
              <w:contextualSpacing/>
              <w:rPr>
                <w:b/>
                <w:iCs/>
              </w:rPr>
            </w:pPr>
            <w:r w:rsidRPr="00037921">
              <w:rPr>
                <w:b/>
                <w:iCs/>
              </w:rPr>
              <w:t>Примечани</w:t>
            </w:r>
            <w:r w:rsidR="002F5B6A">
              <w:rPr>
                <w:b/>
                <w:iCs/>
              </w:rPr>
              <w:t>е</w:t>
            </w:r>
            <w:r w:rsidRPr="00037921">
              <w:rPr>
                <w:b/>
                <w:iCs/>
              </w:rPr>
              <w:t>:</w:t>
            </w:r>
          </w:p>
          <w:p w14:paraId="70160B0D" w14:textId="1F40B368" w:rsidR="00037921" w:rsidRDefault="00037921" w:rsidP="00037921">
            <w:pPr>
              <w:pStyle w:val="SDcomments"/>
              <w:ind w:firstLine="0"/>
              <w:contextualSpacing/>
            </w:pPr>
            <w:r w:rsidRPr="00785F02">
              <w:t>HR</w:t>
            </w:r>
            <w:r>
              <w:t xml:space="preserve"> – отношение рисков (</w:t>
            </w:r>
            <w:r>
              <w:rPr>
                <w:lang w:val="en-US"/>
              </w:rPr>
              <w:t>hazard</w:t>
            </w:r>
            <w:r w:rsidRPr="002D42C3">
              <w:t xml:space="preserve"> </w:t>
            </w:r>
            <w:r>
              <w:rPr>
                <w:lang w:val="en-US"/>
              </w:rPr>
              <w:t>ratio</w:t>
            </w:r>
            <w:r w:rsidRPr="002D42C3">
              <w:t>)</w:t>
            </w:r>
            <w:r>
              <w:t xml:space="preserve">; НМРК – немеланомный рак кожи; РА – ревматоидный артрит; </w:t>
            </w:r>
            <w:r w:rsidRPr="002D42C3">
              <w:t>TNF-α</w:t>
            </w:r>
            <w:r>
              <w:t xml:space="preserve"> – фактор некроза опухоли-</w:t>
            </w:r>
            <w:r>
              <w:rPr>
                <w:rFonts w:cs="Times New Roman"/>
              </w:rPr>
              <w:t>α</w:t>
            </w:r>
            <w:r>
              <w:t xml:space="preserve"> (</w:t>
            </w:r>
            <w:r>
              <w:rPr>
                <w:lang w:val="en-US"/>
              </w:rPr>
              <w:t>factor</w:t>
            </w:r>
            <w:r w:rsidRPr="005B7363">
              <w:t xml:space="preserve"> </w:t>
            </w:r>
            <w:r>
              <w:rPr>
                <w:lang w:val="en-US"/>
              </w:rPr>
              <w:t>necrosis</w:t>
            </w:r>
            <w:r w:rsidRPr="005B7363">
              <w:t xml:space="preserve"> </w:t>
            </w:r>
            <w:r>
              <w:rPr>
                <w:lang w:val="en-US"/>
              </w:rPr>
              <w:t>tumor</w:t>
            </w:r>
            <w:r w:rsidRPr="005B7363">
              <w:t>-</w:t>
            </w:r>
            <w:r>
              <w:rPr>
                <w:rFonts w:cs="Times New Roman"/>
              </w:rPr>
              <w:t>α</w:t>
            </w:r>
            <w:r w:rsidRPr="005B7363">
              <w:t>)</w:t>
            </w:r>
            <w:r>
              <w:t>; ДИ – доверительный интервал; нп – не применимо.</w:t>
            </w:r>
          </w:p>
        </w:tc>
      </w:tr>
    </w:tbl>
    <w:p w14:paraId="7D921D31" w14:textId="635365B9" w:rsidR="008F403E" w:rsidRDefault="008F403E" w:rsidP="00037921">
      <w:pPr>
        <w:pStyle w:val="SDText"/>
        <w:contextualSpacing/>
      </w:pPr>
    </w:p>
    <w:p w14:paraId="11725EB9" w14:textId="65BF227A" w:rsidR="00A72314" w:rsidRDefault="00A72314" w:rsidP="00037921">
      <w:pPr>
        <w:pStyle w:val="SDText"/>
        <w:contextualSpacing/>
      </w:pPr>
      <w:r>
        <w:t>С помощью многофакторной модели Кокса с пошаговым исключением выделили следующие прогностические факторы для развития новообразований, исключая НМРК</w:t>
      </w:r>
      <w:r w:rsidR="00E319F2">
        <w:t xml:space="preserve">: возраст </w:t>
      </w:r>
      <w:r w:rsidR="00E319F2">
        <w:rPr>
          <w:rFonts w:cs="Times New Roman"/>
        </w:rPr>
        <w:t>≥</w:t>
      </w:r>
      <w:r w:rsidR="00E319F2">
        <w:t xml:space="preserve"> 60 лет, курение в настоящее время или в анамнезе </w:t>
      </w:r>
      <w:r w:rsidR="00E319F2">
        <w:fldChar w:fldCharType="begin"/>
      </w:r>
      <w:r w:rsidR="008D5290">
        <w:instrText xml:space="preserve"> ADDIN ZOTERO_ITEM CSL_CITATION {"citationID":"hfmmqmrr","properties":{"formattedCitation":"[24]","plainCitation":"[24]","noteIndex":0},"citationItems":[{"id":87800,"uris":["http://zotero.org/groups/4742804/items/TPCQ89X9"],"itemData":{"id":87800,"type":"webpage","title":"Xeljanz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E319F2">
        <w:fldChar w:fldCharType="separate"/>
      </w:r>
      <w:r w:rsidR="00DE2C35">
        <w:rPr>
          <w:rFonts w:cs="Times New Roman"/>
        </w:rPr>
        <w:t>[2</w:t>
      </w:r>
      <w:r w:rsidR="008D5290" w:rsidRPr="008D5290">
        <w:rPr>
          <w:rFonts w:cs="Times New Roman"/>
        </w:rPr>
        <w:t>]</w:t>
      </w:r>
      <w:r w:rsidR="00E319F2">
        <w:fldChar w:fldCharType="end"/>
      </w:r>
      <w:r w:rsidR="00E319F2">
        <w:t>.</w:t>
      </w:r>
    </w:p>
    <w:p w14:paraId="709A9FBF" w14:textId="424B514D" w:rsidR="003667BE" w:rsidRPr="003667BE" w:rsidRDefault="003667BE" w:rsidP="00D462BD">
      <w:pPr>
        <w:pStyle w:val="SDText"/>
        <w:ind w:firstLine="0"/>
        <w:contextualSpacing/>
        <w:rPr>
          <w:b/>
          <w:i/>
        </w:rPr>
      </w:pPr>
      <w:r w:rsidRPr="003667BE">
        <w:rPr>
          <w:b/>
          <w:i/>
        </w:rPr>
        <w:t>Венозная тромбоэмболия</w:t>
      </w:r>
    </w:p>
    <w:p w14:paraId="5BD1A6FF" w14:textId="24296802" w:rsidR="00E319F2" w:rsidRDefault="002D6819" w:rsidP="00037921">
      <w:pPr>
        <w:pStyle w:val="SDText"/>
        <w:contextualSpacing/>
      </w:pPr>
      <w:r>
        <w:t xml:space="preserve">В </w:t>
      </w:r>
      <w:r w:rsidR="004737E1">
        <w:t xml:space="preserve">ходе </w:t>
      </w:r>
      <w:r>
        <w:t>промежуточно</w:t>
      </w:r>
      <w:r w:rsidR="004737E1">
        <w:t>го</w:t>
      </w:r>
      <w:r>
        <w:t xml:space="preserve"> анализ</w:t>
      </w:r>
      <w:r w:rsidR="004737E1">
        <w:t>а</w:t>
      </w:r>
      <w:r>
        <w:t xml:space="preserve"> </w:t>
      </w:r>
      <w:r w:rsidR="004737E1">
        <w:t xml:space="preserve">результатов </w:t>
      </w:r>
      <w:r>
        <w:t>исследования A3921133 повышенн</w:t>
      </w:r>
      <w:r w:rsidR="004737E1">
        <w:t>ую</w:t>
      </w:r>
      <w:r>
        <w:t xml:space="preserve"> и дозозависим</w:t>
      </w:r>
      <w:r w:rsidR="004737E1">
        <w:t>ую</w:t>
      </w:r>
      <w:r>
        <w:t xml:space="preserve"> заболеваемость ВТЭ </w:t>
      </w:r>
      <w:r w:rsidR="004737E1">
        <w:t>отмечали</w:t>
      </w:r>
      <w:r>
        <w:t xml:space="preserve"> у пациентов, получавших тофацитиниб, по сравнению с ингибиторами </w:t>
      </w:r>
      <w:r w:rsidR="004737E1" w:rsidRPr="00DD470E">
        <w:t>TNF-α</w:t>
      </w:r>
      <w:r w:rsidR="004737E1">
        <w:t xml:space="preserve">, </w:t>
      </w:r>
      <w:r>
        <w:t xml:space="preserve">большинство этих событий были серьезными, а </w:t>
      </w:r>
      <w:r>
        <w:lastRenderedPageBreak/>
        <w:t xml:space="preserve">некоторые случаи ТЭЛА привели к смерти. </w:t>
      </w:r>
      <w:r w:rsidR="004737E1">
        <w:t>З</w:t>
      </w:r>
      <w:r>
        <w:t>аболеваемост</w:t>
      </w:r>
      <w:r w:rsidR="004737E1">
        <w:t xml:space="preserve">ь </w:t>
      </w:r>
      <w:r>
        <w:t xml:space="preserve">(95% ДИ) для ТЭЛА для тофацитиниба 10 мг два раза в день, 5 мг два раза в день и ингибиторов </w:t>
      </w:r>
      <w:r w:rsidR="004737E1" w:rsidRPr="00DD470E">
        <w:t>TNF-α</w:t>
      </w:r>
      <w:r w:rsidR="004737E1">
        <w:t xml:space="preserve"> составила </w:t>
      </w:r>
      <w:r>
        <w:t>0,54 (0,32–0,87), 0,27 (0,12–0,52) и 0,09 (0,02–0,26) на 100 пациенто-лет</w:t>
      </w:r>
      <w:r w:rsidR="004737E1">
        <w:t xml:space="preserve"> </w:t>
      </w:r>
      <w:r>
        <w:t xml:space="preserve">соответственно. По </w:t>
      </w:r>
      <w:r w:rsidR="0011176B">
        <w:t>отношению к значению показателя на фоне терапии</w:t>
      </w:r>
      <w:r>
        <w:t xml:space="preserve"> ингибиторами </w:t>
      </w:r>
      <w:r w:rsidR="004737E1" w:rsidRPr="00DD470E">
        <w:t>TNF-α</w:t>
      </w:r>
      <w:r>
        <w:t xml:space="preserve">, HR для ТЭЛА при </w:t>
      </w:r>
      <w:r w:rsidR="004737E1">
        <w:t>использовании</w:t>
      </w:r>
      <w:r>
        <w:t xml:space="preserve"> тофацитиниба в дозе 10 мг два раза в </w:t>
      </w:r>
      <w:r w:rsidR="0011176B">
        <w:t>день</w:t>
      </w:r>
      <w:r>
        <w:t xml:space="preserve"> </w:t>
      </w:r>
      <w:r w:rsidR="0011176B">
        <w:t>равнялось</w:t>
      </w:r>
      <w:r w:rsidR="004737E1">
        <w:t xml:space="preserve"> </w:t>
      </w:r>
      <w:r>
        <w:t>5,96 (1,75</w:t>
      </w:r>
      <w:r w:rsidR="009034FC">
        <w:t>–</w:t>
      </w:r>
      <w:r>
        <w:t xml:space="preserve">20,33), а для </w:t>
      </w:r>
      <w:r w:rsidR="0011176B">
        <w:t xml:space="preserve">дозы </w:t>
      </w:r>
      <w:r>
        <w:t>5 мг два раза в день</w:t>
      </w:r>
      <w:r w:rsidR="006C3B09">
        <w:t xml:space="preserve"> – </w:t>
      </w:r>
      <w:r>
        <w:t>2,99 (0,81</w:t>
      </w:r>
      <w:r w:rsidR="009034FC">
        <w:t>–</w:t>
      </w:r>
      <w:r>
        <w:t xml:space="preserve">11,06). </w:t>
      </w:r>
      <w:r w:rsidR="001D51C5">
        <w:t>З</w:t>
      </w:r>
      <w:r>
        <w:t>аболеваемост</w:t>
      </w:r>
      <w:r w:rsidR="001D51C5">
        <w:t>ь</w:t>
      </w:r>
      <w:r w:rsidR="004737E1">
        <w:t xml:space="preserve"> </w:t>
      </w:r>
      <w:r>
        <w:t xml:space="preserve">(95% ДИ) для ТГВ для тофацитиниба в дозе 10 мг два раза в день, 5 мг два раза в день и ингибиторов </w:t>
      </w:r>
      <w:r w:rsidR="001D51C5" w:rsidRPr="00DD470E">
        <w:t>TNF-α</w:t>
      </w:r>
      <w:r>
        <w:t xml:space="preserve"> составлял</w:t>
      </w:r>
      <w:r w:rsidR="001D51C5">
        <w:t>а</w:t>
      </w:r>
      <w:r>
        <w:t xml:space="preserve"> 0,38</w:t>
      </w:r>
      <w:r w:rsidR="001D51C5">
        <w:t xml:space="preserve"> </w:t>
      </w:r>
      <w:r>
        <w:t>(0,20–0,67), 0,30 (0,14–0,55) и 0,18 (0,07–0,39) на 100 пациенто-лет</w:t>
      </w:r>
      <w:r w:rsidR="004737E1">
        <w:t xml:space="preserve"> </w:t>
      </w:r>
      <w:r>
        <w:t xml:space="preserve">соответственно. </w:t>
      </w:r>
      <w:r w:rsidR="001D51C5">
        <w:t xml:space="preserve">По отношению к значению показателя на фоне терапии ингибиторами </w:t>
      </w:r>
      <w:r w:rsidR="001D51C5" w:rsidRPr="00DD470E">
        <w:t>TNF-α</w:t>
      </w:r>
      <w:r w:rsidR="001D51C5">
        <w:t>, HR</w:t>
      </w:r>
      <w:r>
        <w:t xml:space="preserve"> для ТГВ при </w:t>
      </w:r>
      <w:r w:rsidR="001D51C5">
        <w:t xml:space="preserve">использовании </w:t>
      </w:r>
      <w:r>
        <w:t xml:space="preserve">тофацитиниба в дозе 10 мг два раза в день </w:t>
      </w:r>
      <w:r w:rsidR="001D51C5">
        <w:t>равнялась</w:t>
      </w:r>
      <w:r w:rsidR="004737E1">
        <w:t xml:space="preserve"> </w:t>
      </w:r>
      <w:r>
        <w:t>2,13 (0,80</w:t>
      </w:r>
      <w:r w:rsidR="009034FC">
        <w:t>–</w:t>
      </w:r>
      <w:r>
        <w:t xml:space="preserve">5,69), а для </w:t>
      </w:r>
      <w:r w:rsidR="001D51C5">
        <w:t xml:space="preserve">дозы </w:t>
      </w:r>
      <w:r>
        <w:t>5 мг два раза в день</w:t>
      </w:r>
      <w:r w:rsidR="001D51C5">
        <w:t xml:space="preserve"> – </w:t>
      </w:r>
      <w:r>
        <w:t>1,66 (0,60</w:t>
      </w:r>
      <w:r w:rsidR="009034FC">
        <w:t>–</w:t>
      </w:r>
      <w:r>
        <w:t>4,57)</w:t>
      </w:r>
      <w:r w:rsidR="004737E1">
        <w:t xml:space="preserve"> </w:t>
      </w:r>
      <w:r w:rsidR="004737E1">
        <w:fldChar w:fldCharType="begin"/>
      </w:r>
      <w:r w:rsidR="008D5290">
        <w:instrText xml:space="preserve"> ADDIN ZOTERO_ITEM CSL_CITATION {"citationID":"5kgGSx8u","properties":{"formattedCitation":"[24]","plainCitation":"[24]","noteIndex":0},"citationItems":[{"id":87800,"uris":["http://zotero.org/groups/4742804/items/TPCQ89X9"],"itemData":{"id":87800,"type":"webpage","title":"Xeljanz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4737E1">
        <w:fldChar w:fldCharType="separate"/>
      </w:r>
      <w:r w:rsidR="00DE2C35">
        <w:rPr>
          <w:rFonts w:cs="Times New Roman"/>
        </w:rPr>
        <w:t>[</w:t>
      </w:r>
      <w:r w:rsidR="00DE2C35" w:rsidRPr="00DE2C35">
        <w:rPr>
          <w:rFonts w:cs="Times New Roman"/>
        </w:rPr>
        <w:t>2</w:t>
      </w:r>
      <w:r w:rsidR="008D5290" w:rsidRPr="008D5290">
        <w:rPr>
          <w:rFonts w:cs="Times New Roman"/>
        </w:rPr>
        <w:t>]</w:t>
      </w:r>
      <w:r w:rsidR="004737E1">
        <w:fldChar w:fldCharType="end"/>
      </w:r>
      <w:r w:rsidR="004737E1">
        <w:t>.</w:t>
      </w:r>
    </w:p>
    <w:p w14:paraId="6387E546" w14:textId="3118437B" w:rsidR="003667BE" w:rsidRPr="003667BE" w:rsidRDefault="003667BE" w:rsidP="00D462BD">
      <w:pPr>
        <w:pStyle w:val="SDText"/>
        <w:ind w:firstLine="0"/>
        <w:contextualSpacing/>
        <w:rPr>
          <w:b/>
          <w:i/>
        </w:rPr>
      </w:pPr>
      <w:r w:rsidRPr="003667BE">
        <w:rPr>
          <w:b/>
          <w:i/>
        </w:rPr>
        <w:t>Смертность</w:t>
      </w:r>
    </w:p>
    <w:p w14:paraId="385FF634" w14:textId="3F53E352" w:rsidR="00FB4789" w:rsidRDefault="004A409D" w:rsidP="00037921">
      <w:pPr>
        <w:pStyle w:val="SDText"/>
        <w:contextualSpacing/>
      </w:pPr>
      <w:r>
        <w:t>В ходе промежуточного анализа результатов исследования A3921133 повышенную смертность в течение 28 дней после последнего приема препарата наблюдали у пациентов, получавших тофацитиниб, по сравнению с больными</w:t>
      </w:r>
      <w:r w:rsidR="004B0D0F">
        <w:t xml:space="preserve">, терапию которых проводили </w:t>
      </w:r>
      <w:r>
        <w:t xml:space="preserve">ингибиторами </w:t>
      </w:r>
      <w:r w:rsidRPr="00DD470E">
        <w:t>TNF-α</w:t>
      </w:r>
      <w:r>
        <w:t xml:space="preserve">. </w:t>
      </w:r>
      <w:r w:rsidR="004B0D0F">
        <w:t>З</w:t>
      </w:r>
      <w:r>
        <w:t>аболеваемост</w:t>
      </w:r>
      <w:r w:rsidR="004B0D0F">
        <w:t xml:space="preserve">ь </w:t>
      </w:r>
      <w:r>
        <w:t>(95% ДИ)</w:t>
      </w:r>
      <w:r w:rsidR="004B0D0F">
        <w:t xml:space="preserve"> составила</w:t>
      </w:r>
      <w:r>
        <w:t xml:space="preserve"> 0,89 (0,59–1,29) для тофацитиниба в дозе 10 мг </w:t>
      </w:r>
      <w:r w:rsidR="004B0D0F">
        <w:t>2 раза в день</w:t>
      </w:r>
      <w:r>
        <w:t xml:space="preserve">, 0,57 (0,34–0,89) для тофацитиниба в дозе 5 мг </w:t>
      </w:r>
      <w:r w:rsidR="004B0D0F">
        <w:t xml:space="preserve">2 раза в день </w:t>
      </w:r>
      <w:r>
        <w:t>и 0,27 (0,12</w:t>
      </w:r>
      <w:r w:rsidR="009034FC">
        <w:t>–</w:t>
      </w:r>
      <w:r>
        <w:t xml:space="preserve">0,51) для ингибиторов </w:t>
      </w:r>
      <w:r w:rsidR="004B0D0F" w:rsidRPr="00DD470E">
        <w:t>TNF-α</w:t>
      </w:r>
      <w:r>
        <w:t xml:space="preserve">; с </w:t>
      </w:r>
      <w:r w:rsidR="004B0D0F">
        <w:rPr>
          <w:lang w:val="en-US"/>
        </w:rPr>
        <w:t>HR</w:t>
      </w:r>
      <w:r>
        <w:t xml:space="preserve"> (95% ДИ)</w:t>
      </w:r>
      <w:r w:rsidR="004B0D0F">
        <w:t>, равным</w:t>
      </w:r>
      <w:r>
        <w:t xml:space="preserve"> 3,28 (1,55</w:t>
      </w:r>
      <w:r w:rsidR="009034FC">
        <w:t>–</w:t>
      </w:r>
      <w:r>
        <w:t>6,95) для тофацитиниба</w:t>
      </w:r>
      <w:r w:rsidR="004B0D0F">
        <w:t xml:space="preserve"> в дозе </w:t>
      </w:r>
      <w:r>
        <w:t xml:space="preserve">10 мг два раза в день и 2,11 (0,96–4,67) для тофацитиниба в дозе 5 мг два раза в день </w:t>
      </w:r>
      <w:r w:rsidR="004B0D0F">
        <w:t xml:space="preserve">По отношению к значению показателя на фоне терапии ингибиторами </w:t>
      </w:r>
      <w:r w:rsidR="004B0D0F" w:rsidRPr="00DD470E">
        <w:t>TNF-α</w:t>
      </w:r>
      <w:r w:rsidR="00FB4789">
        <w:t xml:space="preserve"> </w:t>
      </w:r>
      <w:r w:rsidR="007416E9">
        <w:t>с</w:t>
      </w:r>
      <w:r>
        <w:t>мертность в основном была связана с сердечно-сосудистыми событиями, инфекциями и злокачественными новообразованиями</w:t>
      </w:r>
      <w:r w:rsidR="007E2B11">
        <w:t xml:space="preserve"> </w:t>
      </w:r>
      <w:r w:rsidR="007E2B11">
        <w:fldChar w:fldCharType="begin"/>
      </w:r>
      <w:r w:rsidR="008D5290">
        <w:instrText xml:space="preserve"> ADDIN ZOTERO_ITEM CSL_CITATION {"citationID":"YheWGcSe","properties":{"formattedCitation":"[24]","plainCitation":"[24]","noteIndex":0},"citationItems":[{"id":87800,"uris":["http://zotero.org/groups/4742804/items/TPCQ89X9"],"itemData":{"id":87800,"type":"webpage","title":"Xeljanz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7E2B11">
        <w:fldChar w:fldCharType="separate"/>
      </w:r>
      <w:r w:rsidR="00DE2C35">
        <w:rPr>
          <w:rFonts w:cs="Times New Roman"/>
        </w:rPr>
        <w:t>[2</w:t>
      </w:r>
      <w:r w:rsidR="008D5290" w:rsidRPr="008D5290">
        <w:rPr>
          <w:rFonts w:cs="Times New Roman"/>
        </w:rPr>
        <w:t>]</w:t>
      </w:r>
      <w:r w:rsidR="007E2B11">
        <w:fldChar w:fldCharType="end"/>
      </w:r>
      <w:r w:rsidR="007E2B11">
        <w:t>.</w:t>
      </w:r>
    </w:p>
    <w:p w14:paraId="774A57FF" w14:textId="317A2BD9" w:rsidR="004A409D" w:rsidRDefault="004A409D" w:rsidP="00037921">
      <w:pPr>
        <w:pStyle w:val="SDText"/>
        <w:contextualSpacing/>
      </w:pPr>
      <w:r>
        <w:t xml:space="preserve">Для смертности от сердечно-сосудистых заболеваний в течение 28 дней после последнего </w:t>
      </w:r>
      <w:r w:rsidR="00FB4789">
        <w:t>приема препарата</w:t>
      </w:r>
      <w:r>
        <w:t xml:space="preserve"> </w:t>
      </w:r>
      <w:r w:rsidR="00FB4789">
        <w:t>з</w:t>
      </w:r>
      <w:r>
        <w:t>аболеваемост</w:t>
      </w:r>
      <w:r w:rsidR="00FB4789">
        <w:t>ь</w:t>
      </w:r>
      <w:r>
        <w:t xml:space="preserve"> (95% ДИ) на</w:t>
      </w:r>
      <w:r w:rsidR="004B0D0F">
        <w:t xml:space="preserve"> </w:t>
      </w:r>
      <w:r>
        <w:t>100 пациенто-лет составил</w:t>
      </w:r>
      <w:r w:rsidR="00FB4789">
        <w:t>а</w:t>
      </w:r>
      <w:r>
        <w:t xml:space="preserve"> 0,45 (0,24–0,75) для тофацитиниба в дозе 10 мг 2 раза в</w:t>
      </w:r>
      <w:r w:rsidR="00FB4789">
        <w:t xml:space="preserve"> день</w:t>
      </w:r>
      <w:r>
        <w:t>, 0,24 (0,10–0,47) для</w:t>
      </w:r>
      <w:r w:rsidR="00FB4789">
        <w:t xml:space="preserve"> </w:t>
      </w:r>
      <w:r>
        <w:t>тофацитиниб</w:t>
      </w:r>
      <w:r w:rsidR="00FB4789">
        <w:t>а</w:t>
      </w:r>
      <w:r>
        <w:t xml:space="preserve"> </w:t>
      </w:r>
      <w:r w:rsidR="007416E9">
        <w:t xml:space="preserve">в дозе </w:t>
      </w:r>
      <w:r>
        <w:t>5 мг два раза в день и 0,21 (0,08</w:t>
      </w:r>
      <w:r w:rsidR="009034FC">
        <w:t>–</w:t>
      </w:r>
      <w:r>
        <w:t xml:space="preserve">0,43) для ингибиторов </w:t>
      </w:r>
      <w:r w:rsidR="00FB4789" w:rsidRPr="00DD470E">
        <w:t>TNF-α</w:t>
      </w:r>
      <w:r>
        <w:t>; с коэффициентом инцидентности (</w:t>
      </w:r>
      <w:r w:rsidR="007E2B11" w:rsidRPr="007E2B11">
        <w:t>incident rate ratio</w:t>
      </w:r>
      <w:r w:rsidR="007E2B11">
        <w:t xml:space="preserve">, </w:t>
      </w:r>
      <w:r>
        <w:t>IRR)</w:t>
      </w:r>
      <w:r w:rsidR="00FB4789">
        <w:t xml:space="preserve"> </w:t>
      </w:r>
      <w:r>
        <w:t>(95% ДИ)</w:t>
      </w:r>
      <w:r w:rsidR="007E2B11">
        <w:t>, составлявшим</w:t>
      </w:r>
      <w:r>
        <w:t xml:space="preserve"> 2,12 (0,80-6,20) для тофацитиниба в дозе 10 мг два раза в день и 1,14 (0,36</w:t>
      </w:r>
      <w:r w:rsidR="009034FC">
        <w:t>–</w:t>
      </w:r>
      <w:r>
        <w:t>3,70) для тофацитиниба</w:t>
      </w:r>
      <w:r w:rsidR="007E2B11">
        <w:t xml:space="preserve"> </w:t>
      </w:r>
      <w:r w:rsidR="00E17EDD">
        <w:t xml:space="preserve">в дозе </w:t>
      </w:r>
      <w:r>
        <w:t xml:space="preserve">5 мг два раза в день по сравнению с ингибиторами </w:t>
      </w:r>
      <w:r w:rsidR="007E2B11" w:rsidRPr="00DD470E">
        <w:t>TNF-α</w:t>
      </w:r>
      <w:r w:rsidR="007E2B11">
        <w:t xml:space="preserve"> </w:t>
      </w:r>
      <w:r w:rsidR="007E2B11">
        <w:fldChar w:fldCharType="begin"/>
      </w:r>
      <w:r w:rsidR="008D5290">
        <w:instrText xml:space="preserve"> ADDIN ZOTERO_ITEM CSL_CITATION {"citationID":"BwCnfUuP","properties":{"formattedCitation":"[24]","plainCitation":"[24]","noteIndex":0},"citationItems":[{"id":87800,"uris":["http://zotero.org/groups/4742804/items/TPCQ89X9"],"itemData":{"id":87800,"type":"webpage","title":"Xeljanz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rsidR="007E2B11">
        <w:fldChar w:fldCharType="separate"/>
      </w:r>
      <w:r w:rsidR="00DE2C35">
        <w:rPr>
          <w:rFonts w:cs="Times New Roman"/>
        </w:rPr>
        <w:t>[2</w:t>
      </w:r>
      <w:r w:rsidR="008D5290" w:rsidRPr="008D5290">
        <w:rPr>
          <w:rFonts w:cs="Times New Roman"/>
        </w:rPr>
        <w:t>]</w:t>
      </w:r>
      <w:r w:rsidR="007E2B11">
        <w:fldChar w:fldCharType="end"/>
      </w:r>
      <w:r w:rsidR="007E2B11">
        <w:t>.</w:t>
      </w:r>
    </w:p>
    <w:p w14:paraId="2B758E8A" w14:textId="29A78887" w:rsidR="007D77DB" w:rsidRDefault="007D77DB" w:rsidP="00037921">
      <w:pPr>
        <w:pStyle w:val="SDText"/>
        <w:contextualSpacing/>
      </w:pPr>
      <w:r>
        <w:t xml:space="preserve">Для фатальных инфекций в течение 28 дней после последнего приема препарата заболеваемость на 100 пациенто-лет (95% ДИ) составила 0,22 (0,09–0,46), 0,18 (0,07–0,39) и 0,06 (0,01–0,22) для тофацитиниба в дозе 10 мг два раза в день, тофацитиниба в дозе 5 мг два раза в день и ингибиторов </w:t>
      </w:r>
      <w:r w:rsidRPr="00DD470E">
        <w:t>TNF-α</w:t>
      </w:r>
      <w:r>
        <w:t xml:space="preserve"> соответственно; с IRR (95% ДИ), равным 3,70 (0,71–36,5) для дозы тофацитиниба 10 мг два раза в день и 3,00 (0,54–30,4) для дозы тофацитиниба 5 мг два раза в день по сравнению с ингибиторами </w:t>
      </w:r>
      <w:r w:rsidRPr="00DD470E">
        <w:t>TNF-α</w:t>
      </w:r>
      <w:r>
        <w:t xml:space="preserve"> </w:t>
      </w:r>
      <w:r>
        <w:fldChar w:fldCharType="begin"/>
      </w:r>
      <w:r w:rsidR="008D5290">
        <w:instrText xml:space="preserve"> ADDIN ZOTERO_ITEM CSL_CITATION {"citationID":"x5iLRYdi","properties":{"formattedCitation":"[24]","plainCitation":"[24]","noteIndex":0},"citationItems":[{"id":87800,"uris":["http://zotero.org/groups/4742804/items/TPCQ89X9"],"itemData":{"id":87800,"type":"webpage","title":"Xeljanz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1B2D71DF" w14:textId="6451CCCB" w:rsidR="003667BE" w:rsidRPr="003667BE" w:rsidRDefault="003667BE" w:rsidP="00D462BD">
      <w:pPr>
        <w:pStyle w:val="SDText"/>
        <w:ind w:firstLine="0"/>
        <w:contextualSpacing/>
        <w:rPr>
          <w:b/>
          <w:i/>
        </w:rPr>
      </w:pPr>
      <w:r w:rsidRPr="003667BE">
        <w:rPr>
          <w:b/>
          <w:i/>
        </w:rPr>
        <w:t>Серьезные инфекции</w:t>
      </w:r>
    </w:p>
    <w:p w14:paraId="2AAED626" w14:textId="4035E768" w:rsidR="00023912" w:rsidRDefault="00023912" w:rsidP="00037921">
      <w:pPr>
        <w:pStyle w:val="SDText"/>
        <w:contextualSpacing/>
      </w:pPr>
      <w:r>
        <w:t xml:space="preserve">В ходе промежуточного анализа для серьезных инфекций без летального исхода заболеваемость (95% ДИ) на 100 пациенто-лет составила 3,51 (2,93–4,16), 3,35 (2,78–4,01) и 2,79 (2,28–3,39) для тофацитиниба в дозе 10 мг, тофацитиниба в дозе 5 мг два раза в день и ингибиторов </w:t>
      </w:r>
      <w:r w:rsidRPr="00DD470E">
        <w:t>TNF-α</w:t>
      </w:r>
      <w:r>
        <w:t xml:space="preserve"> соответственно. Риск серьезных (смертельных и несмертельных) инфекций был выше у пациентов старше 65 лет, по сравнению с более молодыми пациентами </w:t>
      </w:r>
      <w:r>
        <w:fldChar w:fldCharType="begin"/>
      </w:r>
      <w:r w:rsidR="008D5290">
        <w:instrText xml:space="preserve"> ADDIN ZOTERO_ITEM CSL_CITATION {"citationID":"vRdvHAmD","properties":{"formattedCitation":"[24]","plainCitation":"[24]","noteIndex":0},"citationItems":[{"id":87800,"uris":["http://zotero.org/groups/4742804/items/TPCQ89X9"],"itemData":{"id":87800,"type":"webpage","title":"Xeljanz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00DE2C35">
        <w:rPr>
          <w:rFonts w:cs="Times New Roman"/>
        </w:rPr>
        <w:t>[2</w:t>
      </w:r>
      <w:r w:rsidR="008D5290" w:rsidRPr="008D5290">
        <w:rPr>
          <w:rFonts w:cs="Times New Roman"/>
        </w:rPr>
        <w:t>]</w:t>
      </w:r>
      <w:r>
        <w:fldChar w:fldCharType="end"/>
      </w:r>
      <w:r>
        <w:t>.</w:t>
      </w:r>
    </w:p>
    <w:p w14:paraId="0CB93C65" w14:textId="320A01E8" w:rsidR="0075159A" w:rsidRPr="00C315BA" w:rsidRDefault="006B08DF" w:rsidP="00037921">
      <w:pPr>
        <w:pStyle w:val="SDText"/>
        <w:contextualSpacing/>
      </w:pPr>
      <w:r>
        <w:t>В</w:t>
      </w:r>
      <w:r w:rsidR="00E05F99">
        <w:t xml:space="preserve"> многоцентровом наблюдательном исследовании изучили возможность отмены тофацитиниба </w:t>
      </w:r>
      <w:r w:rsidR="0046280B">
        <w:t xml:space="preserve">после достижения низкой активности заболевания у пациентов с РА. В исследование включили больных, завершивших участие в исследованиях фазы </w:t>
      </w:r>
      <w:r w:rsidR="0046280B">
        <w:rPr>
          <w:lang w:val="en-US"/>
        </w:rPr>
        <w:t>III</w:t>
      </w:r>
      <w:r w:rsidR="0046280B" w:rsidRPr="00C315BA">
        <w:t xml:space="preserve"> </w:t>
      </w:r>
      <w:r w:rsidR="0046280B">
        <w:t xml:space="preserve">или </w:t>
      </w:r>
      <w:r w:rsidR="00E17EDD">
        <w:t xml:space="preserve">в </w:t>
      </w:r>
      <w:r w:rsidR="00043B85">
        <w:t xml:space="preserve">длительном расширенном исследовании. Первичной конечной точкой являлась доля пациентов, </w:t>
      </w:r>
      <w:r w:rsidR="00F77F91">
        <w:t>не получавших тофацитиниб в течение 52 недель после отмены</w:t>
      </w:r>
      <w:r w:rsidR="00C46B0B">
        <w:t xml:space="preserve"> препарата</w:t>
      </w:r>
      <w:r w:rsidR="00F77F91">
        <w:t xml:space="preserve">. </w:t>
      </w:r>
      <w:r w:rsidR="00C46B0B">
        <w:t xml:space="preserve">Клинические исходы сравнили между пациентами, оставшимися на терапии </w:t>
      </w:r>
      <w:r w:rsidR="00C46B0B">
        <w:lastRenderedPageBreak/>
        <w:t>тофацитинибом</w:t>
      </w:r>
      <w:r w:rsidR="00E17EDD">
        <w:t>,</w:t>
      </w:r>
      <w:r w:rsidR="00C46B0B">
        <w:t xml:space="preserve"> и прекративших прием препарата. </w:t>
      </w:r>
      <w:r w:rsidR="00C315BA">
        <w:t xml:space="preserve">Из 64 пациентов 54 прекратили терапию тофацитинибом и 10 продолжили ее. </w:t>
      </w:r>
      <w:r w:rsidR="00AC6811">
        <w:t>Через</w:t>
      </w:r>
      <w:r w:rsidR="00C315BA">
        <w:t xml:space="preserve"> 52 недел</w:t>
      </w:r>
      <w:r w:rsidR="00AC6811">
        <w:t>и</w:t>
      </w:r>
      <w:r w:rsidR="00C315BA">
        <w:t xml:space="preserve"> после окончания лечения </w:t>
      </w:r>
      <w:r w:rsidR="0045008A">
        <w:t xml:space="preserve">в предыдущем исследовании </w:t>
      </w:r>
      <w:r w:rsidR="00C315BA">
        <w:t xml:space="preserve">20 из 54 пациентов (37%) в группе прекращения лечения не принимали тофацитиниб без обострения заболевания. Активность заболевания на 52 неделе после лечения была выше </w:t>
      </w:r>
      <w:r w:rsidR="0045008A">
        <w:t xml:space="preserve">у пациентов </w:t>
      </w:r>
      <w:r w:rsidR="00C315BA">
        <w:t xml:space="preserve">в группе прекращения лечения, чем в группе продолжения </w:t>
      </w:r>
      <w:r w:rsidR="0045008A">
        <w:t>терапии</w:t>
      </w:r>
      <w:r w:rsidR="00C315BA">
        <w:t xml:space="preserve">. В группе прекращения лечения исходный титр РФ был значительно ниже у пациентов без </w:t>
      </w:r>
      <w:r w:rsidR="0045008A">
        <w:t xml:space="preserve">терапии </w:t>
      </w:r>
      <w:r w:rsidR="00C315BA">
        <w:t>тофацитиниб</w:t>
      </w:r>
      <w:r w:rsidR="0045008A">
        <w:t>ом</w:t>
      </w:r>
      <w:r w:rsidR="00C315BA">
        <w:t xml:space="preserve">, чем </w:t>
      </w:r>
      <w:r w:rsidR="000A3CF0">
        <w:t>у больных, которые возобновили прием препарата</w:t>
      </w:r>
      <w:r w:rsidR="00C315BA">
        <w:t xml:space="preserve"> (40 против 113 ЕД/мл). </w:t>
      </w:r>
      <w:r w:rsidR="00E5241B">
        <w:t>Б</w:t>
      </w:r>
      <w:r w:rsidR="00C315BA">
        <w:t>ольшая часть пациентов с более низким РФ не принимал</w:t>
      </w:r>
      <w:r w:rsidR="003A102C">
        <w:t>а</w:t>
      </w:r>
      <w:r w:rsidR="00C315BA">
        <w:t xml:space="preserve"> тофацитиниб на 52 неделе по сравнению с пациентами с более высоким РФ </w:t>
      </w:r>
      <w:r w:rsidR="00875F3A">
        <w:t>исходно</w:t>
      </w:r>
      <w:r w:rsidR="00C315BA">
        <w:t xml:space="preserve">. </w:t>
      </w:r>
      <w:r w:rsidR="00875F3A">
        <w:t>У</w:t>
      </w:r>
      <w:r w:rsidR="00C315BA">
        <w:t xml:space="preserve"> пациент</w:t>
      </w:r>
      <w:r w:rsidR="00875F3A">
        <w:t>ов</w:t>
      </w:r>
      <w:r w:rsidR="00C315BA">
        <w:t xml:space="preserve">, </w:t>
      </w:r>
      <w:r w:rsidR="009626EE">
        <w:t xml:space="preserve">у </w:t>
      </w:r>
      <w:r w:rsidR="0056011C">
        <w:t>которы</w:t>
      </w:r>
      <w:r w:rsidR="009626EE">
        <w:t>х</w:t>
      </w:r>
      <w:r w:rsidR="0056011C">
        <w:t xml:space="preserve"> </w:t>
      </w:r>
      <w:r w:rsidR="009626EE">
        <w:t>терапию</w:t>
      </w:r>
      <w:r w:rsidR="00C315BA">
        <w:t xml:space="preserve"> тофацитиниб</w:t>
      </w:r>
      <w:r w:rsidR="009626EE">
        <w:t>ом пришлось возобновить</w:t>
      </w:r>
      <w:r w:rsidR="00C315BA">
        <w:t xml:space="preserve">, </w:t>
      </w:r>
      <w:r w:rsidR="002960E7">
        <w:t>активность заболевания</w:t>
      </w:r>
      <w:r w:rsidR="00C315BA">
        <w:t xml:space="preserve"> после повторного начала терапии тофацитинибом или другими биологическими препаратами </w:t>
      </w:r>
      <w:r w:rsidR="002960E7">
        <w:t>снизилась</w:t>
      </w:r>
      <w:r w:rsidR="00C315BA">
        <w:t xml:space="preserve">. Авторы пришли к выводу, что </w:t>
      </w:r>
      <w:r w:rsidR="009626EE">
        <w:t>примерно у трети пациентов с РА м</w:t>
      </w:r>
      <w:r w:rsidR="00C315BA">
        <w:t xml:space="preserve">ожно прекратить прием тофацитиниба без </w:t>
      </w:r>
      <w:r w:rsidR="001642EB">
        <w:t xml:space="preserve">риска </w:t>
      </w:r>
      <w:r w:rsidR="00C315BA">
        <w:t xml:space="preserve">обострения. Низкий </w:t>
      </w:r>
      <w:r w:rsidR="00F76954">
        <w:t>уровень РФ</w:t>
      </w:r>
      <w:r w:rsidR="00C315BA">
        <w:t xml:space="preserve"> </w:t>
      </w:r>
      <w:r w:rsidR="001642EB">
        <w:t>является прогностическим фактором для возможности</w:t>
      </w:r>
      <w:r w:rsidR="00C315BA">
        <w:t xml:space="preserve"> сохранени</w:t>
      </w:r>
      <w:r w:rsidR="001642EB">
        <w:t>я</w:t>
      </w:r>
      <w:r w:rsidR="00C315BA">
        <w:t xml:space="preserve"> </w:t>
      </w:r>
      <w:r w:rsidR="001642EB">
        <w:t>низкой активности заболевания</w:t>
      </w:r>
      <w:r w:rsidR="00C315BA">
        <w:t xml:space="preserve"> после прекращения приема тофацитиниба </w:t>
      </w:r>
      <w:r w:rsidR="00FE45A7">
        <w:rPr>
          <w:lang w:val="en-GB"/>
        </w:rPr>
        <w:fldChar w:fldCharType="begin"/>
      </w:r>
      <w:r w:rsidR="0062670E">
        <w:instrText xml:space="preserve"> ADDIN ZOTERO_ITEM CSL_CITATION {"citationID":"XVmRNdCE","properties":{"formattedCitation":"[37]","plainCitation":"[37]","noteIndex":0},"citationItems":[{"id":87780,"uris":["http://zotero.org/groups/4742804/items/XYALZH2Z"],"itemData":{"id":87780,"type":"article-journal","container-title":"Rheumatology","issue":"8","note":"publisher: Oxford University Press","page":"1293–1301","source":"Google Scholar","title":"Discontinuation of tofacitinib after achieving low disease activity in patients with rheumatoid arthritis: a multicentre, observational study","title-short":"Discontinuation of tofacitinib after achieving low disease activity in patients with rheumatoid arthritis","volume":"56","author":[{"family":"Kubo","given":"Satoshi"},{"family":"Yamaoka","given":"Kunihiro"},{"family":"Amano","given":"Koichi"},{"family":"Nagano","given":"Shuji"},{"family":"Tohma","given":"Shigeto"},{"family":"Suematsu","given":"Eiichi"},{"family":"Nagasawa","given":"Hayato"},{"family":"Iwata","given":"Kanako"},{"family":"Tanaka","given":"Yoshiya"}],"issued":{"date-parts":[["2017"]]}}}],"schema":"https://github.com/citation-style-language/schema/raw/master/csl-citation.json"} </w:instrText>
      </w:r>
      <w:r w:rsidR="00FE45A7">
        <w:rPr>
          <w:lang w:val="en-GB"/>
        </w:rPr>
        <w:fldChar w:fldCharType="separate"/>
      </w:r>
      <w:r w:rsidR="00DE2C35">
        <w:rPr>
          <w:rFonts w:cs="Times New Roman"/>
        </w:rPr>
        <w:t>[</w:t>
      </w:r>
      <w:r w:rsidR="00DE2C35" w:rsidRPr="00DE2C35">
        <w:rPr>
          <w:rFonts w:cs="Times New Roman"/>
        </w:rPr>
        <w:t>15</w:t>
      </w:r>
      <w:r w:rsidR="0062670E" w:rsidRPr="0062670E">
        <w:rPr>
          <w:rFonts w:cs="Times New Roman"/>
        </w:rPr>
        <w:t>]</w:t>
      </w:r>
      <w:r w:rsidR="00FE45A7">
        <w:rPr>
          <w:lang w:val="en-GB"/>
        </w:rPr>
        <w:fldChar w:fldCharType="end"/>
      </w:r>
      <w:r w:rsidR="00C315BA">
        <w:t>.</w:t>
      </w:r>
    </w:p>
    <w:p w14:paraId="5F99F159" w14:textId="4AF58BA9" w:rsidR="0075159A" w:rsidRPr="00EA3DCB" w:rsidRDefault="006B08DF" w:rsidP="00037921">
      <w:pPr>
        <w:pStyle w:val="SDText"/>
        <w:contextualSpacing/>
      </w:pPr>
      <w:r>
        <w:t>В</w:t>
      </w:r>
      <w:r w:rsidR="00EA3DCB">
        <w:t xml:space="preserve"> проспективном наблюдательном исследовании </w:t>
      </w:r>
      <w:r w:rsidR="009E32B6">
        <w:t xml:space="preserve">изучили исходы снижения дозы, отмены и возобновления терапии тофацитинибом у пациентов с РА. </w:t>
      </w:r>
      <w:r w:rsidR="00E51E9C">
        <w:t xml:space="preserve">В исследовании использовали данные 100 </w:t>
      </w:r>
      <w:r w:rsidR="009A2569">
        <w:t>больных</w:t>
      </w:r>
      <w:r w:rsidR="00E51E9C">
        <w:t xml:space="preserve"> с высокой или умеренной активностью заболевания</w:t>
      </w:r>
      <w:r w:rsidR="0097156E">
        <w:t xml:space="preserve">, получавших тофацитиниб в дозе 5 мг 2 раза в день в течение 1 года. </w:t>
      </w:r>
      <w:r w:rsidR="004B5D70">
        <w:t>Все</w:t>
      </w:r>
      <w:r w:rsidR="005F46A2">
        <w:t>х</w:t>
      </w:r>
      <w:r w:rsidR="004B5D70">
        <w:t xml:space="preserve"> </w:t>
      </w:r>
      <w:r w:rsidR="009A2569">
        <w:t>пациент</w:t>
      </w:r>
      <w:r w:rsidR="005F46A2">
        <w:t>ов,</w:t>
      </w:r>
      <w:r w:rsidR="009A2569">
        <w:t xml:space="preserve"> достиг</w:t>
      </w:r>
      <w:r w:rsidR="005F46A2">
        <w:t>нувших</w:t>
      </w:r>
      <w:r w:rsidR="009A2569">
        <w:t xml:space="preserve"> ремиссии или низкой активности заболевания</w:t>
      </w:r>
      <w:r w:rsidR="005F46A2">
        <w:t xml:space="preserve">, разделили на </w:t>
      </w:r>
      <w:r w:rsidR="005505F5">
        <w:t>группы отмены, снижения дозы или продолжения терапии и наб</w:t>
      </w:r>
      <w:r w:rsidR="00611E0A">
        <w:t>людали до развития обострения</w:t>
      </w:r>
      <w:r w:rsidR="00941622">
        <w:t>,</w:t>
      </w:r>
      <w:r w:rsidR="00611E0A">
        <w:t xml:space="preserve"> или окончания исследования. В случае обострения </w:t>
      </w:r>
      <w:r w:rsidR="00B3459C">
        <w:t xml:space="preserve">прерванную терапию тофацитинибом возобновляли. </w:t>
      </w:r>
      <w:r w:rsidR="00BD7112">
        <w:t xml:space="preserve">В течение первого года 68 пациентов достигли ремиссии или низкой активности заболевания. В последующем обострение </w:t>
      </w:r>
      <w:r w:rsidR="001A6A42">
        <w:t>зарегистрировали</w:t>
      </w:r>
      <w:r w:rsidR="00BD7112">
        <w:t xml:space="preserve"> при следующих общих показателях заболеваемости на человека в год (95% ДИ): 0,73 (0,43–1,22) </w:t>
      </w:r>
      <w:r w:rsidR="001A6A42">
        <w:t>у пациентов из группы</w:t>
      </w:r>
      <w:r w:rsidR="00BD7112">
        <w:t xml:space="preserve"> отмен</w:t>
      </w:r>
      <w:r w:rsidR="00941622">
        <w:t>ы</w:t>
      </w:r>
      <w:r w:rsidR="00BD7112">
        <w:t xml:space="preserve">, 0,44 (0,25–0,77) </w:t>
      </w:r>
      <w:r w:rsidR="001A6A42">
        <w:t xml:space="preserve">у больных из группы </w:t>
      </w:r>
      <w:r w:rsidR="00BD7112">
        <w:t xml:space="preserve">снижения дозы и 0,04 (0,01–0,27) </w:t>
      </w:r>
      <w:r w:rsidR="001A6A42">
        <w:t xml:space="preserve">у пациентов из группы </w:t>
      </w:r>
      <w:r w:rsidR="00BD7112">
        <w:t>продолжения</w:t>
      </w:r>
      <w:r w:rsidR="001A6A42">
        <w:t xml:space="preserve"> терапии</w:t>
      </w:r>
      <w:r w:rsidR="00BD7112">
        <w:t xml:space="preserve">. </w:t>
      </w:r>
      <w:r w:rsidR="00B63669">
        <w:t xml:space="preserve">В ходе оценки выживаемости по методу </w:t>
      </w:r>
      <w:r w:rsidR="00BD7112">
        <w:t>Каплан</w:t>
      </w:r>
      <w:r w:rsidR="00B63669">
        <w:t>а</w:t>
      </w:r>
      <w:r w:rsidR="00BD7112">
        <w:t>-Мейер</w:t>
      </w:r>
      <w:r w:rsidR="00941622">
        <w:t>а</w:t>
      </w:r>
      <w:r w:rsidR="00B63669">
        <w:t xml:space="preserve"> </w:t>
      </w:r>
      <w:r w:rsidR="00BD7112">
        <w:t>медиан</w:t>
      </w:r>
      <w:r w:rsidR="00B63669">
        <w:t>а</w:t>
      </w:r>
      <w:r w:rsidR="00BD7112">
        <w:t xml:space="preserve"> врем</w:t>
      </w:r>
      <w:r w:rsidR="00B63669">
        <w:t>ени</w:t>
      </w:r>
      <w:r w:rsidR="00BD7112">
        <w:t xml:space="preserve"> без обострений (95% ДИ) составил</w:t>
      </w:r>
      <w:r w:rsidR="00B63669">
        <w:t>а</w:t>
      </w:r>
      <w:r w:rsidR="00BD7112">
        <w:t xml:space="preserve"> 7,0 мес</w:t>
      </w:r>
      <w:r w:rsidR="00B63669">
        <w:t>.</w:t>
      </w:r>
      <w:r w:rsidR="00BD7112">
        <w:t xml:space="preserve"> (2,8–11,2) для </w:t>
      </w:r>
      <w:r w:rsidR="00B63669">
        <w:t xml:space="preserve">пациентов из группы </w:t>
      </w:r>
      <w:r w:rsidR="00BD7112">
        <w:t xml:space="preserve">отмены </w:t>
      </w:r>
      <w:r w:rsidR="00B63669">
        <w:t xml:space="preserve">терапии </w:t>
      </w:r>
      <w:r w:rsidR="00BD7112">
        <w:t>и 21,0 мес</w:t>
      </w:r>
      <w:r w:rsidR="00B63669">
        <w:t>.</w:t>
      </w:r>
      <w:r w:rsidR="00BD7112">
        <w:t xml:space="preserve"> (4,1–37,9) </w:t>
      </w:r>
      <w:r w:rsidR="00B63669">
        <w:t xml:space="preserve">для больных из группы </w:t>
      </w:r>
      <w:r w:rsidR="00BD7112">
        <w:t xml:space="preserve">снижения дозы. В </w:t>
      </w:r>
      <w:r w:rsidR="009D4700">
        <w:t xml:space="preserve">ходе </w:t>
      </w:r>
      <w:r w:rsidR="00BD7112">
        <w:t>регрессионн</w:t>
      </w:r>
      <w:r w:rsidR="009D4700">
        <w:t xml:space="preserve">ого </w:t>
      </w:r>
      <w:r w:rsidR="00BD7112">
        <w:t>анализ</w:t>
      </w:r>
      <w:r w:rsidR="009D4700">
        <w:t>а Кокса установлено, что</w:t>
      </w:r>
      <w:r w:rsidR="00BD7112">
        <w:t xml:space="preserve"> скорректированн</w:t>
      </w:r>
      <w:r w:rsidR="00941622">
        <w:t>ое</w:t>
      </w:r>
      <w:r w:rsidR="00BD7112">
        <w:t xml:space="preserve"> </w:t>
      </w:r>
      <w:r w:rsidR="009D4700">
        <w:rPr>
          <w:lang w:val="en-US"/>
        </w:rPr>
        <w:t>HR</w:t>
      </w:r>
      <w:r w:rsidR="00BD7112">
        <w:t xml:space="preserve"> (95% ДИ) составил</w:t>
      </w:r>
      <w:r w:rsidR="00941622">
        <w:t>о</w:t>
      </w:r>
      <w:r w:rsidR="00BD7112">
        <w:t xml:space="preserve"> 18,11 (2,38–138) для </w:t>
      </w:r>
      <w:r w:rsidR="009D4700">
        <w:t xml:space="preserve">пациентов из группы </w:t>
      </w:r>
      <w:r w:rsidR="00BD7112">
        <w:t xml:space="preserve">отмены </w:t>
      </w:r>
      <w:r w:rsidR="009D4700">
        <w:t xml:space="preserve">терапии </w:t>
      </w:r>
      <w:r w:rsidR="00BD7112">
        <w:t xml:space="preserve">и 9,13 (1,19–70,4) для </w:t>
      </w:r>
      <w:r w:rsidR="0002097B">
        <w:t xml:space="preserve">больных из группы снижения </w:t>
      </w:r>
      <w:r w:rsidR="00BD7112">
        <w:t xml:space="preserve">дозы </w:t>
      </w:r>
      <w:r w:rsidR="0002097B">
        <w:t xml:space="preserve">по отношению к значению показателя у пациентов из группы </w:t>
      </w:r>
      <w:r w:rsidR="00BD7112">
        <w:t>продолжени</w:t>
      </w:r>
      <w:r w:rsidR="0002097B">
        <w:t>я терапии</w:t>
      </w:r>
      <w:r w:rsidR="00BD7112">
        <w:t xml:space="preserve">. Возобновление исходной схемы лечения </w:t>
      </w:r>
      <w:r w:rsidR="0002097B">
        <w:t xml:space="preserve">в случаях обострений </w:t>
      </w:r>
      <w:r w:rsidR="00BD7112">
        <w:t xml:space="preserve">приводило к быстрой ремиссии (93% для </w:t>
      </w:r>
      <w:r w:rsidR="0002097B">
        <w:t xml:space="preserve">пациентов из группы </w:t>
      </w:r>
      <w:r w:rsidR="00BD7112">
        <w:t>отмен</w:t>
      </w:r>
      <w:r w:rsidR="0002097B">
        <w:t>ы терапии</w:t>
      </w:r>
      <w:r w:rsidR="00BD7112">
        <w:t xml:space="preserve"> и 100% </w:t>
      </w:r>
      <w:r w:rsidR="0002097B">
        <w:t xml:space="preserve">для больных из группы </w:t>
      </w:r>
      <w:r w:rsidR="00BD7112">
        <w:t>снижени</w:t>
      </w:r>
      <w:r w:rsidR="0002097B">
        <w:t>я</w:t>
      </w:r>
      <w:r w:rsidR="00BD7112">
        <w:t xml:space="preserve"> дозы). </w:t>
      </w:r>
      <w:r w:rsidR="0002097B">
        <w:t>Авторы заключили, что</w:t>
      </w:r>
      <w:r w:rsidR="00BD7112">
        <w:t xml:space="preserve"> </w:t>
      </w:r>
      <w:r w:rsidR="0002097B">
        <w:t>п</w:t>
      </w:r>
      <w:r w:rsidR="00BD7112">
        <w:t xml:space="preserve">осле достижения ремиссии или </w:t>
      </w:r>
      <w:r w:rsidR="0002097B">
        <w:t>низкой активности заболевания</w:t>
      </w:r>
      <w:r w:rsidR="00BD7112">
        <w:t xml:space="preserve"> стратегия снижения дозы предпочтительнее немедленной отмены тофацитиниб</w:t>
      </w:r>
      <w:r w:rsidR="0002097B">
        <w:t>а</w:t>
      </w:r>
      <w:r w:rsidR="00BD7112">
        <w:t xml:space="preserve">. Возобновление исходного режима </w:t>
      </w:r>
      <w:r w:rsidR="00E60669">
        <w:t xml:space="preserve">в случаях обострения </w:t>
      </w:r>
      <w:r w:rsidR="00BD7112">
        <w:t xml:space="preserve">может восстановить контроль над РА </w:t>
      </w:r>
      <w:r w:rsidR="003E3250">
        <w:rPr>
          <w:lang w:val="en-GB"/>
        </w:rPr>
        <w:fldChar w:fldCharType="begin"/>
      </w:r>
      <w:r w:rsidR="0062670E">
        <w:instrText xml:space="preserve"> ADDIN ZOTERO_ITEM CSL_CITATION {"citationID":"K9SpqQH6","properties":{"formattedCitation":"[38]","plainCitation":"[38]","noteIndex":0},"citationItems":[{"id":87783,"uris":["http://zotero.org/groups/4742804/items/UH26MXJ8"],"itemData":{"id":87783,"type":"article-journal","abstract":"This study was designed to compare outcomes of dose reduction, withdrawal, and continuation of tofacitinib in patients with rheumatoid arthritis (RA) and to examine effectiveness of rescue with an original treatment regimen for disease flare.","container-title":"Clinical Rheumatology","DOI":"10.1007/s10067-019-04721-z","ISSN":"1434-9949","issue":"12","journalAbbreviation":"Clin Rheumatol","language":"en","page":"3391-3400","source":"Springer Link","title":"Outcomes of dose reduction, withdrawal, and restart of tofacitinib in patients with rheumatoid arthritis: a prospective observational study","title-short":"Outcomes of dose reduction, withdrawal, and restart of tofacitinib in patients with rheumatoid arthritis","volume":"38","author":[{"family":"Mori","given":"Shunsuke"},{"family":"Ueki","given":"Yukitaka"}],"issued":{"date-parts":[["2019",12,1]]}}}],"schema":"https://github.com/citation-style-language/schema/raw/master/csl-citation.json"} </w:instrText>
      </w:r>
      <w:r w:rsidR="003E3250">
        <w:rPr>
          <w:lang w:val="en-GB"/>
        </w:rPr>
        <w:fldChar w:fldCharType="separate"/>
      </w:r>
      <w:r w:rsidR="00DE2C35">
        <w:rPr>
          <w:rFonts w:cs="Times New Roman"/>
        </w:rPr>
        <w:t>[</w:t>
      </w:r>
      <w:r w:rsidR="00DE2C35" w:rsidRPr="00DE2C35">
        <w:rPr>
          <w:rFonts w:cs="Times New Roman"/>
        </w:rPr>
        <w:t>16</w:t>
      </w:r>
      <w:r w:rsidR="0062670E" w:rsidRPr="0062670E">
        <w:rPr>
          <w:rFonts w:cs="Times New Roman"/>
        </w:rPr>
        <w:t>]</w:t>
      </w:r>
      <w:r w:rsidR="003E3250">
        <w:rPr>
          <w:lang w:val="en-GB"/>
        </w:rPr>
        <w:fldChar w:fldCharType="end"/>
      </w:r>
      <w:r w:rsidR="00E60669">
        <w:t>.</w:t>
      </w:r>
      <w:r w:rsidR="007A21EE" w:rsidRPr="00EA3DCB">
        <w:t xml:space="preserve"> </w:t>
      </w:r>
    </w:p>
    <w:p w14:paraId="1D71649F" w14:textId="47C13E28" w:rsidR="0075159A" w:rsidRPr="003847E8" w:rsidRDefault="006B08DF" w:rsidP="00037921">
      <w:pPr>
        <w:pStyle w:val="SDText"/>
        <w:contextualSpacing/>
      </w:pPr>
      <w:r>
        <w:t>В</w:t>
      </w:r>
      <w:r w:rsidR="003847E8">
        <w:t xml:space="preserve"> наблюдательном когортном исследовании сравнили эффективность ингибиторов </w:t>
      </w:r>
      <w:r w:rsidR="003847E8">
        <w:rPr>
          <w:lang w:val="en-US"/>
        </w:rPr>
        <w:t>TNF</w:t>
      </w:r>
      <w:r w:rsidR="003847E8" w:rsidRPr="003847E8">
        <w:t>-</w:t>
      </w:r>
      <w:r w:rsidR="003847E8">
        <w:rPr>
          <w:rFonts w:cs="Times New Roman"/>
        </w:rPr>
        <w:t>α</w:t>
      </w:r>
      <w:r w:rsidR="003E6165">
        <w:rPr>
          <w:rFonts w:cs="Times New Roman"/>
        </w:rPr>
        <w:t>, биологических БМАРП с другим механизмом действия</w:t>
      </w:r>
      <w:r w:rsidR="003847E8" w:rsidRPr="003847E8">
        <w:t xml:space="preserve"> </w:t>
      </w:r>
      <w:r w:rsidR="003847E8">
        <w:t xml:space="preserve">и тофацитиниба </w:t>
      </w:r>
      <w:r w:rsidR="008D159C">
        <w:t>у пациентов с РА из Швейцарии. Авторы использовали информацию</w:t>
      </w:r>
      <w:r w:rsidR="00C12E5F">
        <w:t xml:space="preserve"> из медицинских баз данных по </w:t>
      </w:r>
      <w:r w:rsidR="009A4CA5">
        <w:t xml:space="preserve">4023 курсам лечения 2600 пациентов, из которых 1862 больных получали на ингибиторы </w:t>
      </w:r>
      <w:r w:rsidR="009A4CA5">
        <w:rPr>
          <w:lang w:val="en-US"/>
        </w:rPr>
        <w:t>TNF</w:t>
      </w:r>
      <w:r w:rsidR="009A4CA5" w:rsidRPr="003847E8">
        <w:t>-</w:t>
      </w:r>
      <w:r w:rsidR="009A4CA5">
        <w:rPr>
          <w:rFonts w:cs="Times New Roman"/>
        </w:rPr>
        <w:t>α</w:t>
      </w:r>
      <w:r w:rsidR="009A4CA5">
        <w:t xml:space="preserve">, 1355 – </w:t>
      </w:r>
      <w:r w:rsidR="003E6165">
        <w:rPr>
          <w:rFonts w:cs="Times New Roman"/>
        </w:rPr>
        <w:t>биологические БМАРП с другим механизмом действия</w:t>
      </w:r>
      <w:r w:rsidR="003E6165">
        <w:t xml:space="preserve">, а </w:t>
      </w:r>
      <w:r w:rsidR="009A4CA5">
        <w:t>806</w:t>
      </w:r>
      <w:r w:rsidR="003E6165">
        <w:t xml:space="preserve"> – тофацитиниб. Ингибиторы </w:t>
      </w:r>
      <w:r w:rsidR="003E6165">
        <w:rPr>
          <w:lang w:val="en-US"/>
        </w:rPr>
        <w:t>TNF</w:t>
      </w:r>
      <w:r w:rsidR="003E6165" w:rsidRPr="003847E8">
        <w:t>-</w:t>
      </w:r>
      <w:r w:rsidR="003E6165">
        <w:rPr>
          <w:rFonts w:cs="Times New Roman"/>
        </w:rPr>
        <w:t>α</w:t>
      </w:r>
      <w:r w:rsidR="003E6165">
        <w:t xml:space="preserve"> </w:t>
      </w:r>
      <w:r w:rsidR="009A4CA5">
        <w:t>чаще использовал</w:t>
      </w:r>
      <w:r w:rsidR="003E6165">
        <w:t>и</w:t>
      </w:r>
      <w:r w:rsidR="009A4CA5">
        <w:t xml:space="preserve"> в качестве первых </w:t>
      </w:r>
      <w:r w:rsidR="00D51154">
        <w:t>биологических тсБМАРП</w:t>
      </w:r>
      <w:r w:rsidR="00145A9C">
        <w:t xml:space="preserve"> у пациентов</w:t>
      </w:r>
      <w:r w:rsidR="00D51154">
        <w:t xml:space="preserve"> </w:t>
      </w:r>
      <w:r w:rsidR="009A4CA5">
        <w:t>более молодо</w:t>
      </w:r>
      <w:r w:rsidR="00145A9C">
        <w:t>го</w:t>
      </w:r>
      <w:r w:rsidR="009A4CA5">
        <w:t xml:space="preserve"> возраст</w:t>
      </w:r>
      <w:r w:rsidR="00145A9C">
        <w:t>а</w:t>
      </w:r>
      <w:r w:rsidR="009A4CA5">
        <w:t xml:space="preserve"> и </w:t>
      </w:r>
      <w:r w:rsidR="00145A9C">
        <w:t xml:space="preserve">с </w:t>
      </w:r>
      <w:r w:rsidR="009A4CA5">
        <w:t>более коротк</w:t>
      </w:r>
      <w:r w:rsidR="00145A9C">
        <w:t>ой</w:t>
      </w:r>
      <w:r w:rsidR="009A4CA5">
        <w:t xml:space="preserve"> продолжительность</w:t>
      </w:r>
      <w:r w:rsidR="00145A9C">
        <w:t>ю</w:t>
      </w:r>
      <w:r w:rsidR="009A4CA5">
        <w:t xml:space="preserve"> заболевания. Общ</w:t>
      </w:r>
      <w:r w:rsidR="0093175D">
        <w:t>ая длительность</w:t>
      </w:r>
      <w:r w:rsidR="009A4CA5">
        <w:t xml:space="preserve"> </w:t>
      </w:r>
      <w:r w:rsidR="0093175D">
        <w:t xml:space="preserve">поддерживающей терапии </w:t>
      </w:r>
      <w:r w:rsidR="000E1987">
        <w:t>препаратом</w:t>
      </w:r>
      <w:r w:rsidR="009A4CA5">
        <w:t xml:space="preserve"> был</w:t>
      </w:r>
      <w:r w:rsidR="0093175D">
        <w:t>а</w:t>
      </w:r>
      <w:r w:rsidR="009A4CA5">
        <w:t xml:space="preserve"> </w:t>
      </w:r>
      <w:r w:rsidR="009A4CA5">
        <w:lastRenderedPageBreak/>
        <w:t xml:space="preserve">значительно ниже </w:t>
      </w:r>
      <w:r w:rsidR="000E1987">
        <w:t>для</w:t>
      </w:r>
      <w:r w:rsidR="009A4CA5">
        <w:t xml:space="preserve"> </w:t>
      </w:r>
      <w:r w:rsidR="000E1987">
        <w:rPr>
          <w:lang w:val="en-US"/>
        </w:rPr>
        <w:t>TNF</w:t>
      </w:r>
      <w:r w:rsidR="000E1987" w:rsidRPr="003847E8">
        <w:t>-</w:t>
      </w:r>
      <w:r w:rsidR="000E1987">
        <w:rPr>
          <w:rFonts w:cs="Times New Roman"/>
        </w:rPr>
        <w:t xml:space="preserve">α, </w:t>
      </w:r>
      <w:r w:rsidR="009A4CA5">
        <w:t>по сравнению с</w:t>
      </w:r>
      <w:r w:rsidR="00D51154">
        <w:t xml:space="preserve"> </w:t>
      </w:r>
      <w:r w:rsidR="000E1987">
        <w:t>тофацитинибом</w:t>
      </w:r>
      <w:r w:rsidR="009A4CA5">
        <w:t xml:space="preserve"> </w:t>
      </w:r>
      <w:r w:rsidR="000E1987" w:rsidRPr="000E1987">
        <w:t>(</w:t>
      </w:r>
      <w:r w:rsidR="000E1987">
        <w:rPr>
          <w:lang w:val="en-US"/>
        </w:rPr>
        <w:t>HR</w:t>
      </w:r>
      <w:r w:rsidR="009A4CA5">
        <w:t xml:space="preserve"> 1,29</w:t>
      </w:r>
      <w:r w:rsidR="000E1987">
        <w:t xml:space="preserve">, </w:t>
      </w:r>
      <w:r w:rsidR="009A4CA5">
        <w:t>95% ДИ от 1,14 до 1,47), но с</w:t>
      </w:r>
      <w:r w:rsidR="000E1987">
        <w:t>опоста</w:t>
      </w:r>
      <w:r w:rsidR="00536B87">
        <w:t>вима</w:t>
      </w:r>
      <w:r w:rsidR="009A4CA5">
        <w:t xml:space="preserve"> между</w:t>
      </w:r>
      <w:r w:rsidR="00D51154">
        <w:t xml:space="preserve"> </w:t>
      </w:r>
      <w:r w:rsidR="00536B87" w:rsidRPr="00536B87">
        <w:t>биологически</w:t>
      </w:r>
      <w:r w:rsidR="00536B87">
        <w:t>ми</w:t>
      </w:r>
      <w:r w:rsidR="00536B87" w:rsidRPr="00536B87">
        <w:t xml:space="preserve"> БМАРП с другим механизмом действия </w:t>
      </w:r>
      <w:r w:rsidR="009A4CA5">
        <w:t xml:space="preserve">и </w:t>
      </w:r>
      <w:r w:rsidR="00536B87">
        <w:t>тофацитинибом</w:t>
      </w:r>
      <w:r w:rsidR="009A4CA5">
        <w:t xml:space="preserve"> </w:t>
      </w:r>
      <w:r w:rsidR="00536B87">
        <w:t>(</w:t>
      </w:r>
      <w:r w:rsidR="00536B87">
        <w:rPr>
          <w:lang w:val="en-US"/>
        </w:rPr>
        <w:t>HR</w:t>
      </w:r>
      <w:r w:rsidR="009A4CA5">
        <w:t xml:space="preserve"> 1,09</w:t>
      </w:r>
      <w:r w:rsidR="00536B87">
        <w:t xml:space="preserve">, </w:t>
      </w:r>
      <w:r w:rsidR="009A4CA5">
        <w:t xml:space="preserve">95% ДИ от 0,96 до 1,24). </w:t>
      </w:r>
      <w:r w:rsidR="00536B87">
        <w:t xml:space="preserve">Длительность </w:t>
      </w:r>
      <w:r w:rsidR="009A4CA5">
        <w:t>поддерживающ</w:t>
      </w:r>
      <w:r w:rsidR="00536B87">
        <w:t>ей</w:t>
      </w:r>
      <w:r w:rsidR="009A4CA5">
        <w:t xml:space="preserve"> терапи</w:t>
      </w:r>
      <w:r w:rsidR="00536B87">
        <w:t>и</w:t>
      </w:r>
      <w:r w:rsidR="009A4CA5">
        <w:t xml:space="preserve"> </w:t>
      </w:r>
      <w:r w:rsidR="002959B8">
        <w:rPr>
          <w:lang w:val="en-US"/>
        </w:rPr>
        <w:t>TNF</w:t>
      </w:r>
      <w:r w:rsidR="002959B8" w:rsidRPr="003847E8">
        <w:t>-</w:t>
      </w:r>
      <w:r w:rsidR="002959B8">
        <w:rPr>
          <w:rFonts w:cs="Times New Roman"/>
        </w:rPr>
        <w:t>α</w:t>
      </w:r>
      <w:r w:rsidR="002959B8">
        <w:t xml:space="preserve"> снижалась</w:t>
      </w:r>
      <w:r w:rsidR="009A4CA5">
        <w:t xml:space="preserve"> при </w:t>
      </w:r>
      <w:r w:rsidR="00800322">
        <w:t xml:space="preserve">отсутствии </w:t>
      </w:r>
      <w:r w:rsidR="009A4CA5">
        <w:t>сопутствующ</w:t>
      </w:r>
      <w:r w:rsidR="00800322">
        <w:t>ей терапии</w:t>
      </w:r>
      <w:r w:rsidR="009A4CA5">
        <w:t xml:space="preserve"> </w:t>
      </w:r>
      <w:r w:rsidR="00800322">
        <w:t>традиционными сБМАРП</w:t>
      </w:r>
      <w:r w:rsidR="009A4CA5">
        <w:t xml:space="preserve"> </w:t>
      </w:r>
      <w:r w:rsidR="00800322">
        <w:t>(</w:t>
      </w:r>
      <w:r w:rsidR="00800322">
        <w:rPr>
          <w:lang w:val="en-US"/>
        </w:rPr>
        <w:t>HR</w:t>
      </w:r>
      <w:r w:rsidR="00800322">
        <w:t xml:space="preserve"> </w:t>
      </w:r>
      <w:r w:rsidR="009A4CA5">
        <w:t>1,27</w:t>
      </w:r>
      <w:r w:rsidR="00800322">
        <w:t xml:space="preserve">, </w:t>
      </w:r>
      <w:r w:rsidR="009A4CA5">
        <w:t>95% ДИ от 1,08 до 1,49),</w:t>
      </w:r>
      <w:r w:rsidR="00D51154">
        <w:t xml:space="preserve"> </w:t>
      </w:r>
      <w:r w:rsidR="009A4CA5">
        <w:t xml:space="preserve">в то время как для </w:t>
      </w:r>
      <w:r w:rsidR="00800322" w:rsidRPr="00536B87">
        <w:t>биологически</w:t>
      </w:r>
      <w:r w:rsidR="00800322">
        <w:t>х</w:t>
      </w:r>
      <w:r w:rsidR="00800322" w:rsidRPr="00536B87">
        <w:t xml:space="preserve"> БМАРП с другим механизмом действия</w:t>
      </w:r>
      <w:r w:rsidR="00800322">
        <w:t xml:space="preserve"> </w:t>
      </w:r>
      <w:r w:rsidR="009A4CA5">
        <w:t xml:space="preserve">или </w:t>
      </w:r>
      <w:r w:rsidR="00800322">
        <w:t xml:space="preserve">тофацитиниба </w:t>
      </w:r>
      <w:r w:rsidR="009A4CA5">
        <w:t>не наблюдал</w:t>
      </w:r>
      <w:r w:rsidR="00800322">
        <w:t>и</w:t>
      </w:r>
      <w:r w:rsidR="00D51154">
        <w:t xml:space="preserve"> </w:t>
      </w:r>
      <w:r w:rsidR="00800322">
        <w:t>изменений длительност</w:t>
      </w:r>
      <w:r w:rsidR="006B79B9">
        <w:t>и</w:t>
      </w:r>
      <w:r w:rsidR="00800322">
        <w:t xml:space="preserve"> поддерживающей терапии при</w:t>
      </w:r>
      <w:r w:rsidR="009A4CA5">
        <w:t xml:space="preserve"> сопутствующ</w:t>
      </w:r>
      <w:r w:rsidR="00962BBE">
        <w:t>ей терапии</w:t>
      </w:r>
      <w:r w:rsidR="009A4CA5">
        <w:t xml:space="preserve"> </w:t>
      </w:r>
      <w:r w:rsidR="00962BBE">
        <w:t>традиционными сБМАРП</w:t>
      </w:r>
      <w:r w:rsidR="009A4CA5">
        <w:t>.</w:t>
      </w:r>
      <w:r w:rsidR="00D51154">
        <w:t xml:space="preserve"> </w:t>
      </w:r>
      <w:r w:rsidR="00962BBE">
        <w:t>Авторы пришли к выводу, что</w:t>
      </w:r>
      <w:r w:rsidR="009A4CA5">
        <w:t xml:space="preserve"> </w:t>
      </w:r>
      <w:r w:rsidR="00CC2BCE">
        <w:t xml:space="preserve">длительность </w:t>
      </w:r>
      <w:r w:rsidR="00962BBE">
        <w:t>п</w:t>
      </w:r>
      <w:r w:rsidR="009A4CA5">
        <w:t>оддерживающ</w:t>
      </w:r>
      <w:r w:rsidR="00CC2BCE">
        <w:t>ей</w:t>
      </w:r>
      <w:r w:rsidR="009A4CA5">
        <w:t xml:space="preserve"> терапи</w:t>
      </w:r>
      <w:r w:rsidR="00CC2BCE">
        <w:t>и</w:t>
      </w:r>
      <w:r w:rsidR="009A4CA5">
        <w:t xml:space="preserve"> </w:t>
      </w:r>
      <w:r w:rsidR="00962BBE">
        <w:t>тофацитинибом</w:t>
      </w:r>
      <w:r w:rsidR="009A4CA5">
        <w:t xml:space="preserve"> была сопоставима с</w:t>
      </w:r>
      <w:r w:rsidR="00D51154">
        <w:t xml:space="preserve"> </w:t>
      </w:r>
      <w:r w:rsidR="00CC2BCE">
        <w:t>длительностью поддерживающей терапии</w:t>
      </w:r>
      <w:r w:rsidR="00CC2BCE" w:rsidRPr="00CC2BCE">
        <w:t xml:space="preserve"> </w:t>
      </w:r>
      <w:r w:rsidR="00CC2BCE" w:rsidRPr="00536B87">
        <w:t>биологически</w:t>
      </w:r>
      <w:r w:rsidR="001D2414">
        <w:t>ми</w:t>
      </w:r>
      <w:r w:rsidR="00CC2BCE" w:rsidRPr="00536B87">
        <w:t xml:space="preserve"> БМАРП с другим механизмом действия</w:t>
      </w:r>
      <w:r w:rsidR="00CC2BCE">
        <w:t xml:space="preserve"> </w:t>
      </w:r>
      <w:r w:rsidR="009A4CA5">
        <w:t xml:space="preserve">и несколько выше, чем </w:t>
      </w:r>
      <w:r w:rsidR="004210DB">
        <w:t>для</w:t>
      </w:r>
      <w:r w:rsidR="004210DB" w:rsidRPr="004210DB">
        <w:t xml:space="preserve"> </w:t>
      </w:r>
      <w:r w:rsidR="004210DB">
        <w:rPr>
          <w:lang w:val="en-US"/>
        </w:rPr>
        <w:t>TNF</w:t>
      </w:r>
      <w:r w:rsidR="004210DB" w:rsidRPr="003847E8">
        <w:t>-</w:t>
      </w:r>
      <w:r w:rsidR="004210DB">
        <w:rPr>
          <w:rFonts w:cs="Times New Roman"/>
        </w:rPr>
        <w:t>α</w:t>
      </w:r>
      <w:r w:rsidR="009A4CA5">
        <w:t>.</w:t>
      </w:r>
      <w:r w:rsidR="00D51154">
        <w:t xml:space="preserve"> </w:t>
      </w:r>
      <w:r w:rsidR="009A4CA5">
        <w:t>Сопутствующ</w:t>
      </w:r>
      <w:r w:rsidR="004210DB">
        <w:t>ая терапия</w:t>
      </w:r>
      <w:r w:rsidR="009A4CA5">
        <w:t xml:space="preserve"> </w:t>
      </w:r>
      <w:r w:rsidR="004210DB">
        <w:t>традиционными сБМАРП</w:t>
      </w:r>
      <w:r w:rsidR="009A4CA5">
        <w:t>, по-видимому, необходим</w:t>
      </w:r>
      <w:r w:rsidR="004210DB">
        <w:t>а</w:t>
      </w:r>
      <w:r w:rsidR="009A4CA5">
        <w:t xml:space="preserve"> для оптим</w:t>
      </w:r>
      <w:r w:rsidR="004210DB">
        <w:t>изации</w:t>
      </w:r>
      <w:r w:rsidR="00D51154">
        <w:t xml:space="preserve"> </w:t>
      </w:r>
      <w:r w:rsidR="009A4CA5">
        <w:t xml:space="preserve">эффективности </w:t>
      </w:r>
      <w:r w:rsidR="004210DB">
        <w:t xml:space="preserve">лечения </w:t>
      </w:r>
      <w:r w:rsidR="004210DB">
        <w:rPr>
          <w:lang w:val="en-US"/>
        </w:rPr>
        <w:t>TNF</w:t>
      </w:r>
      <w:r w:rsidR="004210DB" w:rsidRPr="003847E8">
        <w:t>-</w:t>
      </w:r>
      <w:r w:rsidR="004210DB">
        <w:rPr>
          <w:rFonts w:cs="Times New Roman"/>
        </w:rPr>
        <w:t>α</w:t>
      </w:r>
      <w:r w:rsidR="009A4CA5">
        <w:t xml:space="preserve">, но не для </w:t>
      </w:r>
      <w:r w:rsidR="004210DB" w:rsidRPr="00536B87">
        <w:t>биологически</w:t>
      </w:r>
      <w:r w:rsidR="004210DB">
        <w:t>х</w:t>
      </w:r>
      <w:r w:rsidR="004210DB" w:rsidRPr="00536B87">
        <w:t xml:space="preserve"> БМАРП с другим механизмом действия</w:t>
      </w:r>
      <w:r w:rsidR="004210DB">
        <w:t xml:space="preserve"> или тофацитиниба </w:t>
      </w:r>
      <w:r w:rsidR="007A21EE">
        <w:fldChar w:fldCharType="begin"/>
      </w:r>
      <w:r w:rsidR="00B53860">
        <w:instrText xml:space="preserve"> ADDIN ZOTERO_ITEM CSL_CITATION {"citationID":"U6fQOo8X","properties":{"formattedCitation":"[50]","plainCitation":"[50]","noteIndex":0},"citationItems":[{"id":87784,"uris":["http://zotero.org/groups/4742804/items/JKIVYGBF"],"itemData":{"id":87784,"type":"article-journal","abstract":"Background Multiple biologic and targeted synthetic disease-modifying rheumatic drugs (b/tsDMARDs) are approved for the management of rheumatoid arthritis (RA), including TNF inhibitors (TNFi), bDMARDs with other modes of action (bDMARD-OMA) and Janus kinase inhibitors (JAKi). Combination of b/tsDMARDs with conventional synthetic DMARDs (csDMARDs) is recommended, yet monotherapy is common in practice.\nObjective To compare drug maintenance and clinical effectiveness of three alternative treatment options for RA management.\nMethods This observational cohort study was nested within the Swiss RA Registry. TNFi, bDMARD-OMA (abatacept or anti-IL6 agents) or the JAKi tofacitinib (Tofa) initiated in adult RA patients were included. The primary outcome was overall drug retention. We further analysed secondary effectiveness outcomes and whether concomitant csDMARDs modified effectiveness, adjusting for potential confounding factors.\nResults 4023 treatment courses of 2600 patients were included, 1862 on TNFi, 1355 on bDMARD-OMA and 806 on Tofa. TNFi was more frequently used as a first b/tsDMARDs, at a younger age and with shorter disease duration. Overall drug maintenance was significantly lower with TNFi compared with Tofa [HR 1.29 (95% CI 1.14 to 1.47)], but similar between bDMARD-OMA and Tofa [HR 1.09 (95% CI 0.96 to 1.24)]. TNFi maintenance was decreased when prescribed without concomitant csDMARDs [HR: 1.27 (95% CI 1.08 to 1.49)], while no difference was observed for bDMARD-OMA or Tofa maintenance with respect to concomitant csDMARDs.\nConclusion Tofa drug maintenance was comparable with bDMARDs-OMA and somewhat higher than TNFi. Concomitant csDMARDs appear to be required for optimal effectiveness of TNFi, but not for bDMARD-OMA or Tofa.","container-title":"RMD Open","DOI":"10.1136/rmdopen-2020-001174","ISSN":"2056-5933","issue":"1","language":"en","license":"© Author(s) (or their employer(s)) 2020.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Specialist Journals\nsection: Rheumatoid arthritis\nPMID: 32385143","page":"e001174","source":"rmdopen.bmj.com","title":"Comparative effectiveness of antitumour necrosis factor agents, biologics with an alternative mode of action and tofacitinib in an observational cohort of patients with rheumatoid arthritis in Switzerland","volume":"6","author":[{"family":"Finckh","given":"A."},{"family":"Tellenbach","given":"C."},{"family":"Herzog","given":"L."},{"family":"Scherer","given":"A."},{"family":"Moeller","given":"B."},{"family":"Ciurea","given":"A."},{"family":"Muehlenen","given":"I.","dropping-particle":"von"},{"family":"Gabay","given":"C."},{"family":"Kyburz","given":"D."},{"family":"Brulhart","given":"L."},{"family":"Müller","given":"R."},{"family":"Hasler","given":"P."},{"family":"Zufferey","given":"P."}],"issued":{"date-parts":[["2020",5,1]]}}}],"schema":"https://github.com/citation-style-language/schema/raw/master/csl-citation.json"} </w:instrText>
      </w:r>
      <w:r w:rsidR="007A21EE">
        <w:fldChar w:fldCharType="separate"/>
      </w:r>
      <w:r w:rsidR="00DE2C35">
        <w:rPr>
          <w:rFonts w:cs="Times New Roman"/>
        </w:rPr>
        <w:t>[</w:t>
      </w:r>
      <w:r w:rsidR="00DE2C35" w:rsidRPr="00014867">
        <w:rPr>
          <w:rFonts w:cs="Times New Roman"/>
        </w:rPr>
        <w:t>29</w:t>
      </w:r>
      <w:r w:rsidR="00B53860" w:rsidRPr="00B53860">
        <w:rPr>
          <w:rFonts w:cs="Times New Roman"/>
        </w:rPr>
        <w:t>]</w:t>
      </w:r>
      <w:r w:rsidR="007A21EE">
        <w:fldChar w:fldCharType="end"/>
      </w:r>
      <w:r w:rsidR="00D51154">
        <w:t>.</w:t>
      </w:r>
      <w:r w:rsidR="00C05619" w:rsidRPr="003847E8">
        <w:t xml:space="preserve"> </w:t>
      </w:r>
    </w:p>
    <w:p w14:paraId="654B4740" w14:textId="0349BD49" w:rsidR="007F464C" w:rsidRPr="003847E8" w:rsidRDefault="006B08DF" w:rsidP="00037921">
      <w:pPr>
        <w:pStyle w:val="SDText"/>
        <w:contextualSpacing/>
      </w:pPr>
      <w:r>
        <w:t>Проведен</w:t>
      </w:r>
      <w:r w:rsidR="00144461">
        <w:t xml:space="preserve"> </w:t>
      </w:r>
      <w:r w:rsidR="002B7ED1">
        <w:t>анализ безопасности тофацитиниба у пациентов с псориатическим артритом</w:t>
      </w:r>
      <w:r w:rsidR="00F56701">
        <w:t xml:space="preserve"> на основании данных, полученных в ходе исследований </w:t>
      </w:r>
      <w:r w:rsidR="00F56701">
        <w:rPr>
          <w:lang w:val="en-US"/>
        </w:rPr>
        <w:t>III</w:t>
      </w:r>
      <w:r w:rsidR="00F56701" w:rsidRPr="00F56701">
        <w:t xml:space="preserve"> </w:t>
      </w:r>
      <w:r w:rsidR="00F56701">
        <w:t>фазы, длительных расширенных исследований</w:t>
      </w:r>
      <w:r w:rsidR="00645BB4">
        <w:t xml:space="preserve"> в сравнении с информацией, полученной в ходе пострегистрационного применения.</w:t>
      </w:r>
      <w:r w:rsidR="00583B9A" w:rsidRPr="00583B9A">
        <w:t xml:space="preserve"> </w:t>
      </w:r>
      <w:r w:rsidR="00583B9A">
        <w:t xml:space="preserve">Когорта сравнения доз тофацитиниба включала информацию по пациентам </w:t>
      </w:r>
      <w:r w:rsidR="00616BBC">
        <w:t xml:space="preserve">за </w:t>
      </w:r>
      <w:r w:rsidR="00583B9A">
        <w:t>месяцы 0–12 в двух исследовани</w:t>
      </w:r>
      <w:r w:rsidR="001D2414">
        <w:t>ях</w:t>
      </w:r>
      <w:r w:rsidR="00583B9A">
        <w:t xml:space="preserve"> фазы III (тофацитиниб 5</w:t>
      </w:r>
      <w:r w:rsidR="00616BBC">
        <w:t xml:space="preserve"> мг</w:t>
      </w:r>
      <w:r w:rsidR="00583B9A">
        <w:t xml:space="preserve"> </w:t>
      </w:r>
      <w:r w:rsidR="00616BBC">
        <w:t xml:space="preserve">2 раза в день </w:t>
      </w:r>
      <w:r w:rsidR="00583B9A">
        <w:t xml:space="preserve">[n = 238] и </w:t>
      </w:r>
      <w:r w:rsidR="00616BBC">
        <w:t xml:space="preserve">тофацитиниб </w:t>
      </w:r>
      <w:r w:rsidR="00583B9A">
        <w:t xml:space="preserve">10 </w:t>
      </w:r>
      <w:r w:rsidR="00616BBC">
        <w:t xml:space="preserve">мг 2 раза в день </w:t>
      </w:r>
      <w:r w:rsidR="00583B9A">
        <w:t>[n = 236]); когорта сравнения тофацитиниб</w:t>
      </w:r>
      <w:r w:rsidR="002B24AE">
        <w:t>а</w:t>
      </w:r>
      <w:r w:rsidR="00583B9A">
        <w:t xml:space="preserve"> </w:t>
      </w:r>
      <w:r w:rsidR="00CA64CE">
        <w:t xml:space="preserve">во всех дозах </w:t>
      </w:r>
      <w:r w:rsidR="00583B9A">
        <w:t xml:space="preserve">(n = 783) включала </w:t>
      </w:r>
      <w:r w:rsidR="00616BBC">
        <w:t xml:space="preserve">данные, полученные в </w:t>
      </w:r>
      <w:r w:rsidR="00583B9A">
        <w:t>дв</w:t>
      </w:r>
      <w:r w:rsidR="00616BBC">
        <w:t>ух исследованиях</w:t>
      </w:r>
      <w:r w:rsidR="00583B9A">
        <w:t xml:space="preserve"> фазы III и одн</w:t>
      </w:r>
      <w:r w:rsidR="00616BBC">
        <w:t xml:space="preserve">ом </w:t>
      </w:r>
      <w:r w:rsidR="00583B9A">
        <w:t>продолжающе</w:t>
      </w:r>
      <w:r w:rsidR="00616BBC">
        <w:t>мс</w:t>
      </w:r>
      <w:r w:rsidR="00583B9A">
        <w:t>я д</w:t>
      </w:r>
      <w:r w:rsidR="00616BBC">
        <w:t>лительном</w:t>
      </w:r>
      <w:r w:rsidR="00583B9A">
        <w:t xml:space="preserve"> расширенно</w:t>
      </w:r>
      <w:r w:rsidR="00616BBC">
        <w:t>м</w:t>
      </w:r>
      <w:r w:rsidR="00583B9A">
        <w:t xml:space="preserve"> исследовани</w:t>
      </w:r>
      <w:r w:rsidR="00616BBC">
        <w:t>и</w:t>
      </w:r>
      <w:r w:rsidR="00583B9A">
        <w:t xml:space="preserve"> (данные были получены в мае 2016 г.). </w:t>
      </w:r>
      <w:r w:rsidR="005E07E0">
        <w:t>Наблюдательная</w:t>
      </w:r>
      <w:r w:rsidR="00583B9A">
        <w:t xml:space="preserve"> сравнительная когорта (n = 5799) включала</w:t>
      </w:r>
      <w:r w:rsidR="00616BBC">
        <w:t xml:space="preserve"> информацию по </w:t>
      </w:r>
      <w:r w:rsidR="00583B9A">
        <w:t>пациент</w:t>
      </w:r>
      <w:r w:rsidR="00616BBC">
        <w:t>ам</w:t>
      </w:r>
      <w:r w:rsidR="00583B9A">
        <w:t>, нач</w:t>
      </w:r>
      <w:r w:rsidR="00616BBC">
        <w:t>авшим</w:t>
      </w:r>
      <w:r w:rsidR="00583B9A">
        <w:t xml:space="preserve"> лечение обычными </w:t>
      </w:r>
      <w:r w:rsidR="00616BBC">
        <w:t>сБМАРП</w:t>
      </w:r>
      <w:r w:rsidR="00583B9A">
        <w:t xml:space="preserve">, биологическими </w:t>
      </w:r>
      <w:r w:rsidR="00616BBC">
        <w:t>БМАРП</w:t>
      </w:r>
      <w:r w:rsidR="00583B9A">
        <w:t xml:space="preserve"> или апремиластом</w:t>
      </w:r>
      <w:r w:rsidR="00616BBC">
        <w:t xml:space="preserve">, полученную из </w:t>
      </w:r>
      <w:r w:rsidR="00583B9A">
        <w:t>баз</w:t>
      </w:r>
      <w:r w:rsidR="00616BBC">
        <w:t>ы</w:t>
      </w:r>
      <w:r w:rsidR="00583B9A">
        <w:t xml:space="preserve"> данных Truven MarketScan США с 2010 по 2015 год. </w:t>
      </w:r>
      <w:r w:rsidR="00616BBC">
        <w:t xml:space="preserve">В когортах сравнивали </w:t>
      </w:r>
      <w:r w:rsidR="00F5738A">
        <w:t>заболеваемость</w:t>
      </w:r>
      <w:r w:rsidR="00583B9A">
        <w:t xml:space="preserve"> для серьезных инфекций, требующих госпитализации,</w:t>
      </w:r>
      <w:r w:rsidR="00616BBC">
        <w:t xml:space="preserve"> </w:t>
      </w:r>
      <w:r w:rsidR="00583B9A">
        <w:t>опоясывающ</w:t>
      </w:r>
      <w:r w:rsidR="00C92278">
        <w:t>его лишая</w:t>
      </w:r>
      <w:r w:rsidR="00583B9A">
        <w:t>, злокачественны</w:t>
      </w:r>
      <w:r w:rsidR="00C92278">
        <w:t>х</w:t>
      </w:r>
      <w:r w:rsidR="00583B9A">
        <w:t xml:space="preserve"> новообразовани</w:t>
      </w:r>
      <w:r w:rsidR="00C92278">
        <w:t>й</w:t>
      </w:r>
      <w:r w:rsidR="00C93DA0">
        <w:t>,</w:t>
      </w:r>
      <w:r w:rsidR="00583B9A">
        <w:t xml:space="preserve"> за исключением НМРК, НМРК и MACE</w:t>
      </w:r>
      <w:r w:rsidR="0005565B">
        <w:t xml:space="preserve">. </w:t>
      </w:r>
      <w:r w:rsidR="001A0D4A">
        <w:t>Заболеваемость на 100 пациенто-лет для серьезных инфекций, требующих госпитализации</w:t>
      </w:r>
      <w:r w:rsidR="00E61A63">
        <w:t>,</w:t>
      </w:r>
      <w:r w:rsidR="001A0D4A">
        <w:t xml:space="preserve"> была сходной в когорте сравнения доз тофацитиниба (5 мг два раза в день: 1,3; 10 мг два раза в день: 2,0) и </w:t>
      </w:r>
      <w:r w:rsidR="00E61A63">
        <w:t xml:space="preserve">в </w:t>
      </w:r>
      <w:r w:rsidR="001A0D4A">
        <w:t>когорте наблюдательного сравнения (1,1–7,9;</w:t>
      </w:r>
      <w:r w:rsidR="005E07E0">
        <w:t xml:space="preserve"> в</w:t>
      </w:r>
      <w:r w:rsidR="001A0D4A">
        <w:t xml:space="preserve"> зависи</w:t>
      </w:r>
      <w:r w:rsidR="005E07E0">
        <w:t>мости</w:t>
      </w:r>
      <w:r w:rsidR="001A0D4A">
        <w:t xml:space="preserve"> от лечения). </w:t>
      </w:r>
      <w:r w:rsidR="002C1816">
        <w:t>Для к</w:t>
      </w:r>
      <w:r w:rsidR="001A0D4A">
        <w:t>огорт</w:t>
      </w:r>
      <w:r w:rsidR="002C1816">
        <w:t>ы</w:t>
      </w:r>
      <w:r w:rsidR="001A0D4A">
        <w:t xml:space="preserve"> сравнения доз </w:t>
      </w:r>
      <w:r w:rsidR="002C1816">
        <w:t>тофацитиниб</w:t>
      </w:r>
      <w:r w:rsidR="00E61A63">
        <w:t>а</w:t>
      </w:r>
      <w:r w:rsidR="002C1816">
        <w:t xml:space="preserve"> отмечали</w:t>
      </w:r>
      <w:r w:rsidR="001A0D4A">
        <w:t xml:space="preserve"> более высокую частоту </w:t>
      </w:r>
      <w:r w:rsidR="002C1816">
        <w:t>опоясывающего лишая</w:t>
      </w:r>
      <w:r w:rsidR="001A0D4A">
        <w:t xml:space="preserve"> (5 мг два раза в день: 2,0; 10 мг два раза в день: 2,7), чем </w:t>
      </w:r>
      <w:r w:rsidR="002C1816">
        <w:t>для</w:t>
      </w:r>
      <w:r w:rsidR="001A0D4A">
        <w:t xml:space="preserve"> наблюд</w:t>
      </w:r>
      <w:r w:rsidR="002C1816">
        <w:t xml:space="preserve">ательной сравнительной </w:t>
      </w:r>
      <w:r w:rsidR="001A0D4A">
        <w:t>когорт</w:t>
      </w:r>
      <w:r w:rsidR="002C1816">
        <w:t>ы</w:t>
      </w:r>
      <w:r w:rsidR="001A0D4A">
        <w:t xml:space="preserve"> (0,8–2,0). </w:t>
      </w:r>
      <w:r w:rsidR="009871A0">
        <w:t>Заболеваемость</w:t>
      </w:r>
      <w:r w:rsidR="001A0D4A">
        <w:t xml:space="preserve"> НМРК, как правило, был</w:t>
      </w:r>
      <w:r w:rsidR="009871A0">
        <w:t>а</w:t>
      </w:r>
      <w:r w:rsidR="001A0D4A">
        <w:t xml:space="preserve"> ниже в когорте сравнения тофацитиниб</w:t>
      </w:r>
      <w:r w:rsidR="00ED5BCC">
        <w:t>а во всех дозах</w:t>
      </w:r>
      <w:r w:rsidR="001A0D4A">
        <w:t xml:space="preserve"> (0,5), чем в </w:t>
      </w:r>
      <w:r w:rsidR="00ED5BCC">
        <w:t xml:space="preserve">наблюдательной сравнительной </w:t>
      </w:r>
      <w:r w:rsidR="001A0D4A">
        <w:t>когорт</w:t>
      </w:r>
      <w:r w:rsidR="00694A63">
        <w:t>е</w:t>
      </w:r>
      <w:r w:rsidR="001A0D4A">
        <w:t xml:space="preserve"> (0,4–6,0). </w:t>
      </w:r>
      <w:r w:rsidR="00694A63">
        <w:t>Заболеваемость</w:t>
      </w:r>
      <w:r w:rsidR="001A0D4A">
        <w:t xml:space="preserve"> для MACE, злокачественных новообразований, </w:t>
      </w:r>
      <w:r w:rsidR="00694A63">
        <w:t xml:space="preserve">за </w:t>
      </w:r>
      <w:r w:rsidR="001A0D4A">
        <w:t>исключ</w:t>
      </w:r>
      <w:r w:rsidR="00694A63">
        <w:t>ением</w:t>
      </w:r>
      <w:r w:rsidR="001A0D4A">
        <w:t xml:space="preserve"> НМРК, и НМРК был</w:t>
      </w:r>
      <w:r w:rsidR="00694A63">
        <w:t>а</w:t>
      </w:r>
      <w:r w:rsidR="001A0D4A">
        <w:t xml:space="preserve"> сходн</w:t>
      </w:r>
      <w:r w:rsidR="00694A63">
        <w:t>ой</w:t>
      </w:r>
      <w:r w:rsidR="001A0D4A">
        <w:t xml:space="preserve"> между когортами.</w:t>
      </w:r>
      <w:r w:rsidR="00694A63">
        <w:t xml:space="preserve"> Авторы пришли к заключению, что</w:t>
      </w:r>
      <w:r w:rsidR="001A0D4A">
        <w:t xml:space="preserve"> </w:t>
      </w:r>
      <w:r w:rsidR="00694A63">
        <w:t>у</w:t>
      </w:r>
      <w:r w:rsidR="001A0D4A">
        <w:t xml:space="preserve"> пациентов с </w:t>
      </w:r>
      <w:r w:rsidR="00694A63">
        <w:t>псориатическим артритом</w:t>
      </w:r>
      <w:r w:rsidR="001A0D4A">
        <w:t xml:space="preserve"> тофацитиниб имел профиль безопасности, сходный с профилями других препаратов </w:t>
      </w:r>
      <w:r w:rsidR="00BC045D">
        <w:t xml:space="preserve">системной терапии </w:t>
      </w:r>
      <w:r w:rsidR="001A0D4A">
        <w:t xml:space="preserve">в </w:t>
      </w:r>
      <w:r w:rsidR="00694A63">
        <w:t>ходе применения в клинических условиях</w:t>
      </w:r>
      <w:r w:rsidR="001A0D4A">
        <w:t xml:space="preserve">, за исключением риска </w:t>
      </w:r>
      <w:r w:rsidR="00A44327">
        <w:t>опоясывающего лишая</w:t>
      </w:r>
      <w:r w:rsidR="001A0D4A">
        <w:t xml:space="preserve">, известного риска </w:t>
      </w:r>
      <w:r w:rsidR="00A44327">
        <w:t xml:space="preserve">для </w:t>
      </w:r>
      <w:r w:rsidR="001A0D4A">
        <w:t>тофацитиниба</w:t>
      </w:r>
      <w:r w:rsidR="00583B9A">
        <w:t xml:space="preserve"> </w:t>
      </w:r>
      <w:r w:rsidR="00C05619">
        <w:fldChar w:fldCharType="begin"/>
      </w:r>
      <w:r w:rsidR="0062670E">
        <w:instrText xml:space="preserve"> ADDIN ZOTERO_ITEM CSL_CITATION {"citationID":"4ot3T0j4","properties":{"formattedCitation":"[40]","plainCitation":"[40]","noteIndex":0},"citationItems":[{"id":87789,"uris":["http://zotero.org/groups/4742804/items/ZU4VTLGD"],"itemData":{"id":87789,"type":"article-journal","abstract":"Tofacitinib is an oral Janus kinase inhibitor for the treatment of psoriatic arthritis (PsA).","container-title":"Drug Safety","DOI":"10.1007/s40264-020-00904-9","ISSN":"1179-1942","issue":"4","journalAbbreviation":"Drug Saf","language":"en","page":"379-392","source":"Springer Link","title":"An integrated analysis of the safety of tofacitinib in psoriatic arthritis across phase III and long-term extension studies with comparison to real-world observational data","volume":"43","author":[{"family":"Burmester","given":"Gerd R."},{"family":"Curtis","given":"Jeffrey R."},{"family":"Yun","given":"Huifeng"},{"family":"FitzGerald","given":"Oliver"},{"family":"Winthrop","given":"Kevin L."},{"family":"Azevedo","given":"Valderilio F."},{"family":"Rigby","given":"William F. C."},{"family":"Kanik","given":"Keith S."},{"family":"Wang","given":"Cunshan"},{"family":"Biswas","given":"Pinaki"},{"family":"Jones","given":"Thomas"},{"family":"Palmetto","given":"Niki"},{"family":"Hendrikx","given":"Thijs"},{"family":"Menon","given":"Sujatha"},{"family":"Rojo","given":"Ricardo"}],"issued":{"date-parts":[["2020",4,1]]}}}],"schema":"https://github.com/citation-style-language/schema/raw/master/csl-citation.json"} </w:instrText>
      </w:r>
      <w:r w:rsidR="00C05619">
        <w:fldChar w:fldCharType="separate"/>
      </w:r>
      <w:r w:rsidR="00DE2C35">
        <w:rPr>
          <w:rFonts w:cs="Times New Roman"/>
        </w:rPr>
        <w:t>[</w:t>
      </w:r>
      <w:r w:rsidR="00DE2C35" w:rsidRPr="00DE2C35">
        <w:rPr>
          <w:rFonts w:cs="Times New Roman"/>
        </w:rPr>
        <w:t>18</w:t>
      </w:r>
      <w:r w:rsidR="0062670E" w:rsidRPr="0062670E">
        <w:rPr>
          <w:rFonts w:cs="Times New Roman"/>
        </w:rPr>
        <w:t>]</w:t>
      </w:r>
      <w:r w:rsidR="00C05619">
        <w:fldChar w:fldCharType="end"/>
      </w:r>
      <w:r w:rsidR="00A44327">
        <w:t>.</w:t>
      </w:r>
    </w:p>
    <w:p w14:paraId="3CBC83CB" w14:textId="48C305E9" w:rsidR="007E0713" w:rsidRPr="001F0086" w:rsidRDefault="006B08DF" w:rsidP="00037921">
      <w:pPr>
        <w:pStyle w:val="SDText"/>
        <w:contextualSpacing/>
      </w:pPr>
      <w:r>
        <w:t>В</w:t>
      </w:r>
      <w:r w:rsidR="001F0086">
        <w:t xml:space="preserve"> рандомизированном </w:t>
      </w:r>
      <w:r w:rsidR="00281B67">
        <w:t xml:space="preserve">двойном слепом </w:t>
      </w:r>
      <w:r w:rsidR="001F0086">
        <w:t>плацебо-контролируем</w:t>
      </w:r>
      <w:r w:rsidR="00281B67">
        <w:t xml:space="preserve">ом </w:t>
      </w:r>
      <w:r w:rsidR="001F0086">
        <w:t xml:space="preserve">исследовании фазы </w:t>
      </w:r>
      <w:r w:rsidR="001F0086">
        <w:rPr>
          <w:lang w:val="en-US"/>
        </w:rPr>
        <w:t>IIa</w:t>
      </w:r>
      <w:r w:rsidR="001F0086" w:rsidRPr="001F0086">
        <w:t xml:space="preserve"> </w:t>
      </w:r>
      <w:r w:rsidR="001F0086">
        <w:t xml:space="preserve">изучили эффективность топического применения тофацитиниба у пациентов с атопическим дерматитом. </w:t>
      </w:r>
      <w:r w:rsidR="00281B67">
        <w:t>В исследовании приняли участие 69 взрослых пациентов, которых рандомизировали на 2 группы</w:t>
      </w:r>
      <w:r w:rsidR="00E96A28">
        <w:t xml:space="preserve"> в соотношении 1:1</w:t>
      </w:r>
      <w:r w:rsidR="00281B67">
        <w:t xml:space="preserve">. </w:t>
      </w:r>
      <w:r w:rsidR="00E96A28">
        <w:t xml:space="preserve">Пациенты из первой группы 2 раза в день применяли 2% </w:t>
      </w:r>
      <w:r w:rsidR="00761076">
        <w:t>мазь</w:t>
      </w:r>
      <w:r w:rsidR="00E96A28">
        <w:t xml:space="preserve"> тофацитиниба, а больные из второй группы – плацебо. </w:t>
      </w:r>
      <w:r w:rsidR="00505CE3">
        <w:t xml:space="preserve">Длительность терапии составила 4 недели. </w:t>
      </w:r>
      <w:r w:rsidR="00896B2D">
        <w:t>Через 4 недели терапии с</w:t>
      </w:r>
      <w:r w:rsidR="005621D1">
        <w:t>редн</w:t>
      </w:r>
      <w:r w:rsidR="00896B2D">
        <w:t>ее</w:t>
      </w:r>
      <w:r w:rsidR="005621D1">
        <w:t xml:space="preserve"> относительное изменение от исходного значения </w:t>
      </w:r>
      <w:r w:rsidR="00896B2D">
        <w:t>индекса</w:t>
      </w:r>
      <w:r w:rsidR="005621D1">
        <w:t xml:space="preserve"> </w:t>
      </w:r>
      <w:r w:rsidR="00896B2D">
        <w:t>площади и тяжести экземы (</w:t>
      </w:r>
      <w:r w:rsidR="00896B2D" w:rsidRPr="00896B2D">
        <w:t>Eczema Area and Severity Index</w:t>
      </w:r>
      <w:r w:rsidR="00896B2D">
        <w:t xml:space="preserve">, </w:t>
      </w:r>
      <w:r w:rsidR="005621D1">
        <w:t>EASI</w:t>
      </w:r>
      <w:r w:rsidR="00896B2D">
        <w:t>)</w:t>
      </w:r>
      <w:r w:rsidR="005621D1">
        <w:t xml:space="preserve"> был</w:t>
      </w:r>
      <w:r w:rsidR="00896B2D">
        <w:t>о</w:t>
      </w:r>
      <w:r w:rsidR="005621D1">
        <w:t xml:space="preserve"> значительно вы</w:t>
      </w:r>
      <w:r w:rsidR="00896B2D">
        <w:t>раже</w:t>
      </w:r>
      <w:r w:rsidR="00841691">
        <w:t>н</w:t>
      </w:r>
      <w:r w:rsidR="00896B2D">
        <w:t>нее</w:t>
      </w:r>
      <w:r w:rsidR="005621D1">
        <w:t xml:space="preserve"> (</w:t>
      </w:r>
      <w:r w:rsidR="00896B2D">
        <w:t>p</w:t>
      </w:r>
      <w:r w:rsidR="00220E80">
        <w:t xml:space="preserve"> &lt;</w:t>
      </w:r>
      <w:r w:rsidR="005621D1">
        <w:t xml:space="preserve">0,001) для тофацитиниба (81,7%) </w:t>
      </w:r>
      <w:r w:rsidR="005621D1">
        <w:lastRenderedPageBreak/>
        <w:t xml:space="preserve">по сравнению с </w:t>
      </w:r>
      <w:r w:rsidR="00896B2D">
        <w:t>плацебо</w:t>
      </w:r>
      <w:r w:rsidR="005621D1">
        <w:t xml:space="preserve"> (29,9%). </w:t>
      </w:r>
      <w:r w:rsidR="00896B2D">
        <w:t>У п</w:t>
      </w:r>
      <w:r w:rsidR="005621D1">
        <w:t>ациент</w:t>
      </w:r>
      <w:r w:rsidR="00896B2D">
        <w:t>ов</w:t>
      </w:r>
      <w:r w:rsidR="005621D1">
        <w:t xml:space="preserve"> </w:t>
      </w:r>
      <w:r w:rsidR="001717A5">
        <w:t xml:space="preserve">при </w:t>
      </w:r>
      <w:r w:rsidR="005621D1">
        <w:t>лечени</w:t>
      </w:r>
      <w:r w:rsidR="001717A5">
        <w:t>и</w:t>
      </w:r>
      <w:r w:rsidR="005621D1">
        <w:t xml:space="preserve"> тофацитиниб</w:t>
      </w:r>
      <w:r w:rsidR="00896B2D">
        <w:t>ом</w:t>
      </w:r>
      <w:r w:rsidR="005621D1">
        <w:t xml:space="preserve"> продемонстрировал</w:t>
      </w:r>
      <w:r w:rsidR="001717A5">
        <w:t>и</w:t>
      </w:r>
      <w:r w:rsidR="005621D1">
        <w:t xml:space="preserve"> значительное (</w:t>
      </w:r>
      <w:r w:rsidR="00896B2D">
        <w:t>p</w:t>
      </w:r>
      <w:r w:rsidR="00220E80">
        <w:t xml:space="preserve"> &lt;</w:t>
      </w:r>
      <w:r w:rsidR="005621D1">
        <w:t xml:space="preserve">0,001) улучшение по сравнению с </w:t>
      </w:r>
      <w:r w:rsidR="00896B2D">
        <w:t>плацебо</w:t>
      </w:r>
      <w:r w:rsidR="005621D1">
        <w:t xml:space="preserve"> </w:t>
      </w:r>
      <w:r w:rsidR="00896B2D">
        <w:t>по всем</w:t>
      </w:r>
      <w:r w:rsidR="005621D1">
        <w:t xml:space="preserve"> конечны</w:t>
      </w:r>
      <w:r w:rsidR="00896B2D">
        <w:t>м</w:t>
      </w:r>
      <w:r w:rsidR="005621D1">
        <w:t xml:space="preserve"> точк</w:t>
      </w:r>
      <w:r w:rsidR="00896B2D">
        <w:t>ам</w:t>
      </w:r>
      <w:r w:rsidR="005621D1">
        <w:t xml:space="preserve"> эффективности и </w:t>
      </w:r>
      <w:r w:rsidR="00E61A63">
        <w:t xml:space="preserve">приводило к </w:t>
      </w:r>
      <w:r w:rsidR="00A80AED">
        <w:t xml:space="preserve">снижению </w:t>
      </w:r>
      <w:r w:rsidR="005621D1">
        <w:t>зуд</w:t>
      </w:r>
      <w:r w:rsidR="00A80AED">
        <w:t>а</w:t>
      </w:r>
      <w:r w:rsidR="005621D1">
        <w:t xml:space="preserve"> на 4</w:t>
      </w:r>
      <w:r w:rsidR="00A80AED">
        <w:t xml:space="preserve"> </w:t>
      </w:r>
      <w:r w:rsidR="005621D1">
        <w:t>неделе. Значительн</w:t>
      </w:r>
      <w:r w:rsidR="00A80AED">
        <w:t>о</w:t>
      </w:r>
      <w:r w:rsidR="005621D1">
        <w:t>е улучшени</w:t>
      </w:r>
      <w:r w:rsidR="00A80AED">
        <w:t>е отмечали</w:t>
      </w:r>
      <w:r w:rsidR="005621D1">
        <w:t xml:space="preserve"> </w:t>
      </w:r>
      <w:r w:rsidR="00A80AED">
        <w:t>при оценке по</w:t>
      </w:r>
      <w:r w:rsidR="005621D1">
        <w:t xml:space="preserve"> EASI, </w:t>
      </w:r>
      <w:r w:rsidR="00E61A63">
        <w:t xml:space="preserve">по </w:t>
      </w:r>
      <w:r w:rsidR="005037E1">
        <w:t>общей оценк</w:t>
      </w:r>
      <w:r w:rsidR="00E61A63">
        <w:t>е</w:t>
      </w:r>
      <w:r w:rsidR="005037E1">
        <w:t xml:space="preserve"> врачом (</w:t>
      </w:r>
      <w:r w:rsidR="007D5027" w:rsidRPr="007D5027">
        <w:t>Physician’s Global Assessment</w:t>
      </w:r>
      <w:r w:rsidR="007D5027">
        <w:t xml:space="preserve">, </w:t>
      </w:r>
      <w:r w:rsidR="005621D1">
        <w:t>PGA</w:t>
      </w:r>
      <w:r w:rsidR="005037E1">
        <w:t>)</w:t>
      </w:r>
      <w:r w:rsidR="00115E0C">
        <w:t>,</w:t>
      </w:r>
      <w:r w:rsidR="005621D1">
        <w:t xml:space="preserve"> и </w:t>
      </w:r>
      <w:r w:rsidR="00115E0C">
        <w:t xml:space="preserve">отмечали уменьшение </w:t>
      </w:r>
      <w:r w:rsidR="007D5027">
        <w:t xml:space="preserve">пораженной площади поверхности тела </w:t>
      </w:r>
      <w:r w:rsidR="005621D1">
        <w:t>к 1 неделе, а уменьшение зуда</w:t>
      </w:r>
      <w:r w:rsidR="007D5027">
        <w:t xml:space="preserve"> – </w:t>
      </w:r>
      <w:r w:rsidR="005621D1">
        <w:t xml:space="preserve">ко 2 дню. Безопасность/местная переносимость в целом были одинаковыми для </w:t>
      </w:r>
      <w:r w:rsidR="007D5027">
        <w:t>активной терапии и плацебо</w:t>
      </w:r>
      <w:r w:rsidR="005621D1">
        <w:t xml:space="preserve">, хотя при </w:t>
      </w:r>
      <w:r w:rsidR="007D5027">
        <w:t>использовании</w:t>
      </w:r>
      <w:r w:rsidR="005621D1">
        <w:t xml:space="preserve"> носителя по сравнению с тофацитинибом наблюдал</w:t>
      </w:r>
      <w:r w:rsidR="007D5027">
        <w:t>и</w:t>
      </w:r>
      <w:r w:rsidR="005621D1">
        <w:t xml:space="preserve"> больше </w:t>
      </w:r>
      <w:r w:rsidR="007D5027">
        <w:t>НЯ</w:t>
      </w:r>
      <w:r w:rsidR="005621D1">
        <w:t xml:space="preserve">. </w:t>
      </w:r>
      <w:r w:rsidR="007D5027">
        <w:t>Авторы пришли к в</w:t>
      </w:r>
      <w:r w:rsidR="005621D1">
        <w:t>ывод</w:t>
      </w:r>
      <w:r w:rsidR="007D5027">
        <w:t>у, что</w:t>
      </w:r>
      <w:r w:rsidR="005621D1">
        <w:t xml:space="preserve"> </w:t>
      </w:r>
      <w:r w:rsidR="00761076">
        <w:t>м</w:t>
      </w:r>
      <w:r w:rsidR="005621D1">
        <w:t xml:space="preserve">азь тофацитиниба </w:t>
      </w:r>
      <w:r w:rsidR="00761076">
        <w:t>обладала</w:t>
      </w:r>
      <w:r w:rsidR="005621D1">
        <w:t xml:space="preserve"> значительно больш</w:t>
      </w:r>
      <w:r w:rsidR="00761076">
        <w:t xml:space="preserve">ей </w:t>
      </w:r>
      <w:r w:rsidR="005621D1">
        <w:t>эффективность</w:t>
      </w:r>
      <w:r w:rsidR="00761076">
        <w:t>ю</w:t>
      </w:r>
      <w:r w:rsidR="005621D1">
        <w:t xml:space="preserve"> по сравнению с </w:t>
      </w:r>
      <w:r w:rsidR="00761076">
        <w:t>плацебо</w:t>
      </w:r>
      <w:r w:rsidR="005621D1">
        <w:t xml:space="preserve"> с ранним началом эффекта и сопоставимой безопасностью/местной переносимостью. Ингибирование JAK посредством местной доставки потенциально является многообещающ</w:t>
      </w:r>
      <w:r w:rsidR="00A47773">
        <w:t>ей т</w:t>
      </w:r>
      <w:r w:rsidR="005621D1">
        <w:t>ерапевтическ</w:t>
      </w:r>
      <w:r w:rsidR="00A47773">
        <w:t>ой</w:t>
      </w:r>
      <w:r w:rsidR="005621D1">
        <w:t xml:space="preserve"> мишень</w:t>
      </w:r>
      <w:r w:rsidR="00A47773">
        <w:t>ю</w:t>
      </w:r>
      <w:r w:rsidR="005621D1">
        <w:t xml:space="preserve"> </w:t>
      </w:r>
      <w:r w:rsidR="00A47773">
        <w:t>при лечении пациентов с атопическим дерматитом</w:t>
      </w:r>
      <w:r w:rsidR="00E3644C" w:rsidRPr="001F0086">
        <w:t xml:space="preserve"> </w:t>
      </w:r>
      <w:r w:rsidR="001B5EC5">
        <w:fldChar w:fldCharType="begin"/>
      </w:r>
      <w:r w:rsidR="0062670E">
        <w:instrText xml:space="preserve"> ADDIN ZOTERO_ITEM CSL_CITATION {"citationID":"AjHh9Num","properties":{"formattedCitation":"[41]","plainCitation":"[41]","noteIndex":0},"citationItems":[{"id":87778,"uris":["http://zotero.org/groups/4742804/items/EBYYTS2A"],"itemData":{"id":87778,"type":"article-journal","abstract":"Background Despite unmet need, 15 years have passed since a topical therapy with a new mechanism of action for atopic dermatitis (AD) has been approved. Janus kinase (JAK) inhibitor treatment effect via topical application in patients with AD is unknown. Objectives Tofacitinib, a small-molecule JAK inhibitor, was investigated for the topical treatment of AD. Methods In this 4-week, phase IIa, randomized, double-blind, vehicle-controlled study (NCT02001181), 69 adults with mild-to-moderate AD were randomized 1:1 to 2% tofacitinib or vehicle ointment twice daily. Percentage change from baseline (CFB) in Eczema Area and Severity Index (EASI) score at week 4 was the primary end point. Secondary efficacy end points included percentage CFB in body surface area (BSA), CFB in EASI Clinical Signs Severity Sum Score, proportion of patients with Physician's Global Assessment (PGA) response and CFB in patient-reported pruritus. Safety, local tolerability and pharmacokinetics were monitored. Results The mean percentage CFB at week 4 in EASI score was significantly greater (P &lt; 0·001) for tofacitinib (−81·7%) vs. vehicle (−29·9%). Patients treated with tofacitinib showed significant (P &lt; 0·001) improvements vs. vehicle across all prespecified efficacy end points and for pruritus at week 4. Significant improvements in EASI, PGA and BSA were observed by week 1 and improvements in pruritus were observed by day 2. Safety/local tolerability were generally similar for both treatments, although more adverse events were observed for vehicle vs. tofacitinib. Conclusions Tofacitinib ointment showed significantly greater efficacy vs. vehicle across end points, with early onset of effect and comparable safety/local tolerability to vehicle. JAK inhibition through topical delivery is potentially a promising therapeutic target for AD.","container-title":"British Journal of Dermatology","DOI":"10.1111/bjd.14871","ISSN":"1365-2133","issue":"5","language":"en","note":"_eprint: https://onlinelibrary.wiley.com/doi/pdf/10.1111/bjd.14871","page":"902-911","source":"Wiley Online Library","title":"Topical tofacitinib for atopic dermatitis: a phase IIa randomized trial","title-short":"Topical tofacitinib for atopic dermatitis","volume":"175","author":[{"family":"Bissonnette","given":"R."},{"family":"Papp","given":"K.a."},{"family":"Poulin","given":"Y."},{"family":"Gooderham","given":"M."},{"family":"Raman","given":"M."},{"family":"Mallbris","given":"L."},{"family":"Wang","given":"C."},{"family":"Purohit","given":"V."},{"family":"Mamolo","given":"C."},{"family":"Papacharalambous","given":"J."},{"family":"Ports","given":"W.c."}],"issued":{"date-parts":[["2016"]]}}}],"schema":"https://github.com/citation-style-language/schema/raw/master/csl-citation.json"} </w:instrText>
      </w:r>
      <w:r w:rsidR="001B5EC5">
        <w:fldChar w:fldCharType="separate"/>
      </w:r>
      <w:r w:rsidR="00DE2C35">
        <w:rPr>
          <w:rFonts w:cs="Times New Roman"/>
        </w:rPr>
        <w:t>[</w:t>
      </w:r>
      <w:r w:rsidR="00DE2C35" w:rsidRPr="00014867">
        <w:rPr>
          <w:rFonts w:cs="Times New Roman"/>
        </w:rPr>
        <w:t>19</w:t>
      </w:r>
      <w:r w:rsidR="0062670E" w:rsidRPr="0062670E">
        <w:rPr>
          <w:rFonts w:cs="Times New Roman"/>
        </w:rPr>
        <w:t>]</w:t>
      </w:r>
      <w:r w:rsidR="001B5EC5">
        <w:fldChar w:fldCharType="end"/>
      </w:r>
      <w:r w:rsidR="005621D1">
        <w:t>.</w:t>
      </w:r>
    </w:p>
    <w:p w14:paraId="7A28AAAF" w14:textId="6A812FD3" w:rsidR="00037921" w:rsidRDefault="006B08DF" w:rsidP="00220E80">
      <w:pPr>
        <w:pStyle w:val="SDText"/>
        <w:spacing w:after="0"/>
        <w:contextualSpacing/>
      </w:pPr>
      <w:r>
        <w:t>В</w:t>
      </w:r>
      <w:r w:rsidR="00D83DD4">
        <w:t xml:space="preserve"> двойном слепом рандомизированном исследовании изучили </w:t>
      </w:r>
      <w:r w:rsidR="007B3D2D">
        <w:t xml:space="preserve">эффективность и </w:t>
      </w:r>
      <w:r w:rsidR="00D83DD4">
        <w:t xml:space="preserve">безопасность использования тофацитиниба у пациентов с </w:t>
      </w:r>
      <w:r w:rsidR="009B4582">
        <w:t>системной красной волчанкой</w:t>
      </w:r>
      <w:r w:rsidR="006707CF">
        <w:t xml:space="preserve"> (СКВ)</w:t>
      </w:r>
      <w:r w:rsidR="009B4582">
        <w:t xml:space="preserve">. В исследовании приняли участие 30 пациентов, которых рандомизировали на 2 группы в соотношении </w:t>
      </w:r>
      <w:r w:rsidR="00AB2883">
        <w:t>2</w:t>
      </w:r>
      <w:r w:rsidR="009B4582">
        <w:t xml:space="preserve">:1. </w:t>
      </w:r>
      <w:r w:rsidR="00AB2883">
        <w:t xml:space="preserve">Пациенты из первой группы получали тофацитиниб в дозе 5 мг 2 раза в день, а больные из второй группы – плацебо. </w:t>
      </w:r>
      <w:r w:rsidR="007B3D2D">
        <w:t xml:space="preserve">Первичными конечными точками являлись безопасность и переносимость тофацитиниба, а вторичными конечными точками </w:t>
      </w:r>
      <w:r w:rsidR="007D3E8D">
        <w:t>–</w:t>
      </w:r>
      <w:r w:rsidR="007B3D2D">
        <w:t xml:space="preserve"> </w:t>
      </w:r>
      <w:r w:rsidR="007D3E8D">
        <w:t xml:space="preserve">клинический ответ и изменение механистических свойств </w:t>
      </w:r>
      <w:r w:rsidR="00B34303">
        <w:t xml:space="preserve">артерий. В ходе исследования установили, что применение тофацитиниба у пациентов с </w:t>
      </w:r>
      <w:r w:rsidR="006707CF">
        <w:t>СКВ</w:t>
      </w:r>
      <w:r w:rsidR="00B34303">
        <w:t xml:space="preserve"> являлось безопасным. </w:t>
      </w:r>
      <w:r w:rsidR="006707CF">
        <w:t>Т</w:t>
      </w:r>
      <w:r w:rsidR="008F1095">
        <w:t>офацитиниб улучша</w:t>
      </w:r>
      <w:r w:rsidR="006707CF">
        <w:t>л</w:t>
      </w:r>
      <w:r w:rsidR="008F1095">
        <w:t xml:space="preserve"> кардиометаболические и иммунологические показатели, связанные с преждевременным атеросклерозом при СКВ. Тофацитиниб улучша</w:t>
      </w:r>
      <w:r w:rsidR="006707CF">
        <w:t>л</w:t>
      </w:r>
      <w:r w:rsidR="008F1095">
        <w:t xml:space="preserve"> уров</w:t>
      </w:r>
      <w:r w:rsidR="006707CF">
        <w:t>ень</w:t>
      </w:r>
      <w:r w:rsidR="008F1095">
        <w:t xml:space="preserve"> холестерина </w:t>
      </w:r>
      <w:r w:rsidR="006707CF">
        <w:t>ЛПВП</w:t>
      </w:r>
      <w:r w:rsidR="008F1095">
        <w:t xml:space="preserve"> (p = 0,0006, ДИ 95%: 4,12, 13,32) и </w:t>
      </w:r>
      <w:r w:rsidR="00596436">
        <w:t xml:space="preserve">число </w:t>
      </w:r>
      <w:r w:rsidR="002C39B5">
        <w:t xml:space="preserve">больших </w:t>
      </w:r>
      <w:r w:rsidR="008F1095">
        <w:t xml:space="preserve">частиц </w:t>
      </w:r>
      <w:r w:rsidR="002C39B5">
        <w:t xml:space="preserve">ЛПВП </w:t>
      </w:r>
      <w:r w:rsidR="008F1095">
        <w:t>(р = 0,0008, ДИ 95%: 1,58, 5,33); концентраци</w:t>
      </w:r>
      <w:r w:rsidR="007839B6">
        <w:t>ю</w:t>
      </w:r>
      <w:r w:rsidR="008F1095">
        <w:t xml:space="preserve"> холестеринацилтрансферазы (p = 0,024, 95% ДИ: 1,1, -26,5), </w:t>
      </w:r>
      <w:r w:rsidR="00500D19">
        <w:t xml:space="preserve">эффлюксную </w:t>
      </w:r>
      <w:r w:rsidR="008F1095">
        <w:t xml:space="preserve">способность холестерина (p = 0,08, 95% ДИ: -0,01, 0,24), </w:t>
      </w:r>
      <w:r w:rsidR="00EF2521">
        <w:t>снижал</w:t>
      </w:r>
      <w:r w:rsidR="008F1095">
        <w:t xml:space="preserve"> жесткост</w:t>
      </w:r>
      <w:r w:rsidR="00EF2521">
        <w:t>ь</w:t>
      </w:r>
      <w:r w:rsidR="008F1095">
        <w:t xml:space="preserve"> артерий и </w:t>
      </w:r>
      <w:r w:rsidR="00EF2521">
        <w:t xml:space="preserve">улучшал </w:t>
      </w:r>
      <w:r w:rsidR="008F1095">
        <w:t>эндотелийзависим</w:t>
      </w:r>
      <w:r w:rsidR="00EF2521">
        <w:t>ую</w:t>
      </w:r>
      <w:r w:rsidR="008F1095">
        <w:t xml:space="preserve"> вазорелаксаци</w:t>
      </w:r>
      <w:r w:rsidR="00EF2521">
        <w:t>ю</w:t>
      </w:r>
      <w:r w:rsidR="008F1095">
        <w:t xml:space="preserve"> и сниж</w:t>
      </w:r>
      <w:r w:rsidR="00D17CF7">
        <w:t>ал</w:t>
      </w:r>
      <w:r w:rsidR="008F1095">
        <w:t xml:space="preserve"> </w:t>
      </w:r>
      <w:r w:rsidR="00D17CF7">
        <w:t>генную сигнатуру</w:t>
      </w:r>
      <w:r w:rsidR="008F1095">
        <w:t xml:space="preserve"> IFN I типа, </w:t>
      </w:r>
      <w:r w:rsidR="00A64BD6">
        <w:t xml:space="preserve">количество </w:t>
      </w:r>
      <w:r w:rsidR="008F1095">
        <w:t>гранулоцит</w:t>
      </w:r>
      <w:r w:rsidR="004A7CD7">
        <w:t>ов</w:t>
      </w:r>
      <w:r w:rsidR="008F1095">
        <w:t xml:space="preserve"> низкой плотности и циркулирующих </w:t>
      </w:r>
      <w:r w:rsidR="0068132D">
        <w:t>нейтрофильных внеклеточных ловушек (</w:t>
      </w:r>
      <w:r w:rsidR="00D33E57" w:rsidRPr="00D33E57">
        <w:t>neutrophil extracellular trap</w:t>
      </w:r>
      <w:r w:rsidR="00D33E57">
        <w:t xml:space="preserve">, </w:t>
      </w:r>
      <w:r w:rsidR="008F1095">
        <w:t>NET</w:t>
      </w:r>
      <w:r w:rsidR="00D33E57">
        <w:t>)</w:t>
      </w:r>
      <w:r w:rsidR="008F1095">
        <w:t xml:space="preserve">. </w:t>
      </w:r>
      <w:r w:rsidR="00D33E57">
        <w:t>Некоторые</w:t>
      </w:r>
      <w:r w:rsidR="008F1095">
        <w:t xml:space="preserve"> из эт</w:t>
      </w:r>
      <w:r w:rsidR="00A64BD6">
        <w:t>их</w:t>
      </w:r>
      <w:r w:rsidR="008F1095">
        <w:t xml:space="preserve"> </w:t>
      </w:r>
      <w:r w:rsidR="00D33E57">
        <w:t>изменений были</w:t>
      </w:r>
      <w:r w:rsidR="008F1095">
        <w:t xml:space="preserve"> более выражены у </w:t>
      </w:r>
      <w:r w:rsidR="00D33E57">
        <w:t>пациентов</w:t>
      </w:r>
      <w:r w:rsidR="008F1095">
        <w:t xml:space="preserve"> с аллелем риска </w:t>
      </w:r>
      <w:r w:rsidR="008F1095" w:rsidRPr="00B34CC0">
        <w:rPr>
          <w:i/>
          <w:iCs/>
        </w:rPr>
        <w:t>STAT4</w:t>
      </w:r>
      <w:r w:rsidR="008F1095" w:rsidRPr="008F1095">
        <w:t xml:space="preserve"> </w:t>
      </w:r>
      <w:r w:rsidR="00A84302">
        <w:rPr>
          <w:lang w:val="en-GB"/>
        </w:rPr>
        <w:fldChar w:fldCharType="begin"/>
      </w:r>
      <w:r w:rsidR="0062670E">
        <w:instrText xml:space="preserve"> ADDIN ZOTERO_ITEM CSL_CITATION {"citationID":"pz1oWDR6","properties":{"formattedCitation":"[42]","plainCitation":"[42]","noteIndex":0},"citationItems":[{"id":87775,"uris":["http://zotero.org/groups/4742804/items/ATTQAAJH"],"itemData":{"id":87775,"type":"article-journal","abstract":"Increased risk of premature cardiovascular disease (CVD) is well recognized in systemic lupus erythematosus (SLE). Aberrant type I-Interferon (IFN)-neutrophil interactions contribute to this enhanced CVD risk. In lupus animal models, the Janus kinase (JAK) inhibitor tofacitinib improves clinical features, immune dysregulation and vascular dysfunction. We conducted a randomized, double-blind, placebo-controlled clinical trial of tofacitinib in SLE subjects (ClinicalTrials.gov NCT02535689). In this study, 30 subjects are randomized to tofacitinib (5 mg twice daily) or placebo in 2:1 block. The primary outcome of this study is safety and tolerability of tofacitinib. The secondary outcomes include clinical response and mechanistic studies. The tofacitinib is found to be safe in SLE meeting study’s primary endpoint. We also show that tofacitinib improves cardiometabolic and immunologic parameters associated with the premature atherosclerosis in SLE. Tofacitinib improves high-density lipoprotein cholesterol levels (p = 0.0006, CI 95%: 4.12, 13.32) and particle number (p = 0.0008, CI 95%: 1.58, 5.33); lecithin: cholesterol acyltransferase concentration (p = 0.024, CI 95%: 1.1, −26.5), cholesterol efflux capacity (p = 0.08, CI 95%: −0.01, 0.24), improvements in arterial stiffness and endothelium-dependent vasorelaxation and decrease in type I IFN gene signature, low-density granulocytes and circulating NETs. Some of these improvements are more robust in subjects with STAT4 risk allele.","container-title":"Nature Communications","DOI":"10.1038/s41467-021-23361-z","ISSN":"2041-1723","issue":"1","journalAbbreviation":"Nat Commun","language":"en","license":"2021 This is a U.S. Government work and not under copyright protection in the US; foreign copyright protection may apply","note":"number: 1\npublisher: Nature Publishing Group","page":"3391","source":"www.nature.com","title":"Phase 1 double-blind randomized safety trial of the Janus kinase inhibitor tofacitinib in systemic lupus erythematosus","volume":"12","author":[{"family":"Hasni","given":"Sarfaraz A."},{"family":"Gupta","given":"Sarthak"},{"family":"Davis","given":"Michael"},{"family":"Poncio","given":"Elaine"},{"family":"Temesgen-Oyelakin","given":"Yenealem"},{"family":"Carlucci","given":"Philip M."},{"family":"Wang","given":"Xinghao"},{"family":"Naqi","given":"Mohammad"},{"family":"Playford","given":"Martin P."},{"family":"Goel","given":"Rishi R."},{"family":"Li","given":"Xiaobai"},{"family":"Biehl","given":"Ann J."},{"family":"Ochoa-Navas","given":"Isabel"},{"family":"Manna","given":"Zerai"},{"family":"Shi","given":"Yinghui"},{"family":"Thomas","given":"Donald"},{"family":"Chen","given":"Jinguo"},{"family":"Biancotto","given":"Angélique"},{"family":"Apps","given":"Richard"},{"family":"Cheung","given":"Foo"},{"family":"Kotliarov","given":"Yuri"},{"family":"Babyak","given":"Ashley L."},{"family":"Zhou","given":"Huizhi"},{"family":"Shi","given":"Rongye"},{"family":"Stagliano","given":"Katie"},{"family":"Tsai","given":"Wanxia Li"},{"family":"Vian","given":"Laura"},{"family":"Gazaniga","given":"Nathalia"},{"family":"Giudice","given":"Valentina"},{"family":"Lu","given":"Shajia"},{"family":"Brooks","given":"Stephen R."},{"family":"MacKay","given":"Meggan"},{"family":"Gregersen","given":"Peter"},{"family":"Mehta","given":"Nehal N."},{"family":"Remaley","given":"Alan T."},{"family":"Diamond","given":"Betty"},{"family":"O’Shea","given":"John J."},{"family":"Gadina","given":"Massimo"},{"family":"Kaplan","given":"Mariana J."}],"issued":{"date-parts":[["2021",6,7]]}}}],"schema":"https://github.com/citation-style-language/schema/raw/master/csl-citation.json"} </w:instrText>
      </w:r>
      <w:r w:rsidR="00A84302">
        <w:rPr>
          <w:lang w:val="en-GB"/>
        </w:rPr>
        <w:fldChar w:fldCharType="separate"/>
      </w:r>
      <w:r w:rsidR="00DE2C35">
        <w:rPr>
          <w:rFonts w:cs="Times New Roman"/>
        </w:rPr>
        <w:t>[</w:t>
      </w:r>
      <w:r w:rsidR="00DE2C35" w:rsidRPr="00014867">
        <w:rPr>
          <w:rFonts w:cs="Times New Roman"/>
        </w:rPr>
        <w:t>20</w:t>
      </w:r>
      <w:r w:rsidR="0062670E" w:rsidRPr="0062670E">
        <w:rPr>
          <w:rFonts w:cs="Times New Roman"/>
        </w:rPr>
        <w:t>]</w:t>
      </w:r>
      <w:r w:rsidR="00A84302">
        <w:rPr>
          <w:lang w:val="en-GB"/>
        </w:rPr>
        <w:fldChar w:fldCharType="end"/>
      </w:r>
      <w:r w:rsidR="00B34CC0">
        <w:t>.</w:t>
      </w:r>
      <w:r w:rsidR="00F82D4F" w:rsidRPr="009B4582">
        <w:t xml:space="preserve"> </w:t>
      </w:r>
    </w:p>
    <w:p w14:paraId="79149C0C" w14:textId="77777777" w:rsidR="00220E80" w:rsidRPr="00E3644C" w:rsidRDefault="00220E80" w:rsidP="00220E80">
      <w:pPr>
        <w:pStyle w:val="SDText"/>
        <w:spacing w:after="0"/>
        <w:contextualSpacing/>
      </w:pPr>
    </w:p>
    <w:p w14:paraId="0528EF58" w14:textId="113D7184" w:rsidR="00037921" w:rsidRDefault="009E14FC" w:rsidP="007E58BD">
      <w:pPr>
        <w:pStyle w:val="4"/>
        <w:numPr>
          <w:ilvl w:val="0"/>
          <w:numId w:val="0"/>
        </w:numPr>
      </w:pPr>
      <w:bookmarkStart w:id="277" w:name="_Toc121592616"/>
      <w:r>
        <w:t xml:space="preserve">4.3.3.2. </w:t>
      </w:r>
      <w:r w:rsidR="008A362F" w:rsidRPr="00037921">
        <w:t>Таблетки с модифицированным высвобождением, покрытые пленочной оболочкой</w:t>
      </w:r>
      <w:bookmarkEnd w:id="277"/>
    </w:p>
    <w:p w14:paraId="17BD5BA9" w14:textId="77777777" w:rsidR="00D462BD" w:rsidRDefault="00D462BD" w:rsidP="00220E80">
      <w:pPr>
        <w:pStyle w:val="SDText"/>
        <w:spacing w:after="0"/>
        <w:contextualSpacing/>
      </w:pPr>
    </w:p>
    <w:p w14:paraId="0E72A883" w14:textId="14D703E6" w:rsidR="00037921" w:rsidRDefault="002F5B6A" w:rsidP="00220E80">
      <w:pPr>
        <w:pStyle w:val="SDText"/>
        <w:spacing w:after="0"/>
        <w:contextualSpacing/>
      </w:pPr>
      <w:r>
        <w:t>Э</w:t>
      </w:r>
      <w:r w:rsidR="00D74DA3">
        <w:t xml:space="preserve">ффективность тофацитиниба </w:t>
      </w:r>
      <w:r w:rsidR="00D74DA3">
        <w:rPr>
          <w:lang w:val="en-US"/>
        </w:rPr>
        <w:t>MR</w:t>
      </w:r>
      <w:r w:rsidR="00D74DA3">
        <w:t>, принимаем</w:t>
      </w:r>
      <w:r w:rsidR="00D43A2F">
        <w:t>ого</w:t>
      </w:r>
      <w:r w:rsidR="00D74DA3">
        <w:t xml:space="preserve"> 1 раз в день</w:t>
      </w:r>
      <w:r w:rsidR="00D43A2F">
        <w:t>,</w:t>
      </w:r>
      <w:r w:rsidR="00D74DA3">
        <w:t xml:space="preserve"> и тофацитиниб</w:t>
      </w:r>
      <w:r w:rsidR="00D43A2F">
        <w:t>а</w:t>
      </w:r>
      <w:r w:rsidR="00D74DA3">
        <w:t xml:space="preserve"> </w:t>
      </w:r>
      <w:r w:rsidR="00D74DA3">
        <w:rPr>
          <w:lang w:val="en-US"/>
        </w:rPr>
        <w:t>IR</w:t>
      </w:r>
      <w:r w:rsidR="00D74DA3">
        <w:t>, принимаем</w:t>
      </w:r>
      <w:r w:rsidR="00D43A2F">
        <w:t>ого</w:t>
      </w:r>
      <w:r w:rsidR="00D74DA3">
        <w:t xml:space="preserve"> 2 раза в день </w:t>
      </w:r>
      <w:r>
        <w:t xml:space="preserve">сравнивали </w:t>
      </w:r>
      <w:r w:rsidR="00D74DA3">
        <w:t>на основании результатов двух наблюдательных когортных исследований</w:t>
      </w:r>
      <w:r w:rsidR="005C04A9">
        <w:t xml:space="preserve"> с участием пациентов с РА</w:t>
      </w:r>
      <w:r w:rsidR="00D74DA3">
        <w:t>. В каждом исследовании примерно две трети пациентов начали терапию препаратом MR. Авторы установили улучшение приверженности</w:t>
      </w:r>
      <w:r w:rsidR="00D74DA3" w:rsidRPr="006C12EE">
        <w:t xml:space="preserve"> </w:t>
      </w:r>
      <w:r w:rsidR="00D74DA3">
        <w:t>к терапии и по крайней мере сопоставимую эффективность при использовании тофацитиниба MR по сравнению с IR в течение</w:t>
      </w:r>
      <w:r w:rsidR="00D74DA3" w:rsidRPr="006C12EE">
        <w:t xml:space="preserve"> </w:t>
      </w:r>
      <w:r w:rsidR="00D74DA3">
        <w:t>12 мес., особенно у пациентов без</w:t>
      </w:r>
      <w:r w:rsidR="00D74DA3" w:rsidRPr="006C12EE">
        <w:t xml:space="preserve"> </w:t>
      </w:r>
      <w:r w:rsidR="00D74DA3">
        <w:t>предшествующей расширенной терапии. Установлена не меньшая эффективность тофацитиниба MR по сравнению с IR</w:t>
      </w:r>
      <w:r w:rsidR="005C04A9">
        <w:t>,</w:t>
      </w:r>
      <w:r w:rsidR="00D74DA3">
        <w:t xml:space="preserve"> продемонстрирова</w:t>
      </w:r>
      <w:r w:rsidR="005C04A9">
        <w:t>нная</w:t>
      </w:r>
      <w:r w:rsidR="00D74DA3">
        <w:t xml:space="preserve"> по CDAI через</w:t>
      </w:r>
      <w:r w:rsidR="00D74DA3" w:rsidRPr="006C12EE">
        <w:t xml:space="preserve"> </w:t>
      </w:r>
      <w:r w:rsidR="00D74DA3">
        <w:t>6 мес.; надежность этих результатов была подтверждена с использованием всех</w:t>
      </w:r>
      <w:r w:rsidR="00D74DA3" w:rsidRPr="006C12EE">
        <w:t xml:space="preserve"> </w:t>
      </w:r>
      <w:r w:rsidR="00D74DA3">
        <w:t>множественных анализов чувствительности</w:t>
      </w:r>
      <w:r w:rsidR="00D74DA3" w:rsidRPr="00460589">
        <w:t xml:space="preserve"> </w:t>
      </w:r>
      <w:r w:rsidR="00D74DA3">
        <w:fldChar w:fldCharType="begin"/>
      </w:r>
      <w:r w:rsidR="0062670E">
        <w:instrText xml:space="preserve"> ADDIN ZOTERO_ITEM CSL_CITATION {"citationID":"RRtNGZRw","properties":{"formattedCitation":"[39]","plainCitation":"[39]","noteIndex":0},"citationItems":[{"id":87794,"uris":["http://zotero.org/groups/4742804/items/VF77C8WU"],"itemData":{"id":87794,"type":"article-journal","abstract":"Tofacitinib is an oral Janus kinase inhibitor for the treatment of rheumatoid arthritis (RA). To provide additional clinical evidence in regulatory submissions for a modified-release (MR) once-daily (QD) tofacitinib formulation, we compared real-world adherence and effectiveness between patients initiating the MR QD formulation and patients initiating an immediate-release (IR) twice-daily (BID) formulation.","container-title":"Advances in Therapy","DOI":"10.1007/s12325-020-01501-z","ISSN":"1865-8652","issue":"1","journalAbbreviation":"Adv Ther","language":"en","page":"226-248","source":"Springer Link","title":"Real-world evidence to contextualize clinical trial results and inform regulatory decisions: tofacitinib modified-release once-daily vs immediate-release twice-daily for rheumatoid arthritis","title-short":"Real-World Evidence to Contextualize Clinical Trial Results and Inform Regulatory Decisions","volume":"38","author":[{"family":"Cohen","given":"Stanley B."},{"family":"Greenberg","given":"Jeffrey D."},{"family":"Harnett","given":"James"},{"family":"Madsen","given":"Ann"},{"family":"Smith","given":"Timothy W."},{"family":"Gruben","given":"David"},{"family":"Zhang","given":"Richard"},{"family":"Lukic","given":"Tatjana"},{"family":"Woolcott","given":"John"},{"family":"Dandreo","given":"Kimberly J."},{"family":"Litman","given":"Heather J."},{"family":"Blachley","given":"Taylor"},{"family":"Lenihan","given":"Anne"},{"family":"Chen","given":"Connie"},{"family":"Rivas","given":"Jose L."},{"family":"Dougados","given":"Maxime"}],"issued":{"date-parts":[["2021",1,1]]}}}],"schema":"https://github.com/citation-style-language/schema/raw/master/csl-citation.json"} </w:instrText>
      </w:r>
      <w:r w:rsidR="00D74DA3">
        <w:fldChar w:fldCharType="separate"/>
      </w:r>
      <w:r w:rsidR="00DE2C35">
        <w:rPr>
          <w:rFonts w:cs="Times New Roman"/>
        </w:rPr>
        <w:t>[</w:t>
      </w:r>
      <w:r w:rsidR="00DE2C35" w:rsidRPr="00DE2C35">
        <w:rPr>
          <w:rFonts w:cs="Times New Roman"/>
        </w:rPr>
        <w:t>17</w:t>
      </w:r>
      <w:r w:rsidR="0062670E" w:rsidRPr="0062670E">
        <w:rPr>
          <w:rFonts w:cs="Times New Roman"/>
        </w:rPr>
        <w:t>]</w:t>
      </w:r>
      <w:r w:rsidR="00D74DA3">
        <w:fldChar w:fldCharType="end"/>
      </w:r>
      <w:r>
        <w:t>.</w:t>
      </w:r>
    </w:p>
    <w:p w14:paraId="088868DA" w14:textId="77777777" w:rsidR="006B08DF" w:rsidRDefault="006B08DF" w:rsidP="006B08DF">
      <w:pPr>
        <w:pStyle w:val="SDText"/>
        <w:spacing w:after="0"/>
        <w:contextualSpacing/>
      </w:pPr>
    </w:p>
    <w:p w14:paraId="7A626890" w14:textId="77777777" w:rsidR="00791E09" w:rsidRDefault="00791E09" w:rsidP="000A714E">
      <w:pPr>
        <w:pStyle w:val="2"/>
        <w:numPr>
          <w:ilvl w:val="0"/>
          <w:numId w:val="0"/>
        </w:numPr>
        <w:ind w:left="576" w:hanging="576"/>
        <w:sectPr w:rsidR="00791E09" w:rsidSect="00C13EBE">
          <w:pgSz w:w="11906" w:h="16838"/>
          <w:pgMar w:top="703" w:right="850" w:bottom="1134" w:left="1701" w:header="709" w:footer="708" w:gutter="0"/>
          <w:cols w:space="708"/>
          <w:docGrid w:linePitch="360"/>
        </w:sectPr>
      </w:pPr>
      <w:bookmarkStart w:id="278" w:name="_Toc121592617"/>
    </w:p>
    <w:p w14:paraId="5FB75D24" w14:textId="47C20C65" w:rsidR="00037921" w:rsidRPr="00037921" w:rsidRDefault="00037921" w:rsidP="000A714E">
      <w:pPr>
        <w:pStyle w:val="2"/>
        <w:numPr>
          <w:ilvl w:val="0"/>
          <w:numId w:val="0"/>
        </w:numPr>
        <w:ind w:left="576" w:hanging="576"/>
      </w:pPr>
      <w:r w:rsidRPr="00037921">
        <w:lastRenderedPageBreak/>
        <w:t>Список литературы</w:t>
      </w:r>
      <w:bookmarkEnd w:id="278"/>
    </w:p>
    <w:p w14:paraId="187D06B9" w14:textId="77777777" w:rsidR="00037921" w:rsidRDefault="00037921" w:rsidP="006B08DF">
      <w:pPr>
        <w:pStyle w:val="SDText"/>
        <w:spacing w:after="0"/>
        <w:contextualSpacing/>
      </w:pPr>
    </w:p>
    <w:p w14:paraId="69A65970" w14:textId="0AE39338" w:rsidR="00EC4891" w:rsidRPr="00512EE4" w:rsidRDefault="00EC4891" w:rsidP="00EC4891">
      <w:pPr>
        <w:pStyle w:val="ab"/>
        <w:rPr>
          <w:rFonts w:cs="Times New Roman"/>
          <w:lang w:val="en-US"/>
        </w:rPr>
      </w:pPr>
      <w:r w:rsidRPr="0075128B">
        <w:rPr>
          <w:rFonts w:cs="Times New Roman"/>
        </w:rPr>
        <w:t>1.</w:t>
      </w:r>
      <w:r w:rsidRPr="0075128B">
        <w:rPr>
          <w:rFonts w:cs="Times New Roman"/>
        </w:rPr>
        <w:tab/>
      </w:r>
      <w:r w:rsidRPr="00512EE4">
        <w:rPr>
          <w:rFonts w:cs="Times New Roman"/>
          <w:lang w:val="en-US"/>
        </w:rPr>
        <w:t>Xeljanz</w:t>
      </w:r>
      <w:r w:rsidRPr="0075128B">
        <w:rPr>
          <w:rFonts w:cs="Times New Roman"/>
        </w:rPr>
        <w:t xml:space="preserve"> (</w:t>
      </w:r>
      <w:r w:rsidRPr="00512EE4">
        <w:rPr>
          <w:rFonts w:cs="Times New Roman"/>
          <w:lang w:val="en-US"/>
        </w:rPr>
        <w:t>tofacitinib</w:t>
      </w:r>
      <w:r w:rsidRPr="0075128B">
        <w:rPr>
          <w:rFonts w:cs="Times New Roman"/>
        </w:rPr>
        <w:t xml:space="preserve">) </w:t>
      </w:r>
      <w:r w:rsidRPr="00512EE4">
        <w:rPr>
          <w:rFonts w:cs="Times New Roman"/>
          <w:lang w:val="en-US"/>
        </w:rPr>
        <w:t>Tablets</w:t>
      </w:r>
      <w:r w:rsidRPr="0075128B">
        <w:rPr>
          <w:rFonts w:cs="Times New Roman"/>
        </w:rPr>
        <w:t xml:space="preserve">. </w:t>
      </w:r>
      <w:r w:rsidRPr="00512EE4">
        <w:rPr>
          <w:rFonts w:cs="Times New Roman"/>
          <w:lang w:val="en-US"/>
        </w:rPr>
        <w:t>Company:</w:t>
      </w:r>
      <w:r w:rsidR="00383E6F">
        <w:rPr>
          <w:rFonts w:cs="Times New Roman"/>
          <w:lang w:val="en-US"/>
        </w:rPr>
        <w:t xml:space="preserve"> </w:t>
      </w:r>
      <w:r w:rsidRPr="00512EE4">
        <w:rPr>
          <w:rFonts w:cs="Times New Roman"/>
          <w:lang w:val="en-US"/>
        </w:rPr>
        <w:t>Pfizer Inc. Application No.:</w:t>
      </w:r>
      <w:r w:rsidR="00383E6F">
        <w:rPr>
          <w:rFonts w:cs="Times New Roman"/>
          <w:lang w:val="en-US"/>
        </w:rPr>
        <w:t xml:space="preserve"> </w:t>
      </w:r>
      <w:r w:rsidRPr="00512EE4">
        <w:rPr>
          <w:rFonts w:cs="Times New Roman"/>
          <w:lang w:val="en-US"/>
        </w:rPr>
        <w:t>203214. Approval Date: 11/06/2012. Clinical Pharmacology Biopharmaceutics Review [Electronic resource]. URL: https://www.accessdata.fda.gov/drugsatfda_docs/nda/2012/203214Orig1s000TOC.cfm (accessed: 03.08.2022).</w:t>
      </w:r>
    </w:p>
    <w:p w14:paraId="2DC20BD5" w14:textId="77777777" w:rsidR="00EC4891" w:rsidRPr="00512EE4" w:rsidRDefault="00EC4891" w:rsidP="00EC4891">
      <w:pPr>
        <w:pStyle w:val="ab"/>
        <w:rPr>
          <w:rFonts w:cs="Times New Roman"/>
          <w:lang w:val="en-US"/>
        </w:rPr>
      </w:pPr>
      <w:r>
        <w:rPr>
          <w:rFonts w:cs="Times New Roman"/>
          <w:lang w:val="en-US"/>
        </w:rPr>
        <w:t>2</w:t>
      </w:r>
      <w:r w:rsidRPr="00512EE4">
        <w:rPr>
          <w:rFonts w:cs="Times New Roman"/>
          <w:lang w:val="en-US"/>
        </w:rPr>
        <w:t>.</w:t>
      </w:r>
      <w:r w:rsidRPr="00512EE4">
        <w:rPr>
          <w:rFonts w:cs="Times New Roman"/>
          <w:lang w:val="en-US"/>
        </w:rPr>
        <w:tab/>
        <w:t>EMA. Xeljanz : EPAR - Product Information [Electronic resource]. URL: https://www.ema.europa.eu/en/documents/product-information/xeljanz-epar-product-information_en.pdf (accessed: 03.08.2022).</w:t>
      </w:r>
    </w:p>
    <w:p w14:paraId="084CC4AC" w14:textId="77777777" w:rsidR="00EC4891" w:rsidRPr="00512EE4" w:rsidRDefault="00EC4891" w:rsidP="00EC4891">
      <w:pPr>
        <w:pStyle w:val="ab"/>
        <w:rPr>
          <w:rFonts w:cs="Times New Roman"/>
          <w:lang w:val="en-US"/>
        </w:rPr>
      </w:pPr>
      <w:r>
        <w:rPr>
          <w:rFonts w:cs="Times New Roman"/>
          <w:lang w:val="en-US"/>
        </w:rPr>
        <w:t>3</w:t>
      </w:r>
      <w:r w:rsidRPr="00512EE4">
        <w:rPr>
          <w:rFonts w:cs="Times New Roman"/>
          <w:lang w:val="en-US"/>
        </w:rPr>
        <w:t>.</w:t>
      </w:r>
      <w:r w:rsidRPr="00512EE4">
        <w:rPr>
          <w:rFonts w:cs="Times New Roman"/>
          <w:lang w:val="en-US"/>
        </w:rPr>
        <w:tab/>
        <w:t>Papp K.A. et al. Tofacitinib, an oral Janus kinase inhibitor, for the treatment of chronic plaque psoriasis: results from two randomized, placebo-controlled, phase III trials // Br. J. Dermatol. 2015. Vol. 173, № 4. P. 949–961.</w:t>
      </w:r>
    </w:p>
    <w:p w14:paraId="0421A93E" w14:textId="77777777" w:rsidR="00EC4891" w:rsidRPr="00512EE4" w:rsidRDefault="00EC4891" w:rsidP="00EC4891">
      <w:pPr>
        <w:pStyle w:val="ab"/>
        <w:rPr>
          <w:rFonts w:cs="Times New Roman"/>
          <w:lang w:val="en-US"/>
        </w:rPr>
      </w:pPr>
      <w:r>
        <w:rPr>
          <w:rFonts w:cs="Times New Roman"/>
          <w:lang w:val="en-US"/>
        </w:rPr>
        <w:t>4</w:t>
      </w:r>
      <w:r w:rsidRPr="00512EE4">
        <w:rPr>
          <w:rFonts w:cs="Times New Roman"/>
          <w:lang w:val="en-US"/>
        </w:rPr>
        <w:t>.</w:t>
      </w:r>
      <w:r w:rsidRPr="00512EE4">
        <w:rPr>
          <w:rFonts w:cs="Times New Roman"/>
          <w:lang w:val="en-US"/>
        </w:rPr>
        <w:tab/>
        <w:t>Zhang J. et al. The efficacy and safety of tofacitinib in Asian patients with moderate to severe chronic plaque psoriasis: A Phase 3, randomized, double-blind, placebo-controlled study // J. Dermatol. Sci. 2017. Vol. 88, № 1. P. 36–45.</w:t>
      </w:r>
    </w:p>
    <w:p w14:paraId="1A667030" w14:textId="77777777" w:rsidR="00EC4891" w:rsidRPr="00512EE4" w:rsidRDefault="00EC4891" w:rsidP="00EC4891">
      <w:pPr>
        <w:pStyle w:val="ab"/>
        <w:rPr>
          <w:rFonts w:cs="Times New Roman"/>
          <w:lang w:val="en-US"/>
        </w:rPr>
      </w:pPr>
      <w:r>
        <w:rPr>
          <w:rFonts w:cs="Times New Roman"/>
          <w:lang w:val="en-US"/>
        </w:rPr>
        <w:t>5</w:t>
      </w:r>
      <w:r w:rsidRPr="00512EE4">
        <w:rPr>
          <w:rFonts w:cs="Times New Roman"/>
          <w:lang w:val="en-US"/>
        </w:rPr>
        <w:t>.</w:t>
      </w:r>
      <w:r w:rsidRPr="00512EE4">
        <w:rPr>
          <w:rFonts w:cs="Times New Roman"/>
          <w:lang w:val="en-US"/>
        </w:rPr>
        <w:tab/>
        <w:t>Merola J.F. et al. Efficacy of tofacitinib for the treatment of nail psoriasis: Two 52-week, randomized, controlled phase 3 studies in patients with moderate-to-severe plaque psoriasis // J. Am. Acad. Dermatol. 2017. Vol. 77, № 1. P. 79-87.e1.</w:t>
      </w:r>
    </w:p>
    <w:p w14:paraId="66EAB1E9" w14:textId="77777777" w:rsidR="00EC4891" w:rsidRPr="00512EE4" w:rsidRDefault="00EC4891" w:rsidP="00EC4891">
      <w:pPr>
        <w:pStyle w:val="ab"/>
        <w:rPr>
          <w:rFonts w:cs="Times New Roman"/>
          <w:lang w:val="en-US"/>
        </w:rPr>
      </w:pPr>
      <w:r>
        <w:rPr>
          <w:rFonts w:cs="Times New Roman"/>
          <w:lang w:val="en-US"/>
        </w:rPr>
        <w:t>6</w:t>
      </w:r>
      <w:r w:rsidRPr="00512EE4">
        <w:rPr>
          <w:rFonts w:cs="Times New Roman"/>
          <w:lang w:val="en-US"/>
        </w:rPr>
        <w:t>.</w:t>
      </w:r>
      <w:r w:rsidRPr="00512EE4">
        <w:rPr>
          <w:rFonts w:cs="Times New Roman"/>
          <w:lang w:val="en-US"/>
        </w:rPr>
        <w:tab/>
        <w:t>Zhang L. et al. The efficacy and safety of tofacitinib, peficitinib, solcitinib, baricitinib, abrocitinib and deucravacitinib in plaque psoriasis - A network meta-analysis // J. Eur. Acad. Dermatol. Venereol. JEADV. 2022. Vol. 36, № 11. P. 1937–1946.</w:t>
      </w:r>
    </w:p>
    <w:p w14:paraId="54B814A1" w14:textId="758B833A" w:rsidR="00EC4891" w:rsidRPr="00512EE4" w:rsidRDefault="00EC4891" w:rsidP="00EC4891">
      <w:pPr>
        <w:pStyle w:val="ab"/>
        <w:rPr>
          <w:rFonts w:cs="Times New Roman"/>
          <w:lang w:val="en-US"/>
        </w:rPr>
      </w:pPr>
      <w:r>
        <w:rPr>
          <w:rFonts w:cs="Times New Roman"/>
          <w:lang w:val="en-US"/>
        </w:rPr>
        <w:t>7</w:t>
      </w:r>
      <w:r w:rsidRPr="00512EE4">
        <w:rPr>
          <w:rFonts w:cs="Times New Roman"/>
          <w:lang w:val="en-US"/>
        </w:rPr>
        <w:t>.</w:t>
      </w:r>
      <w:r w:rsidRPr="00512EE4">
        <w:rPr>
          <w:rFonts w:cs="Times New Roman"/>
          <w:lang w:val="en-US"/>
        </w:rPr>
        <w:tab/>
        <w:t>Xeljanz (tofacitinib) Tablets. Company:</w:t>
      </w:r>
      <w:r w:rsidR="00383E6F">
        <w:rPr>
          <w:rFonts w:cs="Times New Roman"/>
          <w:lang w:val="en-US"/>
        </w:rPr>
        <w:t xml:space="preserve"> </w:t>
      </w:r>
      <w:r w:rsidRPr="00512EE4">
        <w:rPr>
          <w:rFonts w:cs="Times New Roman"/>
          <w:lang w:val="en-US"/>
        </w:rPr>
        <w:t>Pfizer Inc. Application No.:</w:t>
      </w:r>
      <w:r w:rsidR="00383E6F">
        <w:rPr>
          <w:rFonts w:cs="Times New Roman"/>
          <w:lang w:val="en-US"/>
        </w:rPr>
        <w:t xml:space="preserve"> </w:t>
      </w:r>
      <w:r w:rsidRPr="00512EE4">
        <w:rPr>
          <w:rFonts w:cs="Times New Roman"/>
          <w:lang w:val="en-US"/>
        </w:rPr>
        <w:t>203214. Approval Date: 11/06/2012. Medical Review [Electronic resource]. URL: https://www.accessdata.fda.gov/drugsatfda_docs/nda/2012/203214Orig1s000TOC.cfm (accessed: 03.08.2022).</w:t>
      </w:r>
    </w:p>
    <w:p w14:paraId="34FC4E4A" w14:textId="77777777" w:rsidR="00EC4891" w:rsidRPr="00512EE4" w:rsidRDefault="00EC4891" w:rsidP="00EC4891">
      <w:pPr>
        <w:pStyle w:val="ab"/>
        <w:rPr>
          <w:rFonts w:cs="Times New Roman"/>
          <w:lang w:val="en-US"/>
        </w:rPr>
      </w:pPr>
      <w:r>
        <w:rPr>
          <w:rFonts w:cs="Times New Roman"/>
          <w:lang w:val="en-US"/>
        </w:rPr>
        <w:t>8</w:t>
      </w:r>
      <w:r w:rsidRPr="00512EE4">
        <w:rPr>
          <w:rFonts w:cs="Times New Roman"/>
          <w:lang w:val="en-US"/>
        </w:rPr>
        <w:t>.</w:t>
      </w:r>
      <w:r w:rsidRPr="00512EE4">
        <w:rPr>
          <w:rFonts w:cs="Times New Roman"/>
          <w:lang w:val="en-US"/>
        </w:rPr>
        <w:tab/>
        <w:t>Cohen S.B. et al. Methotrexate withdrawal in patients with rheumatoid arthritis who achieve low disease activity with tofacitinib modified-release 11 mg once daily plus methotrexate (ORAL Shift): a randomised, phase 3b/4, non-inferiority trial // Lancet Rheumatol. 2019. Vol. 1, № 1. P. e23–e34.</w:t>
      </w:r>
    </w:p>
    <w:p w14:paraId="4E5432A4" w14:textId="77777777" w:rsidR="00EC4891" w:rsidRPr="00512EE4" w:rsidRDefault="00EC4891" w:rsidP="00EC4891">
      <w:pPr>
        <w:pStyle w:val="ab"/>
        <w:rPr>
          <w:rFonts w:cs="Times New Roman"/>
          <w:lang w:val="en-US"/>
        </w:rPr>
      </w:pPr>
      <w:r>
        <w:rPr>
          <w:rFonts w:cs="Times New Roman"/>
          <w:lang w:val="en-US"/>
        </w:rPr>
        <w:t>9</w:t>
      </w:r>
      <w:r w:rsidRPr="00512EE4">
        <w:rPr>
          <w:rFonts w:cs="Times New Roman"/>
          <w:lang w:val="en-US"/>
        </w:rPr>
        <w:t>.</w:t>
      </w:r>
      <w:r w:rsidRPr="00512EE4">
        <w:rPr>
          <w:rFonts w:cs="Times New Roman"/>
          <w:lang w:val="en-US"/>
        </w:rPr>
        <w:tab/>
        <w:t>Cohen S.B. et al. Efficacy and safety of tofacitinib modified-release 11 mg once daily plus methotrexate in adult patients with rheumatoid arthritis: 24-week open-label phase results from a phase 3b/4 methotrexate withdrawal non-inferiority study (ORAL Shift) // RMD Open. BMJ Specialist Journals, 2021. Vol. 7, № 2. P. e001673.</w:t>
      </w:r>
    </w:p>
    <w:p w14:paraId="0F279B8B" w14:textId="77777777" w:rsidR="00EC4891" w:rsidRPr="00512EE4" w:rsidRDefault="00EC4891" w:rsidP="00EC4891">
      <w:pPr>
        <w:pStyle w:val="ab"/>
        <w:rPr>
          <w:rFonts w:cs="Times New Roman"/>
          <w:lang w:val="en-US"/>
        </w:rPr>
      </w:pPr>
      <w:r>
        <w:rPr>
          <w:rFonts w:cs="Times New Roman"/>
          <w:lang w:val="en-US"/>
        </w:rPr>
        <w:t>10</w:t>
      </w:r>
      <w:r w:rsidRPr="00512EE4">
        <w:rPr>
          <w:rFonts w:cs="Times New Roman"/>
          <w:lang w:val="en-US"/>
        </w:rPr>
        <w:t>.</w:t>
      </w:r>
      <w:r w:rsidRPr="00512EE4">
        <w:rPr>
          <w:rFonts w:cs="Times New Roman"/>
          <w:lang w:val="en-US"/>
        </w:rPr>
        <w:tab/>
        <w:t>Strand V. et al. Systematic review and meta-analysis of serious infections with tofacitinib and biologic disease-modifying antirheumatic drug treatment in rheumatoid arthritis clinical trials // Arthritis Res. Ther. 2015. Vol. 17, № 1. P. 362.</w:t>
      </w:r>
    </w:p>
    <w:p w14:paraId="7D86CE6D" w14:textId="77777777" w:rsidR="00EC4891" w:rsidRPr="00AA513A" w:rsidRDefault="00EC4891" w:rsidP="00EC4891">
      <w:pPr>
        <w:pStyle w:val="ab"/>
        <w:rPr>
          <w:lang w:val="en-US"/>
        </w:rPr>
      </w:pPr>
      <w:r>
        <w:rPr>
          <w:rFonts w:cs="Times New Roman"/>
          <w:lang w:val="en-US"/>
        </w:rPr>
        <w:t>11</w:t>
      </w:r>
      <w:r w:rsidRPr="00512EE4">
        <w:rPr>
          <w:rFonts w:cs="Times New Roman"/>
          <w:lang w:val="en-US"/>
        </w:rPr>
        <w:t>.</w:t>
      </w:r>
      <w:r w:rsidRPr="00512EE4">
        <w:rPr>
          <w:rFonts w:cs="Times New Roman"/>
          <w:lang w:val="en-US"/>
        </w:rPr>
        <w:tab/>
        <w:t xml:space="preserve">Fleischmann R. et al. Efficacy and safety of tofacitinib monotherapy, tofacitinib with methotrexate, and adalimumab with methotrexate in patients with rheumatoid arthritis (ORAL Strategy): a phase 3b/4, double-blind, head-to-head, randomised controlled trial // The Lancet. </w:t>
      </w:r>
      <w:r w:rsidRPr="00AA513A">
        <w:rPr>
          <w:lang w:val="en-US"/>
        </w:rPr>
        <w:t>2017</w:t>
      </w:r>
      <w:r w:rsidRPr="00AA513A">
        <w:rPr>
          <w:rFonts w:cs="Times New Roman"/>
          <w:lang w:val="en-US"/>
        </w:rPr>
        <w:t xml:space="preserve">. Vol. </w:t>
      </w:r>
      <w:r w:rsidRPr="00AA513A">
        <w:rPr>
          <w:lang w:val="en-US"/>
        </w:rPr>
        <w:t>390</w:t>
      </w:r>
      <w:r w:rsidRPr="00AA513A">
        <w:rPr>
          <w:rFonts w:cs="Times New Roman"/>
          <w:lang w:val="en-US"/>
        </w:rPr>
        <w:t xml:space="preserve">, № </w:t>
      </w:r>
      <w:r w:rsidRPr="00AA513A">
        <w:rPr>
          <w:lang w:val="en-US"/>
        </w:rPr>
        <w:t>10093</w:t>
      </w:r>
      <w:r w:rsidRPr="00AA513A">
        <w:rPr>
          <w:rFonts w:cs="Times New Roman"/>
          <w:lang w:val="en-US"/>
        </w:rPr>
        <w:t xml:space="preserve">. P. </w:t>
      </w:r>
      <w:r w:rsidRPr="00AA513A">
        <w:rPr>
          <w:lang w:val="en-US"/>
        </w:rPr>
        <w:t>457–</w:t>
      </w:r>
      <w:r w:rsidRPr="00AA513A">
        <w:rPr>
          <w:rFonts w:cs="Times New Roman"/>
          <w:lang w:val="en-US"/>
        </w:rPr>
        <w:t>468.</w:t>
      </w:r>
    </w:p>
    <w:p w14:paraId="37AA2EDF" w14:textId="77777777" w:rsidR="00EC4891" w:rsidRPr="00CE4FA3" w:rsidRDefault="00EC4891" w:rsidP="00EC4891">
      <w:pPr>
        <w:pStyle w:val="ab"/>
        <w:rPr>
          <w:lang w:val="en-US"/>
        </w:rPr>
      </w:pPr>
      <w:r>
        <w:rPr>
          <w:rFonts w:cs="Times New Roman"/>
          <w:lang w:val="en-US"/>
        </w:rPr>
        <w:t>12</w:t>
      </w:r>
      <w:r w:rsidRPr="00CE4FA3">
        <w:rPr>
          <w:lang w:val="en-US"/>
        </w:rPr>
        <w:t>.</w:t>
      </w:r>
      <w:r w:rsidRPr="00CE4FA3">
        <w:rPr>
          <w:lang w:val="en-US"/>
        </w:rPr>
        <w:tab/>
        <w:t>Dubinsky M</w:t>
      </w:r>
      <w:r w:rsidRPr="00CE4FA3">
        <w:rPr>
          <w:rFonts w:cs="Times New Roman"/>
          <w:lang w:val="en-US"/>
        </w:rPr>
        <w:t>.C.</w:t>
      </w:r>
      <w:r w:rsidRPr="00CE4FA3">
        <w:rPr>
          <w:lang w:val="en-US"/>
        </w:rPr>
        <w:t xml:space="preserve"> et al. Tofacitinib in patients with ulcerative colitis: inflammatory bowel disease questionnaire items in phase 3 randomized controlled induction studies</w:t>
      </w:r>
      <w:r w:rsidRPr="00CE4FA3">
        <w:rPr>
          <w:rFonts w:cs="Times New Roman"/>
          <w:lang w:val="en-US"/>
        </w:rPr>
        <w:t xml:space="preserve"> //</w:t>
      </w:r>
      <w:r w:rsidRPr="00CE4FA3">
        <w:rPr>
          <w:lang w:val="en-US"/>
        </w:rPr>
        <w:t xml:space="preserve"> Inflamm</w:t>
      </w:r>
      <w:r w:rsidRPr="00CE4FA3">
        <w:rPr>
          <w:rFonts w:cs="Times New Roman"/>
          <w:lang w:val="en-US"/>
        </w:rPr>
        <w:t>.</w:t>
      </w:r>
      <w:r w:rsidRPr="00CE4FA3">
        <w:rPr>
          <w:lang w:val="en-US"/>
        </w:rPr>
        <w:t xml:space="preserve"> Bowel Dis. 2021</w:t>
      </w:r>
      <w:r w:rsidRPr="00CE4FA3">
        <w:rPr>
          <w:rFonts w:cs="Times New Roman"/>
          <w:lang w:val="en-US"/>
        </w:rPr>
        <w:t xml:space="preserve">. Vol. </w:t>
      </w:r>
      <w:r w:rsidRPr="00CE4FA3">
        <w:rPr>
          <w:lang w:val="en-US"/>
        </w:rPr>
        <w:t>27</w:t>
      </w:r>
      <w:r w:rsidRPr="00CE4FA3">
        <w:rPr>
          <w:rFonts w:cs="Times New Roman"/>
          <w:lang w:val="en-US"/>
        </w:rPr>
        <w:t xml:space="preserve">, № </w:t>
      </w:r>
      <w:r w:rsidRPr="00CE4FA3">
        <w:rPr>
          <w:lang w:val="en-US"/>
        </w:rPr>
        <w:t>7</w:t>
      </w:r>
      <w:r w:rsidRPr="00CE4FA3">
        <w:rPr>
          <w:rFonts w:cs="Times New Roman"/>
          <w:lang w:val="en-US"/>
        </w:rPr>
        <w:t xml:space="preserve">. P. </w:t>
      </w:r>
      <w:r w:rsidRPr="00CE4FA3">
        <w:rPr>
          <w:lang w:val="en-US"/>
        </w:rPr>
        <w:t>983–</w:t>
      </w:r>
      <w:r w:rsidRPr="00CE4FA3">
        <w:rPr>
          <w:rFonts w:cs="Times New Roman"/>
          <w:lang w:val="en-US"/>
        </w:rPr>
        <w:t>993.</w:t>
      </w:r>
    </w:p>
    <w:p w14:paraId="16D503D8" w14:textId="77777777" w:rsidR="00EC4891" w:rsidRPr="00CE4FA3" w:rsidRDefault="00EC4891" w:rsidP="00EC4891">
      <w:pPr>
        <w:pStyle w:val="ab"/>
        <w:rPr>
          <w:lang w:val="en-US"/>
        </w:rPr>
      </w:pPr>
      <w:r>
        <w:rPr>
          <w:rFonts w:cs="Times New Roman"/>
          <w:lang w:val="en-US"/>
        </w:rPr>
        <w:t>13</w:t>
      </w:r>
      <w:r w:rsidRPr="00CE4FA3">
        <w:rPr>
          <w:lang w:val="en-US"/>
        </w:rPr>
        <w:t>.</w:t>
      </w:r>
      <w:r w:rsidRPr="00CE4FA3">
        <w:rPr>
          <w:lang w:val="en-US"/>
        </w:rPr>
        <w:tab/>
        <w:t xml:space="preserve">Curtis </w:t>
      </w:r>
      <w:r w:rsidRPr="00CE4FA3">
        <w:rPr>
          <w:rFonts w:cs="Times New Roman"/>
          <w:lang w:val="en-US"/>
        </w:rPr>
        <w:t>J.R.</w:t>
      </w:r>
      <w:r w:rsidRPr="00CE4FA3">
        <w:rPr>
          <w:lang w:val="en-US"/>
        </w:rPr>
        <w:t xml:space="preserve"> et al. Tofacitinib treatment safety in moderate to severe ulcerative colitis: comparison of observational population cohort data from the IBM MarketScan® administrative claims database with tofacitinib trial data</w:t>
      </w:r>
      <w:r w:rsidRPr="00CE4FA3">
        <w:rPr>
          <w:rFonts w:cs="Times New Roman"/>
          <w:lang w:val="en-US"/>
        </w:rPr>
        <w:t xml:space="preserve"> //</w:t>
      </w:r>
      <w:r w:rsidRPr="00CE4FA3">
        <w:rPr>
          <w:lang w:val="en-US"/>
        </w:rPr>
        <w:t xml:space="preserve"> Inflamm</w:t>
      </w:r>
      <w:r w:rsidRPr="00CE4FA3">
        <w:rPr>
          <w:rFonts w:cs="Times New Roman"/>
          <w:lang w:val="en-US"/>
        </w:rPr>
        <w:t>.</w:t>
      </w:r>
      <w:r w:rsidRPr="00CE4FA3">
        <w:rPr>
          <w:lang w:val="en-US"/>
        </w:rPr>
        <w:t xml:space="preserve"> Bowel Dis. </w:t>
      </w:r>
      <w:r w:rsidRPr="00CE4FA3">
        <w:rPr>
          <w:rFonts w:cs="Times New Roman"/>
          <w:lang w:val="en-US"/>
        </w:rPr>
        <w:t xml:space="preserve">Oxford University Press US, </w:t>
      </w:r>
      <w:r w:rsidRPr="00CE4FA3">
        <w:rPr>
          <w:lang w:val="en-US"/>
        </w:rPr>
        <w:t>2021</w:t>
      </w:r>
      <w:r w:rsidRPr="00CE4FA3">
        <w:rPr>
          <w:rFonts w:cs="Times New Roman"/>
          <w:lang w:val="en-US"/>
        </w:rPr>
        <w:t xml:space="preserve">. Vol. </w:t>
      </w:r>
      <w:r w:rsidRPr="00CE4FA3">
        <w:rPr>
          <w:lang w:val="en-US"/>
        </w:rPr>
        <w:t>27</w:t>
      </w:r>
      <w:r w:rsidRPr="00CE4FA3">
        <w:rPr>
          <w:rFonts w:cs="Times New Roman"/>
          <w:lang w:val="en-US"/>
        </w:rPr>
        <w:t xml:space="preserve">, № </w:t>
      </w:r>
      <w:r w:rsidRPr="00CE4FA3">
        <w:rPr>
          <w:lang w:val="en-US"/>
        </w:rPr>
        <w:t>9</w:t>
      </w:r>
      <w:r w:rsidRPr="00CE4FA3">
        <w:rPr>
          <w:rFonts w:cs="Times New Roman"/>
          <w:lang w:val="en-US"/>
        </w:rPr>
        <w:t xml:space="preserve">. P. </w:t>
      </w:r>
      <w:r w:rsidRPr="00CE4FA3">
        <w:rPr>
          <w:lang w:val="en-US"/>
        </w:rPr>
        <w:t>1394–</w:t>
      </w:r>
      <w:r w:rsidRPr="00CE4FA3">
        <w:rPr>
          <w:rFonts w:cs="Times New Roman"/>
          <w:lang w:val="en-US"/>
        </w:rPr>
        <w:t>1408.</w:t>
      </w:r>
    </w:p>
    <w:p w14:paraId="05013F5A" w14:textId="77777777" w:rsidR="00EC4891" w:rsidRPr="00CE4FA3" w:rsidRDefault="00EC4891" w:rsidP="00EC4891">
      <w:pPr>
        <w:pStyle w:val="ab"/>
        <w:rPr>
          <w:lang w:val="en-US"/>
        </w:rPr>
      </w:pPr>
      <w:r>
        <w:rPr>
          <w:rFonts w:cs="Times New Roman"/>
          <w:lang w:val="en-US"/>
        </w:rPr>
        <w:lastRenderedPageBreak/>
        <w:t>14</w:t>
      </w:r>
      <w:r w:rsidRPr="00CE4FA3">
        <w:rPr>
          <w:lang w:val="en-US"/>
        </w:rPr>
        <w:t>.</w:t>
      </w:r>
      <w:r w:rsidRPr="00CE4FA3">
        <w:rPr>
          <w:lang w:val="en-US"/>
        </w:rPr>
        <w:tab/>
        <w:t xml:space="preserve">Desai </w:t>
      </w:r>
      <w:r w:rsidRPr="00CE4FA3">
        <w:rPr>
          <w:rFonts w:cs="Times New Roman"/>
          <w:lang w:val="en-US"/>
        </w:rPr>
        <w:t>R.J. et al</w:t>
      </w:r>
      <w:r w:rsidRPr="00CE4FA3">
        <w:rPr>
          <w:lang w:val="en-US"/>
        </w:rPr>
        <w:t>. Comparative risk of venous thromboembolism in rheumatoid arthritis patients receiving tofacitinib versus those receiving tumor necrosis factor inhibitors: An observational cohort study</w:t>
      </w:r>
      <w:r w:rsidRPr="00CE4FA3">
        <w:rPr>
          <w:rFonts w:cs="Times New Roman"/>
          <w:lang w:val="en-US"/>
        </w:rPr>
        <w:t xml:space="preserve"> //</w:t>
      </w:r>
      <w:r w:rsidRPr="00CE4FA3">
        <w:rPr>
          <w:lang w:val="en-US"/>
        </w:rPr>
        <w:t xml:space="preserve"> Arthritis Rheumatol. 2019</w:t>
      </w:r>
      <w:r w:rsidRPr="00CE4FA3">
        <w:rPr>
          <w:rFonts w:cs="Times New Roman"/>
          <w:lang w:val="en-US"/>
        </w:rPr>
        <w:t xml:space="preserve">. Vol. </w:t>
      </w:r>
      <w:r w:rsidRPr="00CE4FA3">
        <w:rPr>
          <w:lang w:val="en-US"/>
        </w:rPr>
        <w:t>71</w:t>
      </w:r>
      <w:r w:rsidRPr="00CE4FA3">
        <w:rPr>
          <w:rFonts w:cs="Times New Roman"/>
          <w:lang w:val="en-US"/>
        </w:rPr>
        <w:t xml:space="preserve">, № </w:t>
      </w:r>
      <w:r w:rsidRPr="00CE4FA3">
        <w:rPr>
          <w:lang w:val="en-US"/>
        </w:rPr>
        <w:t>6</w:t>
      </w:r>
      <w:r w:rsidRPr="00CE4FA3">
        <w:rPr>
          <w:rFonts w:cs="Times New Roman"/>
          <w:lang w:val="en-US"/>
        </w:rPr>
        <w:t xml:space="preserve">. P. </w:t>
      </w:r>
      <w:r w:rsidRPr="00CE4FA3">
        <w:rPr>
          <w:lang w:val="en-US"/>
        </w:rPr>
        <w:t>892–900.</w:t>
      </w:r>
    </w:p>
    <w:p w14:paraId="1BE816EC" w14:textId="77777777" w:rsidR="00EC4891" w:rsidRPr="00CE4FA3" w:rsidRDefault="00EC4891" w:rsidP="00EC4891">
      <w:pPr>
        <w:pStyle w:val="ab"/>
        <w:rPr>
          <w:lang w:val="en-US"/>
        </w:rPr>
      </w:pPr>
      <w:r>
        <w:rPr>
          <w:rFonts w:cs="Times New Roman"/>
          <w:lang w:val="en-US"/>
        </w:rPr>
        <w:t>15</w:t>
      </w:r>
      <w:r w:rsidRPr="00CE4FA3">
        <w:rPr>
          <w:lang w:val="en-US"/>
        </w:rPr>
        <w:t>.</w:t>
      </w:r>
      <w:r w:rsidRPr="00CE4FA3">
        <w:rPr>
          <w:lang w:val="en-US"/>
        </w:rPr>
        <w:tab/>
        <w:t>Kubo S</w:t>
      </w:r>
      <w:r w:rsidRPr="00CE4FA3">
        <w:rPr>
          <w:rFonts w:cs="Times New Roman"/>
          <w:lang w:val="en-US"/>
        </w:rPr>
        <w:t>.</w:t>
      </w:r>
      <w:r w:rsidRPr="00CE4FA3">
        <w:rPr>
          <w:lang w:val="en-US"/>
        </w:rPr>
        <w:t xml:space="preserve"> et al. Discontinuation of tofacitinib after achieving low disease activity in patients with rheumatoid arthritis: a multicentre, observational study</w:t>
      </w:r>
      <w:r w:rsidRPr="00CE4FA3">
        <w:rPr>
          <w:rFonts w:cs="Times New Roman"/>
          <w:lang w:val="en-US"/>
        </w:rPr>
        <w:t xml:space="preserve"> //</w:t>
      </w:r>
      <w:r w:rsidRPr="00CE4FA3">
        <w:rPr>
          <w:lang w:val="en-US"/>
        </w:rPr>
        <w:t xml:space="preserve"> Rheumatology. </w:t>
      </w:r>
      <w:r w:rsidRPr="00CE4FA3">
        <w:rPr>
          <w:rFonts w:cs="Times New Roman"/>
          <w:lang w:val="en-US"/>
        </w:rPr>
        <w:t xml:space="preserve">Oxford University Press, </w:t>
      </w:r>
      <w:r w:rsidRPr="00CE4FA3">
        <w:rPr>
          <w:lang w:val="en-US"/>
        </w:rPr>
        <w:t>2017</w:t>
      </w:r>
      <w:r w:rsidRPr="00CE4FA3">
        <w:rPr>
          <w:rFonts w:cs="Times New Roman"/>
          <w:lang w:val="en-US"/>
        </w:rPr>
        <w:t xml:space="preserve">. Vol. </w:t>
      </w:r>
      <w:r w:rsidRPr="00CE4FA3">
        <w:rPr>
          <w:lang w:val="en-US"/>
        </w:rPr>
        <w:t>56</w:t>
      </w:r>
      <w:r w:rsidRPr="00CE4FA3">
        <w:rPr>
          <w:rFonts w:cs="Times New Roman"/>
          <w:lang w:val="en-US"/>
        </w:rPr>
        <w:t xml:space="preserve">, № </w:t>
      </w:r>
      <w:r w:rsidRPr="00CE4FA3">
        <w:rPr>
          <w:lang w:val="en-US"/>
        </w:rPr>
        <w:t>8</w:t>
      </w:r>
      <w:r w:rsidRPr="00CE4FA3">
        <w:rPr>
          <w:rFonts w:cs="Times New Roman"/>
          <w:lang w:val="en-US"/>
        </w:rPr>
        <w:t xml:space="preserve">. P. </w:t>
      </w:r>
      <w:r w:rsidRPr="00CE4FA3">
        <w:rPr>
          <w:lang w:val="en-US"/>
        </w:rPr>
        <w:t>1293–</w:t>
      </w:r>
      <w:r w:rsidRPr="00CE4FA3">
        <w:rPr>
          <w:rFonts w:cs="Times New Roman"/>
          <w:lang w:val="en-US"/>
        </w:rPr>
        <w:t>1301.</w:t>
      </w:r>
    </w:p>
    <w:p w14:paraId="31C40A31" w14:textId="77777777" w:rsidR="00EC4891" w:rsidRPr="00CE4FA3" w:rsidRDefault="00EC4891" w:rsidP="00EC4891">
      <w:pPr>
        <w:pStyle w:val="ab"/>
        <w:rPr>
          <w:lang w:val="en-US"/>
        </w:rPr>
      </w:pPr>
      <w:r>
        <w:rPr>
          <w:rFonts w:cs="Times New Roman"/>
          <w:lang w:val="en-US"/>
        </w:rPr>
        <w:t>16</w:t>
      </w:r>
      <w:r w:rsidRPr="00CE4FA3">
        <w:rPr>
          <w:lang w:val="en-US"/>
        </w:rPr>
        <w:t>.</w:t>
      </w:r>
      <w:r w:rsidRPr="00CE4FA3">
        <w:rPr>
          <w:lang w:val="en-US"/>
        </w:rPr>
        <w:tab/>
        <w:t>Mori S</w:t>
      </w:r>
      <w:r w:rsidRPr="00CE4FA3">
        <w:rPr>
          <w:rFonts w:cs="Times New Roman"/>
          <w:lang w:val="en-US"/>
        </w:rPr>
        <w:t>.,</w:t>
      </w:r>
      <w:r w:rsidRPr="00CE4FA3">
        <w:rPr>
          <w:lang w:val="en-US"/>
        </w:rPr>
        <w:t xml:space="preserve"> Ueki Y. Outcomes of dose reduction, withdrawal, and restart of tofacitinib in patients with rheumatoid arthritis: a prospective observational study</w:t>
      </w:r>
      <w:r w:rsidRPr="00CE4FA3">
        <w:rPr>
          <w:rFonts w:cs="Times New Roman"/>
          <w:lang w:val="en-US"/>
        </w:rPr>
        <w:t xml:space="preserve"> //</w:t>
      </w:r>
      <w:r w:rsidRPr="00CE4FA3">
        <w:rPr>
          <w:lang w:val="en-US"/>
        </w:rPr>
        <w:t xml:space="preserve"> Clin</w:t>
      </w:r>
      <w:r w:rsidRPr="00CE4FA3">
        <w:rPr>
          <w:rFonts w:cs="Times New Roman"/>
          <w:lang w:val="en-US"/>
        </w:rPr>
        <w:t>.</w:t>
      </w:r>
      <w:r w:rsidRPr="00CE4FA3">
        <w:rPr>
          <w:lang w:val="en-US"/>
        </w:rPr>
        <w:t xml:space="preserve"> Rheumatol. 2019</w:t>
      </w:r>
      <w:r w:rsidRPr="00CE4FA3">
        <w:rPr>
          <w:rFonts w:cs="Times New Roman"/>
          <w:lang w:val="en-US"/>
        </w:rPr>
        <w:t xml:space="preserve">. Vol. </w:t>
      </w:r>
      <w:r w:rsidRPr="00CE4FA3">
        <w:rPr>
          <w:lang w:val="en-US"/>
        </w:rPr>
        <w:t>38</w:t>
      </w:r>
      <w:r w:rsidRPr="00CE4FA3">
        <w:rPr>
          <w:rFonts w:cs="Times New Roman"/>
          <w:lang w:val="en-US"/>
        </w:rPr>
        <w:t xml:space="preserve">, № </w:t>
      </w:r>
      <w:r w:rsidRPr="00CE4FA3">
        <w:rPr>
          <w:lang w:val="en-US"/>
        </w:rPr>
        <w:t>12</w:t>
      </w:r>
      <w:r w:rsidRPr="00CE4FA3">
        <w:rPr>
          <w:rFonts w:cs="Times New Roman"/>
          <w:lang w:val="en-US"/>
        </w:rPr>
        <w:t xml:space="preserve">. P. </w:t>
      </w:r>
      <w:r w:rsidRPr="00CE4FA3">
        <w:rPr>
          <w:lang w:val="en-US"/>
        </w:rPr>
        <w:t>3391–</w:t>
      </w:r>
      <w:r w:rsidRPr="00CE4FA3">
        <w:rPr>
          <w:rFonts w:cs="Times New Roman"/>
          <w:lang w:val="en-US"/>
        </w:rPr>
        <w:t>3400.</w:t>
      </w:r>
    </w:p>
    <w:p w14:paraId="48C7C4F4" w14:textId="77777777" w:rsidR="00EC4891" w:rsidRPr="00CE4FA3" w:rsidRDefault="00EC4891" w:rsidP="00EC4891">
      <w:pPr>
        <w:pStyle w:val="ab"/>
        <w:rPr>
          <w:lang w:val="en-US"/>
        </w:rPr>
      </w:pPr>
      <w:r>
        <w:rPr>
          <w:rFonts w:cs="Times New Roman"/>
          <w:lang w:val="en-US"/>
        </w:rPr>
        <w:t>17</w:t>
      </w:r>
      <w:r w:rsidRPr="00CE4FA3">
        <w:rPr>
          <w:lang w:val="en-US"/>
        </w:rPr>
        <w:t>.</w:t>
      </w:r>
      <w:r w:rsidRPr="00CE4FA3">
        <w:rPr>
          <w:lang w:val="en-US"/>
        </w:rPr>
        <w:tab/>
        <w:t xml:space="preserve">Cohen </w:t>
      </w:r>
      <w:r w:rsidRPr="00CE4FA3">
        <w:rPr>
          <w:rFonts w:cs="Times New Roman"/>
          <w:lang w:val="en-US"/>
        </w:rPr>
        <w:t>S.B.</w:t>
      </w:r>
      <w:r w:rsidRPr="00CE4FA3">
        <w:rPr>
          <w:lang w:val="en-US"/>
        </w:rPr>
        <w:t xml:space="preserve"> et al. Real-world evidence to contextualize clinical trial results and inform regulatory decisions: tofacitinib modified-release once-daily vs immediate-release twice-daily for rheumatoid arthritis</w:t>
      </w:r>
      <w:r w:rsidRPr="00CE4FA3">
        <w:rPr>
          <w:rFonts w:cs="Times New Roman"/>
          <w:lang w:val="en-US"/>
        </w:rPr>
        <w:t xml:space="preserve"> //</w:t>
      </w:r>
      <w:r w:rsidRPr="00CE4FA3">
        <w:rPr>
          <w:lang w:val="en-US"/>
        </w:rPr>
        <w:t xml:space="preserve"> Adv</w:t>
      </w:r>
      <w:r w:rsidRPr="00CE4FA3">
        <w:rPr>
          <w:rFonts w:cs="Times New Roman"/>
          <w:lang w:val="en-US"/>
        </w:rPr>
        <w:t>.</w:t>
      </w:r>
      <w:r w:rsidRPr="00CE4FA3">
        <w:rPr>
          <w:lang w:val="en-US"/>
        </w:rPr>
        <w:t xml:space="preserve"> Ther. 2021</w:t>
      </w:r>
      <w:r w:rsidRPr="00CE4FA3">
        <w:rPr>
          <w:rFonts w:cs="Times New Roman"/>
          <w:lang w:val="en-US"/>
        </w:rPr>
        <w:t>. Vol. 38, №</w:t>
      </w:r>
      <w:r w:rsidRPr="00CE4FA3">
        <w:rPr>
          <w:lang w:val="en-US"/>
        </w:rPr>
        <w:t xml:space="preserve"> 1</w:t>
      </w:r>
      <w:r w:rsidRPr="00CE4FA3">
        <w:rPr>
          <w:rFonts w:cs="Times New Roman"/>
          <w:lang w:val="en-US"/>
        </w:rPr>
        <w:t xml:space="preserve">. P. </w:t>
      </w:r>
      <w:r w:rsidRPr="00CE4FA3">
        <w:rPr>
          <w:lang w:val="en-US"/>
        </w:rPr>
        <w:t>226–</w:t>
      </w:r>
      <w:r w:rsidRPr="00CE4FA3">
        <w:rPr>
          <w:rFonts w:cs="Times New Roman"/>
          <w:lang w:val="en-US"/>
        </w:rPr>
        <w:t>248.</w:t>
      </w:r>
    </w:p>
    <w:p w14:paraId="32DBA599" w14:textId="77777777" w:rsidR="00EC4891" w:rsidRPr="00CE4FA3" w:rsidRDefault="00EC4891" w:rsidP="00EC4891">
      <w:pPr>
        <w:pStyle w:val="ab"/>
        <w:rPr>
          <w:lang w:val="en-US"/>
        </w:rPr>
      </w:pPr>
      <w:r>
        <w:rPr>
          <w:rFonts w:cs="Times New Roman"/>
          <w:lang w:val="en-US"/>
        </w:rPr>
        <w:t>18</w:t>
      </w:r>
      <w:r w:rsidRPr="00CE4FA3">
        <w:rPr>
          <w:lang w:val="en-US"/>
        </w:rPr>
        <w:t>.</w:t>
      </w:r>
      <w:r w:rsidRPr="00CE4FA3">
        <w:rPr>
          <w:lang w:val="en-US"/>
        </w:rPr>
        <w:tab/>
        <w:t xml:space="preserve">Burmester </w:t>
      </w:r>
      <w:r w:rsidRPr="00CE4FA3">
        <w:rPr>
          <w:rFonts w:cs="Times New Roman"/>
          <w:lang w:val="en-US"/>
        </w:rPr>
        <w:t>G.R.</w:t>
      </w:r>
      <w:r w:rsidRPr="00CE4FA3">
        <w:rPr>
          <w:lang w:val="en-US"/>
        </w:rPr>
        <w:t xml:space="preserve"> et al. An integrated analysis of the safety of tofacitinib in psoriatic arthritis across phase III and long-term extension studies with comparison to real-world observational data</w:t>
      </w:r>
      <w:r w:rsidRPr="00CE4FA3">
        <w:rPr>
          <w:rFonts w:cs="Times New Roman"/>
          <w:lang w:val="en-US"/>
        </w:rPr>
        <w:t xml:space="preserve"> //</w:t>
      </w:r>
      <w:r w:rsidRPr="00CE4FA3">
        <w:rPr>
          <w:lang w:val="en-US"/>
        </w:rPr>
        <w:t xml:space="preserve"> Drug Saf. 2020</w:t>
      </w:r>
      <w:r w:rsidRPr="00CE4FA3">
        <w:rPr>
          <w:rFonts w:cs="Times New Roman"/>
          <w:lang w:val="en-US"/>
        </w:rPr>
        <w:t xml:space="preserve">. Vol. </w:t>
      </w:r>
      <w:r w:rsidRPr="00CE4FA3">
        <w:rPr>
          <w:lang w:val="en-US"/>
        </w:rPr>
        <w:t>43</w:t>
      </w:r>
      <w:r w:rsidRPr="00CE4FA3">
        <w:rPr>
          <w:rFonts w:cs="Times New Roman"/>
          <w:lang w:val="en-US"/>
        </w:rPr>
        <w:t xml:space="preserve">, № </w:t>
      </w:r>
      <w:r w:rsidRPr="00CE4FA3">
        <w:rPr>
          <w:lang w:val="en-US"/>
        </w:rPr>
        <w:t>4</w:t>
      </w:r>
      <w:r w:rsidRPr="00CE4FA3">
        <w:rPr>
          <w:rFonts w:cs="Times New Roman"/>
          <w:lang w:val="en-US"/>
        </w:rPr>
        <w:t xml:space="preserve">. P. </w:t>
      </w:r>
      <w:r w:rsidRPr="00CE4FA3">
        <w:rPr>
          <w:lang w:val="en-US"/>
        </w:rPr>
        <w:t>379–</w:t>
      </w:r>
      <w:r w:rsidRPr="00CE4FA3">
        <w:rPr>
          <w:rFonts w:cs="Times New Roman"/>
          <w:lang w:val="en-US"/>
        </w:rPr>
        <w:t>392.</w:t>
      </w:r>
    </w:p>
    <w:p w14:paraId="2F6CBA12" w14:textId="77777777" w:rsidR="00EC4891" w:rsidRPr="00CE4FA3" w:rsidRDefault="00EC4891" w:rsidP="00EC4891">
      <w:pPr>
        <w:pStyle w:val="ab"/>
        <w:rPr>
          <w:lang w:val="en-US"/>
        </w:rPr>
      </w:pPr>
      <w:r>
        <w:rPr>
          <w:rFonts w:cs="Times New Roman"/>
          <w:lang w:val="en-US"/>
        </w:rPr>
        <w:t>19</w:t>
      </w:r>
      <w:r w:rsidRPr="00CE4FA3">
        <w:rPr>
          <w:lang w:val="en-US"/>
        </w:rPr>
        <w:t>.</w:t>
      </w:r>
      <w:r w:rsidRPr="00CE4FA3">
        <w:rPr>
          <w:lang w:val="en-US"/>
        </w:rPr>
        <w:tab/>
        <w:t>Bissonnette R</w:t>
      </w:r>
      <w:r w:rsidRPr="00CE4FA3">
        <w:rPr>
          <w:rFonts w:cs="Times New Roman"/>
          <w:lang w:val="en-US"/>
        </w:rPr>
        <w:t>.</w:t>
      </w:r>
      <w:r w:rsidRPr="00CE4FA3">
        <w:rPr>
          <w:lang w:val="en-US"/>
        </w:rPr>
        <w:t xml:space="preserve"> et al. Topical tofacitinib for atopic dermatitis: a phase IIa randomized trial</w:t>
      </w:r>
      <w:r w:rsidRPr="00CE4FA3">
        <w:rPr>
          <w:rFonts w:cs="Times New Roman"/>
          <w:lang w:val="en-US"/>
        </w:rPr>
        <w:t xml:space="preserve"> //</w:t>
      </w:r>
      <w:r w:rsidRPr="00CE4FA3">
        <w:rPr>
          <w:lang w:val="en-US"/>
        </w:rPr>
        <w:t xml:space="preserve"> Br</w:t>
      </w:r>
      <w:r w:rsidRPr="00CE4FA3">
        <w:rPr>
          <w:rFonts w:cs="Times New Roman"/>
          <w:lang w:val="en-US"/>
        </w:rPr>
        <w:t>.</w:t>
      </w:r>
      <w:r w:rsidRPr="00CE4FA3">
        <w:rPr>
          <w:lang w:val="en-US"/>
        </w:rPr>
        <w:t xml:space="preserve"> J</w:t>
      </w:r>
      <w:r w:rsidRPr="00CE4FA3">
        <w:rPr>
          <w:rFonts w:cs="Times New Roman"/>
          <w:lang w:val="en-US"/>
        </w:rPr>
        <w:t>.</w:t>
      </w:r>
      <w:r w:rsidRPr="00CE4FA3">
        <w:rPr>
          <w:lang w:val="en-US"/>
        </w:rPr>
        <w:t xml:space="preserve"> Dermatol. 2016</w:t>
      </w:r>
      <w:r w:rsidRPr="00CE4FA3">
        <w:rPr>
          <w:rFonts w:cs="Times New Roman"/>
          <w:lang w:val="en-US"/>
        </w:rPr>
        <w:t xml:space="preserve">. Vol. </w:t>
      </w:r>
      <w:r w:rsidRPr="00CE4FA3">
        <w:rPr>
          <w:lang w:val="en-US"/>
        </w:rPr>
        <w:t>175</w:t>
      </w:r>
      <w:r w:rsidRPr="00CE4FA3">
        <w:rPr>
          <w:rFonts w:cs="Times New Roman"/>
          <w:lang w:val="en-US"/>
        </w:rPr>
        <w:t xml:space="preserve">, № </w:t>
      </w:r>
      <w:r w:rsidRPr="00CE4FA3">
        <w:rPr>
          <w:lang w:val="en-US"/>
        </w:rPr>
        <w:t>5</w:t>
      </w:r>
      <w:r w:rsidRPr="00CE4FA3">
        <w:rPr>
          <w:rFonts w:cs="Times New Roman"/>
          <w:lang w:val="en-US"/>
        </w:rPr>
        <w:t xml:space="preserve">. P. </w:t>
      </w:r>
      <w:r w:rsidRPr="00CE4FA3">
        <w:rPr>
          <w:lang w:val="en-US"/>
        </w:rPr>
        <w:t>902–</w:t>
      </w:r>
      <w:r w:rsidRPr="00CE4FA3">
        <w:rPr>
          <w:rFonts w:cs="Times New Roman"/>
          <w:lang w:val="en-US"/>
        </w:rPr>
        <w:t>911.</w:t>
      </w:r>
    </w:p>
    <w:p w14:paraId="792B160F" w14:textId="77777777" w:rsidR="00EC4891" w:rsidRPr="00CE4FA3" w:rsidRDefault="00EC4891" w:rsidP="00EC4891">
      <w:pPr>
        <w:pStyle w:val="ab"/>
        <w:rPr>
          <w:lang w:val="en-US"/>
        </w:rPr>
      </w:pPr>
      <w:r w:rsidRPr="00CE4FA3">
        <w:rPr>
          <w:rFonts w:cs="Times New Roman"/>
          <w:lang w:val="en-US"/>
        </w:rPr>
        <w:t>2</w:t>
      </w:r>
      <w:r>
        <w:rPr>
          <w:rFonts w:cs="Times New Roman"/>
          <w:lang w:val="en-US"/>
        </w:rPr>
        <w:t>0</w:t>
      </w:r>
      <w:r w:rsidRPr="00CE4FA3">
        <w:rPr>
          <w:lang w:val="en-US"/>
        </w:rPr>
        <w:t>.</w:t>
      </w:r>
      <w:r w:rsidRPr="00CE4FA3">
        <w:rPr>
          <w:lang w:val="en-US"/>
        </w:rPr>
        <w:tab/>
        <w:t>Hasni S</w:t>
      </w:r>
      <w:r w:rsidRPr="00CE4FA3">
        <w:rPr>
          <w:rFonts w:cs="Times New Roman"/>
          <w:lang w:val="en-US"/>
        </w:rPr>
        <w:t>.A.</w:t>
      </w:r>
      <w:r w:rsidRPr="00CE4FA3">
        <w:rPr>
          <w:lang w:val="en-US"/>
        </w:rPr>
        <w:t xml:space="preserve"> et al. Phase 1 double-blind randomized safety trial of the Janus kinase inhibitor tofacitinib in systemic lupus erythematosus</w:t>
      </w:r>
      <w:r w:rsidRPr="00CE4FA3">
        <w:rPr>
          <w:rFonts w:cs="Times New Roman"/>
          <w:lang w:val="en-US"/>
        </w:rPr>
        <w:t>: 1 //</w:t>
      </w:r>
      <w:r w:rsidRPr="00CE4FA3">
        <w:rPr>
          <w:lang w:val="en-US"/>
        </w:rPr>
        <w:t xml:space="preserve"> Nat</w:t>
      </w:r>
      <w:r w:rsidRPr="00CE4FA3">
        <w:rPr>
          <w:rFonts w:cs="Times New Roman"/>
          <w:lang w:val="en-US"/>
        </w:rPr>
        <w:t>.</w:t>
      </w:r>
      <w:r w:rsidRPr="00CE4FA3">
        <w:rPr>
          <w:lang w:val="en-US"/>
        </w:rPr>
        <w:t xml:space="preserve"> Commun. </w:t>
      </w:r>
      <w:r w:rsidRPr="00CE4FA3">
        <w:rPr>
          <w:rFonts w:cs="Times New Roman"/>
          <w:lang w:val="en-US"/>
        </w:rPr>
        <w:t xml:space="preserve">Nature Publishing Group, </w:t>
      </w:r>
      <w:r w:rsidRPr="00CE4FA3">
        <w:rPr>
          <w:lang w:val="en-US"/>
        </w:rPr>
        <w:t>2021</w:t>
      </w:r>
      <w:r w:rsidRPr="00CE4FA3">
        <w:rPr>
          <w:rFonts w:cs="Times New Roman"/>
          <w:lang w:val="en-US"/>
        </w:rPr>
        <w:t xml:space="preserve">. Vol. </w:t>
      </w:r>
      <w:r w:rsidRPr="00CE4FA3">
        <w:rPr>
          <w:lang w:val="en-US"/>
        </w:rPr>
        <w:t>12</w:t>
      </w:r>
      <w:r w:rsidRPr="00CE4FA3">
        <w:rPr>
          <w:rFonts w:cs="Times New Roman"/>
          <w:lang w:val="en-US"/>
        </w:rPr>
        <w:t xml:space="preserve">, № </w:t>
      </w:r>
      <w:r w:rsidRPr="00CE4FA3">
        <w:rPr>
          <w:lang w:val="en-US"/>
        </w:rPr>
        <w:t>1</w:t>
      </w:r>
      <w:r w:rsidRPr="00CE4FA3">
        <w:rPr>
          <w:rFonts w:cs="Times New Roman"/>
          <w:lang w:val="en-US"/>
        </w:rPr>
        <w:t xml:space="preserve">. P. </w:t>
      </w:r>
      <w:r w:rsidRPr="00CE4FA3">
        <w:rPr>
          <w:lang w:val="en-US"/>
        </w:rPr>
        <w:t>3391.</w:t>
      </w:r>
    </w:p>
    <w:p w14:paraId="04FA2F45" w14:textId="77777777" w:rsidR="00EC4891" w:rsidRPr="00CE4FA3" w:rsidRDefault="00EC4891" w:rsidP="00EC4891">
      <w:pPr>
        <w:pStyle w:val="ab"/>
        <w:rPr>
          <w:lang w:val="en-US"/>
        </w:rPr>
      </w:pPr>
      <w:r>
        <w:rPr>
          <w:rFonts w:cs="Times New Roman"/>
          <w:lang w:val="en-US"/>
        </w:rPr>
        <w:t>21</w:t>
      </w:r>
      <w:r w:rsidRPr="00CE4FA3">
        <w:rPr>
          <w:lang w:val="en-US"/>
        </w:rPr>
        <w:t>.</w:t>
      </w:r>
      <w:r w:rsidRPr="00CE4FA3">
        <w:rPr>
          <w:lang w:val="en-US"/>
        </w:rPr>
        <w:tab/>
        <w:t xml:space="preserve">Guimarães </w:t>
      </w:r>
      <w:r w:rsidRPr="00CE4FA3">
        <w:rPr>
          <w:rFonts w:cs="Times New Roman"/>
          <w:lang w:val="en-US"/>
        </w:rPr>
        <w:t>P.O.</w:t>
      </w:r>
      <w:r w:rsidRPr="00CE4FA3">
        <w:rPr>
          <w:lang w:val="en-US"/>
        </w:rPr>
        <w:t xml:space="preserve"> et al. Tofacitinib in patients hospitalized with Covid-19 pneumonia</w:t>
      </w:r>
      <w:r w:rsidRPr="00CE4FA3">
        <w:rPr>
          <w:rFonts w:cs="Times New Roman"/>
          <w:lang w:val="en-US"/>
        </w:rPr>
        <w:t xml:space="preserve"> //</w:t>
      </w:r>
      <w:r w:rsidRPr="00CE4FA3">
        <w:rPr>
          <w:lang w:val="en-US"/>
        </w:rPr>
        <w:t xml:space="preserve"> N</w:t>
      </w:r>
      <w:r w:rsidRPr="00CE4FA3">
        <w:rPr>
          <w:rFonts w:cs="Times New Roman"/>
          <w:lang w:val="en-US"/>
        </w:rPr>
        <w:t>.</w:t>
      </w:r>
      <w:r w:rsidRPr="00CE4FA3">
        <w:rPr>
          <w:lang w:val="en-US"/>
        </w:rPr>
        <w:t xml:space="preserve"> Engl</w:t>
      </w:r>
      <w:r w:rsidRPr="00CE4FA3">
        <w:rPr>
          <w:rFonts w:cs="Times New Roman"/>
          <w:lang w:val="en-US"/>
        </w:rPr>
        <w:t>.</w:t>
      </w:r>
      <w:r w:rsidRPr="00CE4FA3">
        <w:rPr>
          <w:lang w:val="en-US"/>
        </w:rPr>
        <w:t xml:space="preserve"> J</w:t>
      </w:r>
      <w:r w:rsidRPr="00CE4FA3">
        <w:rPr>
          <w:rFonts w:cs="Times New Roman"/>
          <w:lang w:val="en-US"/>
        </w:rPr>
        <w:t>.</w:t>
      </w:r>
      <w:r w:rsidRPr="00CE4FA3">
        <w:rPr>
          <w:lang w:val="en-US"/>
        </w:rPr>
        <w:t xml:space="preserve"> Med. </w:t>
      </w:r>
      <w:r w:rsidRPr="00CE4FA3">
        <w:rPr>
          <w:rFonts w:cs="Times New Roman"/>
          <w:lang w:val="en-US"/>
        </w:rPr>
        <w:t xml:space="preserve">Massachusetts Medical Society, </w:t>
      </w:r>
      <w:r w:rsidRPr="00CE4FA3">
        <w:rPr>
          <w:lang w:val="en-US"/>
        </w:rPr>
        <w:t>2021</w:t>
      </w:r>
      <w:r w:rsidRPr="00CE4FA3">
        <w:rPr>
          <w:rFonts w:cs="Times New Roman"/>
          <w:lang w:val="en-US"/>
        </w:rPr>
        <w:t xml:space="preserve">. Vol. </w:t>
      </w:r>
      <w:r w:rsidRPr="00CE4FA3">
        <w:rPr>
          <w:lang w:val="en-US"/>
        </w:rPr>
        <w:t>385</w:t>
      </w:r>
      <w:r w:rsidRPr="00CE4FA3">
        <w:rPr>
          <w:rFonts w:cs="Times New Roman"/>
          <w:lang w:val="en-US"/>
        </w:rPr>
        <w:t xml:space="preserve">, № </w:t>
      </w:r>
      <w:r w:rsidRPr="00CE4FA3">
        <w:rPr>
          <w:lang w:val="en-US"/>
        </w:rPr>
        <w:t>5</w:t>
      </w:r>
      <w:r w:rsidRPr="00CE4FA3">
        <w:rPr>
          <w:rFonts w:cs="Times New Roman"/>
          <w:lang w:val="en-US"/>
        </w:rPr>
        <w:t xml:space="preserve">. P. </w:t>
      </w:r>
      <w:r w:rsidRPr="00CE4FA3">
        <w:rPr>
          <w:lang w:val="en-US"/>
        </w:rPr>
        <w:t>406–</w:t>
      </w:r>
      <w:r w:rsidRPr="00CE4FA3">
        <w:rPr>
          <w:rFonts w:cs="Times New Roman"/>
          <w:lang w:val="en-US"/>
        </w:rPr>
        <w:t>415.</w:t>
      </w:r>
    </w:p>
    <w:p w14:paraId="0CF41A40" w14:textId="77777777" w:rsidR="00EC4891" w:rsidRDefault="00EC4891" w:rsidP="00EC4891">
      <w:pPr>
        <w:pStyle w:val="ab"/>
        <w:rPr>
          <w:rFonts w:cs="Times New Roman"/>
          <w:lang w:val="en-US"/>
        </w:rPr>
      </w:pPr>
      <w:r>
        <w:rPr>
          <w:rFonts w:cs="Times New Roman"/>
          <w:lang w:val="en-US"/>
        </w:rPr>
        <w:t>22</w:t>
      </w:r>
      <w:r w:rsidRPr="00CE4FA3">
        <w:rPr>
          <w:lang w:val="en-US"/>
        </w:rPr>
        <w:t>.</w:t>
      </w:r>
      <w:r w:rsidRPr="00CE4FA3">
        <w:rPr>
          <w:lang w:val="en-US"/>
        </w:rPr>
        <w:tab/>
        <w:t>Murugesan H</w:t>
      </w:r>
      <w:r w:rsidRPr="00CE4FA3">
        <w:rPr>
          <w:rFonts w:cs="Times New Roman"/>
          <w:lang w:val="en-US"/>
        </w:rPr>
        <w:t>.</w:t>
      </w:r>
      <w:r w:rsidRPr="00CE4FA3">
        <w:rPr>
          <w:lang w:val="en-US"/>
        </w:rPr>
        <w:t xml:space="preserve"> et al. An evaluation of efficacy and safety of tofacitinib, a JAK inhibitor in the management of hospitalized patients with mild to moderate COVID-19 - an open-label randomized controlled study</w:t>
      </w:r>
      <w:r w:rsidRPr="00CE4FA3">
        <w:rPr>
          <w:rFonts w:cs="Times New Roman"/>
          <w:lang w:val="en-US"/>
        </w:rPr>
        <w:t xml:space="preserve"> //</w:t>
      </w:r>
      <w:r w:rsidRPr="00CE4FA3">
        <w:rPr>
          <w:lang w:val="en-US"/>
        </w:rPr>
        <w:t xml:space="preserve"> J</w:t>
      </w:r>
      <w:r w:rsidRPr="00CE4FA3">
        <w:rPr>
          <w:rFonts w:cs="Times New Roman"/>
          <w:lang w:val="en-US"/>
        </w:rPr>
        <w:t>.</w:t>
      </w:r>
      <w:r w:rsidRPr="00CE4FA3">
        <w:rPr>
          <w:lang w:val="en-US"/>
        </w:rPr>
        <w:t xml:space="preserve"> Assoc</w:t>
      </w:r>
      <w:r w:rsidRPr="00CE4FA3">
        <w:rPr>
          <w:rFonts w:cs="Times New Roman"/>
          <w:lang w:val="en-US"/>
        </w:rPr>
        <w:t>.</w:t>
      </w:r>
      <w:r w:rsidRPr="00CE4FA3">
        <w:rPr>
          <w:lang w:val="en-US"/>
        </w:rPr>
        <w:t xml:space="preserve"> Physicians India. 2022</w:t>
      </w:r>
      <w:r w:rsidRPr="00CE4FA3">
        <w:rPr>
          <w:rFonts w:cs="Times New Roman"/>
          <w:lang w:val="en-US"/>
        </w:rPr>
        <w:t xml:space="preserve">. Vol. </w:t>
      </w:r>
      <w:r w:rsidRPr="00CE4FA3">
        <w:rPr>
          <w:lang w:val="en-US"/>
        </w:rPr>
        <w:t>69</w:t>
      </w:r>
      <w:r w:rsidRPr="00CE4FA3">
        <w:rPr>
          <w:rFonts w:cs="Times New Roman"/>
          <w:lang w:val="en-US"/>
        </w:rPr>
        <w:t xml:space="preserve">, № </w:t>
      </w:r>
      <w:r w:rsidRPr="00CE4FA3">
        <w:rPr>
          <w:lang w:val="en-US"/>
        </w:rPr>
        <w:t>12</w:t>
      </w:r>
      <w:r w:rsidRPr="00CE4FA3">
        <w:rPr>
          <w:rFonts w:cs="Times New Roman"/>
          <w:lang w:val="en-US"/>
        </w:rPr>
        <w:t xml:space="preserve">. P. </w:t>
      </w:r>
      <w:r w:rsidRPr="00CE4FA3">
        <w:rPr>
          <w:lang w:val="en-US"/>
        </w:rPr>
        <w:t>11–</w:t>
      </w:r>
      <w:r w:rsidRPr="00CE4FA3">
        <w:rPr>
          <w:rFonts w:cs="Times New Roman"/>
          <w:lang w:val="en-US"/>
        </w:rPr>
        <w:t>12.</w:t>
      </w:r>
    </w:p>
    <w:p w14:paraId="0B9FB4DD" w14:textId="77777777" w:rsidR="00EC4891" w:rsidRPr="00D41E56" w:rsidRDefault="00EC4891" w:rsidP="00EC4891">
      <w:pPr>
        <w:pStyle w:val="ab"/>
        <w:rPr>
          <w:rFonts w:cs="Times New Roman"/>
          <w:lang w:val="en-US"/>
        </w:rPr>
      </w:pPr>
      <w:r w:rsidRPr="00512EE4">
        <w:rPr>
          <w:rFonts w:cs="Times New Roman"/>
          <w:lang w:val="en-US"/>
        </w:rPr>
        <w:t>2</w:t>
      </w:r>
      <w:r>
        <w:rPr>
          <w:rFonts w:cs="Times New Roman"/>
          <w:lang w:val="en-US"/>
        </w:rPr>
        <w:t>3</w:t>
      </w:r>
      <w:r w:rsidRPr="00512EE4">
        <w:rPr>
          <w:rFonts w:cs="Times New Roman"/>
          <w:lang w:val="en-US"/>
        </w:rPr>
        <w:t>.</w:t>
      </w:r>
      <w:r w:rsidRPr="00512EE4">
        <w:rPr>
          <w:rFonts w:cs="Times New Roman"/>
          <w:lang w:val="en-US"/>
        </w:rPr>
        <w:tab/>
        <w:t>EMA. Xeljanz. Assessment report [Electronic resource]. URL: https://www.ema.europa.eu/en/documents/assessment-report/xeljanz-epar-public-assessment-report_en.pdf.</w:t>
      </w:r>
    </w:p>
    <w:p w14:paraId="08EA2AD3" w14:textId="77777777" w:rsidR="00EC4891" w:rsidRPr="00CE4FA3" w:rsidRDefault="00EC4891" w:rsidP="00EC4891">
      <w:pPr>
        <w:pStyle w:val="ab"/>
        <w:rPr>
          <w:lang w:val="en-US"/>
        </w:rPr>
      </w:pPr>
      <w:r>
        <w:rPr>
          <w:rFonts w:cs="Times New Roman"/>
          <w:lang w:val="en-US"/>
        </w:rPr>
        <w:t>24</w:t>
      </w:r>
      <w:r w:rsidRPr="00CE4FA3">
        <w:rPr>
          <w:lang w:val="en-US"/>
        </w:rPr>
        <w:t>.</w:t>
      </w:r>
      <w:r w:rsidRPr="00CE4FA3">
        <w:rPr>
          <w:lang w:val="en-US"/>
        </w:rPr>
        <w:tab/>
        <w:t xml:space="preserve">Sung </w:t>
      </w:r>
      <w:r w:rsidRPr="00CE4FA3">
        <w:rPr>
          <w:rFonts w:cs="Times New Roman"/>
          <w:lang w:val="en-US"/>
        </w:rPr>
        <w:t>Y.-K.,</w:t>
      </w:r>
      <w:r w:rsidRPr="00CE4FA3">
        <w:rPr>
          <w:lang w:val="en-US"/>
        </w:rPr>
        <w:t xml:space="preserve"> Lee </w:t>
      </w:r>
      <w:r w:rsidRPr="00CE4FA3">
        <w:rPr>
          <w:rFonts w:cs="Times New Roman"/>
          <w:lang w:val="en-US"/>
        </w:rPr>
        <w:t>Y.H</w:t>
      </w:r>
      <w:r w:rsidRPr="00CE4FA3">
        <w:rPr>
          <w:lang w:val="en-US"/>
        </w:rPr>
        <w:t>. Comparison of the efficacy and safety of tofacitinib and mavrilimumab in patients with active rheumatoid arthritis: A Bayesian network meta-analysis of randomized controlled trials</w:t>
      </w:r>
      <w:r w:rsidRPr="00CE4FA3">
        <w:rPr>
          <w:rFonts w:cs="Times New Roman"/>
          <w:lang w:val="en-US"/>
        </w:rPr>
        <w:t xml:space="preserve"> //</w:t>
      </w:r>
      <w:r w:rsidRPr="00CE4FA3">
        <w:rPr>
          <w:lang w:val="en-US"/>
        </w:rPr>
        <w:t xml:space="preserve"> Int</w:t>
      </w:r>
      <w:r w:rsidRPr="00CE4FA3">
        <w:rPr>
          <w:rFonts w:cs="Times New Roman"/>
          <w:lang w:val="en-US"/>
        </w:rPr>
        <w:t>.</w:t>
      </w:r>
      <w:r w:rsidRPr="00CE4FA3">
        <w:rPr>
          <w:lang w:val="en-US"/>
        </w:rPr>
        <w:t xml:space="preserve"> J</w:t>
      </w:r>
      <w:r w:rsidRPr="00CE4FA3">
        <w:rPr>
          <w:rFonts w:cs="Times New Roman"/>
          <w:lang w:val="en-US"/>
        </w:rPr>
        <w:t>.</w:t>
      </w:r>
      <w:r w:rsidRPr="00CE4FA3">
        <w:rPr>
          <w:lang w:val="en-US"/>
        </w:rPr>
        <w:t xml:space="preserve"> Clin</w:t>
      </w:r>
      <w:r w:rsidRPr="00CE4FA3">
        <w:rPr>
          <w:rFonts w:cs="Times New Roman"/>
          <w:lang w:val="en-US"/>
        </w:rPr>
        <w:t>.</w:t>
      </w:r>
      <w:r w:rsidRPr="00CE4FA3">
        <w:rPr>
          <w:lang w:val="en-US"/>
        </w:rPr>
        <w:t xml:space="preserve"> Pharmacol</w:t>
      </w:r>
      <w:r w:rsidRPr="00CE4FA3">
        <w:rPr>
          <w:rFonts w:cs="Times New Roman"/>
          <w:lang w:val="en-US"/>
        </w:rPr>
        <w:t>.</w:t>
      </w:r>
      <w:r w:rsidRPr="00CE4FA3">
        <w:rPr>
          <w:lang w:val="en-US"/>
        </w:rPr>
        <w:t xml:space="preserve"> Ther. 2021</w:t>
      </w:r>
      <w:r w:rsidRPr="00CE4FA3">
        <w:rPr>
          <w:rFonts w:cs="Times New Roman"/>
          <w:lang w:val="en-US"/>
        </w:rPr>
        <w:t xml:space="preserve">. Vol. </w:t>
      </w:r>
      <w:r w:rsidRPr="00CE4FA3">
        <w:rPr>
          <w:lang w:val="en-US"/>
        </w:rPr>
        <w:t>59</w:t>
      </w:r>
      <w:r w:rsidRPr="00CE4FA3">
        <w:rPr>
          <w:rFonts w:cs="Times New Roman"/>
          <w:lang w:val="en-US"/>
        </w:rPr>
        <w:t xml:space="preserve">, № </w:t>
      </w:r>
      <w:r w:rsidRPr="00CE4FA3">
        <w:rPr>
          <w:lang w:val="en-US"/>
        </w:rPr>
        <w:t>8</w:t>
      </w:r>
      <w:r w:rsidRPr="00CE4FA3">
        <w:rPr>
          <w:rFonts w:cs="Times New Roman"/>
          <w:lang w:val="en-US"/>
        </w:rPr>
        <w:t xml:space="preserve">. P. </w:t>
      </w:r>
      <w:r w:rsidRPr="00CE4FA3">
        <w:rPr>
          <w:lang w:val="en-US"/>
        </w:rPr>
        <w:t>557–</w:t>
      </w:r>
      <w:r w:rsidRPr="00CE4FA3">
        <w:rPr>
          <w:rFonts w:cs="Times New Roman"/>
          <w:lang w:val="en-US"/>
        </w:rPr>
        <w:t>565.</w:t>
      </w:r>
    </w:p>
    <w:p w14:paraId="1A799E65" w14:textId="77777777" w:rsidR="00EC4891" w:rsidRPr="00CE4FA3" w:rsidRDefault="00EC4891" w:rsidP="00EC4891">
      <w:pPr>
        <w:pStyle w:val="ab"/>
        <w:rPr>
          <w:lang w:val="en-US"/>
        </w:rPr>
      </w:pPr>
      <w:r>
        <w:rPr>
          <w:rFonts w:cs="Times New Roman"/>
          <w:lang w:val="en-US"/>
        </w:rPr>
        <w:t>25</w:t>
      </w:r>
      <w:r w:rsidRPr="00CE4FA3">
        <w:rPr>
          <w:lang w:val="en-US"/>
        </w:rPr>
        <w:t>.</w:t>
      </w:r>
      <w:r w:rsidRPr="00CE4FA3">
        <w:rPr>
          <w:lang w:val="en-US"/>
        </w:rPr>
        <w:tab/>
        <w:t>Strand V</w:t>
      </w:r>
      <w:r w:rsidRPr="00CE4FA3">
        <w:rPr>
          <w:rFonts w:cs="Times New Roman"/>
          <w:lang w:val="en-US"/>
        </w:rPr>
        <w:t>.</w:t>
      </w:r>
      <w:r w:rsidRPr="00CE4FA3">
        <w:rPr>
          <w:lang w:val="en-US"/>
        </w:rPr>
        <w:t xml:space="preserve"> et al. Tofacitinib versus methotrexate in rheumatoid arthritis: patient-reported outcomes from the randomised phase III ORAL Start trial</w:t>
      </w:r>
      <w:r w:rsidRPr="00CE4FA3">
        <w:rPr>
          <w:rFonts w:cs="Times New Roman"/>
          <w:lang w:val="en-US"/>
        </w:rPr>
        <w:t xml:space="preserve"> //</w:t>
      </w:r>
      <w:r w:rsidRPr="00CE4FA3">
        <w:rPr>
          <w:lang w:val="en-US"/>
        </w:rPr>
        <w:t xml:space="preserve"> RMD Open. </w:t>
      </w:r>
      <w:r w:rsidRPr="00CE4FA3">
        <w:rPr>
          <w:rFonts w:cs="Times New Roman"/>
          <w:lang w:val="en-US"/>
        </w:rPr>
        <w:t xml:space="preserve">BMJ Specialist Journals, </w:t>
      </w:r>
      <w:r w:rsidRPr="00CE4FA3">
        <w:rPr>
          <w:lang w:val="en-US"/>
        </w:rPr>
        <w:t>2016</w:t>
      </w:r>
      <w:r w:rsidRPr="00CE4FA3">
        <w:rPr>
          <w:rFonts w:cs="Times New Roman"/>
          <w:lang w:val="en-US"/>
        </w:rPr>
        <w:t xml:space="preserve">. Vol. </w:t>
      </w:r>
      <w:r w:rsidRPr="00CE4FA3">
        <w:rPr>
          <w:lang w:val="en-US"/>
        </w:rPr>
        <w:t>2</w:t>
      </w:r>
      <w:r w:rsidRPr="00CE4FA3">
        <w:rPr>
          <w:rFonts w:cs="Times New Roman"/>
          <w:lang w:val="en-US"/>
        </w:rPr>
        <w:t xml:space="preserve">, № </w:t>
      </w:r>
      <w:r w:rsidRPr="00CE4FA3">
        <w:rPr>
          <w:lang w:val="en-US"/>
        </w:rPr>
        <w:t>2</w:t>
      </w:r>
      <w:r w:rsidRPr="00CE4FA3">
        <w:rPr>
          <w:rFonts w:cs="Times New Roman"/>
          <w:lang w:val="en-US"/>
        </w:rPr>
        <w:t xml:space="preserve">. P. </w:t>
      </w:r>
      <w:r w:rsidRPr="00CE4FA3">
        <w:rPr>
          <w:lang w:val="en-US"/>
        </w:rPr>
        <w:t>e000308.</w:t>
      </w:r>
    </w:p>
    <w:p w14:paraId="46BE55F1" w14:textId="77777777" w:rsidR="00EC4891" w:rsidRDefault="00EC4891" w:rsidP="00EC4891">
      <w:pPr>
        <w:pStyle w:val="ab"/>
        <w:rPr>
          <w:rFonts w:cs="Times New Roman"/>
          <w:lang w:val="en-US"/>
        </w:rPr>
      </w:pPr>
      <w:r>
        <w:rPr>
          <w:rFonts w:cs="Times New Roman"/>
          <w:lang w:val="en-US"/>
        </w:rPr>
        <w:t>26</w:t>
      </w:r>
      <w:r w:rsidRPr="00CE4FA3">
        <w:rPr>
          <w:lang w:val="en-US"/>
        </w:rPr>
        <w:t>.</w:t>
      </w:r>
      <w:r w:rsidRPr="00CE4FA3">
        <w:rPr>
          <w:lang w:val="en-US"/>
        </w:rPr>
        <w:tab/>
        <w:t>Pfizer Canada ULC. Product monograph. XELJANZ® tofacitinib, tablets, oral 5 mg tofacitinib (as tofacitinib citrate) 10 mg tofacitinib (as tofacitinib citrate). PrXELJANZ® XR tofacitinib extended-release, tablets, oral 11 mg tofacitinib (as tofacitinib citrate) [</w:t>
      </w:r>
      <w:r w:rsidRPr="00CE4FA3">
        <w:rPr>
          <w:rFonts w:cs="Times New Roman"/>
          <w:lang w:val="en-US"/>
        </w:rPr>
        <w:t>Electronic resource].</w:t>
      </w:r>
      <w:r w:rsidRPr="00CE4FA3">
        <w:rPr>
          <w:lang w:val="en-US"/>
        </w:rPr>
        <w:t xml:space="preserve"> 2022</w:t>
      </w:r>
      <w:r w:rsidRPr="00CE4FA3">
        <w:rPr>
          <w:rFonts w:cs="Times New Roman"/>
          <w:lang w:val="en-US"/>
        </w:rPr>
        <w:t>. URL</w:t>
      </w:r>
      <w:r w:rsidRPr="00CE4FA3">
        <w:rPr>
          <w:lang w:val="en-US"/>
        </w:rPr>
        <w:t>: https://www.pfizer.ca/sites/default/files/202206/Xeljanz_PM_EN_258173_09-May-2022.pdf</w:t>
      </w:r>
      <w:r w:rsidRPr="00CE4FA3">
        <w:rPr>
          <w:rFonts w:cs="Times New Roman"/>
          <w:lang w:val="en-US"/>
        </w:rPr>
        <w:t xml:space="preserve"> (accessed: 03.08.2022).</w:t>
      </w:r>
    </w:p>
    <w:p w14:paraId="0EF3E2CF" w14:textId="34A29801" w:rsidR="00EC4891" w:rsidRPr="00D41E56" w:rsidRDefault="00EC4891" w:rsidP="00EC4891">
      <w:pPr>
        <w:pStyle w:val="ab"/>
        <w:rPr>
          <w:lang w:val="en-US"/>
        </w:rPr>
      </w:pPr>
      <w:r>
        <w:rPr>
          <w:rFonts w:cs="Times New Roman"/>
          <w:lang w:val="en-US"/>
        </w:rPr>
        <w:t>27</w:t>
      </w:r>
      <w:r w:rsidRPr="00CE4FA3">
        <w:rPr>
          <w:lang w:val="en-US"/>
        </w:rPr>
        <w:t>.</w:t>
      </w:r>
      <w:r w:rsidRPr="00CE4FA3">
        <w:rPr>
          <w:lang w:val="en-US"/>
        </w:rPr>
        <w:tab/>
        <w:t>Xeljanz (tofacitinib) Extended Release (XR) Tablets. Company:</w:t>
      </w:r>
      <w:r w:rsidR="00383E6F">
        <w:rPr>
          <w:lang w:val="en-US"/>
        </w:rPr>
        <w:t xml:space="preserve"> </w:t>
      </w:r>
      <w:r w:rsidRPr="00CE4FA3">
        <w:rPr>
          <w:lang w:val="en-US"/>
        </w:rPr>
        <w:t>Pfizer, Inc.. Application No.:</w:t>
      </w:r>
      <w:r w:rsidR="00383E6F">
        <w:rPr>
          <w:lang w:val="en-US"/>
        </w:rPr>
        <w:t xml:space="preserve"> </w:t>
      </w:r>
      <w:r w:rsidRPr="00CE4FA3">
        <w:rPr>
          <w:lang w:val="en-US"/>
        </w:rPr>
        <w:t>208246. Approval Date: 02/23/2016. Clinical Pharmacology Biopharmaceutics Review [</w:t>
      </w:r>
      <w:r w:rsidRPr="00CE4FA3">
        <w:rPr>
          <w:rFonts w:cs="Times New Roman"/>
          <w:lang w:val="en-US"/>
        </w:rPr>
        <w:t>Electronic resource]. URL</w:t>
      </w:r>
      <w:r w:rsidRPr="00CE4FA3">
        <w:rPr>
          <w:lang w:val="en-US"/>
        </w:rPr>
        <w:t>: https://www.accessdata.fda.gov/drugsatfda_docs/nda/2016/208246Orig1s000TOC.cfm</w:t>
      </w:r>
      <w:r w:rsidRPr="00CE4FA3">
        <w:rPr>
          <w:rFonts w:cs="Times New Roman"/>
          <w:lang w:val="en-US"/>
        </w:rPr>
        <w:t xml:space="preserve"> (accessed: 03.08.2022).</w:t>
      </w:r>
    </w:p>
    <w:p w14:paraId="3D50D406" w14:textId="77777777" w:rsidR="00EC4891" w:rsidRPr="00CE4FA3" w:rsidRDefault="00EC4891" w:rsidP="00EC4891">
      <w:pPr>
        <w:pStyle w:val="ab"/>
        <w:rPr>
          <w:lang w:val="en-US"/>
        </w:rPr>
      </w:pPr>
      <w:r>
        <w:rPr>
          <w:rFonts w:cs="Times New Roman"/>
          <w:lang w:val="en-US"/>
        </w:rPr>
        <w:lastRenderedPageBreak/>
        <w:t>28</w:t>
      </w:r>
      <w:r w:rsidRPr="00CE4FA3">
        <w:rPr>
          <w:lang w:val="en-US"/>
        </w:rPr>
        <w:t>.</w:t>
      </w:r>
      <w:r w:rsidRPr="00CE4FA3">
        <w:rPr>
          <w:lang w:val="en-US"/>
        </w:rPr>
        <w:tab/>
        <w:t>Xie W</w:t>
      </w:r>
      <w:r w:rsidRPr="00CE4FA3">
        <w:rPr>
          <w:rFonts w:cs="Times New Roman"/>
          <w:lang w:val="en-US"/>
        </w:rPr>
        <w:t>. et al</w:t>
      </w:r>
      <w:r w:rsidRPr="00CE4FA3">
        <w:rPr>
          <w:lang w:val="en-US"/>
        </w:rPr>
        <w:t>. Risk of malignancy with non-TNFi biologic or tofacitinib therapy in rheumatoid arthritis: A meta-analysis of observational studies</w:t>
      </w:r>
      <w:r w:rsidRPr="00CE4FA3">
        <w:rPr>
          <w:rFonts w:cs="Times New Roman"/>
          <w:lang w:val="en-US"/>
        </w:rPr>
        <w:t xml:space="preserve"> //</w:t>
      </w:r>
      <w:r w:rsidRPr="00CE4FA3">
        <w:rPr>
          <w:lang w:val="en-US"/>
        </w:rPr>
        <w:t xml:space="preserve"> Semin</w:t>
      </w:r>
      <w:r w:rsidRPr="00CE4FA3">
        <w:rPr>
          <w:rFonts w:cs="Times New Roman"/>
          <w:lang w:val="en-US"/>
        </w:rPr>
        <w:t>.</w:t>
      </w:r>
      <w:r w:rsidRPr="00CE4FA3">
        <w:rPr>
          <w:lang w:val="en-US"/>
        </w:rPr>
        <w:t xml:space="preserve"> Arthritis Rheum. 2020</w:t>
      </w:r>
      <w:r w:rsidRPr="00CE4FA3">
        <w:rPr>
          <w:rFonts w:cs="Times New Roman"/>
          <w:lang w:val="en-US"/>
        </w:rPr>
        <w:t xml:space="preserve">. Vol. </w:t>
      </w:r>
      <w:r w:rsidRPr="00CE4FA3">
        <w:rPr>
          <w:lang w:val="en-US"/>
        </w:rPr>
        <w:t>50</w:t>
      </w:r>
      <w:r w:rsidRPr="00CE4FA3">
        <w:rPr>
          <w:rFonts w:cs="Times New Roman"/>
          <w:lang w:val="en-US"/>
        </w:rPr>
        <w:t xml:space="preserve">, № </w:t>
      </w:r>
      <w:r w:rsidRPr="00CE4FA3">
        <w:rPr>
          <w:lang w:val="en-US"/>
        </w:rPr>
        <w:t>5</w:t>
      </w:r>
      <w:r w:rsidRPr="00CE4FA3">
        <w:rPr>
          <w:rFonts w:cs="Times New Roman"/>
          <w:lang w:val="en-US"/>
        </w:rPr>
        <w:t xml:space="preserve">. P. </w:t>
      </w:r>
      <w:r w:rsidRPr="00CE4FA3">
        <w:rPr>
          <w:lang w:val="en-US"/>
        </w:rPr>
        <w:t>930–</w:t>
      </w:r>
      <w:r w:rsidRPr="00CE4FA3">
        <w:rPr>
          <w:rFonts w:cs="Times New Roman"/>
          <w:lang w:val="en-US"/>
        </w:rPr>
        <w:t>937.</w:t>
      </w:r>
    </w:p>
    <w:p w14:paraId="0F77961E" w14:textId="7E17DF58" w:rsidR="00037921" w:rsidRDefault="00EC4891" w:rsidP="00791E09">
      <w:pPr>
        <w:pStyle w:val="ab"/>
        <w:rPr>
          <w:rFonts w:cs="Times New Roman"/>
        </w:rPr>
      </w:pPr>
      <w:r>
        <w:rPr>
          <w:rFonts w:cs="Times New Roman"/>
          <w:lang w:val="en-US"/>
        </w:rPr>
        <w:t>29</w:t>
      </w:r>
      <w:r w:rsidRPr="00CE4FA3">
        <w:rPr>
          <w:lang w:val="en-US"/>
        </w:rPr>
        <w:t>.</w:t>
      </w:r>
      <w:r w:rsidRPr="00CE4FA3">
        <w:rPr>
          <w:lang w:val="en-US"/>
        </w:rPr>
        <w:tab/>
        <w:t>Finckh A</w:t>
      </w:r>
      <w:r w:rsidRPr="00CE4FA3">
        <w:rPr>
          <w:rFonts w:cs="Times New Roman"/>
          <w:lang w:val="en-US"/>
        </w:rPr>
        <w:t>.</w:t>
      </w:r>
      <w:r w:rsidRPr="00CE4FA3">
        <w:rPr>
          <w:lang w:val="en-US"/>
        </w:rPr>
        <w:t xml:space="preserve"> et al. Comparative effectiveness of antitumour necrosis factor agents, biologics with an alternative mode of action and tofacitinib in an observational cohort of patients with rheumatoid arthritis in Switzerland</w:t>
      </w:r>
      <w:r w:rsidRPr="00CE4FA3">
        <w:rPr>
          <w:rFonts w:cs="Times New Roman"/>
          <w:lang w:val="en-US"/>
        </w:rPr>
        <w:t xml:space="preserve"> //</w:t>
      </w:r>
      <w:r w:rsidRPr="00CE4FA3">
        <w:rPr>
          <w:lang w:val="en-US"/>
        </w:rPr>
        <w:t xml:space="preserve"> </w:t>
      </w:r>
      <w:r w:rsidRPr="00CE4FA3">
        <w:rPr>
          <w:rFonts w:cs="Times New Roman"/>
          <w:lang w:val="en-US"/>
        </w:rPr>
        <w:t xml:space="preserve">RMD Open. </w:t>
      </w:r>
      <w:r w:rsidRPr="00014867">
        <w:rPr>
          <w:rFonts w:cs="Times New Roman"/>
          <w:lang w:val="en-US"/>
        </w:rPr>
        <w:t>BMJ</w:t>
      </w:r>
      <w:r w:rsidRPr="00C13EBE">
        <w:rPr>
          <w:rFonts w:cs="Times New Roman"/>
          <w:lang w:val="en-US"/>
        </w:rPr>
        <w:t xml:space="preserve"> </w:t>
      </w:r>
      <w:r w:rsidRPr="00014867">
        <w:rPr>
          <w:rFonts w:cs="Times New Roman"/>
          <w:lang w:val="en-US"/>
        </w:rPr>
        <w:t>Specialist</w:t>
      </w:r>
      <w:r w:rsidRPr="00C13EBE">
        <w:rPr>
          <w:rFonts w:cs="Times New Roman"/>
          <w:lang w:val="en-US"/>
        </w:rPr>
        <w:t xml:space="preserve"> </w:t>
      </w:r>
      <w:r w:rsidRPr="00014867">
        <w:rPr>
          <w:rFonts w:cs="Times New Roman"/>
          <w:lang w:val="en-US"/>
        </w:rPr>
        <w:t>Journals</w:t>
      </w:r>
      <w:r w:rsidRPr="00C13EBE">
        <w:rPr>
          <w:rFonts w:cs="Times New Roman"/>
          <w:lang w:val="en-US"/>
        </w:rPr>
        <w:t xml:space="preserve">, 2020. </w:t>
      </w:r>
      <w:r w:rsidRPr="00014867">
        <w:rPr>
          <w:rFonts w:cs="Times New Roman"/>
          <w:lang w:val="en-US"/>
        </w:rPr>
        <w:t>Vol</w:t>
      </w:r>
      <w:r w:rsidRPr="00C13EBE">
        <w:rPr>
          <w:rFonts w:cs="Times New Roman"/>
          <w:lang w:val="en-US"/>
        </w:rPr>
        <w:t xml:space="preserve">. 6, № 1. </w:t>
      </w:r>
      <w:r w:rsidRPr="00A034D7">
        <w:rPr>
          <w:rFonts w:cs="Times New Roman"/>
          <w:lang w:val="en-US"/>
        </w:rPr>
        <w:t>P</w:t>
      </w:r>
      <w:r w:rsidRPr="007003A8">
        <w:rPr>
          <w:rFonts w:cs="Times New Roman"/>
        </w:rPr>
        <w:t xml:space="preserve">. </w:t>
      </w:r>
      <w:r w:rsidRPr="00A034D7">
        <w:rPr>
          <w:rFonts w:cs="Times New Roman"/>
          <w:lang w:val="en-US"/>
        </w:rPr>
        <w:t>e</w:t>
      </w:r>
      <w:r w:rsidRPr="007003A8">
        <w:rPr>
          <w:rFonts w:cs="Times New Roman"/>
        </w:rPr>
        <w:t>001174.</w:t>
      </w:r>
    </w:p>
    <w:p w14:paraId="74E02754" w14:textId="77777777" w:rsidR="00791E09" w:rsidRPr="00791E09" w:rsidRDefault="00791E09" w:rsidP="00791E09">
      <w:pPr>
        <w:spacing w:after="0"/>
      </w:pPr>
    </w:p>
    <w:p w14:paraId="59CE8864" w14:textId="0D214DFE" w:rsidR="00730F80" w:rsidRPr="00EB2B5F" w:rsidRDefault="003C34A5" w:rsidP="00D676ED">
      <w:pPr>
        <w:pStyle w:val="1"/>
      </w:pPr>
      <w:bookmarkStart w:id="279" w:name="_Toc115421093"/>
      <w:bookmarkStart w:id="280" w:name="_Toc121592618"/>
      <w:r>
        <w:t xml:space="preserve">5. </w:t>
      </w:r>
      <w:r w:rsidR="00730F80" w:rsidRPr="00EB2B5F">
        <w:t>ОБСУЖДЕНИЕ ДАННЫХ И ИНСТРУКЦИИ ДЛЯ ИССЛЕДОВАТЕЛЯ</w:t>
      </w:r>
      <w:bookmarkEnd w:id="279"/>
      <w:bookmarkEnd w:id="280"/>
    </w:p>
    <w:p w14:paraId="635354F2" w14:textId="77777777" w:rsidR="00730F80" w:rsidRPr="00037921" w:rsidRDefault="00730F80" w:rsidP="00730F80">
      <w:pPr>
        <w:pStyle w:val="OT"/>
        <w:contextualSpacing/>
      </w:pPr>
    </w:p>
    <w:p w14:paraId="0EEEA1FB" w14:textId="0B7D1961" w:rsidR="00730F80" w:rsidRPr="00EB2B5F" w:rsidRDefault="003C34A5" w:rsidP="003C34A5">
      <w:pPr>
        <w:pStyle w:val="2"/>
        <w:numPr>
          <w:ilvl w:val="0"/>
          <w:numId w:val="0"/>
        </w:numPr>
        <w:ind w:left="576" w:hanging="576"/>
      </w:pPr>
      <w:bookmarkStart w:id="281" w:name="_Toc115421094"/>
      <w:bookmarkStart w:id="282" w:name="_Toc121592619"/>
      <w:r>
        <w:t xml:space="preserve">5.1. </w:t>
      </w:r>
      <w:r w:rsidR="00730F80" w:rsidRPr="00EB2B5F">
        <w:t>Обсуждение данных доклинических исследований</w:t>
      </w:r>
      <w:bookmarkEnd w:id="281"/>
      <w:bookmarkEnd w:id="282"/>
      <w:r w:rsidR="00730F80" w:rsidRPr="00EB2B5F">
        <w:t xml:space="preserve"> </w:t>
      </w:r>
    </w:p>
    <w:p w14:paraId="73C8DA65" w14:textId="77777777" w:rsidR="00730F80" w:rsidRDefault="00730F80" w:rsidP="00573202">
      <w:pPr>
        <w:pStyle w:val="SDText"/>
        <w:spacing w:after="0"/>
        <w:contextualSpacing/>
      </w:pPr>
    </w:p>
    <w:p w14:paraId="223F8804" w14:textId="29DAFDD2" w:rsidR="00573202" w:rsidRPr="00573202" w:rsidRDefault="00573202" w:rsidP="00573202">
      <w:pPr>
        <w:spacing w:after="0"/>
        <w:rPr>
          <w:bCs/>
          <w:color w:val="FF0000"/>
          <w:lang w:bidi="ru-RU"/>
        </w:rPr>
      </w:pPr>
      <w:r w:rsidRPr="00573202">
        <w:rPr>
          <w:lang w:eastAsia="ja-JP"/>
        </w:rPr>
        <w:t>Так как препарат</w:t>
      </w:r>
      <w:r w:rsidRPr="00573202">
        <w:rPr>
          <w:lang w:eastAsia="ru-RU"/>
        </w:rPr>
        <w:t xml:space="preserve"> </w:t>
      </w:r>
      <w:r w:rsidRPr="00573202">
        <w:rPr>
          <w:lang w:val="en-US" w:eastAsia="ru-RU"/>
        </w:rPr>
        <w:t>D</w:t>
      </w:r>
      <w:r w:rsidRPr="00573202">
        <w:rPr>
          <w:lang w:eastAsia="ru-RU"/>
        </w:rPr>
        <w:t>T-</w:t>
      </w:r>
      <w:r w:rsidRPr="00573202">
        <w:rPr>
          <w:rFonts w:eastAsia="MS Mincho"/>
          <w:szCs w:val="24"/>
          <w:lang w:val="en-US" w:eastAsia="ru-RU"/>
        </w:rPr>
        <w:t>TFC</w:t>
      </w:r>
      <w:r w:rsidRPr="00573202">
        <w:rPr>
          <w:lang w:eastAsia="ja-JP"/>
        </w:rPr>
        <w:t xml:space="preserve"> (АО «Р-Фарм», Россия) представляет собой воспроизведенный препарат тофацитиниба, ожидается, что его свойства будут идентичны свойствам оригинального препарата Яквинус</w:t>
      </w:r>
      <w:r w:rsidRPr="00573202">
        <w:rPr>
          <w:vertAlign w:val="superscript"/>
          <w:lang w:eastAsia="ja-JP"/>
        </w:rPr>
        <w:t>®</w:t>
      </w:r>
      <w:r w:rsidRPr="00573202">
        <w:rPr>
          <w:lang w:eastAsia="ja-JP"/>
        </w:rPr>
        <w:t xml:space="preserve">, таблетки, покрытые пленочной оболочкой, 5 мг и 10 мг </w:t>
      </w:r>
      <w:r w:rsidRPr="00573202">
        <w:t>(Пфайзер Инк., США)</w:t>
      </w:r>
      <w:r w:rsidRPr="00573202">
        <w:rPr>
          <w:lang w:eastAsia="ja-JP"/>
        </w:rPr>
        <w:t xml:space="preserve">, которому </w:t>
      </w:r>
      <w:r w:rsidRPr="00573202">
        <w:rPr>
          <w:lang w:val="en-US" w:eastAsia="ru-RU"/>
        </w:rPr>
        <w:t>D</w:t>
      </w:r>
      <w:r w:rsidRPr="00573202">
        <w:rPr>
          <w:lang w:eastAsia="ru-RU"/>
        </w:rPr>
        <w:t>T-</w:t>
      </w:r>
      <w:r w:rsidRPr="00573202">
        <w:rPr>
          <w:rFonts w:eastAsia="MS Mincho"/>
          <w:szCs w:val="24"/>
          <w:lang w:val="en-US" w:eastAsia="ru-RU"/>
        </w:rPr>
        <w:t>TFC</w:t>
      </w:r>
      <w:r w:rsidRPr="00573202">
        <w:rPr>
          <w:lang w:eastAsia="ja-JP"/>
        </w:rPr>
        <w:t xml:space="preserve"> полностью соответствует по качественному и ко</w:t>
      </w:r>
      <w:r w:rsidR="006E2A4A">
        <w:rPr>
          <w:lang w:eastAsia="ja-JP"/>
        </w:rPr>
        <w:t>личественному составу действующ</w:t>
      </w:r>
      <w:r w:rsidRPr="00573202">
        <w:rPr>
          <w:lang w:eastAsia="ja-JP"/>
        </w:rPr>
        <w:t xml:space="preserve">его и вспомогательных веществ, лекарственным формам и дозировкам, имея отличия в качественном и количественном составе пленочной оболочки таблетки </w:t>
      </w:r>
      <w:r w:rsidRPr="00573202">
        <w:rPr>
          <w:color w:val="000000"/>
          <w:szCs w:val="24"/>
        </w:rPr>
        <w:t>и типе целлюлозы микрокристаллической, входящей в состав ядра таблетки</w:t>
      </w:r>
      <w:r w:rsidRPr="00573202">
        <w:rPr>
          <w:lang w:eastAsia="ja-JP"/>
        </w:rPr>
        <w:t xml:space="preserve">. </w:t>
      </w:r>
      <w:r w:rsidRPr="00573202">
        <w:t xml:space="preserve">Поскольку лекарственный препарат </w:t>
      </w:r>
      <w:r w:rsidRPr="00573202">
        <w:rPr>
          <w:color w:val="000000" w:themeColor="text1"/>
          <w:lang w:val="en-US"/>
        </w:rPr>
        <w:t>DT</w:t>
      </w:r>
      <w:r w:rsidRPr="00573202">
        <w:rPr>
          <w:color w:val="000000" w:themeColor="text1"/>
        </w:rPr>
        <w:t>-</w:t>
      </w:r>
      <w:r>
        <w:rPr>
          <w:color w:val="000000" w:themeColor="text1"/>
          <w:lang w:val="en-US"/>
        </w:rPr>
        <w:t>TFC</w:t>
      </w:r>
      <w:r w:rsidRPr="00573202">
        <w:t xml:space="preserve"> является воспроизведенным препаратом, собственные доклинические исследования не проводились.</w:t>
      </w:r>
    </w:p>
    <w:p w14:paraId="7B6F4814" w14:textId="6E3FD79D" w:rsidR="00730F80" w:rsidRDefault="00730F80" w:rsidP="00730F80">
      <w:pPr>
        <w:pStyle w:val="SDText"/>
        <w:contextualSpacing/>
      </w:pPr>
      <w:r w:rsidRPr="00573202">
        <w:t xml:space="preserve">Тофацитиниб является первым в своем классе ингибитором </w:t>
      </w:r>
      <w:r w:rsidRPr="00573202">
        <w:rPr>
          <w:lang w:val="en-US"/>
        </w:rPr>
        <w:t>JAK</w:t>
      </w:r>
      <w:r w:rsidRPr="00573202">
        <w:t xml:space="preserve">. </w:t>
      </w:r>
      <w:r w:rsidRPr="00573202">
        <w:rPr>
          <w:rFonts w:eastAsia="MS Mincho" w:cs="Times New Roman"/>
          <w:szCs w:val="24"/>
        </w:rPr>
        <w:t xml:space="preserve">Механизм действия </w:t>
      </w:r>
      <w:r w:rsidRPr="00573202">
        <w:t xml:space="preserve">тофацитиниба </w:t>
      </w:r>
      <w:r w:rsidRPr="00573202">
        <w:rPr>
          <w:rFonts w:eastAsia="MS Mincho" w:cs="Times New Roman"/>
          <w:szCs w:val="24"/>
        </w:rPr>
        <w:t>включает ингибирование JAK1, JAK2 и JAK3 с меньшей ингибирующей активностью в отношении TyK2. Ингибирование этих киназ уменьшает высвобождение воспалительных</w:t>
      </w:r>
      <w:r w:rsidRPr="00E663E4">
        <w:rPr>
          <w:rFonts w:eastAsia="MS Mincho" w:cs="Times New Roman"/>
          <w:szCs w:val="24"/>
        </w:rPr>
        <w:t xml:space="preserve"> цитокинов, что, в свою очередь, уменьшает</w:t>
      </w:r>
      <w:r>
        <w:rPr>
          <w:rFonts w:eastAsia="MS Mincho" w:cs="Times New Roman"/>
          <w:szCs w:val="24"/>
        </w:rPr>
        <w:t xml:space="preserve"> </w:t>
      </w:r>
      <w:r w:rsidRPr="00E663E4">
        <w:rPr>
          <w:rFonts w:eastAsia="MS Mincho" w:cs="Times New Roman"/>
          <w:szCs w:val="24"/>
        </w:rPr>
        <w:t>активаци</w:t>
      </w:r>
      <w:r>
        <w:rPr>
          <w:rFonts w:eastAsia="MS Mincho" w:cs="Times New Roman"/>
          <w:szCs w:val="24"/>
        </w:rPr>
        <w:t>ю</w:t>
      </w:r>
      <w:r w:rsidRPr="00E663E4">
        <w:rPr>
          <w:rFonts w:eastAsia="MS Mincho" w:cs="Times New Roman"/>
          <w:szCs w:val="24"/>
        </w:rPr>
        <w:t xml:space="preserve"> и пролифераци</w:t>
      </w:r>
      <w:r>
        <w:rPr>
          <w:rFonts w:eastAsia="MS Mincho" w:cs="Times New Roman"/>
          <w:szCs w:val="24"/>
        </w:rPr>
        <w:t>ю</w:t>
      </w:r>
      <w:r w:rsidRPr="00E663E4">
        <w:rPr>
          <w:rFonts w:eastAsia="MS Mincho" w:cs="Times New Roman"/>
          <w:szCs w:val="24"/>
        </w:rPr>
        <w:t xml:space="preserve"> лимфоцитов</w:t>
      </w:r>
      <w:r>
        <w:t>. В модели адъювантного артрита тофацитиниб увеличивал плотность кортикального слоя и трабекулярной части кости у крыс,</w:t>
      </w:r>
      <w:r w:rsidRPr="00DB706F">
        <w:t xml:space="preserve"> </w:t>
      </w:r>
      <w:r>
        <w:t xml:space="preserve">выраженно снижал отек, воспаление и опосредованную остеокластами резорбцию костной ткани, уменьшал число клеток CD68/ED-1, CD3, содержание </w:t>
      </w:r>
      <w:r w:rsidRPr="00486125">
        <w:t>лиганд</w:t>
      </w:r>
      <w:r>
        <w:t>а</w:t>
      </w:r>
      <w:r w:rsidRPr="00486125">
        <w:t xml:space="preserve"> рецептора-активатора ядерного фактора кВ </w:t>
      </w:r>
      <w:r>
        <w:t xml:space="preserve">RANKL в тканях лап, уровни ИЛ-6 (транскрипт и белок) и RANKL, а также заметно улучшал клиническое состояние. Уменьшение выраженности воспаления суставов и снижение уровня </w:t>
      </w:r>
      <w:r>
        <w:rPr>
          <w:lang w:val="en-US"/>
        </w:rPr>
        <w:t>C</w:t>
      </w:r>
      <w:r>
        <w:t>РБ в сыворотке крови коррелировали с клиническими проявлениями у крыс, получавших терапию. Тофацитиниб значительно снижал количество CD4+</w:t>
      </w:r>
      <w:r w:rsidRPr="00FD117F">
        <w:t xml:space="preserve"> </w:t>
      </w:r>
      <w:r>
        <w:rPr>
          <w:lang w:val="en-US"/>
        </w:rPr>
        <w:t>IFN</w:t>
      </w:r>
      <w:r>
        <w:t xml:space="preserve">-γ+ Т-клеток и уровень мРНК ИЛ-1 в селезенке крыс. Тофацитиниб не оказывал существенного неблагоприятного влияния на сердечно-сосудистую, дыхательную, почечную функции или функции ЖКТ. На крысах с адъювантным артритом установили аддитивный эффект тофацитиниба и дексаметазона, вводимых подкожно в дозе 1,5 и 0,225 мг/кг соответственно, с фактором взаимодействия, составившим 0,76. В исследовании </w:t>
      </w:r>
      <w:r w:rsidRPr="00417C81">
        <w:rPr>
          <w:i/>
          <w:iCs/>
          <w:lang w:val="en-US"/>
        </w:rPr>
        <w:t>in</w:t>
      </w:r>
      <w:r w:rsidRPr="00417C81">
        <w:rPr>
          <w:i/>
          <w:iCs/>
        </w:rPr>
        <w:t xml:space="preserve"> </w:t>
      </w:r>
      <w:r w:rsidRPr="00417C81">
        <w:rPr>
          <w:i/>
          <w:iCs/>
          <w:lang w:val="en-US"/>
        </w:rPr>
        <w:t>vitro</w:t>
      </w:r>
      <w:r w:rsidRPr="000D659F">
        <w:t xml:space="preserve"> </w:t>
      </w:r>
      <w:r>
        <w:t>различия в зависимости от пола и вида были обнаружены во взаимодействиях дексаметазона и тофацитиниба с синергическим эффектом для лимфоцитов мужчин, и аддитивным и антагонистическим эффектом для лимфоцитов женщин и самок крыс.</w:t>
      </w:r>
    </w:p>
    <w:p w14:paraId="772D1CFA" w14:textId="77777777" w:rsidR="00730F80" w:rsidRDefault="00730F80" w:rsidP="00730F80">
      <w:pPr>
        <w:pStyle w:val="SDText"/>
        <w:contextualSpacing/>
      </w:pPr>
      <w:r>
        <w:t>В фармакокинетических исследованиях тофацитиниба у крыс, кроликов, собак и обезьян продемонстрировали быстрое всасывание после перорального введения с коротким периодом полувыведения (</w:t>
      </w:r>
      <w:r>
        <w:rPr>
          <w:lang w:val="en-US"/>
        </w:rPr>
        <w:t>T</w:t>
      </w:r>
      <w:r w:rsidRPr="00C21B43">
        <w:rPr>
          <w:vertAlign w:val="subscript"/>
        </w:rPr>
        <w:t>1/2</w:t>
      </w:r>
      <w:r>
        <w:t xml:space="preserve">), находившимся в интервале от 0,6 до 2,8 ч для всех видов. Тофацитиниб связывался с белками в минимальной или умеренной степени у мышей (67%), крыс (85%), собак (80%), обезьян (65%) и человека (62%). После </w:t>
      </w:r>
      <w:r>
        <w:lastRenderedPageBreak/>
        <w:t>перорального введения крысам тофацитиниб выводился как через почки (~50%), так и с фекалиями (~ 50%). У кроликов и обезьян тофацитиниб после перорального приема в основном выводился с мочой (~56%) и в меньшей степени с фекалиями (~30%). Основными ферментами, участвующими в метаболизме тофацитиниба</w:t>
      </w:r>
      <w:r w:rsidRPr="00762BC0">
        <w:t xml:space="preserve"> </w:t>
      </w:r>
      <w:r>
        <w:t xml:space="preserve">в микросомах печени человека </w:t>
      </w:r>
      <w:r w:rsidRPr="00A706B6">
        <w:rPr>
          <w:i/>
          <w:iCs/>
        </w:rPr>
        <w:t>in vitro</w:t>
      </w:r>
      <w:r>
        <w:t>, были изоформы CYP3A4/3A5 и CYP2C19.</w:t>
      </w:r>
      <w:r w:rsidRPr="004B0C65">
        <w:t xml:space="preserve"> </w:t>
      </w:r>
      <w:r>
        <w:t xml:space="preserve">На крысах установили, что низкая F тофацитиниба в первую очередь обусловлена эффектами первого прохождения через печень и кишечник. </w:t>
      </w:r>
    </w:p>
    <w:p w14:paraId="18BD8A73" w14:textId="77777777" w:rsidR="00730F80" w:rsidRDefault="00730F80" w:rsidP="00730F80">
      <w:pPr>
        <w:pStyle w:val="SDText"/>
        <w:contextualSpacing/>
      </w:pPr>
      <w:r>
        <w:t>Исследования общей токсичности были проведены на крысах (однократная доза, 2-недельные, 6-недельные и 6-месячные токсикологические исследования при пероральном введении) и яванских макаках (однократная доза, 2-недельные, 1-месячные и 39-недельные токсикологические исследования при пероральном введении). В 6-месячном исследовании токсичности при пероральном введении на крысах, в котором животным вводили тофацитиниб в дозе 1, 10 или 100 мг/кг/сут, или носитель, органами-мишенями являлись: лимфатические узлы (лимфоцитарное истощение и атрофия), тимус (лимфоцитарное истощение и атрофия), селезенка (лимфоцитарное истощение и атрофия), костный мозг (снижение клеточности), надпочечники (вакуолизация коры), ЖКТ (желудок, двенадцатиперстная кишка, тощая кишка), печень (увеличение активности ферментов печени и гипертрофия) и легкие (гистиоцитоз, возможной причиной которого была иммуносупрессия), кроме того, определили изменения показателей клинического анализа крови (снижение количества лейкоцитов и эритроцитов). В целом, чем дольше была продолжительность токсикологических исследований на крысах, тем тяжелее были признаки токсичности (например, в более коротких исследованиях показали лимфоидное истощение, а в исследовании хронической токсичности – атрофию органов лимфатической системы). На основании 6-месячного исследования токсичности при пероральном введении у крыс с атрофией органов лимфатической системы, с эффектами в отношении ЖКТ и гистиоцитозом легких, NOAEL соответствовала низкой исследуемой дозе (1 мг/кг/сут), с которой ассоциировалась AUC</w:t>
      </w:r>
      <w:r w:rsidRPr="002003FB">
        <w:rPr>
          <w:vertAlign w:val="subscript"/>
        </w:rPr>
        <w:t>(0-24)</w:t>
      </w:r>
      <w:r>
        <w:t>, равная 765 и 742 нг*ч/мл для самцов и самок соответственно.</w:t>
      </w:r>
    </w:p>
    <w:p w14:paraId="3A751959" w14:textId="77777777" w:rsidR="00730F80" w:rsidRDefault="00730F80" w:rsidP="00730F80">
      <w:pPr>
        <w:pStyle w:val="SDText"/>
        <w:contextualSpacing/>
      </w:pPr>
      <w:r>
        <w:t>В 39-недельном исследовании токсичности при пероральном введении у обезьян, в котором животным вводили тофацитиниб в дозе 0, 0,25, 1 и 5 мг/кг два раза в сутки (суточная доза составила 0,5, 2 и 10 мг/кг соответственно), признаки токсичности включали тяжелую иммуносупрессию, приводящую к инфекциям, и снижение иммунологического надзора, что привело к развитию лимфом у 3 животных при дозе 10 мг/кг/сут и гематологическим изменениям (снижению количества лейкоцитов, лимфоцитов, эритроцитов, гематокрита и уровня гемоглобина). Органами-мишенями токсичности являлись селезенка (вирусные включения и лимфоцитарная гиперплазия), тимус (лимфоцитарная гиперплазия), лимфатические узлы (лимфоцитарная гиперплазия), костный мозг (эритроидная гиперплазия) и желудок (вирусные включения, воспаление-вторичные инфекции). В более коротких исследованиях на обезьянах зарегистрировали общее лимфоцитарное истощение в органах</w:t>
      </w:r>
      <w:r w:rsidRPr="003E47D0">
        <w:t xml:space="preserve"> </w:t>
      </w:r>
      <w:r>
        <w:t>лимфатической системы, а в длительных введение тофацитиниба приводило к лимфоцитарной</w:t>
      </w:r>
      <w:r w:rsidRPr="009A5EB5">
        <w:t xml:space="preserve"> </w:t>
      </w:r>
      <w:r>
        <w:t xml:space="preserve">гиперплазии. Лимфомы были положительными по кодируемому малой РНК 1 вирусу Эпштейна-Барра, и EBNA-2, что указывало на то, что эти лимфомы были связаны с лимфокриптовирусной инфекцией. NOAEL определили соответствующей средней дозе (2 мг/кг/сут или 1 мг/кг два раза в день). Заключение было сделано на основании того, что наблюдаемые данные в отношении гематологических показателей и лимфатической системы являлись ожидаемыми фармакологическими эффектами. Эти результаты наблюдались при низких и средних дозах, но не считались дозолимитирующими. Дозолимитирующая токсичность </w:t>
      </w:r>
      <w:r>
        <w:lastRenderedPageBreak/>
        <w:t>была сочтена тяжелой иммуносупрессией, приводящей к развитию лимфом у обезьян при введении в высокой дозе 10 мг/кг/сут (5 мг/кг два раза в день) или 2 мг/кг/сут (1 мг/кг два раза в день), NOAEL ассоциировалась с AUC</w:t>
      </w:r>
      <w:r w:rsidRPr="0004049C">
        <w:rPr>
          <w:vertAlign w:val="subscript"/>
        </w:rPr>
        <w:t>(0-24)</w:t>
      </w:r>
      <w:r>
        <w:t>, равными 397 и 652 нг*ч/мл для самцов, и самок соответственно.</w:t>
      </w:r>
    </w:p>
    <w:p w14:paraId="395A2E52" w14:textId="77777777" w:rsidR="00730F80" w:rsidRDefault="00730F80" w:rsidP="00730F80">
      <w:pPr>
        <w:pStyle w:val="SDText"/>
        <w:contextualSpacing/>
      </w:pPr>
      <w:r>
        <w:t>Исследования ювенильной токсичности при пероральном введении были проведены на крысах (1 мес.) и яванских макаках (39 недель). Крысам перорально вводили тофацитиниб в дозах 1, 10 и 100 мг/кг/сут или носитель. В этих исследованиях изучали влияние тофацитиниба только на органы иммунной системы. Новых данных или более тяжелых признаков токсичности у молодых животных по сравнению с таковой у взрослых крыс не</w:t>
      </w:r>
      <w:r w:rsidRPr="00C65BEE">
        <w:t xml:space="preserve"> </w:t>
      </w:r>
      <w:r>
        <w:t>наблюдали. Мишенями токсичности были показатели клинического анализа крови (снижение количества лейкоцитов, эритроцитов и лимфоцитов), тимус (лимфоидное истощение), селезенка (уменьшение количества лимфоцитов) и лимфатические узлы (лимфоидное истощение). Токсикокинетической оценки в этом исследовании не проводили.</w:t>
      </w:r>
    </w:p>
    <w:p w14:paraId="53AFC21A" w14:textId="77777777" w:rsidR="00730F80" w:rsidRDefault="00730F80" w:rsidP="00730F80">
      <w:pPr>
        <w:pStyle w:val="SDText"/>
        <w:contextualSpacing/>
      </w:pPr>
      <w:r>
        <w:t>В 39-недельном исследовании на неполовозрелых обезьянах животным перорально вводили тофацитиниб в дозе 0,5, 2 и 10 мг/кг/сут, разделенной на 2 введения (те же дозы, что и в исследовании хронической токсичности на взрослых обезьянах) или носитель. При этом оценивались основные системы органов, но стандартных гистопатологических исследований не проводили. Это считалось приемлемым для целей данного исследования. В ходе исследования не наблюдали ни развития лимфом, ни преждевременной гибели или влияния лекарственного средства на сердечно-сосудистую систему (в том числе изменений на ЭКГ). По сравнению с результатами исследования хронической токсичности на взрослых обезьянах, потенциально новой находкой в исследовании на неполовозрелых обезьянах было увеличение очагов инфильтрации воспалительными клетками в сердце при высоких дозах. Мишенями являлись: показатели клинического анализа крови (снижение количества лейкоцитов, эритроцитов и лимфоцитов), селезенка (лимфоцитарная гиперплазия), костный мозг (лимфоидные фолликулы), лимфатические узлы (лимфоцитарная гиперплазия) и сердце (</w:t>
      </w:r>
      <w:r w:rsidRPr="008D78AF">
        <w:t>очаг</w:t>
      </w:r>
      <w:r>
        <w:t>и</w:t>
      </w:r>
      <w:r w:rsidRPr="008D78AF">
        <w:t xml:space="preserve"> инфильтрации воспалительными клетками</w:t>
      </w:r>
      <w:r>
        <w:t xml:space="preserve">). Поскольку эти наблюдения были аналогичны тем, которые отмечали в исследовании хронической токсичности у взрослых обезьян, и эти результаты со стороны крови и лимфатической системы являются ожидаемыми фармакологическими эффектами, которые не считаются дозолимитирующими, дозолимитирующая токсичность была определена на основании наличия </w:t>
      </w:r>
      <w:r w:rsidRPr="00D90887">
        <w:t>очаг</w:t>
      </w:r>
      <w:r>
        <w:t>ов</w:t>
      </w:r>
      <w:r w:rsidRPr="00D90887">
        <w:t xml:space="preserve"> инфильтрации воспалительными клетками </w:t>
      </w:r>
      <w:r>
        <w:t>в сердце. Следовательно, NOAEL определили равной 2 мг/кг/сут (1 мг/кг два раза в день), что ассоциировалось с AUC</w:t>
      </w:r>
      <w:r w:rsidRPr="00A90221">
        <w:rPr>
          <w:vertAlign w:val="subscript"/>
        </w:rPr>
        <w:t>(0-24)</w:t>
      </w:r>
      <w:r>
        <w:t>, составившей 424 нг*ч/мл.</w:t>
      </w:r>
    </w:p>
    <w:p w14:paraId="18B62FC5" w14:textId="77777777" w:rsidR="00730F80" w:rsidRDefault="00730F80" w:rsidP="00730F80">
      <w:pPr>
        <w:pStyle w:val="SDText"/>
        <w:contextualSpacing/>
      </w:pPr>
      <w:r>
        <w:t xml:space="preserve">Стандартная батарея генетической токсикологии для тофацитиниба включала тест на обратные мутации бактерий, анализ хромосомных аберраций </w:t>
      </w:r>
      <w:r w:rsidRPr="00FE274A">
        <w:rPr>
          <w:i/>
          <w:iCs/>
        </w:rPr>
        <w:t>in vitro</w:t>
      </w:r>
      <w:r>
        <w:t xml:space="preserve"> на лимфоцитах человека и микроядерный анализ на крысах </w:t>
      </w:r>
      <w:r w:rsidRPr="00FE274A">
        <w:rPr>
          <w:i/>
          <w:iCs/>
        </w:rPr>
        <w:t>in vivo</w:t>
      </w:r>
      <w:r>
        <w:t xml:space="preserve">. В тесте обратных мутаций бактерий и микроядерном анализе </w:t>
      </w:r>
      <w:r w:rsidRPr="00FE274A">
        <w:rPr>
          <w:i/>
          <w:iCs/>
        </w:rPr>
        <w:t>in vivo</w:t>
      </w:r>
      <w:r>
        <w:t xml:space="preserve"> на крысах результаты оценки тофацитиниба были отрицательными. Однако для тофацитиниба показали статистически значимое увеличение хромосомных аберраций в культивируемых лимфоцитах человека в 3-часовом тесте с метаболической активацией, но без метаболической активации результат оценки был отрицательным. Положительный ответ отмечали при концентрации ≥ 1700 мкг/мл, что соответствовало супрессии митотической активности на 48%. Дополнительно были проведены следующие тесты: анализ прямых мутаций в Х-сцепленном гене HGPRT в клетках CHO </w:t>
      </w:r>
      <w:r w:rsidRPr="00FE274A">
        <w:rPr>
          <w:i/>
          <w:iCs/>
        </w:rPr>
        <w:t>in vitro</w:t>
      </w:r>
      <w:r>
        <w:t xml:space="preserve"> для оценки мутации в генах млекопитающих и анализ внепланового синтеза ДНК в гепатоцитах крыс </w:t>
      </w:r>
      <w:r w:rsidRPr="00E22F3C">
        <w:rPr>
          <w:i/>
          <w:iCs/>
        </w:rPr>
        <w:t>in vivo</w:t>
      </w:r>
      <w:r>
        <w:t xml:space="preserve">, результаты которых были отрицательными. На </w:t>
      </w:r>
      <w:r>
        <w:lastRenderedPageBreak/>
        <w:t>основании совокупности доказательств заключили, что тофацитиниб не обладает генотоксическим потенциалом.</w:t>
      </w:r>
    </w:p>
    <w:p w14:paraId="2053679E" w14:textId="77777777" w:rsidR="00730F80" w:rsidRDefault="00730F80" w:rsidP="00730F80">
      <w:pPr>
        <w:pStyle w:val="SDText"/>
        <w:contextualSpacing/>
      </w:pPr>
      <w:r>
        <w:t>Канцерогенный потенциал тофацитиниба оценивали в 2-летнем исследовании на крысах и в 6-месячном исследовании на трансгенных мышах rasH2. В исследовании на крысах результаты были специфичны для пола и включали увеличение частоты аденом интерстициальных клеток в яичках у самцов, доброкачественных тимом у самок и злокачественных гиберном у самок. Тофацитиниб не обладал канцерогенными свойствами на трансгенных мышах rasH2. Повышение частоты развития лимфом наблюдали в ходе 39-недельного общего токсикологического исследования на взрослых яванских макаках.</w:t>
      </w:r>
    </w:p>
    <w:p w14:paraId="3ABAE414" w14:textId="77777777" w:rsidR="00730F80" w:rsidRDefault="00730F80" w:rsidP="00730F80">
      <w:pPr>
        <w:pStyle w:val="SDText"/>
        <w:contextualSpacing/>
      </w:pPr>
      <w:r>
        <w:t>Проведена батарея исследований репродуктивной токсичности тофацитиниба для оценки влияния на фертильность самцов и самок крыс, эмбриофетальное развитие крыс и кроликов, и пери- и постнатальное развитие крыс. В исследовании влияния на женскую фертильность тофацитиниб повышал постимплантационные потери и снижал частоту наступления беременности из-за уменьшения количества желтых тел, мест имплантации, повышения частоты ранней резорбции, и потерь в пре- и постимплантационный период.</w:t>
      </w:r>
    </w:p>
    <w:p w14:paraId="2ECC9847" w14:textId="77777777" w:rsidR="00730F80" w:rsidRDefault="00730F80" w:rsidP="00730F80">
      <w:pPr>
        <w:pStyle w:val="SDText"/>
        <w:contextualSpacing/>
      </w:pPr>
      <w:r>
        <w:t xml:space="preserve">Оценка фертильности самцов была неадекватной. Самцам вводили тофацитиниб в течение 63 дней, затем введение было остановлено, и самцы не подвергались воздействию препарата в течение 1 мес. Из-за короткого </w:t>
      </w:r>
      <w:r>
        <w:rPr>
          <w:lang w:val="en-US"/>
        </w:rPr>
        <w:t>T</w:t>
      </w:r>
      <w:r w:rsidRPr="00C21B43">
        <w:rPr>
          <w:vertAlign w:val="subscript"/>
        </w:rPr>
        <w:t>1/2</w:t>
      </w:r>
      <w:r>
        <w:rPr>
          <w:vertAlign w:val="subscript"/>
        </w:rPr>
        <w:t xml:space="preserve"> </w:t>
      </w:r>
      <w:r>
        <w:t>(от 0,6 до 2,8 ч) элиминация лекарственного средства происходила быстро. Спаривание самцов проводили через 1 мес. после введения, когда экспозиция тофацитинибом уже отсутствовала. Неблагоприятных последствий для спаривания или беременности у самок, не получавших тофацитиниб, не наблюдали. Продолжительность введения на момент спаривания была недостаточной для воздействия тофацитинибом на полный цикл сперматогенеза.</w:t>
      </w:r>
    </w:p>
    <w:p w14:paraId="79FA9A6E" w14:textId="77777777" w:rsidR="00730F80" w:rsidRDefault="00730F80" w:rsidP="00730F80">
      <w:pPr>
        <w:pStyle w:val="SDText"/>
        <w:contextualSpacing/>
      </w:pPr>
      <w:r>
        <w:t xml:space="preserve">Тофацитиниб обладал тератогенными свойствами как у крыс, так и у кроликов. Следовательно, лекарственное средство относится к категории </w:t>
      </w:r>
      <w:r>
        <w:rPr>
          <w:lang w:val="en-US"/>
        </w:rPr>
        <w:t>C</w:t>
      </w:r>
      <w:r w:rsidRPr="00EA182E">
        <w:t xml:space="preserve"> </w:t>
      </w:r>
      <w:r>
        <w:t>для применения при беременности. У крыс отмечали увеличение постимплантационных потерь, состоящих из ранних и поздних резорбций, и, как следствие, снижение числа жизнеспособных плодов, наблюдали уменьшение массы матки. Тератогенные эффекты включали анасарку, мембранозный дефект межжелудочковой перегородки и многочисленные пороки развития скелета. У кроликов тератологические находки включали торакогастрошизис, омфалоцеле, микростомию, микрофтальмию, мембранозную межжелудочковую перегородку, отсутствие желчного пузыря и множественные пороки развития скелета.</w:t>
      </w:r>
    </w:p>
    <w:p w14:paraId="1E036879" w14:textId="77777777" w:rsidR="00730F80" w:rsidRDefault="00730F80" w:rsidP="00730F80">
      <w:pPr>
        <w:pStyle w:val="SDText"/>
        <w:contextualSpacing/>
      </w:pPr>
      <w:r>
        <w:t>Тофацитиниб не влиял на развитие потомства, стандартные показатели оценки развития, рост, половое или поведенческое развитие в исследовании пери- и постнатальной токсичности у крыс. Тофацитиниб обнаружили в грудном молоке лактирующих крыс.</w:t>
      </w:r>
    </w:p>
    <w:p w14:paraId="03CB9CD6" w14:textId="77777777" w:rsidR="00730F80" w:rsidRPr="00844FA4" w:rsidRDefault="00730F80" w:rsidP="00730F80">
      <w:pPr>
        <w:pStyle w:val="SDText"/>
        <w:contextualSpacing/>
      </w:pPr>
      <w:r>
        <w:t>Тофацитиниб не обладал фототоксичностью и не вызывал кожной сенсибилизации.</w:t>
      </w:r>
    </w:p>
    <w:p w14:paraId="528BCCE6" w14:textId="21E5F824" w:rsidR="00730F80" w:rsidRPr="007E58BD" w:rsidRDefault="003C34A5" w:rsidP="003C34A5">
      <w:pPr>
        <w:pStyle w:val="2"/>
        <w:numPr>
          <w:ilvl w:val="0"/>
          <w:numId w:val="0"/>
        </w:numPr>
        <w:ind w:left="576" w:hanging="576"/>
      </w:pPr>
      <w:bookmarkStart w:id="283" w:name="_Toc115421095"/>
      <w:bookmarkStart w:id="284" w:name="_Toc121592620"/>
      <w:r>
        <w:t xml:space="preserve">5.2. </w:t>
      </w:r>
      <w:r w:rsidR="00730F80" w:rsidRPr="00556C2E">
        <w:t>Обсуждение</w:t>
      </w:r>
      <w:r w:rsidR="00730F80" w:rsidRPr="005C3CE4">
        <w:t xml:space="preserve"> </w:t>
      </w:r>
      <w:r w:rsidR="00730F80" w:rsidRPr="00556C2E">
        <w:t>данных</w:t>
      </w:r>
      <w:r w:rsidR="00730F80" w:rsidRPr="005C3CE4">
        <w:t xml:space="preserve"> </w:t>
      </w:r>
      <w:r w:rsidR="00730F80" w:rsidRPr="00556C2E">
        <w:t>клинических</w:t>
      </w:r>
      <w:r w:rsidR="00730F80" w:rsidRPr="005C3CE4">
        <w:t xml:space="preserve"> </w:t>
      </w:r>
      <w:r w:rsidR="00730F80" w:rsidRPr="00556C2E">
        <w:t>исследований</w:t>
      </w:r>
      <w:bookmarkEnd w:id="283"/>
      <w:bookmarkEnd w:id="284"/>
    </w:p>
    <w:p w14:paraId="6670981A" w14:textId="77777777" w:rsidR="006E2A4A" w:rsidRDefault="006E2A4A" w:rsidP="00D711E3">
      <w:pPr>
        <w:spacing w:after="0"/>
        <w:rPr>
          <w:rFonts w:eastAsia="MS Mincho" w:cs="Times New Roman"/>
          <w:szCs w:val="24"/>
          <w:lang w:eastAsia="ja-JP"/>
        </w:rPr>
      </w:pPr>
    </w:p>
    <w:p w14:paraId="50B28332" w14:textId="5CF3EAD8" w:rsidR="00D711E3" w:rsidRDefault="00D711E3" w:rsidP="00D711E3">
      <w:pPr>
        <w:spacing w:after="0"/>
        <w:rPr>
          <w:rFonts w:eastAsia="MS Mincho" w:cs="Times New Roman"/>
          <w:szCs w:val="24"/>
          <w:lang w:eastAsia="ja-JP"/>
        </w:rPr>
      </w:pPr>
      <w:r w:rsidRPr="001D6ABD">
        <w:rPr>
          <w:rFonts w:eastAsia="MS Mincho" w:cs="Times New Roman"/>
          <w:szCs w:val="24"/>
          <w:lang w:eastAsia="ja-JP"/>
        </w:rPr>
        <w:t xml:space="preserve">Клинических исследований препарата </w:t>
      </w:r>
      <w:r w:rsidRPr="00005F66">
        <w:rPr>
          <w:lang w:val="en-US"/>
        </w:rPr>
        <w:t>DT</w:t>
      </w:r>
      <w:r w:rsidRPr="00005F66">
        <w:t>-</w:t>
      </w:r>
      <w:r w:rsidRPr="00005F66">
        <w:rPr>
          <w:lang w:val="en-US"/>
        </w:rPr>
        <w:t>TFC</w:t>
      </w:r>
      <w:r>
        <w:rPr>
          <w:rFonts w:eastAsia="MS Mincho" w:cs="Times New Roman"/>
          <w:szCs w:val="24"/>
          <w:lang w:eastAsia="ja-JP"/>
        </w:rPr>
        <w:t xml:space="preserve">, </w:t>
      </w:r>
      <w:r w:rsidRPr="001D6ABD">
        <w:rPr>
          <w:rFonts w:eastAsia="MS Mincho" w:cs="Times New Roman"/>
          <w:szCs w:val="24"/>
          <w:lang w:eastAsia="ja-JP"/>
        </w:rPr>
        <w:t>таблетки, покрытые пленочной оболочкой, 5 мг</w:t>
      </w:r>
      <w:r>
        <w:rPr>
          <w:rFonts w:eastAsia="MS Mincho" w:cs="Times New Roman"/>
          <w:szCs w:val="24"/>
          <w:lang w:eastAsia="ja-JP"/>
        </w:rPr>
        <w:t xml:space="preserve"> и </w:t>
      </w:r>
      <w:r w:rsidRPr="001D6ABD">
        <w:rPr>
          <w:rFonts w:eastAsia="MS Mincho" w:cs="Times New Roman"/>
          <w:szCs w:val="24"/>
          <w:lang w:eastAsia="ja-JP"/>
        </w:rPr>
        <w:t>10 мг</w:t>
      </w:r>
      <w:r>
        <w:rPr>
          <w:rFonts w:eastAsia="MS Mincho" w:cs="Times New Roman"/>
          <w:szCs w:val="24"/>
          <w:lang w:eastAsia="ja-JP"/>
        </w:rPr>
        <w:t>,</w:t>
      </w:r>
      <w:r w:rsidRPr="001D6ABD">
        <w:rPr>
          <w:rFonts w:eastAsia="MS Mincho" w:cs="Times New Roman"/>
          <w:szCs w:val="24"/>
          <w:lang w:eastAsia="ja-JP"/>
        </w:rPr>
        <w:t xml:space="preserve"> не проводилось. Так как препарат </w:t>
      </w:r>
      <w:r w:rsidRPr="00005F66">
        <w:rPr>
          <w:lang w:val="en-US"/>
        </w:rPr>
        <w:t>DT</w:t>
      </w:r>
      <w:r w:rsidRPr="00005F66">
        <w:t>-</w:t>
      </w:r>
      <w:r w:rsidRPr="00005F66">
        <w:rPr>
          <w:lang w:val="en-US"/>
        </w:rPr>
        <w:t>TFC</w:t>
      </w:r>
      <w:r>
        <w:rPr>
          <w:rFonts w:eastAsia="MS Mincho" w:cs="Times New Roman"/>
          <w:szCs w:val="24"/>
          <w:lang w:eastAsia="ja-JP"/>
        </w:rPr>
        <w:t xml:space="preserve"> (АО «Р-Фарм», Россия)</w:t>
      </w:r>
      <w:r w:rsidRPr="001D6ABD">
        <w:rPr>
          <w:rFonts w:eastAsia="MS Mincho" w:cs="Times New Roman"/>
          <w:szCs w:val="24"/>
          <w:lang w:eastAsia="ja-JP"/>
        </w:rPr>
        <w:t xml:space="preserve"> представляет собой воспроизведенный препарат тофацитиниба, ожидается, что его свойства будут идентичны свойствам оригинального препарата Яквинус</w:t>
      </w:r>
      <w:r w:rsidRPr="001D6ABD">
        <w:rPr>
          <w:rFonts w:eastAsia="MS Mincho" w:cs="Times New Roman"/>
          <w:szCs w:val="24"/>
          <w:vertAlign w:val="superscript"/>
          <w:lang w:eastAsia="ja-JP"/>
        </w:rPr>
        <w:t>®</w:t>
      </w:r>
      <w:r w:rsidRPr="001D6ABD">
        <w:rPr>
          <w:rFonts w:eastAsia="MS Mincho" w:cs="Times New Roman"/>
          <w:szCs w:val="24"/>
          <w:lang w:eastAsia="ja-JP"/>
        </w:rPr>
        <w:t>,</w:t>
      </w:r>
      <w:r w:rsidRPr="003A05A0">
        <w:rPr>
          <w:rFonts w:eastAsia="MS Mincho" w:cs="Times New Roman"/>
          <w:szCs w:val="24"/>
          <w:lang w:eastAsia="ja-JP"/>
        </w:rPr>
        <w:t xml:space="preserve"> </w:t>
      </w:r>
      <w:r w:rsidRPr="001D6ABD">
        <w:rPr>
          <w:rFonts w:eastAsia="MS Mincho" w:cs="Times New Roman"/>
          <w:szCs w:val="24"/>
          <w:lang w:eastAsia="ja-JP"/>
        </w:rPr>
        <w:t>таблетки, покрытые пленочной оболочкой, 5 мг</w:t>
      </w:r>
      <w:r>
        <w:rPr>
          <w:rFonts w:eastAsia="MS Mincho" w:cs="Times New Roman"/>
          <w:szCs w:val="24"/>
          <w:lang w:eastAsia="ja-JP"/>
        </w:rPr>
        <w:t xml:space="preserve"> и</w:t>
      </w:r>
      <w:r w:rsidRPr="001D6ABD">
        <w:rPr>
          <w:rFonts w:eastAsia="MS Mincho" w:cs="Times New Roman"/>
          <w:szCs w:val="24"/>
          <w:lang w:eastAsia="ja-JP"/>
        </w:rPr>
        <w:t xml:space="preserve"> 10 мг</w:t>
      </w:r>
      <w:r>
        <w:rPr>
          <w:rFonts w:eastAsia="MS Mincho" w:cs="Times New Roman"/>
          <w:szCs w:val="24"/>
          <w:lang w:eastAsia="ja-JP"/>
        </w:rPr>
        <w:t xml:space="preserve"> </w:t>
      </w:r>
      <w:r w:rsidRPr="001D6ABD">
        <w:t>(Пфайзер Инк., США)</w:t>
      </w:r>
      <w:r w:rsidRPr="001D6ABD">
        <w:rPr>
          <w:rFonts w:eastAsia="MS Mincho" w:cs="Times New Roman"/>
          <w:szCs w:val="24"/>
          <w:lang w:eastAsia="ja-JP"/>
        </w:rPr>
        <w:t xml:space="preserve">, которому </w:t>
      </w:r>
      <w:r w:rsidRPr="00005F66">
        <w:rPr>
          <w:lang w:val="en-US"/>
        </w:rPr>
        <w:t>DT</w:t>
      </w:r>
      <w:r w:rsidRPr="00005F66">
        <w:t>-</w:t>
      </w:r>
      <w:r w:rsidRPr="00005F66">
        <w:rPr>
          <w:lang w:val="en-US"/>
        </w:rPr>
        <w:t>TFC</w:t>
      </w:r>
      <w:r w:rsidRPr="001D6ABD">
        <w:rPr>
          <w:rFonts w:eastAsia="MS Mincho" w:cs="Times New Roman"/>
          <w:szCs w:val="24"/>
          <w:lang w:eastAsia="ja-JP"/>
        </w:rPr>
        <w:t xml:space="preserve"> полностью соответствует по качественному и ко</w:t>
      </w:r>
      <w:r w:rsidR="006E2A4A">
        <w:rPr>
          <w:rFonts w:eastAsia="MS Mincho" w:cs="Times New Roman"/>
          <w:szCs w:val="24"/>
          <w:lang w:eastAsia="ja-JP"/>
        </w:rPr>
        <w:t xml:space="preserve">личественному составу действующего </w:t>
      </w:r>
      <w:r w:rsidRPr="001D6ABD">
        <w:rPr>
          <w:rFonts w:eastAsia="MS Mincho" w:cs="Times New Roman"/>
          <w:szCs w:val="24"/>
          <w:lang w:eastAsia="ja-JP"/>
        </w:rPr>
        <w:t>и вспомогательных веществ, лекарственн</w:t>
      </w:r>
      <w:r>
        <w:rPr>
          <w:rFonts w:eastAsia="MS Mincho" w:cs="Times New Roman"/>
          <w:szCs w:val="24"/>
          <w:lang w:eastAsia="ja-JP"/>
        </w:rPr>
        <w:t>ым</w:t>
      </w:r>
      <w:r w:rsidRPr="001D6ABD">
        <w:rPr>
          <w:rFonts w:eastAsia="MS Mincho" w:cs="Times New Roman"/>
          <w:szCs w:val="24"/>
          <w:lang w:eastAsia="ja-JP"/>
        </w:rPr>
        <w:t xml:space="preserve"> форм</w:t>
      </w:r>
      <w:r>
        <w:rPr>
          <w:rFonts w:eastAsia="MS Mincho" w:cs="Times New Roman"/>
          <w:szCs w:val="24"/>
          <w:lang w:eastAsia="ja-JP"/>
        </w:rPr>
        <w:t>ам</w:t>
      </w:r>
      <w:r w:rsidRPr="001D6ABD">
        <w:rPr>
          <w:rFonts w:eastAsia="MS Mincho" w:cs="Times New Roman"/>
          <w:szCs w:val="24"/>
          <w:lang w:eastAsia="ja-JP"/>
        </w:rPr>
        <w:t xml:space="preserve"> и дозировк</w:t>
      </w:r>
      <w:r>
        <w:rPr>
          <w:rFonts w:eastAsia="MS Mincho" w:cs="Times New Roman"/>
          <w:szCs w:val="24"/>
          <w:lang w:eastAsia="ja-JP"/>
        </w:rPr>
        <w:t xml:space="preserve">ам, имея отличия в качественном и количественном составе пленочной оболочки таблетки </w:t>
      </w:r>
      <w:r>
        <w:rPr>
          <w:color w:val="000000"/>
          <w:szCs w:val="24"/>
        </w:rPr>
        <w:t xml:space="preserve">и типе целлюлозы </w:t>
      </w:r>
      <w:r>
        <w:rPr>
          <w:color w:val="000000"/>
          <w:szCs w:val="24"/>
        </w:rPr>
        <w:lastRenderedPageBreak/>
        <w:t>микрокристаллической, входящей в состав ядра таблетки</w:t>
      </w:r>
      <w:r w:rsidRPr="001D6ABD">
        <w:rPr>
          <w:rFonts w:eastAsia="MS Mincho" w:cs="Times New Roman"/>
          <w:szCs w:val="24"/>
          <w:lang w:eastAsia="ja-JP"/>
        </w:rPr>
        <w:t xml:space="preserve">. </w:t>
      </w:r>
      <w:r w:rsidRPr="00D711E3">
        <w:rPr>
          <w:rFonts w:eastAsia="MS Mincho" w:cs="Times New Roman"/>
          <w:szCs w:val="24"/>
          <w:lang w:eastAsia="ja-JP"/>
        </w:rPr>
        <w:t>Клинических исследований лекарственного препарата DT-</w:t>
      </w:r>
      <w:r>
        <w:rPr>
          <w:rFonts w:eastAsia="MS Mincho" w:cs="Times New Roman"/>
          <w:szCs w:val="24"/>
          <w:lang w:val="en-US" w:eastAsia="ja-JP"/>
        </w:rPr>
        <w:t>TFC</w:t>
      </w:r>
      <w:r>
        <w:rPr>
          <w:rFonts w:eastAsia="MS Mincho" w:cs="Times New Roman"/>
          <w:szCs w:val="24"/>
          <w:lang w:eastAsia="ja-JP"/>
        </w:rPr>
        <w:t xml:space="preserve"> пока не проводилось</w:t>
      </w:r>
      <w:r w:rsidRPr="001D6ABD">
        <w:rPr>
          <w:rFonts w:eastAsia="MS Mincho" w:cs="Times New Roman"/>
          <w:szCs w:val="24"/>
          <w:lang w:eastAsia="ja-JP"/>
        </w:rPr>
        <w:t>.</w:t>
      </w:r>
    </w:p>
    <w:p w14:paraId="58408525" w14:textId="77777777" w:rsidR="00730F80" w:rsidRPr="00A60523" w:rsidRDefault="00730F80" w:rsidP="00730F80">
      <w:pPr>
        <w:spacing w:after="0"/>
        <w:contextualSpacing/>
      </w:pPr>
      <w:r>
        <w:rPr>
          <w:rFonts w:eastAsia="MS Mincho" w:cs="Times New Roman"/>
          <w:szCs w:val="24"/>
          <w:lang w:eastAsia="ja-JP"/>
        </w:rPr>
        <w:t xml:space="preserve">Абсолютная </w:t>
      </w:r>
      <w:r>
        <w:rPr>
          <w:rFonts w:eastAsia="MS Mincho" w:cs="Times New Roman"/>
          <w:szCs w:val="24"/>
          <w:lang w:val="en-US" w:eastAsia="ja-JP"/>
        </w:rPr>
        <w:t>F</w:t>
      </w:r>
      <w:r w:rsidRPr="000D2488">
        <w:rPr>
          <w:rFonts w:eastAsia="MS Mincho" w:cs="Times New Roman"/>
          <w:szCs w:val="24"/>
          <w:lang w:eastAsia="ja-JP"/>
        </w:rPr>
        <w:t xml:space="preserve"> </w:t>
      </w:r>
      <w:r>
        <w:rPr>
          <w:rFonts w:eastAsia="MS Mincho" w:cs="Times New Roman"/>
          <w:szCs w:val="24"/>
          <w:lang w:eastAsia="ja-JP"/>
        </w:rPr>
        <w:t>тофацитиниба после перорального приема составляет около 74%. После перорального приема достижение</w:t>
      </w:r>
      <w:r w:rsidRPr="003D6D40">
        <w:rPr>
          <w:rFonts w:eastAsia="MS Mincho" w:cs="Times New Roman"/>
          <w:szCs w:val="24"/>
          <w:lang w:eastAsia="ja-JP"/>
        </w:rPr>
        <w:t xml:space="preserve"> </w:t>
      </w:r>
      <w:r>
        <w:rPr>
          <w:rFonts w:eastAsia="MS Mincho" w:cs="Times New Roman"/>
          <w:szCs w:val="24"/>
          <w:lang w:val="en-US" w:eastAsia="ja-JP"/>
        </w:rPr>
        <w:t>C</w:t>
      </w:r>
      <w:r>
        <w:rPr>
          <w:rFonts w:eastAsia="MS Mincho" w:cs="Times New Roman"/>
          <w:szCs w:val="24"/>
          <w:vertAlign w:val="subscript"/>
          <w:lang w:val="en-US" w:eastAsia="ja-JP"/>
        </w:rPr>
        <w:t>max</w:t>
      </w:r>
      <w:r w:rsidRPr="003D6D40">
        <w:rPr>
          <w:rFonts w:eastAsia="MS Mincho" w:cs="Times New Roman"/>
          <w:szCs w:val="24"/>
          <w:lang w:eastAsia="ja-JP"/>
        </w:rPr>
        <w:t xml:space="preserve"> </w:t>
      </w:r>
      <w:r>
        <w:rPr>
          <w:rFonts w:eastAsia="MS Mincho" w:cs="Times New Roman"/>
          <w:szCs w:val="24"/>
          <w:lang w:eastAsia="ja-JP"/>
        </w:rPr>
        <w:t xml:space="preserve">тофацитиниба наблюдается через 0,5–1 ч. В абсорбции тофацитиниба из кишечника принимает участие </w:t>
      </w:r>
      <w:r>
        <w:rPr>
          <w:rFonts w:eastAsia="MS Mincho" w:cs="Times New Roman"/>
          <w:szCs w:val="24"/>
          <w:lang w:val="en-US" w:eastAsia="ja-JP"/>
        </w:rPr>
        <w:t>P</w:t>
      </w:r>
      <w:r w:rsidRPr="00570199">
        <w:rPr>
          <w:rFonts w:eastAsia="MS Mincho" w:cs="Times New Roman"/>
          <w:szCs w:val="24"/>
          <w:lang w:eastAsia="ja-JP"/>
        </w:rPr>
        <w:t>-</w:t>
      </w:r>
      <w:r>
        <w:rPr>
          <w:rFonts w:eastAsia="MS Mincho" w:cs="Times New Roman"/>
          <w:szCs w:val="24"/>
          <w:lang w:eastAsia="ja-JP"/>
        </w:rPr>
        <w:t>гликопротеин. После приема с пищей скорость абсорбции тофацитиниба снижалась (</w:t>
      </w:r>
      <w:r>
        <w:rPr>
          <w:rFonts w:eastAsia="MS Mincho" w:cs="Times New Roman"/>
          <w:szCs w:val="24"/>
          <w:lang w:val="en-US" w:eastAsia="ja-JP"/>
        </w:rPr>
        <w:t>C</w:t>
      </w:r>
      <w:r>
        <w:rPr>
          <w:rFonts w:eastAsia="MS Mincho" w:cs="Times New Roman"/>
          <w:szCs w:val="24"/>
          <w:vertAlign w:val="subscript"/>
          <w:lang w:val="en-US" w:eastAsia="ja-JP"/>
        </w:rPr>
        <w:t>max</w:t>
      </w:r>
      <w:r>
        <w:rPr>
          <w:rFonts w:eastAsia="MS Mincho" w:cs="Times New Roman"/>
          <w:szCs w:val="24"/>
          <w:vertAlign w:val="subscript"/>
          <w:lang w:eastAsia="ja-JP"/>
        </w:rPr>
        <w:t xml:space="preserve"> </w:t>
      </w:r>
      <w:r>
        <w:rPr>
          <w:rFonts w:eastAsia="MS Mincho" w:cs="Times New Roman"/>
          <w:szCs w:val="24"/>
          <w:lang w:eastAsia="ja-JP"/>
        </w:rPr>
        <w:t>уменьшалась примерно на 32%), однако эффекта приема пищи в отношении степени абсорбции (</w:t>
      </w:r>
      <w:r>
        <w:rPr>
          <w:rFonts w:eastAsia="MS Mincho" w:cs="Times New Roman"/>
          <w:szCs w:val="24"/>
          <w:lang w:val="en-US" w:eastAsia="ja-JP"/>
        </w:rPr>
        <w:t>AUC</w:t>
      </w:r>
      <w:r w:rsidRPr="001C7F18">
        <w:rPr>
          <w:rFonts w:eastAsia="MS Mincho" w:cs="Times New Roman"/>
          <w:szCs w:val="24"/>
          <w:lang w:eastAsia="ja-JP"/>
        </w:rPr>
        <w:t xml:space="preserve">) </w:t>
      </w:r>
      <w:r>
        <w:rPr>
          <w:rFonts w:eastAsia="MS Mincho" w:cs="Times New Roman"/>
          <w:szCs w:val="24"/>
          <w:lang w:eastAsia="ja-JP"/>
        </w:rPr>
        <w:t xml:space="preserve">не наблюдали. На основании результатов, полученных в исследовании баланса масс, установили, что основная часть (около 65%) введенного препарата присутствует в плазме крови в виде исходного соединения, а остальная – в виде 8 метаболитов. На экспозицию каждым из метаболитов приходилось менее 8% от общей экспозиции, а их потенциал в отношении ингибирования </w:t>
      </w:r>
      <w:r>
        <w:rPr>
          <w:rFonts w:eastAsia="MS Mincho" w:cs="Times New Roman"/>
          <w:szCs w:val="24"/>
          <w:lang w:val="en-US" w:eastAsia="ja-JP"/>
        </w:rPr>
        <w:t>JAK</w:t>
      </w:r>
      <w:r w:rsidRPr="00D33291">
        <w:rPr>
          <w:rFonts w:eastAsia="MS Mincho" w:cs="Times New Roman"/>
          <w:szCs w:val="24"/>
          <w:lang w:eastAsia="ja-JP"/>
        </w:rPr>
        <w:t>1/3</w:t>
      </w:r>
      <w:r>
        <w:rPr>
          <w:rFonts w:eastAsia="MS Mincho" w:cs="Times New Roman"/>
          <w:szCs w:val="24"/>
          <w:lang w:eastAsia="ja-JP"/>
        </w:rPr>
        <w:t xml:space="preserve"> составлял не более 10% от активности исходного соединения. Связывание с белками плазмы крови тофацитиниба умеренное, главным образом с альбумином, несвязанная фракция составляла 0,61. </w:t>
      </w:r>
      <w:r>
        <w:rPr>
          <w:rFonts w:eastAsia="MS Mincho" w:cs="Times New Roman"/>
          <w:szCs w:val="24"/>
          <w:lang w:val="en-US" w:eastAsia="ja-JP"/>
        </w:rPr>
        <w:t>V</w:t>
      </w:r>
      <w:r>
        <w:rPr>
          <w:rFonts w:eastAsia="MS Mincho" w:cs="Times New Roman"/>
          <w:szCs w:val="24"/>
          <w:vertAlign w:val="subscript"/>
          <w:lang w:val="en-US" w:eastAsia="ja-JP"/>
        </w:rPr>
        <w:t>ss</w:t>
      </w:r>
      <w:r w:rsidRPr="0030196D">
        <w:rPr>
          <w:rFonts w:eastAsia="MS Mincho" w:cs="Times New Roman"/>
          <w:szCs w:val="24"/>
          <w:lang w:eastAsia="ja-JP"/>
        </w:rPr>
        <w:t xml:space="preserve"> </w:t>
      </w:r>
      <w:r>
        <w:rPr>
          <w:rFonts w:eastAsia="MS Mincho" w:cs="Times New Roman"/>
          <w:szCs w:val="24"/>
          <w:lang w:eastAsia="ja-JP"/>
        </w:rPr>
        <w:t xml:space="preserve">после внутривенного введения тофацитиниба в дозе 10 мг здоровым добровольцам составлял около 87 л, что свидетельствовало об экстенсивном распределении в ткани. Значение </w:t>
      </w:r>
      <w:r>
        <w:rPr>
          <w:rFonts w:eastAsia="MS Mincho" w:cs="Times New Roman"/>
          <w:szCs w:val="24"/>
          <w:lang w:val="en-US" w:eastAsia="ja-JP"/>
        </w:rPr>
        <w:t>T</w:t>
      </w:r>
      <w:r w:rsidRPr="00520214">
        <w:rPr>
          <w:rFonts w:eastAsia="MS Mincho" w:cs="Times New Roman"/>
          <w:szCs w:val="24"/>
          <w:vertAlign w:val="subscript"/>
          <w:lang w:eastAsia="ja-JP"/>
        </w:rPr>
        <w:t>1/2</w:t>
      </w:r>
      <w:r>
        <w:rPr>
          <w:rFonts w:eastAsia="MS Mincho" w:cs="Times New Roman"/>
          <w:szCs w:val="24"/>
          <w:vertAlign w:val="subscript"/>
          <w:lang w:val="en-US" w:eastAsia="ja-JP"/>
        </w:rPr>
        <w:t>β</w:t>
      </w:r>
      <w:r w:rsidRPr="00520214">
        <w:rPr>
          <w:rFonts w:eastAsia="MS Mincho" w:cs="Times New Roman"/>
          <w:szCs w:val="24"/>
          <w:lang w:eastAsia="ja-JP"/>
        </w:rPr>
        <w:t xml:space="preserve"> </w:t>
      </w:r>
      <w:r>
        <w:rPr>
          <w:rFonts w:eastAsia="MS Mincho" w:cs="Times New Roman"/>
          <w:szCs w:val="24"/>
          <w:lang w:eastAsia="ja-JP"/>
        </w:rPr>
        <w:t xml:space="preserve">составляло около 3 ч. При использовании 2 раза в день равновесное состояние достигалось в течение 24–48 ч с несущественной кумуляцией. Метаболизм являлся основным путем выведения тофацитиниба, осуществлялся главным образом с участием </w:t>
      </w:r>
      <w:r>
        <w:rPr>
          <w:rFonts w:eastAsia="MS Mincho" w:cs="Times New Roman"/>
          <w:szCs w:val="24"/>
          <w:lang w:val="en-US" w:eastAsia="ja-JP"/>
        </w:rPr>
        <w:t>CYP</w:t>
      </w:r>
      <w:r w:rsidRPr="005272B2">
        <w:rPr>
          <w:rFonts w:eastAsia="MS Mincho" w:cs="Times New Roman"/>
          <w:szCs w:val="24"/>
          <w:lang w:eastAsia="ja-JP"/>
        </w:rPr>
        <w:t>3</w:t>
      </w:r>
      <w:r>
        <w:rPr>
          <w:rFonts w:eastAsia="MS Mincho" w:cs="Times New Roman"/>
          <w:szCs w:val="24"/>
          <w:lang w:val="en-US" w:eastAsia="ja-JP"/>
        </w:rPr>
        <w:t>A</w:t>
      </w:r>
      <w:r w:rsidRPr="005272B2">
        <w:rPr>
          <w:rFonts w:eastAsia="MS Mincho" w:cs="Times New Roman"/>
          <w:szCs w:val="24"/>
          <w:lang w:eastAsia="ja-JP"/>
        </w:rPr>
        <w:t>4</w:t>
      </w:r>
      <w:r>
        <w:rPr>
          <w:rFonts w:eastAsia="MS Mincho" w:cs="Times New Roman"/>
          <w:szCs w:val="24"/>
          <w:lang w:eastAsia="ja-JP"/>
        </w:rPr>
        <w:t xml:space="preserve"> и незначительным участием </w:t>
      </w:r>
      <w:r>
        <w:rPr>
          <w:rFonts w:eastAsia="MS Mincho" w:cs="Times New Roman"/>
          <w:szCs w:val="24"/>
          <w:lang w:val="en-US" w:eastAsia="ja-JP"/>
        </w:rPr>
        <w:t>CYP</w:t>
      </w:r>
      <w:r>
        <w:rPr>
          <w:rFonts w:eastAsia="MS Mincho" w:cs="Times New Roman"/>
          <w:szCs w:val="24"/>
          <w:lang w:eastAsia="ja-JP"/>
        </w:rPr>
        <w:t xml:space="preserve">2С19. Около 80% от дозы выводилось с мочой, 29% в виде неизмененного соединения, а 51% в виде метаболитов. Выведение с фекалиями было несущественным и составляло около 20% от дозы (7% в виде исходного соединения, 13% в виде метаболитов). Тофацитиниб не ингибировал </w:t>
      </w:r>
      <w:r>
        <w:rPr>
          <w:rFonts w:eastAsia="MS Mincho" w:cs="Times New Roman"/>
          <w:szCs w:val="24"/>
          <w:lang w:val="en-US" w:eastAsia="ja-JP"/>
        </w:rPr>
        <w:t>CYP</w:t>
      </w:r>
      <w:r>
        <w:rPr>
          <w:rFonts w:eastAsia="MS Mincho" w:cs="Times New Roman"/>
          <w:szCs w:val="24"/>
          <w:lang w:eastAsia="ja-JP"/>
        </w:rPr>
        <w:t>1</w:t>
      </w:r>
      <w:r>
        <w:rPr>
          <w:rFonts w:eastAsia="MS Mincho" w:cs="Times New Roman"/>
          <w:szCs w:val="24"/>
          <w:lang w:val="en-US" w:eastAsia="ja-JP"/>
        </w:rPr>
        <w:t>A</w:t>
      </w:r>
      <w:r w:rsidRPr="00600FD5">
        <w:rPr>
          <w:rFonts w:eastAsia="MS Mincho" w:cs="Times New Roman"/>
          <w:szCs w:val="24"/>
          <w:lang w:eastAsia="ja-JP"/>
        </w:rPr>
        <w:t>2, 2</w:t>
      </w:r>
      <w:r>
        <w:rPr>
          <w:rFonts w:eastAsia="MS Mincho" w:cs="Times New Roman"/>
          <w:szCs w:val="24"/>
          <w:lang w:val="en-US" w:eastAsia="ja-JP"/>
        </w:rPr>
        <w:t>B</w:t>
      </w:r>
      <w:r w:rsidRPr="00600FD5">
        <w:rPr>
          <w:rFonts w:eastAsia="MS Mincho" w:cs="Times New Roman"/>
          <w:szCs w:val="24"/>
          <w:lang w:eastAsia="ja-JP"/>
        </w:rPr>
        <w:t>6, 2</w:t>
      </w:r>
      <w:r>
        <w:rPr>
          <w:rFonts w:eastAsia="MS Mincho" w:cs="Times New Roman"/>
          <w:szCs w:val="24"/>
          <w:lang w:val="en-US" w:eastAsia="ja-JP"/>
        </w:rPr>
        <w:t>C</w:t>
      </w:r>
      <w:r w:rsidRPr="00600FD5">
        <w:rPr>
          <w:rFonts w:eastAsia="MS Mincho" w:cs="Times New Roman"/>
          <w:szCs w:val="24"/>
          <w:lang w:eastAsia="ja-JP"/>
        </w:rPr>
        <w:t>8, 2</w:t>
      </w:r>
      <w:r>
        <w:rPr>
          <w:rFonts w:eastAsia="MS Mincho" w:cs="Times New Roman"/>
          <w:szCs w:val="24"/>
          <w:lang w:val="en-US" w:eastAsia="ja-JP"/>
        </w:rPr>
        <w:t>C</w:t>
      </w:r>
      <w:r w:rsidRPr="00600FD5">
        <w:rPr>
          <w:rFonts w:eastAsia="MS Mincho" w:cs="Times New Roman"/>
          <w:szCs w:val="24"/>
          <w:lang w:eastAsia="ja-JP"/>
        </w:rPr>
        <w:t>9, 2</w:t>
      </w:r>
      <w:r>
        <w:rPr>
          <w:rFonts w:eastAsia="MS Mincho" w:cs="Times New Roman"/>
          <w:szCs w:val="24"/>
          <w:lang w:val="en-US" w:eastAsia="ja-JP"/>
        </w:rPr>
        <w:t>C</w:t>
      </w:r>
      <w:r w:rsidRPr="00600FD5">
        <w:rPr>
          <w:rFonts w:eastAsia="MS Mincho" w:cs="Times New Roman"/>
          <w:szCs w:val="24"/>
          <w:lang w:eastAsia="ja-JP"/>
        </w:rPr>
        <w:t xml:space="preserve">19, </w:t>
      </w:r>
      <w:r w:rsidRPr="00D3152F">
        <w:rPr>
          <w:rFonts w:eastAsia="MS Mincho" w:cs="Times New Roman"/>
          <w:szCs w:val="24"/>
          <w:lang w:eastAsia="ja-JP"/>
        </w:rPr>
        <w:t>2</w:t>
      </w:r>
      <w:r>
        <w:rPr>
          <w:rFonts w:eastAsia="MS Mincho" w:cs="Times New Roman"/>
          <w:szCs w:val="24"/>
          <w:lang w:val="en-US" w:eastAsia="ja-JP"/>
        </w:rPr>
        <w:t>D</w:t>
      </w:r>
      <w:r w:rsidRPr="00D3152F">
        <w:rPr>
          <w:rFonts w:eastAsia="MS Mincho" w:cs="Times New Roman"/>
          <w:szCs w:val="24"/>
          <w:lang w:eastAsia="ja-JP"/>
        </w:rPr>
        <w:t xml:space="preserve">6 </w:t>
      </w:r>
      <w:r>
        <w:rPr>
          <w:rFonts w:eastAsia="MS Mincho" w:cs="Times New Roman"/>
          <w:szCs w:val="24"/>
          <w:lang w:eastAsia="ja-JP"/>
        </w:rPr>
        <w:t>и</w:t>
      </w:r>
      <w:r w:rsidRPr="00D3152F">
        <w:rPr>
          <w:rFonts w:eastAsia="MS Mincho" w:cs="Times New Roman"/>
          <w:szCs w:val="24"/>
          <w:lang w:eastAsia="ja-JP"/>
        </w:rPr>
        <w:t xml:space="preserve"> 3</w:t>
      </w:r>
      <w:r>
        <w:rPr>
          <w:rFonts w:eastAsia="MS Mincho" w:cs="Times New Roman"/>
          <w:szCs w:val="24"/>
          <w:lang w:val="en-US" w:eastAsia="ja-JP"/>
        </w:rPr>
        <w:t>A</w:t>
      </w:r>
      <w:r w:rsidRPr="00D3152F">
        <w:rPr>
          <w:rFonts w:eastAsia="MS Mincho" w:cs="Times New Roman"/>
          <w:szCs w:val="24"/>
          <w:lang w:eastAsia="ja-JP"/>
        </w:rPr>
        <w:t>4</w:t>
      </w:r>
      <w:r>
        <w:rPr>
          <w:rFonts w:eastAsia="MS Mincho" w:cs="Times New Roman"/>
          <w:szCs w:val="24"/>
          <w:lang w:eastAsia="ja-JP"/>
        </w:rPr>
        <w:t xml:space="preserve">. Тофацитиниб обладал низким потенциалом в отношении ингибирования </w:t>
      </w:r>
      <w:r>
        <w:rPr>
          <w:rFonts w:eastAsia="MS Mincho" w:cs="Times New Roman"/>
          <w:szCs w:val="24"/>
          <w:lang w:val="en-US" w:eastAsia="ja-JP"/>
        </w:rPr>
        <w:t>P</w:t>
      </w:r>
      <w:r w:rsidRPr="002E0BE7">
        <w:rPr>
          <w:rFonts w:eastAsia="MS Mincho" w:cs="Times New Roman"/>
          <w:szCs w:val="24"/>
          <w:lang w:eastAsia="ja-JP"/>
        </w:rPr>
        <w:t>-</w:t>
      </w:r>
      <w:r>
        <w:rPr>
          <w:rFonts w:eastAsia="MS Mincho" w:cs="Times New Roman"/>
          <w:szCs w:val="24"/>
          <w:lang w:eastAsia="ja-JP"/>
        </w:rPr>
        <w:t xml:space="preserve">гликопротеина, </w:t>
      </w:r>
      <w:r>
        <w:rPr>
          <w:rFonts w:eastAsia="MS Mincho" w:cs="Times New Roman"/>
          <w:szCs w:val="24"/>
          <w:lang w:val="en-US" w:eastAsia="ja-JP"/>
        </w:rPr>
        <w:t>OCT</w:t>
      </w:r>
      <w:r w:rsidRPr="002E0BE7">
        <w:rPr>
          <w:rFonts w:eastAsia="MS Mincho" w:cs="Times New Roman"/>
          <w:szCs w:val="24"/>
          <w:lang w:eastAsia="ja-JP"/>
        </w:rPr>
        <w:t>-2</w:t>
      </w:r>
      <w:r>
        <w:rPr>
          <w:rFonts w:eastAsia="MS Mincho" w:cs="Times New Roman"/>
          <w:szCs w:val="24"/>
          <w:lang w:eastAsia="ja-JP"/>
        </w:rPr>
        <w:t xml:space="preserve">, </w:t>
      </w:r>
      <w:r>
        <w:rPr>
          <w:rFonts w:eastAsia="MS Mincho" w:cs="Times New Roman"/>
          <w:szCs w:val="24"/>
          <w:lang w:val="en-US" w:eastAsia="ja-JP"/>
        </w:rPr>
        <w:t>OATP</w:t>
      </w:r>
      <w:r w:rsidRPr="005747F7">
        <w:rPr>
          <w:rFonts w:eastAsia="MS Mincho" w:cs="Times New Roman"/>
          <w:szCs w:val="24"/>
          <w:lang w:eastAsia="ja-JP"/>
        </w:rPr>
        <w:t>1</w:t>
      </w:r>
      <w:r>
        <w:rPr>
          <w:rFonts w:eastAsia="MS Mincho" w:cs="Times New Roman"/>
          <w:szCs w:val="24"/>
          <w:lang w:val="en-US" w:eastAsia="ja-JP"/>
        </w:rPr>
        <w:t>B</w:t>
      </w:r>
      <w:r w:rsidRPr="005747F7">
        <w:rPr>
          <w:rFonts w:eastAsia="MS Mincho" w:cs="Times New Roman"/>
          <w:szCs w:val="24"/>
          <w:lang w:eastAsia="ja-JP"/>
        </w:rPr>
        <w:t xml:space="preserve">1 </w:t>
      </w:r>
      <w:r>
        <w:rPr>
          <w:rFonts w:eastAsia="MS Mincho" w:cs="Times New Roman"/>
          <w:szCs w:val="24"/>
          <w:lang w:eastAsia="ja-JP"/>
        </w:rPr>
        <w:t xml:space="preserve">и </w:t>
      </w:r>
      <w:r>
        <w:rPr>
          <w:rFonts w:eastAsia="MS Mincho" w:cs="Times New Roman"/>
          <w:szCs w:val="24"/>
          <w:lang w:val="en-US" w:eastAsia="ja-JP"/>
        </w:rPr>
        <w:t>OATP</w:t>
      </w:r>
      <w:r w:rsidRPr="005747F7">
        <w:rPr>
          <w:rFonts w:eastAsia="MS Mincho" w:cs="Times New Roman"/>
          <w:szCs w:val="24"/>
          <w:lang w:eastAsia="ja-JP"/>
        </w:rPr>
        <w:t>1</w:t>
      </w:r>
      <w:r>
        <w:rPr>
          <w:rFonts w:eastAsia="MS Mincho" w:cs="Times New Roman"/>
          <w:szCs w:val="24"/>
          <w:lang w:val="en-US" w:eastAsia="ja-JP"/>
        </w:rPr>
        <w:t>B</w:t>
      </w:r>
      <w:r>
        <w:rPr>
          <w:rFonts w:eastAsia="MS Mincho" w:cs="Times New Roman"/>
          <w:szCs w:val="24"/>
          <w:lang w:eastAsia="ja-JP"/>
        </w:rPr>
        <w:t xml:space="preserve">3. Тофацитиниб не является субстратом </w:t>
      </w:r>
      <w:r>
        <w:rPr>
          <w:rFonts w:eastAsia="MS Mincho" w:cs="Times New Roman"/>
          <w:szCs w:val="24"/>
          <w:lang w:val="en-US" w:eastAsia="ja-JP"/>
        </w:rPr>
        <w:t>BCRP</w:t>
      </w:r>
      <w:r>
        <w:t>.</w:t>
      </w:r>
    </w:p>
    <w:p w14:paraId="3E40C45E" w14:textId="77777777" w:rsidR="00730F80" w:rsidRPr="006A051A" w:rsidRDefault="00730F80" w:rsidP="00730F80">
      <w:pPr>
        <w:pStyle w:val="SDText"/>
        <w:contextualSpacing/>
        <w:rPr>
          <w:color w:val="FF0000"/>
          <w:lang w:eastAsia="ja-JP"/>
        </w:rPr>
      </w:pPr>
      <w:r w:rsidRPr="006A491D">
        <w:rPr>
          <w:color w:val="000000"/>
          <w:lang w:eastAsia="ja-JP"/>
        </w:rPr>
        <w:t xml:space="preserve">Клиническая эффективность </w:t>
      </w:r>
      <w:r w:rsidRPr="006A491D">
        <w:rPr>
          <w:lang w:eastAsia="ja-JP"/>
        </w:rPr>
        <w:t>тофацитиниба</w:t>
      </w:r>
      <w:r w:rsidRPr="006A491D">
        <w:rPr>
          <w:color w:val="000000"/>
          <w:lang w:eastAsia="ja-JP"/>
        </w:rPr>
        <w:t xml:space="preserve"> была изучена в 2 </w:t>
      </w:r>
      <w:r w:rsidRPr="006A491D">
        <w:rPr>
          <w:lang w:eastAsia="ja-JP"/>
        </w:rPr>
        <w:t xml:space="preserve">исследованиях фазы </w:t>
      </w:r>
      <w:r w:rsidRPr="006A491D">
        <w:rPr>
          <w:lang w:val="en-US" w:eastAsia="ja-JP"/>
        </w:rPr>
        <w:t>II</w:t>
      </w:r>
      <w:r w:rsidRPr="006A491D">
        <w:rPr>
          <w:lang w:eastAsia="ja-JP"/>
        </w:rPr>
        <w:t xml:space="preserve"> и 7 исследованиях III и </w:t>
      </w:r>
      <w:r w:rsidRPr="006A491D">
        <w:rPr>
          <w:lang w:val="en-US" w:eastAsia="ja-JP"/>
        </w:rPr>
        <w:t>IIIb</w:t>
      </w:r>
      <w:r w:rsidRPr="006A491D">
        <w:rPr>
          <w:lang w:eastAsia="ja-JP"/>
        </w:rPr>
        <w:t>–</w:t>
      </w:r>
      <w:r w:rsidRPr="006A491D">
        <w:rPr>
          <w:lang w:val="en-US" w:eastAsia="ja-JP"/>
        </w:rPr>
        <w:t>IV</w:t>
      </w:r>
      <w:r w:rsidRPr="006A491D">
        <w:rPr>
          <w:lang w:eastAsia="ja-JP"/>
        </w:rPr>
        <w:t xml:space="preserve"> фаз</w:t>
      </w:r>
      <w:r>
        <w:rPr>
          <w:lang w:eastAsia="ja-JP"/>
        </w:rPr>
        <w:t>,</w:t>
      </w:r>
      <w:r w:rsidRPr="006A491D">
        <w:rPr>
          <w:color w:val="000000"/>
          <w:lang w:eastAsia="ja-JP"/>
        </w:rPr>
        <w:t xml:space="preserve"> </w:t>
      </w:r>
      <w:r>
        <w:rPr>
          <w:color w:val="000000"/>
          <w:lang w:eastAsia="ja-JP"/>
        </w:rPr>
        <w:t xml:space="preserve">и в ходе одного пострегистрационного исследования </w:t>
      </w:r>
      <w:r w:rsidRPr="006A491D">
        <w:rPr>
          <w:color w:val="000000"/>
          <w:lang w:eastAsia="ja-JP"/>
        </w:rPr>
        <w:t>у пациентов с РА</w:t>
      </w:r>
      <w:r w:rsidRPr="006A491D">
        <w:rPr>
          <w:lang w:eastAsia="ja-JP"/>
        </w:rPr>
        <w:t xml:space="preserve">, в 3 исследованиях </w:t>
      </w:r>
      <w:r>
        <w:rPr>
          <w:lang w:val="en-US" w:eastAsia="ja-JP"/>
        </w:rPr>
        <w:t>III</w:t>
      </w:r>
      <w:r w:rsidRPr="00A95441">
        <w:rPr>
          <w:lang w:eastAsia="ja-JP"/>
        </w:rPr>
        <w:t xml:space="preserve"> </w:t>
      </w:r>
      <w:r>
        <w:rPr>
          <w:lang w:eastAsia="ja-JP"/>
        </w:rPr>
        <w:t xml:space="preserve">фазы </w:t>
      </w:r>
      <w:r w:rsidRPr="006A491D">
        <w:rPr>
          <w:lang w:eastAsia="ja-JP"/>
        </w:rPr>
        <w:t>у пациентов с псориатическим артритом</w:t>
      </w:r>
      <w:r>
        <w:rPr>
          <w:lang w:eastAsia="ja-JP"/>
        </w:rPr>
        <w:t>,</w:t>
      </w:r>
      <w:r w:rsidRPr="006A491D">
        <w:rPr>
          <w:lang w:eastAsia="ja-JP"/>
        </w:rPr>
        <w:t xml:space="preserve"> и в 3 исследованиях </w:t>
      </w:r>
      <w:r>
        <w:rPr>
          <w:lang w:val="en-US" w:eastAsia="ja-JP"/>
        </w:rPr>
        <w:t>III</w:t>
      </w:r>
      <w:r w:rsidRPr="00A95441">
        <w:rPr>
          <w:lang w:eastAsia="ja-JP"/>
        </w:rPr>
        <w:t xml:space="preserve"> </w:t>
      </w:r>
      <w:r>
        <w:rPr>
          <w:lang w:eastAsia="ja-JP"/>
        </w:rPr>
        <w:t xml:space="preserve">фазы </w:t>
      </w:r>
      <w:r w:rsidRPr="006A491D">
        <w:rPr>
          <w:lang w:eastAsia="ja-JP"/>
        </w:rPr>
        <w:t xml:space="preserve">у пациентов с ЯК. Исследования являлись рандомизированными двойными слепыми плацебо контролируемыми, в ряде исследований использовали также препарат активного контроля (адалимумаб). </w:t>
      </w:r>
      <w:r>
        <w:t xml:space="preserve">В исследованиях фаз </w:t>
      </w:r>
      <w:r>
        <w:rPr>
          <w:lang w:val="en-US"/>
        </w:rPr>
        <w:t>II</w:t>
      </w:r>
      <w:r w:rsidRPr="001867FD">
        <w:t xml:space="preserve"> </w:t>
      </w:r>
      <w:r>
        <w:t xml:space="preserve">и </w:t>
      </w:r>
      <w:r>
        <w:rPr>
          <w:lang w:val="en-US"/>
        </w:rPr>
        <w:t>III</w:t>
      </w:r>
      <w:r>
        <w:t xml:space="preserve">, и в открытых неконтролируемых расширенных исследованиях длительностью до 114 мес. приняли участие 4040 пациентов (общая экспозиция 16113 пациенто-лет). </w:t>
      </w:r>
      <w:r>
        <w:rPr>
          <w:lang w:eastAsia="ja-JP"/>
        </w:rPr>
        <w:t xml:space="preserve">В указанных исследованиях установили, что терапия тофацитинибом приводит к повышению частоты достижения ответа согласно критериям </w:t>
      </w:r>
      <w:r>
        <w:rPr>
          <w:lang w:val="en-US" w:eastAsia="ja-JP"/>
        </w:rPr>
        <w:t>ACR</w:t>
      </w:r>
      <w:r>
        <w:rPr>
          <w:lang w:eastAsia="ja-JP"/>
        </w:rPr>
        <w:t xml:space="preserve">, улучшению функции суставов, снижению выраженности структурных изменений и улучшению качества жизни. В ходе исследования фазы </w:t>
      </w:r>
      <w:r>
        <w:rPr>
          <w:lang w:val="en-US" w:eastAsia="ja-JP"/>
        </w:rPr>
        <w:t>III</w:t>
      </w:r>
      <w:r w:rsidRPr="00E00E97">
        <w:rPr>
          <w:lang w:eastAsia="ja-JP"/>
        </w:rPr>
        <w:t xml:space="preserve"> </w:t>
      </w:r>
      <w:r>
        <w:rPr>
          <w:lang w:eastAsia="ja-JP"/>
        </w:rPr>
        <w:t xml:space="preserve">установили, что лечение тофацитинибом ассоциируется с улучшением ответа по критериям </w:t>
      </w:r>
      <w:r>
        <w:rPr>
          <w:lang w:val="en-US" w:eastAsia="ja-JP"/>
        </w:rPr>
        <w:t>ACR</w:t>
      </w:r>
      <w:r>
        <w:rPr>
          <w:lang w:eastAsia="ja-JP"/>
        </w:rPr>
        <w:t xml:space="preserve"> и снижением инвалидизации у пациентов с ЮИА, в котором приняли участие пациенты с ювенильным псориатическим артритом. </w:t>
      </w:r>
      <w:r>
        <w:t xml:space="preserve">Кроме того, в двух рандомизированных двойных слепых плацебо-контролируемых исследованиях </w:t>
      </w:r>
      <w:r w:rsidRPr="008033B4">
        <w:t>PsA-I (OPAL BROADEN) и PsA-II (OPAL BEYOND)</w:t>
      </w:r>
      <w:r w:rsidRPr="0012475E">
        <w:t xml:space="preserve"> </w:t>
      </w:r>
      <w:r>
        <w:t xml:space="preserve">с участием пациентов с псориатическим артритом с </w:t>
      </w:r>
      <w:r w:rsidRPr="0012475E">
        <w:t>неадекватны</w:t>
      </w:r>
      <w:r>
        <w:t>м</w:t>
      </w:r>
      <w:r w:rsidRPr="0012475E">
        <w:t xml:space="preserve"> ответ</w:t>
      </w:r>
      <w:r>
        <w:t>ом</w:t>
      </w:r>
      <w:r w:rsidRPr="0012475E">
        <w:t xml:space="preserve"> на традиционные сБМАРП </w:t>
      </w:r>
      <w:r>
        <w:t xml:space="preserve">или </w:t>
      </w:r>
      <w:r w:rsidRPr="00CC7734">
        <w:t>ингибитор</w:t>
      </w:r>
      <w:r>
        <w:t>ы</w:t>
      </w:r>
      <w:r w:rsidRPr="00CC7734">
        <w:t xml:space="preserve"> TNF-α </w:t>
      </w:r>
      <w:r>
        <w:t xml:space="preserve">соответственно определили, что прием тофацитиниба улучшает признаки и симптомы заболевания согласно критериям </w:t>
      </w:r>
      <w:r>
        <w:rPr>
          <w:lang w:val="en-US" w:eastAsia="ja-JP"/>
        </w:rPr>
        <w:t>ACR</w:t>
      </w:r>
      <w:r>
        <w:rPr>
          <w:lang w:eastAsia="ja-JP"/>
        </w:rPr>
        <w:t>, физическое функционирование</w:t>
      </w:r>
      <w:r>
        <w:t xml:space="preserve"> и качество жизни </w:t>
      </w:r>
      <w:r>
        <w:fldChar w:fldCharType="begin"/>
      </w:r>
      <w:r>
        <w:instrText xml:space="preserve"> ADDIN ZOTERO_ITEM CSL_CITATION {"citationID":"izds7SlC","properties":{"formattedCitation":"[24]","plainCitation":"[24]","noteIndex":0},"citationItems":[{"id":87800,"uris":["http://zotero.org/groups/4742804/items/TPCQ89X9"],"itemData":{"id":87800,"type":"webpage","title":"Xeljanz : EPAR - Product Information","URL":"https://www.ema.europa.eu/en/documents/product-information/xeljanz-epar-product-information_en.pdf","author":[{"family":"EMA","given":""}],"accessed":{"date-parts":[["2022",8,3]]}}}],"schema":"https://github.com/citation-style-language/schema/raw/master/csl-citation.json"} </w:instrText>
      </w:r>
      <w:r>
        <w:fldChar w:fldCharType="separate"/>
      </w:r>
      <w:r w:rsidRPr="008D5290">
        <w:rPr>
          <w:rFonts w:cs="Times New Roman"/>
        </w:rPr>
        <w:t>[24]</w:t>
      </w:r>
      <w:r>
        <w:fldChar w:fldCharType="end"/>
      </w:r>
      <w:r>
        <w:t>.</w:t>
      </w:r>
      <w:r w:rsidRPr="002707EB">
        <w:t xml:space="preserve"> </w:t>
      </w:r>
      <w:r>
        <w:t>В 2 исследованиях по оценке эффективности индукции ремиссии и 1 исследовании по поддержанию ремиссии у пациентов с ЯК определили более высокую частоту достижения и поддержания ремиссии на фоне терапии тофацитинибом, чем при использовании плацебо, а также улучшение качества жизни.</w:t>
      </w:r>
    </w:p>
    <w:p w14:paraId="55BA2184" w14:textId="3B643DED" w:rsidR="00730F80" w:rsidRDefault="00730F80" w:rsidP="00730F80">
      <w:pPr>
        <w:pStyle w:val="SDText"/>
        <w:contextualSpacing/>
      </w:pPr>
      <w:r>
        <w:lastRenderedPageBreak/>
        <w:t xml:space="preserve">Наиболее частые НР в течение первых 3 мес. двойных слепых плацебо-контролируемых или с активным контролем (метотрексат) исследований с участием пациентов с РА, АС и псориатическим артритом включали головную боль, инфекции верхних дыхательных путей, вирусные инфекции верхних дыхательных путей, диарею, тошноту и АГ. Наиболее частыми НР на фоне использования тофацитиниба в дозе 10 мг 2 раза в день в исследования индукции ремиссии у пациентов с ЯК являлись головная боль, назофарингит, тошнота и артралгия. В двойном слепом периоде исследования </w:t>
      </w:r>
      <w:r w:rsidRPr="00FB022D">
        <w:t>A3921104</w:t>
      </w:r>
      <w:r>
        <w:t xml:space="preserve"> фазы </w:t>
      </w:r>
      <w:r>
        <w:rPr>
          <w:lang w:val="en-US"/>
        </w:rPr>
        <w:t>III</w:t>
      </w:r>
      <w:r>
        <w:t xml:space="preserve"> наиболее частые НР относились к инфекциям (44,3%). </w:t>
      </w:r>
      <w:r w:rsidRPr="00FF31EF">
        <w:t xml:space="preserve">Наиболее частыми серьезными </w:t>
      </w:r>
      <w:r>
        <w:t>НР</w:t>
      </w:r>
      <w:r w:rsidRPr="00FF31EF">
        <w:t xml:space="preserve"> </w:t>
      </w:r>
      <w:r>
        <w:t xml:space="preserve">в исследованиях с участием пациентов с РА </w:t>
      </w:r>
      <w:r w:rsidRPr="00FF31EF">
        <w:t>были серьезные инфекции</w:t>
      </w:r>
      <w:r>
        <w:t>. Более высокую частоту тяжелых инфекций у пациентов с РА отмечали для таблеток с пролонгированным высвобождением с дозировкой 11 мг, принимаемых один раз в день, чем для таблеток, покрытых пленочной оболочкой, с дозировкой 5 мг, принимаемых 2 раза в день. Заболеваемость опоясывающим лишаем среди пациентов с ЯК, получавших тофацитиниб, была выше, а заболеваемость тяжелыми инфекциями, оппортунистическими инфекциями, НМРК, ТЭЛА и ТГВ – ниже, чем у больных, получавших</w:t>
      </w:r>
      <w:r w:rsidRPr="009226D8">
        <w:t xml:space="preserve"> </w:t>
      </w:r>
      <w:r>
        <w:t xml:space="preserve">ингибиторы </w:t>
      </w:r>
      <w:r w:rsidRPr="008E502D">
        <w:rPr>
          <w:lang w:val="en-US"/>
        </w:rPr>
        <w:t>TNF</w:t>
      </w:r>
      <w:r>
        <w:t>-</w:t>
      </w:r>
      <w:r>
        <w:rPr>
          <w:rFonts w:cs="Times New Roman"/>
        </w:rPr>
        <w:t>α</w:t>
      </w:r>
      <w:r>
        <w:t xml:space="preserve">. У пациентов с РА в возрасте 50 лет и старше наблюдали дозозависимое повышение частоты ВТЭ у пациентов, получавших тофацитиниб, по сравнению с ингибиторами </w:t>
      </w:r>
      <w:r>
        <w:rPr>
          <w:lang w:val="en-US"/>
        </w:rPr>
        <w:t>TNF</w:t>
      </w:r>
      <w:r w:rsidRPr="00A25A33">
        <w:t>-</w:t>
      </w:r>
      <w:r>
        <w:rPr>
          <w:rFonts w:cs="Times New Roman"/>
        </w:rPr>
        <w:t>α</w:t>
      </w:r>
      <w:r>
        <w:t>.</w:t>
      </w:r>
      <w:r w:rsidRPr="0021327A">
        <w:t xml:space="preserve"> </w:t>
      </w:r>
      <w:r>
        <w:t xml:space="preserve">В другом исследовании риск развития ВТЭ у пациентов с РА, получающих тофацитиниб, был статистически незначимо выше, по сравнению с пациентами, получающими ингибиторы </w:t>
      </w:r>
      <w:r w:rsidRPr="002D3746">
        <w:t>TNF-α</w:t>
      </w:r>
      <w:r>
        <w:t xml:space="preserve">. У пациентов с РА в возрасте 50 лет и старше, получавших тофацитиниб, наблюдали увеличение частоты риска нефатального инфаркта миокарда, новообразований, исключая НМРК, особенно рака легких и лимфомы, и смертности, которая в основном была связана с сердечно-сосудистыми событиями, инфекциями и злокачественными новообразованиями по сравнению с ингибиторами </w:t>
      </w:r>
      <w:r>
        <w:rPr>
          <w:lang w:val="en-US"/>
        </w:rPr>
        <w:t>TNF</w:t>
      </w:r>
      <w:r w:rsidRPr="002709C8">
        <w:t>-</w:t>
      </w:r>
      <w:r>
        <w:rPr>
          <w:rFonts w:cs="Times New Roman"/>
          <w:lang w:val="en-US"/>
        </w:rPr>
        <w:t>α</w:t>
      </w:r>
      <w:r>
        <w:t>.</w:t>
      </w:r>
    </w:p>
    <w:p w14:paraId="60A496D9" w14:textId="77777777" w:rsidR="00730F80" w:rsidRDefault="00730F80" w:rsidP="00730F80">
      <w:pPr>
        <w:pStyle w:val="SDText"/>
        <w:contextualSpacing/>
      </w:pPr>
      <w:r>
        <w:t>В ходе пострегистрационных исследований установили, что примерно у трети пациентов с РА можно прекратить прием тофацитиниба без риска обострения. Низкий уровень РФ является прогностическим фактором для возможности сохранения низкой активности заболевания после прекращения приема тофацитиниба.</w:t>
      </w:r>
      <w:r w:rsidRPr="004022CE">
        <w:t xml:space="preserve"> </w:t>
      </w:r>
      <w:r>
        <w:t>Однако после достижения ремиссии или низкой активности заболевания стратегия снижения дозы предпочтительнее немедленной отмены тофацитиниба. Возобновление исходного режима в случаях обострения может восстановить контроль над РА.</w:t>
      </w:r>
      <w:r w:rsidRPr="00EA3DCB">
        <w:t xml:space="preserve"> </w:t>
      </w:r>
      <w:r>
        <w:t>У пациентов с РА установлено улучшение приверженности</w:t>
      </w:r>
      <w:r w:rsidRPr="006C12EE">
        <w:t xml:space="preserve"> </w:t>
      </w:r>
      <w:r>
        <w:t>к терапии и по крайней мере сопоставимая эффективность при использовании тофацитиниба MR по сравнению с IR в течение</w:t>
      </w:r>
      <w:r w:rsidRPr="006C12EE">
        <w:t xml:space="preserve"> </w:t>
      </w:r>
      <w:r>
        <w:t>12 мес., особенно у пациентов без</w:t>
      </w:r>
      <w:r w:rsidRPr="006C12EE">
        <w:t xml:space="preserve"> </w:t>
      </w:r>
      <w:r>
        <w:t>предшествующей расширенной терапии. Установлена не меньшая эффективность тофацитиниба MR по сравнению с IR, продемонстрированная по CDAI через</w:t>
      </w:r>
      <w:r w:rsidRPr="006C12EE">
        <w:t xml:space="preserve"> </w:t>
      </w:r>
      <w:r>
        <w:t>6 мес.; надежность этих результатов была подтверждена с использованием всех</w:t>
      </w:r>
      <w:r w:rsidRPr="006C12EE">
        <w:t xml:space="preserve"> </w:t>
      </w:r>
      <w:r>
        <w:t>множественных анализов чувствительности.</w:t>
      </w:r>
    </w:p>
    <w:p w14:paraId="253BF121" w14:textId="77777777" w:rsidR="00730F80" w:rsidRPr="00DB49BC" w:rsidRDefault="00730F80" w:rsidP="00730F80">
      <w:pPr>
        <w:pStyle w:val="SDText"/>
        <w:contextualSpacing/>
      </w:pPr>
      <w:r>
        <w:t>У пациентов с псориатическим артритом тофацитиниб имел профиль безопасности, сходный с профилями других препаратов системной терапии в ходе применения в клинических условиях, за исключением риска опоясывающего лишая, известного риска для тофацитиниба.</w:t>
      </w:r>
      <w:r w:rsidRPr="00D96564">
        <w:t xml:space="preserve"> </w:t>
      </w:r>
      <w:r>
        <w:t xml:space="preserve">В ходе изучения возможности применения тофацитиниба у пациентов с другими нозологиями установили, что ингибирование JAK посредством местной доставки потенциально является многообещающей терапевтической мишенью при лечении пациентов с атопическим дерматитом, предполагает безопасность и улучшение кардиометаболических и иммунологических показателей, связанных с преждевременным атеросклерозом при СКВ, а также снижение риска смерти или дыхательной </w:t>
      </w:r>
      <w:r>
        <w:lastRenderedPageBreak/>
        <w:t>недостаточности у пациентов с Covid-19, или более выраженное снижение маркеров воспаления, по сравнению с группой стандартной терапии.</w:t>
      </w:r>
    </w:p>
    <w:p w14:paraId="079E40DB" w14:textId="77777777" w:rsidR="00730F80" w:rsidRPr="00F653DD" w:rsidRDefault="00730F80" w:rsidP="00730F80">
      <w:pPr>
        <w:pStyle w:val="SDText"/>
        <w:contextualSpacing/>
        <w:rPr>
          <w:b/>
          <w:bCs/>
        </w:rPr>
      </w:pPr>
      <w:r w:rsidRPr="009F25CF">
        <w:rPr>
          <w:b/>
          <w:bCs/>
        </w:rPr>
        <w:t>Оценка</w:t>
      </w:r>
      <w:r w:rsidRPr="00F653DD">
        <w:rPr>
          <w:b/>
          <w:bCs/>
        </w:rPr>
        <w:t xml:space="preserve"> </w:t>
      </w:r>
      <w:r w:rsidRPr="009F25CF">
        <w:rPr>
          <w:b/>
          <w:bCs/>
        </w:rPr>
        <w:t>пользы</w:t>
      </w:r>
    </w:p>
    <w:p w14:paraId="5D2AB812" w14:textId="77777777" w:rsidR="00730F80" w:rsidRPr="00AD6976" w:rsidRDefault="00730F80" w:rsidP="00730F80">
      <w:pPr>
        <w:pStyle w:val="SDText"/>
        <w:contextualSpacing/>
      </w:pPr>
      <w:r w:rsidRPr="00AD6976">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p>
    <w:p w14:paraId="4AE47250" w14:textId="77777777" w:rsidR="00730F80" w:rsidRPr="00D7657D" w:rsidRDefault="00730F80" w:rsidP="00730F80">
      <w:pPr>
        <w:pStyle w:val="SDText"/>
        <w:contextualSpacing/>
        <w:rPr>
          <w:b/>
          <w:bCs/>
        </w:rPr>
      </w:pPr>
      <w:r w:rsidRPr="009F25CF">
        <w:rPr>
          <w:b/>
          <w:bCs/>
        </w:rPr>
        <w:t>Оценка</w:t>
      </w:r>
      <w:r w:rsidRPr="00D7657D">
        <w:rPr>
          <w:b/>
          <w:bCs/>
        </w:rPr>
        <w:t xml:space="preserve"> </w:t>
      </w:r>
      <w:r w:rsidRPr="009F25CF">
        <w:rPr>
          <w:b/>
          <w:bCs/>
        </w:rPr>
        <w:t>риска</w:t>
      </w:r>
    </w:p>
    <w:p w14:paraId="390256DB" w14:textId="3E5524A5" w:rsidR="00730F80" w:rsidRDefault="00730F80" w:rsidP="00667007">
      <w:pPr>
        <w:pStyle w:val="SDText"/>
        <w:spacing w:after="0"/>
        <w:contextualSpacing/>
      </w:pPr>
      <w:r w:rsidRPr="00D7657D">
        <w:t>Риск применения ис</w:t>
      </w:r>
      <w:r>
        <w:t>следуемого</w:t>
      </w:r>
      <w:r w:rsidRPr="00D7657D">
        <w:t xml:space="preserve"> препарата </w:t>
      </w:r>
      <w:r w:rsidR="00276BA6" w:rsidRPr="00005F66">
        <w:rPr>
          <w:lang w:val="en-US"/>
        </w:rPr>
        <w:t>DT</w:t>
      </w:r>
      <w:r w:rsidR="00276BA6" w:rsidRPr="00005F66">
        <w:t>-</w:t>
      </w:r>
      <w:r w:rsidR="00276BA6" w:rsidRPr="00005F66">
        <w:rPr>
          <w:lang w:val="en-US"/>
        </w:rPr>
        <w:t>TFC</w:t>
      </w:r>
      <w:r w:rsidR="00276BA6" w:rsidRPr="00364071">
        <w:t>,</w:t>
      </w:r>
      <w:r w:rsidRPr="00D7657D">
        <w:t xml:space="preserve"> как и оригинального препарата Я</w:t>
      </w:r>
      <w:r>
        <w:t>квинус</w:t>
      </w:r>
      <w:r w:rsidRPr="00BF5811">
        <w:rPr>
          <w:vertAlign w:val="superscript"/>
        </w:rPr>
        <w:t>®</w:t>
      </w:r>
      <w:r w:rsidRPr="00D7657D">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препаратов </w:t>
      </w:r>
      <w:r>
        <w:t>тофацитиниба</w:t>
      </w:r>
      <w:r w:rsidRPr="00D7657D">
        <w:t xml:space="preserve"> у пациентов в монот</w:t>
      </w:r>
      <w:r>
        <w:t>е</w:t>
      </w:r>
      <w:r w:rsidRPr="00D7657D">
        <w:t>рапии и при пострегистрационном наблюдении).</w:t>
      </w:r>
    </w:p>
    <w:p w14:paraId="4C027277" w14:textId="508B24ED" w:rsidR="00667007" w:rsidRDefault="00667007" w:rsidP="00667007">
      <w:pPr>
        <w:spacing w:after="0"/>
        <w:contextualSpacing/>
      </w:pPr>
      <w:r w:rsidRPr="0092765E">
        <w:t>Нежелательные явления перечислены ниже по системно-органным классам и частоте. 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p>
    <w:p w14:paraId="051472C4" w14:textId="77777777" w:rsidR="00667007" w:rsidRDefault="00667007" w:rsidP="00667007">
      <w:pPr>
        <w:spacing w:after="0"/>
        <w:contextualSpacing/>
      </w:pPr>
    </w:p>
    <w:p w14:paraId="61414611" w14:textId="17A81896" w:rsidR="00667007" w:rsidRDefault="00667007" w:rsidP="00667007">
      <w:pPr>
        <w:pStyle w:val="SDText"/>
        <w:contextualSpacing/>
      </w:pPr>
      <w:r w:rsidRPr="003C34A5">
        <w:rPr>
          <w:bCs/>
          <w:i/>
          <w:iCs/>
        </w:rPr>
        <w:t>Инфекции и инвазии:</w:t>
      </w:r>
      <w:r>
        <w:tab/>
      </w:r>
      <w:r w:rsidRPr="003C34A5">
        <w:rPr>
          <w:rStyle w:val="54"/>
          <w:rFonts w:eastAsiaTheme="minorHAnsi"/>
          <w:b w:val="0"/>
          <w:bCs w:val="0"/>
          <w:i w:val="0"/>
        </w:rPr>
        <w:t>частые</w:t>
      </w:r>
      <w:r>
        <w:rPr>
          <w:rStyle w:val="54"/>
          <w:rFonts w:eastAsiaTheme="minorHAnsi"/>
          <w:b w:val="0"/>
          <w:bCs w:val="0"/>
        </w:rPr>
        <w:t xml:space="preserve"> – </w:t>
      </w:r>
      <w:r w:rsidRPr="005E2161">
        <w:rPr>
          <w:rStyle w:val="55"/>
          <w:rFonts w:eastAsiaTheme="minorHAnsi"/>
          <w:b w:val="0"/>
          <w:bCs w:val="0"/>
          <w:i w:val="0"/>
          <w:iCs w:val="0"/>
        </w:rPr>
        <w:t>пневмония, грипп,</w:t>
      </w:r>
      <w:r>
        <w:t xml:space="preserve"> опоясывающий герпес, инфекции мочевого тракта, синусит, бронхит, назофарингит, фарингит; </w:t>
      </w:r>
      <w:r w:rsidRPr="003C34A5">
        <w:rPr>
          <w:rStyle w:val="23"/>
          <w:rFonts w:eastAsiaTheme="minorHAnsi"/>
          <w:i w:val="0"/>
          <w:sz w:val="24"/>
          <w:szCs w:val="24"/>
        </w:rPr>
        <w:t>нечастые</w:t>
      </w:r>
      <w:r w:rsidRPr="003C34A5">
        <w:rPr>
          <w:rStyle w:val="23"/>
          <w:rFonts w:eastAsiaTheme="minorHAnsi"/>
          <w:i w:val="0"/>
        </w:rPr>
        <w:t xml:space="preserve"> </w:t>
      </w:r>
      <w:r>
        <w:rPr>
          <w:rStyle w:val="54"/>
          <w:rFonts w:eastAsiaTheme="minorHAnsi"/>
          <w:b w:val="0"/>
          <w:bCs w:val="0"/>
        </w:rPr>
        <w:t>–</w:t>
      </w:r>
      <w:r>
        <w:t xml:space="preserve"> туберкулез, дивертикулит, пиелонефрит, воспаление подкожной жировой клетчатки, простой герпес, вирусный гастроэнтерит, вирусная инфекция; </w:t>
      </w:r>
      <w:r w:rsidRPr="003C34A5">
        <w:rPr>
          <w:rStyle w:val="23"/>
          <w:rFonts w:eastAsiaTheme="minorHAnsi"/>
          <w:i w:val="0"/>
          <w:sz w:val="24"/>
          <w:szCs w:val="24"/>
        </w:rPr>
        <w:t>редкие</w:t>
      </w:r>
      <w:r>
        <w:t xml:space="preserve"> </w:t>
      </w:r>
      <w:r>
        <w:rPr>
          <w:rStyle w:val="54"/>
          <w:rFonts w:eastAsiaTheme="minorHAnsi"/>
          <w:b w:val="0"/>
          <w:bCs w:val="0"/>
        </w:rPr>
        <w:t>–</w:t>
      </w:r>
      <w:r w:rsidR="003C34A5">
        <w:rPr>
          <w:rStyle w:val="54"/>
          <w:rFonts w:eastAsiaTheme="minorHAnsi"/>
          <w:b w:val="0"/>
          <w:bCs w:val="0"/>
        </w:rPr>
        <w:t xml:space="preserve"> </w:t>
      </w:r>
      <w:r>
        <w:t>сепсис, туберкулез центральной нервной системы (ЦНС)</w:t>
      </w:r>
      <w:r>
        <w:rPr>
          <w:vertAlign w:val="superscript"/>
        </w:rPr>
        <w:t>а</w:t>
      </w:r>
      <w:r>
        <w:t>, криптококковый менингит</w:t>
      </w:r>
      <w:r w:rsidR="002434E8">
        <w:rPr>
          <w:vertAlign w:val="superscript"/>
        </w:rPr>
        <w:t>а</w:t>
      </w:r>
      <w:r>
        <w:t>, уросепсис</w:t>
      </w:r>
      <w:r w:rsidR="002434E8">
        <w:rPr>
          <w:vertAlign w:val="superscript"/>
        </w:rPr>
        <w:t>а</w:t>
      </w:r>
      <w:r>
        <w:t>, диссеминированный туберкулез, некротизирующий фасциит</w:t>
      </w:r>
      <w:r w:rsidR="002434E8">
        <w:rPr>
          <w:vertAlign w:val="superscript"/>
        </w:rPr>
        <w:t>а</w:t>
      </w:r>
      <w:r>
        <w:t>, бактериемия</w:t>
      </w:r>
      <w:r w:rsidR="002434E8">
        <w:rPr>
          <w:vertAlign w:val="superscript"/>
        </w:rPr>
        <w:t>а</w:t>
      </w:r>
      <w:r>
        <w:t>, стафилококковая бактериемия</w:t>
      </w:r>
      <w:r w:rsidR="002434E8">
        <w:rPr>
          <w:vertAlign w:val="superscript"/>
        </w:rPr>
        <w:t>а</w:t>
      </w:r>
      <w:r>
        <w:t xml:space="preserve">, пневмония, вызванная </w:t>
      </w:r>
      <w:r w:rsidRPr="002434E8">
        <w:rPr>
          <w:rStyle w:val="23"/>
          <w:rFonts w:eastAsiaTheme="minorHAnsi"/>
          <w:sz w:val="24"/>
          <w:szCs w:val="24"/>
          <w:lang w:val="en-US" w:bidi="en-US"/>
        </w:rPr>
        <w:t>Pneumocystis</w:t>
      </w:r>
      <w:r w:rsidRPr="002434E8">
        <w:rPr>
          <w:rStyle w:val="23"/>
          <w:rFonts w:eastAsiaTheme="minorHAnsi"/>
          <w:sz w:val="24"/>
          <w:szCs w:val="24"/>
          <w:lang w:bidi="en-US"/>
        </w:rPr>
        <w:t xml:space="preserve"> </w:t>
      </w:r>
      <w:r w:rsidRPr="002434E8">
        <w:rPr>
          <w:rStyle w:val="23"/>
          <w:rFonts w:eastAsiaTheme="minorHAnsi"/>
          <w:sz w:val="24"/>
          <w:szCs w:val="24"/>
          <w:lang w:val="en-US" w:bidi="en-US"/>
        </w:rPr>
        <w:t>jiroveci</w:t>
      </w:r>
      <w:r w:rsidRPr="00020402">
        <w:rPr>
          <w:rStyle w:val="23"/>
          <w:rFonts w:eastAsiaTheme="minorHAnsi"/>
          <w:lang w:bidi="en-US"/>
        </w:rPr>
        <w:t xml:space="preserve">, </w:t>
      </w:r>
      <w:r>
        <w:t>пневмококковая пневмония</w:t>
      </w:r>
      <w:r w:rsidR="002434E8">
        <w:rPr>
          <w:vertAlign w:val="superscript"/>
        </w:rPr>
        <w:t>а</w:t>
      </w:r>
      <w:r>
        <w:t>, бактериальная пневмония, энцефалит</w:t>
      </w:r>
      <w:r w:rsidR="002434E8">
        <w:rPr>
          <w:vertAlign w:val="superscript"/>
        </w:rPr>
        <w:t>а</w:t>
      </w:r>
      <w:r>
        <w:t>, атипичная инфекция, вызванная микобактериями</w:t>
      </w:r>
      <w:r w:rsidR="002434E8">
        <w:rPr>
          <w:vertAlign w:val="superscript"/>
        </w:rPr>
        <w:t>а</w:t>
      </w:r>
      <w:r>
        <w:t xml:space="preserve">, инфекция, вызванная комплексом </w:t>
      </w:r>
      <w:r w:rsidRPr="002434E8">
        <w:rPr>
          <w:rStyle w:val="23"/>
          <w:rFonts w:eastAsiaTheme="minorHAnsi"/>
          <w:sz w:val="24"/>
          <w:szCs w:val="24"/>
          <w:lang w:val="en-US" w:bidi="en-US"/>
        </w:rPr>
        <w:t>Mycobacterium</w:t>
      </w:r>
      <w:r w:rsidRPr="002434E8">
        <w:rPr>
          <w:rStyle w:val="23"/>
          <w:rFonts w:eastAsiaTheme="minorHAnsi"/>
          <w:sz w:val="24"/>
          <w:szCs w:val="24"/>
          <w:lang w:bidi="en-US"/>
        </w:rPr>
        <w:t xml:space="preserve"> </w:t>
      </w:r>
      <w:r w:rsidRPr="002434E8">
        <w:rPr>
          <w:rStyle w:val="23"/>
          <w:rFonts w:eastAsiaTheme="minorHAnsi"/>
          <w:sz w:val="24"/>
          <w:szCs w:val="24"/>
          <w:lang w:val="en-US" w:bidi="en-US"/>
        </w:rPr>
        <w:t>avium</w:t>
      </w:r>
      <w:r w:rsidR="002434E8">
        <w:rPr>
          <w:vertAlign w:val="superscript"/>
        </w:rPr>
        <w:t>а</w:t>
      </w:r>
      <w:r w:rsidRPr="00020402">
        <w:rPr>
          <w:rStyle w:val="23"/>
          <w:rFonts w:eastAsiaTheme="minorHAnsi"/>
          <w:lang w:bidi="en-US"/>
        </w:rPr>
        <w:t xml:space="preserve">, </w:t>
      </w:r>
      <w:r>
        <w:t>цитомегаловирусная инфекция, бактериальный артрит</w:t>
      </w:r>
      <w:r w:rsidR="00426D55">
        <w:rPr>
          <w:vertAlign w:val="superscript"/>
        </w:rPr>
        <w:t>б</w:t>
      </w:r>
      <w:r>
        <w:t>.</w:t>
      </w:r>
    </w:p>
    <w:p w14:paraId="2029E686" w14:textId="77777777" w:rsidR="00667007" w:rsidRPr="005E2161" w:rsidRDefault="00667007" w:rsidP="00667007">
      <w:pPr>
        <w:pStyle w:val="SDText"/>
        <w:contextualSpacing/>
        <w:rPr>
          <w:b/>
          <w:bCs/>
          <w:i/>
          <w:iCs/>
        </w:rPr>
      </w:pPr>
      <w:r w:rsidRPr="003C34A5">
        <w:rPr>
          <w:bCs/>
          <w:i/>
          <w:iCs/>
        </w:rPr>
        <w:t>Со стороны сердечно-сосудистой системы:</w:t>
      </w:r>
      <w:r w:rsidRPr="003C34A5">
        <w:t xml:space="preserve"> </w:t>
      </w:r>
      <w:r w:rsidRPr="003C34A5">
        <w:rPr>
          <w:rStyle w:val="54"/>
          <w:rFonts w:eastAsiaTheme="minorHAnsi"/>
          <w:b w:val="0"/>
          <w:bCs w:val="0"/>
          <w:i w:val="0"/>
        </w:rPr>
        <w:t>частые</w:t>
      </w:r>
      <w:r w:rsidRPr="003C34A5">
        <w:rPr>
          <w:rStyle w:val="54"/>
          <w:rFonts w:eastAsiaTheme="minorHAnsi"/>
          <w:i w:val="0"/>
          <w:iCs w:val="0"/>
        </w:rPr>
        <w:t xml:space="preserve"> </w:t>
      </w:r>
      <w:r>
        <w:rPr>
          <w:rStyle w:val="54"/>
          <w:rFonts w:eastAsiaTheme="minorHAnsi"/>
          <w:b w:val="0"/>
          <w:bCs w:val="0"/>
        </w:rPr>
        <w:t>–</w:t>
      </w:r>
      <w:r>
        <w:rPr>
          <w:rStyle w:val="55"/>
          <w:rFonts w:eastAsiaTheme="minorHAnsi"/>
        </w:rPr>
        <w:t xml:space="preserve"> </w:t>
      </w:r>
      <w:r w:rsidRPr="005E2161">
        <w:rPr>
          <w:rStyle w:val="55"/>
          <w:rFonts w:eastAsiaTheme="minorHAnsi"/>
          <w:b w:val="0"/>
          <w:bCs w:val="0"/>
          <w:i w:val="0"/>
          <w:iCs w:val="0"/>
        </w:rPr>
        <w:t>повышение артериального давления.</w:t>
      </w:r>
    </w:p>
    <w:p w14:paraId="1DA9C2A0" w14:textId="77777777" w:rsidR="00667007" w:rsidRDefault="00667007" w:rsidP="00667007">
      <w:pPr>
        <w:pStyle w:val="SDText"/>
        <w:contextualSpacing/>
        <w:rPr>
          <w:szCs w:val="24"/>
        </w:rPr>
      </w:pPr>
      <w:r w:rsidRPr="003C34A5">
        <w:rPr>
          <w:rStyle w:val="28"/>
          <w:rFonts w:eastAsiaTheme="majorEastAsia"/>
          <w:b w:val="0"/>
          <w:sz w:val="24"/>
          <w:szCs w:val="24"/>
        </w:rPr>
        <w:t>Со стороны пищеварительной системы:</w:t>
      </w:r>
      <w:r w:rsidRPr="009D36F9">
        <w:rPr>
          <w:rStyle w:val="28"/>
          <w:rFonts w:eastAsiaTheme="majorEastAsia"/>
          <w:sz w:val="24"/>
          <w:szCs w:val="24"/>
        </w:rPr>
        <w:t xml:space="preserve"> </w:t>
      </w:r>
      <w:r w:rsidRPr="003C34A5">
        <w:rPr>
          <w:rStyle w:val="23"/>
          <w:rFonts w:eastAsiaTheme="minorHAnsi"/>
          <w:i w:val="0"/>
          <w:sz w:val="24"/>
          <w:szCs w:val="24"/>
        </w:rPr>
        <w:t xml:space="preserve">частые </w:t>
      </w:r>
      <w:r w:rsidRPr="009D36F9">
        <w:rPr>
          <w:rStyle w:val="54"/>
          <w:rFonts w:eastAsiaTheme="minorHAnsi"/>
          <w:b w:val="0"/>
          <w:bCs w:val="0"/>
          <w:szCs w:val="24"/>
        </w:rPr>
        <w:t>–</w:t>
      </w:r>
      <w:r w:rsidRPr="009D36F9">
        <w:rPr>
          <w:szCs w:val="24"/>
        </w:rPr>
        <w:t xml:space="preserve"> боль в животе, рвота, диарея, тошнота, гастрит, диспепсия.</w:t>
      </w:r>
    </w:p>
    <w:p w14:paraId="211F2303" w14:textId="7608EA41" w:rsidR="00667007" w:rsidRPr="009D36F9" w:rsidRDefault="00667007" w:rsidP="00667007">
      <w:pPr>
        <w:pStyle w:val="SDText"/>
        <w:contextualSpacing/>
        <w:rPr>
          <w:szCs w:val="24"/>
        </w:rPr>
      </w:pPr>
      <w:r w:rsidRPr="003C34A5">
        <w:rPr>
          <w:rStyle w:val="28"/>
          <w:rFonts w:eastAsiaTheme="majorEastAsia"/>
          <w:b w:val="0"/>
          <w:sz w:val="24"/>
          <w:szCs w:val="24"/>
        </w:rPr>
        <w:t>Со стороны обмена веществ:</w:t>
      </w:r>
      <w:r w:rsidRPr="009D36F9">
        <w:rPr>
          <w:rStyle w:val="28"/>
          <w:rFonts w:eastAsiaTheme="majorEastAsia"/>
          <w:sz w:val="24"/>
          <w:szCs w:val="24"/>
        </w:rPr>
        <w:t xml:space="preserve"> </w:t>
      </w:r>
      <w:r w:rsidRPr="003C34A5">
        <w:rPr>
          <w:rStyle w:val="23"/>
          <w:rFonts w:eastAsiaTheme="minorHAnsi"/>
          <w:i w:val="0"/>
          <w:sz w:val="24"/>
          <w:szCs w:val="24"/>
        </w:rPr>
        <w:t>частые</w:t>
      </w:r>
      <w:r w:rsidRPr="009D36F9">
        <w:rPr>
          <w:rStyle w:val="23"/>
          <w:rFonts w:eastAsiaTheme="minorHAnsi"/>
          <w:sz w:val="24"/>
          <w:szCs w:val="24"/>
        </w:rPr>
        <w:t xml:space="preserve"> </w:t>
      </w:r>
      <w:r w:rsidRPr="009D36F9">
        <w:rPr>
          <w:rStyle w:val="54"/>
          <w:rFonts w:eastAsiaTheme="minorHAnsi"/>
          <w:b w:val="0"/>
          <w:bCs w:val="0"/>
          <w:szCs w:val="24"/>
        </w:rPr>
        <w:t>–</w:t>
      </w:r>
      <w:r w:rsidRPr="009D36F9">
        <w:rPr>
          <w:szCs w:val="24"/>
        </w:rPr>
        <w:t xml:space="preserve"> гиперлипидемия; </w:t>
      </w:r>
      <w:r w:rsidRPr="009D36F9">
        <w:rPr>
          <w:rStyle w:val="23"/>
          <w:rFonts w:eastAsiaTheme="minorHAnsi"/>
          <w:sz w:val="24"/>
          <w:szCs w:val="24"/>
        </w:rPr>
        <w:t>нечастые</w:t>
      </w:r>
      <w:r w:rsidRPr="009D36F9">
        <w:rPr>
          <w:szCs w:val="24"/>
        </w:rPr>
        <w:t xml:space="preserve"> </w:t>
      </w:r>
      <w:r w:rsidR="00426D55">
        <w:rPr>
          <w:szCs w:val="24"/>
        </w:rPr>
        <w:t>–</w:t>
      </w:r>
      <w:r w:rsidRPr="009D36F9">
        <w:rPr>
          <w:szCs w:val="24"/>
        </w:rPr>
        <w:t>дислипидемия, дегидратация.</w:t>
      </w:r>
    </w:p>
    <w:p w14:paraId="428EE1C4" w14:textId="77777777" w:rsidR="00667007" w:rsidRPr="005E2161" w:rsidRDefault="00667007" w:rsidP="00667007">
      <w:pPr>
        <w:pStyle w:val="SDText"/>
        <w:contextualSpacing/>
        <w:rPr>
          <w:rStyle w:val="55"/>
          <w:rFonts w:eastAsiaTheme="minorHAnsi"/>
          <w:szCs w:val="24"/>
        </w:rPr>
      </w:pPr>
      <w:r w:rsidRPr="003C34A5">
        <w:rPr>
          <w:bCs/>
          <w:i/>
          <w:iCs/>
        </w:rPr>
        <w:t>Со стороны нервной системы:</w:t>
      </w:r>
      <w:r w:rsidRPr="00EF1DE1">
        <w:t xml:space="preserve"> </w:t>
      </w:r>
      <w:r w:rsidRPr="003C34A5">
        <w:rPr>
          <w:rStyle w:val="54"/>
          <w:rFonts w:eastAsiaTheme="minorHAnsi"/>
          <w:b w:val="0"/>
          <w:bCs w:val="0"/>
          <w:i w:val="0"/>
          <w:szCs w:val="24"/>
        </w:rPr>
        <w:t>частые</w:t>
      </w:r>
      <w:r w:rsidRPr="009D36F9">
        <w:rPr>
          <w:rStyle w:val="54"/>
          <w:rFonts w:eastAsiaTheme="minorHAnsi"/>
          <w:b w:val="0"/>
          <w:bCs w:val="0"/>
          <w:szCs w:val="24"/>
        </w:rPr>
        <w:t xml:space="preserve"> </w:t>
      </w:r>
      <w:r w:rsidRPr="009D36F9">
        <w:rPr>
          <w:rStyle w:val="54"/>
          <w:rFonts w:eastAsiaTheme="minorHAnsi"/>
          <w:b w:val="0"/>
          <w:bCs w:val="0"/>
        </w:rPr>
        <w:t>–</w:t>
      </w:r>
      <w:r w:rsidRPr="005E2161">
        <w:rPr>
          <w:rStyle w:val="55"/>
          <w:rFonts w:eastAsiaTheme="minorHAnsi"/>
          <w:szCs w:val="24"/>
        </w:rPr>
        <w:t xml:space="preserve"> </w:t>
      </w:r>
      <w:r w:rsidRPr="009D36F9">
        <w:rPr>
          <w:rStyle w:val="55"/>
          <w:rFonts w:eastAsiaTheme="minorHAnsi"/>
          <w:b w:val="0"/>
          <w:bCs w:val="0"/>
          <w:i w:val="0"/>
          <w:iCs w:val="0"/>
          <w:szCs w:val="24"/>
        </w:rPr>
        <w:t>головная боль;</w:t>
      </w:r>
      <w:r w:rsidRPr="005E2161">
        <w:rPr>
          <w:rStyle w:val="55"/>
          <w:rFonts w:eastAsiaTheme="minorHAnsi"/>
          <w:szCs w:val="24"/>
        </w:rPr>
        <w:t xml:space="preserve"> </w:t>
      </w:r>
      <w:r w:rsidRPr="009D36F9">
        <w:rPr>
          <w:rStyle w:val="54"/>
          <w:rFonts w:eastAsiaTheme="minorHAnsi"/>
          <w:b w:val="0"/>
          <w:bCs w:val="0"/>
          <w:szCs w:val="24"/>
        </w:rPr>
        <w:t>нечастые</w:t>
      </w:r>
      <w:r w:rsidRPr="009D36F9">
        <w:rPr>
          <w:rStyle w:val="55"/>
          <w:rFonts w:eastAsiaTheme="minorHAnsi"/>
          <w:b w:val="0"/>
          <w:bCs w:val="0"/>
          <w:szCs w:val="24"/>
        </w:rPr>
        <w:t xml:space="preserve"> </w:t>
      </w:r>
      <w:r>
        <w:rPr>
          <w:rStyle w:val="54"/>
          <w:rFonts w:eastAsiaTheme="minorHAnsi"/>
          <w:b w:val="0"/>
          <w:bCs w:val="0"/>
        </w:rPr>
        <w:t>–</w:t>
      </w:r>
      <w:r w:rsidRPr="005E2161">
        <w:rPr>
          <w:rStyle w:val="55"/>
          <w:rFonts w:eastAsiaTheme="minorHAnsi"/>
          <w:szCs w:val="24"/>
        </w:rPr>
        <w:t xml:space="preserve"> </w:t>
      </w:r>
      <w:r w:rsidRPr="009D36F9">
        <w:rPr>
          <w:rStyle w:val="55"/>
          <w:rFonts w:eastAsiaTheme="minorHAnsi"/>
          <w:b w:val="0"/>
          <w:bCs w:val="0"/>
          <w:i w:val="0"/>
          <w:iCs w:val="0"/>
          <w:szCs w:val="24"/>
        </w:rPr>
        <w:t>парестезия.</w:t>
      </w:r>
      <w:r w:rsidRPr="005E2161">
        <w:rPr>
          <w:rStyle w:val="55"/>
          <w:rFonts w:eastAsiaTheme="minorHAnsi"/>
          <w:szCs w:val="24"/>
        </w:rPr>
        <w:t xml:space="preserve"> </w:t>
      </w:r>
    </w:p>
    <w:p w14:paraId="7E77E51B" w14:textId="77777777" w:rsidR="00667007" w:rsidRDefault="00667007" w:rsidP="00667007">
      <w:pPr>
        <w:pStyle w:val="SDText"/>
        <w:contextualSpacing/>
      </w:pPr>
      <w:r w:rsidRPr="003C34A5">
        <w:rPr>
          <w:bCs/>
          <w:i/>
          <w:iCs/>
        </w:rPr>
        <w:t>Психические расстройства:</w:t>
      </w:r>
      <w:r>
        <w:t xml:space="preserve"> </w:t>
      </w:r>
      <w:r w:rsidRPr="003C34A5">
        <w:rPr>
          <w:rStyle w:val="54"/>
          <w:rFonts w:eastAsiaTheme="minorHAnsi"/>
          <w:b w:val="0"/>
          <w:bCs w:val="0"/>
          <w:i w:val="0"/>
          <w:szCs w:val="24"/>
        </w:rPr>
        <w:t>нечастые</w:t>
      </w:r>
      <w:r w:rsidRPr="009D36F9">
        <w:rPr>
          <w:rStyle w:val="54"/>
          <w:rFonts w:eastAsiaTheme="minorHAnsi"/>
          <w:b w:val="0"/>
          <w:bCs w:val="0"/>
        </w:rPr>
        <w:t xml:space="preserve"> –</w:t>
      </w:r>
      <w:r>
        <w:rPr>
          <w:rStyle w:val="55"/>
          <w:rFonts w:eastAsiaTheme="minorHAnsi"/>
        </w:rPr>
        <w:t xml:space="preserve"> </w:t>
      </w:r>
      <w:r w:rsidRPr="009D36F9">
        <w:rPr>
          <w:rStyle w:val="55"/>
          <w:rFonts w:eastAsiaTheme="minorHAnsi"/>
          <w:b w:val="0"/>
          <w:bCs w:val="0"/>
          <w:i w:val="0"/>
          <w:iCs w:val="0"/>
        </w:rPr>
        <w:t>бессонница.</w:t>
      </w:r>
    </w:p>
    <w:p w14:paraId="589D32E5" w14:textId="77777777" w:rsidR="00667007" w:rsidRPr="00EF1DE1" w:rsidRDefault="00667007" w:rsidP="00667007">
      <w:pPr>
        <w:pStyle w:val="SDText"/>
        <w:contextualSpacing/>
      </w:pPr>
      <w:r w:rsidRPr="003C34A5">
        <w:rPr>
          <w:bCs/>
          <w:i/>
          <w:iCs/>
        </w:rPr>
        <w:t>Со стороны скелетно-мышечной системы и соединительной ткани</w:t>
      </w:r>
      <w:r w:rsidRPr="003C34A5">
        <w:t>:</w:t>
      </w:r>
      <w:r w:rsidRPr="00EF1DE1">
        <w:t xml:space="preserve"> </w:t>
      </w:r>
      <w:r w:rsidRPr="003C34A5">
        <w:rPr>
          <w:rStyle w:val="54"/>
          <w:rFonts w:eastAsiaTheme="minorHAnsi"/>
          <w:b w:val="0"/>
          <w:bCs w:val="0"/>
          <w:i w:val="0"/>
          <w:szCs w:val="24"/>
        </w:rPr>
        <w:t>частые</w:t>
      </w:r>
      <w:r w:rsidRPr="009D36F9">
        <w:rPr>
          <w:rStyle w:val="54"/>
          <w:rFonts w:eastAsiaTheme="minorHAnsi"/>
          <w:b w:val="0"/>
          <w:bCs w:val="0"/>
          <w:szCs w:val="24"/>
        </w:rPr>
        <w:t xml:space="preserve"> –</w:t>
      </w:r>
      <w:r w:rsidRPr="00EF1DE1">
        <w:rPr>
          <w:rStyle w:val="54"/>
          <w:rFonts w:eastAsiaTheme="minorHAnsi"/>
          <w:i w:val="0"/>
          <w:iCs w:val="0"/>
          <w:szCs w:val="24"/>
        </w:rPr>
        <w:t xml:space="preserve"> </w:t>
      </w:r>
      <w:r w:rsidRPr="009D36F9">
        <w:rPr>
          <w:rStyle w:val="55"/>
          <w:rFonts w:eastAsiaTheme="minorHAnsi"/>
          <w:b w:val="0"/>
          <w:bCs w:val="0"/>
          <w:i w:val="0"/>
          <w:iCs w:val="0"/>
          <w:szCs w:val="24"/>
        </w:rPr>
        <w:t>артралгии;</w:t>
      </w:r>
      <w:r w:rsidRPr="00EF1DE1">
        <w:rPr>
          <w:rStyle w:val="55"/>
          <w:rFonts w:eastAsiaTheme="minorHAnsi"/>
          <w:szCs w:val="24"/>
        </w:rPr>
        <w:t xml:space="preserve"> </w:t>
      </w:r>
      <w:r w:rsidRPr="003C34A5">
        <w:rPr>
          <w:rStyle w:val="54"/>
          <w:rFonts w:eastAsiaTheme="minorHAnsi"/>
          <w:b w:val="0"/>
          <w:bCs w:val="0"/>
          <w:i w:val="0"/>
          <w:szCs w:val="24"/>
        </w:rPr>
        <w:t xml:space="preserve">нечастые </w:t>
      </w:r>
      <w:r w:rsidRPr="009D36F9">
        <w:rPr>
          <w:rStyle w:val="54"/>
          <w:rFonts w:eastAsiaTheme="minorHAnsi"/>
          <w:b w:val="0"/>
          <w:bCs w:val="0"/>
          <w:szCs w:val="24"/>
        </w:rPr>
        <w:t>–</w:t>
      </w:r>
      <w:r w:rsidRPr="00EF1DE1">
        <w:rPr>
          <w:rStyle w:val="55"/>
          <w:rFonts w:eastAsiaTheme="minorHAnsi"/>
          <w:szCs w:val="24"/>
        </w:rPr>
        <w:t xml:space="preserve"> </w:t>
      </w:r>
      <w:r w:rsidRPr="009D36F9">
        <w:rPr>
          <w:rStyle w:val="55"/>
          <w:rFonts w:eastAsiaTheme="minorHAnsi"/>
          <w:b w:val="0"/>
          <w:bCs w:val="0"/>
          <w:i w:val="0"/>
          <w:iCs w:val="0"/>
          <w:szCs w:val="24"/>
        </w:rPr>
        <w:t>боль в мышцах и костях, отек суставов, тендинит.</w:t>
      </w:r>
    </w:p>
    <w:p w14:paraId="21B65F39" w14:textId="77777777" w:rsidR="00667007" w:rsidRPr="00EF1DE1" w:rsidRDefault="00667007" w:rsidP="00667007">
      <w:pPr>
        <w:pStyle w:val="SDText"/>
        <w:contextualSpacing/>
      </w:pPr>
      <w:r w:rsidRPr="003C34A5">
        <w:rPr>
          <w:rStyle w:val="28"/>
          <w:rFonts w:eastAsiaTheme="majorEastAsia"/>
          <w:b w:val="0"/>
          <w:sz w:val="24"/>
          <w:szCs w:val="24"/>
        </w:rPr>
        <w:t>Со стороны крови и лимфатической системы:</w:t>
      </w:r>
      <w:r w:rsidRPr="00EF1DE1">
        <w:rPr>
          <w:rStyle w:val="28"/>
          <w:rFonts w:eastAsiaTheme="majorEastAsia"/>
          <w:sz w:val="24"/>
          <w:szCs w:val="24"/>
        </w:rPr>
        <w:t xml:space="preserve"> </w:t>
      </w:r>
      <w:r w:rsidRPr="003C34A5">
        <w:rPr>
          <w:rStyle w:val="23"/>
          <w:rFonts w:eastAsiaTheme="minorHAnsi"/>
          <w:i w:val="0"/>
          <w:sz w:val="24"/>
          <w:szCs w:val="24"/>
        </w:rPr>
        <w:t>частые</w:t>
      </w:r>
      <w:r w:rsidRPr="00EF1DE1">
        <w:t xml:space="preserve"> </w:t>
      </w:r>
      <w:r w:rsidRPr="00EF1DE1">
        <w:rPr>
          <w:rStyle w:val="54"/>
          <w:rFonts w:eastAsiaTheme="minorHAnsi"/>
          <w:b w:val="0"/>
          <w:bCs w:val="0"/>
          <w:szCs w:val="24"/>
        </w:rPr>
        <w:t>–</w:t>
      </w:r>
      <w:r w:rsidRPr="00EF1DE1">
        <w:t xml:space="preserve"> анемия; </w:t>
      </w:r>
      <w:r w:rsidRPr="003C34A5">
        <w:rPr>
          <w:rStyle w:val="23"/>
          <w:rFonts w:eastAsiaTheme="minorHAnsi"/>
          <w:i w:val="0"/>
          <w:sz w:val="24"/>
          <w:szCs w:val="24"/>
        </w:rPr>
        <w:t>нечастые</w:t>
      </w:r>
      <w:r w:rsidRPr="00EF1DE1">
        <w:rPr>
          <w:rStyle w:val="23"/>
          <w:rFonts w:eastAsiaTheme="minorHAnsi"/>
          <w:sz w:val="24"/>
          <w:szCs w:val="24"/>
        </w:rPr>
        <w:t xml:space="preserve"> </w:t>
      </w:r>
      <w:r w:rsidRPr="00EF1DE1">
        <w:rPr>
          <w:rStyle w:val="54"/>
          <w:rFonts w:eastAsiaTheme="minorHAnsi"/>
          <w:b w:val="0"/>
          <w:bCs w:val="0"/>
          <w:szCs w:val="24"/>
        </w:rPr>
        <w:t>–</w:t>
      </w:r>
      <w:r w:rsidRPr="00EF1DE1">
        <w:t>лейкопения, лимфопения, нейтропения.</w:t>
      </w:r>
    </w:p>
    <w:p w14:paraId="6C6FD3FD" w14:textId="77777777" w:rsidR="00667007" w:rsidRPr="00EF1DE1" w:rsidRDefault="00667007" w:rsidP="00667007">
      <w:pPr>
        <w:pStyle w:val="SDText"/>
        <w:contextualSpacing/>
      </w:pPr>
      <w:r w:rsidRPr="003C34A5">
        <w:rPr>
          <w:bCs/>
          <w:i/>
          <w:iCs/>
        </w:rPr>
        <w:t>Со стороны иммунной системы:</w:t>
      </w:r>
      <w:r w:rsidRPr="00EF1DE1">
        <w:t xml:space="preserve"> </w:t>
      </w:r>
      <w:r w:rsidRPr="003C34A5">
        <w:rPr>
          <w:rStyle w:val="54"/>
          <w:rFonts w:eastAsiaTheme="minorHAnsi"/>
          <w:b w:val="0"/>
          <w:bCs w:val="0"/>
          <w:i w:val="0"/>
          <w:szCs w:val="24"/>
        </w:rPr>
        <w:t>нечастые</w:t>
      </w:r>
      <w:r w:rsidRPr="009D36F9">
        <w:rPr>
          <w:rStyle w:val="55"/>
          <w:rFonts w:eastAsiaTheme="minorHAnsi"/>
          <w:b w:val="0"/>
          <w:bCs w:val="0"/>
          <w:szCs w:val="24"/>
        </w:rPr>
        <w:t xml:space="preserve"> </w:t>
      </w:r>
      <w:r w:rsidRPr="009D36F9">
        <w:rPr>
          <w:rStyle w:val="54"/>
          <w:rFonts w:eastAsiaTheme="minorHAnsi"/>
          <w:b w:val="0"/>
          <w:bCs w:val="0"/>
          <w:szCs w:val="24"/>
        </w:rPr>
        <w:t>–</w:t>
      </w:r>
      <w:r w:rsidRPr="00EF1DE1">
        <w:rPr>
          <w:rStyle w:val="55"/>
          <w:rFonts w:eastAsiaTheme="minorHAnsi"/>
          <w:szCs w:val="24"/>
        </w:rPr>
        <w:t xml:space="preserve"> </w:t>
      </w:r>
      <w:r w:rsidRPr="009D36F9">
        <w:rPr>
          <w:rStyle w:val="55"/>
          <w:rFonts w:eastAsiaTheme="minorHAnsi"/>
          <w:b w:val="0"/>
          <w:bCs w:val="0"/>
          <w:i w:val="0"/>
          <w:iCs w:val="0"/>
          <w:szCs w:val="24"/>
        </w:rPr>
        <w:t>гиперчувствительность</w:t>
      </w:r>
      <w:r w:rsidRPr="009D36F9">
        <w:rPr>
          <w:rStyle w:val="55"/>
          <w:rFonts w:eastAsiaTheme="minorHAnsi"/>
          <w:b w:val="0"/>
          <w:bCs w:val="0"/>
          <w:i w:val="0"/>
          <w:iCs w:val="0"/>
          <w:szCs w:val="24"/>
          <w:vertAlign w:val="superscript"/>
        </w:rPr>
        <w:t>г</w:t>
      </w:r>
    </w:p>
    <w:p w14:paraId="1924794A" w14:textId="77777777" w:rsidR="00667007" w:rsidRPr="00EF1DE1" w:rsidRDefault="00667007" w:rsidP="00667007">
      <w:pPr>
        <w:pStyle w:val="SDText"/>
        <w:contextualSpacing/>
      </w:pPr>
      <w:r w:rsidRPr="003C34A5">
        <w:rPr>
          <w:rStyle w:val="28"/>
          <w:rFonts w:eastAsiaTheme="majorEastAsia"/>
          <w:b w:val="0"/>
          <w:sz w:val="24"/>
          <w:szCs w:val="24"/>
        </w:rPr>
        <w:t>Со стороны дыхательной системы:</w:t>
      </w:r>
      <w:r w:rsidRPr="00EF1DE1">
        <w:rPr>
          <w:rStyle w:val="28"/>
          <w:rFonts w:eastAsiaTheme="majorEastAsia"/>
          <w:sz w:val="24"/>
          <w:szCs w:val="24"/>
        </w:rPr>
        <w:t xml:space="preserve"> </w:t>
      </w:r>
      <w:r w:rsidRPr="003C34A5">
        <w:rPr>
          <w:rStyle w:val="23"/>
          <w:rFonts w:eastAsiaTheme="minorHAnsi"/>
          <w:i w:val="0"/>
          <w:sz w:val="24"/>
          <w:szCs w:val="24"/>
        </w:rPr>
        <w:t>частые</w:t>
      </w:r>
      <w:r w:rsidRPr="00EF1DE1">
        <w:t xml:space="preserve"> </w:t>
      </w:r>
      <w:r w:rsidRPr="00EF1DE1">
        <w:rPr>
          <w:rStyle w:val="54"/>
          <w:rFonts w:eastAsiaTheme="minorHAnsi"/>
          <w:b w:val="0"/>
          <w:bCs w:val="0"/>
          <w:szCs w:val="24"/>
        </w:rPr>
        <w:t>–</w:t>
      </w:r>
      <w:r w:rsidRPr="00EF1DE1">
        <w:t xml:space="preserve"> кашель; </w:t>
      </w:r>
      <w:r w:rsidRPr="003C34A5">
        <w:rPr>
          <w:rStyle w:val="23"/>
          <w:rFonts w:eastAsiaTheme="minorHAnsi"/>
          <w:i w:val="0"/>
          <w:sz w:val="24"/>
          <w:szCs w:val="24"/>
        </w:rPr>
        <w:t>нечастые</w:t>
      </w:r>
      <w:r w:rsidRPr="00EF1DE1">
        <w:t xml:space="preserve"> </w:t>
      </w:r>
      <w:r w:rsidRPr="00EF1DE1">
        <w:rPr>
          <w:rStyle w:val="54"/>
          <w:rFonts w:eastAsiaTheme="minorHAnsi"/>
          <w:b w:val="0"/>
          <w:bCs w:val="0"/>
          <w:szCs w:val="24"/>
        </w:rPr>
        <w:t>–</w:t>
      </w:r>
      <w:r w:rsidRPr="00EF1DE1">
        <w:t xml:space="preserve"> одышка, застойные явления в придаточных пазухах носа.</w:t>
      </w:r>
    </w:p>
    <w:p w14:paraId="274DC069" w14:textId="77777777" w:rsidR="00667007" w:rsidRPr="00EF1DE1" w:rsidRDefault="00667007" w:rsidP="00667007">
      <w:pPr>
        <w:pStyle w:val="SDText"/>
        <w:contextualSpacing/>
      </w:pPr>
      <w:r w:rsidRPr="003C34A5">
        <w:rPr>
          <w:rStyle w:val="28"/>
          <w:rFonts w:eastAsiaTheme="majorEastAsia"/>
          <w:b w:val="0"/>
          <w:sz w:val="24"/>
          <w:szCs w:val="24"/>
        </w:rPr>
        <w:t>Со стороны кожных покровов:</w:t>
      </w:r>
      <w:r w:rsidRPr="00EF1DE1">
        <w:rPr>
          <w:rStyle w:val="28"/>
          <w:rFonts w:eastAsiaTheme="majorEastAsia"/>
          <w:sz w:val="24"/>
          <w:szCs w:val="24"/>
        </w:rPr>
        <w:t xml:space="preserve"> </w:t>
      </w:r>
      <w:r w:rsidRPr="003C34A5">
        <w:rPr>
          <w:rStyle w:val="23"/>
          <w:rFonts w:eastAsiaTheme="minorHAnsi"/>
          <w:i w:val="0"/>
          <w:sz w:val="24"/>
          <w:szCs w:val="24"/>
        </w:rPr>
        <w:t>частые</w:t>
      </w:r>
      <w:r w:rsidRPr="00EF1DE1">
        <w:t xml:space="preserve"> </w:t>
      </w:r>
      <w:r w:rsidRPr="00EF1DE1">
        <w:rPr>
          <w:rStyle w:val="54"/>
          <w:rFonts w:eastAsiaTheme="minorHAnsi"/>
          <w:b w:val="0"/>
          <w:bCs w:val="0"/>
          <w:szCs w:val="24"/>
        </w:rPr>
        <w:t xml:space="preserve">– </w:t>
      </w:r>
      <w:r w:rsidRPr="00EF1DE1">
        <w:t xml:space="preserve">сыпь; </w:t>
      </w:r>
      <w:r w:rsidRPr="00EF1DE1">
        <w:rPr>
          <w:rStyle w:val="23"/>
          <w:rFonts w:eastAsiaTheme="minorHAnsi"/>
          <w:sz w:val="24"/>
          <w:szCs w:val="24"/>
        </w:rPr>
        <w:t>нечастые</w:t>
      </w:r>
      <w:r w:rsidRPr="00EF1DE1">
        <w:t xml:space="preserve"> </w:t>
      </w:r>
      <w:r w:rsidRPr="00EF1DE1">
        <w:rPr>
          <w:rStyle w:val="54"/>
          <w:rFonts w:eastAsiaTheme="minorHAnsi"/>
          <w:b w:val="0"/>
          <w:bCs w:val="0"/>
          <w:szCs w:val="24"/>
        </w:rPr>
        <w:t>–</w:t>
      </w:r>
      <w:r w:rsidRPr="00EF1DE1">
        <w:t xml:space="preserve"> эритема, кожный зуд.</w:t>
      </w:r>
    </w:p>
    <w:p w14:paraId="6CDB3C48" w14:textId="77777777" w:rsidR="00667007" w:rsidRPr="00EF1DE1" w:rsidRDefault="00667007" w:rsidP="00667007">
      <w:pPr>
        <w:pStyle w:val="SDText"/>
        <w:contextualSpacing/>
      </w:pPr>
      <w:r w:rsidRPr="003C34A5">
        <w:rPr>
          <w:bCs/>
          <w:i/>
          <w:iCs/>
        </w:rPr>
        <w:t>Со стороны печени и желчевыводящих путей:</w:t>
      </w:r>
      <w:r w:rsidRPr="00EF1DE1">
        <w:t xml:space="preserve"> </w:t>
      </w:r>
      <w:r w:rsidRPr="003C34A5">
        <w:rPr>
          <w:rStyle w:val="54"/>
          <w:rFonts w:eastAsiaTheme="minorHAnsi"/>
          <w:b w:val="0"/>
          <w:bCs w:val="0"/>
          <w:i w:val="0"/>
          <w:szCs w:val="24"/>
        </w:rPr>
        <w:t>нечастые</w:t>
      </w:r>
      <w:r w:rsidRPr="00EF1DE1">
        <w:rPr>
          <w:rStyle w:val="55"/>
          <w:rFonts w:eastAsiaTheme="minorHAnsi"/>
          <w:b w:val="0"/>
          <w:bCs w:val="0"/>
          <w:szCs w:val="24"/>
        </w:rPr>
        <w:t xml:space="preserve"> </w:t>
      </w:r>
      <w:r w:rsidRPr="00EF1DE1">
        <w:rPr>
          <w:rStyle w:val="54"/>
          <w:rFonts w:eastAsiaTheme="minorHAnsi"/>
          <w:b w:val="0"/>
          <w:bCs w:val="0"/>
          <w:szCs w:val="24"/>
        </w:rPr>
        <w:t>–</w:t>
      </w:r>
      <w:r w:rsidRPr="00EF1DE1">
        <w:rPr>
          <w:rStyle w:val="55"/>
          <w:rFonts w:eastAsiaTheme="minorHAnsi"/>
          <w:szCs w:val="24"/>
        </w:rPr>
        <w:t xml:space="preserve"> </w:t>
      </w:r>
      <w:r w:rsidRPr="00EF1DE1">
        <w:rPr>
          <w:rStyle w:val="55"/>
          <w:rFonts w:eastAsiaTheme="minorHAnsi"/>
          <w:b w:val="0"/>
          <w:bCs w:val="0"/>
          <w:i w:val="0"/>
          <w:iCs w:val="0"/>
          <w:szCs w:val="24"/>
        </w:rPr>
        <w:t>жировой гепатоз.</w:t>
      </w:r>
    </w:p>
    <w:p w14:paraId="31A48294" w14:textId="642A8B2C" w:rsidR="00667007" w:rsidRPr="00EF1DE1" w:rsidRDefault="00667007" w:rsidP="00667007">
      <w:pPr>
        <w:pStyle w:val="SDText"/>
        <w:contextualSpacing/>
      </w:pPr>
      <w:r w:rsidRPr="003C34A5">
        <w:rPr>
          <w:bCs/>
          <w:i/>
          <w:iCs/>
        </w:rPr>
        <w:t>Доброкачественные, злокачественные и неуточненные новообразования (включая кисты и полипы)</w:t>
      </w:r>
      <w:r w:rsidRPr="003C34A5">
        <w:t>:</w:t>
      </w:r>
      <w:r w:rsidRPr="00EF1DE1">
        <w:t xml:space="preserve"> </w:t>
      </w:r>
      <w:r w:rsidRPr="003C34A5">
        <w:rPr>
          <w:rStyle w:val="54"/>
          <w:rFonts w:eastAsiaTheme="minorHAnsi"/>
          <w:b w:val="0"/>
          <w:bCs w:val="0"/>
          <w:i w:val="0"/>
          <w:szCs w:val="24"/>
        </w:rPr>
        <w:t>нечастые</w:t>
      </w:r>
      <w:r w:rsidRPr="00EF1DE1">
        <w:rPr>
          <w:rStyle w:val="54"/>
          <w:rFonts w:eastAsiaTheme="minorHAnsi"/>
          <w:i w:val="0"/>
          <w:iCs w:val="0"/>
          <w:szCs w:val="24"/>
        </w:rPr>
        <w:t xml:space="preserve"> </w:t>
      </w:r>
      <w:r w:rsidRPr="00EF1DE1">
        <w:rPr>
          <w:rStyle w:val="54"/>
          <w:rFonts w:eastAsiaTheme="minorHAnsi"/>
          <w:b w:val="0"/>
          <w:bCs w:val="0"/>
          <w:szCs w:val="24"/>
        </w:rPr>
        <w:t>–</w:t>
      </w:r>
      <w:r w:rsidRPr="00EF1DE1">
        <w:rPr>
          <w:rStyle w:val="55"/>
          <w:rFonts w:eastAsiaTheme="minorHAnsi"/>
          <w:szCs w:val="24"/>
        </w:rPr>
        <w:t xml:space="preserve"> </w:t>
      </w:r>
      <w:r w:rsidRPr="00EF1DE1">
        <w:rPr>
          <w:rStyle w:val="55"/>
          <w:rFonts w:eastAsiaTheme="minorHAnsi"/>
          <w:b w:val="0"/>
          <w:bCs w:val="0"/>
          <w:i w:val="0"/>
          <w:iCs w:val="0"/>
          <w:szCs w:val="24"/>
        </w:rPr>
        <w:t>рак кожи, не связанный с меланомой</w:t>
      </w:r>
      <w:r w:rsidR="00FA6178">
        <w:rPr>
          <w:rStyle w:val="55"/>
          <w:rFonts w:eastAsiaTheme="minorHAnsi"/>
          <w:b w:val="0"/>
          <w:bCs w:val="0"/>
          <w:i w:val="0"/>
          <w:iCs w:val="0"/>
          <w:szCs w:val="24"/>
          <w:vertAlign w:val="superscript"/>
        </w:rPr>
        <w:t>в</w:t>
      </w:r>
      <w:r w:rsidRPr="00EF1DE1">
        <w:rPr>
          <w:rStyle w:val="55"/>
          <w:rFonts w:eastAsiaTheme="minorHAnsi"/>
          <w:b w:val="0"/>
          <w:bCs w:val="0"/>
          <w:i w:val="0"/>
          <w:iCs w:val="0"/>
          <w:szCs w:val="24"/>
        </w:rPr>
        <w:t>.</w:t>
      </w:r>
    </w:p>
    <w:p w14:paraId="0F323B50" w14:textId="2BC89CC2" w:rsidR="00667007" w:rsidRPr="00EF1DE1" w:rsidRDefault="00667007" w:rsidP="00667007">
      <w:pPr>
        <w:pStyle w:val="SDText"/>
        <w:contextualSpacing/>
        <w:rPr>
          <w:szCs w:val="24"/>
        </w:rPr>
      </w:pPr>
      <w:r w:rsidRPr="003C34A5">
        <w:rPr>
          <w:rStyle w:val="28"/>
          <w:rFonts w:eastAsiaTheme="majorEastAsia"/>
          <w:b w:val="0"/>
          <w:sz w:val="24"/>
          <w:szCs w:val="24"/>
        </w:rPr>
        <w:t>Нарушения, выявленные при клинических и лабораторных исследованиях:</w:t>
      </w:r>
      <w:r w:rsidRPr="00EF1DE1">
        <w:rPr>
          <w:rStyle w:val="28"/>
          <w:rFonts w:eastAsiaTheme="majorEastAsia"/>
          <w:sz w:val="24"/>
          <w:szCs w:val="24"/>
        </w:rPr>
        <w:t xml:space="preserve"> </w:t>
      </w:r>
      <w:r w:rsidRPr="003C34A5">
        <w:rPr>
          <w:rStyle w:val="23"/>
          <w:rFonts w:eastAsiaTheme="minorHAnsi"/>
          <w:i w:val="0"/>
          <w:sz w:val="24"/>
          <w:szCs w:val="24"/>
        </w:rPr>
        <w:t>частые</w:t>
      </w:r>
      <w:r w:rsidRPr="00EF1DE1">
        <w:rPr>
          <w:szCs w:val="24"/>
        </w:rPr>
        <w:t xml:space="preserve"> </w:t>
      </w:r>
      <w:r w:rsidRPr="00EF1DE1">
        <w:rPr>
          <w:rStyle w:val="54"/>
          <w:rFonts w:eastAsiaTheme="minorHAnsi"/>
          <w:b w:val="0"/>
          <w:bCs w:val="0"/>
          <w:szCs w:val="24"/>
        </w:rPr>
        <w:t>–</w:t>
      </w:r>
      <w:r w:rsidRPr="00EF1DE1">
        <w:rPr>
          <w:szCs w:val="24"/>
        </w:rPr>
        <w:t xml:space="preserve">повышение концентрации гаммаглутамилтрансферазы (ГГТ), холестерина крови, повышение массы тела, повышение концентрации креатинфосфокиназы (КФК); </w:t>
      </w:r>
      <w:r w:rsidRPr="003C34A5">
        <w:rPr>
          <w:rStyle w:val="23"/>
          <w:rFonts w:eastAsiaTheme="minorHAnsi"/>
          <w:i w:val="0"/>
          <w:sz w:val="24"/>
          <w:szCs w:val="24"/>
        </w:rPr>
        <w:t>нечастые</w:t>
      </w:r>
      <w:r w:rsidRPr="00EF1DE1">
        <w:rPr>
          <w:rStyle w:val="23"/>
          <w:rFonts w:eastAsiaTheme="minorHAnsi"/>
          <w:sz w:val="24"/>
          <w:szCs w:val="24"/>
        </w:rPr>
        <w:t xml:space="preserve"> </w:t>
      </w:r>
      <w:r w:rsidRPr="00EF1DE1">
        <w:rPr>
          <w:rStyle w:val="54"/>
          <w:rFonts w:eastAsiaTheme="minorHAnsi"/>
          <w:b w:val="0"/>
          <w:bCs w:val="0"/>
          <w:szCs w:val="24"/>
        </w:rPr>
        <w:lastRenderedPageBreak/>
        <w:t>–</w:t>
      </w:r>
      <w:r w:rsidR="003C34A5">
        <w:rPr>
          <w:rStyle w:val="54"/>
          <w:rFonts w:eastAsiaTheme="minorHAnsi"/>
          <w:b w:val="0"/>
          <w:bCs w:val="0"/>
          <w:szCs w:val="24"/>
        </w:rPr>
        <w:t xml:space="preserve"> </w:t>
      </w:r>
      <w:r w:rsidRPr="00EF1DE1">
        <w:rPr>
          <w:szCs w:val="24"/>
        </w:rPr>
        <w:t>повышение активности ферментов печени, повышение активности трансаминаз, нарушение функциональных проб печени, повышение концентрации креатинина в плазме крови, повышение концентрации липопротеидов низкой плотности (ЛПНП).</w:t>
      </w:r>
    </w:p>
    <w:p w14:paraId="151A33D9" w14:textId="326AF5CE" w:rsidR="00667007" w:rsidRPr="00EF1DE1" w:rsidRDefault="00667007" w:rsidP="00667007">
      <w:pPr>
        <w:pStyle w:val="SDText"/>
        <w:contextualSpacing/>
        <w:rPr>
          <w:szCs w:val="24"/>
        </w:rPr>
      </w:pPr>
      <w:r w:rsidRPr="003C34A5">
        <w:rPr>
          <w:rStyle w:val="28"/>
          <w:rFonts w:eastAsiaTheme="majorEastAsia"/>
          <w:b w:val="0"/>
          <w:sz w:val="24"/>
          <w:szCs w:val="24"/>
        </w:rPr>
        <w:t>Общие нарушения и реакции в месте введения:</w:t>
      </w:r>
      <w:r w:rsidRPr="00EF1DE1">
        <w:rPr>
          <w:rStyle w:val="28"/>
          <w:rFonts w:eastAsiaTheme="majorEastAsia"/>
          <w:sz w:val="24"/>
          <w:szCs w:val="24"/>
        </w:rPr>
        <w:t xml:space="preserve"> </w:t>
      </w:r>
      <w:r w:rsidRPr="003C34A5">
        <w:rPr>
          <w:rStyle w:val="23"/>
          <w:rFonts w:eastAsiaTheme="minorHAnsi"/>
          <w:i w:val="0"/>
          <w:sz w:val="24"/>
          <w:szCs w:val="24"/>
        </w:rPr>
        <w:t>частые</w:t>
      </w:r>
      <w:r w:rsidRPr="00EF1DE1">
        <w:rPr>
          <w:szCs w:val="24"/>
        </w:rPr>
        <w:t xml:space="preserve"> </w:t>
      </w:r>
      <w:r w:rsidRPr="00EF1DE1">
        <w:rPr>
          <w:rStyle w:val="54"/>
          <w:rFonts w:eastAsiaTheme="minorHAnsi"/>
          <w:b w:val="0"/>
          <w:bCs w:val="0"/>
          <w:szCs w:val="24"/>
        </w:rPr>
        <w:t>–</w:t>
      </w:r>
      <w:r w:rsidR="00A86405">
        <w:rPr>
          <w:rStyle w:val="54"/>
          <w:rFonts w:eastAsiaTheme="minorHAnsi"/>
          <w:b w:val="0"/>
          <w:bCs w:val="0"/>
          <w:szCs w:val="24"/>
        </w:rPr>
        <w:t xml:space="preserve"> </w:t>
      </w:r>
      <w:r w:rsidRPr="00EF1DE1">
        <w:rPr>
          <w:szCs w:val="24"/>
        </w:rPr>
        <w:t>лихорадка, периферические отеки, утомляемость.</w:t>
      </w:r>
    </w:p>
    <w:p w14:paraId="2943BFC2" w14:textId="77777777" w:rsidR="00667007" w:rsidRDefault="00667007" w:rsidP="00667007">
      <w:pPr>
        <w:pStyle w:val="SDText"/>
        <w:contextualSpacing/>
      </w:pPr>
      <w:r w:rsidRPr="003C34A5">
        <w:rPr>
          <w:bCs/>
          <w:i/>
          <w:iCs/>
        </w:rPr>
        <w:t>Травмы, интоксикации и осложнения манипуляций:</w:t>
      </w:r>
      <w:r>
        <w:t xml:space="preserve"> </w:t>
      </w:r>
      <w:r w:rsidRPr="003C34A5">
        <w:rPr>
          <w:rStyle w:val="54"/>
          <w:rFonts w:eastAsiaTheme="minorHAnsi"/>
          <w:b w:val="0"/>
          <w:bCs w:val="0"/>
          <w:i w:val="0"/>
        </w:rPr>
        <w:t>нечастые</w:t>
      </w:r>
      <w:r>
        <w:rPr>
          <w:rStyle w:val="54"/>
          <w:rFonts w:eastAsiaTheme="minorHAnsi"/>
          <w:i w:val="0"/>
          <w:iCs w:val="0"/>
        </w:rPr>
        <w:t xml:space="preserve"> </w:t>
      </w:r>
      <w:r>
        <w:rPr>
          <w:rStyle w:val="54"/>
          <w:rFonts w:eastAsiaTheme="minorHAnsi"/>
          <w:b w:val="0"/>
          <w:bCs w:val="0"/>
        </w:rPr>
        <w:t>–</w:t>
      </w:r>
      <w:r>
        <w:rPr>
          <w:rStyle w:val="55"/>
          <w:rFonts w:eastAsiaTheme="minorHAnsi"/>
        </w:rPr>
        <w:t xml:space="preserve"> </w:t>
      </w:r>
      <w:r w:rsidRPr="00EF1DE1">
        <w:rPr>
          <w:rStyle w:val="55"/>
          <w:rFonts w:eastAsiaTheme="minorHAnsi"/>
          <w:b w:val="0"/>
          <w:bCs w:val="0"/>
          <w:i w:val="0"/>
          <w:iCs w:val="0"/>
        </w:rPr>
        <w:t>растяжение связок, растяжение мышц.</w:t>
      </w:r>
    </w:p>
    <w:p w14:paraId="27204A99" w14:textId="77777777" w:rsidR="00667007" w:rsidRPr="00E717E9" w:rsidRDefault="00667007" w:rsidP="00667007">
      <w:pPr>
        <w:pStyle w:val="SDText"/>
        <w:contextualSpacing/>
        <w:rPr>
          <w:sz w:val="20"/>
          <w:szCs w:val="20"/>
        </w:rPr>
      </w:pPr>
      <w:r w:rsidRPr="00E717E9">
        <w:rPr>
          <w:sz w:val="20"/>
          <w:szCs w:val="20"/>
          <w:vertAlign w:val="superscript"/>
        </w:rPr>
        <w:t>а</w:t>
      </w:r>
      <w:r w:rsidRPr="00E717E9">
        <w:rPr>
          <w:sz w:val="20"/>
          <w:szCs w:val="20"/>
        </w:rPr>
        <w:t xml:space="preserve"> Нежелательные лекарственные реакции были зарегистрированы только в открытых, долгосрочных, дополнительных исследованиях; поэтому была оценена частота этих нежелательных лекарственных реакций в ходе рандомизированных исследований фазы 3. </w:t>
      </w:r>
    </w:p>
    <w:p w14:paraId="1CDA903F" w14:textId="77777777" w:rsidR="00667007" w:rsidRPr="00E717E9" w:rsidRDefault="00667007" w:rsidP="00667007">
      <w:pPr>
        <w:pStyle w:val="SDText"/>
        <w:contextualSpacing/>
        <w:rPr>
          <w:sz w:val="20"/>
          <w:szCs w:val="20"/>
        </w:rPr>
      </w:pPr>
      <w:r w:rsidRPr="00E717E9">
        <w:rPr>
          <w:sz w:val="20"/>
          <w:szCs w:val="20"/>
          <w:vertAlign w:val="superscript"/>
        </w:rPr>
        <w:t>б</w:t>
      </w:r>
      <w:r w:rsidRPr="00E717E9">
        <w:rPr>
          <w:sz w:val="20"/>
          <w:szCs w:val="20"/>
        </w:rPr>
        <w:t xml:space="preserve"> Частоту бактериальных артритов определяли по комбинированной частоте для предпочтительного термина бактериального и инфекционного артритов. </w:t>
      </w:r>
    </w:p>
    <w:p w14:paraId="07DC915D" w14:textId="77777777" w:rsidR="00667007" w:rsidRPr="00E717E9" w:rsidRDefault="00667007" w:rsidP="00667007">
      <w:pPr>
        <w:pStyle w:val="SDText"/>
        <w:contextualSpacing/>
        <w:rPr>
          <w:sz w:val="20"/>
          <w:szCs w:val="20"/>
        </w:rPr>
      </w:pPr>
      <w:r w:rsidRPr="00E717E9">
        <w:rPr>
          <w:sz w:val="20"/>
          <w:szCs w:val="20"/>
          <w:vertAlign w:val="superscript"/>
        </w:rPr>
        <w:t>в</w:t>
      </w:r>
      <w:r w:rsidRPr="00E717E9">
        <w:rPr>
          <w:sz w:val="20"/>
          <w:szCs w:val="20"/>
        </w:rPr>
        <w:t xml:space="preserve"> Рак кожи, не связанный с меланомой, был установлен в качестве нежелательной лекарственной реакции в 2013 г. Рак кожи, не связанный с меланомой, не является предпочтительным термином: частота определяется путем комбинирования частот для предпочтительных терминов базальноклеточный рак и плоскоклеточный рак кожи. </w:t>
      </w:r>
    </w:p>
    <w:p w14:paraId="33C15369" w14:textId="77777777" w:rsidR="00667007" w:rsidRDefault="00667007" w:rsidP="00667007">
      <w:pPr>
        <w:pStyle w:val="SDText"/>
        <w:contextualSpacing/>
        <w:rPr>
          <w:sz w:val="20"/>
          <w:szCs w:val="20"/>
        </w:rPr>
      </w:pPr>
      <w:r w:rsidRPr="00E717E9">
        <w:rPr>
          <w:sz w:val="20"/>
          <w:szCs w:val="20"/>
          <w:vertAlign w:val="superscript"/>
        </w:rPr>
        <w:t>г</w:t>
      </w:r>
      <w:r w:rsidRPr="00E717E9">
        <w:rPr>
          <w:sz w:val="20"/>
          <w:szCs w:val="20"/>
        </w:rPr>
        <w:t xml:space="preserve"> Данные спонтанных сообщений (наблюдались такие реакции, как ангионевротический отек и крапивница). Некоторые реакции наблюдались также в рамках клинических исследований.</w:t>
      </w:r>
    </w:p>
    <w:p w14:paraId="29CAE9B3" w14:textId="14DFAB93" w:rsidR="00730F80" w:rsidRDefault="00730F80" w:rsidP="00E61A3E">
      <w:pPr>
        <w:pStyle w:val="SDText"/>
        <w:spacing w:after="0"/>
        <w:contextualSpacing/>
      </w:pPr>
    </w:p>
    <w:p w14:paraId="1D7B8E0C" w14:textId="29531A38" w:rsidR="00667007" w:rsidRPr="00E61A3E" w:rsidRDefault="00667007" w:rsidP="00E61A3E">
      <w:pPr>
        <w:spacing w:after="0"/>
        <w:contextualSpacing/>
        <w:rPr>
          <w:iCs/>
        </w:rPr>
      </w:pPr>
      <w:r w:rsidRPr="00E61A3E">
        <w:rPr>
          <w:iCs/>
        </w:rPr>
        <w:t>В исследовании по протоколу №</w:t>
      </w:r>
      <w:r w:rsidRPr="00E61A3E">
        <w:t xml:space="preserve"> </w:t>
      </w:r>
      <w:r w:rsidRPr="00E61A3E">
        <w:rPr>
          <w:iCs/>
          <w:lang w:val="en-US"/>
        </w:rPr>
        <w:t>CL</w:t>
      </w:r>
      <w:r w:rsidRPr="00E61A3E">
        <w:rPr>
          <w:iCs/>
        </w:rPr>
        <w:t xml:space="preserve">041050156 каждый доброволец получит по 2 приема тофацитиниба в разовой дозе </w:t>
      </w:r>
      <w:r w:rsidR="00E61A3E" w:rsidRPr="00E61A3E">
        <w:rPr>
          <w:iCs/>
        </w:rPr>
        <w:t>1</w:t>
      </w:r>
      <w:r w:rsidRPr="00E61A3E">
        <w:rPr>
          <w:iCs/>
        </w:rPr>
        <w:t xml:space="preserve">0 мг. Каждый прием будет отделен от последующего отмывочным периодом в 7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E61A3E" w:rsidRPr="00E61A3E">
        <w:rPr>
          <w:iCs/>
        </w:rPr>
        <w:t>тофацитиниба</w:t>
      </w:r>
      <w:r w:rsidRPr="00E61A3E">
        <w:rPr>
          <w:iCs/>
        </w:rPr>
        <w:t xml:space="preserve"> и характеризоваться преимущественно легкой или умеренной степенью выраженности. </w:t>
      </w:r>
    </w:p>
    <w:p w14:paraId="2805158A" w14:textId="291F4BAE" w:rsidR="00667007" w:rsidRPr="00E61A3E" w:rsidRDefault="00E61A3E" w:rsidP="00E61A3E">
      <w:pPr>
        <w:spacing w:after="0"/>
        <w:rPr>
          <w:lang w:eastAsia="ru-RU"/>
        </w:rPr>
      </w:pPr>
      <w:r w:rsidRPr="00E61A3E">
        <w:rPr>
          <w:szCs w:val="24"/>
          <w:lang w:eastAsia="ru-RU"/>
        </w:rPr>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биоэквивалентности</w:t>
      </w:r>
      <w:r w:rsidRPr="00014867">
        <w:rPr>
          <w:rStyle w:val="a7"/>
        </w:rPr>
        <w:footnoteReference w:id="2"/>
      </w:r>
      <w:r w:rsidRPr="00E61A3E">
        <w:rPr>
          <w:szCs w:val="24"/>
          <w:lang w:eastAsia="ru-RU"/>
        </w:rPr>
        <w:t xml:space="preserve"> и фармакокинетики</w:t>
      </w:r>
      <w:r w:rsidRPr="00014867">
        <w:rPr>
          <w:rStyle w:val="a7"/>
        </w:rPr>
        <w:footnoteReference w:id="3"/>
      </w:r>
      <w:r w:rsidRPr="00E61A3E">
        <w:rPr>
          <w:szCs w:val="24"/>
          <w:lang w:eastAsia="ru-RU"/>
        </w:rPr>
        <w:t xml:space="preserve"> с участием здоровых добровольцев.</w:t>
      </w:r>
      <w:r w:rsidR="00667007" w:rsidRPr="00E61A3E">
        <w:rPr>
          <w:vertAlign w:val="superscript"/>
        </w:rPr>
        <w:t xml:space="preserve"> </w:t>
      </w:r>
      <w:r w:rsidR="00667007" w:rsidRPr="00E61A3E">
        <w:rPr>
          <w:lang w:eastAsia="ru-RU"/>
        </w:rPr>
        <w:t xml:space="preserve">С целью обеспечения максимальной безопасности применения </w:t>
      </w:r>
      <w:r w:rsidRPr="00E61A3E">
        <w:rPr>
          <w:lang w:eastAsia="ru-RU"/>
        </w:rPr>
        <w:t>тофацитиниба</w:t>
      </w:r>
      <w:r w:rsidR="00667007" w:rsidRPr="00E61A3E">
        <w:rPr>
          <w:lang w:eastAsia="ru-RU"/>
        </w:rPr>
        <w:t xml:space="preserve"> у добровольцев женского пола, в рамках настоящего исследования будут учтены критерии, являющиеся противопоказаниями к назначению </w:t>
      </w:r>
      <w:r w:rsidRPr="00E61A3E">
        <w:rPr>
          <w:lang w:eastAsia="ru-RU"/>
        </w:rPr>
        <w:t>тофацитиниба</w:t>
      </w:r>
      <w:r w:rsidR="00667007" w:rsidRPr="00E61A3E">
        <w:rPr>
          <w:lang w:eastAsia="ru-RU"/>
        </w:rPr>
        <w:t xml:space="preserve"> у женщин, в частности лактация и беременность. Для предотвращения приема </w:t>
      </w:r>
      <w:r w:rsidRPr="00E61A3E">
        <w:rPr>
          <w:lang w:eastAsia="ru-RU"/>
        </w:rPr>
        <w:t>тофацитиниба</w:t>
      </w:r>
      <w:r w:rsidR="00667007" w:rsidRPr="00E61A3E">
        <w:rPr>
          <w:lang w:eastAsia="ru-RU"/>
        </w:rPr>
        <w:t xml:space="preserve">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w:t>
      </w:r>
      <w:r w:rsidRPr="00E61A3E">
        <w:rPr>
          <w:lang w:eastAsia="ru-RU"/>
        </w:rPr>
        <w:t>тофацитиниба</w:t>
      </w:r>
      <w:r w:rsidR="00667007" w:rsidRPr="00E61A3E">
        <w:rPr>
          <w:lang w:eastAsia="ru-RU"/>
        </w:rPr>
        <w:t>.</w:t>
      </w:r>
    </w:p>
    <w:p w14:paraId="661804EE" w14:textId="77777777" w:rsidR="00667007" w:rsidRPr="0092765E" w:rsidRDefault="00667007" w:rsidP="00E61A3E">
      <w:pPr>
        <w:spacing w:after="0"/>
        <w:contextualSpacing/>
        <w:rPr>
          <w:iCs/>
        </w:rPr>
      </w:pPr>
      <w:r w:rsidRPr="00E61A3E">
        <w:rPr>
          <w:iCs/>
        </w:rPr>
        <w:t>Прием лекарственных препаратов, характеризующихся известным взаимодействием с вилдаглиптином, в исследовании</w:t>
      </w:r>
      <w:r w:rsidRPr="0092765E">
        <w:rPr>
          <w:iCs/>
        </w:rPr>
        <w:t xml:space="preserve"> будет запрещен. </w:t>
      </w:r>
    </w:p>
    <w:p w14:paraId="42820856" w14:textId="77777777" w:rsidR="00667007" w:rsidRPr="0092765E" w:rsidRDefault="00667007" w:rsidP="00E61A3E">
      <w:pPr>
        <w:spacing w:after="0"/>
        <w:contextualSpacing/>
        <w:rPr>
          <w:iCs/>
        </w:rPr>
      </w:pPr>
      <w:r w:rsidRPr="0092765E">
        <w:rPr>
          <w:iCs/>
        </w:rPr>
        <w:lastRenderedPageBreak/>
        <w:t>В связи с приведенными аргументами риск развития нежелательных явлений для здоровых добровольцев будет минимальным.</w:t>
      </w:r>
    </w:p>
    <w:p w14:paraId="63C5E8A3" w14:textId="77777777" w:rsidR="00667007" w:rsidRPr="00D7657D" w:rsidRDefault="00667007" w:rsidP="00E61A3E">
      <w:pPr>
        <w:pStyle w:val="SDText"/>
        <w:spacing w:after="0"/>
        <w:contextualSpacing/>
      </w:pPr>
    </w:p>
    <w:p w14:paraId="68743F35" w14:textId="441F904E" w:rsidR="00730F80" w:rsidRDefault="003C34A5" w:rsidP="003C34A5">
      <w:pPr>
        <w:pStyle w:val="2"/>
        <w:numPr>
          <w:ilvl w:val="0"/>
          <w:numId w:val="0"/>
        </w:numPr>
        <w:ind w:left="576" w:hanging="576"/>
      </w:pPr>
      <w:bookmarkStart w:id="285" w:name="_Toc121592621"/>
      <w:bookmarkStart w:id="286" w:name="_Toc115421096"/>
      <w:r>
        <w:t xml:space="preserve">5.3. </w:t>
      </w:r>
      <w:r w:rsidR="00730F80" w:rsidRPr="00E508CE">
        <w:t>Инструкции</w:t>
      </w:r>
      <w:r w:rsidR="00730F80" w:rsidRPr="00AA513A">
        <w:t xml:space="preserve"> </w:t>
      </w:r>
      <w:r w:rsidR="00730F80" w:rsidRPr="00E508CE">
        <w:t>для</w:t>
      </w:r>
      <w:r w:rsidR="00730F80" w:rsidRPr="00AA513A">
        <w:t xml:space="preserve"> </w:t>
      </w:r>
      <w:r w:rsidR="00730F80" w:rsidRPr="00E508CE">
        <w:t>исследователя</w:t>
      </w:r>
      <w:bookmarkEnd w:id="285"/>
      <w:r w:rsidR="00730F80" w:rsidRPr="00AA513A">
        <w:t xml:space="preserve"> </w:t>
      </w:r>
      <w:bookmarkEnd w:id="286"/>
    </w:p>
    <w:p w14:paraId="4EA9C386" w14:textId="77777777" w:rsidR="00730F80" w:rsidRPr="00AA513A" w:rsidRDefault="00730F80" w:rsidP="00730F80">
      <w:pPr>
        <w:pStyle w:val="OT"/>
        <w:contextualSpacing/>
      </w:pPr>
    </w:p>
    <w:p w14:paraId="6D284272" w14:textId="256F7721" w:rsidR="00730F80" w:rsidRDefault="003C34A5" w:rsidP="003C34A5">
      <w:pPr>
        <w:pStyle w:val="3"/>
        <w:numPr>
          <w:ilvl w:val="0"/>
          <w:numId w:val="0"/>
        </w:numPr>
        <w:ind w:left="720" w:hanging="720"/>
      </w:pPr>
      <w:bookmarkStart w:id="287" w:name="_Toc115421097"/>
      <w:bookmarkStart w:id="288" w:name="_Toc121592622"/>
      <w:r>
        <w:t xml:space="preserve">5.3.1. </w:t>
      </w:r>
      <w:r w:rsidR="00730F80" w:rsidRPr="005C3CE4">
        <w:t>Показания к применению</w:t>
      </w:r>
      <w:bookmarkEnd w:id="287"/>
      <w:bookmarkEnd w:id="288"/>
    </w:p>
    <w:p w14:paraId="4039F4C5" w14:textId="77777777" w:rsidR="003C34A5" w:rsidRPr="003C34A5" w:rsidRDefault="003C34A5" w:rsidP="003C34A5">
      <w:pPr>
        <w:pStyle w:val="SDText"/>
        <w:spacing w:after="0"/>
      </w:pPr>
    </w:p>
    <w:p w14:paraId="3C89FC10" w14:textId="79FE7380" w:rsidR="00730F80" w:rsidRDefault="003C34A5" w:rsidP="003C34A5">
      <w:pPr>
        <w:pStyle w:val="4"/>
        <w:numPr>
          <w:ilvl w:val="0"/>
          <w:numId w:val="0"/>
        </w:numPr>
        <w:ind w:left="864" w:hanging="864"/>
      </w:pPr>
      <w:bookmarkStart w:id="289" w:name="_Toc121592623"/>
      <w:r>
        <w:t xml:space="preserve">5.3.1.1. </w:t>
      </w:r>
      <w:r w:rsidR="00730F80">
        <w:t xml:space="preserve">Таблетки, покрытые пленочной </w:t>
      </w:r>
      <w:r w:rsidR="00730F80" w:rsidRPr="00D676ED">
        <w:t>оболочкой</w:t>
      </w:r>
      <w:bookmarkEnd w:id="289"/>
    </w:p>
    <w:p w14:paraId="1497B3FA" w14:textId="77777777" w:rsidR="00730F80" w:rsidRDefault="00730F80" w:rsidP="00730F80">
      <w:pPr>
        <w:spacing w:after="0"/>
        <w:contextualSpacing/>
      </w:pPr>
    </w:p>
    <w:p w14:paraId="1AE04036" w14:textId="77777777" w:rsidR="00730F80" w:rsidRPr="00F8269C" w:rsidRDefault="00730F80" w:rsidP="00730F80">
      <w:pPr>
        <w:pStyle w:val="aff"/>
        <w:numPr>
          <w:ilvl w:val="0"/>
          <w:numId w:val="44"/>
        </w:numPr>
        <w:spacing w:after="0"/>
        <w:ind w:left="851"/>
        <w:rPr>
          <w:b/>
          <w:i/>
          <w:szCs w:val="24"/>
        </w:rPr>
      </w:pPr>
      <w:r w:rsidRPr="00F8269C">
        <w:rPr>
          <w:b/>
          <w:i/>
          <w:szCs w:val="24"/>
        </w:rPr>
        <w:t>Ревматоидный артрит</w:t>
      </w:r>
    </w:p>
    <w:p w14:paraId="280C088C" w14:textId="77777777" w:rsidR="00730F80" w:rsidRPr="00F8269C" w:rsidRDefault="00730F80" w:rsidP="00730F80">
      <w:pPr>
        <w:pStyle w:val="aff"/>
        <w:spacing w:after="0"/>
        <w:ind w:left="851" w:firstLine="0"/>
        <w:rPr>
          <w:szCs w:val="24"/>
        </w:rPr>
      </w:pPr>
      <w:r w:rsidRPr="00F8269C">
        <w:rPr>
          <w:szCs w:val="24"/>
        </w:rPr>
        <w:t>лечение взрослых пациентов с умеренным или тяжелым активным ревматоидным артритом с неадекватным ответом на один или несколько базисных противовоспалительных препаратов (БПВП).</w:t>
      </w:r>
    </w:p>
    <w:p w14:paraId="70B0ADC9" w14:textId="77777777" w:rsidR="00730F80" w:rsidRPr="00F8269C" w:rsidRDefault="00730F80" w:rsidP="00730F80">
      <w:pPr>
        <w:pStyle w:val="aff"/>
        <w:numPr>
          <w:ilvl w:val="0"/>
          <w:numId w:val="44"/>
        </w:numPr>
        <w:spacing w:after="0"/>
        <w:ind w:left="851"/>
        <w:rPr>
          <w:b/>
          <w:i/>
          <w:szCs w:val="24"/>
        </w:rPr>
      </w:pPr>
      <w:r w:rsidRPr="00F8269C">
        <w:rPr>
          <w:b/>
          <w:i/>
          <w:szCs w:val="24"/>
        </w:rPr>
        <w:t>Псориатический артрит</w:t>
      </w:r>
    </w:p>
    <w:p w14:paraId="4507EA6F" w14:textId="77777777" w:rsidR="00730F80" w:rsidRPr="00F8269C" w:rsidRDefault="00730F80" w:rsidP="00730F80">
      <w:pPr>
        <w:pStyle w:val="aff"/>
        <w:spacing w:after="0"/>
        <w:ind w:left="851" w:firstLine="0"/>
        <w:rPr>
          <w:szCs w:val="24"/>
        </w:rPr>
      </w:pPr>
      <w:r w:rsidRPr="00F8269C">
        <w:rPr>
          <w:szCs w:val="24"/>
        </w:rPr>
        <w:t>лечение взрослых пациентов с активным псориатическим артритом с неадекватным ответом на один или несколько БПВП.</w:t>
      </w:r>
    </w:p>
    <w:p w14:paraId="5BB98C40" w14:textId="77777777" w:rsidR="00730F80" w:rsidRPr="00F8269C" w:rsidRDefault="00730F80" w:rsidP="00730F80">
      <w:pPr>
        <w:pStyle w:val="aff"/>
        <w:numPr>
          <w:ilvl w:val="0"/>
          <w:numId w:val="44"/>
        </w:numPr>
        <w:spacing w:after="0"/>
        <w:ind w:left="851"/>
        <w:rPr>
          <w:b/>
          <w:i/>
          <w:szCs w:val="24"/>
        </w:rPr>
      </w:pPr>
      <w:r w:rsidRPr="00F8269C">
        <w:rPr>
          <w:b/>
          <w:i/>
          <w:szCs w:val="24"/>
        </w:rPr>
        <w:t>Анкилозирующий спондилоартрит</w:t>
      </w:r>
    </w:p>
    <w:p w14:paraId="78464A9D" w14:textId="77777777" w:rsidR="00730F80" w:rsidRPr="00F8269C" w:rsidRDefault="00730F80" w:rsidP="00730F80">
      <w:pPr>
        <w:pStyle w:val="aff"/>
        <w:spacing w:after="0"/>
        <w:ind w:left="851" w:firstLine="0"/>
        <w:rPr>
          <w:szCs w:val="24"/>
        </w:rPr>
      </w:pPr>
      <w:r w:rsidRPr="00F8269C">
        <w:rPr>
          <w:szCs w:val="24"/>
        </w:rPr>
        <w:t>лечение взрослых пациентов с активным анкилозирующим спондилоартритом (АС) с неадекватным ответом на традиционную терапию.</w:t>
      </w:r>
    </w:p>
    <w:p w14:paraId="3BA9614C" w14:textId="77777777" w:rsidR="00730F80" w:rsidRPr="00F8269C" w:rsidRDefault="00730F80" w:rsidP="00730F80">
      <w:pPr>
        <w:pStyle w:val="aff"/>
        <w:numPr>
          <w:ilvl w:val="0"/>
          <w:numId w:val="44"/>
        </w:numPr>
        <w:spacing w:after="0"/>
        <w:ind w:left="851"/>
        <w:rPr>
          <w:b/>
          <w:i/>
          <w:szCs w:val="24"/>
        </w:rPr>
      </w:pPr>
      <w:r w:rsidRPr="00F8269C">
        <w:rPr>
          <w:b/>
          <w:i/>
          <w:szCs w:val="24"/>
        </w:rPr>
        <w:t>Бляшечный псориаз</w:t>
      </w:r>
    </w:p>
    <w:p w14:paraId="6C06689D" w14:textId="77777777" w:rsidR="00730F80" w:rsidRPr="00F8269C" w:rsidRDefault="00730F80" w:rsidP="00730F80">
      <w:pPr>
        <w:pStyle w:val="aff"/>
        <w:spacing w:after="0"/>
        <w:ind w:left="851" w:firstLine="0"/>
        <w:rPr>
          <w:szCs w:val="24"/>
        </w:rPr>
      </w:pPr>
      <w:r w:rsidRPr="00F8269C">
        <w:rPr>
          <w:szCs w:val="24"/>
        </w:rPr>
        <w:t>лечение взрослых с хроническим бляшечным псориазом умеренной или тяжелой степени выраженности, когда показана системная терапия или фототерапия.</w:t>
      </w:r>
    </w:p>
    <w:p w14:paraId="4CE83E3A" w14:textId="77777777" w:rsidR="00730F80" w:rsidRPr="00F8269C" w:rsidRDefault="00730F80" w:rsidP="00730F80">
      <w:pPr>
        <w:pStyle w:val="aff"/>
        <w:numPr>
          <w:ilvl w:val="0"/>
          <w:numId w:val="44"/>
        </w:numPr>
        <w:spacing w:after="0"/>
        <w:ind w:left="851"/>
        <w:rPr>
          <w:b/>
          <w:i/>
          <w:szCs w:val="24"/>
        </w:rPr>
      </w:pPr>
      <w:r w:rsidRPr="00F8269C">
        <w:rPr>
          <w:b/>
          <w:i/>
          <w:szCs w:val="24"/>
        </w:rPr>
        <w:t>Язвенный колит</w:t>
      </w:r>
    </w:p>
    <w:p w14:paraId="04A82631" w14:textId="77777777" w:rsidR="00730F80" w:rsidRPr="00F8269C" w:rsidRDefault="00730F80" w:rsidP="00730F80">
      <w:pPr>
        <w:pStyle w:val="aff"/>
        <w:spacing w:after="0"/>
        <w:ind w:left="851" w:firstLine="0"/>
        <w:rPr>
          <w:szCs w:val="24"/>
        </w:rPr>
      </w:pPr>
      <w:r w:rsidRPr="00F8269C">
        <w:rPr>
          <w:szCs w:val="24"/>
        </w:rPr>
        <w:t xml:space="preserve">индукционная или поддерживающая терапия взрослых пациентов с умеренным или тяжелым активным язвенным колитом (ЯК) с недостаточным ответом, потерей ответа или непереносимостью кортикостероидов, азатиоприна (АЗТ), 6-меркаптопурина (6-МП) или ингибиторов фактора некроза опухолей (ФНО). </w:t>
      </w:r>
    </w:p>
    <w:p w14:paraId="41CDE797" w14:textId="77777777" w:rsidR="00730F80" w:rsidRPr="00F8269C" w:rsidRDefault="00730F80" w:rsidP="00730F80">
      <w:pPr>
        <w:pStyle w:val="aff"/>
        <w:numPr>
          <w:ilvl w:val="0"/>
          <w:numId w:val="44"/>
        </w:numPr>
        <w:spacing w:after="0"/>
        <w:ind w:left="851"/>
        <w:rPr>
          <w:b/>
          <w:i/>
          <w:szCs w:val="24"/>
        </w:rPr>
      </w:pPr>
      <w:r w:rsidRPr="00F8269C">
        <w:rPr>
          <w:b/>
          <w:i/>
          <w:szCs w:val="24"/>
        </w:rPr>
        <w:t>Полиартикулярный ювенильный идиопатический артрит</w:t>
      </w:r>
    </w:p>
    <w:p w14:paraId="133A51C4" w14:textId="02C0A101" w:rsidR="00730F80" w:rsidRPr="00F8269C" w:rsidRDefault="00730F80" w:rsidP="00730F80">
      <w:pPr>
        <w:pStyle w:val="aff"/>
        <w:spacing w:after="0"/>
        <w:ind w:left="851" w:firstLine="0"/>
        <w:rPr>
          <w:szCs w:val="24"/>
        </w:rPr>
      </w:pPr>
      <w:r w:rsidRPr="00F8269C">
        <w:rPr>
          <w:szCs w:val="24"/>
        </w:rPr>
        <w:t>лечение активного полиартикулярного ювенильного идиопатического артрита (пЮИА) у пациентов в возрасте 2 лет и старше.</w:t>
      </w:r>
    </w:p>
    <w:p w14:paraId="3F5F91BD" w14:textId="77777777" w:rsidR="00730F80" w:rsidRPr="00551A03" w:rsidRDefault="00730F80" w:rsidP="00730F80">
      <w:pPr>
        <w:spacing w:after="0"/>
        <w:contextualSpacing/>
      </w:pPr>
    </w:p>
    <w:p w14:paraId="122EF225" w14:textId="46CF2310" w:rsidR="00730F80" w:rsidRDefault="003C34A5" w:rsidP="00D94CB4">
      <w:pPr>
        <w:pStyle w:val="4"/>
        <w:numPr>
          <w:ilvl w:val="0"/>
          <w:numId w:val="0"/>
        </w:numPr>
      </w:pPr>
      <w:bookmarkStart w:id="290" w:name="_Toc121592624"/>
      <w:r>
        <w:t xml:space="preserve">5.3.1.2. </w:t>
      </w:r>
      <w:r w:rsidR="00730F80" w:rsidRPr="00D676ED">
        <w:t>Таблетки</w:t>
      </w:r>
      <w:r w:rsidR="00730F80">
        <w:t xml:space="preserve"> с модифицированным высвобождением, покрытые пленочной оболочкой</w:t>
      </w:r>
      <w:bookmarkEnd w:id="290"/>
    </w:p>
    <w:p w14:paraId="3C6E9C2C" w14:textId="77777777" w:rsidR="00E61A3E" w:rsidRPr="00E61A3E" w:rsidRDefault="00E61A3E" w:rsidP="00E61A3E">
      <w:pPr>
        <w:spacing w:after="0"/>
      </w:pPr>
    </w:p>
    <w:p w14:paraId="4E4C499C" w14:textId="77777777" w:rsidR="00E61A3E" w:rsidRPr="00F8269C" w:rsidRDefault="00E61A3E" w:rsidP="00E61A3E">
      <w:pPr>
        <w:pStyle w:val="aff"/>
        <w:numPr>
          <w:ilvl w:val="0"/>
          <w:numId w:val="44"/>
        </w:numPr>
        <w:spacing w:after="0"/>
        <w:ind w:left="993" w:hanging="426"/>
        <w:rPr>
          <w:b/>
          <w:i/>
          <w:szCs w:val="24"/>
        </w:rPr>
      </w:pPr>
      <w:r w:rsidRPr="00F8269C">
        <w:rPr>
          <w:b/>
          <w:i/>
          <w:szCs w:val="24"/>
        </w:rPr>
        <w:t>Ревматоидный артрит</w:t>
      </w:r>
    </w:p>
    <w:p w14:paraId="5FB0CBDF" w14:textId="77777777" w:rsidR="00E61A3E" w:rsidRPr="00F8269C" w:rsidRDefault="00E61A3E" w:rsidP="00E61A3E">
      <w:pPr>
        <w:pStyle w:val="aff"/>
        <w:spacing w:after="0"/>
        <w:ind w:left="993" w:firstLine="0"/>
        <w:rPr>
          <w:szCs w:val="24"/>
        </w:rPr>
      </w:pPr>
      <w:r w:rsidRPr="00F8269C">
        <w:rPr>
          <w:szCs w:val="24"/>
        </w:rPr>
        <w:t>лечение взрослых пациентов с умеренным или тяжелым активным ревматоидным артритом с неадекватным ответом на один или несколько базисных противовоспалительных препаратов (БПВП).</w:t>
      </w:r>
    </w:p>
    <w:p w14:paraId="1C8A20ED" w14:textId="77777777" w:rsidR="00E61A3E" w:rsidRPr="00F8269C" w:rsidRDefault="00E61A3E" w:rsidP="00E61A3E">
      <w:pPr>
        <w:pStyle w:val="aff"/>
        <w:numPr>
          <w:ilvl w:val="0"/>
          <w:numId w:val="44"/>
        </w:numPr>
        <w:spacing w:after="0"/>
        <w:ind w:left="993" w:hanging="426"/>
        <w:rPr>
          <w:b/>
          <w:i/>
          <w:szCs w:val="24"/>
        </w:rPr>
      </w:pPr>
      <w:r w:rsidRPr="00F8269C">
        <w:rPr>
          <w:b/>
          <w:i/>
          <w:szCs w:val="24"/>
        </w:rPr>
        <w:t>Псориатический артрит</w:t>
      </w:r>
    </w:p>
    <w:p w14:paraId="7A1DE1AF" w14:textId="072733A0" w:rsidR="00E61A3E" w:rsidRPr="00F8269C" w:rsidRDefault="00E61A3E" w:rsidP="00E61A3E">
      <w:pPr>
        <w:pStyle w:val="aff"/>
        <w:spacing w:after="0"/>
        <w:ind w:left="993" w:firstLine="0"/>
        <w:rPr>
          <w:szCs w:val="24"/>
        </w:rPr>
      </w:pPr>
      <w:r>
        <w:rPr>
          <w:szCs w:val="24"/>
        </w:rPr>
        <w:t xml:space="preserve">в комбинации с метотрексатом </w:t>
      </w:r>
      <w:r w:rsidRPr="00F8269C">
        <w:rPr>
          <w:szCs w:val="24"/>
        </w:rPr>
        <w:t xml:space="preserve">лечение взрослых пациентов с активным псориатическим артритом с </w:t>
      </w:r>
      <w:r>
        <w:rPr>
          <w:szCs w:val="24"/>
        </w:rPr>
        <w:t>недостаточным</w:t>
      </w:r>
      <w:r w:rsidRPr="00F8269C">
        <w:rPr>
          <w:szCs w:val="24"/>
        </w:rPr>
        <w:t xml:space="preserve"> ответом </w:t>
      </w:r>
      <w:r>
        <w:rPr>
          <w:szCs w:val="24"/>
        </w:rPr>
        <w:t>или непереносимостью предшествующей терапии</w:t>
      </w:r>
      <w:r w:rsidRPr="00F8269C">
        <w:rPr>
          <w:szCs w:val="24"/>
        </w:rPr>
        <w:t xml:space="preserve"> БПВП.</w:t>
      </w:r>
    </w:p>
    <w:p w14:paraId="5F7014AA" w14:textId="77777777" w:rsidR="00E61A3E" w:rsidRPr="00F8269C" w:rsidRDefault="00E61A3E" w:rsidP="00E61A3E">
      <w:pPr>
        <w:pStyle w:val="aff"/>
        <w:numPr>
          <w:ilvl w:val="0"/>
          <w:numId w:val="44"/>
        </w:numPr>
        <w:spacing w:after="0"/>
        <w:ind w:left="993" w:hanging="426"/>
        <w:rPr>
          <w:b/>
          <w:i/>
          <w:szCs w:val="24"/>
        </w:rPr>
      </w:pPr>
      <w:r w:rsidRPr="00F8269C">
        <w:rPr>
          <w:b/>
          <w:i/>
          <w:szCs w:val="24"/>
        </w:rPr>
        <w:t>Язвенный колит</w:t>
      </w:r>
    </w:p>
    <w:p w14:paraId="69D5B1D2" w14:textId="77777777" w:rsidR="00E61A3E" w:rsidRPr="00F8269C" w:rsidRDefault="00E61A3E" w:rsidP="003F310C">
      <w:pPr>
        <w:pStyle w:val="aff"/>
        <w:spacing w:after="0"/>
        <w:ind w:left="993" w:firstLine="0"/>
        <w:rPr>
          <w:szCs w:val="24"/>
        </w:rPr>
      </w:pPr>
      <w:r w:rsidRPr="00F8269C">
        <w:rPr>
          <w:szCs w:val="24"/>
        </w:rPr>
        <w:t xml:space="preserve">индукционная или поддерживающая терапия взрослых пациентов с умеренным или тяжелым активным язвенным колитом (ЯК) с недостаточным ответом, потерей ответа или непереносимостью кортикостероидов, азатиоприна (АЗТ), 6-меркаптопурина (6-МП) или ингибиторов фактора некроза опухолей (ФНО). </w:t>
      </w:r>
    </w:p>
    <w:p w14:paraId="7FE2F22F" w14:textId="77777777" w:rsidR="00E61A3E" w:rsidRPr="00AA513A" w:rsidRDefault="00E61A3E" w:rsidP="003F310C">
      <w:pPr>
        <w:spacing w:after="0"/>
        <w:ind w:left="993" w:firstLine="0"/>
        <w:contextualSpacing/>
      </w:pPr>
    </w:p>
    <w:p w14:paraId="4911ED8B" w14:textId="7AB2F1EB" w:rsidR="00730F80" w:rsidRDefault="003C34A5" w:rsidP="003C34A5">
      <w:pPr>
        <w:pStyle w:val="3"/>
        <w:numPr>
          <w:ilvl w:val="0"/>
          <w:numId w:val="0"/>
        </w:numPr>
        <w:ind w:left="720" w:hanging="720"/>
      </w:pPr>
      <w:bookmarkStart w:id="291" w:name="_Toc115421098"/>
      <w:bookmarkStart w:id="292" w:name="_Toc121592625"/>
      <w:r>
        <w:t xml:space="preserve">5.3.2. </w:t>
      </w:r>
      <w:r w:rsidR="00730F80" w:rsidRPr="00D676ED">
        <w:t>Противопоказания</w:t>
      </w:r>
      <w:bookmarkEnd w:id="291"/>
      <w:bookmarkEnd w:id="292"/>
    </w:p>
    <w:p w14:paraId="4FD2C576" w14:textId="77777777" w:rsidR="00730F80" w:rsidRPr="00AA513A" w:rsidRDefault="00730F80" w:rsidP="003F310C">
      <w:pPr>
        <w:pStyle w:val="SDText"/>
        <w:spacing w:after="0"/>
      </w:pPr>
    </w:p>
    <w:p w14:paraId="63EE2325" w14:textId="2246FE9B" w:rsidR="00730F80" w:rsidRDefault="003C34A5" w:rsidP="003C34A5">
      <w:pPr>
        <w:pStyle w:val="4"/>
        <w:numPr>
          <w:ilvl w:val="0"/>
          <w:numId w:val="0"/>
        </w:numPr>
        <w:ind w:left="864" w:hanging="864"/>
      </w:pPr>
      <w:bookmarkStart w:id="293" w:name="_Toc121592626"/>
      <w:r>
        <w:t xml:space="preserve">5.3.2.1. </w:t>
      </w:r>
      <w:r w:rsidR="00730F80" w:rsidRPr="0091740A">
        <w:t xml:space="preserve">Таблетки, </w:t>
      </w:r>
      <w:r w:rsidR="00730F80" w:rsidRPr="00D676ED">
        <w:t>покрытые</w:t>
      </w:r>
      <w:r w:rsidR="00730F80" w:rsidRPr="0091740A">
        <w:t xml:space="preserve"> пленочной оболочкой</w:t>
      </w:r>
      <w:bookmarkEnd w:id="293"/>
    </w:p>
    <w:p w14:paraId="41C73622" w14:textId="77777777" w:rsidR="00730F80" w:rsidRPr="005C3CE4" w:rsidRDefault="00730F80" w:rsidP="003F310C">
      <w:pPr>
        <w:spacing w:after="0"/>
        <w:contextualSpacing/>
      </w:pPr>
    </w:p>
    <w:p w14:paraId="12747B37" w14:textId="77777777" w:rsidR="00730F80" w:rsidRPr="00BE63AF" w:rsidRDefault="00730F80" w:rsidP="003F310C">
      <w:pPr>
        <w:pStyle w:val="SDText"/>
        <w:numPr>
          <w:ilvl w:val="0"/>
          <w:numId w:val="5"/>
        </w:numPr>
        <w:spacing w:after="0"/>
        <w:contextualSpacing/>
      </w:pPr>
      <w:r w:rsidRPr="00BE63AF">
        <w:t>повышенная чувствительность к тофацитинибу или к любому другому компоненту препарата;</w:t>
      </w:r>
    </w:p>
    <w:p w14:paraId="19A79DB0" w14:textId="77777777" w:rsidR="00730F80" w:rsidRPr="00BE63AF" w:rsidRDefault="00730F80" w:rsidP="003F310C">
      <w:pPr>
        <w:pStyle w:val="SDText"/>
        <w:numPr>
          <w:ilvl w:val="0"/>
          <w:numId w:val="5"/>
        </w:numPr>
        <w:spacing w:after="0"/>
        <w:contextualSpacing/>
      </w:pPr>
      <w:r w:rsidRPr="00BE63AF">
        <w:t>тяжелое нарушение функции печени;</w:t>
      </w:r>
    </w:p>
    <w:p w14:paraId="4E591EF6" w14:textId="77777777" w:rsidR="00730F80" w:rsidRPr="00BE63AF" w:rsidRDefault="00730F80" w:rsidP="003F310C">
      <w:pPr>
        <w:pStyle w:val="SDText"/>
        <w:numPr>
          <w:ilvl w:val="0"/>
          <w:numId w:val="5"/>
        </w:numPr>
        <w:spacing w:after="0"/>
        <w:contextualSpacing/>
      </w:pPr>
      <w:r w:rsidRPr="00BE63AF">
        <w:t xml:space="preserve">инфицирование вирусами гепатита В и/или С (наличие серологических маркеров </w:t>
      </w:r>
      <w:r w:rsidRPr="00BE63AF">
        <w:rPr>
          <w:lang w:val="en-GB"/>
        </w:rPr>
        <w:t>HBV</w:t>
      </w:r>
      <w:r w:rsidRPr="00BE63AF">
        <w:t xml:space="preserve"> и </w:t>
      </w:r>
      <w:r w:rsidRPr="00BE63AF">
        <w:rPr>
          <w:lang w:val="en-GB"/>
        </w:rPr>
        <w:t>HCV</w:t>
      </w:r>
      <w:r w:rsidRPr="00BE63AF">
        <w:t xml:space="preserve"> инфекции);</w:t>
      </w:r>
    </w:p>
    <w:p w14:paraId="4C059BC8" w14:textId="77777777" w:rsidR="00730F80" w:rsidRPr="00BE63AF" w:rsidRDefault="00730F80" w:rsidP="003F310C">
      <w:pPr>
        <w:pStyle w:val="SDText"/>
        <w:numPr>
          <w:ilvl w:val="0"/>
          <w:numId w:val="5"/>
        </w:numPr>
        <w:spacing w:after="0"/>
        <w:contextualSpacing/>
      </w:pPr>
      <w:r w:rsidRPr="00BE63AF">
        <w:t>клиренс креатинина менее 40 мл/мин;</w:t>
      </w:r>
    </w:p>
    <w:p w14:paraId="0E362E63" w14:textId="77777777" w:rsidR="00730F80" w:rsidRPr="00BE63AF" w:rsidRDefault="00730F80" w:rsidP="003F310C">
      <w:pPr>
        <w:pStyle w:val="SDText"/>
        <w:numPr>
          <w:ilvl w:val="0"/>
          <w:numId w:val="5"/>
        </w:numPr>
        <w:spacing w:after="0"/>
        <w:contextualSpacing/>
      </w:pPr>
      <w:r w:rsidRPr="00BE63AF">
        <w:t>одновременное применение живых вакцин;</w:t>
      </w:r>
    </w:p>
    <w:p w14:paraId="4F9E4090" w14:textId="77777777" w:rsidR="00730F80" w:rsidRPr="00BE63AF" w:rsidRDefault="00730F80" w:rsidP="003F310C">
      <w:pPr>
        <w:pStyle w:val="SDText"/>
        <w:numPr>
          <w:ilvl w:val="0"/>
          <w:numId w:val="5"/>
        </w:numPr>
        <w:spacing w:after="0"/>
        <w:contextualSpacing/>
      </w:pPr>
      <w:r w:rsidRPr="00BE63AF">
        <w:t>следует избегать одновременного применения препарата с биологическими препаратами, такими как, ингибиторы фактора некроза опухоли (</w:t>
      </w:r>
      <w:r>
        <w:rPr>
          <w:lang w:val="en-US"/>
        </w:rPr>
        <w:t>TNF</w:t>
      </w:r>
      <w:r w:rsidRPr="00093609">
        <w:t>-</w:t>
      </w:r>
      <w:r>
        <w:rPr>
          <w:rFonts w:cs="Times New Roman"/>
        </w:rPr>
        <w:t>α</w:t>
      </w:r>
      <w:r w:rsidRPr="00BE63AF">
        <w:t>), антагонисты интерлейкинов (</w:t>
      </w:r>
      <w:r>
        <w:rPr>
          <w:lang w:val="en-US"/>
        </w:rPr>
        <w:t>IL</w:t>
      </w:r>
      <w:r w:rsidRPr="00BE63AF">
        <w:t>-</w:t>
      </w:r>
      <w:r w:rsidRPr="00BE63AF">
        <w:rPr>
          <w:lang w:val="en-GB"/>
        </w:rPr>
        <w:t>IR</w:t>
      </w:r>
      <w:r>
        <w:t>,</w:t>
      </w:r>
      <w:r w:rsidRPr="00BE63AF">
        <w:t xml:space="preserve"> </w:t>
      </w:r>
      <w:r>
        <w:rPr>
          <w:lang w:val="en-US"/>
        </w:rPr>
        <w:t>IL</w:t>
      </w:r>
      <w:r w:rsidRPr="00BE63AF">
        <w:t>-6</w:t>
      </w:r>
      <w:r w:rsidRPr="00BE63AF">
        <w:rPr>
          <w:lang w:val="en-GB"/>
        </w:rPr>
        <w:t>R</w:t>
      </w:r>
      <w:r w:rsidRPr="00BE63AF">
        <w:t>), моноклональные анти-С</w:t>
      </w:r>
      <w:r>
        <w:rPr>
          <w:lang w:val="en-US"/>
        </w:rPr>
        <w:t>D</w:t>
      </w:r>
      <w:r w:rsidRPr="00BE63AF">
        <w:t xml:space="preserve">20 антитела, антагонисты </w:t>
      </w:r>
      <w:r>
        <w:rPr>
          <w:lang w:val="en-US"/>
        </w:rPr>
        <w:t>IL</w:t>
      </w:r>
      <w:r w:rsidRPr="00BE63AF">
        <w:t xml:space="preserve">-17, антагонисты </w:t>
      </w:r>
      <w:r>
        <w:rPr>
          <w:lang w:val="en-US"/>
        </w:rPr>
        <w:t>IL</w:t>
      </w:r>
      <w:r w:rsidRPr="00BE63AF">
        <w:t>-12/</w:t>
      </w:r>
      <w:r>
        <w:rPr>
          <w:lang w:val="en-US"/>
        </w:rPr>
        <w:t>IL</w:t>
      </w:r>
      <w:r w:rsidRPr="00BE63AF">
        <w:t>-23, антиинтегрины, селективные ко-стимулирующие модуляторы, а также мощные иммунодепрессанты, такие как азатиоприн, циклоспорин и такролимус, поскольку такая комбинация увеличивает вероятность выраженной иммуносупрессии и риск развития инфекции;</w:t>
      </w:r>
    </w:p>
    <w:p w14:paraId="051FC1C9" w14:textId="77777777" w:rsidR="00730F80" w:rsidRPr="00BE63AF" w:rsidRDefault="00730F80" w:rsidP="003F310C">
      <w:pPr>
        <w:pStyle w:val="SDText"/>
        <w:numPr>
          <w:ilvl w:val="0"/>
          <w:numId w:val="5"/>
        </w:numPr>
        <w:spacing w:after="0"/>
        <w:contextualSpacing/>
      </w:pPr>
      <w:r w:rsidRPr="00BE63AF">
        <w:t>тяжелые инфекции, активные инфекции, включая локальные, тяжелые инфекционные заболевания;</w:t>
      </w:r>
    </w:p>
    <w:p w14:paraId="2E59FDF5" w14:textId="77777777" w:rsidR="00730F80" w:rsidRPr="00BE63AF" w:rsidRDefault="00730F80" w:rsidP="003F310C">
      <w:pPr>
        <w:pStyle w:val="SDText"/>
        <w:numPr>
          <w:ilvl w:val="0"/>
          <w:numId w:val="5"/>
        </w:numPr>
        <w:spacing w:after="0"/>
        <w:contextualSpacing/>
      </w:pPr>
      <w:r w:rsidRPr="00BE63AF">
        <w:t>дефицит лактазы, непереносимость лактозы, гл</w:t>
      </w:r>
      <w:r>
        <w:t>юк</w:t>
      </w:r>
      <w:r w:rsidRPr="00BE63AF">
        <w:t>озо-галактозная мальабсорбция;</w:t>
      </w:r>
    </w:p>
    <w:p w14:paraId="4D7073D9" w14:textId="77777777" w:rsidR="00730F80" w:rsidRPr="00BE63AF" w:rsidRDefault="00730F80" w:rsidP="003F310C">
      <w:pPr>
        <w:pStyle w:val="SDText"/>
        <w:numPr>
          <w:ilvl w:val="0"/>
          <w:numId w:val="5"/>
        </w:numPr>
        <w:spacing w:after="0"/>
        <w:contextualSpacing/>
      </w:pPr>
      <w:r w:rsidRPr="00BE63AF">
        <w:t>беременность (безопасность и эффективность не исследовались);</w:t>
      </w:r>
    </w:p>
    <w:p w14:paraId="6E192F7C" w14:textId="77777777" w:rsidR="00730F80" w:rsidRPr="00BE63AF" w:rsidRDefault="00730F80" w:rsidP="003F310C">
      <w:pPr>
        <w:pStyle w:val="SDText"/>
        <w:numPr>
          <w:ilvl w:val="0"/>
          <w:numId w:val="5"/>
        </w:numPr>
        <w:spacing w:after="0"/>
        <w:contextualSpacing/>
      </w:pPr>
      <w:r w:rsidRPr="00BE63AF">
        <w:t>период грудного вскармливания;</w:t>
      </w:r>
    </w:p>
    <w:p w14:paraId="573F9837" w14:textId="77777777" w:rsidR="00730F80" w:rsidRDefault="00730F80" w:rsidP="003F310C">
      <w:pPr>
        <w:pStyle w:val="SDText"/>
        <w:numPr>
          <w:ilvl w:val="0"/>
          <w:numId w:val="5"/>
        </w:numPr>
        <w:spacing w:after="0"/>
        <w:contextualSpacing/>
      </w:pPr>
      <w:r w:rsidRPr="00BE63AF">
        <w:t>детский возраст до 18 лет (безопасность и эффективность не исследовались), за исключением пациентов с полиартикулярным ювенильным идиопатическим артритом</w:t>
      </w:r>
      <w:r>
        <w:t>.</w:t>
      </w:r>
      <w:r w:rsidRPr="00BE63AF">
        <w:t xml:space="preserve"> </w:t>
      </w:r>
    </w:p>
    <w:p w14:paraId="3DBF4CAC" w14:textId="77777777" w:rsidR="00730F80" w:rsidRPr="00BE63AF" w:rsidRDefault="00730F80" w:rsidP="003F310C">
      <w:pPr>
        <w:pStyle w:val="SDText"/>
        <w:spacing w:after="0"/>
        <w:ind w:left="709" w:firstLine="0"/>
        <w:contextualSpacing/>
      </w:pPr>
      <w:r w:rsidRPr="00BE63AF">
        <w:t>Тофацитиниб 10 мг два раза в сутки противопоказан пациентам, у которых есть одно или несколько из следующих состояний:</w:t>
      </w:r>
    </w:p>
    <w:p w14:paraId="6EED4264" w14:textId="77777777" w:rsidR="00730F80" w:rsidRPr="00BE63AF" w:rsidRDefault="00730F80" w:rsidP="003F310C">
      <w:pPr>
        <w:pStyle w:val="SDText"/>
        <w:numPr>
          <w:ilvl w:val="0"/>
          <w:numId w:val="7"/>
        </w:numPr>
        <w:spacing w:after="0"/>
        <w:contextualSpacing/>
      </w:pPr>
      <w:r w:rsidRPr="00BE63AF">
        <w:t>Использование комбинированных гормональных контрацептивов или заместительной гормональной терапии</w:t>
      </w:r>
    </w:p>
    <w:p w14:paraId="1F18E35A" w14:textId="77777777" w:rsidR="00730F80" w:rsidRPr="00BE63AF" w:rsidRDefault="00730F80" w:rsidP="003F310C">
      <w:pPr>
        <w:pStyle w:val="SDText"/>
        <w:numPr>
          <w:ilvl w:val="0"/>
          <w:numId w:val="7"/>
        </w:numPr>
        <w:spacing w:after="0"/>
        <w:contextualSpacing/>
      </w:pPr>
      <w:r w:rsidRPr="00BE63AF">
        <w:t>Сердечная недостаточность</w:t>
      </w:r>
    </w:p>
    <w:p w14:paraId="18D6B243" w14:textId="77777777" w:rsidR="00730F80" w:rsidRPr="00BE63AF" w:rsidRDefault="00730F80" w:rsidP="003F310C">
      <w:pPr>
        <w:pStyle w:val="SDText"/>
        <w:numPr>
          <w:ilvl w:val="0"/>
          <w:numId w:val="7"/>
        </w:numPr>
        <w:spacing w:after="0"/>
        <w:contextualSpacing/>
      </w:pPr>
      <w:r w:rsidRPr="00BE63AF">
        <w:t>Венозная тромбоэмболия в анамнезе, а именно тромбоэмболия глубоких вен или легочная эмболия</w:t>
      </w:r>
    </w:p>
    <w:p w14:paraId="7F818183" w14:textId="77777777" w:rsidR="00730F80" w:rsidRPr="00BE63AF" w:rsidRDefault="00730F80" w:rsidP="003F310C">
      <w:pPr>
        <w:pStyle w:val="SDText"/>
        <w:numPr>
          <w:ilvl w:val="0"/>
          <w:numId w:val="7"/>
        </w:numPr>
        <w:spacing w:after="0"/>
        <w:contextualSpacing/>
      </w:pPr>
      <w:r w:rsidRPr="00BE63AF">
        <w:t>Наследственное нарушение свертываемости крови</w:t>
      </w:r>
    </w:p>
    <w:p w14:paraId="2652823E" w14:textId="77777777" w:rsidR="00730F80" w:rsidRPr="00BE63AF" w:rsidRDefault="00730F80" w:rsidP="003F310C">
      <w:pPr>
        <w:pStyle w:val="SDText"/>
        <w:numPr>
          <w:ilvl w:val="0"/>
          <w:numId w:val="7"/>
        </w:numPr>
        <w:spacing w:after="0"/>
        <w:contextualSpacing/>
      </w:pPr>
      <w:r w:rsidRPr="00BE63AF">
        <w:t>Злокачественное новообразование</w:t>
      </w:r>
    </w:p>
    <w:p w14:paraId="465B3D8B" w14:textId="77777777" w:rsidR="00730F80" w:rsidRDefault="00730F80" w:rsidP="003F310C">
      <w:pPr>
        <w:pStyle w:val="SDText"/>
        <w:numPr>
          <w:ilvl w:val="0"/>
          <w:numId w:val="7"/>
        </w:numPr>
        <w:spacing w:after="0"/>
        <w:contextualSpacing/>
      </w:pPr>
      <w:r w:rsidRPr="00BE63AF">
        <w:t>Пациенты, подвергающиеся значительным хирургическим вмешательствам</w:t>
      </w:r>
      <w:r>
        <w:t>.</w:t>
      </w:r>
    </w:p>
    <w:p w14:paraId="3554E01A" w14:textId="77777777" w:rsidR="00730F80" w:rsidRPr="00341A0F" w:rsidRDefault="00730F80" w:rsidP="003C34A5">
      <w:pPr>
        <w:pStyle w:val="SDText"/>
        <w:spacing w:after="0"/>
        <w:ind w:firstLine="0"/>
        <w:contextualSpacing/>
        <w:rPr>
          <w:b/>
          <w:bCs/>
        </w:rPr>
      </w:pPr>
      <w:r w:rsidRPr="00341A0F">
        <w:rPr>
          <w:b/>
          <w:bCs/>
        </w:rPr>
        <w:t>С осторожностью</w:t>
      </w:r>
    </w:p>
    <w:p w14:paraId="142620C9" w14:textId="77777777" w:rsidR="00730F80" w:rsidRDefault="00730F80" w:rsidP="003F310C">
      <w:pPr>
        <w:pStyle w:val="SDText"/>
        <w:spacing w:after="0"/>
        <w:contextualSpacing/>
      </w:pPr>
      <w:r>
        <w:t>Препарат следует применять с осторожностью:</w:t>
      </w:r>
    </w:p>
    <w:p w14:paraId="15C4829C" w14:textId="77777777" w:rsidR="00730F80" w:rsidRDefault="00730F80" w:rsidP="003C34A5">
      <w:pPr>
        <w:pStyle w:val="SDText"/>
        <w:numPr>
          <w:ilvl w:val="0"/>
          <w:numId w:val="8"/>
        </w:numPr>
        <w:spacing w:after="0"/>
        <w:ind w:left="1134"/>
        <w:contextualSpacing/>
      </w:pPr>
      <w:r>
        <w:t>при повышенном риске перфорации органов ЖКТ (например, у пациентов с дивертикулитом в анамнезе).</w:t>
      </w:r>
    </w:p>
    <w:p w14:paraId="2ED34801" w14:textId="51A1B10B" w:rsidR="00730F80" w:rsidRDefault="00730F80" w:rsidP="003C34A5">
      <w:pPr>
        <w:pStyle w:val="SDText"/>
        <w:numPr>
          <w:ilvl w:val="0"/>
          <w:numId w:val="8"/>
        </w:numPr>
        <w:spacing w:after="0"/>
        <w:ind w:left="1134"/>
        <w:contextualSpacing/>
      </w:pPr>
      <w:r>
        <w:t>у лиц пожилого возраста и пациентов с сахарным диабетом в связи с высоким риском развития инфекционных заболеваний.</w:t>
      </w:r>
    </w:p>
    <w:p w14:paraId="4311E004" w14:textId="77777777" w:rsidR="003F310C" w:rsidRDefault="003F310C" w:rsidP="003C34A5">
      <w:pPr>
        <w:pStyle w:val="SDText"/>
        <w:spacing w:after="0"/>
        <w:ind w:left="720" w:firstLine="0"/>
        <w:contextualSpacing/>
      </w:pPr>
    </w:p>
    <w:p w14:paraId="3E5B6641" w14:textId="77777777" w:rsidR="00791E09" w:rsidRDefault="00791E09" w:rsidP="003C34A5">
      <w:pPr>
        <w:pStyle w:val="4"/>
        <w:numPr>
          <w:ilvl w:val="0"/>
          <w:numId w:val="0"/>
        </w:numPr>
        <w:ind w:left="864" w:hanging="864"/>
        <w:sectPr w:rsidR="00791E09" w:rsidSect="00F85178">
          <w:headerReference w:type="first" r:id="rId24"/>
          <w:footerReference w:type="first" r:id="rId25"/>
          <w:pgSz w:w="11906" w:h="16838"/>
          <w:pgMar w:top="1134" w:right="850" w:bottom="1134" w:left="1701" w:header="708" w:footer="708" w:gutter="0"/>
          <w:cols w:space="708"/>
          <w:docGrid w:linePitch="360"/>
        </w:sectPr>
      </w:pPr>
      <w:bookmarkStart w:id="294" w:name="_Toc121592627"/>
    </w:p>
    <w:p w14:paraId="7A7E2414" w14:textId="5D7A7806" w:rsidR="00730F80" w:rsidRDefault="003C34A5" w:rsidP="003C34A5">
      <w:pPr>
        <w:pStyle w:val="4"/>
        <w:numPr>
          <w:ilvl w:val="0"/>
          <w:numId w:val="0"/>
        </w:numPr>
        <w:ind w:left="864" w:hanging="864"/>
      </w:pPr>
      <w:r>
        <w:lastRenderedPageBreak/>
        <w:t xml:space="preserve">5.3.2.2. </w:t>
      </w:r>
      <w:r w:rsidR="00730F80" w:rsidRPr="00D676ED">
        <w:t>Таблетки</w:t>
      </w:r>
      <w:r w:rsidR="00730F80">
        <w:t xml:space="preserve"> с модифицированным высвобождением, покрытые пленочной оболочкой</w:t>
      </w:r>
      <w:bookmarkEnd w:id="294"/>
    </w:p>
    <w:p w14:paraId="2589F3CA" w14:textId="77777777" w:rsidR="003F310C" w:rsidRPr="003F310C" w:rsidRDefault="003F310C" w:rsidP="003F310C">
      <w:pPr>
        <w:spacing w:after="0"/>
      </w:pPr>
    </w:p>
    <w:p w14:paraId="543B0BAD" w14:textId="77777777" w:rsidR="00730F80" w:rsidRDefault="00730F80" w:rsidP="003F310C">
      <w:pPr>
        <w:pStyle w:val="SDText"/>
        <w:numPr>
          <w:ilvl w:val="0"/>
          <w:numId w:val="19"/>
        </w:numPr>
        <w:spacing w:after="0"/>
        <w:contextualSpacing/>
      </w:pPr>
      <w:r>
        <w:t>повышенная чувствительность к тофацитинибу или к любому другому компоненту препарата;</w:t>
      </w:r>
    </w:p>
    <w:p w14:paraId="783BC1CA" w14:textId="77777777" w:rsidR="00730F80" w:rsidRDefault="00730F80" w:rsidP="003F310C">
      <w:pPr>
        <w:pStyle w:val="SDText"/>
        <w:numPr>
          <w:ilvl w:val="0"/>
          <w:numId w:val="19"/>
        </w:numPr>
        <w:spacing w:after="0"/>
        <w:contextualSpacing/>
      </w:pPr>
      <w:r>
        <w:t>тяжелое нарушение функции печени;</w:t>
      </w:r>
    </w:p>
    <w:p w14:paraId="27864956" w14:textId="77777777" w:rsidR="00730F80" w:rsidRDefault="00730F80" w:rsidP="003F310C">
      <w:pPr>
        <w:pStyle w:val="SDText"/>
        <w:numPr>
          <w:ilvl w:val="0"/>
          <w:numId w:val="19"/>
        </w:numPr>
        <w:spacing w:after="0"/>
        <w:contextualSpacing/>
      </w:pPr>
      <w:r>
        <w:t>инфицирование вирусами гепатита В и/или С (наличие серологических маркеров HBV и HCV инфекции);</w:t>
      </w:r>
    </w:p>
    <w:p w14:paraId="65B831E5" w14:textId="77777777" w:rsidR="00730F80" w:rsidRDefault="00730F80" w:rsidP="003F310C">
      <w:pPr>
        <w:pStyle w:val="SDText"/>
        <w:numPr>
          <w:ilvl w:val="0"/>
          <w:numId w:val="19"/>
        </w:numPr>
        <w:spacing w:after="0"/>
        <w:contextualSpacing/>
      </w:pPr>
      <w:r>
        <w:t>клиренс креатинина менее 40 мл/мин;</w:t>
      </w:r>
    </w:p>
    <w:p w14:paraId="665F0D3C" w14:textId="77777777" w:rsidR="00730F80" w:rsidRDefault="00730F80" w:rsidP="003F310C">
      <w:pPr>
        <w:pStyle w:val="SDText"/>
        <w:numPr>
          <w:ilvl w:val="0"/>
          <w:numId w:val="19"/>
        </w:numPr>
        <w:spacing w:after="0"/>
        <w:contextualSpacing/>
      </w:pPr>
      <w:r>
        <w:t>одновременное применение живых вакцин;</w:t>
      </w:r>
    </w:p>
    <w:p w14:paraId="678B97FA" w14:textId="2B112F19" w:rsidR="00730F80" w:rsidRDefault="00730F80" w:rsidP="003F310C">
      <w:pPr>
        <w:pStyle w:val="SDText"/>
        <w:numPr>
          <w:ilvl w:val="0"/>
          <w:numId w:val="19"/>
        </w:numPr>
        <w:spacing w:after="0"/>
        <w:contextualSpacing/>
      </w:pPr>
      <w:r>
        <w:t xml:space="preserve">следует избегать одновременного применения </w:t>
      </w:r>
      <w:r w:rsidR="00005F44">
        <w:t>тофацитиниба</w:t>
      </w:r>
      <w:r>
        <w:t xml:space="preserve"> с такими препаратами, как ингибиторы фактора некроза опухоли (</w:t>
      </w:r>
      <w:r>
        <w:rPr>
          <w:lang w:val="en-US"/>
        </w:rPr>
        <w:t>TNF</w:t>
      </w:r>
      <w:r w:rsidRPr="00793B93">
        <w:t>-</w:t>
      </w:r>
      <w:r>
        <w:rPr>
          <w:rFonts w:cs="Times New Roman"/>
        </w:rPr>
        <w:t>α</w:t>
      </w:r>
      <w:r>
        <w:t>), антагонисты интерлейкинов (</w:t>
      </w:r>
      <w:r>
        <w:rPr>
          <w:lang w:val="en-US"/>
        </w:rPr>
        <w:t>IL</w:t>
      </w:r>
      <w:r>
        <w:t xml:space="preserve">-IR, </w:t>
      </w:r>
      <w:r>
        <w:rPr>
          <w:lang w:val="en-US"/>
        </w:rPr>
        <w:t>IL</w:t>
      </w:r>
      <w:r>
        <w:t>-6R), моноклональные анти-С</w:t>
      </w:r>
      <w:r>
        <w:rPr>
          <w:lang w:val="en-US"/>
        </w:rPr>
        <w:t>D</w:t>
      </w:r>
      <w:r>
        <w:t xml:space="preserve">20 антитела, антагонисты </w:t>
      </w:r>
      <w:r>
        <w:rPr>
          <w:lang w:val="en-US"/>
        </w:rPr>
        <w:t>IL</w:t>
      </w:r>
      <w:r>
        <w:t xml:space="preserve">-17, антагонисты </w:t>
      </w:r>
      <w:r>
        <w:rPr>
          <w:lang w:val="en-US"/>
        </w:rPr>
        <w:t>IL</w:t>
      </w:r>
      <w:r>
        <w:t>-12/</w:t>
      </w:r>
      <w:r>
        <w:rPr>
          <w:lang w:val="en-US"/>
        </w:rPr>
        <w:t>IL</w:t>
      </w:r>
      <w:r>
        <w:t xml:space="preserve">-23, антиинтегрины, </w:t>
      </w:r>
      <w:r w:rsidRPr="00793B93">
        <w:t>селективные</w:t>
      </w:r>
      <w:r>
        <w:t xml:space="preserve"> ко-стимулирующие модуляторы, а также мощные иммунодепрессанты, такие как азатиоприн, циклоспорин и такролимус, поскольку такая комбинация увеличивает вероятность выраженной иммуносупрессии и риск развития инфекции;</w:t>
      </w:r>
    </w:p>
    <w:p w14:paraId="71524236" w14:textId="77777777" w:rsidR="00730F80" w:rsidRDefault="00730F80" w:rsidP="003F310C">
      <w:pPr>
        <w:pStyle w:val="SDText"/>
        <w:numPr>
          <w:ilvl w:val="0"/>
          <w:numId w:val="19"/>
        </w:numPr>
        <w:spacing w:after="0"/>
        <w:contextualSpacing/>
      </w:pPr>
      <w:r>
        <w:t>активные инфекции, включая локальные;</w:t>
      </w:r>
    </w:p>
    <w:p w14:paraId="7BC2FD23" w14:textId="77777777" w:rsidR="00730F80" w:rsidRDefault="00730F80" w:rsidP="003F310C">
      <w:pPr>
        <w:pStyle w:val="SDText"/>
        <w:numPr>
          <w:ilvl w:val="0"/>
          <w:numId w:val="19"/>
        </w:numPr>
        <w:spacing w:after="0"/>
        <w:contextualSpacing/>
      </w:pPr>
      <w:r>
        <w:t>беременность;</w:t>
      </w:r>
    </w:p>
    <w:p w14:paraId="02761ABC" w14:textId="77777777" w:rsidR="00730F80" w:rsidRDefault="00730F80" w:rsidP="003F310C">
      <w:pPr>
        <w:pStyle w:val="SDText"/>
        <w:numPr>
          <w:ilvl w:val="0"/>
          <w:numId w:val="19"/>
        </w:numPr>
        <w:spacing w:after="0"/>
        <w:contextualSpacing/>
      </w:pPr>
      <w:r>
        <w:t>период грудного вскармливания;</w:t>
      </w:r>
    </w:p>
    <w:p w14:paraId="07EC4AE2" w14:textId="77777777" w:rsidR="00730F80" w:rsidRDefault="00730F80" w:rsidP="003F310C">
      <w:pPr>
        <w:pStyle w:val="SDText"/>
        <w:numPr>
          <w:ilvl w:val="0"/>
          <w:numId w:val="19"/>
        </w:numPr>
        <w:spacing w:after="0"/>
        <w:contextualSpacing/>
      </w:pPr>
      <w:r>
        <w:t>детский возраст до 18 лет (безопасность и эффективность не установлены).</w:t>
      </w:r>
    </w:p>
    <w:p w14:paraId="0F017681" w14:textId="77777777" w:rsidR="00730F80" w:rsidRDefault="00730F80" w:rsidP="003F310C">
      <w:pPr>
        <w:pStyle w:val="SDText"/>
        <w:spacing w:after="0"/>
        <w:contextualSpacing/>
        <w:rPr>
          <w:b/>
          <w:bCs/>
        </w:rPr>
      </w:pPr>
    </w:p>
    <w:p w14:paraId="1FE4CE23" w14:textId="56A46611" w:rsidR="00730F80" w:rsidRPr="003F310C" w:rsidRDefault="00730F80" w:rsidP="003F310C">
      <w:pPr>
        <w:spacing w:after="0"/>
        <w:ind w:firstLine="0"/>
        <w:rPr>
          <w:b/>
        </w:rPr>
      </w:pPr>
      <w:r w:rsidRPr="003F310C">
        <w:rPr>
          <w:b/>
        </w:rPr>
        <w:t>С осторожностью</w:t>
      </w:r>
    </w:p>
    <w:p w14:paraId="27C4E08B" w14:textId="6B387574" w:rsidR="00730F80" w:rsidRDefault="00730F80" w:rsidP="003F310C">
      <w:pPr>
        <w:pStyle w:val="SDText"/>
        <w:numPr>
          <w:ilvl w:val="0"/>
          <w:numId w:val="45"/>
        </w:numPr>
        <w:spacing w:after="0"/>
        <w:contextualSpacing/>
      </w:pPr>
      <w:r>
        <w:t>Препарат следует применять с осторожностью:</w:t>
      </w:r>
    </w:p>
    <w:p w14:paraId="46E70771" w14:textId="77777777" w:rsidR="00730F80" w:rsidRDefault="00730F80" w:rsidP="003F310C">
      <w:pPr>
        <w:pStyle w:val="SDText"/>
        <w:numPr>
          <w:ilvl w:val="0"/>
          <w:numId w:val="45"/>
        </w:numPr>
        <w:spacing w:after="0"/>
        <w:contextualSpacing/>
      </w:pPr>
      <w:r>
        <w:t>при повышенном риске перфорации органов желудочно-кишечного тракта (ЖКТ) (например, у пациентов с дивертикулитом в анамнезе).</w:t>
      </w:r>
    </w:p>
    <w:p w14:paraId="281556D0" w14:textId="77777777" w:rsidR="00730F80" w:rsidRDefault="00730F80" w:rsidP="003F310C">
      <w:pPr>
        <w:pStyle w:val="SDText"/>
        <w:numPr>
          <w:ilvl w:val="0"/>
          <w:numId w:val="45"/>
        </w:numPr>
        <w:spacing w:after="0"/>
        <w:contextualSpacing/>
      </w:pPr>
      <w:r>
        <w:t>у пациентов с хроническими заболеваниями легких, так как они могут быть более подвержены инфекциям.</w:t>
      </w:r>
    </w:p>
    <w:p w14:paraId="55B03E75" w14:textId="77777777" w:rsidR="00730F80" w:rsidRDefault="00730F80" w:rsidP="003F310C">
      <w:pPr>
        <w:pStyle w:val="SDText"/>
        <w:numPr>
          <w:ilvl w:val="0"/>
          <w:numId w:val="45"/>
        </w:numPr>
        <w:spacing w:after="0"/>
        <w:contextualSpacing/>
      </w:pPr>
      <w:r>
        <w:t>у лиц пожилого возраста и пациентов с сахарным диабетом в связи с высоким риском развития инфекционных заболеваний.</w:t>
      </w:r>
    </w:p>
    <w:p w14:paraId="6558E0A0" w14:textId="77777777" w:rsidR="00730F80" w:rsidRDefault="00730F80" w:rsidP="003F310C">
      <w:pPr>
        <w:pStyle w:val="SDText"/>
        <w:numPr>
          <w:ilvl w:val="0"/>
          <w:numId w:val="45"/>
        </w:numPr>
        <w:spacing w:after="0"/>
        <w:contextualSpacing/>
      </w:pPr>
      <w:r>
        <w:t>у пациентов с ранее существовавшим тяжелым сужением желудочно-кишечного тракта (патологическим или ятрогенным).</w:t>
      </w:r>
    </w:p>
    <w:p w14:paraId="1DAE36F7" w14:textId="77777777" w:rsidR="00730F80" w:rsidRPr="00C2140A" w:rsidRDefault="00730F80" w:rsidP="003F310C">
      <w:pPr>
        <w:pStyle w:val="SDText"/>
        <w:spacing w:after="0"/>
        <w:ind w:left="720" w:firstLine="0"/>
        <w:contextualSpacing/>
      </w:pPr>
    </w:p>
    <w:p w14:paraId="3F7F573B" w14:textId="4079E92C" w:rsidR="00730F80" w:rsidRDefault="003C34A5" w:rsidP="003C34A5">
      <w:pPr>
        <w:pStyle w:val="3"/>
        <w:numPr>
          <w:ilvl w:val="0"/>
          <w:numId w:val="0"/>
        </w:numPr>
        <w:ind w:left="720" w:hanging="720"/>
      </w:pPr>
      <w:bookmarkStart w:id="295" w:name="_Toc115421099"/>
      <w:bookmarkStart w:id="296" w:name="_Toc121592628"/>
      <w:r>
        <w:t xml:space="preserve">5.3.3. </w:t>
      </w:r>
      <w:r w:rsidR="00730F80" w:rsidRPr="00A21D08">
        <w:t>Применение</w:t>
      </w:r>
      <w:r w:rsidR="00730F80" w:rsidRPr="00EC6573">
        <w:t xml:space="preserve"> </w:t>
      </w:r>
      <w:r w:rsidR="00730F80">
        <w:t>при</w:t>
      </w:r>
      <w:r w:rsidR="00730F80" w:rsidRPr="00EC6573">
        <w:t xml:space="preserve"> </w:t>
      </w:r>
      <w:r w:rsidR="00730F80" w:rsidRPr="005533A4">
        <w:t>беременности</w:t>
      </w:r>
      <w:r w:rsidR="00730F80" w:rsidRPr="00EC6573">
        <w:t xml:space="preserve"> </w:t>
      </w:r>
      <w:r w:rsidR="00730F80" w:rsidRPr="005533A4">
        <w:t>и</w:t>
      </w:r>
      <w:r w:rsidR="00730F80" w:rsidRPr="00EC6573">
        <w:t xml:space="preserve"> </w:t>
      </w:r>
      <w:r w:rsidR="00730F80" w:rsidRPr="005533A4">
        <w:t>в</w:t>
      </w:r>
      <w:r w:rsidR="00730F80" w:rsidRPr="00EC6573">
        <w:t xml:space="preserve"> </w:t>
      </w:r>
      <w:r w:rsidR="00730F80" w:rsidRPr="005533A4">
        <w:t>период</w:t>
      </w:r>
      <w:r w:rsidR="00730F80" w:rsidRPr="00EC6573">
        <w:t xml:space="preserve"> </w:t>
      </w:r>
      <w:r w:rsidR="00730F80" w:rsidRPr="005533A4">
        <w:t>грудного</w:t>
      </w:r>
      <w:r w:rsidR="00730F80" w:rsidRPr="00EC6573">
        <w:t xml:space="preserve"> </w:t>
      </w:r>
      <w:r w:rsidR="00730F80" w:rsidRPr="005533A4">
        <w:t>вскармливания</w:t>
      </w:r>
      <w:bookmarkEnd w:id="295"/>
      <w:bookmarkEnd w:id="296"/>
    </w:p>
    <w:p w14:paraId="13424070" w14:textId="77777777" w:rsidR="00730F80" w:rsidRPr="005C3CE4" w:rsidRDefault="00730F80" w:rsidP="003F310C">
      <w:pPr>
        <w:pStyle w:val="SDText"/>
        <w:spacing w:after="0"/>
      </w:pPr>
    </w:p>
    <w:p w14:paraId="6FAEBF88" w14:textId="378749FA" w:rsidR="00730F80" w:rsidRPr="0091740A" w:rsidRDefault="003C34A5" w:rsidP="003C34A5">
      <w:pPr>
        <w:pStyle w:val="4"/>
        <w:numPr>
          <w:ilvl w:val="0"/>
          <w:numId w:val="0"/>
        </w:numPr>
        <w:ind w:left="864" w:hanging="864"/>
      </w:pPr>
      <w:bookmarkStart w:id="297" w:name="_Toc121592629"/>
      <w:r>
        <w:t xml:space="preserve">5.3.3.1. </w:t>
      </w:r>
      <w:r w:rsidR="00730F80">
        <w:t>Таблетки, покрытые пленочной оболочкой</w:t>
      </w:r>
      <w:bookmarkEnd w:id="297"/>
    </w:p>
    <w:p w14:paraId="1DF6C31D" w14:textId="77777777" w:rsidR="00730F80" w:rsidRDefault="00730F80" w:rsidP="003F310C">
      <w:pPr>
        <w:pStyle w:val="SDText"/>
        <w:spacing w:after="0"/>
        <w:contextualSpacing/>
      </w:pPr>
    </w:p>
    <w:p w14:paraId="1EA7E902" w14:textId="77777777" w:rsidR="00730F80" w:rsidRDefault="00730F80" w:rsidP="003F310C">
      <w:pPr>
        <w:pStyle w:val="SDText"/>
        <w:spacing w:after="0"/>
        <w:contextualSpacing/>
      </w:pPr>
      <w:r>
        <w:t>Адекватные, хорошо контролируемые исследования применения препарата у беременных женщин не проводились. Препарат не следует принимать во время беременности.</w:t>
      </w:r>
    </w:p>
    <w:p w14:paraId="2AA2B16B" w14:textId="77777777" w:rsidR="00730F80" w:rsidRDefault="00730F80" w:rsidP="003F310C">
      <w:pPr>
        <w:pStyle w:val="SDText"/>
        <w:spacing w:after="0"/>
        <w:contextualSpacing/>
      </w:pPr>
      <w:r>
        <w:t>Женщинам с репродуктивным потенциалом следует рекомендовать использование эффективных средств контрацепции во время терапии препаратом и в течение по меньшей мере 4 недель после приема последней дозы препарата.</w:t>
      </w:r>
    </w:p>
    <w:p w14:paraId="3E7D187C" w14:textId="5F851E0F" w:rsidR="00730F80" w:rsidRDefault="00730F80" w:rsidP="003F310C">
      <w:pPr>
        <w:pStyle w:val="SDText"/>
        <w:spacing w:after="0"/>
        <w:contextualSpacing/>
      </w:pPr>
      <w:r>
        <w:t>Способность тофацитиниба проникать в грудное молоко у человека не изучена. Следует прекратить кормление грудью в период терапии препаратом.</w:t>
      </w:r>
    </w:p>
    <w:p w14:paraId="10DF07AF" w14:textId="77777777" w:rsidR="00F05338" w:rsidRDefault="00F05338" w:rsidP="003F310C">
      <w:pPr>
        <w:pStyle w:val="SDText"/>
        <w:spacing w:after="0"/>
        <w:contextualSpacing/>
      </w:pPr>
    </w:p>
    <w:p w14:paraId="602112E1" w14:textId="24F87E9F" w:rsidR="00730F80" w:rsidRDefault="003C34A5" w:rsidP="00D94CB4">
      <w:pPr>
        <w:pStyle w:val="4"/>
        <w:numPr>
          <w:ilvl w:val="0"/>
          <w:numId w:val="0"/>
        </w:numPr>
      </w:pPr>
      <w:bookmarkStart w:id="298" w:name="_Toc121592630"/>
      <w:r>
        <w:lastRenderedPageBreak/>
        <w:t xml:space="preserve">5.3.3.2. </w:t>
      </w:r>
      <w:r w:rsidR="00730F80">
        <w:t>Таблетки с модифицированным высвобождением, покрытые пленочной оболочкой</w:t>
      </w:r>
      <w:bookmarkEnd w:id="298"/>
    </w:p>
    <w:p w14:paraId="6FDE26AA" w14:textId="77777777" w:rsidR="00730F80" w:rsidRDefault="00730F80" w:rsidP="003F310C">
      <w:pPr>
        <w:pStyle w:val="SDText"/>
        <w:spacing w:after="0"/>
        <w:contextualSpacing/>
      </w:pPr>
    </w:p>
    <w:p w14:paraId="387E3B4C" w14:textId="31BBDE5D" w:rsidR="00730F80" w:rsidRDefault="00730F80" w:rsidP="003F310C">
      <w:pPr>
        <w:pStyle w:val="SDText"/>
        <w:spacing w:after="0"/>
        <w:contextualSpacing/>
      </w:pPr>
      <w:r>
        <w:t xml:space="preserve">Адекватные, хорошо контролируемые исследования применения препарата </w:t>
      </w:r>
      <w:r w:rsidR="00F05338">
        <w:t>тофацитиниба</w:t>
      </w:r>
      <w:r>
        <w:t xml:space="preserve"> у беременных женщин не проводились. </w:t>
      </w:r>
      <w:r w:rsidR="00F05338">
        <w:t>Тофацитиниб</w:t>
      </w:r>
      <w:r>
        <w:t xml:space="preserve"> не следует применять во время беременности, если в этом нет явной необходимости.</w:t>
      </w:r>
    </w:p>
    <w:p w14:paraId="5DB5B00B" w14:textId="1453A541" w:rsidR="00730F80" w:rsidRDefault="00730F80" w:rsidP="003F310C">
      <w:pPr>
        <w:pStyle w:val="SDText"/>
        <w:spacing w:after="0"/>
        <w:contextualSpacing/>
      </w:pPr>
      <w:r>
        <w:t xml:space="preserve">Женщинам с репродуктивным потенциалом следует рекомендовать использование эффективных средств контрацепции во время терапии </w:t>
      </w:r>
      <w:r w:rsidR="00F05338">
        <w:t>тофацитинибом</w:t>
      </w:r>
      <w:r>
        <w:t xml:space="preserve"> и в течение по меньшей мере 4 недель после приема последней дозы препарата.</w:t>
      </w:r>
    </w:p>
    <w:p w14:paraId="1E2F833E" w14:textId="7635228E" w:rsidR="00730F80" w:rsidRDefault="00730F80" w:rsidP="003F310C">
      <w:pPr>
        <w:pStyle w:val="SDText"/>
        <w:spacing w:after="0"/>
        <w:contextualSpacing/>
      </w:pPr>
      <w:r>
        <w:t xml:space="preserve">Не известно, выделяется ли тофацитиниб в женское грудное молоко. Следует прекратить кормление грудью в период терапии </w:t>
      </w:r>
      <w:r w:rsidR="00F05338">
        <w:t>тофацитинибом</w:t>
      </w:r>
    </w:p>
    <w:p w14:paraId="1FCAB4EC" w14:textId="77777777" w:rsidR="00730F80" w:rsidRPr="00EC6573" w:rsidRDefault="00730F80" w:rsidP="003F310C">
      <w:pPr>
        <w:pStyle w:val="SDText"/>
        <w:spacing w:after="0"/>
        <w:contextualSpacing/>
      </w:pPr>
    </w:p>
    <w:p w14:paraId="3E8B7B94" w14:textId="2E4CCDC4" w:rsidR="00730F80" w:rsidRDefault="003C34A5" w:rsidP="003C34A5">
      <w:pPr>
        <w:pStyle w:val="3"/>
        <w:numPr>
          <w:ilvl w:val="0"/>
          <w:numId w:val="0"/>
        </w:numPr>
        <w:ind w:left="720" w:hanging="720"/>
      </w:pPr>
      <w:bookmarkStart w:id="299" w:name="_Toc115421100"/>
      <w:bookmarkStart w:id="300" w:name="_Toc121592631"/>
      <w:r>
        <w:t xml:space="preserve">5.3.4. </w:t>
      </w:r>
      <w:r w:rsidR="00730F80" w:rsidRPr="005533A4">
        <w:t>Способ</w:t>
      </w:r>
      <w:r w:rsidR="00730F80" w:rsidRPr="002C0BB6">
        <w:t xml:space="preserve"> </w:t>
      </w:r>
      <w:r w:rsidR="00730F80" w:rsidRPr="00A21D08">
        <w:t>применения</w:t>
      </w:r>
      <w:r w:rsidR="00730F80" w:rsidRPr="002C0BB6">
        <w:t xml:space="preserve"> </w:t>
      </w:r>
      <w:r w:rsidR="00730F80" w:rsidRPr="005533A4">
        <w:t>и</w:t>
      </w:r>
      <w:r w:rsidR="00730F80" w:rsidRPr="002C0BB6">
        <w:t xml:space="preserve"> </w:t>
      </w:r>
      <w:r w:rsidR="00730F80" w:rsidRPr="005533A4">
        <w:t>дозы</w:t>
      </w:r>
      <w:bookmarkEnd w:id="299"/>
      <w:bookmarkEnd w:id="300"/>
    </w:p>
    <w:p w14:paraId="0810BF4D" w14:textId="77777777" w:rsidR="00730F80" w:rsidRPr="00AA513A" w:rsidRDefault="00730F80" w:rsidP="003F310C">
      <w:pPr>
        <w:pStyle w:val="SDText"/>
        <w:spacing w:after="0"/>
      </w:pPr>
    </w:p>
    <w:p w14:paraId="05879AFC" w14:textId="5D1CC264" w:rsidR="00730F80" w:rsidRPr="0091740A" w:rsidRDefault="003C34A5" w:rsidP="003C34A5">
      <w:pPr>
        <w:pStyle w:val="4"/>
        <w:numPr>
          <w:ilvl w:val="0"/>
          <w:numId w:val="0"/>
        </w:numPr>
        <w:ind w:left="864" w:hanging="864"/>
      </w:pPr>
      <w:bookmarkStart w:id="301" w:name="_Toc121592632"/>
      <w:r>
        <w:t xml:space="preserve">5.3.4.1. </w:t>
      </w:r>
      <w:r w:rsidR="00730F80">
        <w:t xml:space="preserve">Таблетки, покрытые </w:t>
      </w:r>
      <w:r w:rsidR="00730F80" w:rsidRPr="00A21D08">
        <w:t>пленочной</w:t>
      </w:r>
      <w:r w:rsidR="00730F80">
        <w:t xml:space="preserve"> оболочкой</w:t>
      </w:r>
      <w:bookmarkEnd w:id="301"/>
    </w:p>
    <w:p w14:paraId="3E5156E4" w14:textId="77777777" w:rsidR="00730F80" w:rsidRDefault="00730F80" w:rsidP="003F310C">
      <w:pPr>
        <w:spacing w:after="0"/>
        <w:ind w:firstLine="0"/>
        <w:contextualSpacing/>
      </w:pPr>
    </w:p>
    <w:p w14:paraId="517F3C26" w14:textId="77777777" w:rsidR="00730F80" w:rsidRDefault="00730F80" w:rsidP="003F310C">
      <w:pPr>
        <w:spacing w:after="0"/>
        <w:ind w:firstLine="0"/>
        <w:contextualSpacing/>
      </w:pPr>
      <w:r>
        <w:t>Внутрь вне зависимости от приема пищи.</w:t>
      </w:r>
    </w:p>
    <w:p w14:paraId="6B7F9A37" w14:textId="77777777" w:rsidR="00F05338" w:rsidRDefault="00F05338" w:rsidP="00F05338">
      <w:pPr>
        <w:pStyle w:val="SDText"/>
        <w:spacing w:after="0"/>
        <w:ind w:firstLine="0"/>
        <w:contextualSpacing/>
        <w:rPr>
          <w:rStyle w:val="23"/>
          <w:rFonts w:eastAsiaTheme="minorHAnsi"/>
          <w:b/>
          <w:i w:val="0"/>
          <w:sz w:val="24"/>
          <w:szCs w:val="24"/>
        </w:rPr>
      </w:pPr>
    </w:p>
    <w:p w14:paraId="1933570C" w14:textId="639F25F2" w:rsidR="00730F80" w:rsidRPr="00F05338" w:rsidRDefault="00730F80" w:rsidP="00F05338">
      <w:pPr>
        <w:pStyle w:val="SDText"/>
        <w:spacing w:after="0"/>
        <w:ind w:firstLine="0"/>
        <w:contextualSpacing/>
        <w:rPr>
          <w:rStyle w:val="23"/>
          <w:rFonts w:eastAsiaTheme="minorHAnsi"/>
          <w:b/>
          <w:i w:val="0"/>
          <w:sz w:val="24"/>
          <w:szCs w:val="24"/>
        </w:rPr>
      </w:pPr>
      <w:r w:rsidRPr="00F05338">
        <w:rPr>
          <w:rStyle w:val="23"/>
          <w:rFonts w:eastAsiaTheme="minorHAnsi"/>
          <w:b/>
          <w:i w:val="0"/>
          <w:sz w:val="24"/>
          <w:szCs w:val="24"/>
        </w:rPr>
        <w:t xml:space="preserve">Анкилозирующий спондилоартрит </w:t>
      </w:r>
    </w:p>
    <w:p w14:paraId="761A647B" w14:textId="77777777" w:rsidR="00F3586D" w:rsidRDefault="00F3586D" w:rsidP="003F310C">
      <w:pPr>
        <w:pStyle w:val="SDText"/>
        <w:spacing w:after="0"/>
        <w:contextualSpacing/>
      </w:pPr>
    </w:p>
    <w:p w14:paraId="619F27A5" w14:textId="3CC53F4E" w:rsidR="00730F80" w:rsidRDefault="00730F80" w:rsidP="003F310C">
      <w:pPr>
        <w:pStyle w:val="SDText"/>
        <w:spacing w:after="0"/>
        <w:contextualSpacing/>
      </w:pPr>
      <w:r>
        <w:t>Рекомендованная доза составляет 5 мг два раза в день.</w:t>
      </w:r>
    </w:p>
    <w:p w14:paraId="31C0DF4D" w14:textId="77777777" w:rsidR="00730F80" w:rsidRDefault="00730F80" w:rsidP="003F310C">
      <w:pPr>
        <w:pStyle w:val="SDText"/>
        <w:spacing w:after="0"/>
        <w:contextualSpacing/>
        <w:rPr>
          <w:i/>
          <w:iCs/>
        </w:rPr>
      </w:pPr>
    </w:p>
    <w:p w14:paraId="4F435833" w14:textId="77777777" w:rsidR="00730F80" w:rsidRPr="00F05338" w:rsidRDefault="00730F80" w:rsidP="00F05338">
      <w:pPr>
        <w:pStyle w:val="SDText"/>
        <w:spacing w:after="0"/>
        <w:ind w:firstLine="0"/>
        <w:contextualSpacing/>
        <w:rPr>
          <w:b/>
          <w:iCs/>
        </w:rPr>
      </w:pPr>
      <w:r w:rsidRPr="00F05338">
        <w:rPr>
          <w:b/>
          <w:iCs/>
        </w:rPr>
        <w:t>Ревматоидный артрит</w:t>
      </w:r>
    </w:p>
    <w:p w14:paraId="032A88C4" w14:textId="77777777" w:rsidR="00F05338" w:rsidRDefault="00F05338" w:rsidP="003F310C">
      <w:pPr>
        <w:pStyle w:val="SDText"/>
        <w:spacing w:after="0"/>
        <w:contextualSpacing/>
      </w:pPr>
    </w:p>
    <w:p w14:paraId="659B8473" w14:textId="0EB5CFE3" w:rsidR="00730F80" w:rsidRDefault="00BA71B2" w:rsidP="003F310C">
      <w:pPr>
        <w:pStyle w:val="SDText"/>
        <w:spacing w:after="0"/>
        <w:contextualSpacing/>
      </w:pPr>
      <w:r>
        <w:t>Т</w:t>
      </w:r>
      <w:r w:rsidRPr="00BA71B2">
        <w:t>офацитиниб</w:t>
      </w:r>
      <w:r w:rsidR="00730F80">
        <w:t xml:space="preserve"> можно применять в качестве монотерапии или в комбинации с метотрексатом или другими небиологическими БПВП.</w:t>
      </w:r>
    </w:p>
    <w:p w14:paraId="1A352D82" w14:textId="77777777" w:rsidR="00730F80" w:rsidRDefault="00730F80" w:rsidP="003F310C">
      <w:pPr>
        <w:pStyle w:val="SDText"/>
        <w:spacing w:after="0"/>
        <w:contextualSpacing/>
      </w:pPr>
      <w:r>
        <w:t>Рекомендованная доза составляет 5 мг два раза в день. У некоторых пациентов может потребоваться увеличение дозы до 10 мг два раза в день, в зависимости от клинического ответа на терапию.</w:t>
      </w:r>
    </w:p>
    <w:p w14:paraId="051FA621" w14:textId="4D6AE14E" w:rsidR="00730F80" w:rsidRDefault="00730F80" w:rsidP="003F310C">
      <w:pPr>
        <w:pStyle w:val="SDText"/>
        <w:spacing w:after="0"/>
        <w:contextualSpacing/>
      </w:pPr>
      <w:r>
        <w:t xml:space="preserve">Две таблетки </w:t>
      </w:r>
      <w:r w:rsidR="00BA71B2" w:rsidRPr="00BA71B2">
        <w:t xml:space="preserve">тофацитиниба </w:t>
      </w:r>
      <w:r>
        <w:t xml:space="preserve">5 мг биоэквивалентны одной таблетке </w:t>
      </w:r>
      <w:r w:rsidR="00BA71B2" w:rsidRPr="00BA71B2">
        <w:t>тофацитиниба</w:t>
      </w:r>
      <w:r>
        <w:t xml:space="preserve"> 10 мг и могут использоваться в качестве альтернативы одной таблетке </w:t>
      </w:r>
      <w:r w:rsidR="00BA71B2" w:rsidRPr="00BA71B2">
        <w:t xml:space="preserve">тофацитиниба </w:t>
      </w:r>
      <w:r>
        <w:t>10 мг.</w:t>
      </w:r>
    </w:p>
    <w:p w14:paraId="5BC9ABD6" w14:textId="77777777" w:rsidR="00F05338" w:rsidRDefault="00F05338" w:rsidP="00F05338">
      <w:pPr>
        <w:spacing w:after="0"/>
        <w:ind w:firstLine="0"/>
        <w:contextualSpacing/>
        <w:rPr>
          <w:i/>
          <w:iCs/>
        </w:rPr>
      </w:pPr>
    </w:p>
    <w:p w14:paraId="2A34E18F" w14:textId="1A9EDE7A" w:rsidR="00730F80" w:rsidRPr="00F05338" w:rsidRDefault="00730F80" w:rsidP="00F05338">
      <w:pPr>
        <w:spacing w:after="0"/>
        <w:ind w:firstLine="0"/>
        <w:contextualSpacing/>
        <w:rPr>
          <w:b/>
          <w:iCs/>
        </w:rPr>
      </w:pPr>
      <w:r w:rsidRPr="00F05338">
        <w:rPr>
          <w:b/>
          <w:iCs/>
        </w:rPr>
        <w:t>Псориатический артрит</w:t>
      </w:r>
    </w:p>
    <w:p w14:paraId="5734A242" w14:textId="77777777" w:rsidR="00F05338" w:rsidRDefault="00F05338" w:rsidP="003F310C">
      <w:pPr>
        <w:spacing w:after="0"/>
        <w:contextualSpacing/>
      </w:pPr>
    </w:p>
    <w:p w14:paraId="49BDECD0" w14:textId="083BA4A4" w:rsidR="00730F80" w:rsidRPr="005C3CE4" w:rsidRDefault="00730F80" w:rsidP="003F310C">
      <w:pPr>
        <w:spacing w:after="0"/>
        <w:contextualSpacing/>
        <w:rPr>
          <w:i/>
          <w:iCs/>
        </w:rPr>
      </w:pPr>
      <w:r>
        <w:t xml:space="preserve">Рекомендуемая доза </w:t>
      </w:r>
      <w:r w:rsidR="00BA71B2" w:rsidRPr="00BA71B2">
        <w:t xml:space="preserve">тофацитиниба </w:t>
      </w:r>
      <w:r>
        <w:t>составляет 5 мг два раза в сутки в комбинации со стандартными синтетическими БМАРП (ссБМАРП).</w:t>
      </w:r>
    </w:p>
    <w:p w14:paraId="1632B471" w14:textId="77777777" w:rsidR="00730F80" w:rsidRDefault="00730F80" w:rsidP="003F310C">
      <w:pPr>
        <w:spacing w:after="0"/>
        <w:contextualSpacing/>
        <w:rPr>
          <w:i/>
          <w:iCs/>
        </w:rPr>
      </w:pPr>
    </w:p>
    <w:p w14:paraId="32411477" w14:textId="77777777" w:rsidR="00730F80" w:rsidRPr="00F05338" w:rsidRDefault="00730F80" w:rsidP="00F05338">
      <w:pPr>
        <w:spacing w:after="0"/>
        <w:ind w:firstLine="0"/>
        <w:contextualSpacing/>
        <w:rPr>
          <w:b/>
          <w:iCs/>
        </w:rPr>
      </w:pPr>
      <w:r w:rsidRPr="00F05338">
        <w:rPr>
          <w:b/>
          <w:iCs/>
        </w:rPr>
        <w:t>Бляшечный псориаз</w:t>
      </w:r>
    </w:p>
    <w:p w14:paraId="3F0633C4" w14:textId="77777777" w:rsidR="00F05338" w:rsidRDefault="00F05338" w:rsidP="003F310C">
      <w:pPr>
        <w:spacing w:after="0"/>
        <w:contextualSpacing/>
      </w:pPr>
    </w:p>
    <w:p w14:paraId="05BAE2AA" w14:textId="58D673AE" w:rsidR="00730F80" w:rsidRDefault="00730F80" w:rsidP="003F310C">
      <w:pPr>
        <w:spacing w:after="0"/>
        <w:contextualSpacing/>
      </w:pPr>
      <w:r>
        <w:t xml:space="preserve">Рекомендованная доза </w:t>
      </w:r>
      <w:r w:rsidR="00BA71B2" w:rsidRPr="00BA71B2">
        <w:t xml:space="preserve">тофацитиниба </w:t>
      </w:r>
      <w:r>
        <w:t>для лечения бляшечного псориаза умеренной или тяжелой степени составляет 10 мг два раза в сутки.</w:t>
      </w:r>
    </w:p>
    <w:p w14:paraId="6D964788" w14:textId="10512C5D" w:rsidR="00730F80" w:rsidRPr="005C3CE4" w:rsidRDefault="00730F80" w:rsidP="003F310C">
      <w:pPr>
        <w:spacing w:after="0"/>
        <w:contextualSpacing/>
        <w:rPr>
          <w:i/>
          <w:iCs/>
        </w:rPr>
      </w:pPr>
      <w:r>
        <w:t xml:space="preserve">Две таблетки </w:t>
      </w:r>
      <w:r w:rsidR="00BA71B2" w:rsidRPr="00BA71B2">
        <w:t xml:space="preserve">тофацитиниба </w:t>
      </w:r>
      <w:r>
        <w:t xml:space="preserve">5 мг биоэквивалентны одной таблетке </w:t>
      </w:r>
      <w:r w:rsidR="00BA71B2" w:rsidRPr="00BA71B2">
        <w:t>тофацитиниба</w:t>
      </w:r>
      <w:r>
        <w:t xml:space="preserve"> 10 мг и могут использоваться в качестве альтернативы одной таблетке </w:t>
      </w:r>
      <w:r w:rsidR="00BA71B2" w:rsidRPr="00BA71B2">
        <w:t xml:space="preserve">тофацитиниба </w:t>
      </w:r>
      <w:r>
        <w:t>10 мг.</w:t>
      </w:r>
    </w:p>
    <w:p w14:paraId="394319F4" w14:textId="77777777" w:rsidR="00730F80" w:rsidRDefault="00730F80" w:rsidP="003F310C">
      <w:pPr>
        <w:spacing w:after="0"/>
        <w:contextualSpacing/>
        <w:rPr>
          <w:i/>
          <w:iCs/>
        </w:rPr>
      </w:pPr>
    </w:p>
    <w:p w14:paraId="0CA5A858" w14:textId="77777777" w:rsidR="00791E09" w:rsidRDefault="00791E09" w:rsidP="00F05338">
      <w:pPr>
        <w:spacing w:after="0"/>
        <w:ind w:firstLine="0"/>
        <w:contextualSpacing/>
        <w:rPr>
          <w:b/>
          <w:iCs/>
        </w:rPr>
        <w:sectPr w:rsidR="00791E09" w:rsidSect="00F85178">
          <w:pgSz w:w="11906" w:h="16838"/>
          <w:pgMar w:top="1134" w:right="850" w:bottom="1134" w:left="1701" w:header="708" w:footer="708" w:gutter="0"/>
          <w:cols w:space="708"/>
          <w:docGrid w:linePitch="360"/>
        </w:sectPr>
      </w:pPr>
    </w:p>
    <w:p w14:paraId="5E476EB2" w14:textId="4CD7C4CC" w:rsidR="00730F80" w:rsidRPr="00F05338" w:rsidRDefault="00730F80" w:rsidP="00F05338">
      <w:pPr>
        <w:spacing w:after="0"/>
        <w:ind w:firstLine="0"/>
        <w:contextualSpacing/>
        <w:rPr>
          <w:b/>
          <w:iCs/>
        </w:rPr>
      </w:pPr>
      <w:r w:rsidRPr="00F05338">
        <w:rPr>
          <w:b/>
          <w:iCs/>
        </w:rPr>
        <w:lastRenderedPageBreak/>
        <w:t>Язвенный колит</w:t>
      </w:r>
    </w:p>
    <w:p w14:paraId="54D09AE0" w14:textId="77777777" w:rsidR="00F05338" w:rsidRDefault="00F05338" w:rsidP="003F310C">
      <w:pPr>
        <w:spacing w:after="0"/>
        <w:contextualSpacing/>
      </w:pPr>
    </w:p>
    <w:p w14:paraId="756E8052" w14:textId="6428CD51" w:rsidR="00730F80" w:rsidRDefault="00730F80" w:rsidP="003F310C">
      <w:pPr>
        <w:spacing w:after="0"/>
        <w:contextualSpacing/>
      </w:pPr>
      <w:r>
        <w:t xml:space="preserve">Рекомендуемая доза </w:t>
      </w:r>
      <w:r w:rsidR="00BA71B2" w:rsidRPr="00BA71B2">
        <w:t xml:space="preserve">тофацитиниба </w:t>
      </w:r>
      <w:r>
        <w:t>для лечения взрослых пациентов с умеренным или тяжелым активным язвенным колитом составляет 10 мг перорально два раза в сутки для индукционной терапии в течение не менее 8 недель, затем 5 мг или 10 мг два раза в сутки для поддерживающей терапии в зависимости от терапевтического ответа.</w:t>
      </w:r>
    </w:p>
    <w:p w14:paraId="2B3DCBF1" w14:textId="67CAD5B6" w:rsidR="00730F80" w:rsidRDefault="00730F80" w:rsidP="003F310C">
      <w:pPr>
        <w:spacing w:after="0"/>
        <w:contextualSpacing/>
      </w:pPr>
      <w:r>
        <w:t xml:space="preserve">Две таблетки </w:t>
      </w:r>
      <w:r w:rsidR="00BA71B2" w:rsidRPr="00BA71B2">
        <w:t xml:space="preserve">тофацитиниба </w:t>
      </w:r>
      <w:r>
        <w:t xml:space="preserve">5 мг биоэквивалентны одной таблетке </w:t>
      </w:r>
      <w:r w:rsidR="00BA71B2" w:rsidRPr="00BA71B2">
        <w:t>тофацитиниба</w:t>
      </w:r>
      <w:r>
        <w:t xml:space="preserve"> 10 мг и могут использоваться в качестве альтернативы одной таблетке </w:t>
      </w:r>
      <w:r w:rsidR="00BA71B2" w:rsidRPr="00BA71B2">
        <w:t xml:space="preserve">тофацитиниба </w:t>
      </w:r>
      <w:r>
        <w:t>10 мг.</w:t>
      </w:r>
    </w:p>
    <w:p w14:paraId="7CC5A3A8" w14:textId="77777777" w:rsidR="00730F80" w:rsidRDefault="00730F80" w:rsidP="003F310C">
      <w:pPr>
        <w:spacing w:after="0"/>
        <w:contextualSpacing/>
      </w:pPr>
      <w:r>
        <w:t>Индукционную терапию прекращают у пациентов, не достигших терапевтического эффекта к 16 неделе.</w:t>
      </w:r>
    </w:p>
    <w:p w14:paraId="45244C55" w14:textId="77777777" w:rsidR="00730F80" w:rsidRDefault="00730F80" w:rsidP="003F310C">
      <w:pPr>
        <w:spacing w:after="0"/>
        <w:contextualSpacing/>
      </w:pPr>
      <w:r>
        <w:t xml:space="preserve">Для рефрактерных пациентов, таких как пациенты, которые не ответили на предыдущую терапию ингибитором </w:t>
      </w:r>
      <w:r>
        <w:rPr>
          <w:lang w:val="en-US"/>
        </w:rPr>
        <w:t>TNF</w:t>
      </w:r>
      <w:r w:rsidRPr="009A1206">
        <w:t>-</w:t>
      </w:r>
      <w:r>
        <w:rPr>
          <w:rFonts w:cs="Times New Roman"/>
        </w:rPr>
        <w:t>α</w:t>
      </w:r>
      <w:r>
        <w:t>, следует рассмотреть вопрос о продолжении лечения с применением поддерживающей дозы 10 мг два раза в сутки.</w:t>
      </w:r>
    </w:p>
    <w:p w14:paraId="1C912CBA" w14:textId="024534F9" w:rsidR="00730F80" w:rsidRDefault="00730F80" w:rsidP="003F310C">
      <w:pPr>
        <w:spacing w:after="0"/>
        <w:contextualSpacing/>
      </w:pPr>
      <w:r>
        <w:t xml:space="preserve">Пациенты, для которых не сохранился терапевтический эффект </w:t>
      </w:r>
      <w:r w:rsidR="00BA71B2" w:rsidRPr="00BA71B2">
        <w:t xml:space="preserve">тофацитиниба </w:t>
      </w:r>
      <w:r>
        <w:t xml:space="preserve">в дозе 5 мг два раза в сутки, он может быть достигнут с помощью приема </w:t>
      </w:r>
      <w:r w:rsidR="00BA71B2" w:rsidRPr="00BA71B2">
        <w:t>тофацитиниба</w:t>
      </w:r>
      <w:r>
        <w:t xml:space="preserve"> в дозе 10 мг два раза в сутки.</w:t>
      </w:r>
    </w:p>
    <w:p w14:paraId="086D98DE" w14:textId="77777777" w:rsidR="00730F80" w:rsidRPr="005C3CE4" w:rsidRDefault="00730F80" w:rsidP="003F310C">
      <w:pPr>
        <w:spacing w:after="0"/>
        <w:contextualSpacing/>
        <w:rPr>
          <w:i/>
          <w:iCs/>
        </w:rPr>
      </w:pPr>
      <w:r>
        <w:t>В целом, следует применять самую низкую эффективную дозу для поддержания терапевтического эффекта.</w:t>
      </w:r>
    </w:p>
    <w:p w14:paraId="6F8E2016" w14:textId="77777777" w:rsidR="00730F80" w:rsidRDefault="00730F80" w:rsidP="003F310C">
      <w:pPr>
        <w:spacing w:after="0"/>
        <w:contextualSpacing/>
        <w:rPr>
          <w:i/>
          <w:iCs/>
        </w:rPr>
      </w:pPr>
    </w:p>
    <w:p w14:paraId="3A71E8F9" w14:textId="77777777" w:rsidR="00730F80" w:rsidRPr="00F05338" w:rsidRDefault="00730F80" w:rsidP="00F05338">
      <w:pPr>
        <w:spacing w:after="0"/>
        <w:ind w:firstLine="0"/>
        <w:contextualSpacing/>
        <w:rPr>
          <w:b/>
          <w:iCs/>
        </w:rPr>
      </w:pPr>
      <w:r w:rsidRPr="00F05338">
        <w:rPr>
          <w:b/>
          <w:iCs/>
        </w:rPr>
        <w:t>Полиартикулярный ювенильный идиопатический артрит</w:t>
      </w:r>
    </w:p>
    <w:p w14:paraId="35E8C8D6" w14:textId="77777777" w:rsidR="003C34A5" w:rsidRDefault="003C34A5" w:rsidP="003F310C">
      <w:pPr>
        <w:spacing w:after="0"/>
        <w:contextualSpacing/>
      </w:pPr>
    </w:p>
    <w:p w14:paraId="3F037166" w14:textId="5F009F36" w:rsidR="00730F80" w:rsidRDefault="00BA71B2" w:rsidP="003F310C">
      <w:pPr>
        <w:spacing w:after="0"/>
        <w:contextualSpacing/>
      </w:pPr>
      <w:r>
        <w:t>Т</w:t>
      </w:r>
      <w:r w:rsidRPr="00BA71B2">
        <w:t xml:space="preserve">офацитиниб </w:t>
      </w:r>
      <w:r w:rsidR="00730F80">
        <w:t>может применяться в качестве монотерапии или в комбинации с метотрексатом.</w:t>
      </w:r>
    </w:p>
    <w:p w14:paraId="022220D6" w14:textId="209FE790" w:rsidR="00730F80" w:rsidRPr="00C13EBE" w:rsidRDefault="00730F80" w:rsidP="003F310C">
      <w:pPr>
        <w:spacing w:after="0"/>
        <w:contextualSpacing/>
      </w:pPr>
      <w:r>
        <w:t xml:space="preserve">Рекомендуемая доза </w:t>
      </w:r>
      <w:r w:rsidR="00BA71B2" w:rsidRPr="00BA71B2">
        <w:t xml:space="preserve">тофацитиниба </w:t>
      </w:r>
      <w:r>
        <w:t xml:space="preserve">составляет 5 мг два </w:t>
      </w:r>
      <w:r w:rsidRPr="00F3586D">
        <w:t xml:space="preserve">раза </w:t>
      </w:r>
      <w:r w:rsidRPr="00C13EBE">
        <w:t>в сутки (</w:t>
      </w:r>
      <w:r w:rsidR="007E58BD" w:rsidRPr="00C13EBE">
        <w:fldChar w:fldCharType="begin"/>
      </w:r>
      <w:r w:rsidR="007E58BD" w:rsidRPr="00C13EBE">
        <w:instrText xml:space="preserve"> REF _Ref121142520 \h </w:instrText>
      </w:r>
      <w:r w:rsidR="00A96B90" w:rsidRPr="00C13EBE">
        <w:instrText xml:space="preserve"> \* MERGEFORMAT </w:instrText>
      </w:r>
      <w:r w:rsidR="007E58BD" w:rsidRPr="00C13EBE">
        <w:fldChar w:fldCharType="separate"/>
      </w:r>
      <w:r w:rsidR="00383E6F" w:rsidRPr="00C13EBE">
        <w:t xml:space="preserve">Таблица </w:t>
      </w:r>
      <w:r w:rsidR="00383E6F" w:rsidRPr="00C13EBE">
        <w:rPr>
          <w:noProof/>
        </w:rPr>
        <w:t>5</w:t>
      </w:r>
      <w:r w:rsidR="00383E6F" w:rsidRPr="00C13EBE">
        <w:noBreakHyphen/>
      </w:r>
      <w:r w:rsidR="00383E6F" w:rsidRPr="00C13EBE">
        <w:rPr>
          <w:noProof/>
        </w:rPr>
        <w:t>1</w:t>
      </w:r>
      <w:r w:rsidR="007E58BD" w:rsidRPr="00C13EBE">
        <w:fldChar w:fldCharType="end"/>
      </w:r>
      <w:r w:rsidRPr="00C13EBE">
        <w:t>).</w:t>
      </w:r>
    </w:p>
    <w:p w14:paraId="72526FDB" w14:textId="77777777" w:rsidR="00730F80" w:rsidRDefault="00730F80" w:rsidP="003F310C">
      <w:pPr>
        <w:spacing w:after="0"/>
        <w:contextualSpacing/>
      </w:pPr>
    </w:p>
    <w:p w14:paraId="5F9A14A7" w14:textId="36245F1C" w:rsidR="00730F80" w:rsidRPr="002C0BB6" w:rsidRDefault="00730F80" w:rsidP="003F310C">
      <w:pPr>
        <w:spacing w:after="0"/>
        <w:ind w:firstLine="0"/>
        <w:contextualSpacing/>
        <w:rPr>
          <w:i/>
          <w:iCs/>
        </w:rPr>
      </w:pPr>
      <w:bookmarkStart w:id="302" w:name="_Ref121142520"/>
      <w:r w:rsidRPr="002C0BB6">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5</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1</w:t>
      </w:r>
      <w:r w:rsidR="00652269">
        <w:rPr>
          <w:b/>
        </w:rPr>
        <w:fldChar w:fldCharType="end"/>
      </w:r>
      <w:bookmarkEnd w:id="302"/>
      <w:r w:rsidRPr="002C0BB6">
        <w:rPr>
          <w:b/>
          <w:noProof/>
        </w:rPr>
        <w:t>.</w:t>
      </w:r>
      <w:r>
        <w:t xml:space="preserve"> </w:t>
      </w:r>
      <w:r w:rsidRPr="009A1206">
        <w:t xml:space="preserve">Рекомендуемая дозировка </w:t>
      </w:r>
      <w:r w:rsidR="00BA71B2" w:rsidRPr="00BA71B2">
        <w:t xml:space="preserve">тофацитиниба </w:t>
      </w:r>
      <w:r w:rsidRPr="009A1206">
        <w:t xml:space="preserve">для пациентов с </w:t>
      </w:r>
      <w:r>
        <w:t>п</w:t>
      </w:r>
      <w:r w:rsidRPr="00266CE0">
        <w:t>олиартикулярны</w:t>
      </w:r>
      <w:r>
        <w:t>м</w:t>
      </w:r>
      <w:r w:rsidRPr="00266CE0">
        <w:t xml:space="preserve"> ювенильны</w:t>
      </w:r>
      <w:r>
        <w:t>м</w:t>
      </w:r>
      <w:r w:rsidRPr="00266CE0">
        <w:t xml:space="preserve"> идиопатически</w:t>
      </w:r>
      <w:r>
        <w:t>м</w:t>
      </w:r>
      <w:r w:rsidRPr="00266CE0">
        <w:t xml:space="preserve"> артрит</w:t>
      </w:r>
      <w:r>
        <w:t>ом</w:t>
      </w:r>
      <w:r w:rsidRPr="009A1206">
        <w:t xml:space="preserve"> в возрасте 2 лет и старше</w:t>
      </w:r>
      <w:r>
        <w:t>.</w:t>
      </w:r>
    </w:p>
    <w:tbl>
      <w:tblPr>
        <w:tblW w:w="9351" w:type="dxa"/>
        <w:tblLayout w:type="fixed"/>
        <w:tblCellMar>
          <w:left w:w="10" w:type="dxa"/>
          <w:right w:w="10" w:type="dxa"/>
        </w:tblCellMar>
        <w:tblLook w:val="04A0" w:firstRow="1" w:lastRow="0" w:firstColumn="1" w:lastColumn="0" w:noHBand="0" w:noVBand="1"/>
      </w:tblPr>
      <w:tblGrid>
        <w:gridCol w:w="2078"/>
        <w:gridCol w:w="7273"/>
      </w:tblGrid>
      <w:tr w:rsidR="00730F80" w14:paraId="79415623" w14:textId="77777777" w:rsidTr="00791E09">
        <w:trPr>
          <w:trHeight w:hRule="exact" w:val="422"/>
        </w:trPr>
        <w:tc>
          <w:tcPr>
            <w:tcW w:w="2078" w:type="dxa"/>
            <w:tcBorders>
              <w:top w:val="single" w:sz="4" w:space="0" w:color="auto"/>
              <w:left w:val="single" w:sz="4" w:space="0" w:color="auto"/>
            </w:tcBorders>
            <w:shd w:val="clear" w:color="auto" w:fill="D9D9D9" w:themeFill="background1" w:themeFillShade="D9"/>
            <w:vAlign w:val="center"/>
          </w:tcPr>
          <w:p w14:paraId="35173165" w14:textId="77777777" w:rsidR="00730F80" w:rsidRPr="00A96B90" w:rsidRDefault="00730F80" w:rsidP="00791E09">
            <w:pPr>
              <w:spacing w:after="0"/>
              <w:ind w:firstLine="0"/>
              <w:contextualSpacing/>
              <w:jc w:val="center"/>
              <w:rPr>
                <w:b/>
                <w:szCs w:val="24"/>
              </w:rPr>
            </w:pPr>
            <w:r w:rsidRPr="00A96B90">
              <w:rPr>
                <w:rStyle w:val="24"/>
                <w:rFonts w:eastAsiaTheme="minorHAnsi"/>
                <w:b/>
                <w:sz w:val="24"/>
                <w:szCs w:val="24"/>
              </w:rPr>
              <w:t>Масса тела (кг)</w:t>
            </w:r>
          </w:p>
        </w:tc>
        <w:tc>
          <w:tcPr>
            <w:tcW w:w="7273" w:type="dxa"/>
            <w:tcBorders>
              <w:top w:val="single" w:sz="4" w:space="0" w:color="auto"/>
              <w:left w:val="single" w:sz="4" w:space="0" w:color="auto"/>
              <w:right w:val="single" w:sz="4" w:space="0" w:color="auto"/>
            </w:tcBorders>
            <w:shd w:val="clear" w:color="auto" w:fill="D9D9D9" w:themeFill="background1" w:themeFillShade="D9"/>
            <w:vAlign w:val="center"/>
          </w:tcPr>
          <w:p w14:paraId="55CECAA7" w14:textId="77777777" w:rsidR="00730F80" w:rsidRPr="00A96B90" w:rsidRDefault="00730F80" w:rsidP="00791E09">
            <w:pPr>
              <w:spacing w:after="0"/>
              <w:ind w:firstLine="0"/>
              <w:contextualSpacing/>
              <w:jc w:val="center"/>
              <w:rPr>
                <w:b/>
                <w:szCs w:val="24"/>
              </w:rPr>
            </w:pPr>
            <w:r w:rsidRPr="00A96B90">
              <w:rPr>
                <w:rStyle w:val="24"/>
                <w:rFonts w:eastAsiaTheme="minorHAnsi"/>
                <w:b/>
                <w:sz w:val="24"/>
                <w:szCs w:val="24"/>
              </w:rPr>
              <w:t>Режим дозирования</w:t>
            </w:r>
          </w:p>
        </w:tc>
      </w:tr>
      <w:tr w:rsidR="00730F80" w14:paraId="79A92D43" w14:textId="77777777" w:rsidTr="00791E09">
        <w:trPr>
          <w:trHeight w:hRule="exact" w:val="446"/>
        </w:trPr>
        <w:tc>
          <w:tcPr>
            <w:tcW w:w="2078" w:type="dxa"/>
            <w:tcBorders>
              <w:top w:val="single" w:sz="4" w:space="0" w:color="auto"/>
              <w:left w:val="single" w:sz="4" w:space="0" w:color="auto"/>
              <w:bottom w:val="single" w:sz="4" w:space="0" w:color="auto"/>
            </w:tcBorders>
            <w:shd w:val="clear" w:color="auto" w:fill="FFFFFF"/>
            <w:vAlign w:val="center"/>
          </w:tcPr>
          <w:p w14:paraId="5A926504" w14:textId="77777777" w:rsidR="00730F80" w:rsidRPr="00A96B90" w:rsidRDefault="00730F80" w:rsidP="00791E09">
            <w:pPr>
              <w:spacing w:after="0"/>
              <w:ind w:firstLine="0"/>
              <w:contextualSpacing/>
              <w:jc w:val="center"/>
              <w:rPr>
                <w:szCs w:val="24"/>
              </w:rPr>
            </w:pPr>
            <w:r w:rsidRPr="00A96B90">
              <w:rPr>
                <w:rStyle w:val="24"/>
                <w:rFonts w:eastAsiaTheme="minorHAnsi"/>
                <w:sz w:val="24"/>
                <w:szCs w:val="24"/>
              </w:rPr>
              <w:t>≥ 40</w:t>
            </w:r>
          </w:p>
        </w:tc>
        <w:tc>
          <w:tcPr>
            <w:tcW w:w="7273" w:type="dxa"/>
            <w:tcBorders>
              <w:top w:val="single" w:sz="4" w:space="0" w:color="auto"/>
              <w:left w:val="single" w:sz="4" w:space="0" w:color="auto"/>
              <w:bottom w:val="single" w:sz="4" w:space="0" w:color="auto"/>
              <w:right w:val="single" w:sz="4" w:space="0" w:color="auto"/>
            </w:tcBorders>
            <w:shd w:val="clear" w:color="auto" w:fill="FFFFFF"/>
            <w:vAlign w:val="center"/>
          </w:tcPr>
          <w:p w14:paraId="3D3A1E4C" w14:textId="77777777" w:rsidR="00730F80" w:rsidRPr="00A96B90" w:rsidRDefault="00730F80" w:rsidP="00791E09">
            <w:pPr>
              <w:spacing w:after="0"/>
              <w:ind w:firstLine="0"/>
              <w:contextualSpacing/>
              <w:jc w:val="center"/>
              <w:rPr>
                <w:szCs w:val="24"/>
              </w:rPr>
            </w:pPr>
            <w:r w:rsidRPr="00A96B90">
              <w:rPr>
                <w:rStyle w:val="24"/>
                <w:rFonts w:eastAsiaTheme="minorHAnsi"/>
                <w:sz w:val="24"/>
                <w:szCs w:val="24"/>
              </w:rPr>
              <w:t>5 мг два раза в сутки</w:t>
            </w:r>
          </w:p>
        </w:tc>
      </w:tr>
    </w:tbl>
    <w:p w14:paraId="6A3A5381" w14:textId="77777777" w:rsidR="00730F80" w:rsidRDefault="00730F80" w:rsidP="003F310C">
      <w:pPr>
        <w:spacing w:after="0"/>
        <w:contextualSpacing/>
        <w:rPr>
          <w:sz w:val="2"/>
          <w:szCs w:val="2"/>
        </w:rPr>
      </w:pPr>
    </w:p>
    <w:p w14:paraId="5AA278EB" w14:textId="77777777" w:rsidR="00730F80" w:rsidRDefault="00730F80" w:rsidP="003F310C">
      <w:pPr>
        <w:spacing w:after="0"/>
        <w:contextualSpacing/>
        <w:rPr>
          <w:rStyle w:val="63"/>
          <w:rFonts w:eastAsiaTheme="minorHAnsi"/>
          <w:i w:val="0"/>
          <w:iCs w:val="0"/>
        </w:rPr>
      </w:pPr>
    </w:p>
    <w:p w14:paraId="2605AF48" w14:textId="77777777" w:rsidR="00730F80" w:rsidRDefault="00730F80" w:rsidP="00F05338">
      <w:pPr>
        <w:spacing w:after="0"/>
        <w:ind w:firstLine="0"/>
        <w:contextualSpacing/>
        <w:rPr>
          <w:rStyle w:val="63"/>
          <w:rFonts w:eastAsiaTheme="minorHAnsi"/>
          <w:i w:val="0"/>
          <w:iCs w:val="0"/>
          <w:sz w:val="24"/>
          <w:szCs w:val="24"/>
        </w:rPr>
      </w:pPr>
      <w:r w:rsidRPr="002C0BB6">
        <w:rPr>
          <w:rStyle w:val="63"/>
          <w:rFonts w:eastAsiaTheme="minorHAnsi"/>
          <w:i w:val="0"/>
          <w:iCs w:val="0"/>
          <w:sz w:val="24"/>
          <w:szCs w:val="24"/>
        </w:rPr>
        <w:t>Коррекция дозы в связи с лабораторными отклонениями</w:t>
      </w:r>
    </w:p>
    <w:p w14:paraId="432223D0" w14:textId="77777777" w:rsidR="00730F80" w:rsidRPr="002C0BB6" w:rsidRDefault="00730F80" w:rsidP="003F310C">
      <w:pPr>
        <w:spacing w:after="0"/>
        <w:contextualSpacing/>
        <w:rPr>
          <w:szCs w:val="24"/>
        </w:rPr>
      </w:pPr>
    </w:p>
    <w:p w14:paraId="0FC4C76B" w14:textId="7557F1DA" w:rsidR="00730F80" w:rsidRDefault="00730F80" w:rsidP="003F310C">
      <w:pPr>
        <w:pStyle w:val="SDText"/>
        <w:spacing w:after="0"/>
        <w:contextualSpacing/>
      </w:pPr>
      <w:r>
        <w:t>Может потребоваться коррекция дозы или прекращение терапии в случае развития дозозависимых отклонений лабораторных показателей, включая лимфопению, нейтропению и анемию (</w:t>
      </w:r>
      <w:r w:rsidR="007E58BD" w:rsidRPr="00C13EBE">
        <w:fldChar w:fldCharType="begin"/>
      </w:r>
      <w:r w:rsidR="007E58BD" w:rsidRPr="00F3586D">
        <w:instrText xml:space="preserve"> REF _Ref117770670 \h </w:instrText>
      </w:r>
      <w:r w:rsidR="00F3586D" w:rsidRPr="00C13EBE">
        <w:instrText xml:space="preserve"> \* MERGEFORMAT </w:instrText>
      </w:r>
      <w:r w:rsidR="007E58BD" w:rsidRPr="00C13EBE">
        <w:fldChar w:fldCharType="separate"/>
      </w:r>
      <w:r w:rsidR="00383E6F" w:rsidRPr="00C13EBE">
        <w:t xml:space="preserve">Таблица </w:t>
      </w:r>
      <w:r w:rsidR="00383E6F" w:rsidRPr="00C13EBE">
        <w:rPr>
          <w:noProof/>
        </w:rPr>
        <w:t>5</w:t>
      </w:r>
      <w:r w:rsidR="00383E6F" w:rsidRPr="00C13EBE">
        <w:noBreakHyphen/>
      </w:r>
      <w:r w:rsidR="00383E6F" w:rsidRPr="00C13EBE">
        <w:rPr>
          <w:noProof/>
        </w:rPr>
        <w:t>2</w:t>
      </w:r>
      <w:r w:rsidR="007E58BD" w:rsidRPr="00C13EBE">
        <w:fldChar w:fldCharType="end"/>
      </w:r>
      <w:r w:rsidRPr="00F3586D">
        <w:t xml:space="preserve">, </w:t>
      </w:r>
      <w:r w:rsidR="007E58BD" w:rsidRPr="00C13EBE">
        <w:fldChar w:fldCharType="begin"/>
      </w:r>
      <w:r w:rsidR="007E58BD" w:rsidRPr="00F3586D">
        <w:instrText xml:space="preserve"> REF _Ref117785016 \h </w:instrText>
      </w:r>
      <w:r w:rsidR="00F3586D" w:rsidRPr="00C13EBE">
        <w:instrText xml:space="preserve"> \* MERGEFORMAT </w:instrText>
      </w:r>
      <w:r w:rsidR="007E58BD" w:rsidRPr="00C13EBE">
        <w:fldChar w:fldCharType="separate"/>
      </w:r>
      <w:r w:rsidR="00383E6F" w:rsidRPr="00C13EBE">
        <w:t xml:space="preserve">Таблица </w:t>
      </w:r>
      <w:r w:rsidR="00383E6F" w:rsidRPr="00C13EBE">
        <w:rPr>
          <w:noProof/>
        </w:rPr>
        <w:t>5</w:t>
      </w:r>
      <w:r w:rsidR="00383E6F" w:rsidRPr="00C13EBE">
        <w:noBreakHyphen/>
      </w:r>
      <w:r w:rsidR="00383E6F" w:rsidRPr="00C13EBE">
        <w:rPr>
          <w:noProof/>
        </w:rPr>
        <w:t>3</w:t>
      </w:r>
      <w:r w:rsidR="007E58BD" w:rsidRPr="00C13EBE">
        <w:fldChar w:fldCharType="end"/>
      </w:r>
      <w:r w:rsidRPr="00F3586D">
        <w:t>,</w:t>
      </w:r>
      <w:r w:rsidR="00F3586D">
        <w:t xml:space="preserve"> </w:t>
      </w:r>
      <w:r w:rsidR="007E58BD" w:rsidRPr="00C13EBE">
        <w:fldChar w:fldCharType="begin"/>
      </w:r>
      <w:r w:rsidR="007E58BD" w:rsidRPr="00F3586D">
        <w:instrText xml:space="preserve"> REF _Ref117785022 \h </w:instrText>
      </w:r>
      <w:r w:rsidR="00F3586D" w:rsidRPr="00C13EBE">
        <w:instrText xml:space="preserve"> \* MERGEFORMAT </w:instrText>
      </w:r>
      <w:r w:rsidR="007E58BD" w:rsidRPr="00C13EBE">
        <w:fldChar w:fldCharType="separate"/>
      </w:r>
      <w:r w:rsidR="00383E6F" w:rsidRPr="00C13EBE">
        <w:t xml:space="preserve">Таблица </w:t>
      </w:r>
      <w:r w:rsidR="00383E6F" w:rsidRPr="00C13EBE">
        <w:rPr>
          <w:noProof/>
        </w:rPr>
        <w:t>5</w:t>
      </w:r>
      <w:r w:rsidR="00383E6F" w:rsidRPr="00C13EBE">
        <w:noBreakHyphen/>
      </w:r>
      <w:r w:rsidR="00383E6F" w:rsidRPr="00C13EBE">
        <w:rPr>
          <w:noProof/>
        </w:rPr>
        <w:t>4</w:t>
      </w:r>
      <w:r w:rsidR="007E58BD" w:rsidRPr="00C13EBE">
        <w:fldChar w:fldCharType="end"/>
      </w:r>
      <w:r w:rsidRPr="00F3586D">
        <w:t>).</w:t>
      </w:r>
    </w:p>
    <w:p w14:paraId="0B231A15" w14:textId="77777777" w:rsidR="00730F80" w:rsidRDefault="00730F80" w:rsidP="003F310C">
      <w:pPr>
        <w:pStyle w:val="SDText"/>
        <w:spacing w:after="0"/>
        <w:contextualSpacing/>
      </w:pPr>
      <w:r>
        <w:t>Не рекомендуется начинать терапию у пациентов с абсолютным числом нейтрофилов (АЧН) менее 1000/мм</w:t>
      </w:r>
      <w:r>
        <w:rPr>
          <w:vertAlign w:val="superscript"/>
        </w:rPr>
        <w:t>3</w:t>
      </w:r>
      <w:r>
        <w:t xml:space="preserve"> или с уровнем гемоглобина менее 9 г/дл. Не рекомендуется начинать терапию препаратом у пациентов с количеством лимфоцитов менее 500 клеток/мм</w:t>
      </w:r>
      <w:r>
        <w:rPr>
          <w:vertAlign w:val="superscript"/>
        </w:rPr>
        <w:t>3</w:t>
      </w:r>
      <w:r>
        <w:t xml:space="preserve">. </w:t>
      </w:r>
    </w:p>
    <w:p w14:paraId="5CAC52AC" w14:textId="77777777" w:rsidR="00730F80" w:rsidRDefault="00730F80" w:rsidP="003F310C">
      <w:pPr>
        <w:pStyle w:val="SDText"/>
        <w:spacing w:after="0"/>
        <w:contextualSpacing/>
      </w:pPr>
    </w:p>
    <w:p w14:paraId="045A0E0F" w14:textId="77777777" w:rsidR="00791E09" w:rsidRDefault="00791E09" w:rsidP="003F310C">
      <w:pPr>
        <w:pStyle w:val="SDText"/>
        <w:spacing w:after="0"/>
        <w:ind w:firstLine="0"/>
        <w:contextualSpacing/>
        <w:rPr>
          <w:b/>
        </w:rPr>
        <w:sectPr w:rsidR="00791E09" w:rsidSect="00F85178">
          <w:pgSz w:w="11906" w:h="16838"/>
          <w:pgMar w:top="1134" w:right="850" w:bottom="1134" w:left="1701" w:header="708" w:footer="708" w:gutter="0"/>
          <w:cols w:space="708"/>
          <w:docGrid w:linePitch="360"/>
        </w:sectPr>
      </w:pPr>
      <w:bookmarkStart w:id="303" w:name="_Ref117770670"/>
    </w:p>
    <w:p w14:paraId="59EC6F6B" w14:textId="16C0FA96" w:rsidR="00730F80" w:rsidRDefault="00730F80" w:rsidP="003F310C">
      <w:pPr>
        <w:pStyle w:val="SDText"/>
        <w:spacing w:after="0"/>
        <w:ind w:firstLine="0"/>
        <w:contextualSpacing/>
      </w:pPr>
      <w:r w:rsidRPr="002C0BB6">
        <w:rPr>
          <w:b/>
        </w:rPr>
        <w:lastRenderedPageBreak/>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5</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2</w:t>
      </w:r>
      <w:r w:rsidR="00652269">
        <w:rPr>
          <w:b/>
        </w:rPr>
        <w:fldChar w:fldCharType="end"/>
      </w:r>
      <w:bookmarkEnd w:id="303"/>
      <w:r w:rsidRPr="002C0BB6">
        <w:rPr>
          <w:b/>
          <w:noProof/>
        </w:rPr>
        <w:t>.</w:t>
      </w:r>
      <w:r>
        <w:t xml:space="preserve"> Коррекция дозы при лимфопении.</w:t>
      </w:r>
    </w:p>
    <w:tbl>
      <w:tblPr>
        <w:tblW w:w="9341" w:type="dxa"/>
        <w:tblInd w:w="10" w:type="dxa"/>
        <w:tblLayout w:type="fixed"/>
        <w:tblCellMar>
          <w:left w:w="10" w:type="dxa"/>
          <w:right w:w="10" w:type="dxa"/>
        </w:tblCellMar>
        <w:tblLook w:val="04A0" w:firstRow="1" w:lastRow="0" w:firstColumn="1" w:lastColumn="0" w:noHBand="0" w:noVBand="1"/>
      </w:tblPr>
      <w:tblGrid>
        <w:gridCol w:w="4253"/>
        <w:gridCol w:w="5088"/>
      </w:tblGrid>
      <w:tr w:rsidR="00730F80" w:rsidRPr="00205D0D" w14:paraId="38946F9C" w14:textId="77777777" w:rsidTr="00791E09">
        <w:trPr>
          <w:trHeight w:hRule="exact" w:val="238"/>
        </w:trPr>
        <w:tc>
          <w:tcPr>
            <w:tcW w:w="9341"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E7B3B07" w14:textId="1ED60B0B" w:rsidR="00730F80" w:rsidRPr="00205D0D" w:rsidRDefault="00730F80" w:rsidP="00CA1E72">
            <w:pPr>
              <w:spacing w:after="0"/>
              <w:ind w:firstLine="0"/>
              <w:contextualSpacing/>
              <w:jc w:val="center"/>
              <w:rPr>
                <w:szCs w:val="24"/>
              </w:rPr>
            </w:pPr>
            <w:r w:rsidRPr="00205D0D">
              <w:rPr>
                <w:rStyle w:val="25"/>
                <w:rFonts w:eastAsiaTheme="minorHAnsi"/>
                <w:sz w:val="24"/>
                <w:szCs w:val="24"/>
              </w:rPr>
              <w:t>Сниженное число лимфоцитов</w:t>
            </w:r>
          </w:p>
        </w:tc>
      </w:tr>
      <w:tr w:rsidR="00730F80" w:rsidRPr="00205D0D" w14:paraId="1CEEE4DB" w14:textId="77777777" w:rsidTr="00791E09">
        <w:trPr>
          <w:trHeight w:hRule="exact" w:val="284"/>
        </w:trPr>
        <w:tc>
          <w:tcPr>
            <w:tcW w:w="4253" w:type="dxa"/>
            <w:tcBorders>
              <w:top w:val="single" w:sz="4" w:space="0" w:color="auto"/>
              <w:left w:val="single" w:sz="4" w:space="0" w:color="auto"/>
            </w:tcBorders>
            <w:shd w:val="clear" w:color="auto" w:fill="D9D9D9" w:themeFill="background1" w:themeFillShade="D9"/>
            <w:vAlign w:val="center"/>
          </w:tcPr>
          <w:p w14:paraId="27B7B68E" w14:textId="44243AFE" w:rsidR="00730F80" w:rsidRPr="00205D0D" w:rsidRDefault="00730F80" w:rsidP="00791E09">
            <w:pPr>
              <w:spacing w:after="0"/>
              <w:ind w:left="140" w:firstLine="0"/>
              <w:contextualSpacing/>
              <w:jc w:val="center"/>
              <w:rPr>
                <w:szCs w:val="24"/>
              </w:rPr>
            </w:pPr>
            <w:r w:rsidRPr="00205D0D">
              <w:rPr>
                <w:rStyle w:val="25"/>
                <w:rFonts w:eastAsiaTheme="minorHAnsi"/>
                <w:sz w:val="24"/>
                <w:szCs w:val="24"/>
              </w:rPr>
              <w:t>Результат анализа</w:t>
            </w:r>
            <w:r w:rsidR="00791E09">
              <w:rPr>
                <w:rStyle w:val="25"/>
                <w:rFonts w:eastAsiaTheme="minorHAnsi"/>
                <w:sz w:val="24"/>
                <w:szCs w:val="24"/>
              </w:rPr>
              <w:t xml:space="preserve"> </w:t>
            </w:r>
            <w:r w:rsidRPr="00205D0D">
              <w:rPr>
                <w:rStyle w:val="25"/>
                <w:rFonts w:eastAsiaTheme="minorHAnsi"/>
                <w:sz w:val="24"/>
                <w:szCs w:val="24"/>
              </w:rPr>
              <w:t>(клеток/мм</w:t>
            </w:r>
            <w:r w:rsidR="00CA1E72">
              <w:rPr>
                <w:rStyle w:val="25"/>
                <w:rFonts w:eastAsiaTheme="minorHAnsi"/>
                <w:sz w:val="24"/>
                <w:szCs w:val="24"/>
                <w:vertAlign w:val="superscript"/>
              </w:rPr>
              <w:t>3</w:t>
            </w:r>
            <w:r w:rsidRPr="00205D0D">
              <w:rPr>
                <w:rStyle w:val="25"/>
                <w:rFonts w:eastAsiaTheme="minorHAnsi"/>
                <w:sz w:val="24"/>
                <w:szCs w:val="24"/>
              </w:rPr>
              <w:t>)</w:t>
            </w:r>
          </w:p>
        </w:tc>
        <w:tc>
          <w:tcPr>
            <w:tcW w:w="5088" w:type="dxa"/>
            <w:tcBorders>
              <w:top w:val="single" w:sz="4" w:space="0" w:color="auto"/>
              <w:left w:val="single" w:sz="4" w:space="0" w:color="auto"/>
              <w:right w:val="single" w:sz="4" w:space="0" w:color="auto"/>
            </w:tcBorders>
            <w:shd w:val="clear" w:color="auto" w:fill="D9D9D9" w:themeFill="background1" w:themeFillShade="D9"/>
            <w:vAlign w:val="center"/>
          </w:tcPr>
          <w:p w14:paraId="4DE31D7B" w14:textId="77777777" w:rsidR="00730F80" w:rsidRPr="00205D0D" w:rsidRDefault="00730F80" w:rsidP="00CA1E72">
            <w:pPr>
              <w:spacing w:after="0"/>
              <w:ind w:firstLine="0"/>
              <w:contextualSpacing/>
              <w:jc w:val="center"/>
              <w:rPr>
                <w:szCs w:val="24"/>
              </w:rPr>
            </w:pPr>
            <w:r w:rsidRPr="00205D0D">
              <w:rPr>
                <w:rStyle w:val="25"/>
                <w:rFonts w:eastAsiaTheme="minorHAnsi"/>
                <w:sz w:val="24"/>
                <w:szCs w:val="24"/>
              </w:rPr>
              <w:t>Рекомендации</w:t>
            </w:r>
          </w:p>
        </w:tc>
      </w:tr>
      <w:tr w:rsidR="00730F80" w:rsidRPr="00205D0D" w14:paraId="07735473" w14:textId="77777777" w:rsidTr="00791E09">
        <w:trPr>
          <w:trHeight w:hRule="exact" w:val="565"/>
        </w:trPr>
        <w:tc>
          <w:tcPr>
            <w:tcW w:w="4253" w:type="dxa"/>
            <w:tcBorders>
              <w:top w:val="single" w:sz="4" w:space="0" w:color="auto"/>
              <w:left w:val="single" w:sz="4" w:space="0" w:color="auto"/>
            </w:tcBorders>
            <w:shd w:val="clear" w:color="auto" w:fill="FFFFFF"/>
          </w:tcPr>
          <w:p w14:paraId="13CE71FD" w14:textId="77777777" w:rsidR="00730F80" w:rsidRPr="00205D0D" w:rsidRDefault="00730F80" w:rsidP="003F310C">
            <w:pPr>
              <w:spacing w:after="0"/>
              <w:ind w:left="140" w:firstLine="0"/>
              <w:contextualSpacing/>
              <w:jc w:val="left"/>
              <w:rPr>
                <w:szCs w:val="24"/>
              </w:rPr>
            </w:pPr>
            <w:r w:rsidRPr="00205D0D">
              <w:rPr>
                <w:rStyle w:val="24"/>
                <w:rFonts w:eastAsiaTheme="minorHAnsi"/>
                <w:sz w:val="24"/>
                <w:szCs w:val="24"/>
              </w:rPr>
              <w:t>Число лимфоцитов больше или</w:t>
            </w:r>
          </w:p>
          <w:p w14:paraId="71F7B4E0" w14:textId="77777777" w:rsidR="00730F80" w:rsidRPr="00205D0D" w:rsidRDefault="00730F80" w:rsidP="003F310C">
            <w:pPr>
              <w:spacing w:after="0"/>
              <w:ind w:left="140" w:firstLine="0"/>
              <w:contextualSpacing/>
              <w:jc w:val="left"/>
              <w:rPr>
                <w:szCs w:val="24"/>
              </w:rPr>
            </w:pPr>
            <w:r w:rsidRPr="00205D0D">
              <w:rPr>
                <w:rStyle w:val="24"/>
                <w:rFonts w:eastAsiaTheme="minorHAnsi"/>
                <w:sz w:val="24"/>
                <w:szCs w:val="24"/>
              </w:rPr>
              <w:t>равно 500</w:t>
            </w:r>
          </w:p>
        </w:tc>
        <w:tc>
          <w:tcPr>
            <w:tcW w:w="5088" w:type="dxa"/>
            <w:tcBorders>
              <w:top w:val="single" w:sz="4" w:space="0" w:color="auto"/>
              <w:left w:val="single" w:sz="4" w:space="0" w:color="auto"/>
              <w:right w:val="single" w:sz="4" w:space="0" w:color="auto"/>
            </w:tcBorders>
            <w:shd w:val="clear" w:color="auto" w:fill="FFFFFF"/>
          </w:tcPr>
          <w:p w14:paraId="46E2D788" w14:textId="77777777" w:rsidR="00730F80" w:rsidRPr="00205D0D" w:rsidRDefault="00730F80" w:rsidP="003F310C">
            <w:pPr>
              <w:spacing w:after="0"/>
              <w:ind w:firstLine="0"/>
              <w:contextualSpacing/>
              <w:jc w:val="left"/>
              <w:rPr>
                <w:szCs w:val="24"/>
              </w:rPr>
            </w:pPr>
            <w:r w:rsidRPr="00205D0D">
              <w:rPr>
                <w:rStyle w:val="24"/>
                <w:rFonts w:eastAsiaTheme="minorHAnsi"/>
                <w:sz w:val="24"/>
                <w:szCs w:val="24"/>
              </w:rPr>
              <w:t>Без изменений</w:t>
            </w:r>
          </w:p>
        </w:tc>
      </w:tr>
      <w:tr w:rsidR="00730F80" w:rsidRPr="00205D0D" w14:paraId="38FB3577" w14:textId="77777777" w:rsidTr="00791E09">
        <w:trPr>
          <w:trHeight w:hRule="exact" w:val="857"/>
        </w:trPr>
        <w:tc>
          <w:tcPr>
            <w:tcW w:w="4253" w:type="dxa"/>
            <w:tcBorders>
              <w:top w:val="single" w:sz="4" w:space="0" w:color="auto"/>
              <w:left w:val="single" w:sz="4" w:space="0" w:color="auto"/>
              <w:bottom w:val="single" w:sz="4" w:space="0" w:color="auto"/>
            </w:tcBorders>
            <w:shd w:val="clear" w:color="auto" w:fill="FFFFFF"/>
          </w:tcPr>
          <w:p w14:paraId="6E7B83A9" w14:textId="77777777" w:rsidR="00730F80" w:rsidRPr="00205D0D" w:rsidRDefault="00730F80" w:rsidP="003F310C">
            <w:pPr>
              <w:spacing w:after="0"/>
              <w:ind w:left="140" w:firstLine="0"/>
              <w:contextualSpacing/>
              <w:jc w:val="left"/>
              <w:rPr>
                <w:szCs w:val="24"/>
              </w:rPr>
            </w:pPr>
            <w:r w:rsidRPr="00205D0D">
              <w:rPr>
                <w:rStyle w:val="24"/>
                <w:rFonts w:eastAsiaTheme="minorHAnsi"/>
                <w:sz w:val="24"/>
                <w:szCs w:val="24"/>
              </w:rPr>
              <w:t>Число лимфоцитов меньше 500</w:t>
            </w:r>
          </w:p>
          <w:p w14:paraId="1376D9F7" w14:textId="77777777" w:rsidR="00730F80" w:rsidRPr="00205D0D" w:rsidRDefault="00730F80" w:rsidP="003F310C">
            <w:pPr>
              <w:spacing w:after="0"/>
              <w:ind w:left="140" w:firstLine="0"/>
              <w:contextualSpacing/>
              <w:jc w:val="left"/>
              <w:rPr>
                <w:szCs w:val="24"/>
              </w:rPr>
            </w:pPr>
            <w:r w:rsidRPr="00205D0D">
              <w:rPr>
                <w:rStyle w:val="24"/>
                <w:rFonts w:eastAsiaTheme="minorHAnsi"/>
                <w:sz w:val="24"/>
                <w:szCs w:val="24"/>
              </w:rPr>
              <w:t>(подтверждено повторным</w:t>
            </w:r>
          </w:p>
          <w:p w14:paraId="51949E0A" w14:textId="77777777" w:rsidR="00730F80" w:rsidRPr="00205D0D" w:rsidRDefault="00730F80" w:rsidP="003F310C">
            <w:pPr>
              <w:spacing w:after="0"/>
              <w:ind w:left="140" w:firstLine="0"/>
              <w:contextualSpacing/>
              <w:jc w:val="left"/>
              <w:rPr>
                <w:szCs w:val="24"/>
              </w:rPr>
            </w:pPr>
            <w:r w:rsidRPr="00205D0D">
              <w:rPr>
                <w:rStyle w:val="24"/>
                <w:rFonts w:eastAsiaTheme="minorHAnsi"/>
                <w:sz w:val="24"/>
                <w:szCs w:val="24"/>
              </w:rPr>
              <w:t>анализом)</w:t>
            </w:r>
          </w:p>
        </w:tc>
        <w:tc>
          <w:tcPr>
            <w:tcW w:w="5088" w:type="dxa"/>
            <w:tcBorders>
              <w:top w:val="single" w:sz="4" w:space="0" w:color="auto"/>
              <w:left w:val="single" w:sz="4" w:space="0" w:color="auto"/>
              <w:bottom w:val="single" w:sz="4" w:space="0" w:color="auto"/>
              <w:right w:val="single" w:sz="4" w:space="0" w:color="auto"/>
            </w:tcBorders>
            <w:shd w:val="clear" w:color="auto" w:fill="FFFFFF"/>
          </w:tcPr>
          <w:p w14:paraId="4D7FC025" w14:textId="77777777" w:rsidR="00730F80" w:rsidRPr="00205D0D" w:rsidRDefault="00730F80" w:rsidP="003F310C">
            <w:pPr>
              <w:spacing w:after="0"/>
              <w:ind w:firstLine="0"/>
              <w:contextualSpacing/>
              <w:jc w:val="left"/>
              <w:rPr>
                <w:szCs w:val="24"/>
              </w:rPr>
            </w:pPr>
            <w:r w:rsidRPr="00205D0D">
              <w:rPr>
                <w:rStyle w:val="24"/>
                <w:rFonts w:eastAsiaTheme="minorHAnsi"/>
                <w:sz w:val="24"/>
                <w:szCs w:val="24"/>
              </w:rPr>
              <w:t>Прекращение лечения</w:t>
            </w:r>
          </w:p>
        </w:tc>
      </w:tr>
    </w:tbl>
    <w:p w14:paraId="183EF0E5" w14:textId="77777777" w:rsidR="00730F80" w:rsidRDefault="00730F80" w:rsidP="003F310C">
      <w:pPr>
        <w:spacing w:after="0"/>
        <w:contextualSpacing/>
      </w:pPr>
    </w:p>
    <w:p w14:paraId="41AC52CA" w14:textId="070A48F8" w:rsidR="00730F80" w:rsidRDefault="00730F80" w:rsidP="003F310C">
      <w:pPr>
        <w:spacing w:after="0"/>
        <w:ind w:firstLine="0"/>
        <w:contextualSpacing/>
      </w:pPr>
      <w:bookmarkStart w:id="304" w:name="_Ref117785016"/>
      <w:r w:rsidRPr="002C0BB6">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5</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3</w:t>
      </w:r>
      <w:r w:rsidR="00652269">
        <w:rPr>
          <w:b/>
        </w:rPr>
        <w:fldChar w:fldCharType="end"/>
      </w:r>
      <w:bookmarkEnd w:id="304"/>
      <w:r w:rsidRPr="002C0BB6">
        <w:rPr>
          <w:b/>
          <w:noProof/>
        </w:rPr>
        <w:t>.</w:t>
      </w:r>
      <w:r>
        <w:t xml:space="preserve"> </w:t>
      </w:r>
      <w:r w:rsidRPr="00986CE0">
        <w:t>Коррекция дозы при нейтропении</w:t>
      </w:r>
      <w:r>
        <w:t>.</w:t>
      </w:r>
    </w:p>
    <w:tbl>
      <w:tblPr>
        <w:tblW w:w="9356" w:type="dxa"/>
        <w:tblInd w:w="10" w:type="dxa"/>
        <w:tblLayout w:type="fixed"/>
        <w:tblCellMar>
          <w:left w:w="10" w:type="dxa"/>
          <w:right w:w="10" w:type="dxa"/>
        </w:tblCellMar>
        <w:tblLook w:val="04A0" w:firstRow="1" w:lastRow="0" w:firstColumn="1" w:lastColumn="0" w:noHBand="0" w:noVBand="1"/>
      </w:tblPr>
      <w:tblGrid>
        <w:gridCol w:w="2977"/>
        <w:gridCol w:w="6379"/>
      </w:tblGrid>
      <w:tr w:rsidR="00730F80" w14:paraId="56136E2E" w14:textId="77777777" w:rsidTr="00F05338">
        <w:trPr>
          <w:tblHeader/>
        </w:trPr>
        <w:tc>
          <w:tcPr>
            <w:tcW w:w="9356"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0AF0E1CF" w14:textId="6C9EB015" w:rsidR="00730F80" w:rsidRPr="002C0BB6" w:rsidRDefault="00730F80" w:rsidP="00F05338">
            <w:pPr>
              <w:spacing w:after="0"/>
              <w:ind w:firstLine="0"/>
              <w:contextualSpacing/>
              <w:jc w:val="center"/>
              <w:rPr>
                <w:szCs w:val="24"/>
              </w:rPr>
            </w:pPr>
            <w:r w:rsidRPr="002C0BB6">
              <w:rPr>
                <w:rStyle w:val="25"/>
                <w:rFonts w:eastAsiaTheme="minorHAnsi"/>
                <w:sz w:val="24"/>
                <w:szCs w:val="24"/>
              </w:rPr>
              <w:t xml:space="preserve">Низкое значение АЧН </w:t>
            </w:r>
          </w:p>
        </w:tc>
      </w:tr>
      <w:tr w:rsidR="00730F80" w14:paraId="67DBDB09" w14:textId="77777777" w:rsidTr="00791E09">
        <w:trPr>
          <w:tblHeader/>
        </w:trPr>
        <w:tc>
          <w:tcPr>
            <w:tcW w:w="2977" w:type="dxa"/>
            <w:tcBorders>
              <w:top w:val="single" w:sz="4" w:space="0" w:color="auto"/>
              <w:left w:val="single" w:sz="4" w:space="0" w:color="auto"/>
            </w:tcBorders>
            <w:shd w:val="clear" w:color="auto" w:fill="D9D9D9" w:themeFill="background1" w:themeFillShade="D9"/>
            <w:vAlign w:val="center"/>
          </w:tcPr>
          <w:p w14:paraId="4276CC74" w14:textId="77777777" w:rsidR="00730F80" w:rsidRPr="002C0BB6" w:rsidRDefault="00730F80" w:rsidP="00F05338">
            <w:pPr>
              <w:spacing w:after="0"/>
              <w:ind w:left="160" w:firstLine="0"/>
              <w:contextualSpacing/>
              <w:jc w:val="center"/>
              <w:rPr>
                <w:szCs w:val="24"/>
              </w:rPr>
            </w:pPr>
            <w:r w:rsidRPr="002C0BB6">
              <w:rPr>
                <w:rStyle w:val="25"/>
                <w:rFonts w:eastAsiaTheme="minorHAnsi"/>
                <w:sz w:val="24"/>
                <w:szCs w:val="24"/>
              </w:rPr>
              <w:t>Лабораторное</w:t>
            </w:r>
          </w:p>
          <w:p w14:paraId="628E4DA3" w14:textId="77777777" w:rsidR="00730F80" w:rsidRPr="002C0BB6" w:rsidRDefault="00730F80" w:rsidP="00F05338">
            <w:pPr>
              <w:spacing w:after="0"/>
              <w:ind w:left="160" w:firstLine="0"/>
              <w:contextualSpacing/>
              <w:jc w:val="center"/>
              <w:rPr>
                <w:szCs w:val="24"/>
              </w:rPr>
            </w:pPr>
            <w:r w:rsidRPr="002C0BB6">
              <w:rPr>
                <w:rStyle w:val="25"/>
                <w:rFonts w:eastAsiaTheme="minorHAnsi"/>
                <w:sz w:val="24"/>
                <w:szCs w:val="24"/>
              </w:rPr>
              <w:t>значение (клеток/мм</w:t>
            </w:r>
            <w:r w:rsidRPr="002C0BB6">
              <w:rPr>
                <w:rStyle w:val="25"/>
                <w:rFonts w:eastAsiaTheme="minorHAnsi"/>
                <w:sz w:val="24"/>
                <w:szCs w:val="24"/>
                <w:vertAlign w:val="superscript"/>
              </w:rPr>
              <w:t>3</w:t>
            </w:r>
            <w:r w:rsidRPr="002C0BB6">
              <w:rPr>
                <w:rStyle w:val="25"/>
                <w:rFonts w:eastAsiaTheme="minorHAnsi"/>
                <w:sz w:val="24"/>
                <w:szCs w:val="24"/>
              </w:rPr>
              <w:t>)</w:t>
            </w:r>
          </w:p>
        </w:tc>
        <w:tc>
          <w:tcPr>
            <w:tcW w:w="6379" w:type="dxa"/>
            <w:tcBorders>
              <w:top w:val="single" w:sz="4" w:space="0" w:color="auto"/>
              <w:left w:val="single" w:sz="4" w:space="0" w:color="auto"/>
              <w:right w:val="single" w:sz="4" w:space="0" w:color="auto"/>
            </w:tcBorders>
            <w:shd w:val="clear" w:color="auto" w:fill="D9D9D9" w:themeFill="background1" w:themeFillShade="D9"/>
            <w:vAlign w:val="center"/>
          </w:tcPr>
          <w:p w14:paraId="08455BB5" w14:textId="77777777" w:rsidR="00730F80" w:rsidRPr="002C0BB6" w:rsidRDefault="00730F80" w:rsidP="00F05338">
            <w:pPr>
              <w:spacing w:after="0"/>
              <w:ind w:firstLine="0"/>
              <w:contextualSpacing/>
              <w:jc w:val="center"/>
              <w:rPr>
                <w:szCs w:val="24"/>
              </w:rPr>
            </w:pPr>
            <w:r w:rsidRPr="002C0BB6">
              <w:rPr>
                <w:rStyle w:val="25"/>
                <w:rFonts w:eastAsiaTheme="minorHAnsi"/>
                <w:sz w:val="24"/>
                <w:szCs w:val="24"/>
              </w:rPr>
              <w:t>Рекомендации</w:t>
            </w:r>
          </w:p>
        </w:tc>
      </w:tr>
      <w:tr w:rsidR="00730F80" w14:paraId="2439AB5D" w14:textId="77777777" w:rsidTr="00791E09">
        <w:tc>
          <w:tcPr>
            <w:tcW w:w="2977" w:type="dxa"/>
            <w:tcBorders>
              <w:top w:val="single" w:sz="4" w:space="0" w:color="auto"/>
              <w:left w:val="single" w:sz="4" w:space="0" w:color="auto"/>
            </w:tcBorders>
            <w:shd w:val="clear" w:color="auto" w:fill="FFFFFF"/>
          </w:tcPr>
          <w:p w14:paraId="786ECF85" w14:textId="055C41BB" w:rsidR="00730F80" w:rsidRPr="002C0BB6" w:rsidRDefault="00730F80" w:rsidP="003F310C">
            <w:pPr>
              <w:spacing w:after="0"/>
              <w:ind w:left="160" w:firstLine="0"/>
              <w:contextualSpacing/>
              <w:jc w:val="left"/>
              <w:rPr>
                <w:szCs w:val="24"/>
              </w:rPr>
            </w:pPr>
            <w:r w:rsidRPr="002C0BB6">
              <w:rPr>
                <w:rStyle w:val="24"/>
                <w:rFonts w:eastAsiaTheme="minorHAnsi"/>
                <w:sz w:val="24"/>
                <w:szCs w:val="24"/>
              </w:rPr>
              <w:t>АЧН &gt;</w:t>
            </w:r>
            <w:r w:rsidR="00CA1E72">
              <w:rPr>
                <w:rStyle w:val="24"/>
                <w:rFonts w:eastAsiaTheme="minorHAnsi"/>
                <w:sz w:val="24"/>
                <w:szCs w:val="24"/>
              </w:rPr>
              <w:t xml:space="preserve"> </w:t>
            </w:r>
            <w:r w:rsidRPr="002C0BB6">
              <w:rPr>
                <w:rStyle w:val="24"/>
                <w:rFonts w:eastAsiaTheme="minorHAnsi"/>
                <w:sz w:val="24"/>
                <w:szCs w:val="24"/>
              </w:rPr>
              <w:t>1000</w:t>
            </w:r>
          </w:p>
        </w:tc>
        <w:tc>
          <w:tcPr>
            <w:tcW w:w="6379" w:type="dxa"/>
            <w:tcBorders>
              <w:top w:val="single" w:sz="4" w:space="0" w:color="auto"/>
              <w:left w:val="single" w:sz="4" w:space="0" w:color="auto"/>
              <w:right w:val="single" w:sz="4" w:space="0" w:color="auto"/>
            </w:tcBorders>
            <w:shd w:val="clear" w:color="auto" w:fill="FFFFFF"/>
          </w:tcPr>
          <w:p w14:paraId="4E1C06B2" w14:textId="77777777" w:rsidR="00730F80" w:rsidRPr="002C0BB6" w:rsidRDefault="00730F80" w:rsidP="003F310C">
            <w:pPr>
              <w:spacing w:after="0"/>
              <w:ind w:firstLine="0"/>
              <w:contextualSpacing/>
              <w:rPr>
                <w:szCs w:val="24"/>
              </w:rPr>
            </w:pPr>
            <w:r w:rsidRPr="002C0BB6">
              <w:rPr>
                <w:rStyle w:val="24"/>
                <w:rFonts w:eastAsiaTheme="minorHAnsi"/>
                <w:sz w:val="24"/>
                <w:szCs w:val="24"/>
              </w:rPr>
              <w:t>Без изменений</w:t>
            </w:r>
          </w:p>
        </w:tc>
      </w:tr>
      <w:tr w:rsidR="00730F80" w14:paraId="4D7B28B9" w14:textId="77777777" w:rsidTr="00791E09">
        <w:tc>
          <w:tcPr>
            <w:tcW w:w="2977" w:type="dxa"/>
            <w:tcBorders>
              <w:top w:val="single" w:sz="4" w:space="0" w:color="auto"/>
              <w:left w:val="single" w:sz="4" w:space="0" w:color="auto"/>
            </w:tcBorders>
            <w:shd w:val="clear" w:color="auto" w:fill="FFFFFF"/>
          </w:tcPr>
          <w:p w14:paraId="536FDA50" w14:textId="6C422DFD" w:rsidR="00730F80" w:rsidRPr="002C0BB6" w:rsidRDefault="00730F80" w:rsidP="003F310C">
            <w:pPr>
              <w:spacing w:after="0"/>
              <w:ind w:left="160" w:firstLine="0"/>
              <w:contextualSpacing/>
              <w:jc w:val="left"/>
              <w:rPr>
                <w:szCs w:val="24"/>
              </w:rPr>
            </w:pPr>
            <w:r w:rsidRPr="002C0BB6">
              <w:rPr>
                <w:rStyle w:val="24"/>
                <w:rFonts w:eastAsiaTheme="minorHAnsi"/>
                <w:sz w:val="24"/>
                <w:szCs w:val="24"/>
              </w:rPr>
              <w:t>АЧН 500</w:t>
            </w:r>
            <w:r w:rsidR="00CA1E72">
              <w:rPr>
                <w:rStyle w:val="24"/>
                <w:rFonts w:eastAsiaTheme="minorHAnsi"/>
                <w:sz w:val="24"/>
                <w:szCs w:val="24"/>
              </w:rPr>
              <w:t>–</w:t>
            </w:r>
            <w:r w:rsidRPr="002C0BB6">
              <w:rPr>
                <w:rStyle w:val="24"/>
                <w:rFonts w:eastAsiaTheme="minorHAnsi"/>
                <w:sz w:val="24"/>
                <w:szCs w:val="24"/>
              </w:rPr>
              <w:t>1000</w:t>
            </w:r>
          </w:p>
        </w:tc>
        <w:tc>
          <w:tcPr>
            <w:tcW w:w="6379" w:type="dxa"/>
            <w:tcBorders>
              <w:top w:val="single" w:sz="4" w:space="0" w:color="auto"/>
              <w:left w:val="single" w:sz="4" w:space="0" w:color="auto"/>
              <w:right w:val="single" w:sz="4" w:space="0" w:color="auto"/>
            </w:tcBorders>
            <w:shd w:val="clear" w:color="auto" w:fill="FFFFFF"/>
          </w:tcPr>
          <w:p w14:paraId="05170C81" w14:textId="783FB148" w:rsidR="00730F80" w:rsidRPr="002C0BB6" w:rsidRDefault="00730F80" w:rsidP="003F310C">
            <w:pPr>
              <w:spacing w:after="0"/>
              <w:ind w:firstLine="0"/>
              <w:contextualSpacing/>
              <w:rPr>
                <w:szCs w:val="24"/>
              </w:rPr>
            </w:pPr>
            <w:r w:rsidRPr="002C0BB6">
              <w:rPr>
                <w:rStyle w:val="24"/>
                <w:rFonts w:eastAsiaTheme="minorHAnsi"/>
                <w:sz w:val="24"/>
                <w:szCs w:val="24"/>
              </w:rPr>
              <w:t>При стойком снижении в этом диапазоне следует снизить</w:t>
            </w:r>
          </w:p>
          <w:p w14:paraId="60475161" w14:textId="77777777" w:rsidR="00730F80" w:rsidRPr="002C0BB6" w:rsidRDefault="00730F80" w:rsidP="003F310C">
            <w:pPr>
              <w:spacing w:after="0"/>
              <w:ind w:firstLine="0"/>
              <w:contextualSpacing/>
              <w:rPr>
                <w:szCs w:val="24"/>
              </w:rPr>
            </w:pPr>
            <w:r w:rsidRPr="002C0BB6">
              <w:rPr>
                <w:rStyle w:val="24"/>
                <w:rFonts w:eastAsiaTheme="minorHAnsi"/>
                <w:sz w:val="24"/>
                <w:szCs w:val="24"/>
              </w:rPr>
              <w:t>дозу или отменить прием до достижения АЧН более</w:t>
            </w:r>
          </w:p>
          <w:p w14:paraId="2B09F000" w14:textId="77777777" w:rsidR="00730F80" w:rsidRPr="002C0BB6" w:rsidRDefault="00730F80" w:rsidP="003F310C">
            <w:pPr>
              <w:spacing w:after="0"/>
              <w:ind w:firstLine="0"/>
              <w:contextualSpacing/>
              <w:rPr>
                <w:szCs w:val="24"/>
              </w:rPr>
            </w:pPr>
            <w:r w:rsidRPr="002C0BB6">
              <w:rPr>
                <w:rStyle w:val="24"/>
                <w:rFonts w:eastAsiaTheme="minorHAnsi"/>
                <w:sz w:val="24"/>
                <w:szCs w:val="24"/>
              </w:rPr>
              <w:t>1000 клеток/мм</w:t>
            </w:r>
            <w:r w:rsidRPr="002C0BB6">
              <w:rPr>
                <w:rStyle w:val="24"/>
                <w:rFonts w:eastAsiaTheme="minorHAnsi"/>
                <w:sz w:val="24"/>
                <w:szCs w:val="24"/>
                <w:vertAlign w:val="superscript"/>
              </w:rPr>
              <w:t>3</w:t>
            </w:r>
            <w:r w:rsidRPr="002C0BB6">
              <w:rPr>
                <w:rStyle w:val="24"/>
                <w:rFonts w:eastAsiaTheme="minorHAnsi"/>
                <w:sz w:val="24"/>
                <w:szCs w:val="24"/>
              </w:rPr>
              <w:t>.</w:t>
            </w:r>
          </w:p>
          <w:p w14:paraId="3748E9D8" w14:textId="7C19086E" w:rsidR="00730F80" w:rsidRPr="002C0BB6" w:rsidRDefault="00730F80" w:rsidP="003F310C">
            <w:pPr>
              <w:spacing w:after="0"/>
              <w:ind w:firstLine="0"/>
              <w:contextualSpacing/>
              <w:rPr>
                <w:szCs w:val="24"/>
              </w:rPr>
            </w:pPr>
            <w:r w:rsidRPr="002C0BB6">
              <w:rPr>
                <w:rStyle w:val="24"/>
                <w:rFonts w:eastAsiaTheme="minorHAnsi"/>
                <w:sz w:val="24"/>
                <w:szCs w:val="24"/>
              </w:rPr>
              <w:t xml:space="preserve">Для пациентов, получающих </w:t>
            </w:r>
            <w:r w:rsidR="00BA71B2" w:rsidRPr="00BA71B2">
              <w:rPr>
                <w:rStyle w:val="24"/>
                <w:rFonts w:eastAsiaTheme="minorHAnsi"/>
                <w:sz w:val="24"/>
                <w:szCs w:val="24"/>
              </w:rPr>
              <w:t xml:space="preserve">тофацитиниб </w:t>
            </w:r>
            <w:r w:rsidRPr="002C0BB6">
              <w:rPr>
                <w:rStyle w:val="24"/>
                <w:rFonts w:eastAsiaTheme="minorHAnsi"/>
                <w:sz w:val="24"/>
                <w:szCs w:val="24"/>
              </w:rPr>
              <w:t>в дозе 5 мг два раза в</w:t>
            </w:r>
          </w:p>
          <w:p w14:paraId="033FE601" w14:textId="73ABDD88" w:rsidR="00730F80" w:rsidRPr="002C0BB6" w:rsidRDefault="00730F80" w:rsidP="003F310C">
            <w:pPr>
              <w:spacing w:after="0"/>
              <w:ind w:firstLine="0"/>
              <w:contextualSpacing/>
              <w:rPr>
                <w:szCs w:val="24"/>
              </w:rPr>
            </w:pPr>
            <w:r w:rsidRPr="002C0BB6">
              <w:rPr>
                <w:rStyle w:val="24"/>
                <w:rFonts w:eastAsiaTheme="minorHAnsi"/>
                <w:sz w:val="24"/>
                <w:szCs w:val="24"/>
              </w:rPr>
              <w:t>сутки, приостановить прием препарата. При АЧН более 1000 клеток/мм</w:t>
            </w:r>
            <w:r w:rsidRPr="002C0BB6">
              <w:rPr>
                <w:rStyle w:val="24"/>
                <w:rFonts w:eastAsiaTheme="minorHAnsi"/>
                <w:sz w:val="24"/>
                <w:szCs w:val="24"/>
                <w:vertAlign w:val="superscript"/>
              </w:rPr>
              <w:t>3</w:t>
            </w:r>
            <w:r w:rsidRPr="002C0BB6">
              <w:rPr>
                <w:rStyle w:val="24"/>
                <w:rFonts w:eastAsiaTheme="minorHAnsi"/>
                <w:sz w:val="24"/>
                <w:szCs w:val="24"/>
              </w:rPr>
              <w:t xml:space="preserve"> возобновить прием </w:t>
            </w:r>
            <w:r w:rsidR="00BA71B2" w:rsidRPr="00BA71B2">
              <w:rPr>
                <w:rStyle w:val="24"/>
                <w:rFonts w:eastAsiaTheme="minorHAnsi"/>
                <w:sz w:val="24"/>
                <w:szCs w:val="24"/>
              </w:rPr>
              <w:t xml:space="preserve">тофацитиниба </w:t>
            </w:r>
            <w:r w:rsidRPr="002C0BB6">
              <w:rPr>
                <w:rStyle w:val="24"/>
                <w:rFonts w:eastAsiaTheme="minorHAnsi"/>
                <w:sz w:val="24"/>
                <w:szCs w:val="24"/>
              </w:rPr>
              <w:t>в</w:t>
            </w:r>
          </w:p>
          <w:p w14:paraId="4567625F" w14:textId="77777777" w:rsidR="00730F80" w:rsidRPr="002C0BB6" w:rsidRDefault="00730F80" w:rsidP="003F310C">
            <w:pPr>
              <w:spacing w:after="0"/>
              <w:ind w:firstLine="0"/>
              <w:contextualSpacing/>
              <w:rPr>
                <w:szCs w:val="24"/>
              </w:rPr>
            </w:pPr>
            <w:r w:rsidRPr="002C0BB6">
              <w:rPr>
                <w:rStyle w:val="24"/>
                <w:rFonts w:eastAsiaTheme="minorHAnsi"/>
                <w:sz w:val="24"/>
                <w:szCs w:val="24"/>
              </w:rPr>
              <w:t>дозе 5 мг два раза в сутки.</w:t>
            </w:r>
          </w:p>
          <w:p w14:paraId="6603B4AA" w14:textId="67E8F773" w:rsidR="00730F80" w:rsidRPr="002C0BB6" w:rsidRDefault="00730F80" w:rsidP="003F310C">
            <w:pPr>
              <w:spacing w:after="0"/>
              <w:ind w:firstLine="0"/>
              <w:contextualSpacing/>
              <w:rPr>
                <w:szCs w:val="24"/>
              </w:rPr>
            </w:pPr>
            <w:r w:rsidRPr="002C0BB6">
              <w:rPr>
                <w:rStyle w:val="24"/>
                <w:rFonts w:eastAsiaTheme="minorHAnsi"/>
                <w:sz w:val="24"/>
                <w:szCs w:val="24"/>
              </w:rPr>
              <w:t xml:space="preserve">Для пациентов, получающих </w:t>
            </w:r>
            <w:r w:rsidR="00BA71B2" w:rsidRPr="00BA71B2">
              <w:rPr>
                <w:rStyle w:val="24"/>
                <w:rFonts w:eastAsiaTheme="minorHAnsi"/>
                <w:sz w:val="24"/>
                <w:szCs w:val="24"/>
              </w:rPr>
              <w:t>тофацитиниб</w:t>
            </w:r>
            <w:r w:rsidRPr="002C0BB6">
              <w:rPr>
                <w:rStyle w:val="24"/>
                <w:rFonts w:eastAsiaTheme="minorHAnsi"/>
                <w:sz w:val="24"/>
                <w:szCs w:val="24"/>
              </w:rPr>
              <w:t xml:space="preserve"> в дозе 10 мг два раза в</w:t>
            </w:r>
            <w:r w:rsidR="00BA71B2">
              <w:rPr>
                <w:szCs w:val="24"/>
              </w:rPr>
              <w:t xml:space="preserve"> </w:t>
            </w:r>
            <w:r w:rsidRPr="002C0BB6">
              <w:rPr>
                <w:rStyle w:val="24"/>
                <w:rFonts w:eastAsiaTheme="minorHAnsi"/>
                <w:sz w:val="24"/>
                <w:szCs w:val="24"/>
              </w:rPr>
              <w:t>сутки, уменьшить дозу препарата до 5 мг два раза в сутки. При АЧН более 1000 клеток/мм</w:t>
            </w:r>
            <w:r w:rsidRPr="002C0BB6">
              <w:rPr>
                <w:rStyle w:val="24"/>
                <w:rFonts w:eastAsiaTheme="minorHAnsi"/>
                <w:sz w:val="24"/>
                <w:szCs w:val="24"/>
                <w:vertAlign w:val="superscript"/>
              </w:rPr>
              <w:t>3</w:t>
            </w:r>
            <w:r w:rsidRPr="002C0BB6">
              <w:rPr>
                <w:rStyle w:val="24"/>
                <w:rFonts w:eastAsiaTheme="minorHAnsi"/>
                <w:sz w:val="24"/>
                <w:szCs w:val="24"/>
              </w:rPr>
              <w:t xml:space="preserve"> увеличить прием </w:t>
            </w:r>
            <w:r w:rsidR="00BA71B2" w:rsidRPr="00BA71B2">
              <w:rPr>
                <w:rStyle w:val="24"/>
                <w:rFonts w:eastAsiaTheme="minorHAnsi"/>
                <w:sz w:val="24"/>
                <w:szCs w:val="24"/>
              </w:rPr>
              <w:t>тофацитиниба</w:t>
            </w:r>
            <w:r w:rsidRPr="002C0BB6">
              <w:rPr>
                <w:rStyle w:val="24"/>
                <w:rFonts w:eastAsiaTheme="minorHAnsi"/>
                <w:sz w:val="24"/>
                <w:szCs w:val="24"/>
              </w:rPr>
              <w:t xml:space="preserve"> в дозе 10 мг два раза в сутки, основываясь на</w:t>
            </w:r>
          </w:p>
          <w:p w14:paraId="3736D44C" w14:textId="77777777" w:rsidR="00730F80" w:rsidRPr="002C0BB6" w:rsidRDefault="00730F80" w:rsidP="003F310C">
            <w:pPr>
              <w:spacing w:after="0"/>
              <w:ind w:firstLine="0"/>
              <w:contextualSpacing/>
              <w:rPr>
                <w:szCs w:val="24"/>
              </w:rPr>
            </w:pPr>
            <w:r w:rsidRPr="002C0BB6">
              <w:rPr>
                <w:rStyle w:val="24"/>
                <w:rFonts w:eastAsiaTheme="minorHAnsi"/>
                <w:sz w:val="24"/>
                <w:szCs w:val="24"/>
              </w:rPr>
              <w:t>клиническом ответе на лечение.</w:t>
            </w:r>
          </w:p>
        </w:tc>
      </w:tr>
      <w:tr w:rsidR="00730F80" w14:paraId="77DFC157" w14:textId="77777777" w:rsidTr="00791E09">
        <w:tc>
          <w:tcPr>
            <w:tcW w:w="2977" w:type="dxa"/>
            <w:tcBorders>
              <w:top w:val="single" w:sz="4" w:space="0" w:color="auto"/>
              <w:left w:val="single" w:sz="4" w:space="0" w:color="auto"/>
              <w:bottom w:val="single" w:sz="4" w:space="0" w:color="auto"/>
            </w:tcBorders>
            <w:shd w:val="clear" w:color="auto" w:fill="FFFFFF"/>
          </w:tcPr>
          <w:p w14:paraId="08D61521" w14:textId="147270C0" w:rsidR="00730F80" w:rsidRPr="002C0BB6" w:rsidRDefault="00730F80" w:rsidP="003F310C">
            <w:pPr>
              <w:spacing w:after="0"/>
              <w:ind w:left="160" w:firstLine="0"/>
              <w:contextualSpacing/>
              <w:jc w:val="left"/>
              <w:rPr>
                <w:szCs w:val="24"/>
              </w:rPr>
            </w:pPr>
            <w:r w:rsidRPr="002C0BB6">
              <w:rPr>
                <w:rStyle w:val="24"/>
                <w:rFonts w:eastAsiaTheme="minorHAnsi"/>
                <w:sz w:val="24"/>
                <w:szCs w:val="24"/>
              </w:rPr>
              <w:t>АЧН &lt;</w:t>
            </w:r>
            <w:r w:rsidR="00CA1E72">
              <w:rPr>
                <w:rStyle w:val="24"/>
                <w:rFonts w:eastAsiaTheme="minorHAnsi"/>
                <w:sz w:val="24"/>
                <w:szCs w:val="24"/>
              </w:rPr>
              <w:t xml:space="preserve"> </w:t>
            </w:r>
            <w:r w:rsidRPr="002C0BB6">
              <w:rPr>
                <w:rStyle w:val="24"/>
                <w:rFonts w:eastAsiaTheme="minorHAnsi"/>
                <w:sz w:val="24"/>
                <w:szCs w:val="24"/>
              </w:rPr>
              <w:t>500</w:t>
            </w:r>
          </w:p>
          <w:p w14:paraId="17F55740" w14:textId="77777777" w:rsidR="00730F80" w:rsidRPr="002C0BB6" w:rsidRDefault="00730F80" w:rsidP="003F310C">
            <w:pPr>
              <w:spacing w:after="0"/>
              <w:ind w:left="160" w:firstLine="0"/>
              <w:contextualSpacing/>
              <w:jc w:val="left"/>
              <w:rPr>
                <w:szCs w:val="24"/>
              </w:rPr>
            </w:pPr>
            <w:r w:rsidRPr="002C0BB6">
              <w:rPr>
                <w:rStyle w:val="24"/>
                <w:rFonts w:eastAsiaTheme="minorHAnsi"/>
                <w:sz w:val="24"/>
                <w:szCs w:val="24"/>
              </w:rPr>
              <w:t>(подтверждено при</w:t>
            </w:r>
          </w:p>
          <w:p w14:paraId="3A20F7EF" w14:textId="77777777" w:rsidR="00730F80" w:rsidRPr="002C0BB6" w:rsidRDefault="00730F80" w:rsidP="003F310C">
            <w:pPr>
              <w:spacing w:after="0"/>
              <w:ind w:left="160" w:firstLine="0"/>
              <w:contextualSpacing/>
              <w:jc w:val="left"/>
              <w:rPr>
                <w:szCs w:val="24"/>
              </w:rPr>
            </w:pPr>
            <w:r w:rsidRPr="002C0BB6">
              <w:rPr>
                <w:rStyle w:val="24"/>
                <w:rFonts w:eastAsiaTheme="minorHAnsi"/>
                <w:sz w:val="24"/>
                <w:szCs w:val="24"/>
              </w:rPr>
              <w:t>повторной оценке)</w:t>
            </w:r>
          </w:p>
        </w:tc>
        <w:tc>
          <w:tcPr>
            <w:tcW w:w="6379" w:type="dxa"/>
            <w:tcBorders>
              <w:top w:val="single" w:sz="4" w:space="0" w:color="auto"/>
              <w:left w:val="single" w:sz="4" w:space="0" w:color="auto"/>
              <w:bottom w:val="single" w:sz="4" w:space="0" w:color="auto"/>
              <w:right w:val="single" w:sz="4" w:space="0" w:color="auto"/>
            </w:tcBorders>
            <w:shd w:val="clear" w:color="auto" w:fill="FFFFFF"/>
          </w:tcPr>
          <w:p w14:paraId="1DD462D2" w14:textId="77777777" w:rsidR="00730F80" w:rsidRPr="002C0BB6" w:rsidRDefault="00730F80" w:rsidP="003F310C">
            <w:pPr>
              <w:spacing w:after="0"/>
              <w:ind w:firstLine="0"/>
              <w:contextualSpacing/>
              <w:rPr>
                <w:szCs w:val="24"/>
              </w:rPr>
            </w:pPr>
            <w:r w:rsidRPr="002C0BB6">
              <w:rPr>
                <w:rStyle w:val="24"/>
                <w:rFonts w:eastAsiaTheme="minorHAnsi"/>
                <w:sz w:val="24"/>
                <w:szCs w:val="24"/>
              </w:rPr>
              <w:t>Прекращение лечения</w:t>
            </w:r>
          </w:p>
        </w:tc>
      </w:tr>
    </w:tbl>
    <w:p w14:paraId="5E092981" w14:textId="77777777" w:rsidR="00730F80" w:rsidRDefault="00730F80" w:rsidP="003F310C">
      <w:pPr>
        <w:pStyle w:val="OT"/>
      </w:pPr>
    </w:p>
    <w:p w14:paraId="208A204B" w14:textId="33034288" w:rsidR="00730F80" w:rsidRDefault="00730F80" w:rsidP="003F310C">
      <w:pPr>
        <w:pStyle w:val="OT"/>
        <w:ind w:left="0"/>
      </w:pPr>
      <w:bookmarkStart w:id="305" w:name="_Ref117785022"/>
      <w:r w:rsidRPr="002C0BB6">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5</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4</w:t>
      </w:r>
      <w:r w:rsidR="00652269">
        <w:rPr>
          <w:b/>
        </w:rPr>
        <w:fldChar w:fldCharType="end"/>
      </w:r>
      <w:bookmarkEnd w:id="305"/>
      <w:r w:rsidRPr="002C0BB6">
        <w:rPr>
          <w:b/>
          <w:noProof/>
        </w:rPr>
        <w:t>.</w:t>
      </w:r>
      <w:r>
        <w:t xml:space="preserve"> </w:t>
      </w:r>
      <w:r w:rsidRPr="00327C77">
        <w:t>Коррекция дозы при анемии</w:t>
      </w:r>
      <w:r>
        <w:t>.</w:t>
      </w:r>
    </w:p>
    <w:tbl>
      <w:tblPr>
        <w:tblW w:w="9356" w:type="dxa"/>
        <w:tblInd w:w="10" w:type="dxa"/>
        <w:tblLayout w:type="fixed"/>
        <w:tblCellMar>
          <w:left w:w="10" w:type="dxa"/>
          <w:right w:w="10" w:type="dxa"/>
        </w:tblCellMar>
        <w:tblLook w:val="04A0" w:firstRow="1" w:lastRow="0" w:firstColumn="1" w:lastColumn="0" w:noHBand="0" w:noVBand="1"/>
      </w:tblPr>
      <w:tblGrid>
        <w:gridCol w:w="3544"/>
        <w:gridCol w:w="5812"/>
      </w:tblGrid>
      <w:tr w:rsidR="00730F80" w14:paraId="684B66D5" w14:textId="77777777" w:rsidTr="00791E09">
        <w:trPr>
          <w:trHeight w:hRule="exact" w:val="404"/>
        </w:trPr>
        <w:tc>
          <w:tcPr>
            <w:tcW w:w="9356"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6E059C55" w14:textId="41EB345A" w:rsidR="00730F80" w:rsidRPr="002C0BB6" w:rsidRDefault="00730F80" w:rsidP="00F05338">
            <w:pPr>
              <w:spacing w:after="0"/>
              <w:ind w:firstLine="0"/>
              <w:contextualSpacing/>
              <w:jc w:val="center"/>
              <w:rPr>
                <w:szCs w:val="24"/>
              </w:rPr>
            </w:pPr>
            <w:r w:rsidRPr="002C0BB6">
              <w:rPr>
                <w:rStyle w:val="25"/>
                <w:rFonts w:eastAsiaTheme="minorHAnsi"/>
                <w:sz w:val="24"/>
                <w:szCs w:val="24"/>
              </w:rPr>
              <w:t xml:space="preserve">Низкое значение гемоглобина </w:t>
            </w:r>
          </w:p>
        </w:tc>
      </w:tr>
      <w:tr w:rsidR="00730F80" w14:paraId="7EBF9EF9" w14:textId="77777777" w:rsidTr="00791E09">
        <w:trPr>
          <w:trHeight w:hRule="exact" w:val="424"/>
        </w:trPr>
        <w:tc>
          <w:tcPr>
            <w:tcW w:w="3544" w:type="dxa"/>
            <w:tcBorders>
              <w:top w:val="single" w:sz="4" w:space="0" w:color="auto"/>
              <w:left w:val="single" w:sz="4" w:space="0" w:color="auto"/>
              <w:bottom w:val="single" w:sz="4" w:space="0" w:color="auto"/>
            </w:tcBorders>
            <w:shd w:val="clear" w:color="auto" w:fill="D9D9D9" w:themeFill="background1" w:themeFillShade="D9"/>
            <w:vAlign w:val="center"/>
          </w:tcPr>
          <w:p w14:paraId="490C0683" w14:textId="09C4050C" w:rsidR="00730F80" w:rsidRPr="002C0BB6" w:rsidRDefault="00730F80" w:rsidP="00791E09">
            <w:pPr>
              <w:spacing w:after="0"/>
              <w:ind w:firstLine="0"/>
              <w:contextualSpacing/>
              <w:jc w:val="center"/>
              <w:rPr>
                <w:szCs w:val="24"/>
              </w:rPr>
            </w:pPr>
            <w:r w:rsidRPr="002C0BB6">
              <w:rPr>
                <w:rStyle w:val="25"/>
                <w:rFonts w:eastAsiaTheme="minorHAnsi"/>
                <w:sz w:val="24"/>
                <w:szCs w:val="24"/>
              </w:rPr>
              <w:t>Лабораторное</w:t>
            </w:r>
            <w:r w:rsidR="00791E09">
              <w:rPr>
                <w:rStyle w:val="25"/>
                <w:rFonts w:eastAsiaTheme="minorHAnsi"/>
                <w:sz w:val="24"/>
                <w:szCs w:val="24"/>
              </w:rPr>
              <w:t xml:space="preserve"> </w:t>
            </w:r>
            <w:r w:rsidRPr="002C0BB6">
              <w:rPr>
                <w:rStyle w:val="25"/>
                <w:rFonts w:eastAsiaTheme="minorHAnsi"/>
                <w:sz w:val="24"/>
                <w:szCs w:val="24"/>
              </w:rPr>
              <w:t>значение (г/дл)</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62B4D1" w14:textId="77777777" w:rsidR="00730F80" w:rsidRPr="002C0BB6" w:rsidRDefault="00730F80" w:rsidP="00F05338">
            <w:pPr>
              <w:spacing w:after="0"/>
              <w:ind w:firstLine="0"/>
              <w:contextualSpacing/>
              <w:jc w:val="center"/>
              <w:rPr>
                <w:szCs w:val="24"/>
              </w:rPr>
            </w:pPr>
            <w:r w:rsidRPr="002C0BB6">
              <w:rPr>
                <w:rStyle w:val="25"/>
                <w:rFonts w:eastAsiaTheme="minorHAnsi"/>
                <w:sz w:val="24"/>
                <w:szCs w:val="24"/>
              </w:rPr>
              <w:t>Рекомендации</w:t>
            </w:r>
          </w:p>
        </w:tc>
      </w:tr>
      <w:tr w:rsidR="00730F80" w14:paraId="1E7A5BEB" w14:textId="77777777" w:rsidTr="00791E09">
        <w:trPr>
          <w:trHeight w:hRule="exact" w:val="553"/>
        </w:trPr>
        <w:tc>
          <w:tcPr>
            <w:tcW w:w="3544" w:type="dxa"/>
            <w:tcBorders>
              <w:top w:val="single" w:sz="4" w:space="0" w:color="auto"/>
              <w:left w:val="single" w:sz="4" w:space="0" w:color="auto"/>
              <w:bottom w:val="single" w:sz="4" w:space="0" w:color="auto"/>
            </w:tcBorders>
            <w:shd w:val="clear" w:color="auto" w:fill="FFFFFF"/>
          </w:tcPr>
          <w:p w14:paraId="1842A9C6"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&gt; 9,0 г/дл и снижение на</w:t>
            </w:r>
          </w:p>
          <w:p w14:paraId="5077D962"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2 г/дл или менее</w:t>
            </w:r>
          </w:p>
        </w:tc>
        <w:tc>
          <w:tcPr>
            <w:tcW w:w="5812" w:type="dxa"/>
            <w:tcBorders>
              <w:top w:val="single" w:sz="4" w:space="0" w:color="auto"/>
              <w:left w:val="single" w:sz="4" w:space="0" w:color="auto"/>
              <w:bottom w:val="single" w:sz="4" w:space="0" w:color="auto"/>
              <w:right w:val="single" w:sz="4" w:space="0" w:color="auto"/>
            </w:tcBorders>
            <w:shd w:val="clear" w:color="auto" w:fill="FFFFFF"/>
          </w:tcPr>
          <w:p w14:paraId="20DB773E"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Без изменений</w:t>
            </w:r>
          </w:p>
        </w:tc>
      </w:tr>
      <w:tr w:rsidR="00730F80" w14:paraId="3416A093" w14:textId="77777777" w:rsidTr="00791E09">
        <w:trPr>
          <w:trHeight w:hRule="exact" w:val="826"/>
        </w:trPr>
        <w:tc>
          <w:tcPr>
            <w:tcW w:w="3544" w:type="dxa"/>
            <w:tcBorders>
              <w:top w:val="single" w:sz="4" w:space="0" w:color="auto"/>
              <w:left w:val="single" w:sz="4" w:space="0" w:color="auto"/>
              <w:bottom w:val="single" w:sz="4" w:space="0" w:color="auto"/>
            </w:tcBorders>
            <w:shd w:val="clear" w:color="auto" w:fill="FFFFFF"/>
          </w:tcPr>
          <w:p w14:paraId="57250A68"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&lt; 8,0 г/дл или снижение</w:t>
            </w:r>
          </w:p>
          <w:p w14:paraId="430D0EEC"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более чем на 2 г/дл</w:t>
            </w:r>
          </w:p>
          <w:p w14:paraId="67025716"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(подтверждено при</w:t>
            </w:r>
          </w:p>
          <w:p w14:paraId="5FD3E1A6"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повторной оценке)</w:t>
            </w:r>
          </w:p>
        </w:tc>
        <w:tc>
          <w:tcPr>
            <w:tcW w:w="5812" w:type="dxa"/>
            <w:tcBorders>
              <w:top w:val="single" w:sz="4" w:space="0" w:color="auto"/>
              <w:left w:val="single" w:sz="4" w:space="0" w:color="auto"/>
              <w:bottom w:val="single" w:sz="4" w:space="0" w:color="auto"/>
              <w:right w:val="single" w:sz="4" w:space="0" w:color="auto"/>
            </w:tcBorders>
            <w:shd w:val="clear" w:color="auto" w:fill="FFFFFF"/>
          </w:tcPr>
          <w:p w14:paraId="5E848468" w14:textId="3A77F223"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 xml:space="preserve">Следует прекратить применение </w:t>
            </w:r>
            <w:r w:rsidR="00BA71B2" w:rsidRPr="00BA71B2">
              <w:rPr>
                <w:rStyle w:val="24"/>
                <w:rFonts w:eastAsiaTheme="minorHAnsi"/>
                <w:sz w:val="24"/>
                <w:szCs w:val="24"/>
              </w:rPr>
              <w:t xml:space="preserve">тофацитиниба </w:t>
            </w:r>
            <w:r w:rsidRPr="002C0BB6">
              <w:rPr>
                <w:rStyle w:val="24"/>
                <w:rFonts w:eastAsiaTheme="minorHAnsi"/>
                <w:sz w:val="24"/>
                <w:szCs w:val="24"/>
              </w:rPr>
              <w:t>до</w:t>
            </w:r>
          </w:p>
          <w:p w14:paraId="1CD8613A" w14:textId="77777777" w:rsidR="00730F80" w:rsidRPr="002C0BB6" w:rsidRDefault="00730F80" w:rsidP="00791E09">
            <w:pPr>
              <w:spacing w:after="0"/>
              <w:ind w:firstLine="0"/>
              <w:contextualSpacing/>
              <w:jc w:val="left"/>
              <w:rPr>
                <w:rFonts w:cs="Times New Roman"/>
                <w:color w:val="000000"/>
                <w:szCs w:val="24"/>
                <w:lang w:eastAsia="ru-RU" w:bidi="ru-RU"/>
              </w:rPr>
            </w:pPr>
            <w:r w:rsidRPr="002C0BB6">
              <w:rPr>
                <w:rStyle w:val="24"/>
                <w:rFonts w:eastAsiaTheme="minorHAnsi"/>
                <w:sz w:val="24"/>
                <w:szCs w:val="24"/>
              </w:rPr>
              <w:t>нормализации гемоглобина.</w:t>
            </w:r>
          </w:p>
        </w:tc>
      </w:tr>
    </w:tbl>
    <w:p w14:paraId="631AEB36" w14:textId="77777777" w:rsidR="00730F80" w:rsidRDefault="00730F80" w:rsidP="003F310C">
      <w:pPr>
        <w:spacing w:after="0"/>
        <w:contextualSpacing/>
        <w:rPr>
          <w:rStyle w:val="27"/>
          <w:rFonts w:eastAsiaTheme="minorHAnsi"/>
          <w:i w:val="0"/>
          <w:iCs w:val="0"/>
        </w:rPr>
      </w:pPr>
    </w:p>
    <w:p w14:paraId="3465CC72" w14:textId="77777777" w:rsidR="00F05338" w:rsidRDefault="00F05338" w:rsidP="00F05338">
      <w:pPr>
        <w:pStyle w:val="OT"/>
        <w:ind w:left="0"/>
        <w:rPr>
          <w:rFonts w:eastAsia="Courier New"/>
          <w:b/>
          <w:bCs/>
          <w:szCs w:val="24"/>
          <w:lang w:bidi="ru-RU"/>
        </w:rPr>
      </w:pPr>
      <w:r w:rsidRPr="007B1E38">
        <w:rPr>
          <w:rFonts w:eastAsia="Courier New"/>
          <w:b/>
          <w:bCs/>
          <w:szCs w:val="24"/>
          <w:lang w:bidi="ru-RU"/>
        </w:rPr>
        <w:t>Применение у особых групп пациентов</w:t>
      </w:r>
    </w:p>
    <w:p w14:paraId="12CC5F25" w14:textId="77777777" w:rsidR="00F05338" w:rsidRPr="00F05338" w:rsidRDefault="00F05338" w:rsidP="003F310C">
      <w:pPr>
        <w:pStyle w:val="SDText"/>
        <w:spacing w:after="0"/>
        <w:contextualSpacing/>
        <w:rPr>
          <w:i/>
          <w:iCs/>
          <w:szCs w:val="24"/>
        </w:rPr>
      </w:pPr>
    </w:p>
    <w:p w14:paraId="1457B0B4" w14:textId="278ACC4D" w:rsidR="00730F80" w:rsidRPr="00A96B90" w:rsidRDefault="00730F80" w:rsidP="00BE2787">
      <w:pPr>
        <w:pStyle w:val="SDText"/>
        <w:spacing w:after="0"/>
        <w:ind w:firstLine="0"/>
        <w:contextualSpacing/>
        <w:rPr>
          <w:b/>
          <w:i/>
          <w:iCs/>
          <w:szCs w:val="24"/>
        </w:rPr>
      </w:pPr>
      <w:r w:rsidRPr="00A96B90">
        <w:rPr>
          <w:b/>
          <w:i/>
          <w:iCs/>
          <w:szCs w:val="24"/>
        </w:rPr>
        <w:t>Нарушение функции почек</w:t>
      </w:r>
    </w:p>
    <w:p w14:paraId="03229634" w14:textId="630AD0F2" w:rsidR="00730F80" w:rsidRPr="00F05338" w:rsidRDefault="00730F80" w:rsidP="003F310C">
      <w:pPr>
        <w:pStyle w:val="SDText"/>
        <w:spacing w:after="0"/>
        <w:contextualSpacing/>
        <w:rPr>
          <w:szCs w:val="24"/>
        </w:rPr>
      </w:pPr>
      <w:r w:rsidRPr="00F05338">
        <w:rPr>
          <w:szCs w:val="24"/>
        </w:rPr>
        <w:t xml:space="preserve">Если дозировка </w:t>
      </w:r>
      <w:r w:rsidR="00BA71B2" w:rsidRPr="00BA71B2">
        <w:rPr>
          <w:szCs w:val="24"/>
        </w:rPr>
        <w:t xml:space="preserve">тофацитиниба </w:t>
      </w:r>
      <w:r w:rsidRPr="00F05338">
        <w:rPr>
          <w:szCs w:val="24"/>
        </w:rPr>
        <w:t>составляет 5 мг два раза в сутки, рекомендованная доза для пациентов с тяжелыми нарушениями функции почек составляет 5 мг один раз в сутки.</w:t>
      </w:r>
      <w:r w:rsidRPr="00F05338">
        <w:rPr>
          <w:szCs w:val="24"/>
        </w:rPr>
        <w:tab/>
        <w:t>Конкретные рекомендации для каждого показания представлены ниже.</w:t>
      </w:r>
    </w:p>
    <w:p w14:paraId="6D7F0F79" w14:textId="74C8C544" w:rsidR="00A96B90" w:rsidRPr="00A96B90" w:rsidRDefault="00730F80" w:rsidP="00A96B90">
      <w:pPr>
        <w:pStyle w:val="SDText"/>
        <w:spacing w:after="0"/>
        <w:contextualSpacing/>
        <w:rPr>
          <w:szCs w:val="24"/>
        </w:rPr>
      </w:pPr>
      <w:r w:rsidRPr="00F05338">
        <w:rPr>
          <w:szCs w:val="24"/>
        </w:rPr>
        <w:lastRenderedPageBreak/>
        <w:t xml:space="preserve">Если дозировка </w:t>
      </w:r>
      <w:r w:rsidR="00BA71B2" w:rsidRPr="00BA71B2">
        <w:rPr>
          <w:szCs w:val="24"/>
        </w:rPr>
        <w:t xml:space="preserve">тофацитиниба </w:t>
      </w:r>
      <w:r w:rsidRPr="00F05338">
        <w:rPr>
          <w:szCs w:val="24"/>
        </w:rPr>
        <w:t>составляет 10 мг два раза в сутки, рекомендованная доза для пациентов с тяжелыми нарушениями функции почек составляет 5 мг два раза в сутки.</w:t>
      </w:r>
      <w:r w:rsidRPr="00F05338">
        <w:rPr>
          <w:szCs w:val="24"/>
        </w:rPr>
        <w:tab/>
        <w:t>Конкретные рекомендации для каждого показ</w:t>
      </w:r>
      <w:r w:rsidR="00A96B90">
        <w:rPr>
          <w:szCs w:val="24"/>
        </w:rPr>
        <w:t>ания представлены ниже.</w:t>
      </w:r>
    </w:p>
    <w:p w14:paraId="62F8CCE9" w14:textId="3F20EF09" w:rsidR="00730F80" w:rsidRPr="00F05338" w:rsidRDefault="00730F80" w:rsidP="00A96B90">
      <w:pPr>
        <w:spacing w:after="0"/>
        <w:ind w:firstLine="0"/>
        <w:contextualSpacing/>
        <w:rPr>
          <w:i/>
          <w:iCs/>
          <w:szCs w:val="24"/>
        </w:rPr>
      </w:pPr>
      <w:r w:rsidRPr="00F05338">
        <w:rPr>
          <w:i/>
          <w:iCs/>
          <w:szCs w:val="24"/>
        </w:rPr>
        <w:t>Ревматоидный артрит</w:t>
      </w:r>
    </w:p>
    <w:p w14:paraId="7DD9F0E4" w14:textId="77777777" w:rsidR="00730F80" w:rsidRPr="00F05338" w:rsidRDefault="00730F80" w:rsidP="003F310C">
      <w:pPr>
        <w:spacing w:after="0"/>
        <w:contextualSpacing/>
        <w:rPr>
          <w:szCs w:val="24"/>
        </w:rPr>
      </w:pPr>
      <w:r w:rsidRPr="00F05338">
        <w:rPr>
          <w:szCs w:val="24"/>
        </w:rPr>
        <w:t>Пациентам с нарушением функции почек легкой или средней степени тяжести не требуется коррекции дозы.</w:t>
      </w:r>
    </w:p>
    <w:p w14:paraId="2CFB4A66" w14:textId="6A8CC0F3" w:rsidR="00730F80" w:rsidRPr="002C0BB6" w:rsidRDefault="00730F80" w:rsidP="003F310C">
      <w:pPr>
        <w:spacing w:after="0"/>
        <w:contextualSpacing/>
      </w:pPr>
      <w:r w:rsidRPr="00F05338">
        <w:rPr>
          <w:szCs w:val="24"/>
        </w:rPr>
        <w:t xml:space="preserve">Доза </w:t>
      </w:r>
      <w:r w:rsidR="00BA71B2" w:rsidRPr="00BA71B2">
        <w:rPr>
          <w:szCs w:val="24"/>
        </w:rPr>
        <w:t xml:space="preserve">тофацитиниба </w:t>
      </w:r>
      <w:r>
        <w:t>не должна превышать 5 мг два раза в день у пациентов с тяжелым нарушением функции почек (включая, но не ограничиваясь, пациентов, находящихся на гемодиализе).</w:t>
      </w:r>
    </w:p>
    <w:p w14:paraId="3F61F05D" w14:textId="77777777" w:rsidR="00730F80" w:rsidRDefault="00730F80" w:rsidP="00A96B90">
      <w:pPr>
        <w:spacing w:after="0"/>
        <w:ind w:firstLine="0"/>
        <w:contextualSpacing/>
        <w:rPr>
          <w:i/>
          <w:iCs/>
        </w:rPr>
      </w:pPr>
      <w:r w:rsidRPr="00945441">
        <w:rPr>
          <w:i/>
          <w:iCs/>
        </w:rPr>
        <w:t>Псориатический артрит</w:t>
      </w:r>
    </w:p>
    <w:p w14:paraId="0FE51FA3" w14:textId="776DE3F6" w:rsidR="00730F80" w:rsidRDefault="00730F80" w:rsidP="00F05338">
      <w:pPr>
        <w:spacing w:after="0"/>
        <w:contextualSpacing/>
        <w:rPr>
          <w:i/>
          <w:iCs/>
        </w:rPr>
      </w:pPr>
      <w:r>
        <w:t xml:space="preserve">У пациентов с нарушениями функции почек легкой или умеренной степени коррекция дозы препарата не требуется. Рекомендуемая доза </w:t>
      </w:r>
      <w:r w:rsidR="00BA71B2" w:rsidRPr="00BA71B2">
        <w:t xml:space="preserve">тофацитиниба </w:t>
      </w:r>
      <w:r>
        <w:t>составляет 5 мг один раз в сутки для пациентов с тяжелыми нарушениями почечной функции (включая, но не ограничиваясь, пациентов, находящихся на гемодиализе).</w:t>
      </w:r>
    </w:p>
    <w:p w14:paraId="63FB6483" w14:textId="77777777" w:rsidR="00730F80" w:rsidRDefault="00730F80" w:rsidP="00A96B90">
      <w:pPr>
        <w:spacing w:after="0"/>
        <w:ind w:firstLine="0"/>
        <w:contextualSpacing/>
        <w:rPr>
          <w:i/>
          <w:iCs/>
        </w:rPr>
      </w:pPr>
      <w:r w:rsidRPr="00945441">
        <w:rPr>
          <w:i/>
          <w:iCs/>
        </w:rPr>
        <w:t>Анкилозирующий спондилоартрит</w:t>
      </w:r>
    </w:p>
    <w:p w14:paraId="01E50CA6" w14:textId="5468BE49" w:rsidR="00730F80" w:rsidRDefault="00730F80" w:rsidP="00F05338">
      <w:pPr>
        <w:spacing w:after="0"/>
        <w:contextualSpacing/>
        <w:rPr>
          <w:i/>
          <w:iCs/>
        </w:rPr>
      </w:pPr>
      <w:r>
        <w:t xml:space="preserve">У пациентов с нарушениями функции почек легкой или средней степени коррекция дозы препарата не требуется. Рекомендуемая доза </w:t>
      </w:r>
      <w:r w:rsidR="00BA71B2" w:rsidRPr="00BA71B2">
        <w:t xml:space="preserve">тофацитиниба </w:t>
      </w:r>
      <w:r>
        <w:t>составляет 5 мг один раз в сутки для пациентов с тяжелой почечной недостаточностью (включая, но не ограничиваясь, пациентов, находящихся на гемодиализе)</w:t>
      </w:r>
      <w:r w:rsidR="00D40E9C">
        <w:t>.</w:t>
      </w:r>
      <w:r>
        <w:t xml:space="preserve"> </w:t>
      </w:r>
    </w:p>
    <w:p w14:paraId="4B22E84A" w14:textId="77777777" w:rsidR="00730F80" w:rsidRDefault="00730F80" w:rsidP="00A96B90">
      <w:pPr>
        <w:spacing w:after="0"/>
        <w:ind w:firstLine="0"/>
        <w:contextualSpacing/>
        <w:rPr>
          <w:i/>
          <w:iCs/>
        </w:rPr>
      </w:pPr>
      <w:r w:rsidRPr="00945441">
        <w:rPr>
          <w:i/>
          <w:iCs/>
        </w:rPr>
        <w:t>Бляшечный псориаз</w:t>
      </w:r>
    </w:p>
    <w:p w14:paraId="5A0032D7" w14:textId="12AFDFD9" w:rsidR="00730F80" w:rsidRDefault="00730F80" w:rsidP="00F05338">
      <w:pPr>
        <w:spacing w:after="0"/>
        <w:contextualSpacing/>
        <w:rPr>
          <w:i/>
          <w:iCs/>
        </w:rPr>
      </w:pPr>
      <w:r>
        <w:t xml:space="preserve">У пациентов с нарушениями функции почек легкой или умеренной степени коррекция дозы препарата не требуется. У пациентов с нарушениями функции почек тяжелой степени доза </w:t>
      </w:r>
      <w:r w:rsidR="00BA71B2" w:rsidRPr="00BA71B2">
        <w:t xml:space="preserve">тофацитиниба </w:t>
      </w:r>
      <w:r>
        <w:t>не должна превышать 5 мг два раза в сутки (включая, но не ограничиваясь, пациентов, находящихся на гемодиализе).</w:t>
      </w:r>
    </w:p>
    <w:p w14:paraId="54AB4E87" w14:textId="77777777" w:rsidR="00730F80" w:rsidRDefault="00730F80" w:rsidP="00A96B90">
      <w:pPr>
        <w:spacing w:after="0"/>
        <w:ind w:firstLine="0"/>
        <w:contextualSpacing/>
        <w:rPr>
          <w:i/>
          <w:iCs/>
        </w:rPr>
      </w:pPr>
      <w:r w:rsidRPr="00945441">
        <w:rPr>
          <w:i/>
          <w:iCs/>
        </w:rPr>
        <w:t>Язвенный колит</w:t>
      </w:r>
    </w:p>
    <w:p w14:paraId="034CDCC5" w14:textId="4D408051" w:rsidR="00730F80" w:rsidRDefault="00730F80" w:rsidP="00F05338">
      <w:pPr>
        <w:spacing w:after="0"/>
        <w:contextualSpacing/>
        <w:rPr>
          <w:i/>
          <w:iCs/>
        </w:rPr>
      </w:pPr>
      <w:r>
        <w:t xml:space="preserve">У пациентов с нарушениями функции почек легкой или умеренной степени коррекция дозы препарата не требуется. Для пациентов с тяжелыми нарушениями почечной функции (включая, но не ограничиваясь, пациентов, находящихся на гемодиализе) рекомендуемая доза </w:t>
      </w:r>
      <w:r w:rsidR="00BA71B2" w:rsidRPr="00BA71B2">
        <w:t xml:space="preserve">тофацитиниба </w:t>
      </w:r>
      <w:r>
        <w:t>составляет 5</w:t>
      </w:r>
      <w:r w:rsidR="00EB02F0">
        <w:t xml:space="preserve"> </w:t>
      </w:r>
      <w:r>
        <w:t>мг два раза в сутки, если при нормальной почечной функции пациенту было бы назначено 10 мг два раза в сутки, рекомендуемая доза составляет 5 мг один раз в сутки если бы при нормальной почечной функции пациенту было бы назначено 5 мг два раза в сутки.</w:t>
      </w:r>
    </w:p>
    <w:p w14:paraId="36BE299D" w14:textId="77777777" w:rsidR="00730F80" w:rsidRDefault="00730F80" w:rsidP="00A96B90">
      <w:pPr>
        <w:spacing w:after="0"/>
        <w:ind w:firstLine="0"/>
        <w:contextualSpacing/>
        <w:rPr>
          <w:i/>
          <w:iCs/>
        </w:rPr>
      </w:pPr>
      <w:r w:rsidRPr="00945441">
        <w:rPr>
          <w:i/>
          <w:iCs/>
        </w:rPr>
        <w:t>Полиартикулярный ювенильный идиопатический артрит</w:t>
      </w:r>
    </w:p>
    <w:p w14:paraId="537513D8" w14:textId="3D45842F" w:rsidR="00730F80" w:rsidRDefault="00730F80" w:rsidP="00F05338">
      <w:pPr>
        <w:spacing w:after="0"/>
        <w:contextualSpacing/>
        <w:rPr>
          <w:i/>
          <w:iCs/>
        </w:rPr>
      </w:pPr>
      <w:r>
        <w:t xml:space="preserve">У пациентов с нарушениями функции почек легкой или умеренной степени коррекции дозы не требуется. Для пациентов с тяжелыми нарушениями почечной функции (включая, но не ограничиваясь, пациентов, находящихся на гемодиализе) рекомендуемая доза </w:t>
      </w:r>
      <w:r w:rsidR="00BA71B2" w:rsidRPr="00BA71B2">
        <w:t xml:space="preserve">тофацитиниба </w:t>
      </w:r>
      <w:r>
        <w:t>составляет 5 мг один раз в сутки, если бы при нормальной почечной функции пациенту было бы назначено 5 мг два раза в сутки.</w:t>
      </w:r>
    </w:p>
    <w:p w14:paraId="739BB7D3" w14:textId="77777777" w:rsidR="000052D3" w:rsidRDefault="000052D3" w:rsidP="00BE2787">
      <w:pPr>
        <w:spacing w:after="0"/>
        <w:ind w:firstLine="0"/>
        <w:contextualSpacing/>
        <w:rPr>
          <w:b/>
          <w:i/>
          <w:iCs/>
        </w:rPr>
      </w:pPr>
    </w:p>
    <w:p w14:paraId="4D87217B" w14:textId="7C8774E0" w:rsidR="00730F80" w:rsidRPr="00BE2787" w:rsidRDefault="00730F80" w:rsidP="00BE2787">
      <w:pPr>
        <w:spacing w:after="0"/>
        <w:ind w:firstLine="0"/>
        <w:contextualSpacing/>
        <w:rPr>
          <w:b/>
          <w:i/>
          <w:iCs/>
        </w:rPr>
      </w:pPr>
      <w:r w:rsidRPr="00BE2787">
        <w:rPr>
          <w:b/>
          <w:i/>
          <w:iCs/>
        </w:rPr>
        <w:t>Нарушение функции печени</w:t>
      </w:r>
    </w:p>
    <w:p w14:paraId="541C479F" w14:textId="26221C7F" w:rsidR="00730F80" w:rsidRDefault="00730F80" w:rsidP="003F310C">
      <w:pPr>
        <w:spacing w:after="0"/>
        <w:contextualSpacing/>
      </w:pPr>
      <w:r>
        <w:t xml:space="preserve">У пациентов с нарушениями функции печени легкой степени тяжести коррекция дозы препарата не требуется. Если дозировка </w:t>
      </w:r>
      <w:r w:rsidR="00BA71B2" w:rsidRPr="00BA71B2">
        <w:t xml:space="preserve">тофацитиниба </w:t>
      </w:r>
      <w:r>
        <w:t>составляет 5 мг два раза в сутки, рекомендованная доза для пациентов с нарушениями печеночной функции умеренной степени составляет 5 мг один раз в сутки.</w:t>
      </w:r>
    </w:p>
    <w:p w14:paraId="5BF473BB" w14:textId="5B7A4973" w:rsidR="00730F80" w:rsidRDefault="00730F80" w:rsidP="003F310C">
      <w:pPr>
        <w:spacing w:after="0"/>
        <w:contextualSpacing/>
      </w:pPr>
      <w:r>
        <w:t xml:space="preserve">Если дозировка </w:t>
      </w:r>
      <w:r w:rsidR="00BA71B2" w:rsidRPr="00BA71B2">
        <w:t xml:space="preserve">тофацитиниба </w:t>
      </w:r>
      <w:r>
        <w:t>составляет 10 мг два раза в сутки, рекомендованная доза для пациентов с нарушениями печеночной функции умеренной степени составляет 5 мг два раза в сутки.</w:t>
      </w:r>
    </w:p>
    <w:p w14:paraId="02D60CE6" w14:textId="37D8E98D" w:rsidR="00730F80" w:rsidRDefault="00730F80" w:rsidP="00F05338">
      <w:pPr>
        <w:spacing w:after="0"/>
        <w:contextualSpacing/>
        <w:rPr>
          <w:i/>
          <w:iCs/>
        </w:rPr>
      </w:pPr>
      <w:r>
        <w:t>Конкретные рекомендации для каждого показания представлены ниже.</w:t>
      </w:r>
    </w:p>
    <w:p w14:paraId="68B9896D" w14:textId="77777777" w:rsidR="00730F80" w:rsidRDefault="00730F80" w:rsidP="00A96B90">
      <w:pPr>
        <w:spacing w:after="0"/>
        <w:ind w:firstLine="0"/>
        <w:contextualSpacing/>
        <w:rPr>
          <w:i/>
          <w:iCs/>
        </w:rPr>
      </w:pPr>
      <w:r w:rsidRPr="00945441">
        <w:rPr>
          <w:i/>
          <w:iCs/>
        </w:rPr>
        <w:lastRenderedPageBreak/>
        <w:t>Ревматоидный артрит</w:t>
      </w:r>
    </w:p>
    <w:p w14:paraId="37F5CDA9" w14:textId="2728FB9B" w:rsidR="00730F80" w:rsidRDefault="00730F80" w:rsidP="00F05338">
      <w:pPr>
        <w:spacing w:after="0"/>
        <w:contextualSpacing/>
        <w:rPr>
          <w:i/>
          <w:iCs/>
        </w:rPr>
      </w:pPr>
      <w:r>
        <w:t xml:space="preserve">У пациентов с нарушениями функции печени легкой степени тяжести коррекция дозы препарата не требуется. Не следует применять </w:t>
      </w:r>
      <w:r w:rsidR="00BA71B2" w:rsidRPr="00BA71B2">
        <w:t>тофацитиниб</w:t>
      </w:r>
      <w:r>
        <w:t xml:space="preserve"> у пациентов с тяжелым нарушением функции печени. Доза </w:t>
      </w:r>
      <w:r w:rsidR="00BA71B2" w:rsidRPr="00BA71B2">
        <w:t xml:space="preserve">тофацитиниба </w:t>
      </w:r>
      <w:r>
        <w:t>не должна превышать 5 мг два раза в день у пациентов с нарушением функции печени средней степени тяжести.</w:t>
      </w:r>
    </w:p>
    <w:p w14:paraId="6BDF9D8A" w14:textId="77777777" w:rsidR="00730F80" w:rsidRDefault="00730F80" w:rsidP="00A96B90">
      <w:pPr>
        <w:spacing w:after="0"/>
        <w:ind w:firstLine="0"/>
        <w:contextualSpacing/>
        <w:rPr>
          <w:i/>
          <w:iCs/>
        </w:rPr>
      </w:pPr>
      <w:r w:rsidRPr="00945441">
        <w:rPr>
          <w:i/>
          <w:iCs/>
        </w:rPr>
        <w:t>Псориатический артрит</w:t>
      </w:r>
    </w:p>
    <w:p w14:paraId="7CABAC78" w14:textId="31CAB2D7" w:rsidR="00730F80" w:rsidRPr="002C0BB6" w:rsidRDefault="00730F80" w:rsidP="003F310C">
      <w:pPr>
        <w:spacing w:after="0"/>
        <w:contextualSpacing/>
        <w:rPr>
          <w:i/>
          <w:iCs/>
        </w:rPr>
      </w:pPr>
      <w:r>
        <w:t xml:space="preserve">У пациентов с нарушениями функции печени легкой степени тяжести коррекция дозы препарата не требуется. </w:t>
      </w:r>
      <w:r w:rsidR="00BA71B2">
        <w:t>Т</w:t>
      </w:r>
      <w:r w:rsidR="00BA71B2" w:rsidRPr="00BA71B2">
        <w:t xml:space="preserve">офацитиниб </w:t>
      </w:r>
      <w:r>
        <w:t xml:space="preserve">не рекомендуется принимать пациентам с тяжелыми нарушениями функции печени. Рекомендуемая доза </w:t>
      </w:r>
      <w:r w:rsidR="00BA71B2" w:rsidRPr="00BA71B2">
        <w:t xml:space="preserve">тофацитиниба </w:t>
      </w:r>
      <w:r>
        <w:t xml:space="preserve">составляет 5 мг один раз в сутки для пациентов с нарушениями печеночной функции умеренной степени. </w:t>
      </w:r>
    </w:p>
    <w:p w14:paraId="610462D0" w14:textId="77777777" w:rsidR="00730F80" w:rsidRPr="007E7484" w:rsidRDefault="00730F80" w:rsidP="00A96B90">
      <w:pPr>
        <w:pStyle w:val="SDText"/>
        <w:spacing w:after="0"/>
        <w:ind w:firstLine="0"/>
        <w:contextualSpacing/>
        <w:rPr>
          <w:szCs w:val="24"/>
        </w:rPr>
      </w:pPr>
      <w:r w:rsidRPr="007E7484">
        <w:rPr>
          <w:rStyle w:val="23"/>
          <w:rFonts w:eastAsiaTheme="minorHAnsi"/>
          <w:sz w:val="24"/>
          <w:szCs w:val="24"/>
        </w:rPr>
        <w:t>Анкилозирующий спондилоартрит</w:t>
      </w:r>
    </w:p>
    <w:p w14:paraId="004FC312" w14:textId="5A55A006" w:rsidR="00730F80" w:rsidRDefault="00730F80" w:rsidP="003F310C">
      <w:pPr>
        <w:pStyle w:val="SDText"/>
        <w:spacing w:after="0"/>
        <w:contextualSpacing/>
      </w:pPr>
      <w:r>
        <w:t xml:space="preserve">У пациентов с нарушениями функции печени легкой степени тяжести коррекция дозы препарата не требуется. </w:t>
      </w:r>
      <w:r w:rsidR="00BA71B2">
        <w:t>Т</w:t>
      </w:r>
      <w:r w:rsidR="00BA71B2" w:rsidRPr="00BA71B2">
        <w:t xml:space="preserve">офацитиниб </w:t>
      </w:r>
      <w:r>
        <w:t xml:space="preserve">не рекомендуется принимать пациентам с тяжелыми нарушениями функции печени. Рекомендуемая доза </w:t>
      </w:r>
      <w:r w:rsidR="00BA71B2" w:rsidRPr="00BA71B2">
        <w:t xml:space="preserve">тофацитиниба </w:t>
      </w:r>
      <w:r>
        <w:t xml:space="preserve">составляет 5 мг один раз в сутки для пациентов с нарушениями печеночной функции средней степени. </w:t>
      </w:r>
    </w:p>
    <w:p w14:paraId="58CDA3B3" w14:textId="77777777" w:rsidR="00730F80" w:rsidRDefault="00730F80" w:rsidP="00A96B90">
      <w:pPr>
        <w:pStyle w:val="SDText"/>
        <w:spacing w:after="0"/>
        <w:ind w:firstLine="0"/>
        <w:contextualSpacing/>
      </w:pPr>
      <w:r w:rsidRPr="00945441">
        <w:rPr>
          <w:i/>
          <w:iCs/>
        </w:rPr>
        <w:t>Бляшечный псориаз</w:t>
      </w:r>
    </w:p>
    <w:p w14:paraId="640DFF7F" w14:textId="72EEC667" w:rsidR="00730F80" w:rsidRDefault="00730F80" w:rsidP="003F310C">
      <w:pPr>
        <w:pStyle w:val="SDText"/>
        <w:spacing w:after="0"/>
        <w:contextualSpacing/>
      </w:pPr>
      <w:r>
        <w:t xml:space="preserve">У пациентов с нарушениями функции печени легкой степени коррекция дозы препарата не требуется. </w:t>
      </w:r>
      <w:r w:rsidR="00BA71B2">
        <w:t>Т</w:t>
      </w:r>
      <w:r w:rsidR="00BA71B2" w:rsidRPr="00BA71B2">
        <w:t xml:space="preserve">офацитиниб </w:t>
      </w:r>
      <w:r>
        <w:t xml:space="preserve">не рекомендуется принимать пациентам с тяжелыми нарушениями функции печени. У пациентов с нарушениями функции печени умеренной степени доза </w:t>
      </w:r>
      <w:r w:rsidR="00BA71B2" w:rsidRPr="00BA71B2">
        <w:t xml:space="preserve">тофацитиниба </w:t>
      </w:r>
      <w:r>
        <w:t>не должна превышать 5 мг два раза в сутки.</w:t>
      </w:r>
    </w:p>
    <w:p w14:paraId="080F85A7" w14:textId="77777777" w:rsidR="00730F80" w:rsidRDefault="00730F80" w:rsidP="00A96B90">
      <w:pPr>
        <w:spacing w:after="0"/>
        <w:ind w:firstLine="0"/>
        <w:contextualSpacing/>
        <w:rPr>
          <w:i/>
          <w:iCs/>
        </w:rPr>
      </w:pPr>
      <w:r w:rsidRPr="00945441">
        <w:rPr>
          <w:i/>
          <w:iCs/>
        </w:rPr>
        <w:t>Язвенный колит</w:t>
      </w:r>
    </w:p>
    <w:p w14:paraId="1830402E" w14:textId="1E8B103C" w:rsidR="00730F80" w:rsidRDefault="00730F80" w:rsidP="00F05338">
      <w:pPr>
        <w:spacing w:after="0"/>
        <w:contextualSpacing/>
        <w:rPr>
          <w:i/>
          <w:iCs/>
        </w:rPr>
      </w:pPr>
      <w:r>
        <w:t xml:space="preserve">У пациентов с нарушениями функции печени легкой степени коррекция дозы препарата не требуется. </w:t>
      </w:r>
      <w:r w:rsidR="00BA71B2">
        <w:t>Т</w:t>
      </w:r>
      <w:r w:rsidR="00BA71B2" w:rsidRPr="00BA71B2">
        <w:t xml:space="preserve">офацитиниб </w:t>
      </w:r>
      <w:r>
        <w:t xml:space="preserve">не рекомендуется принимать пациентам с тяжелыми нарушениями функции печени. Для пациентов с нарушениями печеночной функции умеренной степени рекомендуемая доза </w:t>
      </w:r>
      <w:r w:rsidR="00BA71B2" w:rsidRPr="00BA71B2">
        <w:t xml:space="preserve">тофацитиниба </w:t>
      </w:r>
      <w:r>
        <w:t>составляет 5 мг два раза в сутки, если рекомендуемая доза при нормальной печеночной функции составляет 10 мг два раза в сутки, рекомендуемая доза составляет 5 мг один раз в сутки при рекомендуемой дозе 5 мг два раза в сутки при нормальной печеночной функции.</w:t>
      </w:r>
    </w:p>
    <w:p w14:paraId="0E1AF650" w14:textId="77777777" w:rsidR="00730F80" w:rsidRDefault="00730F80" w:rsidP="00A96B90">
      <w:pPr>
        <w:spacing w:after="0"/>
        <w:ind w:firstLine="0"/>
        <w:contextualSpacing/>
        <w:rPr>
          <w:i/>
          <w:iCs/>
        </w:rPr>
      </w:pPr>
      <w:r w:rsidRPr="00D37113">
        <w:rPr>
          <w:i/>
          <w:iCs/>
        </w:rPr>
        <w:t>Полиартикулярный ювенильный идиопатический артрит</w:t>
      </w:r>
    </w:p>
    <w:p w14:paraId="3B68071F" w14:textId="3EBDA8A1" w:rsidR="00730F80" w:rsidRPr="002C0BB6" w:rsidRDefault="00730F80" w:rsidP="003F310C">
      <w:pPr>
        <w:spacing w:after="0"/>
        <w:contextualSpacing/>
        <w:rPr>
          <w:i/>
          <w:iCs/>
        </w:rPr>
      </w:pPr>
      <w:r>
        <w:t xml:space="preserve">У пациентов с нарушениями функции печени легкой степени коррекция дозы препарата не требуется. </w:t>
      </w:r>
      <w:r w:rsidR="00BA71B2">
        <w:t>Т</w:t>
      </w:r>
      <w:r w:rsidR="00BA71B2" w:rsidRPr="00BA71B2">
        <w:t xml:space="preserve">офацитиниб </w:t>
      </w:r>
      <w:r>
        <w:t xml:space="preserve">не рекомендуется принимать пациентам с тяжелыми нарушениями функции печени. Для пациентов с нарушениями печеночной функции средней степени рекомендуемая доза </w:t>
      </w:r>
      <w:r w:rsidR="00BA71B2" w:rsidRPr="00BA71B2">
        <w:t xml:space="preserve">тофацитиниба </w:t>
      </w:r>
      <w:r>
        <w:t>составляет 5 мг один раз в сутки, если рекомендуемая доза при нормальной печеночной функции составляет 5 мг два раза в сутки.</w:t>
      </w:r>
    </w:p>
    <w:p w14:paraId="4FDBCB31" w14:textId="77777777" w:rsidR="000052D3" w:rsidRDefault="000052D3" w:rsidP="00BE2787">
      <w:pPr>
        <w:pStyle w:val="SDText"/>
        <w:spacing w:after="0"/>
        <w:ind w:firstLine="0"/>
        <w:contextualSpacing/>
        <w:rPr>
          <w:b/>
          <w:i/>
          <w:iCs/>
        </w:rPr>
      </w:pPr>
    </w:p>
    <w:p w14:paraId="20E6029C" w14:textId="5CB2BBCF" w:rsidR="00730F80" w:rsidRPr="00BE2787" w:rsidRDefault="00730F80" w:rsidP="00BE2787">
      <w:pPr>
        <w:pStyle w:val="SDText"/>
        <w:spacing w:after="0"/>
        <w:ind w:firstLine="0"/>
        <w:contextualSpacing/>
        <w:rPr>
          <w:b/>
          <w:i/>
          <w:iCs/>
        </w:rPr>
      </w:pPr>
      <w:r w:rsidRPr="00BE2787">
        <w:rPr>
          <w:b/>
          <w:i/>
          <w:iCs/>
        </w:rPr>
        <w:t xml:space="preserve">Одновременное применение с ингибиторами цитохрома Р450 </w:t>
      </w:r>
      <w:r w:rsidRPr="00BE2787">
        <w:rPr>
          <w:b/>
          <w:i/>
          <w:iCs/>
          <w:lang w:bidi="en-US"/>
        </w:rPr>
        <w:t>(</w:t>
      </w:r>
      <w:r w:rsidRPr="00BE2787">
        <w:rPr>
          <w:b/>
          <w:i/>
          <w:iCs/>
          <w:lang w:val="en-US" w:bidi="en-US"/>
        </w:rPr>
        <w:t>CYP</w:t>
      </w:r>
      <w:r w:rsidRPr="00BE2787">
        <w:rPr>
          <w:b/>
          <w:i/>
          <w:iCs/>
          <w:lang w:bidi="en-US"/>
        </w:rPr>
        <w:t>3</w:t>
      </w:r>
      <w:r w:rsidRPr="00BE2787">
        <w:rPr>
          <w:b/>
          <w:i/>
          <w:iCs/>
          <w:lang w:val="en-US" w:bidi="en-US"/>
        </w:rPr>
        <w:t>A</w:t>
      </w:r>
      <w:r w:rsidRPr="00BE2787">
        <w:rPr>
          <w:b/>
          <w:i/>
          <w:iCs/>
          <w:lang w:bidi="en-US"/>
        </w:rPr>
        <w:t xml:space="preserve">4) </w:t>
      </w:r>
      <w:r w:rsidRPr="00BE2787">
        <w:rPr>
          <w:b/>
          <w:i/>
          <w:iCs/>
        </w:rPr>
        <w:t xml:space="preserve">и изоферментом </w:t>
      </w:r>
      <w:r w:rsidRPr="00BE2787">
        <w:rPr>
          <w:b/>
          <w:i/>
          <w:iCs/>
          <w:lang w:val="en-US" w:bidi="en-US"/>
        </w:rPr>
        <w:t>CYP</w:t>
      </w:r>
      <w:r w:rsidRPr="00BE2787">
        <w:rPr>
          <w:b/>
          <w:i/>
          <w:iCs/>
          <w:lang w:bidi="en-US"/>
        </w:rPr>
        <w:t>2</w:t>
      </w:r>
      <w:r w:rsidRPr="00BE2787">
        <w:rPr>
          <w:b/>
          <w:i/>
          <w:iCs/>
          <w:lang w:val="en-US" w:bidi="en-US"/>
        </w:rPr>
        <w:t>C</w:t>
      </w:r>
      <w:r w:rsidRPr="00BE2787">
        <w:rPr>
          <w:b/>
          <w:i/>
          <w:iCs/>
          <w:lang w:bidi="en-US"/>
        </w:rPr>
        <w:t>19</w:t>
      </w:r>
    </w:p>
    <w:p w14:paraId="32FEE60D" w14:textId="4EDA74B4" w:rsidR="00730F80" w:rsidRDefault="00730F80" w:rsidP="003F310C">
      <w:pPr>
        <w:pStyle w:val="SDText"/>
        <w:spacing w:after="0"/>
        <w:contextualSpacing/>
      </w:pPr>
      <w:r>
        <w:t xml:space="preserve">Для показаний с максимальной рекомендуемой дозой </w:t>
      </w:r>
      <w:r w:rsidR="00BA71B2" w:rsidRPr="00BA71B2">
        <w:t xml:space="preserve">тофацитиниба </w:t>
      </w:r>
      <w:r>
        <w:t xml:space="preserve">5 мг два раза в сутки для пациентов, получающих сильные ингибиторы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 или один или более сопутствующих препаратов, что приводит в обоих случаях к умеренному ингибированию </w:t>
      </w:r>
      <w:r>
        <w:rPr>
          <w:lang w:val="en-US" w:bidi="en-US"/>
        </w:rPr>
        <w:t>CYP</w:t>
      </w:r>
      <w:r w:rsidRPr="003927BA">
        <w:rPr>
          <w:lang w:bidi="en-US"/>
        </w:rPr>
        <w:t>3</w:t>
      </w:r>
      <w:r>
        <w:rPr>
          <w:lang w:val="en-US" w:bidi="en-US"/>
        </w:rPr>
        <w:t>A</w:t>
      </w:r>
      <w:r w:rsidRPr="003927BA">
        <w:rPr>
          <w:lang w:bidi="en-US"/>
        </w:rPr>
        <w:t xml:space="preserve">4 </w:t>
      </w:r>
      <w:r>
        <w:t xml:space="preserve">и сильному ингибированию </w:t>
      </w:r>
      <w:r>
        <w:rPr>
          <w:lang w:val="en-US" w:bidi="en-US"/>
        </w:rPr>
        <w:t>CYP</w:t>
      </w:r>
      <w:r w:rsidRPr="003927BA">
        <w:rPr>
          <w:lang w:bidi="en-US"/>
        </w:rPr>
        <w:t>2</w:t>
      </w:r>
      <w:r>
        <w:rPr>
          <w:lang w:val="en-US" w:bidi="en-US"/>
        </w:rPr>
        <w:t>C</w:t>
      </w:r>
      <w:r w:rsidRPr="003927BA">
        <w:rPr>
          <w:lang w:bidi="en-US"/>
        </w:rPr>
        <w:t xml:space="preserve">19 </w:t>
      </w:r>
      <w:r>
        <w:t xml:space="preserve">(например, флуконазол), рекомендуемая доза </w:t>
      </w:r>
      <w:r w:rsidR="00BA71B2" w:rsidRPr="00BA71B2">
        <w:t xml:space="preserve">тофацитиниба </w:t>
      </w:r>
      <w:r>
        <w:t>составляет 5 мг один раз в сутки. Конкретные рекомендации для каждого показания представлены ниже.</w:t>
      </w:r>
    </w:p>
    <w:p w14:paraId="77CC5038" w14:textId="77777777" w:rsidR="00730F80" w:rsidRDefault="00730F80" w:rsidP="00A96B90">
      <w:pPr>
        <w:spacing w:after="0"/>
        <w:ind w:firstLine="0"/>
        <w:contextualSpacing/>
        <w:rPr>
          <w:i/>
          <w:iCs/>
        </w:rPr>
      </w:pPr>
      <w:r w:rsidRPr="00D37113">
        <w:rPr>
          <w:i/>
          <w:iCs/>
        </w:rPr>
        <w:t>Ревматоидный артрит</w:t>
      </w:r>
    </w:p>
    <w:p w14:paraId="742E69D4" w14:textId="028EE22D" w:rsidR="00730F80" w:rsidRDefault="00730F80" w:rsidP="003F310C">
      <w:pPr>
        <w:spacing w:after="0"/>
        <w:contextualSpacing/>
      </w:pPr>
      <w:r>
        <w:t xml:space="preserve">У пациентов, получающих мощные ингибиторы изофермента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 доза </w:t>
      </w:r>
      <w:r w:rsidR="00BA71B2" w:rsidRPr="00BA71B2">
        <w:t xml:space="preserve">тофацитиниба </w:t>
      </w:r>
      <w:r>
        <w:t>не должна превышать 5 мг один раз в день.</w:t>
      </w:r>
    </w:p>
    <w:p w14:paraId="71784481" w14:textId="5C05BF2E" w:rsidR="00730F80" w:rsidRDefault="00730F80" w:rsidP="00F05338">
      <w:pPr>
        <w:spacing w:after="0"/>
        <w:contextualSpacing/>
        <w:rPr>
          <w:i/>
          <w:iCs/>
        </w:rPr>
      </w:pPr>
      <w:r>
        <w:lastRenderedPageBreak/>
        <w:t xml:space="preserve">У пациентов, получающих один или несколько сопутствующих препаратов, способных умеренно ингибировать изофермент </w:t>
      </w:r>
      <w:r>
        <w:rPr>
          <w:lang w:val="en-US" w:bidi="en-US"/>
        </w:rPr>
        <w:t>CYP</w:t>
      </w:r>
      <w:r w:rsidRPr="003927BA">
        <w:rPr>
          <w:lang w:bidi="en-US"/>
        </w:rPr>
        <w:t>3</w:t>
      </w:r>
      <w:r>
        <w:rPr>
          <w:lang w:val="en-US" w:bidi="en-US"/>
        </w:rPr>
        <w:t>A</w:t>
      </w:r>
      <w:r w:rsidRPr="003927BA">
        <w:rPr>
          <w:lang w:bidi="en-US"/>
        </w:rPr>
        <w:t xml:space="preserve">4 </w:t>
      </w:r>
      <w:r>
        <w:t xml:space="preserve">и активно ингибировать изофермент </w:t>
      </w:r>
      <w:r>
        <w:rPr>
          <w:lang w:val="en-US" w:bidi="en-US"/>
        </w:rPr>
        <w:t>CYP</w:t>
      </w:r>
      <w:r w:rsidRPr="003927BA">
        <w:rPr>
          <w:lang w:bidi="en-US"/>
        </w:rPr>
        <w:t>2</w:t>
      </w:r>
      <w:r>
        <w:rPr>
          <w:lang w:val="en-US" w:bidi="en-US"/>
        </w:rPr>
        <w:t>C</w:t>
      </w:r>
      <w:r>
        <w:t xml:space="preserve">19 (например, флуконазол), доза </w:t>
      </w:r>
      <w:r w:rsidR="00BA71B2" w:rsidRPr="00BA71B2">
        <w:t xml:space="preserve">тофацитиниба </w:t>
      </w:r>
      <w:r>
        <w:t>не должна превышать 5 мг один раз в день.</w:t>
      </w:r>
    </w:p>
    <w:p w14:paraId="2DE8F536" w14:textId="77777777" w:rsidR="00730F80" w:rsidRDefault="00730F80" w:rsidP="00A96B90">
      <w:pPr>
        <w:spacing w:after="0"/>
        <w:ind w:firstLine="0"/>
        <w:contextualSpacing/>
        <w:rPr>
          <w:i/>
          <w:iCs/>
        </w:rPr>
      </w:pPr>
      <w:r w:rsidRPr="00D37113">
        <w:rPr>
          <w:i/>
          <w:iCs/>
        </w:rPr>
        <w:t>Псориатический артрит</w:t>
      </w:r>
    </w:p>
    <w:p w14:paraId="5D13E544" w14:textId="22CA9BD2" w:rsidR="00730F80" w:rsidRPr="002C0BB6" w:rsidRDefault="00730F80" w:rsidP="003F310C">
      <w:pPr>
        <w:spacing w:after="0"/>
        <w:contextualSpacing/>
        <w:rPr>
          <w:i/>
          <w:iCs/>
        </w:rPr>
      </w:pPr>
      <w:r>
        <w:t xml:space="preserve">Рекомендуемая доза </w:t>
      </w:r>
      <w:r w:rsidR="00BA71B2" w:rsidRPr="00BA71B2">
        <w:t xml:space="preserve">тофацитиниба </w:t>
      </w:r>
      <w:r>
        <w:t xml:space="preserve">составляет 5 мг один раз в сутки для пациентов, получающих сильные ингибиторы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 Рекомендуемая доза </w:t>
      </w:r>
      <w:r w:rsidR="00BA71B2" w:rsidRPr="00BA71B2">
        <w:t xml:space="preserve">тофацитиниба </w:t>
      </w:r>
      <w:r>
        <w:t xml:space="preserve">составляет 5 мг один раз в сутки для пациентов, получающих один или более сопутствующих препаратов, что приводит в обоих случаях к умеренному ингибированию </w:t>
      </w:r>
      <w:r>
        <w:rPr>
          <w:lang w:val="en-US" w:bidi="en-US"/>
        </w:rPr>
        <w:t>CYP</w:t>
      </w:r>
      <w:r w:rsidRPr="003927BA">
        <w:rPr>
          <w:lang w:bidi="en-US"/>
        </w:rPr>
        <w:t>3</w:t>
      </w:r>
      <w:r>
        <w:rPr>
          <w:lang w:val="en-US" w:bidi="en-US"/>
        </w:rPr>
        <w:t>A</w:t>
      </w:r>
      <w:r w:rsidRPr="003927BA">
        <w:rPr>
          <w:lang w:bidi="en-US"/>
        </w:rPr>
        <w:t xml:space="preserve">4 </w:t>
      </w:r>
      <w:r>
        <w:t xml:space="preserve">и сильному ингибированию </w:t>
      </w:r>
      <w:r>
        <w:rPr>
          <w:lang w:val="en-US" w:bidi="en-US"/>
        </w:rPr>
        <w:t>CYP</w:t>
      </w:r>
      <w:r w:rsidRPr="003927BA">
        <w:rPr>
          <w:lang w:bidi="en-US"/>
        </w:rPr>
        <w:t>2</w:t>
      </w:r>
      <w:r>
        <w:rPr>
          <w:lang w:val="en-US" w:bidi="en-US"/>
        </w:rPr>
        <w:t>C</w:t>
      </w:r>
      <w:r w:rsidRPr="003927BA">
        <w:rPr>
          <w:lang w:bidi="en-US"/>
        </w:rPr>
        <w:t xml:space="preserve">19 </w:t>
      </w:r>
      <w:r>
        <w:t xml:space="preserve">(например, флуконазол). </w:t>
      </w:r>
    </w:p>
    <w:p w14:paraId="5F4F5AEF" w14:textId="409A298F" w:rsidR="00730F80" w:rsidRPr="00D37113" w:rsidRDefault="00730F80" w:rsidP="00A96B90">
      <w:pPr>
        <w:pStyle w:val="SDText"/>
        <w:spacing w:after="0"/>
        <w:ind w:firstLine="0"/>
        <w:contextualSpacing/>
        <w:rPr>
          <w:szCs w:val="24"/>
        </w:rPr>
      </w:pPr>
      <w:r w:rsidRPr="00D37113">
        <w:rPr>
          <w:rStyle w:val="23"/>
          <w:rFonts w:eastAsiaTheme="minorHAnsi"/>
          <w:sz w:val="24"/>
          <w:szCs w:val="24"/>
        </w:rPr>
        <w:t>Анк</w:t>
      </w:r>
      <w:r w:rsidR="00BE2787">
        <w:rPr>
          <w:rStyle w:val="23"/>
          <w:rFonts w:eastAsiaTheme="minorHAnsi"/>
          <w:sz w:val="24"/>
          <w:szCs w:val="24"/>
        </w:rPr>
        <w:t>ил</w:t>
      </w:r>
      <w:r w:rsidRPr="00D37113">
        <w:rPr>
          <w:rStyle w:val="23"/>
          <w:rFonts w:eastAsiaTheme="minorHAnsi"/>
          <w:sz w:val="24"/>
          <w:szCs w:val="24"/>
        </w:rPr>
        <w:t>озирующий спондилоартрит</w:t>
      </w:r>
    </w:p>
    <w:p w14:paraId="4AF43C33" w14:textId="2258BFA0" w:rsidR="00730F80" w:rsidRPr="00BE2787" w:rsidRDefault="00730F80" w:rsidP="00BE2787">
      <w:pPr>
        <w:pStyle w:val="SDText"/>
        <w:spacing w:after="0"/>
        <w:contextualSpacing/>
        <w:rPr>
          <w:rStyle w:val="23"/>
          <w:rFonts w:eastAsiaTheme="minorHAnsi" w:cstheme="minorBidi"/>
          <w:i w:val="0"/>
          <w:iCs w:val="0"/>
          <w:color w:val="auto"/>
          <w:sz w:val="24"/>
          <w:lang w:eastAsia="en-US" w:bidi="ar-SA"/>
        </w:rPr>
      </w:pPr>
      <w:r>
        <w:t xml:space="preserve">Рекомендуемая доза </w:t>
      </w:r>
      <w:r w:rsidR="00BA71B2" w:rsidRPr="00BA71B2">
        <w:t xml:space="preserve">тофацитиниба </w:t>
      </w:r>
      <w:r>
        <w:t xml:space="preserve">составляет 5 мг один раз в сутки для пациентов, получающих сильные ингибиторы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 Рекомендуемая доза </w:t>
      </w:r>
      <w:r w:rsidR="00BA71B2" w:rsidRPr="00BA71B2">
        <w:t xml:space="preserve">тофацитиниба </w:t>
      </w:r>
      <w:r>
        <w:t>составляет 5 мг один раз в сутки для пациентов, получающих один или более</w:t>
      </w:r>
      <w:r>
        <w:tab/>
        <w:t xml:space="preserve">сопутствующих препаратов, что приводит в обоих случаях к умеренному ингибированию </w:t>
      </w:r>
      <w:r>
        <w:rPr>
          <w:lang w:val="en-US" w:bidi="en-US"/>
        </w:rPr>
        <w:t>CYP</w:t>
      </w:r>
      <w:r w:rsidRPr="003927BA">
        <w:rPr>
          <w:lang w:bidi="en-US"/>
        </w:rPr>
        <w:t>3</w:t>
      </w:r>
      <w:r>
        <w:rPr>
          <w:lang w:val="en-US" w:bidi="en-US"/>
        </w:rPr>
        <w:t>A</w:t>
      </w:r>
      <w:r w:rsidRPr="003927BA">
        <w:rPr>
          <w:lang w:bidi="en-US"/>
        </w:rPr>
        <w:t xml:space="preserve">4 </w:t>
      </w:r>
      <w:r>
        <w:t xml:space="preserve">и сильному ингибированию </w:t>
      </w:r>
      <w:r>
        <w:rPr>
          <w:lang w:val="en-US" w:bidi="en-US"/>
        </w:rPr>
        <w:t>CYP</w:t>
      </w:r>
      <w:r w:rsidRPr="003927BA">
        <w:rPr>
          <w:lang w:bidi="en-US"/>
        </w:rPr>
        <w:t>2</w:t>
      </w:r>
      <w:r>
        <w:rPr>
          <w:lang w:val="en-US" w:bidi="en-US"/>
        </w:rPr>
        <w:t>C</w:t>
      </w:r>
      <w:r w:rsidRPr="003927BA">
        <w:rPr>
          <w:lang w:bidi="en-US"/>
        </w:rPr>
        <w:t xml:space="preserve">19 </w:t>
      </w:r>
      <w:r w:rsidR="00BE2787">
        <w:t xml:space="preserve">(например, флуконазол). </w:t>
      </w:r>
    </w:p>
    <w:p w14:paraId="16B64248" w14:textId="77777777" w:rsidR="00730F80" w:rsidRPr="00D37113" w:rsidRDefault="00730F80" w:rsidP="00A96B90">
      <w:pPr>
        <w:pStyle w:val="SDText"/>
        <w:spacing w:after="0"/>
        <w:ind w:firstLine="0"/>
        <w:contextualSpacing/>
        <w:rPr>
          <w:szCs w:val="24"/>
        </w:rPr>
      </w:pPr>
      <w:r w:rsidRPr="00D37113">
        <w:rPr>
          <w:rStyle w:val="23"/>
          <w:rFonts w:eastAsiaTheme="minorHAnsi"/>
          <w:sz w:val="24"/>
          <w:szCs w:val="24"/>
        </w:rPr>
        <w:t>Бляшечный псориаз</w:t>
      </w:r>
    </w:p>
    <w:p w14:paraId="0FBC22CA" w14:textId="515D6FCD" w:rsidR="00730F80" w:rsidRPr="00BE2787" w:rsidRDefault="00730F80" w:rsidP="00BE2787">
      <w:pPr>
        <w:pStyle w:val="SDText"/>
        <w:spacing w:after="0"/>
        <w:contextualSpacing/>
        <w:rPr>
          <w:rStyle w:val="23"/>
          <w:rFonts w:eastAsiaTheme="minorHAnsi" w:cstheme="minorBidi"/>
          <w:i w:val="0"/>
          <w:iCs w:val="0"/>
          <w:color w:val="auto"/>
          <w:sz w:val="24"/>
          <w:lang w:eastAsia="en-US" w:bidi="ar-SA"/>
        </w:rPr>
      </w:pPr>
      <w:r>
        <w:t xml:space="preserve">Дозировка </w:t>
      </w:r>
      <w:r w:rsidR="00BA71B2" w:rsidRPr="00BA71B2">
        <w:t xml:space="preserve">тофацитиниба </w:t>
      </w:r>
      <w:r>
        <w:t xml:space="preserve">не должна превышать 5 мг два раза в сутки для пациентов, получающих сильные ингибиторы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 Дозировка </w:t>
      </w:r>
      <w:r w:rsidR="00BA71B2" w:rsidRPr="00BA71B2">
        <w:t xml:space="preserve">тофацитиниба </w:t>
      </w:r>
      <w:r>
        <w:t>не должна превышать 5 мг два раза в сутки для пациентов, получающих один или более</w:t>
      </w:r>
      <w:r>
        <w:tab/>
        <w:t xml:space="preserve">сопутствующих препаратов, что приводит в обоих случаях к умеренному ингибированию </w:t>
      </w:r>
      <w:r>
        <w:rPr>
          <w:lang w:val="en-US" w:bidi="en-US"/>
        </w:rPr>
        <w:t>CYP</w:t>
      </w:r>
      <w:r w:rsidRPr="003927BA">
        <w:rPr>
          <w:lang w:bidi="en-US"/>
        </w:rPr>
        <w:t>3</w:t>
      </w:r>
      <w:r>
        <w:rPr>
          <w:lang w:val="en-US" w:bidi="en-US"/>
        </w:rPr>
        <w:t>A</w:t>
      </w:r>
      <w:r w:rsidRPr="003927BA">
        <w:rPr>
          <w:lang w:bidi="en-US"/>
        </w:rPr>
        <w:t xml:space="preserve">4 </w:t>
      </w:r>
      <w:r>
        <w:t xml:space="preserve">и сильному ингибированию </w:t>
      </w:r>
      <w:r>
        <w:rPr>
          <w:lang w:val="en-US" w:bidi="en-US"/>
        </w:rPr>
        <w:t>CYP</w:t>
      </w:r>
      <w:r w:rsidRPr="003927BA">
        <w:rPr>
          <w:lang w:bidi="en-US"/>
        </w:rPr>
        <w:t>2</w:t>
      </w:r>
      <w:r>
        <w:rPr>
          <w:lang w:val="en-US" w:bidi="en-US"/>
        </w:rPr>
        <w:t>C</w:t>
      </w:r>
      <w:r w:rsidRPr="003927BA">
        <w:rPr>
          <w:lang w:bidi="en-US"/>
        </w:rPr>
        <w:t xml:space="preserve">19 </w:t>
      </w:r>
      <w:r w:rsidR="00BE2787">
        <w:t xml:space="preserve">(например, флуконазол). </w:t>
      </w:r>
    </w:p>
    <w:p w14:paraId="3F8F45F9" w14:textId="77777777" w:rsidR="00730F80" w:rsidRPr="00D37113" w:rsidRDefault="00730F80" w:rsidP="00A96B90">
      <w:pPr>
        <w:pStyle w:val="SDText"/>
        <w:spacing w:after="0"/>
        <w:ind w:firstLine="0"/>
        <w:contextualSpacing/>
        <w:rPr>
          <w:szCs w:val="24"/>
        </w:rPr>
      </w:pPr>
      <w:r w:rsidRPr="00D37113">
        <w:rPr>
          <w:rStyle w:val="23"/>
          <w:rFonts w:eastAsiaTheme="minorHAnsi"/>
          <w:sz w:val="24"/>
          <w:szCs w:val="24"/>
        </w:rPr>
        <w:t>Язвенный колит</w:t>
      </w:r>
    </w:p>
    <w:p w14:paraId="767C29D6" w14:textId="59453C2F" w:rsidR="00730F80" w:rsidRDefault="00730F80" w:rsidP="003F310C">
      <w:pPr>
        <w:pStyle w:val="SDText"/>
        <w:spacing w:after="0"/>
        <w:contextualSpacing/>
      </w:pPr>
      <w:r>
        <w:t xml:space="preserve">Для пациентов, получающих сильные ингибиторы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 или один или более сопутствующих препаратов, что приводит в обоих случаях к умеренному ингибированию </w:t>
      </w:r>
      <w:r>
        <w:rPr>
          <w:lang w:val="en-US" w:bidi="en-US"/>
        </w:rPr>
        <w:t>CYP</w:t>
      </w:r>
      <w:r w:rsidRPr="003927BA">
        <w:rPr>
          <w:lang w:bidi="en-US"/>
        </w:rPr>
        <w:t>3</w:t>
      </w:r>
      <w:r>
        <w:rPr>
          <w:lang w:val="en-US" w:bidi="en-US"/>
        </w:rPr>
        <w:t>A</w:t>
      </w:r>
      <w:r w:rsidRPr="003927BA">
        <w:rPr>
          <w:lang w:bidi="en-US"/>
        </w:rPr>
        <w:t xml:space="preserve">4 </w:t>
      </w:r>
      <w:r>
        <w:t xml:space="preserve">и сильному ингибированию </w:t>
      </w:r>
      <w:r>
        <w:rPr>
          <w:lang w:val="en-US" w:bidi="en-US"/>
        </w:rPr>
        <w:t>CYP</w:t>
      </w:r>
      <w:r w:rsidRPr="003927BA">
        <w:rPr>
          <w:lang w:bidi="en-US"/>
        </w:rPr>
        <w:t>2</w:t>
      </w:r>
      <w:r>
        <w:rPr>
          <w:lang w:val="en-US" w:bidi="en-US"/>
        </w:rPr>
        <w:t>C</w:t>
      </w:r>
      <w:r w:rsidRPr="003927BA">
        <w:rPr>
          <w:lang w:bidi="en-US"/>
        </w:rPr>
        <w:t xml:space="preserve">19 </w:t>
      </w:r>
      <w:r>
        <w:t xml:space="preserve">(например, флуконазол), дозу </w:t>
      </w:r>
      <w:r w:rsidR="00BA71B2" w:rsidRPr="00BA71B2">
        <w:t xml:space="preserve">тофацитиниба </w:t>
      </w:r>
      <w:r>
        <w:t xml:space="preserve">следует уменьшить до 5 мг два раза в сутки, если пациент принимает 10 мг два раза в сутки, дозу </w:t>
      </w:r>
      <w:r w:rsidR="00BA71B2" w:rsidRPr="00BA71B2">
        <w:t xml:space="preserve">тофацитиниба </w:t>
      </w:r>
      <w:r>
        <w:t>следует уменьшить до 5 мг один раз в сутки, если пациент принимает 5 мг два раза в сутки.</w:t>
      </w:r>
    </w:p>
    <w:p w14:paraId="145DE26B" w14:textId="77777777" w:rsidR="00730F80" w:rsidRDefault="00730F80" w:rsidP="00A96B90">
      <w:pPr>
        <w:spacing w:after="0"/>
        <w:ind w:firstLine="0"/>
        <w:contextualSpacing/>
        <w:rPr>
          <w:i/>
          <w:iCs/>
        </w:rPr>
      </w:pPr>
      <w:r w:rsidRPr="00C22C55">
        <w:rPr>
          <w:i/>
          <w:iCs/>
        </w:rPr>
        <w:t>Полиартикулярный ювенильный идиопатический артрит</w:t>
      </w:r>
    </w:p>
    <w:p w14:paraId="241FA4B6" w14:textId="6B933892" w:rsidR="00730F80" w:rsidRDefault="00730F80" w:rsidP="00BE2787">
      <w:pPr>
        <w:spacing w:after="0"/>
        <w:contextualSpacing/>
        <w:rPr>
          <w:i/>
          <w:iCs/>
        </w:rPr>
      </w:pPr>
      <w:r>
        <w:t xml:space="preserve">У пациентов, получающих сильные ингибиторы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 или один или более сопутствующих препаратов, которые приводят как к умеренному ингибированию </w:t>
      </w:r>
      <w:r>
        <w:rPr>
          <w:lang w:val="en-US" w:bidi="en-US"/>
        </w:rPr>
        <w:t>CYP</w:t>
      </w:r>
      <w:r w:rsidRPr="003927BA">
        <w:rPr>
          <w:lang w:bidi="en-US"/>
        </w:rPr>
        <w:t>3</w:t>
      </w:r>
      <w:r>
        <w:rPr>
          <w:lang w:val="en-US" w:bidi="en-US"/>
        </w:rPr>
        <w:t>A</w:t>
      </w:r>
      <w:r w:rsidRPr="003927BA">
        <w:rPr>
          <w:lang w:bidi="en-US"/>
        </w:rPr>
        <w:t xml:space="preserve">4, </w:t>
      </w:r>
      <w:r>
        <w:t xml:space="preserve">так и к сильному ингибированию </w:t>
      </w:r>
      <w:r>
        <w:rPr>
          <w:lang w:val="en-US" w:bidi="en-US"/>
        </w:rPr>
        <w:t>CYP</w:t>
      </w:r>
      <w:r w:rsidRPr="003927BA">
        <w:rPr>
          <w:lang w:bidi="en-US"/>
        </w:rPr>
        <w:t>2</w:t>
      </w:r>
      <w:r>
        <w:rPr>
          <w:lang w:val="en-US" w:bidi="en-US"/>
        </w:rPr>
        <w:t>C</w:t>
      </w:r>
      <w:r w:rsidRPr="003927BA">
        <w:rPr>
          <w:lang w:bidi="en-US"/>
        </w:rPr>
        <w:t xml:space="preserve">19 </w:t>
      </w:r>
      <w:r>
        <w:t xml:space="preserve">(например, флуконазол), рекомендуемая доза </w:t>
      </w:r>
      <w:r w:rsidR="00BA71B2" w:rsidRPr="00BA71B2">
        <w:t xml:space="preserve">тофацитиниба </w:t>
      </w:r>
      <w:r>
        <w:t>составляет 5 мг один раз в день, если доза при нормальной функции почек составляет 5 мг два раза в день.</w:t>
      </w:r>
    </w:p>
    <w:p w14:paraId="433DD421" w14:textId="77777777" w:rsidR="000052D3" w:rsidRDefault="000052D3" w:rsidP="00BE2787">
      <w:pPr>
        <w:spacing w:after="0"/>
        <w:ind w:firstLine="0"/>
        <w:contextualSpacing/>
        <w:rPr>
          <w:b/>
          <w:i/>
          <w:iCs/>
        </w:rPr>
      </w:pPr>
    </w:p>
    <w:p w14:paraId="6CFEB0A8" w14:textId="0984B5C4" w:rsidR="00730F80" w:rsidRPr="00BE2787" w:rsidRDefault="00730F80" w:rsidP="00BE2787">
      <w:pPr>
        <w:spacing w:after="0"/>
        <w:ind w:firstLine="0"/>
        <w:contextualSpacing/>
        <w:rPr>
          <w:b/>
          <w:i/>
          <w:iCs/>
          <w:lang w:bidi="en-US"/>
        </w:rPr>
      </w:pPr>
      <w:r w:rsidRPr="00BE2787">
        <w:rPr>
          <w:b/>
          <w:i/>
          <w:iCs/>
        </w:rPr>
        <w:t xml:space="preserve">Одновременное применение с индукторами цитохрома Р450 </w:t>
      </w:r>
      <w:r w:rsidRPr="00BE2787">
        <w:rPr>
          <w:b/>
          <w:i/>
          <w:iCs/>
          <w:lang w:bidi="en-US"/>
        </w:rPr>
        <w:t>(</w:t>
      </w:r>
      <w:r w:rsidRPr="00BE2787">
        <w:rPr>
          <w:b/>
          <w:i/>
          <w:iCs/>
          <w:lang w:val="en-US" w:bidi="en-US"/>
        </w:rPr>
        <w:t>CYP</w:t>
      </w:r>
      <w:r w:rsidRPr="00BE2787">
        <w:rPr>
          <w:b/>
          <w:i/>
          <w:iCs/>
          <w:lang w:bidi="en-US"/>
        </w:rPr>
        <w:t>3</w:t>
      </w:r>
      <w:r w:rsidRPr="00BE2787">
        <w:rPr>
          <w:b/>
          <w:i/>
          <w:iCs/>
          <w:lang w:val="en-US" w:bidi="en-US"/>
        </w:rPr>
        <w:t>A</w:t>
      </w:r>
      <w:r w:rsidRPr="00BE2787">
        <w:rPr>
          <w:b/>
          <w:i/>
          <w:iCs/>
          <w:lang w:bidi="en-US"/>
        </w:rPr>
        <w:t>4)</w:t>
      </w:r>
    </w:p>
    <w:p w14:paraId="0D5C8634" w14:textId="5176594B" w:rsidR="00730F80" w:rsidRPr="00BE2787" w:rsidRDefault="00730F80" w:rsidP="00BE2787">
      <w:pPr>
        <w:spacing w:after="0"/>
        <w:contextualSpacing/>
        <w:rPr>
          <w:rStyle w:val="23"/>
          <w:rFonts w:eastAsiaTheme="minorHAnsi" w:cstheme="minorBidi"/>
          <w:color w:val="auto"/>
          <w:sz w:val="24"/>
          <w:lang w:eastAsia="en-US" w:bidi="ar-SA"/>
        </w:rPr>
      </w:pPr>
      <w:r>
        <w:t xml:space="preserve">Одновременное применение </w:t>
      </w:r>
      <w:r w:rsidR="00BA71B2" w:rsidRPr="00BA71B2">
        <w:t xml:space="preserve">тофацитиниба </w:t>
      </w:r>
      <w:r>
        <w:t xml:space="preserve">и мощных индукторов изофермента </w:t>
      </w:r>
      <w:r>
        <w:rPr>
          <w:lang w:val="en-US" w:bidi="en-US"/>
        </w:rPr>
        <w:t>CYP</w:t>
      </w:r>
      <w:r w:rsidRPr="003927BA">
        <w:rPr>
          <w:lang w:bidi="en-US"/>
        </w:rPr>
        <w:t>3</w:t>
      </w:r>
      <w:r>
        <w:rPr>
          <w:lang w:val="en-US" w:bidi="en-US"/>
        </w:rPr>
        <w:t>A</w:t>
      </w:r>
      <w:r w:rsidRPr="003927BA">
        <w:rPr>
          <w:lang w:bidi="en-US"/>
        </w:rPr>
        <w:t xml:space="preserve">4 </w:t>
      </w:r>
      <w:r>
        <w:t xml:space="preserve">(например, рифампицина) может приводить к снижению или утрате клинической эффективности. Одновременное применение </w:t>
      </w:r>
      <w:r w:rsidR="00BA71B2" w:rsidRPr="00BA71B2">
        <w:t xml:space="preserve">тофацитиниба </w:t>
      </w:r>
      <w:r>
        <w:t xml:space="preserve">и мощных индукторов изофермента </w:t>
      </w:r>
      <w:r>
        <w:rPr>
          <w:lang w:val="en-US" w:bidi="en-US"/>
        </w:rPr>
        <w:t>CYP</w:t>
      </w:r>
      <w:r w:rsidRPr="003927BA">
        <w:rPr>
          <w:lang w:bidi="en-US"/>
        </w:rPr>
        <w:t>3</w:t>
      </w:r>
      <w:r>
        <w:rPr>
          <w:lang w:val="en-US" w:bidi="en-US"/>
        </w:rPr>
        <w:t>A</w:t>
      </w:r>
      <w:r w:rsidRPr="003927BA">
        <w:rPr>
          <w:lang w:bidi="en-US"/>
        </w:rPr>
        <w:t xml:space="preserve">4 </w:t>
      </w:r>
      <w:r>
        <w:t>не рекомендуется.</w:t>
      </w:r>
    </w:p>
    <w:p w14:paraId="31951E35" w14:textId="77777777" w:rsidR="00730F80" w:rsidRPr="00C22C55" w:rsidRDefault="00730F80" w:rsidP="00A96B90">
      <w:pPr>
        <w:spacing w:after="0"/>
        <w:ind w:firstLine="0"/>
        <w:contextualSpacing/>
        <w:jc w:val="left"/>
        <w:rPr>
          <w:rStyle w:val="23"/>
          <w:rFonts w:eastAsiaTheme="minorHAnsi"/>
          <w:sz w:val="24"/>
          <w:szCs w:val="24"/>
        </w:rPr>
      </w:pPr>
      <w:r w:rsidRPr="00C22C55">
        <w:rPr>
          <w:rStyle w:val="23"/>
          <w:rFonts w:eastAsiaTheme="minorHAnsi"/>
          <w:sz w:val="24"/>
          <w:szCs w:val="24"/>
        </w:rPr>
        <w:t xml:space="preserve">Бляшечный псориаз у пациентов японской и корейской национальностей </w:t>
      </w:r>
    </w:p>
    <w:p w14:paraId="40B4B344" w14:textId="77777777" w:rsidR="00730F80" w:rsidRDefault="00730F80" w:rsidP="003F310C">
      <w:pPr>
        <w:pStyle w:val="SDText"/>
        <w:spacing w:after="0"/>
        <w:contextualSpacing/>
      </w:pPr>
      <w:r>
        <w:t>У пациентов данной категории повышен риск развития опоясывающего герпеса. Следует рассмотреть возможность применения препарата в дозе 5 мг два раза в сутки.</w:t>
      </w:r>
    </w:p>
    <w:p w14:paraId="6F4E13A3" w14:textId="77777777" w:rsidR="00730F80" w:rsidRDefault="00730F80" w:rsidP="00A96B90">
      <w:pPr>
        <w:spacing w:after="0"/>
        <w:ind w:firstLine="0"/>
        <w:contextualSpacing/>
        <w:rPr>
          <w:i/>
          <w:iCs/>
        </w:rPr>
      </w:pPr>
      <w:r w:rsidRPr="00C22C55">
        <w:rPr>
          <w:i/>
          <w:iCs/>
        </w:rPr>
        <w:t>Пожилые пациенты (&gt; 65 лет)</w:t>
      </w:r>
    </w:p>
    <w:p w14:paraId="21544F8D" w14:textId="77777777" w:rsidR="00730F80" w:rsidRPr="002C0BB6" w:rsidRDefault="00730F80" w:rsidP="003F310C">
      <w:pPr>
        <w:spacing w:after="0"/>
        <w:contextualSpacing/>
        <w:rPr>
          <w:i/>
          <w:iCs/>
        </w:rPr>
      </w:pPr>
      <w:r>
        <w:t>Коррекция дозы у пациентов в возрасте 65 лет и старше не требуется.</w:t>
      </w:r>
    </w:p>
    <w:p w14:paraId="3A7C871A" w14:textId="77777777" w:rsidR="00730F80" w:rsidRDefault="00730F80" w:rsidP="003F310C">
      <w:pPr>
        <w:spacing w:after="0"/>
        <w:contextualSpacing/>
        <w:rPr>
          <w:i/>
          <w:iCs/>
        </w:rPr>
      </w:pPr>
    </w:p>
    <w:p w14:paraId="5657B0BC" w14:textId="67BCB21B" w:rsidR="00730F80" w:rsidRPr="00BE2787" w:rsidRDefault="00730F80" w:rsidP="00BE2787">
      <w:pPr>
        <w:spacing w:after="0"/>
        <w:ind w:firstLine="0"/>
        <w:contextualSpacing/>
        <w:rPr>
          <w:b/>
          <w:i/>
          <w:iCs/>
        </w:rPr>
      </w:pPr>
      <w:r w:rsidRPr="00BE2787">
        <w:rPr>
          <w:b/>
          <w:i/>
          <w:iCs/>
        </w:rPr>
        <w:lastRenderedPageBreak/>
        <w:t>Дети</w:t>
      </w:r>
    </w:p>
    <w:p w14:paraId="7D23F04A" w14:textId="11EA4CB0" w:rsidR="00730F80" w:rsidRDefault="00730F80" w:rsidP="003F310C">
      <w:pPr>
        <w:spacing w:after="0"/>
        <w:contextualSpacing/>
      </w:pPr>
      <w:r>
        <w:t xml:space="preserve">Эффективность и безопасность </w:t>
      </w:r>
      <w:r w:rsidR="00BA71B2" w:rsidRPr="00BA71B2">
        <w:t xml:space="preserve">тофацитиниба </w:t>
      </w:r>
      <w:r>
        <w:t>в дозировке 5 мг два раза в день оценивалась у пациентов с пЮИ</w:t>
      </w:r>
      <w:r w:rsidR="00BE2787">
        <w:t>А в возрасте от 2 лет до 18 лет.</w:t>
      </w:r>
    </w:p>
    <w:p w14:paraId="6389238E" w14:textId="77777777" w:rsidR="00BE2787" w:rsidRPr="002C0BB6" w:rsidRDefault="00BE2787" w:rsidP="003F310C">
      <w:pPr>
        <w:spacing w:after="0"/>
        <w:contextualSpacing/>
        <w:rPr>
          <w:i/>
          <w:iCs/>
        </w:rPr>
      </w:pPr>
    </w:p>
    <w:p w14:paraId="66C63879" w14:textId="23EEEA6C" w:rsidR="00730F80" w:rsidRDefault="00D94CB4" w:rsidP="00D94CB4">
      <w:pPr>
        <w:pStyle w:val="4"/>
        <w:numPr>
          <w:ilvl w:val="0"/>
          <w:numId w:val="0"/>
        </w:numPr>
      </w:pPr>
      <w:bookmarkStart w:id="306" w:name="_Toc121592633"/>
      <w:r>
        <w:t xml:space="preserve">5.3.4.2. </w:t>
      </w:r>
      <w:r w:rsidR="00730F80">
        <w:t>Таблетки с модифицированным высвобождением, покрытые пленочной оболочкой</w:t>
      </w:r>
      <w:bookmarkEnd w:id="306"/>
    </w:p>
    <w:p w14:paraId="5D7161E2" w14:textId="77777777" w:rsidR="00730F80" w:rsidRDefault="00730F80" w:rsidP="003F310C">
      <w:pPr>
        <w:pStyle w:val="SDText"/>
        <w:spacing w:after="0"/>
        <w:contextualSpacing/>
        <w:rPr>
          <w:lang w:eastAsia="ru-RU" w:bidi="ru-RU"/>
        </w:rPr>
      </w:pPr>
    </w:p>
    <w:p w14:paraId="61C4F277" w14:textId="77777777" w:rsidR="00730F80" w:rsidRPr="00474B31" w:rsidRDefault="00730F80" w:rsidP="003F310C">
      <w:pPr>
        <w:pStyle w:val="SDText"/>
        <w:spacing w:after="0"/>
        <w:contextualSpacing/>
        <w:rPr>
          <w:lang w:eastAsia="ru-RU" w:bidi="ru-RU"/>
        </w:rPr>
      </w:pPr>
      <w:r w:rsidRPr="00474B31">
        <w:rPr>
          <w:lang w:eastAsia="ru-RU" w:bidi="ru-RU"/>
        </w:rPr>
        <w:t>Лечение должно назначаться и контролироваться врачами, имеющими опыт диагностики и лечения заболеваний, при которых показан тофацитиниб.</w:t>
      </w:r>
    </w:p>
    <w:p w14:paraId="5B96B77D" w14:textId="03C9B252" w:rsidR="00730F80" w:rsidRPr="00474B31" w:rsidRDefault="00730F80" w:rsidP="003F310C">
      <w:pPr>
        <w:pStyle w:val="SDText"/>
        <w:spacing w:after="0"/>
        <w:contextualSpacing/>
        <w:rPr>
          <w:lang w:eastAsia="ru-RU" w:bidi="ru-RU"/>
        </w:rPr>
      </w:pPr>
      <w:r w:rsidRPr="00474B31">
        <w:rPr>
          <w:lang w:eastAsia="ru-RU" w:bidi="ru-RU"/>
        </w:rPr>
        <w:t xml:space="preserve">Применение </w:t>
      </w:r>
      <w:bookmarkStart w:id="307" w:name="_Hlk120602815"/>
      <w:r w:rsidR="00005F44">
        <w:rPr>
          <w:lang w:eastAsia="ru-RU" w:bidi="ru-RU"/>
        </w:rPr>
        <w:t>тофацитиниба</w:t>
      </w:r>
      <w:bookmarkEnd w:id="307"/>
      <w:r w:rsidRPr="00474B31">
        <w:rPr>
          <w:lang w:eastAsia="ru-RU" w:bidi="ru-RU"/>
        </w:rPr>
        <w:t xml:space="preserve"> не было изучено, и следует избегать его применения в комбинации с ингибиторами ФНО, антагонистами интерлейкинов (ИЛ</w:t>
      </w:r>
      <w:r w:rsidRPr="00474B31">
        <w:rPr>
          <w:lang w:bidi="en-US"/>
        </w:rPr>
        <w:t>-</w:t>
      </w:r>
      <w:r w:rsidRPr="00474B31">
        <w:rPr>
          <w:lang w:val="en-US" w:bidi="en-US"/>
        </w:rPr>
        <w:t>IR</w:t>
      </w:r>
      <w:r w:rsidRPr="00474B31">
        <w:rPr>
          <w:lang w:bidi="en-US"/>
        </w:rPr>
        <w:t xml:space="preserve">, </w:t>
      </w:r>
      <w:r w:rsidRPr="00474B31">
        <w:rPr>
          <w:lang w:eastAsia="ru-RU" w:bidi="ru-RU"/>
        </w:rPr>
        <w:t>ИЛ-611), моноклональными анти-</w:t>
      </w:r>
      <w:r w:rsidR="005C27E6">
        <w:rPr>
          <w:lang w:val="en-US" w:eastAsia="ru-RU" w:bidi="ru-RU"/>
        </w:rPr>
        <w:t>CD</w:t>
      </w:r>
      <w:r w:rsidRPr="00474B31">
        <w:rPr>
          <w:lang w:eastAsia="ru-RU" w:bidi="ru-RU"/>
        </w:rPr>
        <w:t>20 антителами, антагонистами ИЛ-17, антагонистами ИЛ</w:t>
      </w:r>
      <w:r w:rsidR="00BC0ADB">
        <w:rPr>
          <w:lang w:eastAsia="ru-RU" w:bidi="ru-RU"/>
        </w:rPr>
        <w:t>-</w:t>
      </w:r>
      <w:r w:rsidRPr="00474B31">
        <w:rPr>
          <w:lang w:eastAsia="ru-RU" w:bidi="ru-RU"/>
        </w:rPr>
        <w:t>12/ИЛ</w:t>
      </w:r>
      <w:r w:rsidR="00BC0ADB">
        <w:rPr>
          <w:lang w:eastAsia="ru-RU" w:bidi="ru-RU"/>
        </w:rPr>
        <w:t>-</w:t>
      </w:r>
      <w:r w:rsidRPr="00474B31">
        <w:rPr>
          <w:lang w:eastAsia="ru-RU" w:bidi="ru-RU"/>
        </w:rPr>
        <w:t>23, антиинтегринами, селективными ко-стимулирующие модуляторами и мощными иммунодепрессантами, такими как азатиоприн, циклоспорин и такролимус, поскольку такая комбинация увеличивает вероятность выраженной иммуносупрессии и риск развития инфекции.</w:t>
      </w:r>
    </w:p>
    <w:p w14:paraId="602EF59D" w14:textId="1DE20C83" w:rsidR="00730F80" w:rsidRPr="00BE2787" w:rsidRDefault="00730F80" w:rsidP="00BE2787">
      <w:pPr>
        <w:pStyle w:val="SDText"/>
        <w:spacing w:after="0"/>
        <w:contextualSpacing/>
        <w:rPr>
          <w:lang w:eastAsia="ru-RU" w:bidi="ru-RU"/>
        </w:rPr>
      </w:pPr>
      <w:r w:rsidRPr="00474B31">
        <w:rPr>
          <w:lang w:eastAsia="ru-RU" w:bidi="ru-RU"/>
        </w:rPr>
        <w:t xml:space="preserve">Лечение </w:t>
      </w:r>
      <w:r w:rsidR="00005F44" w:rsidRPr="00005F44">
        <w:rPr>
          <w:lang w:eastAsia="ru-RU" w:bidi="ru-RU"/>
        </w:rPr>
        <w:t>тофацитиниб</w:t>
      </w:r>
      <w:r w:rsidR="00005F44">
        <w:rPr>
          <w:lang w:eastAsia="ru-RU" w:bidi="ru-RU"/>
        </w:rPr>
        <w:t>ом</w:t>
      </w:r>
      <w:r w:rsidR="00005F44" w:rsidRPr="00005F44">
        <w:rPr>
          <w:lang w:eastAsia="ru-RU" w:bidi="ru-RU"/>
        </w:rPr>
        <w:t xml:space="preserve"> </w:t>
      </w:r>
      <w:r w:rsidRPr="00474B31">
        <w:rPr>
          <w:lang w:eastAsia="ru-RU" w:bidi="ru-RU"/>
        </w:rPr>
        <w:t>должно быть прервано, если у пациента развивается серьезная инфекция, до тех пор, пока инфекция н</w:t>
      </w:r>
      <w:bookmarkStart w:id="308" w:name="bookmark13"/>
      <w:r w:rsidR="00BE2787">
        <w:rPr>
          <w:lang w:eastAsia="ru-RU" w:bidi="ru-RU"/>
        </w:rPr>
        <w:t>е контролируется.</w:t>
      </w:r>
    </w:p>
    <w:bookmarkEnd w:id="308"/>
    <w:p w14:paraId="5C331434" w14:textId="77777777" w:rsidR="00730F80" w:rsidRPr="00474B31" w:rsidRDefault="00730F80" w:rsidP="003F310C">
      <w:pPr>
        <w:pStyle w:val="SDText"/>
        <w:spacing w:after="0"/>
        <w:contextualSpacing/>
        <w:rPr>
          <w:lang w:eastAsia="ru-RU" w:bidi="ru-RU"/>
        </w:rPr>
      </w:pPr>
      <w:r w:rsidRPr="00474B31">
        <w:rPr>
          <w:lang w:eastAsia="ru-RU" w:bidi="ru-RU"/>
        </w:rPr>
        <w:t>Внутрь вне зависимости от приема пищи.</w:t>
      </w:r>
    </w:p>
    <w:p w14:paraId="2E9AFEAF" w14:textId="214CF176" w:rsidR="00730F80" w:rsidRDefault="00730F80" w:rsidP="003F310C">
      <w:pPr>
        <w:pStyle w:val="SDText"/>
        <w:spacing w:after="0"/>
        <w:rPr>
          <w:lang w:eastAsia="ru-RU" w:bidi="ru-RU"/>
        </w:rPr>
      </w:pPr>
      <w:r w:rsidRPr="00474B31">
        <w:rPr>
          <w:lang w:eastAsia="ru-RU" w:bidi="ru-RU"/>
        </w:rPr>
        <w:t>Необходимо глотать таблетки целиком. Не следует дробить таблетку, измельчать или разжевывать.</w:t>
      </w:r>
    </w:p>
    <w:p w14:paraId="1FD811D0" w14:textId="77777777" w:rsidR="00BE2787" w:rsidRPr="00474B31" w:rsidRDefault="00BE2787" w:rsidP="003F310C">
      <w:pPr>
        <w:pStyle w:val="SDText"/>
        <w:spacing w:after="0"/>
        <w:rPr>
          <w:lang w:eastAsia="ru-RU" w:bidi="ru-RU"/>
        </w:rPr>
      </w:pPr>
    </w:p>
    <w:p w14:paraId="0B2959B7" w14:textId="5A19E6A1" w:rsidR="00730F80" w:rsidRDefault="00730F80" w:rsidP="003F310C">
      <w:pPr>
        <w:widowControl w:val="0"/>
        <w:spacing w:after="0"/>
        <w:ind w:firstLine="0"/>
        <w:contextualSpacing/>
        <w:rPr>
          <w:rFonts w:eastAsia="Times New Roman" w:cs="Times New Roman"/>
          <w:b/>
          <w:iCs/>
          <w:color w:val="000000"/>
          <w:szCs w:val="24"/>
          <w:lang w:eastAsia="ru-RU" w:bidi="ru-RU"/>
        </w:rPr>
      </w:pPr>
      <w:r w:rsidRPr="00BE2787">
        <w:rPr>
          <w:rFonts w:eastAsia="Times New Roman" w:cs="Times New Roman"/>
          <w:b/>
          <w:iCs/>
          <w:color w:val="000000"/>
          <w:szCs w:val="24"/>
          <w:lang w:eastAsia="ru-RU" w:bidi="ru-RU"/>
        </w:rPr>
        <w:t>Ревматоидный артрит</w:t>
      </w:r>
    </w:p>
    <w:p w14:paraId="2EB1A63A" w14:textId="77777777" w:rsidR="00BE2787" w:rsidRPr="00BE2787" w:rsidRDefault="00BE2787" w:rsidP="003F310C">
      <w:pPr>
        <w:widowControl w:val="0"/>
        <w:spacing w:after="0"/>
        <w:ind w:firstLine="0"/>
        <w:contextualSpacing/>
        <w:rPr>
          <w:rFonts w:eastAsia="Times New Roman" w:cs="Times New Roman"/>
          <w:b/>
          <w:iCs/>
          <w:color w:val="000000"/>
          <w:szCs w:val="24"/>
          <w:lang w:eastAsia="ru-RU" w:bidi="ru-RU"/>
        </w:rPr>
      </w:pPr>
    </w:p>
    <w:p w14:paraId="4C6388A9" w14:textId="49E1868B" w:rsidR="00730F80" w:rsidRDefault="00005F44" w:rsidP="003F310C">
      <w:pPr>
        <w:pStyle w:val="SDText"/>
        <w:spacing w:after="0"/>
        <w:contextualSpacing/>
        <w:rPr>
          <w:lang w:eastAsia="ru-RU" w:bidi="ru-RU"/>
        </w:rPr>
      </w:pPr>
      <w:r>
        <w:rPr>
          <w:lang w:eastAsia="ru-RU" w:bidi="ru-RU"/>
        </w:rPr>
        <w:t>Т</w:t>
      </w:r>
      <w:r w:rsidRPr="00005F44">
        <w:rPr>
          <w:lang w:eastAsia="ru-RU" w:bidi="ru-RU"/>
        </w:rPr>
        <w:t>офацитиниб</w:t>
      </w:r>
      <w:r w:rsidR="00730F80" w:rsidRPr="00474B31">
        <w:rPr>
          <w:lang w:eastAsia="ru-RU" w:bidi="ru-RU"/>
        </w:rPr>
        <w:t xml:space="preserve"> можно применять в качестве монотерапии или в комбинации с метотрексатом (МТТ) или другими небиологическими БПВП.</w:t>
      </w:r>
    </w:p>
    <w:p w14:paraId="217EAAAA" w14:textId="77777777" w:rsidR="00730F80" w:rsidRPr="00474B31" w:rsidRDefault="00730F80" w:rsidP="003F310C">
      <w:pPr>
        <w:pStyle w:val="SDText"/>
        <w:spacing w:after="0"/>
        <w:contextualSpacing/>
        <w:rPr>
          <w:lang w:eastAsia="ru-RU" w:bidi="ru-RU"/>
        </w:rPr>
      </w:pPr>
      <w:r w:rsidRPr="00474B31">
        <w:rPr>
          <w:lang w:eastAsia="ru-RU" w:bidi="ru-RU"/>
        </w:rPr>
        <w:t>Рекомендуемая доза составляет 11 мг один раз в сутки.</w:t>
      </w:r>
    </w:p>
    <w:p w14:paraId="4CD351B6" w14:textId="0A329916" w:rsidR="00730F80" w:rsidRDefault="00730F80" w:rsidP="00BE2787">
      <w:pPr>
        <w:pStyle w:val="SDText"/>
        <w:spacing w:after="0"/>
        <w:contextualSpacing/>
        <w:rPr>
          <w:lang w:eastAsia="ru-RU" w:bidi="ru-RU"/>
        </w:rPr>
      </w:pPr>
      <w:r w:rsidRPr="00474B31">
        <w:rPr>
          <w:lang w:eastAsia="ru-RU" w:bidi="ru-RU"/>
        </w:rPr>
        <w:t xml:space="preserve">Установлена фармакокинетическая </w:t>
      </w:r>
      <w:r w:rsidRPr="00BE2787">
        <w:rPr>
          <w:szCs w:val="24"/>
          <w:lang w:eastAsia="ru-RU" w:bidi="ru-RU"/>
        </w:rPr>
        <w:t xml:space="preserve">эквивалентность </w:t>
      </w:r>
      <w:r w:rsidRPr="00BE2787">
        <w:rPr>
          <w:szCs w:val="24"/>
          <w:lang w:bidi="en-US"/>
        </w:rPr>
        <w:t>(</w:t>
      </w:r>
      <w:r w:rsidRPr="00BE2787">
        <w:rPr>
          <w:szCs w:val="24"/>
          <w:lang w:val="en-US" w:bidi="en-US"/>
        </w:rPr>
        <w:t>AUC</w:t>
      </w:r>
      <w:r w:rsidRPr="00BE2787">
        <w:rPr>
          <w:szCs w:val="24"/>
          <w:lang w:bidi="en-US"/>
        </w:rPr>
        <w:t xml:space="preserve"> </w:t>
      </w:r>
      <w:r w:rsidRPr="00BE2787">
        <w:rPr>
          <w:szCs w:val="24"/>
          <w:lang w:eastAsia="ru-RU" w:bidi="ru-RU"/>
        </w:rPr>
        <w:t>и С</w:t>
      </w:r>
      <w:r w:rsidR="00BE2787" w:rsidRPr="00BE2787">
        <w:rPr>
          <w:szCs w:val="24"/>
          <w:vertAlign w:val="subscript"/>
          <w:lang w:val="en-US" w:eastAsia="ru-RU" w:bidi="ru-RU"/>
        </w:rPr>
        <w:t>max</w:t>
      </w:r>
      <w:r w:rsidRPr="00BE2787">
        <w:rPr>
          <w:szCs w:val="24"/>
          <w:lang w:eastAsia="ru-RU" w:bidi="ru-RU"/>
        </w:rPr>
        <w:t>)</w:t>
      </w:r>
      <w:r w:rsidRPr="00474B31">
        <w:rPr>
          <w:sz w:val="20"/>
          <w:szCs w:val="20"/>
          <w:lang w:eastAsia="ru-RU" w:bidi="ru-RU"/>
        </w:rPr>
        <w:t xml:space="preserve"> </w:t>
      </w:r>
      <w:r w:rsidR="00005F44" w:rsidRPr="00005F44">
        <w:rPr>
          <w:lang w:eastAsia="ru-RU" w:bidi="ru-RU"/>
        </w:rPr>
        <w:t>тофацитиниба</w:t>
      </w:r>
      <w:r w:rsidRPr="00474B31">
        <w:rPr>
          <w:lang w:eastAsia="ru-RU" w:bidi="ru-RU"/>
        </w:rPr>
        <w:t xml:space="preserve"> 11 мг при приеме один раз в сутки и </w:t>
      </w:r>
      <w:r w:rsidR="00005F44" w:rsidRPr="00005F44">
        <w:rPr>
          <w:lang w:eastAsia="ru-RU" w:bidi="ru-RU"/>
        </w:rPr>
        <w:t xml:space="preserve">тофацитиниба </w:t>
      </w:r>
      <w:r w:rsidRPr="00474B31">
        <w:rPr>
          <w:lang w:eastAsia="ru-RU" w:bidi="ru-RU"/>
        </w:rPr>
        <w:t>5 мг при приеме два раза в сутки.</w:t>
      </w:r>
    </w:p>
    <w:p w14:paraId="61F29FC3" w14:textId="5BD257D6" w:rsidR="00730F80" w:rsidRDefault="00730F80" w:rsidP="007A3D0C">
      <w:pPr>
        <w:pStyle w:val="SDText"/>
        <w:spacing w:after="0"/>
        <w:ind w:firstLine="0"/>
        <w:contextualSpacing/>
        <w:rPr>
          <w:lang w:eastAsia="ru-RU" w:bidi="ru-RU"/>
        </w:rPr>
      </w:pPr>
      <w:r w:rsidRPr="00474B31">
        <w:rPr>
          <w:i/>
          <w:iCs/>
          <w:lang w:eastAsia="ru-RU" w:bidi="ru-RU"/>
        </w:rPr>
        <w:t xml:space="preserve">Переход от </w:t>
      </w:r>
      <w:r w:rsidR="00005F44" w:rsidRPr="00005F44">
        <w:rPr>
          <w:i/>
          <w:iCs/>
          <w:lang w:eastAsia="ru-RU" w:bidi="ru-RU"/>
        </w:rPr>
        <w:t xml:space="preserve">тофацитиниба </w:t>
      </w:r>
      <w:r w:rsidRPr="00474B31">
        <w:rPr>
          <w:i/>
          <w:iCs/>
          <w:lang w:eastAsia="ru-RU" w:bidi="ru-RU"/>
        </w:rPr>
        <w:t xml:space="preserve">5 мг на </w:t>
      </w:r>
      <w:r w:rsidR="00005F44" w:rsidRPr="00005F44">
        <w:rPr>
          <w:i/>
          <w:iCs/>
          <w:lang w:eastAsia="ru-RU" w:bidi="ru-RU"/>
        </w:rPr>
        <w:t>тофацитиниб</w:t>
      </w:r>
      <w:r w:rsidR="00BC0ADB">
        <w:rPr>
          <w:i/>
          <w:iCs/>
          <w:lang w:eastAsia="ru-RU" w:bidi="ru-RU"/>
        </w:rPr>
        <w:t xml:space="preserve"> 11 мг </w:t>
      </w:r>
      <w:r w:rsidRPr="00474B31">
        <w:rPr>
          <w:i/>
          <w:iCs/>
          <w:lang w:eastAsia="ru-RU" w:bidi="ru-RU"/>
        </w:rPr>
        <w:t>для лечения ревматоидного артрита</w:t>
      </w:r>
    </w:p>
    <w:p w14:paraId="33E7E437" w14:textId="312FE8D9" w:rsidR="00730F80" w:rsidRPr="00474B31" w:rsidRDefault="00730F80" w:rsidP="003F310C">
      <w:pPr>
        <w:pStyle w:val="SDText"/>
        <w:spacing w:after="0"/>
        <w:contextualSpacing/>
        <w:rPr>
          <w:lang w:eastAsia="ru-RU" w:bidi="ru-RU"/>
        </w:rPr>
      </w:pPr>
      <w:r w:rsidRPr="00474B31">
        <w:rPr>
          <w:lang w:eastAsia="ru-RU" w:bidi="ru-RU"/>
        </w:rPr>
        <w:t xml:space="preserve">Пациенты, получавшие </w:t>
      </w:r>
      <w:r w:rsidR="00005F44" w:rsidRPr="00005F44">
        <w:rPr>
          <w:lang w:eastAsia="ru-RU" w:bidi="ru-RU"/>
        </w:rPr>
        <w:t>тофацитиниб</w:t>
      </w:r>
      <w:r w:rsidRPr="00474B31">
        <w:rPr>
          <w:lang w:eastAsia="ru-RU" w:bidi="ru-RU"/>
        </w:rPr>
        <w:t xml:space="preserve"> 5 мг два раза в сутки, могут быть переведены на </w:t>
      </w:r>
      <w:r w:rsidR="00005F44" w:rsidRPr="00005F44">
        <w:rPr>
          <w:lang w:eastAsia="ru-RU" w:bidi="ru-RU"/>
        </w:rPr>
        <w:t>тофацитиниб</w:t>
      </w:r>
      <w:r w:rsidR="00005F44">
        <w:rPr>
          <w:lang w:eastAsia="ru-RU" w:bidi="ru-RU"/>
        </w:rPr>
        <w:t xml:space="preserve"> </w:t>
      </w:r>
      <w:r w:rsidRPr="00474B31">
        <w:rPr>
          <w:lang w:eastAsia="ru-RU" w:bidi="ru-RU"/>
        </w:rPr>
        <w:t xml:space="preserve">11 мг один раз в сутки на следующий день после приема последней дозы </w:t>
      </w:r>
      <w:r w:rsidR="00005F44" w:rsidRPr="00005F44">
        <w:rPr>
          <w:lang w:eastAsia="ru-RU" w:bidi="ru-RU"/>
        </w:rPr>
        <w:t>тофацитиниба</w:t>
      </w:r>
      <w:r w:rsidRPr="00474B31">
        <w:rPr>
          <w:lang w:eastAsia="ru-RU" w:bidi="ru-RU"/>
        </w:rPr>
        <w:t xml:space="preserve"> 5 мг.</w:t>
      </w:r>
    </w:p>
    <w:p w14:paraId="3BC42401" w14:textId="77777777" w:rsidR="00BE2787" w:rsidRDefault="00BE2787" w:rsidP="00BE2787">
      <w:pPr>
        <w:widowControl w:val="0"/>
        <w:spacing w:after="0"/>
        <w:ind w:firstLine="0"/>
        <w:contextualSpacing/>
        <w:rPr>
          <w:rFonts w:eastAsia="Times New Roman" w:cs="Times New Roman"/>
          <w:i/>
          <w:iCs/>
          <w:color w:val="000000"/>
          <w:szCs w:val="24"/>
          <w:lang w:eastAsia="ru-RU" w:bidi="ru-RU"/>
        </w:rPr>
      </w:pPr>
    </w:p>
    <w:p w14:paraId="622AECCB" w14:textId="74623B43" w:rsidR="00730F80" w:rsidRDefault="00730F80" w:rsidP="00BE2787">
      <w:pPr>
        <w:widowControl w:val="0"/>
        <w:spacing w:after="0"/>
        <w:ind w:firstLine="0"/>
        <w:contextualSpacing/>
        <w:rPr>
          <w:rFonts w:eastAsia="Times New Roman" w:cs="Times New Roman"/>
          <w:b/>
          <w:iCs/>
          <w:color w:val="000000"/>
          <w:szCs w:val="24"/>
          <w:lang w:eastAsia="ru-RU" w:bidi="ru-RU"/>
        </w:rPr>
      </w:pPr>
      <w:r w:rsidRPr="00BE2787">
        <w:rPr>
          <w:rFonts w:eastAsia="Times New Roman" w:cs="Times New Roman"/>
          <w:b/>
          <w:iCs/>
          <w:color w:val="000000"/>
          <w:szCs w:val="24"/>
          <w:lang w:eastAsia="ru-RU" w:bidi="ru-RU"/>
        </w:rPr>
        <w:t>Псориатический артрит</w:t>
      </w:r>
    </w:p>
    <w:p w14:paraId="7788665C" w14:textId="77777777" w:rsidR="00BE2787" w:rsidRPr="00BE2787" w:rsidRDefault="00BE2787" w:rsidP="00BE2787">
      <w:pPr>
        <w:widowControl w:val="0"/>
        <w:spacing w:after="0"/>
        <w:ind w:firstLine="0"/>
        <w:contextualSpacing/>
        <w:rPr>
          <w:rFonts w:eastAsia="Times New Roman" w:cs="Times New Roman"/>
          <w:b/>
          <w:iCs/>
          <w:color w:val="000000"/>
          <w:szCs w:val="24"/>
          <w:lang w:eastAsia="ru-RU" w:bidi="ru-RU"/>
        </w:rPr>
      </w:pPr>
    </w:p>
    <w:p w14:paraId="23CB0748" w14:textId="77777777" w:rsidR="00730F80" w:rsidRPr="00474B31" w:rsidRDefault="00730F80" w:rsidP="003F310C">
      <w:pPr>
        <w:pStyle w:val="SDText"/>
        <w:spacing w:after="0"/>
        <w:contextualSpacing/>
        <w:rPr>
          <w:lang w:eastAsia="ru-RU" w:bidi="ru-RU"/>
        </w:rPr>
      </w:pPr>
      <w:r w:rsidRPr="00474B31">
        <w:rPr>
          <w:lang w:eastAsia="ru-RU" w:bidi="ru-RU"/>
        </w:rPr>
        <w:t>Рекомендуемая доза составляет 11 мг один раз в сутки в комбинации со стандартными синтетическими БМАРП (ссБМАРП).</w:t>
      </w:r>
    </w:p>
    <w:p w14:paraId="2A35F957" w14:textId="3FF9F22C" w:rsidR="00730F80" w:rsidRPr="00BE2787" w:rsidRDefault="00730F80" w:rsidP="00BE2787">
      <w:pPr>
        <w:pStyle w:val="SDText"/>
        <w:spacing w:after="0"/>
        <w:contextualSpacing/>
        <w:rPr>
          <w:lang w:eastAsia="ru-RU" w:bidi="ru-RU"/>
        </w:rPr>
      </w:pPr>
      <w:r w:rsidRPr="00474B31">
        <w:rPr>
          <w:lang w:eastAsia="ru-RU" w:bidi="ru-RU"/>
        </w:rPr>
        <w:t xml:space="preserve">Установлено, что экспозиция </w:t>
      </w:r>
      <w:r w:rsidRPr="005C51D8">
        <w:rPr>
          <w:szCs w:val="24"/>
          <w:lang w:bidi="en-US"/>
        </w:rPr>
        <w:t>(</w:t>
      </w:r>
      <w:r w:rsidR="005C51D8" w:rsidRPr="005C51D8">
        <w:rPr>
          <w:szCs w:val="24"/>
          <w:lang w:val="en-US" w:bidi="en-US"/>
        </w:rPr>
        <w:t>AUC</w:t>
      </w:r>
      <w:r w:rsidRPr="005C51D8">
        <w:rPr>
          <w:szCs w:val="24"/>
          <w:lang w:bidi="en-US"/>
        </w:rPr>
        <w:t xml:space="preserve"> </w:t>
      </w:r>
      <w:r w:rsidRPr="005C51D8">
        <w:rPr>
          <w:szCs w:val="24"/>
          <w:lang w:eastAsia="ru-RU" w:bidi="ru-RU"/>
        </w:rPr>
        <w:t xml:space="preserve">и </w:t>
      </w:r>
      <w:r w:rsidR="005C51D8">
        <w:rPr>
          <w:szCs w:val="24"/>
          <w:lang w:val="en-US" w:eastAsia="ru-RU" w:bidi="ru-RU"/>
        </w:rPr>
        <w:t>C</w:t>
      </w:r>
      <w:r w:rsidR="005C51D8" w:rsidRPr="005C51D8">
        <w:rPr>
          <w:szCs w:val="24"/>
          <w:vertAlign w:val="subscript"/>
          <w:lang w:val="en-US" w:eastAsia="ru-RU" w:bidi="ru-RU"/>
        </w:rPr>
        <w:t>m</w:t>
      </w:r>
      <w:r w:rsidRPr="005C51D8">
        <w:rPr>
          <w:szCs w:val="24"/>
          <w:vertAlign w:val="subscript"/>
          <w:lang w:eastAsia="ru-RU" w:bidi="ru-RU"/>
        </w:rPr>
        <w:t>ах</w:t>
      </w:r>
      <w:r w:rsidR="007A3D0C">
        <w:rPr>
          <w:sz w:val="20"/>
          <w:szCs w:val="20"/>
          <w:lang w:eastAsia="ru-RU" w:bidi="ru-RU"/>
        </w:rPr>
        <w:t>)</w:t>
      </w:r>
      <w:r w:rsidR="005C51D8" w:rsidRPr="005C51D8">
        <w:t xml:space="preserve"> </w:t>
      </w:r>
      <w:r w:rsidR="005C51D8" w:rsidRPr="005C51D8">
        <w:rPr>
          <w:lang w:eastAsia="ru-RU" w:bidi="ru-RU"/>
        </w:rPr>
        <w:t xml:space="preserve">тофацитиниба </w:t>
      </w:r>
      <w:r w:rsidRPr="00474B31">
        <w:rPr>
          <w:lang w:eastAsia="ru-RU" w:bidi="ru-RU"/>
        </w:rPr>
        <w:t xml:space="preserve">11 мг при приеме один раз в сутки эквивалентна экспозиции </w:t>
      </w:r>
      <w:r w:rsidR="005C51D8" w:rsidRPr="005C51D8">
        <w:rPr>
          <w:lang w:eastAsia="ru-RU" w:bidi="ru-RU"/>
        </w:rPr>
        <w:t xml:space="preserve">тофацитиниба </w:t>
      </w:r>
      <w:r w:rsidRPr="00474B31">
        <w:rPr>
          <w:lang w:eastAsia="ru-RU" w:bidi="ru-RU"/>
        </w:rPr>
        <w:t xml:space="preserve">5 мг при приеме два раза в сутки. </w:t>
      </w:r>
    </w:p>
    <w:p w14:paraId="73AB42F0" w14:textId="72EC434D" w:rsidR="00730F80" w:rsidRPr="00474B31" w:rsidRDefault="00730F80" w:rsidP="007A3D0C">
      <w:pPr>
        <w:pStyle w:val="SDText"/>
        <w:spacing w:after="0"/>
        <w:ind w:firstLine="0"/>
        <w:contextualSpacing/>
        <w:rPr>
          <w:lang w:eastAsia="ru-RU" w:bidi="ru-RU"/>
        </w:rPr>
      </w:pPr>
      <w:r w:rsidRPr="00474B31">
        <w:rPr>
          <w:i/>
          <w:iCs/>
          <w:lang w:eastAsia="ru-RU" w:bidi="ru-RU"/>
        </w:rPr>
        <w:t xml:space="preserve">Переход от </w:t>
      </w:r>
      <w:r w:rsidR="005C51D8" w:rsidRPr="005C51D8">
        <w:rPr>
          <w:i/>
          <w:iCs/>
          <w:lang w:eastAsia="ru-RU" w:bidi="ru-RU"/>
        </w:rPr>
        <w:t xml:space="preserve">тофацитиниба </w:t>
      </w:r>
      <w:r w:rsidRPr="00474B31">
        <w:rPr>
          <w:i/>
          <w:iCs/>
          <w:lang w:eastAsia="ru-RU" w:bidi="ru-RU"/>
        </w:rPr>
        <w:t xml:space="preserve">5 мг </w:t>
      </w:r>
      <w:r>
        <w:rPr>
          <w:i/>
          <w:iCs/>
          <w:lang w:eastAsia="ru-RU" w:bidi="ru-RU"/>
        </w:rPr>
        <w:t>н</w:t>
      </w:r>
      <w:r w:rsidRPr="00474B31">
        <w:rPr>
          <w:i/>
          <w:iCs/>
          <w:lang w:eastAsia="ru-RU" w:bidi="ru-RU"/>
        </w:rPr>
        <w:t xml:space="preserve">а </w:t>
      </w:r>
      <w:r w:rsidR="005C51D8" w:rsidRPr="005C51D8">
        <w:rPr>
          <w:i/>
          <w:iCs/>
          <w:lang w:eastAsia="ru-RU" w:bidi="ru-RU"/>
        </w:rPr>
        <w:t>тофацитиниб</w:t>
      </w:r>
      <w:r w:rsidRPr="00474B31">
        <w:rPr>
          <w:lang w:eastAsia="ru-RU" w:bidi="ru-RU"/>
        </w:rPr>
        <w:t xml:space="preserve"> </w:t>
      </w:r>
      <w:r w:rsidRPr="00474B31">
        <w:rPr>
          <w:i/>
          <w:iCs/>
          <w:lang w:eastAsia="ru-RU" w:bidi="ru-RU"/>
        </w:rPr>
        <w:t>11 мг для лечения псориатического артрита</w:t>
      </w:r>
    </w:p>
    <w:p w14:paraId="0C33E435" w14:textId="6C453531" w:rsidR="00730F80" w:rsidRPr="00474B31" w:rsidRDefault="00730F80" w:rsidP="003F310C">
      <w:pPr>
        <w:pStyle w:val="SDText"/>
        <w:spacing w:after="0"/>
        <w:contextualSpacing/>
        <w:rPr>
          <w:lang w:eastAsia="ru-RU" w:bidi="ru-RU"/>
        </w:rPr>
      </w:pPr>
      <w:r w:rsidRPr="00474B31">
        <w:rPr>
          <w:lang w:eastAsia="ru-RU" w:bidi="ru-RU"/>
        </w:rPr>
        <w:t xml:space="preserve">Пациенты, получавшие </w:t>
      </w:r>
      <w:r w:rsidR="005C51D8" w:rsidRPr="005C51D8">
        <w:rPr>
          <w:lang w:eastAsia="ru-RU" w:bidi="ru-RU"/>
        </w:rPr>
        <w:t>тофацитиниб</w:t>
      </w:r>
      <w:r w:rsidRPr="00474B31">
        <w:rPr>
          <w:lang w:eastAsia="ru-RU" w:bidi="ru-RU"/>
        </w:rPr>
        <w:t xml:space="preserve"> 5 мг два раза в сутки, могут быть переведены на </w:t>
      </w:r>
      <w:r w:rsidR="005C51D8" w:rsidRPr="005C51D8">
        <w:rPr>
          <w:lang w:eastAsia="ru-RU" w:bidi="ru-RU"/>
        </w:rPr>
        <w:t>тофацитиниб</w:t>
      </w:r>
      <w:r w:rsidR="00EB02F0">
        <w:rPr>
          <w:lang w:eastAsia="ru-RU" w:bidi="ru-RU"/>
        </w:rPr>
        <w:t xml:space="preserve"> </w:t>
      </w:r>
      <w:r w:rsidRPr="00474B31">
        <w:rPr>
          <w:lang w:eastAsia="ru-RU" w:bidi="ru-RU"/>
        </w:rPr>
        <w:t xml:space="preserve">11 мг один раз в сутки на следующий день после приема последней дозы </w:t>
      </w:r>
      <w:r w:rsidR="005C51D8" w:rsidRPr="005C51D8">
        <w:rPr>
          <w:lang w:eastAsia="ru-RU" w:bidi="ru-RU"/>
        </w:rPr>
        <w:t>тофацитиниба</w:t>
      </w:r>
      <w:r w:rsidRPr="00474B31">
        <w:rPr>
          <w:lang w:eastAsia="ru-RU" w:bidi="ru-RU"/>
        </w:rPr>
        <w:t xml:space="preserve"> 5 мг.</w:t>
      </w:r>
    </w:p>
    <w:p w14:paraId="794843F7" w14:textId="77777777" w:rsidR="00BE2787" w:rsidRDefault="00BE2787" w:rsidP="00BE2787">
      <w:pPr>
        <w:widowControl w:val="0"/>
        <w:spacing w:after="0"/>
        <w:ind w:firstLine="0"/>
        <w:contextualSpacing/>
        <w:jc w:val="left"/>
        <w:rPr>
          <w:rFonts w:eastAsia="Times New Roman" w:cs="Times New Roman"/>
          <w:b/>
          <w:iCs/>
          <w:color w:val="000000"/>
          <w:szCs w:val="24"/>
          <w:lang w:eastAsia="ru-RU" w:bidi="ru-RU"/>
        </w:rPr>
      </w:pPr>
    </w:p>
    <w:p w14:paraId="22F96ACF" w14:textId="77777777" w:rsidR="00791E09" w:rsidRDefault="00791E09" w:rsidP="00BE2787">
      <w:pPr>
        <w:widowControl w:val="0"/>
        <w:spacing w:after="0"/>
        <w:ind w:firstLine="0"/>
        <w:contextualSpacing/>
        <w:jc w:val="left"/>
        <w:rPr>
          <w:rFonts w:eastAsia="Times New Roman" w:cs="Times New Roman"/>
          <w:b/>
          <w:iCs/>
          <w:color w:val="000000"/>
          <w:szCs w:val="24"/>
          <w:lang w:eastAsia="ru-RU" w:bidi="ru-RU"/>
        </w:rPr>
        <w:sectPr w:rsidR="00791E09" w:rsidSect="00F85178">
          <w:pgSz w:w="11906" w:h="16838"/>
          <w:pgMar w:top="1134" w:right="850" w:bottom="1134" w:left="1701" w:header="708" w:footer="708" w:gutter="0"/>
          <w:cols w:space="708"/>
          <w:docGrid w:linePitch="360"/>
        </w:sectPr>
      </w:pPr>
    </w:p>
    <w:p w14:paraId="3DC671D6" w14:textId="5EB6B98E" w:rsidR="00730F80" w:rsidRPr="002C0BB6" w:rsidRDefault="00730F80" w:rsidP="00BE2787">
      <w:pPr>
        <w:widowControl w:val="0"/>
        <w:spacing w:after="0"/>
        <w:ind w:firstLine="0"/>
        <w:contextualSpacing/>
        <w:jc w:val="left"/>
        <w:rPr>
          <w:rFonts w:eastAsia="Times New Roman" w:cs="Times New Roman"/>
          <w:b/>
          <w:iCs/>
          <w:color w:val="000000"/>
          <w:szCs w:val="24"/>
          <w:lang w:eastAsia="ru-RU" w:bidi="ru-RU"/>
        </w:rPr>
      </w:pPr>
      <w:r w:rsidRPr="002C0BB6">
        <w:rPr>
          <w:rFonts w:eastAsia="Times New Roman" w:cs="Times New Roman"/>
          <w:b/>
          <w:iCs/>
          <w:color w:val="000000"/>
          <w:szCs w:val="24"/>
          <w:lang w:eastAsia="ru-RU" w:bidi="ru-RU"/>
        </w:rPr>
        <w:lastRenderedPageBreak/>
        <w:t>Коррекция дозы в связи с лабораторными отклонениями</w:t>
      </w:r>
    </w:p>
    <w:p w14:paraId="0109FB82" w14:textId="77777777" w:rsidR="00730F80" w:rsidRPr="00474B31" w:rsidRDefault="00730F80" w:rsidP="003F310C">
      <w:pPr>
        <w:widowControl w:val="0"/>
        <w:spacing w:after="0"/>
        <w:contextualSpacing/>
        <w:jc w:val="left"/>
        <w:rPr>
          <w:rFonts w:eastAsia="Times New Roman" w:cs="Times New Roman"/>
          <w:i/>
          <w:iCs/>
          <w:color w:val="000000"/>
          <w:szCs w:val="24"/>
          <w:lang w:eastAsia="ru-RU" w:bidi="ru-RU"/>
        </w:rPr>
      </w:pPr>
    </w:p>
    <w:p w14:paraId="770258C1" w14:textId="79F825FA" w:rsidR="00730F80" w:rsidRDefault="00730F80" w:rsidP="007A3D0C">
      <w:pPr>
        <w:pStyle w:val="SDText"/>
        <w:spacing w:after="0"/>
        <w:contextualSpacing/>
        <w:rPr>
          <w:lang w:eastAsia="ru-RU" w:bidi="ru-RU"/>
        </w:rPr>
      </w:pPr>
      <w:r w:rsidRPr="00474B31">
        <w:rPr>
          <w:lang w:eastAsia="ru-RU" w:bidi="ru-RU"/>
        </w:rPr>
        <w:t>Может потребоваться коррекция дозы или прекращение терапии в случае развития дозозависимых отклонений лабораторных показателей, включая л</w:t>
      </w:r>
      <w:r w:rsidR="007A3D0C">
        <w:rPr>
          <w:lang w:eastAsia="ru-RU" w:bidi="ru-RU"/>
        </w:rPr>
        <w:t xml:space="preserve">имфопению, нейтропению и анемию </w:t>
      </w:r>
      <w:r w:rsidR="00B35C9F" w:rsidRPr="007A3D0C">
        <w:rPr>
          <w:lang w:eastAsia="ru-RU" w:bidi="ru-RU"/>
        </w:rPr>
        <w:t>(</w:t>
      </w:r>
      <w:r w:rsidR="00F053A2" w:rsidRPr="007A3D0C">
        <w:rPr>
          <w:lang w:eastAsia="ru-RU" w:bidi="ru-RU"/>
        </w:rPr>
        <w:fldChar w:fldCharType="begin"/>
      </w:r>
      <w:r w:rsidR="00F053A2" w:rsidRPr="007A3D0C">
        <w:rPr>
          <w:lang w:eastAsia="ru-RU" w:bidi="ru-RU"/>
        </w:rPr>
        <w:instrText xml:space="preserve"> REF _Ref121142621 \h </w:instrText>
      </w:r>
      <w:r w:rsidR="007A3D0C" w:rsidRPr="007A3D0C">
        <w:rPr>
          <w:lang w:eastAsia="ru-RU" w:bidi="ru-RU"/>
        </w:rPr>
        <w:instrText xml:space="preserve"> \* MERGEFORMAT </w:instrText>
      </w:r>
      <w:r w:rsidR="00F053A2" w:rsidRPr="007A3D0C">
        <w:rPr>
          <w:lang w:eastAsia="ru-RU" w:bidi="ru-RU"/>
        </w:rPr>
      </w:r>
      <w:r w:rsidR="00F053A2" w:rsidRPr="007A3D0C">
        <w:rPr>
          <w:lang w:eastAsia="ru-RU" w:bidi="ru-RU"/>
        </w:rPr>
        <w:fldChar w:fldCharType="separate"/>
      </w:r>
      <w:r w:rsidR="00383E6F" w:rsidRPr="007A3D0C">
        <w:t xml:space="preserve">Таблица </w:t>
      </w:r>
      <w:r w:rsidR="00383E6F" w:rsidRPr="007A3D0C">
        <w:rPr>
          <w:noProof/>
        </w:rPr>
        <w:t>5</w:t>
      </w:r>
      <w:r w:rsidR="00383E6F" w:rsidRPr="007A3D0C">
        <w:noBreakHyphen/>
      </w:r>
      <w:r w:rsidR="00383E6F" w:rsidRPr="007A3D0C">
        <w:rPr>
          <w:noProof/>
        </w:rPr>
        <w:t>5</w:t>
      </w:r>
      <w:r w:rsidR="00F053A2" w:rsidRPr="007A3D0C">
        <w:rPr>
          <w:lang w:eastAsia="ru-RU" w:bidi="ru-RU"/>
        </w:rPr>
        <w:fldChar w:fldCharType="end"/>
      </w:r>
      <w:r w:rsidRPr="007A3D0C">
        <w:rPr>
          <w:lang w:eastAsia="ru-RU" w:bidi="ru-RU"/>
        </w:rPr>
        <w:t xml:space="preserve">, </w:t>
      </w:r>
      <w:r w:rsidR="00F053A2" w:rsidRPr="007A3D0C">
        <w:rPr>
          <w:lang w:eastAsia="ru-RU" w:bidi="ru-RU"/>
        </w:rPr>
        <w:fldChar w:fldCharType="begin"/>
      </w:r>
      <w:r w:rsidR="00F053A2" w:rsidRPr="007A3D0C">
        <w:rPr>
          <w:lang w:eastAsia="ru-RU" w:bidi="ru-RU"/>
        </w:rPr>
        <w:instrText xml:space="preserve"> REF _Ref117786470 \h </w:instrText>
      </w:r>
      <w:r w:rsidR="007A3D0C" w:rsidRPr="007A3D0C">
        <w:rPr>
          <w:lang w:eastAsia="ru-RU" w:bidi="ru-RU"/>
        </w:rPr>
        <w:instrText xml:space="preserve"> \* MERGEFORMAT </w:instrText>
      </w:r>
      <w:r w:rsidR="00F053A2" w:rsidRPr="007A3D0C">
        <w:rPr>
          <w:lang w:eastAsia="ru-RU" w:bidi="ru-RU"/>
        </w:rPr>
      </w:r>
      <w:r w:rsidR="00F053A2" w:rsidRPr="007A3D0C">
        <w:rPr>
          <w:lang w:eastAsia="ru-RU" w:bidi="ru-RU"/>
        </w:rPr>
        <w:fldChar w:fldCharType="separate"/>
      </w:r>
      <w:r w:rsidR="00383E6F" w:rsidRPr="007A3D0C">
        <w:t xml:space="preserve">Таблица </w:t>
      </w:r>
      <w:r w:rsidR="00383E6F" w:rsidRPr="007A3D0C">
        <w:rPr>
          <w:noProof/>
        </w:rPr>
        <w:t>5</w:t>
      </w:r>
      <w:r w:rsidR="00383E6F" w:rsidRPr="007A3D0C">
        <w:noBreakHyphen/>
      </w:r>
      <w:r w:rsidR="00383E6F" w:rsidRPr="007A3D0C">
        <w:rPr>
          <w:noProof/>
        </w:rPr>
        <w:t>6</w:t>
      </w:r>
      <w:r w:rsidR="00F053A2" w:rsidRPr="007A3D0C">
        <w:rPr>
          <w:lang w:eastAsia="ru-RU" w:bidi="ru-RU"/>
        </w:rPr>
        <w:fldChar w:fldCharType="end"/>
      </w:r>
      <w:r w:rsidR="00F053A2" w:rsidRPr="007A3D0C">
        <w:rPr>
          <w:lang w:eastAsia="ru-RU" w:bidi="ru-RU"/>
        </w:rPr>
        <w:t xml:space="preserve"> </w:t>
      </w:r>
      <w:r w:rsidRPr="007A3D0C">
        <w:rPr>
          <w:lang w:eastAsia="ru-RU" w:bidi="ru-RU"/>
        </w:rPr>
        <w:t xml:space="preserve">и </w:t>
      </w:r>
      <w:r w:rsidR="00F053A2" w:rsidRPr="007A3D0C">
        <w:rPr>
          <w:lang w:eastAsia="ru-RU" w:bidi="ru-RU"/>
        </w:rPr>
        <w:fldChar w:fldCharType="begin"/>
      </w:r>
      <w:r w:rsidR="00F053A2" w:rsidRPr="007A3D0C">
        <w:rPr>
          <w:lang w:eastAsia="ru-RU" w:bidi="ru-RU"/>
        </w:rPr>
        <w:instrText xml:space="preserve"> REF _Ref117786477 \h </w:instrText>
      </w:r>
      <w:r w:rsidR="007A3D0C" w:rsidRPr="007A3D0C">
        <w:rPr>
          <w:lang w:eastAsia="ru-RU" w:bidi="ru-RU"/>
        </w:rPr>
        <w:instrText xml:space="preserve"> \* MERGEFORMAT </w:instrText>
      </w:r>
      <w:r w:rsidR="00F053A2" w:rsidRPr="007A3D0C">
        <w:rPr>
          <w:lang w:eastAsia="ru-RU" w:bidi="ru-RU"/>
        </w:rPr>
      </w:r>
      <w:r w:rsidR="00F053A2" w:rsidRPr="007A3D0C">
        <w:rPr>
          <w:lang w:eastAsia="ru-RU" w:bidi="ru-RU"/>
        </w:rPr>
        <w:fldChar w:fldCharType="separate"/>
      </w:r>
      <w:r w:rsidR="00383E6F" w:rsidRPr="007A3D0C">
        <w:t xml:space="preserve">Таблица </w:t>
      </w:r>
      <w:r w:rsidR="00383E6F" w:rsidRPr="007A3D0C">
        <w:rPr>
          <w:noProof/>
        </w:rPr>
        <w:t>5</w:t>
      </w:r>
      <w:r w:rsidR="00383E6F" w:rsidRPr="007A3D0C">
        <w:noBreakHyphen/>
      </w:r>
      <w:r w:rsidR="00383E6F" w:rsidRPr="007A3D0C">
        <w:rPr>
          <w:noProof/>
        </w:rPr>
        <w:t>7</w:t>
      </w:r>
      <w:r w:rsidR="00F053A2" w:rsidRPr="007A3D0C">
        <w:rPr>
          <w:lang w:eastAsia="ru-RU" w:bidi="ru-RU"/>
        </w:rPr>
        <w:fldChar w:fldCharType="end"/>
      </w:r>
      <w:r w:rsidRPr="007A3D0C">
        <w:rPr>
          <w:lang w:eastAsia="ru-RU" w:bidi="ru-RU"/>
        </w:rPr>
        <w:t>).</w:t>
      </w:r>
    </w:p>
    <w:p w14:paraId="2C76FD6C" w14:textId="77777777" w:rsidR="007A3D0C" w:rsidRPr="007A3D0C" w:rsidRDefault="007A3D0C" w:rsidP="00B35C9F">
      <w:pPr>
        <w:pStyle w:val="SDText"/>
        <w:spacing w:after="0"/>
        <w:ind w:firstLine="0"/>
        <w:contextualSpacing/>
      </w:pPr>
    </w:p>
    <w:p w14:paraId="7A24AC7B" w14:textId="5D34C259" w:rsidR="000052D3" w:rsidRPr="007B30CD" w:rsidRDefault="00730F80" w:rsidP="007B30CD">
      <w:pPr>
        <w:pStyle w:val="SDText"/>
        <w:spacing w:after="0"/>
        <w:ind w:firstLine="0"/>
        <w:contextualSpacing/>
        <w:rPr>
          <w:lang w:eastAsia="ru-RU" w:bidi="ru-RU"/>
        </w:rPr>
      </w:pPr>
      <w:r w:rsidRPr="00474B31">
        <w:rPr>
          <w:lang w:eastAsia="ru-RU" w:bidi="ru-RU"/>
        </w:rPr>
        <w:t xml:space="preserve">Не рекомендуется начинать терапию </w:t>
      </w:r>
      <w:r w:rsidR="005C51D8" w:rsidRPr="005C51D8">
        <w:rPr>
          <w:lang w:eastAsia="ru-RU" w:bidi="ru-RU"/>
        </w:rPr>
        <w:t>тофацитиниб</w:t>
      </w:r>
      <w:r w:rsidR="005C51D8">
        <w:rPr>
          <w:lang w:eastAsia="ru-RU" w:bidi="ru-RU"/>
        </w:rPr>
        <w:t>ом</w:t>
      </w:r>
      <w:r w:rsidR="005C51D8" w:rsidRPr="005C51D8">
        <w:rPr>
          <w:lang w:eastAsia="ru-RU" w:bidi="ru-RU"/>
        </w:rPr>
        <w:t xml:space="preserve"> </w:t>
      </w:r>
      <w:r w:rsidRPr="00474B31">
        <w:rPr>
          <w:lang w:eastAsia="ru-RU" w:bidi="ru-RU"/>
        </w:rPr>
        <w:t>у пациентов с количеством лимфоцитов менее 750 клеток/мм</w:t>
      </w:r>
      <w:r>
        <w:rPr>
          <w:vertAlign w:val="superscript"/>
          <w:lang w:eastAsia="ru-RU" w:bidi="ru-RU"/>
        </w:rPr>
        <w:t>3</w:t>
      </w:r>
      <w:r w:rsidRPr="00474B31">
        <w:rPr>
          <w:lang w:eastAsia="ru-RU" w:bidi="ru-RU"/>
        </w:rPr>
        <w:t>.</w:t>
      </w:r>
      <w:bookmarkStart w:id="309" w:name="_Ref117786463"/>
    </w:p>
    <w:p w14:paraId="55D7AED1" w14:textId="3F81A2C7" w:rsidR="00730F80" w:rsidRDefault="00730F80" w:rsidP="007B30CD">
      <w:pPr>
        <w:pStyle w:val="SDText"/>
        <w:spacing w:after="0"/>
        <w:ind w:firstLine="0"/>
        <w:contextualSpacing/>
        <w:rPr>
          <w:lang w:eastAsia="ru-RU" w:bidi="ru-RU"/>
        </w:rPr>
      </w:pPr>
      <w:bookmarkStart w:id="310" w:name="_Ref121142621"/>
      <w:r w:rsidRPr="002C0BB6">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5</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5</w:t>
      </w:r>
      <w:r w:rsidR="00652269">
        <w:rPr>
          <w:b/>
        </w:rPr>
        <w:fldChar w:fldCharType="end"/>
      </w:r>
      <w:bookmarkEnd w:id="309"/>
      <w:bookmarkEnd w:id="310"/>
      <w:r w:rsidRPr="002C0BB6">
        <w:rPr>
          <w:b/>
          <w:noProof/>
        </w:rPr>
        <w:t>.</w:t>
      </w:r>
      <w:r>
        <w:t xml:space="preserve"> </w:t>
      </w:r>
      <w:r w:rsidRPr="00E12751">
        <w:t>Низкое абсолютное количество лимфоцитов</w:t>
      </w:r>
      <w:r>
        <w:t>.</w:t>
      </w:r>
    </w:p>
    <w:tbl>
      <w:tblPr>
        <w:tblW w:w="9335" w:type="dxa"/>
        <w:tblInd w:w="10" w:type="dxa"/>
        <w:tblLayout w:type="fixed"/>
        <w:tblCellMar>
          <w:left w:w="10" w:type="dxa"/>
          <w:right w:w="10" w:type="dxa"/>
        </w:tblCellMar>
        <w:tblLook w:val="04A0" w:firstRow="1" w:lastRow="0" w:firstColumn="1" w:lastColumn="0" w:noHBand="0" w:noVBand="1"/>
      </w:tblPr>
      <w:tblGrid>
        <w:gridCol w:w="2752"/>
        <w:gridCol w:w="6583"/>
      </w:tblGrid>
      <w:tr w:rsidR="00730F80" w:rsidRPr="00474B31" w14:paraId="171C7375" w14:textId="77777777" w:rsidTr="000052D3">
        <w:trPr>
          <w:trHeight w:hRule="exact" w:val="396"/>
          <w:tblHeader/>
        </w:trPr>
        <w:tc>
          <w:tcPr>
            <w:tcW w:w="9335"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7D3FE40B" w14:textId="77443AD5" w:rsidR="00730F80" w:rsidRPr="002C0BB6" w:rsidRDefault="00730F80" w:rsidP="000052D3">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b/>
                <w:bCs/>
                <w:color w:val="000000"/>
                <w:szCs w:val="24"/>
                <w:lang w:eastAsia="ru-RU" w:bidi="ru-RU"/>
              </w:rPr>
              <w:t xml:space="preserve">Низкое абсолютное количество лимфоцитов (АКЛ) </w:t>
            </w:r>
          </w:p>
        </w:tc>
      </w:tr>
      <w:tr w:rsidR="00730F80" w:rsidRPr="00474B31" w14:paraId="40CDDC02" w14:textId="77777777" w:rsidTr="00BE2787">
        <w:trPr>
          <w:trHeight w:hRule="exact" w:val="806"/>
          <w:tblHeader/>
        </w:trPr>
        <w:tc>
          <w:tcPr>
            <w:tcW w:w="2752" w:type="dxa"/>
            <w:tcBorders>
              <w:top w:val="single" w:sz="4" w:space="0" w:color="auto"/>
              <w:left w:val="single" w:sz="4" w:space="0" w:color="auto"/>
            </w:tcBorders>
            <w:shd w:val="clear" w:color="auto" w:fill="D9D9D9" w:themeFill="background1" w:themeFillShade="D9"/>
            <w:vAlign w:val="center"/>
          </w:tcPr>
          <w:p w14:paraId="398613EA" w14:textId="77777777" w:rsidR="00730F80" w:rsidRPr="002C0BB6" w:rsidRDefault="00730F80" w:rsidP="003F310C">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b/>
                <w:bCs/>
                <w:color w:val="000000"/>
                <w:szCs w:val="24"/>
                <w:lang w:eastAsia="ru-RU" w:bidi="ru-RU"/>
              </w:rPr>
              <w:t>Лабораторный</w:t>
            </w:r>
          </w:p>
          <w:p w14:paraId="67B6CBA0" w14:textId="77777777" w:rsidR="00730F80" w:rsidRPr="002C0BB6" w:rsidRDefault="00730F80" w:rsidP="003F310C">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b/>
                <w:bCs/>
                <w:color w:val="000000"/>
                <w:szCs w:val="24"/>
                <w:lang w:eastAsia="ru-RU" w:bidi="ru-RU"/>
              </w:rPr>
              <w:t>показатель</w:t>
            </w:r>
          </w:p>
          <w:p w14:paraId="6AAEAE3C" w14:textId="77777777" w:rsidR="00730F80" w:rsidRPr="002C0BB6" w:rsidRDefault="00730F80" w:rsidP="003F310C">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b/>
                <w:bCs/>
                <w:color w:val="000000"/>
                <w:szCs w:val="24"/>
                <w:lang w:eastAsia="ru-RU" w:bidi="ru-RU"/>
              </w:rPr>
              <w:t>(клеток/мм</w:t>
            </w:r>
            <w:r w:rsidRPr="002C0BB6">
              <w:rPr>
                <w:rFonts w:eastAsia="Times New Roman" w:cs="Times New Roman"/>
                <w:b/>
                <w:bCs/>
                <w:color w:val="000000"/>
                <w:szCs w:val="24"/>
                <w:vertAlign w:val="superscript"/>
                <w:lang w:eastAsia="ru-RU" w:bidi="ru-RU"/>
              </w:rPr>
              <w:t>3</w:t>
            </w:r>
            <w:r w:rsidRPr="002C0BB6">
              <w:rPr>
                <w:rFonts w:eastAsia="Times New Roman" w:cs="Times New Roman"/>
                <w:b/>
                <w:bCs/>
                <w:color w:val="000000"/>
                <w:szCs w:val="24"/>
                <w:lang w:eastAsia="ru-RU" w:bidi="ru-RU"/>
              </w:rPr>
              <w:t>)</w:t>
            </w:r>
          </w:p>
        </w:tc>
        <w:tc>
          <w:tcPr>
            <w:tcW w:w="6583" w:type="dxa"/>
            <w:tcBorders>
              <w:top w:val="single" w:sz="4" w:space="0" w:color="auto"/>
              <w:left w:val="single" w:sz="4" w:space="0" w:color="auto"/>
              <w:right w:val="single" w:sz="4" w:space="0" w:color="auto"/>
            </w:tcBorders>
            <w:shd w:val="clear" w:color="auto" w:fill="D9D9D9" w:themeFill="background1" w:themeFillShade="D9"/>
            <w:vAlign w:val="center"/>
          </w:tcPr>
          <w:p w14:paraId="4A5F3054" w14:textId="77777777" w:rsidR="00730F80" w:rsidRPr="002C0BB6" w:rsidRDefault="00730F80" w:rsidP="003F310C">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b/>
                <w:bCs/>
                <w:color w:val="000000"/>
                <w:szCs w:val="24"/>
                <w:lang w:eastAsia="ru-RU" w:bidi="ru-RU"/>
              </w:rPr>
              <w:t>Рекомендации</w:t>
            </w:r>
          </w:p>
        </w:tc>
      </w:tr>
      <w:tr w:rsidR="00730F80" w:rsidRPr="00474B31" w14:paraId="6130899E" w14:textId="77777777" w:rsidTr="000052D3">
        <w:trPr>
          <w:trHeight w:hRule="exact" w:val="547"/>
        </w:trPr>
        <w:tc>
          <w:tcPr>
            <w:tcW w:w="2752" w:type="dxa"/>
            <w:tcBorders>
              <w:top w:val="single" w:sz="4" w:space="0" w:color="auto"/>
              <w:left w:val="single" w:sz="4" w:space="0" w:color="auto"/>
            </w:tcBorders>
            <w:shd w:val="clear" w:color="auto" w:fill="FFFFFF"/>
            <w:vAlign w:val="center"/>
          </w:tcPr>
          <w:p w14:paraId="347E1C3B" w14:textId="77777777" w:rsidR="00730F80" w:rsidRPr="002C0BB6" w:rsidRDefault="00730F80" w:rsidP="000052D3">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color w:val="000000"/>
                <w:szCs w:val="24"/>
                <w:lang w:eastAsia="ru-RU" w:bidi="ru-RU"/>
              </w:rPr>
              <w:t>АКЛ больше или равно 750</w:t>
            </w:r>
          </w:p>
        </w:tc>
        <w:tc>
          <w:tcPr>
            <w:tcW w:w="6583" w:type="dxa"/>
            <w:tcBorders>
              <w:top w:val="single" w:sz="4" w:space="0" w:color="auto"/>
              <w:left w:val="single" w:sz="4" w:space="0" w:color="auto"/>
              <w:right w:val="single" w:sz="4" w:space="0" w:color="auto"/>
            </w:tcBorders>
            <w:shd w:val="clear" w:color="auto" w:fill="FFFFFF"/>
            <w:vAlign w:val="center"/>
          </w:tcPr>
          <w:p w14:paraId="650DE5AA" w14:textId="77777777" w:rsidR="00730F80" w:rsidRPr="002C0BB6" w:rsidRDefault="00730F80" w:rsidP="000052D3">
            <w:pPr>
              <w:widowControl w:val="0"/>
              <w:spacing w:after="0"/>
              <w:ind w:firstLine="0"/>
              <w:contextualSpacing/>
              <w:rPr>
                <w:rFonts w:eastAsia="Times New Roman" w:cs="Times New Roman"/>
                <w:color w:val="000000"/>
                <w:szCs w:val="24"/>
                <w:lang w:eastAsia="ru-RU" w:bidi="ru-RU"/>
              </w:rPr>
            </w:pPr>
            <w:r w:rsidRPr="002C0BB6">
              <w:rPr>
                <w:rFonts w:eastAsia="Times New Roman" w:cs="Times New Roman"/>
                <w:color w:val="000000"/>
                <w:szCs w:val="24"/>
                <w:lang w:eastAsia="ru-RU" w:bidi="ru-RU"/>
              </w:rPr>
              <w:t>Доза должна быть сохранена.</w:t>
            </w:r>
          </w:p>
        </w:tc>
      </w:tr>
      <w:tr w:rsidR="00730F80" w:rsidRPr="00474B31" w14:paraId="76CB582C" w14:textId="77777777" w:rsidTr="000052D3">
        <w:trPr>
          <w:trHeight w:hRule="exact" w:val="1625"/>
        </w:trPr>
        <w:tc>
          <w:tcPr>
            <w:tcW w:w="2752" w:type="dxa"/>
            <w:tcBorders>
              <w:top w:val="single" w:sz="4" w:space="0" w:color="auto"/>
              <w:left w:val="single" w:sz="4" w:space="0" w:color="auto"/>
            </w:tcBorders>
            <w:shd w:val="clear" w:color="auto" w:fill="FFFFFF"/>
            <w:vAlign w:val="center"/>
          </w:tcPr>
          <w:p w14:paraId="1E1C4A97" w14:textId="51587346" w:rsidR="00730F80" w:rsidRPr="002C0BB6" w:rsidRDefault="00730F80" w:rsidP="000052D3">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color w:val="000000"/>
                <w:szCs w:val="24"/>
                <w:lang w:eastAsia="ru-RU" w:bidi="ru-RU"/>
              </w:rPr>
              <w:t>АКЛ 500</w:t>
            </w:r>
            <w:r w:rsidR="004F4C4D">
              <w:rPr>
                <w:rFonts w:eastAsia="Times New Roman" w:cs="Times New Roman"/>
                <w:color w:val="000000"/>
                <w:szCs w:val="24"/>
                <w:lang w:eastAsia="ru-RU" w:bidi="ru-RU"/>
              </w:rPr>
              <w:t>–</w:t>
            </w:r>
            <w:r w:rsidRPr="002C0BB6">
              <w:rPr>
                <w:rFonts w:eastAsia="Times New Roman" w:cs="Times New Roman"/>
                <w:color w:val="000000"/>
                <w:szCs w:val="24"/>
                <w:lang w:eastAsia="ru-RU" w:bidi="ru-RU"/>
              </w:rPr>
              <w:t>750</w:t>
            </w:r>
          </w:p>
        </w:tc>
        <w:tc>
          <w:tcPr>
            <w:tcW w:w="6583" w:type="dxa"/>
            <w:tcBorders>
              <w:top w:val="single" w:sz="4" w:space="0" w:color="auto"/>
              <w:left w:val="single" w:sz="4" w:space="0" w:color="auto"/>
              <w:right w:val="single" w:sz="4" w:space="0" w:color="auto"/>
            </w:tcBorders>
            <w:shd w:val="clear" w:color="auto" w:fill="FFFFFF"/>
            <w:vAlign w:val="center"/>
          </w:tcPr>
          <w:p w14:paraId="3E6654AD" w14:textId="77777777" w:rsidR="00730F80" w:rsidRPr="002C0BB6" w:rsidRDefault="00730F80" w:rsidP="000052D3">
            <w:pPr>
              <w:widowControl w:val="0"/>
              <w:spacing w:after="0"/>
              <w:ind w:firstLine="0"/>
              <w:contextualSpacing/>
              <w:rPr>
                <w:rFonts w:eastAsia="Times New Roman" w:cs="Times New Roman"/>
                <w:color w:val="000000"/>
                <w:szCs w:val="24"/>
                <w:lang w:eastAsia="ru-RU" w:bidi="ru-RU"/>
              </w:rPr>
            </w:pPr>
            <w:r w:rsidRPr="002C0BB6">
              <w:rPr>
                <w:rFonts w:eastAsia="Times New Roman" w:cs="Times New Roman"/>
                <w:color w:val="000000"/>
                <w:szCs w:val="24"/>
                <w:lang w:eastAsia="ru-RU" w:bidi="ru-RU"/>
              </w:rPr>
              <w:t>При стойком уменьшении этого показателя в пределах указанного диапазона (2 определенных подряд значения в пределах этого диапазона при рутинном лабораторном исследовании) необходимо приостановить применение тофацитиниба с пролонгированным высвобождением в дозировке 11 мг до достижения АКЛ более 750.</w:t>
            </w:r>
          </w:p>
        </w:tc>
      </w:tr>
      <w:tr w:rsidR="00730F80" w:rsidRPr="00474B31" w14:paraId="1B3D555B" w14:textId="77777777" w:rsidTr="000052D3">
        <w:trPr>
          <w:trHeight w:hRule="exact" w:val="653"/>
        </w:trPr>
        <w:tc>
          <w:tcPr>
            <w:tcW w:w="2752" w:type="dxa"/>
            <w:tcBorders>
              <w:left w:val="single" w:sz="4" w:space="0" w:color="auto"/>
            </w:tcBorders>
            <w:shd w:val="clear" w:color="auto" w:fill="FFFFFF"/>
            <w:vAlign w:val="center"/>
          </w:tcPr>
          <w:p w14:paraId="72027C54" w14:textId="77777777" w:rsidR="00730F80" w:rsidRPr="002C0BB6" w:rsidRDefault="00730F80" w:rsidP="000052D3">
            <w:pPr>
              <w:widowControl w:val="0"/>
              <w:spacing w:after="0"/>
              <w:ind w:firstLine="0"/>
              <w:contextualSpacing/>
              <w:jc w:val="center"/>
              <w:rPr>
                <w:rFonts w:ascii="Courier New" w:eastAsia="Courier New" w:hAnsi="Courier New" w:cs="Courier New"/>
                <w:color w:val="000000"/>
                <w:szCs w:val="24"/>
                <w:lang w:eastAsia="ru-RU" w:bidi="ru-RU"/>
              </w:rPr>
            </w:pPr>
          </w:p>
        </w:tc>
        <w:tc>
          <w:tcPr>
            <w:tcW w:w="6583" w:type="dxa"/>
            <w:tcBorders>
              <w:left w:val="single" w:sz="4" w:space="0" w:color="auto"/>
              <w:right w:val="single" w:sz="4" w:space="0" w:color="auto"/>
            </w:tcBorders>
            <w:shd w:val="clear" w:color="auto" w:fill="FFFFFF"/>
            <w:vAlign w:val="center"/>
          </w:tcPr>
          <w:p w14:paraId="64689587" w14:textId="77777777" w:rsidR="00730F80" w:rsidRPr="002C0BB6" w:rsidRDefault="00730F80" w:rsidP="000052D3">
            <w:pPr>
              <w:widowControl w:val="0"/>
              <w:spacing w:after="0"/>
              <w:ind w:firstLine="0"/>
              <w:contextualSpacing/>
              <w:rPr>
                <w:rFonts w:eastAsia="Times New Roman" w:cs="Times New Roman"/>
                <w:color w:val="000000"/>
                <w:szCs w:val="24"/>
                <w:lang w:eastAsia="ru-RU" w:bidi="ru-RU"/>
              </w:rPr>
            </w:pPr>
            <w:r w:rsidRPr="002C0BB6">
              <w:rPr>
                <w:rFonts w:eastAsia="Times New Roman" w:cs="Times New Roman"/>
                <w:color w:val="000000"/>
                <w:szCs w:val="24"/>
                <w:lang w:eastAsia="ru-RU" w:bidi="ru-RU"/>
              </w:rPr>
              <w:t>Когда АКЛ составит более 750, терапию следует возобновить в соответствии с клинической целесообразностью.</w:t>
            </w:r>
          </w:p>
        </w:tc>
      </w:tr>
      <w:tr w:rsidR="00730F80" w:rsidRPr="00474B31" w14:paraId="1AF16E2E" w14:textId="77777777" w:rsidTr="000052D3">
        <w:trPr>
          <w:trHeight w:hRule="exact" w:val="826"/>
        </w:trPr>
        <w:tc>
          <w:tcPr>
            <w:tcW w:w="2752" w:type="dxa"/>
            <w:tcBorders>
              <w:top w:val="single" w:sz="4" w:space="0" w:color="auto"/>
              <w:left w:val="single" w:sz="4" w:space="0" w:color="auto"/>
              <w:bottom w:val="single" w:sz="4" w:space="0" w:color="auto"/>
            </w:tcBorders>
            <w:shd w:val="clear" w:color="auto" w:fill="FFFFFF"/>
            <w:vAlign w:val="center"/>
          </w:tcPr>
          <w:p w14:paraId="1B003A76" w14:textId="77777777" w:rsidR="00730F80" w:rsidRPr="002C0BB6" w:rsidRDefault="00730F80" w:rsidP="000052D3">
            <w:pPr>
              <w:widowControl w:val="0"/>
              <w:spacing w:after="0"/>
              <w:ind w:firstLine="0"/>
              <w:contextualSpacing/>
              <w:jc w:val="center"/>
              <w:rPr>
                <w:rFonts w:eastAsia="Times New Roman" w:cs="Times New Roman"/>
                <w:color w:val="000000"/>
                <w:szCs w:val="24"/>
                <w:lang w:eastAsia="ru-RU" w:bidi="ru-RU"/>
              </w:rPr>
            </w:pPr>
            <w:r w:rsidRPr="002C0BB6">
              <w:rPr>
                <w:rFonts w:eastAsia="Times New Roman" w:cs="Times New Roman"/>
                <w:color w:val="000000"/>
                <w:szCs w:val="24"/>
                <w:lang w:eastAsia="ru-RU" w:bidi="ru-RU"/>
              </w:rPr>
              <w:t>АКЛ менее 500</w:t>
            </w:r>
          </w:p>
        </w:tc>
        <w:tc>
          <w:tcPr>
            <w:tcW w:w="6583" w:type="dxa"/>
            <w:tcBorders>
              <w:top w:val="single" w:sz="4" w:space="0" w:color="auto"/>
              <w:left w:val="single" w:sz="4" w:space="0" w:color="auto"/>
              <w:bottom w:val="single" w:sz="4" w:space="0" w:color="auto"/>
              <w:right w:val="single" w:sz="4" w:space="0" w:color="auto"/>
            </w:tcBorders>
            <w:shd w:val="clear" w:color="auto" w:fill="FFFFFF"/>
            <w:vAlign w:val="center"/>
          </w:tcPr>
          <w:p w14:paraId="72CF6F65" w14:textId="77777777" w:rsidR="00730F80" w:rsidRPr="002C0BB6" w:rsidRDefault="00730F80" w:rsidP="000052D3">
            <w:pPr>
              <w:widowControl w:val="0"/>
              <w:spacing w:after="0"/>
              <w:ind w:firstLine="0"/>
              <w:contextualSpacing/>
              <w:rPr>
                <w:rFonts w:eastAsia="Times New Roman" w:cs="Times New Roman"/>
                <w:color w:val="000000"/>
                <w:szCs w:val="24"/>
                <w:lang w:eastAsia="ru-RU" w:bidi="ru-RU"/>
              </w:rPr>
            </w:pPr>
            <w:r w:rsidRPr="002C0BB6">
              <w:rPr>
                <w:rFonts w:eastAsia="Times New Roman" w:cs="Times New Roman"/>
                <w:color w:val="000000"/>
                <w:szCs w:val="24"/>
                <w:lang w:eastAsia="ru-RU" w:bidi="ru-RU"/>
              </w:rPr>
              <w:t>Если эта величина лабораторного показателя подтверждается при повторном анализе в течение 7 дней, применение препарата должно быть прекращено.</w:t>
            </w:r>
          </w:p>
        </w:tc>
      </w:tr>
    </w:tbl>
    <w:p w14:paraId="3B1C912F" w14:textId="77777777" w:rsidR="00730F80" w:rsidRDefault="00730F80" w:rsidP="003F310C">
      <w:pPr>
        <w:pStyle w:val="SDText"/>
        <w:spacing w:after="0"/>
        <w:ind w:firstLine="0"/>
        <w:contextualSpacing/>
        <w:rPr>
          <w:lang w:eastAsia="ru-RU" w:bidi="ru-RU"/>
        </w:rPr>
      </w:pPr>
    </w:p>
    <w:p w14:paraId="51FA93EF" w14:textId="4274251D" w:rsidR="00730F80" w:rsidRDefault="00730F80" w:rsidP="003F310C">
      <w:pPr>
        <w:pStyle w:val="SDText"/>
        <w:spacing w:after="0"/>
        <w:contextualSpacing/>
        <w:rPr>
          <w:lang w:eastAsia="ru-RU" w:bidi="ru-RU"/>
        </w:rPr>
      </w:pPr>
      <w:r w:rsidRPr="004D785D">
        <w:rPr>
          <w:lang w:eastAsia="ru-RU" w:bidi="ru-RU"/>
        </w:rPr>
        <w:t>Не рекомендуется начинать терапию у пациентов с абсолютным числом нейтрофилов (А</w:t>
      </w:r>
      <w:r w:rsidR="00C56AAC">
        <w:rPr>
          <w:lang w:eastAsia="ru-RU" w:bidi="ru-RU"/>
        </w:rPr>
        <w:t>К</w:t>
      </w:r>
      <w:r w:rsidRPr="004D785D">
        <w:rPr>
          <w:lang w:eastAsia="ru-RU" w:bidi="ru-RU"/>
        </w:rPr>
        <w:t>Н) менее 1000/мм</w:t>
      </w:r>
      <w:r w:rsidRPr="004D785D">
        <w:rPr>
          <w:vertAlign w:val="superscript"/>
          <w:lang w:eastAsia="ru-RU" w:bidi="ru-RU"/>
        </w:rPr>
        <w:t>3</w:t>
      </w:r>
      <w:r w:rsidRPr="004D785D">
        <w:rPr>
          <w:lang w:eastAsia="ru-RU" w:bidi="ru-RU"/>
        </w:rPr>
        <w:t>.</w:t>
      </w:r>
    </w:p>
    <w:p w14:paraId="150A2C31" w14:textId="77777777" w:rsidR="00730F80" w:rsidRDefault="00730F80" w:rsidP="003F310C">
      <w:pPr>
        <w:pStyle w:val="SDText"/>
        <w:spacing w:after="0"/>
        <w:contextualSpacing/>
        <w:rPr>
          <w:lang w:eastAsia="ru-RU" w:bidi="ru-RU"/>
        </w:rPr>
      </w:pPr>
    </w:p>
    <w:p w14:paraId="424E0AA6" w14:textId="016ED4AC" w:rsidR="00730F80" w:rsidRDefault="00730F80" w:rsidP="003F310C">
      <w:pPr>
        <w:pStyle w:val="SDText"/>
        <w:spacing w:after="0"/>
        <w:ind w:firstLine="0"/>
        <w:contextualSpacing/>
        <w:rPr>
          <w:lang w:eastAsia="ru-RU" w:bidi="ru-RU"/>
        </w:rPr>
      </w:pPr>
      <w:bookmarkStart w:id="311" w:name="_Ref117786470"/>
      <w:r w:rsidRPr="00E717E9">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5</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6</w:t>
      </w:r>
      <w:r w:rsidR="00652269">
        <w:rPr>
          <w:b/>
        </w:rPr>
        <w:fldChar w:fldCharType="end"/>
      </w:r>
      <w:bookmarkEnd w:id="311"/>
      <w:r w:rsidRPr="00E717E9">
        <w:rPr>
          <w:b/>
          <w:noProof/>
        </w:rPr>
        <w:t>.</w:t>
      </w:r>
      <w:r>
        <w:t xml:space="preserve"> </w:t>
      </w:r>
      <w:r w:rsidRPr="004D785D">
        <w:t>Низкое абсолютное количество нейтрофилов</w:t>
      </w:r>
      <w:r>
        <w:t>.</w:t>
      </w:r>
    </w:p>
    <w:tbl>
      <w:tblPr>
        <w:tblW w:w="9335" w:type="dxa"/>
        <w:tblInd w:w="10" w:type="dxa"/>
        <w:tblLayout w:type="fixed"/>
        <w:tblCellMar>
          <w:left w:w="10" w:type="dxa"/>
          <w:right w:w="10" w:type="dxa"/>
        </w:tblCellMar>
        <w:tblLook w:val="04A0" w:firstRow="1" w:lastRow="0" w:firstColumn="1" w:lastColumn="0" w:noHBand="0" w:noVBand="1"/>
      </w:tblPr>
      <w:tblGrid>
        <w:gridCol w:w="2756"/>
        <w:gridCol w:w="6579"/>
      </w:tblGrid>
      <w:tr w:rsidR="00730F80" w:rsidRPr="00474B31" w14:paraId="7F51F11C" w14:textId="77777777" w:rsidTr="000052D3">
        <w:trPr>
          <w:trHeight w:hRule="exact" w:val="386"/>
        </w:trPr>
        <w:tc>
          <w:tcPr>
            <w:tcW w:w="9335"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33D14BB3" w14:textId="7CC0ABFD" w:rsidR="00730F80" w:rsidRPr="00E717E9" w:rsidRDefault="00730F80" w:rsidP="000052D3">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 xml:space="preserve">Низкое абсолютное количество нейтрофилов (АКН) </w:t>
            </w:r>
          </w:p>
        </w:tc>
      </w:tr>
      <w:tr w:rsidR="00730F80" w:rsidRPr="00474B31" w14:paraId="6044A4FA" w14:textId="77777777" w:rsidTr="000052D3">
        <w:trPr>
          <w:trHeight w:hRule="exact" w:val="811"/>
        </w:trPr>
        <w:tc>
          <w:tcPr>
            <w:tcW w:w="2756" w:type="dxa"/>
            <w:tcBorders>
              <w:top w:val="single" w:sz="4" w:space="0" w:color="auto"/>
              <w:left w:val="single" w:sz="4" w:space="0" w:color="auto"/>
            </w:tcBorders>
            <w:shd w:val="clear" w:color="auto" w:fill="D9D9D9" w:themeFill="background1" w:themeFillShade="D9"/>
            <w:vAlign w:val="center"/>
          </w:tcPr>
          <w:p w14:paraId="059BAC45" w14:textId="77777777" w:rsidR="00730F80" w:rsidRPr="00E717E9" w:rsidRDefault="00730F80" w:rsidP="003F310C">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Лабораторный</w:t>
            </w:r>
          </w:p>
          <w:p w14:paraId="402C9886" w14:textId="77777777" w:rsidR="00730F80" w:rsidRPr="00E717E9" w:rsidRDefault="00730F80" w:rsidP="003F310C">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показатель</w:t>
            </w:r>
          </w:p>
          <w:p w14:paraId="09E43522" w14:textId="77777777" w:rsidR="00730F80" w:rsidRPr="00E717E9" w:rsidRDefault="00730F80" w:rsidP="003F310C">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(клеток/мм</w:t>
            </w:r>
            <w:r w:rsidRPr="00E717E9">
              <w:rPr>
                <w:rFonts w:eastAsia="Times New Roman" w:cs="Times New Roman"/>
                <w:b/>
                <w:bCs/>
                <w:color w:val="000000"/>
                <w:szCs w:val="24"/>
                <w:vertAlign w:val="superscript"/>
                <w:lang w:eastAsia="ru-RU" w:bidi="ru-RU"/>
              </w:rPr>
              <w:t>3</w:t>
            </w:r>
            <w:r w:rsidRPr="00E717E9">
              <w:rPr>
                <w:rFonts w:eastAsia="Times New Roman" w:cs="Times New Roman"/>
                <w:b/>
                <w:bCs/>
                <w:color w:val="000000"/>
                <w:szCs w:val="24"/>
                <w:lang w:eastAsia="ru-RU" w:bidi="ru-RU"/>
              </w:rPr>
              <w:t>)</w:t>
            </w:r>
          </w:p>
        </w:tc>
        <w:tc>
          <w:tcPr>
            <w:tcW w:w="6579" w:type="dxa"/>
            <w:tcBorders>
              <w:top w:val="single" w:sz="4" w:space="0" w:color="auto"/>
              <w:left w:val="single" w:sz="4" w:space="0" w:color="auto"/>
              <w:right w:val="single" w:sz="4" w:space="0" w:color="auto"/>
            </w:tcBorders>
            <w:shd w:val="clear" w:color="auto" w:fill="D9D9D9" w:themeFill="background1" w:themeFillShade="D9"/>
            <w:vAlign w:val="center"/>
          </w:tcPr>
          <w:p w14:paraId="12D714C6" w14:textId="77777777" w:rsidR="00730F80" w:rsidRPr="00E717E9" w:rsidRDefault="00730F80" w:rsidP="003F310C">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Рекомендации</w:t>
            </w:r>
          </w:p>
        </w:tc>
      </w:tr>
      <w:tr w:rsidR="00730F80" w:rsidRPr="00474B31" w14:paraId="2B2840E4" w14:textId="77777777" w:rsidTr="000052D3">
        <w:trPr>
          <w:trHeight w:hRule="exact" w:val="278"/>
        </w:trPr>
        <w:tc>
          <w:tcPr>
            <w:tcW w:w="2756" w:type="dxa"/>
            <w:tcBorders>
              <w:top w:val="single" w:sz="4" w:space="0" w:color="auto"/>
              <w:left w:val="single" w:sz="4" w:space="0" w:color="auto"/>
            </w:tcBorders>
            <w:shd w:val="clear" w:color="auto" w:fill="FFFFFF"/>
            <w:vAlign w:val="center"/>
          </w:tcPr>
          <w:p w14:paraId="4479FBBD" w14:textId="77777777" w:rsidR="00730F80" w:rsidRPr="00E717E9" w:rsidRDefault="00730F80" w:rsidP="000052D3">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color w:val="000000"/>
                <w:szCs w:val="24"/>
                <w:lang w:eastAsia="ru-RU" w:bidi="ru-RU"/>
              </w:rPr>
              <w:t>АКН больше 1000</w:t>
            </w:r>
          </w:p>
        </w:tc>
        <w:tc>
          <w:tcPr>
            <w:tcW w:w="6579" w:type="dxa"/>
            <w:tcBorders>
              <w:top w:val="single" w:sz="4" w:space="0" w:color="auto"/>
              <w:left w:val="single" w:sz="4" w:space="0" w:color="auto"/>
              <w:right w:val="single" w:sz="4" w:space="0" w:color="auto"/>
            </w:tcBorders>
            <w:shd w:val="clear" w:color="auto" w:fill="FFFFFF"/>
            <w:vAlign w:val="bottom"/>
          </w:tcPr>
          <w:p w14:paraId="16BB513D" w14:textId="77777777" w:rsidR="00730F80" w:rsidRPr="00E717E9" w:rsidRDefault="00730F80" w:rsidP="003F310C">
            <w:pPr>
              <w:widowControl w:val="0"/>
              <w:spacing w:after="0"/>
              <w:ind w:firstLine="0"/>
              <w:contextualSpacing/>
              <w:rPr>
                <w:rFonts w:eastAsia="Times New Roman" w:cs="Times New Roman"/>
                <w:color w:val="000000"/>
                <w:szCs w:val="24"/>
                <w:lang w:eastAsia="ru-RU" w:bidi="ru-RU"/>
              </w:rPr>
            </w:pPr>
            <w:r w:rsidRPr="00E717E9">
              <w:rPr>
                <w:rFonts w:eastAsia="Times New Roman" w:cs="Times New Roman"/>
                <w:color w:val="000000"/>
                <w:szCs w:val="24"/>
                <w:lang w:eastAsia="ru-RU" w:bidi="ru-RU"/>
              </w:rPr>
              <w:t>Доза должна быть сохранена.</w:t>
            </w:r>
          </w:p>
        </w:tc>
      </w:tr>
      <w:tr w:rsidR="00730F80" w:rsidRPr="00474B31" w14:paraId="350740A5" w14:textId="77777777" w:rsidTr="000052D3">
        <w:trPr>
          <w:trHeight w:hRule="exact" w:val="1469"/>
        </w:trPr>
        <w:tc>
          <w:tcPr>
            <w:tcW w:w="2756" w:type="dxa"/>
            <w:tcBorders>
              <w:top w:val="single" w:sz="4" w:space="0" w:color="auto"/>
              <w:left w:val="single" w:sz="4" w:space="0" w:color="auto"/>
            </w:tcBorders>
            <w:shd w:val="clear" w:color="auto" w:fill="FFFFFF"/>
            <w:vAlign w:val="center"/>
          </w:tcPr>
          <w:p w14:paraId="424E395A" w14:textId="0D53F959" w:rsidR="00730F80" w:rsidRPr="00E717E9" w:rsidRDefault="00730F80" w:rsidP="000052D3">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color w:val="000000"/>
                <w:szCs w:val="24"/>
                <w:lang w:eastAsia="ru-RU" w:bidi="ru-RU"/>
              </w:rPr>
              <w:t>АКН 500</w:t>
            </w:r>
            <w:r w:rsidR="004F4C4D">
              <w:rPr>
                <w:rFonts w:eastAsia="Times New Roman" w:cs="Times New Roman"/>
                <w:color w:val="000000"/>
                <w:szCs w:val="24"/>
                <w:lang w:eastAsia="ru-RU" w:bidi="ru-RU"/>
              </w:rPr>
              <w:t>–</w:t>
            </w:r>
            <w:r w:rsidRPr="00E717E9">
              <w:rPr>
                <w:rFonts w:eastAsia="Times New Roman" w:cs="Times New Roman"/>
                <w:color w:val="000000"/>
                <w:szCs w:val="24"/>
                <w:lang w:eastAsia="ru-RU" w:bidi="ru-RU"/>
              </w:rPr>
              <w:t>1000</w:t>
            </w:r>
          </w:p>
        </w:tc>
        <w:tc>
          <w:tcPr>
            <w:tcW w:w="6579" w:type="dxa"/>
            <w:tcBorders>
              <w:top w:val="single" w:sz="4" w:space="0" w:color="auto"/>
              <w:left w:val="single" w:sz="4" w:space="0" w:color="auto"/>
              <w:right w:val="single" w:sz="4" w:space="0" w:color="auto"/>
            </w:tcBorders>
            <w:shd w:val="clear" w:color="auto" w:fill="FFFFFF"/>
          </w:tcPr>
          <w:p w14:paraId="4DFB1952" w14:textId="77777777" w:rsidR="00730F80" w:rsidRPr="00E717E9" w:rsidRDefault="00730F80" w:rsidP="003F310C">
            <w:pPr>
              <w:widowControl w:val="0"/>
              <w:spacing w:after="0"/>
              <w:ind w:firstLine="0"/>
              <w:contextualSpacing/>
              <w:rPr>
                <w:rFonts w:eastAsia="Times New Roman" w:cs="Times New Roman"/>
                <w:color w:val="000000"/>
                <w:szCs w:val="24"/>
                <w:lang w:eastAsia="ru-RU" w:bidi="ru-RU"/>
              </w:rPr>
            </w:pPr>
            <w:r w:rsidRPr="00E717E9">
              <w:rPr>
                <w:rFonts w:eastAsia="Times New Roman" w:cs="Times New Roman"/>
                <w:color w:val="000000"/>
                <w:szCs w:val="24"/>
                <w:lang w:eastAsia="ru-RU" w:bidi="ru-RU"/>
              </w:rPr>
              <w:t>При стойком уменьшении этого показателя в пределах указанного диапазона (2 определенных подряд значения в пределах этого диапазона при рутинном лабораторном исследовании) необходимо приостановить применение тофацитиниба с пролонгированным высвобождением в дозировке 1 1 мг до достижения АКН более 1000.</w:t>
            </w:r>
          </w:p>
        </w:tc>
      </w:tr>
      <w:tr w:rsidR="00730F80" w:rsidRPr="00474B31" w14:paraId="1D27A471" w14:textId="77777777" w:rsidTr="000052D3">
        <w:trPr>
          <w:trHeight w:hRule="exact" w:val="648"/>
        </w:trPr>
        <w:tc>
          <w:tcPr>
            <w:tcW w:w="2756" w:type="dxa"/>
            <w:tcBorders>
              <w:left w:val="single" w:sz="4" w:space="0" w:color="auto"/>
            </w:tcBorders>
            <w:shd w:val="clear" w:color="auto" w:fill="FFFFFF"/>
            <w:vAlign w:val="center"/>
          </w:tcPr>
          <w:p w14:paraId="7247DC52" w14:textId="77777777" w:rsidR="00730F80" w:rsidRPr="00E717E9" w:rsidRDefault="00730F80" w:rsidP="000052D3">
            <w:pPr>
              <w:widowControl w:val="0"/>
              <w:spacing w:after="0"/>
              <w:ind w:firstLine="0"/>
              <w:contextualSpacing/>
              <w:jc w:val="center"/>
              <w:rPr>
                <w:rFonts w:ascii="Courier New" w:eastAsia="Courier New" w:hAnsi="Courier New" w:cs="Courier New"/>
                <w:color w:val="000000"/>
                <w:szCs w:val="24"/>
                <w:lang w:eastAsia="ru-RU" w:bidi="ru-RU"/>
              </w:rPr>
            </w:pPr>
          </w:p>
        </w:tc>
        <w:tc>
          <w:tcPr>
            <w:tcW w:w="6579" w:type="dxa"/>
            <w:tcBorders>
              <w:left w:val="single" w:sz="4" w:space="0" w:color="auto"/>
              <w:right w:val="single" w:sz="4" w:space="0" w:color="auto"/>
            </w:tcBorders>
            <w:shd w:val="clear" w:color="auto" w:fill="FFFFFF"/>
            <w:vAlign w:val="bottom"/>
          </w:tcPr>
          <w:p w14:paraId="49DC2296" w14:textId="77777777" w:rsidR="00730F80" w:rsidRPr="00E717E9" w:rsidRDefault="00730F80" w:rsidP="003F310C">
            <w:pPr>
              <w:widowControl w:val="0"/>
              <w:spacing w:after="0"/>
              <w:ind w:firstLine="0"/>
              <w:contextualSpacing/>
              <w:rPr>
                <w:rFonts w:eastAsia="Times New Roman" w:cs="Times New Roman"/>
                <w:color w:val="000000"/>
                <w:szCs w:val="24"/>
                <w:lang w:eastAsia="ru-RU" w:bidi="ru-RU"/>
              </w:rPr>
            </w:pPr>
            <w:r w:rsidRPr="00E717E9">
              <w:rPr>
                <w:rFonts w:eastAsia="Times New Roman" w:cs="Times New Roman"/>
                <w:color w:val="000000"/>
                <w:szCs w:val="24"/>
                <w:lang w:eastAsia="ru-RU" w:bidi="ru-RU"/>
              </w:rPr>
              <w:t>Когда АКН превысит 1000, терапию следует возобновить в соответствии с клинической целесообразностью.</w:t>
            </w:r>
          </w:p>
        </w:tc>
      </w:tr>
      <w:tr w:rsidR="00730F80" w:rsidRPr="00474B31" w14:paraId="60DBB07E" w14:textId="77777777" w:rsidTr="000052D3">
        <w:trPr>
          <w:trHeight w:hRule="exact" w:val="830"/>
        </w:trPr>
        <w:tc>
          <w:tcPr>
            <w:tcW w:w="2756" w:type="dxa"/>
            <w:tcBorders>
              <w:top w:val="single" w:sz="4" w:space="0" w:color="auto"/>
              <w:left w:val="single" w:sz="4" w:space="0" w:color="auto"/>
              <w:bottom w:val="single" w:sz="4" w:space="0" w:color="auto"/>
            </w:tcBorders>
            <w:shd w:val="clear" w:color="auto" w:fill="FFFFFF"/>
            <w:vAlign w:val="center"/>
          </w:tcPr>
          <w:p w14:paraId="14DC55A0" w14:textId="38A9F26F" w:rsidR="000C1CAF" w:rsidRDefault="00730F80" w:rsidP="000052D3">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color w:val="000000"/>
                <w:szCs w:val="24"/>
                <w:lang w:eastAsia="ru-RU" w:bidi="ru-RU"/>
              </w:rPr>
              <w:t>АКН менее 500</w:t>
            </w:r>
          </w:p>
          <w:p w14:paraId="6ECC99EA" w14:textId="54ACC912" w:rsidR="00730F80" w:rsidRPr="000C1CAF" w:rsidRDefault="00730F80" w:rsidP="007B30CD">
            <w:pPr>
              <w:ind w:firstLine="0"/>
              <w:rPr>
                <w:rFonts w:eastAsia="Times New Roman" w:cs="Times New Roman"/>
                <w:szCs w:val="24"/>
                <w:lang w:eastAsia="ru-RU" w:bidi="ru-RU"/>
              </w:rPr>
            </w:pPr>
          </w:p>
        </w:tc>
        <w:tc>
          <w:tcPr>
            <w:tcW w:w="6579" w:type="dxa"/>
            <w:tcBorders>
              <w:top w:val="single" w:sz="4" w:space="0" w:color="auto"/>
              <w:left w:val="single" w:sz="4" w:space="0" w:color="auto"/>
              <w:bottom w:val="single" w:sz="4" w:space="0" w:color="auto"/>
              <w:right w:val="single" w:sz="4" w:space="0" w:color="auto"/>
            </w:tcBorders>
            <w:shd w:val="clear" w:color="auto" w:fill="FFFFFF"/>
            <w:vAlign w:val="bottom"/>
          </w:tcPr>
          <w:p w14:paraId="63CD950B" w14:textId="77777777" w:rsidR="00730F80" w:rsidRPr="00E717E9" w:rsidRDefault="00730F80" w:rsidP="003F310C">
            <w:pPr>
              <w:widowControl w:val="0"/>
              <w:spacing w:after="0"/>
              <w:ind w:firstLine="0"/>
              <w:contextualSpacing/>
              <w:rPr>
                <w:rFonts w:eastAsia="Times New Roman" w:cs="Times New Roman"/>
                <w:color w:val="000000"/>
                <w:szCs w:val="24"/>
                <w:lang w:eastAsia="ru-RU" w:bidi="ru-RU"/>
              </w:rPr>
            </w:pPr>
            <w:r w:rsidRPr="00E717E9">
              <w:rPr>
                <w:rFonts w:eastAsia="Times New Roman" w:cs="Times New Roman"/>
                <w:color w:val="000000"/>
                <w:szCs w:val="24"/>
                <w:lang w:eastAsia="ru-RU" w:bidi="ru-RU"/>
              </w:rPr>
              <w:t>Если эта величина лабораторного показателя подтверждается при повторном анализе в течение 7 дней, применение препарата должно быть прекращено.</w:t>
            </w:r>
          </w:p>
        </w:tc>
      </w:tr>
    </w:tbl>
    <w:p w14:paraId="26DB6240" w14:textId="77777777" w:rsidR="00F3586D" w:rsidRDefault="00F3586D" w:rsidP="000052D3">
      <w:pPr>
        <w:pStyle w:val="SDText"/>
        <w:spacing w:after="0"/>
        <w:ind w:firstLine="0"/>
        <w:contextualSpacing/>
        <w:rPr>
          <w:lang w:eastAsia="ru-RU" w:bidi="ru-RU"/>
        </w:rPr>
      </w:pPr>
    </w:p>
    <w:p w14:paraId="10688B88" w14:textId="12E99A91" w:rsidR="00730F80" w:rsidRDefault="00730F80" w:rsidP="000052D3">
      <w:pPr>
        <w:pStyle w:val="SDText"/>
        <w:spacing w:after="0"/>
        <w:ind w:firstLine="0"/>
        <w:contextualSpacing/>
        <w:rPr>
          <w:lang w:eastAsia="ru-RU" w:bidi="ru-RU"/>
        </w:rPr>
      </w:pPr>
      <w:r w:rsidRPr="00474B31">
        <w:rPr>
          <w:lang w:eastAsia="ru-RU" w:bidi="ru-RU"/>
        </w:rPr>
        <w:t xml:space="preserve">Не рекомендуется начинать терапию у пациентов с уровнем гемоглобина менее 9 г/дл. </w:t>
      </w:r>
    </w:p>
    <w:p w14:paraId="66D02E58" w14:textId="77777777" w:rsidR="00D2098A" w:rsidRDefault="00D2098A" w:rsidP="000052D3">
      <w:pPr>
        <w:pStyle w:val="SDText"/>
        <w:spacing w:after="0"/>
        <w:ind w:firstLine="0"/>
        <w:contextualSpacing/>
        <w:rPr>
          <w:lang w:eastAsia="ru-RU" w:bidi="ru-RU"/>
        </w:rPr>
      </w:pPr>
    </w:p>
    <w:p w14:paraId="27127D6D" w14:textId="477AFD4A" w:rsidR="00730F80" w:rsidRDefault="00730F80" w:rsidP="003F310C">
      <w:pPr>
        <w:pStyle w:val="SDText"/>
        <w:spacing w:after="0"/>
        <w:ind w:firstLine="0"/>
        <w:contextualSpacing/>
        <w:rPr>
          <w:lang w:eastAsia="ru-RU" w:bidi="ru-RU"/>
        </w:rPr>
      </w:pPr>
      <w:bookmarkStart w:id="312" w:name="_Ref117786477"/>
      <w:r w:rsidRPr="00E717E9">
        <w:rPr>
          <w:b/>
        </w:rPr>
        <w:t xml:space="preserve">Таблица </w:t>
      </w:r>
      <w:r w:rsidR="00652269">
        <w:rPr>
          <w:b/>
        </w:rPr>
        <w:fldChar w:fldCharType="begin"/>
      </w:r>
      <w:r w:rsidR="00652269">
        <w:rPr>
          <w:b/>
        </w:rPr>
        <w:instrText xml:space="preserve"> STYLEREF 1 \s </w:instrText>
      </w:r>
      <w:r w:rsidR="00652269">
        <w:rPr>
          <w:b/>
        </w:rPr>
        <w:fldChar w:fldCharType="separate"/>
      </w:r>
      <w:r w:rsidR="00383E6F">
        <w:rPr>
          <w:b/>
          <w:noProof/>
        </w:rPr>
        <w:t>5</w:t>
      </w:r>
      <w:r w:rsidR="00652269">
        <w:rPr>
          <w:b/>
        </w:rPr>
        <w:fldChar w:fldCharType="end"/>
      </w:r>
      <w:r w:rsidR="00652269">
        <w:rPr>
          <w:b/>
        </w:rPr>
        <w:noBreakHyphen/>
      </w:r>
      <w:r w:rsidR="00652269">
        <w:rPr>
          <w:b/>
        </w:rPr>
        <w:fldChar w:fldCharType="begin"/>
      </w:r>
      <w:r w:rsidR="00652269">
        <w:rPr>
          <w:b/>
        </w:rPr>
        <w:instrText xml:space="preserve"> SEQ Таблица \* ARABIC \s 1 </w:instrText>
      </w:r>
      <w:r w:rsidR="00652269">
        <w:rPr>
          <w:b/>
        </w:rPr>
        <w:fldChar w:fldCharType="separate"/>
      </w:r>
      <w:r w:rsidR="00383E6F">
        <w:rPr>
          <w:b/>
          <w:noProof/>
        </w:rPr>
        <w:t>7</w:t>
      </w:r>
      <w:r w:rsidR="00652269">
        <w:rPr>
          <w:b/>
        </w:rPr>
        <w:fldChar w:fldCharType="end"/>
      </w:r>
      <w:bookmarkEnd w:id="312"/>
      <w:r w:rsidRPr="00E717E9">
        <w:rPr>
          <w:b/>
          <w:noProof/>
        </w:rPr>
        <w:t>.</w:t>
      </w:r>
      <w:r w:rsidRPr="00474B31">
        <w:rPr>
          <w:lang w:eastAsia="ru-RU" w:bidi="ru-RU"/>
        </w:rPr>
        <w:t xml:space="preserve"> Коррекция дозы при анемии</w:t>
      </w:r>
      <w:r>
        <w:rPr>
          <w:lang w:eastAsia="ru-RU" w:bidi="ru-RU"/>
        </w:rPr>
        <w:t>.</w:t>
      </w:r>
    </w:p>
    <w:tbl>
      <w:tblPr>
        <w:tblW w:w="9356" w:type="dxa"/>
        <w:tblInd w:w="10" w:type="dxa"/>
        <w:tblLayout w:type="fixed"/>
        <w:tblCellMar>
          <w:left w:w="10" w:type="dxa"/>
          <w:right w:w="10" w:type="dxa"/>
        </w:tblCellMar>
        <w:tblLook w:val="04A0" w:firstRow="1" w:lastRow="0" w:firstColumn="1" w:lastColumn="0" w:noHBand="0" w:noVBand="1"/>
      </w:tblPr>
      <w:tblGrid>
        <w:gridCol w:w="3402"/>
        <w:gridCol w:w="5954"/>
      </w:tblGrid>
      <w:tr w:rsidR="00730F80" w:rsidRPr="00474B31" w14:paraId="601D16C1" w14:textId="77777777" w:rsidTr="00791E09">
        <w:trPr>
          <w:trHeight w:hRule="exact" w:val="263"/>
        </w:trPr>
        <w:tc>
          <w:tcPr>
            <w:tcW w:w="9356"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0B6295E5" w14:textId="0F91EAED" w:rsidR="00730F80" w:rsidRPr="00E717E9" w:rsidRDefault="00730F80" w:rsidP="000052D3">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 xml:space="preserve">Низкое значение гемоглобина </w:t>
            </w:r>
          </w:p>
        </w:tc>
      </w:tr>
      <w:tr w:rsidR="00730F80" w:rsidRPr="00474B31" w14:paraId="3E2071E0" w14:textId="77777777" w:rsidTr="00791E09">
        <w:trPr>
          <w:trHeight w:hRule="exact" w:val="282"/>
        </w:trPr>
        <w:tc>
          <w:tcPr>
            <w:tcW w:w="3402" w:type="dxa"/>
            <w:tcBorders>
              <w:top w:val="single" w:sz="4" w:space="0" w:color="auto"/>
              <w:left w:val="single" w:sz="4" w:space="0" w:color="auto"/>
            </w:tcBorders>
            <w:shd w:val="clear" w:color="auto" w:fill="D9D9D9" w:themeFill="background1" w:themeFillShade="D9"/>
            <w:vAlign w:val="center"/>
          </w:tcPr>
          <w:p w14:paraId="0A5F0EE6" w14:textId="5D9F9ABB" w:rsidR="00730F80" w:rsidRPr="00E717E9" w:rsidRDefault="00730F80" w:rsidP="00791E09">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Лабораторное</w:t>
            </w:r>
            <w:r w:rsidR="00791E09">
              <w:rPr>
                <w:rFonts w:eastAsia="Times New Roman" w:cs="Times New Roman"/>
                <w:b/>
                <w:bCs/>
                <w:color w:val="000000"/>
                <w:szCs w:val="24"/>
                <w:lang w:eastAsia="ru-RU" w:bidi="ru-RU"/>
              </w:rPr>
              <w:t xml:space="preserve"> </w:t>
            </w:r>
            <w:r w:rsidRPr="00E717E9">
              <w:rPr>
                <w:rFonts w:eastAsia="Times New Roman" w:cs="Times New Roman"/>
                <w:b/>
                <w:bCs/>
                <w:color w:val="000000"/>
                <w:szCs w:val="24"/>
                <w:lang w:eastAsia="ru-RU" w:bidi="ru-RU"/>
              </w:rPr>
              <w:t>значение (г/дл)</w:t>
            </w:r>
          </w:p>
        </w:tc>
        <w:tc>
          <w:tcPr>
            <w:tcW w:w="5954" w:type="dxa"/>
            <w:tcBorders>
              <w:top w:val="single" w:sz="4" w:space="0" w:color="auto"/>
              <w:left w:val="single" w:sz="4" w:space="0" w:color="auto"/>
              <w:right w:val="single" w:sz="4" w:space="0" w:color="auto"/>
            </w:tcBorders>
            <w:shd w:val="clear" w:color="auto" w:fill="D9D9D9" w:themeFill="background1" w:themeFillShade="D9"/>
            <w:vAlign w:val="center"/>
          </w:tcPr>
          <w:p w14:paraId="7BCB3796" w14:textId="77777777" w:rsidR="00730F80" w:rsidRPr="00E717E9" w:rsidRDefault="00730F80" w:rsidP="000052D3">
            <w:pPr>
              <w:widowControl w:val="0"/>
              <w:spacing w:after="0"/>
              <w:ind w:firstLine="0"/>
              <w:contextualSpacing/>
              <w:jc w:val="center"/>
              <w:rPr>
                <w:rFonts w:eastAsia="Times New Roman" w:cs="Times New Roman"/>
                <w:color w:val="000000"/>
                <w:szCs w:val="24"/>
                <w:lang w:eastAsia="ru-RU" w:bidi="ru-RU"/>
              </w:rPr>
            </w:pPr>
            <w:r w:rsidRPr="00E717E9">
              <w:rPr>
                <w:rFonts w:eastAsia="Times New Roman" w:cs="Times New Roman"/>
                <w:b/>
                <w:bCs/>
                <w:color w:val="000000"/>
                <w:szCs w:val="24"/>
                <w:lang w:eastAsia="ru-RU" w:bidi="ru-RU"/>
              </w:rPr>
              <w:t>Рекомендации</w:t>
            </w:r>
          </w:p>
        </w:tc>
      </w:tr>
      <w:tr w:rsidR="00730F80" w:rsidRPr="00474B31" w14:paraId="5569DAF1" w14:textId="77777777" w:rsidTr="00791E09">
        <w:trPr>
          <w:trHeight w:hRule="exact" w:val="570"/>
        </w:trPr>
        <w:tc>
          <w:tcPr>
            <w:tcW w:w="3402" w:type="dxa"/>
            <w:tcBorders>
              <w:top w:val="single" w:sz="4" w:space="0" w:color="auto"/>
              <w:left w:val="single" w:sz="4" w:space="0" w:color="auto"/>
            </w:tcBorders>
            <w:shd w:val="clear" w:color="auto" w:fill="FFFFFF"/>
          </w:tcPr>
          <w:p w14:paraId="7DBD65EE"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&gt; 9,0 г/дл и снижение на</w:t>
            </w:r>
          </w:p>
          <w:p w14:paraId="65FC4735"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2 г/дл или менее</w:t>
            </w:r>
          </w:p>
        </w:tc>
        <w:tc>
          <w:tcPr>
            <w:tcW w:w="5954" w:type="dxa"/>
            <w:tcBorders>
              <w:top w:val="single" w:sz="4" w:space="0" w:color="auto"/>
              <w:left w:val="single" w:sz="4" w:space="0" w:color="auto"/>
              <w:right w:val="single" w:sz="4" w:space="0" w:color="auto"/>
            </w:tcBorders>
            <w:shd w:val="clear" w:color="auto" w:fill="FFFFFF"/>
          </w:tcPr>
          <w:p w14:paraId="1A449DE3"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Доза остается на прежнем уровне.</w:t>
            </w:r>
          </w:p>
        </w:tc>
      </w:tr>
      <w:tr w:rsidR="00730F80" w:rsidRPr="00474B31" w14:paraId="2A739846" w14:textId="77777777" w:rsidTr="00791E09">
        <w:trPr>
          <w:trHeight w:hRule="exact" w:val="1132"/>
        </w:trPr>
        <w:tc>
          <w:tcPr>
            <w:tcW w:w="3402" w:type="dxa"/>
            <w:tcBorders>
              <w:top w:val="single" w:sz="4" w:space="0" w:color="auto"/>
              <w:left w:val="single" w:sz="4" w:space="0" w:color="auto"/>
              <w:bottom w:val="single" w:sz="4" w:space="0" w:color="auto"/>
            </w:tcBorders>
            <w:shd w:val="clear" w:color="auto" w:fill="FFFFFF"/>
          </w:tcPr>
          <w:p w14:paraId="59012258"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&lt; 8,0 г/дл или снижение</w:t>
            </w:r>
          </w:p>
          <w:p w14:paraId="1B8F7F29"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более чем на 2 г/дл</w:t>
            </w:r>
          </w:p>
          <w:p w14:paraId="6B0DFEAA"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(подтверждено при</w:t>
            </w:r>
          </w:p>
          <w:p w14:paraId="12EFB77F"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повторной оценке)</w:t>
            </w:r>
          </w:p>
        </w:tc>
        <w:tc>
          <w:tcPr>
            <w:tcW w:w="5954" w:type="dxa"/>
            <w:tcBorders>
              <w:top w:val="single" w:sz="4" w:space="0" w:color="auto"/>
              <w:left w:val="single" w:sz="4" w:space="0" w:color="auto"/>
              <w:bottom w:val="single" w:sz="4" w:space="0" w:color="auto"/>
              <w:right w:val="single" w:sz="4" w:space="0" w:color="auto"/>
            </w:tcBorders>
            <w:shd w:val="clear" w:color="auto" w:fill="FFFFFF"/>
          </w:tcPr>
          <w:p w14:paraId="115F40CE" w14:textId="3093666D"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 xml:space="preserve">Следует прекратить применение </w:t>
            </w:r>
            <w:r w:rsidR="005838E3" w:rsidRPr="005838E3">
              <w:rPr>
                <w:rFonts w:eastAsia="Times New Roman" w:cs="Times New Roman"/>
                <w:color w:val="000000"/>
                <w:szCs w:val="24"/>
                <w:lang w:eastAsia="ru-RU" w:bidi="ru-RU"/>
              </w:rPr>
              <w:t xml:space="preserve">тофацитиниба </w:t>
            </w:r>
            <w:r w:rsidRPr="00E717E9">
              <w:rPr>
                <w:rFonts w:eastAsia="Times New Roman" w:cs="Times New Roman"/>
                <w:color w:val="000000"/>
                <w:szCs w:val="24"/>
                <w:lang w:eastAsia="ru-RU" w:bidi="ru-RU"/>
              </w:rPr>
              <w:t>до</w:t>
            </w:r>
          </w:p>
          <w:p w14:paraId="0E45E51F" w14:textId="77777777" w:rsidR="00730F80" w:rsidRPr="00E717E9" w:rsidRDefault="00730F80" w:rsidP="003F310C">
            <w:pPr>
              <w:widowControl w:val="0"/>
              <w:spacing w:after="0"/>
              <w:ind w:firstLine="0"/>
              <w:contextualSpacing/>
              <w:jc w:val="left"/>
              <w:rPr>
                <w:rFonts w:eastAsia="Times New Roman" w:cs="Times New Roman"/>
                <w:color w:val="000000"/>
                <w:szCs w:val="24"/>
                <w:lang w:eastAsia="ru-RU" w:bidi="ru-RU"/>
              </w:rPr>
            </w:pPr>
            <w:r w:rsidRPr="00E717E9">
              <w:rPr>
                <w:rFonts w:eastAsia="Times New Roman" w:cs="Times New Roman"/>
                <w:color w:val="000000"/>
                <w:szCs w:val="24"/>
                <w:lang w:eastAsia="ru-RU" w:bidi="ru-RU"/>
              </w:rPr>
              <w:t>нормализации гемоглобина.</w:t>
            </w:r>
          </w:p>
        </w:tc>
      </w:tr>
    </w:tbl>
    <w:p w14:paraId="2FA5903E" w14:textId="77777777" w:rsidR="00730F80" w:rsidRPr="00474B31" w:rsidRDefault="00730F80" w:rsidP="003F310C">
      <w:pPr>
        <w:widowControl w:val="0"/>
        <w:spacing w:after="0"/>
        <w:ind w:firstLine="0"/>
        <w:contextualSpacing/>
        <w:jc w:val="left"/>
        <w:rPr>
          <w:rFonts w:ascii="Courier New" w:eastAsia="Courier New" w:hAnsi="Courier New" w:cs="Courier New"/>
          <w:color w:val="000000"/>
          <w:sz w:val="2"/>
          <w:szCs w:val="2"/>
          <w:lang w:eastAsia="ru-RU" w:bidi="ru-RU"/>
        </w:rPr>
      </w:pPr>
    </w:p>
    <w:p w14:paraId="7D9B7A0E" w14:textId="77777777" w:rsidR="00730F80" w:rsidRDefault="00730F80" w:rsidP="003F310C">
      <w:pPr>
        <w:widowControl w:val="0"/>
        <w:spacing w:after="0"/>
        <w:ind w:firstLine="0"/>
        <w:contextualSpacing/>
        <w:rPr>
          <w:rFonts w:eastAsia="Times New Roman" w:cs="Times New Roman"/>
          <w:i/>
          <w:iCs/>
          <w:color w:val="000000"/>
          <w:szCs w:val="24"/>
          <w:u w:val="single"/>
          <w:lang w:eastAsia="ru-RU" w:bidi="ru-RU"/>
        </w:rPr>
      </w:pPr>
    </w:p>
    <w:p w14:paraId="1D71D22D" w14:textId="77777777" w:rsidR="000052D3" w:rsidRDefault="000052D3" w:rsidP="000052D3">
      <w:pPr>
        <w:pStyle w:val="OT"/>
        <w:ind w:left="0"/>
        <w:rPr>
          <w:rFonts w:eastAsia="Courier New"/>
          <w:b/>
          <w:bCs/>
          <w:szCs w:val="24"/>
          <w:lang w:bidi="ru-RU"/>
        </w:rPr>
      </w:pPr>
      <w:r w:rsidRPr="007B1E38">
        <w:rPr>
          <w:rFonts w:eastAsia="Courier New"/>
          <w:b/>
          <w:bCs/>
          <w:szCs w:val="24"/>
          <w:lang w:bidi="ru-RU"/>
        </w:rPr>
        <w:t>Применение у особых групп пациентов</w:t>
      </w:r>
    </w:p>
    <w:p w14:paraId="191602BC" w14:textId="77777777" w:rsidR="00730F80" w:rsidRDefault="00730F80" w:rsidP="003F310C">
      <w:pPr>
        <w:widowControl w:val="0"/>
        <w:spacing w:after="0"/>
        <w:ind w:firstLine="0"/>
        <w:contextualSpacing/>
        <w:rPr>
          <w:rFonts w:eastAsia="Times New Roman" w:cs="Times New Roman"/>
          <w:i/>
          <w:iCs/>
          <w:color w:val="000000"/>
          <w:szCs w:val="24"/>
          <w:lang w:eastAsia="ru-RU" w:bidi="ru-RU"/>
        </w:rPr>
      </w:pPr>
    </w:p>
    <w:p w14:paraId="7C73B891" w14:textId="77777777" w:rsidR="00730F80" w:rsidRPr="000052D3" w:rsidRDefault="00730F80" w:rsidP="003F310C">
      <w:pPr>
        <w:widowControl w:val="0"/>
        <w:spacing w:after="0"/>
        <w:ind w:firstLine="0"/>
        <w:contextualSpacing/>
        <w:rPr>
          <w:rFonts w:eastAsia="Times New Roman" w:cs="Times New Roman"/>
          <w:b/>
          <w:i/>
          <w:iCs/>
          <w:color w:val="000000"/>
          <w:szCs w:val="24"/>
          <w:lang w:eastAsia="ru-RU" w:bidi="ru-RU"/>
        </w:rPr>
      </w:pPr>
      <w:r w:rsidRPr="000052D3">
        <w:rPr>
          <w:rFonts w:eastAsia="Times New Roman" w:cs="Times New Roman"/>
          <w:b/>
          <w:i/>
          <w:iCs/>
          <w:color w:val="000000"/>
          <w:szCs w:val="24"/>
          <w:lang w:eastAsia="ru-RU" w:bidi="ru-RU"/>
        </w:rPr>
        <w:t>Нарушение функции почек</w:t>
      </w:r>
    </w:p>
    <w:p w14:paraId="08E5787A" w14:textId="6BEE4F26" w:rsidR="00730F80" w:rsidRPr="00474B31" w:rsidRDefault="00730F80" w:rsidP="00D2098A">
      <w:pPr>
        <w:pStyle w:val="SDText"/>
        <w:spacing w:after="0"/>
        <w:contextualSpacing/>
        <w:rPr>
          <w:lang w:eastAsia="ru-RU" w:bidi="ru-RU"/>
        </w:rPr>
      </w:pPr>
      <w:r w:rsidRPr="00474B31">
        <w:rPr>
          <w:lang w:eastAsia="ru-RU" w:bidi="ru-RU"/>
        </w:rPr>
        <w:t>Для пациентов с нарушением функции почек тяжелой степени (включая пациентов на гемодиализе) следует уменьшить дозу до 5 мг (таблетки, покрытые пленочной оболочкой) один раз в сутки, если рекомендованная доза при нормальной функции почек составляе</w:t>
      </w:r>
      <w:r>
        <w:rPr>
          <w:lang w:eastAsia="ru-RU" w:bidi="ru-RU"/>
        </w:rPr>
        <w:t>т</w:t>
      </w:r>
      <w:r w:rsidR="00D2098A" w:rsidRPr="00D2098A">
        <w:rPr>
          <w:lang w:eastAsia="ru-RU" w:bidi="ru-RU"/>
        </w:rPr>
        <w:t xml:space="preserve"> </w:t>
      </w:r>
      <w:r w:rsidRPr="00474B31">
        <w:rPr>
          <w:lang w:eastAsia="ru-RU" w:bidi="ru-RU"/>
        </w:rPr>
        <w:t>11 мг (таблетки с модифицированным высвобождением, покрытые пленочной оболочкой) один раз в сутки,</w:t>
      </w:r>
    </w:p>
    <w:p w14:paraId="664B8FBF" w14:textId="1CD82D9D" w:rsidR="00730F80" w:rsidRPr="00474B31" w:rsidRDefault="00730F80" w:rsidP="003F310C">
      <w:pPr>
        <w:pStyle w:val="SDText"/>
        <w:spacing w:after="0"/>
        <w:contextualSpacing/>
        <w:rPr>
          <w:lang w:eastAsia="ru-RU" w:bidi="ru-RU"/>
        </w:rPr>
      </w:pPr>
      <w:r w:rsidRPr="00474B31">
        <w:rPr>
          <w:lang w:eastAsia="ru-RU" w:bidi="ru-RU"/>
        </w:rPr>
        <w:t>Пациенты с нарушением функции почек тяжелой степени должны продолжать получать сниженную дозу даже после гемодиализа</w:t>
      </w:r>
      <w:r w:rsidR="00CA1E72">
        <w:rPr>
          <w:lang w:eastAsia="ru-RU" w:bidi="ru-RU"/>
        </w:rPr>
        <w:t>.</w:t>
      </w:r>
    </w:p>
    <w:p w14:paraId="7BD691C3" w14:textId="77777777" w:rsidR="00730F80" w:rsidRPr="00474B31" w:rsidRDefault="00730F80" w:rsidP="003F310C">
      <w:pPr>
        <w:pStyle w:val="SDText"/>
        <w:spacing w:after="0"/>
        <w:contextualSpacing/>
        <w:rPr>
          <w:lang w:eastAsia="ru-RU" w:bidi="ru-RU"/>
        </w:rPr>
      </w:pPr>
      <w:r w:rsidRPr="00474B31">
        <w:rPr>
          <w:lang w:eastAsia="ru-RU" w:bidi="ru-RU"/>
        </w:rPr>
        <w:t>Конкретные рекомендации для каждого показания представлены ниже.</w:t>
      </w:r>
    </w:p>
    <w:p w14:paraId="71A2DDF2" w14:textId="77777777" w:rsidR="00730F80" w:rsidRPr="00474B31" w:rsidRDefault="00730F80" w:rsidP="003F310C">
      <w:pPr>
        <w:widowControl w:val="0"/>
        <w:spacing w:after="0"/>
        <w:ind w:firstLine="0"/>
        <w:contextualSpacing/>
        <w:rPr>
          <w:rFonts w:eastAsia="Times New Roman" w:cs="Times New Roman"/>
          <w:i/>
          <w:iCs/>
          <w:color w:val="000000"/>
          <w:szCs w:val="24"/>
          <w:lang w:eastAsia="ru-RU" w:bidi="ru-RU"/>
        </w:rPr>
      </w:pPr>
      <w:r w:rsidRPr="00474B31">
        <w:rPr>
          <w:rFonts w:eastAsia="Times New Roman" w:cs="Times New Roman"/>
          <w:i/>
          <w:iCs/>
          <w:color w:val="000000"/>
          <w:szCs w:val="24"/>
          <w:lang w:eastAsia="ru-RU" w:bidi="ru-RU"/>
        </w:rPr>
        <w:t>Ревматоидный артрит</w:t>
      </w:r>
    </w:p>
    <w:p w14:paraId="102993B7" w14:textId="77777777" w:rsidR="00730F80" w:rsidRPr="00474B31" w:rsidRDefault="00730F80" w:rsidP="003F310C">
      <w:pPr>
        <w:pStyle w:val="SDText"/>
        <w:spacing w:after="0"/>
        <w:contextualSpacing/>
        <w:rPr>
          <w:lang w:eastAsia="ru-RU" w:bidi="ru-RU"/>
        </w:rPr>
      </w:pPr>
      <w:r w:rsidRPr="00474B31">
        <w:rPr>
          <w:lang w:eastAsia="ru-RU" w:bidi="ru-RU"/>
        </w:rPr>
        <w:t>Пациентам с нарушением функции почек легкой или средней степени тяжести не требуется коррекции дозы.</w:t>
      </w:r>
    </w:p>
    <w:p w14:paraId="26147E44" w14:textId="2C5A92C3" w:rsidR="00730F80" w:rsidRPr="00474B31" w:rsidRDefault="00730F80" w:rsidP="003F310C">
      <w:pPr>
        <w:pStyle w:val="SDText"/>
        <w:spacing w:after="0"/>
        <w:contextualSpacing/>
        <w:rPr>
          <w:lang w:eastAsia="ru-RU" w:bidi="ru-RU"/>
        </w:rPr>
      </w:pPr>
      <w:r w:rsidRPr="00474B31">
        <w:rPr>
          <w:lang w:eastAsia="ru-RU" w:bidi="ru-RU"/>
        </w:rPr>
        <w:t xml:space="preserve">Доза </w:t>
      </w:r>
      <w:r w:rsidR="005838E3" w:rsidRPr="005838E3">
        <w:rPr>
          <w:lang w:eastAsia="ru-RU" w:bidi="ru-RU"/>
        </w:rPr>
        <w:t xml:space="preserve">тофацитиниба </w:t>
      </w:r>
      <w:r w:rsidRPr="00474B31">
        <w:rPr>
          <w:lang w:eastAsia="ru-RU" w:bidi="ru-RU"/>
        </w:rPr>
        <w:t>не должна превышать 1</w:t>
      </w:r>
      <w:r>
        <w:rPr>
          <w:lang w:eastAsia="ru-RU" w:bidi="ru-RU"/>
        </w:rPr>
        <w:t>1</w:t>
      </w:r>
      <w:r w:rsidRPr="00474B31">
        <w:rPr>
          <w:lang w:eastAsia="ru-RU" w:bidi="ru-RU"/>
        </w:rPr>
        <w:t xml:space="preserve"> мг один раз в сутки у пациентов с тяжелым нарушением функции почек (включая, но не ограничиваясь, пациентов, находящихся на гемодиализе).</w:t>
      </w:r>
    </w:p>
    <w:p w14:paraId="7B3CC5AD" w14:textId="77777777" w:rsidR="00730F80" w:rsidRPr="00474B31" w:rsidRDefault="00730F80" w:rsidP="003F310C">
      <w:pPr>
        <w:widowControl w:val="0"/>
        <w:spacing w:after="0"/>
        <w:ind w:firstLine="0"/>
        <w:contextualSpacing/>
        <w:rPr>
          <w:rFonts w:eastAsia="Times New Roman" w:cs="Times New Roman"/>
          <w:i/>
          <w:iCs/>
          <w:color w:val="000000"/>
          <w:szCs w:val="24"/>
          <w:lang w:eastAsia="ru-RU" w:bidi="ru-RU"/>
        </w:rPr>
      </w:pPr>
      <w:r w:rsidRPr="00474B31">
        <w:rPr>
          <w:rFonts w:eastAsia="Times New Roman" w:cs="Times New Roman"/>
          <w:i/>
          <w:iCs/>
          <w:color w:val="000000"/>
          <w:szCs w:val="24"/>
          <w:lang w:eastAsia="ru-RU" w:bidi="ru-RU"/>
        </w:rPr>
        <w:t>Псориатический артрит</w:t>
      </w:r>
    </w:p>
    <w:p w14:paraId="657868EB" w14:textId="29BD1B8E" w:rsidR="00730F80" w:rsidRDefault="00730F80" w:rsidP="003F310C">
      <w:pPr>
        <w:pStyle w:val="SDText"/>
        <w:spacing w:after="0"/>
        <w:contextualSpacing/>
        <w:rPr>
          <w:lang w:eastAsia="ru-RU" w:bidi="ru-RU"/>
        </w:rPr>
      </w:pPr>
      <w:r w:rsidRPr="00474B31">
        <w:rPr>
          <w:lang w:eastAsia="ru-RU" w:bidi="ru-RU"/>
        </w:rPr>
        <w:t xml:space="preserve">У пациентов с нарушениями функции почек легкой или средней степени тяжести коррекция дозы препарата не требуется. Рекомендуемая доза </w:t>
      </w:r>
      <w:r w:rsidR="005838E3" w:rsidRPr="005838E3">
        <w:rPr>
          <w:lang w:eastAsia="ru-RU" w:bidi="ru-RU"/>
        </w:rPr>
        <w:t xml:space="preserve">тофацитиниба </w:t>
      </w:r>
      <w:r w:rsidRPr="00474B31">
        <w:rPr>
          <w:lang w:eastAsia="ru-RU" w:bidi="ru-RU"/>
        </w:rPr>
        <w:t>составляет 11 мг один раз через каждые сутки для пациентов с тяжелым нарушением функции почек (включая, но не ограничиваясь, пациентов, находящихся на гемодиализе).</w:t>
      </w:r>
    </w:p>
    <w:p w14:paraId="4C3F4D01" w14:textId="77777777" w:rsidR="00D2098A" w:rsidRPr="00474B31" w:rsidRDefault="00D2098A" w:rsidP="003F310C">
      <w:pPr>
        <w:pStyle w:val="SDText"/>
        <w:spacing w:after="0"/>
        <w:contextualSpacing/>
        <w:rPr>
          <w:lang w:eastAsia="ru-RU" w:bidi="ru-RU"/>
        </w:rPr>
      </w:pPr>
    </w:p>
    <w:p w14:paraId="575DEEF0" w14:textId="77777777" w:rsidR="00730F80" w:rsidRPr="00D2098A" w:rsidRDefault="00730F80" w:rsidP="003F310C">
      <w:pPr>
        <w:widowControl w:val="0"/>
        <w:spacing w:after="0"/>
        <w:ind w:firstLine="0"/>
        <w:contextualSpacing/>
        <w:rPr>
          <w:rFonts w:eastAsia="Times New Roman" w:cs="Times New Roman"/>
          <w:b/>
          <w:i/>
          <w:iCs/>
          <w:color w:val="000000"/>
          <w:szCs w:val="24"/>
          <w:lang w:eastAsia="ru-RU" w:bidi="ru-RU"/>
        </w:rPr>
      </w:pPr>
      <w:r w:rsidRPr="00D2098A">
        <w:rPr>
          <w:rFonts w:eastAsia="Times New Roman" w:cs="Times New Roman"/>
          <w:b/>
          <w:i/>
          <w:iCs/>
          <w:color w:val="000000"/>
          <w:szCs w:val="24"/>
          <w:lang w:eastAsia="ru-RU" w:bidi="ru-RU"/>
        </w:rPr>
        <w:t>Нарушение функции печени</w:t>
      </w:r>
    </w:p>
    <w:p w14:paraId="49A458C9" w14:textId="77777777" w:rsidR="00730F80" w:rsidRPr="00474B31" w:rsidRDefault="00730F80" w:rsidP="003F310C">
      <w:pPr>
        <w:pStyle w:val="SDText"/>
        <w:spacing w:after="0"/>
        <w:contextualSpacing/>
        <w:rPr>
          <w:lang w:eastAsia="ru-RU" w:bidi="ru-RU"/>
        </w:rPr>
      </w:pPr>
      <w:r w:rsidRPr="00474B31">
        <w:rPr>
          <w:lang w:eastAsia="ru-RU" w:bidi="ru-RU"/>
        </w:rPr>
        <w:t>У пациентов с нарушениями функции печени легкой степени тяжести коррекция дозы препарата не требуется.</w:t>
      </w:r>
    </w:p>
    <w:p w14:paraId="40EEEA91" w14:textId="3EC6F2EC" w:rsidR="00730F80" w:rsidRPr="00474B31" w:rsidRDefault="00730F80" w:rsidP="003F310C">
      <w:pPr>
        <w:pStyle w:val="SDText"/>
        <w:spacing w:after="0"/>
        <w:contextualSpacing/>
        <w:rPr>
          <w:lang w:eastAsia="ru-RU" w:bidi="ru-RU"/>
        </w:rPr>
      </w:pPr>
      <w:r w:rsidRPr="00474B31">
        <w:rPr>
          <w:lang w:eastAsia="ru-RU" w:bidi="ru-RU"/>
        </w:rPr>
        <w:t>Для пациентов с нарушениями функции печени умеренной степени следует уменьшить дозу до 5 мг (таблетки, покрытые пленочной оболочкой) один раз в сутки, если рекомендованная доза при нормальной функции печени составляет 11 мг (таблетки с модифицированным высвобождением, покрытые пленочной оболочкой) один раз в сутки</w:t>
      </w:r>
      <w:r w:rsidR="00CA1E72">
        <w:rPr>
          <w:lang w:eastAsia="ru-RU" w:bidi="ru-RU"/>
        </w:rPr>
        <w:t xml:space="preserve">. </w:t>
      </w:r>
      <w:r w:rsidRPr="00474B31">
        <w:rPr>
          <w:lang w:eastAsia="ru-RU" w:bidi="ru-RU"/>
        </w:rPr>
        <w:t>Не следует применять тофацитиниб в лечении пациентов с нарушением функции печени тяжелой степени, Конкретные рекомендации для каждого показания представлены ниже.</w:t>
      </w:r>
    </w:p>
    <w:p w14:paraId="28A98475" w14:textId="77777777" w:rsidR="00730F80" w:rsidRPr="00474B31" w:rsidRDefault="00730F80" w:rsidP="003F310C">
      <w:pPr>
        <w:widowControl w:val="0"/>
        <w:spacing w:after="0"/>
        <w:ind w:firstLine="0"/>
        <w:contextualSpacing/>
        <w:rPr>
          <w:rFonts w:eastAsia="Times New Roman" w:cs="Times New Roman"/>
          <w:i/>
          <w:iCs/>
          <w:color w:val="000000"/>
          <w:szCs w:val="24"/>
          <w:lang w:eastAsia="ru-RU" w:bidi="ru-RU"/>
        </w:rPr>
      </w:pPr>
      <w:r w:rsidRPr="00474B31">
        <w:rPr>
          <w:rFonts w:eastAsia="Times New Roman" w:cs="Times New Roman"/>
          <w:i/>
          <w:iCs/>
          <w:color w:val="000000"/>
          <w:szCs w:val="24"/>
          <w:lang w:eastAsia="ru-RU" w:bidi="ru-RU"/>
        </w:rPr>
        <w:t>Ревматоидный артрит</w:t>
      </w:r>
    </w:p>
    <w:p w14:paraId="0A4B56CC" w14:textId="716217D4" w:rsidR="00730F80" w:rsidRPr="00474B31" w:rsidRDefault="00730F80" w:rsidP="003F310C">
      <w:pPr>
        <w:pStyle w:val="SDText"/>
        <w:spacing w:after="0"/>
        <w:contextualSpacing/>
        <w:rPr>
          <w:lang w:eastAsia="ru-RU" w:bidi="ru-RU"/>
        </w:rPr>
      </w:pPr>
      <w:r w:rsidRPr="00474B31">
        <w:rPr>
          <w:lang w:eastAsia="ru-RU" w:bidi="ru-RU"/>
        </w:rPr>
        <w:t xml:space="preserve">У пациентов с нарушениями функции печени легкой степени тяжести коррекция дозы препарата не требуется. Не следует применять </w:t>
      </w:r>
      <w:r w:rsidR="005838E3" w:rsidRPr="005838E3">
        <w:rPr>
          <w:lang w:eastAsia="ru-RU" w:bidi="ru-RU"/>
        </w:rPr>
        <w:t>тофацитиниб</w:t>
      </w:r>
      <w:r w:rsidRPr="00474B31">
        <w:rPr>
          <w:lang w:eastAsia="ru-RU" w:bidi="ru-RU"/>
        </w:rPr>
        <w:t xml:space="preserve"> у пациентов с тяжелым </w:t>
      </w:r>
      <w:r w:rsidRPr="00474B31">
        <w:rPr>
          <w:lang w:eastAsia="ru-RU" w:bidi="ru-RU"/>
        </w:rPr>
        <w:lastRenderedPageBreak/>
        <w:t xml:space="preserve">нарушением функции печени. Доза </w:t>
      </w:r>
      <w:r w:rsidR="005838E3" w:rsidRPr="005838E3">
        <w:rPr>
          <w:lang w:eastAsia="ru-RU" w:bidi="ru-RU"/>
        </w:rPr>
        <w:t>тофацитиниба</w:t>
      </w:r>
      <w:r w:rsidRPr="00474B31">
        <w:rPr>
          <w:lang w:eastAsia="ru-RU" w:bidi="ru-RU"/>
        </w:rPr>
        <w:t xml:space="preserve"> не должна превышать 11 мг один раз в сутки у пациентов с нарушением функции печени средней степени тяжести.</w:t>
      </w:r>
    </w:p>
    <w:p w14:paraId="074D7EDE" w14:textId="77777777" w:rsidR="00730F80" w:rsidRPr="00474B31" w:rsidRDefault="00730F80" w:rsidP="003F310C">
      <w:pPr>
        <w:widowControl w:val="0"/>
        <w:spacing w:after="0"/>
        <w:ind w:firstLine="0"/>
        <w:contextualSpacing/>
        <w:rPr>
          <w:rFonts w:eastAsia="Times New Roman" w:cs="Times New Roman"/>
          <w:i/>
          <w:iCs/>
          <w:color w:val="000000"/>
          <w:szCs w:val="24"/>
          <w:lang w:eastAsia="ru-RU" w:bidi="ru-RU"/>
        </w:rPr>
      </w:pPr>
      <w:r w:rsidRPr="00474B31">
        <w:rPr>
          <w:rFonts w:eastAsia="Times New Roman" w:cs="Times New Roman"/>
          <w:i/>
          <w:iCs/>
          <w:color w:val="000000"/>
          <w:szCs w:val="24"/>
          <w:lang w:eastAsia="ru-RU" w:bidi="ru-RU"/>
        </w:rPr>
        <w:t>Псориатический артрит</w:t>
      </w:r>
    </w:p>
    <w:p w14:paraId="4308CB50" w14:textId="5B3926E3" w:rsidR="00730F80" w:rsidRDefault="00730F80" w:rsidP="003F310C">
      <w:pPr>
        <w:pStyle w:val="SDText"/>
        <w:spacing w:after="0"/>
        <w:contextualSpacing/>
        <w:rPr>
          <w:lang w:eastAsia="ru-RU" w:bidi="ru-RU"/>
        </w:rPr>
      </w:pPr>
      <w:r w:rsidRPr="00474B31">
        <w:rPr>
          <w:lang w:eastAsia="ru-RU" w:bidi="ru-RU"/>
        </w:rPr>
        <w:t xml:space="preserve">У пациентов с нарушениями функции печени легкой степени тяжести коррекция дозы препарата не требуется. </w:t>
      </w:r>
      <w:r w:rsidR="005838E3">
        <w:rPr>
          <w:lang w:eastAsia="ru-RU" w:bidi="ru-RU"/>
        </w:rPr>
        <w:t>Т</w:t>
      </w:r>
      <w:r w:rsidR="005838E3" w:rsidRPr="005838E3">
        <w:rPr>
          <w:lang w:eastAsia="ru-RU" w:bidi="ru-RU"/>
        </w:rPr>
        <w:t>офацитиниб</w:t>
      </w:r>
      <w:r w:rsidRPr="00474B31">
        <w:rPr>
          <w:lang w:eastAsia="ru-RU" w:bidi="ru-RU"/>
        </w:rPr>
        <w:t xml:space="preserve"> не рекомендуется принимать пациентам с тяжелым нарушением функции печени. Рекомендуемая доза </w:t>
      </w:r>
      <w:r w:rsidR="005838E3" w:rsidRPr="005838E3">
        <w:rPr>
          <w:lang w:eastAsia="ru-RU" w:bidi="ru-RU"/>
        </w:rPr>
        <w:t xml:space="preserve">тофацитиниба </w:t>
      </w:r>
      <w:r w:rsidRPr="00474B31">
        <w:rPr>
          <w:lang w:eastAsia="ru-RU" w:bidi="ru-RU"/>
        </w:rPr>
        <w:t>составляет 11 мг один раз через каждые сутки у пациентов с нарушением функции печени средней степени тяжести.</w:t>
      </w:r>
    </w:p>
    <w:p w14:paraId="4FBD2C36" w14:textId="77777777" w:rsidR="00D2098A" w:rsidRPr="00474B31" w:rsidRDefault="00D2098A" w:rsidP="003F310C">
      <w:pPr>
        <w:pStyle w:val="SDText"/>
        <w:spacing w:after="0"/>
        <w:contextualSpacing/>
        <w:rPr>
          <w:lang w:eastAsia="ru-RU" w:bidi="ru-RU"/>
        </w:rPr>
      </w:pPr>
    </w:p>
    <w:p w14:paraId="436C8C89" w14:textId="77777777" w:rsidR="00730F80" w:rsidRPr="00D2098A" w:rsidRDefault="00730F80" w:rsidP="003F310C">
      <w:pPr>
        <w:widowControl w:val="0"/>
        <w:spacing w:after="0"/>
        <w:ind w:firstLine="0"/>
        <w:contextualSpacing/>
        <w:rPr>
          <w:rFonts w:eastAsia="Times New Roman" w:cs="Times New Roman"/>
          <w:b/>
          <w:i/>
          <w:iCs/>
          <w:color w:val="000000"/>
          <w:szCs w:val="24"/>
          <w:lang w:eastAsia="ru-RU" w:bidi="ru-RU"/>
        </w:rPr>
      </w:pPr>
      <w:r w:rsidRPr="00D2098A">
        <w:rPr>
          <w:rFonts w:eastAsia="Times New Roman" w:cs="Times New Roman"/>
          <w:b/>
          <w:i/>
          <w:iCs/>
          <w:color w:val="000000"/>
          <w:szCs w:val="24"/>
          <w:lang w:eastAsia="ru-RU" w:bidi="ru-RU"/>
        </w:rPr>
        <w:t xml:space="preserve">Одновременное применение с ингибиторами цитохрома Р450 </w:t>
      </w:r>
      <w:r w:rsidRPr="00D2098A">
        <w:rPr>
          <w:rFonts w:eastAsia="Times New Roman" w:cs="Times New Roman"/>
          <w:b/>
          <w:i/>
          <w:iCs/>
          <w:color w:val="000000"/>
          <w:szCs w:val="24"/>
          <w:lang w:bidi="en-US"/>
        </w:rPr>
        <w:t>(</w:t>
      </w:r>
      <w:r w:rsidRPr="00D2098A">
        <w:rPr>
          <w:rFonts w:eastAsia="Times New Roman" w:cs="Times New Roman"/>
          <w:b/>
          <w:i/>
          <w:iCs/>
          <w:color w:val="000000"/>
          <w:szCs w:val="24"/>
          <w:lang w:val="en-US" w:bidi="en-US"/>
        </w:rPr>
        <w:t>CYP</w:t>
      </w:r>
      <w:r w:rsidRPr="00D2098A">
        <w:rPr>
          <w:rFonts w:eastAsia="Times New Roman" w:cs="Times New Roman"/>
          <w:b/>
          <w:i/>
          <w:iCs/>
          <w:color w:val="000000"/>
          <w:szCs w:val="24"/>
          <w:lang w:bidi="en-US"/>
        </w:rPr>
        <w:t>3</w:t>
      </w:r>
      <w:r w:rsidRPr="00D2098A">
        <w:rPr>
          <w:rFonts w:eastAsia="Times New Roman" w:cs="Times New Roman"/>
          <w:b/>
          <w:i/>
          <w:iCs/>
          <w:color w:val="000000"/>
          <w:szCs w:val="24"/>
          <w:lang w:val="en-US" w:bidi="en-US"/>
        </w:rPr>
        <w:t>A</w:t>
      </w:r>
      <w:r w:rsidRPr="00D2098A">
        <w:rPr>
          <w:rFonts w:eastAsia="Times New Roman" w:cs="Times New Roman"/>
          <w:b/>
          <w:i/>
          <w:iCs/>
          <w:color w:val="000000"/>
          <w:szCs w:val="24"/>
          <w:lang w:bidi="en-US"/>
        </w:rPr>
        <w:t xml:space="preserve">4) </w:t>
      </w:r>
      <w:r w:rsidRPr="00D2098A">
        <w:rPr>
          <w:rFonts w:eastAsia="Times New Roman" w:cs="Times New Roman"/>
          <w:b/>
          <w:i/>
          <w:iCs/>
          <w:color w:val="000000"/>
          <w:szCs w:val="24"/>
          <w:lang w:eastAsia="ru-RU" w:bidi="ru-RU"/>
        </w:rPr>
        <w:t xml:space="preserve">и изоферментом 2С19 </w:t>
      </w:r>
      <w:r w:rsidRPr="00D2098A">
        <w:rPr>
          <w:rFonts w:eastAsia="Times New Roman" w:cs="Times New Roman"/>
          <w:b/>
          <w:i/>
          <w:iCs/>
          <w:color w:val="000000"/>
          <w:szCs w:val="24"/>
          <w:lang w:bidi="en-US"/>
        </w:rPr>
        <w:t>(</w:t>
      </w:r>
      <w:r w:rsidRPr="00D2098A">
        <w:rPr>
          <w:rFonts w:eastAsia="Times New Roman" w:cs="Times New Roman"/>
          <w:b/>
          <w:i/>
          <w:iCs/>
          <w:color w:val="000000"/>
          <w:szCs w:val="24"/>
          <w:lang w:val="en-US" w:bidi="en-US"/>
        </w:rPr>
        <w:t>CYP</w:t>
      </w:r>
      <w:r w:rsidRPr="00D2098A">
        <w:rPr>
          <w:rFonts w:eastAsia="Times New Roman" w:cs="Times New Roman"/>
          <w:b/>
          <w:i/>
          <w:iCs/>
          <w:color w:val="000000"/>
          <w:szCs w:val="24"/>
          <w:lang w:bidi="en-US"/>
        </w:rPr>
        <w:t>2</w:t>
      </w:r>
      <w:r w:rsidRPr="00D2098A">
        <w:rPr>
          <w:rFonts w:eastAsia="Times New Roman" w:cs="Times New Roman"/>
          <w:b/>
          <w:i/>
          <w:iCs/>
          <w:color w:val="000000"/>
          <w:szCs w:val="24"/>
          <w:lang w:val="en-US" w:bidi="en-US"/>
        </w:rPr>
        <w:t>C</w:t>
      </w:r>
      <w:r w:rsidRPr="00D2098A">
        <w:rPr>
          <w:rFonts w:eastAsia="Times New Roman" w:cs="Times New Roman"/>
          <w:b/>
          <w:i/>
          <w:iCs/>
          <w:color w:val="000000"/>
          <w:szCs w:val="24"/>
          <w:lang w:bidi="en-US"/>
        </w:rPr>
        <w:t>19)</w:t>
      </w:r>
    </w:p>
    <w:p w14:paraId="365840C2" w14:textId="3A95AA82" w:rsidR="00730F80" w:rsidRPr="00474B31" w:rsidRDefault="00730F80" w:rsidP="003F310C">
      <w:pPr>
        <w:pStyle w:val="SDText"/>
        <w:spacing w:after="0"/>
        <w:contextualSpacing/>
        <w:rPr>
          <w:lang w:eastAsia="ru-RU" w:bidi="ru-RU"/>
        </w:rPr>
      </w:pPr>
      <w:r w:rsidRPr="00474B31">
        <w:rPr>
          <w:lang w:eastAsia="ru-RU" w:bidi="ru-RU"/>
        </w:rPr>
        <w:t xml:space="preserve">Суточную дозу тофацитиниба следует уменьшить вдвое у пациентов, получающих сильные ингибиторы цитохрома Р450 </w:t>
      </w:r>
      <w:r w:rsidRPr="00474B31">
        <w:rPr>
          <w:lang w:bidi="en-US"/>
        </w:rPr>
        <w:t>(</w:t>
      </w:r>
      <w:r w:rsidRPr="00474B31">
        <w:rPr>
          <w:lang w:val="en-US" w:bidi="en-US"/>
        </w:rPr>
        <w:t>CYP</w:t>
      </w:r>
      <w:r w:rsidRPr="00474B31">
        <w:rPr>
          <w:lang w:bidi="en-US"/>
        </w:rPr>
        <w:t xml:space="preserve">) </w:t>
      </w:r>
      <w:r w:rsidRPr="00474B31">
        <w:rPr>
          <w:lang w:eastAsia="ru-RU" w:bidi="ru-RU"/>
        </w:rPr>
        <w:t xml:space="preserve">ЗА4 (например, кетоконазол), и у пациентов, получающих 1 или несколько сопутствующих лекарственных средств, приводящих к умеренному ингибированию </w:t>
      </w:r>
      <w:r w:rsidRPr="00474B31">
        <w:rPr>
          <w:lang w:val="en-US" w:bidi="en-US"/>
        </w:rPr>
        <w:t>CYP</w:t>
      </w:r>
      <w:r w:rsidRPr="00474B31">
        <w:rPr>
          <w:lang w:bidi="en-US"/>
        </w:rPr>
        <w:t>3</w:t>
      </w:r>
      <w:r w:rsidRPr="00474B31">
        <w:rPr>
          <w:lang w:val="en-US" w:bidi="en-US"/>
        </w:rPr>
        <w:t>A</w:t>
      </w:r>
      <w:r w:rsidRPr="00474B31">
        <w:rPr>
          <w:lang w:bidi="en-US"/>
        </w:rPr>
        <w:t xml:space="preserve">4 </w:t>
      </w:r>
      <w:r w:rsidRPr="00474B31">
        <w:rPr>
          <w:lang w:eastAsia="ru-RU" w:bidi="ru-RU"/>
        </w:rPr>
        <w:t xml:space="preserve">одновременно с сильным ингибированием </w:t>
      </w:r>
      <w:r w:rsidRPr="00474B31">
        <w:rPr>
          <w:lang w:val="en-US" w:bidi="en-US"/>
        </w:rPr>
        <w:t>CYP</w:t>
      </w:r>
      <w:r w:rsidRPr="00474B31">
        <w:rPr>
          <w:lang w:bidi="en-US"/>
        </w:rPr>
        <w:t>2</w:t>
      </w:r>
      <w:r w:rsidRPr="00474B31">
        <w:rPr>
          <w:lang w:val="en-US" w:bidi="en-US"/>
        </w:rPr>
        <w:t>C</w:t>
      </w:r>
      <w:r w:rsidRPr="00474B31">
        <w:rPr>
          <w:lang w:bidi="en-US"/>
        </w:rPr>
        <w:t xml:space="preserve">19 </w:t>
      </w:r>
      <w:r w:rsidRPr="00474B31">
        <w:rPr>
          <w:lang w:eastAsia="ru-RU" w:bidi="ru-RU"/>
        </w:rPr>
        <w:t>(например, флуконазол).</w:t>
      </w:r>
    </w:p>
    <w:p w14:paraId="72B915E9" w14:textId="2495CACA" w:rsidR="00730F80" w:rsidRPr="00474B31" w:rsidRDefault="00730F80" w:rsidP="003F310C">
      <w:pPr>
        <w:pStyle w:val="SDText"/>
        <w:spacing w:after="0"/>
        <w:contextualSpacing/>
        <w:rPr>
          <w:lang w:eastAsia="ru-RU" w:bidi="ru-RU"/>
        </w:rPr>
      </w:pPr>
      <w:r w:rsidRPr="00474B31">
        <w:rPr>
          <w:lang w:eastAsia="ru-RU" w:bidi="ru-RU"/>
        </w:rPr>
        <w:t>Следует уменьшить дозу тофацитиниба до 5 мг (таблетки, покрытые пленочной оболочкой) один раз в сутки для пациентов, получающих дозу 1</w:t>
      </w:r>
      <w:r w:rsidR="004E12CD">
        <w:rPr>
          <w:lang w:eastAsia="ru-RU" w:bidi="ru-RU"/>
        </w:rPr>
        <w:t>1</w:t>
      </w:r>
      <w:r w:rsidRPr="00474B31">
        <w:rPr>
          <w:lang w:eastAsia="ru-RU" w:bidi="ru-RU"/>
        </w:rPr>
        <w:t xml:space="preserve"> мг (таблетки с модифицированным высвобождением, покрытые пленочной оболочкой) один раз в сутки.</w:t>
      </w:r>
    </w:p>
    <w:p w14:paraId="418A77C4" w14:textId="77777777" w:rsidR="00730F80" w:rsidRPr="00474B31" w:rsidRDefault="00730F80" w:rsidP="003F310C">
      <w:pPr>
        <w:pStyle w:val="SDText"/>
        <w:spacing w:after="0"/>
        <w:contextualSpacing/>
        <w:rPr>
          <w:lang w:eastAsia="ru-RU" w:bidi="ru-RU"/>
        </w:rPr>
      </w:pPr>
      <w:r w:rsidRPr="00474B31">
        <w:rPr>
          <w:lang w:eastAsia="ru-RU" w:bidi="ru-RU"/>
        </w:rPr>
        <w:t>Конкретные рекомендации для каждого показания представлены ниже.</w:t>
      </w:r>
    </w:p>
    <w:p w14:paraId="7821783C" w14:textId="77777777" w:rsidR="00730F80" w:rsidRPr="00474B31" w:rsidRDefault="00730F80" w:rsidP="003F310C">
      <w:pPr>
        <w:widowControl w:val="0"/>
        <w:spacing w:after="0"/>
        <w:ind w:firstLine="0"/>
        <w:contextualSpacing/>
        <w:rPr>
          <w:rFonts w:eastAsia="Times New Roman" w:cs="Times New Roman"/>
          <w:i/>
          <w:iCs/>
          <w:color w:val="000000"/>
          <w:szCs w:val="24"/>
          <w:lang w:eastAsia="ru-RU" w:bidi="ru-RU"/>
        </w:rPr>
      </w:pPr>
      <w:r w:rsidRPr="00474B31">
        <w:rPr>
          <w:rFonts w:eastAsia="Times New Roman" w:cs="Times New Roman"/>
          <w:i/>
          <w:iCs/>
          <w:color w:val="000000"/>
          <w:szCs w:val="24"/>
          <w:lang w:eastAsia="ru-RU" w:bidi="ru-RU"/>
        </w:rPr>
        <w:t>Ревматоидный артрит</w:t>
      </w:r>
    </w:p>
    <w:p w14:paraId="370E946D" w14:textId="6EB60211" w:rsidR="00730F80" w:rsidRPr="00474B31" w:rsidRDefault="00730F80" w:rsidP="003F310C">
      <w:pPr>
        <w:pStyle w:val="SDText"/>
        <w:spacing w:after="0"/>
        <w:contextualSpacing/>
        <w:rPr>
          <w:lang w:eastAsia="ru-RU" w:bidi="ru-RU"/>
        </w:rPr>
      </w:pPr>
      <w:r w:rsidRPr="00474B31">
        <w:rPr>
          <w:lang w:eastAsia="ru-RU" w:bidi="ru-RU"/>
        </w:rPr>
        <w:t xml:space="preserve">У пациентов, получающих мощные ингибиторы изофермента </w:t>
      </w:r>
      <w:r w:rsidRPr="00474B31">
        <w:rPr>
          <w:lang w:val="en-US" w:bidi="en-US"/>
        </w:rPr>
        <w:t>CYP</w:t>
      </w:r>
      <w:r w:rsidRPr="00474B31">
        <w:rPr>
          <w:lang w:bidi="en-US"/>
        </w:rPr>
        <w:t>3</w:t>
      </w:r>
      <w:r w:rsidRPr="00474B31">
        <w:rPr>
          <w:lang w:val="en-US" w:bidi="en-US"/>
        </w:rPr>
        <w:t>A</w:t>
      </w:r>
      <w:r w:rsidRPr="00474B31">
        <w:rPr>
          <w:lang w:bidi="en-US"/>
        </w:rPr>
        <w:t xml:space="preserve">4 </w:t>
      </w:r>
      <w:r w:rsidRPr="00474B31">
        <w:rPr>
          <w:lang w:eastAsia="ru-RU" w:bidi="ru-RU"/>
        </w:rPr>
        <w:t xml:space="preserve">(например, кетоконазол), доза </w:t>
      </w:r>
      <w:r w:rsidR="005838E3" w:rsidRPr="005838E3">
        <w:rPr>
          <w:lang w:eastAsia="ru-RU" w:bidi="ru-RU"/>
        </w:rPr>
        <w:t xml:space="preserve">тофацитиниба </w:t>
      </w:r>
      <w:r w:rsidRPr="00474B31">
        <w:rPr>
          <w:lang w:eastAsia="ru-RU" w:bidi="ru-RU"/>
        </w:rPr>
        <w:t>не должна превышать 11 мг один раз в сутки.</w:t>
      </w:r>
    </w:p>
    <w:p w14:paraId="4560F28A" w14:textId="57231EF9" w:rsidR="00730F80" w:rsidRPr="00474B31" w:rsidRDefault="00730F80" w:rsidP="003F310C">
      <w:pPr>
        <w:pStyle w:val="SDText"/>
        <w:spacing w:after="0"/>
        <w:contextualSpacing/>
        <w:rPr>
          <w:lang w:eastAsia="ru-RU" w:bidi="ru-RU"/>
        </w:rPr>
      </w:pPr>
      <w:r w:rsidRPr="00474B31">
        <w:rPr>
          <w:lang w:eastAsia="ru-RU" w:bidi="ru-RU"/>
        </w:rPr>
        <w:t xml:space="preserve">У пациентов, получающих один или несколько сопутствующих препаратов, способных умеренно ингибировать изофермент </w:t>
      </w:r>
      <w:r w:rsidRPr="00474B31">
        <w:rPr>
          <w:lang w:val="en-US" w:bidi="en-US"/>
        </w:rPr>
        <w:t>CYP</w:t>
      </w:r>
      <w:r w:rsidRPr="00474B31">
        <w:rPr>
          <w:lang w:bidi="en-US"/>
        </w:rPr>
        <w:t>3</w:t>
      </w:r>
      <w:r w:rsidRPr="00474B31">
        <w:rPr>
          <w:lang w:val="en-US" w:bidi="en-US"/>
        </w:rPr>
        <w:t>A</w:t>
      </w:r>
      <w:r w:rsidRPr="00474B31">
        <w:rPr>
          <w:lang w:bidi="en-US"/>
        </w:rPr>
        <w:t xml:space="preserve">4 </w:t>
      </w:r>
      <w:r w:rsidRPr="00474B31">
        <w:rPr>
          <w:lang w:eastAsia="ru-RU" w:bidi="ru-RU"/>
        </w:rPr>
        <w:t xml:space="preserve">и активно ингибировать изофермент </w:t>
      </w:r>
      <w:r w:rsidRPr="00474B31">
        <w:rPr>
          <w:lang w:val="en-US" w:bidi="en-US"/>
        </w:rPr>
        <w:t>CYP</w:t>
      </w:r>
      <w:r w:rsidRPr="00474B31">
        <w:rPr>
          <w:lang w:bidi="en-US"/>
        </w:rPr>
        <w:t>2</w:t>
      </w:r>
      <w:r w:rsidRPr="00474B31">
        <w:rPr>
          <w:lang w:val="en-US" w:bidi="en-US"/>
        </w:rPr>
        <w:t>C</w:t>
      </w:r>
      <w:r w:rsidRPr="00474B31">
        <w:rPr>
          <w:lang w:bidi="en-US"/>
        </w:rPr>
        <w:t xml:space="preserve">19 </w:t>
      </w:r>
      <w:r w:rsidRPr="00474B31">
        <w:rPr>
          <w:lang w:eastAsia="ru-RU" w:bidi="ru-RU"/>
        </w:rPr>
        <w:t xml:space="preserve">(например, флуконазол), доза </w:t>
      </w:r>
      <w:r w:rsidR="005838E3" w:rsidRPr="005838E3">
        <w:rPr>
          <w:lang w:eastAsia="ru-RU" w:bidi="ru-RU"/>
        </w:rPr>
        <w:t xml:space="preserve">тофацитиниба </w:t>
      </w:r>
      <w:r w:rsidRPr="00474B31">
        <w:rPr>
          <w:lang w:eastAsia="ru-RU" w:bidi="ru-RU"/>
        </w:rPr>
        <w:t>не должна превышать 11 мг один раз в день.</w:t>
      </w:r>
    </w:p>
    <w:p w14:paraId="334562EA" w14:textId="77777777" w:rsidR="00730F80" w:rsidRPr="00474B31" w:rsidRDefault="00730F80" w:rsidP="003F310C">
      <w:pPr>
        <w:widowControl w:val="0"/>
        <w:spacing w:after="0"/>
        <w:ind w:firstLine="0"/>
        <w:contextualSpacing/>
        <w:rPr>
          <w:rFonts w:eastAsia="Times New Roman" w:cs="Times New Roman"/>
          <w:i/>
          <w:iCs/>
          <w:color w:val="000000"/>
          <w:szCs w:val="24"/>
          <w:lang w:eastAsia="ru-RU" w:bidi="ru-RU"/>
        </w:rPr>
      </w:pPr>
      <w:r w:rsidRPr="00474B31">
        <w:rPr>
          <w:rFonts w:eastAsia="Times New Roman" w:cs="Times New Roman"/>
          <w:i/>
          <w:iCs/>
          <w:color w:val="000000"/>
          <w:szCs w:val="24"/>
          <w:lang w:eastAsia="ru-RU" w:bidi="ru-RU"/>
        </w:rPr>
        <w:t>Псориатический артрит</w:t>
      </w:r>
    </w:p>
    <w:p w14:paraId="07F06921" w14:textId="3D1F62DB" w:rsidR="00730F80" w:rsidRDefault="00730F80" w:rsidP="003F310C">
      <w:pPr>
        <w:pStyle w:val="SDText"/>
        <w:spacing w:after="0"/>
        <w:contextualSpacing/>
        <w:rPr>
          <w:lang w:eastAsia="ru-RU" w:bidi="ru-RU"/>
        </w:rPr>
      </w:pPr>
      <w:r w:rsidRPr="00474B31">
        <w:rPr>
          <w:lang w:eastAsia="ru-RU" w:bidi="ru-RU"/>
        </w:rPr>
        <w:t xml:space="preserve">Рекомендуемая доза </w:t>
      </w:r>
      <w:r w:rsidR="005838E3" w:rsidRPr="005838E3">
        <w:rPr>
          <w:lang w:eastAsia="ru-RU" w:bidi="ru-RU"/>
        </w:rPr>
        <w:t xml:space="preserve">тофацитиниба </w:t>
      </w:r>
      <w:r w:rsidRPr="00474B31">
        <w:rPr>
          <w:lang w:eastAsia="ru-RU" w:bidi="ru-RU"/>
        </w:rPr>
        <w:t xml:space="preserve">составляет 11 мг один раз через каждые сутки для пациентов, получающих сильные ингибиторы </w:t>
      </w:r>
      <w:r w:rsidRPr="00474B31">
        <w:rPr>
          <w:lang w:val="en-US" w:bidi="en-US"/>
        </w:rPr>
        <w:t>CYP</w:t>
      </w:r>
      <w:r w:rsidRPr="00474B31">
        <w:rPr>
          <w:lang w:bidi="en-US"/>
        </w:rPr>
        <w:t>3</w:t>
      </w:r>
      <w:r w:rsidRPr="00474B31">
        <w:rPr>
          <w:lang w:val="en-US" w:bidi="en-US"/>
        </w:rPr>
        <w:t>A</w:t>
      </w:r>
      <w:r w:rsidRPr="00474B31">
        <w:rPr>
          <w:lang w:bidi="en-US"/>
        </w:rPr>
        <w:t xml:space="preserve">4 </w:t>
      </w:r>
      <w:r w:rsidRPr="00474B31">
        <w:rPr>
          <w:lang w:eastAsia="ru-RU" w:bidi="ru-RU"/>
        </w:rPr>
        <w:t xml:space="preserve">(например, кетоконазол). Рекомендуемая доза </w:t>
      </w:r>
      <w:r w:rsidR="005838E3" w:rsidRPr="005838E3">
        <w:rPr>
          <w:lang w:eastAsia="ru-RU" w:bidi="ru-RU"/>
        </w:rPr>
        <w:t xml:space="preserve">тофацитиниба </w:t>
      </w:r>
      <w:r w:rsidRPr="00474B31">
        <w:rPr>
          <w:lang w:eastAsia="ru-RU" w:bidi="ru-RU"/>
        </w:rPr>
        <w:t xml:space="preserve">составляет 11 мг один раз через каждые сутки для пациентов, получающих один или более сопутствующих препаратов, что приводит в обоих случаях к умеренному ингибированию </w:t>
      </w:r>
      <w:r w:rsidRPr="00474B31">
        <w:rPr>
          <w:lang w:val="en-US" w:bidi="en-US"/>
        </w:rPr>
        <w:t>CYP</w:t>
      </w:r>
      <w:r w:rsidRPr="00474B31">
        <w:rPr>
          <w:lang w:bidi="en-US"/>
        </w:rPr>
        <w:t>3</w:t>
      </w:r>
      <w:r w:rsidRPr="00474B31">
        <w:rPr>
          <w:lang w:val="en-US" w:bidi="en-US"/>
        </w:rPr>
        <w:t>A</w:t>
      </w:r>
      <w:r w:rsidRPr="00474B31">
        <w:rPr>
          <w:lang w:bidi="en-US"/>
        </w:rPr>
        <w:t xml:space="preserve">4 </w:t>
      </w:r>
      <w:r w:rsidRPr="00474B31">
        <w:rPr>
          <w:lang w:eastAsia="ru-RU" w:bidi="ru-RU"/>
        </w:rPr>
        <w:t xml:space="preserve">и сильному ингибированию </w:t>
      </w:r>
      <w:r w:rsidRPr="00474B31">
        <w:rPr>
          <w:lang w:val="en-US" w:bidi="en-US"/>
        </w:rPr>
        <w:t>CYP</w:t>
      </w:r>
      <w:r w:rsidRPr="00474B31">
        <w:rPr>
          <w:lang w:bidi="en-US"/>
        </w:rPr>
        <w:t>2</w:t>
      </w:r>
      <w:r w:rsidRPr="00474B31">
        <w:rPr>
          <w:lang w:val="en-US" w:bidi="en-US"/>
        </w:rPr>
        <w:t>C</w:t>
      </w:r>
      <w:r w:rsidRPr="00474B31">
        <w:rPr>
          <w:lang w:bidi="en-US"/>
        </w:rPr>
        <w:t xml:space="preserve">19 </w:t>
      </w:r>
      <w:r w:rsidRPr="00474B31">
        <w:rPr>
          <w:lang w:eastAsia="ru-RU" w:bidi="ru-RU"/>
        </w:rPr>
        <w:t>(например, флуконазол).</w:t>
      </w:r>
    </w:p>
    <w:p w14:paraId="37932046" w14:textId="77777777" w:rsidR="00D2098A" w:rsidRPr="00474B31" w:rsidRDefault="00D2098A" w:rsidP="003F310C">
      <w:pPr>
        <w:pStyle w:val="SDText"/>
        <w:spacing w:after="0"/>
        <w:contextualSpacing/>
        <w:rPr>
          <w:lang w:eastAsia="ru-RU" w:bidi="ru-RU"/>
        </w:rPr>
      </w:pPr>
    </w:p>
    <w:p w14:paraId="2CFDBA5B" w14:textId="77777777" w:rsidR="00730F80" w:rsidRPr="00D2098A" w:rsidRDefault="00730F80" w:rsidP="003F310C">
      <w:pPr>
        <w:widowControl w:val="0"/>
        <w:spacing w:after="0"/>
        <w:ind w:firstLine="0"/>
        <w:contextualSpacing/>
        <w:rPr>
          <w:rFonts w:eastAsia="Times New Roman" w:cs="Times New Roman"/>
          <w:b/>
          <w:i/>
          <w:iCs/>
          <w:color w:val="000000"/>
          <w:szCs w:val="24"/>
          <w:lang w:eastAsia="ru-RU" w:bidi="ru-RU"/>
        </w:rPr>
      </w:pPr>
      <w:r w:rsidRPr="00D2098A">
        <w:rPr>
          <w:rFonts w:eastAsia="Times New Roman" w:cs="Times New Roman"/>
          <w:b/>
          <w:i/>
          <w:iCs/>
          <w:color w:val="000000"/>
          <w:szCs w:val="24"/>
          <w:lang w:eastAsia="ru-RU" w:bidi="ru-RU"/>
        </w:rPr>
        <w:t xml:space="preserve">Одновременное применение с индукторами цитохрома Р450 </w:t>
      </w:r>
      <w:r w:rsidRPr="00D2098A">
        <w:rPr>
          <w:rFonts w:eastAsia="Times New Roman" w:cs="Times New Roman"/>
          <w:b/>
          <w:i/>
          <w:iCs/>
          <w:color w:val="000000"/>
          <w:szCs w:val="24"/>
          <w:lang w:bidi="en-US"/>
        </w:rPr>
        <w:t>(</w:t>
      </w:r>
      <w:r w:rsidRPr="00D2098A">
        <w:rPr>
          <w:rFonts w:eastAsia="Times New Roman" w:cs="Times New Roman"/>
          <w:b/>
          <w:i/>
          <w:iCs/>
          <w:color w:val="000000"/>
          <w:szCs w:val="24"/>
          <w:lang w:val="en-US" w:bidi="en-US"/>
        </w:rPr>
        <w:t>CYP</w:t>
      </w:r>
      <w:r w:rsidRPr="00D2098A">
        <w:rPr>
          <w:rFonts w:eastAsia="Times New Roman" w:cs="Times New Roman"/>
          <w:b/>
          <w:i/>
          <w:iCs/>
          <w:color w:val="000000"/>
          <w:szCs w:val="24"/>
          <w:lang w:bidi="en-US"/>
        </w:rPr>
        <w:t>3</w:t>
      </w:r>
      <w:r w:rsidRPr="00D2098A">
        <w:rPr>
          <w:rFonts w:eastAsia="Times New Roman" w:cs="Times New Roman"/>
          <w:b/>
          <w:i/>
          <w:iCs/>
          <w:color w:val="000000"/>
          <w:szCs w:val="24"/>
          <w:lang w:val="en-US" w:bidi="en-US"/>
        </w:rPr>
        <w:t>A</w:t>
      </w:r>
      <w:r w:rsidRPr="00D2098A">
        <w:rPr>
          <w:rFonts w:eastAsia="Times New Roman" w:cs="Times New Roman"/>
          <w:b/>
          <w:i/>
          <w:iCs/>
          <w:color w:val="000000"/>
          <w:szCs w:val="24"/>
          <w:lang w:bidi="en-US"/>
        </w:rPr>
        <w:t>4)</w:t>
      </w:r>
    </w:p>
    <w:p w14:paraId="1CE304B6" w14:textId="1ABB011D" w:rsidR="00730F80" w:rsidRDefault="00730F80" w:rsidP="003F310C">
      <w:pPr>
        <w:pStyle w:val="SDText"/>
        <w:spacing w:after="0"/>
        <w:contextualSpacing/>
        <w:rPr>
          <w:lang w:eastAsia="ru-RU" w:bidi="ru-RU"/>
        </w:rPr>
      </w:pPr>
      <w:r w:rsidRPr="00474B31">
        <w:rPr>
          <w:lang w:eastAsia="ru-RU" w:bidi="ru-RU"/>
        </w:rPr>
        <w:t xml:space="preserve">Одновременное применение </w:t>
      </w:r>
      <w:r w:rsidR="005838E3" w:rsidRPr="005838E3">
        <w:rPr>
          <w:lang w:eastAsia="ru-RU" w:bidi="ru-RU"/>
        </w:rPr>
        <w:t xml:space="preserve">тофацитиниба </w:t>
      </w:r>
      <w:r w:rsidRPr="00474B31">
        <w:rPr>
          <w:lang w:eastAsia="ru-RU" w:bidi="ru-RU"/>
        </w:rPr>
        <w:t xml:space="preserve">и мощных индукторов изофермента </w:t>
      </w:r>
      <w:r w:rsidRPr="00474B31">
        <w:rPr>
          <w:lang w:val="en-US" w:bidi="en-US"/>
        </w:rPr>
        <w:t>CYP</w:t>
      </w:r>
      <w:r w:rsidRPr="00474B31">
        <w:rPr>
          <w:lang w:bidi="en-US"/>
        </w:rPr>
        <w:t>3</w:t>
      </w:r>
      <w:r w:rsidRPr="00474B31">
        <w:rPr>
          <w:lang w:val="en-US" w:bidi="en-US"/>
        </w:rPr>
        <w:t>A</w:t>
      </w:r>
      <w:r w:rsidRPr="00474B31">
        <w:rPr>
          <w:lang w:bidi="en-US"/>
        </w:rPr>
        <w:t xml:space="preserve">4 </w:t>
      </w:r>
      <w:r w:rsidRPr="00474B31">
        <w:rPr>
          <w:lang w:eastAsia="ru-RU" w:bidi="ru-RU"/>
        </w:rPr>
        <w:t xml:space="preserve">(например, рифампицина) может приводить к снижению или утрате клинической эффективности. Одновременное применение </w:t>
      </w:r>
      <w:r w:rsidR="005838E3" w:rsidRPr="005838E3">
        <w:rPr>
          <w:lang w:eastAsia="ru-RU" w:bidi="ru-RU"/>
        </w:rPr>
        <w:t xml:space="preserve">тофацитиниба </w:t>
      </w:r>
      <w:r w:rsidRPr="00474B31">
        <w:rPr>
          <w:lang w:eastAsia="ru-RU" w:bidi="ru-RU"/>
        </w:rPr>
        <w:t xml:space="preserve">и мощных индукторов изофермента </w:t>
      </w:r>
      <w:r w:rsidRPr="00474B31">
        <w:rPr>
          <w:lang w:val="en-US" w:bidi="en-US"/>
        </w:rPr>
        <w:t>CYP</w:t>
      </w:r>
      <w:r w:rsidRPr="00474B31">
        <w:rPr>
          <w:lang w:bidi="en-US"/>
        </w:rPr>
        <w:t>3</w:t>
      </w:r>
      <w:r w:rsidRPr="00474B31">
        <w:rPr>
          <w:lang w:val="en-US" w:bidi="en-US"/>
        </w:rPr>
        <w:t>A</w:t>
      </w:r>
      <w:r w:rsidRPr="00474B31">
        <w:rPr>
          <w:lang w:bidi="en-US"/>
        </w:rPr>
        <w:t xml:space="preserve">4 </w:t>
      </w:r>
      <w:r w:rsidRPr="00474B31">
        <w:rPr>
          <w:lang w:eastAsia="ru-RU" w:bidi="ru-RU"/>
        </w:rPr>
        <w:t>не рекомендуется.</w:t>
      </w:r>
    </w:p>
    <w:p w14:paraId="18A57167" w14:textId="77777777" w:rsidR="00D2098A" w:rsidRPr="00474B31" w:rsidRDefault="00D2098A" w:rsidP="003F310C">
      <w:pPr>
        <w:pStyle w:val="SDText"/>
        <w:spacing w:after="0"/>
        <w:contextualSpacing/>
        <w:rPr>
          <w:lang w:eastAsia="ru-RU" w:bidi="ru-RU"/>
        </w:rPr>
      </w:pPr>
    </w:p>
    <w:p w14:paraId="4C3870D0" w14:textId="77777777" w:rsidR="00730F80" w:rsidRPr="00D2098A" w:rsidRDefault="00730F80" w:rsidP="003F310C">
      <w:pPr>
        <w:widowControl w:val="0"/>
        <w:spacing w:after="0"/>
        <w:ind w:firstLine="0"/>
        <w:contextualSpacing/>
        <w:rPr>
          <w:rFonts w:eastAsia="Times New Roman" w:cs="Times New Roman"/>
          <w:b/>
          <w:i/>
          <w:iCs/>
          <w:color w:val="000000"/>
          <w:szCs w:val="24"/>
          <w:lang w:eastAsia="ru-RU" w:bidi="ru-RU"/>
        </w:rPr>
      </w:pPr>
      <w:r w:rsidRPr="00D2098A">
        <w:rPr>
          <w:rFonts w:eastAsia="Times New Roman" w:cs="Times New Roman"/>
          <w:b/>
          <w:i/>
          <w:iCs/>
          <w:color w:val="000000"/>
          <w:szCs w:val="24"/>
          <w:lang w:eastAsia="ru-RU" w:bidi="ru-RU"/>
        </w:rPr>
        <w:t>Пожилые пациенты (&gt; 65 лет)</w:t>
      </w:r>
    </w:p>
    <w:p w14:paraId="2C4CCC55" w14:textId="77777777" w:rsidR="00730F80" w:rsidRPr="00474B31" w:rsidRDefault="00730F80" w:rsidP="003F310C">
      <w:pPr>
        <w:pStyle w:val="SDText"/>
        <w:spacing w:after="0"/>
        <w:contextualSpacing/>
        <w:rPr>
          <w:lang w:eastAsia="ru-RU" w:bidi="ru-RU"/>
        </w:rPr>
      </w:pPr>
      <w:r w:rsidRPr="00474B31">
        <w:rPr>
          <w:lang w:eastAsia="ru-RU" w:bidi="ru-RU"/>
        </w:rPr>
        <w:t>Коррекция дозы у пациентов в возрасте 65 лет и старше не требуется. Данные о применении препарата у пациентов в возрасте 75 лет и старше ограничены.</w:t>
      </w:r>
    </w:p>
    <w:p w14:paraId="6DAE2A41" w14:textId="77777777" w:rsidR="00D2098A" w:rsidRDefault="00D2098A" w:rsidP="003F310C">
      <w:pPr>
        <w:widowControl w:val="0"/>
        <w:spacing w:after="0"/>
        <w:ind w:firstLine="0"/>
        <w:contextualSpacing/>
        <w:rPr>
          <w:rFonts w:eastAsia="Times New Roman" w:cs="Times New Roman"/>
          <w:b/>
          <w:i/>
          <w:iCs/>
          <w:color w:val="000000"/>
          <w:szCs w:val="24"/>
          <w:lang w:eastAsia="ru-RU" w:bidi="ru-RU"/>
        </w:rPr>
      </w:pPr>
    </w:p>
    <w:p w14:paraId="19479A85" w14:textId="5D144529" w:rsidR="00730F80" w:rsidRPr="00D2098A" w:rsidRDefault="00730F80" w:rsidP="003F310C">
      <w:pPr>
        <w:widowControl w:val="0"/>
        <w:spacing w:after="0"/>
        <w:ind w:firstLine="0"/>
        <w:contextualSpacing/>
        <w:rPr>
          <w:rFonts w:eastAsia="Times New Roman" w:cs="Times New Roman"/>
          <w:b/>
          <w:i/>
          <w:iCs/>
          <w:color w:val="000000"/>
          <w:szCs w:val="24"/>
          <w:lang w:eastAsia="ru-RU" w:bidi="ru-RU"/>
        </w:rPr>
      </w:pPr>
      <w:r w:rsidRPr="00D2098A">
        <w:rPr>
          <w:rFonts w:eastAsia="Times New Roman" w:cs="Times New Roman"/>
          <w:b/>
          <w:i/>
          <w:iCs/>
          <w:color w:val="000000"/>
          <w:szCs w:val="24"/>
          <w:lang w:eastAsia="ru-RU" w:bidi="ru-RU"/>
        </w:rPr>
        <w:t>Детский возраст</w:t>
      </w:r>
    </w:p>
    <w:p w14:paraId="6A821CA8" w14:textId="5B829B99" w:rsidR="00730F80" w:rsidRPr="00474B31" w:rsidRDefault="00730F80" w:rsidP="005F38D7">
      <w:pPr>
        <w:pStyle w:val="SDText"/>
        <w:spacing w:after="0"/>
        <w:contextualSpacing/>
        <w:rPr>
          <w:lang w:eastAsia="ru-RU" w:bidi="ru-RU"/>
        </w:rPr>
      </w:pPr>
      <w:r w:rsidRPr="00474B31">
        <w:rPr>
          <w:lang w:eastAsia="ru-RU" w:bidi="ru-RU"/>
        </w:rPr>
        <w:t xml:space="preserve">Безопасность и эффективность </w:t>
      </w:r>
      <w:r w:rsidR="005838E3" w:rsidRPr="005838E3">
        <w:rPr>
          <w:lang w:eastAsia="ru-RU" w:bidi="ru-RU"/>
        </w:rPr>
        <w:t>тофацитиниб</w:t>
      </w:r>
      <w:r w:rsidR="005838E3">
        <w:rPr>
          <w:lang w:eastAsia="ru-RU" w:bidi="ru-RU"/>
        </w:rPr>
        <w:t xml:space="preserve"> </w:t>
      </w:r>
      <w:r w:rsidRPr="00474B31">
        <w:rPr>
          <w:lang w:eastAsia="ru-RU" w:bidi="ru-RU"/>
        </w:rPr>
        <w:t>у новорожденных и детей до &lt;</w:t>
      </w:r>
      <w:r w:rsidR="005838E3">
        <w:rPr>
          <w:lang w:eastAsia="ru-RU" w:bidi="ru-RU"/>
        </w:rPr>
        <w:t xml:space="preserve"> </w:t>
      </w:r>
      <w:r w:rsidRPr="00474B31">
        <w:rPr>
          <w:lang w:eastAsia="ru-RU" w:bidi="ru-RU"/>
        </w:rPr>
        <w:t>18 лет еще не установлены.</w:t>
      </w:r>
    </w:p>
    <w:p w14:paraId="1C9247DA" w14:textId="486CE111" w:rsidR="00730F80" w:rsidRDefault="005F38D7" w:rsidP="005F38D7">
      <w:pPr>
        <w:pStyle w:val="3"/>
        <w:numPr>
          <w:ilvl w:val="0"/>
          <w:numId w:val="0"/>
        </w:numPr>
        <w:ind w:left="720" w:hanging="720"/>
      </w:pPr>
      <w:bookmarkStart w:id="313" w:name="_Toc115421101"/>
      <w:bookmarkStart w:id="314" w:name="_Toc121592634"/>
      <w:r>
        <w:lastRenderedPageBreak/>
        <w:t xml:space="preserve">5.3.5. </w:t>
      </w:r>
      <w:r w:rsidR="00730F80">
        <w:t>Побочное</w:t>
      </w:r>
      <w:r w:rsidR="00730F80" w:rsidRPr="00E717E9">
        <w:t xml:space="preserve"> </w:t>
      </w:r>
      <w:r w:rsidR="00730F80">
        <w:t>действие</w:t>
      </w:r>
      <w:bookmarkEnd w:id="313"/>
      <w:bookmarkEnd w:id="314"/>
    </w:p>
    <w:p w14:paraId="32DB4279" w14:textId="77777777" w:rsidR="00730F80" w:rsidRPr="00AA513A" w:rsidRDefault="00730F80" w:rsidP="003F310C">
      <w:pPr>
        <w:pStyle w:val="SDText"/>
        <w:spacing w:after="0"/>
      </w:pPr>
    </w:p>
    <w:p w14:paraId="2091F25A" w14:textId="37375641" w:rsidR="00730F80" w:rsidRPr="0091740A" w:rsidRDefault="005F38D7" w:rsidP="005F38D7">
      <w:pPr>
        <w:pStyle w:val="4"/>
        <w:numPr>
          <w:ilvl w:val="0"/>
          <w:numId w:val="0"/>
        </w:numPr>
        <w:ind w:left="864" w:hanging="864"/>
      </w:pPr>
      <w:bookmarkStart w:id="315" w:name="_Toc121592635"/>
      <w:r>
        <w:t xml:space="preserve">5.3.5.1. </w:t>
      </w:r>
      <w:r w:rsidR="00730F80">
        <w:t>Таблетки, покрытые пленочной оболочкой</w:t>
      </w:r>
      <w:bookmarkEnd w:id="315"/>
    </w:p>
    <w:p w14:paraId="1A0B2ABC" w14:textId="77777777" w:rsidR="00730F80" w:rsidRDefault="00730F80" w:rsidP="003F310C">
      <w:pPr>
        <w:pStyle w:val="SDText"/>
        <w:spacing w:after="0"/>
        <w:contextualSpacing/>
      </w:pPr>
    </w:p>
    <w:p w14:paraId="39731F13" w14:textId="77777777" w:rsidR="00730F80" w:rsidRDefault="00730F80" w:rsidP="003F310C">
      <w:pPr>
        <w:pStyle w:val="SDText"/>
        <w:spacing w:after="0"/>
        <w:contextualSpacing/>
      </w:pPr>
      <w:r>
        <w:t>Наиболее частыми серьезными нежелательными реакциями, отмечавшимися на фоне терапии тофацитинибом у пациентов с ревматоидным артритом, псориатическим артритом и псориазом, были серьезные инфекции.</w:t>
      </w:r>
    </w:p>
    <w:p w14:paraId="107BFF43" w14:textId="77777777" w:rsidR="00730F80" w:rsidRPr="00E717E9" w:rsidRDefault="00730F80" w:rsidP="003F310C">
      <w:pPr>
        <w:pStyle w:val="SDText"/>
        <w:spacing w:after="0"/>
        <w:contextualSpacing/>
      </w:pPr>
      <w:r>
        <w:t xml:space="preserve">В исследованиях индукционной и поддерживающей терапии во всех группах лечения </w:t>
      </w:r>
      <w:r w:rsidRPr="00E717E9">
        <w:t>наиболее распространенными категориями серьезных нежелательных реакций при язвенном колите были нарушения со стороны ЖКТ и инфекции.</w:t>
      </w:r>
    </w:p>
    <w:p w14:paraId="1927BAC6" w14:textId="77777777" w:rsidR="00D2098A" w:rsidRDefault="00D2098A" w:rsidP="00D2098A">
      <w:pPr>
        <w:spacing w:after="0"/>
        <w:ind w:firstLine="0"/>
        <w:contextualSpacing/>
        <w:rPr>
          <w:rStyle w:val="63"/>
          <w:rFonts w:eastAsiaTheme="minorHAnsi"/>
          <w:b/>
          <w:i w:val="0"/>
          <w:iCs w:val="0"/>
          <w:sz w:val="24"/>
          <w:szCs w:val="24"/>
          <w:u w:val="none"/>
        </w:rPr>
      </w:pPr>
    </w:p>
    <w:p w14:paraId="7FFC5B44" w14:textId="2C461F33"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t>Ревматоидный артрит</w:t>
      </w:r>
    </w:p>
    <w:p w14:paraId="18555A2F" w14:textId="77777777" w:rsidR="00D2098A" w:rsidRDefault="00D2098A" w:rsidP="003F310C">
      <w:pPr>
        <w:pStyle w:val="SDText"/>
        <w:spacing w:after="0"/>
        <w:contextualSpacing/>
      </w:pPr>
    </w:p>
    <w:p w14:paraId="0F464D2C" w14:textId="287876AC" w:rsidR="00730F80" w:rsidRPr="00E717E9" w:rsidRDefault="00730F80" w:rsidP="003F310C">
      <w:pPr>
        <w:pStyle w:val="SDText"/>
        <w:spacing w:after="0"/>
        <w:contextualSpacing/>
      </w:pPr>
      <w:r w:rsidRPr="00E717E9">
        <w:t xml:space="preserve">У пациентов с ревматоидным артритом самые частые нежелательные реакции на протяжении первых 3 месяцев контролируемых клинических исследований (с развитием более чем у 2% пациентов, получавших монотерапию </w:t>
      </w:r>
      <w:r w:rsidR="00BA71B2" w:rsidRPr="00BA71B2">
        <w:t>тофацитиниб</w:t>
      </w:r>
      <w:r w:rsidR="00BA71B2">
        <w:t>ом</w:t>
      </w:r>
      <w:r w:rsidR="00BA71B2" w:rsidRPr="00BA71B2">
        <w:t xml:space="preserve"> </w:t>
      </w:r>
      <w:r w:rsidRPr="00E717E9">
        <w:t>или его комбинацию с БПВП), включали головную боль, инфекции верхних дыхательных путей, назофарингит, артериальную гипертензию, тошноту и диарею.</w:t>
      </w:r>
    </w:p>
    <w:p w14:paraId="170B4211" w14:textId="14486BBF" w:rsidR="00730F80" w:rsidRDefault="00730F80" w:rsidP="003F310C">
      <w:pPr>
        <w:pStyle w:val="SDText"/>
        <w:spacing w:after="0"/>
        <w:contextualSpacing/>
      </w:pPr>
      <w:r w:rsidRPr="00E717E9">
        <w:t>Отмена терапии в течение первых 3 месяцев в связи с любой нежелательной реакцией на протяжении</w:t>
      </w:r>
      <w:r>
        <w:t xml:space="preserve"> двойных слепых, плацебо-контролируемых исследований или исследований с метотрексатом в качестве препарата контроля, потребовалась в 3,8% случаев для пациентов из группы </w:t>
      </w:r>
      <w:r w:rsidR="00BA71B2" w:rsidRPr="00BA71B2">
        <w:t xml:space="preserve">тофацитиниба </w:t>
      </w:r>
      <w:r>
        <w:t xml:space="preserve">и 3,2% для пациентов из группы плацебо. Самыми частыми нежелательными реакциями, которые привели к отмене </w:t>
      </w:r>
      <w:r w:rsidR="00BA71B2" w:rsidRPr="00BA71B2">
        <w:t>тофацитиниба</w:t>
      </w:r>
      <w:r>
        <w:t>, были инфекции. Самые частые инфекции, приводящие к отмене терапии, включали опоясывающий герпес и пневмонию.</w:t>
      </w:r>
    </w:p>
    <w:p w14:paraId="25F238AE" w14:textId="77777777" w:rsidR="00730F80" w:rsidRDefault="00730F80" w:rsidP="003F310C">
      <w:pPr>
        <w:pStyle w:val="SDText"/>
        <w:spacing w:after="0"/>
        <w:contextualSpacing/>
      </w:pPr>
      <w:r>
        <w:t xml:space="preserve">Информация по безопасности получена на основании специального промежуточного анализа одного крупного </w:t>
      </w:r>
      <w:r w:rsidRPr="003927BA">
        <w:rPr>
          <w:lang w:bidi="en-US"/>
        </w:rPr>
        <w:t>(</w:t>
      </w:r>
      <w:r>
        <w:rPr>
          <w:lang w:val="en-US" w:bidi="en-US"/>
        </w:rPr>
        <w:t>N</w:t>
      </w:r>
      <w:r w:rsidRPr="003927BA">
        <w:rPr>
          <w:lang w:bidi="en-US"/>
        </w:rPr>
        <w:t xml:space="preserve"> </w:t>
      </w:r>
      <w:r>
        <w:t xml:space="preserve">= 4362) текущего рандомизированного пострегистрационного исследования безопасности </w:t>
      </w:r>
      <w:r w:rsidRPr="003927BA">
        <w:rPr>
          <w:lang w:bidi="en-US"/>
        </w:rPr>
        <w:t>(</w:t>
      </w:r>
      <w:r>
        <w:rPr>
          <w:lang w:val="en-US" w:bidi="en-US"/>
        </w:rPr>
        <w:t>PASS</w:t>
      </w:r>
      <w:r w:rsidRPr="003927BA">
        <w:rPr>
          <w:lang w:bidi="en-US"/>
        </w:rPr>
        <w:t xml:space="preserve">) </w:t>
      </w:r>
      <w:r>
        <w:t>у пациентов с РА в возрасте 50 лет или старше, с хотя бы одним фактором сердечно-сосудистого риска (факторы сердечно-сосудистого риска определяются как: курение, наличие артериальной гипертензии, сахарного диабета, отягощенный семейный анамнез по ишемической болезни сердца, наличие в анамнезе реваскуляризации, шунтирования коронарных артерий, инфаркта миокарда, остановки сердца, нестабильной стенокардии, острого коронарного синдрома и наличие экстра артикулярных осложнений, связанных с РА, например, узелки, синдром Шегрена, хроническая анемия, обострение заболеваний дыхательной системы), и получавших стабильную фоновую дозу метотрексата.</w:t>
      </w:r>
    </w:p>
    <w:p w14:paraId="58752F05" w14:textId="479384C1" w:rsidR="00730F80" w:rsidRDefault="00730F80" w:rsidP="003F310C">
      <w:pPr>
        <w:pStyle w:val="SDText"/>
        <w:spacing w:after="0"/>
        <w:contextualSpacing/>
      </w:pPr>
      <w:r>
        <w:t>Пациенты были рандомизированы в открытом режиме и получали тофацитиниб в дозе 10 мг два раза в сутки, тофацитиниб в дозе 5 мг два раза в день, или ингибитор Ф</w:t>
      </w:r>
      <w:r w:rsidR="00D9640F">
        <w:t>Н</w:t>
      </w:r>
      <w:r>
        <w:t>О (из ингибиторов Ф</w:t>
      </w:r>
      <w:r w:rsidR="00D9640F">
        <w:t>Н</w:t>
      </w:r>
      <w:r>
        <w:t xml:space="preserve">О применялся или этанерцепт 50 мг 1 раз в неделю или адалимумаб 40 мг, применяемый один раз в две недели) в соотношении 1:1:1. Первичными конечными точками считались подтвержденные злокачественные новообразования (исключая НМРК) и подтвержденные существенные нежелательные явления со стороны сердечно-сосудистой системы (МАСЕ). Кумулятивная заболеваемость и статистическая оценка конечных точек маскированы. Дизайн исследования основан на подсчете количества случившихся событий и также, требует, чтобы по меньшей мере, 1500 пациентов закончили наблюдение в течение 3 лет. Лечение тофацитинибом в дозе 10 мг два раза в сутки было прекращено, и пациентов переключали на лечение тофацитинибом в дозе 5 мг </w:t>
      </w:r>
      <w:r>
        <w:lastRenderedPageBreak/>
        <w:t>два раза в сутки из-за полученной информации о дозозависимом повышении частоты развития легочной эмболии.</w:t>
      </w:r>
    </w:p>
    <w:p w14:paraId="1A4E7AD0" w14:textId="77777777" w:rsidR="00D2098A" w:rsidRDefault="00D2098A" w:rsidP="00D2098A">
      <w:pPr>
        <w:spacing w:after="0"/>
        <w:ind w:firstLine="0"/>
        <w:contextualSpacing/>
        <w:rPr>
          <w:rStyle w:val="63"/>
          <w:rFonts w:eastAsiaTheme="minorHAnsi"/>
          <w:b/>
          <w:i w:val="0"/>
          <w:iCs w:val="0"/>
          <w:sz w:val="24"/>
          <w:szCs w:val="24"/>
          <w:u w:val="none"/>
        </w:rPr>
      </w:pPr>
    </w:p>
    <w:p w14:paraId="2299BB6B" w14:textId="4419513D"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t>Псориатический артрит</w:t>
      </w:r>
    </w:p>
    <w:p w14:paraId="053D4E3C" w14:textId="77777777" w:rsidR="00D2098A" w:rsidRDefault="00D2098A" w:rsidP="003F310C">
      <w:pPr>
        <w:pStyle w:val="SDText"/>
        <w:spacing w:after="0"/>
        <w:contextualSpacing/>
      </w:pPr>
    </w:p>
    <w:p w14:paraId="7EB7C139" w14:textId="0158C678" w:rsidR="00730F80" w:rsidRDefault="00730F80" w:rsidP="003F310C">
      <w:pPr>
        <w:pStyle w:val="SDText"/>
        <w:spacing w:after="0"/>
        <w:contextualSpacing/>
      </w:pPr>
      <w:r>
        <w:t xml:space="preserve">При активном псориатическом артрите наиболее часто регистрируемыми нежелательными реакциями в течение первых 12 недель в плацебо-контролируемых клинических исследованиях (возникающими у &gt; 2% пациентов, получавших </w:t>
      </w:r>
      <w:r w:rsidR="00BA71B2" w:rsidRPr="00BA71B2">
        <w:t>тофацитиниб</w:t>
      </w:r>
      <w:r>
        <w:t>, с частотой не менее чем на 1% превышающей частоту у пациентов, получавших плацебо) были бронхит, диарея, диспепсия, повышенная утомляемость, головная боль, назофарингит, фарингит.</w:t>
      </w:r>
    </w:p>
    <w:p w14:paraId="6A7CA13D" w14:textId="001521B9" w:rsidR="00730F80" w:rsidRDefault="00730F80" w:rsidP="003F310C">
      <w:pPr>
        <w:pStyle w:val="SDText"/>
        <w:spacing w:after="0"/>
        <w:contextualSpacing/>
      </w:pPr>
      <w:r>
        <w:t xml:space="preserve">Процент пациентов, прекративших лечение из-за каких-либо нежелательных реакций в течение первых 12 недель двойного слепого, плацебо-контролируемого исследования составил 3,2% для пациентов, принимающих </w:t>
      </w:r>
      <w:r w:rsidR="00BA71B2" w:rsidRPr="00BA71B2">
        <w:t>тофацитиниб</w:t>
      </w:r>
      <w:r>
        <w:t xml:space="preserve"> и 2,5% для пациентов, принимающих плацебо. Наиболее распространенной инфекцией, которая приводила к прекращению терапии, был синусит.</w:t>
      </w:r>
    </w:p>
    <w:p w14:paraId="4A4292FA" w14:textId="0F214D80" w:rsidR="00730F80" w:rsidRDefault="00730F80" w:rsidP="003F310C">
      <w:pPr>
        <w:pStyle w:val="SDText"/>
        <w:spacing w:after="0"/>
        <w:contextualSpacing/>
      </w:pPr>
      <w:r>
        <w:t xml:space="preserve">Общий профиль безопасности, наблюдаемый у пациентов с активным псориатическим артритом, проходивших лечение </w:t>
      </w:r>
      <w:r w:rsidR="00BA71B2" w:rsidRPr="00BA71B2">
        <w:t>тофацитиниб</w:t>
      </w:r>
      <w:r w:rsidR="00BA71B2">
        <w:t>ом</w:t>
      </w:r>
      <w:r>
        <w:t>, соответствует профилю безопасности у пациентов с ревматоидным артритом.</w:t>
      </w:r>
    </w:p>
    <w:p w14:paraId="7119C04B" w14:textId="77777777" w:rsidR="00D2098A" w:rsidRDefault="00D2098A" w:rsidP="00D2098A">
      <w:pPr>
        <w:spacing w:after="0"/>
        <w:ind w:firstLine="0"/>
        <w:contextualSpacing/>
        <w:rPr>
          <w:rStyle w:val="63"/>
          <w:rFonts w:eastAsiaTheme="minorHAnsi"/>
          <w:b/>
          <w:i w:val="0"/>
          <w:iCs w:val="0"/>
          <w:sz w:val="24"/>
          <w:szCs w:val="24"/>
          <w:u w:val="none"/>
        </w:rPr>
      </w:pPr>
    </w:p>
    <w:p w14:paraId="770D5749" w14:textId="0F8B6120"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t>Анкилозирующий спондилоартрит</w:t>
      </w:r>
    </w:p>
    <w:p w14:paraId="3A9D34FB" w14:textId="77777777" w:rsidR="00D2098A" w:rsidRDefault="00D2098A" w:rsidP="003F310C">
      <w:pPr>
        <w:pStyle w:val="SDText"/>
        <w:spacing w:after="0"/>
        <w:contextualSpacing/>
      </w:pPr>
    </w:p>
    <w:p w14:paraId="55DA7CE3" w14:textId="187071FC" w:rsidR="00730F80" w:rsidRDefault="00730F80" w:rsidP="003F310C">
      <w:pPr>
        <w:pStyle w:val="SDText"/>
        <w:spacing w:after="0"/>
        <w:contextualSpacing/>
      </w:pPr>
      <w:r>
        <w:t xml:space="preserve">Применение </w:t>
      </w:r>
      <w:r w:rsidR="00BA71B2" w:rsidRPr="00BA71B2">
        <w:t xml:space="preserve">тофацитиниба </w:t>
      </w:r>
      <w:r>
        <w:t>5 мг два раза в сутки изучал</w:t>
      </w:r>
      <w:r w:rsidR="00D9640F">
        <w:t>ось</w:t>
      </w:r>
      <w:r>
        <w:t xml:space="preserve"> у пациентов с активным анкилозирующим спондилоартритом (АС) в рандомизированном двойном слепом плацебо- контролируемом клиническом исследовании фазы 3 (исследование АС-</w:t>
      </w:r>
      <w:r w:rsidR="00026BDC">
        <w:rPr>
          <w:lang w:val="en-US"/>
        </w:rPr>
        <w:t>I</w:t>
      </w:r>
      <w:r>
        <w:t>) и в рандомизированном двойном слепом плацебо-контролируемом исследовании диапазона доз фазы 2 (Исследование АС</w:t>
      </w:r>
      <w:r w:rsidR="00026BDC">
        <w:t>-</w:t>
      </w:r>
      <w:r w:rsidR="00026BDC">
        <w:rPr>
          <w:lang w:val="en-US"/>
        </w:rPr>
        <w:t>II</w:t>
      </w:r>
      <w:r>
        <w:t>).</w:t>
      </w:r>
    </w:p>
    <w:p w14:paraId="39F5E390" w14:textId="4BC3A10E" w:rsidR="00730F80" w:rsidRDefault="00730F80" w:rsidP="003F310C">
      <w:pPr>
        <w:pStyle w:val="SDText"/>
        <w:spacing w:after="0"/>
        <w:contextualSpacing/>
      </w:pPr>
      <w:r>
        <w:t>В исследование АС-</w:t>
      </w:r>
      <w:r w:rsidR="00E03352">
        <w:rPr>
          <w:lang w:val="en-US"/>
        </w:rPr>
        <w:t>I</w:t>
      </w:r>
      <w:r>
        <w:t xml:space="preserve"> были включены пациенты, у которых был неадекватный ответ как минимум на 2 НПВП. Исследование АС-</w:t>
      </w:r>
      <w:r w:rsidR="00E03352">
        <w:rPr>
          <w:lang w:val="en-US"/>
        </w:rPr>
        <w:t>I</w:t>
      </w:r>
      <w:r>
        <w:t xml:space="preserve"> включало в себя 16-недельный период двойного слепого лечения, в течение которого пациенты получали </w:t>
      </w:r>
      <w:r w:rsidR="00BA71B2" w:rsidRPr="00BA71B2">
        <w:t>тофацитиниб</w:t>
      </w:r>
      <w:r w:rsidR="00BA71B2">
        <w:t xml:space="preserve"> </w:t>
      </w:r>
      <w:r>
        <w:t xml:space="preserve">в дозе 5 мг или плацебо два раза в сутки, и 32-недельный открытый период лечения, в течение которого все пациенты получали </w:t>
      </w:r>
      <w:r w:rsidR="00BA71B2" w:rsidRPr="00BA71B2">
        <w:t>тофацитиниб</w:t>
      </w:r>
      <w:r w:rsidR="00BA71B2">
        <w:t xml:space="preserve"> </w:t>
      </w:r>
      <w:r>
        <w:t>в дозе 5 мг два раза в сутки.</w:t>
      </w:r>
    </w:p>
    <w:p w14:paraId="2927CFA6" w14:textId="3F41F611" w:rsidR="00730F80" w:rsidRDefault="00730F80" w:rsidP="003F310C">
      <w:pPr>
        <w:pStyle w:val="SDText"/>
        <w:spacing w:after="0"/>
        <w:contextualSpacing/>
      </w:pPr>
      <w:r>
        <w:t>В исследование АС-</w:t>
      </w:r>
      <w:r w:rsidR="00E03352">
        <w:rPr>
          <w:lang w:val="en-US"/>
        </w:rPr>
        <w:t>II</w:t>
      </w:r>
      <w:r>
        <w:t xml:space="preserve"> были включены пациенты с неадекватным ответом как минимум на 2 НПВП. Это клиническое исследование включало в себя 12-недельный период двойного слепого лечения, в течение которого пациенты получали </w:t>
      </w:r>
      <w:r w:rsidR="00BA71B2" w:rsidRPr="00BA71B2">
        <w:t>тофацитиниб</w:t>
      </w:r>
      <w:r>
        <w:t xml:space="preserve"> в дозах 2 мг, 5 мг, 10 мг или плацебо два раза в сутки. Это исследование также включало 4-недельный период дальнейшего наблюдения.</w:t>
      </w:r>
    </w:p>
    <w:p w14:paraId="7755DFF4" w14:textId="4654642B" w:rsidR="00730F80" w:rsidRDefault="00730F80" w:rsidP="003F310C">
      <w:pPr>
        <w:pStyle w:val="SDText"/>
        <w:spacing w:after="0"/>
        <w:contextualSpacing/>
      </w:pPr>
      <w:r>
        <w:t xml:space="preserve">В популяции безопасности комбинированных клинических исследований фазы 2 и фазы 3 в общей сложности 420 пациентов получали </w:t>
      </w:r>
      <w:r w:rsidR="00BA71B2" w:rsidRPr="00BA71B2">
        <w:t>тофацитиниб</w:t>
      </w:r>
      <w:r w:rsidR="00BA71B2">
        <w:t xml:space="preserve"> </w:t>
      </w:r>
      <w:r>
        <w:t xml:space="preserve">в дозах 2 мг, 5 мг или 10 мг два раза в сутки. Из них 316 пациентов получали </w:t>
      </w:r>
      <w:r w:rsidR="00BA71B2" w:rsidRPr="00BA71B2">
        <w:t>тофацитиниб</w:t>
      </w:r>
      <w:r w:rsidR="00BA71B2">
        <w:t xml:space="preserve"> </w:t>
      </w:r>
      <w:r>
        <w:t xml:space="preserve">в дозе 5 мг два раза в сутки в течение до 48 недель. Среди этих 316 пациентов 253 получали лечение в течение 6 месяцев или дольше, а из этих 253 пациентов 108 получали лечение в течение 12 месяцев или дольше. В комбинированном двойном слепом плацебо-контролируемом периоде исследования 185 пациентов были рандомизированы и получали лечение </w:t>
      </w:r>
      <w:r w:rsidR="00BA71B2" w:rsidRPr="00BA71B2">
        <w:t>тофацитиниб</w:t>
      </w:r>
      <w:r w:rsidR="00BA71B2">
        <w:t>ом</w:t>
      </w:r>
      <w:r>
        <w:t xml:space="preserve"> в дозе 5 мг два раза в сутки, а 187 были рандомизированы и получали плацебо в течение срока до 16 недель. Допускалось сопутствующее лечение стабильными дозами БПВП. НГ1ВП или кортикостероидов (&lt;</w:t>
      </w:r>
      <w:r w:rsidR="00D23B2E" w:rsidRPr="00F932AB">
        <w:t xml:space="preserve"> </w:t>
      </w:r>
      <w:r>
        <w:t xml:space="preserve">10 мг/день). В исследуемую популяцию, состоящую из 420 пациентов, рандомизированных и получавших </w:t>
      </w:r>
      <w:r w:rsidR="00BA71B2" w:rsidRPr="00BA71B2">
        <w:t>тофацитиниб</w:t>
      </w:r>
      <w:r>
        <w:t xml:space="preserve">, вошли 13 (3,1%) </w:t>
      </w:r>
      <w:r>
        <w:lastRenderedPageBreak/>
        <w:t>пациентов в возрасте 65 лет и старше и 18 (4,3%) пациентов с сахарным диабетом на исходном уровне.</w:t>
      </w:r>
    </w:p>
    <w:p w14:paraId="67650622" w14:textId="77777777" w:rsidR="00D2098A" w:rsidRDefault="00D2098A" w:rsidP="00D2098A">
      <w:pPr>
        <w:spacing w:after="0"/>
        <w:ind w:firstLine="0"/>
        <w:contextualSpacing/>
        <w:rPr>
          <w:rStyle w:val="63"/>
          <w:rFonts w:eastAsiaTheme="minorHAnsi"/>
          <w:b/>
          <w:i w:val="0"/>
          <w:iCs w:val="0"/>
          <w:sz w:val="24"/>
          <w:szCs w:val="24"/>
          <w:u w:val="none"/>
        </w:rPr>
      </w:pPr>
    </w:p>
    <w:p w14:paraId="347D8CE0" w14:textId="620EA88D"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t>Бляшечный псориаз</w:t>
      </w:r>
    </w:p>
    <w:p w14:paraId="7DCFC7EB" w14:textId="77777777" w:rsidR="00D2098A" w:rsidRDefault="00D2098A" w:rsidP="003F310C">
      <w:pPr>
        <w:pStyle w:val="SDText"/>
        <w:spacing w:after="0"/>
        <w:contextualSpacing/>
      </w:pPr>
    </w:p>
    <w:p w14:paraId="4F924351" w14:textId="0E25A4B5" w:rsidR="00730F80" w:rsidRDefault="00730F80" w:rsidP="003F310C">
      <w:pPr>
        <w:pStyle w:val="SDText"/>
        <w:spacing w:after="0"/>
        <w:contextualSpacing/>
      </w:pPr>
      <w:r>
        <w:t>У пациентов с псориазом наиболее частыми нежелательными реакциями на протяжении первых 12</w:t>
      </w:r>
      <w:r w:rsidR="00BA71B2">
        <w:t>–</w:t>
      </w:r>
      <w:r>
        <w:t xml:space="preserve">16 недель (с развитием более чем у 2% пациентов, получающих терапию </w:t>
      </w:r>
      <w:r w:rsidR="00BA71B2" w:rsidRPr="00BA71B2">
        <w:t>тофацитиниб</w:t>
      </w:r>
      <w:r w:rsidR="00BA71B2">
        <w:t xml:space="preserve">ом </w:t>
      </w:r>
      <w:r>
        <w:t xml:space="preserve">и как минимум на 1% выше, чем наблюдалось у пациентов, получающих плацебо) на фоне применения тофацитиниба были диарея, инфекции верхних дыхательных путей, повышение активности креатинфосфокиназы (КФК), концентрации холестерина в плазме крови, гиперхолестеринемия, гиперлипидемия и головная боль. Количество пациентов, у которых терапию </w:t>
      </w:r>
      <w:r w:rsidR="00BA71B2" w:rsidRPr="00BA71B2">
        <w:t>тофацитиниб</w:t>
      </w:r>
      <w:r w:rsidR="00BA71B2">
        <w:t>ом</w:t>
      </w:r>
      <w:r w:rsidR="00BA71B2" w:rsidRPr="00BA71B2">
        <w:t xml:space="preserve"> </w:t>
      </w:r>
      <w:r>
        <w:t>необходимо было отменить вследствие развития побочных реакций в течение первых 12</w:t>
      </w:r>
      <w:r w:rsidR="00BA71B2">
        <w:t>–</w:t>
      </w:r>
      <w:r>
        <w:t>16 недель терапии в клинических исследованиях составляло 3% по сравнению с 4% пациентов, получающих плацебо.</w:t>
      </w:r>
    </w:p>
    <w:p w14:paraId="392D6161" w14:textId="77777777" w:rsidR="00730F80" w:rsidRDefault="00730F80" w:rsidP="003F310C">
      <w:pPr>
        <w:pStyle w:val="SDText"/>
        <w:spacing w:after="0"/>
        <w:contextualSpacing/>
      </w:pPr>
      <w:r>
        <w:t>Наиболее частыми инфекциями, приводящими к отмене терапии, были пневмония, инфекции мочевого тракта и опоясывающий герпес.</w:t>
      </w:r>
    </w:p>
    <w:p w14:paraId="26BC7C86" w14:textId="77777777" w:rsidR="00D2098A" w:rsidRDefault="00D2098A" w:rsidP="00D2098A">
      <w:pPr>
        <w:spacing w:after="0"/>
        <w:ind w:firstLine="0"/>
        <w:contextualSpacing/>
        <w:rPr>
          <w:rStyle w:val="63"/>
          <w:rFonts w:eastAsiaTheme="minorHAnsi"/>
          <w:b/>
          <w:i w:val="0"/>
          <w:iCs w:val="0"/>
          <w:sz w:val="24"/>
          <w:szCs w:val="24"/>
          <w:u w:val="none"/>
        </w:rPr>
      </w:pPr>
    </w:p>
    <w:p w14:paraId="1CFD8FBF" w14:textId="3CC32DB0"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t>Язвенный колит</w:t>
      </w:r>
    </w:p>
    <w:p w14:paraId="192DB026" w14:textId="77777777" w:rsidR="00D2098A" w:rsidRDefault="00D2098A" w:rsidP="003F310C">
      <w:pPr>
        <w:pStyle w:val="SDText"/>
        <w:spacing w:after="0"/>
        <w:contextualSpacing/>
      </w:pPr>
    </w:p>
    <w:p w14:paraId="46804D21" w14:textId="2E9395B9" w:rsidR="00730F80" w:rsidRDefault="00730F80" w:rsidP="003F310C">
      <w:pPr>
        <w:pStyle w:val="SDText"/>
        <w:spacing w:after="0"/>
        <w:contextualSpacing/>
      </w:pPr>
      <w:r>
        <w:t xml:space="preserve">Нежелательные явления, которые развивались не менее, чем у 2% пациентов, получавших </w:t>
      </w:r>
      <w:r w:rsidR="00BA71B2" w:rsidRPr="00BA71B2">
        <w:t>тофацитиниб</w:t>
      </w:r>
      <w:r>
        <w:t xml:space="preserve"> в дозе 10 мг два раза в сутки, с частотой не менее, чем на 1% превышающей частоту у пациентов, получавших плацебо в исследованиях индукционной терапии (исследования </w:t>
      </w:r>
      <w:r>
        <w:rPr>
          <w:lang w:val="en-US" w:bidi="en-US"/>
        </w:rPr>
        <w:t>OCTAVE</w:t>
      </w:r>
      <w:r w:rsidRPr="003927BA">
        <w:rPr>
          <w:lang w:bidi="en-US"/>
        </w:rPr>
        <w:t xml:space="preserve"> </w:t>
      </w:r>
      <w:r>
        <w:rPr>
          <w:lang w:val="en-US" w:bidi="en-US"/>
        </w:rPr>
        <w:t>Induction</w:t>
      </w:r>
      <w:r w:rsidRPr="003927BA">
        <w:rPr>
          <w:lang w:bidi="en-US"/>
        </w:rPr>
        <w:t xml:space="preserve">-1. </w:t>
      </w:r>
      <w:r>
        <w:rPr>
          <w:lang w:val="en-US" w:bidi="en-US"/>
        </w:rPr>
        <w:t>OCTAVE</w:t>
      </w:r>
      <w:r w:rsidRPr="003927BA">
        <w:rPr>
          <w:lang w:bidi="en-US"/>
        </w:rPr>
        <w:t xml:space="preserve"> </w:t>
      </w:r>
      <w:r>
        <w:rPr>
          <w:lang w:val="en-US" w:bidi="en-US"/>
        </w:rPr>
        <w:t>Induction</w:t>
      </w:r>
      <w:r w:rsidRPr="003927BA">
        <w:rPr>
          <w:lang w:bidi="en-US"/>
        </w:rPr>
        <w:t>-</w:t>
      </w:r>
      <w:r>
        <w:rPr>
          <w:lang w:val="en-US" w:bidi="en-US"/>
        </w:rPr>
        <w:t>II</w:t>
      </w:r>
      <w:r w:rsidRPr="003927BA">
        <w:rPr>
          <w:lang w:bidi="en-US"/>
        </w:rPr>
        <w:t xml:space="preserve"> </w:t>
      </w:r>
      <w:r>
        <w:t xml:space="preserve">и </w:t>
      </w:r>
      <w:r>
        <w:rPr>
          <w:lang w:val="en-US" w:bidi="en-US"/>
        </w:rPr>
        <w:t>OCTAVE</w:t>
      </w:r>
      <w:r w:rsidRPr="003927BA">
        <w:rPr>
          <w:lang w:bidi="en-US"/>
        </w:rPr>
        <w:t xml:space="preserve"> </w:t>
      </w:r>
      <w:r>
        <w:rPr>
          <w:lang w:val="en-US" w:bidi="en-US"/>
        </w:rPr>
        <w:t>SUSTAIN</w:t>
      </w:r>
      <w:r w:rsidRPr="003927BA">
        <w:rPr>
          <w:lang w:bidi="en-US"/>
        </w:rPr>
        <w:t xml:space="preserve">) </w:t>
      </w:r>
      <w:r>
        <w:t>представляли собой повышение уровня креатинфосфокиназы в крови, назофарингит, пирексию и головную боль.</w:t>
      </w:r>
    </w:p>
    <w:p w14:paraId="431BD46A" w14:textId="77777777" w:rsidR="00730F80" w:rsidRDefault="00730F80" w:rsidP="003F310C">
      <w:pPr>
        <w:pStyle w:val="SDText"/>
        <w:spacing w:after="0"/>
        <w:contextualSpacing/>
      </w:pPr>
      <w:r>
        <w:t>В исследованиях индукционной и поддерживающей терапии во всех группах лечения наиболее распространенными категориями серьезных нежелательных реакций были нарушения со стороны ЖКТ и инфекции, наиболее распространенной серьезной нежелательной реакцией было ухудшение язвенного колита.</w:t>
      </w:r>
    </w:p>
    <w:p w14:paraId="1DB0AFCA" w14:textId="7FAD421B" w:rsidR="00730F80" w:rsidRDefault="00730F80" w:rsidP="003F310C">
      <w:pPr>
        <w:pStyle w:val="SDText"/>
        <w:spacing w:after="0"/>
        <w:contextualSpacing/>
      </w:pPr>
      <w:r>
        <w:t xml:space="preserve">В контролируемых клинических исследованиях язвенного колита был зарегистрирован 1 случай рака груди у пациента, получавшего плацебо, случаи образования солидных злокачественных новообразований или лимфом у пациентов, получавших </w:t>
      </w:r>
      <w:r w:rsidR="00BA71B2" w:rsidRPr="00BA71B2">
        <w:t>тофацитиниб</w:t>
      </w:r>
      <w:r>
        <w:t xml:space="preserve">, отсутствовали. В долгосрочном расширенном исследовании у пациентов с язвенным колитом, получавших </w:t>
      </w:r>
      <w:r w:rsidR="00BA71B2" w:rsidRPr="00BA71B2">
        <w:t>тофацитиниб</w:t>
      </w:r>
      <w:r>
        <w:t>, были обнаружены злокачественные новообразования, включая солидные злокачественные новообразования и лимфомы.</w:t>
      </w:r>
    </w:p>
    <w:p w14:paraId="1E54A496" w14:textId="6440B604" w:rsidR="00730F80" w:rsidRDefault="00730F80" w:rsidP="003F310C">
      <w:pPr>
        <w:pStyle w:val="SDText"/>
        <w:spacing w:after="0"/>
        <w:contextualSpacing/>
      </w:pPr>
      <w:r>
        <w:t xml:space="preserve">В исследованиях индукционной и поддерживающей терапии наиболее частая причина прекращения исследования заключалась в ухудшении язвенного колита. За исключением прекращение приема препарата по причине ухудшения язвенного колита доля пациентов, прекративших лечение из-за каких-либо нежелательных реакций, составила менее 5% в любой из групп, принимавшей </w:t>
      </w:r>
      <w:r w:rsidR="00BA71B2" w:rsidRPr="00BA71B2">
        <w:t>тофацитиниб</w:t>
      </w:r>
      <w:r>
        <w:t xml:space="preserve"> или плацебо в этих исследованиях.</w:t>
      </w:r>
    </w:p>
    <w:p w14:paraId="303ADDEB" w14:textId="00B346AD" w:rsidR="00730F80" w:rsidRDefault="00730F80" w:rsidP="003F310C">
      <w:pPr>
        <w:pStyle w:val="SDText"/>
        <w:spacing w:after="0"/>
        <w:contextualSpacing/>
      </w:pPr>
      <w:r>
        <w:t xml:space="preserve">Общий профиль безопасности, наблюдаемый у пациентов с язвенным колитом, проходивших лечение </w:t>
      </w:r>
      <w:r w:rsidR="00BA71B2" w:rsidRPr="00BA71B2">
        <w:t>тофацитиниб</w:t>
      </w:r>
      <w:r w:rsidR="00BA71B2">
        <w:t>ом</w:t>
      </w:r>
      <w:r>
        <w:t xml:space="preserve">, соответствует профилю безопасности при всех показаниях </w:t>
      </w:r>
      <w:r w:rsidR="00BA71B2" w:rsidRPr="00BA71B2">
        <w:t>тофацитиниба</w:t>
      </w:r>
      <w:r>
        <w:t>.</w:t>
      </w:r>
    </w:p>
    <w:p w14:paraId="06DEE26B" w14:textId="77777777" w:rsidR="00D2098A" w:rsidRDefault="00D2098A" w:rsidP="00D2098A">
      <w:pPr>
        <w:spacing w:after="0"/>
        <w:ind w:firstLine="0"/>
        <w:contextualSpacing/>
        <w:rPr>
          <w:rStyle w:val="63"/>
          <w:rFonts w:eastAsiaTheme="minorHAnsi"/>
          <w:b/>
          <w:i w:val="0"/>
          <w:iCs w:val="0"/>
          <w:sz w:val="24"/>
          <w:szCs w:val="24"/>
          <w:u w:val="none"/>
        </w:rPr>
      </w:pPr>
    </w:p>
    <w:p w14:paraId="16D05985" w14:textId="77777777" w:rsidR="00791E09" w:rsidRDefault="00791E09" w:rsidP="00D2098A">
      <w:pPr>
        <w:spacing w:after="0"/>
        <w:ind w:firstLine="0"/>
        <w:contextualSpacing/>
        <w:rPr>
          <w:rStyle w:val="63"/>
          <w:rFonts w:eastAsiaTheme="minorHAnsi"/>
          <w:b/>
          <w:i w:val="0"/>
          <w:iCs w:val="0"/>
          <w:sz w:val="24"/>
          <w:szCs w:val="24"/>
          <w:u w:val="none"/>
        </w:rPr>
        <w:sectPr w:rsidR="00791E09" w:rsidSect="00F85178">
          <w:pgSz w:w="11906" w:h="16838"/>
          <w:pgMar w:top="1134" w:right="850" w:bottom="1134" w:left="1701" w:header="708" w:footer="708" w:gutter="0"/>
          <w:cols w:space="708"/>
          <w:docGrid w:linePitch="360"/>
        </w:sectPr>
      </w:pPr>
    </w:p>
    <w:p w14:paraId="5D604887" w14:textId="082BE3D7"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lastRenderedPageBreak/>
        <w:t>Полиартикулярный ювенильный идиопатический артрит</w:t>
      </w:r>
    </w:p>
    <w:p w14:paraId="1D9EA471" w14:textId="77777777" w:rsidR="00D2098A" w:rsidRDefault="00D2098A" w:rsidP="003F310C">
      <w:pPr>
        <w:pStyle w:val="SDText"/>
        <w:spacing w:after="0"/>
        <w:contextualSpacing/>
      </w:pPr>
    </w:p>
    <w:p w14:paraId="51CB39CF" w14:textId="7A82E619" w:rsidR="00730F80" w:rsidRPr="00D2098A" w:rsidRDefault="00730F80" w:rsidP="003F310C">
      <w:pPr>
        <w:pStyle w:val="SDText"/>
        <w:spacing w:after="0"/>
        <w:contextualSpacing/>
        <w:rPr>
          <w:szCs w:val="24"/>
        </w:rPr>
      </w:pPr>
      <w:r>
        <w:t xml:space="preserve">Следующие данные по безопасности были основаны на двойном слепом плацебо- контролируемом клиническом исследовании фазы 3 (исследование </w:t>
      </w:r>
      <w:r w:rsidR="007023D3">
        <w:rPr>
          <w:lang w:val="en-US"/>
        </w:rPr>
        <w:t>pc</w:t>
      </w:r>
      <w:r w:rsidR="00F718E7">
        <w:rPr>
          <w:lang w:val="en-US"/>
        </w:rPr>
        <w:t>JIA</w:t>
      </w:r>
      <w:r>
        <w:t>-</w:t>
      </w:r>
      <w:r w:rsidR="00F718E7">
        <w:rPr>
          <w:lang w:val="en-US"/>
        </w:rPr>
        <w:t>I</w:t>
      </w:r>
      <w:r>
        <w:t xml:space="preserve">) с участием 225 пациентов с </w:t>
      </w:r>
      <w:r w:rsidRPr="00D2098A">
        <w:rPr>
          <w:szCs w:val="24"/>
        </w:rPr>
        <w:t xml:space="preserve">пЮИА (56 пациентов мужского пола и 169 пациентов женского пола) в возрасте от 2 до 18 лет, получавших </w:t>
      </w:r>
      <w:r w:rsidR="00BA71B2" w:rsidRPr="00BA71B2">
        <w:rPr>
          <w:szCs w:val="24"/>
        </w:rPr>
        <w:t>тофацитиниб</w:t>
      </w:r>
      <w:r w:rsidRPr="00D2098A">
        <w:rPr>
          <w:szCs w:val="24"/>
        </w:rPr>
        <w:t xml:space="preserve"> в дозе по 5 мг или эквивалентную дозу, рассчитанную на основании массы тела пациента, два раза в сутки с или без сопутствующей терапии метотрексатом.</w:t>
      </w:r>
    </w:p>
    <w:p w14:paraId="2DE77D30" w14:textId="5F220A88" w:rsidR="00D2098A" w:rsidRPr="00D2098A" w:rsidRDefault="00D2098A" w:rsidP="00D2098A">
      <w:pPr>
        <w:spacing w:after="0"/>
        <w:contextualSpacing/>
        <w:rPr>
          <w:szCs w:val="24"/>
        </w:rPr>
      </w:pPr>
      <w:r w:rsidRPr="00D2098A">
        <w:rPr>
          <w:szCs w:val="24"/>
        </w:rPr>
        <w:t>Нежелательные явления перечислены ниже по системно-органным классам и частоте. Частоты определены как: очень часто (≥</w:t>
      </w:r>
      <w:r w:rsidR="00A61FE0">
        <w:rPr>
          <w:szCs w:val="24"/>
        </w:rPr>
        <w:t xml:space="preserve"> </w:t>
      </w:r>
      <w:r w:rsidRPr="00D2098A">
        <w:rPr>
          <w:szCs w:val="24"/>
        </w:rPr>
        <w:t>1/10); часто (≥</w:t>
      </w:r>
      <w:r w:rsidR="00A61FE0">
        <w:rPr>
          <w:szCs w:val="24"/>
        </w:rPr>
        <w:t xml:space="preserve"> </w:t>
      </w:r>
      <w:r w:rsidRPr="00D2098A">
        <w:rPr>
          <w:szCs w:val="24"/>
        </w:rPr>
        <w:t xml:space="preserve">1/100 </w:t>
      </w:r>
      <w:r w:rsidR="00A61FE0" w:rsidRPr="00D2098A">
        <w:rPr>
          <w:szCs w:val="24"/>
        </w:rPr>
        <w:t>–</w:t>
      </w:r>
      <w:r w:rsidRPr="00D2098A">
        <w:rPr>
          <w:szCs w:val="24"/>
        </w:rPr>
        <w:t xml:space="preserve"> &lt;</w:t>
      </w:r>
      <w:r w:rsidR="00A61FE0">
        <w:rPr>
          <w:szCs w:val="24"/>
        </w:rPr>
        <w:t xml:space="preserve"> </w:t>
      </w:r>
      <w:r w:rsidRPr="00D2098A">
        <w:rPr>
          <w:szCs w:val="24"/>
        </w:rPr>
        <w:t>1/10); нечасто (≥</w:t>
      </w:r>
      <w:r w:rsidR="00A61FE0">
        <w:rPr>
          <w:szCs w:val="24"/>
        </w:rPr>
        <w:t xml:space="preserve"> </w:t>
      </w:r>
      <w:r w:rsidRPr="00D2098A">
        <w:rPr>
          <w:szCs w:val="24"/>
        </w:rPr>
        <w:t xml:space="preserve">1/1000 </w:t>
      </w:r>
      <w:r w:rsidR="00A61FE0" w:rsidRPr="00D2098A">
        <w:rPr>
          <w:szCs w:val="24"/>
        </w:rPr>
        <w:t>–</w:t>
      </w:r>
      <w:r w:rsidRPr="00D2098A">
        <w:rPr>
          <w:szCs w:val="24"/>
        </w:rPr>
        <w:t xml:space="preserve"> &lt;</w:t>
      </w:r>
      <w:r w:rsidR="00A61FE0">
        <w:rPr>
          <w:szCs w:val="24"/>
        </w:rPr>
        <w:t xml:space="preserve"> </w:t>
      </w:r>
      <w:r w:rsidRPr="00D2098A">
        <w:rPr>
          <w:szCs w:val="24"/>
        </w:rPr>
        <w:t>1/100); редко (≥</w:t>
      </w:r>
      <w:r w:rsidR="00A61FE0">
        <w:rPr>
          <w:szCs w:val="24"/>
        </w:rPr>
        <w:t xml:space="preserve"> </w:t>
      </w:r>
      <w:r w:rsidRPr="00D2098A">
        <w:rPr>
          <w:szCs w:val="24"/>
        </w:rPr>
        <w:t>1/10000</w:t>
      </w:r>
      <w:r w:rsidR="00A61FE0">
        <w:rPr>
          <w:szCs w:val="24"/>
        </w:rPr>
        <w:t xml:space="preserve"> </w:t>
      </w:r>
      <w:r w:rsidR="00A61FE0" w:rsidRPr="00D2098A">
        <w:rPr>
          <w:szCs w:val="24"/>
        </w:rPr>
        <w:t>–</w:t>
      </w:r>
      <w:r w:rsidRPr="00D2098A">
        <w:rPr>
          <w:szCs w:val="24"/>
        </w:rPr>
        <w:t xml:space="preserve"> &lt;1/1000); очень редко (&lt;</w:t>
      </w:r>
      <w:r w:rsidR="00A61FE0">
        <w:rPr>
          <w:szCs w:val="24"/>
        </w:rPr>
        <w:t xml:space="preserve"> </w:t>
      </w:r>
      <w:r w:rsidRPr="00D2098A">
        <w:rPr>
          <w:szCs w:val="24"/>
        </w:rPr>
        <w:t>1/10000) и частота не установлена (нельзя установить на основании доступных данных).</w:t>
      </w:r>
    </w:p>
    <w:p w14:paraId="0284A842" w14:textId="77777777" w:rsidR="00730F80" w:rsidRPr="00D2098A" w:rsidRDefault="00730F80" w:rsidP="003F310C">
      <w:pPr>
        <w:pStyle w:val="SDText"/>
        <w:spacing w:after="0"/>
        <w:contextualSpacing/>
        <w:rPr>
          <w:szCs w:val="24"/>
        </w:rPr>
      </w:pPr>
      <w:r w:rsidRPr="00D2098A">
        <w:rPr>
          <w:szCs w:val="24"/>
        </w:rPr>
        <w:t>В каждой частотной группе нежелательные реакции представлены в порядке снижения серьезности.</w:t>
      </w:r>
    </w:p>
    <w:p w14:paraId="3637A692" w14:textId="45CA7D27" w:rsidR="00730F80" w:rsidRPr="00D2098A" w:rsidRDefault="00D2098A" w:rsidP="003F310C">
      <w:pPr>
        <w:pStyle w:val="SDText"/>
        <w:spacing w:after="0"/>
        <w:contextualSpacing/>
        <w:rPr>
          <w:szCs w:val="24"/>
        </w:rPr>
      </w:pPr>
      <w:r w:rsidRPr="005F38D7">
        <w:rPr>
          <w:rStyle w:val="28"/>
          <w:rFonts w:eastAsiaTheme="minorHAnsi"/>
          <w:b w:val="0"/>
          <w:sz w:val="24"/>
          <w:szCs w:val="24"/>
        </w:rPr>
        <w:t>Инфекции и инвазии</w:t>
      </w:r>
      <w:r w:rsidR="00730F80" w:rsidRPr="005F38D7">
        <w:rPr>
          <w:rStyle w:val="28"/>
          <w:rFonts w:eastAsiaTheme="minorHAnsi"/>
          <w:b w:val="0"/>
          <w:sz w:val="24"/>
          <w:szCs w:val="24"/>
        </w:rPr>
        <w:t>:</w:t>
      </w:r>
      <w:r w:rsidR="00730F80" w:rsidRPr="00D2098A">
        <w:rPr>
          <w:rStyle w:val="28"/>
          <w:rFonts w:eastAsiaTheme="minorHAnsi"/>
          <w:sz w:val="24"/>
          <w:szCs w:val="24"/>
        </w:rPr>
        <w:t xml:space="preserve"> </w:t>
      </w:r>
      <w:r w:rsidR="00730F80" w:rsidRPr="005F38D7">
        <w:rPr>
          <w:rStyle w:val="23"/>
          <w:rFonts w:eastAsiaTheme="minorHAnsi"/>
          <w:i w:val="0"/>
          <w:sz w:val="24"/>
          <w:szCs w:val="24"/>
        </w:rPr>
        <w:t>частые</w:t>
      </w:r>
      <w:r w:rsidR="00730F80" w:rsidRPr="00D2098A">
        <w:rPr>
          <w:szCs w:val="24"/>
        </w:rPr>
        <w:t xml:space="preserve"> – пневмония, опоясывающий герпес, бронхит, грипп, синусит, инфекции мочевого тракта, назофарингит, фарингит; </w:t>
      </w:r>
      <w:r w:rsidR="00730F80" w:rsidRPr="005F38D7">
        <w:rPr>
          <w:rStyle w:val="23"/>
          <w:rFonts w:eastAsiaTheme="minorHAnsi"/>
          <w:i w:val="0"/>
          <w:sz w:val="24"/>
          <w:szCs w:val="24"/>
        </w:rPr>
        <w:t>нечастые</w:t>
      </w:r>
      <w:r w:rsidR="00730F80" w:rsidRPr="00D2098A">
        <w:rPr>
          <w:rStyle w:val="23"/>
          <w:rFonts w:eastAsiaTheme="minorHAnsi"/>
          <w:sz w:val="24"/>
          <w:szCs w:val="24"/>
        </w:rPr>
        <w:t xml:space="preserve"> </w:t>
      </w:r>
      <w:r w:rsidR="00730F80" w:rsidRPr="00D2098A">
        <w:rPr>
          <w:szCs w:val="24"/>
        </w:rPr>
        <w:t xml:space="preserve">– туберкулез (в том числе диссеминированный туберкулез), дивертикулит, пиелонефрит, воспаление подкожной жировой клетчатки, вирусная инфекция, простой герпес, вирусный гастроэнтерит; </w:t>
      </w:r>
      <w:r w:rsidR="00730F80" w:rsidRPr="005F38D7">
        <w:rPr>
          <w:rStyle w:val="23"/>
          <w:rFonts w:eastAsiaTheme="minorHAnsi"/>
          <w:i w:val="0"/>
          <w:sz w:val="24"/>
          <w:szCs w:val="24"/>
        </w:rPr>
        <w:t>редкие</w:t>
      </w:r>
      <w:r w:rsidR="00730F80" w:rsidRPr="00D2098A">
        <w:rPr>
          <w:rStyle w:val="23"/>
          <w:rFonts w:eastAsiaTheme="minorHAnsi"/>
          <w:sz w:val="24"/>
          <w:szCs w:val="24"/>
        </w:rPr>
        <w:t xml:space="preserve"> -</w:t>
      </w:r>
      <w:r w:rsidR="00730F80" w:rsidRPr="00D2098A">
        <w:rPr>
          <w:szCs w:val="24"/>
        </w:rPr>
        <w:t xml:space="preserve"> сепсис, туберкулез центральной нервной системы (ЦНС)</w:t>
      </w:r>
      <w:r w:rsidR="00730F80" w:rsidRPr="00D2098A">
        <w:rPr>
          <w:szCs w:val="24"/>
          <w:vertAlign w:val="superscript"/>
        </w:rPr>
        <w:t>а</w:t>
      </w:r>
      <w:r w:rsidR="00730F80" w:rsidRPr="00D2098A">
        <w:rPr>
          <w:szCs w:val="24"/>
        </w:rPr>
        <w:t>, энцефалит</w:t>
      </w:r>
      <w:r w:rsidR="00F55EEE" w:rsidRPr="00F55EEE">
        <w:rPr>
          <w:szCs w:val="24"/>
          <w:vertAlign w:val="superscript"/>
        </w:rPr>
        <w:t>а</w:t>
      </w:r>
      <w:r w:rsidR="00730F80" w:rsidRPr="00D2098A">
        <w:rPr>
          <w:szCs w:val="24"/>
        </w:rPr>
        <w:t>, некротизирующий фасциит</w:t>
      </w:r>
      <w:r w:rsidR="00F55EEE" w:rsidRPr="00F55EEE">
        <w:rPr>
          <w:szCs w:val="24"/>
          <w:vertAlign w:val="superscript"/>
        </w:rPr>
        <w:t>а</w:t>
      </w:r>
      <w:r w:rsidR="00730F80" w:rsidRPr="00D2098A">
        <w:rPr>
          <w:szCs w:val="24"/>
        </w:rPr>
        <w:t>, криптококковый менингит</w:t>
      </w:r>
      <w:r w:rsidR="00F55EEE" w:rsidRPr="00F55EEE">
        <w:rPr>
          <w:szCs w:val="24"/>
          <w:vertAlign w:val="superscript"/>
        </w:rPr>
        <w:t>а</w:t>
      </w:r>
      <w:r w:rsidR="00730F80" w:rsidRPr="00D2098A">
        <w:rPr>
          <w:szCs w:val="24"/>
        </w:rPr>
        <w:t>, диссеминированный туберкулез, уросепсис</w:t>
      </w:r>
      <w:r w:rsidR="00F55EEE" w:rsidRPr="00F55EEE">
        <w:rPr>
          <w:szCs w:val="24"/>
          <w:vertAlign w:val="superscript"/>
        </w:rPr>
        <w:t>а</w:t>
      </w:r>
      <w:r w:rsidR="00730F80" w:rsidRPr="00D2098A">
        <w:rPr>
          <w:szCs w:val="24"/>
        </w:rPr>
        <w:t xml:space="preserve">, пневмония, вызванная </w:t>
      </w:r>
      <w:r w:rsidR="00730F80" w:rsidRPr="00D2098A">
        <w:rPr>
          <w:rStyle w:val="23"/>
          <w:rFonts w:eastAsiaTheme="minorHAnsi"/>
          <w:sz w:val="24"/>
          <w:szCs w:val="24"/>
          <w:lang w:val="en-US" w:bidi="en-US"/>
        </w:rPr>
        <w:t>Pneumocystis</w:t>
      </w:r>
      <w:r w:rsidR="00730F80" w:rsidRPr="00D2098A">
        <w:rPr>
          <w:rStyle w:val="23"/>
          <w:rFonts w:eastAsiaTheme="minorHAnsi"/>
          <w:sz w:val="24"/>
          <w:szCs w:val="24"/>
          <w:lang w:bidi="en-US"/>
        </w:rPr>
        <w:t xml:space="preserve"> </w:t>
      </w:r>
      <w:r w:rsidR="00730F80" w:rsidRPr="00D2098A">
        <w:rPr>
          <w:rStyle w:val="23"/>
          <w:rFonts w:eastAsiaTheme="minorHAnsi"/>
          <w:sz w:val="24"/>
          <w:szCs w:val="24"/>
          <w:lang w:val="en-US" w:bidi="en-US"/>
        </w:rPr>
        <w:t>jiroveci</w:t>
      </w:r>
      <w:r w:rsidR="00730F80" w:rsidRPr="00D2098A">
        <w:rPr>
          <w:rStyle w:val="23"/>
          <w:rFonts w:eastAsiaTheme="minorHAnsi"/>
          <w:sz w:val="24"/>
          <w:szCs w:val="24"/>
          <w:lang w:bidi="en-US"/>
        </w:rPr>
        <w:t xml:space="preserve">, </w:t>
      </w:r>
      <w:r w:rsidR="00730F80" w:rsidRPr="00D2098A">
        <w:rPr>
          <w:szCs w:val="24"/>
        </w:rPr>
        <w:t>пневмококковая пневмония</w:t>
      </w:r>
      <w:r w:rsidR="00F55EEE" w:rsidRPr="00F55EEE">
        <w:rPr>
          <w:szCs w:val="24"/>
          <w:vertAlign w:val="superscript"/>
        </w:rPr>
        <w:t>а</w:t>
      </w:r>
      <w:r w:rsidR="00730F80" w:rsidRPr="00D2098A">
        <w:rPr>
          <w:szCs w:val="24"/>
        </w:rPr>
        <w:t>, бактериальная пневмония, стафилококковая бактериемия</w:t>
      </w:r>
      <w:r w:rsidR="00524F40" w:rsidRPr="00524F40">
        <w:rPr>
          <w:szCs w:val="24"/>
          <w:vertAlign w:val="superscript"/>
        </w:rPr>
        <w:t>а</w:t>
      </w:r>
      <w:r w:rsidR="00730F80" w:rsidRPr="00D2098A">
        <w:rPr>
          <w:szCs w:val="24"/>
        </w:rPr>
        <w:t>, атипичная инфекция, вызванная микобактериями</w:t>
      </w:r>
      <w:r w:rsidR="00524F40" w:rsidRPr="00524F40">
        <w:rPr>
          <w:szCs w:val="24"/>
          <w:vertAlign w:val="superscript"/>
        </w:rPr>
        <w:t>а</w:t>
      </w:r>
      <w:r w:rsidR="00730F80" w:rsidRPr="00D2098A">
        <w:rPr>
          <w:szCs w:val="24"/>
        </w:rPr>
        <w:t xml:space="preserve">, инфекция, вызванная комплексом </w:t>
      </w:r>
      <w:r w:rsidR="00730F80" w:rsidRPr="00D2098A">
        <w:rPr>
          <w:rStyle w:val="23"/>
          <w:rFonts w:eastAsiaTheme="minorHAnsi"/>
          <w:sz w:val="24"/>
          <w:szCs w:val="24"/>
          <w:lang w:val="en-US" w:bidi="en-US"/>
        </w:rPr>
        <w:t>Mycobacterium</w:t>
      </w:r>
      <w:r w:rsidR="00730F80" w:rsidRPr="00D2098A">
        <w:rPr>
          <w:rStyle w:val="23"/>
          <w:rFonts w:eastAsiaTheme="minorHAnsi"/>
          <w:sz w:val="24"/>
          <w:szCs w:val="24"/>
          <w:lang w:bidi="en-US"/>
        </w:rPr>
        <w:t xml:space="preserve"> </w:t>
      </w:r>
      <w:r w:rsidR="00730F80" w:rsidRPr="00D2098A">
        <w:rPr>
          <w:rStyle w:val="23"/>
          <w:rFonts w:eastAsiaTheme="minorHAnsi"/>
          <w:sz w:val="24"/>
          <w:szCs w:val="24"/>
          <w:lang w:val="en-US" w:bidi="en-US"/>
        </w:rPr>
        <w:t>avium</w:t>
      </w:r>
      <w:r w:rsidR="00524F40" w:rsidRPr="00524F40">
        <w:rPr>
          <w:rStyle w:val="23"/>
          <w:rFonts w:eastAsiaTheme="minorHAnsi"/>
          <w:i w:val="0"/>
          <w:iCs w:val="0"/>
          <w:sz w:val="24"/>
          <w:szCs w:val="24"/>
          <w:vertAlign w:val="superscript"/>
          <w:lang w:bidi="en-US"/>
        </w:rPr>
        <w:t>а</w:t>
      </w:r>
      <w:r w:rsidR="00730F80" w:rsidRPr="00D2098A">
        <w:rPr>
          <w:rStyle w:val="23"/>
          <w:rFonts w:eastAsiaTheme="minorHAnsi"/>
          <w:sz w:val="24"/>
          <w:szCs w:val="24"/>
          <w:lang w:bidi="en-US"/>
        </w:rPr>
        <w:t>,</w:t>
      </w:r>
      <w:r w:rsidR="00730F80" w:rsidRPr="00D2098A">
        <w:rPr>
          <w:szCs w:val="24"/>
          <w:lang w:bidi="en-US"/>
        </w:rPr>
        <w:t xml:space="preserve"> </w:t>
      </w:r>
      <w:r w:rsidR="00730F80" w:rsidRPr="00D2098A">
        <w:rPr>
          <w:szCs w:val="24"/>
        </w:rPr>
        <w:t>цитомегаловирусная инфекция, бактериемия</w:t>
      </w:r>
      <w:r w:rsidR="00524F40" w:rsidRPr="00524F40">
        <w:rPr>
          <w:szCs w:val="24"/>
          <w:vertAlign w:val="superscript"/>
        </w:rPr>
        <w:t>а</w:t>
      </w:r>
      <w:r w:rsidR="00730F80" w:rsidRPr="00D2098A">
        <w:rPr>
          <w:szCs w:val="24"/>
        </w:rPr>
        <w:t>, бактериальный артрит</w:t>
      </w:r>
      <w:r w:rsidR="00524F40">
        <w:rPr>
          <w:szCs w:val="24"/>
          <w:vertAlign w:val="superscript"/>
        </w:rPr>
        <w:t>б</w:t>
      </w:r>
      <w:r w:rsidR="00730F80" w:rsidRPr="00D2098A">
        <w:rPr>
          <w:szCs w:val="24"/>
        </w:rPr>
        <w:t xml:space="preserve">. Среди пациентов, принимавших </w:t>
      </w:r>
      <w:r w:rsidR="0014424E" w:rsidRPr="0014424E">
        <w:rPr>
          <w:szCs w:val="24"/>
        </w:rPr>
        <w:t>тофацитиниб</w:t>
      </w:r>
      <w:r w:rsidR="00730F80" w:rsidRPr="00D2098A">
        <w:rPr>
          <w:szCs w:val="24"/>
        </w:rPr>
        <w:t>, частота серьезных инфекций была выше у лиц старше 65 лет, чем у лиц младше 65 лет.</w:t>
      </w:r>
    </w:p>
    <w:p w14:paraId="0FFE0A88" w14:textId="3C88D37A" w:rsidR="00730F80" w:rsidRPr="00D2098A" w:rsidRDefault="00730F80" w:rsidP="003F310C">
      <w:pPr>
        <w:pStyle w:val="SDText"/>
        <w:spacing w:after="0"/>
        <w:contextualSpacing/>
        <w:rPr>
          <w:szCs w:val="24"/>
        </w:rPr>
      </w:pPr>
      <w:r w:rsidRPr="005F38D7">
        <w:rPr>
          <w:rStyle w:val="28"/>
          <w:rFonts w:eastAsiaTheme="minorHAnsi"/>
          <w:b w:val="0"/>
          <w:sz w:val="24"/>
          <w:szCs w:val="24"/>
        </w:rPr>
        <w:t>Со стороны сердечно-сосудистой системы:</w:t>
      </w:r>
      <w:r w:rsidRPr="00D2098A">
        <w:rPr>
          <w:rStyle w:val="28"/>
          <w:rFonts w:eastAsiaTheme="minorHAnsi"/>
          <w:sz w:val="24"/>
          <w:szCs w:val="24"/>
        </w:rPr>
        <w:t xml:space="preserve"> </w:t>
      </w:r>
      <w:r w:rsidRPr="005F38D7">
        <w:rPr>
          <w:rStyle w:val="23"/>
          <w:rFonts w:eastAsiaTheme="minorHAnsi"/>
          <w:i w:val="0"/>
          <w:sz w:val="24"/>
          <w:szCs w:val="24"/>
        </w:rPr>
        <w:t>частые</w:t>
      </w:r>
      <w:r w:rsidRPr="00D2098A">
        <w:rPr>
          <w:rStyle w:val="23"/>
          <w:rFonts w:eastAsiaTheme="minorHAnsi"/>
          <w:sz w:val="24"/>
          <w:szCs w:val="24"/>
        </w:rPr>
        <w:t xml:space="preserve"> </w:t>
      </w:r>
      <w:r w:rsidRPr="00D2098A">
        <w:rPr>
          <w:szCs w:val="24"/>
        </w:rPr>
        <w:t xml:space="preserve">– повышение артериального давления; </w:t>
      </w:r>
      <w:r w:rsidRPr="00D2098A">
        <w:rPr>
          <w:rStyle w:val="23"/>
          <w:rFonts w:eastAsiaTheme="minorHAnsi"/>
          <w:sz w:val="24"/>
          <w:szCs w:val="24"/>
        </w:rPr>
        <w:t>нечастые</w:t>
      </w:r>
      <w:r w:rsidRPr="00D2098A">
        <w:rPr>
          <w:szCs w:val="24"/>
        </w:rPr>
        <w:t xml:space="preserve"> – венозная тромбоэмболия</w:t>
      </w:r>
      <w:r w:rsidR="00A61FE0">
        <w:rPr>
          <w:szCs w:val="24"/>
          <w:vertAlign w:val="superscript"/>
        </w:rPr>
        <w:t>д</w:t>
      </w:r>
      <w:r w:rsidRPr="00D2098A">
        <w:rPr>
          <w:szCs w:val="24"/>
        </w:rPr>
        <w:t>.</w:t>
      </w:r>
    </w:p>
    <w:p w14:paraId="1FE6C592" w14:textId="77777777" w:rsidR="00730F80" w:rsidRPr="00D2098A" w:rsidRDefault="00730F80" w:rsidP="003F310C">
      <w:pPr>
        <w:pStyle w:val="SDText"/>
        <w:spacing w:after="0"/>
        <w:contextualSpacing/>
        <w:rPr>
          <w:szCs w:val="24"/>
        </w:rPr>
      </w:pPr>
      <w:r w:rsidRPr="005F38D7">
        <w:rPr>
          <w:rStyle w:val="28"/>
          <w:rFonts w:eastAsiaTheme="minorHAnsi"/>
          <w:b w:val="0"/>
          <w:sz w:val="24"/>
          <w:szCs w:val="24"/>
        </w:rPr>
        <w:t>Со стороны пищеварительной системы:</w:t>
      </w:r>
      <w:r w:rsidRPr="00D2098A">
        <w:rPr>
          <w:rStyle w:val="28"/>
          <w:rFonts w:eastAsiaTheme="minorHAnsi"/>
          <w:sz w:val="24"/>
          <w:szCs w:val="24"/>
        </w:rPr>
        <w:t xml:space="preserve"> </w:t>
      </w:r>
      <w:r w:rsidRPr="005F38D7">
        <w:rPr>
          <w:rStyle w:val="23"/>
          <w:rFonts w:eastAsiaTheme="minorHAnsi"/>
          <w:i w:val="0"/>
          <w:sz w:val="24"/>
          <w:szCs w:val="24"/>
        </w:rPr>
        <w:t>частые</w:t>
      </w:r>
      <w:r w:rsidRPr="00D2098A">
        <w:rPr>
          <w:rStyle w:val="23"/>
          <w:rFonts w:eastAsiaTheme="minorHAnsi"/>
          <w:sz w:val="24"/>
          <w:szCs w:val="24"/>
        </w:rPr>
        <w:t xml:space="preserve"> </w:t>
      </w:r>
      <w:r w:rsidRPr="00D2098A">
        <w:rPr>
          <w:szCs w:val="24"/>
        </w:rPr>
        <w:t>– боль в животе, рвота, гастрит, диарея, тошнота, диспепсия.</w:t>
      </w:r>
    </w:p>
    <w:p w14:paraId="7336346C" w14:textId="77777777" w:rsidR="00730F80" w:rsidRPr="00D2098A" w:rsidRDefault="00730F80" w:rsidP="003F310C">
      <w:pPr>
        <w:pStyle w:val="SDText"/>
        <w:spacing w:after="0"/>
        <w:contextualSpacing/>
        <w:rPr>
          <w:szCs w:val="24"/>
        </w:rPr>
      </w:pPr>
      <w:r w:rsidRPr="005F38D7">
        <w:rPr>
          <w:rStyle w:val="28"/>
          <w:rFonts w:eastAsiaTheme="minorHAnsi"/>
          <w:b w:val="0"/>
          <w:sz w:val="24"/>
          <w:szCs w:val="24"/>
        </w:rPr>
        <w:t>Со стороны обмена веществ:</w:t>
      </w:r>
      <w:r w:rsidRPr="00D2098A">
        <w:rPr>
          <w:rStyle w:val="28"/>
          <w:rFonts w:eastAsiaTheme="minorHAnsi"/>
          <w:sz w:val="24"/>
          <w:szCs w:val="24"/>
        </w:rPr>
        <w:t xml:space="preserve"> </w:t>
      </w:r>
      <w:r w:rsidRPr="005F38D7">
        <w:rPr>
          <w:rStyle w:val="23"/>
          <w:rFonts w:eastAsiaTheme="minorHAnsi"/>
          <w:i w:val="0"/>
          <w:sz w:val="24"/>
          <w:szCs w:val="24"/>
        </w:rPr>
        <w:t>частые</w:t>
      </w:r>
      <w:r w:rsidRPr="00D2098A">
        <w:rPr>
          <w:rStyle w:val="23"/>
          <w:rFonts w:eastAsiaTheme="minorHAnsi"/>
          <w:sz w:val="24"/>
          <w:szCs w:val="24"/>
        </w:rPr>
        <w:t xml:space="preserve"> </w:t>
      </w:r>
      <w:r w:rsidRPr="00D2098A">
        <w:rPr>
          <w:szCs w:val="24"/>
        </w:rPr>
        <w:t xml:space="preserve">– гиперлипидемия; </w:t>
      </w:r>
      <w:r w:rsidRPr="00D2098A">
        <w:rPr>
          <w:rStyle w:val="23"/>
          <w:rFonts w:eastAsiaTheme="minorHAnsi"/>
          <w:sz w:val="24"/>
          <w:szCs w:val="24"/>
        </w:rPr>
        <w:t>нечастые</w:t>
      </w:r>
      <w:r w:rsidRPr="00D2098A">
        <w:rPr>
          <w:szCs w:val="24"/>
        </w:rPr>
        <w:t xml:space="preserve"> – дислипидемия, дегидратация.</w:t>
      </w:r>
    </w:p>
    <w:p w14:paraId="018610E5" w14:textId="77777777" w:rsidR="00730F80" w:rsidRPr="00D2098A" w:rsidRDefault="00730F80" w:rsidP="003F310C">
      <w:pPr>
        <w:pStyle w:val="SDText"/>
        <w:spacing w:after="0"/>
        <w:contextualSpacing/>
        <w:rPr>
          <w:rStyle w:val="45"/>
          <w:rFonts w:eastAsiaTheme="minorHAnsi"/>
          <w:szCs w:val="24"/>
        </w:rPr>
      </w:pPr>
      <w:r w:rsidRPr="005F38D7">
        <w:rPr>
          <w:bCs/>
          <w:i/>
          <w:iCs/>
          <w:szCs w:val="24"/>
        </w:rPr>
        <w:t>Со стороны нервной системы:</w:t>
      </w:r>
      <w:r w:rsidRPr="00D2098A">
        <w:rPr>
          <w:szCs w:val="24"/>
        </w:rPr>
        <w:t xml:space="preserve"> </w:t>
      </w:r>
      <w:r w:rsidRPr="005F38D7">
        <w:rPr>
          <w:rStyle w:val="44"/>
          <w:rFonts w:eastAsiaTheme="minorHAnsi"/>
          <w:b w:val="0"/>
          <w:bCs w:val="0"/>
          <w:i w:val="0"/>
          <w:szCs w:val="24"/>
        </w:rPr>
        <w:t>частые</w:t>
      </w:r>
      <w:r w:rsidRPr="00D2098A">
        <w:rPr>
          <w:rStyle w:val="45"/>
          <w:rFonts w:eastAsiaTheme="minorHAnsi"/>
          <w:szCs w:val="24"/>
        </w:rPr>
        <w:t xml:space="preserve"> </w:t>
      </w:r>
      <w:r w:rsidRPr="00D2098A">
        <w:rPr>
          <w:szCs w:val="24"/>
        </w:rPr>
        <w:t>–</w:t>
      </w:r>
      <w:r w:rsidRPr="00D2098A">
        <w:rPr>
          <w:rStyle w:val="45"/>
          <w:rFonts w:eastAsiaTheme="minorHAnsi"/>
          <w:szCs w:val="24"/>
        </w:rPr>
        <w:t xml:space="preserve"> </w:t>
      </w:r>
      <w:r w:rsidRPr="00D2098A">
        <w:rPr>
          <w:rStyle w:val="45"/>
          <w:rFonts w:eastAsiaTheme="minorHAnsi"/>
          <w:b w:val="0"/>
          <w:bCs w:val="0"/>
          <w:i w:val="0"/>
          <w:iCs w:val="0"/>
          <w:szCs w:val="24"/>
        </w:rPr>
        <w:t>головная боль;</w:t>
      </w:r>
      <w:r w:rsidRPr="00D2098A">
        <w:rPr>
          <w:rStyle w:val="45"/>
          <w:rFonts w:eastAsiaTheme="minorHAnsi"/>
          <w:szCs w:val="24"/>
        </w:rPr>
        <w:t xml:space="preserve"> </w:t>
      </w:r>
      <w:r w:rsidRPr="00D2098A">
        <w:rPr>
          <w:rStyle w:val="44"/>
          <w:rFonts w:eastAsiaTheme="minorHAnsi"/>
          <w:b w:val="0"/>
          <w:bCs w:val="0"/>
          <w:szCs w:val="24"/>
        </w:rPr>
        <w:t>нечастые</w:t>
      </w:r>
      <w:r w:rsidRPr="00D2098A">
        <w:rPr>
          <w:rStyle w:val="44"/>
          <w:rFonts w:eastAsiaTheme="minorHAnsi"/>
          <w:i w:val="0"/>
          <w:iCs w:val="0"/>
          <w:szCs w:val="24"/>
        </w:rPr>
        <w:t xml:space="preserve"> </w:t>
      </w:r>
      <w:r w:rsidRPr="00D2098A">
        <w:rPr>
          <w:szCs w:val="24"/>
        </w:rPr>
        <w:t>–</w:t>
      </w:r>
      <w:r w:rsidRPr="00D2098A">
        <w:rPr>
          <w:rStyle w:val="45"/>
          <w:rFonts w:eastAsiaTheme="minorHAnsi"/>
          <w:b w:val="0"/>
          <w:bCs w:val="0"/>
          <w:i w:val="0"/>
          <w:iCs w:val="0"/>
          <w:szCs w:val="24"/>
        </w:rPr>
        <w:t xml:space="preserve"> парестезия.</w:t>
      </w:r>
      <w:r w:rsidRPr="00D2098A">
        <w:rPr>
          <w:rStyle w:val="45"/>
          <w:rFonts w:eastAsiaTheme="minorHAnsi"/>
          <w:szCs w:val="24"/>
        </w:rPr>
        <w:t xml:space="preserve"> </w:t>
      </w:r>
    </w:p>
    <w:p w14:paraId="0F42C5D6" w14:textId="77777777" w:rsidR="00730F80" w:rsidRPr="00D2098A" w:rsidRDefault="00730F80" w:rsidP="003F310C">
      <w:pPr>
        <w:pStyle w:val="SDText"/>
        <w:spacing w:after="0"/>
        <w:contextualSpacing/>
        <w:rPr>
          <w:szCs w:val="24"/>
        </w:rPr>
      </w:pPr>
      <w:r w:rsidRPr="005F38D7">
        <w:rPr>
          <w:rStyle w:val="SDText0"/>
          <w:bCs/>
          <w:i/>
          <w:iCs/>
          <w:szCs w:val="24"/>
        </w:rPr>
        <w:t>Психические расстройства:</w:t>
      </w:r>
      <w:r w:rsidRPr="00D2098A">
        <w:rPr>
          <w:szCs w:val="24"/>
        </w:rPr>
        <w:t xml:space="preserve"> </w:t>
      </w:r>
      <w:r w:rsidRPr="005F38D7">
        <w:rPr>
          <w:rStyle w:val="44"/>
          <w:rFonts w:eastAsiaTheme="minorHAnsi"/>
          <w:b w:val="0"/>
          <w:bCs w:val="0"/>
          <w:i w:val="0"/>
          <w:szCs w:val="24"/>
        </w:rPr>
        <w:t>нечастые</w:t>
      </w:r>
      <w:r w:rsidRPr="00D2098A">
        <w:rPr>
          <w:rStyle w:val="44"/>
          <w:rFonts w:eastAsiaTheme="minorHAnsi"/>
          <w:b w:val="0"/>
          <w:bCs w:val="0"/>
          <w:i w:val="0"/>
          <w:iCs w:val="0"/>
          <w:szCs w:val="24"/>
        </w:rPr>
        <w:t xml:space="preserve"> </w:t>
      </w:r>
      <w:r w:rsidRPr="00D2098A">
        <w:rPr>
          <w:szCs w:val="24"/>
        </w:rPr>
        <w:t>–</w:t>
      </w:r>
      <w:r w:rsidRPr="00D2098A">
        <w:rPr>
          <w:rStyle w:val="45"/>
          <w:rFonts w:eastAsiaTheme="minorHAnsi"/>
          <w:szCs w:val="24"/>
        </w:rPr>
        <w:t xml:space="preserve"> </w:t>
      </w:r>
      <w:r w:rsidRPr="00D2098A">
        <w:rPr>
          <w:rStyle w:val="45"/>
          <w:rFonts w:eastAsiaTheme="minorHAnsi"/>
          <w:b w:val="0"/>
          <w:bCs w:val="0"/>
          <w:i w:val="0"/>
          <w:iCs w:val="0"/>
          <w:szCs w:val="24"/>
        </w:rPr>
        <w:t>бессонница.</w:t>
      </w:r>
    </w:p>
    <w:p w14:paraId="0FAC4F67" w14:textId="77777777" w:rsidR="00730F80" w:rsidRPr="00D2098A" w:rsidRDefault="00730F80" w:rsidP="003F310C">
      <w:pPr>
        <w:pStyle w:val="SDText"/>
        <w:spacing w:after="0"/>
        <w:contextualSpacing/>
        <w:rPr>
          <w:szCs w:val="24"/>
        </w:rPr>
      </w:pPr>
      <w:r w:rsidRPr="005F38D7">
        <w:rPr>
          <w:rStyle w:val="28"/>
          <w:rFonts w:eastAsiaTheme="minorHAnsi"/>
          <w:b w:val="0"/>
          <w:sz w:val="24"/>
          <w:szCs w:val="24"/>
        </w:rPr>
        <w:t>Со стороны скелетно-мышечной системы и соединительной ткани:</w:t>
      </w:r>
      <w:r w:rsidRPr="00D2098A">
        <w:rPr>
          <w:rStyle w:val="28"/>
          <w:rFonts w:eastAsiaTheme="minorHAnsi"/>
          <w:sz w:val="24"/>
          <w:szCs w:val="24"/>
        </w:rPr>
        <w:t xml:space="preserve"> </w:t>
      </w:r>
      <w:r w:rsidRPr="005F38D7">
        <w:rPr>
          <w:rStyle w:val="23"/>
          <w:rFonts w:eastAsiaTheme="minorHAnsi"/>
          <w:i w:val="0"/>
          <w:sz w:val="24"/>
          <w:szCs w:val="24"/>
        </w:rPr>
        <w:t>частые</w:t>
      </w:r>
      <w:r w:rsidRPr="00D2098A">
        <w:rPr>
          <w:rStyle w:val="23"/>
          <w:rFonts w:eastAsiaTheme="minorHAnsi"/>
          <w:sz w:val="24"/>
          <w:szCs w:val="24"/>
        </w:rPr>
        <w:t xml:space="preserve"> </w:t>
      </w:r>
      <w:r w:rsidRPr="00D2098A">
        <w:rPr>
          <w:szCs w:val="24"/>
        </w:rPr>
        <w:t>–</w:t>
      </w:r>
      <w:r w:rsidRPr="00D2098A">
        <w:rPr>
          <w:rStyle w:val="23"/>
          <w:rFonts w:eastAsiaTheme="minorHAnsi"/>
          <w:sz w:val="24"/>
          <w:szCs w:val="24"/>
        </w:rPr>
        <w:t xml:space="preserve"> </w:t>
      </w:r>
      <w:r w:rsidRPr="00D2098A">
        <w:rPr>
          <w:szCs w:val="24"/>
        </w:rPr>
        <w:t xml:space="preserve">артралгии; </w:t>
      </w:r>
      <w:r w:rsidRPr="005F38D7">
        <w:rPr>
          <w:rStyle w:val="23"/>
          <w:rFonts w:eastAsiaTheme="minorHAnsi"/>
          <w:i w:val="0"/>
          <w:sz w:val="24"/>
          <w:szCs w:val="24"/>
        </w:rPr>
        <w:t>нечастые</w:t>
      </w:r>
      <w:r w:rsidRPr="00D2098A">
        <w:rPr>
          <w:rStyle w:val="23"/>
          <w:rFonts w:eastAsiaTheme="minorHAnsi"/>
          <w:sz w:val="24"/>
          <w:szCs w:val="24"/>
        </w:rPr>
        <w:t xml:space="preserve"> </w:t>
      </w:r>
      <w:r w:rsidRPr="00D2098A">
        <w:rPr>
          <w:szCs w:val="24"/>
        </w:rPr>
        <w:t>–</w:t>
      </w:r>
      <w:r w:rsidRPr="00D2098A">
        <w:rPr>
          <w:b/>
          <w:bCs/>
          <w:szCs w:val="24"/>
        </w:rPr>
        <w:t xml:space="preserve"> </w:t>
      </w:r>
      <w:r w:rsidRPr="00D2098A">
        <w:rPr>
          <w:szCs w:val="24"/>
        </w:rPr>
        <w:t>боль в мышцах и костях, тендинит, отек суставов, мышечное напряжение.</w:t>
      </w:r>
    </w:p>
    <w:p w14:paraId="606EEB49" w14:textId="2E85636B" w:rsidR="00730F80" w:rsidRPr="00D2098A" w:rsidRDefault="00730F80" w:rsidP="003F310C">
      <w:pPr>
        <w:pStyle w:val="SDText"/>
        <w:spacing w:after="0"/>
        <w:contextualSpacing/>
        <w:rPr>
          <w:szCs w:val="24"/>
        </w:rPr>
      </w:pPr>
      <w:r w:rsidRPr="005F38D7">
        <w:rPr>
          <w:rStyle w:val="28"/>
          <w:rFonts w:eastAsiaTheme="minorHAnsi"/>
          <w:b w:val="0"/>
          <w:sz w:val="24"/>
          <w:szCs w:val="24"/>
        </w:rPr>
        <w:t>Со стороны крови и лимфатической системы:</w:t>
      </w:r>
      <w:r w:rsidRPr="00D2098A">
        <w:rPr>
          <w:rStyle w:val="28"/>
          <w:rFonts w:eastAsiaTheme="minorHAnsi"/>
          <w:sz w:val="24"/>
          <w:szCs w:val="24"/>
        </w:rPr>
        <w:t xml:space="preserve"> </w:t>
      </w:r>
      <w:r w:rsidRPr="005F38D7">
        <w:rPr>
          <w:rStyle w:val="23"/>
          <w:rFonts w:eastAsiaTheme="minorHAnsi"/>
          <w:i w:val="0"/>
          <w:sz w:val="24"/>
          <w:szCs w:val="24"/>
        </w:rPr>
        <w:t>частые</w:t>
      </w:r>
      <w:r w:rsidRPr="00D2098A">
        <w:rPr>
          <w:rStyle w:val="23"/>
          <w:rFonts w:eastAsiaTheme="minorHAnsi"/>
          <w:sz w:val="24"/>
          <w:szCs w:val="24"/>
        </w:rPr>
        <w:t xml:space="preserve"> </w:t>
      </w:r>
      <w:r w:rsidRPr="00D2098A">
        <w:rPr>
          <w:szCs w:val="24"/>
        </w:rPr>
        <w:t>–</w:t>
      </w:r>
      <w:r w:rsidRPr="00D2098A">
        <w:rPr>
          <w:b/>
          <w:bCs/>
          <w:szCs w:val="24"/>
        </w:rPr>
        <w:t xml:space="preserve"> </w:t>
      </w:r>
      <w:r w:rsidRPr="00D2098A">
        <w:rPr>
          <w:szCs w:val="24"/>
        </w:rPr>
        <w:t xml:space="preserve">анемия; </w:t>
      </w:r>
      <w:r w:rsidR="00EB02F0" w:rsidRPr="00D2098A">
        <w:rPr>
          <w:rStyle w:val="23"/>
          <w:rFonts w:eastAsiaTheme="minorHAnsi"/>
          <w:sz w:val="24"/>
          <w:szCs w:val="24"/>
        </w:rPr>
        <w:t>нечастые</w:t>
      </w:r>
      <w:r w:rsidR="00EB02F0" w:rsidRPr="00D2098A">
        <w:rPr>
          <w:szCs w:val="24"/>
        </w:rPr>
        <w:t xml:space="preserve"> </w:t>
      </w:r>
      <w:r w:rsidR="00EB02F0" w:rsidRPr="00D2098A">
        <w:rPr>
          <w:rStyle w:val="23"/>
          <w:rFonts w:eastAsiaTheme="minorHAnsi"/>
          <w:sz w:val="24"/>
          <w:szCs w:val="24"/>
        </w:rPr>
        <w:t>–</w:t>
      </w:r>
      <w:r w:rsidRPr="00D2098A">
        <w:rPr>
          <w:b/>
          <w:bCs/>
          <w:szCs w:val="24"/>
        </w:rPr>
        <w:t xml:space="preserve"> </w:t>
      </w:r>
      <w:r w:rsidRPr="00D2098A">
        <w:rPr>
          <w:szCs w:val="24"/>
        </w:rPr>
        <w:t>лейкопения, нейтропения, лимфопения.</w:t>
      </w:r>
    </w:p>
    <w:p w14:paraId="1A452EF1" w14:textId="77777777" w:rsidR="00730F80" w:rsidRPr="00D2098A" w:rsidRDefault="00730F80" w:rsidP="003F310C">
      <w:pPr>
        <w:pStyle w:val="SDText"/>
        <w:spacing w:after="0"/>
        <w:contextualSpacing/>
        <w:rPr>
          <w:szCs w:val="24"/>
        </w:rPr>
      </w:pPr>
      <w:r w:rsidRPr="00D2098A">
        <w:rPr>
          <w:szCs w:val="24"/>
        </w:rPr>
        <w:t>Подтвержденные случаи снижения числа лимфоцитов до уровня менее 500 клеток/мм</w:t>
      </w:r>
      <w:r w:rsidRPr="00D2098A">
        <w:rPr>
          <w:szCs w:val="24"/>
          <w:vertAlign w:val="superscript"/>
        </w:rPr>
        <w:t xml:space="preserve">3 </w:t>
      </w:r>
      <w:r w:rsidRPr="00D2098A">
        <w:rPr>
          <w:szCs w:val="24"/>
        </w:rPr>
        <w:t>сопровождались увеличением частоты подвергавшихся лечению и серьезных инфекций.</w:t>
      </w:r>
    </w:p>
    <w:p w14:paraId="6B26A66B" w14:textId="77777777" w:rsidR="00730F80" w:rsidRPr="00D2098A" w:rsidRDefault="00730F80" w:rsidP="003F310C">
      <w:pPr>
        <w:pStyle w:val="SDText"/>
        <w:spacing w:after="0"/>
        <w:contextualSpacing/>
        <w:rPr>
          <w:szCs w:val="24"/>
        </w:rPr>
      </w:pPr>
      <w:r w:rsidRPr="00D2098A">
        <w:rPr>
          <w:szCs w:val="24"/>
        </w:rPr>
        <w:t>Не выявлено какой-либо четкой зависимости между нейтропенией и возникновением серьезных инфекций.</w:t>
      </w:r>
    </w:p>
    <w:p w14:paraId="44CB5307" w14:textId="77777777" w:rsidR="00730F80" w:rsidRPr="00D2098A" w:rsidRDefault="00730F80" w:rsidP="003F310C">
      <w:pPr>
        <w:pStyle w:val="SDText"/>
        <w:spacing w:after="0"/>
        <w:contextualSpacing/>
        <w:rPr>
          <w:szCs w:val="24"/>
        </w:rPr>
      </w:pPr>
      <w:r w:rsidRPr="005F38D7">
        <w:rPr>
          <w:bCs/>
          <w:i/>
          <w:iCs/>
          <w:szCs w:val="24"/>
        </w:rPr>
        <w:t>Со стороны иммунной системы:</w:t>
      </w:r>
      <w:r w:rsidRPr="005F38D7">
        <w:rPr>
          <w:szCs w:val="24"/>
        </w:rPr>
        <w:t xml:space="preserve"> </w:t>
      </w:r>
      <w:r w:rsidRPr="005F38D7">
        <w:rPr>
          <w:rStyle w:val="44"/>
          <w:rFonts w:eastAsiaTheme="minorHAnsi"/>
          <w:b w:val="0"/>
          <w:bCs w:val="0"/>
          <w:i w:val="0"/>
          <w:szCs w:val="24"/>
        </w:rPr>
        <w:t>нечастые</w:t>
      </w:r>
      <w:r w:rsidRPr="00D2098A">
        <w:rPr>
          <w:rStyle w:val="44"/>
          <w:rFonts w:eastAsiaTheme="minorHAnsi"/>
          <w:b w:val="0"/>
          <w:bCs w:val="0"/>
          <w:i w:val="0"/>
          <w:iCs w:val="0"/>
          <w:szCs w:val="24"/>
        </w:rPr>
        <w:t xml:space="preserve"> </w:t>
      </w:r>
      <w:r w:rsidRPr="00D2098A">
        <w:rPr>
          <w:rStyle w:val="44"/>
          <w:rFonts w:eastAsiaTheme="minorHAnsi"/>
          <w:b w:val="0"/>
          <w:bCs w:val="0"/>
          <w:szCs w:val="24"/>
        </w:rPr>
        <w:t>–</w:t>
      </w:r>
      <w:r w:rsidRPr="00D2098A">
        <w:rPr>
          <w:rStyle w:val="45"/>
          <w:rFonts w:eastAsiaTheme="minorHAnsi"/>
          <w:b w:val="0"/>
          <w:bCs w:val="0"/>
          <w:i w:val="0"/>
          <w:iCs w:val="0"/>
          <w:szCs w:val="24"/>
        </w:rPr>
        <w:t xml:space="preserve"> гиперчувствительность</w:t>
      </w:r>
      <w:r w:rsidRPr="00D2098A">
        <w:rPr>
          <w:rStyle w:val="45"/>
          <w:rFonts w:eastAsiaTheme="minorHAnsi"/>
          <w:b w:val="0"/>
          <w:bCs w:val="0"/>
          <w:i w:val="0"/>
          <w:iCs w:val="0"/>
          <w:szCs w:val="24"/>
          <w:vertAlign w:val="superscript"/>
        </w:rPr>
        <w:t>г</w:t>
      </w:r>
    </w:p>
    <w:p w14:paraId="473D0CA2" w14:textId="77777777" w:rsidR="00730F80" w:rsidRPr="00D2098A" w:rsidRDefault="00730F80" w:rsidP="003F310C">
      <w:pPr>
        <w:pStyle w:val="SDText"/>
        <w:spacing w:after="0"/>
        <w:contextualSpacing/>
        <w:rPr>
          <w:szCs w:val="24"/>
        </w:rPr>
      </w:pPr>
      <w:r w:rsidRPr="005F38D7">
        <w:rPr>
          <w:bCs/>
          <w:i/>
          <w:iCs/>
          <w:szCs w:val="24"/>
        </w:rPr>
        <w:t>Со стороны дыхательной системы:</w:t>
      </w:r>
      <w:r w:rsidRPr="00D2098A">
        <w:rPr>
          <w:szCs w:val="24"/>
        </w:rPr>
        <w:t xml:space="preserve"> </w:t>
      </w:r>
      <w:r w:rsidRPr="005F38D7">
        <w:rPr>
          <w:rStyle w:val="44"/>
          <w:rFonts w:eastAsiaTheme="minorHAnsi"/>
          <w:b w:val="0"/>
          <w:bCs w:val="0"/>
          <w:i w:val="0"/>
          <w:szCs w:val="24"/>
        </w:rPr>
        <w:t>частые</w:t>
      </w:r>
      <w:r w:rsidRPr="00D2098A">
        <w:rPr>
          <w:rStyle w:val="44"/>
          <w:rFonts w:eastAsiaTheme="minorHAnsi"/>
          <w:b w:val="0"/>
          <w:bCs w:val="0"/>
          <w:szCs w:val="24"/>
        </w:rPr>
        <w:t xml:space="preserve"> –</w:t>
      </w:r>
      <w:r w:rsidRPr="00D2098A">
        <w:rPr>
          <w:rStyle w:val="45"/>
          <w:rFonts w:eastAsiaTheme="minorHAnsi"/>
          <w:b w:val="0"/>
          <w:bCs w:val="0"/>
          <w:szCs w:val="24"/>
        </w:rPr>
        <w:t xml:space="preserve"> </w:t>
      </w:r>
      <w:r w:rsidRPr="00D2098A">
        <w:rPr>
          <w:rStyle w:val="45"/>
          <w:rFonts w:eastAsiaTheme="minorHAnsi"/>
          <w:b w:val="0"/>
          <w:bCs w:val="0"/>
          <w:i w:val="0"/>
          <w:iCs w:val="0"/>
          <w:szCs w:val="24"/>
        </w:rPr>
        <w:t>кашель;</w:t>
      </w:r>
      <w:r w:rsidRPr="00D2098A">
        <w:rPr>
          <w:rStyle w:val="45"/>
          <w:rFonts w:eastAsiaTheme="minorHAnsi"/>
          <w:b w:val="0"/>
          <w:bCs w:val="0"/>
          <w:szCs w:val="24"/>
        </w:rPr>
        <w:t xml:space="preserve"> </w:t>
      </w:r>
      <w:r w:rsidRPr="005F38D7">
        <w:rPr>
          <w:rStyle w:val="44"/>
          <w:rFonts w:eastAsiaTheme="minorHAnsi"/>
          <w:b w:val="0"/>
          <w:bCs w:val="0"/>
          <w:i w:val="0"/>
          <w:szCs w:val="24"/>
        </w:rPr>
        <w:t>нечастые</w:t>
      </w:r>
      <w:r w:rsidRPr="00D2098A">
        <w:rPr>
          <w:rStyle w:val="44"/>
          <w:rFonts w:eastAsiaTheme="minorHAnsi"/>
          <w:b w:val="0"/>
          <w:bCs w:val="0"/>
          <w:szCs w:val="24"/>
        </w:rPr>
        <w:t xml:space="preserve"> –</w:t>
      </w:r>
      <w:r w:rsidRPr="00D2098A">
        <w:rPr>
          <w:rStyle w:val="45"/>
          <w:rFonts w:eastAsiaTheme="minorHAnsi"/>
          <w:b w:val="0"/>
          <w:bCs w:val="0"/>
          <w:szCs w:val="24"/>
        </w:rPr>
        <w:t xml:space="preserve"> </w:t>
      </w:r>
      <w:r w:rsidRPr="00D2098A">
        <w:rPr>
          <w:rStyle w:val="45"/>
          <w:rFonts w:eastAsiaTheme="minorHAnsi"/>
          <w:b w:val="0"/>
          <w:bCs w:val="0"/>
          <w:i w:val="0"/>
          <w:iCs w:val="0"/>
          <w:szCs w:val="24"/>
        </w:rPr>
        <w:t xml:space="preserve">одышка, застойные </w:t>
      </w:r>
      <w:r w:rsidRPr="0041720B">
        <w:rPr>
          <w:szCs w:val="24"/>
        </w:rPr>
        <w:t>явления в придаточных пазухах носа.</w:t>
      </w:r>
    </w:p>
    <w:p w14:paraId="0C1A7B92" w14:textId="77777777" w:rsidR="00730F80" w:rsidRPr="00D2098A" w:rsidRDefault="00730F80" w:rsidP="003F310C">
      <w:pPr>
        <w:pStyle w:val="SDText"/>
        <w:spacing w:after="0"/>
        <w:contextualSpacing/>
        <w:rPr>
          <w:szCs w:val="24"/>
        </w:rPr>
      </w:pPr>
      <w:r w:rsidRPr="005F38D7">
        <w:rPr>
          <w:rStyle w:val="28"/>
          <w:rFonts w:eastAsiaTheme="minorHAnsi"/>
          <w:b w:val="0"/>
          <w:sz w:val="24"/>
          <w:szCs w:val="24"/>
        </w:rPr>
        <w:t>Со стороны кожных покровов:</w:t>
      </w:r>
      <w:r w:rsidRPr="00D2098A">
        <w:rPr>
          <w:rStyle w:val="28"/>
          <w:rFonts w:eastAsiaTheme="minorHAnsi"/>
          <w:sz w:val="24"/>
          <w:szCs w:val="24"/>
        </w:rPr>
        <w:t xml:space="preserve"> </w:t>
      </w:r>
      <w:r w:rsidRPr="005F38D7">
        <w:rPr>
          <w:rStyle w:val="23"/>
          <w:rFonts w:eastAsiaTheme="minorHAnsi"/>
          <w:i w:val="0"/>
          <w:sz w:val="24"/>
          <w:szCs w:val="24"/>
        </w:rPr>
        <w:t>частые</w:t>
      </w:r>
      <w:r w:rsidRPr="00D2098A">
        <w:rPr>
          <w:rStyle w:val="23"/>
          <w:rFonts w:eastAsiaTheme="minorHAnsi"/>
          <w:sz w:val="24"/>
          <w:szCs w:val="24"/>
        </w:rPr>
        <w:t xml:space="preserve"> </w:t>
      </w:r>
      <w:r w:rsidRPr="00D2098A">
        <w:rPr>
          <w:rStyle w:val="44"/>
          <w:rFonts w:eastAsiaTheme="minorHAnsi"/>
          <w:szCs w:val="24"/>
        </w:rPr>
        <w:t>–</w:t>
      </w:r>
      <w:r w:rsidRPr="00D2098A">
        <w:rPr>
          <w:szCs w:val="24"/>
        </w:rPr>
        <w:t xml:space="preserve"> сыпь; </w:t>
      </w:r>
      <w:r w:rsidRPr="005F38D7">
        <w:rPr>
          <w:rStyle w:val="23"/>
          <w:rFonts w:eastAsiaTheme="minorHAnsi"/>
          <w:i w:val="0"/>
          <w:sz w:val="24"/>
          <w:szCs w:val="24"/>
        </w:rPr>
        <w:t>нечастые</w:t>
      </w:r>
      <w:r w:rsidRPr="00D2098A">
        <w:rPr>
          <w:szCs w:val="24"/>
        </w:rPr>
        <w:t xml:space="preserve"> </w:t>
      </w:r>
      <w:r w:rsidRPr="00D2098A">
        <w:rPr>
          <w:rStyle w:val="44"/>
          <w:rFonts w:eastAsiaTheme="minorHAnsi"/>
          <w:szCs w:val="24"/>
        </w:rPr>
        <w:t>–</w:t>
      </w:r>
      <w:r w:rsidRPr="00D2098A">
        <w:rPr>
          <w:szCs w:val="24"/>
        </w:rPr>
        <w:t xml:space="preserve"> кожный зуд, эритема.</w:t>
      </w:r>
    </w:p>
    <w:p w14:paraId="6F0345E9" w14:textId="77777777" w:rsidR="00730F80" w:rsidRPr="00D2098A" w:rsidRDefault="00730F80" w:rsidP="003F310C">
      <w:pPr>
        <w:pStyle w:val="SDText"/>
        <w:spacing w:after="0"/>
        <w:contextualSpacing/>
        <w:rPr>
          <w:rStyle w:val="45"/>
          <w:rFonts w:eastAsiaTheme="minorHAnsi"/>
          <w:szCs w:val="24"/>
        </w:rPr>
      </w:pPr>
      <w:r w:rsidRPr="005F38D7">
        <w:rPr>
          <w:bCs/>
          <w:i/>
          <w:iCs/>
          <w:szCs w:val="24"/>
        </w:rPr>
        <w:lastRenderedPageBreak/>
        <w:t>Со стороны печени и желчевыводящих путей:</w:t>
      </w:r>
      <w:r w:rsidRPr="00D2098A">
        <w:rPr>
          <w:szCs w:val="24"/>
        </w:rPr>
        <w:t xml:space="preserve"> </w:t>
      </w:r>
      <w:r w:rsidRPr="005F38D7">
        <w:rPr>
          <w:rStyle w:val="44"/>
          <w:rFonts w:eastAsiaTheme="minorHAnsi"/>
          <w:b w:val="0"/>
          <w:bCs w:val="0"/>
          <w:i w:val="0"/>
          <w:szCs w:val="24"/>
        </w:rPr>
        <w:t>нечастые</w:t>
      </w:r>
      <w:r w:rsidRPr="00D2098A">
        <w:rPr>
          <w:rStyle w:val="45"/>
          <w:rFonts w:eastAsiaTheme="minorHAnsi"/>
          <w:szCs w:val="24"/>
        </w:rPr>
        <w:t xml:space="preserve"> </w:t>
      </w:r>
      <w:r w:rsidRPr="00D2098A">
        <w:rPr>
          <w:rStyle w:val="44"/>
          <w:rFonts w:eastAsiaTheme="minorHAnsi"/>
          <w:b w:val="0"/>
          <w:bCs w:val="0"/>
          <w:i w:val="0"/>
          <w:iCs w:val="0"/>
          <w:szCs w:val="24"/>
        </w:rPr>
        <w:t>–</w:t>
      </w:r>
      <w:r w:rsidRPr="00D2098A">
        <w:rPr>
          <w:rStyle w:val="45"/>
          <w:rFonts w:eastAsiaTheme="minorHAnsi"/>
          <w:b w:val="0"/>
          <w:bCs w:val="0"/>
          <w:i w:val="0"/>
          <w:iCs w:val="0"/>
          <w:szCs w:val="24"/>
        </w:rPr>
        <w:t xml:space="preserve"> жировой гепатоз.</w:t>
      </w:r>
    </w:p>
    <w:p w14:paraId="6B9DEC7C" w14:textId="11FA603E" w:rsidR="00730F80" w:rsidRPr="00D2098A" w:rsidRDefault="00730F80" w:rsidP="003F310C">
      <w:pPr>
        <w:pStyle w:val="SDText"/>
        <w:spacing w:after="0"/>
        <w:contextualSpacing/>
        <w:rPr>
          <w:szCs w:val="24"/>
        </w:rPr>
      </w:pPr>
      <w:r w:rsidRPr="005F38D7">
        <w:rPr>
          <w:bCs/>
          <w:i/>
          <w:iCs/>
          <w:szCs w:val="24"/>
        </w:rPr>
        <w:t>Доброкачественные, злокачественные и неуточненные новообразования (включая кисты и полипы):</w:t>
      </w:r>
      <w:r w:rsidRPr="005F38D7">
        <w:rPr>
          <w:szCs w:val="24"/>
        </w:rPr>
        <w:t xml:space="preserve"> </w:t>
      </w:r>
      <w:r w:rsidRPr="005F38D7">
        <w:rPr>
          <w:rStyle w:val="44"/>
          <w:rFonts w:eastAsiaTheme="minorHAnsi"/>
          <w:b w:val="0"/>
          <w:bCs w:val="0"/>
          <w:i w:val="0"/>
          <w:szCs w:val="24"/>
        </w:rPr>
        <w:t>нечастые</w:t>
      </w:r>
      <w:r w:rsidRPr="00D2098A">
        <w:rPr>
          <w:rStyle w:val="44"/>
          <w:rFonts w:eastAsiaTheme="minorHAnsi"/>
          <w:i w:val="0"/>
          <w:iCs w:val="0"/>
          <w:szCs w:val="24"/>
        </w:rPr>
        <w:t xml:space="preserve"> </w:t>
      </w:r>
      <w:r w:rsidRPr="00D2098A">
        <w:rPr>
          <w:rStyle w:val="44"/>
          <w:rFonts w:eastAsiaTheme="minorHAnsi"/>
          <w:b w:val="0"/>
          <w:bCs w:val="0"/>
          <w:i w:val="0"/>
          <w:iCs w:val="0"/>
          <w:szCs w:val="24"/>
        </w:rPr>
        <w:t>–</w:t>
      </w:r>
      <w:r w:rsidRPr="00D2098A">
        <w:rPr>
          <w:rStyle w:val="45"/>
          <w:rFonts w:eastAsiaTheme="minorHAnsi"/>
          <w:b w:val="0"/>
          <w:bCs w:val="0"/>
          <w:i w:val="0"/>
          <w:iCs w:val="0"/>
          <w:szCs w:val="24"/>
        </w:rPr>
        <w:t xml:space="preserve"> рак кожи, не связанный с меланомой</w:t>
      </w:r>
      <w:r w:rsidR="00D73766">
        <w:rPr>
          <w:rStyle w:val="45"/>
          <w:rFonts w:eastAsiaTheme="minorHAnsi"/>
          <w:b w:val="0"/>
          <w:bCs w:val="0"/>
          <w:i w:val="0"/>
          <w:iCs w:val="0"/>
          <w:szCs w:val="24"/>
          <w:vertAlign w:val="superscript"/>
        </w:rPr>
        <w:t>в</w:t>
      </w:r>
      <w:r w:rsidRPr="00D2098A">
        <w:rPr>
          <w:rStyle w:val="45"/>
          <w:rFonts w:eastAsiaTheme="minorHAnsi"/>
          <w:b w:val="0"/>
          <w:bCs w:val="0"/>
          <w:i w:val="0"/>
          <w:iCs w:val="0"/>
          <w:szCs w:val="24"/>
        </w:rPr>
        <w:t>.</w:t>
      </w:r>
    </w:p>
    <w:p w14:paraId="2486402B" w14:textId="68EE5116" w:rsidR="00730F80" w:rsidRPr="00FF0540" w:rsidRDefault="00730F80" w:rsidP="003F310C">
      <w:pPr>
        <w:pStyle w:val="SDText"/>
        <w:spacing w:after="0"/>
        <w:contextualSpacing/>
      </w:pPr>
      <w:r w:rsidRPr="005F38D7">
        <w:rPr>
          <w:rStyle w:val="28"/>
          <w:rFonts w:eastAsiaTheme="minorHAnsi"/>
          <w:b w:val="0"/>
          <w:sz w:val="24"/>
          <w:szCs w:val="24"/>
        </w:rPr>
        <w:t>Нарушения, выявленные при клинических и лабораторных исследованиях:</w:t>
      </w:r>
      <w:r w:rsidRPr="00D2098A">
        <w:rPr>
          <w:rStyle w:val="28"/>
          <w:rFonts w:eastAsiaTheme="minorHAnsi"/>
          <w:sz w:val="24"/>
          <w:szCs w:val="24"/>
        </w:rPr>
        <w:t xml:space="preserve"> </w:t>
      </w:r>
      <w:r w:rsidRPr="005F38D7">
        <w:rPr>
          <w:rStyle w:val="23"/>
          <w:rFonts w:eastAsiaTheme="minorHAnsi"/>
          <w:i w:val="0"/>
          <w:sz w:val="24"/>
          <w:szCs w:val="24"/>
        </w:rPr>
        <w:t>частые</w:t>
      </w:r>
      <w:r w:rsidRPr="00D2098A">
        <w:rPr>
          <w:rStyle w:val="23"/>
          <w:rFonts w:eastAsiaTheme="minorHAnsi"/>
          <w:sz w:val="24"/>
          <w:szCs w:val="24"/>
        </w:rPr>
        <w:t xml:space="preserve"> </w:t>
      </w:r>
      <w:r w:rsidRPr="00D2098A">
        <w:rPr>
          <w:rStyle w:val="44"/>
          <w:rFonts w:eastAsiaTheme="minorHAnsi"/>
          <w:b w:val="0"/>
          <w:bCs w:val="0"/>
          <w:szCs w:val="24"/>
        </w:rPr>
        <w:t>–</w:t>
      </w:r>
      <w:r w:rsidRPr="00D2098A">
        <w:rPr>
          <w:rStyle w:val="23"/>
          <w:rFonts w:eastAsiaTheme="minorHAnsi"/>
          <w:sz w:val="24"/>
          <w:szCs w:val="24"/>
        </w:rPr>
        <w:t xml:space="preserve"> </w:t>
      </w:r>
      <w:r w:rsidRPr="00D2098A">
        <w:rPr>
          <w:szCs w:val="24"/>
        </w:rPr>
        <w:t>повышение концентрации гаммаглутамилтрансферазы (ГГТ), КФК, холестерина крови (в клинических исследованиях впервые отмечались после первого месяца терапии и в дальнейшем оставались стабильными</w:t>
      </w:r>
      <w:r w:rsidRPr="00FF0540">
        <w:t xml:space="preserve">), повышение массы тела; </w:t>
      </w:r>
      <w:r w:rsidRPr="005F38D7">
        <w:rPr>
          <w:rStyle w:val="23"/>
          <w:rFonts w:eastAsiaTheme="minorHAnsi"/>
          <w:i w:val="0"/>
          <w:sz w:val="24"/>
          <w:szCs w:val="24"/>
        </w:rPr>
        <w:t>нечастые</w:t>
      </w:r>
      <w:r w:rsidRPr="00FF0540">
        <w:t xml:space="preserve"> </w:t>
      </w:r>
      <w:r w:rsidRPr="00FF0540">
        <w:rPr>
          <w:rStyle w:val="44"/>
          <w:rFonts w:eastAsiaTheme="minorHAnsi"/>
          <w:b w:val="0"/>
          <w:bCs w:val="0"/>
          <w:szCs w:val="24"/>
        </w:rPr>
        <w:t>–</w:t>
      </w:r>
      <w:r w:rsidRPr="00FF0540">
        <w:t xml:space="preserve"> повышение активности ферментов печени, повышение активности трансаминаз, повышение концентрации креатинина в плазме крови, нарушение функциональных проб печени, повышение концентрации липопротеидов низкой плотности (ЛПНП). При повышении активности печеночных ферментов снижение дозы сопутствующего БПВП, отмена или снижение дозы </w:t>
      </w:r>
      <w:r w:rsidR="00417483" w:rsidRPr="00417483">
        <w:t xml:space="preserve">тофацитиниба </w:t>
      </w:r>
      <w:r w:rsidRPr="00FF0540">
        <w:t>приводила к уменьшению или нормализации данного параметра.</w:t>
      </w:r>
    </w:p>
    <w:p w14:paraId="4D58737C" w14:textId="77777777" w:rsidR="00730F80" w:rsidRPr="00FF0540" w:rsidRDefault="00730F80" w:rsidP="003F310C">
      <w:pPr>
        <w:pStyle w:val="SDText"/>
        <w:spacing w:after="0"/>
        <w:contextualSpacing/>
      </w:pPr>
      <w:r w:rsidRPr="005F38D7">
        <w:rPr>
          <w:rStyle w:val="28"/>
          <w:rFonts w:eastAsiaTheme="minorHAnsi"/>
          <w:b w:val="0"/>
          <w:sz w:val="24"/>
          <w:szCs w:val="24"/>
        </w:rPr>
        <w:t>Общие нарушения и реакции в месте введения:</w:t>
      </w:r>
      <w:r w:rsidRPr="00FF0540">
        <w:rPr>
          <w:rStyle w:val="28"/>
          <w:rFonts w:eastAsiaTheme="minorHAnsi"/>
          <w:sz w:val="24"/>
          <w:szCs w:val="24"/>
        </w:rPr>
        <w:t xml:space="preserve"> </w:t>
      </w:r>
      <w:r w:rsidRPr="005F38D7">
        <w:rPr>
          <w:rStyle w:val="23"/>
          <w:rFonts w:eastAsiaTheme="minorHAnsi"/>
          <w:i w:val="0"/>
          <w:sz w:val="24"/>
          <w:szCs w:val="24"/>
        </w:rPr>
        <w:t>частые</w:t>
      </w:r>
      <w:r w:rsidRPr="00FF0540">
        <w:t xml:space="preserve"> </w:t>
      </w:r>
      <w:r w:rsidRPr="00FF0540">
        <w:rPr>
          <w:rStyle w:val="44"/>
          <w:rFonts w:eastAsiaTheme="minorHAnsi"/>
          <w:b w:val="0"/>
          <w:bCs w:val="0"/>
          <w:szCs w:val="24"/>
        </w:rPr>
        <w:t>–</w:t>
      </w:r>
      <w:r w:rsidRPr="00FF0540">
        <w:t xml:space="preserve"> лихорадка, утомляемость, периферические отеки.</w:t>
      </w:r>
    </w:p>
    <w:p w14:paraId="555328EC" w14:textId="77777777" w:rsidR="00730F80" w:rsidRPr="00FF0540" w:rsidRDefault="00730F80" w:rsidP="003F310C">
      <w:pPr>
        <w:pStyle w:val="SDText"/>
        <w:spacing w:after="0"/>
        <w:contextualSpacing/>
      </w:pPr>
      <w:r w:rsidRPr="005F38D7">
        <w:rPr>
          <w:bCs/>
          <w:i/>
          <w:iCs/>
        </w:rPr>
        <w:t>Травмы, интоксикации и осложнения манипуляций:</w:t>
      </w:r>
      <w:r w:rsidRPr="00FF0540">
        <w:t xml:space="preserve"> </w:t>
      </w:r>
      <w:r w:rsidRPr="005F38D7">
        <w:rPr>
          <w:rStyle w:val="44"/>
          <w:rFonts w:eastAsiaTheme="minorHAnsi"/>
          <w:b w:val="0"/>
          <w:bCs w:val="0"/>
          <w:i w:val="0"/>
          <w:szCs w:val="24"/>
        </w:rPr>
        <w:t>нечастые</w:t>
      </w:r>
      <w:r w:rsidRPr="00FF0540">
        <w:rPr>
          <w:rStyle w:val="45"/>
          <w:rFonts w:eastAsiaTheme="minorHAnsi"/>
          <w:szCs w:val="24"/>
        </w:rPr>
        <w:t xml:space="preserve"> </w:t>
      </w:r>
      <w:r w:rsidRPr="0091740A">
        <w:rPr>
          <w:rStyle w:val="44"/>
          <w:rFonts w:eastAsiaTheme="minorHAnsi"/>
          <w:b w:val="0"/>
          <w:bCs w:val="0"/>
          <w:i w:val="0"/>
          <w:iCs w:val="0"/>
          <w:szCs w:val="24"/>
        </w:rPr>
        <w:t>–</w:t>
      </w:r>
      <w:r w:rsidRPr="0091740A">
        <w:rPr>
          <w:rStyle w:val="45"/>
          <w:rFonts w:eastAsiaTheme="minorHAnsi"/>
          <w:b w:val="0"/>
          <w:bCs w:val="0"/>
          <w:i w:val="0"/>
          <w:iCs w:val="0"/>
          <w:szCs w:val="24"/>
        </w:rPr>
        <w:t xml:space="preserve"> растяжение связок, растяжение мышц.</w:t>
      </w:r>
    </w:p>
    <w:p w14:paraId="7255CD82" w14:textId="77777777" w:rsidR="00730F80" w:rsidRPr="00E975BD" w:rsidRDefault="00730F80" w:rsidP="003F310C">
      <w:pPr>
        <w:pStyle w:val="SDText"/>
        <w:spacing w:after="0"/>
        <w:contextualSpacing/>
        <w:rPr>
          <w:sz w:val="20"/>
          <w:szCs w:val="20"/>
        </w:rPr>
      </w:pPr>
      <w:r w:rsidRPr="00E975BD">
        <w:rPr>
          <w:sz w:val="20"/>
          <w:szCs w:val="20"/>
          <w:vertAlign w:val="superscript"/>
        </w:rPr>
        <w:t>а</w:t>
      </w:r>
      <w:r w:rsidRPr="00E975BD">
        <w:rPr>
          <w:sz w:val="20"/>
          <w:szCs w:val="20"/>
        </w:rPr>
        <w:t xml:space="preserve"> Нежелательные лекарственные реакции были зарегистрированы только в открытых, долгосрочных, дополнительных исследованиях; поэтому была оценена частота этих нежелательных лекарственных реакций в ходе рандомизированных исследований фазы 3. </w:t>
      </w:r>
    </w:p>
    <w:p w14:paraId="60B9E405" w14:textId="77777777" w:rsidR="00730F80" w:rsidRPr="00E975BD" w:rsidRDefault="00730F80" w:rsidP="003F310C">
      <w:pPr>
        <w:pStyle w:val="SDText"/>
        <w:spacing w:after="0"/>
        <w:contextualSpacing/>
        <w:rPr>
          <w:sz w:val="20"/>
          <w:szCs w:val="20"/>
        </w:rPr>
      </w:pPr>
      <w:r w:rsidRPr="00E975BD">
        <w:rPr>
          <w:sz w:val="20"/>
          <w:szCs w:val="20"/>
          <w:vertAlign w:val="superscript"/>
        </w:rPr>
        <w:t>6</w:t>
      </w:r>
      <w:r w:rsidRPr="00E975BD">
        <w:rPr>
          <w:sz w:val="20"/>
          <w:szCs w:val="20"/>
        </w:rPr>
        <w:t xml:space="preserve"> Частоту бактериальных артритов определяли по комбинированной частоте для предпочтительного термина бактериального и инфекционного артритов. </w:t>
      </w:r>
    </w:p>
    <w:p w14:paraId="566D6DF4" w14:textId="77777777" w:rsidR="00730F80" w:rsidRPr="00E975BD" w:rsidRDefault="00730F80" w:rsidP="003F310C">
      <w:pPr>
        <w:pStyle w:val="SDText"/>
        <w:spacing w:after="0"/>
        <w:contextualSpacing/>
        <w:rPr>
          <w:sz w:val="20"/>
          <w:szCs w:val="20"/>
        </w:rPr>
      </w:pPr>
      <w:r w:rsidRPr="00E975BD">
        <w:rPr>
          <w:sz w:val="20"/>
          <w:szCs w:val="20"/>
          <w:vertAlign w:val="superscript"/>
        </w:rPr>
        <w:t>в</w:t>
      </w:r>
      <w:r w:rsidRPr="00E975BD">
        <w:rPr>
          <w:sz w:val="20"/>
          <w:szCs w:val="20"/>
        </w:rPr>
        <w:t xml:space="preserve"> Рак кожи, не связанный с меланомой, был установлен в качестве нежелательной лекарственной реакции в 2013 г.; Рак кожи, не связанный с меланомой, не является предпочтительным термином: частота определяется путем комбинирования частот для предпочтительных терминов базальноклеточный рак и плоскоклеточный рак кожи. </w:t>
      </w:r>
    </w:p>
    <w:p w14:paraId="3F201730" w14:textId="77777777" w:rsidR="00730F80" w:rsidRPr="00E975BD" w:rsidRDefault="00730F80" w:rsidP="003F310C">
      <w:pPr>
        <w:pStyle w:val="SDText"/>
        <w:spacing w:after="0"/>
        <w:contextualSpacing/>
        <w:rPr>
          <w:sz w:val="20"/>
          <w:szCs w:val="20"/>
        </w:rPr>
      </w:pPr>
      <w:r w:rsidRPr="00E975BD">
        <w:rPr>
          <w:sz w:val="20"/>
          <w:szCs w:val="20"/>
          <w:vertAlign w:val="superscript"/>
        </w:rPr>
        <w:t>г</w:t>
      </w:r>
      <w:r w:rsidRPr="00E975BD">
        <w:rPr>
          <w:sz w:val="20"/>
          <w:szCs w:val="20"/>
        </w:rPr>
        <w:t xml:space="preserve"> Данные спонтанных сообщений (наблюдались такие реакции, как ангионевротический отек и крапивница). Некоторые реакции наблюдались также в рамках клинических исследований.</w:t>
      </w:r>
    </w:p>
    <w:p w14:paraId="4D265558" w14:textId="77777777" w:rsidR="00730F80" w:rsidRPr="00E975BD" w:rsidRDefault="00730F80" w:rsidP="003F310C">
      <w:pPr>
        <w:pStyle w:val="SDText"/>
        <w:spacing w:after="0"/>
        <w:contextualSpacing/>
        <w:rPr>
          <w:sz w:val="20"/>
          <w:szCs w:val="20"/>
        </w:rPr>
      </w:pPr>
      <w:r w:rsidRPr="00E975BD">
        <w:rPr>
          <w:sz w:val="20"/>
          <w:szCs w:val="20"/>
          <w:vertAlign w:val="superscript"/>
        </w:rPr>
        <w:t>д</w:t>
      </w:r>
      <w:r w:rsidRPr="00E975BD">
        <w:rPr>
          <w:sz w:val="20"/>
          <w:szCs w:val="20"/>
        </w:rPr>
        <w:t xml:space="preserve"> Венозная тромбоэмболия включает в себя легочную эмболию и тромбоэмболию глубоких вен.</w:t>
      </w:r>
    </w:p>
    <w:p w14:paraId="52A4E0B1" w14:textId="77777777" w:rsidR="00730F80" w:rsidRDefault="00730F80" w:rsidP="003F310C">
      <w:pPr>
        <w:pStyle w:val="SDText"/>
        <w:spacing w:after="0"/>
        <w:contextualSpacing/>
      </w:pPr>
    </w:p>
    <w:p w14:paraId="1A4CCA55" w14:textId="13AC4F79" w:rsidR="00730F80" w:rsidRPr="0091740A" w:rsidRDefault="005F38D7" w:rsidP="005F38D7">
      <w:pPr>
        <w:pStyle w:val="4"/>
        <w:numPr>
          <w:ilvl w:val="0"/>
          <w:numId w:val="0"/>
        </w:numPr>
      </w:pPr>
      <w:bookmarkStart w:id="316" w:name="_Toc121592636"/>
      <w:r>
        <w:t xml:space="preserve">5.3.5.2. </w:t>
      </w:r>
      <w:r w:rsidR="00730F80">
        <w:t>Таблетки с модифицированным высвобождением, покрытые пленочной оболочкой</w:t>
      </w:r>
      <w:bookmarkEnd w:id="316"/>
    </w:p>
    <w:p w14:paraId="0EFAE52A" w14:textId="77777777" w:rsidR="00730F80" w:rsidRDefault="00730F80" w:rsidP="003F310C">
      <w:pPr>
        <w:pStyle w:val="SDText"/>
        <w:spacing w:after="0"/>
        <w:contextualSpacing/>
      </w:pPr>
    </w:p>
    <w:p w14:paraId="4A363E45" w14:textId="13267EBE" w:rsidR="00730F80" w:rsidRDefault="00730F80" w:rsidP="003F310C">
      <w:pPr>
        <w:pStyle w:val="SDText"/>
        <w:spacing w:after="0"/>
        <w:contextualSpacing/>
      </w:pPr>
      <w:r>
        <w:t>Наиболее частыми серьезными нежелательными реакциями, отмечавшимися на фоне терапии тофацитинибом у пациентов с ревматоидным артритом, псориатическим артритом и псориазом, были серьезные инфекции.</w:t>
      </w:r>
    </w:p>
    <w:p w14:paraId="641D6542" w14:textId="77777777" w:rsidR="00D2098A" w:rsidRDefault="00D2098A" w:rsidP="00D2098A">
      <w:pPr>
        <w:spacing w:after="0"/>
        <w:ind w:firstLine="0"/>
        <w:contextualSpacing/>
        <w:rPr>
          <w:rStyle w:val="63"/>
          <w:rFonts w:eastAsiaTheme="minorHAnsi"/>
          <w:b/>
          <w:i w:val="0"/>
          <w:iCs w:val="0"/>
          <w:sz w:val="24"/>
          <w:szCs w:val="24"/>
          <w:u w:val="none"/>
        </w:rPr>
      </w:pPr>
    </w:p>
    <w:p w14:paraId="1DFFB7E2" w14:textId="74A7CAD6"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t>Ревматоидный артрит</w:t>
      </w:r>
    </w:p>
    <w:p w14:paraId="663A2988" w14:textId="77777777" w:rsidR="00D2098A" w:rsidRDefault="00D2098A" w:rsidP="003F310C">
      <w:pPr>
        <w:pStyle w:val="SDText"/>
        <w:spacing w:after="0"/>
        <w:contextualSpacing/>
      </w:pPr>
    </w:p>
    <w:p w14:paraId="763E1245" w14:textId="75A68171" w:rsidR="00730F80" w:rsidRDefault="00730F80" w:rsidP="003F310C">
      <w:pPr>
        <w:pStyle w:val="SDText"/>
        <w:spacing w:after="0"/>
        <w:contextualSpacing/>
      </w:pPr>
      <w:r>
        <w:t xml:space="preserve">У пациентов с ревматоидным артритом самые частые нежелательные реакции на протяжении первых 3 месяцев контролируемых клинических исследований (с развитием более чем у 2% пациентов, получавших монотерапию </w:t>
      </w:r>
      <w:r w:rsidR="005838E3" w:rsidRPr="005838E3">
        <w:t>тофацитиниб</w:t>
      </w:r>
      <w:r w:rsidR="005838E3">
        <w:t xml:space="preserve">ом </w:t>
      </w:r>
      <w:r>
        <w:t>или его комбинацию с БПВП), включали головную боль, инфекции верхних дыхательных путей, назофарингит, артериальную гипертензию, тошноту и диарею.</w:t>
      </w:r>
    </w:p>
    <w:p w14:paraId="6344F826" w14:textId="0022192E" w:rsidR="00D2098A" w:rsidRPr="005F38D7" w:rsidRDefault="00730F80" w:rsidP="005F38D7">
      <w:pPr>
        <w:pStyle w:val="SDText"/>
        <w:spacing w:after="0"/>
        <w:contextualSpacing/>
        <w:rPr>
          <w:rStyle w:val="63"/>
          <w:rFonts w:eastAsiaTheme="minorHAnsi" w:cstheme="minorBidi"/>
          <w:i w:val="0"/>
          <w:iCs w:val="0"/>
          <w:color w:val="auto"/>
          <w:sz w:val="24"/>
          <w:u w:val="none"/>
          <w:lang w:eastAsia="en-US" w:bidi="ar-SA"/>
        </w:rPr>
      </w:pPr>
      <w:r>
        <w:t xml:space="preserve">Отмена терапии в течение первых 3 месяцев в связи с любой нежелательной реакцией на протяжении двойных слепых, плацебо-контролируемых исследований или исследований с метотрексатом в качестве препарата контроля, потребовалась в 3,8% случаев для пациентов из группы </w:t>
      </w:r>
      <w:r w:rsidR="005838E3" w:rsidRPr="005838E3">
        <w:t xml:space="preserve">тофацитиниба </w:t>
      </w:r>
      <w:r>
        <w:t xml:space="preserve">и 3,2% для пациентов из группы плацебо. Самыми частыми нежелательными реакциями, которые привели к отмене </w:t>
      </w:r>
      <w:r w:rsidR="005838E3" w:rsidRPr="005838E3">
        <w:t>тофацитиниба</w:t>
      </w:r>
      <w:r>
        <w:t xml:space="preserve">, </w:t>
      </w:r>
      <w:r>
        <w:lastRenderedPageBreak/>
        <w:t>были инфекции. Самые частые инфекции, приводящие к отмене терапии, включали опоясывающий герпес и пневмонию.</w:t>
      </w:r>
    </w:p>
    <w:p w14:paraId="7F2920EA" w14:textId="517A7E1D" w:rsidR="00730F80" w:rsidRPr="00E717E9" w:rsidRDefault="00730F80" w:rsidP="00D2098A">
      <w:pPr>
        <w:spacing w:after="0"/>
        <w:ind w:firstLine="0"/>
        <w:contextualSpacing/>
        <w:rPr>
          <w:b/>
          <w:szCs w:val="24"/>
        </w:rPr>
      </w:pPr>
      <w:r w:rsidRPr="00E717E9">
        <w:rPr>
          <w:rStyle w:val="63"/>
          <w:rFonts w:eastAsiaTheme="minorHAnsi"/>
          <w:b/>
          <w:i w:val="0"/>
          <w:iCs w:val="0"/>
          <w:sz w:val="24"/>
          <w:szCs w:val="24"/>
          <w:u w:val="none"/>
        </w:rPr>
        <w:t>Псориатический артрит</w:t>
      </w:r>
    </w:p>
    <w:p w14:paraId="347C1C1F" w14:textId="77777777" w:rsidR="00D2098A" w:rsidRDefault="00D2098A" w:rsidP="003F310C">
      <w:pPr>
        <w:pStyle w:val="SDText"/>
        <w:spacing w:after="0"/>
        <w:contextualSpacing/>
      </w:pPr>
    </w:p>
    <w:p w14:paraId="67E0A9A4" w14:textId="43006AA8" w:rsidR="00730F80" w:rsidRDefault="00730F80" w:rsidP="003F310C">
      <w:pPr>
        <w:pStyle w:val="SDText"/>
        <w:spacing w:after="0"/>
        <w:contextualSpacing/>
      </w:pPr>
      <w:r>
        <w:t xml:space="preserve">При активном псориатическом артрите наиболее часто регистрируемыми нежелательными реакциями в течение первых 12 недель в плацебо-контролируемых клинических исследованиях (возникающими у &gt; 2% пациентов, получавших </w:t>
      </w:r>
      <w:r w:rsidR="005838E3" w:rsidRPr="005838E3">
        <w:t>тофацитиниб</w:t>
      </w:r>
      <w:r>
        <w:t>, с частотой не менее чем на 1% превышающей частоту у пациентов, получавших плацебо) были бронхит, диарея, диспепсия, повышенная утомляемость, головная боль, назофарингит, фарингит.</w:t>
      </w:r>
    </w:p>
    <w:p w14:paraId="30D8E381" w14:textId="52A5D13A" w:rsidR="00730F80" w:rsidRDefault="00730F80" w:rsidP="003F310C">
      <w:pPr>
        <w:pStyle w:val="SDText"/>
        <w:spacing w:after="0"/>
        <w:contextualSpacing/>
      </w:pPr>
      <w:r>
        <w:t xml:space="preserve">Процент пациентов, прекративших лечение из-за каких-либо нежелательных реакций в течение первых 12 недель двойного слепого, плацебо-контролируемого исследования составил 3,2% для пациентов, принимающих </w:t>
      </w:r>
      <w:r w:rsidR="005838E3" w:rsidRPr="005838E3">
        <w:t>тофацитиниб</w:t>
      </w:r>
      <w:r>
        <w:t xml:space="preserve"> и 2,5% для пациентов, принимающих плацебо. Наиболее распространенной инфекцией, которая приводила к прекращению терапии, был синусит.</w:t>
      </w:r>
    </w:p>
    <w:p w14:paraId="0B9C870F" w14:textId="6FB56963" w:rsidR="00730F80" w:rsidRDefault="00730F80" w:rsidP="003F310C">
      <w:pPr>
        <w:pStyle w:val="SDText"/>
        <w:spacing w:after="0"/>
        <w:contextualSpacing/>
      </w:pPr>
      <w:r>
        <w:t xml:space="preserve">Общий профиль безопасности, наблюдаемый у пациентов с активным псориатическим артритом, проходивших лечение </w:t>
      </w:r>
      <w:r w:rsidR="005838E3" w:rsidRPr="005838E3">
        <w:t>тофацитиниб</w:t>
      </w:r>
      <w:r w:rsidR="005838E3">
        <w:t>ом</w:t>
      </w:r>
      <w:r>
        <w:t>, соответствует профилю безопасности у пациентов с ревматоидным артритом.</w:t>
      </w:r>
    </w:p>
    <w:p w14:paraId="20D954AB" w14:textId="7D0A2899" w:rsidR="00E975BD" w:rsidRPr="00E975BD" w:rsidRDefault="00E975BD" w:rsidP="00E975BD">
      <w:pPr>
        <w:spacing w:after="0"/>
        <w:contextualSpacing/>
        <w:rPr>
          <w:szCs w:val="24"/>
        </w:rPr>
      </w:pPr>
      <w:r w:rsidRPr="00D2098A">
        <w:rPr>
          <w:szCs w:val="24"/>
        </w:rPr>
        <w:t>Нежелательные явления перечислены ниже по системно-органным классам и частоте. Частоты определены как: очень часто (≥</w:t>
      </w:r>
      <w:r w:rsidR="000F2F80" w:rsidRPr="000F2F80">
        <w:rPr>
          <w:szCs w:val="24"/>
        </w:rPr>
        <w:t xml:space="preserve"> </w:t>
      </w:r>
      <w:r w:rsidRPr="00D2098A">
        <w:rPr>
          <w:szCs w:val="24"/>
        </w:rPr>
        <w:t>1/10); часто (≥</w:t>
      </w:r>
      <w:r w:rsidR="000F2F80" w:rsidRPr="000F2F80">
        <w:rPr>
          <w:szCs w:val="24"/>
        </w:rPr>
        <w:t xml:space="preserve"> </w:t>
      </w:r>
      <w:r w:rsidRPr="00D2098A">
        <w:rPr>
          <w:szCs w:val="24"/>
        </w:rPr>
        <w:t xml:space="preserve">1/100 </w:t>
      </w:r>
      <w:r w:rsidR="000F2F80" w:rsidRPr="00D2098A">
        <w:rPr>
          <w:rStyle w:val="44"/>
          <w:rFonts w:eastAsiaTheme="minorHAnsi"/>
          <w:b w:val="0"/>
          <w:bCs w:val="0"/>
          <w:i w:val="0"/>
          <w:iCs w:val="0"/>
          <w:szCs w:val="24"/>
        </w:rPr>
        <w:t>–</w:t>
      </w:r>
      <w:r w:rsidRPr="00D2098A">
        <w:rPr>
          <w:szCs w:val="24"/>
        </w:rPr>
        <w:t xml:space="preserve"> &lt;1/10); нечасто (≥</w:t>
      </w:r>
      <w:r w:rsidR="000F2F80" w:rsidRPr="000F2F80">
        <w:rPr>
          <w:szCs w:val="24"/>
        </w:rPr>
        <w:t xml:space="preserve"> </w:t>
      </w:r>
      <w:r w:rsidRPr="00D2098A">
        <w:rPr>
          <w:szCs w:val="24"/>
        </w:rPr>
        <w:t xml:space="preserve">1/1000 </w:t>
      </w:r>
      <w:r w:rsidR="000F2F80" w:rsidRPr="00D2098A">
        <w:rPr>
          <w:rStyle w:val="44"/>
          <w:rFonts w:eastAsiaTheme="minorHAnsi"/>
          <w:b w:val="0"/>
          <w:bCs w:val="0"/>
          <w:i w:val="0"/>
          <w:iCs w:val="0"/>
          <w:szCs w:val="24"/>
        </w:rPr>
        <w:t>–</w:t>
      </w:r>
      <w:r w:rsidRPr="00D2098A">
        <w:rPr>
          <w:szCs w:val="24"/>
        </w:rPr>
        <w:t xml:space="preserve"> &lt;</w:t>
      </w:r>
      <w:r w:rsidR="000F2F80" w:rsidRPr="000F2F80">
        <w:rPr>
          <w:szCs w:val="24"/>
        </w:rPr>
        <w:t xml:space="preserve"> </w:t>
      </w:r>
      <w:r w:rsidRPr="00D2098A">
        <w:rPr>
          <w:szCs w:val="24"/>
        </w:rPr>
        <w:t>1/100); редко (≥</w:t>
      </w:r>
      <w:r w:rsidR="000F2F80" w:rsidRPr="000F2F80">
        <w:rPr>
          <w:szCs w:val="24"/>
        </w:rPr>
        <w:t xml:space="preserve"> </w:t>
      </w:r>
      <w:r w:rsidRPr="00D2098A">
        <w:rPr>
          <w:szCs w:val="24"/>
        </w:rPr>
        <w:t>1/</w:t>
      </w:r>
      <w:r w:rsidRPr="00E975BD">
        <w:rPr>
          <w:szCs w:val="24"/>
        </w:rPr>
        <w:t>10000</w:t>
      </w:r>
      <w:r w:rsidR="000F2F80" w:rsidRPr="000F2F80">
        <w:rPr>
          <w:szCs w:val="24"/>
        </w:rPr>
        <w:t xml:space="preserve"> </w:t>
      </w:r>
      <w:r w:rsidR="000F2F80" w:rsidRPr="00D2098A">
        <w:rPr>
          <w:rStyle w:val="44"/>
          <w:rFonts w:eastAsiaTheme="minorHAnsi"/>
          <w:b w:val="0"/>
          <w:bCs w:val="0"/>
          <w:i w:val="0"/>
          <w:iCs w:val="0"/>
          <w:szCs w:val="24"/>
        </w:rPr>
        <w:t>–</w:t>
      </w:r>
      <w:r w:rsidRPr="00E975BD">
        <w:rPr>
          <w:szCs w:val="24"/>
        </w:rPr>
        <w:t xml:space="preserve"> &lt;</w:t>
      </w:r>
      <w:r w:rsidR="000F2F80" w:rsidRPr="000F2F80">
        <w:rPr>
          <w:szCs w:val="24"/>
        </w:rPr>
        <w:t xml:space="preserve"> </w:t>
      </w:r>
      <w:r w:rsidRPr="00E975BD">
        <w:rPr>
          <w:szCs w:val="24"/>
        </w:rPr>
        <w:t>1/1000); очень редко (&lt;</w:t>
      </w:r>
      <w:r w:rsidR="000F2F80" w:rsidRPr="000F2F80">
        <w:rPr>
          <w:szCs w:val="24"/>
        </w:rPr>
        <w:t xml:space="preserve"> </w:t>
      </w:r>
      <w:r w:rsidRPr="00E975BD">
        <w:rPr>
          <w:szCs w:val="24"/>
        </w:rPr>
        <w:t>1/10000) и частота не установлена (нельзя установить на основании доступных данных).</w:t>
      </w:r>
    </w:p>
    <w:p w14:paraId="50CE2135" w14:textId="77777777" w:rsidR="00730F80" w:rsidRPr="00E975BD" w:rsidRDefault="00730F80" w:rsidP="003F310C">
      <w:pPr>
        <w:pStyle w:val="SDText"/>
        <w:spacing w:after="0"/>
        <w:contextualSpacing/>
        <w:rPr>
          <w:szCs w:val="24"/>
        </w:rPr>
      </w:pPr>
      <w:r w:rsidRPr="00E975BD">
        <w:rPr>
          <w:szCs w:val="24"/>
        </w:rPr>
        <w:t>В каждой частотной группе нежелательные реакции представлены в порядке снижения серьезности.</w:t>
      </w:r>
    </w:p>
    <w:p w14:paraId="0EDCBF54" w14:textId="6737B6E4" w:rsidR="00730F80" w:rsidRPr="00E975BD" w:rsidRDefault="00E975BD" w:rsidP="003F310C">
      <w:pPr>
        <w:pStyle w:val="SDText"/>
        <w:spacing w:after="0"/>
        <w:contextualSpacing/>
        <w:rPr>
          <w:szCs w:val="24"/>
        </w:rPr>
      </w:pPr>
      <w:r w:rsidRPr="005F38D7">
        <w:rPr>
          <w:bCs/>
          <w:i/>
          <w:iCs/>
          <w:szCs w:val="24"/>
        </w:rPr>
        <w:t>Инфекции и инвазии</w:t>
      </w:r>
      <w:r w:rsidR="00730F80" w:rsidRPr="005F38D7">
        <w:rPr>
          <w:bCs/>
          <w:i/>
          <w:iCs/>
          <w:szCs w:val="24"/>
        </w:rPr>
        <w:t>:</w:t>
      </w:r>
      <w:r w:rsidR="00730F80" w:rsidRPr="00E975BD">
        <w:rPr>
          <w:szCs w:val="24"/>
        </w:rPr>
        <w:tab/>
      </w:r>
      <w:r w:rsidR="00730F80" w:rsidRPr="005F38D7">
        <w:rPr>
          <w:rStyle w:val="54"/>
          <w:rFonts w:eastAsiaTheme="minorHAnsi"/>
          <w:b w:val="0"/>
          <w:bCs w:val="0"/>
          <w:i w:val="0"/>
          <w:szCs w:val="24"/>
        </w:rPr>
        <w:t>частые</w:t>
      </w:r>
      <w:r w:rsidR="00730F80" w:rsidRPr="00E975BD">
        <w:rPr>
          <w:rStyle w:val="54"/>
          <w:rFonts w:eastAsiaTheme="minorHAnsi"/>
          <w:b w:val="0"/>
          <w:bCs w:val="0"/>
          <w:szCs w:val="24"/>
        </w:rPr>
        <w:t xml:space="preserve"> – </w:t>
      </w:r>
      <w:r w:rsidR="00730F80" w:rsidRPr="00E975BD">
        <w:rPr>
          <w:rStyle w:val="55"/>
          <w:rFonts w:eastAsiaTheme="minorHAnsi"/>
          <w:b w:val="0"/>
          <w:bCs w:val="0"/>
          <w:i w:val="0"/>
          <w:iCs w:val="0"/>
          <w:szCs w:val="24"/>
        </w:rPr>
        <w:t>пневмония, грипп,</w:t>
      </w:r>
      <w:r w:rsidR="00730F80" w:rsidRPr="00E975BD">
        <w:rPr>
          <w:szCs w:val="24"/>
        </w:rPr>
        <w:t xml:space="preserve"> опоясывающий герпес, инфекции мочевого тракта, синусит, бронхит, назофарингит, фарингит; </w:t>
      </w:r>
      <w:r w:rsidR="00730F80" w:rsidRPr="005F38D7">
        <w:rPr>
          <w:rStyle w:val="23"/>
          <w:rFonts w:eastAsiaTheme="minorHAnsi"/>
          <w:i w:val="0"/>
          <w:sz w:val="24"/>
          <w:szCs w:val="24"/>
        </w:rPr>
        <w:t>нечастые</w:t>
      </w:r>
      <w:r w:rsidR="00730F80" w:rsidRPr="00E975BD">
        <w:rPr>
          <w:rStyle w:val="23"/>
          <w:rFonts w:eastAsiaTheme="minorHAnsi"/>
          <w:sz w:val="24"/>
          <w:szCs w:val="24"/>
        </w:rPr>
        <w:t xml:space="preserve"> </w:t>
      </w:r>
      <w:r w:rsidR="00730F80" w:rsidRPr="00E975BD">
        <w:rPr>
          <w:rStyle w:val="54"/>
          <w:rFonts w:eastAsiaTheme="minorHAnsi"/>
          <w:b w:val="0"/>
          <w:bCs w:val="0"/>
          <w:szCs w:val="24"/>
        </w:rPr>
        <w:t>–</w:t>
      </w:r>
      <w:r w:rsidR="00730F80" w:rsidRPr="00E975BD">
        <w:rPr>
          <w:szCs w:val="24"/>
        </w:rPr>
        <w:t xml:space="preserve"> туберкулез, дивертикулит, пиелонефрит, воспаление подкожной жировой клетчатки, простой герпес, вирусный гастроэнтерит, вирусная инфекция; </w:t>
      </w:r>
      <w:r w:rsidR="00730F80" w:rsidRPr="005F38D7">
        <w:rPr>
          <w:rStyle w:val="23"/>
          <w:rFonts w:eastAsiaTheme="minorHAnsi"/>
          <w:i w:val="0"/>
          <w:sz w:val="24"/>
          <w:szCs w:val="24"/>
        </w:rPr>
        <w:t>редкие</w:t>
      </w:r>
      <w:r w:rsidR="00730F80" w:rsidRPr="00E975BD">
        <w:rPr>
          <w:szCs w:val="24"/>
        </w:rPr>
        <w:t xml:space="preserve"> </w:t>
      </w:r>
      <w:r w:rsidR="00730F80" w:rsidRPr="00E975BD">
        <w:rPr>
          <w:rStyle w:val="54"/>
          <w:rFonts w:eastAsiaTheme="minorHAnsi"/>
          <w:b w:val="0"/>
          <w:bCs w:val="0"/>
          <w:szCs w:val="24"/>
        </w:rPr>
        <w:t>–</w:t>
      </w:r>
      <w:r w:rsidR="005F38D7">
        <w:rPr>
          <w:rStyle w:val="54"/>
          <w:rFonts w:eastAsiaTheme="minorHAnsi"/>
          <w:b w:val="0"/>
          <w:bCs w:val="0"/>
          <w:szCs w:val="24"/>
        </w:rPr>
        <w:t xml:space="preserve"> </w:t>
      </w:r>
      <w:r w:rsidR="00730F80" w:rsidRPr="00E975BD">
        <w:rPr>
          <w:szCs w:val="24"/>
        </w:rPr>
        <w:t>сепсис, туберкулез центральной нервной системы (ЦНС)</w:t>
      </w:r>
      <w:r w:rsidR="00730F80" w:rsidRPr="00E975BD">
        <w:rPr>
          <w:szCs w:val="24"/>
          <w:vertAlign w:val="superscript"/>
        </w:rPr>
        <w:t>а</w:t>
      </w:r>
      <w:r w:rsidR="00730F80" w:rsidRPr="00E975BD">
        <w:rPr>
          <w:szCs w:val="24"/>
        </w:rPr>
        <w:t>, криптококковый менингит</w:t>
      </w:r>
      <w:r w:rsidR="00730F80" w:rsidRPr="00E975BD">
        <w:rPr>
          <w:szCs w:val="24"/>
          <w:vertAlign w:val="superscript"/>
        </w:rPr>
        <w:t>3</w:t>
      </w:r>
      <w:r w:rsidR="00730F80" w:rsidRPr="00E975BD">
        <w:rPr>
          <w:szCs w:val="24"/>
        </w:rPr>
        <w:t>, уросепсис</w:t>
      </w:r>
      <w:r w:rsidR="00730F80" w:rsidRPr="00E975BD">
        <w:rPr>
          <w:szCs w:val="24"/>
          <w:vertAlign w:val="superscript"/>
        </w:rPr>
        <w:t>3</w:t>
      </w:r>
      <w:r w:rsidR="00730F80" w:rsidRPr="00E975BD">
        <w:rPr>
          <w:szCs w:val="24"/>
        </w:rPr>
        <w:t>, диссеминированный туберкулез, некротизирующий фасциит</w:t>
      </w:r>
      <w:r w:rsidR="00730F80" w:rsidRPr="00E975BD">
        <w:rPr>
          <w:szCs w:val="24"/>
          <w:vertAlign w:val="superscript"/>
        </w:rPr>
        <w:t>3</w:t>
      </w:r>
      <w:r w:rsidR="00730F80" w:rsidRPr="00E975BD">
        <w:rPr>
          <w:szCs w:val="24"/>
        </w:rPr>
        <w:t>, бактериемия</w:t>
      </w:r>
      <w:r w:rsidR="00730F80" w:rsidRPr="00E975BD">
        <w:rPr>
          <w:szCs w:val="24"/>
          <w:vertAlign w:val="superscript"/>
        </w:rPr>
        <w:t>3</w:t>
      </w:r>
      <w:r w:rsidR="00730F80" w:rsidRPr="00E975BD">
        <w:rPr>
          <w:szCs w:val="24"/>
        </w:rPr>
        <w:t>, стафилококковая бактериемия</w:t>
      </w:r>
      <w:r w:rsidR="00730F80" w:rsidRPr="00E975BD">
        <w:rPr>
          <w:szCs w:val="24"/>
          <w:vertAlign w:val="superscript"/>
        </w:rPr>
        <w:t>3</w:t>
      </w:r>
      <w:r w:rsidR="00730F80" w:rsidRPr="00E975BD">
        <w:rPr>
          <w:szCs w:val="24"/>
        </w:rPr>
        <w:t xml:space="preserve">, пневмония, вызванная </w:t>
      </w:r>
      <w:r w:rsidR="00730F80" w:rsidRPr="00E975BD">
        <w:rPr>
          <w:rStyle w:val="23"/>
          <w:rFonts w:eastAsiaTheme="minorHAnsi"/>
          <w:sz w:val="24"/>
          <w:szCs w:val="24"/>
          <w:lang w:val="en-US" w:bidi="en-US"/>
        </w:rPr>
        <w:t>Pneumocystis</w:t>
      </w:r>
      <w:r w:rsidR="00730F80" w:rsidRPr="00E975BD">
        <w:rPr>
          <w:rStyle w:val="23"/>
          <w:rFonts w:eastAsiaTheme="minorHAnsi"/>
          <w:sz w:val="24"/>
          <w:szCs w:val="24"/>
          <w:lang w:bidi="en-US"/>
        </w:rPr>
        <w:t xml:space="preserve"> </w:t>
      </w:r>
      <w:r w:rsidR="00730F80" w:rsidRPr="00E975BD">
        <w:rPr>
          <w:rStyle w:val="23"/>
          <w:rFonts w:eastAsiaTheme="minorHAnsi"/>
          <w:sz w:val="24"/>
          <w:szCs w:val="24"/>
          <w:lang w:val="en-US" w:bidi="en-US"/>
        </w:rPr>
        <w:t>jiroveci</w:t>
      </w:r>
      <w:r w:rsidR="00730F80" w:rsidRPr="00E975BD">
        <w:rPr>
          <w:rStyle w:val="23"/>
          <w:rFonts w:eastAsiaTheme="minorHAnsi"/>
          <w:sz w:val="24"/>
          <w:szCs w:val="24"/>
          <w:lang w:bidi="en-US"/>
        </w:rPr>
        <w:t xml:space="preserve">, </w:t>
      </w:r>
      <w:r w:rsidR="00730F80" w:rsidRPr="00E975BD">
        <w:rPr>
          <w:szCs w:val="24"/>
        </w:rPr>
        <w:t>пневмококковая пневмония</w:t>
      </w:r>
      <w:r w:rsidR="00730F80" w:rsidRPr="00E975BD">
        <w:rPr>
          <w:szCs w:val="24"/>
          <w:vertAlign w:val="superscript"/>
        </w:rPr>
        <w:t>3</w:t>
      </w:r>
      <w:r w:rsidR="00730F80" w:rsidRPr="00E975BD">
        <w:rPr>
          <w:szCs w:val="24"/>
        </w:rPr>
        <w:t>, бактериальная пневмония, энцефалит</w:t>
      </w:r>
      <w:r w:rsidR="00730F80" w:rsidRPr="00E975BD">
        <w:rPr>
          <w:szCs w:val="24"/>
          <w:vertAlign w:val="superscript"/>
        </w:rPr>
        <w:t>3</w:t>
      </w:r>
      <w:r w:rsidR="00730F80" w:rsidRPr="00E975BD">
        <w:rPr>
          <w:szCs w:val="24"/>
        </w:rPr>
        <w:t>, атипичная инфекция, вызванная микобактериями</w:t>
      </w:r>
      <w:r w:rsidR="00730F80" w:rsidRPr="00E975BD">
        <w:rPr>
          <w:szCs w:val="24"/>
          <w:vertAlign w:val="superscript"/>
        </w:rPr>
        <w:t>3</w:t>
      </w:r>
      <w:r w:rsidR="00730F80" w:rsidRPr="00E975BD">
        <w:rPr>
          <w:szCs w:val="24"/>
        </w:rPr>
        <w:t xml:space="preserve">, инфекция, вызванная комплексом </w:t>
      </w:r>
      <w:r w:rsidR="00730F80" w:rsidRPr="00E975BD">
        <w:rPr>
          <w:rStyle w:val="23"/>
          <w:rFonts w:eastAsiaTheme="minorHAnsi"/>
          <w:sz w:val="24"/>
          <w:szCs w:val="24"/>
          <w:lang w:val="en-US" w:bidi="en-US"/>
        </w:rPr>
        <w:t>Mycobacterium</w:t>
      </w:r>
      <w:r w:rsidR="00730F80" w:rsidRPr="00E975BD">
        <w:rPr>
          <w:rStyle w:val="23"/>
          <w:rFonts w:eastAsiaTheme="minorHAnsi"/>
          <w:sz w:val="24"/>
          <w:szCs w:val="24"/>
          <w:lang w:bidi="en-US"/>
        </w:rPr>
        <w:t xml:space="preserve"> </w:t>
      </w:r>
      <w:r w:rsidR="00730F80" w:rsidRPr="00E975BD">
        <w:rPr>
          <w:rStyle w:val="23"/>
          <w:rFonts w:eastAsiaTheme="minorHAnsi"/>
          <w:sz w:val="24"/>
          <w:szCs w:val="24"/>
          <w:lang w:val="en-US" w:bidi="en-US"/>
        </w:rPr>
        <w:t>avium</w:t>
      </w:r>
      <w:r w:rsidR="00730F80" w:rsidRPr="00E975BD">
        <w:rPr>
          <w:rStyle w:val="23"/>
          <w:rFonts w:eastAsiaTheme="minorHAnsi"/>
          <w:sz w:val="24"/>
          <w:szCs w:val="24"/>
          <w:vertAlign w:val="superscript"/>
          <w:lang w:bidi="en-US"/>
        </w:rPr>
        <w:t>3</w:t>
      </w:r>
      <w:r w:rsidR="00730F80" w:rsidRPr="00E975BD">
        <w:rPr>
          <w:rStyle w:val="23"/>
          <w:rFonts w:eastAsiaTheme="minorHAnsi"/>
          <w:sz w:val="24"/>
          <w:szCs w:val="24"/>
          <w:lang w:bidi="en-US"/>
        </w:rPr>
        <w:t xml:space="preserve">, </w:t>
      </w:r>
      <w:r w:rsidR="00730F80" w:rsidRPr="00E975BD">
        <w:rPr>
          <w:szCs w:val="24"/>
        </w:rPr>
        <w:t>цитомегаловирусная инфекция, бактериальный артрит</w:t>
      </w:r>
      <w:r w:rsidR="00730F80" w:rsidRPr="00E975BD">
        <w:rPr>
          <w:szCs w:val="24"/>
          <w:vertAlign w:val="superscript"/>
        </w:rPr>
        <w:t>6</w:t>
      </w:r>
      <w:r w:rsidR="00730F80" w:rsidRPr="00E975BD">
        <w:rPr>
          <w:szCs w:val="24"/>
        </w:rPr>
        <w:t>.</w:t>
      </w:r>
    </w:p>
    <w:p w14:paraId="45A4C186" w14:textId="77777777" w:rsidR="00730F80" w:rsidRPr="00E975BD" w:rsidRDefault="00730F80" w:rsidP="003F310C">
      <w:pPr>
        <w:pStyle w:val="SDText"/>
        <w:spacing w:after="0"/>
        <w:contextualSpacing/>
        <w:rPr>
          <w:b/>
          <w:bCs/>
          <w:i/>
          <w:iCs/>
          <w:szCs w:val="24"/>
        </w:rPr>
      </w:pPr>
      <w:r w:rsidRPr="005F38D7">
        <w:rPr>
          <w:bCs/>
          <w:i/>
          <w:iCs/>
          <w:szCs w:val="24"/>
        </w:rPr>
        <w:t>Со стороны сердечно-сосудистой системы:</w:t>
      </w:r>
      <w:r w:rsidRPr="00E975BD">
        <w:rPr>
          <w:szCs w:val="24"/>
        </w:rPr>
        <w:t xml:space="preserve"> </w:t>
      </w:r>
      <w:r w:rsidRPr="005F38D7">
        <w:rPr>
          <w:rStyle w:val="54"/>
          <w:rFonts w:eastAsiaTheme="minorHAnsi"/>
          <w:b w:val="0"/>
          <w:bCs w:val="0"/>
          <w:i w:val="0"/>
          <w:szCs w:val="24"/>
        </w:rPr>
        <w:t>частые</w:t>
      </w:r>
      <w:r w:rsidRPr="00E975BD">
        <w:rPr>
          <w:rStyle w:val="54"/>
          <w:rFonts w:eastAsiaTheme="minorHAnsi"/>
          <w:i w:val="0"/>
          <w:iCs w:val="0"/>
          <w:szCs w:val="24"/>
        </w:rPr>
        <w:t xml:space="preserve"> </w:t>
      </w:r>
      <w:r w:rsidRPr="00E975BD">
        <w:rPr>
          <w:rStyle w:val="54"/>
          <w:rFonts w:eastAsiaTheme="minorHAnsi"/>
          <w:b w:val="0"/>
          <w:bCs w:val="0"/>
          <w:szCs w:val="24"/>
        </w:rPr>
        <w:t>–</w:t>
      </w:r>
      <w:r w:rsidRPr="00E975BD">
        <w:rPr>
          <w:rStyle w:val="55"/>
          <w:rFonts w:eastAsiaTheme="minorHAnsi"/>
          <w:szCs w:val="24"/>
        </w:rPr>
        <w:t xml:space="preserve"> </w:t>
      </w:r>
      <w:r w:rsidRPr="00E975BD">
        <w:rPr>
          <w:rStyle w:val="55"/>
          <w:rFonts w:eastAsiaTheme="minorHAnsi"/>
          <w:b w:val="0"/>
          <w:bCs w:val="0"/>
          <w:i w:val="0"/>
          <w:iCs w:val="0"/>
          <w:szCs w:val="24"/>
        </w:rPr>
        <w:t>повышение артериального давления.</w:t>
      </w:r>
    </w:p>
    <w:p w14:paraId="17BC2210" w14:textId="77777777" w:rsidR="004B12E6" w:rsidRDefault="00730F80" w:rsidP="003F310C">
      <w:pPr>
        <w:pStyle w:val="SDText"/>
        <w:spacing w:after="0"/>
        <w:contextualSpacing/>
        <w:rPr>
          <w:szCs w:val="24"/>
        </w:rPr>
      </w:pPr>
      <w:r w:rsidRPr="005F38D7">
        <w:rPr>
          <w:rStyle w:val="28"/>
          <w:rFonts w:eastAsiaTheme="majorEastAsia"/>
          <w:b w:val="0"/>
          <w:sz w:val="24"/>
          <w:szCs w:val="24"/>
        </w:rPr>
        <w:t>Со стороны пищеварительной системы:</w:t>
      </w:r>
      <w:r w:rsidRPr="00E975BD">
        <w:rPr>
          <w:rStyle w:val="28"/>
          <w:rFonts w:eastAsiaTheme="majorEastAsia"/>
          <w:sz w:val="24"/>
          <w:szCs w:val="24"/>
        </w:rPr>
        <w:t xml:space="preserve"> </w:t>
      </w:r>
      <w:r w:rsidRPr="005F38D7">
        <w:rPr>
          <w:rStyle w:val="23"/>
          <w:rFonts w:eastAsiaTheme="minorHAnsi"/>
          <w:i w:val="0"/>
          <w:sz w:val="24"/>
          <w:szCs w:val="24"/>
        </w:rPr>
        <w:t>частые</w:t>
      </w:r>
      <w:r w:rsidRPr="00E975BD">
        <w:rPr>
          <w:rStyle w:val="23"/>
          <w:rFonts w:eastAsiaTheme="minorHAnsi"/>
          <w:sz w:val="24"/>
          <w:szCs w:val="24"/>
        </w:rPr>
        <w:t xml:space="preserve"> </w:t>
      </w:r>
      <w:r w:rsidRPr="00E975BD">
        <w:rPr>
          <w:rStyle w:val="54"/>
          <w:rFonts w:eastAsiaTheme="minorHAnsi"/>
          <w:b w:val="0"/>
          <w:bCs w:val="0"/>
          <w:szCs w:val="24"/>
        </w:rPr>
        <w:t>–</w:t>
      </w:r>
      <w:r w:rsidRPr="00E975BD">
        <w:rPr>
          <w:szCs w:val="24"/>
        </w:rPr>
        <w:t xml:space="preserve"> боль в животе, рвота, диарея, тошнота, гастрит, диспепсия.</w:t>
      </w:r>
    </w:p>
    <w:p w14:paraId="26B73C59" w14:textId="48D7BEB6" w:rsidR="00730F80" w:rsidRPr="00E975BD" w:rsidRDefault="00730F80" w:rsidP="003F310C">
      <w:pPr>
        <w:pStyle w:val="SDText"/>
        <w:spacing w:after="0"/>
        <w:contextualSpacing/>
        <w:rPr>
          <w:szCs w:val="24"/>
        </w:rPr>
      </w:pPr>
      <w:r w:rsidRPr="005F38D7">
        <w:rPr>
          <w:rStyle w:val="28"/>
          <w:rFonts w:eastAsiaTheme="majorEastAsia"/>
          <w:b w:val="0"/>
          <w:sz w:val="24"/>
          <w:szCs w:val="24"/>
        </w:rPr>
        <w:t>Со стороны обмена веществ:</w:t>
      </w:r>
      <w:r w:rsidRPr="00E975BD">
        <w:rPr>
          <w:rStyle w:val="28"/>
          <w:rFonts w:eastAsiaTheme="majorEastAsia"/>
          <w:sz w:val="24"/>
          <w:szCs w:val="24"/>
        </w:rPr>
        <w:t xml:space="preserve"> </w:t>
      </w:r>
      <w:r w:rsidRPr="005F38D7">
        <w:rPr>
          <w:rStyle w:val="23"/>
          <w:rFonts w:eastAsiaTheme="minorHAnsi"/>
          <w:i w:val="0"/>
          <w:sz w:val="24"/>
          <w:szCs w:val="24"/>
        </w:rPr>
        <w:t>частые</w:t>
      </w:r>
      <w:r w:rsidRPr="00E975BD">
        <w:rPr>
          <w:rStyle w:val="23"/>
          <w:rFonts w:eastAsiaTheme="minorHAnsi"/>
          <w:sz w:val="24"/>
          <w:szCs w:val="24"/>
        </w:rPr>
        <w:t xml:space="preserve"> </w:t>
      </w:r>
      <w:r w:rsidRPr="00E975BD">
        <w:rPr>
          <w:rStyle w:val="54"/>
          <w:rFonts w:eastAsiaTheme="minorHAnsi"/>
          <w:b w:val="0"/>
          <w:bCs w:val="0"/>
          <w:szCs w:val="24"/>
        </w:rPr>
        <w:t>–</w:t>
      </w:r>
      <w:r w:rsidRPr="00E975BD">
        <w:rPr>
          <w:szCs w:val="24"/>
        </w:rPr>
        <w:t xml:space="preserve"> гиперлипидемия; </w:t>
      </w:r>
      <w:r w:rsidRPr="00E975BD">
        <w:rPr>
          <w:rStyle w:val="23"/>
          <w:rFonts w:eastAsiaTheme="minorHAnsi"/>
          <w:sz w:val="24"/>
          <w:szCs w:val="24"/>
        </w:rPr>
        <w:t>нечастые</w:t>
      </w:r>
      <w:r w:rsidRPr="00E975BD">
        <w:rPr>
          <w:szCs w:val="24"/>
        </w:rPr>
        <w:t xml:space="preserve"> - дислипидемия, дегидратация.</w:t>
      </w:r>
    </w:p>
    <w:p w14:paraId="5E92E41E" w14:textId="77777777" w:rsidR="00730F80" w:rsidRPr="00E975BD" w:rsidRDefault="00730F80" w:rsidP="003F310C">
      <w:pPr>
        <w:pStyle w:val="SDText"/>
        <w:spacing w:after="0"/>
        <w:contextualSpacing/>
        <w:rPr>
          <w:rStyle w:val="55"/>
          <w:rFonts w:eastAsiaTheme="minorHAnsi"/>
          <w:szCs w:val="24"/>
        </w:rPr>
      </w:pPr>
      <w:r w:rsidRPr="005F38D7">
        <w:rPr>
          <w:bCs/>
          <w:i/>
          <w:iCs/>
          <w:szCs w:val="24"/>
        </w:rPr>
        <w:t>Со стороны нервной системы:</w:t>
      </w:r>
      <w:r w:rsidRPr="00E975BD">
        <w:rPr>
          <w:szCs w:val="24"/>
        </w:rPr>
        <w:t xml:space="preserve"> </w:t>
      </w:r>
      <w:r w:rsidRPr="005F38D7">
        <w:rPr>
          <w:rStyle w:val="54"/>
          <w:rFonts w:eastAsiaTheme="minorHAnsi"/>
          <w:b w:val="0"/>
          <w:bCs w:val="0"/>
          <w:i w:val="0"/>
          <w:szCs w:val="24"/>
        </w:rPr>
        <w:t>частые</w:t>
      </w:r>
      <w:r w:rsidRPr="00E975BD">
        <w:rPr>
          <w:rStyle w:val="54"/>
          <w:rFonts w:eastAsiaTheme="minorHAnsi"/>
          <w:b w:val="0"/>
          <w:bCs w:val="0"/>
          <w:szCs w:val="24"/>
        </w:rPr>
        <w:t xml:space="preserve"> –</w:t>
      </w:r>
      <w:r w:rsidRPr="00E975BD">
        <w:rPr>
          <w:rStyle w:val="55"/>
          <w:rFonts w:eastAsiaTheme="minorHAnsi"/>
          <w:szCs w:val="24"/>
        </w:rPr>
        <w:t xml:space="preserve"> </w:t>
      </w:r>
      <w:r w:rsidRPr="00E975BD">
        <w:rPr>
          <w:rStyle w:val="55"/>
          <w:rFonts w:eastAsiaTheme="minorHAnsi"/>
          <w:b w:val="0"/>
          <w:bCs w:val="0"/>
          <w:i w:val="0"/>
          <w:iCs w:val="0"/>
          <w:szCs w:val="24"/>
        </w:rPr>
        <w:t>головная боль;</w:t>
      </w:r>
      <w:r w:rsidRPr="00E975BD">
        <w:rPr>
          <w:rStyle w:val="55"/>
          <w:rFonts w:eastAsiaTheme="minorHAnsi"/>
          <w:szCs w:val="24"/>
        </w:rPr>
        <w:t xml:space="preserve"> </w:t>
      </w:r>
      <w:r w:rsidRPr="00E975BD">
        <w:rPr>
          <w:rStyle w:val="54"/>
          <w:rFonts w:eastAsiaTheme="minorHAnsi"/>
          <w:b w:val="0"/>
          <w:bCs w:val="0"/>
          <w:szCs w:val="24"/>
        </w:rPr>
        <w:t>нечастые</w:t>
      </w:r>
      <w:r w:rsidRPr="00E975BD">
        <w:rPr>
          <w:rStyle w:val="55"/>
          <w:rFonts w:eastAsiaTheme="minorHAnsi"/>
          <w:b w:val="0"/>
          <w:bCs w:val="0"/>
          <w:szCs w:val="24"/>
        </w:rPr>
        <w:t xml:space="preserve"> </w:t>
      </w:r>
      <w:r w:rsidRPr="00E975BD">
        <w:rPr>
          <w:rStyle w:val="54"/>
          <w:rFonts w:eastAsiaTheme="minorHAnsi"/>
          <w:b w:val="0"/>
          <w:bCs w:val="0"/>
          <w:szCs w:val="24"/>
        </w:rPr>
        <w:t>–</w:t>
      </w:r>
      <w:r w:rsidRPr="00E975BD">
        <w:rPr>
          <w:rStyle w:val="55"/>
          <w:rFonts w:eastAsiaTheme="minorHAnsi"/>
          <w:szCs w:val="24"/>
        </w:rPr>
        <w:t xml:space="preserve"> </w:t>
      </w:r>
      <w:r w:rsidRPr="00E975BD">
        <w:rPr>
          <w:rStyle w:val="55"/>
          <w:rFonts w:eastAsiaTheme="minorHAnsi"/>
          <w:b w:val="0"/>
          <w:bCs w:val="0"/>
          <w:i w:val="0"/>
          <w:iCs w:val="0"/>
          <w:szCs w:val="24"/>
        </w:rPr>
        <w:t>парестезия.</w:t>
      </w:r>
      <w:r w:rsidRPr="00E975BD">
        <w:rPr>
          <w:rStyle w:val="55"/>
          <w:rFonts w:eastAsiaTheme="minorHAnsi"/>
          <w:szCs w:val="24"/>
        </w:rPr>
        <w:t xml:space="preserve"> </w:t>
      </w:r>
    </w:p>
    <w:p w14:paraId="44463F2B" w14:textId="77777777" w:rsidR="00730F80" w:rsidRPr="00E975BD" w:rsidRDefault="00730F80" w:rsidP="003F310C">
      <w:pPr>
        <w:pStyle w:val="SDText"/>
        <w:spacing w:after="0"/>
        <w:contextualSpacing/>
        <w:rPr>
          <w:szCs w:val="24"/>
        </w:rPr>
      </w:pPr>
      <w:r w:rsidRPr="005F38D7">
        <w:rPr>
          <w:bCs/>
          <w:i/>
          <w:iCs/>
          <w:szCs w:val="24"/>
        </w:rPr>
        <w:t>Психические расстройства:</w:t>
      </w:r>
      <w:r w:rsidRPr="00E975BD">
        <w:rPr>
          <w:szCs w:val="24"/>
        </w:rPr>
        <w:t xml:space="preserve"> </w:t>
      </w:r>
      <w:r w:rsidRPr="005F38D7">
        <w:rPr>
          <w:rStyle w:val="54"/>
          <w:rFonts w:eastAsiaTheme="minorHAnsi"/>
          <w:b w:val="0"/>
          <w:bCs w:val="0"/>
          <w:i w:val="0"/>
          <w:szCs w:val="24"/>
        </w:rPr>
        <w:t>нечастые</w:t>
      </w:r>
      <w:r w:rsidRPr="00E975BD">
        <w:rPr>
          <w:rStyle w:val="54"/>
          <w:rFonts w:eastAsiaTheme="minorHAnsi"/>
          <w:b w:val="0"/>
          <w:bCs w:val="0"/>
          <w:szCs w:val="24"/>
        </w:rPr>
        <w:t xml:space="preserve"> –</w:t>
      </w:r>
      <w:r w:rsidRPr="00E975BD">
        <w:rPr>
          <w:rStyle w:val="55"/>
          <w:rFonts w:eastAsiaTheme="minorHAnsi"/>
          <w:szCs w:val="24"/>
        </w:rPr>
        <w:t xml:space="preserve"> </w:t>
      </w:r>
      <w:r w:rsidRPr="00E975BD">
        <w:rPr>
          <w:rStyle w:val="55"/>
          <w:rFonts w:eastAsiaTheme="minorHAnsi"/>
          <w:b w:val="0"/>
          <w:bCs w:val="0"/>
          <w:i w:val="0"/>
          <w:iCs w:val="0"/>
          <w:szCs w:val="24"/>
        </w:rPr>
        <w:t>бессонница.</w:t>
      </w:r>
    </w:p>
    <w:p w14:paraId="55F24084" w14:textId="77777777" w:rsidR="00730F80" w:rsidRPr="00E975BD" w:rsidRDefault="00730F80" w:rsidP="003F310C">
      <w:pPr>
        <w:pStyle w:val="SDText"/>
        <w:spacing w:after="0"/>
        <w:contextualSpacing/>
        <w:rPr>
          <w:szCs w:val="24"/>
        </w:rPr>
      </w:pPr>
      <w:r w:rsidRPr="005F38D7">
        <w:rPr>
          <w:bCs/>
          <w:i/>
          <w:iCs/>
          <w:szCs w:val="24"/>
        </w:rPr>
        <w:t>Со стороны скелетно-мышечной системы и соединительной ткани</w:t>
      </w:r>
      <w:r w:rsidRPr="005F38D7">
        <w:rPr>
          <w:szCs w:val="24"/>
        </w:rPr>
        <w:t>:</w:t>
      </w:r>
      <w:r w:rsidRPr="00E975BD">
        <w:rPr>
          <w:szCs w:val="24"/>
        </w:rPr>
        <w:t xml:space="preserve"> </w:t>
      </w:r>
      <w:r w:rsidRPr="005F38D7">
        <w:rPr>
          <w:rStyle w:val="54"/>
          <w:rFonts w:eastAsiaTheme="minorHAnsi"/>
          <w:b w:val="0"/>
          <w:bCs w:val="0"/>
          <w:i w:val="0"/>
          <w:szCs w:val="24"/>
        </w:rPr>
        <w:t>частые</w:t>
      </w:r>
      <w:r w:rsidRPr="00E975BD">
        <w:rPr>
          <w:rStyle w:val="54"/>
          <w:rFonts w:eastAsiaTheme="minorHAnsi"/>
          <w:b w:val="0"/>
          <w:bCs w:val="0"/>
          <w:szCs w:val="24"/>
        </w:rPr>
        <w:t xml:space="preserve"> –</w:t>
      </w:r>
      <w:r w:rsidRPr="00E975BD">
        <w:rPr>
          <w:rStyle w:val="54"/>
          <w:rFonts w:eastAsiaTheme="minorHAnsi"/>
          <w:i w:val="0"/>
          <w:iCs w:val="0"/>
          <w:szCs w:val="24"/>
        </w:rPr>
        <w:t xml:space="preserve"> </w:t>
      </w:r>
      <w:r w:rsidRPr="00E975BD">
        <w:rPr>
          <w:rStyle w:val="55"/>
          <w:rFonts w:eastAsiaTheme="minorHAnsi"/>
          <w:b w:val="0"/>
          <w:bCs w:val="0"/>
          <w:i w:val="0"/>
          <w:iCs w:val="0"/>
          <w:szCs w:val="24"/>
        </w:rPr>
        <w:t>артралгии;</w:t>
      </w:r>
      <w:r w:rsidRPr="00E975BD">
        <w:rPr>
          <w:rStyle w:val="55"/>
          <w:rFonts w:eastAsiaTheme="minorHAnsi"/>
          <w:szCs w:val="24"/>
        </w:rPr>
        <w:t xml:space="preserve"> </w:t>
      </w:r>
      <w:r w:rsidRPr="005F38D7">
        <w:rPr>
          <w:rStyle w:val="54"/>
          <w:rFonts w:eastAsiaTheme="minorHAnsi"/>
          <w:b w:val="0"/>
          <w:bCs w:val="0"/>
          <w:i w:val="0"/>
          <w:szCs w:val="24"/>
        </w:rPr>
        <w:t>нечастые</w:t>
      </w:r>
      <w:r w:rsidRPr="00E975BD">
        <w:rPr>
          <w:rStyle w:val="54"/>
          <w:rFonts w:eastAsiaTheme="minorHAnsi"/>
          <w:b w:val="0"/>
          <w:bCs w:val="0"/>
          <w:szCs w:val="24"/>
        </w:rPr>
        <w:t xml:space="preserve"> –</w:t>
      </w:r>
      <w:r w:rsidRPr="00E975BD">
        <w:rPr>
          <w:rStyle w:val="55"/>
          <w:rFonts w:eastAsiaTheme="minorHAnsi"/>
          <w:szCs w:val="24"/>
        </w:rPr>
        <w:t xml:space="preserve"> </w:t>
      </w:r>
      <w:r w:rsidRPr="00E975BD">
        <w:rPr>
          <w:rStyle w:val="55"/>
          <w:rFonts w:eastAsiaTheme="minorHAnsi"/>
          <w:b w:val="0"/>
          <w:bCs w:val="0"/>
          <w:i w:val="0"/>
          <w:iCs w:val="0"/>
          <w:szCs w:val="24"/>
        </w:rPr>
        <w:t>боль в мышцах и костях, отек суставов, тендинит.</w:t>
      </w:r>
    </w:p>
    <w:p w14:paraId="49A1F75F" w14:textId="77777777" w:rsidR="00730F80" w:rsidRPr="00E975BD" w:rsidRDefault="00730F80" w:rsidP="003F310C">
      <w:pPr>
        <w:pStyle w:val="SDText"/>
        <w:spacing w:after="0"/>
        <w:contextualSpacing/>
        <w:rPr>
          <w:szCs w:val="24"/>
        </w:rPr>
      </w:pPr>
      <w:r w:rsidRPr="005F38D7">
        <w:rPr>
          <w:rStyle w:val="28"/>
          <w:rFonts w:eastAsiaTheme="majorEastAsia"/>
          <w:b w:val="0"/>
          <w:sz w:val="24"/>
          <w:szCs w:val="24"/>
        </w:rPr>
        <w:t>Со стороны крови и лимфатической системы:</w:t>
      </w:r>
      <w:r w:rsidRPr="00E975BD">
        <w:rPr>
          <w:rStyle w:val="28"/>
          <w:rFonts w:eastAsiaTheme="majorEastAsia"/>
          <w:sz w:val="24"/>
          <w:szCs w:val="24"/>
        </w:rPr>
        <w:t xml:space="preserve"> </w:t>
      </w:r>
      <w:r w:rsidRPr="005F38D7">
        <w:rPr>
          <w:rStyle w:val="23"/>
          <w:rFonts w:eastAsiaTheme="minorHAnsi"/>
          <w:i w:val="0"/>
          <w:sz w:val="24"/>
          <w:szCs w:val="24"/>
        </w:rPr>
        <w:t>частые</w:t>
      </w:r>
      <w:r w:rsidRPr="00E975BD">
        <w:rPr>
          <w:szCs w:val="24"/>
        </w:rPr>
        <w:t xml:space="preserve"> </w:t>
      </w:r>
      <w:r w:rsidRPr="00E975BD">
        <w:rPr>
          <w:rStyle w:val="54"/>
          <w:rFonts w:eastAsiaTheme="minorHAnsi"/>
          <w:b w:val="0"/>
          <w:bCs w:val="0"/>
          <w:szCs w:val="24"/>
        </w:rPr>
        <w:t>–</w:t>
      </w:r>
      <w:r w:rsidRPr="00E975BD">
        <w:rPr>
          <w:szCs w:val="24"/>
        </w:rPr>
        <w:t xml:space="preserve"> анемия; </w:t>
      </w:r>
      <w:r w:rsidRPr="005F38D7">
        <w:rPr>
          <w:rStyle w:val="23"/>
          <w:rFonts w:eastAsiaTheme="minorHAnsi"/>
          <w:i w:val="0"/>
          <w:sz w:val="24"/>
          <w:szCs w:val="24"/>
        </w:rPr>
        <w:t>нечастые</w:t>
      </w:r>
      <w:r w:rsidRPr="00E975BD">
        <w:rPr>
          <w:rStyle w:val="23"/>
          <w:rFonts w:eastAsiaTheme="minorHAnsi"/>
          <w:sz w:val="24"/>
          <w:szCs w:val="24"/>
        </w:rPr>
        <w:t xml:space="preserve"> </w:t>
      </w:r>
      <w:r w:rsidRPr="00E975BD">
        <w:rPr>
          <w:rStyle w:val="54"/>
          <w:rFonts w:eastAsiaTheme="minorHAnsi"/>
          <w:b w:val="0"/>
          <w:bCs w:val="0"/>
          <w:szCs w:val="24"/>
        </w:rPr>
        <w:t>–</w:t>
      </w:r>
      <w:r w:rsidRPr="00E975BD">
        <w:rPr>
          <w:szCs w:val="24"/>
        </w:rPr>
        <w:t>лейкопения, лимфопения, нейтропения.</w:t>
      </w:r>
    </w:p>
    <w:p w14:paraId="659BD52C" w14:textId="77777777" w:rsidR="00730F80" w:rsidRPr="00E975BD" w:rsidRDefault="00730F80" w:rsidP="003F310C">
      <w:pPr>
        <w:pStyle w:val="SDText"/>
        <w:spacing w:after="0"/>
        <w:contextualSpacing/>
        <w:rPr>
          <w:szCs w:val="24"/>
        </w:rPr>
      </w:pPr>
      <w:r w:rsidRPr="005F38D7">
        <w:rPr>
          <w:bCs/>
          <w:i/>
          <w:iCs/>
          <w:szCs w:val="24"/>
        </w:rPr>
        <w:t>Со стороны иммунной системы:</w:t>
      </w:r>
      <w:r w:rsidRPr="005F38D7">
        <w:rPr>
          <w:szCs w:val="24"/>
        </w:rPr>
        <w:t xml:space="preserve"> </w:t>
      </w:r>
      <w:r w:rsidRPr="005F38D7">
        <w:rPr>
          <w:rStyle w:val="54"/>
          <w:rFonts w:eastAsiaTheme="minorHAnsi"/>
          <w:b w:val="0"/>
          <w:bCs w:val="0"/>
          <w:i w:val="0"/>
          <w:szCs w:val="24"/>
        </w:rPr>
        <w:t>нечастые</w:t>
      </w:r>
      <w:r w:rsidRPr="00E975BD">
        <w:rPr>
          <w:rStyle w:val="55"/>
          <w:rFonts w:eastAsiaTheme="minorHAnsi"/>
          <w:b w:val="0"/>
          <w:bCs w:val="0"/>
          <w:szCs w:val="24"/>
        </w:rPr>
        <w:t xml:space="preserve"> </w:t>
      </w:r>
      <w:r w:rsidRPr="00E975BD">
        <w:rPr>
          <w:rStyle w:val="54"/>
          <w:rFonts w:eastAsiaTheme="minorHAnsi"/>
          <w:b w:val="0"/>
          <w:bCs w:val="0"/>
          <w:szCs w:val="24"/>
        </w:rPr>
        <w:t>–</w:t>
      </w:r>
      <w:r w:rsidRPr="00E975BD">
        <w:rPr>
          <w:rStyle w:val="55"/>
          <w:rFonts w:eastAsiaTheme="minorHAnsi"/>
          <w:szCs w:val="24"/>
        </w:rPr>
        <w:t xml:space="preserve"> </w:t>
      </w:r>
      <w:r w:rsidRPr="00E975BD">
        <w:rPr>
          <w:rStyle w:val="55"/>
          <w:rFonts w:eastAsiaTheme="minorHAnsi"/>
          <w:b w:val="0"/>
          <w:bCs w:val="0"/>
          <w:i w:val="0"/>
          <w:iCs w:val="0"/>
          <w:szCs w:val="24"/>
        </w:rPr>
        <w:t>гиперчувствительность</w:t>
      </w:r>
      <w:r w:rsidRPr="00E975BD">
        <w:rPr>
          <w:rStyle w:val="55"/>
          <w:rFonts w:eastAsiaTheme="minorHAnsi"/>
          <w:b w:val="0"/>
          <w:bCs w:val="0"/>
          <w:i w:val="0"/>
          <w:iCs w:val="0"/>
          <w:szCs w:val="24"/>
          <w:vertAlign w:val="superscript"/>
        </w:rPr>
        <w:t>г</w:t>
      </w:r>
    </w:p>
    <w:p w14:paraId="264DD4C6" w14:textId="77777777" w:rsidR="00730F80" w:rsidRPr="00E975BD" w:rsidRDefault="00730F80" w:rsidP="003F310C">
      <w:pPr>
        <w:pStyle w:val="SDText"/>
        <w:spacing w:after="0"/>
        <w:contextualSpacing/>
        <w:rPr>
          <w:szCs w:val="24"/>
        </w:rPr>
      </w:pPr>
      <w:r w:rsidRPr="005F38D7">
        <w:rPr>
          <w:rStyle w:val="28"/>
          <w:rFonts w:eastAsiaTheme="majorEastAsia"/>
          <w:b w:val="0"/>
          <w:sz w:val="24"/>
          <w:szCs w:val="24"/>
        </w:rPr>
        <w:lastRenderedPageBreak/>
        <w:t>Со стороны дыхательной системы:</w:t>
      </w:r>
      <w:r w:rsidRPr="00E975BD">
        <w:rPr>
          <w:rStyle w:val="28"/>
          <w:rFonts w:eastAsiaTheme="majorEastAsia"/>
          <w:sz w:val="24"/>
          <w:szCs w:val="24"/>
        </w:rPr>
        <w:t xml:space="preserve"> </w:t>
      </w:r>
      <w:r w:rsidRPr="005F38D7">
        <w:rPr>
          <w:rStyle w:val="23"/>
          <w:rFonts w:eastAsiaTheme="minorHAnsi"/>
          <w:i w:val="0"/>
          <w:sz w:val="24"/>
          <w:szCs w:val="24"/>
        </w:rPr>
        <w:t>частые</w:t>
      </w:r>
      <w:r w:rsidRPr="00E975BD">
        <w:rPr>
          <w:szCs w:val="24"/>
        </w:rPr>
        <w:t xml:space="preserve"> </w:t>
      </w:r>
      <w:r w:rsidRPr="00E975BD">
        <w:rPr>
          <w:rStyle w:val="54"/>
          <w:rFonts w:eastAsiaTheme="minorHAnsi"/>
          <w:b w:val="0"/>
          <w:bCs w:val="0"/>
          <w:szCs w:val="24"/>
        </w:rPr>
        <w:t>–</w:t>
      </w:r>
      <w:r w:rsidRPr="00E975BD">
        <w:rPr>
          <w:szCs w:val="24"/>
        </w:rPr>
        <w:t xml:space="preserve"> кашель; </w:t>
      </w:r>
      <w:r w:rsidRPr="005F38D7">
        <w:rPr>
          <w:rStyle w:val="23"/>
          <w:rFonts w:eastAsiaTheme="minorHAnsi"/>
          <w:i w:val="0"/>
          <w:sz w:val="24"/>
          <w:szCs w:val="24"/>
        </w:rPr>
        <w:t>нечастые</w:t>
      </w:r>
      <w:r w:rsidRPr="00E975BD">
        <w:rPr>
          <w:szCs w:val="24"/>
        </w:rPr>
        <w:t xml:space="preserve"> </w:t>
      </w:r>
      <w:r w:rsidRPr="00E975BD">
        <w:rPr>
          <w:rStyle w:val="54"/>
          <w:rFonts w:eastAsiaTheme="minorHAnsi"/>
          <w:b w:val="0"/>
          <w:bCs w:val="0"/>
          <w:szCs w:val="24"/>
        </w:rPr>
        <w:t>–</w:t>
      </w:r>
      <w:r w:rsidRPr="00E975BD">
        <w:rPr>
          <w:szCs w:val="24"/>
        </w:rPr>
        <w:t xml:space="preserve"> одышка, застойные явления в придаточных пазухах носа.</w:t>
      </w:r>
    </w:p>
    <w:p w14:paraId="12E876F7" w14:textId="77777777" w:rsidR="00730F80" w:rsidRPr="00E975BD" w:rsidRDefault="00730F80" w:rsidP="003F310C">
      <w:pPr>
        <w:pStyle w:val="SDText"/>
        <w:spacing w:after="0"/>
        <w:contextualSpacing/>
        <w:rPr>
          <w:szCs w:val="24"/>
        </w:rPr>
      </w:pPr>
      <w:r w:rsidRPr="005F38D7">
        <w:rPr>
          <w:rStyle w:val="28"/>
          <w:rFonts w:eastAsiaTheme="majorEastAsia"/>
          <w:b w:val="0"/>
          <w:sz w:val="24"/>
          <w:szCs w:val="24"/>
        </w:rPr>
        <w:t>Со стороны кожных покровов:</w:t>
      </w:r>
      <w:r w:rsidRPr="00E975BD">
        <w:rPr>
          <w:rStyle w:val="28"/>
          <w:rFonts w:eastAsiaTheme="majorEastAsia"/>
          <w:sz w:val="24"/>
          <w:szCs w:val="24"/>
        </w:rPr>
        <w:t xml:space="preserve"> </w:t>
      </w:r>
      <w:r w:rsidRPr="005F38D7">
        <w:rPr>
          <w:rStyle w:val="23"/>
          <w:rFonts w:eastAsiaTheme="minorHAnsi"/>
          <w:i w:val="0"/>
          <w:sz w:val="24"/>
          <w:szCs w:val="24"/>
        </w:rPr>
        <w:t>частые</w:t>
      </w:r>
      <w:r w:rsidRPr="00E975BD">
        <w:rPr>
          <w:szCs w:val="24"/>
        </w:rPr>
        <w:t xml:space="preserve"> </w:t>
      </w:r>
      <w:r w:rsidRPr="00E975BD">
        <w:rPr>
          <w:rStyle w:val="54"/>
          <w:rFonts w:eastAsiaTheme="minorHAnsi"/>
          <w:b w:val="0"/>
          <w:bCs w:val="0"/>
          <w:szCs w:val="24"/>
        </w:rPr>
        <w:t xml:space="preserve">– </w:t>
      </w:r>
      <w:r w:rsidRPr="00E975BD">
        <w:rPr>
          <w:szCs w:val="24"/>
        </w:rPr>
        <w:t xml:space="preserve">сыпь; </w:t>
      </w:r>
      <w:r w:rsidRPr="005F38D7">
        <w:rPr>
          <w:rStyle w:val="23"/>
          <w:rFonts w:eastAsiaTheme="minorHAnsi"/>
          <w:i w:val="0"/>
          <w:sz w:val="24"/>
          <w:szCs w:val="24"/>
        </w:rPr>
        <w:t>нечастые</w:t>
      </w:r>
      <w:r w:rsidRPr="00E975BD">
        <w:rPr>
          <w:szCs w:val="24"/>
        </w:rPr>
        <w:t xml:space="preserve"> </w:t>
      </w:r>
      <w:r w:rsidRPr="00E975BD">
        <w:rPr>
          <w:rStyle w:val="54"/>
          <w:rFonts w:eastAsiaTheme="minorHAnsi"/>
          <w:b w:val="0"/>
          <w:bCs w:val="0"/>
          <w:szCs w:val="24"/>
        </w:rPr>
        <w:t>–</w:t>
      </w:r>
      <w:r w:rsidRPr="00E975BD">
        <w:rPr>
          <w:szCs w:val="24"/>
        </w:rPr>
        <w:t xml:space="preserve"> эритема, кожный зуд.</w:t>
      </w:r>
    </w:p>
    <w:p w14:paraId="7B289CB2" w14:textId="77777777" w:rsidR="00730F80" w:rsidRPr="00E975BD" w:rsidRDefault="00730F80" w:rsidP="003F310C">
      <w:pPr>
        <w:pStyle w:val="SDText"/>
        <w:spacing w:after="0"/>
        <w:contextualSpacing/>
        <w:rPr>
          <w:szCs w:val="24"/>
        </w:rPr>
      </w:pPr>
      <w:r w:rsidRPr="005F38D7">
        <w:rPr>
          <w:bCs/>
          <w:i/>
          <w:iCs/>
          <w:szCs w:val="24"/>
        </w:rPr>
        <w:t>Со стороны печени и желчевыводящих путей:</w:t>
      </w:r>
      <w:r w:rsidRPr="00E975BD">
        <w:rPr>
          <w:szCs w:val="24"/>
        </w:rPr>
        <w:t xml:space="preserve"> </w:t>
      </w:r>
      <w:r w:rsidRPr="005F38D7">
        <w:rPr>
          <w:rStyle w:val="54"/>
          <w:rFonts w:eastAsiaTheme="minorHAnsi"/>
          <w:b w:val="0"/>
          <w:bCs w:val="0"/>
          <w:i w:val="0"/>
          <w:szCs w:val="24"/>
        </w:rPr>
        <w:t>нечастые</w:t>
      </w:r>
      <w:r w:rsidRPr="00E975BD">
        <w:rPr>
          <w:rStyle w:val="55"/>
          <w:rFonts w:eastAsiaTheme="minorHAnsi"/>
          <w:b w:val="0"/>
          <w:bCs w:val="0"/>
          <w:szCs w:val="24"/>
        </w:rPr>
        <w:t xml:space="preserve"> </w:t>
      </w:r>
      <w:r w:rsidRPr="00E975BD">
        <w:rPr>
          <w:rStyle w:val="54"/>
          <w:rFonts w:eastAsiaTheme="minorHAnsi"/>
          <w:b w:val="0"/>
          <w:bCs w:val="0"/>
          <w:szCs w:val="24"/>
        </w:rPr>
        <w:t>–</w:t>
      </w:r>
      <w:r w:rsidRPr="00E975BD">
        <w:rPr>
          <w:rStyle w:val="55"/>
          <w:rFonts w:eastAsiaTheme="minorHAnsi"/>
          <w:szCs w:val="24"/>
        </w:rPr>
        <w:t xml:space="preserve"> </w:t>
      </w:r>
      <w:r w:rsidRPr="00E975BD">
        <w:rPr>
          <w:rStyle w:val="55"/>
          <w:rFonts w:eastAsiaTheme="minorHAnsi"/>
          <w:b w:val="0"/>
          <w:bCs w:val="0"/>
          <w:i w:val="0"/>
          <w:iCs w:val="0"/>
          <w:szCs w:val="24"/>
        </w:rPr>
        <w:t>жировой гепатоз.</w:t>
      </w:r>
    </w:p>
    <w:p w14:paraId="601056FE" w14:textId="328495FE" w:rsidR="00730F80" w:rsidRPr="00E975BD" w:rsidRDefault="00730F80" w:rsidP="003F310C">
      <w:pPr>
        <w:pStyle w:val="SDText"/>
        <w:spacing w:after="0"/>
        <w:contextualSpacing/>
        <w:rPr>
          <w:szCs w:val="24"/>
        </w:rPr>
      </w:pPr>
      <w:r w:rsidRPr="005F38D7">
        <w:rPr>
          <w:bCs/>
          <w:i/>
          <w:iCs/>
          <w:szCs w:val="24"/>
        </w:rPr>
        <w:t>Доброкачественные, злокачественные и неуточненные новообразования (включая кисты и полипы)</w:t>
      </w:r>
      <w:r w:rsidRPr="005F38D7">
        <w:rPr>
          <w:szCs w:val="24"/>
        </w:rPr>
        <w:t>:</w:t>
      </w:r>
      <w:r w:rsidRPr="00E975BD">
        <w:rPr>
          <w:szCs w:val="24"/>
        </w:rPr>
        <w:t xml:space="preserve"> </w:t>
      </w:r>
      <w:r w:rsidRPr="005F38D7">
        <w:rPr>
          <w:rStyle w:val="54"/>
          <w:rFonts w:eastAsiaTheme="minorHAnsi"/>
          <w:b w:val="0"/>
          <w:bCs w:val="0"/>
          <w:i w:val="0"/>
          <w:szCs w:val="24"/>
        </w:rPr>
        <w:t>нечастые</w:t>
      </w:r>
      <w:r w:rsidRPr="00E975BD">
        <w:rPr>
          <w:rStyle w:val="54"/>
          <w:rFonts w:eastAsiaTheme="minorHAnsi"/>
          <w:i w:val="0"/>
          <w:iCs w:val="0"/>
          <w:szCs w:val="24"/>
        </w:rPr>
        <w:t xml:space="preserve"> </w:t>
      </w:r>
      <w:r w:rsidRPr="00E975BD">
        <w:rPr>
          <w:rStyle w:val="54"/>
          <w:rFonts w:eastAsiaTheme="minorHAnsi"/>
          <w:b w:val="0"/>
          <w:bCs w:val="0"/>
          <w:szCs w:val="24"/>
        </w:rPr>
        <w:t>–</w:t>
      </w:r>
      <w:r w:rsidRPr="00E975BD">
        <w:rPr>
          <w:rStyle w:val="55"/>
          <w:rFonts w:eastAsiaTheme="minorHAnsi"/>
          <w:szCs w:val="24"/>
        </w:rPr>
        <w:t xml:space="preserve"> </w:t>
      </w:r>
      <w:r w:rsidRPr="00E975BD">
        <w:rPr>
          <w:rStyle w:val="55"/>
          <w:rFonts w:eastAsiaTheme="minorHAnsi"/>
          <w:b w:val="0"/>
          <w:bCs w:val="0"/>
          <w:i w:val="0"/>
          <w:iCs w:val="0"/>
          <w:szCs w:val="24"/>
        </w:rPr>
        <w:t>рак кожи, не связанный с меланомой</w:t>
      </w:r>
      <w:r w:rsidR="000F2F80">
        <w:rPr>
          <w:rStyle w:val="55"/>
          <w:rFonts w:eastAsiaTheme="minorHAnsi"/>
          <w:b w:val="0"/>
          <w:bCs w:val="0"/>
          <w:i w:val="0"/>
          <w:iCs w:val="0"/>
          <w:szCs w:val="24"/>
          <w:vertAlign w:val="superscript"/>
        </w:rPr>
        <w:t>в</w:t>
      </w:r>
      <w:r w:rsidRPr="00E975BD">
        <w:rPr>
          <w:rStyle w:val="55"/>
          <w:rFonts w:eastAsiaTheme="minorHAnsi"/>
          <w:b w:val="0"/>
          <w:bCs w:val="0"/>
          <w:i w:val="0"/>
          <w:iCs w:val="0"/>
          <w:szCs w:val="24"/>
        </w:rPr>
        <w:t>.</w:t>
      </w:r>
    </w:p>
    <w:p w14:paraId="6DE631B3" w14:textId="4351DE9A" w:rsidR="00730F80" w:rsidRPr="00E975BD" w:rsidRDefault="00730F80" w:rsidP="003F310C">
      <w:pPr>
        <w:pStyle w:val="SDText"/>
        <w:spacing w:after="0"/>
        <w:contextualSpacing/>
        <w:rPr>
          <w:szCs w:val="24"/>
        </w:rPr>
      </w:pPr>
      <w:r w:rsidRPr="005F38D7">
        <w:rPr>
          <w:rStyle w:val="28"/>
          <w:rFonts w:eastAsiaTheme="majorEastAsia"/>
          <w:b w:val="0"/>
          <w:sz w:val="24"/>
          <w:szCs w:val="24"/>
        </w:rPr>
        <w:t>Нарушения, выявленные при клинических и лабораторных исследованиях</w:t>
      </w:r>
      <w:r w:rsidRPr="00E975BD">
        <w:rPr>
          <w:rStyle w:val="28"/>
          <w:rFonts w:eastAsiaTheme="majorEastAsia"/>
          <w:sz w:val="24"/>
          <w:szCs w:val="24"/>
        </w:rPr>
        <w:t xml:space="preserve">: </w:t>
      </w:r>
      <w:r w:rsidRPr="005F38D7">
        <w:rPr>
          <w:rStyle w:val="23"/>
          <w:rFonts w:eastAsiaTheme="minorHAnsi"/>
          <w:i w:val="0"/>
          <w:sz w:val="24"/>
          <w:szCs w:val="24"/>
        </w:rPr>
        <w:t>частые</w:t>
      </w:r>
      <w:r w:rsidRPr="00E975BD">
        <w:rPr>
          <w:szCs w:val="24"/>
        </w:rPr>
        <w:t xml:space="preserve"> </w:t>
      </w:r>
      <w:r w:rsidRPr="00E975BD">
        <w:rPr>
          <w:rStyle w:val="54"/>
          <w:rFonts w:eastAsiaTheme="minorHAnsi"/>
          <w:b w:val="0"/>
          <w:bCs w:val="0"/>
          <w:szCs w:val="24"/>
        </w:rPr>
        <w:t>–</w:t>
      </w:r>
      <w:r w:rsidR="000F2F80">
        <w:rPr>
          <w:rStyle w:val="54"/>
          <w:rFonts w:eastAsiaTheme="minorHAnsi"/>
          <w:b w:val="0"/>
          <w:bCs w:val="0"/>
          <w:szCs w:val="24"/>
        </w:rPr>
        <w:t xml:space="preserve"> </w:t>
      </w:r>
      <w:r w:rsidRPr="00E975BD">
        <w:rPr>
          <w:szCs w:val="24"/>
        </w:rPr>
        <w:t xml:space="preserve">повышение концентрации гаммаглутамилтрансферазы (ГГТ), холестерина крови, повышение массы тела, повышение концентрации креатинфосфокиназы (КФК); </w:t>
      </w:r>
      <w:r w:rsidRPr="005F38D7">
        <w:rPr>
          <w:rStyle w:val="23"/>
          <w:rFonts w:eastAsiaTheme="minorHAnsi"/>
          <w:i w:val="0"/>
          <w:sz w:val="24"/>
          <w:szCs w:val="24"/>
        </w:rPr>
        <w:t>нечастые</w:t>
      </w:r>
      <w:r w:rsidRPr="00E975BD">
        <w:rPr>
          <w:rStyle w:val="23"/>
          <w:rFonts w:eastAsiaTheme="minorHAnsi"/>
          <w:sz w:val="24"/>
          <w:szCs w:val="24"/>
        </w:rPr>
        <w:t xml:space="preserve"> </w:t>
      </w:r>
      <w:r w:rsidRPr="00E975BD">
        <w:rPr>
          <w:rStyle w:val="54"/>
          <w:rFonts w:eastAsiaTheme="minorHAnsi"/>
          <w:b w:val="0"/>
          <w:bCs w:val="0"/>
          <w:szCs w:val="24"/>
        </w:rPr>
        <w:t>–</w:t>
      </w:r>
      <w:r w:rsidR="000F2F80">
        <w:rPr>
          <w:rStyle w:val="54"/>
          <w:rFonts w:eastAsiaTheme="minorHAnsi"/>
          <w:b w:val="0"/>
          <w:bCs w:val="0"/>
          <w:szCs w:val="24"/>
        </w:rPr>
        <w:t xml:space="preserve"> </w:t>
      </w:r>
      <w:r w:rsidRPr="00E975BD">
        <w:rPr>
          <w:szCs w:val="24"/>
        </w:rPr>
        <w:t>повышение активности ферментов печени, повышение активности трансаминаз, нарушение функциональных проб печени, повышение концентрации креатинина в плазме крови, повышение концентрации липопротеидов низкой плотности (ЛПНП).</w:t>
      </w:r>
    </w:p>
    <w:p w14:paraId="330DA1A8" w14:textId="36D59AAE" w:rsidR="00730F80" w:rsidRPr="00E975BD" w:rsidRDefault="00730F80" w:rsidP="003F310C">
      <w:pPr>
        <w:pStyle w:val="SDText"/>
        <w:spacing w:after="0"/>
        <w:contextualSpacing/>
        <w:rPr>
          <w:szCs w:val="24"/>
        </w:rPr>
      </w:pPr>
      <w:r w:rsidRPr="005F38D7">
        <w:rPr>
          <w:rStyle w:val="28"/>
          <w:rFonts w:eastAsiaTheme="majorEastAsia"/>
          <w:b w:val="0"/>
          <w:sz w:val="24"/>
          <w:szCs w:val="24"/>
        </w:rPr>
        <w:t>Общие нарушения и реакции в месте введения:</w:t>
      </w:r>
      <w:r w:rsidRPr="00E975BD">
        <w:rPr>
          <w:rStyle w:val="28"/>
          <w:rFonts w:eastAsiaTheme="majorEastAsia"/>
          <w:sz w:val="24"/>
          <w:szCs w:val="24"/>
        </w:rPr>
        <w:t xml:space="preserve"> </w:t>
      </w:r>
      <w:r w:rsidRPr="005F38D7">
        <w:rPr>
          <w:rStyle w:val="23"/>
          <w:rFonts w:eastAsiaTheme="minorHAnsi"/>
          <w:i w:val="0"/>
          <w:sz w:val="24"/>
          <w:szCs w:val="24"/>
        </w:rPr>
        <w:t>частые</w:t>
      </w:r>
      <w:r w:rsidRPr="00E975BD">
        <w:rPr>
          <w:szCs w:val="24"/>
        </w:rPr>
        <w:t xml:space="preserve"> </w:t>
      </w:r>
      <w:r w:rsidRPr="00E975BD">
        <w:rPr>
          <w:rStyle w:val="54"/>
          <w:rFonts w:eastAsiaTheme="minorHAnsi"/>
          <w:b w:val="0"/>
          <w:bCs w:val="0"/>
          <w:szCs w:val="24"/>
        </w:rPr>
        <w:t>–</w:t>
      </w:r>
      <w:r w:rsidR="000F2F80">
        <w:rPr>
          <w:rStyle w:val="54"/>
          <w:rFonts w:eastAsiaTheme="minorHAnsi"/>
          <w:b w:val="0"/>
          <w:bCs w:val="0"/>
          <w:szCs w:val="24"/>
        </w:rPr>
        <w:t xml:space="preserve"> </w:t>
      </w:r>
      <w:r w:rsidRPr="00E975BD">
        <w:rPr>
          <w:szCs w:val="24"/>
        </w:rPr>
        <w:t>лихорадка, периферические отеки, утомляемость.</w:t>
      </w:r>
    </w:p>
    <w:p w14:paraId="2CFF66CD" w14:textId="77777777" w:rsidR="00730F80" w:rsidRDefault="00730F80" w:rsidP="003F310C">
      <w:pPr>
        <w:pStyle w:val="SDText"/>
        <w:spacing w:after="0"/>
        <w:contextualSpacing/>
      </w:pPr>
      <w:r w:rsidRPr="005F38D7">
        <w:rPr>
          <w:bCs/>
          <w:i/>
          <w:iCs/>
          <w:szCs w:val="24"/>
        </w:rPr>
        <w:t>Травмы, интоксикации и осложнения манипуляций:</w:t>
      </w:r>
      <w:r w:rsidRPr="00E975BD">
        <w:rPr>
          <w:szCs w:val="24"/>
        </w:rPr>
        <w:t xml:space="preserve"> </w:t>
      </w:r>
      <w:r w:rsidRPr="005F38D7">
        <w:rPr>
          <w:rStyle w:val="54"/>
          <w:rFonts w:eastAsiaTheme="minorHAnsi"/>
          <w:b w:val="0"/>
          <w:bCs w:val="0"/>
          <w:i w:val="0"/>
          <w:szCs w:val="24"/>
        </w:rPr>
        <w:t>нечастые</w:t>
      </w:r>
      <w:r w:rsidRPr="00E975BD">
        <w:rPr>
          <w:rStyle w:val="54"/>
          <w:rFonts w:eastAsiaTheme="minorHAnsi"/>
          <w:i w:val="0"/>
          <w:iCs w:val="0"/>
          <w:szCs w:val="24"/>
        </w:rPr>
        <w:t xml:space="preserve"> </w:t>
      </w:r>
      <w:r w:rsidRPr="00E975BD">
        <w:rPr>
          <w:rStyle w:val="54"/>
          <w:rFonts w:eastAsiaTheme="minorHAnsi"/>
          <w:b w:val="0"/>
          <w:bCs w:val="0"/>
          <w:szCs w:val="24"/>
        </w:rPr>
        <w:t>–</w:t>
      </w:r>
      <w:r w:rsidRPr="00E975BD">
        <w:rPr>
          <w:rStyle w:val="55"/>
          <w:rFonts w:eastAsiaTheme="minorHAnsi"/>
          <w:szCs w:val="24"/>
        </w:rPr>
        <w:t xml:space="preserve"> </w:t>
      </w:r>
      <w:r w:rsidRPr="00E975BD">
        <w:rPr>
          <w:rStyle w:val="55"/>
          <w:rFonts w:eastAsiaTheme="minorHAnsi"/>
          <w:b w:val="0"/>
          <w:bCs w:val="0"/>
          <w:i w:val="0"/>
          <w:iCs w:val="0"/>
          <w:szCs w:val="24"/>
        </w:rPr>
        <w:t>растяжение</w:t>
      </w:r>
      <w:r w:rsidRPr="00EF1DE1">
        <w:rPr>
          <w:rStyle w:val="55"/>
          <w:rFonts w:eastAsiaTheme="minorHAnsi"/>
          <w:b w:val="0"/>
          <w:bCs w:val="0"/>
          <w:i w:val="0"/>
          <w:iCs w:val="0"/>
        </w:rPr>
        <w:t xml:space="preserve"> связок, растяжение мышц.</w:t>
      </w:r>
    </w:p>
    <w:p w14:paraId="5D1785DC" w14:textId="77777777" w:rsidR="00730F80" w:rsidRPr="00E717E9" w:rsidRDefault="00730F80" w:rsidP="003F310C">
      <w:pPr>
        <w:pStyle w:val="SDText"/>
        <w:spacing w:after="0"/>
        <w:contextualSpacing/>
        <w:rPr>
          <w:sz w:val="20"/>
          <w:szCs w:val="20"/>
        </w:rPr>
      </w:pPr>
      <w:r w:rsidRPr="00E717E9">
        <w:rPr>
          <w:sz w:val="20"/>
          <w:szCs w:val="20"/>
          <w:vertAlign w:val="superscript"/>
        </w:rPr>
        <w:t>а</w:t>
      </w:r>
      <w:r w:rsidRPr="00E717E9">
        <w:rPr>
          <w:sz w:val="20"/>
          <w:szCs w:val="20"/>
        </w:rPr>
        <w:t xml:space="preserve"> Нежелательные лекарственные реакции были зарегистрированы только в открытых, долгосрочных, дополнительных исследованиях; поэтому была оценена частота этих нежелательных лекарственных реакций в ходе рандомизированных исследований фазы 3. </w:t>
      </w:r>
    </w:p>
    <w:p w14:paraId="6A773C62" w14:textId="77777777" w:rsidR="00730F80" w:rsidRPr="00E717E9" w:rsidRDefault="00730F80" w:rsidP="003F310C">
      <w:pPr>
        <w:pStyle w:val="SDText"/>
        <w:spacing w:after="0"/>
        <w:contextualSpacing/>
        <w:rPr>
          <w:sz w:val="20"/>
          <w:szCs w:val="20"/>
        </w:rPr>
      </w:pPr>
      <w:r w:rsidRPr="00E717E9">
        <w:rPr>
          <w:sz w:val="20"/>
          <w:szCs w:val="20"/>
          <w:vertAlign w:val="superscript"/>
        </w:rPr>
        <w:t>б</w:t>
      </w:r>
      <w:r w:rsidRPr="00E717E9">
        <w:rPr>
          <w:sz w:val="20"/>
          <w:szCs w:val="20"/>
        </w:rPr>
        <w:t xml:space="preserve"> Частоту бактериальных артритов определяли по комбинированной частоте для предпочтительного термина бактериального и инфекционного артритов. </w:t>
      </w:r>
    </w:p>
    <w:p w14:paraId="7B547847" w14:textId="77777777" w:rsidR="00730F80" w:rsidRPr="00E717E9" w:rsidRDefault="00730F80" w:rsidP="003F310C">
      <w:pPr>
        <w:pStyle w:val="SDText"/>
        <w:spacing w:after="0"/>
        <w:contextualSpacing/>
        <w:rPr>
          <w:sz w:val="20"/>
          <w:szCs w:val="20"/>
        </w:rPr>
      </w:pPr>
      <w:r w:rsidRPr="00E717E9">
        <w:rPr>
          <w:sz w:val="20"/>
          <w:szCs w:val="20"/>
          <w:vertAlign w:val="superscript"/>
        </w:rPr>
        <w:t>в</w:t>
      </w:r>
      <w:r w:rsidRPr="00E717E9">
        <w:rPr>
          <w:sz w:val="20"/>
          <w:szCs w:val="20"/>
        </w:rPr>
        <w:t xml:space="preserve"> Рак кожи, не связанный с меланомой, был установлен в качестве нежелательной лекарственной реакции в 2013 г. Рак кожи, не связанный с меланомой, не является предпочтительным термином: частота определяется путем комбинирования частот для предпочтительных терминов базальноклеточный рак и плоскоклеточный рак кожи. </w:t>
      </w:r>
    </w:p>
    <w:p w14:paraId="72974595" w14:textId="77777777" w:rsidR="00730F80" w:rsidRDefault="00730F80" w:rsidP="003F310C">
      <w:pPr>
        <w:pStyle w:val="SDText"/>
        <w:spacing w:after="0"/>
        <w:contextualSpacing/>
        <w:rPr>
          <w:sz w:val="20"/>
          <w:szCs w:val="20"/>
        </w:rPr>
      </w:pPr>
      <w:r w:rsidRPr="00E717E9">
        <w:rPr>
          <w:sz w:val="20"/>
          <w:szCs w:val="20"/>
          <w:vertAlign w:val="superscript"/>
        </w:rPr>
        <w:t>г</w:t>
      </w:r>
      <w:r w:rsidRPr="00E717E9">
        <w:rPr>
          <w:sz w:val="20"/>
          <w:szCs w:val="20"/>
        </w:rPr>
        <w:t xml:space="preserve"> Данные спонтанных сообщений (наблюдались такие реакции, как ангионевротический отек и крапивница). Некоторые реакции наблюдались также в рамках клинических исследований.</w:t>
      </w:r>
    </w:p>
    <w:p w14:paraId="305566D5" w14:textId="77777777" w:rsidR="00730F80" w:rsidRPr="00E717E9" w:rsidRDefault="00730F80" w:rsidP="003F310C">
      <w:pPr>
        <w:pStyle w:val="SDText"/>
        <w:spacing w:after="0"/>
        <w:contextualSpacing/>
        <w:rPr>
          <w:sz w:val="20"/>
          <w:szCs w:val="20"/>
        </w:rPr>
      </w:pPr>
    </w:p>
    <w:p w14:paraId="5756BD0A" w14:textId="64013F9C" w:rsidR="00730F80" w:rsidRDefault="00C822D7" w:rsidP="00C822D7">
      <w:pPr>
        <w:pStyle w:val="3"/>
        <w:numPr>
          <w:ilvl w:val="0"/>
          <w:numId w:val="0"/>
        </w:numPr>
        <w:ind w:left="720" w:hanging="720"/>
      </w:pPr>
      <w:bookmarkStart w:id="317" w:name="_Toc115421102"/>
      <w:bookmarkStart w:id="318" w:name="_Toc121592637"/>
      <w:r>
        <w:t xml:space="preserve">5.3.6. </w:t>
      </w:r>
      <w:r w:rsidR="00730F80">
        <w:t>Передозировка</w:t>
      </w:r>
      <w:bookmarkEnd w:id="317"/>
      <w:bookmarkEnd w:id="318"/>
    </w:p>
    <w:p w14:paraId="359F034C" w14:textId="77777777" w:rsidR="00730F80" w:rsidRPr="00AA513A" w:rsidRDefault="00730F80" w:rsidP="003F310C">
      <w:pPr>
        <w:pStyle w:val="SDText"/>
        <w:spacing w:after="0"/>
      </w:pPr>
    </w:p>
    <w:p w14:paraId="304E4C35" w14:textId="6328A18A" w:rsidR="00730F80" w:rsidRPr="003678F1" w:rsidRDefault="00C822D7" w:rsidP="00C822D7">
      <w:pPr>
        <w:pStyle w:val="4"/>
        <w:numPr>
          <w:ilvl w:val="0"/>
          <w:numId w:val="0"/>
        </w:numPr>
        <w:ind w:left="864" w:hanging="864"/>
      </w:pPr>
      <w:bookmarkStart w:id="319" w:name="_Toc121592638"/>
      <w:r>
        <w:t xml:space="preserve">5.3.6.1. </w:t>
      </w:r>
      <w:r w:rsidR="00730F80">
        <w:t>Таблетки, покрытые пленочной оболочкой</w:t>
      </w:r>
      <w:bookmarkEnd w:id="319"/>
    </w:p>
    <w:p w14:paraId="514BE002" w14:textId="77777777" w:rsidR="00713741" w:rsidRDefault="00713741" w:rsidP="00713741">
      <w:pPr>
        <w:spacing w:after="0"/>
        <w:ind w:firstLine="0"/>
        <w:contextualSpacing/>
      </w:pPr>
    </w:p>
    <w:p w14:paraId="51DBBFBB" w14:textId="5D884F02" w:rsidR="00713741" w:rsidRPr="00713741" w:rsidRDefault="00713741" w:rsidP="00713741">
      <w:pPr>
        <w:spacing w:after="0"/>
        <w:ind w:firstLine="0"/>
        <w:contextualSpacing/>
        <w:rPr>
          <w:b/>
        </w:rPr>
      </w:pPr>
      <w:r w:rsidRPr="00713741">
        <w:rPr>
          <w:b/>
        </w:rPr>
        <w:t>Симптомы</w:t>
      </w:r>
    </w:p>
    <w:p w14:paraId="433BEA65" w14:textId="77777777" w:rsidR="00713741" w:rsidRDefault="00713741" w:rsidP="003F310C">
      <w:pPr>
        <w:spacing w:after="0"/>
        <w:contextualSpacing/>
      </w:pPr>
    </w:p>
    <w:p w14:paraId="76394231" w14:textId="555FFE53" w:rsidR="00730F80" w:rsidRDefault="00730F80" w:rsidP="003F310C">
      <w:pPr>
        <w:spacing w:after="0"/>
        <w:contextualSpacing/>
      </w:pPr>
      <w:r>
        <w:t xml:space="preserve">Опыт передозировки при применении </w:t>
      </w:r>
      <w:r w:rsidR="00417483" w:rsidRPr="00417483">
        <w:t xml:space="preserve">тофацитиниба </w:t>
      </w:r>
      <w:r>
        <w:t>отсутствует.</w:t>
      </w:r>
    </w:p>
    <w:p w14:paraId="4857C73E" w14:textId="77777777" w:rsidR="00713741" w:rsidRDefault="00713741" w:rsidP="00713741">
      <w:pPr>
        <w:pStyle w:val="SDText"/>
        <w:spacing w:after="0"/>
        <w:ind w:firstLine="0"/>
        <w:contextualSpacing/>
      </w:pPr>
    </w:p>
    <w:p w14:paraId="403AA58A" w14:textId="34735A31" w:rsidR="00713741" w:rsidRPr="00713741" w:rsidRDefault="00713741" w:rsidP="00713741">
      <w:pPr>
        <w:pStyle w:val="SDText"/>
        <w:spacing w:after="0"/>
        <w:ind w:firstLine="0"/>
        <w:contextualSpacing/>
        <w:rPr>
          <w:b/>
        </w:rPr>
      </w:pPr>
      <w:r w:rsidRPr="00713741">
        <w:rPr>
          <w:b/>
        </w:rPr>
        <w:t>Лечение</w:t>
      </w:r>
    </w:p>
    <w:p w14:paraId="64F0E543" w14:textId="77777777" w:rsidR="00713741" w:rsidRDefault="00713741" w:rsidP="003F310C">
      <w:pPr>
        <w:pStyle w:val="SDText"/>
        <w:spacing w:after="0"/>
        <w:contextualSpacing/>
      </w:pPr>
    </w:p>
    <w:p w14:paraId="0DAD438C" w14:textId="12CC3C86" w:rsidR="00730F80" w:rsidRDefault="00730F80" w:rsidP="003F310C">
      <w:pPr>
        <w:pStyle w:val="SDText"/>
        <w:spacing w:after="0"/>
        <w:contextualSpacing/>
      </w:pPr>
      <w:r>
        <w:t>Лечение – симптоматическое и поддерживающее. В случае передозировки рекомендуется контроль состояния пациента на предмет развития признаков и симптомов нежелательных реакций. При развитии нежелательных реакций следует назначить соответствующую терапию. Специфического антидота не существует.</w:t>
      </w:r>
    </w:p>
    <w:p w14:paraId="4B04FB25" w14:textId="304237BB" w:rsidR="00730F80" w:rsidRDefault="00730F80" w:rsidP="003F310C">
      <w:pPr>
        <w:pStyle w:val="SDText"/>
        <w:spacing w:after="0"/>
        <w:contextualSpacing/>
      </w:pPr>
      <w:r>
        <w:t>Данные по фармакокинетике у здоровых добровольцев, получавших однократные дозы до 100 мг, свидетельствуют, что около 95% от введенной дозы выводится в течение 24 часов.</w:t>
      </w:r>
    </w:p>
    <w:p w14:paraId="7760BED2" w14:textId="77777777" w:rsidR="00713741" w:rsidRDefault="00713741" w:rsidP="003F310C">
      <w:pPr>
        <w:pStyle w:val="SDText"/>
        <w:spacing w:after="0"/>
        <w:contextualSpacing/>
      </w:pPr>
    </w:p>
    <w:p w14:paraId="07B3E814" w14:textId="77777777" w:rsidR="00791E09" w:rsidRDefault="00791E09" w:rsidP="00C822D7">
      <w:pPr>
        <w:pStyle w:val="4"/>
        <w:numPr>
          <w:ilvl w:val="0"/>
          <w:numId w:val="0"/>
        </w:numPr>
        <w:sectPr w:rsidR="00791E09" w:rsidSect="00F85178">
          <w:pgSz w:w="11906" w:h="16838"/>
          <w:pgMar w:top="1134" w:right="850" w:bottom="1134" w:left="1701" w:header="708" w:footer="708" w:gutter="0"/>
          <w:cols w:space="708"/>
          <w:docGrid w:linePitch="360"/>
        </w:sectPr>
      </w:pPr>
      <w:bookmarkStart w:id="320" w:name="_Toc121592639"/>
    </w:p>
    <w:p w14:paraId="19239781" w14:textId="1BE3A815" w:rsidR="00730F80" w:rsidRPr="003678F1" w:rsidRDefault="00C822D7" w:rsidP="00C822D7">
      <w:pPr>
        <w:pStyle w:val="4"/>
        <w:numPr>
          <w:ilvl w:val="0"/>
          <w:numId w:val="0"/>
        </w:numPr>
      </w:pPr>
      <w:r>
        <w:lastRenderedPageBreak/>
        <w:t xml:space="preserve">5.3.6.2. </w:t>
      </w:r>
      <w:r w:rsidR="00730F80">
        <w:t>Таблетки с модифицированным высвобождением, покрытые пленочной оболочкой</w:t>
      </w:r>
      <w:bookmarkEnd w:id="320"/>
    </w:p>
    <w:p w14:paraId="1CA5ABA8" w14:textId="77777777" w:rsidR="00713741" w:rsidRDefault="00713741" w:rsidP="00713741">
      <w:pPr>
        <w:spacing w:after="0"/>
        <w:ind w:firstLine="0"/>
        <w:contextualSpacing/>
      </w:pPr>
    </w:p>
    <w:p w14:paraId="05CA6B0C" w14:textId="60E3C266" w:rsidR="00713741" w:rsidRPr="00713741" w:rsidRDefault="00713741" w:rsidP="00713741">
      <w:pPr>
        <w:spacing w:after="0"/>
        <w:ind w:firstLine="0"/>
        <w:contextualSpacing/>
        <w:rPr>
          <w:b/>
        </w:rPr>
      </w:pPr>
      <w:r w:rsidRPr="00713741">
        <w:rPr>
          <w:b/>
        </w:rPr>
        <w:t>Симптомы</w:t>
      </w:r>
    </w:p>
    <w:p w14:paraId="6834B64B" w14:textId="77777777" w:rsidR="00713741" w:rsidRDefault="00713741" w:rsidP="003F310C">
      <w:pPr>
        <w:pStyle w:val="SDText"/>
        <w:spacing w:after="0"/>
        <w:contextualSpacing/>
      </w:pPr>
    </w:p>
    <w:p w14:paraId="66C8EAB4" w14:textId="3C58C10A" w:rsidR="00730F80" w:rsidRDefault="00730F80" w:rsidP="003F310C">
      <w:pPr>
        <w:pStyle w:val="SDText"/>
        <w:spacing w:after="0"/>
        <w:contextualSpacing/>
      </w:pPr>
      <w:r>
        <w:t xml:space="preserve">Опыт передозировки при применении </w:t>
      </w:r>
      <w:r w:rsidR="005838E3" w:rsidRPr="005838E3">
        <w:t xml:space="preserve">тофацитиниба </w:t>
      </w:r>
      <w:r>
        <w:t>отсутствует.</w:t>
      </w:r>
    </w:p>
    <w:p w14:paraId="1A64B49E" w14:textId="77777777" w:rsidR="00713741" w:rsidRDefault="00713741" w:rsidP="00713741">
      <w:pPr>
        <w:pStyle w:val="SDText"/>
        <w:spacing w:after="0"/>
        <w:ind w:firstLine="0"/>
        <w:contextualSpacing/>
      </w:pPr>
    </w:p>
    <w:p w14:paraId="234AA06C" w14:textId="4437592C" w:rsidR="00713741" w:rsidRPr="00713741" w:rsidRDefault="00713741" w:rsidP="00713741">
      <w:pPr>
        <w:pStyle w:val="SDText"/>
        <w:spacing w:after="0"/>
        <w:ind w:firstLine="0"/>
        <w:contextualSpacing/>
        <w:rPr>
          <w:b/>
        </w:rPr>
      </w:pPr>
      <w:r w:rsidRPr="00713741">
        <w:rPr>
          <w:b/>
        </w:rPr>
        <w:t>Лечение</w:t>
      </w:r>
    </w:p>
    <w:p w14:paraId="48003238" w14:textId="77777777" w:rsidR="00713741" w:rsidRDefault="00713741" w:rsidP="003F310C">
      <w:pPr>
        <w:pStyle w:val="SDText"/>
        <w:spacing w:after="0"/>
        <w:contextualSpacing/>
      </w:pPr>
    </w:p>
    <w:p w14:paraId="44E0D9BA" w14:textId="2DE5F92F" w:rsidR="00730F80" w:rsidRDefault="00730F80" w:rsidP="003F310C">
      <w:pPr>
        <w:pStyle w:val="SDText"/>
        <w:spacing w:after="0"/>
        <w:contextualSpacing/>
      </w:pPr>
      <w:r>
        <w:t xml:space="preserve">Лечение </w:t>
      </w:r>
      <w:r w:rsidR="000F2F80" w:rsidRPr="00D2098A">
        <w:rPr>
          <w:rStyle w:val="44"/>
          <w:rFonts w:eastAsiaTheme="minorHAnsi"/>
          <w:b w:val="0"/>
          <w:bCs w:val="0"/>
          <w:i w:val="0"/>
          <w:iCs w:val="0"/>
          <w:szCs w:val="24"/>
        </w:rPr>
        <w:t>–</w:t>
      </w:r>
      <w:r>
        <w:t xml:space="preserve"> симптоматическое и поддерживающее. В случае передозировки рекомендуется контроль состояния пациента на предмет развития признаков и симптомов нежелательных реакций. При развитии нежелательных реакций следует назначить соответствующую терапию. Специфического антидота не существует.</w:t>
      </w:r>
    </w:p>
    <w:p w14:paraId="010D825A" w14:textId="6A953ABE" w:rsidR="00730F80" w:rsidRDefault="00730F80" w:rsidP="003F310C">
      <w:pPr>
        <w:pStyle w:val="SDText"/>
        <w:spacing w:after="0"/>
        <w:contextualSpacing/>
      </w:pPr>
      <w:r>
        <w:t>Данные по фармакокинетике у здоровых добровольцев, получавших однократные дозы до и включая 100 мг, свидетельствуют, что около 95% от введенной дозы выводится в течение 24 часов.</w:t>
      </w:r>
    </w:p>
    <w:p w14:paraId="7E4E58A2" w14:textId="77777777" w:rsidR="00730F80" w:rsidRPr="00941B4E" w:rsidRDefault="00730F80" w:rsidP="003F310C">
      <w:pPr>
        <w:pStyle w:val="SDText"/>
        <w:spacing w:after="0"/>
        <w:contextualSpacing/>
      </w:pPr>
    </w:p>
    <w:p w14:paraId="1EAB49EC" w14:textId="7C2D8D17" w:rsidR="00730F80" w:rsidRDefault="00C822D7" w:rsidP="00C822D7">
      <w:pPr>
        <w:pStyle w:val="3"/>
        <w:numPr>
          <w:ilvl w:val="0"/>
          <w:numId w:val="0"/>
        </w:numPr>
        <w:ind w:left="720" w:hanging="720"/>
      </w:pPr>
      <w:bookmarkStart w:id="321" w:name="_Toc115421103"/>
      <w:bookmarkStart w:id="322" w:name="_Toc121592640"/>
      <w:r>
        <w:t xml:space="preserve">5.3.7. </w:t>
      </w:r>
      <w:r w:rsidR="00730F80" w:rsidRPr="00A923A0">
        <w:t>Взаимодействие</w:t>
      </w:r>
      <w:r w:rsidR="00730F80" w:rsidRPr="00E717E9">
        <w:t xml:space="preserve"> </w:t>
      </w:r>
      <w:r w:rsidR="00730F80" w:rsidRPr="00A923A0">
        <w:t>с</w:t>
      </w:r>
      <w:r w:rsidR="00730F80" w:rsidRPr="00E717E9">
        <w:t xml:space="preserve"> </w:t>
      </w:r>
      <w:r w:rsidR="00730F80" w:rsidRPr="00A923A0">
        <w:t>другими</w:t>
      </w:r>
      <w:r w:rsidR="00730F80" w:rsidRPr="00E717E9">
        <w:t xml:space="preserve"> </w:t>
      </w:r>
      <w:r w:rsidR="00730F80" w:rsidRPr="00A923A0">
        <w:t>лекарственными</w:t>
      </w:r>
      <w:r w:rsidR="00730F80" w:rsidRPr="00E717E9">
        <w:t xml:space="preserve"> </w:t>
      </w:r>
      <w:r w:rsidR="00730F80" w:rsidRPr="00A923A0">
        <w:t>препаратами</w:t>
      </w:r>
      <w:bookmarkEnd w:id="321"/>
      <w:bookmarkEnd w:id="322"/>
    </w:p>
    <w:p w14:paraId="2C3FA68C" w14:textId="77777777" w:rsidR="00730F80" w:rsidRPr="00AA513A" w:rsidRDefault="00730F80" w:rsidP="003F310C">
      <w:pPr>
        <w:pStyle w:val="SDText"/>
        <w:spacing w:after="0"/>
      </w:pPr>
    </w:p>
    <w:p w14:paraId="20E50B19" w14:textId="02CCD1C7" w:rsidR="00730F80" w:rsidRPr="003678F1" w:rsidRDefault="00C822D7" w:rsidP="00C822D7">
      <w:pPr>
        <w:pStyle w:val="4"/>
        <w:numPr>
          <w:ilvl w:val="0"/>
          <w:numId w:val="0"/>
        </w:numPr>
        <w:ind w:left="864" w:hanging="864"/>
      </w:pPr>
      <w:bookmarkStart w:id="323" w:name="_Toc121592641"/>
      <w:r>
        <w:t xml:space="preserve">5.3.7.1. </w:t>
      </w:r>
      <w:r w:rsidR="00730F80">
        <w:t>Таблетки, покрытые пленочной оболочкой</w:t>
      </w:r>
      <w:bookmarkEnd w:id="323"/>
    </w:p>
    <w:p w14:paraId="34C6B4BE" w14:textId="77777777" w:rsidR="00713741" w:rsidRDefault="00713741" w:rsidP="00713741">
      <w:pPr>
        <w:spacing w:after="0"/>
        <w:ind w:firstLine="0"/>
        <w:contextualSpacing/>
        <w:rPr>
          <w:b/>
        </w:rPr>
      </w:pPr>
    </w:p>
    <w:p w14:paraId="0643A6DD" w14:textId="76478649" w:rsidR="00730F80" w:rsidRPr="00713741" w:rsidRDefault="00730F80" w:rsidP="00713741">
      <w:pPr>
        <w:spacing w:after="0"/>
        <w:ind w:firstLine="0"/>
        <w:contextualSpacing/>
        <w:rPr>
          <w:b/>
        </w:rPr>
      </w:pPr>
      <w:r w:rsidRPr="00713741">
        <w:rPr>
          <w:b/>
        </w:rPr>
        <w:t xml:space="preserve">Взаимодействия, влияющие на применение </w:t>
      </w:r>
      <w:r w:rsidR="00417483" w:rsidRPr="00417483">
        <w:rPr>
          <w:b/>
        </w:rPr>
        <w:t>тофацитиниба</w:t>
      </w:r>
    </w:p>
    <w:p w14:paraId="6B3967C3" w14:textId="77777777" w:rsidR="00713741" w:rsidRDefault="00713741" w:rsidP="003F310C">
      <w:pPr>
        <w:pStyle w:val="SDText"/>
        <w:spacing w:after="0"/>
        <w:contextualSpacing/>
      </w:pPr>
    </w:p>
    <w:p w14:paraId="6C651139" w14:textId="3648210B" w:rsidR="00730F80" w:rsidRDefault="00730F80" w:rsidP="003F310C">
      <w:pPr>
        <w:pStyle w:val="SDText"/>
        <w:spacing w:after="0"/>
        <w:contextualSpacing/>
      </w:pPr>
      <w:r>
        <w:t xml:space="preserve">Поскольку тофацитиниб метаболизируется под действием изофермента </w:t>
      </w:r>
      <w:r>
        <w:rPr>
          <w:lang w:val="en-US" w:bidi="en-US"/>
        </w:rPr>
        <w:t>CYP</w:t>
      </w:r>
      <w:r w:rsidRPr="003927BA">
        <w:rPr>
          <w:lang w:bidi="en-US"/>
        </w:rPr>
        <w:t>3</w:t>
      </w:r>
      <w:r>
        <w:rPr>
          <w:lang w:val="en-US" w:bidi="en-US"/>
        </w:rPr>
        <w:t>A</w:t>
      </w:r>
      <w:r w:rsidRPr="003927BA">
        <w:rPr>
          <w:lang w:bidi="en-US"/>
        </w:rPr>
        <w:t xml:space="preserve">4. </w:t>
      </w:r>
      <w:r>
        <w:t xml:space="preserve">весьма вероятно взаимодействие с препаратами, которые ингибируют или индуцируют данный изофермент. При одновременном применении с мощными ингибиторами изофермента </w:t>
      </w:r>
      <w:r>
        <w:rPr>
          <w:lang w:val="en-US" w:bidi="en-US"/>
        </w:rPr>
        <w:t>CYP</w:t>
      </w:r>
      <w:r w:rsidRPr="003927BA">
        <w:rPr>
          <w:lang w:bidi="en-US"/>
        </w:rPr>
        <w:t>3</w:t>
      </w:r>
      <w:r>
        <w:rPr>
          <w:lang w:val="en-US" w:bidi="en-US"/>
        </w:rPr>
        <w:t>A</w:t>
      </w:r>
      <w:r w:rsidRPr="003927BA">
        <w:rPr>
          <w:lang w:bidi="en-US"/>
        </w:rPr>
        <w:t xml:space="preserve">4 </w:t>
      </w:r>
      <w:r>
        <w:t xml:space="preserve">(например, кетоконазолом), а также при одновременном применении с одним или несколькими умеренными ингибиторами изофермента </w:t>
      </w:r>
      <w:r>
        <w:rPr>
          <w:lang w:val="en-US" w:bidi="en-US"/>
        </w:rPr>
        <w:t>CYP</w:t>
      </w:r>
      <w:r w:rsidRPr="003927BA">
        <w:rPr>
          <w:lang w:bidi="en-US"/>
        </w:rPr>
        <w:t>3</w:t>
      </w:r>
      <w:r>
        <w:rPr>
          <w:lang w:val="en-US" w:bidi="en-US"/>
        </w:rPr>
        <w:t>A</w:t>
      </w:r>
      <w:r w:rsidRPr="003927BA">
        <w:rPr>
          <w:lang w:bidi="en-US"/>
        </w:rPr>
        <w:t xml:space="preserve">4 </w:t>
      </w:r>
      <w:r>
        <w:t xml:space="preserve">и мощными ингибиторами изофермента </w:t>
      </w:r>
      <w:r>
        <w:rPr>
          <w:lang w:val="en-US" w:bidi="en-US"/>
        </w:rPr>
        <w:t>CYP</w:t>
      </w:r>
      <w:r w:rsidRPr="003927BA">
        <w:rPr>
          <w:lang w:bidi="en-US"/>
        </w:rPr>
        <w:t>2</w:t>
      </w:r>
      <w:r>
        <w:rPr>
          <w:lang w:val="en-US" w:bidi="en-US"/>
        </w:rPr>
        <w:t>C</w:t>
      </w:r>
      <w:r w:rsidRPr="003927BA">
        <w:rPr>
          <w:lang w:bidi="en-US"/>
        </w:rPr>
        <w:t xml:space="preserve">19 </w:t>
      </w:r>
      <w:r>
        <w:t xml:space="preserve">(например, флуконазолом) экспозиция тофацитиниба увеличивается. Одновременное применение кетоконазола (мощного ингибитора изофермента </w:t>
      </w:r>
      <w:r>
        <w:rPr>
          <w:lang w:val="en-US" w:bidi="en-US"/>
        </w:rPr>
        <w:t>CYP</w:t>
      </w:r>
      <w:r w:rsidRPr="003927BA">
        <w:rPr>
          <w:lang w:bidi="en-US"/>
        </w:rPr>
        <w:t>3</w:t>
      </w:r>
      <w:r>
        <w:rPr>
          <w:lang w:val="en-US" w:bidi="en-US"/>
        </w:rPr>
        <w:t>A</w:t>
      </w:r>
      <w:r w:rsidRPr="003927BA">
        <w:rPr>
          <w:lang w:bidi="en-US"/>
        </w:rPr>
        <w:t xml:space="preserve">4) </w:t>
      </w:r>
      <w:r>
        <w:t xml:space="preserve">и однократной дозы тофацитиниба повышает </w:t>
      </w:r>
      <w:r w:rsidR="000F2F80">
        <w:rPr>
          <w:lang w:val="en-US" w:bidi="en-US"/>
        </w:rPr>
        <w:t>AUC</w:t>
      </w:r>
      <w:r w:rsidRPr="003927BA">
        <w:rPr>
          <w:lang w:bidi="en-US"/>
        </w:rPr>
        <w:t xml:space="preserve"> </w:t>
      </w:r>
      <w:r>
        <w:t xml:space="preserve">и </w:t>
      </w:r>
      <w:r w:rsidR="000F2F80">
        <w:rPr>
          <w:lang w:val="en-US"/>
        </w:rPr>
        <w:t>C</w:t>
      </w:r>
      <w:r w:rsidR="000F2F80">
        <w:rPr>
          <w:vertAlign w:val="subscript"/>
          <w:lang w:val="en-US"/>
        </w:rPr>
        <w:t>max</w:t>
      </w:r>
      <w:r>
        <w:t xml:space="preserve"> тофацитиниба на 103% и 16%, соответственно. Одновременное применение флуконазола (умеренного ингибитора изофермента </w:t>
      </w:r>
      <w:r>
        <w:rPr>
          <w:lang w:val="en-US" w:bidi="en-US"/>
        </w:rPr>
        <w:t>CYP</w:t>
      </w:r>
      <w:r w:rsidRPr="003927BA">
        <w:rPr>
          <w:lang w:bidi="en-US"/>
        </w:rPr>
        <w:t>3</w:t>
      </w:r>
      <w:r>
        <w:rPr>
          <w:lang w:val="en-US" w:bidi="en-US"/>
        </w:rPr>
        <w:t>A</w:t>
      </w:r>
      <w:r w:rsidRPr="003927BA">
        <w:rPr>
          <w:lang w:bidi="en-US"/>
        </w:rPr>
        <w:t xml:space="preserve">4, </w:t>
      </w:r>
      <w:r>
        <w:t xml:space="preserve">а также мощного ингибитора изофермента </w:t>
      </w:r>
      <w:r>
        <w:rPr>
          <w:lang w:val="en-US" w:bidi="en-US"/>
        </w:rPr>
        <w:t>CYP</w:t>
      </w:r>
      <w:r w:rsidRPr="003927BA">
        <w:rPr>
          <w:lang w:bidi="en-US"/>
        </w:rPr>
        <w:t>2</w:t>
      </w:r>
      <w:r>
        <w:rPr>
          <w:lang w:val="en-US" w:bidi="en-US"/>
        </w:rPr>
        <w:t>C</w:t>
      </w:r>
      <w:r w:rsidRPr="003927BA">
        <w:rPr>
          <w:lang w:bidi="en-US"/>
        </w:rPr>
        <w:t xml:space="preserve">19) </w:t>
      </w:r>
      <w:r>
        <w:t xml:space="preserve">увеличивает </w:t>
      </w:r>
      <w:r w:rsidR="000F2F80">
        <w:rPr>
          <w:lang w:val="en-US" w:bidi="en-US"/>
        </w:rPr>
        <w:t>AUC</w:t>
      </w:r>
      <w:r w:rsidR="000F2F80" w:rsidRPr="003927BA">
        <w:rPr>
          <w:lang w:bidi="en-US"/>
        </w:rPr>
        <w:t xml:space="preserve"> </w:t>
      </w:r>
      <w:r w:rsidR="000F2F80">
        <w:t xml:space="preserve">и </w:t>
      </w:r>
      <w:r w:rsidR="000F2F80">
        <w:rPr>
          <w:lang w:val="en-US"/>
        </w:rPr>
        <w:t>C</w:t>
      </w:r>
      <w:r w:rsidR="000F2F80">
        <w:rPr>
          <w:vertAlign w:val="subscript"/>
          <w:lang w:val="en-US"/>
        </w:rPr>
        <w:t>max</w:t>
      </w:r>
      <w:r w:rsidR="000F2F80">
        <w:t xml:space="preserve"> </w:t>
      </w:r>
      <w:r>
        <w:t>тофацитиниба на 79% и 27%, соответственно.</w:t>
      </w:r>
    </w:p>
    <w:p w14:paraId="7C52A699" w14:textId="7E6F2B26" w:rsidR="00730F80" w:rsidRDefault="00730F80" w:rsidP="003F310C">
      <w:pPr>
        <w:pStyle w:val="SDText"/>
        <w:spacing w:after="0"/>
        <w:contextualSpacing/>
      </w:pPr>
      <w:r>
        <w:t xml:space="preserve">При одновременном применении с мощными индукторами изофермента </w:t>
      </w:r>
      <w:r>
        <w:rPr>
          <w:lang w:val="en-US" w:bidi="en-US"/>
        </w:rPr>
        <w:t>CYP</w:t>
      </w:r>
      <w:r w:rsidRPr="003927BA">
        <w:rPr>
          <w:lang w:bidi="en-US"/>
        </w:rPr>
        <w:t>3</w:t>
      </w:r>
      <w:r>
        <w:rPr>
          <w:lang w:val="en-US" w:bidi="en-US"/>
        </w:rPr>
        <w:t>A</w:t>
      </w:r>
      <w:r w:rsidRPr="003927BA">
        <w:rPr>
          <w:lang w:bidi="en-US"/>
        </w:rPr>
        <w:t xml:space="preserve">4 </w:t>
      </w:r>
      <w:r>
        <w:t xml:space="preserve">(например, рифампицином) экспозиция тофацитиниба уменьшается. Одновременное применение рифампицина (мощного индуктора изофермента </w:t>
      </w:r>
      <w:r>
        <w:rPr>
          <w:lang w:val="en-US" w:bidi="en-US"/>
        </w:rPr>
        <w:t>CYP</w:t>
      </w:r>
      <w:r w:rsidRPr="003927BA">
        <w:rPr>
          <w:lang w:bidi="en-US"/>
        </w:rPr>
        <w:t>3</w:t>
      </w:r>
      <w:r>
        <w:rPr>
          <w:lang w:val="en-US" w:bidi="en-US"/>
        </w:rPr>
        <w:t>A</w:t>
      </w:r>
      <w:r w:rsidRPr="003927BA">
        <w:rPr>
          <w:lang w:bidi="en-US"/>
        </w:rPr>
        <w:t xml:space="preserve">4) </w:t>
      </w:r>
      <w:r>
        <w:t xml:space="preserve">снижает </w:t>
      </w:r>
      <w:r w:rsidR="000F2F80">
        <w:rPr>
          <w:lang w:val="en-US" w:bidi="en-US"/>
        </w:rPr>
        <w:t>AUC</w:t>
      </w:r>
      <w:r w:rsidR="000F2F80" w:rsidRPr="003927BA">
        <w:rPr>
          <w:lang w:bidi="en-US"/>
        </w:rPr>
        <w:t xml:space="preserve"> </w:t>
      </w:r>
      <w:r w:rsidR="000F2F80">
        <w:t xml:space="preserve">и </w:t>
      </w:r>
      <w:r w:rsidR="000F2F80">
        <w:rPr>
          <w:lang w:val="en-US"/>
        </w:rPr>
        <w:t>C</w:t>
      </w:r>
      <w:r w:rsidR="000F2F80">
        <w:rPr>
          <w:vertAlign w:val="subscript"/>
          <w:lang w:val="en-US"/>
        </w:rPr>
        <w:t>max</w:t>
      </w:r>
      <w:r>
        <w:t xml:space="preserve"> тофацитиниба на 84% и 74%, соответственно. Вероятность влияния ингибиторов изофермента </w:t>
      </w:r>
      <w:r>
        <w:rPr>
          <w:lang w:val="en-US" w:bidi="en-US"/>
        </w:rPr>
        <w:t>CYP</w:t>
      </w:r>
      <w:r w:rsidRPr="003927BA">
        <w:rPr>
          <w:lang w:bidi="en-US"/>
        </w:rPr>
        <w:t>2</w:t>
      </w:r>
      <w:r>
        <w:rPr>
          <w:lang w:val="en-US" w:bidi="en-US"/>
        </w:rPr>
        <w:t>C</w:t>
      </w:r>
      <w:r w:rsidRPr="003927BA">
        <w:rPr>
          <w:lang w:bidi="en-US"/>
        </w:rPr>
        <w:t xml:space="preserve">19 </w:t>
      </w:r>
      <w:r>
        <w:t>или Р-гликопротеина на фармакокинетику тофацитиниба мала.</w:t>
      </w:r>
    </w:p>
    <w:p w14:paraId="09CE3532" w14:textId="08CBE23F" w:rsidR="00730F80" w:rsidRDefault="00730F80" w:rsidP="003F310C">
      <w:pPr>
        <w:pStyle w:val="SDText"/>
        <w:spacing w:after="0"/>
        <w:contextualSpacing/>
      </w:pPr>
      <w:r>
        <w:t xml:space="preserve">Одновременное применение такролимуса (слабого ингибитора изофермента </w:t>
      </w:r>
      <w:r>
        <w:rPr>
          <w:lang w:val="en-US" w:bidi="en-US"/>
        </w:rPr>
        <w:t>CYP</w:t>
      </w:r>
      <w:r w:rsidRPr="003927BA">
        <w:rPr>
          <w:lang w:bidi="en-US"/>
        </w:rPr>
        <w:t>3</w:t>
      </w:r>
      <w:r>
        <w:rPr>
          <w:lang w:val="en-US" w:bidi="en-US"/>
        </w:rPr>
        <w:t>A</w:t>
      </w:r>
      <w:r w:rsidRPr="003927BA">
        <w:rPr>
          <w:lang w:bidi="en-US"/>
        </w:rPr>
        <w:t xml:space="preserve">4) </w:t>
      </w:r>
      <w:r>
        <w:t xml:space="preserve">увеличивает </w:t>
      </w:r>
      <w:r w:rsidR="000F2F80">
        <w:rPr>
          <w:lang w:val="en-US" w:bidi="en-US"/>
        </w:rPr>
        <w:t>AUC</w:t>
      </w:r>
      <w:r w:rsidRPr="003927BA">
        <w:rPr>
          <w:lang w:bidi="en-US"/>
        </w:rPr>
        <w:t xml:space="preserve"> </w:t>
      </w:r>
      <w:r>
        <w:t xml:space="preserve">тофацитиниба на 21% и снижает </w:t>
      </w:r>
      <w:r w:rsidR="000F2F80">
        <w:rPr>
          <w:lang w:val="en-US"/>
        </w:rPr>
        <w:t>C</w:t>
      </w:r>
      <w:r w:rsidR="000F2F80">
        <w:rPr>
          <w:vertAlign w:val="subscript"/>
          <w:lang w:val="en-US"/>
        </w:rPr>
        <w:t>max</w:t>
      </w:r>
      <w:r>
        <w:t xml:space="preserve"> тофацитиниба на 9%. Одновременное применение циклоспорина (умеренного ингибитора изофермента </w:t>
      </w:r>
      <w:r>
        <w:rPr>
          <w:lang w:val="en-US" w:bidi="en-US"/>
        </w:rPr>
        <w:t>CYP</w:t>
      </w:r>
      <w:r w:rsidRPr="003927BA">
        <w:rPr>
          <w:lang w:bidi="en-US"/>
        </w:rPr>
        <w:t>3</w:t>
      </w:r>
      <w:r>
        <w:rPr>
          <w:lang w:val="en-US" w:bidi="en-US"/>
        </w:rPr>
        <w:t>A</w:t>
      </w:r>
      <w:r w:rsidRPr="003927BA">
        <w:rPr>
          <w:lang w:bidi="en-US"/>
        </w:rPr>
        <w:t xml:space="preserve">4) </w:t>
      </w:r>
      <w:r>
        <w:t xml:space="preserve">увеличивает </w:t>
      </w:r>
      <w:r w:rsidR="000F2F80">
        <w:rPr>
          <w:lang w:val="en-US" w:bidi="en-US"/>
        </w:rPr>
        <w:t>AUC</w:t>
      </w:r>
      <w:r w:rsidRPr="003927BA">
        <w:rPr>
          <w:lang w:bidi="en-US"/>
        </w:rPr>
        <w:t xml:space="preserve"> </w:t>
      </w:r>
      <w:r>
        <w:t xml:space="preserve">тофацитиниба на 73% и снижает </w:t>
      </w:r>
      <w:r w:rsidR="000F2F80">
        <w:rPr>
          <w:lang w:val="en-US"/>
        </w:rPr>
        <w:t>C</w:t>
      </w:r>
      <w:r w:rsidR="000F2F80">
        <w:rPr>
          <w:vertAlign w:val="subscript"/>
          <w:lang w:val="en-US"/>
        </w:rPr>
        <w:t>max</w:t>
      </w:r>
      <w:r>
        <w:t xml:space="preserve"> тофацитиниба на 17%. Одновременное многократное применение тофацитиниба и мощных иммунодепрессантов у пациентов с ревматоидным артритом, псориазом, псориатическим артритом, анкилозирующим спондилоартритом, язвенным колитом или полиартикулярным ювенильным идиопатическим артритом не изучалось.</w:t>
      </w:r>
    </w:p>
    <w:p w14:paraId="46DB6B26" w14:textId="77777777" w:rsidR="00730F80" w:rsidRDefault="00730F80" w:rsidP="003F310C">
      <w:pPr>
        <w:pStyle w:val="SDText"/>
        <w:spacing w:after="0"/>
        <w:contextualSpacing/>
      </w:pPr>
      <w:r>
        <w:lastRenderedPageBreak/>
        <w:t>Одновременное применение с метотрексатом (15–25 мг метотрексата один раз в неделю) не оказывает влияния на фармакокинетику тофацитиниба.</w:t>
      </w:r>
    </w:p>
    <w:p w14:paraId="6AAA5C2E" w14:textId="77777777" w:rsidR="00730F80" w:rsidRDefault="00730F80" w:rsidP="003F310C">
      <w:pPr>
        <w:pStyle w:val="SDText"/>
        <w:spacing w:after="0"/>
        <w:contextualSpacing/>
        <w:rPr>
          <w:u w:val="single"/>
        </w:rPr>
      </w:pPr>
    </w:p>
    <w:p w14:paraId="249F4693" w14:textId="6E9B3A51" w:rsidR="00730F80" w:rsidRPr="00713741" w:rsidRDefault="00730F80" w:rsidP="00713741">
      <w:pPr>
        <w:pStyle w:val="SDText"/>
        <w:spacing w:after="0"/>
        <w:ind w:firstLine="0"/>
        <w:contextualSpacing/>
        <w:rPr>
          <w:b/>
        </w:rPr>
      </w:pPr>
      <w:r w:rsidRPr="00713741">
        <w:rPr>
          <w:b/>
        </w:rPr>
        <w:t xml:space="preserve">Взаимодействия, при которых </w:t>
      </w:r>
      <w:r w:rsidR="00417483" w:rsidRPr="00417483">
        <w:rPr>
          <w:b/>
        </w:rPr>
        <w:t>тофацитиниб</w:t>
      </w:r>
      <w:r w:rsidRPr="00713741">
        <w:rPr>
          <w:b/>
        </w:rPr>
        <w:t xml:space="preserve"> влияет на фармакокинетику других препаратов</w:t>
      </w:r>
    </w:p>
    <w:p w14:paraId="12F7E04A" w14:textId="77777777" w:rsidR="00713741" w:rsidRDefault="00713741" w:rsidP="003F310C">
      <w:pPr>
        <w:pStyle w:val="SDText"/>
        <w:spacing w:after="0"/>
        <w:contextualSpacing/>
      </w:pPr>
    </w:p>
    <w:p w14:paraId="0D634488" w14:textId="635A1C2D" w:rsidR="00730F80" w:rsidRDefault="00730F80" w:rsidP="003F310C">
      <w:pPr>
        <w:pStyle w:val="SDText"/>
        <w:spacing w:after="0"/>
        <w:contextualSpacing/>
      </w:pPr>
      <w:r>
        <w:t xml:space="preserve">Исследования </w:t>
      </w:r>
      <w:r w:rsidRPr="0028587D">
        <w:rPr>
          <w:rStyle w:val="23"/>
          <w:rFonts w:eastAsiaTheme="minorHAnsi"/>
          <w:sz w:val="24"/>
          <w:szCs w:val="24"/>
          <w:lang w:val="en-US" w:bidi="en-US"/>
        </w:rPr>
        <w:t>in</w:t>
      </w:r>
      <w:r w:rsidRPr="0028587D">
        <w:rPr>
          <w:rStyle w:val="23"/>
          <w:rFonts w:eastAsiaTheme="minorHAnsi"/>
          <w:sz w:val="24"/>
          <w:szCs w:val="24"/>
          <w:lang w:bidi="en-US"/>
        </w:rPr>
        <w:t xml:space="preserve"> </w:t>
      </w:r>
      <w:r w:rsidRPr="0028587D">
        <w:rPr>
          <w:rStyle w:val="23"/>
          <w:rFonts w:eastAsiaTheme="minorHAnsi"/>
          <w:sz w:val="24"/>
          <w:szCs w:val="24"/>
          <w:lang w:val="en-US" w:bidi="en-US"/>
        </w:rPr>
        <w:t>vitro</w:t>
      </w:r>
      <w:r w:rsidRPr="003927BA">
        <w:rPr>
          <w:lang w:bidi="en-US"/>
        </w:rPr>
        <w:t xml:space="preserve"> </w:t>
      </w:r>
      <w:r>
        <w:t>показали, что тофацитиниб в концентрациях, даже более чем в 80 раз превышающих равновесную С</w:t>
      </w:r>
      <w:r w:rsidRPr="003678F1">
        <w:rPr>
          <w:vertAlign w:val="subscript"/>
          <w:lang w:val="en-US"/>
        </w:rPr>
        <w:t>m</w:t>
      </w:r>
      <w:r w:rsidRPr="003678F1">
        <w:rPr>
          <w:vertAlign w:val="subscript"/>
        </w:rPr>
        <w:t>ах</w:t>
      </w:r>
      <w:r>
        <w:t xml:space="preserve"> общего тофацитиниба, возникающую при применении 5 мг и 10 мг два раза в день тофацитиниба у пациентов с ревматоидным артритом, псориатическим артритом, псориазом, язвенным колитом и полиартикулярным ювенильным идиопатическим артритом, существенно не ингибирует и не индуцирует активность основных препаратов, метаболизируемых цитохромами </w:t>
      </w:r>
      <w:r w:rsidRPr="003927BA">
        <w:rPr>
          <w:lang w:bidi="en-US"/>
        </w:rPr>
        <w:t>(</w:t>
      </w:r>
      <w:r>
        <w:rPr>
          <w:lang w:val="en-US" w:bidi="en-US"/>
        </w:rPr>
        <w:t>CYP</w:t>
      </w:r>
      <w:r w:rsidRPr="003927BA">
        <w:rPr>
          <w:lang w:bidi="en-US"/>
        </w:rPr>
        <w:t>1</w:t>
      </w:r>
      <w:r>
        <w:rPr>
          <w:lang w:val="en-US" w:bidi="en-US"/>
        </w:rPr>
        <w:t>A</w:t>
      </w:r>
      <w:r w:rsidRPr="003927BA">
        <w:rPr>
          <w:lang w:bidi="en-US"/>
        </w:rPr>
        <w:t xml:space="preserve">2, </w:t>
      </w:r>
      <w:r>
        <w:rPr>
          <w:lang w:val="en-US" w:bidi="en-US"/>
        </w:rPr>
        <w:t>CYP</w:t>
      </w:r>
      <w:r w:rsidRPr="003927BA">
        <w:rPr>
          <w:lang w:bidi="en-US"/>
        </w:rPr>
        <w:t>2</w:t>
      </w:r>
      <w:r>
        <w:rPr>
          <w:lang w:val="en-US" w:bidi="en-US"/>
        </w:rPr>
        <w:t>B</w:t>
      </w:r>
      <w:r w:rsidRPr="003927BA">
        <w:rPr>
          <w:lang w:bidi="en-US"/>
        </w:rPr>
        <w:t xml:space="preserve">6, </w:t>
      </w:r>
      <w:r>
        <w:rPr>
          <w:lang w:val="en-US" w:bidi="en-US"/>
        </w:rPr>
        <w:t>CYP</w:t>
      </w:r>
      <w:r w:rsidRPr="003927BA">
        <w:rPr>
          <w:lang w:bidi="en-US"/>
        </w:rPr>
        <w:t>2</w:t>
      </w:r>
      <w:r>
        <w:rPr>
          <w:lang w:val="en-US" w:bidi="en-US"/>
        </w:rPr>
        <w:t>C</w:t>
      </w:r>
      <w:r w:rsidRPr="003927BA">
        <w:rPr>
          <w:lang w:bidi="en-US"/>
        </w:rPr>
        <w:t xml:space="preserve">8. </w:t>
      </w:r>
      <w:r>
        <w:rPr>
          <w:lang w:val="en-US" w:bidi="en-US"/>
        </w:rPr>
        <w:t>CYP</w:t>
      </w:r>
      <w:r w:rsidRPr="003927BA">
        <w:rPr>
          <w:lang w:bidi="en-US"/>
        </w:rPr>
        <w:t>2</w:t>
      </w:r>
      <w:r>
        <w:rPr>
          <w:lang w:val="en-US" w:bidi="en-US"/>
        </w:rPr>
        <w:t>C</w:t>
      </w:r>
      <w:r w:rsidRPr="003927BA">
        <w:rPr>
          <w:lang w:bidi="en-US"/>
        </w:rPr>
        <w:t xml:space="preserve">9, </w:t>
      </w:r>
      <w:r>
        <w:t>С</w:t>
      </w:r>
      <w:r>
        <w:rPr>
          <w:lang w:val="en-US" w:bidi="en-US"/>
        </w:rPr>
        <w:t>YP</w:t>
      </w:r>
      <w:r w:rsidRPr="003927BA">
        <w:rPr>
          <w:lang w:bidi="en-US"/>
        </w:rPr>
        <w:t>2</w:t>
      </w:r>
      <w:r>
        <w:rPr>
          <w:lang w:val="en-US" w:bidi="en-US"/>
        </w:rPr>
        <w:t>C</w:t>
      </w:r>
      <w:r>
        <w:t xml:space="preserve">19. </w:t>
      </w:r>
      <w:r>
        <w:rPr>
          <w:lang w:val="en-US" w:bidi="en-US"/>
        </w:rPr>
        <w:t>CYP</w:t>
      </w:r>
      <w:r w:rsidRPr="003927BA">
        <w:rPr>
          <w:lang w:bidi="en-US"/>
        </w:rPr>
        <w:t>2</w:t>
      </w:r>
      <w:r>
        <w:rPr>
          <w:lang w:val="en-US" w:bidi="en-US"/>
        </w:rPr>
        <w:t>D</w:t>
      </w:r>
      <w:r w:rsidRPr="003927BA">
        <w:rPr>
          <w:lang w:bidi="en-US"/>
        </w:rPr>
        <w:t xml:space="preserve">6 </w:t>
      </w:r>
      <w:r>
        <w:t xml:space="preserve">и </w:t>
      </w:r>
      <w:r>
        <w:rPr>
          <w:lang w:val="en-US" w:bidi="en-US"/>
        </w:rPr>
        <w:t>CYP</w:t>
      </w:r>
      <w:r w:rsidRPr="003927BA">
        <w:rPr>
          <w:lang w:bidi="en-US"/>
        </w:rPr>
        <w:t>3</w:t>
      </w:r>
      <w:r>
        <w:rPr>
          <w:lang w:val="en-US" w:bidi="en-US"/>
        </w:rPr>
        <w:t>A</w:t>
      </w:r>
      <w:r w:rsidRPr="003927BA">
        <w:rPr>
          <w:lang w:bidi="en-US"/>
        </w:rPr>
        <w:t xml:space="preserve">4). </w:t>
      </w:r>
      <w:r>
        <w:t xml:space="preserve">Данные результаты были подтверждены исследованиями </w:t>
      </w:r>
      <w:r w:rsidRPr="0028587D">
        <w:rPr>
          <w:rStyle w:val="23"/>
          <w:rFonts w:eastAsiaTheme="minorHAnsi"/>
          <w:sz w:val="24"/>
          <w:szCs w:val="24"/>
          <w:lang w:val="en-US" w:bidi="en-US"/>
        </w:rPr>
        <w:t>in</w:t>
      </w:r>
      <w:r w:rsidRPr="0028587D">
        <w:rPr>
          <w:rStyle w:val="23"/>
          <w:rFonts w:eastAsiaTheme="minorHAnsi"/>
          <w:sz w:val="24"/>
          <w:szCs w:val="24"/>
          <w:lang w:bidi="en-US"/>
        </w:rPr>
        <w:t xml:space="preserve"> </w:t>
      </w:r>
      <w:r w:rsidRPr="0028587D">
        <w:rPr>
          <w:rStyle w:val="23"/>
          <w:rFonts w:eastAsiaTheme="minorHAnsi"/>
          <w:sz w:val="24"/>
          <w:szCs w:val="24"/>
          <w:lang w:val="en-US" w:bidi="en-US"/>
        </w:rPr>
        <w:t>vitro</w:t>
      </w:r>
      <w:r w:rsidRPr="003927BA">
        <w:rPr>
          <w:lang w:bidi="en-US"/>
        </w:rPr>
        <w:t xml:space="preserve"> </w:t>
      </w:r>
      <w:r>
        <w:t xml:space="preserve">лекарственного взаимодействия, которые показали отсутствие изменений фармакокинетики мидазолама, высокоселективного субстрата изофермента </w:t>
      </w:r>
      <w:r>
        <w:rPr>
          <w:lang w:val="en-US" w:bidi="en-US"/>
        </w:rPr>
        <w:t>CYP</w:t>
      </w:r>
      <w:r w:rsidRPr="003927BA">
        <w:rPr>
          <w:lang w:bidi="en-US"/>
        </w:rPr>
        <w:t>3</w:t>
      </w:r>
      <w:r>
        <w:rPr>
          <w:lang w:val="en-US" w:bidi="en-US"/>
        </w:rPr>
        <w:t>A</w:t>
      </w:r>
      <w:r w:rsidRPr="003927BA">
        <w:rPr>
          <w:lang w:bidi="en-US"/>
        </w:rPr>
        <w:t xml:space="preserve">4, </w:t>
      </w:r>
      <w:r>
        <w:t>при одновременном применении с тофацитинибом.</w:t>
      </w:r>
    </w:p>
    <w:p w14:paraId="3448C1B1" w14:textId="77777777" w:rsidR="00730F80" w:rsidRDefault="00730F80" w:rsidP="003F310C">
      <w:pPr>
        <w:pStyle w:val="SDText"/>
        <w:spacing w:after="0"/>
        <w:contextualSpacing/>
      </w:pPr>
      <w:r>
        <w:t xml:space="preserve">Данные </w:t>
      </w:r>
      <w:r w:rsidRPr="0028587D">
        <w:rPr>
          <w:rStyle w:val="23"/>
          <w:rFonts w:eastAsiaTheme="minorHAnsi"/>
          <w:sz w:val="24"/>
          <w:szCs w:val="24"/>
          <w:lang w:val="en-US" w:bidi="en-US"/>
        </w:rPr>
        <w:t>in</w:t>
      </w:r>
      <w:r w:rsidRPr="0028587D">
        <w:rPr>
          <w:rStyle w:val="23"/>
          <w:rFonts w:eastAsiaTheme="minorHAnsi"/>
          <w:sz w:val="24"/>
          <w:szCs w:val="24"/>
          <w:lang w:bidi="en-US"/>
        </w:rPr>
        <w:t xml:space="preserve"> </w:t>
      </w:r>
      <w:r w:rsidRPr="0028587D">
        <w:rPr>
          <w:rStyle w:val="23"/>
          <w:rFonts w:eastAsiaTheme="minorHAnsi"/>
          <w:sz w:val="24"/>
          <w:szCs w:val="24"/>
          <w:lang w:val="en-US" w:bidi="en-US"/>
        </w:rPr>
        <w:t>vitro</w:t>
      </w:r>
      <w:r w:rsidRPr="003927BA">
        <w:rPr>
          <w:lang w:bidi="en-US"/>
        </w:rPr>
        <w:t xml:space="preserve"> </w:t>
      </w:r>
      <w:r>
        <w:t>показывают, что тофацитиниб не ингибирует активность основного человеческого фермента, метаболизирующего лекарственные средства, уридин 5- дифосфат-глюкуронозилтрансферазы (УГТ) [УГТ1А1, УГТ1А4, УГТ1А6, УГТ1А9 и УГТ2В7], в концентрациях, в 250 раз превышающих равновесную С</w:t>
      </w:r>
      <w:r w:rsidRPr="003678F1">
        <w:rPr>
          <w:vertAlign w:val="subscript"/>
          <w:lang w:val="en-US"/>
        </w:rPr>
        <w:t>m</w:t>
      </w:r>
      <w:r w:rsidRPr="003678F1">
        <w:rPr>
          <w:vertAlign w:val="subscript"/>
        </w:rPr>
        <w:t>ах</w:t>
      </w:r>
      <w:r>
        <w:t xml:space="preserve"> общего тофацитиниба, возникающую при применении 5 мг и 10 мг два раза в день тофацитиниба у пациентов с ревматоидным артритом, псориатическим артритом, псориазом, язвенным колитом и полиартикулярным ювенильным идиопатическим артритом.</w:t>
      </w:r>
    </w:p>
    <w:p w14:paraId="663B6430" w14:textId="77777777" w:rsidR="00730F80" w:rsidRDefault="00730F80" w:rsidP="003F310C">
      <w:pPr>
        <w:pStyle w:val="SDText"/>
        <w:spacing w:after="0"/>
        <w:contextualSpacing/>
      </w:pPr>
      <w:r>
        <w:t xml:space="preserve">Данные </w:t>
      </w:r>
      <w:r w:rsidRPr="0028587D">
        <w:rPr>
          <w:rStyle w:val="23"/>
          <w:rFonts w:eastAsiaTheme="minorHAnsi"/>
          <w:sz w:val="24"/>
          <w:szCs w:val="24"/>
          <w:lang w:val="en-US" w:bidi="en-US"/>
        </w:rPr>
        <w:t>in</w:t>
      </w:r>
      <w:r w:rsidRPr="0028587D">
        <w:rPr>
          <w:rStyle w:val="23"/>
          <w:rFonts w:eastAsiaTheme="minorHAnsi"/>
          <w:sz w:val="24"/>
          <w:szCs w:val="24"/>
          <w:lang w:bidi="en-US"/>
        </w:rPr>
        <w:t xml:space="preserve"> </w:t>
      </w:r>
      <w:r w:rsidRPr="0028587D">
        <w:rPr>
          <w:rStyle w:val="23"/>
          <w:rFonts w:eastAsiaTheme="minorHAnsi"/>
          <w:sz w:val="24"/>
          <w:szCs w:val="24"/>
          <w:lang w:val="en-US" w:bidi="en-US"/>
        </w:rPr>
        <w:t>vitro</w:t>
      </w:r>
      <w:r w:rsidRPr="003927BA">
        <w:rPr>
          <w:lang w:bidi="en-US"/>
        </w:rPr>
        <w:t xml:space="preserve"> </w:t>
      </w:r>
      <w:r>
        <w:t>показали, что способность тофацитиниба в терапевтических концентрациях ингибировать такие переносчики как Р-гликопротеин, органические анионные транспортные полипептиды, органические анионные или катионные переносчики очень низка.</w:t>
      </w:r>
    </w:p>
    <w:p w14:paraId="0F7F6AD2" w14:textId="77777777" w:rsidR="00730F80" w:rsidRDefault="00730F80" w:rsidP="003F310C">
      <w:pPr>
        <w:pStyle w:val="SDText"/>
        <w:spacing w:after="0"/>
        <w:contextualSpacing/>
      </w:pPr>
      <w:r>
        <w:t xml:space="preserve">Одновременное применение с тофацитинибом не оказывало влияния на фармакокинетику пероральных контрацептивов, левоноргестрела и этинилэстрадола у здоровых женщин. Одновременное применение тофацитиниба с метотрексатом в дозе 15–25 мг один раз в неделю снижало показатели </w:t>
      </w:r>
      <w:r>
        <w:rPr>
          <w:lang w:val="en-US" w:bidi="en-US"/>
        </w:rPr>
        <w:t>AUC</w:t>
      </w:r>
      <w:r w:rsidRPr="003927BA">
        <w:rPr>
          <w:lang w:bidi="en-US"/>
        </w:rPr>
        <w:t xml:space="preserve"> </w:t>
      </w:r>
      <w:r>
        <w:t>и С</w:t>
      </w:r>
      <w:r w:rsidRPr="003678F1">
        <w:rPr>
          <w:vertAlign w:val="subscript"/>
          <w:lang w:val="en-US"/>
        </w:rPr>
        <w:t>m</w:t>
      </w:r>
      <w:r w:rsidRPr="003678F1">
        <w:rPr>
          <w:vertAlign w:val="subscript"/>
        </w:rPr>
        <w:t>ах</w:t>
      </w:r>
      <w:r>
        <w:t xml:space="preserve"> метотрексата на 10% и 13%, соответственно. Данные изменения фармакокинетики метотрексата не требовали коррекции дозы, либо подбора индивидуальных доз метотрексата.</w:t>
      </w:r>
    </w:p>
    <w:p w14:paraId="2631A48D" w14:textId="1161F882" w:rsidR="00730F80" w:rsidRDefault="00730F80" w:rsidP="003F310C">
      <w:pPr>
        <w:pStyle w:val="SDText"/>
        <w:spacing w:after="0"/>
        <w:contextualSpacing/>
      </w:pPr>
      <w:r>
        <w:t xml:space="preserve">У пациентов с ревматоидным артритом, псориазом, язвенным колитом и полиартикулярным ювенильным идиопатическим артритом клиренс тофацитиниба с течением времени не изменялся. Это свидетельствует о том, что тофацитиниб не влияет на активность изоферментов </w:t>
      </w:r>
      <w:r>
        <w:rPr>
          <w:lang w:val="en-US" w:bidi="en-US"/>
        </w:rPr>
        <w:t>CYP</w:t>
      </w:r>
      <w:r w:rsidRPr="003927BA">
        <w:rPr>
          <w:lang w:bidi="en-US"/>
        </w:rPr>
        <w:t xml:space="preserve"> </w:t>
      </w:r>
      <w:r>
        <w:t xml:space="preserve">у этих пациентов. Таким образом, маловероятно, что одновременное применение субстратов изоферментов </w:t>
      </w:r>
      <w:r>
        <w:rPr>
          <w:lang w:val="en-US" w:bidi="en-US"/>
        </w:rPr>
        <w:t>CYP</w:t>
      </w:r>
      <w:r w:rsidRPr="003927BA">
        <w:rPr>
          <w:lang w:bidi="en-US"/>
        </w:rPr>
        <w:t xml:space="preserve"> </w:t>
      </w:r>
      <w:r>
        <w:t xml:space="preserve">с тофацитинибом приведет к клинически значимому увеличению их метаболизма у пациентов с ревматоидным артритом, псориазом, язвенным колитом и полиартикулярным ювенильным идиопатическим артритом. Сопутствующий прием </w:t>
      </w:r>
      <w:r w:rsidR="00417483" w:rsidRPr="00417483">
        <w:t xml:space="preserve">тофацитиниба </w:t>
      </w:r>
      <w:r>
        <w:t>не оказывал влияния на фармакокинетику метформина, свидетельствуя, что тофацитиниб не воздействует на переносчик органических катионов (ОСТ2) у здоровых добровольцев.</w:t>
      </w:r>
    </w:p>
    <w:p w14:paraId="27AA08CF" w14:textId="77777777" w:rsidR="00713741" w:rsidRDefault="00713741" w:rsidP="003F310C">
      <w:pPr>
        <w:pStyle w:val="SDText"/>
        <w:spacing w:after="0"/>
        <w:contextualSpacing/>
      </w:pPr>
    </w:p>
    <w:p w14:paraId="3804A75B" w14:textId="77777777" w:rsidR="00791E09" w:rsidRDefault="00791E09" w:rsidP="00C822D7">
      <w:pPr>
        <w:pStyle w:val="4"/>
        <w:numPr>
          <w:ilvl w:val="0"/>
          <w:numId w:val="0"/>
        </w:numPr>
        <w:sectPr w:rsidR="00791E09" w:rsidSect="00F85178">
          <w:pgSz w:w="11906" w:h="16838"/>
          <w:pgMar w:top="1134" w:right="850" w:bottom="1134" w:left="1701" w:header="708" w:footer="708" w:gutter="0"/>
          <w:cols w:space="708"/>
          <w:docGrid w:linePitch="360"/>
        </w:sectPr>
      </w:pPr>
      <w:bookmarkStart w:id="324" w:name="_Toc121592642"/>
    </w:p>
    <w:p w14:paraId="598279C8" w14:textId="58D32A25" w:rsidR="00730F80" w:rsidRPr="003678F1" w:rsidRDefault="00C822D7" w:rsidP="00C822D7">
      <w:pPr>
        <w:pStyle w:val="4"/>
        <w:numPr>
          <w:ilvl w:val="0"/>
          <w:numId w:val="0"/>
        </w:numPr>
      </w:pPr>
      <w:r>
        <w:lastRenderedPageBreak/>
        <w:t xml:space="preserve">5.3.7.2. </w:t>
      </w:r>
      <w:r w:rsidR="00730F80">
        <w:t>Таблетки с модифицированным высвобождением, покрытые пленочной оболочкой</w:t>
      </w:r>
      <w:bookmarkEnd w:id="324"/>
    </w:p>
    <w:p w14:paraId="7D86CF36" w14:textId="77777777" w:rsidR="00730F80" w:rsidRDefault="00730F80" w:rsidP="003F310C">
      <w:pPr>
        <w:pStyle w:val="SDText"/>
        <w:spacing w:after="0"/>
        <w:contextualSpacing/>
        <w:rPr>
          <w:i/>
          <w:iCs/>
        </w:rPr>
      </w:pPr>
    </w:p>
    <w:p w14:paraId="37C8377D" w14:textId="73A7FB73" w:rsidR="00730F80" w:rsidRPr="00713741" w:rsidRDefault="00730F80" w:rsidP="00713741">
      <w:pPr>
        <w:pStyle w:val="SDText"/>
        <w:spacing w:after="0"/>
        <w:ind w:firstLine="0"/>
        <w:contextualSpacing/>
        <w:rPr>
          <w:b/>
          <w:iCs/>
        </w:rPr>
      </w:pPr>
      <w:r w:rsidRPr="00713741">
        <w:rPr>
          <w:b/>
          <w:iCs/>
        </w:rPr>
        <w:t xml:space="preserve">Взаимодействия, влияющие на применение </w:t>
      </w:r>
      <w:r w:rsidR="00395E28" w:rsidRPr="00395E28">
        <w:rPr>
          <w:b/>
          <w:iCs/>
        </w:rPr>
        <w:t>тофацитиниба</w:t>
      </w:r>
    </w:p>
    <w:p w14:paraId="33F57D38" w14:textId="77777777" w:rsidR="00713741" w:rsidRDefault="00713741" w:rsidP="003F310C">
      <w:pPr>
        <w:pStyle w:val="SDText"/>
        <w:spacing w:after="0"/>
        <w:contextualSpacing/>
      </w:pPr>
    </w:p>
    <w:p w14:paraId="17058D68" w14:textId="25E37B77" w:rsidR="00730F80" w:rsidRDefault="00730F80" w:rsidP="003F310C">
      <w:pPr>
        <w:pStyle w:val="SDText"/>
        <w:spacing w:after="0"/>
        <w:contextualSpacing/>
      </w:pPr>
      <w:r>
        <w:t xml:space="preserve">Поскольку тофацитиниб метаболизируется под действием изофермента </w:t>
      </w:r>
      <w:r>
        <w:rPr>
          <w:lang w:val="en-US" w:bidi="en-US"/>
        </w:rPr>
        <w:t>CYP</w:t>
      </w:r>
      <w:r w:rsidRPr="00020402">
        <w:rPr>
          <w:lang w:bidi="en-US"/>
        </w:rPr>
        <w:t>3</w:t>
      </w:r>
      <w:r>
        <w:rPr>
          <w:lang w:val="en-US" w:bidi="en-US"/>
        </w:rPr>
        <w:t>A</w:t>
      </w:r>
      <w:r w:rsidRPr="00020402">
        <w:rPr>
          <w:lang w:bidi="en-US"/>
        </w:rPr>
        <w:t xml:space="preserve">4, </w:t>
      </w:r>
      <w:r>
        <w:t xml:space="preserve">весьма вероятно взаимодействие с препаратами, которые ингибируют или индуцируют данный изофермент. При одновременном применении с мощными ингибиторами цитохрома Р450 </w:t>
      </w:r>
      <w:r w:rsidRPr="00020402">
        <w:rPr>
          <w:lang w:bidi="en-US"/>
        </w:rPr>
        <w:t>(</w:t>
      </w:r>
      <w:r>
        <w:rPr>
          <w:lang w:val="en-US" w:bidi="en-US"/>
        </w:rPr>
        <w:t>CYP</w:t>
      </w:r>
      <w:r w:rsidRPr="00020402">
        <w:rPr>
          <w:lang w:bidi="en-US"/>
        </w:rPr>
        <w:t xml:space="preserve">) </w:t>
      </w:r>
      <w:r>
        <w:t xml:space="preserve">ЗА4 (например, кетоконазолом), а также при одновременном применении с одним или несколькими умеренными ингибиторами изофермента </w:t>
      </w:r>
      <w:r>
        <w:rPr>
          <w:lang w:val="en-US" w:bidi="en-US"/>
        </w:rPr>
        <w:t>CYP</w:t>
      </w:r>
      <w:r w:rsidRPr="00020402">
        <w:rPr>
          <w:lang w:bidi="en-US"/>
        </w:rPr>
        <w:t>3</w:t>
      </w:r>
      <w:r>
        <w:rPr>
          <w:lang w:val="en-US" w:bidi="en-US"/>
        </w:rPr>
        <w:t>A</w:t>
      </w:r>
      <w:r w:rsidRPr="00020402">
        <w:rPr>
          <w:lang w:bidi="en-US"/>
        </w:rPr>
        <w:t xml:space="preserve">4 </w:t>
      </w:r>
      <w:r>
        <w:t xml:space="preserve">и мощными ингибиторами изофермента </w:t>
      </w:r>
      <w:r>
        <w:rPr>
          <w:lang w:val="en-US" w:bidi="en-US"/>
        </w:rPr>
        <w:t>CYP</w:t>
      </w:r>
      <w:r w:rsidRPr="00020402">
        <w:rPr>
          <w:lang w:bidi="en-US"/>
        </w:rPr>
        <w:t>2</w:t>
      </w:r>
      <w:r>
        <w:rPr>
          <w:lang w:val="en-US" w:bidi="en-US"/>
        </w:rPr>
        <w:t>C</w:t>
      </w:r>
      <w:r w:rsidRPr="00020402">
        <w:rPr>
          <w:lang w:bidi="en-US"/>
        </w:rPr>
        <w:t xml:space="preserve">19 </w:t>
      </w:r>
      <w:r>
        <w:t>(например, флуконазолом) экспозиция тофацитиниба увеличивается.</w:t>
      </w:r>
    </w:p>
    <w:p w14:paraId="4B0E7DD6" w14:textId="77777777" w:rsidR="00730F80" w:rsidRDefault="00730F80" w:rsidP="003F310C">
      <w:pPr>
        <w:pStyle w:val="SDText"/>
        <w:spacing w:after="0"/>
        <w:contextualSpacing/>
      </w:pPr>
      <w:r>
        <w:t xml:space="preserve">Экспозиция тофацитиниба понижается при одновременном применении с мощными индукторами </w:t>
      </w:r>
      <w:r>
        <w:rPr>
          <w:lang w:val="en-US" w:bidi="en-US"/>
        </w:rPr>
        <w:t>CYP</w:t>
      </w:r>
      <w:r w:rsidRPr="00020402">
        <w:rPr>
          <w:lang w:bidi="en-US"/>
        </w:rPr>
        <w:t xml:space="preserve"> </w:t>
      </w:r>
      <w:r>
        <w:t xml:space="preserve">(например, рифампицином). Вероятность влияния ингибиторов изофермента </w:t>
      </w:r>
      <w:r>
        <w:rPr>
          <w:lang w:val="en-US" w:bidi="en-US"/>
        </w:rPr>
        <w:t>CYP</w:t>
      </w:r>
      <w:r w:rsidRPr="00020402">
        <w:rPr>
          <w:lang w:bidi="en-US"/>
        </w:rPr>
        <w:t>2</w:t>
      </w:r>
      <w:r>
        <w:rPr>
          <w:lang w:val="en-US" w:bidi="en-US"/>
        </w:rPr>
        <w:t>C</w:t>
      </w:r>
      <w:r w:rsidRPr="00020402">
        <w:rPr>
          <w:lang w:bidi="en-US"/>
        </w:rPr>
        <w:t xml:space="preserve">19 </w:t>
      </w:r>
      <w:r>
        <w:t>или Р-гликопротеина на фармакокинетику тофацитиниба мала. Одновременное применение с метотрексатом (15–25 мг метотрексата один раз в неделю) не оказывает влияния на фармакокинетику тофацитиниба.</w:t>
      </w:r>
    </w:p>
    <w:p w14:paraId="05FE5748" w14:textId="2D07F338" w:rsidR="00730F80" w:rsidRDefault="00730F80" w:rsidP="003F310C">
      <w:pPr>
        <w:pStyle w:val="SDText"/>
        <w:spacing w:after="0"/>
        <w:contextualSpacing/>
      </w:pPr>
      <w:r>
        <w:t xml:space="preserve">Одновременное применение кетоконазола (мощного ингибитора изофермента </w:t>
      </w:r>
      <w:r>
        <w:rPr>
          <w:lang w:val="en-US" w:bidi="en-US"/>
        </w:rPr>
        <w:t>CYP</w:t>
      </w:r>
      <w:r w:rsidRPr="00020402">
        <w:rPr>
          <w:lang w:bidi="en-US"/>
        </w:rPr>
        <w:t>3</w:t>
      </w:r>
      <w:r>
        <w:rPr>
          <w:lang w:val="en-US" w:bidi="en-US"/>
        </w:rPr>
        <w:t>A</w:t>
      </w:r>
      <w:r w:rsidRPr="00020402">
        <w:rPr>
          <w:lang w:bidi="en-US"/>
        </w:rPr>
        <w:t xml:space="preserve">4) </w:t>
      </w:r>
      <w:r>
        <w:t xml:space="preserve">и однократной дозы тофацитиниба повышает </w:t>
      </w:r>
      <w:r>
        <w:rPr>
          <w:lang w:val="en-US" w:bidi="en-US"/>
        </w:rPr>
        <w:t>AUC</w:t>
      </w:r>
      <w:r w:rsidRPr="00020402">
        <w:rPr>
          <w:lang w:bidi="en-US"/>
        </w:rPr>
        <w:t xml:space="preserve"> </w:t>
      </w:r>
      <w:r>
        <w:t>и С</w:t>
      </w:r>
      <w:r w:rsidRPr="0012423B">
        <w:rPr>
          <w:vertAlign w:val="subscript"/>
          <w:lang w:val="en-US"/>
        </w:rPr>
        <w:t>m</w:t>
      </w:r>
      <w:r w:rsidRPr="0012423B">
        <w:rPr>
          <w:vertAlign w:val="subscript"/>
        </w:rPr>
        <w:t>ах</w:t>
      </w:r>
      <w:r>
        <w:t xml:space="preserve"> тофацитиниба на 103% и 16%, соответственно. Одновременное применение флуконазола (умеренного ингибитора изофермента </w:t>
      </w:r>
      <w:r>
        <w:rPr>
          <w:lang w:val="en-US" w:bidi="en-US"/>
        </w:rPr>
        <w:t>CYP</w:t>
      </w:r>
      <w:r w:rsidRPr="00020402">
        <w:rPr>
          <w:lang w:bidi="en-US"/>
        </w:rPr>
        <w:t>3</w:t>
      </w:r>
      <w:r>
        <w:rPr>
          <w:lang w:val="en-US" w:bidi="en-US"/>
        </w:rPr>
        <w:t>A</w:t>
      </w:r>
      <w:r w:rsidRPr="00020402">
        <w:rPr>
          <w:lang w:bidi="en-US"/>
        </w:rPr>
        <w:t xml:space="preserve">4, </w:t>
      </w:r>
      <w:r>
        <w:t xml:space="preserve">а также мощного ингибитора изофермента </w:t>
      </w:r>
      <w:r>
        <w:rPr>
          <w:lang w:val="en-US" w:bidi="en-US"/>
        </w:rPr>
        <w:t>CYP</w:t>
      </w:r>
      <w:r w:rsidRPr="00020402">
        <w:rPr>
          <w:lang w:bidi="en-US"/>
        </w:rPr>
        <w:t>2</w:t>
      </w:r>
      <w:r>
        <w:rPr>
          <w:lang w:val="en-US" w:bidi="en-US"/>
        </w:rPr>
        <w:t>C</w:t>
      </w:r>
      <w:r w:rsidRPr="00020402">
        <w:rPr>
          <w:lang w:bidi="en-US"/>
        </w:rPr>
        <w:t xml:space="preserve">19) </w:t>
      </w:r>
      <w:r>
        <w:t xml:space="preserve">увеличивает </w:t>
      </w:r>
      <w:r>
        <w:rPr>
          <w:lang w:val="en-US" w:bidi="en-US"/>
        </w:rPr>
        <w:t>AUC</w:t>
      </w:r>
      <w:r w:rsidRPr="00020402">
        <w:rPr>
          <w:lang w:bidi="en-US"/>
        </w:rPr>
        <w:t xml:space="preserve"> </w:t>
      </w:r>
      <w:r>
        <w:t>и С</w:t>
      </w:r>
      <w:r w:rsidRPr="0028587D">
        <w:rPr>
          <w:vertAlign w:val="subscript"/>
          <w:lang w:val="en-US"/>
        </w:rPr>
        <w:t>m</w:t>
      </w:r>
      <w:r w:rsidRPr="0028587D">
        <w:rPr>
          <w:vertAlign w:val="subscript"/>
        </w:rPr>
        <w:t>ах</w:t>
      </w:r>
      <w:r>
        <w:t xml:space="preserve"> тофацитиниба на 79% и 27%, соответственно.</w:t>
      </w:r>
    </w:p>
    <w:p w14:paraId="09672526" w14:textId="1D0F0B7E" w:rsidR="00730F80" w:rsidRDefault="00730F80" w:rsidP="003F310C">
      <w:pPr>
        <w:pStyle w:val="SDText"/>
        <w:spacing w:after="0"/>
        <w:contextualSpacing/>
      </w:pPr>
      <w:r>
        <w:t xml:space="preserve">Одновременное применение такролимуса (слабого ингибитора изофермента </w:t>
      </w:r>
      <w:r>
        <w:rPr>
          <w:lang w:val="en-US" w:bidi="en-US"/>
        </w:rPr>
        <w:t>CYP</w:t>
      </w:r>
      <w:r w:rsidRPr="00020402">
        <w:rPr>
          <w:lang w:bidi="en-US"/>
        </w:rPr>
        <w:t>3</w:t>
      </w:r>
      <w:r>
        <w:rPr>
          <w:lang w:val="en-US" w:bidi="en-US"/>
        </w:rPr>
        <w:t>A</w:t>
      </w:r>
      <w:r w:rsidRPr="00020402">
        <w:rPr>
          <w:lang w:bidi="en-US"/>
        </w:rPr>
        <w:t xml:space="preserve">4) </w:t>
      </w:r>
      <w:r>
        <w:t xml:space="preserve">увеличивает </w:t>
      </w:r>
      <w:r>
        <w:rPr>
          <w:lang w:val="en-US" w:bidi="en-US"/>
        </w:rPr>
        <w:t>AUC</w:t>
      </w:r>
      <w:r w:rsidRPr="00020402">
        <w:rPr>
          <w:lang w:bidi="en-US"/>
        </w:rPr>
        <w:t xml:space="preserve"> </w:t>
      </w:r>
      <w:r>
        <w:t>тофацитиниба на 21% и снижает С</w:t>
      </w:r>
      <w:r w:rsidRPr="0012423B">
        <w:rPr>
          <w:vertAlign w:val="subscript"/>
          <w:lang w:val="en-US"/>
        </w:rPr>
        <w:t>m</w:t>
      </w:r>
      <w:r w:rsidRPr="0012423B">
        <w:rPr>
          <w:vertAlign w:val="subscript"/>
        </w:rPr>
        <w:t>ах</w:t>
      </w:r>
      <w:r>
        <w:t xml:space="preserve"> тофацитиниба на 9%. Одновременное применение циклоспорина (умеренного ингибитора изофермента </w:t>
      </w:r>
      <w:r>
        <w:rPr>
          <w:lang w:val="en-US" w:bidi="en-US"/>
        </w:rPr>
        <w:t>CYP</w:t>
      </w:r>
      <w:r w:rsidRPr="00020402">
        <w:rPr>
          <w:lang w:bidi="en-US"/>
        </w:rPr>
        <w:t>3</w:t>
      </w:r>
      <w:r>
        <w:rPr>
          <w:lang w:val="en-US" w:bidi="en-US"/>
        </w:rPr>
        <w:t>A</w:t>
      </w:r>
      <w:r w:rsidRPr="00020402">
        <w:rPr>
          <w:lang w:bidi="en-US"/>
        </w:rPr>
        <w:t xml:space="preserve">4) </w:t>
      </w:r>
      <w:r>
        <w:t xml:space="preserve">увеличивает </w:t>
      </w:r>
      <w:r>
        <w:rPr>
          <w:lang w:val="en-US" w:bidi="en-US"/>
        </w:rPr>
        <w:t>AUC</w:t>
      </w:r>
      <w:r w:rsidRPr="00020402">
        <w:rPr>
          <w:lang w:bidi="en-US"/>
        </w:rPr>
        <w:t xml:space="preserve"> </w:t>
      </w:r>
      <w:r>
        <w:t>тофацитиниба на 73% и снижает С</w:t>
      </w:r>
      <w:r w:rsidRPr="0012423B">
        <w:rPr>
          <w:vertAlign w:val="subscript"/>
          <w:lang w:val="en-US"/>
        </w:rPr>
        <w:t>m</w:t>
      </w:r>
      <w:r w:rsidRPr="0012423B">
        <w:rPr>
          <w:vertAlign w:val="subscript"/>
        </w:rPr>
        <w:t>ах</w:t>
      </w:r>
      <w:r>
        <w:t xml:space="preserve"> тофацитиниба на 17%. Одновременное многократное применение тофацитиниба и мощных иммунодепрессантов у пациентов с ревматоидным артритом, псориазом, псориатическим артритом или язвенным колитом не изучалось.</w:t>
      </w:r>
    </w:p>
    <w:p w14:paraId="5508DAED" w14:textId="23043828" w:rsidR="00730F80" w:rsidRDefault="00730F80" w:rsidP="003F310C">
      <w:pPr>
        <w:pStyle w:val="SDText"/>
        <w:spacing w:after="0"/>
        <w:contextualSpacing/>
      </w:pPr>
      <w:r>
        <w:t xml:space="preserve">Одновременное применение рифампицина (мощного индуктора изофермента </w:t>
      </w:r>
      <w:r>
        <w:rPr>
          <w:lang w:val="en-US" w:bidi="en-US"/>
        </w:rPr>
        <w:t>CYP</w:t>
      </w:r>
      <w:r w:rsidRPr="00020402">
        <w:rPr>
          <w:lang w:bidi="en-US"/>
        </w:rPr>
        <w:t>3</w:t>
      </w:r>
      <w:r>
        <w:rPr>
          <w:lang w:val="en-US" w:bidi="en-US"/>
        </w:rPr>
        <w:t>A</w:t>
      </w:r>
      <w:r w:rsidRPr="00020402">
        <w:rPr>
          <w:lang w:bidi="en-US"/>
        </w:rPr>
        <w:t xml:space="preserve">4) </w:t>
      </w:r>
      <w:r>
        <w:t xml:space="preserve">снижает </w:t>
      </w:r>
      <w:r>
        <w:rPr>
          <w:lang w:val="en-US" w:bidi="en-US"/>
        </w:rPr>
        <w:t>AUC</w:t>
      </w:r>
      <w:r w:rsidRPr="00020402">
        <w:rPr>
          <w:lang w:bidi="en-US"/>
        </w:rPr>
        <w:t xml:space="preserve"> </w:t>
      </w:r>
      <w:r>
        <w:t>и С</w:t>
      </w:r>
      <w:r w:rsidRPr="0012423B">
        <w:rPr>
          <w:vertAlign w:val="subscript"/>
          <w:lang w:val="en-US"/>
        </w:rPr>
        <w:t>m</w:t>
      </w:r>
      <w:r w:rsidRPr="0012423B">
        <w:rPr>
          <w:vertAlign w:val="subscript"/>
        </w:rPr>
        <w:t>ах</w:t>
      </w:r>
      <w:r>
        <w:t xml:space="preserve"> тофацитиниба на 84% и 74%, соответственно.</w:t>
      </w:r>
    </w:p>
    <w:p w14:paraId="4FC391CF" w14:textId="77777777" w:rsidR="00730F80" w:rsidRDefault="00730F80" w:rsidP="003F310C">
      <w:pPr>
        <w:pStyle w:val="SDText"/>
        <w:spacing w:after="0"/>
        <w:contextualSpacing/>
        <w:rPr>
          <w:rStyle w:val="23"/>
          <w:rFonts w:eastAsiaTheme="minorHAnsi"/>
          <w:sz w:val="24"/>
          <w:szCs w:val="24"/>
        </w:rPr>
      </w:pPr>
    </w:p>
    <w:p w14:paraId="1CBD98A1" w14:textId="3BE73175" w:rsidR="00730F80" w:rsidRPr="00713741" w:rsidRDefault="00730F80" w:rsidP="00713741">
      <w:pPr>
        <w:pStyle w:val="SDText"/>
        <w:spacing w:after="0"/>
        <w:ind w:firstLine="0"/>
        <w:contextualSpacing/>
        <w:rPr>
          <w:rStyle w:val="23"/>
          <w:rFonts w:eastAsiaTheme="minorHAnsi"/>
          <w:b/>
          <w:i w:val="0"/>
        </w:rPr>
      </w:pPr>
      <w:r w:rsidRPr="00713741">
        <w:rPr>
          <w:rStyle w:val="23"/>
          <w:rFonts w:eastAsiaTheme="minorHAnsi"/>
          <w:b/>
          <w:i w:val="0"/>
          <w:sz w:val="24"/>
          <w:szCs w:val="24"/>
        </w:rPr>
        <w:t xml:space="preserve">Взаимодействия, при которых </w:t>
      </w:r>
      <w:r w:rsidR="00395E28" w:rsidRPr="00395E28">
        <w:rPr>
          <w:rStyle w:val="23"/>
          <w:rFonts w:eastAsiaTheme="minorHAnsi"/>
          <w:b/>
          <w:i w:val="0"/>
          <w:sz w:val="24"/>
          <w:szCs w:val="24"/>
        </w:rPr>
        <w:t>тофацитиниб</w:t>
      </w:r>
      <w:r w:rsidR="00395E28">
        <w:rPr>
          <w:rStyle w:val="23"/>
          <w:rFonts w:eastAsiaTheme="minorHAnsi"/>
          <w:b/>
          <w:i w:val="0"/>
          <w:sz w:val="24"/>
          <w:szCs w:val="24"/>
        </w:rPr>
        <w:t xml:space="preserve"> </w:t>
      </w:r>
      <w:r w:rsidRPr="00713741">
        <w:rPr>
          <w:rStyle w:val="23"/>
          <w:rFonts w:eastAsiaTheme="minorHAnsi"/>
          <w:b/>
          <w:i w:val="0"/>
          <w:sz w:val="24"/>
          <w:szCs w:val="24"/>
        </w:rPr>
        <w:t>влияет на фармакокинетику других препаратов</w:t>
      </w:r>
      <w:r w:rsidRPr="00713741">
        <w:rPr>
          <w:rStyle w:val="23"/>
          <w:rFonts w:eastAsiaTheme="minorHAnsi"/>
          <w:b/>
          <w:i w:val="0"/>
        </w:rPr>
        <w:t xml:space="preserve"> </w:t>
      </w:r>
    </w:p>
    <w:p w14:paraId="19491D02" w14:textId="77777777" w:rsidR="00713741" w:rsidRDefault="00713741" w:rsidP="003F310C">
      <w:pPr>
        <w:pStyle w:val="SDText"/>
        <w:spacing w:after="0"/>
        <w:contextualSpacing/>
      </w:pPr>
    </w:p>
    <w:p w14:paraId="30951794" w14:textId="4D037916" w:rsidR="00730F80" w:rsidRDefault="00730F80" w:rsidP="003F310C">
      <w:pPr>
        <w:pStyle w:val="SDText"/>
        <w:spacing w:after="0"/>
        <w:contextualSpacing/>
      </w:pPr>
      <w:r>
        <w:t xml:space="preserve">Исследования </w:t>
      </w:r>
      <w:r w:rsidRPr="00F25011">
        <w:rPr>
          <w:rStyle w:val="23"/>
          <w:rFonts w:eastAsiaTheme="minorHAnsi"/>
          <w:sz w:val="24"/>
          <w:szCs w:val="24"/>
          <w:lang w:val="en-US" w:bidi="en-US"/>
        </w:rPr>
        <w:t>in</w:t>
      </w:r>
      <w:r w:rsidRPr="00F25011">
        <w:rPr>
          <w:rStyle w:val="23"/>
          <w:rFonts w:eastAsiaTheme="minorHAnsi"/>
          <w:sz w:val="24"/>
          <w:szCs w:val="24"/>
          <w:lang w:bidi="en-US"/>
        </w:rPr>
        <w:t xml:space="preserve"> </w:t>
      </w:r>
      <w:r w:rsidRPr="00F25011">
        <w:rPr>
          <w:rStyle w:val="23"/>
          <w:rFonts w:eastAsiaTheme="minorHAnsi"/>
          <w:sz w:val="24"/>
          <w:szCs w:val="24"/>
          <w:lang w:val="en-US" w:bidi="en-US"/>
        </w:rPr>
        <w:t>vitro</w:t>
      </w:r>
      <w:r w:rsidRPr="00020402">
        <w:rPr>
          <w:lang w:bidi="en-US"/>
        </w:rPr>
        <w:t xml:space="preserve"> </w:t>
      </w:r>
      <w:r>
        <w:t>показали, что тофацитиниб в концентрациях, даже более чем в 80 раз превышающих равновесную С</w:t>
      </w:r>
      <w:r w:rsidRPr="0012423B">
        <w:rPr>
          <w:vertAlign w:val="subscript"/>
          <w:lang w:val="en-US"/>
        </w:rPr>
        <w:t>m</w:t>
      </w:r>
      <w:r w:rsidRPr="0012423B">
        <w:rPr>
          <w:vertAlign w:val="subscript"/>
        </w:rPr>
        <w:t>ах</w:t>
      </w:r>
      <w:r>
        <w:t xml:space="preserve"> общего тофацитиниба, возникающую при применении 5 мг и 10 мг два раза в день тофацитиниба у пациентов с ревматоидным артритом, псориатическим артритом, псориазом и язвенным колитом, существенно не ингибирует и не индуцирует активность основных препаратов, метаболизируемых цитохромами </w:t>
      </w:r>
      <w:r w:rsidRPr="00020402">
        <w:rPr>
          <w:lang w:bidi="en-US"/>
        </w:rPr>
        <w:t>(</w:t>
      </w:r>
      <w:r>
        <w:rPr>
          <w:lang w:val="en-US" w:bidi="en-US"/>
        </w:rPr>
        <w:t>CYP</w:t>
      </w:r>
      <w:r w:rsidRPr="00020402">
        <w:rPr>
          <w:lang w:bidi="en-US"/>
        </w:rPr>
        <w:t>1</w:t>
      </w:r>
      <w:r>
        <w:t xml:space="preserve">А2, </w:t>
      </w:r>
      <w:r>
        <w:rPr>
          <w:lang w:val="en-US" w:bidi="en-US"/>
        </w:rPr>
        <w:t>CYP</w:t>
      </w:r>
      <w:r w:rsidRPr="00020402">
        <w:rPr>
          <w:lang w:bidi="en-US"/>
        </w:rPr>
        <w:t>2</w:t>
      </w:r>
      <w:r>
        <w:rPr>
          <w:lang w:val="en-US" w:bidi="en-US"/>
        </w:rPr>
        <w:t>B</w:t>
      </w:r>
      <w:r w:rsidRPr="00020402">
        <w:rPr>
          <w:lang w:bidi="en-US"/>
        </w:rPr>
        <w:t xml:space="preserve">6, </w:t>
      </w:r>
      <w:r>
        <w:rPr>
          <w:lang w:val="en-US" w:bidi="en-US"/>
        </w:rPr>
        <w:t>CYP</w:t>
      </w:r>
      <w:r w:rsidRPr="00020402">
        <w:rPr>
          <w:lang w:bidi="en-US"/>
        </w:rPr>
        <w:t>2</w:t>
      </w:r>
      <w:r>
        <w:rPr>
          <w:lang w:val="en-US" w:bidi="en-US"/>
        </w:rPr>
        <w:t>C</w:t>
      </w:r>
      <w:r w:rsidRPr="00020402">
        <w:rPr>
          <w:lang w:bidi="en-US"/>
        </w:rPr>
        <w:t xml:space="preserve">8. </w:t>
      </w:r>
      <w:r>
        <w:rPr>
          <w:lang w:val="en-US" w:bidi="en-US"/>
        </w:rPr>
        <w:t>CYP</w:t>
      </w:r>
      <w:r w:rsidRPr="00020402">
        <w:rPr>
          <w:lang w:bidi="en-US"/>
        </w:rPr>
        <w:t>2</w:t>
      </w:r>
      <w:r>
        <w:rPr>
          <w:lang w:val="en-US" w:bidi="en-US"/>
        </w:rPr>
        <w:t>C</w:t>
      </w:r>
      <w:r w:rsidRPr="00020402">
        <w:rPr>
          <w:lang w:bidi="en-US"/>
        </w:rPr>
        <w:t xml:space="preserve">9, </w:t>
      </w:r>
      <w:r>
        <w:rPr>
          <w:lang w:val="en-US" w:bidi="en-US"/>
        </w:rPr>
        <w:t>CYP</w:t>
      </w:r>
      <w:r w:rsidRPr="00020402">
        <w:rPr>
          <w:lang w:bidi="en-US"/>
        </w:rPr>
        <w:t>2</w:t>
      </w:r>
      <w:r>
        <w:rPr>
          <w:lang w:val="en-US" w:bidi="en-US"/>
        </w:rPr>
        <w:t>C</w:t>
      </w:r>
      <w:r w:rsidRPr="00020402">
        <w:rPr>
          <w:lang w:bidi="en-US"/>
        </w:rPr>
        <w:t xml:space="preserve">19, </w:t>
      </w:r>
      <w:r>
        <w:rPr>
          <w:lang w:val="en-US" w:bidi="en-US"/>
        </w:rPr>
        <w:t>CYP</w:t>
      </w:r>
      <w:r w:rsidRPr="00020402">
        <w:rPr>
          <w:lang w:bidi="en-US"/>
        </w:rPr>
        <w:t>2</w:t>
      </w:r>
      <w:r>
        <w:rPr>
          <w:lang w:val="en-US" w:bidi="en-US"/>
        </w:rPr>
        <w:t>D</w:t>
      </w:r>
      <w:r w:rsidRPr="00020402">
        <w:rPr>
          <w:lang w:bidi="en-US"/>
        </w:rPr>
        <w:t xml:space="preserve">6 </w:t>
      </w:r>
      <w:r>
        <w:t xml:space="preserve">и </w:t>
      </w:r>
      <w:r>
        <w:rPr>
          <w:lang w:val="en-US" w:bidi="en-US"/>
        </w:rPr>
        <w:t>CYP</w:t>
      </w:r>
      <w:r w:rsidRPr="00020402">
        <w:rPr>
          <w:lang w:bidi="en-US"/>
        </w:rPr>
        <w:t>3</w:t>
      </w:r>
      <w:r>
        <w:rPr>
          <w:lang w:val="en-US" w:bidi="en-US"/>
        </w:rPr>
        <w:t>A</w:t>
      </w:r>
      <w:r w:rsidRPr="00020402">
        <w:rPr>
          <w:lang w:bidi="en-US"/>
        </w:rPr>
        <w:t xml:space="preserve">4). </w:t>
      </w:r>
      <w:r>
        <w:t xml:space="preserve">Данные результаты были подтверждены исследованием лекарственного взаимодействия, которое показало отсутствие изменений фармакокинетики мидазолама, высокоселективного субстрата изофермента </w:t>
      </w:r>
      <w:r>
        <w:rPr>
          <w:lang w:val="en-US" w:bidi="en-US"/>
        </w:rPr>
        <w:t>CYP</w:t>
      </w:r>
      <w:r w:rsidRPr="00020402">
        <w:rPr>
          <w:lang w:bidi="en-US"/>
        </w:rPr>
        <w:t>3</w:t>
      </w:r>
      <w:r>
        <w:rPr>
          <w:lang w:val="en-US" w:bidi="en-US"/>
        </w:rPr>
        <w:t>A</w:t>
      </w:r>
      <w:r w:rsidRPr="00020402">
        <w:rPr>
          <w:lang w:bidi="en-US"/>
        </w:rPr>
        <w:t xml:space="preserve">4, </w:t>
      </w:r>
      <w:r>
        <w:t>при одновременном применении с тофацитинибом.</w:t>
      </w:r>
    </w:p>
    <w:p w14:paraId="62B6605B" w14:textId="77777777" w:rsidR="00730F80" w:rsidRDefault="00730F80" w:rsidP="003F310C">
      <w:pPr>
        <w:pStyle w:val="SDText"/>
        <w:spacing w:after="0"/>
        <w:contextualSpacing/>
      </w:pPr>
      <w:r>
        <w:t xml:space="preserve">Данные </w:t>
      </w:r>
      <w:r w:rsidRPr="00F25011">
        <w:rPr>
          <w:rStyle w:val="23"/>
          <w:rFonts w:eastAsiaTheme="minorHAnsi"/>
          <w:sz w:val="24"/>
          <w:szCs w:val="24"/>
          <w:lang w:val="en-US" w:bidi="en-US"/>
        </w:rPr>
        <w:t>in</w:t>
      </w:r>
      <w:r w:rsidRPr="00F25011">
        <w:rPr>
          <w:rStyle w:val="23"/>
          <w:rFonts w:eastAsiaTheme="minorHAnsi"/>
          <w:sz w:val="24"/>
          <w:szCs w:val="24"/>
          <w:lang w:bidi="en-US"/>
        </w:rPr>
        <w:t xml:space="preserve"> </w:t>
      </w:r>
      <w:r w:rsidRPr="00F25011">
        <w:rPr>
          <w:rStyle w:val="23"/>
          <w:rFonts w:eastAsiaTheme="minorHAnsi"/>
          <w:sz w:val="24"/>
          <w:szCs w:val="24"/>
          <w:lang w:val="en-US" w:bidi="en-US"/>
        </w:rPr>
        <w:t>vitro</w:t>
      </w:r>
      <w:r w:rsidRPr="00020402">
        <w:rPr>
          <w:lang w:bidi="en-US"/>
        </w:rPr>
        <w:t xml:space="preserve"> </w:t>
      </w:r>
      <w:r>
        <w:t xml:space="preserve">показывают, что тофацитиниб не ингибирует активность основного человеческого фермента, метаболизирующего лекарственные средства, уридин 5- дифосфат-глюкуронозилтрансферазы (УГТ) [УГТ1А1, УГТ1А4, УГТ1А6, УГТ1А9 и </w:t>
      </w:r>
      <w:r>
        <w:lastRenderedPageBreak/>
        <w:t>УГТ2В7], в концентрациях, в 250 раз превышающих равновесную С</w:t>
      </w:r>
      <w:r>
        <w:rPr>
          <w:vertAlign w:val="subscript"/>
          <w:lang w:val="en-US"/>
        </w:rPr>
        <w:t>max</w:t>
      </w:r>
      <w:r>
        <w:t xml:space="preserve"> общего тофацитиниба, возникающую при применении 5 мг и 10 мг два раза в день тофацитиниба у пациентов с ревматоидным артритом, псориатическим артритом, псориазом и язвенным колитом.</w:t>
      </w:r>
    </w:p>
    <w:p w14:paraId="099B69DD" w14:textId="77777777" w:rsidR="00730F80" w:rsidRDefault="00730F80" w:rsidP="003F310C">
      <w:pPr>
        <w:pStyle w:val="SDText"/>
        <w:spacing w:after="0"/>
        <w:contextualSpacing/>
      </w:pPr>
      <w:r>
        <w:t xml:space="preserve">Данные </w:t>
      </w:r>
      <w:r w:rsidRPr="00F25011">
        <w:rPr>
          <w:rStyle w:val="23"/>
          <w:rFonts w:eastAsiaTheme="minorHAnsi"/>
          <w:sz w:val="24"/>
          <w:szCs w:val="24"/>
          <w:lang w:val="en-US" w:bidi="en-US"/>
        </w:rPr>
        <w:t>in</w:t>
      </w:r>
      <w:r w:rsidRPr="00F25011">
        <w:rPr>
          <w:rStyle w:val="23"/>
          <w:rFonts w:eastAsiaTheme="minorHAnsi"/>
          <w:sz w:val="24"/>
          <w:szCs w:val="24"/>
          <w:lang w:bidi="en-US"/>
        </w:rPr>
        <w:t xml:space="preserve"> </w:t>
      </w:r>
      <w:r w:rsidRPr="00F25011">
        <w:rPr>
          <w:rStyle w:val="23"/>
          <w:rFonts w:eastAsiaTheme="minorHAnsi"/>
          <w:sz w:val="24"/>
          <w:szCs w:val="24"/>
          <w:lang w:val="en-US" w:bidi="en-US"/>
        </w:rPr>
        <w:t>vitro</w:t>
      </w:r>
      <w:r w:rsidRPr="00020402">
        <w:rPr>
          <w:lang w:bidi="en-US"/>
        </w:rPr>
        <w:t xml:space="preserve"> </w:t>
      </w:r>
      <w:r>
        <w:t>показали, что способность тофацитиниба в терапевтических концентрациях ингибировать такие переносчики как Р-гликопротеин, органические анионные транспортные полипептиды, органические анионные или катионные переносчики очень низка.</w:t>
      </w:r>
    </w:p>
    <w:p w14:paraId="2A38FEDB" w14:textId="5368AF58" w:rsidR="00730F80" w:rsidRDefault="00730F80" w:rsidP="003F310C">
      <w:pPr>
        <w:pStyle w:val="SDText"/>
        <w:spacing w:after="0"/>
        <w:contextualSpacing/>
      </w:pPr>
      <w:r>
        <w:t>Одновременное применение с тофацитинибом не оказывало влияния на фармакокинетику пероральных контрацептивов, левоноргестрела и этинилэстрадола у здоровых женщин. Одновременное применение тофацитиниба с метотрексатом в дозе 15</w:t>
      </w:r>
      <w:r w:rsidR="0006797B">
        <w:t>–</w:t>
      </w:r>
      <w:r>
        <w:t xml:space="preserve">25 мг один раз в неделю снижало показатели </w:t>
      </w:r>
      <w:r>
        <w:rPr>
          <w:lang w:val="en-US" w:bidi="en-US"/>
        </w:rPr>
        <w:t>AUC</w:t>
      </w:r>
      <w:r w:rsidRPr="00020402">
        <w:rPr>
          <w:lang w:bidi="en-US"/>
        </w:rPr>
        <w:t xml:space="preserve"> </w:t>
      </w:r>
      <w:r>
        <w:t>и С</w:t>
      </w:r>
      <w:r>
        <w:rPr>
          <w:vertAlign w:val="subscript"/>
          <w:lang w:val="en-US"/>
        </w:rPr>
        <w:t>max</w:t>
      </w:r>
      <w:r>
        <w:t xml:space="preserve"> метотрексата на 10% и 13%, соответственно. Данные изменения фармакокинетики метотрексата не требовали коррекции дозы, либо подбора индивидуальных доз метотрексата.</w:t>
      </w:r>
    </w:p>
    <w:p w14:paraId="6795DA8B" w14:textId="6D7D3320" w:rsidR="00730F80" w:rsidRDefault="00730F80" w:rsidP="003F310C">
      <w:pPr>
        <w:pStyle w:val="SDText"/>
        <w:spacing w:after="0"/>
        <w:contextualSpacing/>
      </w:pPr>
      <w:r>
        <w:t xml:space="preserve">Одновременный прием </w:t>
      </w:r>
      <w:r w:rsidR="00395E28" w:rsidRPr="00395E28">
        <w:t xml:space="preserve">тофацитиниба </w:t>
      </w:r>
      <w:r>
        <w:t>не оказывал влияния на фармакокинетику метформина, свидетельствуя, что тофацитиниб не воздействует на переносчик органических катионов (ОСТ2) у здоровых добровольцев.</w:t>
      </w:r>
    </w:p>
    <w:p w14:paraId="7AEDEF2B" w14:textId="77777777" w:rsidR="00730F80" w:rsidRDefault="00730F80" w:rsidP="003F310C">
      <w:pPr>
        <w:pStyle w:val="SDText"/>
        <w:spacing w:after="0"/>
        <w:contextualSpacing/>
      </w:pPr>
      <w:r>
        <w:t xml:space="preserve">У пациентов с ревматоидным артритом, псориазом и язвенным колитом клиренс тофацитиниба с течением времени не изменялся. Это свидетельствует о том, что тофацитиниб не влияет на активность изоферментов </w:t>
      </w:r>
      <w:r>
        <w:rPr>
          <w:lang w:val="en-US" w:bidi="en-US"/>
        </w:rPr>
        <w:t>CYP</w:t>
      </w:r>
      <w:r w:rsidRPr="00020402">
        <w:rPr>
          <w:lang w:bidi="en-US"/>
        </w:rPr>
        <w:t xml:space="preserve"> </w:t>
      </w:r>
      <w:r>
        <w:t xml:space="preserve">у этих пациентов. Таким образом, маловероятно, что одновременное применение субстратов изоферментов </w:t>
      </w:r>
      <w:r>
        <w:rPr>
          <w:lang w:val="en-US" w:bidi="en-US"/>
        </w:rPr>
        <w:t>CYP</w:t>
      </w:r>
      <w:r w:rsidRPr="00020402">
        <w:rPr>
          <w:lang w:bidi="en-US"/>
        </w:rPr>
        <w:t xml:space="preserve"> </w:t>
      </w:r>
      <w:r>
        <w:t>с тофацитинибом приведет к клинически значимому увеличению их метаболизма у пациентов с ревматоидным артритом, псориазом и язвенным колитом.</w:t>
      </w:r>
    </w:p>
    <w:p w14:paraId="5AC11691" w14:textId="77777777" w:rsidR="00713741" w:rsidRDefault="00713741" w:rsidP="00713741">
      <w:pPr>
        <w:pStyle w:val="OT"/>
        <w:ind w:left="0"/>
        <w:rPr>
          <w:b/>
          <w:u w:val="single"/>
        </w:rPr>
      </w:pPr>
      <w:bookmarkStart w:id="325" w:name="bookmark18"/>
    </w:p>
    <w:p w14:paraId="14FD3B4F" w14:textId="50BC16BC" w:rsidR="00730F80" w:rsidRPr="00713741" w:rsidRDefault="00730F80" w:rsidP="00713741">
      <w:pPr>
        <w:pStyle w:val="OT"/>
        <w:ind w:left="0"/>
        <w:rPr>
          <w:b/>
        </w:rPr>
      </w:pPr>
      <w:r w:rsidRPr="00713741">
        <w:rPr>
          <w:b/>
        </w:rPr>
        <w:t>Пациенты детского возраста</w:t>
      </w:r>
      <w:bookmarkEnd w:id="325"/>
    </w:p>
    <w:p w14:paraId="6B2C4A14" w14:textId="77777777" w:rsidR="00713741" w:rsidRDefault="00713741" w:rsidP="003F310C">
      <w:pPr>
        <w:pStyle w:val="SDText"/>
        <w:spacing w:after="0"/>
        <w:contextualSpacing/>
      </w:pPr>
    </w:p>
    <w:p w14:paraId="51D914BF" w14:textId="7C0F1F2F" w:rsidR="00730F80" w:rsidRDefault="00730F80" w:rsidP="003F310C">
      <w:pPr>
        <w:pStyle w:val="SDText"/>
        <w:spacing w:after="0"/>
        <w:contextualSpacing/>
      </w:pPr>
      <w:r>
        <w:t>Исследования проводились только у взрослых.</w:t>
      </w:r>
    </w:p>
    <w:p w14:paraId="0FFDD56E" w14:textId="77777777" w:rsidR="00730F80" w:rsidRPr="001F1D2E" w:rsidRDefault="00730F80" w:rsidP="003F310C">
      <w:pPr>
        <w:pStyle w:val="SDText"/>
        <w:spacing w:after="0"/>
        <w:contextualSpacing/>
      </w:pPr>
    </w:p>
    <w:p w14:paraId="17F1A1F9" w14:textId="3B166CF4" w:rsidR="00730F80" w:rsidRDefault="00C822D7" w:rsidP="00C822D7">
      <w:pPr>
        <w:pStyle w:val="3"/>
        <w:numPr>
          <w:ilvl w:val="0"/>
          <w:numId w:val="0"/>
        </w:numPr>
        <w:ind w:left="720" w:hanging="720"/>
      </w:pPr>
      <w:bookmarkStart w:id="326" w:name="_Toc115421104"/>
      <w:bookmarkStart w:id="327" w:name="_Toc121592643"/>
      <w:r>
        <w:t xml:space="preserve">5.3.8. </w:t>
      </w:r>
      <w:r w:rsidR="00730F80" w:rsidRPr="00A923A0">
        <w:t>Особые</w:t>
      </w:r>
      <w:r w:rsidR="00730F80" w:rsidRPr="00AA513A">
        <w:t xml:space="preserve"> </w:t>
      </w:r>
      <w:r w:rsidR="00730F80" w:rsidRPr="00A923A0">
        <w:t>указания</w:t>
      </w:r>
      <w:bookmarkEnd w:id="326"/>
      <w:bookmarkEnd w:id="327"/>
    </w:p>
    <w:p w14:paraId="2BDF8C19" w14:textId="77777777" w:rsidR="00730F80" w:rsidRPr="00AA513A" w:rsidRDefault="00730F80" w:rsidP="003F310C">
      <w:pPr>
        <w:pStyle w:val="SDText"/>
        <w:spacing w:after="0"/>
      </w:pPr>
    </w:p>
    <w:p w14:paraId="3A0E6F3A" w14:textId="4878733A" w:rsidR="00730F80" w:rsidRPr="003678F1" w:rsidRDefault="00C822D7" w:rsidP="00C822D7">
      <w:pPr>
        <w:pStyle w:val="4"/>
        <w:numPr>
          <w:ilvl w:val="0"/>
          <w:numId w:val="0"/>
        </w:numPr>
        <w:ind w:left="864" w:hanging="864"/>
      </w:pPr>
      <w:bookmarkStart w:id="328" w:name="_Toc121592644"/>
      <w:r>
        <w:t xml:space="preserve">5.3.8.1. </w:t>
      </w:r>
      <w:r w:rsidR="00730F80">
        <w:t>Таблетки, покрытые пленочной оболочкой</w:t>
      </w:r>
      <w:bookmarkEnd w:id="328"/>
    </w:p>
    <w:p w14:paraId="56CDDD3C" w14:textId="77777777" w:rsidR="00730F80" w:rsidRDefault="00730F80" w:rsidP="003F310C">
      <w:pPr>
        <w:spacing w:after="0"/>
        <w:ind w:firstLine="0"/>
        <w:contextualSpacing/>
        <w:rPr>
          <w:rStyle w:val="23"/>
          <w:rFonts w:eastAsiaTheme="minorHAnsi"/>
          <w:sz w:val="24"/>
          <w:szCs w:val="24"/>
        </w:rPr>
      </w:pPr>
    </w:p>
    <w:p w14:paraId="32AD267B" w14:textId="77777777" w:rsidR="00730F80" w:rsidRPr="00713741" w:rsidRDefault="00730F80" w:rsidP="00713741">
      <w:pPr>
        <w:spacing w:after="0"/>
        <w:ind w:firstLine="0"/>
        <w:contextualSpacing/>
        <w:rPr>
          <w:rStyle w:val="23"/>
          <w:rFonts w:eastAsiaTheme="minorHAnsi"/>
          <w:b/>
          <w:i w:val="0"/>
          <w:sz w:val="24"/>
          <w:szCs w:val="24"/>
        </w:rPr>
      </w:pPr>
      <w:r w:rsidRPr="00713741">
        <w:rPr>
          <w:rStyle w:val="23"/>
          <w:rFonts w:eastAsiaTheme="minorHAnsi"/>
          <w:b/>
          <w:i w:val="0"/>
          <w:sz w:val="24"/>
          <w:szCs w:val="24"/>
        </w:rPr>
        <w:t xml:space="preserve">Комбинированное применение с другими противоревматическими средствами </w:t>
      </w:r>
    </w:p>
    <w:p w14:paraId="4EFBCBF9" w14:textId="77777777" w:rsidR="00713741" w:rsidRDefault="00713741" w:rsidP="003F310C">
      <w:pPr>
        <w:pStyle w:val="SDText"/>
        <w:spacing w:after="0"/>
        <w:contextualSpacing/>
      </w:pPr>
    </w:p>
    <w:p w14:paraId="37AA14CD" w14:textId="37F44A82" w:rsidR="00730F80" w:rsidRDefault="00730F80" w:rsidP="003F310C">
      <w:pPr>
        <w:pStyle w:val="SDText"/>
        <w:spacing w:after="0"/>
        <w:contextualSpacing/>
      </w:pPr>
      <w:r>
        <w:t xml:space="preserve">Применение </w:t>
      </w:r>
      <w:r w:rsidR="00417483" w:rsidRPr="00417483">
        <w:t xml:space="preserve">тофацитиниба </w:t>
      </w:r>
      <w:r>
        <w:t>не изучалось и его применения следует избегать у пациентов с ревматоидным артритом в комбинации с биологическими базисными противоревматическими препаратами (БПРП), такими как ингибиторы фактора некроза опухоли (</w:t>
      </w:r>
      <w:r>
        <w:rPr>
          <w:lang w:val="en-US"/>
        </w:rPr>
        <w:t>TNF</w:t>
      </w:r>
      <w:r w:rsidRPr="005F510D">
        <w:t>-</w:t>
      </w:r>
      <w:r>
        <w:rPr>
          <w:rFonts w:cs="Times New Roman"/>
        </w:rPr>
        <w:t>α</w:t>
      </w:r>
      <w:r>
        <w:t xml:space="preserve">), антагонисты интерлейкина </w:t>
      </w:r>
      <w:r w:rsidRPr="003927BA">
        <w:rPr>
          <w:lang w:bidi="en-US"/>
        </w:rPr>
        <w:t>(</w:t>
      </w:r>
      <w:r>
        <w:rPr>
          <w:lang w:val="en-US" w:bidi="en-US"/>
        </w:rPr>
        <w:t>IL</w:t>
      </w:r>
      <w:r w:rsidRPr="003927BA">
        <w:rPr>
          <w:lang w:bidi="en-US"/>
        </w:rPr>
        <w:t>)-</w:t>
      </w:r>
      <w:r w:rsidRPr="0088408A">
        <w:rPr>
          <w:lang w:bidi="en-US"/>
        </w:rPr>
        <w:t>1</w:t>
      </w:r>
      <w:r>
        <w:rPr>
          <w:lang w:val="en-US" w:bidi="en-US"/>
        </w:rPr>
        <w:t>R</w:t>
      </w:r>
      <w:r w:rsidRPr="003927BA">
        <w:rPr>
          <w:lang w:bidi="en-US"/>
        </w:rPr>
        <w:t xml:space="preserve">, </w:t>
      </w:r>
      <w:r>
        <w:t xml:space="preserve">антагонисты </w:t>
      </w:r>
      <w:r>
        <w:rPr>
          <w:lang w:val="en-US"/>
        </w:rPr>
        <w:t>IL</w:t>
      </w:r>
      <w:r>
        <w:t>-</w:t>
      </w:r>
      <w:r w:rsidRPr="0088408A">
        <w:t>6</w:t>
      </w:r>
      <w:r>
        <w:rPr>
          <w:lang w:val="en-US"/>
        </w:rPr>
        <w:t>R</w:t>
      </w:r>
      <w:r>
        <w:t xml:space="preserve">, моноклональные антитела к </w:t>
      </w:r>
      <w:r>
        <w:rPr>
          <w:lang w:val="en-US" w:bidi="en-US"/>
        </w:rPr>
        <w:t>CD</w:t>
      </w:r>
      <w:r w:rsidRPr="003927BA">
        <w:rPr>
          <w:lang w:bidi="en-US"/>
        </w:rPr>
        <w:t xml:space="preserve">20, </w:t>
      </w:r>
      <w:r>
        <w:t>селективные модуляторы ко-стимуляции и высокоактивные иммунодепрессанты, например азатиоприн, циклоспорин и такролимус, поскольку существует риск усиления иммуносупрессии с последующим увеличения риска развития инфекции.</w:t>
      </w:r>
    </w:p>
    <w:p w14:paraId="12ECC754" w14:textId="2D9C76EE" w:rsidR="00730F80" w:rsidRDefault="00730F80" w:rsidP="003F310C">
      <w:pPr>
        <w:pStyle w:val="SDText"/>
        <w:spacing w:after="0"/>
        <w:contextualSpacing/>
      </w:pPr>
      <w:r>
        <w:t xml:space="preserve">При применении </w:t>
      </w:r>
      <w:r w:rsidR="00417483" w:rsidRPr="00417483">
        <w:t xml:space="preserve">тофацитиниба </w:t>
      </w:r>
      <w:r>
        <w:t xml:space="preserve">в комбинации с МТТ наблюдалась более высокая частота нежелательных явлений, чем при применении </w:t>
      </w:r>
      <w:r w:rsidR="00417483" w:rsidRPr="00417483">
        <w:t xml:space="preserve">тофацитиниба </w:t>
      </w:r>
      <w:r>
        <w:t>в виде монотерапии.</w:t>
      </w:r>
    </w:p>
    <w:p w14:paraId="20A7A69A" w14:textId="5DF284A0" w:rsidR="00730F80" w:rsidRDefault="00730F80" w:rsidP="003F310C">
      <w:pPr>
        <w:pStyle w:val="SDText"/>
        <w:spacing w:after="0"/>
        <w:contextualSpacing/>
      </w:pPr>
      <w:r>
        <w:t xml:space="preserve">Применение </w:t>
      </w:r>
      <w:r w:rsidR="00417483" w:rsidRPr="00417483">
        <w:t xml:space="preserve">тофацитиниба </w:t>
      </w:r>
      <w:r>
        <w:t xml:space="preserve">не изучалось и его применения следует избегать у пациентов пЮИА в комбинации с биологическими базисными противоревматическими препаратами (БПРП), такими как антагонисты </w:t>
      </w:r>
      <w:r>
        <w:rPr>
          <w:lang w:val="en-US"/>
        </w:rPr>
        <w:t>IL</w:t>
      </w:r>
      <w:r>
        <w:t>-6</w:t>
      </w:r>
      <w:r>
        <w:rPr>
          <w:lang w:val="en-US"/>
        </w:rPr>
        <w:t>R</w:t>
      </w:r>
      <w:r>
        <w:t xml:space="preserve">, селективные модуляторы ко- стимуляции и высокоактивными иммунодепрессантами, например азатиоприн и </w:t>
      </w:r>
      <w:r>
        <w:lastRenderedPageBreak/>
        <w:t>циклоспорин, поскольку существует риск усиления иммуносупрессии с последующим увеличения риска развития инфекции.</w:t>
      </w:r>
    </w:p>
    <w:p w14:paraId="5AAF278D" w14:textId="345A9B3B" w:rsidR="00730F80" w:rsidRDefault="00730F80" w:rsidP="003F310C">
      <w:pPr>
        <w:pStyle w:val="SDText"/>
        <w:spacing w:after="0"/>
        <w:contextualSpacing/>
      </w:pPr>
      <w:r>
        <w:t xml:space="preserve">Применение </w:t>
      </w:r>
      <w:r w:rsidR="00417483" w:rsidRPr="00417483">
        <w:t xml:space="preserve">тофацитиниба </w:t>
      </w:r>
      <w:r>
        <w:t>не изучалось и его применения следует избегать у пациентов с анкилозирующим спондилоартритом в комбинации с биологическими базисными противоревматическими препаратами (БПРП) или высокоактивными иммунодепрессантами, например азатиоприн и циклоспорин.</w:t>
      </w:r>
    </w:p>
    <w:p w14:paraId="0C8D429D" w14:textId="77777777" w:rsidR="00730F80" w:rsidRDefault="00730F80" w:rsidP="003F310C">
      <w:pPr>
        <w:spacing w:after="0"/>
        <w:contextualSpacing/>
        <w:rPr>
          <w:i/>
          <w:iCs/>
        </w:rPr>
      </w:pPr>
      <w:r w:rsidRPr="0058168D">
        <w:rPr>
          <w:i/>
          <w:iCs/>
        </w:rPr>
        <w:t>Общие инфекции</w:t>
      </w:r>
    </w:p>
    <w:p w14:paraId="22413437" w14:textId="77777777" w:rsidR="00730F80" w:rsidRDefault="00730F80" w:rsidP="003F310C">
      <w:pPr>
        <w:spacing w:after="0"/>
        <w:contextualSpacing/>
      </w:pPr>
      <w:r>
        <w:t>Наиболее частыми инфекциями, отмечаемыми на фоне применения тофацитиниба у пациентов с ревматоидным артритом, были инфекции верхних дыхательных путей и назофарингит (4,1% и 3,4%, соответственно).</w:t>
      </w:r>
    </w:p>
    <w:p w14:paraId="3A7CD7C8" w14:textId="61C3822D" w:rsidR="00730F80" w:rsidRPr="00E717E9" w:rsidRDefault="00730F80" w:rsidP="003F310C">
      <w:pPr>
        <w:spacing w:after="0"/>
        <w:contextualSpacing/>
        <w:rPr>
          <w:i/>
          <w:iCs/>
        </w:rPr>
      </w:pPr>
      <w:r>
        <w:t>Наиболее частыми инфекциями, отмечаемыми в течение первых 12</w:t>
      </w:r>
      <w:r w:rsidR="003A6512">
        <w:t>–</w:t>
      </w:r>
      <w:r>
        <w:t>16 недель терапии тофацитинибом пациентов с псориазом, были назофарингит и инфекции верхних дыхательных путей (назофарингит в 7% и 8% случаев при применении 5 мг и 10 мг тофацитиниба два раза в сутки, соответственно и инфекции верхних дыхательных путей в 4% и 5% случаев при применении 5 мг и 10 мг тофацитиниба два раза в сутки, соответственно).</w:t>
      </w:r>
    </w:p>
    <w:p w14:paraId="5E17B571" w14:textId="77777777" w:rsidR="00143D1F" w:rsidRDefault="00143D1F" w:rsidP="00143D1F">
      <w:pPr>
        <w:spacing w:after="0"/>
        <w:ind w:firstLine="0"/>
        <w:contextualSpacing/>
        <w:rPr>
          <w:i/>
          <w:iCs/>
        </w:rPr>
      </w:pPr>
    </w:p>
    <w:p w14:paraId="51415959" w14:textId="408C369B" w:rsidR="00730F80" w:rsidRPr="00143D1F" w:rsidRDefault="00730F80" w:rsidP="00143D1F">
      <w:pPr>
        <w:spacing w:after="0"/>
        <w:ind w:firstLine="0"/>
        <w:contextualSpacing/>
        <w:rPr>
          <w:b/>
          <w:iCs/>
        </w:rPr>
      </w:pPr>
      <w:r w:rsidRPr="00143D1F">
        <w:rPr>
          <w:b/>
          <w:iCs/>
        </w:rPr>
        <w:t>Серьезные инфекции</w:t>
      </w:r>
    </w:p>
    <w:p w14:paraId="6A208ECD" w14:textId="77777777" w:rsidR="00143D1F" w:rsidRDefault="00143D1F" w:rsidP="003F310C">
      <w:pPr>
        <w:spacing w:after="0"/>
        <w:contextualSpacing/>
      </w:pPr>
    </w:p>
    <w:p w14:paraId="530D852C" w14:textId="073BF6E5" w:rsidR="00730F80" w:rsidRDefault="00730F80" w:rsidP="003F310C">
      <w:pPr>
        <w:spacing w:after="0"/>
        <w:contextualSpacing/>
      </w:pPr>
      <w:r>
        <w:t xml:space="preserve">У пациентов, получающих иммуномодуляторы, включая биологические препараты и </w:t>
      </w:r>
      <w:r w:rsidR="00417483" w:rsidRPr="00417483">
        <w:t>тофацитиниб</w:t>
      </w:r>
      <w:r>
        <w:t xml:space="preserve">, отмечены серьезные, а иногда и смертельные инфекции, вызванные бактериальными, микобактериальными, грибковыми, вирусными или иными оппортунистическими возбудителями. Самые частые серьезные инфекции, отмеченные при применении </w:t>
      </w:r>
      <w:r w:rsidR="00417483" w:rsidRPr="00417483">
        <w:t>тофацитиниба</w:t>
      </w:r>
      <w:r>
        <w:t xml:space="preserve">, включают пневмонию, воспаление подкожной клетчатки, опоясывающий герпес, инфекцию мочевых путей, дивертикулит и аппендицит. Из числа оппортунистических инфекций при применении </w:t>
      </w:r>
      <w:r w:rsidR="00417483" w:rsidRPr="00417483">
        <w:t xml:space="preserve">тофацитиниба </w:t>
      </w:r>
      <w:r>
        <w:t>отмечены случаи развития туберкулеза и других микобактериальных инфекций, криптококкоза, гистоплазмоза, кандидоза пищевода, опоясывающего лишая с поражением различных дерматомов, цитомегаловирусной инфекции, ВК-вирусной инфекции и листериоза. У некоторых пациентов с ревматоидным артритом отмечали диссеминированные заболевания чаще всего при одновременном применении иммуномодуляторов</w:t>
      </w:r>
      <w:r w:rsidR="00093AC0" w:rsidRPr="00093AC0">
        <w:t xml:space="preserve"> </w:t>
      </w:r>
      <w:r w:rsidR="00093AC0">
        <w:t>–</w:t>
      </w:r>
      <w:r w:rsidR="00093AC0" w:rsidRPr="00093AC0">
        <w:t xml:space="preserve"> </w:t>
      </w:r>
      <w:r>
        <w:t>метотрексата или глюкокортикостероидов, которые сами по себе и в дополнение к основному заболеванию ревматоидному артриту могут предрасполагать к развитию инфекций. Также возможно развитие и иных серьезных инфекций, которые не были зарегистрированы в клинических исследованиях (например, кокцидиомикоза).</w:t>
      </w:r>
    </w:p>
    <w:p w14:paraId="48BABAA8" w14:textId="157CF72A" w:rsidR="00730F80" w:rsidRDefault="00417483" w:rsidP="003F310C">
      <w:pPr>
        <w:spacing w:after="0"/>
        <w:contextualSpacing/>
      </w:pPr>
      <w:r>
        <w:t>Т</w:t>
      </w:r>
      <w:r w:rsidRPr="00417483">
        <w:t>офацитиниб</w:t>
      </w:r>
      <w:r w:rsidR="00730F80">
        <w:t xml:space="preserve"> не следует применять у пациентов с активной инфекцией, включая локальные инфекции. Перед применением </w:t>
      </w:r>
      <w:r w:rsidRPr="00417483">
        <w:t xml:space="preserve">тофацитиниба </w:t>
      </w:r>
      <w:r w:rsidR="00730F80">
        <w:t xml:space="preserve">следует оценить соотношение риск/польза от терапии у пациентов с хронической или рецидивирующей инфекцией, после контакта с больным туберкулезом наличием тяжелой или оппортунистической инфекции в анамнезе, у пациентов, которые жили или недавно посетили эндемичные районы по туберкулезу или микозам, а также у пациентов с предрасположенностью к развитию инфекции. Пациенты подлежат внимательному наблюдению на предмет развития признаков и симптомов инфекции во время и после терапии </w:t>
      </w:r>
      <w:r w:rsidRPr="00417483">
        <w:t>тофацитиниб</w:t>
      </w:r>
      <w:r>
        <w:t>ом</w:t>
      </w:r>
      <w:r w:rsidR="00730F80">
        <w:t xml:space="preserve">. </w:t>
      </w:r>
      <w:r>
        <w:t>Т</w:t>
      </w:r>
      <w:r w:rsidRPr="00417483">
        <w:t>офацитиниб</w:t>
      </w:r>
      <w:r w:rsidR="00730F80">
        <w:t xml:space="preserve"> следует временно отменить, если у пациента развилась серьезная инфекция, оппортунистическая инфекция или сепсис, до тех пор, пока не будет установлен контроль над состоянием пациента. При развитии новой инфекции на фоне применения </w:t>
      </w:r>
      <w:r w:rsidRPr="00417483">
        <w:t xml:space="preserve">тофацитиниба </w:t>
      </w:r>
      <w:r w:rsidR="00730F80">
        <w:t xml:space="preserve">пациент подлежит быстрому и полному диагностическому обследованию по аналогии с пациентом, страдающим иммунодефицитом. Показано назначение </w:t>
      </w:r>
      <w:r w:rsidR="00730F80">
        <w:lastRenderedPageBreak/>
        <w:t>соответствующей антибактериальной терапии, а также тщательное динамическое наблюдение.</w:t>
      </w:r>
    </w:p>
    <w:p w14:paraId="3E97986C" w14:textId="38959C3C" w:rsidR="00730F80" w:rsidRDefault="00730F80" w:rsidP="003F310C">
      <w:pPr>
        <w:spacing w:after="0"/>
        <w:contextualSpacing/>
      </w:pPr>
      <w:r>
        <w:t xml:space="preserve">Поскольку пожилые пациенты и пациенты с сахарным диабетом обычно характеризуются более высокой частотой развития инфекций, в подобных случаях также следует соблюдать осторожность. Также рекомендуется соблюдать осторожность при применении препарата у пациентов с хроническими заболеваниями легких, так как они могут быть более подвержены инфекциям. В клинических исследованиях и во время пострегистрационного применения препарата сообщалось о случаях развития интерстициального заболевания легких (в некоторых случаях с летальным исходом) у пациентов, получающих терапию </w:t>
      </w:r>
      <w:r w:rsidR="00417483" w:rsidRPr="00417483">
        <w:t>тофацитиниб</w:t>
      </w:r>
      <w:r w:rsidR="00417483">
        <w:t>ом</w:t>
      </w:r>
      <w:r>
        <w:t>, ингибитором янус-киназ. Тем не менее, роль ингибирования янус-киназы неизвестна.</w:t>
      </w:r>
    </w:p>
    <w:p w14:paraId="58BF3575" w14:textId="77777777" w:rsidR="00730F80" w:rsidRPr="00E717E9" w:rsidRDefault="00730F80" w:rsidP="003F310C">
      <w:pPr>
        <w:spacing w:after="0"/>
        <w:contextualSpacing/>
        <w:rPr>
          <w:i/>
          <w:iCs/>
        </w:rPr>
      </w:pPr>
      <w:r>
        <w:t>Риск инфекции может повышаться при увеличении степени тяжести лимфопении. В этом случае при оценке индивидуального риска развития инфекции следует принимать во внимание количество лимфоцитов Условия отмены препарата и критерии контроля лимфопении описаны в разделе «Способ применения и дозы».</w:t>
      </w:r>
    </w:p>
    <w:p w14:paraId="3A72BB9F" w14:textId="77777777" w:rsidR="00730F80" w:rsidRDefault="00730F80" w:rsidP="003F310C">
      <w:pPr>
        <w:spacing w:after="0"/>
        <w:rPr>
          <w:i/>
          <w:iCs/>
        </w:rPr>
      </w:pPr>
    </w:p>
    <w:p w14:paraId="5E948EBD" w14:textId="77777777" w:rsidR="00730F80" w:rsidRPr="00143D1F" w:rsidRDefault="00730F80" w:rsidP="00143D1F">
      <w:pPr>
        <w:spacing w:after="0"/>
        <w:ind w:firstLine="0"/>
        <w:contextualSpacing/>
        <w:rPr>
          <w:b/>
          <w:iCs/>
        </w:rPr>
      </w:pPr>
      <w:r w:rsidRPr="00143D1F">
        <w:rPr>
          <w:b/>
          <w:iCs/>
        </w:rPr>
        <w:t>Туберкулез</w:t>
      </w:r>
    </w:p>
    <w:p w14:paraId="0CE19BDB" w14:textId="77777777" w:rsidR="00143D1F" w:rsidRDefault="00143D1F" w:rsidP="003F310C">
      <w:pPr>
        <w:spacing w:after="0"/>
        <w:contextualSpacing/>
      </w:pPr>
    </w:p>
    <w:p w14:paraId="0434C98C" w14:textId="071E565C" w:rsidR="00730F80" w:rsidRDefault="00730F80" w:rsidP="003F310C">
      <w:pPr>
        <w:spacing w:after="0"/>
        <w:contextualSpacing/>
      </w:pPr>
      <w:r>
        <w:t xml:space="preserve">Перед применением </w:t>
      </w:r>
      <w:r w:rsidR="00417483" w:rsidRPr="00417483">
        <w:t xml:space="preserve">тофацитиниба </w:t>
      </w:r>
      <w:r>
        <w:t>следует оценить соотношение риск/польза от терапии у пациентов с туберкулезом в анамнезе, у пациентов, которые жили или недавно посетили эндемичные районы по туберкулезу.</w:t>
      </w:r>
    </w:p>
    <w:p w14:paraId="7824AE03" w14:textId="321E3FEC" w:rsidR="00730F80" w:rsidRDefault="00730F80" w:rsidP="003F310C">
      <w:pPr>
        <w:spacing w:after="0"/>
        <w:contextualSpacing/>
      </w:pPr>
      <w:r>
        <w:t xml:space="preserve">Перед применением </w:t>
      </w:r>
      <w:r w:rsidR="00417483" w:rsidRPr="00417483">
        <w:t xml:space="preserve">тофацитиниба </w:t>
      </w:r>
      <w:r>
        <w:t>следует провести обследование на предмет признаков латентной или активной туберкулезной инфекции в соответствии с локальными рекомендациями.</w:t>
      </w:r>
    </w:p>
    <w:p w14:paraId="3234A519" w14:textId="307B9CF9" w:rsidR="00730F80" w:rsidRDefault="00730F80" w:rsidP="003F310C">
      <w:pPr>
        <w:spacing w:after="0"/>
        <w:contextualSpacing/>
      </w:pPr>
      <w:r>
        <w:t xml:space="preserve">Пациенты с латентным туберкулезом перед началом терапии </w:t>
      </w:r>
      <w:r w:rsidR="00417483" w:rsidRPr="00417483">
        <w:t>тофацитиниб</w:t>
      </w:r>
      <w:r w:rsidR="00417483">
        <w:t>ом</w:t>
      </w:r>
      <w:r w:rsidR="00417483" w:rsidRPr="00417483">
        <w:t xml:space="preserve"> </w:t>
      </w:r>
      <w:r>
        <w:t>подлежат стандартной антимикобактериальной терапии.</w:t>
      </w:r>
    </w:p>
    <w:p w14:paraId="28AE7B3D" w14:textId="3A4694C4" w:rsidR="00730F80" w:rsidRDefault="00730F80" w:rsidP="003F310C">
      <w:pPr>
        <w:spacing w:after="0"/>
        <w:contextualSpacing/>
      </w:pPr>
      <w:r>
        <w:t xml:space="preserve">Перед началом терапии </w:t>
      </w:r>
      <w:r w:rsidR="00417483" w:rsidRPr="00417483">
        <w:t>тофацитиниб</w:t>
      </w:r>
      <w:r w:rsidR="00417483">
        <w:t xml:space="preserve">ом </w:t>
      </w:r>
      <w:r>
        <w:t>у пациентов с латентным или активным туберкулезом в анамнезе, при отсутствии подтверждения адекватного курса противотуберкулезной терапии, а также у пациентов с отрицательным результатом исследования на латентный туберкулез, но наличием факторов риска туберкулезной инфекции, следует провести соответствующую противотуберкулезную терапию. При принятии решения относительно необходимости проведения противотуберкулезной терапии у каждого конкретного пациента рекомендуется проконсультироваться с фтизиатром.</w:t>
      </w:r>
    </w:p>
    <w:p w14:paraId="48BA8DC1" w14:textId="77777777" w:rsidR="00730F80" w:rsidRDefault="00730F80" w:rsidP="003F310C">
      <w:pPr>
        <w:spacing w:after="0"/>
        <w:contextualSpacing/>
      </w:pPr>
      <w:r>
        <w:t>Пациенты подлежат тщательному наблюдению на предмет развития признаков туберкулеза, включая пациентов с отрицательным результатом теста на латентный туберкулез до начала терапии.</w:t>
      </w:r>
    </w:p>
    <w:p w14:paraId="37DD009A" w14:textId="77777777" w:rsidR="00730F80" w:rsidRDefault="00730F80" w:rsidP="003F310C">
      <w:pPr>
        <w:spacing w:after="0"/>
        <w:contextualSpacing/>
        <w:rPr>
          <w:i/>
          <w:iCs/>
        </w:rPr>
      </w:pPr>
    </w:p>
    <w:p w14:paraId="346CE578" w14:textId="77777777" w:rsidR="00730F80" w:rsidRPr="00143D1F" w:rsidRDefault="00730F80" w:rsidP="00143D1F">
      <w:pPr>
        <w:spacing w:after="0"/>
        <w:ind w:firstLine="0"/>
        <w:contextualSpacing/>
        <w:rPr>
          <w:b/>
          <w:iCs/>
        </w:rPr>
      </w:pPr>
      <w:r w:rsidRPr="00143D1F">
        <w:rPr>
          <w:b/>
          <w:iCs/>
        </w:rPr>
        <w:t>Реактивация вирусных инфекций</w:t>
      </w:r>
    </w:p>
    <w:p w14:paraId="479F1744" w14:textId="77777777" w:rsidR="00143D1F" w:rsidRDefault="00143D1F" w:rsidP="003F310C">
      <w:pPr>
        <w:spacing w:after="0"/>
        <w:contextualSpacing/>
      </w:pPr>
    </w:p>
    <w:p w14:paraId="50ABF80C" w14:textId="17ABD52D" w:rsidR="00730F80" w:rsidRDefault="00730F80" w:rsidP="003F310C">
      <w:pPr>
        <w:spacing w:after="0"/>
        <w:contextualSpacing/>
      </w:pPr>
      <w:r>
        <w:t xml:space="preserve">Реактивация вирусных инфекций описана при применении терапии БПВП. Случаи реактивации вируса герпеса (например, опоясывающего герпеса) также описаны в клинических исследованиях </w:t>
      </w:r>
      <w:r w:rsidR="00417483" w:rsidRPr="00417483">
        <w:t>тофацитиниба</w:t>
      </w:r>
      <w:r>
        <w:t xml:space="preserve">. В постмаркетинговых исследованиях сообщалось о случаях реактивации вируса гепатита В у пациентов, получавших терапию </w:t>
      </w:r>
      <w:r w:rsidR="00417483" w:rsidRPr="00417483">
        <w:t>тофацитиниб</w:t>
      </w:r>
      <w:r w:rsidR="00417483">
        <w:t>ом</w:t>
      </w:r>
      <w:r>
        <w:t xml:space="preserve">. Влияние </w:t>
      </w:r>
      <w:r w:rsidR="00417483" w:rsidRPr="00417483">
        <w:t xml:space="preserve">тофацитиниба </w:t>
      </w:r>
      <w:r>
        <w:t xml:space="preserve">на реактивацию хронического вирусного гепатита неизвестно. Пациентов с положительным результатом тестирования на гепатиты В и С исключили из клинических исследований. Перед началом терапии </w:t>
      </w:r>
      <w:r w:rsidR="00417483" w:rsidRPr="00417483">
        <w:t>тофацитиниб</w:t>
      </w:r>
      <w:r w:rsidR="00417483">
        <w:t>ом</w:t>
      </w:r>
      <w:r w:rsidR="00417483" w:rsidRPr="00417483">
        <w:t xml:space="preserve"> </w:t>
      </w:r>
      <w:r>
        <w:t>следует провести скрининг на предмет наличия вирусного гепатита.</w:t>
      </w:r>
    </w:p>
    <w:p w14:paraId="7057BAD3" w14:textId="003AE5B1" w:rsidR="00730F80" w:rsidRDefault="00730F80" w:rsidP="003F310C">
      <w:pPr>
        <w:spacing w:after="0"/>
        <w:contextualSpacing/>
      </w:pPr>
      <w:r>
        <w:lastRenderedPageBreak/>
        <w:t xml:space="preserve">В клинических исследованиях </w:t>
      </w:r>
      <w:r w:rsidR="00417483" w:rsidRPr="00417483">
        <w:t xml:space="preserve">тофацитиниба </w:t>
      </w:r>
      <w:r>
        <w:t>у представителей японской и корейской национальностей отмечаются более частые случаи развития опоясывающего герпеса, чем у представителей других национальностей.</w:t>
      </w:r>
    </w:p>
    <w:p w14:paraId="70A72204" w14:textId="77777777" w:rsidR="00730F80" w:rsidRPr="00E717E9" w:rsidRDefault="00730F80" w:rsidP="003F310C">
      <w:pPr>
        <w:spacing w:after="0"/>
        <w:contextualSpacing/>
        <w:rPr>
          <w:i/>
          <w:iCs/>
        </w:rPr>
      </w:pPr>
      <w:r>
        <w:t>Частота появления опоясывающего герпеса может увеличиться у пациентов с длительным анамнезом ревматоидного артрита, которые ранее получали два и более биологических БПВП; у пациентов с АЧН менее 1000 клеток/мм</w:t>
      </w:r>
      <w:r w:rsidRPr="00A570DB">
        <w:rPr>
          <w:vertAlign w:val="superscript"/>
        </w:rPr>
        <w:t>3</w:t>
      </w:r>
      <w:r>
        <w:t>.</w:t>
      </w:r>
    </w:p>
    <w:p w14:paraId="56D0ECE9" w14:textId="77777777" w:rsidR="00730F80" w:rsidRDefault="00730F80" w:rsidP="003F310C">
      <w:pPr>
        <w:spacing w:after="0"/>
        <w:rPr>
          <w:i/>
          <w:iCs/>
        </w:rPr>
      </w:pPr>
    </w:p>
    <w:p w14:paraId="281D916B" w14:textId="77777777" w:rsidR="00730F80" w:rsidRPr="00143D1F" w:rsidRDefault="00730F80" w:rsidP="00143D1F">
      <w:pPr>
        <w:spacing w:after="0"/>
        <w:ind w:firstLine="0"/>
        <w:contextualSpacing/>
        <w:rPr>
          <w:b/>
          <w:iCs/>
        </w:rPr>
      </w:pPr>
      <w:r w:rsidRPr="00143D1F">
        <w:rPr>
          <w:b/>
          <w:iCs/>
        </w:rPr>
        <w:t>Венозная тромбоэмболия</w:t>
      </w:r>
    </w:p>
    <w:p w14:paraId="1DE3BCCF" w14:textId="77777777" w:rsidR="00143D1F" w:rsidRDefault="00143D1F" w:rsidP="003F310C">
      <w:pPr>
        <w:spacing w:after="0"/>
        <w:contextualSpacing/>
      </w:pPr>
    </w:p>
    <w:p w14:paraId="1160897F" w14:textId="28FD12EA" w:rsidR="00730F80" w:rsidRDefault="00730F80" w:rsidP="003F310C">
      <w:pPr>
        <w:spacing w:after="0"/>
        <w:contextualSpacing/>
      </w:pPr>
      <w:r>
        <w:t xml:space="preserve">Венозная тромбоэмболия (ВТЭ) наблюдалась у пациентов, принимавших </w:t>
      </w:r>
      <w:r w:rsidR="00417483" w:rsidRPr="00417483">
        <w:t>тофацитиниб</w:t>
      </w:r>
      <w:r w:rsidR="00417483">
        <w:t xml:space="preserve"> </w:t>
      </w:r>
      <w:r>
        <w:t xml:space="preserve">в клинических исследованиях и пострегистрационных отчетах. В одном крупном текущем рандомизированном пострегистрационном исследовании безопасности </w:t>
      </w:r>
      <w:r w:rsidRPr="003927BA">
        <w:rPr>
          <w:lang w:bidi="en-US"/>
        </w:rPr>
        <w:t>(</w:t>
      </w:r>
      <w:r>
        <w:rPr>
          <w:lang w:val="en-US" w:bidi="en-US"/>
        </w:rPr>
        <w:t>PASS</w:t>
      </w:r>
      <w:r w:rsidRPr="003927BA">
        <w:rPr>
          <w:lang w:bidi="en-US"/>
        </w:rPr>
        <w:t xml:space="preserve">) </w:t>
      </w:r>
      <w:r>
        <w:t xml:space="preserve">у пациентов с РА в возрасте 50 лет или старше, с хотя бы одним сердечно-сосудистым фактором риска, пациенты получали лечение тофацитинибом в дозе 5 мг два раза в сутки, тофацитинибом в дозе 10 мг два раза в сутки или ингибитором </w:t>
      </w:r>
      <w:r>
        <w:rPr>
          <w:lang w:val="en-US"/>
        </w:rPr>
        <w:t>TNF</w:t>
      </w:r>
      <w:r w:rsidRPr="005C4D0B">
        <w:t>-</w:t>
      </w:r>
      <w:r>
        <w:rPr>
          <w:rFonts w:cs="Times New Roman"/>
        </w:rPr>
        <w:t>α</w:t>
      </w:r>
      <w:r>
        <w:t xml:space="preserve">. В данном исследовании наблюдалось дозозависимое повышение </w:t>
      </w:r>
      <w:r>
        <w:rPr>
          <w:rStyle w:val="24"/>
          <w:rFonts w:eastAsiaTheme="minorHAnsi"/>
        </w:rPr>
        <w:t xml:space="preserve">частоты </w:t>
      </w:r>
      <w:r>
        <w:t xml:space="preserve">развития легочной эмболии (ЛЭ) у пациентов, которые получали терапию тофацитинибом в сравнении с терапией ингибиторами </w:t>
      </w:r>
      <w:r>
        <w:rPr>
          <w:lang w:val="en-US"/>
        </w:rPr>
        <w:t>TNF</w:t>
      </w:r>
      <w:r w:rsidRPr="005C4D0B">
        <w:t>-</w:t>
      </w:r>
      <w:r>
        <w:rPr>
          <w:rFonts w:cs="Times New Roman"/>
        </w:rPr>
        <w:t>α</w:t>
      </w:r>
      <w:r>
        <w:t>. Многие случаи ЛЭ были серьезными и некоторые случаи имели летальный исход.</w:t>
      </w:r>
    </w:p>
    <w:p w14:paraId="3F877586" w14:textId="26332AF4" w:rsidR="00730F80" w:rsidRDefault="00730F80" w:rsidP="003F310C">
      <w:pPr>
        <w:spacing w:after="0"/>
        <w:contextualSpacing/>
      </w:pPr>
      <w:r>
        <w:t>Случаи ЛЭ в этом исследовании были зарегистрированы чаще у пациентов, принимающих тофацитиниб, по сравнению с другими исследованиями тофацитиниба.</w:t>
      </w:r>
    </w:p>
    <w:p w14:paraId="4AB46BD9" w14:textId="14038B11" w:rsidR="00730F80" w:rsidRDefault="00730F80" w:rsidP="003F310C">
      <w:pPr>
        <w:spacing w:after="0"/>
        <w:contextualSpacing/>
      </w:pPr>
      <w:r>
        <w:t>Случаи тромбоза глубоких вен (ТГВ) наблюдались во всех трех группах пациентов данного исследования.</w:t>
      </w:r>
    </w:p>
    <w:p w14:paraId="069A3954" w14:textId="23967027" w:rsidR="00730F80" w:rsidRDefault="00730F80" w:rsidP="003F310C">
      <w:pPr>
        <w:spacing w:after="0"/>
        <w:contextualSpacing/>
      </w:pPr>
      <w:r>
        <w:t xml:space="preserve">Необходимо проводить оценку пациентов относительно факторов риска венозных тромбоэмболических явлений до начала лечения и периодически во время лечения. Необходимо применять </w:t>
      </w:r>
      <w:r w:rsidR="00417483" w:rsidRPr="00417483">
        <w:t xml:space="preserve">тофацитиниб </w:t>
      </w:r>
      <w:r>
        <w:t>с осторожностью у пациентов, имеющих факторы риска. Необходимо безотлагательно проводить оценку пациентов с признаками и симптомами ВТЭ и отменить тофацитиниб у пациентов с подозреваемым ВТЭ, вне зависимости от применяемой дозы или показания.</w:t>
      </w:r>
    </w:p>
    <w:p w14:paraId="659608A8" w14:textId="77777777" w:rsidR="00730F80" w:rsidRDefault="00730F80" w:rsidP="003F310C">
      <w:pPr>
        <w:spacing w:after="0"/>
        <w:contextualSpacing/>
      </w:pPr>
      <w:r>
        <w:t>Злокачественные и лимфопролиферативные заболевания (за исключением рака кожи, не относящиеся к меланоме (РКНМ))</w:t>
      </w:r>
    </w:p>
    <w:p w14:paraId="47D6F743" w14:textId="49E42545" w:rsidR="00730F80" w:rsidRDefault="00730F80" w:rsidP="003F310C">
      <w:pPr>
        <w:spacing w:after="0"/>
        <w:contextualSpacing/>
      </w:pPr>
      <w:r>
        <w:t xml:space="preserve">Перед началом терапии пациентов с существующим злокачественным новообразованием или данными о злокачественном новообразовании в анамнезе, кроме излеченного немеланомного рака кожи (НМРК), или при рассмотрении возможности продолжения терапии </w:t>
      </w:r>
      <w:r w:rsidR="00417483" w:rsidRPr="00417483">
        <w:t>тофацитиниб</w:t>
      </w:r>
      <w:r w:rsidR="00417483">
        <w:t>ом</w:t>
      </w:r>
      <w:r w:rsidR="00417483" w:rsidRPr="00417483">
        <w:t xml:space="preserve"> </w:t>
      </w:r>
      <w:r>
        <w:t xml:space="preserve">у пациентов со злокачественным новообразованием следует учитывать риски и преимущества лечения </w:t>
      </w:r>
      <w:r w:rsidR="00417483" w:rsidRPr="00417483">
        <w:t>тофацитини</w:t>
      </w:r>
      <w:r w:rsidR="00417483">
        <w:t>бом</w:t>
      </w:r>
      <w:r>
        <w:t xml:space="preserve">. Существует возможность, что </w:t>
      </w:r>
      <w:r w:rsidR="00417483" w:rsidRPr="00417483">
        <w:t>тофацитиниб</w:t>
      </w:r>
      <w:r>
        <w:t xml:space="preserve"> влияет на защиту организма от злокачественных новообразований. </w:t>
      </w:r>
    </w:p>
    <w:p w14:paraId="217E10BB" w14:textId="77777777" w:rsidR="00143D1F" w:rsidRDefault="00143D1F" w:rsidP="00143D1F">
      <w:pPr>
        <w:pStyle w:val="SDText"/>
        <w:spacing w:after="0"/>
        <w:ind w:firstLine="0"/>
        <w:contextualSpacing/>
        <w:rPr>
          <w:i/>
          <w:iCs/>
        </w:rPr>
      </w:pPr>
    </w:p>
    <w:p w14:paraId="1CD8A434" w14:textId="26A4F5FF" w:rsidR="00730F80" w:rsidRPr="00143D1F" w:rsidRDefault="00730F80" w:rsidP="00143D1F">
      <w:pPr>
        <w:pStyle w:val="SDText"/>
        <w:spacing w:after="0"/>
        <w:ind w:firstLine="0"/>
        <w:contextualSpacing/>
        <w:rPr>
          <w:b/>
          <w:i/>
          <w:szCs w:val="24"/>
        </w:rPr>
      </w:pPr>
      <w:r w:rsidRPr="00143D1F">
        <w:rPr>
          <w:rStyle w:val="23"/>
          <w:rFonts w:eastAsiaTheme="minorHAnsi"/>
          <w:b/>
          <w:i w:val="0"/>
          <w:sz w:val="24"/>
          <w:szCs w:val="24"/>
        </w:rPr>
        <w:t>Анкилозирующий спондилоартрит</w:t>
      </w:r>
    </w:p>
    <w:p w14:paraId="097D8C46" w14:textId="77777777" w:rsidR="00143D1F" w:rsidRDefault="00143D1F" w:rsidP="003F310C">
      <w:pPr>
        <w:pStyle w:val="SDText"/>
        <w:spacing w:after="0"/>
        <w:contextualSpacing/>
      </w:pPr>
    </w:p>
    <w:p w14:paraId="3E2010B8" w14:textId="43828058" w:rsidR="00730F80" w:rsidRDefault="00730F80" w:rsidP="003F310C">
      <w:pPr>
        <w:pStyle w:val="SDText"/>
        <w:spacing w:after="0"/>
        <w:contextualSpacing/>
      </w:pPr>
      <w:r>
        <w:t xml:space="preserve">В комбинированной популяции безопасности, состоящей из 1 плацебо-контролируемого клинического исследования фазы 2 и 1 плацебо-контролируемого клинического исследования фазы 3 среди пациентов с активным анкилозирующим спондилоартритом у 420 пациентов, получавших </w:t>
      </w:r>
      <w:r w:rsidR="00417483" w:rsidRPr="00417483">
        <w:t xml:space="preserve">тофацитиниб </w:t>
      </w:r>
      <w:r>
        <w:t>до 48 недель (233 пациенто-лет наблюдения), не были выявлены злокачественные новообразования, за исключением рака кожи, не относящегося к меланоме (РКНМ).</w:t>
      </w:r>
    </w:p>
    <w:p w14:paraId="6F2E34AA" w14:textId="69C40168" w:rsidR="00730F80" w:rsidRDefault="00730F80" w:rsidP="003F310C">
      <w:pPr>
        <w:pStyle w:val="SDText"/>
        <w:spacing w:after="0"/>
        <w:contextualSpacing/>
      </w:pPr>
      <w:r>
        <w:lastRenderedPageBreak/>
        <w:t xml:space="preserve">У пациентов, получавших лечение </w:t>
      </w:r>
      <w:r w:rsidR="00417483" w:rsidRPr="00417483">
        <w:t>тофацитиниб</w:t>
      </w:r>
      <w:r w:rsidR="00417483">
        <w:t>ом</w:t>
      </w:r>
      <w:r>
        <w:t xml:space="preserve">, были зарегистрированы случаи лимфомы. Несмотря на то, что у пациентов с ревматоидным артритом, особенно с высокоактивной формой заболевания, и у пациентов с псориазом может наблюдаться более высокий риск (в несколько раз выше) развития лимфомы по сравнению с общей популяцией, роль </w:t>
      </w:r>
      <w:r w:rsidR="00417483" w:rsidRPr="00417483">
        <w:t>тофацитиниба</w:t>
      </w:r>
      <w:r>
        <w:t>, если таковая имеется, в развитии лимфомы не установлена.</w:t>
      </w:r>
    </w:p>
    <w:p w14:paraId="5AA74515" w14:textId="4BBBB19F" w:rsidR="00730F80" w:rsidRDefault="00730F80" w:rsidP="003F310C">
      <w:pPr>
        <w:pStyle w:val="SDText"/>
        <w:spacing w:after="0"/>
        <w:contextualSpacing/>
      </w:pPr>
      <w:r>
        <w:t xml:space="preserve">В клинических исследованиях и пострегистрационном периоде были зарегистрированы случаи развития других злокачественных новообразований, включая (но не ограничиваясь) рак легких, рак груди, меланома, рак предстательной железы и рак поджелудочной железы. Влияние терапии </w:t>
      </w:r>
      <w:r w:rsidR="00417483" w:rsidRPr="00417483">
        <w:t>тофацитиниб</w:t>
      </w:r>
      <w:r w:rsidR="00417483">
        <w:t>ом</w:t>
      </w:r>
      <w:r w:rsidR="00417483" w:rsidRPr="00417483">
        <w:t xml:space="preserve"> </w:t>
      </w:r>
      <w:r>
        <w:t>на развитие и течение злокачественных новообразований неизвестно.</w:t>
      </w:r>
    </w:p>
    <w:p w14:paraId="17184196" w14:textId="77777777" w:rsidR="00143D1F" w:rsidRDefault="00143D1F" w:rsidP="00143D1F">
      <w:pPr>
        <w:spacing w:after="0"/>
        <w:ind w:firstLine="0"/>
        <w:contextualSpacing/>
        <w:rPr>
          <w:b/>
          <w:iCs/>
        </w:rPr>
      </w:pPr>
    </w:p>
    <w:p w14:paraId="5E12230C" w14:textId="58D24E72" w:rsidR="00730F80" w:rsidRPr="00143D1F" w:rsidRDefault="00730F80" w:rsidP="00143D1F">
      <w:pPr>
        <w:spacing w:after="0"/>
        <w:ind w:firstLine="0"/>
        <w:contextualSpacing/>
        <w:rPr>
          <w:b/>
          <w:iCs/>
        </w:rPr>
      </w:pPr>
      <w:r w:rsidRPr="00143D1F">
        <w:rPr>
          <w:b/>
          <w:iCs/>
        </w:rPr>
        <w:t>Рак кожи, не относящийся к меланоме (РКНМ)</w:t>
      </w:r>
    </w:p>
    <w:p w14:paraId="0421465F" w14:textId="77777777" w:rsidR="00143D1F" w:rsidRDefault="00143D1F" w:rsidP="003F310C">
      <w:pPr>
        <w:spacing w:after="0"/>
        <w:contextualSpacing/>
      </w:pPr>
    </w:p>
    <w:p w14:paraId="78D77D31" w14:textId="42063B64" w:rsidR="00730F80" w:rsidRDefault="00730F80" w:rsidP="003F310C">
      <w:pPr>
        <w:spacing w:after="0"/>
        <w:contextualSpacing/>
      </w:pPr>
      <w:r>
        <w:t>Сообщалось о случаях развития РКНМ у пациентов, получающих терапию тофацитинибом. Рекомендуется проводить периодическое обследование кожи у пациентов с повышенным риском развития рака кожи.</w:t>
      </w:r>
    </w:p>
    <w:p w14:paraId="7DEAA7F9" w14:textId="28D3EB5E" w:rsidR="00730F80" w:rsidRPr="00E717E9" w:rsidRDefault="00730F80" w:rsidP="003F310C">
      <w:pPr>
        <w:spacing w:after="0"/>
        <w:contextualSpacing/>
        <w:rPr>
          <w:i/>
          <w:iCs/>
        </w:rPr>
      </w:pPr>
      <w:r>
        <w:t>Тофацитиниб в дозировке 10 мг два раза в день противопоказан пациентам с высоким риском легочной эмболии</w:t>
      </w:r>
      <w:r w:rsidR="00531B72">
        <w:t>.</w:t>
      </w:r>
      <w:r>
        <w:t xml:space="preserve"> Дополнительными факторами риска, которые следует учитывать при определении риска развития ЛЭ у пациента, являются пожилой возраст, ожирение, курение и иммобилизация.</w:t>
      </w:r>
    </w:p>
    <w:p w14:paraId="2E3B004E" w14:textId="77777777" w:rsidR="00730F80" w:rsidRDefault="00730F80" w:rsidP="003F310C">
      <w:pPr>
        <w:spacing w:after="0"/>
        <w:contextualSpacing/>
        <w:rPr>
          <w:i/>
          <w:iCs/>
        </w:rPr>
      </w:pPr>
    </w:p>
    <w:p w14:paraId="28878C20" w14:textId="77777777" w:rsidR="00730F80" w:rsidRPr="00143D1F" w:rsidRDefault="00730F80" w:rsidP="00143D1F">
      <w:pPr>
        <w:spacing w:after="0"/>
        <w:ind w:firstLine="0"/>
        <w:contextualSpacing/>
        <w:rPr>
          <w:b/>
          <w:iCs/>
        </w:rPr>
      </w:pPr>
      <w:r w:rsidRPr="00143D1F">
        <w:rPr>
          <w:b/>
          <w:iCs/>
        </w:rPr>
        <w:t>Случаи перфорации органов ЖКТ</w:t>
      </w:r>
    </w:p>
    <w:p w14:paraId="094D5B7A" w14:textId="77777777" w:rsidR="00143D1F" w:rsidRDefault="00143D1F" w:rsidP="003F310C">
      <w:pPr>
        <w:spacing w:after="0"/>
        <w:contextualSpacing/>
      </w:pPr>
    </w:p>
    <w:p w14:paraId="73176EA7" w14:textId="7D082AE9" w:rsidR="00730F80" w:rsidRDefault="00730F80" w:rsidP="003F310C">
      <w:pPr>
        <w:spacing w:after="0"/>
        <w:contextualSpacing/>
      </w:pPr>
      <w:r>
        <w:t xml:space="preserve">В клинических исследованиях описаны случаи перфорации органов ЖКТ, хотя роль ингибирования янус-киназы при этих явлениях неизвестна. Такие случаи в основном были описаны как перфорация дивертикула, перитонит, абсцесс в брюшной полости и аппендицит. Все пациенты с ревматоидным артритом, у которых развилась перфорация органов ЖКТ, получали сопутствующую терапию нестероидными противовоспалительными препаратами (НПВП) и/или глюкокортикоидами. Относительный вклад сопутствующей терапии и применения </w:t>
      </w:r>
      <w:r w:rsidR="00417483" w:rsidRPr="00417483">
        <w:t xml:space="preserve">тофацитиниба </w:t>
      </w:r>
      <w:r>
        <w:t>при развитии перфорации органов ЖКТ неизвестен. Частота развития таких осложнений у пациентов с псориазом, согласно данным клинических исследований, составляет 0,09 случаев/100 пациенто-лет.</w:t>
      </w:r>
    </w:p>
    <w:p w14:paraId="64FD045C" w14:textId="59E28CD3" w:rsidR="00730F80" w:rsidRPr="00E717E9" w:rsidRDefault="00417483" w:rsidP="003F310C">
      <w:pPr>
        <w:spacing w:after="0"/>
        <w:contextualSpacing/>
        <w:rPr>
          <w:i/>
          <w:iCs/>
        </w:rPr>
      </w:pPr>
      <w:r>
        <w:t>Т</w:t>
      </w:r>
      <w:r w:rsidRPr="00417483">
        <w:t>офацитиниб</w:t>
      </w:r>
      <w:r w:rsidR="00730F80">
        <w:t xml:space="preserve"> следует с осторожностью применять у пациентов с повышенным риском перфорации органов ЖКТ (например, у пациентов с дивертикулитом в анамнезе). Пациенты с новыми симптомами со стороны органов ЖКТ подлежат немедленному обследованию для раннего выявления перфорации органов ЖКТ. В клинических исследованиях анкилозирующего спондилоартрита не было выявлено случаев перфорации органов ЖКТ среди 420 пациентов, получавших </w:t>
      </w:r>
      <w:r w:rsidRPr="00417483">
        <w:t xml:space="preserve">тофацитиниб </w:t>
      </w:r>
      <w:r w:rsidR="00730F80">
        <w:t>в течение до 48 недель (233 пациенто-лет наблюдения).</w:t>
      </w:r>
    </w:p>
    <w:p w14:paraId="599D3BD3" w14:textId="77777777" w:rsidR="00730F80" w:rsidRDefault="00730F80" w:rsidP="003F310C">
      <w:pPr>
        <w:spacing w:after="0"/>
        <w:contextualSpacing/>
        <w:rPr>
          <w:i/>
          <w:iCs/>
        </w:rPr>
      </w:pPr>
    </w:p>
    <w:p w14:paraId="000CF7E8" w14:textId="77777777" w:rsidR="00730F80" w:rsidRPr="00143D1F" w:rsidRDefault="00730F80" w:rsidP="00143D1F">
      <w:pPr>
        <w:spacing w:after="0"/>
        <w:ind w:firstLine="0"/>
        <w:contextualSpacing/>
        <w:rPr>
          <w:b/>
          <w:iCs/>
        </w:rPr>
      </w:pPr>
      <w:r w:rsidRPr="00143D1F">
        <w:rPr>
          <w:b/>
          <w:iCs/>
        </w:rPr>
        <w:t>Риск сердечно-сосудистых заболеваний</w:t>
      </w:r>
    </w:p>
    <w:p w14:paraId="679C2B58" w14:textId="77777777" w:rsidR="00143D1F" w:rsidRDefault="00143D1F" w:rsidP="003F310C">
      <w:pPr>
        <w:spacing w:after="0"/>
        <w:contextualSpacing/>
      </w:pPr>
    </w:p>
    <w:p w14:paraId="0C8F2220" w14:textId="5E4A689D" w:rsidR="00730F80" w:rsidRPr="00E717E9" w:rsidRDefault="00730F80" w:rsidP="003F310C">
      <w:pPr>
        <w:spacing w:after="0"/>
        <w:contextualSpacing/>
        <w:rPr>
          <w:i/>
          <w:iCs/>
        </w:rPr>
      </w:pPr>
      <w:r>
        <w:t>Пациенты с ревматоидным артритом подвержены повышенному риску возникновения нарушений со стороны сердечно-сосудистой системы, и у таких пациентов следует контролировать факторы риска (например, артериальную гипертензию и гиперлипидемию) в рамках обычного стандартного лечения.</w:t>
      </w:r>
    </w:p>
    <w:p w14:paraId="726ADB1F" w14:textId="77777777" w:rsidR="00730F80" w:rsidRPr="00143D1F" w:rsidRDefault="00730F80" w:rsidP="00143D1F">
      <w:pPr>
        <w:spacing w:after="0"/>
        <w:ind w:firstLine="0"/>
        <w:contextualSpacing/>
        <w:rPr>
          <w:b/>
          <w:iCs/>
        </w:rPr>
      </w:pPr>
      <w:r w:rsidRPr="00143D1F">
        <w:rPr>
          <w:b/>
          <w:iCs/>
        </w:rPr>
        <w:lastRenderedPageBreak/>
        <w:t>Ферменты печени</w:t>
      </w:r>
    </w:p>
    <w:p w14:paraId="51410CE0" w14:textId="77777777" w:rsidR="00143D1F" w:rsidRDefault="00143D1F" w:rsidP="003F310C">
      <w:pPr>
        <w:spacing w:after="0"/>
        <w:contextualSpacing/>
      </w:pPr>
    </w:p>
    <w:p w14:paraId="08651CCA" w14:textId="3BF152AE" w:rsidR="00730F80" w:rsidRPr="00E717E9" w:rsidRDefault="00730F80" w:rsidP="003F310C">
      <w:pPr>
        <w:spacing w:after="0"/>
        <w:contextualSpacing/>
        <w:rPr>
          <w:i/>
          <w:iCs/>
        </w:rPr>
      </w:pPr>
      <w:r>
        <w:t xml:space="preserve">При лечении </w:t>
      </w:r>
      <w:r w:rsidR="00417483" w:rsidRPr="00417483">
        <w:t>тофацитиниб</w:t>
      </w:r>
      <w:r w:rsidR="00417483">
        <w:t>ом</w:t>
      </w:r>
      <w:r w:rsidR="00417483" w:rsidRPr="00417483">
        <w:t xml:space="preserve"> </w:t>
      </w:r>
      <w:r>
        <w:t xml:space="preserve">у некоторых пациентов наблюдалось увеличение частоты повышения уровней печеночных ферментов. Следует с вниманием подходить к вопросу о начале лечения </w:t>
      </w:r>
      <w:r w:rsidR="00417483" w:rsidRPr="00417483">
        <w:t>тофацитиниб</w:t>
      </w:r>
      <w:r w:rsidR="00417483">
        <w:t>ом</w:t>
      </w:r>
      <w:r w:rsidR="00417483" w:rsidRPr="00417483">
        <w:t xml:space="preserve"> </w:t>
      </w:r>
      <w:r>
        <w:t xml:space="preserve">у пациентов с повышенными уровнями аланинаминотрансферазы (АЛТ) или аспартатаминотрансферазы </w:t>
      </w:r>
      <w:r w:rsidRPr="003927BA">
        <w:rPr>
          <w:lang w:bidi="en-US"/>
        </w:rPr>
        <w:t>(</w:t>
      </w:r>
      <w:r>
        <w:rPr>
          <w:lang w:val="en-US" w:bidi="en-US"/>
        </w:rPr>
        <w:t>ACT</w:t>
      </w:r>
      <w:r w:rsidRPr="003927BA">
        <w:rPr>
          <w:lang w:bidi="en-US"/>
        </w:rPr>
        <w:t xml:space="preserve">), </w:t>
      </w:r>
      <w:r>
        <w:t xml:space="preserve">особенно при начале применения препарата в комбинации с потенциально гепатотоксичными лекарственными препаратами, такими как метотрексат. После начала лечения для выявления потенциальных случаев лекарственного поражения печени рекомендуется осуществлять на постоянной основе контроль биохимических показателей функции печени и быстро устанавливать возможные причины повышения уровней печеночных ферментов. Если подозревается лекарственное поражение печени, лечение </w:t>
      </w:r>
      <w:r w:rsidR="00417483" w:rsidRPr="00417483">
        <w:t>тофацитиниб</w:t>
      </w:r>
      <w:r w:rsidR="00417483">
        <w:t>ом</w:t>
      </w:r>
      <w:r>
        <w:t xml:space="preserve"> следует приостановить до исключения этого диагноза.</w:t>
      </w:r>
    </w:p>
    <w:p w14:paraId="2A0E33D9" w14:textId="77777777" w:rsidR="00730F80" w:rsidRDefault="00730F80" w:rsidP="003F310C">
      <w:pPr>
        <w:spacing w:after="0"/>
        <w:contextualSpacing/>
        <w:rPr>
          <w:i/>
          <w:iCs/>
        </w:rPr>
      </w:pPr>
    </w:p>
    <w:p w14:paraId="7DE7C3BA" w14:textId="77777777" w:rsidR="00730F80" w:rsidRPr="00143D1F" w:rsidRDefault="00730F80" w:rsidP="00143D1F">
      <w:pPr>
        <w:spacing w:after="0"/>
        <w:ind w:firstLine="0"/>
        <w:contextualSpacing/>
        <w:rPr>
          <w:b/>
          <w:iCs/>
        </w:rPr>
      </w:pPr>
      <w:r w:rsidRPr="00143D1F">
        <w:rPr>
          <w:b/>
          <w:iCs/>
        </w:rPr>
        <w:t>Гиперчувствительность</w:t>
      </w:r>
    </w:p>
    <w:p w14:paraId="3472284A" w14:textId="77777777" w:rsidR="00143D1F" w:rsidRDefault="00143D1F" w:rsidP="003F310C">
      <w:pPr>
        <w:spacing w:after="0"/>
        <w:contextualSpacing/>
      </w:pPr>
    </w:p>
    <w:p w14:paraId="3F4CA3BE" w14:textId="63C3987D" w:rsidR="00730F80" w:rsidRPr="00E717E9" w:rsidRDefault="00730F80" w:rsidP="003F310C">
      <w:pPr>
        <w:spacing w:after="0"/>
        <w:contextualSpacing/>
        <w:rPr>
          <w:i/>
          <w:iCs/>
        </w:rPr>
      </w:pPr>
      <w:r>
        <w:t xml:space="preserve">У пациентов, принимающих </w:t>
      </w:r>
      <w:r w:rsidR="00417483" w:rsidRPr="00417483">
        <w:t>тофацитиниб</w:t>
      </w:r>
      <w:r>
        <w:t>, наблюдались такие реакции гиперчувствительности как ангионевротический отек и крапивница. Некоторые случаи оценивались как серьезные. Большинство реакций возникало у пациентов с множественной аллергией в анамнезе. В случае возникновения серьезной реакции гиперчувствительности необходимо немедленно прекратить применение тофацитиниба до выявления потенциальной причины или причин.</w:t>
      </w:r>
    </w:p>
    <w:p w14:paraId="7A327C86" w14:textId="77777777" w:rsidR="00730F80" w:rsidRDefault="00730F80" w:rsidP="003F310C">
      <w:pPr>
        <w:spacing w:after="0"/>
        <w:contextualSpacing/>
        <w:rPr>
          <w:i/>
          <w:iCs/>
        </w:rPr>
      </w:pPr>
    </w:p>
    <w:p w14:paraId="7DE00BF9" w14:textId="77777777" w:rsidR="00730F80" w:rsidRPr="00143D1F" w:rsidRDefault="00730F80" w:rsidP="00143D1F">
      <w:pPr>
        <w:spacing w:after="0"/>
        <w:ind w:firstLine="0"/>
        <w:contextualSpacing/>
        <w:rPr>
          <w:b/>
          <w:iCs/>
        </w:rPr>
      </w:pPr>
      <w:r w:rsidRPr="00143D1F">
        <w:rPr>
          <w:b/>
          <w:iCs/>
        </w:rPr>
        <w:t>Лабораторные показатели</w:t>
      </w:r>
    </w:p>
    <w:p w14:paraId="077D3061" w14:textId="77777777" w:rsidR="00143D1F" w:rsidRDefault="00143D1F" w:rsidP="003F310C">
      <w:pPr>
        <w:spacing w:after="0"/>
        <w:contextualSpacing/>
      </w:pPr>
    </w:p>
    <w:p w14:paraId="173853DC" w14:textId="5C7E5581" w:rsidR="00730F80" w:rsidRDefault="00730F80" w:rsidP="003F310C">
      <w:pPr>
        <w:spacing w:after="0"/>
        <w:contextualSpacing/>
      </w:pPr>
      <w:r>
        <w:t>Лимфоциты: случаи снижения числа лимфоцитов до уровня менее 500 клеток/мм</w:t>
      </w:r>
      <w:r w:rsidR="000F29D4" w:rsidRPr="000F29D4">
        <w:rPr>
          <w:vertAlign w:val="superscript"/>
        </w:rPr>
        <w:t>3</w:t>
      </w:r>
      <w:r>
        <w:t xml:space="preserve"> были связаны с увеличением частоты серьезных инфекций, которые потребовали терапии. Не рекомендуется начинать терапию </w:t>
      </w:r>
      <w:r w:rsidR="00417483" w:rsidRPr="00417483">
        <w:t>тофацитиниб</w:t>
      </w:r>
      <w:r w:rsidR="00417483">
        <w:t>ом</w:t>
      </w:r>
      <w:r w:rsidR="00417483" w:rsidRPr="00417483">
        <w:t xml:space="preserve"> </w:t>
      </w:r>
      <w:r>
        <w:t>у пациентов с низким числом лимфоцитов (т. е. менее 500 клеток/мм</w:t>
      </w:r>
      <w:r>
        <w:rPr>
          <w:vertAlign w:val="superscript"/>
        </w:rPr>
        <w:t>3</w:t>
      </w:r>
      <w:r>
        <w:t>). Если у пациента подтверждено снижение абсолютного числа лимфоцитов до уровня менее 500 клеток/мм</w:t>
      </w:r>
      <w:r>
        <w:rPr>
          <w:vertAlign w:val="superscript"/>
        </w:rPr>
        <w:t>3</w:t>
      </w:r>
      <w:r>
        <w:t xml:space="preserve">, лечение </w:t>
      </w:r>
      <w:r w:rsidR="00417483" w:rsidRPr="00417483">
        <w:t>тофацитиниб</w:t>
      </w:r>
      <w:r w:rsidR="00417483">
        <w:t>ом</w:t>
      </w:r>
      <w:r>
        <w:t xml:space="preserve"> не рекомендуется. Уровень лимфоцитов необходимо контролировать на исходном уровне и затем каждые 3 месяца.</w:t>
      </w:r>
    </w:p>
    <w:p w14:paraId="66F5D0E6" w14:textId="66D31FC8" w:rsidR="00730F80" w:rsidRDefault="00730F80" w:rsidP="003F310C">
      <w:pPr>
        <w:spacing w:after="0"/>
        <w:contextualSpacing/>
      </w:pPr>
      <w:r>
        <w:t xml:space="preserve">Нейтрофилы: лечение </w:t>
      </w:r>
      <w:r w:rsidR="00A12F62" w:rsidRPr="00A12F62">
        <w:t>тофацитиниб</w:t>
      </w:r>
      <w:r w:rsidR="00A12F62">
        <w:t>ом</w:t>
      </w:r>
      <w:r w:rsidR="00A12F62" w:rsidRPr="00A12F62">
        <w:t xml:space="preserve"> </w:t>
      </w:r>
      <w:r>
        <w:t>сопровождалось увеличением частоты развития нейтропении (&lt; 2000 клеток/мм</w:t>
      </w:r>
      <w:r>
        <w:rPr>
          <w:vertAlign w:val="superscript"/>
        </w:rPr>
        <w:t>3</w:t>
      </w:r>
      <w:r>
        <w:t xml:space="preserve">) по сравнению с плацебо. Начинать лечение </w:t>
      </w:r>
      <w:r w:rsidR="00A12F62" w:rsidRPr="00A12F62">
        <w:t>тофацитиниб</w:t>
      </w:r>
      <w:r w:rsidR="00A12F62">
        <w:t>ом</w:t>
      </w:r>
      <w:r w:rsidR="00A12F62" w:rsidRPr="00A12F62">
        <w:t xml:space="preserve"> </w:t>
      </w:r>
      <w:r>
        <w:t>пациентов с низкой концентрацией нейтрофилов (АЧН менее 1000 клеток/мм</w:t>
      </w:r>
      <w:r>
        <w:rPr>
          <w:vertAlign w:val="superscript"/>
        </w:rPr>
        <w:t>3</w:t>
      </w:r>
      <w:r>
        <w:t xml:space="preserve">) не рекомендуется. У пациентов, получающих </w:t>
      </w:r>
      <w:r w:rsidR="00A12F62" w:rsidRPr="00A12F62">
        <w:t>тофацитиниб</w:t>
      </w:r>
      <w:r w:rsidR="00A12F62">
        <w:t xml:space="preserve"> </w:t>
      </w:r>
      <w:r>
        <w:t>в дозировке 10 мг два раза в день, со стойким снижением АЧН до 500</w:t>
      </w:r>
      <w:r w:rsidR="00A12F62">
        <w:t>–</w:t>
      </w:r>
      <w:r>
        <w:t>1000 клеток/мм</w:t>
      </w:r>
      <w:r>
        <w:rPr>
          <w:vertAlign w:val="superscript"/>
        </w:rPr>
        <w:t>3</w:t>
      </w:r>
      <w:r>
        <w:t xml:space="preserve"> следует снизить дозу </w:t>
      </w:r>
      <w:r w:rsidR="00A12F62" w:rsidRPr="00A12F62">
        <w:t xml:space="preserve">тофацитиниба </w:t>
      </w:r>
      <w:r>
        <w:t>до 5 мг два раза в день до достижения концентрации АЧН более 1000 клеток/мм</w:t>
      </w:r>
      <w:r>
        <w:rPr>
          <w:vertAlign w:val="superscript"/>
        </w:rPr>
        <w:t>3</w:t>
      </w:r>
      <w:r>
        <w:t xml:space="preserve">. У пациентов, получающих </w:t>
      </w:r>
      <w:r w:rsidR="00A12F62" w:rsidRPr="00A12F62">
        <w:t xml:space="preserve">тофацитиниб </w:t>
      </w:r>
      <w:r>
        <w:t>в дозировке 5 мг два раза в день, со стойким снижением АЧН до 500</w:t>
      </w:r>
      <w:r w:rsidR="00531B72">
        <w:t>–</w:t>
      </w:r>
      <w:r>
        <w:t>1000 клеток/мм</w:t>
      </w:r>
      <w:r>
        <w:rPr>
          <w:vertAlign w:val="superscript"/>
        </w:rPr>
        <w:t>3</w:t>
      </w:r>
      <w:r>
        <w:t xml:space="preserve"> следует прекратить лечение до достижения концентрации АЧН более 1000 клеток/мм</w:t>
      </w:r>
      <w:r>
        <w:rPr>
          <w:vertAlign w:val="superscript"/>
        </w:rPr>
        <w:t>3</w:t>
      </w:r>
      <w:r>
        <w:t>. У пациентов с подтвержденным абсолютным числом нейтрофилов менее 500 клеток/мм</w:t>
      </w:r>
      <w:r>
        <w:rPr>
          <w:vertAlign w:val="superscript"/>
        </w:rPr>
        <w:t>3</w:t>
      </w:r>
      <w:r>
        <w:t xml:space="preserve"> лечение не рекомендуется. Уровень нейтрофилов следует контролировать на исходном уровне и после 4</w:t>
      </w:r>
      <w:r w:rsidR="00531B72">
        <w:t>–</w:t>
      </w:r>
      <w:r>
        <w:t xml:space="preserve">8 недель терапии, а затем каждые 3 месяца. Гемоглобин: не рекомендуется начинать терапию </w:t>
      </w:r>
      <w:r w:rsidR="00A12F62" w:rsidRPr="00A12F62">
        <w:t>тофацитиниб</w:t>
      </w:r>
      <w:r w:rsidR="00A12F62">
        <w:t>ом</w:t>
      </w:r>
      <w:r w:rsidR="00A12F62" w:rsidRPr="00A12F62">
        <w:t xml:space="preserve"> </w:t>
      </w:r>
      <w:r>
        <w:t xml:space="preserve">у пациентов с низким уровнем гемоглобина (менее 9 г/дл). Лечение </w:t>
      </w:r>
      <w:r w:rsidR="00A12F62" w:rsidRPr="00A12F62">
        <w:t>тофацитиниб</w:t>
      </w:r>
      <w:r w:rsidR="00A12F62">
        <w:t>ом</w:t>
      </w:r>
      <w:r w:rsidR="00A12F62" w:rsidRPr="00A12F62">
        <w:t xml:space="preserve"> </w:t>
      </w:r>
      <w:r>
        <w:t xml:space="preserve">следует прекратить у пациентов с уровнем гемоглобина менее 8 г/дл, либо при снижении уровня гемоглобина на 2 г/дл и более на фоне лечения. Гемоглобин следует </w:t>
      </w:r>
      <w:r>
        <w:lastRenderedPageBreak/>
        <w:t>контролировать на начальном этапе терапии, после 4</w:t>
      </w:r>
      <w:r w:rsidR="00531B72">
        <w:t>–</w:t>
      </w:r>
      <w:r>
        <w:t>8 недель терапии, а затем каждые 3 месяца.</w:t>
      </w:r>
    </w:p>
    <w:p w14:paraId="03C5C727" w14:textId="2DF3276D" w:rsidR="00730F80" w:rsidRDefault="00730F80" w:rsidP="00C822D7">
      <w:pPr>
        <w:spacing w:after="0"/>
        <w:contextualSpacing/>
        <w:rPr>
          <w:i/>
          <w:iCs/>
        </w:rPr>
      </w:pPr>
      <w:r>
        <w:t xml:space="preserve">Липиды: лечение </w:t>
      </w:r>
      <w:r w:rsidR="00A12F62" w:rsidRPr="00A12F62">
        <w:t>тофацитиниб</w:t>
      </w:r>
      <w:r w:rsidR="00A12F62">
        <w:t xml:space="preserve">ом </w:t>
      </w:r>
      <w:r>
        <w:t>сопровождается повышением уровня липидов крови</w:t>
      </w:r>
      <w:r w:rsidR="00A12F62">
        <w:t xml:space="preserve"> – </w:t>
      </w:r>
      <w:r>
        <w:t>общего холестерина, холестерина ЛПНП, а также холестерина липопротеидов высокой плотности (ЛПВП). Максимальный эффект обычно отмечался в течение 6 недель. Оценку липидных параметров следует выполнять по прошествии около 4</w:t>
      </w:r>
      <w:r w:rsidR="00A12F62">
        <w:t>–</w:t>
      </w:r>
      <w:r>
        <w:t xml:space="preserve">8 недель после начала терапии. Применение статинов у пациентов с повышенной концентрацией общего холестерина и холестерина ЛПНП на фоне терапии </w:t>
      </w:r>
      <w:r w:rsidR="00A12F62" w:rsidRPr="00A12F62">
        <w:t>тофацитиниб</w:t>
      </w:r>
      <w:r w:rsidR="00A12F62">
        <w:t>ом</w:t>
      </w:r>
      <w:r w:rsidR="00A12F62" w:rsidRPr="00A12F62">
        <w:t xml:space="preserve"> </w:t>
      </w:r>
      <w:r>
        <w:t>позволяет достичь исходных показателей.</w:t>
      </w:r>
    </w:p>
    <w:p w14:paraId="1C0AC8C6" w14:textId="77777777" w:rsidR="00791E09" w:rsidRDefault="00791E09" w:rsidP="00143D1F">
      <w:pPr>
        <w:spacing w:after="0"/>
        <w:ind w:firstLine="0"/>
        <w:contextualSpacing/>
        <w:rPr>
          <w:b/>
          <w:iCs/>
        </w:rPr>
      </w:pPr>
    </w:p>
    <w:p w14:paraId="5575C39C" w14:textId="4D5048EF" w:rsidR="00730F80" w:rsidRPr="00143D1F" w:rsidRDefault="00730F80" w:rsidP="00143D1F">
      <w:pPr>
        <w:spacing w:after="0"/>
        <w:ind w:firstLine="0"/>
        <w:contextualSpacing/>
        <w:rPr>
          <w:b/>
          <w:iCs/>
        </w:rPr>
      </w:pPr>
      <w:r w:rsidRPr="00143D1F">
        <w:rPr>
          <w:b/>
          <w:iCs/>
        </w:rPr>
        <w:t>Вакцинации</w:t>
      </w:r>
    </w:p>
    <w:p w14:paraId="55A3BF30" w14:textId="77777777" w:rsidR="00143D1F" w:rsidRDefault="00143D1F" w:rsidP="003F310C">
      <w:pPr>
        <w:spacing w:after="0"/>
        <w:contextualSpacing/>
      </w:pPr>
    </w:p>
    <w:p w14:paraId="21DE2A77" w14:textId="529FE628" w:rsidR="00730F80" w:rsidRPr="00E717E9" w:rsidRDefault="00730F80" w:rsidP="003F310C">
      <w:pPr>
        <w:spacing w:after="0"/>
        <w:contextualSpacing/>
        <w:rPr>
          <w:i/>
          <w:iCs/>
        </w:rPr>
      </w:pPr>
      <w:r>
        <w:t xml:space="preserve">Информация по вторичной трансмиссии инфекции при введении живых вакцин пациентам, получающим </w:t>
      </w:r>
      <w:r w:rsidR="00A12F62" w:rsidRPr="00A12F62">
        <w:t>тофацитиниб</w:t>
      </w:r>
      <w:r>
        <w:t xml:space="preserve">, до настоящего времени отсутствует. Не рекомендуется вводить живые вакцины одновременно с </w:t>
      </w:r>
      <w:r w:rsidR="00A12F62" w:rsidRPr="00A12F62">
        <w:t>тофацитиниб</w:t>
      </w:r>
      <w:r w:rsidR="00A12F62">
        <w:t>ом</w:t>
      </w:r>
      <w:r>
        <w:t xml:space="preserve">. Рекомендуется, чтобы до начала применения </w:t>
      </w:r>
      <w:r w:rsidR="003A76A1" w:rsidRPr="003A76A1">
        <w:t xml:space="preserve">тофацитиниба </w:t>
      </w:r>
      <w:r>
        <w:t xml:space="preserve">все пациенты выполнили необходимую иммунизацию в соответствии с современными рекомендациями по вакцинации. Промежуток между вакцинацией живыми вакцинами и началом терапии тофацитинибом должен соответствовать имеющимся руководствам по вакцинации в отношении пациентов, получающих терапию иммуномодулирующими средствами. Согласно этим руководствам, если вводится живая вакцина от опоясывающего герпеса </w:t>
      </w:r>
      <w:r w:rsidRPr="003927BA">
        <w:rPr>
          <w:lang w:bidi="en-US"/>
        </w:rPr>
        <w:t>(</w:t>
      </w:r>
      <w:r>
        <w:rPr>
          <w:lang w:val="en-US" w:bidi="en-US"/>
        </w:rPr>
        <w:t>herpes</w:t>
      </w:r>
      <w:r w:rsidRPr="003927BA">
        <w:rPr>
          <w:lang w:bidi="en-US"/>
        </w:rPr>
        <w:t xml:space="preserve"> </w:t>
      </w:r>
      <w:r>
        <w:rPr>
          <w:lang w:val="en-US" w:bidi="en-US"/>
        </w:rPr>
        <w:t>zoster</w:t>
      </w:r>
      <w:r w:rsidRPr="003927BA">
        <w:rPr>
          <w:lang w:bidi="en-US"/>
        </w:rPr>
        <w:t xml:space="preserve">), </w:t>
      </w:r>
      <w:r>
        <w:t>ее следует вводить только пациентам с документированным в анамнезе случаем заболевания ветряной оспой или пациентам, серопозитивным в отношении вируса ветряной оспы. Вакцинацию следует проводить по меньшей мере за 2 недели, но предпочтительно за 4 недели до начала терапии иммуномодулирующими средствами, такими как тофацитиниб.</w:t>
      </w:r>
    </w:p>
    <w:p w14:paraId="630FD532" w14:textId="77777777" w:rsidR="00730F80" w:rsidRDefault="00730F80" w:rsidP="003F310C">
      <w:pPr>
        <w:spacing w:after="0"/>
        <w:contextualSpacing/>
        <w:rPr>
          <w:i/>
          <w:iCs/>
        </w:rPr>
      </w:pPr>
    </w:p>
    <w:p w14:paraId="7172C151" w14:textId="77777777" w:rsidR="00730F80" w:rsidRPr="00143D1F" w:rsidRDefault="00730F80" w:rsidP="00143D1F">
      <w:pPr>
        <w:spacing w:after="0"/>
        <w:ind w:firstLine="0"/>
        <w:contextualSpacing/>
        <w:rPr>
          <w:b/>
          <w:iCs/>
        </w:rPr>
      </w:pPr>
      <w:r w:rsidRPr="00143D1F">
        <w:rPr>
          <w:b/>
          <w:iCs/>
        </w:rPr>
        <w:t>Пациенты с нарушением функции почек</w:t>
      </w:r>
    </w:p>
    <w:p w14:paraId="7D2DFE5D" w14:textId="77777777" w:rsidR="00143D1F" w:rsidRDefault="00143D1F" w:rsidP="003F310C">
      <w:pPr>
        <w:spacing w:after="0"/>
        <w:contextualSpacing/>
      </w:pPr>
    </w:p>
    <w:p w14:paraId="5A6F3EAE" w14:textId="61F7C0F9" w:rsidR="00730F80" w:rsidRPr="00E717E9" w:rsidRDefault="00730F80" w:rsidP="003F310C">
      <w:pPr>
        <w:spacing w:after="0"/>
        <w:contextualSpacing/>
        <w:rPr>
          <w:i/>
          <w:iCs/>
        </w:rPr>
      </w:pPr>
      <w:r>
        <w:t xml:space="preserve">В клинических исследованиях </w:t>
      </w:r>
      <w:r w:rsidR="003A76A1" w:rsidRPr="003A76A1">
        <w:t>тофацитиниб</w:t>
      </w:r>
      <w:r w:rsidR="003A76A1">
        <w:t xml:space="preserve"> </w:t>
      </w:r>
      <w:r>
        <w:t>не изучали у пациентов с исходным клиренсом креатинина менее 40 мл/мин (расчет производился по формуле Кокрофта-Голта)</w:t>
      </w:r>
      <w:r w:rsidR="00531B72">
        <w:t>.</w:t>
      </w:r>
    </w:p>
    <w:p w14:paraId="7F641D61" w14:textId="77777777" w:rsidR="00143D1F" w:rsidRDefault="00143D1F" w:rsidP="00143D1F">
      <w:pPr>
        <w:spacing w:after="0"/>
        <w:ind w:firstLine="0"/>
        <w:contextualSpacing/>
        <w:rPr>
          <w:i/>
          <w:iCs/>
        </w:rPr>
      </w:pPr>
    </w:p>
    <w:p w14:paraId="23E04700" w14:textId="4F0EA1DB" w:rsidR="00730F80" w:rsidRPr="00143D1F" w:rsidRDefault="00730F80" w:rsidP="00143D1F">
      <w:pPr>
        <w:spacing w:after="0"/>
        <w:ind w:firstLine="0"/>
        <w:contextualSpacing/>
        <w:rPr>
          <w:b/>
          <w:iCs/>
        </w:rPr>
      </w:pPr>
      <w:r w:rsidRPr="00143D1F">
        <w:rPr>
          <w:b/>
          <w:iCs/>
        </w:rPr>
        <w:t>Пациенты пожилого возраста</w:t>
      </w:r>
    </w:p>
    <w:p w14:paraId="6904A4D2" w14:textId="77777777" w:rsidR="00143D1F" w:rsidRDefault="00143D1F" w:rsidP="003F310C">
      <w:pPr>
        <w:spacing w:after="0"/>
        <w:contextualSpacing/>
      </w:pPr>
    </w:p>
    <w:p w14:paraId="6E108B5C" w14:textId="06BC90FA" w:rsidR="00730F80" w:rsidRDefault="00730F80" w:rsidP="003F310C">
      <w:pPr>
        <w:spacing w:after="0"/>
        <w:contextualSpacing/>
      </w:pPr>
      <w:r>
        <w:t>Пациенты пожилого возраста, в целом, подвержены повышенному риску возникновения нежелательных явлений, которые имеют более тяжелую степень, поэтому при лечении пациентов пожилого возраста следует соблюдать осторожность.</w:t>
      </w:r>
    </w:p>
    <w:p w14:paraId="0B12828B" w14:textId="77777777" w:rsidR="00C822D7" w:rsidRDefault="00C822D7" w:rsidP="003F310C">
      <w:pPr>
        <w:spacing w:after="0"/>
        <w:contextualSpacing/>
      </w:pPr>
    </w:p>
    <w:p w14:paraId="447D1202" w14:textId="421D2320" w:rsidR="00730F80" w:rsidRPr="003678F1" w:rsidRDefault="00C822D7" w:rsidP="00C822D7">
      <w:pPr>
        <w:pStyle w:val="4"/>
        <w:numPr>
          <w:ilvl w:val="0"/>
          <w:numId w:val="0"/>
        </w:numPr>
      </w:pPr>
      <w:bookmarkStart w:id="329" w:name="_Toc121592645"/>
      <w:r>
        <w:t xml:space="preserve">5.3.8.2. </w:t>
      </w:r>
      <w:r w:rsidR="00730F80">
        <w:t>Таблетки с модифицированным высвобождением, покрытые пленочной оболочкой</w:t>
      </w:r>
      <w:bookmarkEnd w:id="329"/>
    </w:p>
    <w:p w14:paraId="0D28A69B" w14:textId="77777777" w:rsidR="00730F80" w:rsidRDefault="00730F80" w:rsidP="003F310C">
      <w:pPr>
        <w:spacing w:after="0"/>
        <w:contextualSpacing/>
        <w:rPr>
          <w:i/>
          <w:iCs/>
        </w:rPr>
      </w:pPr>
    </w:p>
    <w:p w14:paraId="6B8C2D8C" w14:textId="77777777" w:rsidR="00730F80" w:rsidRPr="00143D1F" w:rsidRDefault="00730F80" w:rsidP="00143D1F">
      <w:pPr>
        <w:spacing w:after="0"/>
        <w:ind w:firstLine="0"/>
        <w:contextualSpacing/>
        <w:rPr>
          <w:b/>
          <w:iCs/>
        </w:rPr>
      </w:pPr>
      <w:r w:rsidRPr="00143D1F">
        <w:rPr>
          <w:b/>
          <w:iCs/>
        </w:rPr>
        <w:t>Серьезные инфекции</w:t>
      </w:r>
    </w:p>
    <w:p w14:paraId="6D7B3829" w14:textId="77777777" w:rsidR="00143D1F" w:rsidRDefault="00143D1F" w:rsidP="003F310C">
      <w:pPr>
        <w:spacing w:after="0"/>
        <w:contextualSpacing/>
      </w:pPr>
    </w:p>
    <w:p w14:paraId="7BBC3843" w14:textId="5F50A4FB" w:rsidR="00730F80" w:rsidRDefault="00730F80" w:rsidP="003F310C">
      <w:pPr>
        <w:spacing w:after="0"/>
        <w:contextualSpacing/>
      </w:pPr>
      <w:r>
        <w:t xml:space="preserve">У пациентов, получающих иммуномодуляторы, включая биологические препараты и </w:t>
      </w:r>
      <w:r w:rsidR="00395E28" w:rsidRPr="00395E28">
        <w:t>тофацитиниб</w:t>
      </w:r>
      <w:r>
        <w:t xml:space="preserve">, отмечены серьезные, а иногда и смертельные инфекции, вызванные бактериальными, микобактериальными, грибковыми, вирусными или иными оппортунистическими возбудителями. Наиболее частые серьезные инфекции, о которых сообщалось при применении </w:t>
      </w:r>
      <w:r w:rsidR="00395E28" w:rsidRPr="00395E28">
        <w:t>тофацитиниба</w:t>
      </w:r>
      <w:r>
        <w:t xml:space="preserve">, включали пневмонию, воспаление подкожной </w:t>
      </w:r>
      <w:r>
        <w:lastRenderedPageBreak/>
        <w:t>клетчатки, опоясывающий герпес, инфекцию мочевыводящих путей, дивертикулит и аппендицит. Среди оппортунистских инфекций сообщалось о случаях развития туберкулеза и других микобактериальных инфекций, криптококоза, гистоплазмоза, кандидоза пищевода, опоясывающего герпеса с поражением различных дерматомов, цитомегаловирусной инфекции, ВК-вирусных инфекций и листериоза. У некоторых пациентов отмечалось диссеминированное, а не локализованное заболевание, и пациенты с ревматоидным артритом часто принимали сопутствующие иммуномодулирующие средства, такие как метотрексат или кортикостероиды, которые в дополнение к ревматоидному артриту могут предрасполагать к развитию инфекции. Могут также возникать другие серьезные инфекции, о которых не сообщалось в клинических исследованиях (например, кокцидиоидомикоз).</w:t>
      </w:r>
    </w:p>
    <w:p w14:paraId="7EC74B76" w14:textId="29E7E084" w:rsidR="00730F80" w:rsidRDefault="00395E28" w:rsidP="003F310C">
      <w:pPr>
        <w:spacing w:after="0"/>
        <w:contextualSpacing/>
      </w:pPr>
      <w:r>
        <w:t>Т</w:t>
      </w:r>
      <w:r w:rsidRPr="00395E28">
        <w:t>офацитиниб</w:t>
      </w:r>
      <w:r w:rsidR="00730F80">
        <w:t xml:space="preserve"> не следует применять у пациентов с активной инфекцией, включая локальные инфекции. Перед применением </w:t>
      </w:r>
      <w:r w:rsidRPr="00395E28">
        <w:t xml:space="preserve">тофацитиниба </w:t>
      </w:r>
      <w:r w:rsidR="00730F80">
        <w:t>следует оценить соотношение риск/польза от терапии у пациентов с хронической или рецидивирующей инфекцией, после контакта с больным туберкулезом, наличием тяжелой или оппортунистической инфекции в анамнезе, у пациентов, которые жили или недавно посетили эндемичные районы по туберкулезу или микозам, а также у пациентов с предрасположенностью к развитию инфекции.</w:t>
      </w:r>
    </w:p>
    <w:p w14:paraId="3EA6E813" w14:textId="12CA159E" w:rsidR="00730F80" w:rsidRDefault="00730F80" w:rsidP="003F310C">
      <w:pPr>
        <w:spacing w:after="0"/>
        <w:contextualSpacing/>
      </w:pPr>
      <w:r>
        <w:t xml:space="preserve">Пациенты подлежат внимательному наблюдению на предмет развития признаков и симптомов инфекции во время и после терапии </w:t>
      </w:r>
      <w:r w:rsidR="00395E28" w:rsidRPr="00395E28">
        <w:t>тофацитиниб</w:t>
      </w:r>
      <w:r w:rsidR="00395E28">
        <w:t>ом</w:t>
      </w:r>
      <w:r>
        <w:t xml:space="preserve">. </w:t>
      </w:r>
      <w:r w:rsidR="00395E28">
        <w:t>Т</w:t>
      </w:r>
      <w:r w:rsidR="00395E28" w:rsidRPr="00395E28">
        <w:t>офацитиниб</w:t>
      </w:r>
      <w:r>
        <w:t xml:space="preserve"> следует временно отменить, если у пациента развилась серьезная инфекция, оппортунистическая инфекция или сепсис. При развитии новой инфекции на фоне применения </w:t>
      </w:r>
      <w:r w:rsidR="00395E28" w:rsidRPr="00395E28">
        <w:t>тофацитиниба</w:t>
      </w:r>
      <w:r>
        <w:t xml:space="preserve"> пациент подлежит быстрому и полному диагностическому обследованию по аналогии с пациентом, страдающим иммунодефицитом. Показано назначение соответствующей антибактериальной терапии, а также тщательное динамическое набл</w:t>
      </w:r>
      <w:r w:rsidR="002A712E">
        <w:t>ю</w:t>
      </w:r>
      <w:r>
        <w:t>дение.</w:t>
      </w:r>
    </w:p>
    <w:p w14:paraId="242204A2" w14:textId="0AE3C095" w:rsidR="00730F80" w:rsidRDefault="00730F80" w:rsidP="003F310C">
      <w:pPr>
        <w:spacing w:after="0"/>
        <w:contextualSpacing/>
      </w:pPr>
      <w:r>
        <w:t xml:space="preserve">Поскольку пожилые пациенты и пациенты с сахарным диабетом обычно характеризуются более высокой частотой развития инфекций, в подобных случаях также следует соблюдать осторожность. Также рекомендуется соблюдать осторожность при применении препарата у пациентов с хроническими заболеваниями легких, так как они могут быть более подвержены инфекциям. В клинических исследованиях и во время пострегистрационного применения препарата сообщалось о случаях развития интерстициального заболевания легких (в некоторых случаях с летальным исходом) у пациентов, получающих терапию </w:t>
      </w:r>
      <w:r w:rsidR="001778D0" w:rsidRPr="001778D0">
        <w:t>тофацитиниб</w:t>
      </w:r>
      <w:r w:rsidR="001778D0">
        <w:t>ом</w:t>
      </w:r>
      <w:r>
        <w:t>, ингибитором янус-киназ. Тем не менее, роль ингибирования янус-киназы неизвестна.</w:t>
      </w:r>
    </w:p>
    <w:p w14:paraId="48188BA0" w14:textId="77777777" w:rsidR="00730F80" w:rsidRPr="0098175F" w:rsidRDefault="00730F80" w:rsidP="003F310C">
      <w:pPr>
        <w:spacing w:after="0"/>
        <w:contextualSpacing/>
        <w:rPr>
          <w:i/>
          <w:iCs/>
        </w:rPr>
      </w:pPr>
      <w:r>
        <w:t>Риск инфекции может повышаться при увеличении степени тяжести лимфопении. В этом случае при оценке индивидуального риска развития инфекции следует принимать во внимание количество лимфоцитов. Условия отмены препарата и критерии контроля лимфопении описаны в разделе «Способ применения и дозы».</w:t>
      </w:r>
    </w:p>
    <w:p w14:paraId="70B14B9E" w14:textId="77777777" w:rsidR="00730F80" w:rsidRDefault="00730F80" w:rsidP="003F310C">
      <w:pPr>
        <w:spacing w:after="0"/>
        <w:contextualSpacing/>
        <w:rPr>
          <w:i/>
          <w:iCs/>
        </w:rPr>
      </w:pPr>
    </w:p>
    <w:p w14:paraId="5CAEEC13" w14:textId="77777777" w:rsidR="00730F80" w:rsidRPr="00143D1F" w:rsidRDefault="00730F80" w:rsidP="00143D1F">
      <w:pPr>
        <w:spacing w:after="0"/>
        <w:ind w:firstLine="0"/>
        <w:contextualSpacing/>
        <w:rPr>
          <w:b/>
          <w:iCs/>
        </w:rPr>
      </w:pPr>
      <w:r w:rsidRPr="00143D1F">
        <w:rPr>
          <w:b/>
          <w:iCs/>
        </w:rPr>
        <w:t>Туберкулез</w:t>
      </w:r>
    </w:p>
    <w:p w14:paraId="46A3077E" w14:textId="77777777" w:rsidR="00143D1F" w:rsidRDefault="00143D1F" w:rsidP="003F310C">
      <w:pPr>
        <w:spacing w:after="0"/>
        <w:contextualSpacing/>
      </w:pPr>
    </w:p>
    <w:p w14:paraId="3DA38286" w14:textId="2521E4BD" w:rsidR="00730F80" w:rsidRDefault="00730F80" w:rsidP="003F310C">
      <w:pPr>
        <w:spacing w:after="0"/>
        <w:contextualSpacing/>
      </w:pPr>
      <w:r>
        <w:t xml:space="preserve">Перед применением </w:t>
      </w:r>
      <w:r w:rsidR="001778D0" w:rsidRPr="001778D0">
        <w:t xml:space="preserve">тофацитиниба </w:t>
      </w:r>
      <w:r>
        <w:t>следует провести обследование на предмет признаков латентной или активной туберкулезной инфекции в соответствии с локальными рекомендациями.</w:t>
      </w:r>
    </w:p>
    <w:p w14:paraId="44D31E8E" w14:textId="48BC7152" w:rsidR="00730F80" w:rsidRDefault="00730F80" w:rsidP="003F310C">
      <w:pPr>
        <w:spacing w:after="0"/>
        <w:contextualSpacing/>
      </w:pPr>
      <w:r>
        <w:t xml:space="preserve">Пациенты с латентным туберкулезом перед началом терапии </w:t>
      </w:r>
      <w:r w:rsidR="001778D0" w:rsidRPr="001778D0">
        <w:t>тофацитиниб</w:t>
      </w:r>
      <w:r w:rsidR="001778D0">
        <w:t>ом</w:t>
      </w:r>
      <w:r>
        <w:t xml:space="preserve"> подлежат стандартной антимикобактериальной терапии.</w:t>
      </w:r>
    </w:p>
    <w:p w14:paraId="7247F930" w14:textId="07836A25" w:rsidR="00730F80" w:rsidRDefault="00730F80" w:rsidP="003F310C">
      <w:pPr>
        <w:spacing w:after="0"/>
        <w:contextualSpacing/>
      </w:pPr>
      <w:r>
        <w:t xml:space="preserve">Перед началом терапии </w:t>
      </w:r>
      <w:r w:rsidR="001778D0" w:rsidRPr="001778D0">
        <w:t>тофацитиниб</w:t>
      </w:r>
      <w:r w:rsidR="001778D0">
        <w:t>ом</w:t>
      </w:r>
      <w:r w:rsidR="001778D0" w:rsidRPr="001778D0">
        <w:t xml:space="preserve"> </w:t>
      </w:r>
      <w:r>
        <w:t xml:space="preserve">у пациентов с латентным или активным туберкулезом в анамнезе, при отсутствии подтверждения адекватного курса </w:t>
      </w:r>
      <w:r>
        <w:lastRenderedPageBreak/>
        <w:t>противотуберкулезной терапии, а также у пациентов с отрицательным результатом исследования на латентный туберкулез, но наличием факторов риска туберкулезной инфекции, следует провести соответствующую противотуберкулезную терапию. При принятии решения относительно необходимости проведения противотуберкулезной терапии у каждого конкретного пациента рекомендуется проконсультироваться с фтизиатром.</w:t>
      </w:r>
    </w:p>
    <w:p w14:paraId="4E2F8AD7" w14:textId="77777777" w:rsidR="00730F80" w:rsidRPr="0098175F" w:rsidRDefault="00730F80" w:rsidP="003F310C">
      <w:pPr>
        <w:spacing w:after="0"/>
        <w:contextualSpacing/>
        <w:rPr>
          <w:i/>
          <w:iCs/>
        </w:rPr>
      </w:pPr>
      <w:r>
        <w:t>Пациенты подлежат тщательному наблюдению на предмет развития признаков туберкулеза, включая пациентов с отрицательным результатом теста на латентный туберкулез до начала терапии.</w:t>
      </w:r>
    </w:p>
    <w:p w14:paraId="10EE433C" w14:textId="77777777" w:rsidR="00730F80" w:rsidRDefault="00730F80" w:rsidP="003F310C">
      <w:pPr>
        <w:spacing w:after="0"/>
        <w:contextualSpacing/>
        <w:rPr>
          <w:i/>
          <w:iCs/>
        </w:rPr>
      </w:pPr>
    </w:p>
    <w:p w14:paraId="1F960235" w14:textId="77777777" w:rsidR="00730F80" w:rsidRPr="00143D1F" w:rsidRDefault="00730F80" w:rsidP="00143D1F">
      <w:pPr>
        <w:spacing w:after="0"/>
        <w:ind w:firstLine="0"/>
        <w:contextualSpacing/>
        <w:rPr>
          <w:b/>
          <w:iCs/>
        </w:rPr>
      </w:pPr>
      <w:r w:rsidRPr="00143D1F">
        <w:rPr>
          <w:b/>
          <w:iCs/>
        </w:rPr>
        <w:t>Реактивация вирусных инфекций</w:t>
      </w:r>
    </w:p>
    <w:p w14:paraId="102DD9AA" w14:textId="77777777" w:rsidR="00143D1F" w:rsidRDefault="00143D1F" w:rsidP="003F310C">
      <w:pPr>
        <w:spacing w:after="0"/>
        <w:contextualSpacing/>
      </w:pPr>
    </w:p>
    <w:p w14:paraId="58DF6193" w14:textId="12E66865" w:rsidR="00730F80" w:rsidRPr="0098175F" w:rsidRDefault="00730F80" w:rsidP="003F310C">
      <w:pPr>
        <w:spacing w:after="0"/>
        <w:contextualSpacing/>
        <w:rPr>
          <w:i/>
          <w:iCs/>
        </w:rPr>
      </w:pPr>
      <w:r>
        <w:t xml:space="preserve">Реактивация вирусных инфекций описана при применении терапии БПВП. Случаи реактивации вируса герпеса (например, опоясывающего герпеса) также описаны в клинических исследованиях </w:t>
      </w:r>
      <w:r w:rsidR="001778D0" w:rsidRPr="001778D0">
        <w:t>тофацитиниба</w:t>
      </w:r>
      <w:r>
        <w:t xml:space="preserve">. В постмаркетинговых исследованиях сообщалось о случаях реактивации вируса гепатита В у пациентов, получавших терапию </w:t>
      </w:r>
      <w:r w:rsidR="001778D0" w:rsidRPr="001778D0">
        <w:t>тофацитиниб</w:t>
      </w:r>
      <w:r w:rsidR="001778D0">
        <w:t>ом</w:t>
      </w:r>
      <w:r>
        <w:t xml:space="preserve">. Влияние </w:t>
      </w:r>
      <w:r w:rsidR="001778D0" w:rsidRPr="001778D0">
        <w:t xml:space="preserve">тофацитиниба </w:t>
      </w:r>
      <w:r>
        <w:t xml:space="preserve">на реактивацию хронического вирусного гепатита неизвестно. Пациентов с положительным результатом тестирования на гепатиты В и С исключили из клинических исследований. Перед началом терапии </w:t>
      </w:r>
      <w:r w:rsidR="001778D0" w:rsidRPr="001778D0">
        <w:t>тофацитиниб</w:t>
      </w:r>
      <w:r w:rsidR="001778D0">
        <w:t>ом</w:t>
      </w:r>
      <w:r>
        <w:t xml:space="preserve"> следует провести скрининг на предмет наличия вирусного гепатита. При применении </w:t>
      </w:r>
      <w:r w:rsidR="001778D0" w:rsidRPr="001778D0">
        <w:t xml:space="preserve">тофацитиниба </w:t>
      </w:r>
      <w:r>
        <w:t>у представителей японской и корейской национальностей отмечаются более частые случаи развития опоясывающего герпеса, чем у представителей других национальностей.</w:t>
      </w:r>
    </w:p>
    <w:p w14:paraId="22192B36" w14:textId="77777777" w:rsidR="00143D1F" w:rsidRDefault="00143D1F" w:rsidP="00143D1F">
      <w:pPr>
        <w:pStyle w:val="SDText"/>
        <w:spacing w:after="0"/>
        <w:ind w:firstLine="0"/>
        <w:contextualSpacing/>
        <w:rPr>
          <w:b/>
          <w:iCs/>
        </w:rPr>
      </w:pPr>
    </w:p>
    <w:p w14:paraId="0CAF38B2" w14:textId="042888EA" w:rsidR="00730F80" w:rsidRPr="00143D1F" w:rsidRDefault="00730F80" w:rsidP="00143D1F">
      <w:pPr>
        <w:pStyle w:val="SDText"/>
        <w:spacing w:after="0"/>
        <w:ind w:firstLine="0"/>
        <w:contextualSpacing/>
        <w:rPr>
          <w:b/>
          <w:iCs/>
        </w:rPr>
      </w:pPr>
      <w:r w:rsidRPr="00143D1F">
        <w:rPr>
          <w:b/>
          <w:iCs/>
        </w:rPr>
        <w:t>Злокачественные новообразования и лимфопролиферативное расстройство [исключая немеланомный рак кожи (НМРК)]</w:t>
      </w:r>
    </w:p>
    <w:p w14:paraId="54367D5A" w14:textId="77777777" w:rsidR="00143D1F" w:rsidRDefault="00143D1F" w:rsidP="003F310C">
      <w:pPr>
        <w:pStyle w:val="SDText"/>
        <w:spacing w:after="0"/>
        <w:contextualSpacing/>
      </w:pPr>
    </w:p>
    <w:p w14:paraId="391EB48B" w14:textId="3B5AA29B" w:rsidR="00730F80" w:rsidRDefault="00730F80" w:rsidP="003F310C">
      <w:pPr>
        <w:pStyle w:val="SDText"/>
        <w:spacing w:after="0"/>
        <w:contextualSpacing/>
      </w:pPr>
      <w:r>
        <w:t xml:space="preserve">Перед началом терапии пациентов с существующим злокачественным новообразованием или данными о злокачественном новообразовании в анамнезе, кроме излеченного немеланомного рака кожи (НМРК), или при рассмотрении возможности продолжения терапии </w:t>
      </w:r>
      <w:r w:rsidR="001778D0" w:rsidRPr="001778D0">
        <w:t>тофацитиниб</w:t>
      </w:r>
      <w:r w:rsidR="001778D0">
        <w:t xml:space="preserve">ом </w:t>
      </w:r>
      <w:r>
        <w:t xml:space="preserve">у пациентов со злокачественным новообразованием следует учитывать риски и преимущества лечения </w:t>
      </w:r>
      <w:r w:rsidR="001778D0" w:rsidRPr="001778D0">
        <w:t>тофацитиниб</w:t>
      </w:r>
      <w:r w:rsidR="001778D0">
        <w:t>ом</w:t>
      </w:r>
      <w:r>
        <w:t xml:space="preserve">. Существует возможность, что </w:t>
      </w:r>
      <w:r w:rsidR="003E5E6A" w:rsidRPr="003E5E6A">
        <w:t>тофацитиниб</w:t>
      </w:r>
      <w:r w:rsidR="003E5E6A">
        <w:t xml:space="preserve"> </w:t>
      </w:r>
      <w:r>
        <w:t>влияет на защиту организма от злокачественных новообразований.</w:t>
      </w:r>
    </w:p>
    <w:p w14:paraId="6A0114F5" w14:textId="2F30F016" w:rsidR="00730F80" w:rsidRDefault="00730F80" w:rsidP="003F310C">
      <w:pPr>
        <w:pStyle w:val="SDText"/>
        <w:spacing w:after="0"/>
        <w:contextualSpacing/>
      </w:pPr>
      <w:r>
        <w:t xml:space="preserve">У пациентов, получавших лечение </w:t>
      </w:r>
      <w:r w:rsidR="003E5E6A" w:rsidRPr="003E5E6A">
        <w:t>тофацитиниб</w:t>
      </w:r>
      <w:r w:rsidR="003E5E6A">
        <w:t>ом</w:t>
      </w:r>
      <w:r>
        <w:t xml:space="preserve">, были зарегистрированы случаи лимфомы. Несмотря на то, что у пациентов с ревматоидным артритом, особенно с высокоактивной формой заболевания, и у пациентов с псориазом может наблюдаться более высокий риск (в несколько раз выше) развития лимфомы по сравнению с общей популяцией, роль </w:t>
      </w:r>
      <w:r w:rsidR="003E5E6A" w:rsidRPr="003E5E6A">
        <w:t>тофацитиниба</w:t>
      </w:r>
      <w:r>
        <w:t>, если таковая имеется, в развитии лимфомы не установлена.</w:t>
      </w:r>
    </w:p>
    <w:p w14:paraId="468DDA63" w14:textId="099B0665" w:rsidR="00730F80" w:rsidRDefault="00730F80" w:rsidP="003F310C">
      <w:pPr>
        <w:pStyle w:val="SDText"/>
        <w:spacing w:after="0"/>
        <w:contextualSpacing/>
      </w:pPr>
      <w:r>
        <w:t xml:space="preserve">В клинических исследованиях и пострегистрационном периоде были зарегистрированы случаи развития других злокачественных новообразований, включая (но не ограничиваясь) рак легких, рак груди, меланома, рак предстательной железы и рак поджелудочной железы. Влияние терапии </w:t>
      </w:r>
      <w:r w:rsidR="003E5E6A" w:rsidRPr="003E5E6A">
        <w:t>тофацитиниб</w:t>
      </w:r>
      <w:r w:rsidR="003E5E6A">
        <w:t xml:space="preserve">ом </w:t>
      </w:r>
      <w:r>
        <w:t>на развитие и течение злокачественных новообразований неизвестно.</w:t>
      </w:r>
    </w:p>
    <w:p w14:paraId="28652E94" w14:textId="77777777" w:rsidR="00143D1F" w:rsidRDefault="00143D1F" w:rsidP="00143D1F">
      <w:pPr>
        <w:spacing w:after="0"/>
        <w:ind w:firstLine="0"/>
        <w:contextualSpacing/>
        <w:rPr>
          <w:b/>
          <w:iCs/>
        </w:rPr>
      </w:pPr>
    </w:p>
    <w:p w14:paraId="30E073ED" w14:textId="77777777" w:rsidR="00791E09" w:rsidRDefault="00791E09" w:rsidP="00143D1F">
      <w:pPr>
        <w:spacing w:after="0"/>
        <w:ind w:firstLine="0"/>
        <w:contextualSpacing/>
        <w:rPr>
          <w:b/>
          <w:iCs/>
        </w:rPr>
        <w:sectPr w:rsidR="00791E09" w:rsidSect="00F85178">
          <w:pgSz w:w="11906" w:h="16838"/>
          <w:pgMar w:top="1134" w:right="850" w:bottom="1134" w:left="1701" w:header="708" w:footer="708" w:gutter="0"/>
          <w:cols w:space="708"/>
          <w:docGrid w:linePitch="360"/>
        </w:sectPr>
      </w:pPr>
    </w:p>
    <w:p w14:paraId="4AFFEA92" w14:textId="16756640" w:rsidR="00730F80" w:rsidRPr="00143D1F" w:rsidRDefault="00730F80" w:rsidP="00143D1F">
      <w:pPr>
        <w:spacing w:after="0"/>
        <w:ind w:firstLine="0"/>
        <w:contextualSpacing/>
        <w:rPr>
          <w:b/>
          <w:iCs/>
        </w:rPr>
      </w:pPr>
      <w:r w:rsidRPr="00143D1F">
        <w:rPr>
          <w:b/>
          <w:iCs/>
        </w:rPr>
        <w:lastRenderedPageBreak/>
        <w:t>Рак кожи, не относящийся к меланоме (РКНМ)</w:t>
      </w:r>
    </w:p>
    <w:p w14:paraId="41FB35AC" w14:textId="77777777" w:rsidR="00143D1F" w:rsidRDefault="00143D1F" w:rsidP="003F310C">
      <w:pPr>
        <w:pStyle w:val="SDText"/>
        <w:spacing w:after="0"/>
        <w:contextualSpacing/>
      </w:pPr>
    </w:p>
    <w:p w14:paraId="56D6BE60" w14:textId="38E4F0EB" w:rsidR="00730F80" w:rsidRDefault="00730F80" w:rsidP="003F310C">
      <w:pPr>
        <w:pStyle w:val="SDText"/>
        <w:spacing w:after="0"/>
        <w:contextualSpacing/>
      </w:pPr>
      <w:r>
        <w:t>Сообщалось о случаях развития РКНМ у пациентов, получающих терапию тофацитинибом. Рекомендуется проводить периодическое обследование кожи у пациентов с повышенным риском развития рака кожи.</w:t>
      </w:r>
    </w:p>
    <w:p w14:paraId="40062DDF" w14:textId="77777777" w:rsidR="00143D1F" w:rsidRDefault="00143D1F" w:rsidP="00143D1F">
      <w:pPr>
        <w:spacing w:after="0"/>
        <w:ind w:firstLine="0"/>
        <w:contextualSpacing/>
        <w:rPr>
          <w:b/>
          <w:iCs/>
        </w:rPr>
      </w:pPr>
    </w:p>
    <w:p w14:paraId="075252D4" w14:textId="5F4DA029" w:rsidR="00730F80" w:rsidRPr="00143D1F" w:rsidRDefault="00730F80" w:rsidP="00143D1F">
      <w:pPr>
        <w:spacing w:after="0"/>
        <w:ind w:firstLine="0"/>
        <w:contextualSpacing/>
        <w:rPr>
          <w:b/>
          <w:iCs/>
        </w:rPr>
      </w:pPr>
      <w:r w:rsidRPr="00143D1F">
        <w:rPr>
          <w:b/>
          <w:iCs/>
        </w:rPr>
        <w:t>Легочная эмболия</w:t>
      </w:r>
    </w:p>
    <w:p w14:paraId="566FDB02" w14:textId="77777777" w:rsidR="00143D1F" w:rsidRDefault="00143D1F" w:rsidP="003F310C">
      <w:pPr>
        <w:pStyle w:val="SDText"/>
        <w:spacing w:after="0"/>
        <w:contextualSpacing/>
      </w:pPr>
    </w:p>
    <w:p w14:paraId="7C403C58" w14:textId="79727BB4" w:rsidR="00730F80" w:rsidRDefault="00730F80" w:rsidP="003F310C">
      <w:pPr>
        <w:pStyle w:val="SDText"/>
        <w:spacing w:after="0"/>
        <w:contextualSpacing/>
      </w:pPr>
      <w:r>
        <w:t xml:space="preserve">Тромбоэмболия легочной артерии (ТЭЛА) наблюдалась у пациентов, принимающих </w:t>
      </w:r>
      <w:r w:rsidR="003E5E6A" w:rsidRPr="003E5E6A">
        <w:t>тофацитиниб</w:t>
      </w:r>
      <w:r w:rsidR="003E5E6A">
        <w:t xml:space="preserve"> </w:t>
      </w:r>
      <w:r>
        <w:t xml:space="preserve">в клинических исследованиях и пострегистрационных отчетах. В одном крупном текущем рандомизированном пострегистрационном исследовании безопасности </w:t>
      </w:r>
      <w:r w:rsidRPr="00020402">
        <w:rPr>
          <w:lang w:bidi="en-US"/>
        </w:rPr>
        <w:t>(</w:t>
      </w:r>
      <w:r>
        <w:rPr>
          <w:lang w:val="en-US" w:bidi="en-US"/>
        </w:rPr>
        <w:t>PASS</w:t>
      </w:r>
      <w:r w:rsidRPr="00020402">
        <w:rPr>
          <w:lang w:bidi="en-US"/>
        </w:rPr>
        <w:t xml:space="preserve">) </w:t>
      </w:r>
      <w:r>
        <w:t>у пациентов с РА в возрасте 50 лет или старше с хотя бы одним сердечно</w:t>
      </w:r>
      <w:r>
        <w:softHyphen/>
      </w:r>
      <w:r w:rsidR="002A712E">
        <w:t>-</w:t>
      </w:r>
      <w:r>
        <w:t xml:space="preserve">сосудистым фактором риска, венозные тромбоэмболические осложнения </w:t>
      </w:r>
      <w:r w:rsidRPr="00020402">
        <w:rPr>
          <w:lang w:bidi="en-US"/>
        </w:rPr>
        <w:t>(</w:t>
      </w:r>
      <w:r>
        <w:rPr>
          <w:lang w:val="en-US" w:bidi="en-US"/>
        </w:rPr>
        <w:t>VTE</w:t>
      </w:r>
      <w:r w:rsidRPr="00020402">
        <w:rPr>
          <w:lang w:bidi="en-US"/>
        </w:rPr>
        <w:t xml:space="preserve">), </w:t>
      </w:r>
      <w:r>
        <w:t xml:space="preserve">проявлявшиеся как явления ТЭЛА, наблюдались с повышенной частотой у пациентов, которые получали терапию препаратом тофацитиниб 10 мг два раза в день по сравнению с терапией препаратом тофацитиниб 5 мг два раза в день или ингибиторами </w:t>
      </w:r>
      <w:r>
        <w:rPr>
          <w:lang w:val="en-US"/>
        </w:rPr>
        <w:t>TNF</w:t>
      </w:r>
      <w:r w:rsidRPr="00D4211D">
        <w:t>-</w:t>
      </w:r>
      <w:r>
        <w:rPr>
          <w:rFonts w:cs="Times New Roman"/>
        </w:rPr>
        <w:t>α</w:t>
      </w:r>
      <w:r>
        <w:t xml:space="preserve">, особенно у пациентов с ожирением (индекс массы тела [ИМТ] &gt; 30). Многие из этих событий ТЭЛА были серьезными, а некоторые привели к смерти. Эти события ТЭЛА были зарегистрированы чаще у пациентов, принимающих </w:t>
      </w:r>
      <w:r w:rsidR="003E5E6A" w:rsidRPr="003E5E6A">
        <w:t>тофацитиниб</w:t>
      </w:r>
      <w:r>
        <w:t xml:space="preserve"> 10 мг два раза в день, по сравнению с другими исследованиями программы тофацитиниба. Необходимо проводить оценку пациентов относительно факторов риска венозных тромбоэмболических явлений. Необходимо применять </w:t>
      </w:r>
      <w:r w:rsidR="003E5E6A" w:rsidRPr="003E5E6A">
        <w:t>тофацитиниб</w:t>
      </w:r>
      <w:r w:rsidR="003E5E6A">
        <w:t xml:space="preserve"> </w:t>
      </w:r>
      <w:r>
        <w:t>10 мг два раза в день с осторожностью у пациентов, для которых 10 мг два раза в день является рекомендуемой дозой и у которых определены факторы риска.</w:t>
      </w:r>
    </w:p>
    <w:p w14:paraId="4757F80D" w14:textId="77777777" w:rsidR="00730F80" w:rsidRDefault="00730F80" w:rsidP="003F310C">
      <w:pPr>
        <w:pStyle w:val="SDText"/>
        <w:spacing w:after="0"/>
        <w:contextualSpacing/>
      </w:pPr>
      <w:r>
        <w:t>Необходимо незамедлительно обследовать пациентов с признаками и симптомами ТЭЛА и отменить препарат тофацитиниб у пациентов с подозрением на ТЭЛА, независимо от применяемой дозы и показаний.</w:t>
      </w:r>
    </w:p>
    <w:p w14:paraId="05F1FE1A" w14:textId="77777777" w:rsidR="00143D1F" w:rsidRDefault="00143D1F" w:rsidP="00143D1F">
      <w:pPr>
        <w:spacing w:after="0"/>
        <w:ind w:firstLine="0"/>
        <w:contextualSpacing/>
        <w:rPr>
          <w:b/>
          <w:iCs/>
        </w:rPr>
      </w:pPr>
    </w:p>
    <w:p w14:paraId="14D3DCC6" w14:textId="4C8ADAA0" w:rsidR="00730F80" w:rsidRPr="00143D1F" w:rsidRDefault="00730F80" w:rsidP="00143D1F">
      <w:pPr>
        <w:spacing w:after="0"/>
        <w:ind w:firstLine="0"/>
        <w:contextualSpacing/>
        <w:rPr>
          <w:b/>
          <w:iCs/>
        </w:rPr>
      </w:pPr>
      <w:r w:rsidRPr="00143D1F">
        <w:rPr>
          <w:b/>
          <w:iCs/>
        </w:rPr>
        <w:t>Случаи перфорации органов ЖКТ</w:t>
      </w:r>
    </w:p>
    <w:p w14:paraId="19FAB5D3" w14:textId="77777777" w:rsidR="00143D1F" w:rsidRDefault="00143D1F" w:rsidP="003F310C">
      <w:pPr>
        <w:spacing w:after="0"/>
        <w:contextualSpacing/>
      </w:pPr>
    </w:p>
    <w:p w14:paraId="1EC94770" w14:textId="20B94CF8" w:rsidR="00730F80" w:rsidRDefault="00730F80" w:rsidP="003F310C">
      <w:pPr>
        <w:spacing w:after="0"/>
        <w:contextualSpacing/>
      </w:pPr>
      <w:r>
        <w:t xml:space="preserve">В клинических исследованиях описаны случаи перфорации органов ЖКТ, хотя роль ингибирования янус-киназы при этих явлениях неизвестна. Такие случаи в основном были описаны как перфорация дивертикула, перитонит, абсцесс в брюшной полости и аппендицит. Частота перфорации желудочно-кишечного тракта у пациентов с ревматоидным артритом по данным всех клинических исследований (фазы 1, фазы 2, фазы 3 и долгосрочного расширенного исследования) для всех групп лечения, при применении всех доз составила 0,11 случаев/100 пациенто-лет при терапии тофацитинибом. Все пациенты с ревматоидным артритом, у которых развилась перфорация органов ЖКТ. получали сопутствующую терапию нестероидными противовоспалительными препаратами (НПВП) и/или глюкокортикоидами. Относительный вклад сопутствующей терапии и применения </w:t>
      </w:r>
      <w:r w:rsidR="003E5E6A" w:rsidRPr="003E5E6A">
        <w:t xml:space="preserve">тофацитиниба </w:t>
      </w:r>
      <w:r>
        <w:t>при развитии перфорации органов ЖКТ неизвестен. Частота развития таких осложнений у пациентов с псориазом, согласно данным клинических исследований, составляет 0,09 случаев/100 пациенто-лет.</w:t>
      </w:r>
    </w:p>
    <w:p w14:paraId="2AC64D4F" w14:textId="77777777" w:rsidR="00730F80" w:rsidRDefault="00730F80" w:rsidP="003F310C">
      <w:pPr>
        <w:spacing w:after="0"/>
        <w:contextualSpacing/>
      </w:pPr>
      <w:r>
        <w:t>Частота развития таких осложнений у пациентов с псориатическим артритом, согласно данным клинических исследований (фазы 3 и долгосрочного расширенного исследования) – 0,13 пациента с событиями на 100 пациенто-лет при терапии тофацитинибом.</w:t>
      </w:r>
    </w:p>
    <w:p w14:paraId="14909D54" w14:textId="2E72D95F" w:rsidR="00730F80" w:rsidRPr="0098175F" w:rsidRDefault="003E5E6A" w:rsidP="003F310C">
      <w:pPr>
        <w:spacing w:after="0"/>
        <w:contextualSpacing/>
        <w:rPr>
          <w:i/>
          <w:iCs/>
        </w:rPr>
      </w:pPr>
      <w:r>
        <w:lastRenderedPageBreak/>
        <w:t>Т</w:t>
      </w:r>
      <w:r w:rsidRPr="003E5E6A">
        <w:t>офацитиниб</w:t>
      </w:r>
      <w:r w:rsidR="00730F80">
        <w:t xml:space="preserve"> следует с осторожностью применять у пациентов с повышенным риском перфорации органов ЖКТ (например, у пациентов с дивертикулитом в анамнезе). Пациенты с новыми симптомами со стороны органов ЖКТ подлежат немедленному обследованию для раннего выявления перфорации органов ЖКТ.</w:t>
      </w:r>
    </w:p>
    <w:p w14:paraId="0AF059E3" w14:textId="77777777" w:rsidR="00730F80" w:rsidRDefault="00730F80" w:rsidP="003F310C">
      <w:pPr>
        <w:spacing w:after="0"/>
        <w:contextualSpacing/>
        <w:rPr>
          <w:i/>
          <w:iCs/>
        </w:rPr>
      </w:pPr>
    </w:p>
    <w:p w14:paraId="41B5200C" w14:textId="77777777" w:rsidR="00730F80" w:rsidRPr="00143D1F" w:rsidRDefault="00730F80" w:rsidP="00143D1F">
      <w:pPr>
        <w:spacing w:after="0"/>
        <w:ind w:firstLine="0"/>
        <w:contextualSpacing/>
        <w:rPr>
          <w:b/>
          <w:iCs/>
        </w:rPr>
      </w:pPr>
      <w:r w:rsidRPr="00143D1F">
        <w:rPr>
          <w:b/>
          <w:iCs/>
        </w:rPr>
        <w:t>Гиперчувствительность</w:t>
      </w:r>
    </w:p>
    <w:p w14:paraId="45942E9D" w14:textId="77777777" w:rsidR="00143D1F" w:rsidRDefault="00143D1F" w:rsidP="003F310C">
      <w:pPr>
        <w:pStyle w:val="SDText"/>
        <w:spacing w:after="0"/>
        <w:contextualSpacing/>
      </w:pPr>
    </w:p>
    <w:p w14:paraId="5C9B4A3E" w14:textId="3387FE97" w:rsidR="00730F80" w:rsidRDefault="00730F80" w:rsidP="003F310C">
      <w:pPr>
        <w:pStyle w:val="SDText"/>
        <w:spacing w:after="0"/>
        <w:contextualSpacing/>
      </w:pPr>
      <w:r>
        <w:t xml:space="preserve">У пациентов, принимающих </w:t>
      </w:r>
      <w:r w:rsidR="0075651F" w:rsidRPr="0075651F">
        <w:t>тофацитиниб</w:t>
      </w:r>
      <w:r>
        <w:t>, наблюдались такие реакции гиперчувствительности как ангионевротический отек и крапивница. Некоторые случаи оценивались как серьезные. Большинство реакций возникало у пациентов с множественной аллергией в анамнезе. В случае возникновения серьезной реакции гиперчувствительности необходимо немедленно прекратить применение тофацитиниба до выявления потенциальной причины или причин.</w:t>
      </w:r>
    </w:p>
    <w:p w14:paraId="4C7C1D37" w14:textId="77777777" w:rsidR="00730F80" w:rsidRDefault="00730F80" w:rsidP="003F310C">
      <w:pPr>
        <w:pStyle w:val="SDText"/>
        <w:spacing w:after="0"/>
        <w:contextualSpacing/>
        <w:rPr>
          <w:i/>
          <w:iCs/>
        </w:rPr>
      </w:pPr>
    </w:p>
    <w:p w14:paraId="5079A803" w14:textId="77777777" w:rsidR="00730F80" w:rsidRPr="00143D1F" w:rsidRDefault="00730F80" w:rsidP="00143D1F">
      <w:pPr>
        <w:pStyle w:val="SDText"/>
        <w:spacing w:after="0"/>
        <w:ind w:firstLine="0"/>
        <w:contextualSpacing/>
        <w:rPr>
          <w:b/>
          <w:iCs/>
        </w:rPr>
      </w:pPr>
      <w:r w:rsidRPr="00143D1F">
        <w:rPr>
          <w:b/>
          <w:iCs/>
        </w:rPr>
        <w:t xml:space="preserve">Лабораторные показатели </w:t>
      </w:r>
    </w:p>
    <w:p w14:paraId="585BBBF5" w14:textId="77777777" w:rsidR="00143D1F" w:rsidRDefault="00143D1F" w:rsidP="003F310C">
      <w:pPr>
        <w:spacing w:after="0"/>
        <w:ind w:right="6300"/>
        <w:contextualSpacing/>
        <w:jc w:val="left"/>
        <w:rPr>
          <w:rStyle w:val="63"/>
          <w:rFonts w:eastAsiaTheme="minorHAnsi"/>
          <w:i w:val="0"/>
          <w:iCs w:val="0"/>
          <w:sz w:val="24"/>
          <w:szCs w:val="24"/>
        </w:rPr>
      </w:pPr>
    </w:p>
    <w:p w14:paraId="662F5D8B" w14:textId="48434931" w:rsidR="00730F80" w:rsidRPr="00143D1F" w:rsidRDefault="00730F80" w:rsidP="00143D1F">
      <w:pPr>
        <w:spacing w:after="0"/>
        <w:ind w:right="6300" w:firstLine="0"/>
        <w:contextualSpacing/>
        <w:jc w:val="left"/>
        <w:rPr>
          <w:rStyle w:val="63"/>
          <w:rFonts w:eastAsiaTheme="minorHAnsi"/>
          <w:b/>
          <w:iCs w:val="0"/>
          <w:sz w:val="24"/>
          <w:szCs w:val="24"/>
          <w:u w:val="none"/>
        </w:rPr>
      </w:pPr>
      <w:r w:rsidRPr="00143D1F">
        <w:rPr>
          <w:rStyle w:val="63"/>
          <w:rFonts w:eastAsiaTheme="minorHAnsi"/>
          <w:b/>
          <w:iCs w:val="0"/>
          <w:sz w:val="24"/>
          <w:szCs w:val="24"/>
          <w:u w:val="none"/>
        </w:rPr>
        <w:t>Лимфоциты</w:t>
      </w:r>
    </w:p>
    <w:p w14:paraId="42249143" w14:textId="35663517" w:rsidR="00730F80" w:rsidRPr="0098175F" w:rsidRDefault="00730F80" w:rsidP="00143D1F">
      <w:pPr>
        <w:spacing w:after="0"/>
        <w:ind w:right="-1"/>
        <w:contextualSpacing/>
        <w:rPr>
          <w:szCs w:val="24"/>
        </w:rPr>
      </w:pPr>
      <w:r>
        <w:t>Случаи снижения числа лимфоцитов до уровня менее 500 клеток/мм</w:t>
      </w:r>
      <w:r>
        <w:rPr>
          <w:vertAlign w:val="superscript"/>
        </w:rPr>
        <w:t>3</w:t>
      </w:r>
      <w:r>
        <w:t xml:space="preserve"> были связаны с увеличением частоты серьезных инфекций, которые потребовали терапии. Не рекомендуется начинать терапию </w:t>
      </w:r>
      <w:r w:rsidR="0075651F" w:rsidRPr="0075651F">
        <w:t>тофацитиниб</w:t>
      </w:r>
      <w:r w:rsidR="0075651F">
        <w:t xml:space="preserve">ом </w:t>
      </w:r>
      <w:r>
        <w:t>у пациентов с низким числом лимфоцитов (т. е. менее 500 клеток/мм</w:t>
      </w:r>
      <w:r>
        <w:rPr>
          <w:vertAlign w:val="superscript"/>
        </w:rPr>
        <w:t>3</w:t>
      </w:r>
      <w:r>
        <w:t>). Если у пациента подтверждено снижение абсолютного числа лимфоцитов до уровня менее 500 клеток/мм</w:t>
      </w:r>
      <w:r>
        <w:rPr>
          <w:vertAlign w:val="superscript"/>
        </w:rPr>
        <w:t>3</w:t>
      </w:r>
      <w:r>
        <w:t xml:space="preserve">, лечение </w:t>
      </w:r>
      <w:r w:rsidR="0075651F" w:rsidRPr="0075651F">
        <w:t>тофацитиниб</w:t>
      </w:r>
      <w:r w:rsidR="0075651F">
        <w:t>ом</w:t>
      </w:r>
      <w:r>
        <w:t xml:space="preserve"> не рекомендуется. Уровень лимфоцитов необходимо контролировать на исходном уровне и затем каждые 3 месяца.</w:t>
      </w:r>
    </w:p>
    <w:p w14:paraId="0FE5832C" w14:textId="77777777" w:rsidR="00730F80" w:rsidRPr="00143D1F" w:rsidRDefault="00730F80" w:rsidP="00143D1F">
      <w:pPr>
        <w:pStyle w:val="SDText"/>
        <w:spacing w:after="0"/>
        <w:ind w:firstLine="0"/>
        <w:contextualSpacing/>
        <w:rPr>
          <w:b/>
          <w:i/>
          <w:iCs/>
        </w:rPr>
      </w:pPr>
      <w:r w:rsidRPr="00143D1F">
        <w:rPr>
          <w:b/>
          <w:i/>
          <w:iCs/>
        </w:rPr>
        <w:t>Нейтрофилы</w:t>
      </w:r>
    </w:p>
    <w:p w14:paraId="72E5DB90" w14:textId="06A72D69" w:rsidR="00730F80" w:rsidRDefault="00730F80" w:rsidP="003F310C">
      <w:pPr>
        <w:pStyle w:val="SDText"/>
        <w:spacing w:after="0"/>
        <w:contextualSpacing/>
      </w:pPr>
      <w:r>
        <w:t xml:space="preserve">Лечение </w:t>
      </w:r>
      <w:r w:rsidR="0075651F" w:rsidRPr="0075651F">
        <w:t>тофацитиниб</w:t>
      </w:r>
      <w:r w:rsidR="0075651F">
        <w:t xml:space="preserve">ом </w:t>
      </w:r>
      <w:r>
        <w:t>сопровождалось увеличением частоты развития нейтропении (&lt; 2000 клеток/мм</w:t>
      </w:r>
      <w:r>
        <w:rPr>
          <w:vertAlign w:val="superscript"/>
        </w:rPr>
        <w:t>3</w:t>
      </w:r>
      <w:r>
        <w:t xml:space="preserve">) по сравнению с плацебо. Начинать лечение </w:t>
      </w:r>
      <w:r w:rsidR="0075651F" w:rsidRPr="0075651F">
        <w:t>тофацитиниб</w:t>
      </w:r>
      <w:r w:rsidR="0075651F">
        <w:t>ом</w:t>
      </w:r>
      <w:r>
        <w:t xml:space="preserve"> пациентов с низкой концентрацией нейтрофилов (АЧН менее 1000 клеток/мм</w:t>
      </w:r>
      <w:r>
        <w:rPr>
          <w:vertAlign w:val="superscript"/>
        </w:rPr>
        <w:t>3</w:t>
      </w:r>
      <w:r>
        <w:t xml:space="preserve">) не рекомендуется. У пациентов, получающих </w:t>
      </w:r>
      <w:r w:rsidR="0075651F" w:rsidRPr="0075651F">
        <w:t>тофацитиниб</w:t>
      </w:r>
      <w:r w:rsidR="0075651F">
        <w:t xml:space="preserve"> </w:t>
      </w:r>
      <w:r>
        <w:t>в дозировке 10 мг два раза в день, со стойким снижением АЧН до 500</w:t>
      </w:r>
      <w:r w:rsidR="00531B72">
        <w:t>–</w:t>
      </w:r>
      <w:r>
        <w:t>1000 клеток/мм</w:t>
      </w:r>
      <w:r w:rsidR="00531B72">
        <w:rPr>
          <w:vertAlign w:val="superscript"/>
        </w:rPr>
        <w:t>3</w:t>
      </w:r>
      <w:r>
        <w:t xml:space="preserve"> следует снизить дозу </w:t>
      </w:r>
      <w:r w:rsidR="0075651F" w:rsidRPr="0075651F">
        <w:t xml:space="preserve">тофацитиниба </w:t>
      </w:r>
      <w:r>
        <w:t>до 5 мг два раза в день до достижения концентрации АЧН более 1000 клеток/мм</w:t>
      </w:r>
      <w:r w:rsidR="00EB02F0">
        <w:rPr>
          <w:vertAlign w:val="superscript"/>
        </w:rPr>
        <w:t>3</w:t>
      </w:r>
      <w:r w:rsidR="00EB02F0">
        <w:t xml:space="preserve">. </w:t>
      </w:r>
      <w:r>
        <w:t xml:space="preserve">У пациентов, получающих </w:t>
      </w:r>
      <w:r w:rsidR="0075651F" w:rsidRPr="0075651F">
        <w:t>тофацитиниб</w:t>
      </w:r>
      <w:r w:rsidR="0075651F">
        <w:t xml:space="preserve"> </w:t>
      </w:r>
      <w:r>
        <w:t>в дозировке 5 мг два раза в день или 11 мг один раз в день, со стойким снижением АЧН до 500</w:t>
      </w:r>
      <w:r w:rsidR="00531B72">
        <w:t>–</w:t>
      </w:r>
      <w:r>
        <w:t>1000 клеток/мм</w:t>
      </w:r>
      <w:r w:rsidR="00531B72">
        <w:rPr>
          <w:vertAlign w:val="superscript"/>
        </w:rPr>
        <w:t>3</w:t>
      </w:r>
      <w:r>
        <w:t xml:space="preserve"> следует прекратить лечение до достижения концентрации АЧН более 1000 клеток/мм</w:t>
      </w:r>
      <w:r>
        <w:rPr>
          <w:vertAlign w:val="superscript"/>
        </w:rPr>
        <w:t>3</w:t>
      </w:r>
      <w:r>
        <w:t>. У пациентов с подтвержденным абсолютным числом нейтрофилов менее 500 клеток/мм</w:t>
      </w:r>
      <w:r w:rsidRPr="00D4211D">
        <w:rPr>
          <w:vertAlign w:val="superscript"/>
        </w:rPr>
        <w:t>3</w:t>
      </w:r>
      <w:r>
        <w:t xml:space="preserve"> лечение не рекомендуется. Уровень нейтрофилов следует контролировать на исходном уровне и после 4</w:t>
      </w:r>
      <w:r w:rsidR="00531B72">
        <w:t>–</w:t>
      </w:r>
      <w:r>
        <w:t>8 недель терапии, а затем каждые 3 месяца.</w:t>
      </w:r>
    </w:p>
    <w:p w14:paraId="7725266F" w14:textId="77777777" w:rsidR="00730F80" w:rsidRPr="00143D1F" w:rsidRDefault="00730F80" w:rsidP="00143D1F">
      <w:pPr>
        <w:spacing w:after="0"/>
        <w:ind w:firstLine="0"/>
        <w:contextualSpacing/>
        <w:rPr>
          <w:rStyle w:val="63"/>
          <w:rFonts w:eastAsiaTheme="minorHAnsi"/>
          <w:b/>
          <w:sz w:val="24"/>
          <w:szCs w:val="24"/>
          <w:u w:val="none"/>
        </w:rPr>
      </w:pPr>
      <w:r w:rsidRPr="00143D1F">
        <w:rPr>
          <w:rStyle w:val="63"/>
          <w:rFonts w:eastAsiaTheme="minorHAnsi"/>
          <w:b/>
          <w:sz w:val="24"/>
          <w:szCs w:val="24"/>
          <w:u w:val="none"/>
        </w:rPr>
        <w:t>Гемоглобин</w:t>
      </w:r>
    </w:p>
    <w:p w14:paraId="2D71C511" w14:textId="75DEB086" w:rsidR="00730F80" w:rsidRPr="00143D1F" w:rsidRDefault="00730F80" w:rsidP="00143D1F">
      <w:pPr>
        <w:spacing w:after="0"/>
        <w:contextualSpacing/>
        <w:rPr>
          <w:rStyle w:val="63"/>
          <w:rFonts w:eastAsiaTheme="minorHAnsi" w:cstheme="minorBidi"/>
          <w:iCs w:val="0"/>
          <w:color w:val="auto"/>
          <w:sz w:val="24"/>
          <w:szCs w:val="24"/>
          <w:u w:val="none"/>
          <w:lang w:eastAsia="en-US" w:bidi="ar-SA"/>
        </w:rPr>
      </w:pPr>
      <w:r>
        <w:t xml:space="preserve">Не рекомендуется начинать терапию </w:t>
      </w:r>
      <w:r w:rsidR="0075651F" w:rsidRPr="0075651F">
        <w:t>тофацитиниб</w:t>
      </w:r>
      <w:r w:rsidR="0075651F">
        <w:t>ом</w:t>
      </w:r>
      <w:r>
        <w:t xml:space="preserve"> у пациентов с низким уровнем гемоглобина (менее 9 г/дл). Лечение </w:t>
      </w:r>
      <w:r w:rsidR="0075651F" w:rsidRPr="0075651F">
        <w:t>тофацитиниб</w:t>
      </w:r>
      <w:r w:rsidR="0075651F">
        <w:t xml:space="preserve">ом </w:t>
      </w:r>
      <w:r>
        <w:t>следует прекратить у пациентов с уровнем гемоглобина менее 8 г/дл, либо при снижении уровня гемоглобина на 2 г/дл и более на фоне лечения. Гемоглобин следует контролировать на начальном этапе терапии, после 4-8 недель терапии, а затем каждые 3 месяца.</w:t>
      </w:r>
    </w:p>
    <w:p w14:paraId="00A1F8BE" w14:textId="77777777" w:rsidR="00730F80" w:rsidRPr="00143D1F" w:rsidRDefault="00730F80" w:rsidP="00143D1F">
      <w:pPr>
        <w:spacing w:after="0"/>
        <w:ind w:firstLine="0"/>
        <w:contextualSpacing/>
        <w:rPr>
          <w:rStyle w:val="63"/>
          <w:rFonts w:eastAsiaTheme="minorHAnsi"/>
          <w:b/>
          <w:sz w:val="24"/>
          <w:szCs w:val="24"/>
          <w:u w:val="none"/>
        </w:rPr>
      </w:pPr>
      <w:r w:rsidRPr="00143D1F">
        <w:rPr>
          <w:rStyle w:val="63"/>
          <w:rFonts w:eastAsiaTheme="minorHAnsi"/>
          <w:b/>
          <w:sz w:val="24"/>
          <w:szCs w:val="24"/>
          <w:u w:val="none"/>
        </w:rPr>
        <w:t>Липиды</w:t>
      </w:r>
    </w:p>
    <w:p w14:paraId="60D04326" w14:textId="7B26F598" w:rsidR="00730F80" w:rsidRPr="0098175F" w:rsidRDefault="00730F80" w:rsidP="003F310C">
      <w:pPr>
        <w:spacing w:after="0"/>
        <w:contextualSpacing/>
        <w:rPr>
          <w:i/>
          <w:szCs w:val="24"/>
        </w:rPr>
      </w:pPr>
      <w:r>
        <w:t xml:space="preserve">Лечение </w:t>
      </w:r>
      <w:r w:rsidR="006048C9" w:rsidRPr="006048C9">
        <w:t>тофацитиниб</w:t>
      </w:r>
      <w:r w:rsidR="006048C9">
        <w:t xml:space="preserve">ом </w:t>
      </w:r>
      <w:r>
        <w:t>сопровождается повышением уровня липидов крови</w:t>
      </w:r>
      <w:r w:rsidR="006048C9">
        <w:t xml:space="preserve"> – </w:t>
      </w:r>
      <w:r>
        <w:t xml:space="preserve">общего холестерина, холестерина ЛПНП, а также холестерина липопротеидов высокой плотности (ЛПВП). Максимальный эффект обычно отмечался в течение 6 недель. Оценку липидных параметров следует выполнять по прошествии около 4-8 недель после начала </w:t>
      </w:r>
      <w:r>
        <w:lastRenderedPageBreak/>
        <w:t xml:space="preserve">терапии. Применение статинов у пациентов с повышенной концентрацией общего холестерина и холестерина ЛПНП на фоне терапии </w:t>
      </w:r>
      <w:r w:rsidR="006048C9" w:rsidRPr="006048C9">
        <w:t>тофацитиниб</w:t>
      </w:r>
      <w:r w:rsidR="006048C9">
        <w:t xml:space="preserve">ом </w:t>
      </w:r>
      <w:r>
        <w:t>позволяет достичь исходных показателей.</w:t>
      </w:r>
    </w:p>
    <w:p w14:paraId="56E526D8" w14:textId="77777777" w:rsidR="00143D1F" w:rsidRDefault="00143D1F" w:rsidP="00143D1F">
      <w:pPr>
        <w:spacing w:after="0"/>
        <w:ind w:firstLine="0"/>
        <w:contextualSpacing/>
        <w:rPr>
          <w:b/>
          <w:iCs/>
        </w:rPr>
      </w:pPr>
    </w:p>
    <w:p w14:paraId="30ACF681" w14:textId="4B7B5E80" w:rsidR="00730F80" w:rsidRPr="00143D1F" w:rsidRDefault="00730F80" w:rsidP="00143D1F">
      <w:pPr>
        <w:spacing w:after="0"/>
        <w:ind w:firstLine="0"/>
        <w:contextualSpacing/>
        <w:rPr>
          <w:b/>
          <w:iCs/>
        </w:rPr>
      </w:pPr>
      <w:r w:rsidRPr="00143D1F">
        <w:rPr>
          <w:b/>
          <w:iCs/>
        </w:rPr>
        <w:t>Вакцинации</w:t>
      </w:r>
    </w:p>
    <w:p w14:paraId="76D657B1" w14:textId="77777777" w:rsidR="00143D1F" w:rsidRDefault="00143D1F" w:rsidP="003F310C">
      <w:pPr>
        <w:spacing w:after="0"/>
        <w:contextualSpacing/>
      </w:pPr>
    </w:p>
    <w:p w14:paraId="76796ECE" w14:textId="2B3ECD56" w:rsidR="00730F80" w:rsidRPr="0098175F" w:rsidRDefault="00730F80" w:rsidP="003F310C">
      <w:pPr>
        <w:spacing w:after="0"/>
        <w:contextualSpacing/>
        <w:rPr>
          <w:i/>
          <w:iCs/>
        </w:rPr>
      </w:pPr>
      <w:r>
        <w:t xml:space="preserve">Информация по вторичной трансмиссии инфекции при введении живых вакцин пациентам, получающим </w:t>
      </w:r>
      <w:r w:rsidR="006048C9" w:rsidRPr="006048C9">
        <w:t>тофацитиниб</w:t>
      </w:r>
      <w:r>
        <w:t xml:space="preserve">, до настоящего времени отсутствует. Не рекомендуется вводить живые вакцины одновременно с </w:t>
      </w:r>
      <w:r w:rsidR="006048C9" w:rsidRPr="006048C9">
        <w:t>тофацитиниб</w:t>
      </w:r>
      <w:r w:rsidR="006048C9">
        <w:t>ом</w:t>
      </w:r>
      <w:r>
        <w:t xml:space="preserve">. Рекомендуется, чтобы до начала применения </w:t>
      </w:r>
      <w:r w:rsidR="006048C9" w:rsidRPr="006048C9">
        <w:t xml:space="preserve">тофацитиниба </w:t>
      </w:r>
      <w:r>
        <w:t xml:space="preserve">все пациенты выполнили необходимую иммунизацию в соответствии с современными рекомендациями по вакцинации. Промежуток между вакцинацией живыми вакцинами и началом терапии тофацитинибом должен соответствовать имеющимся руководствам по вакцинации в отношении пациентов, получающих терапию иммуномодулирующими средствами. Согласно этим руководствам, если вводится живая вакцина от опоясывающего герпеса </w:t>
      </w:r>
      <w:r w:rsidRPr="00020402">
        <w:rPr>
          <w:lang w:bidi="en-US"/>
        </w:rPr>
        <w:t>(</w:t>
      </w:r>
      <w:r>
        <w:rPr>
          <w:lang w:val="en-US" w:bidi="en-US"/>
        </w:rPr>
        <w:t>herpes</w:t>
      </w:r>
      <w:r w:rsidRPr="00020402">
        <w:rPr>
          <w:lang w:bidi="en-US"/>
        </w:rPr>
        <w:t xml:space="preserve"> </w:t>
      </w:r>
      <w:r>
        <w:rPr>
          <w:lang w:val="en-US" w:bidi="en-US"/>
        </w:rPr>
        <w:t>zoster</w:t>
      </w:r>
      <w:r w:rsidRPr="00020402">
        <w:rPr>
          <w:lang w:bidi="en-US"/>
        </w:rPr>
        <w:t xml:space="preserve">), </w:t>
      </w:r>
      <w:r>
        <w:t>ее следует вводить только пациентам с документированным в анамнезе случаем заболевания ветряной оспой или пациентам, серопозитивным в отношении вируса ветряной оспы. Вакцинацию следует проводить по меньшей мере за 2 недели, но предпочтительно за 4 недели до начала терапии иммуномодулирующими средствами, такими как тофацитиниб.</w:t>
      </w:r>
    </w:p>
    <w:p w14:paraId="2B9CBAAA" w14:textId="77777777" w:rsidR="00730F80" w:rsidRDefault="00730F80" w:rsidP="003F310C">
      <w:pPr>
        <w:spacing w:after="0"/>
        <w:contextualSpacing/>
        <w:rPr>
          <w:i/>
          <w:iCs/>
        </w:rPr>
      </w:pPr>
    </w:p>
    <w:p w14:paraId="36B1DFE7" w14:textId="77777777" w:rsidR="00730F80" w:rsidRPr="00143D1F" w:rsidRDefault="00730F80" w:rsidP="00143D1F">
      <w:pPr>
        <w:spacing w:after="0"/>
        <w:ind w:firstLine="0"/>
        <w:contextualSpacing/>
        <w:rPr>
          <w:b/>
          <w:iCs/>
        </w:rPr>
      </w:pPr>
      <w:r w:rsidRPr="00143D1F">
        <w:rPr>
          <w:b/>
          <w:iCs/>
        </w:rPr>
        <w:t>Пациенты с нарушением функции почек</w:t>
      </w:r>
    </w:p>
    <w:p w14:paraId="6EEC7E0C" w14:textId="77777777" w:rsidR="00143D1F" w:rsidRDefault="00143D1F" w:rsidP="003F310C">
      <w:pPr>
        <w:spacing w:after="0"/>
        <w:contextualSpacing/>
      </w:pPr>
    </w:p>
    <w:p w14:paraId="60E77A15" w14:textId="20A8BE3C" w:rsidR="00730F80" w:rsidRDefault="00730F80" w:rsidP="003F310C">
      <w:pPr>
        <w:spacing w:after="0"/>
        <w:contextualSpacing/>
      </w:pPr>
      <w:r>
        <w:t xml:space="preserve">Пациентам с нарушением функции почек легкой или средней степени тяжести не требуется коррекции дозы. Доза </w:t>
      </w:r>
      <w:r w:rsidR="006048C9" w:rsidRPr="006048C9">
        <w:t xml:space="preserve">тофацитиниба </w:t>
      </w:r>
      <w:r>
        <w:t xml:space="preserve">не должна превышать 11 мг один раз в сутки у пациентов с тяжелыми нарушениями функции почек. </w:t>
      </w:r>
    </w:p>
    <w:p w14:paraId="2B435750" w14:textId="0496BA93" w:rsidR="00730F80" w:rsidRPr="0098175F" w:rsidRDefault="00730F80" w:rsidP="003F310C">
      <w:pPr>
        <w:spacing w:after="0"/>
        <w:contextualSpacing/>
        <w:rPr>
          <w:i/>
          <w:iCs/>
        </w:rPr>
      </w:pPr>
      <w:r>
        <w:t xml:space="preserve">В клинических исследованиях </w:t>
      </w:r>
      <w:r w:rsidR="006048C9" w:rsidRPr="006048C9">
        <w:t>тофацитиниб</w:t>
      </w:r>
      <w:r w:rsidR="006048C9">
        <w:t xml:space="preserve"> </w:t>
      </w:r>
      <w:r>
        <w:t xml:space="preserve">не изучали у пациентов с исходными значениями клиренса креатинина (расчет производился по формуле Кокрофта-Голта) &lt; 40 мл/мин. </w:t>
      </w:r>
    </w:p>
    <w:p w14:paraId="5179702D" w14:textId="77777777" w:rsidR="00730F80" w:rsidRDefault="00730F80" w:rsidP="003F310C">
      <w:pPr>
        <w:spacing w:after="0"/>
        <w:contextualSpacing/>
        <w:jc w:val="left"/>
        <w:rPr>
          <w:rStyle w:val="23"/>
          <w:rFonts w:eastAsiaTheme="minorHAnsi"/>
          <w:sz w:val="24"/>
          <w:szCs w:val="24"/>
        </w:rPr>
      </w:pPr>
    </w:p>
    <w:p w14:paraId="3AD15F91" w14:textId="77777777" w:rsidR="00730F80" w:rsidRPr="00143D1F" w:rsidRDefault="00730F80" w:rsidP="00143D1F">
      <w:pPr>
        <w:spacing w:after="0"/>
        <w:ind w:firstLine="0"/>
        <w:contextualSpacing/>
        <w:jc w:val="left"/>
        <w:rPr>
          <w:b/>
          <w:i/>
          <w:szCs w:val="24"/>
        </w:rPr>
      </w:pPr>
      <w:r w:rsidRPr="00143D1F">
        <w:rPr>
          <w:rStyle w:val="23"/>
          <w:rFonts w:eastAsiaTheme="minorHAnsi"/>
          <w:b/>
          <w:i w:val="0"/>
          <w:sz w:val="24"/>
          <w:szCs w:val="24"/>
        </w:rPr>
        <w:t>Пациенты с нарушением функции печени</w:t>
      </w:r>
    </w:p>
    <w:p w14:paraId="350703E6" w14:textId="77777777" w:rsidR="00143D1F" w:rsidRDefault="00143D1F" w:rsidP="003F310C">
      <w:pPr>
        <w:pStyle w:val="SDText"/>
        <w:spacing w:after="0"/>
        <w:contextualSpacing/>
      </w:pPr>
    </w:p>
    <w:p w14:paraId="0D4C02C3" w14:textId="22551203" w:rsidR="00730F80" w:rsidRDefault="00730F80" w:rsidP="003F310C">
      <w:pPr>
        <w:pStyle w:val="SDText"/>
        <w:spacing w:after="0"/>
        <w:contextualSpacing/>
      </w:pPr>
      <w:r>
        <w:t xml:space="preserve">Коррекция дозы не требуется у пациентов с нарушением функции печени легкой степени. Доза </w:t>
      </w:r>
      <w:r w:rsidR="003A76A1" w:rsidRPr="003A76A1">
        <w:t>тофацитиниба</w:t>
      </w:r>
      <w:r>
        <w:t xml:space="preserve"> не должна превышать 11 мг один раз в сутки у пациентов с нарушением функции печени средней степени тяжести. </w:t>
      </w:r>
      <w:r w:rsidR="006048C9">
        <w:t>Т</w:t>
      </w:r>
      <w:r w:rsidR="006048C9" w:rsidRPr="006048C9">
        <w:t xml:space="preserve">офацитиниб </w:t>
      </w:r>
      <w:r>
        <w:t>не следует использовать у пациентов с тяжелым нарушением функции печени</w:t>
      </w:r>
      <w:r w:rsidR="00531B72">
        <w:t>.</w:t>
      </w:r>
      <w:r>
        <w:t xml:space="preserve"> В клинических исследованиях </w:t>
      </w:r>
      <w:r w:rsidR="006048C9" w:rsidRPr="006048C9">
        <w:t>тофацитиниб</w:t>
      </w:r>
      <w:r w:rsidR="006048C9">
        <w:t xml:space="preserve"> </w:t>
      </w:r>
      <w:r>
        <w:t xml:space="preserve">не изучали у пациентов с тяжелым нарушением функции печени или у пациентов с положительной </w:t>
      </w:r>
      <w:r>
        <w:rPr>
          <w:lang w:val="en-US" w:bidi="en-US"/>
        </w:rPr>
        <w:t>HBV</w:t>
      </w:r>
      <w:r w:rsidRPr="00020402">
        <w:rPr>
          <w:lang w:bidi="en-US"/>
        </w:rPr>
        <w:t xml:space="preserve"> </w:t>
      </w:r>
      <w:r>
        <w:t xml:space="preserve">или </w:t>
      </w:r>
      <w:r>
        <w:rPr>
          <w:lang w:val="en-US" w:bidi="en-US"/>
        </w:rPr>
        <w:t>HCV</w:t>
      </w:r>
      <w:r w:rsidRPr="00020402">
        <w:rPr>
          <w:lang w:bidi="en-US"/>
        </w:rPr>
        <w:t xml:space="preserve"> </w:t>
      </w:r>
      <w:r>
        <w:t>серологией.</w:t>
      </w:r>
    </w:p>
    <w:p w14:paraId="3812B873" w14:textId="77777777" w:rsidR="00730F80" w:rsidRDefault="00730F80" w:rsidP="003F310C">
      <w:pPr>
        <w:pStyle w:val="SDText"/>
        <w:spacing w:after="0"/>
        <w:contextualSpacing/>
        <w:rPr>
          <w:i/>
          <w:iCs/>
        </w:rPr>
      </w:pPr>
    </w:p>
    <w:p w14:paraId="413AE3CD" w14:textId="77777777" w:rsidR="00730F80" w:rsidRPr="00143D1F" w:rsidRDefault="00730F80" w:rsidP="00143D1F">
      <w:pPr>
        <w:pStyle w:val="SDText"/>
        <w:spacing w:after="0"/>
        <w:ind w:firstLine="0"/>
        <w:contextualSpacing/>
        <w:rPr>
          <w:b/>
          <w:iCs/>
        </w:rPr>
      </w:pPr>
      <w:r w:rsidRPr="00143D1F">
        <w:rPr>
          <w:b/>
          <w:iCs/>
        </w:rPr>
        <w:t xml:space="preserve">Сочетание с другими методами лечения </w:t>
      </w:r>
    </w:p>
    <w:p w14:paraId="3BD536D7" w14:textId="77777777" w:rsidR="00143D1F" w:rsidRDefault="00143D1F" w:rsidP="003F310C">
      <w:pPr>
        <w:spacing w:after="0"/>
        <w:ind w:right="5020"/>
        <w:contextualSpacing/>
        <w:jc w:val="left"/>
        <w:rPr>
          <w:rStyle w:val="63"/>
          <w:rFonts w:eastAsiaTheme="minorHAnsi"/>
          <w:i w:val="0"/>
          <w:sz w:val="24"/>
          <w:szCs w:val="24"/>
        </w:rPr>
      </w:pPr>
    </w:p>
    <w:p w14:paraId="0B420904" w14:textId="0C733C19" w:rsidR="00730F80" w:rsidRPr="00143D1F" w:rsidRDefault="00730F80" w:rsidP="00143D1F">
      <w:pPr>
        <w:spacing w:after="0"/>
        <w:ind w:right="5020" w:firstLine="0"/>
        <w:contextualSpacing/>
        <w:jc w:val="left"/>
        <w:rPr>
          <w:rStyle w:val="63"/>
          <w:rFonts w:eastAsiaTheme="minorHAnsi"/>
          <w:b/>
          <w:sz w:val="24"/>
          <w:szCs w:val="24"/>
          <w:u w:val="none"/>
        </w:rPr>
      </w:pPr>
      <w:r w:rsidRPr="00143D1F">
        <w:rPr>
          <w:rStyle w:val="63"/>
          <w:rFonts w:eastAsiaTheme="minorHAnsi"/>
          <w:b/>
          <w:sz w:val="24"/>
          <w:szCs w:val="24"/>
          <w:u w:val="none"/>
        </w:rPr>
        <w:t>Ревматоидный артрит</w:t>
      </w:r>
    </w:p>
    <w:p w14:paraId="37244520" w14:textId="3E09DB5A" w:rsidR="00730F80" w:rsidRPr="00143D1F" w:rsidRDefault="00730F80" w:rsidP="00143D1F">
      <w:pPr>
        <w:spacing w:after="0"/>
        <w:ind w:right="-1"/>
        <w:contextualSpacing/>
        <w:rPr>
          <w:rStyle w:val="63"/>
          <w:rFonts w:eastAsiaTheme="minorHAnsi" w:cstheme="minorBidi"/>
          <w:iCs w:val="0"/>
          <w:color w:val="auto"/>
          <w:sz w:val="24"/>
          <w:szCs w:val="24"/>
          <w:u w:val="none"/>
          <w:lang w:eastAsia="en-US" w:bidi="ar-SA"/>
        </w:rPr>
      </w:pPr>
      <w:r>
        <w:t xml:space="preserve">Тофацитиниб не был изучен, и следует избегать его применения у пациентов с РА в сочетании с биологическими БМАРП, такими как ингибиторы ФНО, антагонисты интерлейкинов </w:t>
      </w:r>
      <w:r>
        <w:rPr>
          <w:lang w:val="en-US" w:bidi="en-US"/>
        </w:rPr>
        <w:t>IL</w:t>
      </w:r>
      <w:r w:rsidRPr="00020402">
        <w:rPr>
          <w:lang w:bidi="en-US"/>
        </w:rPr>
        <w:t>-1</w:t>
      </w:r>
      <w:r>
        <w:rPr>
          <w:lang w:val="en-US" w:bidi="en-US"/>
        </w:rPr>
        <w:t>R</w:t>
      </w:r>
      <w:r w:rsidRPr="00020402">
        <w:rPr>
          <w:lang w:bidi="en-US"/>
        </w:rPr>
        <w:t xml:space="preserve">, </w:t>
      </w:r>
      <w:r>
        <w:rPr>
          <w:lang w:val="en-US" w:bidi="en-US"/>
        </w:rPr>
        <w:t>IL</w:t>
      </w:r>
      <w:r w:rsidRPr="00020402">
        <w:rPr>
          <w:lang w:bidi="en-US"/>
        </w:rPr>
        <w:t>-6</w:t>
      </w:r>
      <w:r>
        <w:rPr>
          <w:lang w:val="en-US" w:bidi="en-US"/>
        </w:rPr>
        <w:t>R</w:t>
      </w:r>
      <w:r w:rsidRPr="00020402">
        <w:rPr>
          <w:lang w:bidi="en-US"/>
        </w:rPr>
        <w:t xml:space="preserve">, </w:t>
      </w:r>
      <w:r>
        <w:t>моноклональные анти-</w:t>
      </w:r>
      <w:r w:rsidR="005C27E6">
        <w:rPr>
          <w:lang w:val="en-US"/>
        </w:rPr>
        <w:t>CD</w:t>
      </w:r>
      <w:r>
        <w:t>20 антитела, селективные ко- стимулирующие модуляторы, мощные иммунодепрессанты, такие как азатиоприн и циклоспорин, поскольку такая комбинация увеличивает вероятность выраженной иммуносупрессии и риск развития инфекции.</w:t>
      </w:r>
    </w:p>
    <w:p w14:paraId="057CA96E" w14:textId="77777777" w:rsidR="00730F80" w:rsidRPr="00143D1F" w:rsidRDefault="00730F80" w:rsidP="00143D1F">
      <w:pPr>
        <w:spacing w:after="0"/>
        <w:ind w:firstLine="0"/>
        <w:contextualSpacing/>
        <w:rPr>
          <w:rStyle w:val="63"/>
          <w:rFonts w:eastAsiaTheme="minorHAnsi"/>
          <w:b/>
          <w:sz w:val="24"/>
          <w:szCs w:val="24"/>
          <w:u w:val="none"/>
        </w:rPr>
      </w:pPr>
      <w:r w:rsidRPr="00143D1F">
        <w:rPr>
          <w:rStyle w:val="63"/>
          <w:rFonts w:eastAsiaTheme="minorHAnsi"/>
          <w:b/>
          <w:sz w:val="24"/>
          <w:szCs w:val="24"/>
          <w:u w:val="none"/>
        </w:rPr>
        <w:t>Псориатический артрит</w:t>
      </w:r>
    </w:p>
    <w:p w14:paraId="1A7C9B68" w14:textId="77777777" w:rsidR="00730F80" w:rsidRDefault="00730F80" w:rsidP="00143D1F">
      <w:pPr>
        <w:spacing w:after="0"/>
        <w:contextualSpacing/>
      </w:pPr>
      <w:r>
        <w:lastRenderedPageBreak/>
        <w:t xml:space="preserve">Тофацитиниб не был изучен, и следует избегать его применения у пациентов с активным псориатическим артритом в сочетании с биологическими БМАРП, такими как ингибиторы </w:t>
      </w:r>
      <w:r>
        <w:rPr>
          <w:lang w:val="en-US"/>
        </w:rPr>
        <w:t>TNF</w:t>
      </w:r>
      <w:r w:rsidRPr="00C4502B">
        <w:t>-</w:t>
      </w:r>
      <w:r>
        <w:rPr>
          <w:rFonts w:cs="Times New Roman"/>
        </w:rPr>
        <w:t>α</w:t>
      </w:r>
      <w:r>
        <w:t xml:space="preserve">, антагонисты </w:t>
      </w:r>
      <w:r>
        <w:rPr>
          <w:lang w:val="en-US" w:bidi="en-US"/>
        </w:rPr>
        <w:t>IL</w:t>
      </w:r>
      <w:r w:rsidRPr="00020402">
        <w:rPr>
          <w:lang w:bidi="en-US"/>
        </w:rPr>
        <w:t xml:space="preserve">-17 </w:t>
      </w:r>
      <w:r>
        <w:t xml:space="preserve">и антагонисты </w:t>
      </w:r>
      <w:r>
        <w:rPr>
          <w:lang w:val="en-US" w:bidi="en-US"/>
        </w:rPr>
        <w:t>IL</w:t>
      </w:r>
      <w:r w:rsidRPr="00020402">
        <w:rPr>
          <w:lang w:bidi="en-US"/>
        </w:rPr>
        <w:t>-12</w:t>
      </w:r>
      <w:r>
        <w:t>/</w:t>
      </w:r>
      <w:r>
        <w:rPr>
          <w:lang w:val="en-US" w:bidi="en-US"/>
        </w:rPr>
        <w:t>IL</w:t>
      </w:r>
      <w:r w:rsidRPr="00020402">
        <w:rPr>
          <w:lang w:bidi="en-US"/>
        </w:rPr>
        <w:t xml:space="preserve">-23, </w:t>
      </w:r>
      <w:r>
        <w:t>и мощные иммунодепрессанты, такие как азатиоприн и циклоспорин, поскольку такая комбинация увеличивает вероятность выраженной иммуносупрессии и риск развития инфекции.</w:t>
      </w:r>
    </w:p>
    <w:p w14:paraId="1A6040A5" w14:textId="2696FFC3" w:rsidR="00730F80" w:rsidRPr="00143D1F" w:rsidRDefault="00730F80" w:rsidP="00143D1F">
      <w:pPr>
        <w:spacing w:after="0"/>
        <w:contextualSpacing/>
        <w:rPr>
          <w:i/>
          <w:szCs w:val="24"/>
          <w:u w:val="single"/>
        </w:rPr>
      </w:pPr>
      <w:r>
        <w:t xml:space="preserve">Использование </w:t>
      </w:r>
      <w:r w:rsidR="006048C9" w:rsidRPr="006048C9">
        <w:t xml:space="preserve">тофацитиниба </w:t>
      </w:r>
      <w:r>
        <w:t>в сочетании с ингибиторами фосфодиэстеразы 4 не изучалось в клинических исследованиях тофацитиниба.</w:t>
      </w:r>
    </w:p>
    <w:p w14:paraId="799CC4A4" w14:textId="77777777" w:rsidR="00730F80" w:rsidRPr="00143D1F" w:rsidRDefault="00730F80" w:rsidP="00143D1F">
      <w:pPr>
        <w:spacing w:after="0"/>
        <w:ind w:firstLine="0"/>
        <w:contextualSpacing/>
        <w:rPr>
          <w:b/>
          <w:i/>
          <w:iCs/>
        </w:rPr>
      </w:pPr>
      <w:r w:rsidRPr="00143D1F">
        <w:rPr>
          <w:b/>
          <w:i/>
          <w:iCs/>
        </w:rPr>
        <w:t>Общие данные</w:t>
      </w:r>
    </w:p>
    <w:p w14:paraId="0E30CB75" w14:textId="29B2A82D" w:rsidR="00730F80" w:rsidRDefault="00730F80" w:rsidP="003F310C">
      <w:pPr>
        <w:spacing w:after="0"/>
        <w:contextualSpacing/>
      </w:pPr>
      <w:r>
        <w:t xml:space="preserve">Как и с любым другим недеформируемым материалом, следует соблюдать осторожность при применении </w:t>
      </w:r>
      <w:r w:rsidR="006048C9" w:rsidRPr="006048C9">
        <w:t xml:space="preserve">тофацитиниба </w:t>
      </w:r>
      <w:r>
        <w:t>у пациентов с ранее существовавшим тяжелым сужением желудочно-кишечного тракта (патологическим или ятрогенным). Были зарегистрированы редкие сообщения об обструктивных симптомах у пациентов с известными стриктурами в связи с приемом других препаратов, использующих недеформируемые лекарственные формы с модифицированным высвобождением.</w:t>
      </w:r>
    </w:p>
    <w:p w14:paraId="00F9EEFF" w14:textId="77777777" w:rsidR="00730F80" w:rsidRPr="0098175F" w:rsidRDefault="00730F80" w:rsidP="003F310C">
      <w:pPr>
        <w:spacing w:after="0"/>
        <w:contextualSpacing/>
        <w:rPr>
          <w:i/>
          <w:iCs/>
        </w:rPr>
      </w:pPr>
    </w:p>
    <w:p w14:paraId="0F52558D" w14:textId="5EAA0DD3" w:rsidR="00730F80" w:rsidRDefault="00C822D7" w:rsidP="00C822D7">
      <w:pPr>
        <w:pStyle w:val="3"/>
        <w:numPr>
          <w:ilvl w:val="0"/>
          <w:numId w:val="0"/>
        </w:numPr>
        <w:ind w:left="720" w:hanging="720"/>
      </w:pPr>
      <w:bookmarkStart w:id="330" w:name="_Toc115421105"/>
      <w:bookmarkStart w:id="331" w:name="_Toc121592646"/>
      <w:r>
        <w:t xml:space="preserve">5.3.9. </w:t>
      </w:r>
      <w:r w:rsidR="00730F80" w:rsidRPr="0024475A">
        <w:t>Влияние</w:t>
      </w:r>
      <w:r w:rsidR="00730F80" w:rsidRPr="00EC6573">
        <w:t xml:space="preserve"> </w:t>
      </w:r>
      <w:r w:rsidR="00730F80" w:rsidRPr="0024475A">
        <w:t>на</w:t>
      </w:r>
      <w:r w:rsidR="00730F80" w:rsidRPr="00EC6573">
        <w:t xml:space="preserve"> </w:t>
      </w:r>
      <w:r w:rsidR="00730F80" w:rsidRPr="0024475A">
        <w:t>способность</w:t>
      </w:r>
      <w:r w:rsidR="00730F80" w:rsidRPr="00EC6573">
        <w:t xml:space="preserve"> </w:t>
      </w:r>
      <w:r w:rsidR="00730F80" w:rsidRPr="0024475A">
        <w:t>управлять</w:t>
      </w:r>
      <w:r w:rsidR="00730F80" w:rsidRPr="00EC6573">
        <w:t xml:space="preserve"> </w:t>
      </w:r>
      <w:r w:rsidR="00730F80" w:rsidRPr="0024475A">
        <w:t>транспортными</w:t>
      </w:r>
      <w:r w:rsidR="00730F80" w:rsidRPr="00EC6573">
        <w:t xml:space="preserve"> </w:t>
      </w:r>
      <w:r w:rsidR="00730F80" w:rsidRPr="0024475A">
        <w:t>средствами</w:t>
      </w:r>
      <w:r w:rsidR="00730F80" w:rsidRPr="00EC6573">
        <w:t xml:space="preserve"> </w:t>
      </w:r>
      <w:r w:rsidR="00730F80" w:rsidRPr="0024475A">
        <w:t>и</w:t>
      </w:r>
      <w:r w:rsidR="00730F80" w:rsidRPr="00EC6573">
        <w:t xml:space="preserve"> </w:t>
      </w:r>
      <w:r w:rsidR="00730F80" w:rsidRPr="0024475A">
        <w:t>механизмами</w:t>
      </w:r>
      <w:bookmarkEnd w:id="330"/>
      <w:bookmarkEnd w:id="331"/>
    </w:p>
    <w:p w14:paraId="4277D3B0" w14:textId="458DB93F" w:rsidR="00730F80" w:rsidRDefault="00730F80" w:rsidP="00143D1F">
      <w:pPr>
        <w:spacing w:after="0"/>
      </w:pPr>
    </w:p>
    <w:p w14:paraId="0A00E0A1" w14:textId="08EC2FD0" w:rsidR="00730F80" w:rsidRDefault="00730F80" w:rsidP="00143D1F">
      <w:pPr>
        <w:pStyle w:val="SDText"/>
        <w:spacing w:after="0"/>
        <w:contextualSpacing/>
      </w:pPr>
      <w:r w:rsidRPr="006C7DCA">
        <w:t xml:space="preserve">Исследования влияния </w:t>
      </w:r>
      <w:bookmarkStart w:id="332" w:name="_Hlk120604177"/>
      <w:r w:rsidR="003A76A1">
        <w:t>тофацитиниба</w:t>
      </w:r>
      <w:bookmarkEnd w:id="332"/>
      <w:r w:rsidRPr="006C7DCA">
        <w:t xml:space="preserve"> на способность к управлению автомобилем и работе с механизмами не проводились.</w:t>
      </w:r>
    </w:p>
    <w:p w14:paraId="67F2E61F" w14:textId="77777777" w:rsidR="00791E09" w:rsidRDefault="00791E09" w:rsidP="00143D1F">
      <w:pPr>
        <w:pStyle w:val="SDText"/>
        <w:spacing w:after="0"/>
        <w:contextualSpacing/>
      </w:pPr>
    </w:p>
    <w:p w14:paraId="02B3AB6D" w14:textId="6AD58C78" w:rsidR="00730F80" w:rsidRPr="0098175F" w:rsidRDefault="00C822D7" w:rsidP="00A21D08">
      <w:pPr>
        <w:pStyle w:val="1"/>
      </w:pPr>
      <w:bookmarkStart w:id="333" w:name="_Toc115421106"/>
      <w:bookmarkStart w:id="334" w:name="_Toc121592647"/>
      <w:r>
        <w:t xml:space="preserve">6. </w:t>
      </w:r>
      <w:r w:rsidR="00730F80">
        <w:t>ЗАКЛЮЧЕНИЕ</w:t>
      </w:r>
      <w:bookmarkEnd w:id="333"/>
      <w:bookmarkEnd w:id="334"/>
    </w:p>
    <w:p w14:paraId="41C42B5F" w14:textId="77777777" w:rsidR="00730F80" w:rsidRDefault="00730F80" w:rsidP="003F310C">
      <w:pPr>
        <w:pStyle w:val="SDText"/>
        <w:spacing w:after="0"/>
        <w:contextualSpacing/>
      </w:pPr>
    </w:p>
    <w:p w14:paraId="1DC0ACE3" w14:textId="77777777" w:rsidR="00730F80" w:rsidRDefault="00730F80" w:rsidP="003F310C">
      <w:pPr>
        <w:pStyle w:val="SDText"/>
        <w:spacing w:after="0"/>
        <w:contextualSpacing/>
      </w:pPr>
      <w:r w:rsidRPr="00E663E4">
        <w:t xml:space="preserve">Тофацитиниб является первым в своем классе ингибитором </w:t>
      </w:r>
      <w:r w:rsidRPr="00027104">
        <w:rPr>
          <w:lang w:val="en-US"/>
        </w:rPr>
        <w:t>JAK</w:t>
      </w:r>
      <w:r w:rsidRPr="00E663E4">
        <w:t xml:space="preserve">. </w:t>
      </w:r>
      <w:r w:rsidRPr="00027104">
        <w:t xml:space="preserve">Механизм действия </w:t>
      </w:r>
      <w:r>
        <w:t>т</w:t>
      </w:r>
      <w:r w:rsidRPr="00E663E4">
        <w:t>офацитиниб</w:t>
      </w:r>
      <w:r>
        <w:t xml:space="preserve">а </w:t>
      </w:r>
      <w:r w:rsidRPr="00027104">
        <w:t>включает ингибирование JAK1, JAK2 и JAK3 с меньшей ингибирующей активностью в отношении TyK2. Ингибирование этих киназ уменьшает высвобождение воспалительных цитокинов, что, в свою очередь, уменьшает активацию и пролиферацию лимфоцитов</w:t>
      </w:r>
      <w:r>
        <w:t xml:space="preserve">. </w:t>
      </w:r>
      <w:r w:rsidRPr="00423DB9">
        <w:t xml:space="preserve">Первый ингибитор JAK </w:t>
      </w:r>
      <w:r>
        <w:t>тофацитиниб</w:t>
      </w:r>
      <w:r w:rsidRPr="00423DB9">
        <w:t xml:space="preserve"> (Яквинус</w:t>
      </w:r>
      <w:r w:rsidRPr="00423DB9">
        <w:rPr>
          <w:vertAlign w:val="superscript"/>
        </w:rPr>
        <w:t>®</w:t>
      </w:r>
      <w:r w:rsidRPr="00423DB9">
        <w:t xml:space="preserve">) был одобрен </w:t>
      </w:r>
      <w:r>
        <w:rPr>
          <w:lang w:val="en-US"/>
        </w:rPr>
        <w:t>FDA</w:t>
      </w:r>
      <w:r w:rsidRPr="00D177AA">
        <w:t xml:space="preserve"> </w:t>
      </w:r>
      <w:r w:rsidRPr="00423DB9">
        <w:t>в 2012</w:t>
      </w:r>
      <w:r>
        <w:t xml:space="preserve"> г</w:t>
      </w:r>
      <w:r w:rsidRPr="00423DB9">
        <w:t xml:space="preserve">. В России препарат был зарегистрирован в </w:t>
      </w:r>
      <w:r w:rsidRPr="00B26099">
        <w:t xml:space="preserve">2013 </w:t>
      </w:r>
      <w:r>
        <w:t>г.</w:t>
      </w:r>
      <w:r w:rsidRPr="00B26099">
        <w:t xml:space="preserve"> (</w:t>
      </w:r>
      <w:r>
        <w:t>таблетки, покрытые пленочной оболочкой</w:t>
      </w:r>
      <w:r w:rsidRPr="00B26099">
        <w:t xml:space="preserve">) </w:t>
      </w:r>
      <w:r>
        <w:t xml:space="preserve">и в </w:t>
      </w:r>
      <w:r w:rsidRPr="00423DB9">
        <w:t>2021 г</w:t>
      </w:r>
      <w:r>
        <w:t xml:space="preserve">. (таблетки с модифицированным высвобождением, покрытые пленочной оболочкой). </w:t>
      </w:r>
    </w:p>
    <w:p w14:paraId="03B554FD" w14:textId="77777777" w:rsidR="00730F80" w:rsidRDefault="00730F80" w:rsidP="003F310C">
      <w:pPr>
        <w:pStyle w:val="SDText"/>
        <w:spacing w:after="0"/>
        <w:contextualSpacing/>
      </w:pPr>
      <w:r w:rsidRPr="00B8581C">
        <w:t xml:space="preserve">Для изучения </w:t>
      </w:r>
      <w:r>
        <w:t>тофацитиниба</w:t>
      </w:r>
      <w:r w:rsidRPr="00B8581C">
        <w:t xml:space="preserve"> было проведено большое количество доклинических исследований. Эти исследования включали серию исследований как </w:t>
      </w:r>
      <w:r w:rsidRPr="00B8581C">
        <w:rPr>
          <w:i/>
          <w:iCs/>
        </w:rPr>
        <w:t>in vitro</w:t>
      </w:r>
      <w:r w:rsidRPr="00B8581C">
        <w:t xml:space="preserve">, так и </w:t>
      </w:r>
      <w:r w:rsidRPr="00B8581C">
        <w:rPr>
          <w:i/>
          <w:iCs/>
        </w:rPr>
        <w:t>in vivo</w:t>
      </w:r>
      <w:r w:rsidRPr="00B8581C">
        <w:t xml:space="preserve">, в результате которых были хорошо изучены фармакодинамические, фармакокинетические и токсикологические свойства </w:t>
      </w:r>
      <w:r>
        <w:t>тофацитиниба</w:t>
      </w:r>
      <w:r w:rsidRPr="00B8581C">
        <w:t>.</w:t>
      </w:r>
    </w:p>
    <w:p w14:paraId="5E8A1D30" w14:textId="77777777" w:rsidR="00730F80" w:rsidRDefault="00730F80" w:rsidP="003F310C">
      <w:pPr>
        <w:pStyle w:val="SDText"/>
        <w:spacing w:after="0"/>
        <w:contextualSpacing/>
        <w:rPr>
          <w:rFonts w:eastAsia="MS Mincho" w:cs="Times New Roman"/>
          <w:szCs w:val="24"/>
          <w:lang w:eastAsia="ja-JP"/>
        </w:rPr>
      </w:pPr>
      <w:r w:rsidRPr="00842A5A">
        <w:rPr>
          <w:rFonts w:eastAsia="MS Mincho" w:cs="Times New Roman"/>
          <w:szCs w:val="24"/>
          <w:lang w:eastAsia="ja-JP"/>
        </w:rPr>
        <w:t>В клинических исследованиях было показано, что</w:t>
      </w:r>
      <w:r>
        <w:rPr>
          <w:rFonts w:eastAsia="MS Mincho" w:cs="Times New Roman"/>
          <w:szCs w:val="24"/>
          <w:lang w:eastAsia="ja-JP"/>
        </w:rPr>
        <w:t xml:space="preserve"> абсолютная </w:t>
      </w:r>
      <w:r>
        <w:rPr>
          <w:rFonts w:eastAsia="MS Mincho" w:cs="Times New Roman"/>
          <w:szCs w:val="24"/>
          <w:lang w:val="en-US" w:eastAsia="ja-JP"/>
        </w:rPr>
        <w:t>F</w:t>
      </w:r>
      <w:r w:rsidRPr="000D2488">
        <w:rPr>
          <w:rFonts w:eastAsia="MS Mincho" w:cs="Times New Roman"/>
          <w:szCs w:val="24"/>
          <w:lang w:eastAsia="ja-JP"/>
        </w:rPr>
        <w:t xml:space="preserve"> </w:t>
      </w:r>
      <w:r>
        <w:rPr>
          <w:rFonts w:eastAsia="MS Mincho" w:cs="Times New Roman"/>
          <w:szCs w:val="24"/>
          <w:lang w:eastAsia="ja-JP"/>
        </w:rPr>
        <w:t>тофацитиниба после перорального приема составила около 74%. После перорального приема достижение</w:t>
      </w:r>
      <w:r w:rsidRPr="003D6D40">
        <w:rPr>
          <w:rFonts w:eastAsia="MS Mincho" w:cs="Times New Roman"/>
          <w:szCs w:val="24"/>
          <w:lang w:eastAsia="ja-JP"/>
        </w:rPr>
        <w:t xml:space="preserve"> </w:t>
      </w:r>
      <w:r>
        <w:rPr>
          <w:rFonts w:eastAsia="MS Mincho" w:cs="Times New Roman"/>
          <w:szCs w:val="24"/>
          <w:lang w:val="en-US" w:eastAsia="ja-JP"/>
        </w:rPr>
        <w:t>C</w:t>
      </w:r>
      <w:r>
        <w:rPr>
          <w:rFonts w:eastAsia="MS Mincho" w:cs="Times New Roman"/>
          <w:szCs w:val="24"/>
          <w:vertAlign w:val="subscript"/>
          <w:lang w:val="en-US" w:eastAsia="ja-JP"/>
        </w:rPr>
        <w:t>max</w:t>
      </w:r>
      <w:r w:rsidRPr="003D6D40">
        <w:rPr>
          <w:rFonts w:eastAsia="MS Mincho" w:cs="Times New Roman"/>
          <w:szCs w:val="24"/>
          <w:lang w:eastAsia="ja-JP"/>
        </w:rPr>
        <w:t xml:space="preserve"> </w:t>
      </w:r>
      <w:r>
        <w:rPr>
          <w:rFonts w:eastAsia="MS Mincho" w:cs="Times New Roman"/>
          <w:szCs w:val="24"/>
          <w:lang w:eastAsia="ja-JP"/>
        </w:rPr>
        <w:t>тофацитиниба наблюдали через 0,5–1 ч. Эффекта приема пищи в отношении степени абсорбции (</w:t>
      </w:r>
      <w:r>
        <w:rPr>
          <w:rFonts w:eastAsia="MS Mincho" w:cs="Times New Roman"/>
          <w:szCs w:val="24"/>
          <w:lang w:val="en-US" w:eastAsia="ja-JP"/>
        </w:rPr>
        <w:t>AUC</w:t>
      </w:r>
      <w:r w:rsidRPr="001C7F18">
        <w:rPr>
          <w:rFonts w:eastAsia="MS Mincho" w:cs="Times New Roman"/>
          <w:szCs w:val="24"/>
          <w:lang w:eastAsia="ja-JP"/>
        </w:rPr>
        <w:t xml:space="preserve">) </w:t>
      </w:r>
      <w:r>
        <w:rPr>
          <w:rFonts w:eastAsia="MS Mincho" w:cs="Times New Roman"/>
          <w:szCs w:val="24"/>
          <w:lang w:eastAsia="ja-JP"/>
        </w:rPr>
        <w:t xml:space="preserve">не наблюдали. Тофацитиниб экстенсивно распределяется в ткани. Значение </w:t>
      </w:r>
      <w:r>
        <w:rPr>
          <w:rFonts w:eastAsia="MS Mincho" w:cs="Times New Roman"/>
          <w:szCs w:val="24"/>
          <w:lang w:val="en-US" w:eastAsia="ja-JP"/>
        </w:rPr>
        <w:t>T</w:t>
      </w:r>
      <w:r w:rsidRPr="00520214">
        <w:rPr>
          <w:rFonts w:eastAsia="MS Mincho" w:cs="Times New Roman"/>
          <w:szCs w:val="24"/>
          <w:vertAlign w:val="subscript"/>
          <w:lang w:eastAsia="ja-JP"/>
        </w:rPr>
        <w:t>1/2</w:t>
      </w:r>
      <w:r>
        <w:rPr>
          <w:rFonts w:eastAsia="MS Mincho" w:cs="Times New Roman"/>
          <w:szCs w:val="24"/>
          <w:vertAlign w:val="subscript"/>
          <w:lang w:val="en-US" w:eastAsia="ja-JP"/>
        </w:rPr>
        <w:t>β</w:t>
      </w:r>
      <w:r w:rsidRPr="00520214">
        <w:rPr>
          <w:rFonts w:eastAsia="MS Mincho" w:cs="Times New Roman"/>
          <w:szCs w:val="24"/>
          <w:lang w:eastAsia="ja-JP"/>
        </w:rPr>
        <w:t xml:space="preserve"> </w:t>
      </w:r>
      <w:r>
        <w:rPr>
          <w:rFonts w:eastAsia="MS Mincho" w:cs="Times New Roman"/>
          <w:szCs w:val="24"/>
          <w:lang w:eastAsia="ja-JP"/>
        </w:rPr>
        <w:t xml:space="preserve">составляло около 3 ч. При использовании 2 раза в день равновесное состояние достигалось в течение 24–48 ч с несущественной кумуляцией. Тофацитиниб не ингибирует </w:t>
      </w:r>
      <w:r>
        <w:rPr>
          <w:rFonts w:eastAsia="MS Mincho" w:cs="Times New Roman"/>
          <w:szCs w:val="24"/>
          <w:lang w:val="en-US" w:eastAsia="ja-JP"/>
        </w:rPr>
        <w:t>CYP</w:t>
      </w:r>
      <w:r>
        <w:rPr>
          <w:rFonts w:eastAsia="MS Mincho" w:cs="Times New Roman"/>
          <w:szCs w:val="24"/>
          <w:lang w:eastAsia="ja-JP"/>
        </w:rPr>
        <w:t>1</w:t>
      </w:r>
      <w:r>
        <w:rPr>
          <w:rFonts w:eastAsia="MS Mincho" w:cs="Times New Roman"/>
          <w:szCs w:val="24"/>
          <w:lang w:val="en-US" w:eastAsia="ja-JP"/>
        </w:rPr>
        <w:t>A</w:t>
      </w:r>
      <w:r w:rsidRPr="00600FD5">
        <w:rPr>
          <w:rFonts w:eastAsia="MS Mincho" w:cs="Times New Roman"/>
          <w:szCs w:val="24"/>
          <w:lang w:eastAsia="ja-JP"/>
        </w:rPr>
        <w:t>2, 2</w:t>
      </w:r>
      <w:r>
        <w:rPr>
          <w:rFonts w:eastAsia="MS Mincho" w:cs="Times New Roman"/>
          <w:szCs w:val="24"/>
          <w:lang w:val="en-US" w:eastAsia="ja-JP"/>
        </w:rPr>
        <w:t>B</w:t>
      </w:r>
      <w:r w:rsidRPr="00600FD5">
        <w:rPr>
          <w:rFonts w:eastAsia="MS Mincho" w:cs="Times New Roman"/>
          <w:szCs w:val="24"/>
          <w:lang w:eastAsia="ja-JP"/>
        </w:rPr>
        <w:t>6, 2</w:t>
      </w:r>
      <w:r>
        <w:rPr>
          <w:rFonts w:eastAsia="MS Mincho" w:cs="Times New Roman"/>
          <w:szCs w:val="24"/>
          <w:lang w:val="en-US" w:eastAsia="ja-JP"/>
        </w:rPr>
        <w:t>C</w:t>
      </w:r>
      <w:r w:rsidRPr="00600FD5">
        <w:rPr>
          <w:rFonts w:eastAsia="MS Mincho" w:cs="Times New Roman"/>
          <w:szCs w:val="24"/>
          <w:lang w:eastAsia="ja-JP"/>
        </w:rPr>
        <w:t>8, 2</w:t>
      </w:r>
      <w:r>
        <w:rPr>
          <w:rFonts w:eastAsia="MS Mincho" w:cs="Times New Roman"/>
          <w:szCs w:val="24"/>
          <w:lang w:val="en-US" w:eastAsia="ja-JP"/>
        </w:rPr>
        <w:t>C</w:t>
      </w:r>
      <w:r w:rsidRPr="00600FD5">
        <w:rPr>
          <w:rFonts w:eastAsia="MS Mincho" w:cs="Times New Roman"/>
          <w:szCs w:val="24"/>
          <w:lang w:eastAsia="ja-JP"/>
        </w:rPr>
        <w:t>9, 2</w:t>
      </w:r>
      <w:r>
        <w:rPr>
          <w:rFonts w:eastAsia="MS Mincho" w:cs="Times New Roman"/>
          <w:szCs w:val="24"/>
          <w:lang w:val="en-US" w:eastAsia="ja-JP"/>
        </w:rPr>
        <w:t>C</w:t>
      </w:r>
      <w:r w:rsidRPr="00600FD5">
        <w:rPr>
          <w:rFonts w:eastAsia="MS Mincho" w:cs="Times New Roman"/>
          <w:szCs w:val="24"/>
          <w:lang w:eastAsia="ja-JP"/>
        </w:rPr>
        <w:t xml:space="preserve">19, </w:t>
      </w:r>
      <w:r w:rsidRPr="00D3152F">
        <w:rPr>
          <w:rFonts w:eastAsia="MS Mincho" w:cs="Times New Roman"/>
          <w:szCs w:val="24"/>
          <w:lang w:eastAsia="ja-JP"/>
        </w:rPr>
        <w:t>2</w:t>
      </w:r>
      <w:r>
        <w:rPr>
          <w:rFonts w:eastAsia="MS Mincho" w:cs="Times New Roman"/>
          <w:szCs w:val="24"/>
          <w:lang w:val="en-US" w:eastAsia="ja-JP"/>
        </w:rPr>
        <w:t>D</w:t>
      </w:r>
      <w:r w:rsidRPr="00D3152F">
        <w:rPr>
          <w:rFonts w:eastAsia="MS Mincho" w:cs="Times New Roman"/>
          <w:szCs w:val="24"/>
          <w:lang w:eastAsia="ja-JP"/>
        </w:rPr>
        <w:t xml:space="preserve">6 </w:t>
      </w:r>
      <w:r>
        <w:rPr>
          <w:rFonts w:eastAsia="MS Mincho" w:cs="Times New Roman"/>
          <w:szCs w:val="24"/>
          <w:lang w:eastAsia="ja-JP"/>
        </w:rPr>
        <w:t>и</w:t>
      </w:r>
      <w:r w:rsidRPr="00D3152F">
        <w:rPr>
          <w:rFonts w:eastAsia="MS Mincho" w:cs="Times New Roman"/>
          <w:szCs w:val="24"/>
          <w:lang w:eastAsia="ja-JP"/>
        </w:rPr>
        <w:t xml:space="preserve"> 3</w:t>
      </w:r>
      <w:r>
        <w:rPr>
          <w:rFonts w:eastAsia="MS Mincho" w:cs="Times New Roman"/>
          <w:szCs w:val="24"/>
          <w:lang w:val="en-US" w:eastAsia="ja-JP"/>
        </w:rPr>
        <w:t>A</w:t>
      </w:r>
      <w:r w:rsidRPr="00D3152F">
        <w:rPr>
          <w:rFonts w:eastAsia="MS Mincho" w:cs="Times New Roman"/>
          <w:szCs w:val="24"/>
          <w:lang w:eastAsia="ja-JP"/>
        </w:rPr>
        <w:t>4</w:t>
      </w:r>
      <w:r>
        <w:rPr>
          <w:rFonts w:eastAsia="MS Mincho" w:cs="Times New Roman"/>
          <w:szCs w:val="24"/>
          <w:lang w:eastAsia="ja-JP"/>
        </w:rPr>
        <w:t xml:space="preserve">, обладает низким потенциалом в отношении ингибирования </w:t>
      </w:r>
      <w:r>
        <w:rPr>
          <w:rFonts w:eastAsia="MS Mincho" w:cs="Times New Roman"/>
          <w:szCs w:val="24"/>
          <w:lang w:val="en-US" w:eastAsia="ja-JP"/>
        </w:rPr>
        <w:t>P</w:t>
      </w:r>
      <w:r w:rsidRPr="002E0BE7">
        <w:rPr>
          <w:rFonts w:eastAsia="MS Mincho" w:cs="Times New Roman"/>
          <w:szCs w:val="24"/>
          <w:lang w:eastAsia="ja-JP"/>
        </w:rPr>
        <w:t>-</w:t>
      </w:r>
      <w:r>
        <w:rPr>
          <w:rFonts w:eastAsia="MS Mincho" w:cs="Times New Roman"/>
          <w:szCs w:val="24"/>
          <w:lang w:eastAsia="ja-JP"/>
        </w:rPr>
        <w:t xml:space="preserve">гликопротеина, </w:t>
      </w:r>
      <w:r>
        <w:rPr>
          <w:rFonts w:eastAsia="MS Mincho" w:cs="Times New Roman"/>
          <w:szCs w:val="24"/>
          <w:lang w:val="en-US" w:eastAsia="ja-JP"/>
        </w:rPr>
        <w:t>OCT</w:t>
      </w:r>
      <w:r w:rsidRPr="002E0BE7">
        <w:rPr>
          <w:rFonts w:eastAsia="MS Mincho" w:cs="Times New Roman"/>
          <w:szCs w:val="24"/>
          <w:lang w:eastAsia="ja-JP"/>
        </w:rPr>
        <w:t>-2</w:t>
      </w:r>
      <w:r>
        <w:rPr>
          <w:rFonts w:eastAsia="MS Mincho" w:cs="Times New Roman"/>
          <w:szCs w:val="24"/>
          <w:lang w:eastAsia="ja-JP"/>
        </w:rPr>
        <w:t xml:space="preserve">, </w:t>
      </w:r>
      <w:r>
        <w:rPr>
          <w:rFonts w:eastAsia="MS Mincho" w:cs="Times New Roman"/>
          <w:szCs w:val="24"/>
          <w:lang w:val="en-US" w:eastAsia="ja-JP"/>
        </w:rPr>
        <w:t>OATP</w:t>
      </w:r>
      <w:r w:rsidRPr="005747F7">
        <w:rPr>
          <w:rFonts w:eastAsia="MS Mincho" w:cs="Times New Roman"/>
          <w:szCs w:val="24"/>
          <w:lang w:eastAsia="ja-JP"/>
        </w:rPr>
        <w:t>1</w:t>
      </w:r>
      <w:r>
        <w:rPr>
          <w:rFonts w:eastAsia="MS Mincho" w:cs="Times New Roman"/>
          <w:szCs w:val="24"/>
          <w:lang w:val="en-US" w:eastAsia="ja-JP"/>
        </w:rPr>
        <w:t>B</w:t>
      </w:r>
      <w:r w:rsidRPr="005747F7">
        <w:rPr>
          <w:rFonts w:eastAsia="MS Mincho" w:cs="Times New Roman"/>
          <w:szCs w:val="24"/>
          <w:lang w:eastAsia="ja-JP"/>
        </w:rPr>
        <w:t xml:space="preserve">1 </w:t>
      </w:r>
      <w:r>
        <w:rPr>
          <w:rFonts w:eastAsia="MS Mincho" w:cs="Times New Roman"/>
          <w:szCs w:val="24"/>
          <w:lang w:eastAsia="ja-JP"/>
        </w:rPr>
        <w:t xml:space="preserve">и </w:t>
      </w:r>
      <w:r>
        <w:rPr>
          <w:rFonts w:eastAsia="MS Mincho" w:cs="Times New Roman"/>
          <w:szCs w:val="24"/>
          <w:lang w:val="en-US" w:eastAsia="ja-JP"/>
        </w:rPr>
        <w:t>OATP</w:t>
      </w:r>
      <w:r w:rsidRPr="005747F7">
        <w:rPr>
          <w:rFonts w:eastAsia="MS Mincho" w:cs="Times New Roman"/>
          <w:szCs w:val="24"/>
          <w:lang w:eastAsia="ja-JP"/>
        </w:rPr>
        <w:t>1</w:t>
      </w:r>
      <w:r>
        <w:rPr>
          <w:rFonts w:eastAsia="MS Mincho" w:cs="Times New Roman"/>
          <w:szCs w:val="24"/>
          <w:lang w:val="en-US" w:eastAsia="ja-JP"/>
        </w:rPr>
        <w:t>B</w:t>
      </w:r>
      <w:r>
        <w:rPr>
          <w:rFonts w:eastAsia="MS Mincho" w:cs="Times New Roman"/>
          <w:szCs w:val="24"/>
          <w:lang w:eastAsia="ja-JP"/>
        </w:rPr>
        <w:t xml:space="preserve">3, и не является субстратом </w:t>
      </w:r>
      <w:r>
        <w:rPr>
          <w:rFonts w:eastAsia="MS Mincho" w:cs="Times New Roman"/>
          <w:szCs w:val="24"/>
          <w:lang w:val="en-US" w:eastAsia="ja-JP"/>
        </w:rPr>
        <w:t>BCRP</w:t>
      </w:r>
      <w:r>
        <w:rPr>
          <w:rFonts w:eastAsia="MS Mincho" w:cs="Times New Roman"/>
          <w:szCs w:val="24"/>
          <w:lang w:eastAsia="ja-JP"/>
        </w:rPr>
        <w:t>.</w:t>
      </w:r>
    </w:p>
    <w:p w14:paraId="738EABE0" w14:textId="77777777" w:rsidR="00730F80" w:rsidRDefault="00730F80" w:rsidP="003F310C">
      <w:pPr>
        <w:pStyle w:val="SDText"/>
        <w:spacing w:after="0"/>
        <w:contextualSpacing/>
      </w:pPr>
      <w:r w:rsidRPr="006A491D">
        <w:rPr>
          <w:rFonts w:eastAsia="MS Mincho" w:cs="Times New Roman"/>
          <w:color w:val="000000"/>
          <w:szCs w:val="24"/>
          <w:lang w:eastAsia="ja-JP"/>
        </w:rPr>
        <w:t xml:space="preserve">Клиническая эффективность </w:t>
      </w:r>
      <w:r w:rsidRPr="006A491D">
        <w:rPr>
          <w:rFonts w:eastAsia="MS Mincho" w:cs="Times New Roman"/>
          <w:szCs w:val="24"/>
          <w:lang w:eastAsia="ja-JP"/>
        </w:rPr>
        <w:t>тофацитиниба</w:t>
      </w:r>
      <w:r w:rsidRPr="006A491D">
        <w:rPr>
          <w:rFonts w:eastAsia="MS Mincho" w:cs="Times New Roman"/>
          <w:color w:val="000000"/>
          <w:szCs w:val="24"/>
          <w:lang w:eastAsia="ja-JP"/>
        </w:rPr>
        <w:t xml:space="preserve"> </w:t>
      </w:r>
      <w:r>
        <w:rPr>
          <w:rFonts w:eastAsia="MS Mincho" w:cs="Times New Roman"/>
          <w:color w:val="000000"/>
          <w:szCs w:val="24"/>
          <w:lang w:eastAsia="ja-JP"/>
        </w:rPr>
        <w:t>подтверждена</w:t>
      </w:r>
      <w:r w:rsidRPr="006A491D">
        <w:rPr>
          <w:rFonts w:eastAsia="MS Mincho" w:cs="Times New Roman"/>
          <w:color w:val="000000"/>
          <w:szCs w:val="24"/>
          <w:lang w:eastAsia="ja-JP"/>
        </w:rPr>
        <w:t xml:space="preserve"> в 2 </w:t>
      </w:r>
      <w:r w:rsidRPr="006A491D">
        <w:rPr>
          <w:rFonts w:eastAsia="MS Mincho" w:cs="Times New Roman"/>
          <w:szCs w:val="24"/>
          <w:lang w:eastAsia="ja-JP"/>
        </w:rPr>
        <w:t xml:space="preserve">исследованиях фазы </w:t>
      </w:r>
      <w:r w:rsidRPr="006A491D">
        <w:rPr>
          <w:rFonts w:eastAsia="MS Mincho" w:cs="Times New Roman"/>
          <w:szCs w:val="24"/>
          <w:lang w:val="en-US" w:eastAsia="ja-JP"/>
        </w:rPr>
        <w:t>II</w:t>
      </w:r>
      <w:r w:rsidRPr="006A491D">
        <w:rPr>
          <w:rFonts w:eastAsia="MS Mincho" w:cs="Times New Roman"/>
          <w:szCs w:val="24"/>
          <w:lang w:eastAsia="ja-JP"/>
        </w:rPr>
        <w:t xml:space="preserve"> и 7 исследованиях III и </w:t>
      </w:r>
      <w:r w:rsidRPr="006A491D">
        <w:rPr>
          <w:rFonts w:eastAsia="MS Mincho" w:cs="Times New Roman"/>
          <w:szCs w:val="24"/>
          <w:lang w:val="en-US" w:eastAsia="ja-JP"/>
        </w:rPr>
        <w:t>IIIb</w:t>
      </w:r>
      <w:r w:rsidRPr="006A491D">
        <w:rPr>
          <w:rFonts w:eastAsia="MS Mincho" w:cs="Times New Roman"/>
          <w:szCs w:val="24"/>
          <w:lang w:eastAsia="ja-JP"/>
        </w:rPr>
        <w:t>–</w:t>
      </w:r>
      <w:r w:rsidRPr="006A491D">
        <w:rPr>
          <w:rFonts w:eastAsia="MS Mincho" w:cs="Times New Roman"/>
          <w:szCs w:val="24"/>
          <w:lang w:val="en-US" w:eastAsia="ja-JP"/>
        </w:rPr>
        <w:t>IV</w:t>
      </w:r>
      <w:r w:rsidRPr="006A491D">
        <w:rPr>
          <w:rFonts w:eastAsia="MS Mincho" w:cs="Times New Roman"/>
          <w:szCs w:val="24"/>
          <w:lang w:eastAsia="ja-JP"/>
        </w:rPr>
        <w:t xml:space="preserve"> фаз</w:t>
      </w:r>
      <w:r>
        <w:rPr>
          <w:rFonts w:eastAsia="MS Mincho" w:cs="Times New Roman"/>
          <w:szCs w:val="24"/>
          <w:lang w:eastAsia="ja-JP"/>
        </w:rPr>
        <w:t>,</w:t>
      </w:r>
      <w:r w:rsidRPr="006A491D">
        <w:rPr>
          <w:rFonts w:eastAsia="MS Mincho" w:cs="Times New Roman"/>
          <w:color w:val="000000"/>
          <w:szCs w:val="24"/>
          <w:lang w:eastAsia="ja-JP"/>
        </w:rPr>
        <w:t xml:space="preserve"> </w:t>
      </w:r>
      <w:r>
        <w:rPr>
          <w:rFonts w:eastAsia="MS Mincho" w:cs="Times New Roman"/>
          <w:color w:val="000000"/>
          <w:szCs w:val="24"/>
          <w:lang w:eastAsia="ja-JP"/>
        </w:rPr>
        <w:t xml:space="preserve">и в ходе одного пострегистрационного исследования </w:t>
      </w:r>
      <w:r w:rsidRPr="006A491D">
        <w:rPr>
          <w:rFonts w:eastAsia="MS Mincho" w:cs="Times New Roman"/>
          <w:color w:val="000000"/>
          <w:szCs w:val="24"/>
          <w:lang w:eastAsia="ja-JP"/>
        </w:rPr>
        <w:t>у пациентов с РА</w:t>
      </w:r>
      <w:r w:rsidRPr="006A491D">
        <w:rPr>
          <w:rFonts w:eastAsia="MS Mincho" w:cs="Times New Roman"/>
          <w:szCs w:val="24"/>
          <w:lang w:eastAsia="ja-JP"/>
        </w:rPr>
        <w:t xml:space="preserve">, в 3 исследованиях </w:t>
      </w:r>
      <w:r>
        <w:rPr>
          <w:rFonts w:eastAsia="MS Mincho" w:cs="Times New Roman"/>
          <w:szCs w:val="24"/>
          <w:lang w:val="en-US" w:eastAsia="ja-JP"/>
        </w:rPr>
        <w:t>III</w:t>
      </w:r>
      <w:r w:rsidRPr="00A95441">
        <w:rPr>
          <w:rFonts w:eastAsia="MS Mincho" w:cs="Times New Roman"/>
          <w:szCs w:val="24"/>
          <w:lang w:eastAsia="ja-JP"/>
        </w:rPr>
        <w:t xml:space="preserve"> </w:t>
      </w:r>
      <w:r>
        <w:rPr>
          <w:rFonts w:eastAsia="MS Mincho" w:cs="Times New Roman"/>
          <w:szCs w:val="24"/>
          <w:lang w:eastAsia="ja-JP"/>
        </w:rPr>
        <w:t xml:space="preserve">фазы </w:t>
      </w:r>
      <w:r w:rsidRPr="006A491D">
        <w:rPr>
          <w:rFonts w:eastAsia="MS Mincho" w:cs="Times New Roman"/>
          <w:szCs w:val="24"/>
          <w:lang w:eastAsia="ja-JP"/>
        </w:rPr>
        <w:t>у пациентов с псориатическим артритом</w:t>
      </w:r>
      <w:r>
        <w:rPr>
          <w:rFonts w:eastAsia="MS Mincho" w:cs="Times New Roman"/>
          <w:szCs w:val="24"/>
          <w:lang w:eastAsia="ja-JP"/>
        </w:rPr>
        <w:t>,</w:t>
      </w:r>
      <w:r w:rsidRPr="006A491D">
        <w:rPr>
          <w:rFonts w:eastAsia="MS Mincho" w:cs="Times New Roman"/>
          <w:szCs w:val="24"/>
          <w:lang w:eastAsia="ja-JP"/>
        </w:rPr>
        <w:t xml:space="preserve"> и в 3 исследованиях </w:t>
      </w:r>
      <w:r>
        <w:rPr>
          <w:rFonts w:eastAsia="MS Mincho" w:cs="Times New Roman"/>
          <w:szCs w:val="24"/>
          <w:lang w:val="en-US" w:eastAsia="ja-JP"/>
        </w:rPr>
        <w:t>III</w:t>
      </w:r>
      <w:r w:rsidRPr="00A95441">
        <w:rPr>
          <w:rFonts w:eastAsia="MS Mincho" w:cs="Times New Roman"/>
          <w:szCs w:val="24"/>
          <w:lang w:eastAsia="ja-JP"/>
        </w:rPr>
        <w:t xml:space="preserve"> </w:t>
      </w:r>
      <w:r>
        <w:rPr>
          <w:rFonts w:eastAsia="MS Mincho" w:cs="Times New Roman"/>
          <w:szCs w:val="24"/>
          <w:lang w:eastAsia="ja-JP"/>
        </w:rPr>
        <w:t xml:space="preserve">фазы </w:t>
      </w:r>
      <w:r w:rsidRPr="006A491D">
        <w:rPr>
          <w:rFonts w:eastAsia="MS Mincho" w:cs="Times New Roman"/>
          <w:szCs w:val="24"/>
          <w:lang w:eastAsia="ja-JP"/>
        </w:rPr>
        <w:t xml:space="preserve">у пациентов с ЯК. Исследования являлись рандомизированными двойными слепыми плацебо контролируемыми, в ряде </w:t>
      </w:r>
      <w:r w:rsidRPr="006A491D">
        <w:rPr>
          <w:rFonts w:eastAsia="MS Mincho" w:cs="Times New Roman"/>
          <w:szCs w:val="24"/>
          <w:lang w:eastAsia="ja-JP"/>
        </w:rPr>
        <w:lastRenderedPageBreak/>
        <w:t xml:space="preserve">исследований использовали также препарат активного контроля (адалимумаб). </w:t>
      </w:r>
      <w:r>
        <w:t xml:space="preserve">В исследованиях фаз </w:t>
      </w:r>
      <w:r>
        <w:rPr>
          <w:lang w:val="en-US"/>
        </w:rPr>
        <w:t>II</w:t>
      </w:r>
      <w:r w:rsidRPr="001867FD">
        <w:t xml:space="preserve"> </w:t>
      </w:r>
      <w:r>
        <w:t xml:space="preserve">и </w:t>
      </w:r>
      <w:r>
        <w:rPr>
          <w:lang w:val="en-US"/>
        </w:rPr>
        <w:t>III</w:t>
      </w:r>
      <w:r>
        <w:t>, и в открытых неконтролируемых расширенных исследованиях длительностью до 114 мес. приняли участие 4040 пациентов (общая экспозиция 16113 пациенто-лет).</w:t>
      </w:r>
    </w:p>
    <w:p w14:paraId="4364B0BA" w14:textId="77777777" w:rsidR="00730F80" w:rsidRDefault="00730F80" w:rsidP="003F310C">
      <w:pPr>
        <w:pStyle w:val="SDText"/>
        <w:spacing w:after="0"/>
        <w:contextualSpacing/>
      </w:pPr>
      <w:r w:rsidRPr="00FF31EF">
        <w:t xml:space="preserve">Наиболее частыми серьезными </w:t>
      </w:r>
      <w:r>
        <w:t>НР</w:t>
      </w:r>
      <w:r w:rsidRPr="00FF31EF">
        <w:t xml:space="preserve"> </w:t>
      </w:r>
      <w:r>
        <w:t xml:space="preserve">в исследованиях с участием пациентов с РА </w:t>
      </w:r>
      <w:r w:rsidRPr="00FF31EF">
        <w:t>были серьезные инфекции</w:t>
      </w:r>
      <w:r>
        <w:t xml:space="preserve">. Более высокую частоту тяжелых инфекций у пациентов с РА отмечали для таблеток с пролонгированным высвобождением с дозировкой 11 мг, принимаемых один раз в день, чем для таблеток, покрытых пленочной оболочкой, с дозировкой 5 мг, принимаемых 2 раза в день. Для тофацитиниба характерным является увеличение заболеваемости опоясывающим лишаем. У пациентов с РА в возрасте 50 лет и старше, получавших тофацитиниб, наблюдали увеличение частоты риска нефатального инфаркта миокарда, новообразований, исключая НМРК, особенно рака легких и лимфомы, и смертности, которая в основном была связана с сердечно-сосудистыми событиями, инфекциями и злокачественными новообразованиями по сравнению с ингибиторами </w:t>
      </w:r>
      <w:r>
        <w:rPr>
          <w:lang w:val="en-US"/>
        </w:rPr>
        <w:t>TNF</w:t>
      </w:r>
      <w:r w:rsidRPr="002709C8">
        <w:t>-</w:t>
      </w:r>
      <w:r>
        <w:rPr>
          <w:rFonts w:cs="Times New Roman"/>
          <w:lang w:val="en-US"/>
        </w:rPr>
        <w:t>α</w:t>
      </w:r>
      <w:r>
        <w:t>.</w:t>
      </w:r>
    </w:p>
    <w:p w14:paraId="08DCAF42" w14:textId="77777777" w:rsidR="00730F80" w:rsidRPr="006E2B86" w:rsidRDefault="00730F80" w:rsidP="003F310C">
      <w:pPr>
        <w:pStyle w:val="SDText"/>
        <w:spacing w:after="0"/>
        <w:contextualSpacing/>
      </w:pPr>
      <w:r>
        <w:t>В ходе пострегистрационных исследований установили, что примерно у трети пациентов с РА можно прекратить прием тофацитиниба без риска обострения. Низкий уровень РФ является прогностическим фактором для возможности сохранения низкой активности заболевания после прекращения приема тофацитиниба.</w:t>
      </w:r>
      <w:r w:rsidRPr="004022CE">
        <w:t xml:space="preserve"> </w:t>
      </w:r>
      <w:r>
        <w:t>Однако после достижения ремиссии или низкой активности заболевания стратегия снижения дозы предпочтительнее немедленной отмены тофацитиниба. Возобновление исходного режима в случаях обострения может восстановить контроль над РА.</w:t>
      </w:r>
      <w:r w:rsidRPr="00EA3DCB">
        <w:t xml:space="preserve"> </w:t>
      </w:r>
      <w:r>
        <w:t xml:space="preserve">В пострегистрационный период также выявлено положительное влияние применения тофацитиниба у пациентов с другими заболеваниями, среди которых атопический дерматит, СКВ и </w:t>
      </w:r>
      <w:r>
        <w:rPr>
          <w:lang w:val="en-US"/>
        </w:rPr>
        <w:t>COVID</w:t>
      </w:r>
      <w:r w:rsidRPr="00AE6604">
        <w:t>-19</w:t>
      </w:r>
      <w:r>
        <w:t>.</w:t>
      </w:r>
    </w:p>
    <w:p w14:paraId="153C28BB" w14:textId="55B63844" w:rsidR="00730F80" w:rsidRDefault="00730F80" w:rsidP="003F310C">
      <w:pPr>
        <w:spacing w:after="0"/>
      </w:pPr>
      <w:r w:rsidRPr="00884C1B">
        <w:rPr>
          <w:color w:val="000000"/>
          <w:lang w:eastAsia="ja-JP"/>
        </w:rPr>
        <w:t xml:space="preserve">Лекарственный препарат </w:t>
      </w:r>
      <w:r w:rsidRPr="00005F66">
        <w:rPr>
          <w:lang w:val="en-US"/>
        </w:rPr>
        <w:t>DT</w:t>
      </w:r>
      <w:r w:rsidRPr="00005F66">
        <w:t>-</w:t>
      </w:r>
      <w:r w:rsidRPr="00005F66">
        <w:rPr>
          <w:lang w:val="en-US"/>
        </w:rPr>
        <w:t>TFC</w:t>
      </w:r>
      <w:r>
        <w:rPr>
          <w:lang w:eastAsia="ja-JP"/>
        </w:rPr>
        <w:t xml:space="preserve">, </w:t>
      </w:r>
      <w:r w:rsidRPr="001D6ABD">
        <w:rPr>
          <w:lang w:eastAsia="ja-JP"/>
        </w:rPr>
        <w:t>таблетки, пок</w:t>
      </w:r>
      <w:r w:rsidR="003F0E01">
        <w:rPr>
          <w:lang w:eastAsia="ja-JP"/>
        </w:rPr>
        <w:t>рытые пленочной оболочкой, 5 мг и</w:t>
      </w:r>
      <w:r w:rsidRPr="001D6ABD">
        <w:rPr>
          <w:lang w:eastAsia="ja-JP"/>
        </w:rPr>
        <w:t xml:space="preserve"> 10 мг</w:t>
      </w:r>
      <w:r>
        <w:rPr>
          <w:lang w:eastAsia="ja-JP"/>
        </w:rPr>
        <w:t>,</w:t>
      </w:r>
      <w:r w:rsidRPr="001D6ABD">
        <w:rPr>
          <w:lang w:eastAsia="ja-JP"/>
        </w:rPr>
        <w:t xml:space="preserve"> </w:t>
      </w:r>
      <w:r w:rsidRPr="00884C1B">
        <w:rPr>
          <w:color w:val="000000"/>
          <w:lang w:eastAsia="ja-JP"/>
        </w:rPr>
        <w:t>(</w:t>
      </w:r>
      <w:r w:rsidRPr="00884C1B">
        <w:rPr>
          <w:lang w:eastAsia="ru-RU"/>
        </w:rPr>
        <w:t>АО «Р-Фарм», Россия</w:t>
      </w:r>
      <w:r w:rsidRPr="00884C1B">
        <w:rPr>
          <w:color w:val="000000"/>
          <w:lang w:eastAsia="ja-JP"/>
        </w:rPr>
        <w:t>)</w:t>
      </w:r>
      <w:r>
        <w:rPr>
          <w:color w:val="000000"/>
          <w:lang w:eastAsia="ja-JP"/>
        </w:rPr>
        <w:t>,</w:t>
      </w:r>
      <w:r w:rsidRPr="00884C1B">
        <w:rPr>
          <w:color w:val="000000"/>
          <w:lang w:eastAsia="ja-JP"/>
        </w:rPr>
        <w:t xml:space="preserve"> представляет собой воспроизведенный препарат по отношению к референтному препарату </w:t>
      </w:r>
      <w:r>
        <w:rPr>
          <w:color w:val="000000"/>
          <w:lang w:eastAsia="ja-JP"/>
        </w:rPr>
        <w:t xml:space="preserve">тофацитиниба – </w:t>
      </w:r>
      <w:r w:rsidRPr="00884C1B">
        <w:rPr>
          <w:lang w:eastAsia="ja-JP"/>
        </w:rPr>
        <w:t>Я</w:t>
      </w:r>
      <w:r>
        <w:rPr>
          <w:lang w:eastAsia="ja-JP"/>
        </w:rPr>
        <w:t>квинус</w:t>
      </w:r>
      <w:r w:rsidRPr="00884C1B">
        <w:rPr>
          <w:vertAlign w:val="superscript"/>
          <w:lang w:eastAsia="ja-JP"/>
        </w:rPr>
        <w:t>®</w:t>
      </w:r>
      <w:r w:rsidRPr="00884C1B">
        <w:rPr>
          <w:lang w:eastAsia="ja-JP"/>
        </w:rPr>
        <w:t xml:space="preserve">, </w:t>
      </w:r>
      <w:r w:rsidRPr="001D6ABD">
        <w:rPr>
          <w:lang w:eastAsia="ja-JP"/>
        </w:rPr>
        <w:t>таблетки, покрытые пленочной оболочкой, 5 мг</w:t>
      </w:r>
      <w:r w:rsidR="003F0E01">
        <w:rPr>
          <w:lang w:eastAsia="ja-JP"/>
        </w:rPr>
        <w:t xml:space="preserve"> и</w:t>
      </w:r>
      <w:r w:rsidRPr="001D6ABD">
        <w:rPr>
          <w:lang w:eastAsia="ja-JP"/>
        </w:rPr>
        <w:t xml:space="preserve"> 10 мг</w:t>
      </w:r>
      <w:r>
        <w:rPr>
          <w:lang w:eastAsia="ja-JP"/>
        </w:rPr>
        <w:t xml:space="preserve"> </w:t>
      </w:r>
      <w:r>
        <w:t>(</w:t>
      </w:r>
      <w:r w:rsidRPr="005E0193">
        <w:t>Пфайзер Инк.</w:t>
      </w:r>
      <w:r>
        <w:t xml:space="preserve">, США). </w:t>
      </w:r>
      <w:r w:rsidRPr="00884C1B">
        <w:rPr>
          <w:color w:val="000000"/>
          <w:lang w:eastAsia="ja-JP"/>
        </w:rPr>
        <w:t>Он полностью соответствует по качественному и количественному составу действующего</w:t>
      </w:r>
      <w:r>
        <w:rPr>
          <w:color w:val="000000"/>
          <w:lang w:eastAsia="ja-JP"/>
        </w:rPr>
        <w:t xml:space="preserve"> и </w:t>
      </w:r>
      <w:r w:rsidRPr="00884C1B">
        <w:rPr>
          <w:color w:val="000000"/>
          <w:lang w:eastAsia="ja-JP"/>
        </w:rPr>
        <w:t>вспомогательных веществ, дозировк</w:t>
      </w:r>
      <w:r>
        <w:rPr>
          <w:color w:val="000000"/>
          <w:lang w:eastAsia="ja-JP"/>
        </w:rPr>
        <w:t>ам</w:t>
      </w:r>
      <w:r w:rsidRPr="00884C1B">
        <w:rPr>
          <w:color w:val="000000"/>
          <w:lang w:eastAsia="ja-JP"/>
        </w:rPr>
        <w:t xml:space="preserve"> и </w:t>
      </w:r>
      <w:r>
        <w:rPr>
          <w:color w:val="000000"/>
          <w:lang w:eastAsia="ja-JP"/>
        </w:rPr>
        <w:t>лекарственным формам</w:t>
      </w:r>
      <w:r w:rsidRPr="00884C1B">
        <w:rPr>
          <w:color w:val="000000"/>
          <w:lang w:eastAsia="ja-JP"/>
        </w:rPr>
        <w:t xml:space="preserve"> препарату </w:t>
      </w:r>
      <w:r w:rsidRPr="00884C1B">
        <w:rPr>
          <w:lang w:eastAsia="ja-JP"/>
        </w:rPr>
        <w:t>Я</w:t>
      </w:r>
      <w:r>
        <w:rPr>
          <w:lang w:eastAsia="ja-JP"/>
        </w:rPr>
        <w:t>квинус</w:t>
      </w:r>
      <w:r w:rsidRPr="00884C1B">
        <w:rPr>
          <w:vertAlign w:val="superscript"/>
          <w:lang w:eastAsia="ja-JP"/>
        </w:rPr>
        <w:t>®</w:t>
      </w:r>
      <w:r w:rsidRPr="00884C1B">
        <w:rPr>
          <w:color w:val="000000"/>
          <w:lang w:eastAsia="ja-JP"/>
        </w:rPr>
        <w:t>,</w:t>
      </w:r>
      <w:r>
        <w:rPr>
          <w:color w:val="000000"/>
          <w:lang w:eastAsia="ja-JP"/>
        </w:rPr>
        <w:t xml:space="preserve"> имея отличия в качественном и количественном составе пленочной оболочки таблетки</w:t>
      </w:r>
      <w:r w:rsidR="003F0E01">
        <w:rPr>
          <w:color w:val="000000"/>
          <w:lang w:eastAsia="ja-JP"/>
        </w:rPr>
        <w:t xml:space="preserve"> </w:t>
      </w:r>
      <w:r w:rsidR="003F0E01">
        <w:rPr>
          <w:color w:val="000000"/>
          <w:szCs w:val="24"/>
        </w:rPr>
        <w:t xml:space="preserve">и типе целлюлозы микрокристаллической, входящей в состав ядра </w:t>
      </w:r>
      <w:r w:rsidR="003F0E01" w:rsidRPr="00E53670">
        <w:rPr>
          <w:color w:val="000000"/>
          <w:szCs w:val="24"/>
        </w:rPr>
        <w:t>таблетки</w:t>
      </w:r>
      <w:r>
        <w:rPr>
          <w:color w:val="000000"/>
          <w:lang w:eastAsia="ja-JP"/>
        </w:rPr>
        <w:t xml:space="preserve">, </w:t>
      </w:r>
      <w:r w:rsidRPr="00884C1B">
        <w:rPr>
          <w:color w:val="000000"/>
          <w:lang w:eastAsia="ja-JP"/>
        </w:rPr>
        <w:t>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r w:rsidR="00EB02F0">
        <w:rPr>
          <w:color w:val="000000"/>
          <w:lang w:eastAsia="ja-JP"/>
        </w:rPr>
        <w:t>.</w:t>
      </w:r>
    </w:p>
    <w:p w14:paraId="4E074EFF" w14:textId="40EF6293" w:rsidR="00730F80" w:rsidRDefault="00730F80" w:rsidP="00730F80">
      <w:pPr>
        <w:pStyle w:val="SDText"/>
        <w:tabs>
          <w:tab w:val="left" w:pos="1035"/>
        </w:tabs>
        <w:ind w:firstLine="0"/>
        <w:contextualSpacing/>
      </w:pPr>
    </w:p>
    <w:p w14:paraId="7DDE73FF" w14:textId="32C33B96" w:rsidR="008F1C18" w:rsidRPr="008F1C18" w:rsidRDefault="00730F80" w:rsidP="00EB02F0">
      <w:pPr>
        <w:tabs>
          <w:tab w:val="left" w:pos="1035"/>
        </w:tabs>
      </w:pPr>
      <w:r>
        <w:tab/>
      </w:r>
    </w:p>
    <w:sectPr w:rsidR="008F1C18" w:rsidRPr="008F1C18" w:rsidSect="00F85178">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942F" w16cex:dateUtc="2022-12-12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4C5EF" w16cid:durableId="274194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E97D1" w14:textId="77777777" w:rsidR="005C40C4" w:rsidRDefault="005C40C4" w:rsidP="0082226D">
      <w:r>
        <w:separator/>
      </w:r>
    </w:p>
  </w:endnote>
  <w:endnote w:type="continuationSeparator" w:id="0">
    <w:p w14:paraId="0D0C0AE8" w14:textId="77777777" w:rsidR="005C40C4" w:rsidRDefault="005C40C4" w:rsidP="0082226D">
      <w:r>
        <w:continuationSeparator/>
      </w:r>
    </w:p>
  </w:endnote>
  <w:endnote w:type="continuationNotice" w:id="1">
    <w:p w14:paraId="1EC85A93" w14:textId="77777777" w:rsidR="005C40C4" w:rsidRDefault="005C40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5DE66" w14:textId="77777777" w:rsidR="00C13EBE" w:rsidRPr="00C13EBE" w:rsidRDefault="00C13EBE" w:rsidP="00C13EBE">
    <w:pPr>
      <w:spacing w:after="0"/>
      <w:rPr>
        <w:sz w:val="20"/>
      </w:rPr>
    </w:pPr>
  </w:p>
  <w:tbl>
    <w:tblPr>
      <w:tblW w:w="9498" w:type="dxa"/>
      <w:tblInd w:w="-34" w:type="dxa"/>
      <w:tblLook w:val="04A0" w:firstRow="1" w:lastRow="0" w:firstColumn="1" w:lastColumn="0" w:noHBand="0" w:noVBand="1"/>
    </w:tblPr>
    <w:tblGrid>
      <w:gridCol w:w="3332"/>
      <w:gridCol w:w="3620"/>
      <w:gridCol w:w="2546"/>
    </w:tblGrid>
    <w:tr w:rsidR="00A15AFF" w:rsidRPr="00A624A0" w14:paraId="0DEAF8AA" w14:textId="77777777" w:rsidTr="002D06FA">
      <w:trPr>
        <w:trHeight w:val="280"/>
      </w:trPr>
      <w:tc>
        <w:tcPr>
          <w:tcW w:w="3332" w:type="dxa"/>
          <w:hideMark/>
        </w:tcPr>
        <w:p w14:paraId="5DCF9460" w14:textId="77777777" w:rsidR="00A15AFF" w:rsidRPr="006A403D" w:rsidRDefault="00A15AFF" w:rsidP="00C13EBE">
          <w:pPr>
            <w:tabs>
              <w:tab w:val="center" w:pos="4395"/>
              <w:tab w:val="right" w:pos="9355"/>
            </w:tabs>
            <w:spacing w:after="0"/>
            <w:ind w:firstLine="0"/>
            <w:jc w:val="left"/>
            <w:rPr>
              <w:rFonts w:eastAsia="Times New Roman"/>
            </w:rPr>
          </w:pPr>
          <w:r w:rsidRPr="00E34EAC">
            <w:rPr>
              <w:rFonts w:eastAsia="Times New Roman"/>
            </w:rPr>
            <w:t>КОНФИДЕНЦИАЛЬНО</w:t>
          </w:r>
        </w:p>
      </w:tc>
      <w:tc>
        <w:tcPr>
          <w:tcW w:w="3620" w:type="dxa"/>
          <w:hideMark/>
        </w:tcPr>
        <w:p w14:paraId="7F7C1325" w14:textId="30675B51" w:rsidR="00A15AFF" w:rsidRPr="00E34EAC" w:rsidRDefault="00C13EBE" w:rsidP="00C13EBE">
          <w:pPr>
            <w:tabs>
              <w:tab w:val="center" w:pos="4395"/>
              <w:tab w:val="right" w:pos="9355"/>
            </w:tabs>
            <w:spacing w:after="0"/>
            <w:ind w:left="34" w:firstLine="107"/>
            <w:jc w:val="center"/>
            <w:rPr>
              <w:rFonts w:eastAsia="Times New Roman"/>
            </w:rPr>
          </w:pPr>
          <w:r>
            <w:rPr>
              <w:rFonts w:eastAsia="Times New Roman"/>
            </w:rPr>
            <w:t>Версия 1.0 от 19-дек-</w:t>
          </w:r>
          <w:r w:rsidR="00A15AFF">
            <w:rPr>
              <w:rFonts w:eastAsia="Times New Roman"/>
            </w:rPr>
            <w:t>2022 г.</w:t>
          </w:r>
        </w:p>
      </w:tc>
      <w:tc>
        <w:tcPr>
          <w:tcW w:w="2546" w:type="dxa"/>
          <w:hideMark/>
        </w:tcPr>
        <w:p w14:paraId="55F75E56" w14:textId="31031D3A" w:rsidR="00A15AFF" w:rsidRPr="00A624A0" w:rsidRDefault="00A15AFF" w:rsidP="00C13EBE">
          <w:pPr>
            <w:tabs>
              <w:tab w:val="center" w:pos="4395"/>
              <w:tab w:val="right" w:pos="9355"/>
            </w:tabs>
            <w:spacing w:after="0"/>
            <w:ind w:left="129" w:right="-108" w:firstLine="15"/>
            <w:jc w:val="right"/>
            <w:rPr>
              <w:rFonts w:eastAsia="Times New Roman"/>
            </w:rPr>
          </w:pPr>
          <w:r w:rsidRPr="00A624A0">
            <w:rPr>
              <w:rFonts w:eastAsia="Times New Roman"/>
            </w:rPr>
            <w:t xml:space="preserve">Страница </w:t>
          </w:r>
          <w:r w:rsidRPr="00A624A0">
            <w:rPr>
              <w:rFonts w:eastAsia="Times New Roman"/>
            </w:rPr>
            <w:fldChar w:fldCharType="begin"/>
          </w:r>
          <w:r w:rsidRPr="00A624A0">
            <w:rPr>
              <w:rFonts w:eastAsia="Times New Roman"/>
            </w:rPr>
            <w:instrText>PAGE  \* Arabic  \* MERGEFORMAT</w:instrText>
          </w:r>
          <w:r w:rsidRPr="00A624A0">
            <w:rPr>
              <w:rFonts w:eastAsia="Times New Roman"/>
            </w:rPr>
            <w:fldChar w:fldCharType="separate"/>
          </w:r>
          <w:r w:rsidR="00791E09">
            <w:rPr>
              <w:rFonts w:eastAsia="Times New Roman"/>
              <w:noProof/>
            </w:rPr>
            <w:t>2</w:t>
          </w:r>
          <w:r w:rsidRPr="00A624A0">
            <w:rPr>
              <w:rFonts w:eastAsia="Times New Roman"/>
            </w:rPr>
            <w:fldChar w:fldCharType="end"/>
          </w:r>
          <w:r w:rsidRPr="00A624A0">
            <w:rPr>
              <w:rFonts w:eastAsia="Times New Roman"/>
            </w:rPr>
            <w:t xml:space="preserve"> из </w:t>
          </w:r>
          <w:r>
            <w:rPr>
              <w:rFonts w:eastAsia="Times New Roman"/>
            </w:rPr>
            <w:fldChar w:fldCharType="begin"/>
          </w:r>
          <w:r w:rsidRPr="006A403D">
            <w:rPr>
              <w:rFonts w:eastAsia="Times New Roman"/>
            </w:rPr>
            <w:instrText>NUMPAGES  \* Arabic  \* MERGEFORMAT</w:instrText>
          </w:r>
          <w:r>
            <w:rPr>
              <w:rFonts w:eastAsia="Times New Roman"/>
            </w:rPr>
            <w:fldChar w:fldCharType="separate"/>
          </w:r>
          <w:r w:rsidR="00791E09">
            <w:rPr>
              <w:rFonts w:eastAsia="Times New Roman"/>
              <w:noProof/>
            </w:rPr>
            <w:t>198</w:t>
          </w:r>
          <w:r>
            <w:rPr>
              <w:rFonts w:eastAsia="Times New Roman"/>
            </w:rPr>
            <w:fldChar w:fldCharType="end"/>
          </w:r>
        </w:p>
      </w:tc>
    </w:tr>
  </w:tbl>
  <w:p w14:paraId="1524A3CD" w14:textId="1791E58A" w:rsidR="00A15AFF" w:rsidRPr="00C13EBE" w:rsidRDefault="00A15AFF" w:rsidP="00C13EBE">
    <w:pPr>
      <w:pStyle w:val="ae"/>
      <w:ind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F3123" w14:textId="77777777" w:rsidR="00A15AFF" w:rsidRDefault="00A15AFF">
    <w:pPr>
      <w:rPr>
        <w:sz w:val="2"/>
        <w:szCs w:val="2"/>
      </w:rPr>
    </w:pPr>
    <w:r>
      <w:rPr>
        <w:noProof/>
        <w:lang w:eastAsia="ru-RU"/>
      </w:rPr>
      <mc:AlternateContent>
        <mc:Choice Requires="wps">
          <w:drawing>
            <wp:anchor distT="0" distB="0" distL="63500" distR="63500" simplePos="0" relativeHeight="251658240" behindDoc="1" locked="0" layoutInCell="1" allowOverlap="1" wp14:anchorId="5CB9D16C" wp14:editId="5FA3FB77">
              <wp:simplePos x="0" y="0"/>
              <wp:positionH relativeFrom="page">
                <wp:posOffset>6080760</wp:posOffset>
              </wp:positionH>
              <wp:positionV relativeFrom="page">
                <wp:posOffset>10083165</wp:posOffset>
              </wp:positionV>
              <wp:extent cx="738505" cy="153035"/>
              <wp:effectExtent l="3810" t="0" r="635" b="317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68A9D" w14:textId="77777777" w:rsidR="00A15AFF" w:rsidRDefault="00A15AFF">
                          <w:r w:rsidRPr="00474B31">
                            <w:rPr>
                              <w:rStyle w:val="aff1"/>
                              <w:rFonts w:eastAsiaTheme="minorHAnsi"/>
                            </w:rPr>
                            <w:t xml:space="preserve">Стр. </w:t>
                          </w:r>
                          <w:r w:rsidRPr="00474B31">
                            <w:fldChar w:fldCharType="begin"/>
                          </w:r>
                          <w:r>
                            <w:instrText xml:space="preserve"> PAGE \* MERGEFORMAT </w:instrText>
                          </w:r>
                          <w:r w:rsidRPr="00474B31">
                            <w:fldChar w:fldCharType="separate"/>
                          </w:r>
                          <w:r w:rsidRPr="00474B31">
                            <w:rPr>
                              <w:rStyle w:val="aff1"/>
                              <w:rFonts w:eastAsiaTheme="minorHAnsi"/>
                            </w:rPr>
                            <w:t>#</w:t>
                          </w:r>
                          <w:r w:rsidRPr="00474B31">
                            <w:rPr>
                              <w:rStyle w:val="aff1"/>
                              <w:rFonts w:eastAsiaTheme="minorHAnsi"/>
                            </w:rPr>
                            <w:fldChar w:fldCharType="end"/>
                          </w:r>
                          <w:r w:rsidRPr="00474B31">
                            <w:rPr>
                              <w:rStyle w:val="aff1"/>
                              <w:rFonts w:eastAsiaTheme="minorHAnsi"/>
                            </w:rPr>
                            <w:t xml:space="preserve"> из 26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B9D16C" id="_x0000_t202" coordsize="21600,21600" o:spt="202" path="m,l,21600r21600,l21600,xe">
              <v:stroke joinstyle="miter"/>
              <v:path gradientshapeok="t" o:connecttype="rect"/>
            </v:shapetype>
            <v:shape id="Text Box 5" o:spid="_x0000_s1026" type="#_x0000_t202" style="position:absolute;left:0;text-align:left;margin-left:478.8pt;margin-top:793.95pt;width:58.15pt;height:12.05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" filled="f" stroked="f">
              <v:textbox style="mso-fit-shape-to-text:t" inset="0,0,0,0">
                <w:txbxContent>
                  <w:p w14:paraId="15568A9D" w14:textId="77777777" w:rsidR="00A15AFF" w:rsidRDefault="00A15AFF">
                    <w:r w:rsidRPr="00474B31">
                      <w:rPr>
                        <w:rStyle w:val="aff1"/>
                        <w:rFonts w:eastAsiaTheme="minorHAnsi"/>
                      </w:rPr>
                      <w:t xml:space="preserve">Стр. </w:t>
                    </w:r>
                    <w:r w:rsidRPr="00474B31">
                      <w:fldChar w:fldCharType="begin"/>
                    </w:r>
                    <w:r>
                      <w:instrText xml:space="preserve"> PAGE \* MERGEFORMAT </w:instrText>
                    </w:r>
                    <w:r w:rsidRPr="00474B31">
                      <w:fldChar w:fldCharType="separate"/>
                    </w:r>
                    <w:r w:rsidRPr="00474B31">
                      <w:rPr>
                        <w:rStyle w:val="aff1"/>
                        <w:rFonts w:eastAsiaTheme="minorHAnsi"/>
                      </w:rPr>
                      <w:t>#</w:t>
                    </w:r>
                    <w:r w:rsidRPr="00474B31">
                      <w:rPr>
                        <w:rStyle w:val="aff1"/>
                        <w:rFonts w:eastAsiaTheme="minorHAnsi"/>
                      </w:rPr>
                      <w:fldChar w:fldCharType="end"/>
                    </w:r>
                    <w:r w:rsidRPr="00474B31">
                      <w:rPr>
                        <w:rStyle w:val="aff1"/>
                        <w:rFonts w:eastAsiaTheme="minorHAnsi"/>
                      </w:rPr>
                      <w:t xml:space="preserve"> из 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C845C" w14:textId="77777777" w:rsidR="005C40C4" w:rsidRDefault="005C40C4" w:rsidP="00066F7B">
      <w:r>
        <w:separator/>
      </w:r>
    </w:p>
  </w:footnote>
  <w:footnote w:type="continuationSeparator" w:id="0">
    <w:p w14:paraId="55631554" w14:textId="77777777" w:rsidR="005C40C4" w:rsidRDefault="005C40C4" w:rsidP="00031769">
      <w:r>
        <w:continuationSeparator/>
      </w:r>
    </w:p>
  </w:footnote>
  <w:footnote w:type="continuationNotice" w:id="1">
    <w:p w14:paraId="19AB9A8C" w14:textId="77777777" w:rsidR="005C40C4" w:rsidRDefault="005C40C4">
      <w:pPr>
        <w:spacing w:after="0"/>
      </w:pPr>
    </w:p>
  </w:footnote>
  <w:footnote w:id="2">
    <w:p w14:paraId="00AB929D" w14:textId="77777777" w:rsidR="00A15AFF" w:rsidRPr="0052506E" w:rsidRDefault="00A15AFF" w:rsidP="00E61A3E">
      <w:pPr>
        <w:pStyle w:val="a5"/>
        <w:ind w:firstLine="0"/>
        <w:rPr>
          <w:lang w:val="en-US"/>
        </w:rPr>
      </w:pPr>
      <w:r w:rsidRPr="00014867">
        <w:rPr>
          <w:rStyle w:val="a7"/>
        </w:rPr>
        <w:footnoteRef/>
      </w:r>
      <w:r w:rsidRPr="0052506E">
        <w:rPr>
          <w:lang w:val="en-US"/>
        </w:rPr>
        <w:t xml:space="preserve"> Li, Xin; Liu, Lihua; Deng, Yang; Li, Yuan; Zhang, Ping; Wang, Yangyang; Xu, Bing; Feng, Jie; Huang, Lu (2020). Pharmacokinetics and Bioequivalence of 2 Immediateâ Release Tofacitinib Tablet Formulations in Chinese Healthy Volunteers Under Fasting and Fed Conditions. </w:t>
      </w:r>
      <w:r w:rsidRPr="0052506E">
        <w:rPr>
          <w:i/>
          <w:lang w:val="en-US"/>
        </w:rPr>
        <w:t>Clinical Pharmacology in Drug Development</w:t>
      </w:r>
      <w:r w:rsidRPr="0052506E">
        <w:rPr>
          <w:lang w:val="en-US"/>
        </w:rPr>
        <w:t>. doi:10.1002/cpdd.864</w:t>
      </w:r>
    </w:p>
  </w:footnote>
  <w:footnote w:id="3">
    <w:p w14:paraId="5124353A" w14:textId="77777777" w:rsidR="00A15AFF" w:rsidRPr="0052506E" w:rsidRDefault="00A15AFF" w:rsidP="00E61A3E">
      <w:pPr>
        <w:pStyle w:val="a5"/>
        <w:ind w:firstLine="0"/>
      </w:pPr>
      <w:r w:rsidRPr="00014867">
        <w:rPr>
          <w:rStyle w:val="a7"/>
        </w:rPr>
        <w:footnoteRef/>
      </w:r>
      <w:r w:rsidRPr="0052506E">
        <w:rPr>
          <w:lang w:val="en-US"/>
        </w:rPr>
        <w:t xml:space="preserve"> </w:t>
      </w:r>
      <w:r>
        <w:rPr>
          <w:color w:val="000000"/>
          <w:shd w:val="clear" w:color="auto" w:fill="FFFFFF"/>
          <w:lang w:val="en-US"/>
        </w:rPr>
        <w:t xml:space="preserve">EMA. EPAR for Tofacitinib. </w:t>
      </w:r>
      <w:hyperlink r:id="rId1" w:tooltip="CTRL+ щелчок или касание: перейти по ссылке" w:history="1">
        <w:r w:rsidRPr="003F3C65">
          <w:rPr>
            <w:rStyle w:val="a9"/>
            <w:color w:val="000000" w:themeColor="text1"/>
            <w:lang w:val="en-US"/>
          </w:rPr>
          <w:t>https</w:t>
        </w:r>
        <w:r w:rsidRPr="0052506E">
          <w:rPr>
            <w:rStyle w:val="a9"/>
            <w:color w:val="000000" w:themeColor="text1"/>
          </w:rPr>
          <w:t>://</w:t>
        </w:r>
        <w:r w:rsidRPr="003F3C65">
          <w:rPr>
            <w:rStyle w:val="a9"/>
            <w:color w:val="000000" w:themeColor="text1"/>
            <w:lang w:val="en-US"/>
          </w:rPr>
          <w:t>www</w:t>
        </w:r>
        <w:r w:rsidRPr="0052506E">
          <w:rPr>
            <w:rStyle w:val="a9"/>
            <w:color w:val="000000" w:themeColor="text1"/>
          </w:rPr>
          <w:t>.</w:t>
        </w:r>
        <w:r w:rsidRPr="003F3C65">
          <w:rPr>
            <w:rStyle w:val="a9"/>
            <w:color w:val="000000" w:themeColor="text1"/>
            <w:lang w:val="en-US"/>
          </w:rPr>
          <w:t>ema</w:t>
        </w:r>
        <w:r w:rsidRPr="0052506E">
          <w:rPr>
            <w:rStyle w:val="a9"/>
            <w:color w:val="000000" w:themeColor="text1"/>
          </w:rPr>
          <w:t>.</w:t>
        </w:r>
        <w:r w:rsidRPr="003F3C65">
          <w:rPr>
            <w:rStyle w:val="a9"/>
            <w:color w:val="000000" w:themeColor="text1"/>
            <w:lang w:val="en-US"/>
          </w:rPr>
          <w:t>europa</w:t>
        </w:r>
        <w:r w:rsidRPr="0052506E">
          <w:rPr>
            <w:rStyle w:val="a9"/>
            <w:color w:val="000000" w:themeColor="text1"/>
          </w:rPr>
          <w:t>.</w:t>
        </w:r>
        <w:r w:rsidRPr="003F3C65">
          <w:rPr>
            <w:rStyle w:val="a9"/>
            <w:color w:val="000000" w:themeColor="text1"/>
            <w:lang w:val="en-US"/>
          </w:rPr>
          <w:t>eu</w:t>
        </w:r>
        <w:r w:rsidRPr="0052506E">
          <w:rPr>
            <w:rStyle w:val="a9"/>
            <w:color w:val="000000" w:themeColor="text1"/>
          </w:rPr>
          <w:t>/</w:t>
        </w:r>
        <w:r w:rsidRPr="003F3C65">
          <w:rPr>
            <w:rStyle w:val="a9"/>
            <w:color w:val="000000" w:themeColor="text1"/>
            <w:lang w:val="en-US"/>
          </w:rPr>
          <w:t>en</w:t>
        </w:r>
        <w:r w:rsidRPr="0052506E">
          <w:rPr>
            <w:rStyle w:val="a9"/>
            <w:color w:val="000000" w:themeColor="text1"/>
          </w:rPr>
          <w:t>/</w:t>
        </w:r>
        <w:r w:rsidRPr="003F3C65">
          <w:rPr>
            <w:rStyle w:val="a9"/>
            <w:color w:val="000000" w:themeColor="text1"/>
            <w:lang w:val="en-US"/>
          </w:rPr>
          <w:t>documents</w:t>
        </w:r>
        <w:r w:rsidRPr="0052506E">
          <w:rPr>
            <w:rStyle w:val="a9"/>
            <w:color w:val="000000" w:themeColor="text1"/>
          </w:rPr>
          <w:t>/</w:t>
        </w:r>
        <w:r w:rsidRPr="003F3C65">
          <w:rPr>
            <w:rStyle w:val="a9"/>
            <w:color w:val="000000" w:themeColor="text1"/>
            <w:lang w:val="en-US"/>
          </w:rPr>
          <w:t>variation</w:t>
        </w:r>
        <w:r w:rsidRPr="0052506E">
          <w:rPr>
            <w:rStyle w:val="a9"/>
            <w:color w:val="000000" w:themeColor="text1"/>
          </w:rPr>
          <w:t>-</w:t>
        </w:r>
        <w:r w:rsidRPr="003F3C65">
          <w:rPr>
            <w:rStyle w:val="a9"/>
            <w:color w:val="000000" w:themeColor="text1"/>
            <w:lang w:val="en-US"/>
          </w:rPr>
          <w:t>report</w:t>
        </w:r>
        <w:r w:rsidRPr="0052506E">
          <w:rPr>
            <w:rStyle w:val="a9"/>
            <w:color w:val="000000" w:themeColor="text1"/>
          </w:rPr>
          <w:t>/</w:t>
        </w:r>
        <w:r w:rsidRPr="003F3C65">
          <w:rPr>
            <w:rStyle w:val="a9"/>
            <w:color w:val="000000" w:themeColor="text1"/>
            <w:lang w:val="en-US"/>
          </w:rPr>
          <w:t>xeljanz</w:t>
        </w:r>
        <w:r w:rsidRPr="0052506E">
          <w:rPr>
            <w:rStyle w:val="a9"/>
            <w:color w:val="000000" w:themeColor="text1"/>
          </w:rPr>
          <w:t>-</w:t>
        </w:r>
        <w:r w:rsidRPr="003F3C65">
          <w:rPr>
            <w:rStyle w:val="a9"/>
            <w:color w:val="000000" w:themeColor="text1"/>
            <w:lang w:val="en-US"/>
          </w:rPr>
          <w:t>h</w:t>
        </w:r>
        <w:r w:rsidRPr="0052506E">
          <w:rPr>
            <w:rStyle w:val="a9"/>
            <w:color w:val="000000" w:themeColor="text1"/>
          </w:rPr>
          <w:t>-</w:t>
        </w:r>
        <w:r w:rsidRPr="003F3C65">
          <w:rPr>
            <w:rStyle w:val="a9"/>
            <w:color w:val="000000" w:themeColor="text1"/>
            <w:lang w:val="en-US"/>
          </w:rPr>
          <w:t>c</w:t>
        </w:r>
        <w:r w:rsidRPr="0052506E">
          <w:rPr>
            <w:rStyle w:val="a9"/>
            <w:color w:val="000000" w:themeColor="text1"/>
          </w:rPr>
          <w:t>-4214-</w:t>
        </w:r>
        <w:r w:rsidRPr="003F3C65">
          <w:rPr>
            <w:rStyle w:val="a9"/>
            <w:color w:val="000000" w:themeColor="text1"/>
            <w:lang w:val="en-US"/>
          </w:rPr>
          <w:t>x</w:t>
        </w:r>
        <w:r w:rsidRPr="0052506E">
          <w:rPr>
            <w:rStyle w:val="a9"/>
            <w:color w:val="000000" w:themeColor="text1"/>
          </w:rPr>
          <w:t>-0024-</w:t>
        </w:r>
        <w:r w:rsidRPr="003F3C65">
          <w:rPr>
            <w:rStyle w:val="a9"/>
            <w:color w:val="000000" w:themeColor="text1"/>
            <w:lang w:val="en-US"/>
          </w:rPr>
          <w:t>g</w:t>
        </w:r>
        <w:r w:rsidRPr="0052506E">
          <w:rPr>
            <w:rStyle w:val="a9"/>
            <w:color w:val="000000" w:themeColor="text1"/>
          </w:rPr>
          <w:t>-</w:t>
        </w:r>
        <w:r w:rsidRPr="003F3C65">
          <w:rPr>
            <w:rStyle w:val="a9"/>
            <w:color w:val="000000" w:themeColor="text1"/>
            <w:lang w:val="en-US"/>
          </w:rPr>
          <w:t>epar</w:t>
        </w:r>
        <w:r w:rsidRPr="0052506E">
          <w:rPr>
            <w:rStyle w:val="a9"/>
            <w:color w:val="000000" w:themeColor="text1"/>
          </w:rPr>
          <w:t>-</w:t>
        </w:r>
        <w:r w:rsidRPr="003F3C65">
          <w:rPr>
            <w:rStyle w:val="a9"/>
            <w:color w:val="000000" w:themeColor="text1"/>
            <w:lang w:val="en-US"/>
          </w:rPr>
          <w:t>assessment</w:t>
        </w:r>
        <w:r w:rsidRPr="0052506E">
          <w:rPr>
            <w:rStyle w:val="a9"/>
            <w:color w:val="000000" w:themeColor="text1"/>
          </w:rPr>
          <w:t>-</w:t>
        </w:r>
        <w:r w:rsidRPr="003F3C65">
          <w:rPr>
            <w:rStyle w:val="a9"/>
            <w:color w:val="000000" w:themeColor="text1"/>
            <w:lang w:val="en-US"/>
          </w:rPr>
          <w:t>report</w:t>
        </w:r>
        <w:r w:rsidRPr="0052506E">
          <w:rPr>
            <w:rStyle w:val="a9"/>
            <w:color w:val="000000" w:themeColor="text1"/>
          </w:rPr>
          <w:t>-</w:t>
        </w:r>
        <w:r w:rsidRPr="003F3C65">
          <w:rPr>
            <w:rStyle w:val="a9"/>
            <w:color w:val="000000" w:themeColor="text1"/>
            <w:lang w:val="en-US"/>
          </w:rPr>
          <w:t>variation</w:t>
        </w:r>
        <w:r w:rsidRPr="0052506E">
          <w:rPr>
            <w:rStyle w:val="a9"/>
            <w:color w:val="000000" w:themeColor="text1"/>
          </w:rPr>
          <w:t>_</w:t>
        </w:r>
        <w:r w:rsidRPr="003F3C65">
          <w:rPr>
            <w:rStyle w:val="a9"/>
            <w:color w:val="000000" w:themeColor="text1"/>
            <w:lang w:val="en-US"/>
          </w:rPr>
          <w:t>en</w:t>
        </w:r>
        <w:r w:rsidRPr="0052506E">
          <w:rPr>
            <w:rStyle w:val="a9"/>
            <w:color w:val="000000" w:themeColor="text1"/>
          </w:rPr>
          <w:t>.</w:t>
        </w:r>
        <w:r w:rsidRPr="003F3C65">
          <w:rPr>
            <w:rStyle w:val="a9"/>
            <w:color w:val="000000" w:themeColor="text1"/>
            <w:lang w:val="en-US"/>
          </w:rPr>
          <w:t>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34" w:type="dxa"/>
      <w:tblLook w:val="04A0" w:firstRow="1" w:lastRow="0" w:firstColumn="1" w:lastColumn="0" w:noHBand="0" w:noVBand="1"/>
    </w:tblPr>
    <w:tblGrid>
      <w:gridCol w:w="4635"/>
      <w:gridCol w:w="5004"/>
    </w:tblGrid>
    <w:tr w:rsidR="00A15AFF" w:rsidRPr="008C1807" w14:paraId="3368B723" w14:textId="77777777" w:rsidTr="002D06FA">
      <w:trPr>
        <w:trHeight w:val="866"/>
      </w:trPr>
      <w:tc>
        <w:tcPr>
          <w:tcW w:w="4635" w:type="dxa"/>
          <w:hideMark/>
        </w:tcPr>
        <w:p w14:paraId="50525044" w14:textId="77777777" w:rsidR="00A15AFF" w:rsidRDefault="00A15AFF" w:rsidP="00F85178">
          <w:pPr>
            <w:tabs>
              <w:tab w:val="center" w:pos="4677"/>
              <w:tab w:val="right" w:pos="9355"/>
            </w:tabs>
            <w:spacing w:after="0"/>
            <w:jc w:val="left"/>
            <w:rPr>
              <w:rFonts w:eastAsia="Times New Roman"/>
            </w:rPr>
          </w:pPr>
        </w:p>
        <w:p w14:paraId="00DE1467" w14:textId="77777777" w:rsidR="00A15AFF" w:rsidRPr="008C1807" w:rsidRDefault="00A15AFF" w:rsidP="0075128B">
          <w:pPr>
            <w:tabs>
              <w:tab w:val="center" w:pos="4677"/>
              <w:tab w:val="right" w:pos="9355"/>
            </w:tabs>
            <w:spacing w:after="0"/>
            <w:ind w:hanging="7"/>
            <w:jc w:val="left"/>
            <w:rPr>
              <w:rFonts w:eastAsia="Times New Roman"/>
            </w:rPr>
          </w:pPr>
          <w:r w:rsidRPr="008C1807">
            <w:rPr>
              <w:rFonts w:eastAsia="Times New Roman"/>
            </w:rPr>
            <w:t>Брошюра исследователя</w:t>
          </w:r>
        </w:p>
        <w:p w14:paraId="62C162C5" w14:textId="228B8242" w:rsidR="00A15AFF" w:rsidRPr="00F85178" w:rsidRDefault="00A15AFF" w:rsidP="0075128B">
          <w:pPr>
            <w:tabs>
              <w:tab w:val="center" w:pos="4677"/>
              <w:tab w:val="right" w:pos="9355"/>
            </w:tabs>
            <w:spacing w:after="0"/>
            <w:ind w:hanging="7"/>
            <w:jc w:val="left"/>
          </w:pPr>
          <w:r w:rsidRPr="008C1807">
            <w:rPr>
              <w:rFonts w:eastAsia="Times New Roman"/>
            </w:rPr>
            <w:t>Номер протокола:</w:t>
          </w:r>
          <w:r>
            <w:rPr>
              <w:rFonts w:eastAsia="Times New Roman"/>
            </w:rPr>
            <w:t xml:space="preserve"> </w:t>
          </w:r>
          <w:r w:rsidRPr="009D44B4">
            <w:rPr>
              <w:rFonts w:eastAsia="Calibri"/>
              <w:szCs w:val="24"/>
              <w:lang w:eastAsia="ru-RU"/>
            </w:rPr>
            <w:t xml:space="preserve">№ </w:t>
          </w:r>
          <w:r w:rsidRPr="00005F66">
            <w:t>CL041050156</w:t>
          </w:r>
        </w:p>
        <w:p w14:paraId="2FF717FB" w14:textId="2C5EBDC0" w:rsidR="00A15AFF" w:rsidRPr="00986AA3" w:rsidRDefault="00A15AFF" w:rsidP="0075128B">
          <w:pPr>
            <w:tabs>
              <w:tab w:val="center" w:pos="4677"/>
              <w:tab w:val="right" w:pos="9355"/>
            </w:tabs>
            <w:spacing w:after="0"/>
            <w:ind w:hanging="7"/>
            <w:jc w:val="left"/>
            <w:rPr>
              <w:rFonts w:eastAsia="Times New Roman"/>
            </w:rPr>
          </w:pPr>
          <w:r>
            <w:t>Спонсор: АО «Р-Фарм», Россия</w:t>
          </w:r>
        </w:p>
      </w:tc>
      <w:tc>
        <w:tcPr>
          <w:tcW w:w="5004" w:type="dxa"/>
          <w:hideMark/>
        </w:tcPr>
        <w:p w14:paraId="355FB327" w14:textId="77777777" w:rsidR="00A15AFF" w:rsidRPr="008C1807" w:rsidRDefault="00A15AFF" w:rsidP="00F85178">
          <w:pPr>
            <w:tabs>
              <w:tab w:val="center" w:pos="4677"/>
              <w:tab w:val="right" w:pos="9355"/>
            </w:tabs>
            <w:spacing w:after="0"/>
            <w:jc w:val="right"/>
            <w:rPr>
              <w:rFonts w:eastAsia="Times New Roman"/>
            </w:rPr>
          </w:pPr>
          <w:r w:rsidRPr="00EC20DD">
            <w:rPr>
              <w:noProof/>
              <w:lang w:eastAsia="ru-RU"/>
            </w:rPr>
            <w:drawing>
              <wp:inline distT="0" distB="0" distL="0" distR="0" wp14:anchorId="534676A1" wp14:editId="5141F22D">
                <wp:extent cx="683260" cy="683260"/>
                <wp:effectExtent l="0" t="0" r="2540" b="254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3E8F668D" w14:textId="71C5E796" w:rsidR="00A15AFF" w:rsidRPr="00C13EBE" w:rsidRDefault="00A15AFF" w:rsidP="00F85178">
    <w:pPr>
      <w:pStyle w:val="ac"/>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A15AFF" w:rsidRPr="008C1807" w14:paraId="4171CCD2" w14:textId="77777777" w:rsidTr="008210DF">
      <w:tc>
        <w:tcPr>
          <w:tcW w:w="4564" w:type="dxa"/>
          <w:hideMark/>
        </w:tcPr>
        <w:p w14:paraId="54A85D12" w14:textId="77777777" w:rsidR="00A15AFF" w:rsidRDefault="00A15AFF" w:rsidP="00722E80">
          <w:pPr>
            <w:tabs>
              <w:tab w:val="center" w:pos="4677"/>
              <w:tab w:val="right" w:pos="9355"/>
            </w:tabs>
            <w:spacing w:after="0"/>
            <w:jc w:val="left"/>
            <w:rPr>
              <w:rFonts w:eastAsia="Times New Roman"/>
            </w:rPr>
          </w:pPr>
        </w:p>
        <w:p w14:paraId="5A075321" w14:textId="77777777" w:rsidR="00A15AFF" w:rsidRPr="008C1807" w:rsidRDefault="00A15AFF" w:rsidP="00722E80">
          <w:pPr>
            <w:tabs>
              <w:tab w:val="center" w:pos="4677"/>
              <w:tab w:val="right" w:pos="9355"/>
            </w:tabs>
            <w:spacing w:after="0"/>
            <w:jc w:val="left"/>
            <w:rPr>
              <w:rFonts w:eastAsia="Times New Roman"/>
            </w:rPr>
          </w:pPr>
          <w:r w:rsidRPr="008C1807">
            <w:rPr>
              <w:rFonts w:eastAsia="Times New Roman"/>
            </w:rPr>
            <w:t>Брошюра исследователя</w:t>
          </w:r>
        </w:p>
        <w:p w14:paraId="660CFFCA" w14:textId="4B0B7C26" w:rsidR="00A15AFF" w:rsidRPr="00D750D1" w:rsidRDefault="00A15AFF" w:rsidP="00722E80">
          <w:pPr>
            <w:tabs>
              <w:tab w:val="center" w:pos="4677"/>
              <w:tab w:val="right" w:pos="9355"/>
            </w:tabs>
            <w:spacing w:after="0"/>
            <w:jc w:val="left"/>
          </w:pPr>
          <w:r w:rsidRPr="008C1807">
            <w:rPr>
              <w:rFonts w:eastAsia="Times New Roman"/>
            </w:rPr>
            <w:t>Номер протокола:</w:t>
          </w:r>
          <w:r>
            <w:rPr>
              <w:rFonts w:eastAsia="Times New Roman"/>
            </w:rPr>
            <w:t xml:space="preserve"> </w:t>
          </w:r>
          <w:r>
            <w:rPr>
              <w:rFonts w:eastAsia="Times New Roman"/>
            </w:rPr>
            <w:fldChar w:fldCharType="begin"/>
          </w:r>
          <w:r>
            <w:rPr>
              <w:rFonts w:eastAsia="Times New Roman"/>
            </w:rPr>
            <w:instrText xml:space="preserve"> STYLEREF  "Protocol ID"  \* MERGEFORMAT </w:instrText>
          </w:r>
          <w:r>
            <w:rPr>
              <w:rFonts w:eastAsia="Times New Roman"/>
            </w:rPr>
            <w:fldChar w:fldCharType="separate"/>
          </w:r>
          <w:r>
            <w:rPr>
              <w:rFonts w:eastAsia="Times New Roman"/>
              <w:noProof/>
            </w:rPr>
            <w:t>Место для ввода текста.</w:t>
          </w:r>
          <w:r>
            <w:rPr>
              <w:rFonts w:eastAsia="Times New Roman"/>
            </w:rPr>
            <w:fldChar w:fldCharType="end"/>
          </w:r>
        </w:p>
        <w:p w14:paraId="1BBDCA51" w14:textId="77777777" w:rsidR="00A15AFF" w:rsidRPr="00986AA3" w:rsidRDefault="00A15AFF" w:rsidP="00722E80">
          <w:pPr>
            <w:tabs>
              <w:tab w:val="center" w:pos="4677"/>
              <w:tab w:val="right" w:pos="9355"/>
            </w:tabs>
            <w:spacing w:after="0"/>
            <w:jc w:val="left"/>
            <w:rPr>
              <w:rFonts w:eastAsia="Times New Roman"/>
            </w:rPr>
          </w:pPr>
          <w:r>
            <w:t>Спонсор: АО «Р-Фарм»</w:t>
          </w:r>
        </w:p>
      </w:tc>
      <w:tc>
        <w:tcPr>
          <w:tcW w:w="5076" w:type="dxa"/>
          <w:hideMark/>
        </w:tcPr>
        <w:p w14:paraId="5B074869" w14:textId="77777777" w:rsidR="00A15AFF" w:rsidRPr="008C1807" w:rsidRDefault="00A15AFF" w:rsidP="00722E80">
          <w:pPr>
            <w:tabs>
              <w:tab w:val="center" w:pos="4677"/>
              <w:tab w:val="right" w:pos="9355"/>
            </w:tabs>
            <w:spacing w:after="0"/>
            <w:jc w:val="right"/>
            <w:rPr>
              <w:rFonts w:eastAsia="Times New Roman"/>
            </w:rPr>
          </w:pPr>
          <w:r w:rsidRPr="00EC20DD">
            <w:rPr>
              <w:noProof/>
              <w:lang w:eastAsia="ru-RU"/>
            </w:rPr>
            <w:drawing>
              <wp:inline distT="0" distB="0" distL="0" distR="0" wp14:anchorId="45CB649D" wp14:editId="26DFAA16">
                <wp:extent cx="683260" cy="683260"/>
                <wp:effectExtent l="0" t="0" r="2540" b="2540"/>
                <wp:docPr id="8"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0C74E9DE" w14:textId="77777777" w:rsidR="00A15AFF" w:rsidRDefault="00A15AFF">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34" w:type="dxa"/>
      <w:tblLook w:val="04A0" w:firstRow="1" w:lastRow="0" w:firstColumn="1" w:lastColumn="0" w:noHBand="0" w:noVBand="1"/>
    </w:tblPr>
    <w:tblGrid>
      <w:gridCol w:w="4635"/>
      <w:gridCol w:w="5004"/>
    </w:tblGrid>
    <w:tr w:rsidR="00C13EBE" w:rsidRPr="008C1807" w14:paraId="1EAF7895" w14:textId="77777777" w:rsidTr="002D06FA">
      <w:trPr>
        <w:trHeight w:val="866"/>
      </w:trPr>
      <w:tc>
        <w:tcPr>
          <w:tcW w:w="4635" w:type="dxa"/>
          <w:hideMark/>
        </w:tcPr>
        <w:p w14:paraId="47E4BD61" w14:textId="77777777" w:rsidR="00C13EBE" w:rsidRDefault="00C13EBE" w:rsidP="00F85178">
          <w:pPr>
            <w:tabs>
              <w:tab w:val="center" w:pos="4677"/>
              <w:tab w:val="right" w:pos="9355"/>
            </w:tabs>
            <w:spacing w:after="0"/>
            <w:jc w:val="left"/>
            <w:rPr>
              <w:rFonts w:eastAsia="Times New Roman"/>
            </w:rPr>
          </w:pPr>
        </w:p>
        <w:p w14:paraId="2D421658" w14:textId="77777777" w:rsidR="00C13EBE" w:rsidRPr="008C1807" w:rsidRDefault="00C13EBE" w:rsidP="0075128B">
          <w:pPr>
            <w:tabs>
              <w:tab w:val="center" w:pos="4677"/>
              <w:tab w:val="right" w:pos="9355"/>
            </w:tabs>
            <w:spacing w:after="0"/>
            <w:ind w:hanging="7"/>
            <w:jc w:val="left"/>
            <w:rPr>
              <w:rFonts w:eastAsia="Times New Roman"/>
            </w:rPr>
          </w:pPr>
          <w:r w:rsidRPr="008C1807">
            <w:rPr>
              <w:rFonts w:eastAsia="Times New Roman"/>
            </w:rPr>
            <w:t>Брошюра исследователя</w:t>
          </w:r>
        </w:p>
        <w:p w14:paraId="5B5FFB38" w14:textId="77777777" w:rsidR="00C13EBE" w:rsidRPr="00F85178" w:rsidRDefault="00C13EBE" w:rsidP="0075128B">
          <w:pPr>
            <w:tabs>
              <w:tab w:val="center" w:pos="4677"/>
              <w:tab w:val="right" w:pos="9355"/>
            </w:tabs>
            <w:spacing w:after="0"/>
            <w:ind w:hanging="7"/>
            <w:jc w:val="left"/>
          </w:pPr>
          <w:r w:rsidRPr="008C1807">
            <w:rPr>
              <w:rFonts w:eastAsia="Times New Roman"/>
            </w:rPr>
            <w:t>Номер протокола:</w:t>
          </w:r>
          <w:r>
            <w:rPr>
              <w:rFonts w:eastAsia="Times New Roman"/>
            </w:rPr>
            <w:t xml:space="preserve"> </w:t>
          </w:r>
          <w:r w:rsidRPr="009D44B4">
            <w:rPr>
              <w:rFonts w:eastAsia="Calibri"/>
              <w:szCs w:val="24"/>
              <w:lang w:eastAsia="ru-RU"/>
            </w:rPr>
            <w:t xml:space="preserve">№ </w:t>
          </w:r>
          <w:r w:rsidRPr="00005F66">
            <w:t>CL041050156</w:t>
          </w:r>
        </w:p>
        <w:p w14:paraId="0C35779A" w14:textId="77777777" w:rsidR="00C13EBE" w:rsidRPr="00986AA3" w:rsidRDefault="00C13EBE" w:rsidP="0075128B">
          <w:pPr>
            <w:tabs>
              <w:tab w:val="center" w:pos="4677"/>
              <w:tab w:val="right" w:pos="9355"/>
            </w:tabs>
            <w:spacing w:after="0"/>
            <w:ind w:hanging="7"/>
            <w:jc w:val="left"/>
            <w:rPr>
              <w:rFonts w:eastAsia="Times New Roman"/>
            </w:rPr>
          </w:pPr>
          <w:r>
            <w:t>Спонсор: АО «Р-Фарм», Россия</w:t>
          </w:r>
        </w:p>
      </w:tc>
      <w:tc>
        <w:tcPr>
          <w:tcW w:w="5004" w:type="dxa"/>
          <w:hideMark/>
        </w:tcPr>
        <w:p w14:paraId="7A3A03C4" w14:textId="77777777" w:rsidR="00C13EBE" w:rsidRPr="008C1807" w:rsidRDefault="00C13EBE" w:rsidP="00F85178">
          <w:pPr>
            <w:tabs>
              <w:tab w:val="center" w:pos="4677"/>
              <w:tab w:val="right" w:pos="9355"/>
            </w:tabs>
            <w:spacing w:after="0"/>
            <w:jc w:val="right"/>
            <w:rPr>
              <w:rFonts w:eastAsia="Times New Roman"/>
            </w:rPr>
          </w:pPr>
          <w:r w:rsidRPr="00EC20DD">
            <w:rPr>
              <w:noProof/>
              <w:lang w:eastAsia="ru-RU"/>
            </w:rPr>
            <w:drawing>
              <wp:inline distT="0" distB="0" distL="0" distR="0" wp14:anchorId="55954B5C" wp14:editId="5B78E183">
                <wp:extent cx="683260" cy="683260"/>
                <wp:effectExtent l="0" t="0" r="2540" b="2540"/>
                <wp:docPr id="7"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CB1A1B4" w14:textId="77777777" w:rsidR="00C13EBE" w:rsidRPr="00C13EBE" w:rsidRDefault="00C13EBE" w:rsidP="00F85178">
    <w:pPr>
      <w:pStyle w:val="ac"/>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34" w:type="dxa"/>
      <w:tblLook w:val="04A0" w:firstRow="1" w:lastRow="0" w:firstColumn="1" w:lastColumn="0" w:noHBand="0" w:noVBand="1"/>
    </w:tblPr>
    <w:tblGrid>
      <w:gridCol w:w="4635"/>
      <w:gridCol w:w="5004"/>
    </w:tblGrid>
    <w:tr w:rsidR="00C13EBE" w:rsidRPr="008C1807" w14:paraId="3D246FA8" w14:textId="77777777" w:rsidTr="002D06FA">
      <w:trPr>
        <w:trHeight w:val="866"/>
      </w:trPr>
      <w:tc>
        <w:tcPr>
          <w:tcW w:w="4635" w:type="dxa"/>
          <w:hideMark/>
        </w:tcPr>
        <w:p w14:paraId="27DE7341" w14:textId="77777777" w:rsidR="00C13EBE" w:rsidRDefault="00C13EBE" w:rsidP="00F85178">
          <w:pPr>
            <w:tabs>
              <w:tab w:val="center" w:pos="4677"/>
              <w:tab w:val="right" w:pos="9355"/>
            </w:tabs>
            <w:spacing w:after="0"/>
            <w:jc w:val="left"/>
            <w:rPr>
              <w:rFonts w:eastAsia="Times New Roman"/>
            </w:rPr>
          </w:pPr>
        </w:p>
        <w:p w14:paraId="1BF84893" w14:textId="77777777" w:rsidR="00C13EBE" w:rsidRPr="008C1807" w:rsidRDefault="00C13EBE" w:rsidP="0075128B">
          <w:pPr>
            <w:tabs>
              <w:tab w:val="center" w:pos="4677"/>
              <w:tab w:val="right" w:pos="9355"/>
            </w:tabs>
            <w:spacing w:after="0"/>
            <w:ind w:hanging="7"/>
            <w:jc w:val="left"/>
            <w:rPr>
              <w:rFonts w:eastAsia="Times New Roman"/>
            </w:rPr>
          </w:pPr>
          <w:r w:rsidRPr="008C1807">
            <w:rPr>
              <w:rFonts w:eastAsia="Times New Roman"/>
            </w:rPr>
            <w:t>Брошюра исследователя</w:t>
          </w:r>
        </w:p>
        <w:p w14:paraId="1F04FF94" w14:textId="77777777" w:rsidR="00C13EBE" w:rsidRPr="00F85178" w:rsidRDefault="00C13EBE" w:rsidP="0075128B">
          <w:pPr>
            <w:tabs>
              <w:tab w:val="center" w:pos="4677"/>
              <w:tab w:val="right" w:pos="9355"/>
            </w:tabs>
            <w:spacing w:after="0"/>
            <w:ind w:hanging="7"/>
            <w:jc w:val="left"/>
          </w:pPr>
          <w:r w:rsidRPr="008C1807">
            <w:rPr>
              <w:rFonts w:eastAsia="Times New Roman"/>
            </w:rPr>
            <w:t>Номер протокола:</w:t>
          </w:r>
          <w:r>
            <w:rPr>
              <w:rFonts w:eastAsia="Times New Roman"/>
            </w:rPr>
            <w:t xml:space="preserve"> </w:t>
          </w:r>
          <w:r w:rsidRPr="009D44B4">
            <w:rPr>
              <w:rFonts w:eastAsia="Calibri"/>
              <w:szCs w:val="24"/>
              <w:lang w:eastAsia="ru-RU"/>
            </w:rPr>
            <w:t xml:space="preserve">№ </w:t>
          </w:r>
          <w:r w:rsidRPr="00005F66">
            <w:t>CL041050156</w:t>
          </w:r>
        </w:p>
        <w:p w14:paraId="1DCD91E1" w14:textId="77777777" w:rsidR="00C13EBE" w:rsidRPr="00986AA3" w:rsidRDefault="00C13EBE" w:rsidP="0075128B">
          <w:pPr>
            <w:tabs>
              <w:tab w:val="center" w:pos="4677"/>
              <w:tab w:val="right" w:pos="9355"/>
            </w:tabs>
            <w:spacing w:after="0"/>
            <w:ind w:hanging="7"/>
            <w:jc w:val="left"/>
            <w:rPr>
              <w:rFonts w:eastAsia="Times New Roman"/>
            </w:rPr>
          </w:pPr>
          <w:r>
            <w:t>Спонсор: АО «Р-Фарм», Россия</w:t>
          </w:r>
        </w:p>
      </w:tc>
      <w:tc>
        <w:tcPr>
          <w:tcW w:w="5004" w:type="dxa"/>
          <w:hideMark/>
        </w:tcPr>
        <w:p w14:paraId="726238A8" w14:textId="77777777" w:rsidR="00C13EBE" w:rsidRPr="008C1807" w:rsidRDefault="00C13EBE" w:rsidP="00F85178">
          <w:pPr>
            <w:tabs>
              <w:tab w:val="center" w:pos="4677"/>
              <w:tab w:val="right" w:pos="9355"/>
            </w:tabs>
            <w:spacing w:after="0"/>
            <w:jc w:val="right"/>
            <w:rPr>
              <w:rFonts w:eastAsia="Times New Roman"/>
            </w:rPr>
          </w:pPr>
          <w:r w:rsidRPr="00EC20DD">
            <w:rPr>
              <w:noProof/>
              <w:lang w:eastAsia="ru-RU"/>
            </w:rPr>
            <w:drawing>
              <wp:inline distT="0" distB="0" distL="0" distR="0" wp14:anchorId="526E3458" wp14:editId="68DAE544">
                <wp:extent cx="683260" cy="683260"/>
                <wp:effectExtent l="0" t="0" r="2540" b="2540"/>
                <wp:docPr id="12"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39DC45CA" w14:textId="77777777" w:rsidR="00C13EBE" w:rsidRPr="00C13EBE" w:rsidRDefault="00C13EBE" w:rsidP="00F85178">
    <w:pPr>
      <w:pStyle w:val="ac"/>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A15AFF" w:rsidRPr="008C1807" w14:paraId="62A1F544" w14:textId="77777777" w:rsidTr="00CE4FA3">
      <w:tc>
        <w:tcPr>
          <w:tcW w:w="4564" w:type="dxa"/>
          <w:hideMark/>
        </w:tcPr>
        <w:p w14:paraId="7F83EB80" w14:textId="77777777" w:rsidR="00A15AFF" w:rsidRDefault="00A15AFF" w:rsidP="0061110F">
          <w:pPr>
            <w:tabs>
              <w:tab w:val="center" w:pos="4677"/>
              <w:tab w:val="right" w:pos="9355"/>
            </w:tabs>
            <w:spacing w:after="0"/>
            <w:jc w:val="left"/>
            <w:rPr>
              <w:rFonts w:eastAsia="Times New Roman"/>
            </w:rPr>
          </w:pPr>
        </w:p>
        <w:p w14:paraId="02EE9054" w14:textId="77777777" w:rsidR="00A15AFF" w:rsidRPr="008C1807" w:rsidRDefault="00A15AFF" w:rsidP="0061110F">
          <w:pPr>
            <w:tabs>
              <w:tab w:val="center" w:pos="4677"/>
              <w:tab w:val="right" w:pos="9355"/>
            </w:tabs>
            <w:spacing w:after="0"/>
            <w:jc w:val="left"/>
            <w:rPr>
              <w:rFonts w:eastAsia="Times New Roman"/>
            </w:rPr>
          </w:pPr>
          <w:r w:rsidRPr="008C1807">
            <w:rPr>
              <w:rFonts w:eastAsia="Times New Roman"/>
            </w:rPr>
            <w:t>Брошюра исследователя</w:t>
          </w:r>
        </w:p>
        <w:p w14:paraId="15239FB0" w14:textId="2E8B0026" w:rsidR="00A15AFF" w:rsidRPr="00F85178" w:rsidRDefault="00A15AFF" w:rsidP="0061110F">
          <w:pPr>
            <w:tabs>
              <w:tab w:val="center" w:pos="4677"/>
              <w:tab w:val="right" w:pos="9355"/>
            </w:tabs>
            <w:spacing w:after="0"/>
            <w:jc w:val="left"/>
          </w:pPr>
          <w:r w:rsidRPr="008C1807">
            <w:rPr>
              <w:rFonts w:eastAsia="Times New Roman"/>
            </w:rPr>
            <w:t>Номер протокола:</w:t>
          </w:r>
          <w:r>
            <w:rPr>
              <w:rFonts w:eastAsia="Times New Roman"/>
            </w:rPr>
            <w:t xml:space="preserve"> </w:t>
          </w:r>
          <w:r>
            <w:rPr>
              <w:rFonts w:eastAsia="Times New Roman"/>
            </w:rPr>
            <w:fldChar w:fldCharType="begin"/>
          </w:r>
          <w:r>
            <w:rPr>
              <w:rFonts w:eastAsia="Times New Roman"/>
            </w:rPr>
            <w:instrText xml:space="preserve"> STYLEREF  "Protocol ID"  \* MERGEFORMAT </w:instrText>
          </w:r>
          <w:r>
            <w:rPr>
              <w:rFonts w:eastAsia="Times New Roman"/>
            </w:rPr>
            <w:fldChar w:fldCharType="separate"/>
          </w:r>
          <w:r>
            <w:rPr>
              <w:rFonts w:eastAsia="Times New Roman"/>
              <w:noProof/>
            </w:rPr>
            <w:t>Место для ввода текста.</w:t>
          </w:r>
          <w:r>
            <w:rPr>
              <w:rFonts w:eastAsia="Times New Roman"/>
            </w:rPr>
            <w:fldChar w:fldCharType="end"/>
          </w:r>
        </w:p>
        <w:p w14:paraId="12B1ED1F" w14:textId="77777777" w:rsidR="00A15AFF" w:rsidRPr="00986AA3" w:rsidRDefault="00A15AFF" w:rsidP="0061110F">
          <w:pPr>
            <w:tabs>
              <w:tab w:val="center" w:pos="4677"/>
              <w:tab w:val="right" w:pos="9355"/>
            </w:tabs>
            <w:spacing w:after="0"/>
            <w:jc w:val="left"/>
            <w:rPr>
              <w:rFonts w:eastAsia="Times New Roman"/>
            </w:rPr>
          </w:pPr>
          <w:r>
            <w:t>Спонсор: АО «Р-Фарм»</w:t>
          </w:r>
        </w:p>
      </w:tc>
      <w:tc>
        <w:tcPr>
          <w:tcW w:w="5076" w:type="dxa"/>
          <w:hideMark/>
        </w:tcPr>
        <w:p w14:paraId="4EE281FF" w14:textId="77777777" w:rsidR="00A15AFF" w:rsidRPr="008C1807" w:rsidRDefault="00A15AFF" w:rsidP="0061110F">
          <w:pPr>
            <w:tabs>
              <w:tab w:val="center" w:pos="4677"/>
              <w:tab w:val="right" w:pos="9355"/>
            </w:tabs>
            <w:spacing w:after="0"/>
            <w:jc w:val="right"/>
            <w:rPr>
              <w:rFonts w:eastAsia="Times New Roman"/>
            </w:rPr>
          </w:pPr>
          <w:r w:rsidRPr="00EC20DD">
            <w:rPr>
              <w:noProof/>
              <w:lang w:eastAsia="ru-RU"/>
            </w:rPr>
            <w:drawing>
              <wp:inline distT="0" distB="0" distL="0" distR="0" wp14:anchorId="7A4B258A" wp14:editId="2FEC184B">
                <wp:extent cx="683260" cy="683260"/>
                <wp:effectExtent l="0" t="0" r="2540" b="2540"/>
                <wp:docPr id="32"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3DF2EC7D" w14:textId="67587A5E" w:rsidR="00A15AFF" w:rsidRDefault="00A15AFF">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531"/>
    <w:multiLevelType w:val="hybridMultilevel"/>
    <w:tmpl w:val="46CEA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C12BEC"/>
    <w:multiLevelType w:val="multilevel"/>
    <w:tmpl w:val="89446D5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23D7AF7"/>
    <w:multiLevelType w:val="multilevel"/>
    <w:tmpl w:val="50CABC7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0D2E7D"/>
    <w:multiLevelType w:val="hybridMultilevel"/>
    <w:tmpl w:val="5C5EF54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013A77"/>
    <w:multiLevelType w:val="hybridMultilevel"/>
    <w:tmpl w:val="77D82872"/>
    <w:lvl w:ilvl="0" w:tplc="E0F23F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4A104A"/>
    <w:multiLevelType w:val="hybridMultilevel"/>
    <w:tmpl w:val="7D0A61E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29F006B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E75700"/>
    <w:multiLevelType w:val="multilevel"/>
    <w:tmpl w:val="D7325240"/>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0573F67"/>
    <w:multiLevelType w:val="multilevel"/>
    <w:tmpl w:val="20827016"/>
    <w:lvl w:ilvl="0">
      <w:start w:val="4"/>
      <w:numFmt w:val="decimal"/>
      <w:lvlText w:val="%1."/>
      <w:lvlJc w:val="left"/>
      <w:pPr>
        <w:ind w:left="864" w:hanging="864"/>
      </w:pPr>
      <w:rPr>
        <w:rFonts w:hint="default"/>
      </w:rPr>
    </w:lvl>
    <w:lvl w:ilvl="1">
      <w:start w:val="3"/>
      <w:numFmt w:val="decimal"/>
      <w:lvlText w:val="%1.%2."/>
      <w:lvlJc w:val="left"/>
      <w:pPr>
        <w:ind w:left="864" w:hanging="864"/>
      </w:pPr>
      <w:rPr>
        <w:rFonts w:hint="default"/>
      </w:rPr>
    </w:lvl>
    <w:lvl w:ilvl="2">
      <w:start w:val="1"/>
      <w:numFmt w:val="decimal"/>
      <w:lvlText w:val="%1.%2.%3."/>
      <w:lvlJc w:val="left"/>
      <w:pPr>
        <w:ind w:left="1044" w:hanging="1044"/>
      </w:pPr>
      <w:rPr>
        <w:rFonts w:hint="default"/>
      </w:rPr>
    </w:lvl>
    <w:lvl w:ilvl="3">
      <w:start w:val="6"/>
      <w:numFmt w:val="decimal"/>
      <w:lvlText w:val="%1.%2.%3.%4."/>
      <w:lvlJc w:val="left"/>
      <w:pPr>
        <w:ind w:left="1044" w:hanging="1044"/>
      </w:pPr>
      <w:rPr>
        <w:rFonts w:hint="default"/>
      </w:rPr>
    </w:lvl>
    <w:lvl w:ilvl="4">
      <w:start w:val="1"/>
      <w:numFmt w:val="decimal"/>
      <w:lvlText w:val="%1.%2.%3.%4.%5."/>
      <w:lvlJc w:val="left"/>
      <w:pPr>
        <w:ind w:left="1404" w:hanging="1404"/>
      </w:pPr>
      <w:rPr>
        <w:rFonts w:hint="default"/>
      </w:rPr>
    </w:lvl>
    <w:lvl w:ilvl="5">
      <w:start w:val="1"/>
      <w:numFmt w:val="decimal"/>
      <w:lvlText w:val="%1.%2.%3.%4.%5.%6."/>
      <w:lvlJc w:val="left"/>
      <w:pPr>
        <w:ind w:left="1404" w:hanging="1404"/>
      </w:pPr>
      <w:rPr>
        <w:rFonts w:hint="default"/>
      </w:rPr>
    </w:lvl>
    <w:lvl w:ilvl="6">
      <w:start w:val="1"/>
      <w:numFmt w:val="decimal"/>
      <w:lvlText w:val="%1.%2.%3.%4.%5.%6.%7."/>
      <w:lvlJc w:val="left"/>
      <w:pPr>
        <w:ind w:left="1764" w:hanging="1764"/>
      </w:pPr>
      <w:rPr>
        <w:rFonts w:hint="default"/>
      </w:rPr>
    </w:lvl>
    <w:lvl w:ilvl="7">
      <w:start w:val="1"/>
      <w:numFmt w:val="decimal"/>
      <w:lvlText w:val="%1.%2.%3.%4.%5.%6.%7.%8."/>
      <w:lvlJc w:val="left"/>
      <w:pPr>
        <w:ind w:left="1764" w:hanging="1764"/>
      </w:pPr>
      <w:rPr>
        <w:rFonts w:hint="default"/>
      </w:rPr>
    </w:lvl>
    <w:lvl w:ilvl="8">
      <w:start w:val="1"/>
      <w:numFmt w:val="decimal"/>
      <w:lvlText w:val="%1.%2.%3.%4.%5.%6.%7.%8.%9."/>
      <w:lvlJc w:val="left"/>
      <w:pPr>
        <w:ind w:left="2124" w:hanging="2124"/>
      </w:pPr>
      <w:rPr>
        <w:rFonts w:hint="default"/>
      </w:rPr>
    </w:lvl>
  </w:abstractNum>
  <w:abstractNum w:abstractNumId="10" w15:restartNumberingAfterBreak="0">
    <w:nsid w:val="310A150D"/>
    <w:multiLevelType w:val="hybridMultilevel"/>
    <w:tmpl w:val="AFBC5976"/>
    <w:lvl w:ilvl="0" w:tplc="C22A5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6D5BA4"/>
    <w:multiLevelType w:val="hybridMultilevel"/>
    <w:tmpl w:val="1EE0DA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58C07FD"/>
    <w:multiLevelType w:val="multilevel"/>
    <w:tmpl w:val="5DDAD59A"/>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9B466DA"/>
    <w:multiLevelType w:val="hybridMultilevel"/>
    <w:tmpl w:val="19E482D4"/>
    <w:lvl w:ilvl="0" w:tplc="C22A5A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9B92DFE"/>
    <w:multiLevelType w:val="multilevel"/>
    <w:tmpl w:val="351CF924"/>
    <w:lvl w:ilvl="0">
      <w:start w:val="1"/>
      <w:numFmt w:val="decimal"/>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b/>
        <w:i/>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3BA03134"/>
    <w:multiLevelType w:val="multilevel"/>
    <w:tmpl w:val="BCA817AE"/>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8219F9"/>
    <w:multiLevelType w:val="hybridMultilevel"/>
    <w:tmpl w:val="148C9FB4"/>
    <w:lvl w:ilvl="0" w:tplc="C22A5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9C4C2B"/>
    <w:multiLevelType w:val="multilevel"/>
    <w:tmpl w:val="B8B0A720"/>
    <w:lvl w:ilvl="0">
      <w:start w:val="1"/>
      <w:numFmt w:val="decimal"/>
      <w:lvlText w:val="%1."/>
      <w:lvlJc w:val="left"/>
      <w:pPr>
        <w:ind w:left="360" w:hanging="360"/>
      </w:pPr>
      <w:rPr>
        <w:rFonts w:hint="default"/>
      </w:rPr>
    </w:lvl>
    <w:lvl w:ilvl="1">
      <w:start w:val="7"/>
      <w:numFmt w:val="decimal"/>
      <w:lvlText w:val="%1.%2."/>
      <w:lvlJc w:val="left"/>
      <w:pPr>
        <w:ind w:left="284" w:firstLine="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1034B8B"/>
    <w:multiLevelType w:val="hybridMultilevel"/>
    <w:tmpl w:val="CD1E8AF2"/>
    <w:lvl w:ilvl="0" w:tplc="DD9086DA">
      <w:start w:val="12"/>
      <w:numFmt w:val="bullet"/>
      <w:lvlText w:val=""/>
      <w:lvlJc w:val="left"/>
      <w:pPr>
        <w:ind w:left="720" w:hanging="360"/>
      </w:pPr>
      <w:rPr>
        <w:rFonts w:ascii="Wingdings" w:eastAsiaTheme="minorHAnsi" w:hAnsi="Wingdings" w:cs="Times New Roman" w:hint="default"/>
        <w:color w:val="000000"/>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C1D2C5A"/>
    <w:multiLevelType w:val="multilevel"/>
    <w:tmpl w:val="53E61880"/>
    <w:lvl w:ilvl="0">
      <w:start w:val="3"/>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515D14DF"/>
    <w:multiLevelType w:val="hybridMultilevel"/>
    <w:tmpl w:val="DCD69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577B46"/>
    <w:multiLevelType w:val="hybridMultilevel"/>
    <w:tmpl w:val="0B4490A8"/>
    <w:lvl w:ilvl="0" w:tplc="C22A5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8C2B2E"/>
    <w:multiLevelType w:val="multilevel"/>
    <w:tmpl w:val="B84819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CAF613C"/>
    <w:multiLevelType w:val="multilevel"/>
    <w:tmpl w:val="2CA8B3B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B5A2ED8"/>
    <w:multiLevelType w:val="hybridMultilevel"/>
    <w:tmpl w:val="EAAA0F22"/>
    <w:lvl w:ilvl="0" w:tplc="DD9086DA">
      <w:start w:val="12"/>
      <w:numFmt w:val="bullet"/>
      <w:lvlText w:val=""/>
      <w:lvlJc w:val="left"/>
      <w:pPr>
        <w:ind w:left="720" w:hanging="360"/>
      </w:pPr>
      <w:rPr>
        <w:rFonts w:ascii="Wingdings" w:eastAsiaTheme="minorHAnsi" w:hAnsi="Wingdings" w:cs="Times New Roman" w:hint="default"/>
        <w:color w:val="000000"/>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CA0B15"/>
    <w:multiLevelType w:val="multilevel"/>
    <w:tmpl w:val="9842B8BA"/>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75724AA"/>
    <w:multiLevelType w:val="multilevel"/>
    <w:tmpl w:val="B1A221C4"/>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011FC6"/>
    <w:multiLevelType w:val="hybridMultilevel"/>
    <w:tmpl w:val="8256B834"/>
    <w:lvl w:ilvl="0" w:tplc="04190001">
      <w:start w:val="1"/>
      <w:numFmt w:val="bullet"/>
      <w:lvlText w:val=""/>
      <w:lvlJc w:val="left"/>
      <w:pPr>
        <w:ind w:left="720" w:hanging="360"/>
      </w:pPr>
      <w:rPr>
        <w:rFonts w:ascii="Symbol" w:hAnsi="Symbol"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0"/>
  </w:num>
  <w:num w:numId="5">
    <w:abstractNumId w:val="21"/>
  </w:num>
  <w:num w:numId="6">
    <w:abstractNumId w:val="16"/>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7"/>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4"/>
  </w:num>
  <w:num w:numId="32">
    <w:abstractNumId w:val="17"/>
  </w:num>
  <w:num w:numId="33">
    <w:abstractNumId w:val="2"/>
  </w:num>
  <w:num w:numId="34">
    <w:abstractNumId w:val="1"/>
  </w:num>
  <w:num w:numId="35">
    <w:abstractNumId w:val="15"/>
  </w:num>
  <w:num w:numId="36">
    <w:abstractNumId w:val="8"/>
  </w:num>
  <w:num w:numId="37">
    <w:abstractNumId w:val="19"/>
  </w:num>
  <w:num w:numId="38">
    <w:abstractNumId w:val="23"/>
  </w:num>
  <w:num w:numId="39">
    <w:abstractNumId w:val="25"/>
  </w:num>
  <w:num w:numId="40">
    <w:abstractNumId w:val="26"/>
  </w:num>
  <w:num w:numId="41">
    <w:abstractNumId w:val="12"/>
  </w:num>
  <w:num w:numId="42">
    <w:abstractNumId w:val="9"/>
  </w:num>
  <w:num w:numId="43">
    <w:abstractNumId w:val="3"/>
  </w:num>
  <w:num w:numId="44">
    <w:abstractNumId w:val="11"/>
  </w:num>
  <w:num w:numId="45">
    <w:abstractNumId w:val="5"/>
  </w:num>
  <w:num w:numId="46">
    <w:abstractNumId w:val="7"/>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6" w:nlCheck="1" w:checkStyle="0"/>
  <w:activeWritingStyle w:appName="MSWord" w:lang="en-US" w:vendorID="64" w:dllVersion="6" w:nlCheck="1" w:checkStyle="0"/>
  <w:activeWritingStyle w:appName="MSWord" w:lang="en-GB" w:vendorID="64" w:dllVersion="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131078" w:nlCheck="1" w:checkStyle="0"/>
  <w:activeWritingStyle w:appName="MSWord" w:lang="en-US" w:vendorID="64" w:dllVersion="131078" w:nlCheck="1" w:checkStyle="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24"/>
    <w:rsid w:val="000001B4"/>
    <w:rsid w:val="0000049F"/>
    <w:rsid w:val="0000087E"/>
    <w:rsid w:val="00000BB0"/>
    <w:rsid w:val="00001452"/>
    <w:rsid w:val="00001517"/>
    <w:rsid w:val="00001830"/>
    <w:rsid w:val="00001B89"/>
    <w:rsid w:val="00001EC3"/>
    <w:rsid w:val="0000247D"/>
    <w:rsid w:val="000029A3"/>
    <w:rsid w:val="00002C7E"/>
    <w:rsid w:val="00002F5E"/>
    <w:rsid w:val="000036DB"/>
    <w:rsid w:val="0000389C"/>
    <w:rsid w:val="00003DE5"/>
    <w:rsid w:val="00004131"/>
    <w:rsid w:val="00004ACE"/>
    <w:rsid w:val="000052D3"/>
    <w:rsid w:val="00005F44"/>
    <w:rsid w:val="00006122"/>
    <w:rsid w:val="00006F5E"/>
    <w:rsid w:val="00007A9C"/>
    <w:rsid w:val="00007B81"/>
    <w:rsid w:val="00007D0A"/>
    <w:rsid w:val="00010610"/>
    <w:rsid w:val="00010F96"/>
    <w:rsid w:val="00012594"/>
    <w:rsid w:val="000129E3"/>
    <w:rsid w:val="00012AA6"/>
    <w:rsid w:val="0001383C"/>
    <w:rsid w:val="00013A52"/>
    <w:rsid w:val="00014867"/>
    <w:rsid w:val="000150EA"/>
    <w:rsid w:val="0001589C"/>
    <w:rsid w:val="00015A51"/>
    <w:rsid w:val="00015AD6"/>
    <w:rsid w:val="00015FE4"/>
    <w:rsid w:val="00016208"/>
    <w:rsid w:val="000165F6"/>
    <w:rsid w:val="00016623"/>
    <w:rsid w:val="00016EA7"/>
    <w:rsid w:val="00016F9F"/>
    <w:rsid w:val="00017149"/>
    <w:rsid w:val="000171E0"/>
    <w:rsid w:val="0001758E"/>
    <w:rsid w:val="00017DA2"/>
    <w:rsid w:val="00020164"/>
    <w:rsid w:val="00020612"/>
    <w:rsid w:val="00020740"/>
    <w:rsid w:val="000207FB"/>
    <w:rsid w:val="0002097B"/>
    <w:rsid w:val="00021B98"/>
    <w:rsid w:val="00021DEB"/>
    <w:rsid w:val="00022007"/>
    <w:rsid w:val="0002219A"/>
    <w:rsid w:val="00022631"/>
    <w:rsid w:val="0002298D"/>
    <w:rsid w:val="00022AAB"/>
    <w:rsid w:val="000230E4"/>
    <w:rsid w:val="00023150"/>
    <w:rsid w:val="000235FD"/>
    <w:rsid w:val="000236AD"/>
    <w:rsid w:val="000238B8"/>
    <w:rsid w:val="00023912"/>
    <w:rsid w:val="00023BE5"/>
    <w:rsid w:val="000241FF"/>
    <w:rsid w:val="0002480E"/>
    <w:rsid w:val="00024837"/>
    <w:rsid w:val="00024C92"/>
    <w:rsid w:val="00024FB0"/>
    <w:rsid w:val="00025317"/>
    <w:rsid w:val="00025438"/>
    <w:rsid w:val="00025F11"/>
    <w:rsid w:val="000260E1"/>
    <w:rsid w:val="00026BDC"/>
    <w:rsid w:val="00027104"/>
    <w:rsid w:val="00027191"/>
    <w:rsid w:val="00027234"/>
    <w:rsid w:val="000275CA"/>
    <w:rsid w:val="0002770F"/>
    <w:rsid w:val="000279BF"/>
    <w:rsid w:val="00027B5C"/>
    <w:rsid w:val="00030544"/>
    <w:rsid w:val="000305E3"/>
    <w:rsid w:val="0003123D"/>
    <w:rsid w:val="00031769"/>
    <w:rsid w:val="000325AB"/>
    <w:rsid w:val="00032BB8"/>
    <w:rsid w:val="00032D15"/>
    <w:rsid w:val="000334FF"/>
    <w:rsid w:val="000335DB"/>
    <w:rsid w:val="00033C5C"/>
    <w:rsid w:val="00033ED7"/>
    <w:rsid w:val="00034697"/>
    <w:rsid w:val="00035104"/>
    <w:rsid w:val="00035A75"/>
    <w:rsid w:val="00035D50"/>
    <w:rsid w:val="00036284"/>
    <w:rsid w:val="00036A35"/>
    <w:rsid w:val="0003722B"/>
    <w:rsid w:val="0003749F"/>
    <w:rsid w:val="00037742"/>
    <w:rsid w:val="00037921"/>
    <w:rsid w:val="00037DF6"/>
    <w:rsid w:val="00040043"/>
    <w:rsid w:val="000401F0"/>
    <w:rsid w:val="0004049C"/>
    <w:rsid w:val="000407D1"/>
    <w:rsid w:val="00040CBD"/>
    <w:rsid w:val="00040ECC"/>
    <w:rsid w:val="00040ED6"/>
    <w:rsid w:val="0004101B"/>
    <w:rsid w:val="0004143E"/>
    <w:rsid w:val="000423E5"/>
    <w:rsid w:val="00042886"/>
    <w:rsid w:val="0004325F"/>
    <w:rsid w:val="00043B85"/>
    <w:rsid w:val="00044A6A"/>
    <w:rsid w:val="00044A89"/>
    <w:rsid w:val="00044CD2"/>
    <w:rsid w:val="00044DE9"/>
    <w:rsid w:val="000450A0"/>
    <w:rsid w:val="00045A40"/>
    <w:rsid w:val="00045B5B"/>
    <w:rsid w:val="000462BC"/>
    <w:rsid w:val="0004639A"/>
    <w:rsid w:val="000464DB"/>
    <w:rsid w:val="0004676F"/>
    <w:rsid w:val="00046A09"/>
    <w:rsid w:val="00046AD0"/>
    <w:rsid w:val="00046D46"/>
    <w:rsid w:val="00047781"/>
    <w:rsid w:val="0004789D"/>
    <w:rsid w:val="0004794A"/>
    <w:rsid w:val="000505A9"/>
    <w:rsid w:val="00050DB6"/>
    <w:rsid w:val="00050E77"/>
    <w:rsid w:val="00050FD1"/>
    <w:rsid w:val="000511FA"/>
    <w:rsid w:val="0005223E"/>
    <w:rsid w:val="00052E0D"/>
    <w:rsid w:val="00053193"/>
    <w:rsid w:val="00053250"/>
    <w:rsid w:val="0005369B"/>
    <w:rsid w:val="000536EA"/>
    <w:rsid w:val="0005388A"/>
    <w:rsid w:val="000548A0"/>
    <w:rsid w:val="00054BAE"/>
    <w:rsid w:val="000555A8"/>
    <w:rsid w:val="0005565B"/>
    <w:rsid w:val="00055670"/>
    <w:rsid w:val="00056033"/>
    <w:rsid w:val="0005639E"/>
    <w:rsid w:val="00056511"/>
    <w:rsid w:val="00056520"/>
    <w:rsid w:val="0005662F"/>
    <w:rsid w:val="000567B7"/>
    <w:rsid w:val="000567FE"/>
    <w:rsid w:val="00056B3F"/>
    <w:rsid w:val="00057182"/>
    <w:rsid w:val="0005766A"/>
    <w:rsid w:val="00057BB8"/>
    <w:rsid w:val="00057D02"/>
    <w:rsid w:val="000604F0"/>
    <w:rsid w:val="000613A9"/>
    <w:rsid w:val="000633BA"/>
    <w:rsid w:val="0006387C"/>
    <w:rsid w:val="00063DAA"/>
    <w:rsid w:val="000640F9"/>
    <w:rsid w:val="000648F4"/>
    <w:rsid w:val="00064B08"/>
    <w:rsid w:val="00065472"/>
    <w:rsid w:val="000655E5"/>
    <w:rsid w:val="0006567A"/>
    <w:rsid w:val="0006645C"/>
    <w:rsid w:val="00066C14"/>
    <w:rsid w:val="00066F14"/>
    <w:rsid w:val="00066F57"/>
    <w:rsid w:val="00066F7B"/>
    <w:rsid w:val="00067554"/>
    <w:rsid w:val="0006782A"/>
    <w:rsid w:val="0006797B"/>
    <w:rsid w:val="00067DC8"/>
    <w:rsid w:val="000705CB"/>
    <w:rsid w:val="00070697"/>
    <w:rsid w:val="00070A47"/>
    <w:rsid w:val="00070D16"/>
    <w:rsid w:val="00070D5A"/>
    <w:rsid w:val="00070F72"/>
    <w:rsid w:val="00071A7A"/>
    <w:rsid w:val="00071D74"/>
    <w:rsid w:val="0007228F"/>
    <w:rsid w:val="000724AA"/>
    <w:rsid w:val="00072D7F"/>
    <w:rsid w:val="000733FC"/>
    <w:rsid w:val="000737C2"/>
    <w:rsid w:val="00073BAB"/>
    <w:rsid w:val="00073FB6"/>
    <w:rsid w:val="00074278"/>
    <w:rsid w:val="00074437"/>
    <w:rsid w:val="000745BA"/>
    <w:rsid w:val="0007473A"/>
    <w:rsid w:val="00075175"/>
    <w:rsid w:val="000754B9"/>
    <w:rsid w:val="0007595F"/>
    <w:rsid w:val="00075E85"/>
    <w:rsid w:val="00075FCA"/>
    <w:rsid w:val="0007631E"/>
    <w:rsid w:val="00076374"/>
    <w:rsid w:val="000764C4"/>
    <w:rsid w:val="00076D49"/>
    <w:rsid w:val="00080026"/>
    <w:rsid w:val="00080CBC"/>
    <w:rsid w:val="00081AF7"/>
    <w:rsid w:val="00081E41"/>
    <w:rsid w:val="000821FF"/>
    <w:rsid w:val="00082A5C"/>
    <w:rsid w:val="00083684"/>
    <w:rsid w:val="00083922"/>
    <w:rsid w:val="00083A29"/>
    <w:rsid w:val="00083EEF"/>
    <w:rsid w:val="00083FFB"/>
    <w:rsid w:val="0008427C"/>
    <w:rsid w:val="00084AD0"/>
    <w:rsid w:val="00084E58"/>
    <w:rsid w:val="00085279"/>
    <w:rsid w:val="00085AC9"/>
    <w:rsid w:val="000862AE"/>
    <w:rsid w:val="000867E7"/>
    <w:rsid w:val="00086DF7"/>
    <w:rsid w:val="00086F14"/>
    <w:rsid w:val="0008751C"/>
    <w:rsid w:val="0008762E"/>
    <w:rsid w:val="00087720"/>
    <w:rsid w:val="00087AC8"/>
    <w:rsid w:val="00087AF5"/>
    <w:rsid w:val="00087B17"/>
    <w:rsid w:val="00090E1D"/>
    <w:rsid w:val="00090E28"/>
    <w:rsid w:val="00091344"/>
    <w:rsid w:val="00091BDE"/>
    <w:rsid w:val="000920E4"/>
    <w:rsid w:val="00092156"/>
    <w:rsid w:val="0009275D"/>
    <w:rsid w:val="0009278A"/>
    <w:rsid w:val="00092A97"/>
    <w:rsid w:val="00093609"/>
    <w:rsid w:val="00093AC0"/>
    <w:rsid w:val="00093FC6"/>
    <w:rsid w:val="0009417D"/>
    <w:rsid w:val="00094983"/>
    <w:rsid w:val="000949D2"/>
    <w:rsid w:val="00094BD4"/>
    <w:rsid w:val="00094C81"/>
    <w:rsid w:val="00094F59"/>
    <w:rsid w:val="0009553A"/>
    <w:rsid w:val="00095DDD"/>
    <w:rsid w:val="00096922"/>
    <w:rsid w:val="00096D27"/>
    <w:rsid w:val="00096E65"/>
    <w:rsid w:val="00097625"/>
    <w:rsid w:val="0009792E"/>
    <w:rsid w:val="000A0376"/>
    <w:rsid w:val="000A088A"/>
    <w:rsid w:val="000A0F20"/>
    <w:rsid w:val="000A133E"/>
    <w:rsid w:val="000A1473"/>
    <w:rsid w:val="000A17BF"/>
    <w:rsid w:val="000A1D1E"/>
    <w:rsid w:val="000A1DF0"/>
    <w:rsid w:val="000A2468"/>
    <w:rsid w:val="000A2689"/>
    <w:rsid w:val="000A2D4A"/>
    <w:rsid w:val="000A3550"/>
    <w:rsid w:val="000A371C"/>
    <w:rsid w:val="000A3CF0"/>
    <w:rsid w:val="000A404F"/>
    <w:rsid w:val="000A4223"/>
    <w:rsid w:val="000A4241"/>
    <w:rsid w:val="000A45D1"/>
    <w:rsid w:val="000A49D8"/>
    <w:rsid w:val="000A4C07"/>
    <w:rsid w:val="000A4C4D"/>
    <w:rsid w:val="000A5269"/>
    <w:rsid w:val="000A589F"/>
    <w:rsid w:val="000A6DE2"/>
    <w:rsid w:val="000A7034"/>
    <w:rsid w:val="000A714E"/>
    <w:rsid w:val="000B0386"/>
    <w:rsid w:val="000B0544"/>
    <w:rsid w:val="000B05BD"/>
    <w:rsid w:val="000B0BFC"/>
    <w:rsid w:val="000B1340"/>
    <w:rsid w:val="000B1A6C"/>
    <w:rsid w:val="000B32E7"/>
    <w:rsid w:val="000B336D"/>
    <w:rsid w:val="000B40A1"/>
    <w:rsid w:val="000B49E8"/>
    <w:rsid w:val="000B4A7C"/>
    <w:rsid w:val="000B4B6F"/>
    <w:rsid w:val="000B56A4"/>
    <w:rsid w:val="000B5A1D"/>
    <w:rsid w:val="000B6B8F"/>
    <w:rsid w:val="000B7D04"/>
    <w:rsid w:val="000B7EAB"/>
    <w:rsid w:val="000C0404"/>
    <w:rsid w:val="000C04ED"/>
    <w:rsid w:val="000C0803"/>
    <w:rsid w:val="000C0818"/>
    <w:rsid w:val="000C08F0"/>
    <w:rsid w:val="000C1B12"/>
    <w:rsid w:val="000C1BCA"/>
    <w:rsid w:val="000C1CAF"/>
    <w:rsid w:val="000C20EE"/>
    <w:rsid w:val="000C2455"/>
    <w:rsid w:val="000C2940"/>
    <w:rsid w:val="000C2AAA"/>
    <w:rsid w:val="000C2B58"/>
    <w:rsid w:val="000C2C10"/>
    <w:rsid w:val="000C2FBB"/>
    <w:rsid w:val="000C31A3"/>
    <w:rsid w:val="000C39CB"/>
    <w:rsid w:val="000C4512"/>
    <w:rsid w:val="000C493D"/>
    <w:rsid w:val="000C4DE5"/>
    <w:rsid w:val="000C4E0A"/>
    <w:rsid w:val="000C4F0A"/>
    <w:rsid w:val="000C4FC5"/>
    <w:rsid w:val="000C5BDF"/>
    <w:rsid w:val="000C5EE8"/>
    <w:rsid w:val="000C65AE"/>
    <w:rsid w:val="000C66C9"/>
    <w:rsid w:val="000C6E64"/>
    <w:rsid w:val="000C6F9E"/>
    <w:rsid w:val="000C727E"/>
    <w:rsid w:val="000C7BA0"/>
    <w:rsid w:val="000D0099"/>
    <w:rsid w:val="000D059E"/>
    <w:rsid w:val="000D0E20"/>
    <w:rsid w:val="000D0F8E"/>
    <w:rsid w:val="000D13B8"/>
    <w:rsid w:val="000D148D"/>
    <w:rsid w:val="000D1F64"/>
    <w:rsid w:val="000D2488"/>
    <w:rsid w:val="000D382F"/>
    <w:rsid w:val="000D3978"/>
    <w:rsid w:val="000D3C53"/>
    <w:rsid w:val="000D3CC1"/>
    <w:rsid w:val="000D4450"/>
    <w:rsid w:val="000D44EB"/>
    <w:rsid w:val="000D4935"/>
    <w:rsid w:val="000D4C7F"/>
    <w:rsid w:val="000D5194"/>
    <w:rsid w:val="000D5597"/>
    <w:rsid w:val="000D5B58"/>
    <w:rsid w:val="000D6100"/>
    <w:rsid w:val="000D62A9"/>
    <w:rsid w:val="000D62B9"/>
    <w:rsid w:val="000D659F"/>
    <w:rsid w:val="000D66EB"/>
    <w:rsid w:val="000D685F"/>
    <w:rsid w:val="000D6869"/>
    <w:rsid w:val="000D738F"/>
    <w:rsid w:val="000D7891"/>
    <w:rsid w:val="000D7CC7"/>
    <w:rsid w:val="000D7EE9"/>
    <w:rsid w:val="000E0742"/>
    <w:rsid w:val="000E0FE4"/>
    <w:rsid w:val="000E127E"/>
    <w:rsid w:val="000E18A9"/>
    <w:rsid w:val="000E1987"/>
    <w:rsid w:val="000E25F3"/>
    <w:rsid w:val="000E2E22"/>
    <w:rsid w:val="000E3725"/>
    <w:rsid w:val="000E3C95"/>
    <w:rsid w:val="000E41F1"/>
    <w:rsid w:val="000E4646"/>
    <w:rsid w:val="000E5704"/>
    <w:rsid w:val="000E5C2A"/>
    <w:rsid w:val="000E634E"/>
    <w:rsid w:val="000E71B0"/>
    <w:rsid w:val="000E7B15"/>
    <w:rsid w:val="000E7FE5"/>
    <w:rsid w:val="000F000D"/>
    <w:rsid w:val="000F0B1E"/>
    <w:rsid w:val="000F0F84"/>
    <w:rsid w:val="000F1927"/>
    <w:rsid w:val="000F1C2A"/>
    <w:rsid w:val="000F29D4"/>
    <w:rsid w:val="000F2F80"/>
    <w:rsid w:val="000F2FEA"/>
    <w:rsid w:val="000F329E"/>
    <w:rsid w:val="000F35D8"/>
    <w:rsid w:val="000F3766"/>
    <w:rsid w:val="000F3F78"/>
    <w:rsid w:val="000F479D"/>
    <w:rsid w:val="000F4987"/>
    <w:rsid w:val="000F49AE"/>
    <w:rsid w:val="000F50B8"/>
    <w:rsid w:val="000F52F0"/>
    <w:rsid w:val="000F582A"/>
    <w:rsid w:val="000F5979"/>
    <w:rsid w:val="000F5FFF"/>
    <w:rsid w:val="000F67BB"/>
    <w:rsid w:val="000F68C7"/>
    <w:rsid w:val="000F6D40"/>
    <w:rsid w:val="000F6EF0"/>
    <w:rsid w:val="000F70FC"/>
    <w:rsid w:val="000F7CBD"/>
    <w:rsid w:val="000F7D93"/>
    <w:rsid w:val="00100380"/>
    <w:rsid w:val="00100473"/>
    <w:rsid w:val="00101762"/>
    <w:rsid w:val="00101C5E"/>
    <w:rsid w:val="0010226B"/>
    <w:rsid w:val="00102D9F"/>
    <w:rsid w:val="00102E55"/>
    <w:rsid w:val="00103429"/>
    <w:rsid w:val="001037E3"/>
    <w:rsid w:val="001041C2"/>
    <w:rsid w:val="001044CC"/>
    <w:rsid w:val="00104948"/>
    <w:rsid w:val="00104CBA"/>
    <w:rsid w:val="00104CC6"/>
    <w:rsid w:val="00105465"/>
    <w:rsid w:val="001058BF"/>
    <w:rsid w:val="00105B6B"/>
    <w:rsid w:val="00105E49"/>
    <w:rsid w:val="0010600B"/>
    <w:rsid w:val="00106742"/>
    <w:rsid w:val="00106F8A"/>
    <w:rsid w:val="00107290"/>
    <w:rsid w:val="0010773A"/>
    <w:rsid w:val="00107909"/>
    <w:rsid w:val="00107F3B"/>
    <w:rsid w:val="001104D8"/>
    <w:rsid w:val="0011176B"/>
    <w:rsid w:val="001118BB"/>
    <w:rsid w:val="00111BF2"/>
    <w:rsid w:val="00112263"/>
    <w:rsid w:val="001123B6"/>
    <w:rsid w:val="00112676"/>
    <w:rsid w:val="00112E4D"/>
    <w:rsid w:val="00112F9A"/>
    <w:rsid w:val="00113009"/>
    <w:rsid w:val="001135E5"/>
    <w:rsid w:val="00113804"/>
    <w:rsid w:val="00113B29"/>
    <w:rsid w:val="001146FE"/>
    <w:rsid w:val="00114883"/>
    <w:rsid w:val="00114B5C"/>
    <w:rsid w:val="00114CC7"/>
    <w:rsid w:val="001151DA"/>
    <w:rsid w:val="00115223"/>
    <w:rsid w:val="001153DF"/>
    <w:rsid w:val="00115423"/>
    <w:rsid w:val="001155D8"/>
    <w:rsid w:val="00115915"/>
    <w:rsid w:val="00115E0C"/>
    <w:rsid w:val="00116B1D"/>
    <w:rsid w:val="0011732D"/>
    <w:rsid w:val="00117923"/>
    <w:rsid w:val="001179B5"/>
    <w:rsid w:val="00117FB3"/>
    <w:rsid w:val="001200AA"/>
    <w:rsid w:val="00120122"/>
    <w:rsid w:val="0012086E"/>
    <w:rsid w:val="00120B67"/>
    <w:rsid w:val="00120F07"/>
    <w:rsid w:val="0012225E"/>
    <w:rsid w:val="00122397"/>
    <w:rsid w:val="00122DDD"/>
    <w:rsid w:val="001231AD"/>
    <w:rsid w:val="00123A2F"/>
    <w:rsid w:val="00123AF2"/>
    <w:rsid w:val="00123CCF"/>
    <w:rsid w:val="00124000"/>
    <w:rsid w:val="00124018"/>
    <w:rsid w:val="0012423B"/>
    <w:rsid w:val="00124741"/>
    <w:rsid w:val="0012475E"/>
    <w:rsid w:val="00124DE5"/>
    <w:rsid w:val="001255A7"/>
    <w:rsid w:val="00125E57"/>
    <w:rsid w:val="0012637D"/>
    <w:rsid w:val="001266A2"/>
    <w:rsid w:val="001273EC"/>
    <w:rsid w:val="001279D4"/>
    <w:rsid w:val="00127C37"/>
    <w:rsid w:val="00127EE1"/>
    <w:rsid w:val="00127FED"/>
    <w:rsid w:val="00130DDA"/>
    <w:rsid w:val="00130F36"/>
    <w:rsid w:val="00131135"/>
    <w:rsid w:val="001316F3"/>
    <w:rsid w:val="00131A81"/>
    <w:rsid w:val="00131BAF"/>
    <w:rsid w:val="00132061"/>
    <w:rsid w:val="0013210A"/>
    <w:rsid w:val="00132763"/>
    <w:rsid w:val="00132C00"/>
    <w:rsid w:val="00132C25"/>
    <w:rsid w:val="00132C3A"/>
    <w:rsid w:val="001330B4"/>
    <w:rsid w:val="0013318C"/>
    <w:rsid w:val="001331AB"/>
    <w:rsid w:val="00133218"/>
    <w:rsid w:val="001333C4"/>
    <w:rsid w:val="001337DD"/>
    <w:rsid w:val="00133866"/>
    <w:rsid w:val="00133CF1"/>
    <w:rsid w:val="00133DE1"/>
    <w:rsid w:val="00134514"/>
    <w:rsid w:val="001348B0"/>
    <w:rsid w:val="0013519B"/>
    <w:rsid w:val="001363A9"/>
    <w:rsid w:val="00136A99"/>
    <w:rsid w:val="00136FC4"/>
    <w:rsid w:val="00137254"/>
    <w:rsid w:val="00137590"/>
    <w:rsid w:val="001375B2"/>
    <w:rsid w:val="001375E6"/>
    <w:rsid w:val="0013782E"/>
    <w:rsid w:val="00137962"/>
    <w:rsid w:val="00137CC5"/>
    <w:rsid w:val="001402D8"/>
    <w:rsid w:val="001408C4"/>
    <w:rsid w:val="00140975"/>
    <w:rsid w:val="00140C32"/>
    <w:rsid w:val="0014120F"/>
    <w:rsid w:val="00141B19"/>
    <w:rsid w:val="00141B66"/>
    <w:rsid w:val="00142174"/>
    <w:rsid w:val="00142FDA"/>
    <w:rsid w:val="00143135"/>
    <w:rsid w:val="00143A09"/>
    <w:rsid w:val="00143D1F"/>
    <w:rsid w:val="00143D51"/>
    <w:rsid w:val="00143FD7"/>
    <w:rsid w:val="0014424E"/>
    <w:rsid w:val="00144461"/>
    <w:rsid w:val="001447EB"/>
    <w:rsid w:val="0014501D"/>
    <w:rsid w:val="00145468"/>
    <w:rsid w:val="00145501"/>
    <w:rsid w:val="001458E7"/>
    <w:rsid w:val="00145A9C"/>
    <w:rsid w:val="00146DC2"/>
    <w:rsid w:val="00146EB0"/>
    <w:rsid w:val="001479F4"/>
    <w:rsid w:val="00150299"/>
    <w:rsid w:val="001505D7"/>
    <w:rsid w:val="00151035"/>
    <w:rsid w:val="00151635"/>
    <w:rsid w:val="001517F3"/>
    <w:rsid w:val="00151861"/>
    <w:rsid w:val="00151A52"/>
    <w:rsid w:val="00151B3E"/>
    <w:rsid w:val="00152CBD"/>
    <w:rsid w:val="00152E44"/>
    <w:rsid w:val="0015320B"/>
    <w:rsid w:val="001532A2"/>
    <w:rsid w:val="00153D65"/>
    <w:rsid w:val="00154621"/>
    <w:rsid w:val="00154DAA"/>
    <w:rsid w:val="0015518C"/>
    <w:rsid w:val="00155397"/>
    <w:rsid w:val="00155906"/>
    <w:rsid w:val="0015598E"/>
    <w:rsid w:val="00155BAA"/>
    <w:rsid w:val="001560C9"/>
    <w:rsid w:val="001563B4"/>
    <w:rsid w:val="00156942"/>
    <w:rsid w:val="00157605"/>
    <w:rsid w:val="001579E5"/>
    <w:rsid w:val="00157F01"/>
    <w:rsid w:val="00161717"/>
    <w:rsid w:val="00161FDA"/>
    <w:rsid w:val="0016317E"/>
    <w:rsid w:val="001631BF"/>
    <w:rsid w:val="0016329A"/>
    <w:rsid w:val="00163CB9"/>
    <w:rsid w:val="00164017"/>
    <w:rsid w:val="00164218"/>
    <w:rsid w:val="001642EB"/>
    <w:rsid w:val="001644AF"/>
    <w:rsid w:val="0016456F"/>
    <w:rsid w:val="00164A2C"/>
    <w:rsid w:val="0016666E"/>
    <w:rsid w:val="00167370"/>
    <w:rsid w:val="001678B4"/>
    <w:rsid w:val="00167AFD"/>
    <w:rsid w:val="00167F72"/>
    <w:rsid w:val="001705C5"/>
    <w:rsid w:val="0017066E"/>
    <w:rsid w:val="001709B7"/>
    <w:rsid w:val="00170C50"/>
    <w:rsid w:val="00170E2D"/>
    <w:rsid w:val="001717A5"/>
    <w:rsid w:val="00171D05"/>
    <w:rsid w:val="0017219A"/>
    <w:rsid w:val="001724AC"/>
    <w:rsid w:val="00172E85"/>
    <w:rsid w:val="0017318A"/>
    <w:rsid w:val="001732D0"/>
    <w:rsid w:val="00173C30"/>
    <w:rsid w:val="00173E88"/>
    <w:rsid w:val="0017422B"/>
    <w:rsid w:val="0017429D"/>
    <w:rsid w:val="00174F6F"/>
    <w:rsid w:val="00175306"/>
    <w:rsid w:val="00175854"/>
    <w:rsid w:val="001759EA"/>
    <w:rsid w:val="00175DC1"/>
    <w:rsid w:val="001760FA"/>
    <w:rsid w:val="00176640"/>
    <w:rsid w:val="0017664C"/>
    <w:rsid w:val="00176B44"/>
    <w:rsid w:val="00176E91"/>
    <w:rsid w:val="001778D0"/>
    <w:rsid w:val="00177A89"/>
    <w:rsid w:val="00177B9F"/>
    <w:rsid w:val="0018018C"/>
    <w:rsid w:val="00180334"/>
    <w:rsid w:val="001822A1"/>
    <w:rsid w:val="0018236D"/>
    <w:rsid w:val="00182384"/>
    <w:rsid w:val="00182459"/>
    <w:rsid w:val="00182FA3"/>
    <w:rsid w:val="00183433"/>
    <w:rsid w:val="00183604"/>
    <w:rsid w:val="00183F97"/>
    <w:rsid w:val="0018421A"/>
    <w:rsid w:val="0018427F"/>
    <w:rsid w:val="00184960"/>
    <w:rsid w:val="00184A92"/>
    <w:rsid w:val="0018515E"/>
    <w:rsid w:val="0018563E"/>
    <w:rsid w:val="00185DF7"/>
    <w:rsid w:val="001867FD"/>
    <w:rsid w:val="00186B1F"/>
    <w:rsid w:val="00187172"/>
    <w:rsid w:val="0018758A"/>
    <w:rsid w:val="00187632"/>
    <w:rsid w:val="0018782C"/>
    <w:rsid w:val="00190D00"/>
    <w:rsid w:val="0019117A"/>
    <w:rsid w:val="00192844"/>
    <w:rsid w:val="00192C30"/>
    <w:rsid w:val="001932CC"/>
    <w:rsid w:val="00193C8F"/>
    <w:rsid w:val="0019461C"/>
    <w:rsid w:val="0019486A"/>
    <w:rsid w:val="00194DB6"/>
    <w:rsid w:val="001957A5"/>
    <w:rsid w:val="00195CBF"/>
    <w:rsid w:val="00196092"/>
    <w:rsid w:val="001970CF"/>
    <w:rsid w:val="0019715E"/>
    <w:rsid w:val="0019720C"/>
    <w:rsid w:val="001972C1"/>
    <w:rsid w:val="001977D6"/>
    <w:rsid w:val="00197B86"/>
    <w:rsid w:val="00197BDC"/>
    <w:rsid w:val="001A06F6"/>
    <w:rsid w:val="001A0838"/>
    <w:rsid w:val="001A0861"/>
    <w:rsid w:val="001A0B44"/>
    <w:rsid w:val="001A0D4A"/>
    <w:rsid w:val="001A17D5"/>
    <w:rsid w:val="001A1B4F"/>
    <w:rsid w:val="001A1C76"/>
    <w:rsid w:val="001A2048"/>
    <w:rsid w:val="001A23EC"/>
    <w:rsid w:val="001A2E49"/>
    <w:rsid w:val="001A3112"/>
    <w:rsid w:val="001A311B"/>
    <w:rsid w:val="001A317D"/>
    <w:rsid w:val="001A31F8"/>
    <w:rsid w:val="001A3341"/>
    <w:rsid w:val="001A4CD7"/>
    <w:rsid w:val="001A5232"/>
    <w:rsid w:val="001A5278"/>
    <w:rsid w:val="001A52BB"/>
    <w:rsid w:val="001A5898"/>
    <w:rsid w:val="001A599B"/>
    <w:rsid w:val="001A5ED5"/>
    <w:rsid w:val="001A6A00"/>
    <w:rsid w:val="001A6A42"/>
    <w:rsid w:val="001A6EF7"/>
    <w:rsid w:val="001A7803"/>
    <w:rsid w:val="001A7B60"/>
    <w:rsid w:val="001A7ED8"/>
    <w:rsid w:val="001A7EF3"/>
    <w:rsid w:val="001B04C9"/>
    <w:rsid w:val="001B0D66"/>
    <w:rsid w:val="001B1089"/>
    <w:rsid w:val="001B159C"/>
    <w:rsid w:val="001B1650"/>
    <w:rsid w:val="001B1B55"/>
    <w:rsid w:val="001B1B80"/>
    <w:rsid w:val="001B20B3"/>
    <w:rsid w:val="001B22B6"/>
    <w:rsid w:val="001B22BE"/>
    <w:rsid w:val="001B271C"/>
    <w:rsid w:val="001B2949"/>
    <w:rsid w:val="001B3040"/>
    <w:rsid w:val="001B33D1"/>
    <w:rsid w:val="001B3890"/>
    <w:rsid w:val="001B398E"/>
    <w:rsid w:val="001B4195"/>
    <w:rsid w:val="001B48DA"/>
    <w:rsid w:val="001B4F72"/>
    <w:rsid w:val="001B4F8D"/>
    <w:rsid w:val="001B52B9"/>
    <w:rsid w:val="001B5E21"/>
    <w:rsid w:val="001B5EC5"/>
    <w:rsid w:val="001B6140"/>
    <w:rsid w:val="001B7495"/>
    <w:rsid w:val="001B777F"/>
    <w:rsid w:val="001B7F10"/>
    <w:rsid w:val="001B7FEE"/>
    <w:rsid w:val="001C03FA"/>
    <w:rsid w:val="001C0FFD"/>
    <w:rsid w:val="001C113E"/>
    <w:rsid w:val="001C191F"/>
    <w:rsid w:val="001C19C7"/>
    <w:rsid w:val="001C1AE1"/>
    <w:rsid w:val="001C1AE2"/>
    <w:rsid w:val="001C22A3"/>
    <w:rsid w:val="001C30D4"/>
    <w:rsid w:val="001C32A8"/>
    <w:rsid w:val="001C3706"/>
    <w:rsid w:val="001C3F0C"/>
    <w:rsid w:val="001C44BD"/>
    <w:rsid w:val="001C450E"/>
    <w:rsid w:val="001C4522"/>
    <w:rsid w:val="001C4C67"/>
    <w:rsid w:val="001C4DE6"/>
    <w:rsid w:val="001C4E4A"/>
    <w:rsid w:val="001C4EE6"/>
    <w:rsid w:val="001C54E9"/>
    <w:rsid w:val="001C5E80"/>
    <w:rsid w:val="001C5F7B"/>
    <w:rsid w:val="001C675D"/>
    <w:rsid w:val="001C6AC3"/>
    <w:rsid w:val="001C6F1F"/>
    <w:rsid w:val="001C6F91"/>
    <w:rsid w:val="001C71D1"/>
    <w:rsid w:val="001C7987"/>
    <w:rsid w:val="001C7F18"/>
    <w:rsid w:val="001D0033"/>
    <w:rsid w:val="001D004A"/>
    <w:rsid w:val="001D0F35"/>
    <w:rsid w:val="001D11F2"/>
    <w:rsid w:val="001D120D"/>
    <w:rsid w:val="001D1518"/>
    <w:rsid w:val="001D1FD5"/>
    <w:rsid w:val="001D2136"/>
    <w:rsid w:val="001D2414"/>
    <w:rsid w:val="001D2965"/>
    <w:rsid w:val="001D2A95"/>
    <w:rsid w:val="001D3C5F"/>
    <w:rsid w:val="001D3D7C"/>
    <w:rsid w:val="001D48A1"/>
    <w:rsid w:val="001D50B4"/>
    <w:rsid w:val="001D50CC"/>
    <w:rsid w:val="001D51C5"/>
    <w:rsid w:val="001D5239"/>
    <w:rsid w:val="001D55FC"/>
    <w:rsid w:val="001D56B2"/>
    <w:rsid w:val="001D58AA"/>
    <w:rsid w:val="001D5BDE"/>
    <w:rsid w:val="001D5FE4"/>
    <w:rsid w:val="001D606C"/>
    <w:rsid w:val="001D66EA"/>
    <w:rsid w:val="001D68B9"/>
    <w:rsid w:val="001D69CE"/>
    <w:rsid w:val="001D6ABD"/>
    <w:rsid w:val="001D6BB3"/>
    <w:rsid w:val="001D6DB8"/>
    <w:rsid w:val="001D77B8"/>
    <w:rsid w:val="001D7B0E"/>
    <w:rsid w:val="001D7B19"/>
    <w:rsid w:val="001E0C0D"/>
    <w:rsid w:val="001E0D38"/>
    <w:rsid w:val="001E0E22"/>
    <w:rsid w:val="001E0EEE"/>
    <w:rsid w:val="001E136E"/>
    <w:rsid w:val="001E14B4"/>
    <w:rsid w:val="001E152C"/>
    <w:rsid w:val="001E269E"/>
    <w:rsid w:val="001E322E"/>
    <w:rsid w:val="001E3242"/>
    <w:rsid w:val="001E35CE"/>
    <w:rsid w:val="001E383E"/>
    <w:rsid w:val="001E3DBF"/>
    <w:rsid w:val="001E4072"/>
    <w:rsid w:val="001E46F1"/>
    <w:rsid w:val="001E4722"/>
    <w:rsid w:val="001E5302"/>
    <w:rsid w:val="001E5A97"/>
    <w:rsid w:val="001E5AB3"/>
    <w:rsid w:val="001E5DFD"/>
    <w:rsid w:val="001E63B3"/>
    <w:rsid w:val="001E6AD6"/>
    <w:rsid w:val="001E6F8F"/>
    <w:rsid w:val="001E71FD"/>
    <w:rsid w:val="001E74D5"/>
    <w:rsid w:val="001E7771"/>
    <w:rsid w:val="001E7A58"/>
    <w:rsid w:val="001E7E81"/>
    <w:rsid w:val="001F0086"/>
    <w:rsid w:val="001F07B3"/>
    <w:rsid w:val="001F0F41"/>
    <w:rsid w:val="001F1795"/>
    <w:rsid w:val="001F1AA0"/>
    <w:rsid w:val="001F1B95"/>
    <w:rsid w:val="001F1BC3"/>
    <w:rsid w:val="001F1C1E"/>
    <w:rsid w:val="001F1CB2"/>
    <w:rsid w:val="001F1D2E"/>
    <w:rsid w:val="001F2574"/>
    <w:rsid w:val="001F29B6"/>
    <w:rsid w:val="001F2DA0"/>
    <w:rsid w:val="001F2DAD"/>
    <w:rsid w:val="001F32EB"/>
    <w:rsid w:val="001F3358"/>
    <w:rsid w:val="001F3A10"/>
    <w:rsid w:val="001F408F"/>
    <w:rsid w:val="001F40AD"/>
    <w:rsid w:val="001F4931"/>
    <w:rsid w:val="001F4DD3"/>
    <w:rsid w:val="001F4EC4"/>
    <w:rsid w:val="001F5020"/>
    <w:rsid w:val="001F56E7"/>
    <w:rsid w:val="001F58CA"/>
    <w:rsid w:val="001F6489"/>
    <w:rsid w:val="001F68A7"/>
    <w:rsid w:val="001F6BB2"/>
    <w:rsid w:val="001F7389"/>
    <w:rsid w:val="001F799F"/>
    <w:rsid w:val="001F7C6B"/>
    <w:rsid w:val="00200131"/>
    <w:rsid w:val="002003FB"/>
    <w:rsid w:val="00200BEE"/>
    <w:rsid w:val="00200F86"/>
    <w:rsid w:val="0020101E"/>
    <w:rsid w:val="002010A1"/>
    <w:rsid w:val="00201264"/>
    <w:rsid w:val="0020134C"/>
    <w:rsid w:val="00201B0E"/>
    <w:rsid w:val="00201CC9"/>
    <w:rsid w:val="00201D22"/>
    <w:rsid w:val="00201F52"/>
    <w:rsid w:val="00201F92"/>
    <w:rsid w:val="00202308"/>
    <w:rsid w:val="002024ED"/>
    <w:rsid w:val="00202772"/>
    <w:rsid w:val="002028DF"/>
    <w:rsid w:val="0020295B"/>
    <w:rsid w:val="00202E37"/>
    <w:rsid w:val="00202E67"/>
    <w:rsid w:val="00202F42"/>
    <w:rsid w:val="002030C1"/>
    <w:rsid w:val="002043D4"/>
    <w:rsid w:val="0020484B"/>
    <w:rsid w:val="00205538"/>
    <w:rsid w:val="00205D0D"/>
    <w:rsid w:val="00205E1A"/>
    <w:rsid w:val="00205E86"/>
    <w:rsid w:val="00205F1A"/>
    <w:rsid w:val="00206664"/>
    <w:rsid w:val="002069A2"/>
    <w:rsid w:val="002071D2"/>
    <w:rsid w:val="0020725A"/>
    <w:rsid w:val="00210857"/>
    <w:rsid w:val="002108E9"/>
    <w:rsid w:val="002114DC"/>
    <w:rsid w:val="002116D0"/>
    <w:rsid w:val="00211BE4"/>
    <w:rsid w:val="00211E29"/>
    <w:rsid w:val="002122BA"/>
    <w:rsid w:val="0021251B"/>
    <w:rsid w:val="00212AFB"/>
    <w:rsid w:val="0021327A"/>
    <w:rsid w:val="00213536"/>
    <w:rsid w:val="0021366F"/>
    <w:rsid w:val="002136A8"/>
    <w:rsid w:val="002142AC"/>
    <w:rsid w:val="00215017"/>
    <w:rsid w:val="002152C3"/>
    <w:rsid w:val="00216092"/>
    <w:rsid w:val="0021671D"/>
    <w:rsid w:val="00217234"/>
    <w:rsid w:val="002178DB"/>
    <w:rsid w:val="00217AEF"/>
    <w:rsid w:val="00220322"/>
    <w:rsid w:val="002203CC"/>
    <w:rsid w:val="0022072D"/>
    <w:rsid w:val="002207A1"/>
    <w:rsid w:val="002208D8"/>
    <w:rsid w:val="00220E80"/>
    <w:rsid w:val="00220F4B"/>
    <w:rsid w:val="00221564"/>
    <w:rsid w:val="00221855"/>
    <w:rsid w:val="00221B5B"/>
    <w:rsid w:val="002221FE"/>
    <w:rsid w:val="00222699"/>
    <w:rsid w:val="00222743"/>
    <w:rsid w:val="002229B2"/>
    <w:rsid w:val="00223365"/>
    <w:rsid w:val="00223366"/>
    <w:rsid w:val="0022340F"/>
    <w:rsid w:val="0022463B"/>
    <w:rsid w:val="00224A82"/>
    <w:rsid w:val="00224A86"/>
    <w:rsid w:val="00225BC0"/>
    <w:rsid w:val="00226461"/>
    <w:rsid w:val="00226E16"/>
    <w:rsid w:val="00227468"/>
    <w:rsid w:val="002277E3"/>
    <w:rsid w:val="002301A8"/>
    <w:rsid w:val="00230720"/>
    <w:rsid w:val="00230D35"/>
    <w:rsid w:val="00230F6F"/>
    <w:rsid w:val="0023154D"/>
    <w:rsid w:val="00231B8F"/>
    <w:rsid w:val="00232890"/>
    <w:rsid w:val="002335D1"/>
    <w:rsid w:val="00233E59"/>
    <w:rsid w:val="00234085"/>
    <w:rsid w:val="00234192"/>
    <w:rsid w:val="00234211"/>
    <w:rsid w:val="00234A1E"/>
    <w:rsid w:val="00234B5F"/>
    <w:rsid w:val="00234C90"/>
    <w:rsid w:val="00234D57"/>
    <w:rsid w:val="00234DBC"/>
    <w:rsid w:val="002351AE"/>
    <w:rsid w:val="002363B6"/>
    <w:rsid w:val="00236C6E"/>
    <w:rsid w:val="00237022"/>
    <w:rsid w:val="002370E0"/>
    <w:rsid w:val="002370E9"/>
    <w:rsid w:val="00237109"/>
    <w:rsid w:val="0023736C"/>
    <w:rsid w:val="00237B52"/>
    <w:rsid w:val="00240121"/>
    <w:rsid w:val="002405D5"/>
    <w:rsid w:val="00240FBE"/>
    <w:rsid w:val="0024154B"/>
    <w:rsid w:val="00241B9D"/>
    <w:rsid w:val="00242210"/>
    <w:rsid w:val="00242421"/>
    <w:rsid w:val="00242BC9"/>
    <w:rsid w:val="00242C47"/>
    <w:rsid w:val="0024339F"/>
    <w:rsid w:val="002434E8"/>
    <w:rsid w:val="0024386C"/>
    <w:rsid w:val="0024391D"/>
    <w:rsid w:val="00243D04"/>
    <w:rsid w:val="00243D15"/>
    <w:rsid w:val="002442E9"/>
    <w:rsid w:val="0024475A"/>
    <w:rsid w:val="002447B8"/>
    <w:rsid w:val="00244AC8"/>
    <w:rsid w:val="00244EE0"/>
    <w:rsid w:val="00245328"/>
    <w:rsid w:val="00245591"/>
    <w:rsid w:val="002455E4"/>
    <w:rsid w:val="0024565F"/>
    <w:rsid w:val="002461FF"/>
    <w:rsid w:val="002466CE"/>
    <w:rsid w:val="002467BB"/>
    <w:rsid w:val="00247CFA"/>
    <w:rsid w:val="00247DEF"/>
    <w:rsid w:val="00250831"/>
    <w:rsid w:val="00250E33"/>
    <w:rsid w:val="0025127B"/>
    <w:rsid w:val="00251352"/>
    <w:rsid w:val="00251428"/>
    <w:rsid w:val="00251512"/>
    <w:rsid w:val="00251777"/>
    <w:rsid w:val="00251C6D"/>
    <w:rsid w:val="00251DAF"/>
    <w:rsid w:val="00251FDF"/>
    <w:rsid w:val="00252180"/>
    <w:rsid w:val="0025335A"/>
    <w:rsid w:val="00253BDA"/>
    <w:rsid w:val="00254A5E"/>
    <w:rsid w:val="002552BB"/>
    <w:rsid w:val="002552C6"/>
    <w:rsid w:val="00255927"/>
    <w:rsid w:val="00255BAE"/>
    <w:rsid w:val="00255F15"/>
    <w:rsid w:val="0025615B"/>
    <w:rsid w:val="002564B7"/>
    <w:rsid w:val="002564E0"/>
    <w:rsid w:val="00257B28"/>
    <w:rsid w:val="00261A6D"/>
    <w:rsid w:val="002628E8"/>
    <w:rsid w:val="002629C3"/>
    <w:rsid w:val="00262B0C"/>
    <w:rsid w:val="00262ECE"/>
    <w:rsid w:val="00262FB0"/>
    <w:rsid w:val="00263D99"/>
    <w:rsid w:val="00263DB8"/>
    <w:rsid w:val="00263E13"/>
    <w:rsid w:val="002641F5"/>
    <w:rsid w:val="00264397"/>
    <w:rsid w:val="002646B2"/>
    <w:rsid w:val="00264A8E"/>
    <w:rsid w:val="00264A99"/>
    <w:rsid w:val="00264DF6"/>
    <w:rsid w:val="002656E4"/>
    <w:rsid w:val="00265774"/>
    <w:rsid w:val="002658E5"/>
    <w:rsid w:val="00266128"/>
    <w:rsid w:val="002669E0"/>
    <w:rsid w:val="00266CE0"/>
    <w:rsid w:val="00267078"/>
    <w:rsid w:val="0026719B"/>
    <w:rsid w:val="00267362"/>
    <w:rsid w:val="002675C1"/>
    <w:rsid w:val="002678FD"/>
    <w:rsid w:val="00267988"/>
    <w:rsid w:val="00267F4D"/>
    <w:rsid w:val="0027006B"/>
    <w:rsid w:val="002701C1"/>
    <w:rsid w:val="002706F9"/>
    <w:rsid w:val="002707EB"/>
    <w:rsid w:val="002709C8"/>
    <w:rsid w:val="00270BCB"/>
    <w:rsid w:val="00271868"/>
    <w:rsid w:val="00271A9B"/>
    <w:rsid w:val="00272554"/>
    <w:rsid w:val="00272AF5"/>
    <w:rsid w:val="00272C5F"/>
    <w:rsid w:val="00272D8E"/>
    <w:rsid w:val="0027323B"/>
    <w:rsid w:val="00273451"/>
    <w:rsid w:val="002736A9"/>
    <w:rsid w:val="00273CEE"/>
    <w:rsid w:val="00275217"/>
    <w:rsid w:val="002759AE"/>
    <w:rsid w:val="002759FD"/>
    <w:rsid w:val="0027629D"/>
    <w:rsid w:val="00276BA6"/>
    <w:rsid w:val="00276D1D"/>
    <w:rsid w:val="00276D67"/>
    <w:rsid w:val="00277493"/>
    <w:rsid w:val="0027768C"/>
    <w:rsid w:val="00277B4D"/>
    <w:rsid w:val="002801AA"/>
    <w:rsid w:val="00280279"/>
    <w:rsid w:val="00280A39"/>
    <w:rsid w:val="00280EE7"/>
    <w:rsid w:val="00280F3C"/>
    <w:rsid w:val="00281993"/>
    <w:rsid w:val="00281B67"/>
    <w:rsid w:val="00281DA4"/>
    <w:rsid w:val="0028201B"/>
    <w:rsid w:val="00282212"/>
    <w:rsid w:val="00282555"/>
    <w:rsid w:val="00282BF9"/>
    <w:rsid w:val="00282C15"/>
    <w:rsid w:val="00283250"/>
    <w:rsid w:val="002838C6"/>
    <w:rsid w:val="00283B2E"/>
    <w:rsid w:val="00283BF0"/>
    <w:rsid w:val="00283E35"/>
    <w:rsid w:val="002840E4"/>
    <w:rsid w:val="00284160"/>
    <w:rsid w:val="00284F27"/>
    <w:rsid w:val="002850F1"/>
    <w:rsid w:val="0028544C"/>
    <w:rsid w:val="0028587D"/>
    <w:rsid w:val="0028657A"/>
    <w:rsid w:val="002866FC"/>
    <w:rsid w:val="00287174"/>
    <w:rsid w:val="002915B2"/>
    <w:rsid w:val="00292657"/>
    <w:rsid w:val="0029279E"/>
    <w:rsid w:val="002928D1"/>
    <w:rsid w:val="00292EAE"/>
    <w:rsid w:val="00292FFD"/>
    <w:rsid w:val="0029360A"/>
    <w:rsid w:val="0029384A"/>
    <w:rsid w:val="00294C0B"/>
    <w:rsid w:val="00295139"/>
    <w:rsid w:val="002959B8"/>
    <w:rsid w:val="0029605B"/>
    <w:rsid w:val="002960E7"/>
    <w:rsid w:val="00296318"/>
    <w:rsid w:val="00296EE7"/>
    <w:rsid w:val="00296F00"/>
    <w:rsid w:val="002972D4"/>
    <w:rsid w:val="00297C9E"/>
    <w:rsid w:val="002A02F7"/>
    <w:rsid w:val="002A15C9"/>
    <w:rsid w:val="002A16B1"/>
    <w:rsid w:val="002A16F8"/>
    <w:rsid w:val="002A1867"/>
    <w:rsid w:val="002A1945"/>
    <w:rsid w:val="002A2177"/>
    <w:rsid w:val="002A2313"/>
    <w:rsid w:val="002A266A"/>
    <w:rsid w:val="002A2A32"/>
    <w:rsid w:val="002A3091"/>
    <w:rsid w:val="002A311E"/>
    <w:rsid w:val="002A328D"/>
    <w:rsid w:val="002A3644"/>
    <w:rsid w:val="002A3BC3"/>
    <w:rsid w:val="002A3BC6"/>
    <w:rsid w:val="002A4486"/>
    <w:rsid w:val="002A4491"/>
    <w:rsid w:val="002A4528"/>
    <w:rsid w:val="002A454E"/>
    <w:rsid w:val="002A4644"/>
    <w:rsid w:val="002A5354"/>
    <w:rsid w:val="002A536F"/>
    <w:rsid w:val="002A598B"/>
    <w:rsid w:val="002A5C58"/>
    <w:rsid w:val="002A601B"/>
    <w:rsid w:val="002A60B2"/>
    <w:rsid w:val="002A64E2"/>
    <w:rsid w:val="002A7097"/>
    <w:rsid w:val="002A712E"/>
    <w:rsid w:val="002A7542"/>
    <w:rsid w:val="002A7642"/>
    <w:rsid w:val="002A7AAC"/>
    <w:rsid w:val="002A7EB8"/>
    <w:rsid w:val="002B03B7"/>
    <w:rsid w:val="002B052F"/>
    <w:rsid w:val="002B0F05"/>
    <w:rsid w:val="002B1CAF"/>
    <w:rsid w:val="002B2177"/>
    <w:rsid w:val="002B24AE"/>
    <w:rsid w:val="002B294A"/>
    <w:rsid w:val="002B29FA"/>
    <w:rsid w:val="002B2C6C"/>
    <w:rsid w:val="002B3046"/>
    <w:rsid w:val="002B311D"/>
    <w:rsid w:val="002B4434"/>
    <w:rsid w:val="002B450D"/>
    <w:rsid w:val="002B465A"/>
    <w:rsid w:val="002B46FC"/>
    <w:rsid w:val="002B501F"/>
    <w:rsid w:val="002B5BBD"/>
    <w:rsid w:val="002B5BFC"/>
    <w:rsid w:val="002B5C3F"/>
    <w:rsid w:val="002B5E88"/>
    <w:rsid w:val="002B6473"/>
    <w:rsid w:val="002B64F3"/>
    <w:rsid w:val="002B6801"/>
    <w:rsid w:val="002B68FF"/>
    <w:rsid w:val="002B6948"/>
    <w:rsid w:val="002B6BFA"/>
    <w:rsid w:val="002B6E1C"/>
    <w:rsid w:val="002B6F7F"/>
    <w:rsid w:val="002B7150"/>
    <w:rsid w:val="002B73B5"/>
    <w:rsid w:val="002B7594"/>
    <w:rsid w:val="002B761A"/>
    <w:rsid w:val="002B7BFD"/>
    <w:rsid w:val="002B7DC3"/>
    <w:rsid w:val="002B7ED1"/>
    <w:rsid w:val="002C04F2"/>
    <w:rsid w:val="002C0BB6"/>
    <w:rsid w:val="002C1791"/>
    <w:rsid w:val="002C1816"/>
    <w:rsid w:val="002C1B91"/>
    <w:rsid w:val="002C1D36"/>
    <w:rsid w:val="002C26CD"/>
    <w:rsid w:val="002C2F0E"/>
    <w:rsid w:val="002C39B5"/>
    <w:rsid w:val="002C3B63"/>
    <w:rsid w:val="002C4348"/>
    <w:rsid w:val="002C43C7"/>
    <w:rsid w:val="002C4595"/>
    <w:rsid w:val="002C466B"/>
    <w:rsid w:val="002C4AF2"/>
    <w:rsid w:val="002C5486"/>
    <w:rsid w:val="002C5559"/>
    <w:rsid w:val="002C5A60"/>
    <w:rsid w:val="002C6259"/>
    <w:rsid w:val="002C6384"/>
    <w:rsid w:val="002C65AB"/>
    <w:rsid w:val="002C6751"/>
    <w:rsid w:val="002C6DB8"/>
    <w:rsid w:val="002C73FC"/>
    <w:rsid w:val="002C7640"/>
    <w:rsid w:val="002C7AB0"/>
    <w:rsid w:val="002C7E57"/>
    <w:rsid w:val="002C7FB9"/>
    <w:rsid w:val="002D003F"/>
    <w:rsid w:val="002D0089"/>
    <w:rsid w:val="002D00E6"/>
    <w:rsid w:val="002D0432"/>
    <w:rsid w:val="002D06FA"/>
    <w:rsid w:val="002D074B"/>
    <w:rsid w:val="002D0C70"/>
    <w:rsid w:val="002D0FCB"/>
    <w:rsid w:val="002D0FE3"/>
    <w:rsid w:val="002D10A3"/>
    <w:rsid w:val="002D1757"/>
    <w:rsid w:val="002D18F7"/>
    <w:rsid w:val="002D1B4C"/>
    <w:rsid w:val="002D24E7"/>
    <w:rsid w:val="002D2766"/>
    <w:rsid w:val="002D2BB9"/>
    <w:rsid w:val="002D3095"/>
    <w:rsid w:val="002D3209"/>
    <w:rsid w:val="002D3746"/>
    <w:rsid w:val="002D3E5E"/>
    <w:rsid w:val="002D3FA2"/>
    <w:rsid w:val="002D4030"/>
    <w:rsid w:val="002D421E"/>
    <w:rsid w:val="002D42C3"/>
    <w:rsid w:val="002D49D0"/>
    <w:rsid w:val="002D4B0A"/>
    <w:rsid w:val="002D4D3D"/>
    <w:rsid w:val="002D54D6"/>
    <w:rsid w:val="002D5834"/>
    <w:rsid w:val="002D5A31"/>
    <w:rsid w:val="002D6216"/>
    <w:rsid w:val="002D63DC"/>
    <w:rsid w:val="002D669E"/>
    <w:rsid w:val="002D6819"/>
    <w:rsid w:val="002D6D64"/>
    <w:rsid w:val="002D7E74"/>
    <w:rsid w:val="002E04F5"/>
    <w:rsid w:val="002E0BE7"/>
    <w:rsid w:val="002E10A4"/>
    <w:rsid w:val="002E1D15"/>
    <w:rsid w:val="002E21AA"/>
    <w:rsid w:val="002E22DA"/>
    <w:rsid w:val="002E27AB"/>
    <w:rsid w:val="002E2A87"/>
    <w:rsid w:val="002E2AD9"/>
    <w:rsid w:val="002E2EB0"/>
    <w:rsid w:val="002E3BFE"/>
    <w:rsid w:val="002E3DCC"/>
    <w:rsid w:val="002E3E21"/>
    <w:rsid w:val="002E425B"/>
    <w:rsid w:val="002E4A91"/>
    <w:rsid w:val="002E4B4A"/>
    <w:rsid w:val="002E5478"/>
    <w:rsid w:val="002E6093"/>
    <w:rsid w:val="002E61E4"/>
    <w:rsid w:val="002E62D2"/>
    <w:rsid w:val="002E6DB8"/>
    <w:rsid w:val="002E7A9A"/>
    <w:rsid w:val="002E7CD6"/>
    <w:rsid w:val="002F0C54"/>
    <w:rsid w:val="002F1295"/>
    <w:rsid w:val="002F1BF0"/>
    <w:rsid w:val="002F1FED"/>
    <w:rsid w:val="002F204E"/>
    <w:rsid w:val="002F23BC"/>
    <w:rsid w:val="002F2B23"/>
    <w:rsid w:val="002F2CF7"/>
    <w:rsid w:val="002F2EEA"/>
    <w:rsid w:val="002F32DF"/>
    <w:rsid w:val="002F3D93"/>
    <w:rsid w:val="002F4207"/>
    <w:rsid w:val="002F4DD9"/>
    <w:rsid w:val="002F500C"/>
    <w:rsid w:val="002F5B6A"/>
    <w:rsid w:val="002F65A8"/>
    <w:rsid w:val="002F6967"/>
    <w:rsid w:val="002F6979"/>
    <w:rsid w:val="002F6A12"/>
    <w:rsid w:val="002F6B98"/>
    <w:rsid w:val="002F72FC"/>
    <w:rsid w:val="002F7686"/>
    <w:rsid w:val="002F77D2"/>
    <w:rsid w:val="00300386"/>
    <w:rsid w:val="00300A55"/>
    <w:rsid w:val="00300DC1"/>
    <w:rsid w:val="0030196D"/>
    <w:rsid w:val="00301C1E"/>
    <w:rsid w:val="00301E0C"/>
    <w:rsid w:val="0030218D"/>
    <w:rsid w:val="003021D1"/>
    <w:rsid w:val="003025B7"/>
    <w:rsid w:val="0030262C"/>
    <w:rsid w:val="00303AD4"/>
    <w:rsid w:val="00303C02"/>
    <w:rsid w:val="00303D68"/>
    <w:rsid w:val="0030441B"/>
    <w:rsid w:val="00304616"/>
    <w:rsid w:val="003046C2"/>
    <w:rsid w:val="00304C81"/>
    <w:rsid w:val="00304C9E"/>
    <w:rsid w:val="0030508F"/>
    <w:rsid w:val="003061EA"/>
    <w:rsid w:val="00306231"/>
    <w:rsid w:val="00306415"/>
    <w:rsid w:val="003065AA"/>
    <w:rsid w:val="00306E40"/>
    <w:rsid w:val="0030710A"/>
    <w:rsid w:val="00307CEB"/>
    <w:rsid w:val="00307DAA"/>
    <w:rsid w:val="00310410"/>
    <w:rsid w:val="00311106"/>
    <w:rsid w:val="00311527"/>
    <w:rsid w:val="003115F0"/>
    <w:rsid w:val="003116C6"/>
    <w:rsid w:val="00311853"/>
    <w:rsid w:val="00312931"/>
    <w:rsid w:val="00312C54"/>
    <w:rsid w:val="00312E7D"/>
    <w:rsid w:val="0031373F"/>
    <w:rsid w:val="00313B2F"/>
    <w:rsid w:val="00313CDD"/>
    <w:rsid w:val="00314023"/>
    <w:rsid w:val="00314136"/>
    <w:rsid w:val="003150DF"/>
    <w:rsid w:val="003153D5"/>
    <w:rsid w:val="0031565A"/>
    <w:rsid w:val="00315B13"/>
    <w:rsid w:val="00315BE4"/>
    <w:rsid w:val="00315E42"/>
    <w:rsid w:val="00316A48"/>
    <w:rsid w:val="00317C0A"/>
    <w:rsid w:val="00317E62"/>
    <w:rsid w:val="003201D5"/>
    <w:rsid w:val="0032063E"/>
    <w:rsid w:val="00320EED"/>
    <w:rsid w:val="003216A3"/>
    <w:rsid w:val="00322050"/>
    <w:rsid w:val="003222A2"/>
    <w:rsid w:val="003225A2"/>
    <w:rsid w:val="00322AFE"/>
    <w:rsid w:val="00322D94"/>
    <w:rsid w:val="003230CF"/>
    <w:rsid w:val="0032364F"/>
    <w:rsid w:val="003236C3"/>
    <w:rsid w:val="00323A74"/>
    <w:rsid w:val="00323DC1"/>
    <w:rsid w:val="00324327"/>
    <w:rsid w:val="00324F60"/>
    <w:rsid w:val="00324F70"/>
    <w:rsid w:val="0032513A"/>
    <w:rsid w:val="003254D4"/>
    <w:rsid w:val="0032562F"/>
    <w:rsid w:val="00325C3D"/>
    <w:rsid w:val="003263C6"/>
    <w:rsid w:val="00326A9E"/>
    <w:rsid w:val="00326B83"/>
    <w:rsid w:val="0032741E"/>
    <w:rsid w:val="00327518"/>
    <w:rsid w:val="0032771F"/>
    <w:rsid w:val="00327C77"/>
    <w:rsid w:val="00327FC3"/>
    <w:rsid w:val="00330798"/>
    <w:rsid w:val="00330E4F"/>
    <w:rsid w:val="00331131"/>
    <w:rsid w:val="00331A82"/>
    <w:rsid w:val="0033234E"/>
    <w:rsid w:val="0033286E"/>
    <w:rsid w:val="00332A45"/>
    <w:rsid w:val="00333188"/>
    <w:rsid w:val="0033353F"/>
    <w:rsid w:val="003338FC"/>
    <w:rsid w:val="00333D04"/>
    <w:rsid w:val="003342CD"/>
    <w:rsid w:val="003348A1"/>
    <w:rsid w:val="00334B53"/>
    <w:rsid w:val="00334D84"/>
    <w:rsid w:val="00334D98"/>
    <w:rsid w:val="00335373"/>
    <w:rsid w:val="00335C99"/>
    <w:rsid w:val="0033648C"/>
    <w:rsid w:val="00336577"/>
    <w:rsid w:val="003365A6"/>
    <w:rsid w:val="00336A81"/>
    <w:rsid w:val="00336C81"/>
    <w:rsid w:val="00336D86"/>
    <w:rsid w:val="003371A2"/>
    <w:rsid w:val="0033756D"/>
    <w:rsid w:val="00337795"/>
    <w:rsid w:val="0034002B"/>
    <w:rsid w:val="003400E5"/>
    <w:rsid w:val="00340332"/>
    <w:rsid w:val="003409B2"/>
    <w:rsid w:val="00340EC0"/>
    <w:rsid w:val="003414D7"/>
    <w:rsid w:val="00341576"/>
    <w:rsid w:val="00341A0F"/>
    <w:rsid w:val="00341FEB"/>
    <w:rsid w:val="00343539"/>
    <w:rsid w:val="00344105"/>
    <w:rsid w:val="00344EFF"/>
    <w:rsid w:val="003451D5"/>
    <w:rsid w:val="0034523F"/>
    <w:rsid w:val="00345681"/>
    <w:rsid w:val="00345E42"/>
    <w:rsid w:val="003462B0"/>
    <w:rsid w:val="003462C0"/>
    <w:rsid w:val="003466DB"/>
    <w:rsid w:val="00346901"/>
    <w:rsid w:val="00347FAB"/>
    <w:rsid w:val="0035054A"/>
    <w:rsid w:val="003509B2"/>
    <w:rsid w:val="00350C0E"/>
    <w:rsid w:val="0035215D"/>
    <w:rsid w:val="00352223"/>
    <w:rsid w:val="00352411"/>
    <w:rsid w:val="003526CE"/>
    <w:rsid w:val="00353468"/>
    <w:rsid w:val="003534AA"/>
    <w:rsid w:val="00354E10"/>
    <w:rsid w:val="003556A7"/>
    <w:rsid w:val="003558AB"/>
    <w:rsid w:val="003559A5"/>
    <w:rsid w:val="00356804"/>
    <w:rsid w:val="0035681E"/>
    <w:rsid w:val="003572D5"/>
    <w:rsid w:val="003578FD"/>
    <w:rsid w:val="00357FF2"/>
    <w:rsid w:val="0036011F"/>
    <w:rsid w:val="00360532"/>
    <w:rsid w:val="00360F41"/>
    <w:rsid w:val="003611FF"/>
    <w:rsid w:val="003612AA"/>
    <w:rsid w:val="00361EBC"/>
    <w:rsid w:val="003626C6"/>
    <w:rsid w:val="003628E6"/>
    <w:rsid w:val="00362A9F"/>
    <w:rsid w:val="00362BF3"/>
    <w:rsid w:val="0036338A"/>
    <w:rsid w:val="00363832"/>
    <w:rsid w:val="00363E31"/>
    <w:rsid w:val="00364067"/>
    <w:rsid w:val="00364071"/>
    <w:rsid w:val="0036450D"/>
    <w:rsid w:val="00364D22"/>
    <w:rsid w:val="00364DFB"/>
    <w:rsid w:val="00364E23"/>
    <w:rsid w:val="00364FCA"/>
    <w:rsid w:val="00365060"/>
    <w:rsid w:val="00365D3D"/>
    <w:rsid w:val="0036660F"/>
    <w:rsid w:val="003667BE"/>
    <w:rsid w:val="00366A41"/>
    <w:rsid w:val="00367760"/>
    <w:rsid w:val="003678F1"/>
    <w:rsid w:val="00367E56"/>
    <w:rsid w:val="00370044"/>
    <w:rsid w:val="00370C7E"/>
    <w:rsid w:val="003716B4"/>
    <w:rsid w:val="00371A3B"/>
    <w:rsid w:val="00371C40"/>
    <w:rsid w:val="00372087"/>
    <w:rsid w:val="00372600"/>
    <w:rsid w:val="00372671"/>
    <w:rsid w:val="00374034"/>
    <w:rsid w:val="0037442D"/>
    <w:rsid w:val="00374808"/>
    <w:rsid w:val="0037492E"/>
    <w:rsid w:val="00375214"/>
    <w:rsid w:val="00375686"/>
    <w:rsid w:val="00375799"/>
    <w:rsid w:val="003759DE"/>
    <w:rsid w:val="003759FF"/>
    <w:rsid w:val="00376463"/>
    <w:rsid w:val="00376604"/>
    <w:rsid w:val="0037692A"/>
    <w:rsid w:val="00376B75"/>
    <w:rsid w:val="00376D0B"/>
    <w:rsid w:val="0037714F"/>
    <w:rsid w:val="00377E70"/>
    <w:rsid w:val="003802E5"/>
    <w:rsid w:val="003806AA"/>
    <w:rsid w:val="00380CE4"/>
    <w:rsid w:val="00380E46"/>
    <w:rsid w:val="003812F3"/>
    <w:rsid w:val="00381667"/>
    <w:rsid w:val="00381C30"/>
    <w:rsid w:val="00382104"/>
    <w:rsid w:val="0038285F"/>
    <w:rsid w:val="00382C19"/>
    <w:rsid w:val="0038338C"/>
    <w:rsid w:val="00383A0D"/>
    <w:rsid w:val="00383E6F"/>
    <w:rsid w:val="00383F04"/>
    <w:rsid w:val="00384015"/>
    <w:rsid w:val="00384185"/>
    <w:rsid w:val="003847E8"/>
    <w:rsid w:val="00384980"/>
    <w:rsid w:val="003849E2"/>
    <w:rsid w:val="0038698E"/>
    <w:rsid w:val="003870E8"/>
    <w:rsid w:val="003872CF"/>
    <w:rsid w:val="00387BF2"/>
    <w:rsid w:val="00387D35"/>
    <w:rsid w:val="003904B1"/>
    <w:rsid w:val="003907B7"/>
    <w:rsid w:val="003909F5"/>
    <w:rsid w:val="00390DF9"/>
    <w:rsid w:val="00391114"/>
    <w:rsid w:val="00391124"/>
    <w:rsid w:val="0039142C"/>
    <w:rsid w:val="00391AFE"/>
    <w:rsid w:val="00391E21"/>
    <w:rsid w:val="00391FF7"/>
    <w:rsid w:val="00392679"/>
    <w:rsid w:val="00392AF2"/>
    <w:rsid w:val="003934C5"/>
    <w:rsid w:val="00393BAC"/>
    <w:rsid w:val="00393FCC"/>
    <w:rsid w:val="00394448"/>
    <w:rsid w:val="0039460E"/>
    <w:rsid w:val="00395399"/>
    <w:rsid w:val="00395627"/>
    <w:rsid w:val="003957D2"/>
    <w:rsid w:val="00395864"/>
    <w:rsid w:val="003958BB"/>
    <w:rsid w:val="00395B51"/>
    <w:rsid w:val="00395BF1"/>
    <w:rsid w:val="00395CE2"/>
    <w:rsid w:val="00395E28"/>
    <w:rsid w:val="00395F91"/>
    <w:rsid w:val="003962D0"/>
    <w:rsid w:val="00396406"/>
    <w:rsid w:val="00396C32"/>
    <w:rsid w:val="00396F89"/>
    <w:rsid w:val="003A019A"/>
    <w:rsid w:val="003A0323"/>
    <w:rsid w:val="003A0598"/>
    <w:rsid w:val="003A05A0"/>
    <w:rsid w:val="003A102C"/>
    <w:rsid w:val="003A18A1"/>
    <w:rsid w:val="003A1A97"/>
    <w:rsid w:val="003A1C4C"/>
    <w:rsid w:val="003A1F16"/>
    <w:rsid w:val="003A23FD"/>
    <w:rsid w:val="003A2597"/>
    <w:rsid w:val="003A281E"/>
    <w:rsid w:val="003A2D2A"/>
    <w:rsid w:val="003A2FBA"/>
    <w:rsid w:val="003A34EE"/>
    <w:rsid w:val="003A41F8"/>
    <w:rsid w:val="003A426B"/>
    <w:rsid w:val="003A42A5"/>
    <w:rsid w:val="003A4A4C"/>
    <w:rsid w:val="003A5282"/>
    <w:rsid w:val="003A636F"/>
    <w:rsid w:val="003A6505"/>
    <w:rsid w:val="003A6512"/>
    <w:rsid w:val="003A712C"/>
    <w:rsid w:val="003A76A1"/>
    <w:rsid w:val="003A79B8"/>
    <w:rsid w:val="003A7C6D"/>
    <w:rsid w:val="003A7FDF"/>
    <w:rsid w:val="003B0725"/>
    <w:rsid w:val="003B0BCB"/>
    <w:rsid w:val="003B0C41"/>
    <w:rsid w:val="003B0CF4"/>
    <w:rsid w:val="003B0DEC"/>
    <w:rsid w:val="003B156A"/>
    <w:rsid w:val="003B18CF"/>
    <w:rsid w:val="003B2932"/>
    <w:rsid w:val="003B29B9"/>
    <w:rsid w:val="003B2B99"/>
    <w:rsid w:val="003B2BB9"/>
    <w:rsid w:val="003B2D8F"/>
    <w:rsid w:val="003B2E04"/>
    <w:rsid w:val="003B2E50"/>
    <w:rsid w:val="003B2E90"/>
    <w:rsid w:val="003B30B0"/>
    <w:rsid w:val="003B3706"/>
    <w:rsid w:val="003B4504"/>
    <w:rsid w:val="003B4724"/>
    <w:rsid w:val="003B5829"/>
    <w:rsid w:val="003B5B6C"/>
    <w:rsid w:val="003B5FA8"/>
    <w:rsid w:val="003B6088"/>
    <w:rsid w:val="003B6D5E"/>
    <w:rsid w:val="003C0CFE"/>
    <w:rsid w:val="003C224C"/>
    <w:rsid w:val="003C2335"/>
    <w:rsid w:val="003C2923"/>
    <w:rsid w:val="003C29B9"/>
    <w:rsid w:val="003C2A19"/>
    <w:rsid w:val="003C312E"/>
    <w:rsid w:val="003C34A5"/>
    <w:rsid w:val="003C355F"/>
    <w:rsid w:val="003C3679"/>
    <w:rsid w:val="003C39B3"/>
    <w:rsid w:val="003C43F3"/>
    <w:rsid w:val="003C4994"/>
    <w:rsid w:val="003C4BC6"/>
    <w:rsid w:val="003C4FA9"/>
    <w:rsid w:val="003C5759"/>
    <w:rsid w:val="003C5B24"/>
    <w:rsid w:val="003C6087"/>
    <w:rsid w:val="003C6DC7"/>
    <w:rsid w:val="003C71C0"/>
    <w:rsid w:val="003C7C10"/>
    <w:rsid w:val="003C7CDC"/>
    <w:rsid w:val="003C7F9F"/>
    <w:rsid w:val="003D0029"/>
    <w:rsid w:val="003D08B9"/>
    <w:rsid w:val="003D0AA5"/>
    <w:rsid w:val="003D115E"/>
    <w:rsid w:val="003D1528"/>
    <w:rsid w:val="003D1DD9"/>
    <w:rsid w:val="003D2219"/>
    <w:rsid w:val="003D2574"/>
    <w:rsid w:val="003D280C"/>
    <w:rsid w:val="003D284F"/>
    <w:rsid w:val="003D2A51"/>
    <w:rsid w:val="003D2D6F"/>
    <w:rsid w:val="003D2E69"/>
    <w:rsid w:val="003D30A0"/>
    <w:rsid w:val="003D37A7"/>
    <w:rsid w:val="003D3D8C"/>
    <w:rsid w:val="003D40EE"/>
    <w:rsid w:val="003D451E"/>
    <w:rsid w:val="003D454A"/>
    <w:rsid w:val="003D46FB"/>
    <w:rsid w:val="003D48F5"/>
    <w:rsid w:val="003D49A9"/>
    <w:rsid w:val="003D4EA5"/>
    <w:rsid w:val="003D4ED9"/>
    <w:rsid w:val="003D4F46"/>
    <w:rsid w:val="003D53B9"/>
    <w:rsid w:val="003D5779"/>
    <w:rsid w:val="003D5DDB"/>
    <w:rsid w:val="003D5E8B"/>
    <w:rsid w:val="003D62F9"/>
    <w:rsid w:val="003D682C"/>
    <w:rsid w:val="003D6D40"/>
    <w:rsid w:val="003E0148"/>
    <w:rsid w:val="003E059F"/>
    <w:rsid w:val="003E080A"/>
    <w:rsid w:val="003E0E3F"/>
    <w:rsid w:val="003E13EB"/>
    <w:rsid w:val="003E152D"/>
    <w:rsid w:val="003E189E"/>
    <w:rsid w:val="003E1F96"/>
    <w:rsid w:val="003E218E"/>
    <w:rsid w:val="003E2424"/>
    <w:rsid w:val="003E25A5"/>
    <w:rsid w:val="003E3250"/>
    <w:rsid w:val="003E38B3"/>
    <w:rsid w:val="003E39C6"/>
    <w:rsid w:val="003E42B0"/>
    <w:rsid w:val="003E47D0"/>
    <w:rsid w:val="003E4AC0"/>
    <w:rsid w:val="003E5C99"/>
    <w:rsid w:val="003E5E6A"/>
    <w:rsid w:val="003E5EE0"/>
    <w:rsid w:val="003E6165"/>
    <w:rsid w:val="003E6306"/>
    <w:rsid w:val="003E652C"/>
    <w:rsid w:val="003E666D"/>
    <w:rsid w:val="003E6B40"/>
    <w:rsid w:val="003E6CC9"/>
    <w:rsid w:val="003E6D9F"/>
    <w:rsid w:val="003E75C5"/>
    <w:rsid w:val="003E7F58"/>
    <w:rsid w:val="003F0486"/>
    <w:rsid w:val="003F0667"/>
    <w:rsid w:val="003F0B9D"/>
    <w:rsid w:val="003F0BF3"/>
    <w:rsid w:val="003F0E01"/>
    <w:rsid w:val="003F144B"/>
    <w:rsid w:val="003F187B"/>
    <w:rsid w:val="003F1A87"/>
    <w:rsid w:val="003F310C"/>
    <w:rsid w:val="003F33A5"/>
    <w:rsid w:val="003F386D"/>
    <w:rsid w:val="003F3890"/>
    <w:rsid w:val="003F4469"/>
    <w:rsid w:val="003F45A5"/>
    <w:rsid w:val="003F46E0"/>
    <w:rsid w:val="003F547B"/>
    <w:rsid w:val="003F590C"/>
    <w:rsid w:val="003F5A85"/>
    <w:rsid w:val="003F5CCC"/>
    <w:rsid w:val="003F5EBB"/>
    <w:rsid w:val="003F7144"/>
    <w:rsid w:val="003F7638"/>
    <w:rsid w:val="003F7670"/>
    <w:rsid w:val="003F7849"/>
    <w:rsid w:val="003F7EB7"/>
    <w:rsid w:val="0040049C"/>
    <w:rsid w:val="00400975"/>
    <w:rsid w:val="00400AEE"/>
    <w:rsid w:val="00400BCA"/>
    <w:rsid w:val="00400C32"/>
    <w:rsid w:val="00400CD2"/>
    <w:rsid w:val="0040121D"/>
    <w:rsid w:val="004013EA"/>
    <w:rsid w:val="00401CDB"/>
    <w:rsid w:val="0040215C"/>
    <w:rsid w:val="004022CE"/>
    <w:rsid w:val="00402B85"/>
    <w:rsid w:val="00402CF1"/>
    <w:rsid w:val="00402EBA"/>
    <w:rsid w:val="0040347A"/>
    <w:rsid w:val="0040349E"/>
    <w:rsid w:val="0040386D"/>
    <w:rsid w:val="00403E11"/>
    <w:rsid w:val="00404408"/>
    <w:rsid w:val="0040466F"/>
    <w:rsid w:val="00404C01"/>
    <w:rsid w:val="00404DFD"/>
    <w:rsid w:val="0040557D"/>
    <w:rsid w:val="004058DF"/>
    <w:rsid w:val="00405B2A"/>
    <w:rsid w:val="0040629C"/>
    <w:rsid w:val="00406686"/>
    <w:rsid w:val="0040697C"/>
    <w:rsid w:val="004070DD"/>
    <w:rsid w:val="004073DD"/>
    <w:rsid w:val="00407607"/>
    <w:rsid w:val="00407B6D"/>
    <w:rsid w:val="0041078B"/>
    <w:rsid w:val="00410B12"/>
    <w:rsid w:val="00410CF4"/>
    <w:rsid w:val="004111D6"/>
    <w:rsid w:val="004114BC"/>
    <w:rsid w:val="00412593"/>
    <w:rsid w:val="004129B4"/>
    <w:rsid w:val="00412BDF"/>
    <w:rsid w:val="00413011"/>
    <w:rsid w:val="00413395"/>
    <w:rsid w:val="004137B3"/>
    <w:rsid w:val="00414143"/>
    <w:rsid w:val="00414358"/>
    <w:rsid w:val="00414470"/>
    <w:rsid w:val="00414477"/>
    <w:rsid w:val="00415104"/>
    <w:rsid w:val="00415550"/>
    <w:rsid w:val="0041589D"/>
    <w:rsid w:val="0041595C"/>
    <w:rsid w:val="0041720B"/>
    <w:rsid w:val="00417483"/>
    <w:rsid w:val="00417728"/>
    <w:rsid w:val="00417C81"/>
    <w:rsid w:val="004201A6"/>
    <w:rsid w:val="00420955"/>
    <w:rsid w:val="00420AF1"/>
    <w:rsid w:val="00420D6F"/>
    <w:rsid w:val="004210CC"/>
    <w:rsid w:val="004210DB"/>
    <w:rsid w:val="00421A5C"/>
    <w:rsid w:val="00421C08"/>
    <w:rsid w:val="004220A6"/>
    <w:rsid w:val="00423DB9"/>
    <w:rsid w:val="00424966"/>
    <w:rsid w:val="00424991"/>
    <w:rsid w:val="00424A69"/>
    <w:rsid w:val="00424E0F"/>
    <w:rsid w:val="00425438"/>
    <w:rsid w:val="00425966"/>
    <w:rsid w:val="00426132"/>
    <w:rsid w:val="004269EA"/>
    <w:rsid w:val="00426B4F"/>
    <w:rsid w:val="00426D55"/>
    <w:rsid w:val="00426D99"/>
    <w:rsid w:val="00426DA9"/>
    <w:rsid w:val="00426DE8"/>
    <w:rsid w:val="00426E0C"/>
    <w:rsid w:val="004274E7"/>
    <w:rsid w:val="00427665"/>
    <w:rsid w:val="0042781D"/>
    <w:rsid w:val="004279CE"/>
    <w:rsid w:val="004314BA"/>
    <w:rsid w:val="00431507"/>
    <w:rsid w:val="004320F2"/>
    <w:rsid w:val="0043219A"/>
    <w:rsid w:val="0043220A"/>
    <w:rsid w:val="004335CD"/>
    <w:rsid w:val="00434E81"/>
    <w:rsid w:val="004355A1"/>
    <w:rsid w:val="0043566E"/>
    <w:rsid w:val="0043576F"/>
    <w:rsid w:val="00435E56"/>
    <w:rsid w:val="00435F5C"/>
    <w:rsid w:val="00436806"/>
    <w:rsid w:val="0043681E"/>
    <w:rsid w:val="00436897"/>
    <w:rsid w:val="004368D3"/>
    <w:rsid w:val="00436EF1"/>
    <w:rsid w:val="00437392"/>
    <w:rsid w:val="0043740E"/>
    <w:rsid w:val="004377E3"/>
    <w:rsid w:val="00437DFE"/>
    <w:rsid w:val="00437F36"/>
    <w:rsid w:val="00440293"/>
    <w:rsid w:val="00440535"/>
    <w:rsid w:val="004407EA"/>
    <w:rsid w:val="00440F84"/>
    <w:rsid w:val="00441105"/>
    <w:rsid w:val="004416C8"/>
    <w:rsid w:val="004417BF"/>
    <w:rsid w:val="0044198B"/>
    <w:rsid w:val="004419CC"/>
    <w:rsid w:val="0044204D"/>
    <w:rsid w:val="0044291B"/>
    <w:rsid w:val="00442C7A"/>
    <w:rsid w:val="00442C90"/>
    <w:rsid w:val="0044338A"/>
    <w:rsid w:val="00443617"/>
    <w:rsid w:val="00443859"/>
    <w:rsid w:val="00444074"/>
    <w:rsid w:val="00444326"/>
    <w:rsid w:val="004448A6"/>
    <w:rsid w:val="00444C64"/>
    <w:rsid w:val="00445053"/>
    <w:rsid w:val="00445271"/>
    <w:rsid w:val="004456DB"/>
    <w:rsid w:val="00445EC7"/>
    <w:rsid w:val="00446097"/>
    <w:rsid w:val="00446F71"/>
    <w:rsid w:val="004474C8"/>
    <w:rsid w:val="00447E91"/>
    <w:rsid w:val="0045008A"/>
    <w:rsid w:val="00450240"/>
    <w:rsid w:val="00450CE8"/>
    <w:rsid w:val="0045132A"/>
    <w:rsid w:val="00451909"/>
    <w:rsid w:val="00451C91"/>
    <w:rsid w:val="00452081"/>
    <w:rsid w:val="004523CC"/>
    <w:rsid w:val="00452BBA"/>
    <w:rsid w:val="00452C94"/>
    <w:rsid w:val="004535B2"/>
    <w:rsid w:val="00453DFF"/>
    <w:rsid w:val="00454AA3"/>
    <w:rsid w:val="00454BFB"/>
    <w:rsid w:val="00454EAB"/>
    <w:rsid w:val="004559DE"/>
    <w:rsid w:val="004560A4"/>
    <w:rsid w:val="00456F48"/>
    <w:rsid w:val="00457789"/>
    <w:rsid w:val="004602F4"/>
    <w:rsid w:val="00460391"/>
    <w:rsid w:val="00460589"/>
    <w:rsid w:val="004608D6"/>
    <w:rsid w:val="00460CC1"/>
    <w:rsid w:val="00460D14"/>
    <w:rsid w:val="00460F52"/>
    <w:rsid w:val="00460F9B"/>
    <w:rsid w:val="004612A6"/>
    <w:rsid w:val="00462665"/>
    <w:rsid w:val="0046280B"/>
    <w:rsid w:val="004628CC"/>
    <w:rsid w:val="00462A89"/>
    <w:rsid w:val="00463FBE"/>
    <w:rsid w:val="004646B7"/>
    <w:rsid w:val="00464A19"/>
    <w:rsid w:val="00465406"/>
    <w:rsid w:val="00465845"/>
    <w:rsid w:val="0046601C"/>
    <w:rsid w:val="004664F5"/>
    <w:rsid w:val="00466563"/>
    <w:rsid w:val="0046662C"/>
    <w:rsid w:val="00466B1F"/>
    <w:rsid w:val="00466BC5"/>
    <w:rsid w:val="00466F43"/>
    <w:rsid w:val="0046714D"/>
    <w:rsid w:val="004678E6"/>
    <w:rsid w:val="00467C3E"/>
    <w:rsid w:val="004702DE"/>
    <w:rsid w:val="00470306"/>
    <w:rsid w:val="0047061D"/>
    <w:rsid w:val="0047068C"/>
    <w:rsid w:val="004708BD"/>
    <w:rsid w:val="00470F61"/>
    <w:rsid w:val="0047134B"/>
    <w:rsid w:val="00471D3F"/>
    <w:rsid w:val="004726F5"/>
    <w:rsid w:val="00472D64"/>
    <w:rsid w:val="00473401"/>
    <w:rsid w:val="00473498"/>
    <w:rsid w:val="00473530"/>
    <w:rsid w:val="004736E1"/>
    <w:rsid w:val="004737E1"/>
    <w:rsid w:val="00473B69"/>
    <w:rsid w:val="00474267"/>
    <w:rsid w:val="004749F8"/>
    <w:rsid w:val="00474B31"/>
    <w:rsid w:val="00475164"/>
    <w:rsid w:val="00475CEC"/>
    <w:rsid w:val="00475D7B"/>
    <w:rsid w:val="00476359"/>
    <w:rsid w:val="00476548"/>
    <w:rsid w:val="00476744"/>
    <w:rsid w:val="004767D3"/>
    <w:rsid w:val="0047688E"/>
    <w:rsid w:val="00476935"/>
    <w:rsid w:val="00476DA3"/>
    <w:rsid w:val="004775D4"/>
    <w:rsid w:val="004775F1"/>
    <w:rsid w:val="004800B2"/>
    <w:rsid w:val="0048022E"/>
    <w:rsid w:val="00480932"/>
    <w:rsid w:val="0048097A"/>
    <w:rsid w:val="00480C6E"/>
    <w:rsid w:val="00481074"/>
    <w:rsid w:val="004811BC"/>
    <w:rsid w:val="004812CF"/>
    <w:rsid w:val="004816F3"/>
    <w:rsid w:val="00481ABC"/>
    <w:rsid w:val="00481BF4"/>
    <w:rsid w:val="0048204B"/>
    <w:rsid w:val="0048245C"/>
    <w:rsid w:val="00482707"/>
    <w:rsid w:val="0048283A"/>
    <w:rsid w:val="00482E78"/>
    <w:rsid w:val="0048331A"/>
    <w:rsid w:val="004834BD"/>
    <w:rsid w:val="00483596"/>
    <w:rsid w:val="004836EE"/>
    <w:rsid w:val="00484478"/>
    <w:rsid w:val="00484558"/>
    <w:rsid w:val="004847A4"/>
    <w:rsid w:val="004847CE"/>
    <w:rsid w:val="004856F5"/>
    <w:rsid w:val="0048582B"/>
    <w:rsid w:val="0048590D"/>
    <w:rsid w:val="00485A41"/>
    <w:rsid w:val="00485D46"/>
    <w:rsid w:val="004860E8"/>
    <w:rsid w:val="00486125"/>
    <w:rsid w:val="004861FD"/>
    <w:rsid w:val="00486914"/>
    <w:rsid w:val="00486C73"/>
    <w:rsid w:val="00487066"/>
    <w:rsid w:val="004879D0"/>
    <w:rsid w:val="00487AEF"/>
    <w:rsid w:val="00487CE7"/>
    <w:rsid w:val="004902CA"/>
    <w:rsid w:val="0049046C"/>
    <w:rsid w:val="00490704"/>
    <w:rsid w:val="00490934"/>
    <w:rsid w:val="00490936"/>
    <w:rsid w:val="0049094C"/>
    <w:rsid w:val="0049146E"/>
    <w:rsid w:val="00491B72"/>
    <w:rsid w:val="004921E5"/>
    <w:rsid w:val="004928B6"/>
    <w:rsid w:val="00492A7F"/>
    <w:rsid w:val="00492EB2"/>
    <w:rsid w:val="004935C5"/>
    <w:rsid w:val="00493B6A"/>
    <w:rsid w:val="00494A3A"/>
    <w:rsid w:val="00494C2D"/>
    <w:rsid w:val="00494C30"/>
    <w:rsid w:val="00495A04"/>
    <w:rsid w:val="00495D71"/>
    <w:rsid w:val="00496073"/>
    <w:rsid w:val="00496336"/>
    <w:rsid w:val="0049636B"/>
    <w:rsid w:val="00496A8C"/>
    <w:rsid w:val="0049702D"/>
    <w:rsid w:val="004A0E15"/>
    <w:rsid w:val="004A1069"/>
    <w:rsid w:val="004A1E6C"/>
    <w:rsid w:val="004A1F7D"/>
    <w:rsid w:val="004A2842"/>
    <w:rsid w:val="004A313C"/>
    <w:rsid w:val="004A3232"/>
    <w:rsid w:val="004A3335"/>
    <w:rsid w:val="004A3E5F"/>
    <w:rsid w:val="004A409D"/>
    <w:rsid w:val="004A45CB"/>
    <w:rsid w:val="004A4D08"/>
    <w:rsid w:val="004A504B"/>
    <w:rsid w:val="004A58FC"/>
    <w:rsid w:val="004A600C"/>
    <w:rsid w:val="004A6A67"/>
    <w:rsid w:val="004A7081"/>
    <w:rsid w:val="004A7481"/>
    <w:rsid w:val="004A762D"/>
    <w:rsid w:val="004A788F"/>
    <w:rsid w:val="004A7CD7"/>
    <w:rsid w:val="004B020D"/>
    <w:rsid w:val="004B045C"/>
    <w:rsid w:val="004B0596"/>
    <w:rsid w:val="004B0AA4"/>
    <w:rsid w:val="004B0AD3"/>
    <w:rsid w:val="004B0B91"/>
    <w:rsid w:val="004B0C65"/>
    <w:rsid w:val="004B0D0F"/>
    <w:rsid w:val="004B0D76"/>
    <w:rsid w:val="004B125D"/>
    <w:rsid w:val="004B12E6"/>
    <w:rsid w:val="004B1C6D"/>
    <w:rsid w:val="004B1FA7"/>
    <w:rsid w:val="004B293A"/>
    <w:rsid w:val="004B3061"/>
    <w:rsid w:val="004B36D9"/>
    <w:rsid w:val="004B3B1A"/>
    <w:rsid w:val="004B3E28"/>
    <w:rsid w:val="004B3FCA"/>
    <w:rsid w:val="004B40B0"/>
    <w:rsid w:val="004B4D28"/>
    <w:rsid w:val="004B4E2C"/>
    <w:rsid w:val="004B5050"/>
    <w:rsid w:val="004B54A7"/>
    <w:rsid w:val="004B5BDF"/>
    <w:rsid w:val="004B5D70"/>
    <w:rsid w:val="004B6793"/>
    <w:rsid w:val="004B715F"/>
    <w:rsid w:val="004B784C"/>
    <w:rsid w:val="004B7DB4"/>
    <w:rsid w:val="004B7FBB"/>
    <w:rsid w:val="004C02A4"/>
    <w:rsid w:val="004C0759"/>
    <w:rsid w:val="004C1120"/>
    <w:rsid w:val="004C119F"/>
    <w:rsid w:val="004C1736"/>
    <w:rsid w:val="004C1949"/>
    <w:rsid w:val="004C22D9"/>
    <w:rsid w:val="004C294B"/>
    <w:rsid w:val="004C2D5B"/>
    <w:rsid w:val="004C3385"/>
    <w:rsid w:val="004C35D8"/>
    <w:rsid w:val="004C37CC"/>
    <w:rsid w:val="004C3BFF"/>
    <w:rsid w:val="004C4388"/>
    <w:rsid w:val="004C43AC"/>
    <w:rsid w:val="004C4ECA"/>
    <w:rsid w:val="004C5550"/>
    <w:rsid w:val="004C573D"/>
    <w:rsid w:val="004C6813"/>
    <w:rsid w:val="004C69E2"/>
    <w:rsid w:val="004C6D8E"/>
    <w:rsid w:val="004D0499"/>
    <w:rsid w:val="004D0595"/>
    <w:rsid w:val="004D0AA0"/>
    <w:rsid w:val="004D0F74"/>
    <w:rsid w:val="004D10AC"/>
    <w:rsid w:val="004D1D1B"/>
    <w:rsid w:val="004D205A"/>
    <w:rsid w:val="004D3055"/>
    <w:rsid w:val="004D33AE"/>
    <w:rsid w:val="004D3695"/>
    <w:rsid w:val="004D39DE"/>
    <w:rsid w:val="004D3DEF"/>
    <w:rsid w:val="004D404E"/>
    <w:rsid w:val="004D5436"/>
    <w:rsid w:val="004D5476"/>
    <w:rsid w:val="004D5A99"/>
    <w:rsid w:val="004D5B9A"/>
    <w:rsid w:val="004D6A4A"/>
    <w:rsid w:val="004D6B3A"/>
    <w:rsid w:val="004D6DC3"/>
    <w:rsid w:val="004D73CB"/>
    <w:rsid w:val="004D77AF"/>
    <w:rsid w:val="004D785D"/>
    <w:rsid w:val="004E011E"/>
    <w:rsid w:val="004E02E6"/>
    <w:rsid w:val="004E0908"/>
    <w:rsid w:val="004E0E76"/>
    <w:rsid w:val="004E12CD"/>
    <w:rsid w:val="004E1679"/>
    <w:rsid w:val="004E16A2"/>
    <w:rsid w:val="004E16F2"/>
    <w:rsid w:val="004E1FEF"/>
    <w:rsid w:val="004E22B2"/>
    <w:rsid w:val="004E23C1"/>
    <w:rsid w:val="004E23CF"/>
    <w:rsid w:val="004E23F1"/>
    <w:rsid w:val="004E2B2D"/>
    <w:rsid w:val="004E2E2D"/>
    <w:rsid w:val="004E2EBD"/>
    <w:rsid w:val="004E31A6"/>
    <w:rsid w:val="004E3450"/>
    <w:rsid w:val="004E34A6"/>
    <w:rsid w:val="004E40FC"/>
    <w:rsid w:val="004E419C"/>
    <w:rsid w:val="004E4F87"/>
    <w:rsid w:val="004E5E60"/>
    <w:rsid w:val="004E63E2"/>
    <w:rsid w:val="004E672C"/>
    <w:rsid w:val="004E69D6"/>
    <w:rsid w:val="004E6C46"/>
    <w:rsid w:val="004E6E63"/>
    <w:rsid w:val="004E7317"/>
    <w:rsid w:val="004E760F"/>
    <w:rsid w:val="004E76D7"/>
    <w:rsid w:val="004E7902"/>
    <w:rsid w:val="004F05C8"/>
    <w:rsid w:val="004F0686"/>
    <w:rsid w:val="004F12C1"/>
    <w:rsid w:val="004F15C0"/>
    <w:rsid w:val="004F1840"/>
    <w:rsid w:val="004F1B48"/>
    <w:rsid w:val="004F22DA"/>
    <w:rsid w:val="004F30BD"/>
    <w:rsid w:val="004F34BE"/>
    <w:rsid w:val="004F35DB"/>
    <w:rsid w:val="004F3918"/>
    <w:rsid w:val="004F3BCC"/>
    <w:rsid w:val="004F3E43"/>
    <w:rsid w:val="004F3EE1"/>
    <w:rsid w:val="004F3F3D"/>
    <w:rsid w:val="004F421D"/>
    <w:rsid w:val="004F4294"/>
    <w:rsid w:val="004F4C4D"/>
    <w:rsid w:val="004F57C1"/>
    <w:rsid w:val="004F585E"/>
    <w:rsid w:val="004F5A6A"/>
    <w:rsid w:val="004F60D5"/>
    <w:rsid w:val="004F64D5"/>
    <w:rsid w:val="004F6837"/>
    <w:rsid w:val="004F76D7"/>
    <w:rsid w:val="004F7A07"/>
    <w:rsid w:val="004F7F26"/>
    <w:rsid w:val="005009A8"/>
    <w:rsid w:val="00500B3E"/>
    <w:rsid w:val="00500D19"/>
    <w:rsid w:val="005012A6"/>
    <w:rsid w:val="0050130C"/>
    <w:rsid w:val="00501961"/>
    <w:rsid w:val="00501D41"/>
    <w:rsid w:val="005024F5"/>
    <w:rsid w:val="00502837"/>
    <w:rsid w:val="00502CCC"/>
    <w:rsid w:val="005034AE"/>
    <w:rsid w:val="005035FD"/>
    <w:rsid w:val="00503789"/>
    <w:rsid w:val="005037B4"/>
    <w:rsid w:val="005037E1"/>
    <w:rsid w:val="00503CFF"/>
    <w:rsid w:val="005048F6"/>
    <w:rsid w:val="0050508C"/>
    <w:rsid w:val="005054BB"/>
    <w:rsid w:val="00505684"/>
    <w:rsid w:val="00505CE3"/>
    <w:rsid w:val="00505FB5"/>
    <w:rsid w:val="00506546"/>
    <w:rsid w:val="0050728B"/>
    <w:rsid w:val="005073A5"/>
    <w:rsid w:val="0050754C"/>
    <w:rsid w:val="005075E3"/>
    <w:rsid w:val="005078BD"/>
    <w:rsid w:val="00507A6D"/>
    <w:rsid w:val="00507E84"/>
    <w:rsid w:val="00510C05"/>
    <w:rsid w:val="00510C9D"/>
    <w:rsid w:val="00511058"/>
    <w:rsid w:val="00511380"/>
    <w:rsid w:val="00511521"/>
    <w:rsid w:val="005117DB"/>
    <w:rsid w:val="00511A03"/>
    <w:rsid w:val="00512082"/>
    <w:rsid w:val="005125CC"/>
    <w:rsid w:val="00512A78"/>
    <w:rsid w:val="00512B3C"/>
    <w:rsid w:val="00512EE4"/>
    <w:rsid w:val="00513481"/>
    <w:rsid w:val="00513CA0"/>
    <w:rsid w:val="00513CE6"/>
    <w:rsid w:val="00513FEA"/>
    <w:rsid w:val="0051462E"/>
    <w:rsid w:val="00514AAC"/>
    <w:rsid w:val="0051515A"/>
    <w:rsid w:val="005154B6"/>
    <w:rsid w:val="005157C7"/>
    <w:rsid w:val="00515F21"/>
    <w:rsid w:val="00516190"/>
    <w:rsid w:val="005161E7"/>
    <w:rsid w:val="00516345"/>
    <w:rsid w:val="0051652D"/>
    <w:rsid w:val="00516577"/>
    <w:rsid w:val="005171D0"/>
    <w:rsid w:val="00517342"/>
    <w:rsid w:val="005175E9"/>
    <w:rsid w:val="00520214"/>
    <w:rsid w:val="00520755"/>
    <w:rsid w:val="005207E4"/>
    <w:rsid w:val="00520F2F"/>
    <w:rsid w:val="005219BA"/>
    <w:rsid w:val="00521A93"/>
    <w:rsid w:val="00521CD1"/>
    <w:rsid w:val="00522060"/>
    <w:rsid w:val="0052301C"/>
    <w:rsid w:val="00523298"/>
    <w:rsid w:val="005232E8"/>
    <w:rsid w:val="00523C1A"/>
    <w:rsid w:val="00523E81"/>
    <w:rsid w:val="00523FB2"/>
    <w:rsid w:val="0052450D"/>
    <w:rsid w:val="00524571"/>
    <w:rsid w:val="005247FF"/>
    <w:rsid w:val="00524936"/>
    <w:rsid w:val="0052498A"/>
    <w:rsid w:val="00524F40"/>
    <w:rsid w:val="00525418"/>
    <w:rsid w:val="005255C7"/>
    <w:rsid w:val="0052655C"/>
    <w:rsid w:val="00526B5A"/>
    <w:rsid w:val="00527285"/>
    <w:rsid w:val="005272B2"/>
    <w:rsid w:val="005273BE"/>
    <w:rsid w:val="00527750"/>
    <w:rsid w:val="00527893"/>
    <w:rsid w:val="005301B4"/>
    <w:rsid w:val="005303ED"/>
    <w:rsid w:val="00530406"/>
    <w:rsid w:val="0053063D"/>
    <w:rsid w:val="005306E7"/>
    <w:rsid w:val="005309DE"/>
    <w:rsid w:val="00530A59"/>
    <w:rsid w:val="00531268"/>
    <w:rsid w:val="005312C9"/>
    <w:rsid w:val="00531B72"/>
    <w:rsid w:val="00531ECD"/>
    <w:rsid w:val="0053247C"/>
    <w:rsid w:val="00533133"/>
    <w:rsid w:val="005338F1"/>
    <w:rsid w:val="0053565E"/>
    <w:rsid w:val="00535922"/>
    <w:rsid w:val="0053596E"/>
    <w:rsid w:val="00535C39"/>
    <w:rsid w:val="00535DC2"/>
    <w:rsid w:val="00535F2B"/>
    <w:rsid w:val="00535F92"/>
    <w:rsid w:val="00535FF2"/>
    <w:rsid w:val="00536260"/>
    <w:rsid w:val="00536406"/>
    <w:rsid w:val="005364DB"/>
    <w:rsid w:val="005365B4"/>
    <w:rsid w:val="005366D5"/>
    <w:rsid w:val="0053673A"/>
    <w:rsid w:val="005367CD"/>
    <w:rsid w:val="00536B87"/>
    <w:rsid w:val="00536D48"/>
    <w:rsid w:val="00537730"/>
    <w:rsid w:val="00537755"/>
    <w:rsid w:val="0053776D"/>
    <w:rsid w:val="00537EC9"/>
    <w:rsid w:val="005405E9"/>
    <w:rsid w:val="00540639"/>
    <w:rsid w:val="0054074E"/>
    <w:rsid w:val="00540D96"/>
    <w:rsid w:val="00540DCC"/>
    <w:rsid w:val="00541435"/>
    <w:rsid w:val="0054168B"/>
    <w:rsid w:val="0054200C"/>
    <w:rsid w:val="00542CDE"/>
    <w:rsid w:val="005432D6"/>
    <w:rsid w:val="0054498E"/>
    <w:rsid w:val="00544C93"/>
    <w:rsid w:val="00544CCD"/>
    <w:rsid w:val="00544DF2"/>
    <w:rsid w:val="00544F96"/>
    <w:rsid w:val="0054538B"/>
    <w:rsid w:val="00545721"/>
    <w:rsid w:val="00545A92"/>
    <w:rsid w:val="00545E92"/>
    <w:rsid w:val="0054687B"/>
    <w:rsid w:val="00546DB3"/>
    <w:rsid w:val="00546FCA"/>
    <w:rsid w:val="0054784D"/>
    <w:rsid w:val="005505F5"/>
    <w:rsid w:val="00550753"/>
    <w:rsid w:val="00551806"/>
    <w:rsid w:val="00551A03"/>
    <w:rsid w:val="00551D6B"/>
    <w:rsid w:val="00551E26"/>
    <w:rsid w:val="00551EC2"/>
    <w:rsid w:val="00552403"/>
    <w:rsid w:val="005531D0"/>
    <w:rsid w:val="005533A4"/>
    <w:rsid w:val="00553482"/>
    <w:rsid w:val="00553659"/>
    <w:rsid w:val="0055366C"/>
    <w:rsid w:val="00554755"/>
    <w:rsid w:val="00554849"/>
    <w:rsid w:val="00554B71"/>
    <w:rsid w:val="00555704"/>
    <w:rsid w:val="00555CBA"/>
    <w:rsid w:val="00556C2E"/>
    <w:rsid w:val="00557869"/>
    <w:rsid w:val="005579D5"/>
    <w:rsid w:val="00557FB3"/>
    <w:rsid w:val="0056001E"/>
    <w:rsid w:val="0056011C"/>
    <w:rsid w:val="00560F53"/>
    <w:rsid w:val="00561EAD"/>
    <w:rsid w:val="00562154"/>
    <w:rsid w:val="005621D1"/>
    <w:rsid w:val="00562CB4"/>
    <w:rsid w:val="00562D94"/>
    <w:rsid w:val="00563871"/>
    <w:rsid w:val="00563DF6"/>
    <w:rsid w:val="005646D0"/>
    <w:rsid w:val="005647C4"/>
    <w:rsid w:val="00564C83"/>
    <w:rsid w:val="00565111"/>
    <w:rsid w:val="005653C2"/>
    <w:rsid w:val="0056580A"/>
    <w:rsid w:val="0056580F"/>
    <w:rsid w:val="00565854"/>
    <w:rsid w:val="00565AB8"/>
    <w:rsid w:val="00566AA6"/>
    <w:rsid w:val="00567780"/>
    <w:rsid w:val="0056778C"/>
    <w:rsid w:val="0056789C"/>
    <w:rsid w:val="00567F12"/>
    <w:rsid w:val="00570199"/>
    <w:rsid w:val="00570A83"/>
    <w:rsid w:val="00570DE7"/>
    <w:rsid w:val="00570E27"/>
    <w:rsid w:val="0057118D"/>
    <w:rsid w:val="00571298"/>
    <w:rsid w:val="0057210E"/>
    <w:rsid w:val="00572116"/>
    <w:rsid w:val="00572BB0"/>
    <w:rsid w:val="00572C62"/>
    <w:rsid w:val="00572EFE"/>
    <w:rsid w:val="005730FD"/>
    <w:rsid w:val="00573194"/>
    <w:rsid w:val="00573202"/>
    <w:rsid w:val="005732EF"/>
    <w:rsid w:val="005738A4"/>
    <w:rsid w:val="00573933"/>
    <w:rsid w:val="0057432E"/>
    <w:rsid w:val="005747F7"/>
    <w:rsid w:val="00574A0C"/>
    <w:rsid w:val="00575370"/>
    <w:rsid w:val="005753B7"/>
    <w:rsid w:val="005755B7"/>
    <w:rsid w:val="005768DC"/>
    <w:rsid w:val="0057692D"/>
    <w:rsid w:val="00576C69"/>
    <w:rsid w:val="00576E71"/>
    <w:rsid w:val="00576FAD"/>
    <w:rsid w:val="00576FC7"/>
    <w:rsid w:val="0057709F"/>
    <w:rsid w:val="00577548"/>
    <w:rsid w:val="00577A63"/>
    <w:rsid w:val="00577B33"/>
    <w:rsid w:val="0058019D"/>
    <w:rsid w:val="00580D48"/>
    <w:rsid w:val="00581286"/>
    <w:rsid w:val="0058168D"/>
    <w:rsid w:val="00583763"/>
    <w:rsid w:val="005838E3"/>
    <w:rsid w:val="005838FD"/>
    <w:rsid w:val="00583B9A"/>
    <w:rsid w:val="00584BAD"/>
    <w:rsid w:val="00584E25"/>
    <w:rsid w:val="00584FFB"/>
    <w:rsid w:val="0058520A"/>
    <w:rsid w:val="00585509"/>
    <w:rsid w:val="0058558B"/>
    <w:rsid w:val="005856F4"/>
    <w:rsid w:val="00585784"/>
    <w:rsid w:val="005858B1"/>
    <w:rsid w:val="00585A4F"/>
    <w:rsid w:val="00585E1A"/>
    <w:rsid w:val="00586080"/>
    <w:rsid w:val="00586627"/>
    <w:rsid w:val="00586ED9"/>
    <w:rsid w:val="00587293"/>
    <w:rsid w:val="005873CE"/>
    <w:rsid w:val="00587455"/>
    <w:rsid w:val="005878B3"/>
    <w:rsid w:val="00587DAC"/>
    <w:rsid w:val="00587FCD"/>
    <w:rsid w:val="00590EEE"/>
    <w:rsid w:val="00591510"/>
    <w:rsid w:val="00591AA0"/>
    <w:rsid w:val="00591C59"/>
    <w:rsid w:val="00592811"/>
    <w:rsid w:val="00592D02"/>
    <w:rsid w:val="00592EEE"/>
    <w:rsid w:val="00593723"/>
    <w:rsid w:val="00593764"/>
    <w:rsid w:val="005939AC"/>
    <w:rsid w:val="00593BA3"/>
    <w:rsid w:val="00593F64"/>
    <w:rsid w:val="00594A37"/>
    <w:rsid w:val="00595613"/>
    <w:rsid w:val="00595BAC"/>
    <w:rsid w:val="00595D68"/>
    <w:rsid w:val="00595F7E"/>
    <w:rsid w:val="00595F9F"/>
    <w:rsid w:val="005962F3"/>
    <w:rsid w:val="00596436"/>
    <w:rsid w:val="00597094"/>
    <w:rsid w:val="0059795A"/>
    <w:rsid w:val="00597983"/>
    <w:rsid w:val="005A01A3"/>
    <w:rsid w:val="005A0278"/>
    <w:rsid w:val="005A0330"/>
    <w:rsid w:val="005A077F"/>
    <w:rsid w:val="005A0AB1"/>
    <w:rsid w:val="005A1974"/>
    <w:rsid w:val="005A1A45"/>
    <w:rsid w:val="005A1B2D"/>
    <w:rsid w:val="005A1D4A"/>
    <w:rsid w:val="005A1F67"/>
    <w:rsid w:val="005A1FE6"/>
    <w:rsid w:val="005A2292"/>
    <w:rsid w:val="005A24C6"/>
    <w:rsid w:val="005A29DD"/>
    <w:rsid w:val="005A29E2"/>
    <w:rsid w:val="005A31CD"/>
    <w:rsid w:val="005A428E"/>
    <w:rsid w:val="005A459A"/>
    <w:rsid w:val="005A48E6"/>
    <w:rsid w:val="005A4B92"/>
    <w:rsid w:val="005A548E"/>
    <w:rsid w:val="005A5ECB"/>
    <w:rsid w:val="005A6621"/>
    <w:rsid w:val="005A6B8D"/>
    <w:rsid w:val="005A6FEA"/>
    <w:rsid w:val="005A7135"/>
    <w:rsid w:val="005A73F6"/>
    <w:rsid w:val="005A74E8"/>
    <w:rsid w:val="005A79AC"/>
    <w:rsid w:val="005B00F0"/>
    <w:rsid w:val="005B0250"/>
    <w:rsid w:val="005B0936"/>
    <w:rsid w:val="005B0BF7"/>
    <w:rsid w:val="005B124C"/>
    <w:rsid w:val="005B12B5"/>
    <w:rsid w:val="005B29EE"/>
    <w:rsid w:val="005B2BA4"/>
    <w:rsid w:val="005B2D00"/>
    <w:rsid w:val="005B374D"/>
    <w:rsid w:val="005B3CAB"/>
    <w:rsid w:val="005B3EF7"/>
    <w:rsid w:val="005B3EFF"/>
    <w:rsid w:val="005B3F76"/>
    <w:rsid w:val="005B4789"/>
    <w:rsid w:val="005B5A05"/>
    <w:rsid w:val="005B5C3E"/>
    <w:rsid w:val="005B6410"/>
    <w:rsid w:val="005B642A"/>
    <w:rsid w:val="005B6E2E"/>
    <w:rsid w:val="005B7363"/>
    <w:rsid w:val="005B73BA"/>
    <w:rsid w:val="005B73F9"/>
    <w:rsid w:val="005B7B83"/>
    <w:rsid w:val="005B7DB9"/>
    <w:rsid w:val="005B7EAE"/>
    <w:rsid w:val="005B7F2F"/>
    <w:rsid w:val="005B7F66"/>
    <w:rsid w:val="005C0077"/>
    <w:rsid w:val="005C0223"/>
    <w:rsid w:val="005C0329"/>
    <w:rsid w:val="005C04A9"/>
    <w:rsid w:val="005C04C8"/>
    <w:rsid w:val="005C0F91"/>
    <w:rsid w:val="005C12DA"/>
    <w:rsid w:val="005C1A5E"/>
    <w:rsid w:val="005C1C8F"/>
    <w:rsid w:val="005C1FFA"/>
    <w:rsid w:val="005C2018"/>
    <w:rsid w:val="005C20AE"/>
    <w:rsid w:val="005C27E6"/>
    <w:rsid w:val="005C39CC"/>
    <w:rsid w:val="005C3CE4"/>
    <w:rsid w:val="005C40C4"/>
    <w:rsid w:val="005C42EA"/>
    <w:rsid w:val="005C43A2"/>
    <w:rsid w:val="005C44BA"/>
    <w:rsid w:val="005C4BE8"/>
    <w:rsid w:val="005C4D0B"/>
    <w:rsid w:val="005C4FF8"/>
    <w:rsid w:val="005C51D8"/>
    <w:rsid w:val="005C53E0"/>
    <w:rsid w:val="005C5BD6"/>
    <w:rsid w:val="005C6452"/>
    <w:rsid w:val="005C6865"/>
    <w:rsid w:val="005C7A3C"/>
    <w:rsid w:val="005D0C39"/>
    <w:rsid w:val="005D0E09"/>
    <w:rsid w:val="005D117D"/>
    <w:rsid w:val="005D1255"/>
    <w:rsid w:val="005D1383"/>
    <w:rsid w:val="005D13D9"/>
    <w:rsid w:val="005D155C"/>
    <w:rsid w:val="005D25BA"/>
    <w:rsid w:val="005D32C5"/>
    <w:rsid w:val="005D3728"/>
    <w:rsid w:val="005D3755"/>
    <w:rsid w:val="005D4131"/>
    <w:rsid w:val="005D42D2"/>
    <w:rsid w:val="005D4852"/>
    <w:rsid w:val="005D48A1"/>
    <w:rsid w:val="005D48BE"/>
    <w:rsid w:val="005D4925"/>
    <w:rsid w:val="005D52E7"/>
    <w:rsid w:val="005D60A6"/>
    <w:rsid w:val="005D6162"/>
    <w:rsid w:val="005D6686"/>
    <w:rsid w:val="005D68B0"/>
    <w:rsid w:val="005D6959"/>
    <w:rsid w:val="005D7A92"/>
    <w:rsid w:val="005D7CBE"/>
    <w:rsid w:val="005D7E27"/>
    <w:rsid w:val="005E00A6"/>
    <w:rsid w:val="005E0193"/>
    <w:rsid w:val="005E0197"/>
    <w:rsid w:val="005E01F3"/>
    <w:rsid w:val="005E07E0"/>
    <w:rsid w:val="005E0DE8"/>
    <w:rsid w:val="005E1457"/>
    <w:rsid w:val="005E1657"/>
    <w:rsid w:val="005E1DF7"/>
    <w:rsid w:val="005E20F1"/>
    <w:rsid w:val="005E2161"/>
    <w:rsid w:val="005E2378"/>
    <w:rsid w:val="005E241D"/>
    <w:rsid w:val="005E2913"/>
    <w:rsid w:val="005E29A7"/>
    <w:rsid w:val="005E3322"/>
    <w:rsid w:val="005E3815"/>
    <w:rsid w:val="005E3FFE"/>
    <w:rsid w:val="005E4325"/>
    <w:rsid w:val="005E442F"/>
    <w:rsid w:val="005E45A5"/>
    <w:rsid w:val="005E4E7F"/>
    <w:rsid w:val="005E502C"/>
    <w:rsid w:val="005E503A"/>
    <w:rsid w:val="005E5905"/>
    <w:rsid w:val="005E5BC5"/>
    <w:rsid w:val="005E6207"/>
    <w:rsid w:val="005E654E"/>
    <w:rsid w:val="005E688D"/>
    <w:rsid w:val="005E6B8C"/>
    <w:rsid w:val="005E71A2"/>
    <w:rsid w:val="005E7309"/>
    <w:rsid w:val="005E7964"/>
    <w:rsid w:val="005E7F63"/>
    <w:rsid w:val="005F025A"/>
    <w:rsid w:val="005F03FC"/>
    <w:rsid w:val="005F064C"/>
    <w:rsid w:val="005F1CAF"/>
    <w:rsid w:val="005F1D23"/>
    <w:rsid w:val="005F20D9"/>
    <w:rsid w:val="005F24F0"/>
    <w:rsid w:val="005F25EB"/>
    <w:rsid w:val="005F2628"/>
    <w:rsid w:val="005F27F7"/>
    <w:rsid w:val="005F2A23"/>
    <w:rsid w:val="005F31CA"/>
    <w:rsid w:val="005F369B"/>
    <w:rsid w:val="005F3862"/>
    <w:rsid w:val="005F38D7"/>
    <w:rsid w:val="005F38FF"/>
    <w:rsid w:val="005F3979"/>
    <w:rsid w:val="005F3BC1"/>
    <w:rsid w:val="005F3F3D"/>
    <w:rsid w:val="005F46A2"/>
    <w:rsid w:val="005F46DF"/>
    <w:rsid w:val="005F4DDC"/>
    <w:rsid w:val="005F510D"/>
    <w:rsid w:val="005F5121"/>
    <w:rsid w:val="005F556B"/>
    <w:rsid w:val="005F6748"/>
    <w:rsid w:val="005F67DC"/>
    <w:rsid w:val="005F75DD"/>
    <w:rsid w:val="005F79C8"/>
    <w:rsid w:val="005F79E6"/>
    <w:rsid w:val="005F7D7E"/>
    <w:rsid w:val="006004BA"/>
    <w:rsid w:val="00600FD5"/>
    <w:rsid w:val="00601058"/>
    <w:rsid w:val="0060165A"/>
    <w:rsid w:val="006019CF"/>
    <w:rsid w:val="00601AEF"/>
    <w:rsid w:val="00601C8A"/>
    <w:rsid w:val="006021B0"/>
    <w:rsid w:val="0060257F"/>
    <w:rsid w:val="00602CE7"/>
    <w:rsid w:val="00603092"/>
    <w:rsid w:val="00603469"/>
    <w:rsid w:val="00603AF6"/>
    <w:rsid w:val="00603C60"/>
    <w:rsid w:val="00603F6E"/>
    <w:rsid w:val="00604129"/>
    <w:rsid w:val="006042E2"/>
    <w:rsid w:val="0060430A"/>
    <w:rsid w:val="006048C9"/>
    <w:rsid w:val="00604C26"/>
    <w:rsid w:val="0060509C"/>
    <w:rsid w:val="0060509D"/>
    <w:rsid w:val="00605BE7"/>
    <w:rsid w:val="00605D6E"/>
    <w:rsid w:val="00606172"/>
    <w:rsid w:val="0060626A"/>
    <w:rsid w:val="0060685F"/>
    <w:rsid w:val="00606EDB"/>
    <w:rsid w:val="0060746A"/>
    <w:rsid w:val="00607873"/>
    <w:rsid w:val="006078CB"/>
    <w:rsid w:val="00607AC1"/>
    <w:rsid w:val="00607B7B"/>
    <w:rsid w:val="0061010C"/>
    <w:rsid w:val="006101CA"/>
    <w:rsid w:val="00610334"/>
    <w:rsid w:val="00610374"/>
    <w:rsid w:val="006105B6"/>
    <w:rsid w:val="00610D4C"/>
    <w:rsid w:val="00610FC8"/>
    <w:rsid w:val="00611099"/>
    <w:rsid w:val="0061110F"/>
    <w:rsid w:val="00611E0A"/>
    <w:rsid w:val="006120A8"/>
    <w:rsid w:val="006120E9"/>
    <w:rsid w:val="00612292"/>
    <w:rsid w:val="00613AB1"/>
    <w:rsid w:val="006141AB"/>
    <w:rsid w:val="006145E5"/>
    <w:rsid w:val="00614B59"/>
    <w:rsid w:val="00614D9B"/>
    <w:rsid w:val="00615081"/>
    <w:rsid w:val="006158CF"/>
    <w:rsid w:val="00615984"/>
    <w:rsid w:val="00615D66"/>
    <w:rsid w:val="00616873"/>
    <w:rsid w:val="00616B40"/>
    <w:rsid w:val="00616BBC"/>
    <w:rsid w:val="006170C4"/>
    <w:rsid w:val="00617475"/>
    <w:rsid w:val="0061762E"/>
    <w:rsid w:val="00617D98"/>
    <w:rsid w:val="00617ECD"/>
    <w:rsid w:val="006203BB"/>
    <w:rsid w:val="0062082C"/>
    <w:rsid w:val="00620950"/>
    <w:rsid w:val="00621182"/>
    <w:rsid w:val="0062239C"/>
    <w:rsid w:val="00622798"/>
    <w:rsid w:val="006232C0"/>
    <w:rsid w:val="006238E5"/>
    <w:rsid w:val="0062496F"/>
    <w:rsid w:val="00625971"/>
    <w:rsid w:val="00625E3B"/>
    <w:rsid w:val="00626308"/>
    <w:rsid w:val="00626386"/>
    <w:rsid w:val="00626603"/>
    <w:rsid w:val="0062670E"/>
    <w:rsid w:val="006274AC"/>
    <w:rsid w:val="006275DB"/>
    <w:rsid w:val="00627776"/>
    <w:rsid w:val="00627DD3"/>
    <w:rsid w:val="00630146"/>
    <w:rsid w:val="006307DD"/>
    <w:rsid w:val="00630922"/>
    <w:rsid w:val="006309AA"/>
    <w:rsid w:val="00631A89"/>
    <w:rsid w:val="006324FD"/>
    <w:rsid w:val="00632AE0"/>
    <w:rsid w:val="00632C7E"/>
    <w:rsid w:val="00632E86"/>
    <w:rsid w:val="00632F43"/>
    <w:rsid w:val="00633023"/>
    <w:rsid w:val="0063321B"/>
    <w:rsid w:val="00633750"/>
    <w:rsid w:val="00633A74"/>
    <w:rsid w:val="0063423A"/>
    <w:rsid w:val="0063465C"/>
    <w:rsid w:val="006348DC"/>
    <w:rsid w:val="00634C2E"/>
    <w:rsid w:val="006350B7"/>
    <w:rsid w:val="006352B8"/>
    <w:rsid w:val="00635408"/>
    <w:rsid w:val="0063552A"/>
    <w:rsid w:val="00635752"/>
    <w:rsid w:val="0063607B"/>
    <w:rsid w:val="00636444"/>
    <w:rsid w:val="0063697B"/>
    <w:rsid w:val="006372B0"/>
    <w:rsid w:val="00637368"/>
    <w:rsid w:val="006376A2"/>
    <w:rsid w:val="00637CBA"/>
    <w:rsid w:val="006400FE"/>
    <w:rsid w:val="006407D8"/>
    <w:rsid w:val="0064094A"/>
    <w:rsid w:val="00640A34"/>
    <w:rsid w:val="00640AA1"/>
    <w:rsid w:val="00640D82"/>
    <w:rsid w:val="00640DF1"/>
    <w:rsid w:val="0064127E"/>
    <w:rsid w:val="0064145F"/>
    <w:rsid w:val="00641A8A"/>
    <w:rsid w:val="00641ABC"/>
    <w:rsid w:val="0064223F"/>
    <w:rsid w:val="006429B8"/>
    <w:rsid w:val="00643566"/>
    <w:rsid w:val="00643785"/>
    <w:rsid w:val="00643973"/>
    <w:rsid w:val="00643B25"/>
    <w:rsid w:val="00643C79"/>
    <w:rsid w:val="0064416B"/>
    <w:rsid w:val="00644420"/>
    <w:rsid w:val="00644806"/>
    <w:rsid w:val="00644870"/>
    <w:rsid w:val="00644BF4"/>
    <w:rsid w:val="00644EEC"/>
    <w:rsid w:val="00645159"/>
    <w:rsid w:val="006457F5"/>
    <w:rsid w:val="00645BB4"/>
    <w:rsid w:val="00645D63"/>
    <w:rsid w:val="00645E17"/>
    <w:rsid w:val="00647760"/>
    <w:rsid w:val="00647ED4"/>
    <w:rsid w:val="00650191"/>
    <w:rsid w:val="00650561"/>
    <w:rsid w:val="00650958"/>
    <w:rsid w:val="00651936"/>
    <w:rsid w:val="006519C1"/>
    <w:rsid w:val="0065205C"/>
    <w:rsid w:val="00652269"/>
    <w:rsid w:val="006524B8"/>
    <w:rsid w:val="006525A5"/>
    <w:rsid w:val="006528DD"/>
    <w:rsid w:val="00653411"/>
    <w:rsid w:val="006544D9"/>
    <w:rsid w:val="00654BDB"/>
    <w:rsid w:val="0065593E"/>
    <w:rsid w:val="00655945"/>
    <w:rsid w:val="00655B03"/>
    <w:rsid w:val="00655B72"/>
    <w:rsid w:val="00656705"/>
    <w:rsid w:val="00656B57"/>
    <w:rsid w:val="006573F9"/>
    <w:rsid w:val="006576B9"/>
    <w:rsid w:val="00657ADC"/>
    <w:rsid w:val="00657C3C"/>
    <w:rsid w:val="00657D50"/>
    <w:rsid w:val="00657DA0"/>
    <w:rsid w:val="00657E09"/>
    <w:rsid w:val="0066039F"/>
    <w:rsid w:val="00660D91"/>
    <w:rsid w:val="00660E82"/>
    <w:rsid w:val="0066235D"/>
    <w:rsid w:val="006624F6"/>
    <w:rsid w:val="00662B06"/>
    <w:rsid w:val="006633A0"/>
    <w:rsid w:val="006637BA"/>
    <w:rsid w:val="00663DFB"/>
    <w:rsid w:val="00663E17"/>
    <w:rsid w:val="00664EE4"/>
    <w:rsid w:val="00665514"/>
    <w:rsid w:val="00665D66"/>
    <w:rsid w:val="00665DAA"/>
    <w:rsid w:val="00666284"/>
    <w:rsid w:val="00667007"/>
    <w:rsid w:val="006678A8"/>
    <w:rsid w:val="00670280"/>
    <w:rsid w:val="00670307"/>
    <w:rsid w:val="00670457"/>
    <w:rsid w:val="006707CF"/>
    <w:rsid w:val="00670B2B"/>
    <w:rsid w:val="00671659"/>
    <w:rsid w:val="006716ED"/>
    <w:rsid w:val="006717BC"/>
    <w:rsid w:val="00671B3B"/>
    <w:rsid w:val="00672063"/>
    <w:rsid w:val="0067244E"/>
    <w:rsid w:val="006729A3"/>
    <w:rsid w:val="00672B29"/>
    <w:rsid w:val="00672B4F"/>
    <w:rsid w:val="00672D23"/>
    <w:rsid w:val="00672DD0"/>
    <w:rsid w:val="00672EAA"/>
    <w:rsid w:val="00674214"/>
    <w:rsid w:val="0067468E"/>
    <w:rsid w:val="006749D6"/>
    <w:rsid w:val="00674E9B"/>
    <w:rsid w:val="006758BA"/>
    <w:rsid w:val="00675992"/>
    <w:rsid w:val="00675E04"/>
    <w:rsid w:val="00675FC9"/>
    <w:rsid w:val="00677628"/>
    <w:rsid w:val="00677A23"/>
    <w:rsid w:val="00677DAF"/>
    <w:rsid w:val="0068025D"/>
    <w:rsid w:val="0068029E"/>
    <w:rsid w:val="00680745"/>
    <w:rsid w:val="006810C2"/>
    <w:rsid w:val="0068132D"/>
    <w:rsid w:val="00681720"/>
    <w:rsid w:val="00681A0B"/>
    <w:rsid w:val="00681B0C"/>
    <w:rsid w:val="00681B57"/>
    <w:rsid w:val="00681FDD"/>
    <w:rsid w:val="006825A4"/>
    <w:rsid w:val="00682776"/>
    <w:rsid w:val="00682CE8"/>
    <w:rsid w:val="00682F3A"/>
    <w:rsid w:val="006833C1"/>
    <w:rsid w:val="006834E6"/>
    <w:rsid w:val="0068398A"/>
    <w:rsid w:val="00683F86"/>
    <w:rsid w:val="0068415A"/>
    <w:rsid w:val="0068466B"/>
    <w:rsid w:val="00684907"/>
    <w:rsid w:val="00684DB5"/>
    <w:rsid w:val="00684DF9"/>
    <w:rsid w:val="00685831"/>
    <w:rsid w:val="006864A2"/>
    <w:rsid w:val="00686656"/>
    <w:rsid w:val="0068667D"/>
    <w:rsid w:val="006867D8"/>
    <w:rsid w:val="00686E7A"/>
    <w:rsid w:val="00687051"/>
    <w:rsid w:val="0068724D"/>
    <w:rsid w:val="00687339"/>
    <w:rsid w:val="00687588"/>
    <w:rsid w:val="00687D3C"/>
    <w:rsid w:val="00690732"/>
    <w:rsid w:val="00690A1F"/>
    <w:rsid w:val="0069130D"/>
    <w:rsid w:val="00691382"/>
    <w:rsid w:val="0069178D"/>
    <w:rsid w:val="006922E9"/>
    <w:rsid w:val="00692408"/>
    <w:rsid w:val="006928FD"/>
    <w:rsid w:val="00692ABF"/>
    <w:rsid w:val="00692C10"/>
    <w:rsid w:val="00693F1F"/>
    <w:rsid w:val="0069499F"/>
    <w:rsid w:val="00694A63"/>
    <w:rsid w:val="00694BA2"/>
    <w:rsid w:val="0069513B"/>
    <w:rsid w:val="006958D7"/>
    <w:rsid w:val="00695ABC"/>
    <w:rsid w:val="006965B5"/>
    <w:rsid w:val="006971EE"/>
    <w:rsid w:val="00697359"/>
    <w:rsid w:val="00697C1E"/>
    <w:rsid w:val="00697DE8"/>
    <w:rsid w:val="00697FC3"/>
    <w:rsid w:val="006A02FE"/>
    <w:rsid w:val="006A051A"/>
    <w:rsid w:val="006A08ED"/>
    <w:rsid w:val="006A0B81"/>
    <w:rsid w:val="006A0F7E"/>
    <w:rsid w:val="006A1A2D"/>
    <w:rsid w:val="006A1A75"/>
    <w:rsid w:val="006A2DBD"/>
    <w:rsid w:val="006A2F51"/>
    <w:rsid w:val="006A2F76"/>
    <w:rsid w:val="006A2FD8"/>
    <w:rsid w:val="006A337C"/>
    <w:rsid w:val="006A3AC5"/>
    <w:rsid w:val="006A3DD1"/>
    <w:rsid w:val="006A3E57"/>
    <w:rsid w:val="006A491D"/>
    <w:rsid w:val="006A4AAB"/>
    <w:rsid w:val="006A4AF6"/>
    <w:rsid w:val="006A4D05"/>
    <w:rsid w:val="006A523F"/>
    <w:rsid w:val="006A525A"/>
    <w:rsid w:val="006A5816"/>
    <w:rsid w:val="006A5AA6"/>
    <w:rsid w:val="006A5B9A"/>
    <w:rsid w:val="006A614A"/>
    <w:rsid w:val="006A6348"/>
    <w:rsid w:val="006A67F6"/>
    <w:rsid w:val="006A7FC2"/>
    <w:rsid w:val="006B0282"/>
    <w:rsid w:val="006B08DF"/>
    <w:rsid w:val="006B150F"/>
    <w:rsid w:val="006B1CA0"/>
    <w:rsid w:val="006B211A"/>
    <w:rsid w:val="006B2662"/>
    <w:rsid w:val="006B340A"/>
    <w:rsid w:val="006B3703"/>
    <w:rsid w:val="006B37DD"/>
    <w:rsid w:val="006B3C73"/>
    <w:rsid w:val="006B3C9C"/>
    <w:rsid w:val="006B3F45"/>
    <w:rsid w:val="006B4045"/>
    <w:rsid w:val="006B411A"/>
    <w:rsid w:val="006B412A"/>
    <w:rsid w:val="006B5099"/>
    <w:rsid w:val="006B542C"/>
    <w:rsid w:val="006B5B78"/>
    <w:rsid w:val="006B6184"/>
    <w:rsid w:val="006B648B"/>
    <w:rsid w:val="006B6743"/>
    <w:rsid w:val="006B6D37"/>
    <w:rsid w:val="006B701B"/>
    <w:rsid w:val="006B7191"/>
    <w:rsid w:val="006B748D"/>
    <w:rsid w:val="006B791B"/>
    <w:rsid w:val="006B79B9"/>
    <w:rsid w:val="006B7D73"/>
    <w:rsid w:val="006B7DA6"/>
    <w:rsid w:val="006B7DB2"/>
    <w:rsid w:val="006B7DBF"/>
    <w:rsid w:val="006C1213"/>
    <w:rsid w:val="006C12EE"/>
    <w:rsid w:val="006C17AB"/>
    <w:rsid w:val="006C1C51"/>
    <w:rsid w:val="006C1E87"/>
    <w:rsid w:val="006C1EA2"/>
    <w:rsid w:val="006C1F08"/>
    <w:rsid w:val="006C216E"/>
    <w:rsid w:val="006C2363"/>
    <w:rsid w:val="006C2A05"/>
    <w:rsid w:val="006C2BE2"/>
    <w:rsid w:val="006C2F6A"/>
    <w:rsid w:val="006C3B09"/>
    <w:rsid w:val="006C3E05"/>
    <w:rsid w:val="006C3FE0"/>
    <w:rsid w:val="006C40B8"/>
    <w:rsid w:val="006C44FE"/>
    <w:rsid w:val="006C453A"/>
    <w:rsid w:val="006C4729"/>
    <w:rsid w:val="006C4BE0"/>
    <w:rsid w:val="006C5056"/>
    <w:rsid w:val="006C557D"/>
    <w:rsid w:val="006C57B2"/>
    <w:rsid w:val="006C5AA2"/>
    <w:rsid w:val="006C6963"/>
    <w:rsid w:val="006C6F48"/>
    <w:rsid w:val="006C6FA6"/>
    <w:rsid w:val="006C730A"/>
    <w:rsid w:val="006C73D9"/>
    <w:rsid w:val="006C7DCA"/>
    <w:rsid w:val="006D0498"/>
    <w:rsid w:val="006D1188"/>
    <w:rsid w:val="006D11F3"/>
    <w:rsid w:val="006D1BCA"/>
    <w:rsid w:val="006D1D09"/>
    <w:rsid w:val="006D2317"/>
    <w:rsid w:val="006D23DB"/>
    <w:rsid w:val="006D2766"/>
    <w:rsid w:val="006D2C45"/>
    <w:rsid w:val="006D2E7F"/>
    <w:rsid w:val="006D398B"/>
    <w:rsid w:val="006D4251"/>
    <w:rsid w:val="006D46F2"/>
    <w:rsid w:val="006D47A3"/>
    <w:rsid w:val="006D47EE"/>
    <w:rsid w:val="006D4A8A"/>
    <w:rsid w:val="006D4E49"/>
    <w:rsid w:val="006D5400"/>
    <w:rsid w:val="006D541E"/>
    <w:rsid w:val="006D5711"/>
    <w:rsid w:val="006D572B"/>
    <w:rsid w:val="006D6488"/>
    <w:rsid w:val="006D67A4"/>
    <w:rsid w:val="006D690E"/>
    <w:rsid w:val="006D69AE"/>
    <w:rsid w:val="006D6EC9"/>
    <w:rsid w:val="006D7078"/>
    <w:rsid w:val="006D7DB3"/>
    <w:rsid w:val="006E020C"/>
    <w:rsid w:val="006E04D6"/>
    <w:rsid w:val="006E096B"/>
    <w:rsid w:val="006E0C79"/>
    <w:rsid w:val="006E0F86"/>
    <w:rsid w:val="006E1065"/>
    <w:rsid w:val="006E116F"/>
    <w:rsid w:val="006E1393"/>
    <w:rsid w:val="006E1AE0"/>
    <w:rsid w:val="006E1F17"/>
    <w:rsid w:val="006E20CB"/>
    <w:rsid w:val="006E2133"/>
    <w:rsid w:val="006E248E"/>
    <w:rsid w:val="006E2A4A"/>
    <w:rsid w:val="006E2B86"/>
    <w:rsid w:val="006E2C42"/>
    <w:rsid w:val="006E2ED7"/>
    <w:rsid w:val="006E394F"/>
    <w:rsid w:val="006E427B"/>
    <w:rsid w:val="006E54D3"/>
    <w:rsid w:val="006E5516"/>
    <w:rsid w:val="006E5567"/>
    <w:rsid w:val="006E5A60"/>
    <w:rsid w:val="006E5D82"/>
    <w:rsid w:val="006E5F8D"/>
    <w:rsid w:val="006E669F"/>
    <w:rsid w:val="006E67B6"/>
    <w:rsid w:val="006E6E8B"/>
    <w:rsid w:val="006E6F7F"/>
    <w:rsid w:val="006E7838"/>
    <w:rsid w:val="006E7B8F"/>
    <w:rsid w:val="006E7BDC"/>
    <w:rsid w:val="006F0E6B"/>
    <w:rsid w:val="006F11D8"/>
    <w:rsid w:val="006F1DAF"/>
    <w:rsid w:val="006F23B1"/>
    <w:rsid w:val="006F2580"/>
    <w:rsid w:val="006F2AE3"/>
    <w:rsid w:val="006F2B55"/>
    <w:rsid w:val="006F392A"/>
    <w:rsid w:val="006F42B4"/>
    <w:rsid w:val="006F42E2"/>
    <w:rsid w:val="006F491F"/>
    <w:rsid w:val="006F4DB9"/>
    <w:rsid w:val="006F505E"/>
    <w:rsid w:val="006F5551"/>
    <w:rsid w:val="006F640C"/>
    <w:rsid w:val="006F66A5"/>
    <w:rsid w:val="006F6721"/>
    <w:rsid w:val="006F6AF5"/>
    <w:rsid w:val="006F7138"/>
    <w:rsid w:val="006F76A5"/>
    <w:rsid w:val="006F79AF"/>
    <w:rsid w:val="007001ED"/>
    <w:rsid w:val="007003A8"/>
    <w:rsid w:val="00700427"/>
    <w:rsid w:val="007007B5"/>
    <w:rsid w:val="007018E4"/>
    <w:rsid w:val="0070196A"/>
    <w:rsid w:val="00701F6C"/>
    <w:rsid w:val="007023D3"/>
    <w:rsid w:val="0070252B"/>
    <w:rsid w:val="0070255B"/>
    <w:rsid w:val="00702802"/>
    <w:rsid w:val="00702875"/>
    <w:rsid w:val="00702944"/>
    <w:rsid w:val="00702A33"/>
    <w:rsid w:val="00702E61"/>
    <w:rsid w:val="007031BF"/>
    <w:rsid w:val="0070393D"/>
    <w:rsid w:val="00703D05"/>
    <w:rsid w:val="00704071"/>
    <w:rsid w:val="00704233"/>
    <w:rsid w:val="00704875"/>
    <w:rsid w:val="0070541D"/>
    <w:rsid w:val="0070566B"/>
    <w:rsid w:val="00705BAE"/>
    <w:rsid w:val="0070622D"/>
    <w:rsid w:val="0070671A"/>
    <w:rsid w:val="0070694F"/>
    <w:rsid w:val="00706CAF"/>
    <w:rsid w:val="00706F33"/>
    <w:rsid w:val="00707096"/>
    <w:rsid w:val="00707625"/>
    <w:rsid w:val="007077C4"/>
    <w:rsid w:val="007100B3"/>
    <w:rsid w:val="00710257"/>
    <w:rsid w:val="0071043B"/>
    <w:rsid w:val="0071093C"/>
    <w:rsid w:val="00710E65"/>
    <w:rsid w:val="007111ED"/>
    <w:rsid w:val="00711F37"/>
    <w:rsid w:val="007121F2"/>
    <w:rsid w:val="00712592"/>
    <w:rsid w:val="00712C96"/>
    <w:rsid w:val="007130BB"/>
    <w:rsid w:val="0071318C"/>
    <w:rsid w:val="007132B7"/>
    <w:rsid w:val="00713741"/>
    <w:rsid w:val="00713956"/>
    <w:rsid w:val="00714631"/>
    <w:rsid w:val="00714E55"/>
    <w:rsid w:val="00714E92"/>
    <w:rsid w:val="007151F9"/>
    <w:rsid w:val="0071531A"/>
    <w:rsid w:val="007154E2"/>
    <w:rsid w:val="007156B4"/>
    <w:rsid w:val="00715B5C"/>
    <w:rsid w:val="00715DFA"/>
    <w:rsid w:val="0071663F"/>
    <w:rsid w:val="00716928"/>
    <w:rsid w:val="0071703B"/>
    <w:rsid w:val="007174B6"/>
    <w:rsid w:val="00717538"/>
    <w:rsid w:val="00717A8D"/>
    <w:rsid w:val="00720004"/>
    <w:rsid w:val="00720327"/>
    <w:rsid w:val="0072089D"/>
    <w:rsid w:val="007208D4"/>
    <w:rsid w:val="00720EBE"/>
    <w:rsid w:val="00721067"/>
    <w:rsid w:val="0072198C"/>
    <w:rsid w:val="00721D98"/>
    <w:rsid w:val="007222ED"/>
    <w:rsid w:val="00722742"/>
    <w:rsid w:val="00722901"/>
    <w:rsid w:val="00722A0E"/>
    <w:rsid w:val="00722AF2"/>
    <w:rsid w:val="00722BB2"/>
    <w:rsid w:val="00722E80"/>
    <w:rsid w:val="007230E4"/>
    <w:rsid w:val="0072353F"/>
    <w:rsid w:val="0072362A"/>
    <w:rsid w:val="00723E40"/>
    <w:rsid w:val="0072487A"/>
    <w:rsid w:val="00724ABC"/>
    <w:rsid w:val="00725362"/>
    <w:rsid w:val="007259F0"/>
    <w:rsid w:val="00725C19"/>
    <w:rsid w:val="00725EA6"/>
    <w:rsid w:val="00726C3F"/>
    <w:rsid w:val="007273CD"/>
    <w:rsid w:val="007278DC"/>
    <w:rsid w:val="0073046D"/>
    <w:rsid w:val="00730EA3"/>
    <w:rsid w:val="00730F80"/>
    <w:rsid w:val="00731059"/>
    <w:rsid w:val="00731075"/>
    <w:rsid w:val="0073138B"/>
    <w:rsid w:val="00731441"/>
    <w:rsid w:val="007314AB"/>
    <w:rsid w:val="0073151F"/>
    <w:rsid w:val="007318AB"/>
    <w:rsid w:val="00732636"/>
    <w:rsid w:val="007326B3"/>
    <w:rsid w:val="007329C6"/>
    <w:rsid w:val="00732AD7"/>
    <w:rsid w:val="00733099"/>
    <w:rsid w:val="0073352B"/>
    <w:rsid w:val="007338BA"/>
    <w:rsid w:val="00733ECD"/>
    <w:rsid w:val="00734908"/>
    <w:rsid w:val="00734A98"/>
    <w:rsid w:val="00734E73"/>
    <w:rsid w:val="00735205"/>
    <w:rsid w:val="00735C45"/>
    <w:rsid w:val="00735C9A"/>
    <w:rsid w:val="0073618D"/>
    <w:rsid w:val="007364F7"/>
    <w:rsid w:val="00737B26"/>
    <w:rsid w:val="007403AB"/>
    <w:rsid w:val="00740755"/>
    <w:rsid w:val="00740D3E"/>
    <w:rsid w:val="00740F28"/>
    <w:rsid w:val="00740F6F"/>
    <w:rsid w:val="00741478"/>
    <w:rsid w:val="007416E9"/>
    <w:rsid w:val="00741B93"/>
    <w:rsid w:val="00741C63"/>
    <w:rsid w:val="007422C4"/>
    <w:rsid w:val="007425C9"/>
    <w:rsid w:val="00742B14"/>
    <w:rsid w:val="00742D20"/>
    <w:rsid w:val="0074361B"/>
    <w:rsid w:val="00743662"/>
    <w:rsid w:val="007439C4"/>
    <w:rsid w:val="00744118"/>
    <w:rsid w:val="00744392"/>
    <w:rsid w:val="007448DF"/>
    <w:rsid w:val="007449C2"/>
    <w:rsid w:val="00744D52"/>
    <w:rsid w:val="00745013"/>
    <w:rsid w:val="007453EB"/>
    <w:rsid w:val="0074565A"/>
    <w:rsid w:val="007456A9"/>
    <w:rsid w:val="007456DE"/>
    <w:rsid w:val="007459D6"/>
    <w:rsid w:val="00745C9C"/>
    <w:rsid w:val="00746239"/>
    <w:rsid w:val="0074628D"/>
    <w:rsid w:val="00746711"/>
    <w:rsid w:val="00746EB1"/>
    <w:rsid w:val="00747135"/>
    <w:rsid w:val="007476A0"/>
    <w:rsid w:val="007476AB"/>
    <w:rsid w:val="00747C94"/>
    <w:rsid w:val="00747E23"/>
    <w:rsid w:val="00750D39"/>
    <w:rsid w:val="00750DBB"/>
    <w:rsid w:val="00751082"/>
    <w:rsid w:val="00751215"/>
    <w:rsid w:val="0075128B"/>
    <w:rsid w:val="007512F8"/>
    <w:rsid w:val="0075159A"/>
    <w:rsid w:val="00751D7F"/>
    <w:rsid w:val="00752102"/>
    <w:rsid w:val="00752E3C"/>
    <w:rsid w:val="00752F49"/>
    <w:rsid w:val="00753288"/>
    <w:rsid w:val="007534ED"/>
    <w:rsid w:val="00753B55"/>
    <w:rsid w:val="00756138"/>
    <w:rsid w:val="0075651F"/>
    <w:rsid w:val="007572B9"/>
    <w:rsid w:val="007573AF"/>
    <w:rsid w:val="00757585"/>
    <w:rsid w:val="007576A0"/>
    <w:rsid w:val="00757A91"/>
    <w:rsid w:val="00757E45"/>
    <w:rsid w:val="00760EE5"/>
    <w:rsid w:val="00760EEB"/>
    <w:rsid w:val="00761076"/>
    <w:rsid w:val="007613AD"/>
    <w:rsid w:val="007614BC"/>
    <w:rsid w:val="007619B7"/>
    <w:rsid w:val="00761BD9"/>
    <w:rsid w:val="007627DD"/>
    <w:rsid w:val="00762861"/>
    <w:rsid w:val="007628C9"/>
    <w:rsid w:val="00762946"/>
    <w:rsid w:val="00762BC0"/>
    <w:rsid w:val="00762CE2"/>
    <w:rsid w:val="007633F5"/>
    <w:rsid w:val="0076374C"/>
    <w:rsid w:val="00763CA1"/>
    <w:rsid w:val="00763CB3"/>
    <w:rsid w:val="00763E5B"/>
    <w:rsid w:val="00763E64"/>
    <w:rsid w:val="00763E86"/>
    <w:rsid w:val="00763FB0"/>
    <w:rsid w:val="00764430"/>
    <w:rsid w:val="0076445E"/>
    <w:rsid w:val="007644F4"/>
    <w:rsid w:val="00764772"/>
    <w:rsid w:val="007647D9"/>
    <w:rsid w:val="00764931"/>
    <w:rsid w:val="0076494F"/>
    <w:rsid w:val="00765210"/>
    <w:rsid w:val="00765262"/>
    <w:rsid w:val="00765907"/>
    <w:rsid w:val="00765DFE"/>
    <w:rsid w:val="007661CC"/>
    <w:rsid w:val="00766798"/>
    <w:rsid w:val="00767580"/>
    <w:rsid w:val="00770667"/>
    <w:rsid w:val="00770803"/>
    <w:rsid w:val="00771618"/>
    <w:rsid w:val="007718DD"/>
    <w:rsid w:val="00771C0B"/>
    <w:rsid w:val="00771D7C"/>
    <w:rsid w:val="00771E10"/>
    <w:rsid w:val="00771FB3"/>
    <w:rsid w:val="00772585"/>
    <w:rsid w:val="00772D44"/>
    <w:rsid w:val="007735C7"/>
    <w:rsid w:val="007737EC"/>
    <w:rsid w:val="00773A24"/>
    <w:rsid w:val="0077403B"/>
    <w:rsid w:val="00774743"/>
    <w:rsid w:val="00774C8D"/>
    <w:rsid w:val="00775473"/>
    <w:rsid w:val="007754DB"/>
    <w:rsid w:val="007754E9"/>
    <w:rsid w:val="0077550F"/>
    <w:rsid w:val="0077574C"/>
    <w:rsid w:val="00775CF4"/>
    <w:rsid w:val="00775E07"/>
    <w:rsid w:val="00775ED1"/>
    <w:rsid w:val="00777156"/>
    <w:rsid w:val="00777A7E"/>
    <w:rsid w:val="00777C5F"/>
    <w:rsid w:val="00777DCA"/>
    <w:rsid w:val="00777F53"/>
    <w:rsid w:val="00777FA5"/>
    <w:rsid w:val="00780703"/>
    <w:rsid w:val="00780822"/>
    <w:rsid w:val="00781018"/>
    <w:rsid w:val="007810EA"/>
    <w:rsid w:val="007817FE"/>
    <w:rsid w:val="007819FD"/>
    <w:rsid w:val="00781EFD"/>
    <w:rsid w:val="007820FA"/>
    <w:rsid w:val="007824E7"/>
    <w:rsid w:val="00782620"/>
    <w:rsid w:val="00783528"/>
    <w:rsid w:val="007839B6"/>
    <w:rsid w:val="00783BC7"/>
    <w:rsid w:val="00783C6E"/>
    <w:rsid w:val="00783F70"/>
    <w:rsid w:val="007846C3"/>
    <w:rsid w:val="007847AC"/>
    <w:rsid w:val="00784A08"/>
    <w:rsid w:val="00784BF9"/>
    <w:rsid w:val="00784F57"/>
    <w:rsid w:val="00785D79"/>
    <w:rsid w:val="00785F02"/>
    <w:rsid w:val="007866A0"/>
    <w:rsid w:val="00786722"/>
    <w:rsid w:val="0078672F"/>
    <w:rsid w:val="00786846"/>
    <w:rsid w:val="0078698E"/>
    <w:rsid w:val="00786BB7"/>
    <w:rsid w:val="00787251"/>
    <w:rsid w:val="00787469"/>
    <w:rsid w:val="007903E8"/>
    <w:rsid w:val="00791A88"/>
    <w:rsid w:val="00791C0A"/>
    <w:rsid w:val="00791E09"/>
    <w:rsid w:val="007926F4"/>
    <w:rsid w:val="007928BD"/>
    <w:rsid w:val="00792ACA"/>
    <w:rsid w:val="00792F5F"/>
    <w:rsid w:val="0079320B"/>
    <w:rsid w:val="007932C2"/>
    <w:rsid w:val="00793B93"/>
    <w:rsid w:val="00793BA2"/>
    <w:rsid w:val="00793D89"/>
    <w:rsid w:val="00793E55"/>
    <w:rsid w:val="007942AB"/>
    <w:rsid w:val="00794BE0"/>
    <w:rsid w:val="007951FD"/>
    <w:rsid w:val="00795F7D"/>
    <w:rsid w:val="00796544"/>
    <w:rsid w:val="0079697D"/>
    <w:rsid w:val="00796CA4"/>
    <w:rsid w:val="007978A7"/>
    <w:rsid w:val="00797FCB"/>
    <w:rsid w:val="007A01EB"/>
    <w:rsid w:val="007A0505"/>
    <w:rsid w:val="007A0A8D"/>
    <w:rsid w:val="007A21EE"/>
    <w:rsid w:val="007A2B9E"/>
    <w:rsid w:val="007A31F7"/>
    <w:rsid w:val="007A3B07"/>
    <w:rsid w:val="007A3D0C"/>
    <w:rsid w:val="007A46A6"/>
    <w:rsid w:val="007A4889"/>
    <w:rsid w:val="007A53F5"/>
    <w:rsid w:val="007A5DAC"/>
    <w:rsid w:val="007A641B"/>
    <w:rsid w:val="007A6847"/>
    <w:rsid w:val="007A6B56"/>
    <w:rsid w:val="007A6E03"/>
    <w:rsid w:val="007A6E5E"/>
    <w:rsid w:val="007A70F2"/>
    <w:rsid w:val="007A763A"/>
    <w:rsid w:val="007A7D2B"/>
    <w:rsid w:val="007B037B"/>
    <w:rsid w:val="007B1306"/>
    <w:rsid w:val="007B1416"/>
    <w:rsid w:val="007B15B8"/>
    <w:rsid w:val="007B163A"/>
    <w:rsid w:val="007B18C4"/>
    <w:rsid w:val="007B2153"/>
    <w:rsid w:val="007B21AC"/>
    <w:rsid w:val="007B2850"/>
    <w:rsid w:val="007B2859"/>
    <w:rsid w:val="007B296A"/>
    <w:rsid w:val="007B2D85"/>
    <w:rsid w:val="007B30CD"/>
    <w:rsid w:val="007B3D2D"/>
    <w:rsid w:val="007B4508"/>
    <w:rsid w:val="007B5263"/>
    <w:rsid w:val="007B52D3"/>
    <w:rsid w:val="007B566B"/>
    <w:rsid w:val="007B5A8C"/>
    <w:rsid w:val="007B6747"/>
    <w:rsid w:val="007B6E2B"/>
    <w:rsid w:val="007B71A3"/>
    <w:rsid w:val="007B7B80"/>
    <w:rsid w:val="007C04CC"/>
    <w:rsid w:val="007C0BFB"/>
    <w:rsid w:val="007C1430"/>
    <w:rsid w:val="007C17B0"/>
    <w:rsid w:val="007C1A34"/>
    <w:rsid w:val="007C1B4B"/>
    <w:rsid w:val="007C29C5"/>
    <w:rsid w:val="007C3BDD"/>
    <w:rsid w:val="007C4473"/>
    <w:rsid w:val="007C4BE6"/>
    <w:rsid w:val="007C4F35"/>
    <w:rsid w:val="007C514D"/>
    <w:rsid w:val="007C52C7"/>
    <w:rsid w:val="007C5E64"/>
    <w:rsid w:val="007C68CC"/>
    <w:rsid w:val="007C68F5"/>
    <w:rsid w:val="007C6F80"/>
    <w:rsid w:val="007C72D8"/>
    <w:rsid w:val="007D08FE"/>
    <w:rsid w:val="007D0E2F"/>
    <w:rsid w:val="007D0E3A"/>
    <w:rsid w:val="007D1C2A"/>
    <w:rsid w:val="007D2E6E"/>
    <w:rsid w:val="007D2F8F"/>
    <w:rsid w:val="007D2FC3"/>
    <w:rsid w:val="007D3061"/>
    <w:rsid w:val="007D35CC"/>
    <w:rsid w:val="007D3652"/>
    <w:rsid w:val="007D36C1"/>
    <w:rsid w:val="007D36F0"/>
    <w:rsid w:val="007D3700"/>
    <w:rsid w:val="007D376F"/>
    <w:rsid w:val="007D3E8D"/>
    <w:rsid w:val="007D4B65"/>
    <w:rsid w:val="007D4EBA"/>
    <w:rsid w:val="007D5027"/>
    <w:rsid w:val="007D5889"/>
    <w:rsid w:val="007D588F"/>
    <w:rsid w:val="007D5AE0"/>
    <w:rsid w:val="007D5C2D"/>
    <w:rsid w:val="007D6278"/>
    <w:rsid w:val="007D6975"/>
    <w:rsid w:val="007D6B85"/>
    <w:rsid w:val="007D773C"/>
    <w:rsid w:val="007D77DB"/>
    <w:rsid w:val="007D7A77"/>
    <w:rsid w:val="007D7E66"/>
    <w:rsid w:val="007D7FDD"/>
    <w:rsid w:val="007E03A1"/>
    <w:rsid w:val="007E03A6"/>
    <w:rsid w:val="007E0669"/>
    <w:rsid w:val="007E0713"/>
    <w:rsid w:val="007E073D"/>
    <w:rsid w:val="007E0900"/>
    <w:rsid w:val="007E0E89"/>
    <w:rsid w:val="007E210A"/>
    <w:rsid w:val="007E286B"/>
    <w:rsid w:val="007E28AB"/>
    <w:rsid w:val="007E2B11"/>
    <w:rsid w:val="007E2EAE"/>
    <w:rsid w:val="007E462F"/>
    <w:rsid w:val="007E4635"/>
    <w:rsid w:val="007E5156"/>
    <w:rsid w:val="007E53EB"/>
    <w:rsid w:val="007E58BD"/>
    <w:rsid w:val="007E5933"/>
    <w:rsid w:val="007E5A7B"/>
    <w:rsid w:val="007E5AA3"/>
    <w:rsid w:val="007E5AFC"/>
    <w:rsid w:val="007E6276"/>
    <w:rsid w:val="007E65A4"/>
    <w:rsid w:val="007E6798"/>
    <w:rsid w:val="007E6904"/>
    <w:rsid w:val="007E6A6F"/>
    <w:rsid w:val="007E7484"/>
    <w:rsid w:val="007E7586"/>
    <w:rsid w:val="007F1081"/>
    <w:rsid w:val="007F19E8"/>
    <w:rsid w:val="007F1F81"/>
    <w:rsid w:val="007F2195"/>
    <w:rsid w:val="007F239A"/>
    <w:rsid w:val="007F2588"/>
    <w:rsid w:val="007F2C37"/>
    <w:rsid w:val="007F2E84"/>
    <w:rsid w:val="007F2F0A"/>
    <w:rsid w:val="007F35E0"/>
    <w:rsid w:val="007F464C"/>
    <w:rsid w:val="007F47D9"/>
    <w:rsid w:val="007F4A3C"/>
    <w:rsid w:val="007F4B3F"/>
    <w:rsid w:val="007F4FB3"/>
    <w:rsid w:val="007F52E9"/>
    <w:rsid w:val="007F5381"/>
    <w:rsid w:val="007F55BC"/>
    <w:rsid w:val="007F5F0D"/>
    <w:rsid w:val="007F609E"/>
    <w:rsid w:val="007F640E"/>
    <w:rsid w:val="007F6C2C"/>
    <w:rsid w:val="007F761A"/>
    <w:rsid w:val="007F7B56"/>
    <w:rsid w:val="007F7C19"/>
    <w:rsid w:val="00800322"/>
    <w:rsid w:val="00800668"/>
    <w:rsid w:val="008006DF"/>
    <w:rsid w:val="00800C31"/>
    <w:rsid w:val="008011E3"/>
    <w:rsid w:val="008014E1"/>
    <w:rsid w:val="00801F1B"/>
    <w:rsid w:val="0080204A"/>
    <w:rsid w:val="00802326"/>
    <w:rsid w:val="0080244E"/>
    <w:rsid w:val="008028E4"/>
    <w:rsid w:val="00802960"/>
    <w:rsid w:val="00802EBA"/>
    <w:rsid w:val="008033B4"/>
    <w:rsid w:val="0080354A"/>
    <w:rsid w:val="00804227"/>
    <w:rsid w:val="00804B50"/>
    <w:rsid w:val="00804C2A"/>
    <w:rsid w:val="00804F93"/>
    <w:rsid w:val="008059BE"/>
    <w:rsid w:val="00805F73"/>
    <w:rsid w:val="00806432"/>
    <w:rsid w:val="008064FC"/>
    <w:rsid w:val="00806A19"/>
    <w:rsid w:val="00806A88"/>
    <w:rsid w:val="00806EB4"/>
    <w:rsid w:val="0080723D"/>
    <w:rsid w:val="0080735F"/>
    <w:rsid w:val="0080754F"/>
    <w:rsid w:val="00807A9C"/>
    <w:rsid w:val="00807F39"/>
    <w:rsid w:val="008104EE"/>
    <w:rsid w:val="008107D9"/>
    <w:rsid w:val="008107DA"/>
    <w:rsid w:val="0081097A"/>
    <w:rsid w:val="00810C15"/>
    <w:rsid w:val="00810C51"/>
    <w:rsid w:val="00810DA0"/>
    <w:rsid w:val="00811024"/>
    <w:rsid w:val="00811586"/>
    <w:rsid w:val="0081188A"/>
    <w:rsid w:val="00811C64"/>
    <w:rsid w:val="00811C81"/>
    <w:rsid w:val="00811F3B"/>
    <w:rsid w:val="008124C3"/>
    <w:rsid w:val="0081277B"/>
    <w:rsid w:val="008130E5"/>
    <w:rsid w:val="0081400D"/>
    <w:rsid w:val="00814136"/>
    <w:rsid w:val="0081424C"/>
    <w:rsid w:val="00815001"/>
    <w:rsid w:val="00815126"/>
    <w:rsid w:val="0081567F"/>
    <w:rsid w:val="00815B74"/>
    <w:rsid w:val="00815DC2"/>
    <w:rsid w:val="0081632E"/>
    <w:rsid w:val="008166BF"/>
    <w:rsid w:val="00816BC9"/>
    <w:rsid w:val="00816E18"/>
    <w:rsid w:val="0081733E"/>
    <w:rsid w:val="0081784D"/>
    <w:rsid w:val="00817C10"/>
    <w:rsid w:val="00817DF9"/>
    <w:rsid w:val="0082028B"/>
    <w:rsid w:val="0082093C"/>
    <w:rsid w:val="008210DF"/>
    <w:rsid w:val="008214F8"/>
    <w:rsid w:val="0082168B"/>
    <w:rsid w:val="00821A7F"/>
    <w:rsid w:val="00821AF1"/>
    <w:rsid w:val="00821BDD"/>
    <w:rsid w:val="00821E55"/>
    <w:rsid w:val="00821E7A"/>
    <w:rsid w:val="0082226D"/>
    <w:rsid w:val="008222A8"/>
    <w:rsid w:val="0082273B"/>
    <w:rsid w:val="0082281B"/>
    <w:rsid w:val="00822968"/>
    <w:rsid w:val="00822FF6"/>
    <w:rsid w:val="008232F5"/>
    <w:rsid w:val="008234EF"/>
    <w:rsid w:val="00823C2F"/>
    <w:rsid w:val="00824019"/>
    <w:rsid w:val="008242C1"/>
    <w:rsid w:val="00824324"/>
    <w:rsid w:val="008243D9"/>
    <w:rsid w:val="008250F6"/>
    <w:rsid w:val="00825263"/>
    <w:rsid w:val="008254AC"/>
    <w:rsid w:val="00825590"/>
    <w:rsid w:val="00825771"/>
    <w:rsid w:val="008263CD"/>
    <w:rsid w:val="0082660F"/>
    <w:rsid w:val="00826DD1"/>
    <w:rsid w:val="00826DF5"/>
    <w:rsid w:val="00830273"/>
    <w:rsid w:val="00830B9C"/>
    <w:rsid w:val="00830CA5"/>
    <w:rsid w:val="00830DC8"/>
    <w:rsid w:val="00830DED"/>
    <w:rsid w:val="00831ABB"/>
    <w:rsid w:val="00831D49"/>
    <w:rsid w:val="0083256E"/>
    <w:rsid w:val="00832591"/>
    <w:rsid w:val="00832B1C"/>
    <w:rsid w:val="0083360F"/>
    <w:rsid w:val="0083391F"/>
    <w:rsid w:val="00833CBF"/>
    <w:rsid w:val="00833D45"/>
    <w:rsid w:val="00833F3D"/>
    <w:rsid w:val="00833FE8"/>
    <w:rsid w:val="008348B8"/>
    <w:rsid w:val="008348F9"/>
    <w:rsid w:val="008352B6"/>
    <w:rsid w:val="00835F91"/>
    <w:rsid w:val="0083612A"/>
    <w:rsid w:val="00836300"/>
    <w:rsid w:val="00836425"/>
    <w:rsid w:val="0083678A"/>
    <w:rsid w:val="00836948"/>
    <w:rsid w:val="00837300"/>
    <w:rsid w:val="008374AF"/>
    <w:rsid w:val="0083797C"/>
    <w:rsid w:val="00837ABA"/>
    <w:rsid w:val="00837DF1"/>
    <w:rsid w:val="00837E75"/>
    <w:rsid w:val="00840CD4"/>
    <w:rsid w:val="00840F5A"/>
    <w:rsid w:val="00841691"/>
    <w:rsid w:val="008417AF"/>
    <w:rsid w:val="00842A5A"/>
    <w:rsid w:val="008432E2"/>
    <w:rsid w:val="00843312"/>
    <w:rsid w:val="008436AB"/>
    <w:rsid w:val="00843B02"/>
    <w:rsid w:val="008444AA"/>
    <w:rsid w:val="008449FB"/>
    <w:rsid w:val="00844FA4"/>
    <w:rsid w:val="00845151"/>
    <w:rsid w:val="008455C4"/>
    <w:rsid w:val="00845BD3"/>
    <w:rsid w:val="00845DD5"/>
    <w:rsid w:val="00846D99"/>
    <w:rsid w:val="008470D7"/>
    <w:rsid w:val="008471D9"/>
    <w:rsid w:val="008473EB"/>
    <w:rsid w:val="00847648"/>
    <w:rsid w:val="0084770C"/>
    <w:rsid w:val="00847A0E"/>
    <w:rsid w:val="00847FA1"/>
    <w:rsid w:val="008500D0"/>
    <w:rsid w:val="0085029D"/>
    <w:rsid w:val="0085040E"/>
    <w:rsid w:val="0085044D"/>
    <w:rsid w:val="0085052D"/>
    <w:rsid w:val="00851258"/>
    <w:rsid w:val="0085218E"/>
    <w:rsid w:val="00852289"/>
    <w:rsid w:val="00852ADB"/>
    <w:rsid w:val="00852EEF"/>
    <w:rsid w:val="008530D1"/>
    <w:rsid w:val="0085319B"/>
    <w:rsid w:val="00853B1A"/>
    <w:rsid w:val="00853FA4"/>
    <w:rsid w:val="00854149"/>
    <w:rsid w:val="008543F6"/>
    <w:rsid w:val="0085497C"/>
    <w:rsid w:val="008549A4"/>
    <w:rsid w:val="00855116"/>
    <w:rsid w:val="0085608D"/>
    <w:rsid w:val="008565F5"/>
    <w:rsid w:val="00856BC4"/>
    <w:rsid w:val="008574D6"/>
    <w:rsid w:val="008579C4"/>
    <w:rsid w:val="00857C46"/>
    <w:rsid w:val="00860184"/>
    <w:rsid w:val="00861369"/>
    <w:rsid w:val="008615D4"/>
    <w:rsid w:val="00861E25"/>
    <w:rsid w:val="00861E94"/>
    <w:rsid w:val="00862304"/>
    <w:rsid w:val="0086243F"/>
    <w:rsid w:val="0086275A"/>
    <w:rsid w:val="00862F03"/>
    <w:rsid w:val="00862FE0"/>
    <w:rsid w:val="00863B2C"/>
    <w:rsid w:val="00863E58"/>
    <w:rsid w:val="0086418F"/>
    <w:rsid w:val="00864518"/>
    <w:rsid w:val="00864525"/>
    <w:rsid w:val="00864678"/>
    <w:rsid w:val="0086477B"/>
    <w:rsid w:val="008647BF"/>
    <w:rsid w:val="00865370"/>
    <w:rsid w:val="00866FF0"/>
    <w:rsid w:val="00867662"/>
    <w:rsid w:val="0086767A"/>
    <w:rsid w:val="00867885"/>
    <w:rsid w:val="008679BE"/>
    <w:rsid w:val="00867BF4"/>
    <w:rsid w:val="0087029D"/>
    <w:rsid w:val="0087092C"/>
    <w:rsid w:val="0087205A"/>
    <w:rsid w:val="008722BC"/>
    <w:rsid w:val="00872A7A"/>
    <w:rsid w:val="00872BD8"/>
    <w:rsid w:val="00872C6F"/>
    <w:rsid w:val="008738B2"/>
    <w:rsid w:val="00873E5F"/>
    <w:rsid w:val="00873E65"/>
    <w:rsid w:val="00873F38"/>
    <w:rsid w:val="008741E1"/>
    <w:rsid w:val="008747B0"/>
    <w:rsid w:val="00874A8B"/>
    <w:rsid w:val="00874D26"/>
    <w:rsid w:val="00874F5A"/>
    <w:rsid w:val="0087510A"/>
    <w:rsid w:val="008752F7"/>
    <w:rsid w:val="008754B4"/>
    <w:rsid w:val="008758B0"/>
    <w:rsid w:val="00875F3A"/>
    <w:rsid w:val="00875F86"/>
    <w:rsid w:val="00876630"/>
    <w:rsid w:val="00876B41"/>
    <w:rsid w:val="00876EB2"/>
    <w:rsid w:val="008774CC"/>
    <w:rsid w:val="008779FF"/>
    <w:rsid w:val="00877AB7"/>
    <w:rsid w:val="0088030E"/>
    <w:rsid w:val="00880328"/>
    <w:rsid w:val="0088090D"/>
    <w:rsid w:val="00880B13"/>
    <w:rsid w:val="008813A8"/>
    <w:rsid w:val="0088189D"/>
    <w:rsid w:val="00881958"/>
    <w:rsid w:val="00882810"/>
    <w:rsid w:val="0088281E"/>
    <w:rsid w:val="0088291A"/>
    <w:rsid w:val="00882D6E"/>
    <w:rsid w:val="00883634"/>
    <w:rsid w:val="00883640"/>
    <w:rsid w:val="008836E0"/>
    <w:rsid w:val="0088375E"/>
    <w:rsid w:val="00883F9B"/>
    <w:rsid w:val="0088408A"/>
    <w:rsid w:val="0088428D"/>
    <w:rsid w:val="0088438E"/>
    <w:rsid w:val="00884492"/>
    <w:rsid w:val="00884C1B"/>
    <w:rsid w:val="00884F07"/>
    <w:rsid w:val="008852E5"/>
    <w:rsid w:val="00885574"/>
    <w:rsid w:val="00885816"/>
    <w:rsid w:val="00885934"/>
    <w:rsid w:val="00885A71"/>
    <w:rsid w:val="00885AAA"/>
    <w:rsid w:val="00885CEA"/>
    <w:rsid w:val="00885D07"/>
    <w:rsid w:val="00886103"/>
    <w:rsid w:val="00886661"/>
    <w:rsid w:val="0088699B"/>
    <w:rsid w:val="00886F3E"/>
    <w:rsid w:val="008871FC"/>
    <w:rsid w:val="008874E3"/>
    <w:rsid w:val="00887530"/>
    <w:rsid w:val="008877A3"/>
    <w:rsid w:val="0088782E"/>
    <w:rsid w:val="0088798D"/>
    <w:rsid w:val="00887CB2"/>
    <w:rsid w:val="0089004B"/>
    <w:rsid w:val="00890AAE"/>
    <w:rsid w:val="00890D71"/>
    <w:rsid w:val="008919CB"/>
    <w:rsid w:val="00891E44"/>
    <w:rsid w:val="008921FB"/>
    <w:rsid w:val="00892408"/>
    <w:rsid w:val="008931D2"/>
    <w:rsid w:val="008937F7"/>
    <w:rsid w:val="008938E0"/>
    <w:rsid w:val="00893E86"/>
    <w:rsid w:val="0089401D"/>
    <w:rsid w:val="00894086"/>
    <w:rsid w:val="0089498B"/>
    <w:rsid w:val="00894B46"/>
    <w:rsid w:val="00894B6A"/>
    <w:rsid w:val="00895159"/>
    <w:rsid w:val="008964EE"/>
    <w:rsid w:val="00896B2D"/>
    <w:rsid w:val="00897107"/>
    <w:rsid w:val="008974BC"/>
    <w:rsid w:val="008974D8"/>
    <w:rsid w:val="0089798E"/>
    <w:rsid w:val="008A008B"/>
    <w:rsid w:val="008A0111"/>
    <w:rsid w:val="008A041E"/>
    <w:rsid w:val="008A0882"/>
    <w:rsid w:val="008A0BEB"/>
    <w:rsid w:val="008A19E6"/>
    <w:rsid w:val="008A1B25"/>
    <w:rsid w:val="008A22F2"/>
    <w:rsid w:val="008A362F"/>
    <w:rsid w:val="008A40C3"/>
    <w:rsid w:val="008A40FF"/>
    <w:rsid w:val="008A49CB"/>
    <w:rsid w:val="008A4BB3"/>
    <w:rsid w:val="008A4EBC"/>
    <w:rsid w:val="008A576D"/>
    <w:rsid w:val="008A5885"/>
    <w:rsid w:val="008A5BD4"/>
    <w:rsid w:val="008A608F"/>
    <w:rsid w:val="008A6221"/>
    <w:rsid w:val="008A736E"/>
    <w:rsid w:val="008A7B0D"/>
    <w:rsid w:val="008B0847"/>
    <w:rsid w:val="008B087F"/>
    <w:rsid w:val="008B08F8"/>
    <w:rsid w:val="008B09D0"/>
    <w:rsid w:val="008B0A39"/>
    <w:rsid w:val="008B0A6B"/>
    <w:rsid w:val="008B0AA9"/>
    <w:rsid w:val="008B0EBA"/>
    <w:rsid w:val="008B210C"/>
    <w:rsid w:val="008B2264"/>
    <w:rsid w:val="008B23B7"/>
    <w:rsid w:val="008B29B2"/>
    <w:rsid w:val="008B2D62"/>
    <w:rsid w:val="008B2DA7"/>
    <w:rsid w:val="008B2EB5"/>
    <w:rsid w:val="008B4211"/>
    <w:rsid w:val="008B46FD"/>
    <w:rsid w:val="008B4828"/>
    <w:rsid w:val="008B4DD6"/>
    <w:rsid w:val="008B504C"/>
    <w:rsid w:val="008B559F"/>
    <w:rsid w:val="008B6283"/>
    <w:rsid w:val="008B6B39"/>
    <w:rsid w:val="008B6CFD"/>
    <w:rsid w:val="008B6E6F"/>
    <w:rsid w:val="008B7BAF"/>
    <w:rsid w:val="008B7F69"/>
    <w:rsid w:val="008C0590"/>
    <w:rsid w:val="008C0778"/>
    <w:rsid w:val="008C0EA9"/>
    <w:rsid w:val="008C104C"/>
    <w:rsid w:val="008C15F6"/>
    <w:rsid w:val="008C1605"/>
    <w:rsid w:val="008C189B"/>
    <w:rsid w:val="008C19B8"/>
    <w:rsid w:val="008C1BE2"/>
    <w:rsid w:val="008C2337"/>
    <w:rsid w:val="008C2443"/>
    <w:rsid w:val="008C2C72"/>
    <w:rsid w:val="008C3044"/>
    <w:rsid w:val="008C3898"/>
    <w:rsid w:val="008C3A65"/>
    <w:rsid w:val="008C449E"/>
    <w:rsid w:val="008C4D5E"/>
    <w:rsid w:val="008C4EA9"/>
    <w:rsid w:val="008C56ED"/>
    <w:rsid w:val="008C5F74"/>
    <w:rsid w:val="008C63D3"/>
    <w:rsid w:val="008C6940"/>
    <w:rsid w:val="008C741C"/>
    <w:rsid w:val="008D0DBB"/>
    <w:rsid w:val="008D0EB4"/>
    <w:rsid w:val="008D1254"/>
    <w:rsid w:val="008D1407"/>
    <w:rsid w:val="008D159C"/>
    <w:rsid w:val="008D1A1E"/>
    <w:rsid w:val="008D2048"/>
    <w:rsid w:val="008D20BD"/>
    <w:rsid w:val="008D21A6"/>
    <w:rsid w:val="008D245A"/>
    <w:rsid w:val="008D2482"/>
    <w:rsid w:val="008D29F6"/>
    <w:rsid w:val="008D305F"/>
    <w:rsid w:val="008D3DCE"/>
    <w:rsid w:val="008D4721"/>
    <w:rsid w:val="008D4888"/>
    <w:rsid w:val="008D496B"/>
    <w:rsid w:val="008D4AA9"/>
    <w:rsid w:val="008D5290"/>
    <w:rsid w:val="008D55D2"/>
    <w:rsid w:val="008D5737"/>
    <w:rsid w:val="008D5AF8"/>
    <w:rsid w:val="008D5FB6"/>
    <w:rsid w:val="008D601D"/>
    <w:rsid w:val="008D73F8"/>
    <w:rsid w:val="008D7447"/>
    <w:rsid w:val="008D761A"/>
    <w:rsid w:val="008D78AF"/>
    <w:rsid w:val="008E0928"/>
    <w:rsid w:val="008E0CC6"/>
    <w:rsid w:val="008E0CF2"/>
    <w:rsid w:val="008E0E60"/>
    <w:rsid w:val="008E13DB"/>
    <w:rsid w:val="008E1598"/>
    <w:rsid w:val="008E1C99"/>
    <w:rsid w:val="008E1EF7"/>
    <w:rsid w:val="008E23A0"/>
    <w:rsid w:val="008E274D"/>
    <w:rsid w:val="008E2880"/>
    <w:rsid w:val="008E2CFB"/>
    <w:rsid w:val="008E3312"/>
    <w:rsid w:val="008E3E52"/>
    <w:rsid w:val="008E47AB"/>
    <w:rsid w:val="008E4BDF"/>
    <w:rsid w:val="008E4EFD"/>
    <w:rsid w:val="008E502D"/>
    <w:rsid w:val="008E5080"/>
    <w:rsid w:val="008E54CE"/>
    <w:rsid w:val="008E5533"/>
    <w:rsid w:val="008E55BE"/>
    <w:rsid w:val="008E69DD"/>
    <w:rsid w:val="008E6AC6"/>
    <w:rsid w:val="008F06A6"/>
    <w:rsid w:val="008F0B41"/>
    <w:rsid w:val="008F1095"/>
    <w:rsid w:val="008F11A1"/>
    <w:rsid w:val="008F18B3"/>
    <w:rsid w:val="008F1C18"/>
    <w:rsid w:val="008F1CC6"/>
    <w:rsid w:val="008F20AC"/>
    <w:rsid w:val="008F2226"/>
    <w:rsid w:val="008F2705"/>
    <w:rsid w:val="008F3840"/>
    <w:rsid w:val="008F3EDE"/>
    <w:rsid w:val="008F3F23"/>
    <w:rsid w:val="008F3FF8"/>
    <w:rsid w:val="008F403E"/>
    <w:rsid w:val="008F4377"/>
    <w:rsid w:val="008F4C52"/>
    <w:rsid w:val="008F50CC"/>
    <w:rsid w:val="008F5A14"/>
    <w:rsid w:val="008F61BF"/>
    <w:rsid w:val="008F6C3F"/>
    <w:rsid w:val="008F7093"/>
    <w:rsid w:val="008F7306"/>
    <w:rsid w:val="008F792E"/>
    <w:rsid w:val="008F79B2"/>
    <w:rsid w:val="008F7FF4"/>
    <w:rsid w:val="0090041D"/>
    <w:rsid w:val="00900750"/>
    <w:rsid w:val="00901690"/>
    <w:rsid w:val="00901B64"/>
    <w:rsid w:val="0090228C"/>
    <w:rsid w:val="009022A9"/>
    <w:rsid w:val="00902692"/>
    <w:rsid w:val="00902C30"/>
    <w:rsid w:val="009034FC"/>
    <w:rsid w:val="00903606"/>
    <w:rsid w:val="0090365C"/>
    <w:rsid w:val="00903BCF"/>
    <w:rsid w:val="00904045"/>
    <w:rsid w:val="00904599"/>
    <w:rsid w:val="00904B60"/>
    <w:rsid w:val="00904BD8"/>
    <w:rsid w:val="0090535F"/>
    <w:rsid w:val="009053E8"/>
    <w:rsid w:val="0090553A"/>
    <w:rsid w:val="009062B3"/>
    <w:rsid w:val="009068C6"/>
    <w:rsid w:val="00906DA7"/>
    <w:rsid w:val="00906F12"/>
    <w:rsid w:val="00907B45"/>
    <w:rsid w:val="00910A2E"/>
    <w:rsid w:val="00911727"/>
    <w:rsid w:val="00911DDD"/>
    <w:rsid w:val="00911FEF"/>
    <w:rsid w:val="00912246"/>
    <w:rsid w:val="0091238E"/>
    <w:rsid w:val="00913AE5"/>
    <w:rsid w:val="00913CF3"/>
    <w:rsid w:val="00913EE7"/>
    <w:rsid w:val="00914C79"/>
    <w:rsid w:val="00914CD6"/>
    <w:rsid w:val="00915382"/>
    <w:rsid w:val="009155BA"/>
    <w:rsid w:val="0091609C"/>
    <w:rsid w:val="00916C8D"/>
    <w:rsid w:val="009170D2"/>
    <w:rsid w:val="009172D8"/>
    <w:rsid w:val="0091740A"/>
    <w:rsid w:val="00917727"/>
    <w:rsid w:val="009179CD"/>
    <w:rsid w:val="00917C84"/>
    <w:rsid w:val="00917F30"/>
    <w:rsid w:val="009201CC"/>
    <w:rsid w:val="00920604"/>
    <w:rsid w:val="00920D9F"/>
    <w:rsid w:val="00920F4E"/>
    <w:rsid w:val="0092130D"/>
    <w:rsid w:val="00921566"/>
    <w:rsid w:val="0092189C"/>
    <w:rsid w:val="00921B26"/>
    <w:rsid w:val="00921CE1"/>
    <w:rsid w:val="0092220A"/>
    <w:rsid w:val="009224EB"/>
    <w:rsid w:val="0092251B"/>
    <w:rsid w:val="009226D8"/>
    <w:rsid w:val="0092296F"/>
    <w:rsid w:val="00922C86"/>
    <w:rsid w:val="009230E7"/>
    <w:rsid w:val="009233F3"/>
    <w:rsid w:val="009235AD"/>
    <w:rsid w:val="00923D81"/>
    <w:rsid w:val="00923E8A"/>
    <w:rsid w:val="009243B6"/>
    <w:rsid w:val="00924492"/>
    <w:rsid w:val="00924528"/>
    <w:rsid w:val="00924622"/>
    <w:rsid w:val="00924F86"/>
    <w:rsid w:val="0092535E"/>
    <w:rsid w:val="00925703"/>
    <w:rsid w:val="00925D56"/>
    <w:rsid w:val="00925D72"/>
    <w:rsid w:val="00926113"/>
    <w:rsid w:val="0092679B"/>
    <w:rsid w:val="0092682A"/>
    <w:rsid w:val="00927101"/>
    <w:rsid w:val="009275CC"/>
    <w:rsid w:val="0092769E"/>
    <w:rsid w:val="00927AEF"/>
    <w:rsid w:val="0093056C"/>
    <w:rsid w:val="00930944"/>
    <w:rsid w:val="00930B3E"/>
    <w:rsid w:val="00931116"/>
    <w:rsid w:val="009311AC"/>
    <w:rsid w:val="009314EF"/>
    <w:rsid w:val="0093153F"/>
    <w:rsid w:val="00931702"/>
    <w:rsid w:val="0093175D"/>
    <w:rsid w:val="00931E46"/>
    <w:rsid w:val="009322B0"/>
    <w:rsid w:val="0093235C"/>
    <w:rsid w:val="009326ED"/>
    <w:rsid w:val="009329C0"/>
    <w:rsid w:val="00932D50"/>
    <w:rsid w:val="009331CF"/>
    <w:rsid w:val="00933230"/>
    <w:rsid w:val="0093352B"/>
    <w:rsid w:val="00933E79"/>
    <w:rsid w:val="0093435E"/>
    <w:rsid w:val="00934DF6"/>
    <w:rsid w:val="0093519F"/>
    <w:rsid w:val="009355B8"/>
    <w:rsid w:val="00935B57"/>
    <w:rsid w:val="00935D0D"/>
    <w:rsid w:val="00936208"/>
    <w:rsid w:val="009362D0"/>
    <w:rsid w:val="00936E81"/>
    <w:rsid w:val="009372B0"/>
    <w:rsid w:val="00937CD9"/>
    <w:rsid w:val="009404EC"/>
    <w:rsid w:val="009413FB"/>
    <w:rsid w:val="00941456"/>
    <w:rsid w:val="00941622"/>
    <w:rsid w:val="0094176B"/>
    <w:rsid w:val="009419A9"/>
    <w:rsid w:val="00941B4E"/>
    <w:rsid w:val="00941EC0"/>
    <w:rsid w:val="00941EFA"/>
    <w:rsid w:val="00942112"/>
    <w:rsid w:val="00942410"/>
    <w:rsid w:val="00942677"/>
    <w:rsid w:val="00942BB4"/>
    <w:rsid w:val="0094344D"/>
    <w:rsid w:val="00943BA2"/>
    <w:rsid w:val="0094403E"/>
    <w:rsid w:val="0094407A"/>
    <w:rsid w:val="0094420E"/>
    <w:rsid w:val="00945441"/>
    <w:rsid w:val="0094604F"/>
    <w:rsid w:val="009460AA"/>
    <w:rsid w:val="0094681A"/>
    <w:rsid w:val="009469F9"/>
    <w:rsid w:val="00947CCF"/>
    <w:rsid w:val="00947E4F"/>
    <w:rsid w:val="009500FA"/>
    <w:rsid w:val="0095024E"/>
    <w:rsid w:val="0095077B"/>
    <w:rsid w:val="00950D89"/>
    <w:rsid w:val="00950D8F"/>
    <w:rsid w:val="00951326"/>
    <w:rsid w:val="0095168C"/>
    <w:rsid w:val="0095177C"/>
    <w:rsid w:val="009517E6"/>
    <w:rsid w:val="00951AA8"/>
    <w:rsid w:val="0095267B"/>
    <w:rsid w:val="009528B0"/>
    <w:rsid w:val="00952E25"/>
    <w:rsid w:val="009532BD"/>
    <w:rsid w:val="00953A0E"/>
    <w:rsid w:val="00953C74"/>
    <w:rsid w:val="00953C76"/>
    <w:rsid w:val="0095427B"/>
    <w:rsid w:val="009544FC"/>
    <w:rsid w:val="0095479B"/>
    <w:rsid w:val="00954816"/>
    <w:rsid w:val="00954894"/>
    <w:rsid w:val="0095498B"/>
    <w:rsid w:val="00954C97"/>
    <w:rsid w:val="00954E62"/>
    <w:rsid w:val="0095528D"/>
    <w:rsid w:val="009561E0"/>
    <w:rsid w:val="0095665F"/>
    <w:rsid w:val="00956A2B"/>
    <w:rsid w:val="00956AFC"/>
    <w:rsid w:val="00956BF1"/>
    <w:rsid w:val="00956C7C"/>
    <w:rsid w:val="00956ECF"/>
    <w:rsid w:val="00956FC1"/>
    <w:rsid w:val="00957218"/>
    <w:rsid w:val="0095725A"/>
    <w:rsid w:val="00957654"/>
    <w:rsid w:val="009576CD"/>
    <w:rsid w:val="009604E1"/>
    <w:rsid w:val="00960862"/>
    <w:rsid w:val="009609DE"/>
    <w:rsid w:val="0096166D"/>
    <w:rsid w:val="0096192E"/>
    <w:rsid w:val="00961B0E"/>
    <w:rsid w:val="009626D6"/>
    <w:rsid w:val="009626EE"/>
    <w:rsid w:val="00962701"/>
    <w:rsid w:val="00962BBE"/>
    <w:rsid w:val="00962C8E"/>
    <w:rsid w:val="00963DF2"/>
    <w:rsid w:val="009642E9"/>
    <w:rsid w:val="00964321"/>
    <w:rsid w:val="00964350"/>
    <w:rsid w:val="00964A79"/>
    <w:rsid w:val="00965029"/>
    <w:rsid w:val="009652F9"/>
    <w:rsid w:val="00965456"/>
    <w:rsid w:val="009655A2"/>
    <w:rsid w:val="009659EA"/>
    <w:rsid w:val="00965DCF"/>
    <w:rsid w:val="00965F75"/>
    <w:rsid w:val="00966190"/>
    <w:rsid w:val="00966BC8"/>
    <w:rsid w:val="00967664"/>
    <w:rsid w:val="00970270"/>
    <w:rsid w:val="00970F0E"/>
    <w:rsid w:val="009710A4"/>
    <w:rsid w:val="009714B0"/>
    <w:rsid w:val="0097153B"/>
    <w:rsid w:val="0097156E"/>
    <w:rsid w:val="00971753"/>
    <w:rsid w:val="00971F57"/>
    <w:rsid w:val="0097217E"/>
    <w:rsid w:val="0097260B"/>
    <w:rsid w:val="00972A0F"/>
    <w:rsid w:val="00973C8E"/>
    <w:rsid w:val="00973F03"/>
    <w:rsid w:val="00973F07"/>
    <w:rsid w:val="00974453"/>
    <w:rsid w:val="0097479F"/>
    <w:rsid w:val="009749D7"/>
    <w:rsid w:val="00974D00"/>
    <w:rsid w:val="0097524A"/>
    <w:rsid w:val="00975270"/>
    <w:rsid w:val="009753F2"/>
    <w:rsid w:val="00975634"/>
    <w:rsid w:val="009756C2"/>
    <w:rsid w:val="00975816"/>
    <w:rsid w:val="00976064"/>
    <w:rsid w:val="009760AD"/>
    <w:rsid w:val="0097623C"/>
    <w:rsid w:val="009763A8"/>
    <w:rsid w:val="00976615"/>
    <w:rsid w:val="00976A80"/>
    <w:rsid w:val="00977188"/>
    <w:rsid w:val="0097737C"/>
    <w:rsid w:val="009774D9"/>
    <w:rsid w:val="00977D8C"/>
    <w:rsid w:val="00977E95"/>
    <w:rsid w:val="00980128"/>
    <w:rsid w:val="00980362"/>
    <w:rsid w:val="00981222"/>
    <w:rsid w:val="00981387"/>
    <w:rsid w:val="0098148D"/>
    <w:rsid w:val="0098175F"/>
    <w:rsid w:val="00981D57"/>
    <w:rsid w:val="00981F1C"/>
    <w:rsid w:val="00982006"/>
    <w:rsid w:val="00982493"/>
    <w:rsid w:val="00982580"/>
    <w:rsid w:val="00982FFB"/>
    <w:rsid w:val="00983056"/>
    <w:rsid w:val="009830DE"/>
    <w:rsid w:val="009837A3"/>
    <w:rsid w:val="00983A92"/>
    <w:rsid w:val="00984116"/>
    <w:rsid w:val="009844AC"/>
    <w:rsid w:val="0098488A"/>
    <w:rsid w:val="00984EFA"/>
    <w:rsid w:val="00985382"/>
    <w:rsid w:val="009857E6"/>
    <w:rsid w:val="00985954"/>
    <w:rsid w:val="00985BC1"/>
    <w:rsid w:val="00985BD8"/>
    <w:rsid w:val="00985E55"/>
    <w:rsid w:val="00986205"/>
    <w:rsid w:val="009863E5"/>
    <w:rsid w:val="00986CE0"/>
    <w:rsid w:val="00986E94"/>
    <w:rsid w:val="009871A0"/>
    <w:rsid w:val="009874BA"/>
    <w:rsid w:val="0098754B"/>
    <w:rsid w:val="00987CA7"/>
    <w:rsid w:val="00987FEA"/>
    <w:rsid w:val="009900C5"/>
    <w:rsid w:val="00990280"/>
    <w:rsid w:val="0099066D"/>
    <w:rsid w:val="00990B52"/>
    <w:rsid w:val="00990D1E"/>
    <w:rsid w:val="00991F51"/>
    <w:rsid w:val="0099212C"/>
    <w:rsid w:val="00992221"/>
    <w:rsid w:val="00992CE2"/>
    <w:rsid w:val="00993115"/>
    <w:rsid w:val="009939CE"/>
    <w:rsid w:val="00993A48"/>
    <w:rsid w:val="00993DEC"/>
    <w:rsid w:val="00994189"/>
    <w:rsid w:val="00994413"/>
    <w:rsid w:val="0099448C"/>
    <w:rsid w:val="009945D0"/>
    <w:rsid w:val="009950FE"/>
    <w:rsid w:val="00995248"/>
    <w:rsid w:val="00995531"/>
    <w:rsid w:val="0099569A"/>
    <w:rsid w:val="00995E75"/>
    <w:rsid w:val="0099606D"/>
    <w:rsid w:val="00996220"/>
    <w:rsid w:val="00996A6F"/>
    <w:rsid w:val="00996C26"/>
    <w:rsid w:val="00996F2D"/>
    <w:rsid w:val="009970C6"/>
    <w:rsid w:val="009972F6"/>
    <w:rsid w:val="0099737B"/>
    <w:rsid w:val="00997CFA"/>
    <w:rsid w:val="00997F23"/>
    <w:rsid w:val="00997F5F"/>
    <w:rsid w:val="009A0080"/>
    <w:rsid w:val="009A01EE"/>
    <w:rsid w:val="009A0216"/>
    <w:rsid w:val="009A0463"/>
    <w:rsid w:val="009A0816"/>
    <w:rsid w:val="009A0B62"/>
    <w:rsid w:val="009A0D8A"/>
    <w:rsid w:val="009A1206"/>
    <w:rsid w:val="009A1476"/>
    <w:rsid w:val="009A1E5A"/>
    <w:rsid w:val="009A2525"/>
    <w:rsid w:val="009A2569"/>
    <w:rsid w:val="009A2B01"/>
    <w:rsid w:val="009A2D2C"/>
    <w:rsid w:val="009A2FBA"/>
    <w:rsid w:val="009A3C56"/>
    <w:rsid w:val="009A3E8C"/>
    <w:rsid w:val="009A3EC5"/>
    <w:rsid w:val="009A4974"/>
    <w:rsid w:val="009A4CA5"/>
    <w:rsid w:val="009A5041"/>
    <w:rsid w:val="009A5336"/>
    <w:rsid w:val="009A5E98"/>
    <w:rsid w:val="009A5EB5"/>
    <w:rsid w:val="009A64FA"/>
    <w:rsid w:val="009A6C8A"/>
    <w:rsid w:val="009A6DA1"/>
    <w:rsid w:val="009A79A0"/>
    <w:rsid w:val="009A7EF9"/>
    <w:rsid w:val="009B1B28"/>
    <w:rsid w:val="009B1E97"/>
    <w:rsid w:val="009B1F93"/>
    <w:rsid w:val="009B288E"/>
    <w:rsid w:val="009B2EF4"/>
    <w:rsid w:val="009B2FCC"/>
    <w:rsid w:val="009B3A33"/>
    <w:rsid w:val="009B3BB2"/>
    <w:rsid w:val="009B3DC5"/>
    <w:rsid w:val="009B4581"/>
    <w:rsid w:val="009B4582"/>
    <w:rsid w:val="009B4FAA"/>
    <w:rsid w:val="009B5417"/>
    <w:rsid w:val="009B541D"/>
    <w:rsid w:val="009B58B7"/>
    <w:rsid w:val="009B598D"/>
    <w:rsid w:val="009B5CCF"/>
    <w:rsid w:val="009B6579"/>
    <w:rsid w:val="009B6F6F"/>
    <w:rsid w:val="009B7077"/>
    <w:rsid w:val="009B70E8"/>
    <w:rsid w:val="009B713A"/>
    <w:rsid w:val="009B731A"/>
    <w:rsid w:val="009B74A2"/>
    <w:rsid w:val="009B759A"/>
    <w:rsid w:val="009B7B55"/>
    <w:rsid w:val="009B7C32"/>
    <w:rsid w:val="009B7F52"/>
    <w:rsid w:val="009C06A3"/>
    <w:rsid w:val="009C0733"/>
    <w:rsid w:val="009C0E3D"/>
    <w:rsid w:val="009C0F37"/>
    <w:rsid w:val="009C0F7F"/>
    <w:rsid w:val="009C11CB"/>
    <w:rsid w:val="009C1404"/>
    <w:rsid w:val="009C2065"/>
    <w:rsid w:val="009C236F"/>
    <w:rsid w:val="009C279D"/>
    <w:rsid w:val="009C2A52"/>
    <w:rsid w:val="009C2F3C"/>
    <w:rsid w:val="009C3875"/>
    <w:rsid w:val="009C3E10"/>
    <w:rsid w:val="009C4B4B"/>
    <w:rsid w:val="009C4EC0"/>
    <w:rsid w:val="009C564D"/>
    <w:rsid w:val="009C575F"/>
    <w:rsid w:val="009C6405"/>
    <w:rsid w:val="009C67D0"/>
    <w:rsid w:val="009C6C46"/>
    <w:rsid w:val="009C7402"/>
    <w:rsid w:val="009C756A"/>
    <w:rsid w:val="009C7DF6"/>
    <w:rsid w:val="009C7F0A"/>
    <w:rsid w:val="009D05EC"/>
    <w:rsid w:val="009D069D"/>
    <w:rsid w:val="009D0941"/>
    <w:rsid w:val="009D0A1F"/>
    <w:rsid w:val="009D0D7D"/>
    <w:rsid w:val="009D1253"/>
    <w:rsid w:val="009D1565"/>
    <w:rsid w:val="009D1AF4"/>
    <w:rsid w:val="009D224A"/>
    <w:rsid w:val="009D3210"/>
    <w:rsid w:val="009D323C"/>
    <w:rsid w:val="009D3569"/>
    <w:rsid w:val="009D36F9"/>
    <w:rsid w:val="009D3BFA"/>
    <w:rsid w:val="009D3C70"/>
    <w:rsid w:val="009D3F42"/>
    <w:rsid w:val="009D429F"/>
    <w:rsid w:val="009D4700"/>
    <w:rsid w:val="009D4BEF"/>
    <w:rsid w:val="009D54AD"/>
    <w:rsid w:val="009D55A1"/>
    <w:rsid w:val="009D5A39"/>
    <w:rsid w:val="009D5DB5"/>
    <w:rsid w:val="009D5DB7"/>
    <w:rsid w:val="009D6883"/>
    <w:rsid w:val="009D6B03"/>
    <w:rsid w:val="009D6CAA"/>
    <w:rsid w:val="009D754B"/>
    <w:rsid w:val="009E04E8"/>
    <w:rsid w:val="009E11F8"/>
    <w:rsid w:val="009E120D"/>
    <w:rsid w:val="009E135C"/>
    <w:rsid w:val="009E13CD"/>
    <w:rsid w:val="009E14FC"/>
    <w:rsid w:val="009E1E0A"/>
    <w:rsid w:val="009E24AD"/>
    <w:rsid w:val="009E3160"/>
    <w:rsid w:val="009E32B6"/>
    <w:rsid w:val="009E3355"/>
    <w:rsid w:val="009E383A"/>
    <w:rsid w:val="009E3C1A"/>
    <w:rsid w:val="009E41D0"/>
    <w:rsid w:val="009E4903"/>
    <w:rsid w:val="009E52C1"/>
    <w:rsid w:val="009E56AC"/>
    <w:rsid w:val="009E7528"/>
    <w:rsid w:val="009F020C"/>
    <w:rsid w:val="009F0E03"/>
    <w:rsid w:val="009F10A8"/>
    <w:rsid w:val="009F1160"/>
    <w:rsid w:val="009F13B6"/>
    <w:rsid w:val="009F16AD"/>
    <w:rsid w:val="009F1E31"/>
    <w:rsid w:val="009F25CF"/>
    <w:rsid w:val="009F2932"/>
    <w:rsid w:val="009F2E0B"/>
    <w:rsid w:val="009F30E2"/>
    <w:rsid w:val="009F360C"/>
    <w:rsid w:val="009F3812"/>
    <w:rsid w:val="009F45BC"/>
    <w:rsid w:val="009F49DE"/>
    <w:rsid w:val="009F5914"/>
    <w:rsid w:val="009F690C"/>
    <w:rsid w:val="009F69EE"/>
    <w:rsid w:val="009F70C2"/>
    <w:rsid w:val="009F770E"/>
    <w:rsid w:val="009F780A"/>
    <w:rsid w:val="00A0070F"/>
    <w:rsid w:val="00A00AB4"/>
    <w:rsid w:val="00A00FE7"/>
    <w:rsid w:val="00A015B2"/>
    <w:rsid w:val="00A01FBE"/>
    <w:rsid w:val="00A01FD4"/>
    <w:rsid w:val="00A0263B"/>
    <w:rsid w:val="00A0283D"/>
    <w:rsid w:val="00A02842"/>
    <w:rsid w:val="00A02F9B"/>
    <w:rsid w:val="00A034D7"/>
    <w:rsid w:val="00A03AE3"/>
    <w:rsid w:val="00A03C25"/>
    <w:rsid w:val="00A04244"/>
    <w:rsid w:val="00A047C9"/>
    <w:rsid w:val="00A047D4"/>
    <w:rsid w:val="00A05936"/>
    <w:rsid w:val="00A05C47"/>
    <w:rsid w:val="00A05D6E"/>
    <w:rsid w:val="00A05FA4"/>
    <w:rsid w:val="00A063F9"/>
    <w:rsid w:val="00A0680D"/>
    <w:rsid w:val="00A06B97"/>
    <w:rsid w:val="00A07305"/>
    <w:rsid w:val="00A0782A"/>
    <w:rsid w:val="00A07B79"/>
    <w:rsid w:val="00A07EFA"/>
    <w:rsid w:val="00A10095"/>
    <w:rsid w:val="00A105C4"/>
    <w:rsid w:val="00A107D1"/>
    <w:rsid w:val="00A10D4A"/>
    <w:rsid w:val="00A1107B"/>
    <w:rsid w:val="00A11097"/>
    <w:rsid w:val="00A113C4"/>
    <w:rsid w:val="00A11780"/>
    <w:rsid w:val="00A11C21"/>
    <w:rsid w:val="00A12178"/>
    <w:rsid w:val="00A1229B"/>
    <w:rsid w:val="00A128C4"/>
    <w:rsid w:val="00A12A03"/>
    <w:rsid w:val="00A12EA6"/>
    <w:rsid w:val="00A12F62"/>
    <w:rsid w:val="00A137C5"/>
    <w:rsid w:val="00A13D3B"/>
    <w:rsid w:val="00A13D45"/>
    <w:rsid w:val="00A13F50"/>
    <w:rsid w:val="00A144F0"/>
    <w:rsid w:val="00A14AC6"/>
    <w:rsid w:val="00A1520C"/>
    <w:rsid w:val="00A153FB"/>
    <w:rsid w:val="00A157D2"/>
    <w:rsid w:val="00A15933"/>
    <w:rsid w:val="00A15AFF"/>
    <w:rsid w:val="00A15C94"/>
    <w:rsid w:val="00A16003"/>
    <w:rsid w:val="00A16213"/>
    <w:rsid w:val="00A16D3E"/>
    <w:rsid w:val="00A16E41"/>
    <w:rsid w:val="00A200F8"/>
    <w:rsid w:val="00A202AD"/>
    <w:rsid w:val="00A20899"/>
    <w:rsid w:val="00A2089F"/>
    <w:rsid w:val="00A2090E"/>
    <w:rsid w:val="00A20E58"/>
    <w:rsid w:val="00A211C2"/>
    <w:rsid w:val="00A21C42"/>
    <w:rsid w:val="00A21D08"/>
    <w:rsid w:val="00A21DB7"/>
    <w:rsid w:val="00A221B9"/>
    <w:rsid w:val="00A22651"/>
    <w:rsid w:val="00A2278C"/>
    <w:rsid w:val="00A22A67"/>
    <w:rsid w:val="00A22AB8"/>
    <w:rsid w:val="00A22BEB"/>
    <w:rsid w:val="00A23C0E"/>
    <w:rsid w:val="00A2424C"/>
    <w:rsid w:val="00A242AF"/>
    <w:rsid w:val="00A2514D"/>
    <w:rsid w:val="00A251BB"/>
    <w:rsid w:val="00A25639"/>
    <w:rsid w:val="00A25A33"/>
    <w:rsid w:val="00A25CB0"/>
    <w:rsid w:val="00A25CDB"/>
    <w:rsid w:val="00A25EDB"/>
    <w:rsid w:val="00A26057"/>
    <w:rsid w:val="00A27280"/>
    <w:rsid w:val="00A27D97"/>
    <w:rsid w:val="00A306F6"/>
    <w:rsid w:val="00A3081A"/>
    <w:rsid w:val="00A30823"/>
    <w:rsid w:val="00A30C4F"/>
    <w:rsid w:val="00A319C8"/>
    <w:rsid w:val="00A31C68"/>
    <w:rsid w:val="00A31C8D"/>
    <w:rsid w:val="00A32A61"/>
    <w:rsid w:val="00A3306B"/>
    <w:rsid w:val="00A332D7"/>
    <w:rsid w:val="00A33C23"/>
    <w:rsid w:val="00A33FB7"/>
    <w:rsid w:val="00A340F4"/>
    <w:rsid w:val="00A345BE"/>
    <w:rsid w:val="00A345C0"/>
    <w:rsid w:val="00A34BAC"/>
    <w:rsid w:val="00A35268"/>
    <w:rsid w:val="00A352FD"/>
    <w:rsid w:val="00A353DC"/>
    <w:rsid w:val="00A35893"/>
    <w:rsid w:val="00A35BB0"/>
    <w:rsid w:val="00A36BD9"/>
    <w:rsid w:val="00A36F44"/>
    <w:rsid w:val="00A37783"/>
    <w:rsid w:val="00A377AF"/>
    <w:rsid w:val="00A37AE3"/>
    <w:rsid w:val="00A37CE1"/>
    <w:rsid w:val="00A37DFD"/>
    <w:rsid w:val="00A37FD0"/>
    <w:rsid w:val="00A40300"/>
    <w:rsid w:val="00A40A5D"/>
    <w:rsid w:val="00A40F45"/>
    <w:rsid w:val="00A412AD"/>
    <w:rsid w:val="00A412B3"/>
    <w:rsid w:val="00A414F6"/>
    <w:rsid w:val="00A41EA2"/>
    <w:rsid w:val="00A424AD"/>
    <w:rsid w:val="00A42517"/>
    <w:rsid w:val="00A42748"/>
    <w:rsid w:val="00A42958"/>
    <w:rsid w:val="00A42D62"/>
    <w:rsid w:val="00A42DCC"/>
    <w:rsid w:val="00A4328F"/>
    <w:rsid w:val="00A4343A"/>
    <w:rsid w:val="00A43501"/>
    <w:rsid w:val="00A43724"/>
    <w:rsid w:val="00A43CE9"/>
    <w:rsid w:val="00A43CF4"/>
    <w:rsid w:val="00A440FB"/>
    <w:rsid w:val="00A441B9"/>
    <w:rsid w:val="00A44327"/>
    <w:rsid w:val="00A446C1"/>
    <w:rsid w:val="00A44D59"/>
    <w:rsid w:val="00A44FC7"/>
    <w:rsid w:val="00A45037"/>
    <w:rsid w:val="00A452FA"/>
    <w:rsid w:val="00A45353"/>
    <w:rsid w:val="00A45461"/>
    <w:rsid w:val="00A4581C"/>
    <w:rsid w:val="00A46226"/>
    <w:rsid w:val="00A463A5"/>
    <w:rsid w:val="00A46414"/>
    <w:rsid w:val="00A466A7"/>
    <w:rsid w:val="00A466C1"/>
    <w:rsid w:val="00A467DF"/>
    <w:rsid w:val="00A46BA8"/>
    <w:rsid w:val="00A46EB4"/>
    <w:rsid w:val="00A475DA"/>
    <w:rsid w:val="00A47773"/>
    <w:rsid w:val="00A47DFC"/>
    <w:rsid w:val="00A503D4"/>
    <w:rsid w:val="00A509E4"/>
    <w:rsid w:val="00A50E0E"/>
    <w:rsid w:val="00A50F6D"/>
    <w:rsid w:val="00A513DD"/>
    <w:rsid w:val="00A5196E"/>
    <w:rsid w:val="00A5273D"/>
    <w:rsid w:val="00A537BD"/>
    <w:rsid w:val="00A540C7"/>
    <w:rsid w:val="00A555C2"/>
    <w:rsid w:val="00A55CA5"/>
    <w:rsid w:val="00A55F5A"/>
    <w:rsid w:val="00A560A0"/>
    <w:rsid w:val="00A5641C"/>
    <w:rsid w:val="00A566EE"/>
    <w:rsid w:val="00A5685B"/>
    <w:rsid w:val="00A5686B"/>
    <w:rsid w:val="00A56A65"/>
    <w:rsid w:val="00A570DB"/>
    <w:rsid w:val="00A577DD"/>
    <w:rsid w:val="00A6010F"/>
    <w:rsid w:val="00A60523"/>
    <w:rsid w:val="00A60575"/>
    <w:rsid w:val="00A60907"/>
    <w:rsid w:val="00A60B92"/>
    <w:rsid w:val="00A612B4"/>
    <w:rsid w:val="00A617E4"/>
    <w:rsid w:val="00A61992"/>
    <w:rsid w:val="00A61E30"/>
    <w:rsid w:val="00A61ED1"/>
    <w:rsid w:val="00A61FE0"/>
    <w:rsid w:val="00A63ACC"/>
    <w:rsid w:val="00A6426A"/>
    <w:rsid w:val="00A64716"/>
    <w:rsid w:val="00A64962"/>
    <w:rsid w:val="00A64BD6"/>
    <w:rsid w:val="00A64CAA"/>
    <w:rsid w:val="00A65051"/>
    <w:rsid w:val="00A65306"/>
    <w:rsid w:val="00A66560"/>
    <w:rsid w:val="00A66D45"/>
    <w:rsid w:val="00A66D7D"/>
    <w:rsid w:val="00A66DFC"/>
    <w:rsid w:val="00A66F36"/>
    <w:rsid w:val="00A67126"/>
    <w:rsid w:val="00A67151"/>
    <w:rsid w:val="00A67239"/>
    <w:rsid w:val="00A675B4"/>
    <w:rsid w:val="00A70001"/>
    <w:rsid w:val="00A706B6"/>
    <w:rsid w:val="00A70A51"/>
    <w:rsid w:val="00A70C2C"/>
    <w:rsid w:val="00A713F6"/>
    <w:rsid w:val="00A71687"/>
    <w:rsid w:val="00A716C6"/>
    <w:rsid w:val="00A7197C"/>
    <w:rsid w:val="00A72133"/>
    <w:rsid w:val="00A72314"/>
    <w:rsid w:val="00A7265E"/>
    <w:rsid w:val="00A73359"/>
    <w:rsid w:val="00A73A8D"/>
    <w:rsid w:val="00A7420A"/>
    <w:rsid w:val="00A745B9"/>
    <w:rsid w:val="00A7464E"/>
    <w:rsid w:val="00A74CE5"/>
    <w:rsid w:val="00A75204"/>
    <w:rsid w:val="00A756AD"/>
    <w:rsid w:val="00A759FF"/>
    <w:rsid w:val="00A75FCD"/>
    <w:rsid w:val="00A762B9"/>
    <w:rsid w:val="00A76631"/>
    <w:rsid w:val="00A76BCD"/>
    <w:rsid w:val="00A76BEC"/>
    <w:rsid w:val="00A77302"/>
    <w:rsid w:val="00A77BC5"/>
    <w:rsid w:val="00A77F39"/>
    <w:rsid w:val="00A801DD"/>
    <w:rsid w:val="00A80537"/>
    <w:rsid w:val="00A80AED"/>
    <w:rsid w:val="00A80B52"/>
    <w:rsid w:val="00A81617"/>
    <w:rsid w:val="00A817C6"/>
    <w:rsid w:val="00A8192B"/>
    <w:rsid w:val="00A81FBB"/>
    <w:rsid w:val="00A8277B"/>
    <w:rsid w:val="00A82D7C"/>
    <w:rsid w:val="00A83E39"/>
    <w:rsid w:val="00A84302"/>
    <w:rsid w:val="00A85CAC"/>
    <w:rsid w:val="00A85EE9"/>
    <w:rsid w:val="00A86405"/>
    <w:rsid w:val="00A868D1"/>
    <w:rsid w:val="00A86966"/>
    <w:rsid w:val="00A86B67"/>
    <w:rsid w:val="00A870BD"/>
    <w:rsid w:val="00A87120"/>
    <w:rsid w:val="00A87E8D"/>
    <w:rsid w:val="00A87F99"/>
    <w:rsid w:val="00A90221"/>
    <w:rsid w:val="00A905CA"/>
    <w:rsid w:val="00A90965"/>
    <w:rsid w:val="00A90E03"/>
    <w:rsid w:val="00A917DD"/>
    <w:rsid w:val="00A918FC"/>
    <w:rsid w:val="00A91D8A"/>
    <w:rsid w:val="00A92EE5"/>
    <w:rsid w:val="00A93664"/>
    <w:rsid w:val="00A93C4F"/>
    <w:rsid w:val="00A95441"/>
    <w:rsid w:val="00A95582"/>
    <w:rsid w:val="00A95E9A"/>
    <w:rsid w:val="00A9665A"/>
    <w:rsid w:val="00A96B90"/>
    <w:rsid w:val="00A971DC"/>
    <w:rsid w:val="00A979EA"/>
    <w:rsid w:val="00A97F53"/>
    <w:rsid w:val="00AA0359"/>
    <w:rsid w:val="00AA082A"/>
    <w:rsid w:val="00AA0C29"/>
    <w:rsid w:val="00AA1876"/>
    <w:rsid w:val="00AA26D7"/>
    <w:rsid w:val="00AA281A"/>
    <w:rsid w:val="00AA2B58"/>
    <w:rsid w:val="00AA3138"/>
    <w:rsid w:val="00AA313D"/>
    <w:rsid w:val="00AA3C1F"/>
    <w:rsid w:val="00AA4185"/>
    <w:rsid w:val="00AA4627"/>
    <w:rsid w:val="00AA4F1A"/>
    <w:rsid w:val="00AA513A"/>
    <w:rsid w:val="00AA53A4"/>
    <w:rsid w:val="00AA54C1"/>
    <w:rsid w:val="00AA56D7"/>
    <w:rsid w:val="00AA5B79"/>
    <w:rsid w:val="00AA5E1A"/>
    <w:rsid w:val="00AA66BE"/>
    <w:rsid w:val="00AA6DEE"/>
    <w:rsid w:val="00AA6EEB"/>
    <w:rsid w:val="00AB00A9"/>
    <w:rsid w:val="00AB03C5"/>
    <w:rsid w:val="00AB06C2"/>
    <w:rsid w:val="00AB0997"/>
    <w:rsid w:val="00AB12F6"/>
    <w:rsid w:val="00AB141B"/>
    <w:rsid w:val="00AB1531"/>
    <w:rsid w:val="00AB17A0"/>
    <w:rsid w:val="00AB1E41"/>
    <w:rsid w:val="00AB2166"/>
    <w:rsid w:val="00AB2883"/>
    <w:rsid w:val="00AB2C77"/>
    <w:rsid w:val="00AB2D58"/>
    <w:rsid w:val="00AB2F5A"/>
    <w:rsid w:val="00AB331E"/>
    <w:rsid w:val="00AB3380"/>
    <w:rsid w:val="00AB416E"/>
    <w:rsid w:val="00AB419C"/>
    <w:rsid w:val="00AB4856"/>
    <w:rsid w:val="00AB509E"/>
    <w:rsid w:val="00AB5CAA"/>
    <w:rsid w:val="00AB5CE9"/>
    <w:rsid w:val="00AB6C0A"/>
    <w:rsid w:val="00AB6C6B"/>
    <w:rsid w:val="00AB71CE"/>
    <w:rsid w:val="00AB7C8C"/>
    <w:rsid w:val="00AC03E6"/>
    <w:rsid w:val="00AC04C5"/>
    <w:rsid w:val="00AC0AA8"/>
    <w:rsid w:val="00AC0C3E"/>
    <w:rsid w:val="00AC0C52"/>
    <w:rsid w:val="00AC1E4A"/>
    <w:rsid w:val="00AC20C1"/>
    <w:rsid w:val="00AC27B3"/>
    <w:rsid w:val="00AC2858"/>
    <w:rsid w:val="00AC2ABC"/>
    <w:rsid w:val="00AC2C8B"/>
    <w:rsid w:val="00AC35FB"/>
    <w:rsid w:val="00AC3B44"/>
    <w:rsid w:val="00AC4BED"/>
    <w:rsid w:val="00AC4E03"/>
    <w:rsid w:val="00AC5049"/>
    <w:rsid w:val="00AC5180"/>
    <w:rsid w:val="00AC63F4"/>
    <w:rsid w:val="00AC6811"/>
    <w:rsid w:val="00AC692F"/>
    <w:rsid w:val="00AC6A0F"/>
    <w:rsid w:val="00AC6D77"/>
    <w:rsid w:val="00AC74F3"/>
    <w:rsid w:val="00AC7C24"/>
    <w:rsid w:val="00AC7D66"/>
    <w:rsid w:val="00AC7FE3"/>
    <w:rsid w:val="00AD0022"/>
    <w:rsid w:val="00AD0248"/>
    <w:rsid w:val="00AD0535"/>
    <w:rsid w:val="00AD0AAB"/>
    <w:rsid w:val="00AD0B20"/>
    <w:rsid w:val="00AD0D1E"/>
    <w:rsid w:val="00AD1222"/>
    <w:rsid w:val="00AD1AB3"/>
    <w:rsid w:val="00AD22B8"/>
    <w:rsid w:val="00AD25C5"/>
    <w:rsid w:val="00AD2719"/>
    <w:rsid w:val="00AD32DA"/>
    <w:rsid w:val="00AD37F7"/>
    <w:rsid w:val="00AD3828"/>
    <w:rsid w:val="00AD4CC2"/>
    <w:rsid w:val="00AD5051"/>
    <w:rsid w:val="00AD5105"/>
    <w:rsid w:val="00AD51FF"/>
    <w:rsid w:val="00AD55A6"/>
    <w:rsid w:val="00AD5FFC"/>
    <w:rsid w:val="00AD6220"/>
    <w:rsid w:val="00AD675A"/>
    <w:rsid w:val="00AD6976"/>
    <w:rsid w:val="00AD6C11"/>
    <w:rsid w:val="00AD6C56"/>
    <w:rsid w:val="00AD6F06"/>
    <w:rsid w:val="00AD766A"/>
    <w:rsid w:val="00AD78AD"/>
    <w:rsid w:val="00AD7C07"/>
    <w:rsid w:val="00AD7D9A"/>
    <w:rsid w:val="00AE044C"/>
    <w:rsid w:val="00AE078D"/>
    <w:rsid w:val="00AE0D12"/>
    <w:rsid w:val="00AE0DAD"/>
    <w:rsid w:val="00AE0DEB"/>
    <w:rsid w:val="00AE0E71"/>
    <w:rsid w:val="00AE0F8D"/>
    <w:rsid w:val="00AE176A"/>
    <w:rsid w:val="00AE1DB3"/>
    <w:rsid w:val="00AE272D"/>
    <w:rsid w:val="00AE3162"/>
    <w:rsid w:val="00AE3954"/>
    <w:rsid w:val="00AE3B9C"/>
    <w:rsid w:val="00AE3C29"/>
    <w:rsid w:val="00AE4A26"/>
    <w:rsid w:val="00AE5408"/>
    <w:rsid w:val="00AE58B1"/>
    <w:rsid w:val="00AE6086"/>
    <w:rsid w:val="00AE6604"/>
    <w:rsid w:val="00AE6BF6"/>
    <w:rsid w:val="00AE6BF8"/>
    <w:rsid w:val="00AE6DCB"/>
    <w:rsid w:val="00AE6EAA"/>
    <w:rsid w:val="00AE7A2C"/>
    <w:rsid w:val="00AE7F35"/>
    <w:rsid w:val="00AF0088"/>
    <w:rsid w:val="00AF062E"/>
    <w:rsid w:val="00AF0899"/>
    <w:rsid w:val="00AF0A2E"/>
    <w:rsid w:val="00AF0A61"/>
    <w:rsid w:val="00AF0C67"/>
    <w:rsid w:val="00AF14B0"/>
    <w:rsid w:val="00AF16A2"/>
    <w:rsid w:val="00AF16B9"/>
    <w:rsid w:val="00AF1F68"/>
    <w:rsid w:val="00AF1FB6"/>
    <w:rsid w:val="00AF21BE"/>
    <w:rsid w:val="00AF2C56"/>
    <w:rsid w:val="00AF2DAF"/>
    <w:rsid w:val="00AF2FD7"/>
    <w:rsid w:val="00AF30CB"/>
    <w:rsid w:val="00AF31BE"/>
    <w:rsid w:val="00AF365E"/>
    <w:rsid w:val="00AF4D4E"/>
    <w:rsid w:val="00AF4F13"/>
    <w:rsid w:val="00AF4F5C"/>
    <w:rsid w:val="00AF5A31"/>
    <w:rsid w:val="00AF639C"/>
    <w:rsid w:val="00AF665C"/>
    <w:rsid w:val="00AF67E7"/>
    <w:rsid w:val="00AF6E02"/>
    <w:rsid w:val="00AF6F70"/>
    <w:rsid w:val="00AF73F9"/>
    <w:rsid w:val="00AF79C1"/>
    <w:rsid w:val="00B00E95"/>
    <w:rsid w:val="00B00FAA"/>
    <w:rsid w:val="00B0114D"/>
    <w:rsid w:val="00B01171"/>
    <w:rsid w:val="00B01352"/>
    <w:rsid w:val="00B014B5"/>
    <w:rsid w:val="00B0165E"/>
    <w:rsid w:val="00B01903"/>
    <w:rsid w:val="00B02180"/>
    <w:rsid w:val="00B024F1"/>
    <w:rsid w:val="00B0279A"/>
    <w:rsid w:val="00B02BF4"/>
    <w:rsid w:val="00B02E4E"/>
    <w:rsid w:val="00B032FC"/>
    <w:rsid w:val="00B03773"/>
    <w:rsid w:val="00B03ECD"/>
    <w:rsid w:val="00B04255"/>
    <w:rsid w:val="00B04AB8"/>
    <w:rsid w:val="00B0539D"/>
    <w:rsid w:val="00B05E3D"/>
    <w:rsid w:val="00B06631"/>
    <w:rsid w:val="00B06D6D"/>
    <w:rsid w:val="00B07240"/>
    <w:rsid w:val="00B07647"/>
    <w:rsid w:val="00B07B1B"/>
    <w:rsid w:val="00B07D51"/>
    <w:rsid w:val="00B102E5"/>
    <w:rsid w:val="00B1034F"/>
    <w:rsid w:val="00B1038C"/>
    <w:rsid w:val="00B10599"/>
    <w:rsid w:val="00B10B50"/>
    <w:rsid w:val="00B10FC6"/>
    <w:rsid w:val="00B1166E"/>
    <w:rsid w:val="00B11B3F"/>
    <w:rsid w:val="00B11C0E"/>
    <w:rsid w:val="00B11EB1"/>
    <w:rsid w:val="00B1257F"/>
    <w:rsid w:val="00B12834"/>
    <w:rsid w:val="00B12F85"/>
    <w:rsid w:val="00B1359D"/>
    <w:rsid w:val="00B13607"/>
    <w:rsid w:val="00B140D2"/>
    <w:rsid w:val="00B1417B"/>
    <w:rsid w:val="00B14563"/>
    <w:rsid w:val="00B146F2"/>
    <w:rsid w:val="00B14A7D"/>
    <w:rsid w:val="00B14B26"/>
    <w:rsid w:val="00B151F4"/>
    <w:rsid w:val="00B15720"/>
    <w:rsid w:val="00B159DC"/>
    <w:rsid w:val="00B15CFE"/>
    <w:rsid w:val="00B16645"/>
    <w:rsid w:val="00B168D5"/>
    <w:rsid w:val="00B16F2C"/>
    <w:rsid w:val="00B16F87"/>
    <w:rsid w:val="00B178CF"/>
    <w:rsid w:val="00B200E0"/>
    <w:rsid w:val="00B209C6"/>
    <w:rsid w:val="00B20C48"/>
    <w:rsid w:val="00B2106A"/>
    <w:rsid w:val="00B213AE"/>
    <w:rsid w:val="00B21796"/>
    <w:rsid w:val="00B21889"/>
    <w:rsid w:val="00B2188B"/>
    <w:rsid w:val="00B21AB9"/>
    <w:rsid w:val="00B222EA"/>
    <w:rsid w:val="00B22A7B"/>
    <w:rsid w:val="00B22F2D"/>
    <w:rsid w:val="00B247BF"/>
    <w:rsid w:val="00B251B4"/>
    <w:rsid w:val="00B26099"/>
    <w:rsid w:val="00B2660D"/>
    <w:rsid w:val="00B269C5"/>
    <w:rsid w:val="00B26A4D"/>
    <w:rsid w:val="00B26A7B"/>
    <w:rsid w:val="00B26DF6"/>
    <w:rsid w:val="00B26E39"/>
    <w:rsid w:val="00B26F7E"/>
    <w:rsid w:val="00B2753A"/>
    <w:rsid w:val="00B27D91"/>
    <w:rsid w:val="00B27D9C"/>
    <w:rsid w:val="00B30246"/>
    <w:rsid w:val="00B303C4"/>
    <w:rsid w:val="00B31A19"/>
    <w:rsid w:val="00B32C84"/>
    <w:rsid w:val="00B32D62"/>
    <w:rsid w:val="00B3335B"/>
    <w:rsid w:val="00B338B8"/>
    <w:rsid w:val="00B33F63"/>
    <w:rsid w:val="00B34303"/>
    <w:rsid w:val="00B343AC"/>
    <w:rsid w:val="00B3459C"/>
    <w:rsid w:val="00B349ED"/>
    <w:rsid w:val="00B349FA"/>
    <w:rsid w:val="00B34CC0"/>
    <w:rsid w:val="00B35C9F"/>
    <w:rsid w:val="00B35CDB"/>
    <w:rsid w:val="00B35D52"/>
    <w:rsid w:val="00B36273"/>
    <w:rsid w:val="00B36EB2"/>
    <w:rsid w:val="00B36EC4"/>
    <w:rsid w:val="00B37196"/>
    <w:rsid w:val="00B404AF"/>
    <w:rsid w:val="00B40F82"/>
    <w:rsid w:val="00B415A6"/>
    <w:rsid w:val="00B42E83"/>
    <w:rsid w:val="00B438FC"/>
    <w:rsid w:val="00B43F25"/>
    <w:rsid w:val="00B441CA"/>
    <w:rsid w:val="00B4462E"/>
    <w:rsid w:val="00B44799"/>
    <w:rsid w:val="00B44B9F"/>
    <w:rsid w:val="00B455E6"/>
    <w:rsid w:val="00B45B88"/>
    <w:rsid w:val="00B45EEB"/>
    <w:rsid w:val="00B4618B"/>
    <w:rsid w:val="00B46192"/>
    <w:rsid w:val="00B46D70"/>
    <w:rsid w:val="00B47391"/>
    <w:rsid w:val="00B473E3"/>
    <w:rsid w:val="00B47616"/>
    <w:rsid w:val="00B47764"/>
    <w:rsid w:val="00B50861"/>
    <w:rsid w:val="00B51053"/>
    <w:rsid w:val="00B520A8"/>
    <w:rsid w:val="00B521A4"/>
    <w:rsid w:val="00B528ED"/>
    <w:rsid w:val="00B52BB2"/>
    <w:rsid w:val="00B52FF7"/>
    <w:rsid w:val="00B531F2"/>
    <w:rsid w:val="00B5362C"/>
    <w:rsid w:val="00B53860"/>
    <w:rsid w:val="00B53BD5"/>
    <w:rsid w:val="00B54147"/>
    <w:rsid w:val="00B543D0"/>
    <w:rsid w:val="00B544E7"/>
    <w:rsid w:val="00B54585"/>
    <w:rsid w:val="00B54DAC"/>
    <w:rsid w:val="00B554AF"/>
    <w:rsid w:val="00B561C4"/>
    <w:rsid w:val="00B56533"/>
    <w:rsid w:val="00B57284"/>
    <w:rsid w:val="00B579B8"/>
    <w:rsid w:val="00B579CA"/>
    <w:rsid w:val="00B57B96"/>
    <w:rsid w:val="00B57C2B"/>
    <w:rsid w:val="00B57C31"/>
    <w:rsid w:val="00B57CB6"/>
    <w:rsid w:val="00B57F03"/>
    <w:rsid w:val="00B612A0"/>
    <w:rsid w:val="00B615C3"/>
    <w:rsid w:val="00B61CA8"/>
    <w:rsid w:val="00B62174"/>
    <w:rsid w:val="00B6259D"/>
    <w:rsid w:val="00B625B2"/>
    <w:rsid w:val="00B62C89"/>
    <w:rsid w:val="00B62CB8"/>
    <w:rsid w:val="00B62F10"/>
    <w:rsid w:val="00B63669"/>
    <w:rsid w:val="00B6367F"/>
    <w:rsid w:val="00B63C92"/>
    <w:rsid w:val="00B64458"/>
    <w:rsid w:val="00B64658"/>
    <w:rsid w:val="00B6469B"/>
    <w:rsid w:val="00B64740"/>
    <w:rsid w:val="00B648F5"/>
    <w:rsid w:val="00B64E7F"/>
    <w:rsid w:val="00B651F9"/>
    <w:rsid w:val="00B6539A"/>
    <w:rsid w:val="00B656ED"/>
    <w:rsid w:val="00B65BEE"/>
    <w:rsid w:val="00B66711"/>
    <w:rsid w:val="00B66E6D"/>
    <w:rsid w:val="00B674AB"/>
    <w:rsid w:val="00B70566"/>
    <w:rsid w:val="00B70574"/>
    <w:rsid w:val="00B7065C"/>
    <w:rsid w:val="00B71003"/>
    <w:rsid w:val="00B711C7"/>
    <w:rsid w:val="00B71564"/>
    <w:rsid w:val="00B71569"/>
    <w:rsid w:val="00B71BDF"/>
    <w:rsid w:val="00B71F67"/>
    <w:rsid w:val="00B7225B"/>
    <w:rsid w:val="00B72311"/>
    <w:rsid w:val="00B723CA"/>
    <w:rsid w:val="00B727BA"/>
    <w:rsid w:val="00B728AA"/>
    <w:rsid w:val="00B72AC0"/>
    <w:rsid w:val="00B72AC6"/>
    <w:rsid w:val="00B72FBA"/>
    <w:rsid w:val="00B73550"/>
    <w:rsid w:val="00B737B8"/>
    <w:rsid w:val="00B73CD8"/>
    <w:rsid w:val="00B73D6E"/>
    <w:rsid w:val="00B7435B"/>
    <w:rsid w:val="00B74522"/>
    <w:rsid w:val="00B74A84"/>
    <w:rsid w:val="00B764E4"/>
    <w:rsid w:val="00B77529"/>
    <w:rsid w:val="00B77AB7"/>
    <w:rsid w:val="00B77C2F"/>
    <w:rsid w:val="00B77EAC"/>
    <w:rsid w:val="00B809D8"/>
    <w:rsid w:val="00B80B7C"/>
    <w:rsid w:val="00B80DFB"/>
    <w:rsid w:val="00B82EFC"/>
    <w:rsid w:val="00B83826"/>
    <w:rsid w:val="00B838DC"/>
    <w:rsid w:val="00B84770"/>
    <w:rsid w:val="00B8540B"/>
    <w:rsid w:val="00B8581C"/>
    <w:rsid w:val="00B85831"/>
    <w:rsid w:val="00B858C1"/>
    <w:rsid w:val="00B85DAE"/>
    <w:rsid w:val="00B86100"/>
    <w:rsid w:val="00B86159"/>
    <w:rsid w:val="00B86347"/>
    <w:rsid w:val="00B86409"/>
    <w:rsid w:val="00B86424"/>
    <w:rsid w:val="00B866A6"/>
    <w:rsid w:val="00B86E6F"/>
    <w:rsid w:val="00B8734F"/>
    <w:rsid w:val="00B87BA0"/>
    <w:rsid w:val="00B87CBD"/>
    <w:rsid w:val="00B87EB9"/>
    <w:rsid w:val="00B87EDB"/>
    <w:rsid w:val="00B900BB"/>
    <w:rsid w:val="00B902BA"/>
    <w:rsid w:val="00B903E6"/>
    <w:rsid w:val="00B904CC"/>
    <w:rsid w:val="00B9162C"/>
    <w:rsid w:val="00B91CC1"/>
    <w:rsid w:val="00B91ECF"/>
    <w:rsid w:val="00B922E5"/>
    <w:rsid w:val="00B927B1"/>
    <w:rsid w:val="00B92829"/>
    <w:rsid w:val="00B92CFD"/>
    <w:rsid w:val="00B92F26"/>
    <w:rsid w:val="00B9323B"/>
    <w:rsid w:val="00B93806"/>
    <w:rsid w:val="00B93A35"/>
    <w:rsid w:val="00B93BA6"/>
    <w:rsid w:val="00B940CC"/>
    <w:rsid w:val="00B94D83"/>
    <w:rsid w:val="00B94F0D"/>
    <w:rsid w:val="00B95132"/>
    <w:rsid w:val="00B9515D"/>
    <w:rsid w:val="00B95199"/>
    <w:rsid w:val="00B96294"/>
    <w:rsid w:val="00B969F2"/>
    <w:rsid w:val="00B96E83"/>
    <w:rsid w:val="00BA07E8"/>
    <w:rsid w:val="00BA09D5"/>
    <w:rsid w:val="00BA0C3D"/>
    <w:rsid w:val="00BA0D7A"/>
    <w:rsid w:val="00BA1181"/>
    <w:rsid w:val="00BA1E51"/>
    <w:rsid w:val="00BA21E4"/>
    <w:rsid w:val="00BA2270"/>
    <w:rsid w:val="00BA2EEA"/>
    <w:rsid w:val="00BA33B9"/>
    <w:rsid w:val="00BA3818"/>
    <w:rsid w:val="00BA39F0"/>
    <w:rsid w:val="00BA3A42"/>
    <w:rsid w:val="00BA4014"/>
    <w:rsid w:val="00BA4850"/>
    <w:rsid w:val="00BA4987"/>
    <w:rsid w:val="00BA573B"/>
    <w:rsid w:val="00BA5BFE"/>
    <w:rsid w:val="00BA65FC"/>
    <w:rsid w:val="00BA71B2"/>
    <w:rsid w:val="00BA73A9"/>
    <w:rsid w:val="00BA768E"/>
    <w:rsid w:val="00BA7782"/>
    <w:rsid w:val="00BA7E32"/>
    <w:rsid w:val="00BB01B4"/>
    <w:rsid w:val="00BB0631"/>
    <w:rsid w:val="00BB1053"/>
    <w:rsid w:val="00BB2402"/>
    <w:rsid w:val="00BB2EAF"/>
    <w:rsid w:val="00BB3CC4"/>
    <w:rsid w:val="00BB4436"/>
    <w:rsid w:val="00BB4A5A"/>
    <w:rsid w:val="00BB5041"/>
    <w:rsid w:val="00BB5416"/>
    <w:rsid w:val="00BB56E9"/>
    <w:rsid w:val="00BB5C93"/>
    <w:rsid w:val="00BB6791"/>
    <w:rsid w:val="00BB69B5"/>
    <w:rsid w:val="00BB6B3E"/>
    <w:rsid w:val="00BB6C3A"/>
    <w:rsid w:val="00BB6D85"/>
    <w:rsid w:val="00BB768E"/>
    <w:rsid w:val="00BB7920"/>
    <w:rsid w:val="00BB7B1C"/>
    <w:rsid w:val="00BB7F90"/>
    <w:rsid w:val="00BC0334"/>
    <w:rsid w:val="00BC045D"/>
    <w:rsid w:val="00BC0472"/>
    <w:rsid w:val="00BC0ADB"/>
    <w:rsid w:val="00BC1700"/>
    <w:rsid w:val="00BC1D49"/>
    <w:rsid w:val="00BC1F46"/>
    <w:rsid w:val="00BC2166"/>
    <w:rsid w:val="00BC23B5"/>
    <w:rsid w:val="00BC258D"/>
    <w:rsid w:val="00BC2A49"/>
    <w:rsid w:val="00BC2E35"/>
    <w:rsid w:val="00BC38E6"/>
    <w:rsid w:val="00BC4264"/>
    <w:rsid w:val="00BC469E"/>
    <w:rsid w:val="00BC4BC3"/>
    <w:rsid w:val="00BC4C53"/>
    <w:rsid w:val="00BC4CFC"/>
    <w:rsid w:val="00BC54F1"/>
    <w:rsid w:val="00BC57C9"/>
    <w:rsid w:val="00BC5FE4"/>
    <w:rsid w:val="00BC716E"/>
    <w:rsid w:val="00BC730A"/>
    <w:rsid w:val="00BC776C"/>
    <w:rsid w:val="00BC7B2E"/>
    <w:rsid w:val="00BC7FF2"/>
    <w:rsid w:val="00BD005A"/>
    <w:rsid w:val="00BD0279"/>
    <w:rsid w:val="00BD02C6"/>
    <w:rsid w:val="00BD08B8"/>
    <w:rsid w:val="00BD09A7"/>
    <w:rsid w:val="00BD10D3"/>
    <w:rsid w:val="00BD12CB"/>
    <w:rsid w:val="00BD148D"/>
    <w:rsid w:val="00BD1A96"/>
    <w:rsid w:val="00BD2318"/>
    <w:rsid w:val="00BD2359"/>
    <w:rsid w:val="00BD2AAA"/>
    <w:rsid w:val="00BD2B62"/>
    <w:rsid w:val="00BD2F10"/>
    <w:rsid w:val="00BD3436"/>
    <w:rsid w:val="00BD3711"/>
    <w:rsid w:val="00BD3F13"/>
    <w:rsid w:val="00BD3F1C"/>
    <w:rsid w:val="00BD3F38"/>
    <w:rsid w:val="00BD4056"/>
    <w:rsid w:val="00BD4190"/>
    <w:rsid w:val="00BD4254"/>
    <w:rsid w:val="00BD42CE"/>
    <w:rsid w:val="00BD49FC"/>
    <w:rsid w:val="00BD5065"/>
    <w:rsid w:val="00BD5369"/>
    <w:rsid w:val="00BD547E"/>
    <w:rsid w:val="00BD5724"/>
    <w:rsid w:val="00BD5C69"/>
    <w:rsid w:val="00BD5DDA"/>
    <w:rsid w:val="00BD5E86"/>
    <w:rsid w:val="00BD5F27"/>
    <w:rsid w:val="00BD6A90"/>
    <w:rsid w:val="00BD6ACF"/>
    <w:rsid w:val="00BD6C17"/>
    <w:rsid w:val="00BD706A"/>
    <w:rsid w:val="00BD7112"/>
    <w:rsid w:val="00BD7521"/>
    <w:rsid w:val="00BD79A2"/>
    <w:rsid w:val="00BE0CEE"/>
    <w:rsid w:val="00BE0E75"/>
    <w:rsid w:val="00BE0E94"/>
    <w:rsid w:val="00BE1CE7"/>
    <w:rsid w:val="00BE237B"/>
    <w:rsid w:val="00BE2417"/>
    <w:rsid w:val="00BE259D"/>
    <w:rsid w:val="00BE2787"/>
    <w:rsid w:val="00BE33EC"/>
    <w:rsid w:val="00BE36DC"/>
    <w:rsid w:val="00BE3B4D"/>
    <w:rsid w:val="00BE3C2E"/>
    <w:rsid w:val="00BE437A"/>
    <w:rsid w:val="00BE43B3"/>
    <w:rsid w:val="00BE4505"/>
    <w:rsid w:val="00BE49BB"/>
    <w:rsid w:val="00BE4E12"/>
    <w:rsid w:val="00BE4E8E"/>
    <w:rsid w:val="00BE4EC8"/>
    <w:rsid w:val="00BE5337"/>
    <w:rsid w:val="00BE55D4"/>
    <w:rsid w:val="00BE56D9"/>
    <w:rsid w:val="00BE5954"/>
    <w:rsid w:val="00BE63AF"/>
    <w:rsid w:val="00BE6959"/>
    <w:rsid w:val="00BE6B32"/>
    <w:rsid w:val="00BE72A0"/>
    <w:rsid w:val="00BE7650"/>
    <w:rsid w:val="00BE78AB"/>
    <w:rsid w:val="00BE78BB"/>
    <w:rsid w:val="00BE7D6F"/>
    <w:rsid w:val="00BE7F95"/>
    <w:rsid w:val="00BE7FA0"/>
    <w:rsid w:val="00BF0496"/>
    <w:rsid w:val="00BF04FE"/>
    <w:rsid w:val="00BF0873"/>
    <w:rsid w:val="00BF0C28"/>
    <w:rsid w:val="00BF0CC5"/>
    <w:rsid w:val="00BF141B"/>
    <w:rsid w:val="00BF1E71"/>
    <w:rsid w:val="00BF2712"/>
    <w:rsid w:val="00BF2980"/>
    <w:rsid w:val="00BF2B04"/>
    <w:rsid w:val="00BF2EAB"/>
    <w:rsid w:val="00BF33BB"/>
    <w:rsid w:val="00BF38AC"/>
    <w:rsid w:val="00BF3B19"/>
    <w:rsid w:val="00BF4123"/>
    <w:rsid w:val="00BF43FB"/>
    <w:rsid w:val="00BF4D72"/>
    <w:rsid w:val="00BF510E"/>
    <w:rsid w:val="00BF5147"/>
    <w:rsid w:val="00BF53ED"/>
    <w:rsid w:val="00BF54FE"/>
    <w:rsid w:val="00BF5811"/>
    <w:rsid w:val="00BF5F17"/>
    <w:rsid w:val="00BF678D"/>
    <w:rsid w:val="00BF683C"/>
    <w:rsid w:val="00BF73D5"/>
    <w:rsid w:val="00BF7888"/>
    <w:rsid w:val="00BF7961"/>
    <w:rsid w:val="00BF797F"/>
    <w:rsid w:val="00BF7987"/>
    <w:rsid w:val="00BF7F1F"/>
    <w:rsid w:val="00C00499"/>
    <w:rsid w:val="00C00AAD"/>
    <w:rsid w:val="00C00D22"/>
    <w:rsid w:val="00C01489"/>
    <w:rsid w:val="00C01651"/>
    <w:rsid w:val="00C01C22"/>
    <w:rsid w:val="00C02119"/>
    <w:rsid w:val="00C022A5"/>
    <w:rsid w:val="00C024C2"/>
    <w:rsid w:val="00C02EDB"/>
    <w:rsid w:val="00C035E5"/>
    <w:rsid w:val="00C0364B"/>
    <w:rsid w:val="00C03691"/>
    <w:rsid w:val="00C03AF9"/>
    <w:rsid w:val="00C04132"/>
    <w:rsid w:val="00C046B1"/>
    <w:rsid w:val="00C04C07"/>
    <w:rsid w:val="00C05619"/>
    <w:rsid w:val="00C065A0"/>
    <w:rsid w:val="00C066EC"/>
    <w:rsid w:val="00C06912"/>
    <w:rsid w:val="00C07867"/>
    <w:rsid w:val="00C10802"/>
    <w:rsid w:val="00C108D0"/>
    <w:rsid w:val="00C10E28"/>
    <w:rsid w:val="00C117B2"/>
    <w:rsid w:val="00C11DCD"/>
    <w:rsid w:val="00C12655"/>
    <w:rsid w:val="00C12855"/>
    <w:rsid w:val="00C12AAF"/>
    <w:rsid w:val="00C12E5F"/>
    <w:rsid w:val="00C1316A"/>
    <w:rsid w:val="00C131BD"/>
    <w:rsid w:val="00C13351"/>
    <w:rsid w:val="00C1345A"/>
    <w:rsid w:val="00C134F1"/>
    <w:rsid w:val="00C136DF"/>
    <w:rsid w:val="00C13DA6"/>
    <w:rsid w:val="00C13EBE"/>
    <w:rsid w:val="00C14513"/>
    <w:rsid w:val="00C15D1B"/>
    <w:rsid w:val="00C16768"/>
    <w:rsid w:val="00C1781A"/>
    <w:rsid w:val="00C17F62"/>
    <w:rsid w:val="00C17F6C"/>
    <w:rsid w:val="00C207CE"/>
    <w:rsid w:val="00C20BEB"/>
    <w:rsid w:val="00C20EB8"/>
    <w:rsid w:val="00C20EC2"/>
    <w:rsid w:val="00C2140A"/>
    <w:rsid w:val="00C21B43"/>
    <w:rsid w:val="00C21F88"/>
    <w:rsid w:val="00C22156"/>
    <w:rsid w:val="00C223A9"/>
    <w:rsid w:val="00C22955"/>
    <w:rsid w:val="00C2295D"/>
    <w:rsid w:val="00C229DD"/>
    <w:rsid w:val="00C22C20"/>
    <w:rsid w:val="00C22C55"/>
    <w:rsid w:val="00C22D60"/>
    <w:rsid w:val="00C23453"/>
    <w:rsid w:val="00C23B3C"/>
    <w:rsid w:val="00C23D37"/>
    <w:rsid w:val="00C23DE4"/>
    <w:rsid w:val="00C240B0"/>
    <w:rsid w:val="00C2426F"/>
    <w:rsid w:val="00C242B9"/>
    <w:rsid w:val="00C244BB"/>
    <w:rsid w:val="00C24818"/>
    <w:rsid w:val="00C261CE"/>
    <w:rsid w:val="00C262C0"/>
    <w:rsid w:val="00C26336"/>
    <w:rsid w:val="00C26C8F"/>
    <w:rsid w:val="00C26DB1"/>
    <w:rsid w:val="00C27EC0"/>
    <w:rsid w:val="00C3024F"/>
    <w:rsid w:val="00C3128E"/>
    <w:rsid w:val="00C315BA"/>
    <w:rsid w:val="00C31F5D"/>
    <w:rsid w:val="00C32392"/>
    <w:rsid w:val="00C32C92"/>
    <w:rsid w:val="00C33038"/>
    <w:rsid w:val="00C33969"/>
    <w:rsid w:val="00C340E2"/>
    <w:rsid w:val="00C35099"/>
    <w:rsid w:val="00C35106"/>
    <w:rsid w:val="00C35125"/>
    <w:rsid w:val="00C356D7"/>
    <w:rsid w:val="00C35B34"/>
    <w:rsid w:val="00C35C00"/>
    <w:rsid w:val="00C366AB"/>
    <w:rsid w:val="00C366E4"/>
    <w:rsid w:val="00C36D1A"/>
    <w:rsid w:val="00C3731A"/>
    <w:rsid w:val="00C40045"/>
    <w:rsid w:val="00C408F2"/>
    <w:rsid w:val="00C40BB0"/>
    <w:rsid w:val="00C412BA"/>
    <w:rsid w:val="00C418DB"/>
    <w:rsid w:val="00C41A23"/>
    <w:rsid w:val="00C42514"/>
    <w:rsid w:val="00C434CD"/>
    <w:rsid w:val="00C43E31"/>
    <w:rsid w:val="00C44534"/>
    <w:rsid w:val="00C44A0E"/>
    <w:rsid w:val="00C44ACF"/>
    <w:rsid w:val="00C4502B"/>
    <w:rsid w:val="00C4519C"/>
    <w:rsid w:val="00C45237"/>
    <w:rsid w:val="00C45460"/>
    <w:rsid w:val="00C454CE"/>
    <w:rsid w:val="00C45DD9"/>
    <w:rsid w:val="00C45F2A"/>
    <w:rsid w:val="00C45F59"/>
    <w:rsid w:val="00C4614F"/>
    <w:rsid w:val="00C46725"/>
    <w:rsid w:val="00C46804"/>
    <w:rsid w:val="00C46B0B"/>
    <w:rsid w:val="00C46D47"/>
    <w:rsid w:val="00C474A3"/>
    <w:rsid w:val="00C47516"/>
    <w:rsid w:val="00C47BC6"/>
    <w:rsid w:val="00C47D49"/>
    <w:rsid w:val="00C502F1"/>
    <w:rsid w:val="00C50DFD"/>
    <w:rsid w:val="00C510BB"/>
    <w:rsid w:val="00C52048"/>
    <w:rsid w:val="00C521ED"/>
    <w:rsid w:val="00C523EB"/>
    <w:rsid w:val="00C5298B"/>
    <w:rsid w:val="00C546A9"/>
    <w:rsid w:val="00C54AD7"/>
    <w:rsid w:val="00C5519A"/>
    <w:rsid w:val="00C55D71"/>
    <w:rsid w:val="00C55E3D"/>
    <w:rsid w:val="00C55FD6"/>
    <w:rsid w:val="00C562ED"/>
    <w:rsid w:val="00C56668"/>
    <w:rsid w:val="00C56A1B"/>
    <w:rsid w:val="00C56AAC"/>
    <w:rsid w:val="00C56AC2"/>
    <w:rsid w:val="00C57174"/>
    <w:rsid w:val="00C57670"/>
    <w:rsid w:val="00C57736"/>
    <w:rsid w:val="00C57B18"/>
    <w:rsid w:val="00C60754"/>
    <w:rsid w:val="00C61552"/>
    <w:rsid w:val="00C6173F"/>
    <w:rsid w:val="00C618F5"/>
    <w:rsid w:val="00C6211A"/>
    <w:rsid w:val="00C625FD"/>
    <w:rsid w:val="00C62C38"/>
    <w:rsid w:val="00C639B7"/>
    <w:rsid w:val="00C64082"/>
    <w:rsid w:val="00C64217"/>
    <w:rsid w:val="00C64B86"/>
    <w:rsid w:val="00C65687"/>
    <w:rsid w:val="00C65883"/>
    <w:rsid w:val="00C659EE"/>
    <w:rsid w:val="00C65BEE"/>
    <w:rsid w:val="00C66B81"/>
    <w:rsid w:val="00C67099"/>
    <w:rsid w:val="00C67737"/>
    <w:rsid w:val="00C679CF"/>
    <w:rsid w:val="00C679DF"/>
    <w:rsid w:val="00C67E4A"/>
    <w:rsid w:val="00C70745"/>
    <w:rsid w:val="00C7122C"/>
    <w:rsid w:val="00C7148A"/>
    <w:rsid w:val="00C71CE7"/>
    <w:rsid w:val="00C71D15"/>
    <w:rsid w:val="00C726A1"/>
    <w:rsid w:val="00C72B76"/>
    <w:rsid w:val="00C72CA0"/>
    <w:rsid w:val="00C73D02"/>
    <w:rsid w:val="00C74590"/>
    <w:rsid w:val="00C747D4"/>
    <w:rsid w:val="00C751B1"/>
    <w:rsid w:val="00C75713"/>
    <w:rsid w:val="00C7580E"/>
    <w:rsid w:val="00C75C57"/>
    <w:rsid w:val="00C75E7E"/>
    <w:rsid w:val="00C76104"/>
    <w:rsid w:val="00C762C6"/>
    <w:rsid w:val="00C766AB"/>
    <w:rsid w:val="00C76EAD"/>
    <w:rsid w:val="00C76EF6"/>
    <w:rsid w:val="00C77A19"/>
    <w:rsid w:val="00C77BCB"/>
    <w:rsid w:val="00C8001A"/>
    <w:rsid w:val="00C81E31"/>
    <w:rsid w:val="00C81FBF"/>
    <w:rsid w:val="00C8216E"/>
    <w:rsid w:val="00C822D7"/>
    <w:rsid w:val="00C8243A"/>
    <w:rsid w:val="00C82769"/>
    <w:rsid w:val="00C82AA5"/>
    <w:rsid w:val="00C82AF9"/>
    <w:rsid w:val="00C82B5C"/>
    <w:rsid w:val="00C82F70"/>
    <w:rsid w:val="00C82FFE"/>
    <w:rsid w:val="00C830FC"/>
    <w:rsid w:val="00C83450"/>
    <w:rsid w:val="00C8356E"/>
    <w:rsid w:val="00C8369B"/>
    <w:rsid w:val="00C83819"/>
    <w:rsid w:val="00C839FA"/>
    <w:rsid w:val="00C83F53"/>
    <w:rsid w:val="00C84113"/>
    <w:rsid w:val="00C84398"/>
    <w:rsid w:val="00C84A87"/>
    <w:rsid w:val="00C84C8F"/>
    <w:rsid w:val="00C84CBF"/>
    <w:rsid w:val="00C85E50"/>
    <w:rsid w:val="00C863ED"/>
    <w:rsid w:val="00C8676F"/>
    <w:rsid w:val="00C86B06"/>
    <w:rsid w:val="00C86C26"/>
    <w:rsid w:val="00C86D92"/>
    <w:rsid w:val="00C86DF0"/>
    <w:rsid w:val="00C872BB"/>
    <w:rsid w:val="00C875DC"/>
    <w:rsid w:val="00C876CD"/>
    <w:rsid w:val="00C87A03"/>
    <w:rsid w:val="00C9022A"/>
    <w:rsid w:val="00C9027B"/>
    <w:rsid w:val="00C9063A"/>
    <w:rsid w:val="00C90A7E"/>
    <w:rsid w:val="00C919B6"/>
    <w:rsid w:val="00C91A45"/>
    <w:rsid w:val="00C91B86"/>
    <w:rsid w:val="00C91D3E"/>
    <w:rsid w:val="00C91F77"/>
    <w:rsid w:val="00C92278"/>
    <w:rsid w:val="00C92C5E"/>
    <w:rsid w:val="00C92E0E"/>
    <w:rsid w:val="00C92FD0"/>
    <w:rsid w:val="00C9310A"/>
    <w:rsid w:val="00C934AE"/>
    <w:rsid w:val="00C93951"/>
    <w:rsid w:val="00C939CB"/>
    <w:rsid w:val="00C93A21"/>
    <w:rsid w:val="00C93DA0"/>
    <w:rsid w:val="00C93EBE"/>
    <w:rsid w:val="00C941A0"/>
    <w:rsid w:val="00C941F3"/>
    <w:rsid w:val="00C943EA"/>
    <w:rsid w:val="00C9452D"/>
    <w:rsid w:val="00C95445"/>
    <w:rsid w:val="00C9586A"/>
    <w:rsid w:val="00C95A6E"/>
    <w:rsid w:val="00C95A97"/>
    <w:rsid w:val="00C95F04"/>
    <w:rsid w:val="00C96640"/>
    <w:rsid w:val="00C96E9F"/>
    <w:rsid w:val="00C97723"/>
    <w:rsid w:val="00C97B84"/>
    <w:rsid w:val="00C97CB3"/>
    <w:rsid w:val="00CA02C9"/>
    <w:rsid w:val="00CA0544"/>
    <w:rsid w:val="00CA0563"/>
    <w:rsid w:val="00CA059C"/>
    <w:rsid w:val="00CA07A4"/>
    <w:rsid w:val="00CA0914"/>
    <w:rsid w:val="00CA1593"/>
    <w:rsid w:val="00CA16A2"/>
    <w:rsid w:val="00CA1B21"/>
    <w:rsid w:val="00CA1E72"/>
    <w:rsid w:val="00CA1EB9"/>
    <w:rsid w:val="00CA27ED"/>
    <w:rsid w:val="00CA28EA"/>
    <w:rsid w:val="00CA2D1C"/>
    <w:rsid w:val="00CA3641"/>
    <w:rsid w:val="00CA388C"/>
    <w:rsid w:val="00CA5183"/>
    <w:rsid w:val="00CA542F"/>
    <w:rsid w:val="00CA5811"/>
    <w:rsid w:val="00CA64CE"/>
    <w:rsid w:val="00CA6FD9"/>
    <w:rsid w:val="00CA7023"/>
    <w:rsid w:val="00CA7677"/>
    <w:rsid w:val="00CA77B5"/>
    <w:rsid w:val="00CA796A"/>
    <w:rsid w:val="00CA7EFF"/>
    <w:rsid w:val="00CB0024"/>
    <w:rsid w:val="00CB0214"/>
    <w:rsid w:val="00CB0DB2"/>
    <w:rsid w:val="00CB2144"/>
    <w:rsid w:val="00CB22FB"/>
    <w:rsid w:val="00CB2356"/>
    <w:rsid w:val="00CB289F"/>
    <w:rsid w:val="00CB2B7B"/>
    <w:rsid w:val="00CB37FC"/>
    <w:rsid w:val="00CB3942"/>
    <w:rsid w:val="00CB3B31"/>
    <w:rsid w:val="00CB42BB"/>
    <w:rsid w:val="00CB46AB"/>
    <w:rsid w:val="00CB49EF"/>
    <w:rsid w:val="00CB50AD"/>
    <w:rsid w:val="00CB50B5"/>
    <w:rsid w:val="00CB5D0C"/>
    <w:rsid w:val="00CB6058"/>
    <w:rsid w:val="00CB62BD"/>
    <w:rsid w:val="00CB62E9"/>
    <w:rsid w:val="00CB6CB0"/>
    <w:rsid w:val="00CB6CF8"/>
    <w:rsid w:val="00CB7425"/>
    <w:rsid w:val="00CB7B7F"/>
    <w:rsid w:val="00CC0092"/>
    <w:rsid w:val="00CC0B18"/>
    <w:rsid w:val="00CC10BD"/>
    <w:rsid w:val="00CC1CCA"/>
    <w:rsid w:val="00CC1D38"/>
    <w:rsid w:val="00CC2406"/>
    <w:rsid w:val="00CC24F3"/>
    <w:rsid w:val="00CC2652"/>
    <w:rsid w:val="00CC2BCE"/>
    <w:rsid w:val="00CC3306"/>
    <w:rsid w:val="00CC34B9"/>
    <w:rsid w:val="00CC393B"/>
    <w:rsid w:val="00CC3F03"/>
    <w:rsid w:val="00CC466E"/>
    <w:rsid w:val="00CC47E5"/>
    <w:rsid w:val="00CC4D8D"/>
    <w:rsid w:val="00CC5114"/>
    <w:rsid w:val="00CC52C4"/>
    <w:rsid w:val="00CC566B"/>
    <w:rsid w:val="00CC5C11"/>
    <w:rsid w:val="00CC5CC3"/>
    <w:rsid w:val="00CC6AB9"/>
    <w:rsid w:val="00CC6B2F"/>
    <w:rsid w:val="00CC6D4C"/>
    <w:rsid w:val="00CC7500"/>
    <w:rsid w:val="00CC7673"/>
    <w:rsid w:val="00CC7734"/>
    <w:rsid w:val="00CC777F"/>
    <w:rsid w:val="00CC7D9C"/>
    <w:rsid w:val="00CC7F06"/>
    <w:rsid w:val="00CD0324"/>
    <w:rsid w:val="00CD037C"/>
    <w:rsid w:val="00CD04CC"/>
    <w:rsid w:val="00CD095E"/>
    <w:rsid w:val="00CD0F07"/>
    <w:rsid w:val="00CD0F13"/>
    <w:rsid w:val="00CD11EE"/>
    <w:rsid w:val="00CD13E3"/>
    <w:rsid w:val="00CD1B6A"/>
    <w:rsid w:val="00CD1C15"/>
    <w:rsid w:val="00CD274A"/>
    <w:rsid w:val="00CD2C7E"/>
    <w:rsid w:val="00CD2DB6"/>
    <w:rsid w:val="00CD2E5F"/>
    <w:rsid w:val="00CD39A8"/>
    <w:rsid w:val="00CD3AD6"/>
    <w:rsid w:val="00CD3C77"/>
    <w:rsid w:val="00CD44B8"/>
    <w:rsid w:val="00CD4517"/>
    <w:rsid w:val="00CD5150"/>
    <w:rsid w:val="00CD5F74"/>
    <w:rsid w:val="00CD6281"/>
    <w:rsid w:val="00CD6313"/>
    <w:rsid w:val="00CD647A"/>
    <w:rsid w:val="00CD6853"/>
    <w:rsid w:val="00CD69BF"/>
    <w:rsid w:val="00CD6FDF"/>
    <w:rsid w:val="00CD7488"/>
    <w:rsid w:val="00CD7736"/>
    <w:rsid w:val="00CD7C63"/>
    <w:rsid w:val="00CE02BE"/>
    <w:rsid w:val="00CE0D36"/>
    <w:rsid w:val="00CE0DDE"/>
    <w:rsid w:val="00CE1519"/>
    <w:rsid w:val="00CE19EA"/>
    <w:rsid w:val="00CE1E4F"/>
    <w:rsid w:val="00CE2065"/>
    <w:rsid w:val="00CE2420"/>
    <w:rsid w:val="00CE2493"/>
    <w:rsid w:val="00CE2FF6"/>
    <w:rsid w:val="00CE337D"/>
    <w:rsid w:val="00CE366D"/>
    <w:rsid w:val="00CE3CC0"/>
    <w:rsid w:val="00CE4031"/>
    <w:rsid w:val="00CE4677"/>
    <w:rsid w:val="00CE4E52"/>
    <w:rsid w:val="00CE4F8D"/>
    <w:rsid w:val="00CE4FA3"/>
    <w:rsid w:val="00CE5792"/>
    <w:rsid w:val="00CE5852"/>
    <w:rsid w:val="00CE59F0"/>
    <w:rsid w:val="00CE5ADE"/>
    <w:rsid w:val="00CE5C4D"/>
    <w:rsid w:val="00CE5D48"/>
    <w:rsid w:val="00CE6050"/>
    <w:rsid w:val="00CE60D7"/>
    <w:rsid w:val="00CE649E"/>
    <w:rsid w:val="00CE66A6"/>
    <w:rsid w:val="00CE7687"/>
    <w:rsid w:val="00CE7B21"/>
    <w:rsid w:val="00CE7E6D"/>
    <w:rsid w:val="00CF05D1"/>
    <w:rsid w:val="00CF0710"/>
    <w:rsid w:val="00CF0EC7"/>
    <w:rsid w:val="00CF1428"/>
    <w:rsid w:val="00CF15EE"/>
    <w:rsid w:val="00CF242D"/>
    <w:rsid w:val="00CF24B7"/>
    <w:rsid w:val="00CF291D"/>
    <w:rsid w:val="00CF2A6B"/>
    <w:rsid w:val="00CF2B9C"/>
    <w:rsid w:val="00CF2D14"/>
    <w:rsid w:val="00CF2FC8"/>
    <w:rsid w:val="00CF39D9"/>
    <w:rsid w:val="00CF3EF8"/>
    <w:rsid w:val="00CF4603"/>
    <w:rsid w:val="00CF49CE"/>
    <w:rsid w:val="00CF4A96"/>
    <w:rsid w:val="00CF4D23"/>
    <w:rsid w:val="00CF521B"/>
    <w:rsid w:val="00CF5784"/>
    <w:rsid w:val="00CF582E"/>
    <w:rsid w:val="00CF5982"/>
    <w:rsid w:val="00CF686A"/>
    <w:rsid w:val="00CF6EF7"/>
    <w:rsid w:val="00CF7642"/>
    <w:rsid w:val="00CF77BE"/>
    <w:rsid w:val="00CF7885"/>
    <w:rsid w:val="00CF7893"/>
    <w:rsid w:val="00CF78E1"/>
    <w:rsid w:val="00CF7DF2"/>
    <w:rsid w:val="00CF7E33"/>
    <w:rsid w:val="00CF7FC1"/>
    <w:rsid w:val="00D006DF"/>
    <w:rsid w:val="00D00935"/>
    <w:rsid w:val="00D00EC7"/>
    <w:rsid w:val="00D01118"/>
    <w:rsid w:val="00D014DA"/>
    <w:rsid w:val="00D0168C"/>
    <w:rsid w:val="00D016C1"/>
    <w:rsid w:val="00D01F13"/>
    <w:rsid w:val="00D0212E"/>
    <w:rsid w:val="00D025DE"/>
    <w:rsid w:val="00D02E4F"/>
    <w:rsid w:val="00D03104"/>
    <w:rsid w:val="00D031F2"/>
    <w:rsid w:val="00D03D6D"/>
    <w:rsid w:val="00D04062"/>
    <w:rsid w:val="00D04552"/>
    <w:rsid w:val="00D05030"/>
    <w:rsid w:val="00D05038"/>
    <w:rsid w:val="00D052FD"/>
    <w:rsid w:val="00D05945"/>
    <w:rsid w:val="00D05ABC"/>
    <w:rsid w:val="00D06042"/>
    <w:rsid w:val="00D06373"/>
    <w:rsid w:val="00D0676D"/>
    <w:rsid w:val="00D0684A"/>
    <w:rsid w:val="00D072AF"/>
    <w:rsid w:val="00D072F6"/>
    <w:rsid w:val="00D075D6"/>
    <w:rsid w:val="00D07B33"/>
    <w:rsid w:val="00D07B54"/>
    <w:rsid w:val="00D07D32"/>
    <w:rsid w:val="00D11257"/>
    <w:rsid w:val="00D11363"/>
    <w:rsid w:val="00D11B31"/>
    <w:rsid w:val="00D11C7F"/>
    <w:rsid w:val="00D1215B"/>
    <w:rsid w:val="00D12929"/>
    <w:rsid w:val="00D12A86"/>
    <w:rsid w:val="00D12DD6"/>
    <w:rsid w:val="00D13A34"/>
    <w:rsid w:val="00D146B5"/>
    <w:rsid w:val="00D14DD2"/>
    <w:rsid w:val="00D14F4F"/>
    <w:rsid w:val="00D153C8"/>
    <w:rsid w:val="00D15923"/>
    <w:rsid w:val="00D159E3"/>
    <w:rsid w:val="00D15A3F"/>
    <w:rsid w:val="00D15CEF"/>
    <w:rsid w:val="00D16689"/>
    <w:rsid w:val="00D16812"/>
    <w:rsid w:val="00D16B5F"/>
    <w:rsid w:val="00D16F44"/>
    <w:rsid w:val="00D17344"/>
    <w:rsid w:val="00D175B4"/>
    <w:rsid w:val="00D1768C"/>
    <w:rsid w:val="00D177AA"/>
    <w:rsid w:val="00D17832"/>
    <w:rsid w:val="00D17CF7"/>
    <w:rsid w:val="00D17DF7"/>
    <w:rsid w:val="00D20622"/>
    <w:rsid w:val="00D2098A"/>
    <w:rsid w:val="00D214E2"/>
    <w:rsid w:val="00D216DD"/>
    <w:rsid w:val="00D2172E"/>
    <w:rsid w:val="00D21965"/>
    <w:rsid w:val="00D21AF0"/>
    <w:rsid w:val="00D21BFB"/>
    <w:rsid w:val="00D21FDB"/>
    <w:rsid w:val="00D22019"/>
    <w:rsid w:val="00D22146"/>
    <w:rsid w:val="00D22365"/>
    <w:rsid w:val="00D22A13"/>
    <w:rsid w:val="00D23B2E"/>
    <w:rsid w:val="00D23C06"/>
    <w:rsid w:val="00D23DEF"/>
    <w:rsid w:val="00D241A3"/>
    <w:rsid w:val="00D2472E"/>
    <w:rsid w:val="00D24B37"/>
    <w:rsid w:val="00D25FD1"/>
    <w:rsid w:val="00D26070"/>
    <w:rsid w:val="00D264C5"/>
    <w:rsid w:val="00D269C7"/>
    <w:rsid w:val="00D273BD"/>
    <w:rsid w:val="00D2756E"/>
    <w:rsid w:val="00D27B6C"/>
    <w:rsid w:val="00D27F78"/>
    <w:rsid w:val="00D30C23"/>
    <w:rsid w:val="00D30E50"/>
    <w:rsid w:val="00D30F9E"/>
    <w:rsid w:val="00D3152F"/>
    <w:rsid w:val="00D33291"/>
    <w:rsid w:val="00D332CF"/>
    <w:rsid w:val="00D33DA2"/>
    <w:rsid w:val="00D33E57"/>
    <w:rsid w:val="00D34106"/>
    <w:rsid w:val="00D3469D"/>
    <w:rsid w:val="00D35AC9"/>
    <w:rsid w:val="00D35DB1"/>
    <w:rsid w:val="00D35DF0"/>
    <w:rsid w:val="00D365E9"/>
    <w:rsid w:val="00D3667B"/>
    <w:rsid w:val="00D36ADC"/>
    <w:rsid w:val="00D36DB8"/>
    <w:rsid w:val="00D36DC9"/>
    <w:rsid w:val="00D36E3E"/>
    <w:rsid w:val="00D37113"/>
    <w:rsid w:val="00D37455"/>
    <w:rsid w:val="00D37FD8"/>
    <w:rsid w:val="00D40E9C"/>
    <w:rsid w:val="00D41040"/>
    <w:rsid w:val="00D4133D"/>
    <w:rsid w:val="00D417CD"/>
    <w:rsid w:val="00D4211D"/>
    <w:rsid w:val="00D42289"/>
    <w:rsid w:val="00D4259F"/>
    <w:rsid w:val="00D42670"/>
    <w:rsid w:val="00D42F2F"/>
    <w:rsid w:val="00D4303D"/>
    <w:rsid w:val="00D435C8"/>
    <w:rsid w:val="00D4388D"/>
    <w:rsid w:val="00D43A2F"/>
    <w:rsid w:val="00D44618"/>
    <w:rsid w:val="00D448F7"/>
    <w:rsid w:val="00D44D9C"/>
    <w:rsid w:val="00D44F2E"/>
    <w:rsid w:val="00D45681"/>
    <w:rsid w:val="00D45899"/>
    <w:rsid w:val="00D462BD"/>
    <w:rsid w:val="00D46A07"/>
    <w:rsid w:val="00D46A9A"/>
    <w:rsid w:val="00D46B0C"/>
    <w:rsid w:val="00D46D1F"/>
    <w:rsid w:val="00D471DB"/>
    <w:rsid w:val="00D50A87"/>
    <w:rsid w:val="00D51154"/>
    <w:rsid w:val="00D51196"/>
    <w:rsid w:val="00D511EC"/>
    <w:rsid w:val="00D512CD"/>
    <w:rsid w:val="00D51335"/>
    <w:rsid w:val="00D51971"/>
    <w:rsid w:val="00D51DB1"/>
    <w:rsid w:val="00D52051"/>
    <w:rsid w:val="00D523E1"/>
    <w:rsid w:val="00D5271D"/>
    <w:rsid w:val="00D52926"/>
    <w:rsid w:val="00D52998"/>
    <w:rsid w:val="00D52A84"/>
    <w:rsid w:val="00D52FD5"/>
    <w:rsid w:val="00D52FEC"/>
    <w:rsid w:val="00D532D6"/>
    <w:rsid w:val="00D53650"/>
    <w:rsid w:val="00D537E2"/>
    <w:rsid w:val="00D53C6E"/>
    <w:rsid w:val="00D53EDA"/>
    <w:rsid w:val="00D542F7"/>
    <w:rsid w:val="00D5457F"/>
    <w:rsid w:val="00D546EA"/>
    <w:rsid w:val="00D54770"/>
    <w:rsid w:val="00D5483F"/>
    <w:rsid w:val="00D54A5A"/>
    <w:rsid w:val="00D54C85"/>
    <w:rsid w:val="00D555A5"/>
    <w:rsid w:val="00D55834"/>
    <w:rsid w:val="00D56E06"/>
    <w:rsid w:val="00D56E3F"/>
    <w:rsid w:val="00D57157"/>
    <w:rsid w:val="00D57393"/>
    <w:rsid w:val="00D5751A"/>
    <w:rsid w:val="00D57EF3"/>
    <w:rsid w:val="00D60159"/>
    <w:rsid w:val="00D60651"/>
    <w:rsid w:val="00D60693"/>
    <w:rsid w:val="00D608CF"/>
    <w:rsid w:val="00D60C77"/>
    <w:rsid w:val="00D60F74"/>
    <w:rsid w:val="00D6137E"/>
    <w:rsid w:val="00D618B4"/>
    <w:rsid w:val="00D61D6B"/>
    <w:rsid w:val="00D61DB9"/>
    <w:rsid w:val="00D6210B"/>
    <w:rsid w:val="00D6236C"/>
    <w:rsid w:val="00D62571"/>
    <w:rsid w:val="00D62956"/>
    <w:rsid w:val="00D62AC1"/>
    <w:rsid w:val="00D62B3D"/>
    <w:rsid w:val="00D63280"/>
    <w:rsid w:val="00D635DB"/>
    <w:rsid w:val="00D63757"/>
    <w:rsid w:val="00D63DD9"/>
    <w:rsid w:val="00D63E74"/>
    <w:rsid w:val="00D63F21"/>
    <w:rsid w:val="00D64025"/>
    <w:rsid w:val="00D641D1"/>
    <w:rsid w:val="00D64296"/>
    <w:rsid w:val="00D64AAD"/>
    <w:rsid w:val="00D64C7E"/>
    <w:rsid w:val="00D654B5"/>
    <w:rsid w:val="00D65DE6"/>
    <w:rsid w:val="00D66D65"/>
    <w:rsid w:val="00D6701F"/>
    <w:rsid w:val="00D6745F"/>
    <w:rsid w:val="00D676ED"/>
    <w:rsid w:val="00D677C4"/>
    <w:rsid w:val="00D67E39"/>
    <w:rsid w:val="00D70DCC"/>
    <w:rsid w:val="00D70F8D"/>
    <w:rsid w:val="00D710C0"/>
    <w:rsid w:val="00D710DE"/>
    <w:rsid w:val="00D711E3"/>
    <w:rsid w:val="00D71200"/>
    <w:rsid w:val="00D71AF0"/>
    <w:rsid w:val="00D71CE8"/>
    <w:rsid w:val="00D71F16"/>
    <w:rsid w:val="00D7223A"/>
    <w:rsid w:val="00D72514"/>
    <w:rsid w:val="00D72676"/>
    <w:rsid w:val="00D73766"/>
    <w:rsid w:val="00D73AD9"/>
    <w:rsid w:val="00D741FF"/>
    <w:rsid w:val="00D74DA3"/>
    <w:rsid w:val="00D7500B"/>
    <w:rsid w:val="00D750D1"/>
    <w:rsid w:val="00D75409"/>
    <w:rsid w:val="00D75429"/>
    <w:rsid w:val="00D759D6"/>
    <w:rsid w:val="00D75A80"/>
    <w:rsid w:val="00D75D90"/>
    <w:rsid w:val="00D76288"/>
    <w:rsid w:val="00D76414"/>
    <w:rsid w:val="00D7657D"/>
    <w:rsid w:val="00D76F16"/>
    <w:rsid w:val="00D77075"/>
    <w:rsid w:val="00D8114D"/>
    <w:rsid w:val="00D81486"/>
    <w:rsid w:val="00D8165D"/>
    <w:rsid w:val="00D81732"/>
    <w:rsid w:val="00D826F0"/>
    <w:rsid w:val="00D82B67"/>
    <w:rsid w:val="00D83DD4"/>
    <w:rsid w:val="00D83FC9"/>
    <w:rsid w:val="00D840D2"/>
    <w:rsid w:val="00D840E0"/>
    <w:rsid w:val="00D84664"/>
    <w:rsid w:val="00D84CCE"/>
    <w:rsid w:val="00D84D77"/>
    <w:rsid w:val="00D84ECB"/>
    <w:rsid w:val="00D85334"/>
    <w:rsid w:val="00D85589"/>
    <w:rsid w:val="00D85E0F"/>
    <w:rsid w:val="00D860AE"/>
    <w:rsid w:val="00D86933"/>
    <w:rsid w:val="00D87363"/>
    <w:rsid w:val="00D8756A"/>
    <w:rsid w:val="00D87F80"/>
    <w:rsid w:val="00D87FFE"/>
    <w:rsid w:val="00D9009E"/>
    <w:rsid w:val="00D9024B"/>
    <w:rsid w:val="00D9055A"/>
    <w:rsid w:val="00D90887"/>
    <w:rsid w:val="00D90D2B"/>
    <w:rsid w:val="00D90DD6"/>
    <w:rsid w:val="00D90F59"/>
    <w:rsid w:val="00D91014"/>
    <w:rsid w:val="00D914AC"/>
    <w:rsid w:val="00D9159B"/>
    <w:rsid w:val="00D91B01"/>
    <w:rsid w:val="00D91BF2"/>
    <w:rsid w:val="00D9224F"/>
    <w:rsid w:val="00D92B4D"/>
    <w:rsid w:val="00D92EF4"/>
    <w:rsid w:val="00D92F89"/>
    <w:rsid w:val="00D9352A"/>
    <w:rsid w:val="00D93DA9"/>
    <w:rsid w:val="00D943A3"/>
    <w:rsid w:val="00D947DC"/>
    <w:rsid w:val="00D94A22"/>
    <w:rsid w:val="00D94C30"/>
    <w:rsid w:val="00D94CB4"/>
    <w:rsid w:val="00D94D8E"/>
    <w:rsid w:val="00D95929"/>
    <w:rsid w:val="00D95E15"/>
    <w:rsid w:val="00D96231"/>
    <w:rsid w:val="00D9640F"/>
    <w:rsid w:val="00D96564"/>
    <w:rsid w:val="00D96DA9"/>
    <w:rsid w:val="00D96E1B"/>
    <w:rsid w:val="00D96F4B"/>
    <w:rsid w:val="00D975CD"/>
    <w:rsid w:val="00D9778C"/>
    <w:rsid w:val="00DA03A9"/>
    <w:rsid w:val="00DA0915"/>
    <w:rsid w:val="00DA095D"/>
    <w:rsid w:val="00DA14D3"/>
    <w:rsid w:val="00DA1756"/>
    <w:rsid w:val="00DA19BB"/>
    <w:rsid w:val="00DA1D50"/>
    <w:rsid w:val="00DA1E19"/>
    <w:rsid w:val="00DA22F5"/>
    <w:rsid w:val="00DA24E4"/>
    <w:rsid w:val="00DA29B5"/>
    <w:rsid w:val="00DA2C8F"/>
    <w:rsid w:val="00DA2F1F"/>
    <w:rsid w:val="00DA35F7"/>
    <w:rsid w:val="00DA3654"/>
    <w:rsid w:val="00DA3BAB"/>
    <w:rsid w:val="00DA3EB2"/>
    <w:rsid w:val="00DA3EF6"/>
    <w:rsid w:val="00DA426E"/>
    <w:rsid w:val="00DA4558"/>
    <w:rsid w:val="00DA49CF"/>
    <w:rsid w:val="00DA4AE7"/>
    <w:rsid w:val="00DA4C02"/>
    <w:rsid w:val="00DA4C45"/>
    <w:rsid w:val="00DA4DC7"/>
    <w:rsid w:val="00DA4DC8"/>
    <w:rsid w:val="00DA52E2"/>
    <w:rsid w:val="00DA5510"/>
    <w:rsid w:val="00DA5A23"/>
    <w:rsid w:val="00DA77C4"/>
    <w:rsid w:val="00DA7C14"/>
    <w:rsid w:val="00DA7C38"/>
    <w:rsid w:val="00DB05AC"/>
    <w:rsid w:val="00DB07CF"/>
    <w:rsid w:val="00DB1926"/>
    <w:rsid w:val="00DB1945"/>
    <w:rsid w:val="00DB1E90"/>
    <w:rsid w:val="00DB1F70"/>
    <w:rsid w:val="00DB203D"/>
    <w:rsid w:val="00DB238B"/>
    <w:rsid w:val="00DB25B7"/>
    <w:rsid w:val="00DB2692"/>
    <w:rsid w:val="00DB28ED"/>
    <w:rsid w:val="00DB2FB2"/>
    <w:rsid w:val="00DB3E19"/>
    <w:rsid w:val="00DB3EAE"/>
    <w:rsid w:val="00DB47DA"/>
    <w:rsid w:val="00DB49BC"/>
    <w:rsid w:val="00DB4BEC"/>
    <w:rsid w:val="00DB5314"/>
    <w:rsid w:val="00DB561C"/>
    <w:rsid w:val="00DB5BFA"/>
    <w:rsid w:val="00DB6576"/>
    <w:rsid w:val="00DB6AEF"/>
    <w:rsid w:val="00DB6E23"/>
    <w:rsid w:val="00DB706F"/>
    <w:rsid w:val="00DB70FE"/>
    <w:rsid w:val="00DB7D0F"/>
    <w:rsid w:val="00DB7D87"/>
    <w:rsid w:val="00DC0235"/>
    <w:rsid w:val="00DC0700"/>
    <w:rsid w:val="00DC08F9"/>
    <w:rsid w:val="00DC0E46"/>
    <w:rsid w:val="00DC0FA1"/>
    <w:rsid w:val="00DC175C"/>
    <w:rsid w:val="00DC1814"/>
    <w:rsid w:val="00DC19C7"/>
    <w:rsid w:val="00DC22F9"/>
    <w:rsid w:val="00DC28C7"/>
    <w:rsid w:val="00DC2966"/>
    <w:rsid w:val="00DC2FB2"/>
    <w:rsid w:val="00DC3200"/>
    <w:rsid w:val="00DC3666"/>
    <w:rsid w:val="00DC3699"/>
    <w:rsid w:val="00DC3DCE"/>
    <w:rsid w:val="00DC3ED6"/>
    <w:rsid w:val="00DC4154"/>
    <w:rsid w:val="00DC45B0"/>
    <w:rsid w:val="00DC4814"/>
    <w:rsid w:val="00DC4CFA"/>
    <w:rsid w:val="00DC4DAB"/>
    <w:rsid w:val="00DC512C"/>
    <w:rsid w:val="00DC513D"/>
    <w:rsid w:val="00DC51B4"/>
    <w:rsid w:val="00DC57C0"/>
    <w:rsid w:val="00DC5ABC"/>
    <w:rsid w:val="00DC6104"/>
    <w:rsid w:val="00DC6268"/>
    <w:rsid w:val="00DC6BA7"/>
    <w:rsid w:val="00DC6BDB"/>
    <w:rsid w:val="00DC6D16"/>
    <w:rsid w:val="00DC767B"/>
    <w:rsid w:val="00DC7812"/>
    <w:rsid w:val="00DC7CBA"/>
    <w:rsid w:val="00DC7F06"/>
    <w:rsid w:val="00DD0A7E"/>
    <w:rsid w:val="00DD0EE6"/>
    <w:rsid w:val="00DD11CE"/>
    <w:rsid w:val="00DD14B3"/>
    <w:rsid w:val="00DD157C"/>
    <w:rsid w:val="00DD184F"/>
    <w:rsid w:val="00DD3569"/>
    <w:rsid w:val="00DD37DE"/>
    <w:rsid w:val="00DD3F46"/>
    <w:rsid w:val="00DD4033"/>
    <w:rsid w:val="00DD470E"/>
    <w:rsid w:val="00DD4D9E"/>
    <w:rsid w:val="00DD5632"/>
    <w:rsid w:val="00DD5C7A"/>
    <w:rsid w:val="00DD5DF2"/>
    <w:rsid w:val="00DD5E61"/>
    <w:rsid w:val="00DD671C"/>
    <w:rsid w:val="00DD6F90"/>
    <w:rsid w:val="00DD6FA0"/>
    <w:rsid w:val="00DD72A4"/>
    <w:rsid w:val="00DD7420"/>
    <w:rsid w:val="00DD7C46"/>
    <w:rsid w:val="00DE00FE"/>
    <w:rsid w:val="00DE02D2"/>
    <w:rsid w:val="00DE07D7"/>
    <w:rsid w:val="00DE0CC1"/>
    <w:rsid w:val="00DE0ED8"/>
    <w:rsid w:val="00DE10D6"/>
    <w:rsid w:val="00DE11C7"/>
    <w:rsid w:val="00DE1249"/>
    <w:rsid w:val="00DE136B"/>
    <w:rsid w:val="00DE1876"/>
    <w:rsid w:val="00DE1C5B"/>
    <w:rsid w:val="00DE24BE"/>
    <w:rsid w:val="00DE2B81"/>
    <w:rsid w:val="00DE2C35"/>
    <w:rsid w:val="00DE3045"/>
    <w:rsid w:val="00DE3A10"/>
    <w:rsid w:val="00DE3A6A"/>
    <w:rsid w:val="00DE3C03"/>
    <w:rsid w:val="00DE3F9E"/>
    <w:rsid w:val="00DE462B"/>
    <w:rsid w:val="00DE5383"/>
    <w:rsid w:val="00DE5406"/>
    <w:rsid w:val="00DE549E"/>
    <w:rsid w:val="00DE55ED"/>
    <w:rsid w:val="00DE57F6"/>
    <w:rsid w:val="00DE616E"/>
    <w:rsid w:val="00DE632F"/>
    <w:rsid w:val="00DE6AC1"/>
    <w:rsid w:val="00DE6CED"/>
    <w:rsid w:val="00DE71CA"/>
    <w:rsid w:val="00DE7527"/>
    <w:rsid w:val="00DE7666"/>
    <w:rsid w:val="00DE7C31"/>
    <w:rsid w:val="00DE7D00"/>
    <w:rsid w:val="00DF013D"/>
    <w:rsid w:val="00DF0369"/>
    <w:rsid w:val="00DF0A6A"/>
    <w:rsid w:val="00DF0D29"/>
    <w:rsid w:val="00DF0E1E"/>
    <w:rsid w:val="00DF1F00"/>
    <w:rsid w:val="00DF25A5"/>
    <w:rsid w:val="00DF26A7"/>
    <w:rsid w:val="00DF2809"/>
    <w:rsid w:val="00DF3CC6"/>
    <w:rsid w:val="00DF4044"/>
    <w:rsid w:val="00DF4577"/>
    <w:rsid w:val="00DF4741"/>
    <w:rsid w:val="00DF4E46"/>
    <w:rsid w:val="00DF551A"/>
    <w:rsid w:val="00DF6B69"/>
    <w:rsid w:val="00DF742A"/>
    <w:rsid w:val="00DF7559"/>
    <w:rsid w:val="00E000C0"/>
    <w:rsid w:val="00E00A5E"/>
    <w:rsid w:val="00E00E97"/>
    <w:rsid w:val="00E0109A"/>
    <w:rsid w:val="00E01590"/>
    <w:rsid w:val="00E01AC9"/>
    <w:rsid w:val="00E0264C"/>
    <w:rsid w:val="00E02C9F"/>
    <w:rsid w:val="00E02D85"/>
    <w:rsid w:val="00E030EA"/>
    <w:rsid w:val="00E03352"/>
    <w:rsid w:val="00E0378E"/>
    <w:rsid w:val="00E03853"/>
    <w:rsid w:val="00E04220"/>
    <w:rsid w:val="00E04373"/>
    <w:rsid w:val="00E0456A"/>
    <w:rsid w:val="00E053CA"/>
    <w:rsid w:val="00E0558C"/>
    <w:rsid w:val="00E05E5D"/>
    <w:rsid w:val="00E05F99"/>
    <w:rsid w:val="00E06B65"/>
    <w:rsid w:val="00E0701B"/>
    <w:rsid w:val="00E07260"/>
    <w:rsid w:val="00E075A2"/>
    <w:rsid w:val="00E0764E"/>
    <w:rsid w:val="00E07856"/>
    <w:rsid w:val="00E07A6D"/>
    <w:rsid w:val="00E10827"/>
    <w:rsid w:val="00E10FB4"/>
    <w:rsid w:val="00E11700"/>
    <w:rsid w:val="00E11812"/>
    <w:rsid w:val="00E11B2A"/>
    <w:rsid w:val="00E11B3B"/>
    <w:rsid w:val="00E11B86"/>
    <w:rsid w:val="00E11CEF"/>
    <w:rsid w:val="00E11F5E"/>
    <w:rsid w:val="00E12751"/>
    <w:rsid w:val="00E135A4"/>
    <w:rsid w:val="00E135A7"/>
    <w:rsid w:val="00E1413C"/>
    <w:rsid w:val="00E14385"/>
    <w:rsid w:val="00E14C7D"/>
    <w:rsid w:val="00E1560D"/>
    <w:rsid w:val="00E163EA"/>
    <w:rsid w:val="00E165CF"/>
    <w:rsid w:val="00E1679E"/>
    <w:rsid w:val="00E16F40"/>
    <w:rsid w:val="00E1751A"/>
    <w:rsid w:val="00E17EDD"/>
    <w:rsid w:val="00E20006"/>
    <w:rsid w:val="00E2093A"/>
    <w:rsid w:val="00E20B78"/>
    <w:rsid w:val="00E20D59"/>
    <w:rsid w:val="00E21A52"/>
    <w:rsid w:val="00E22F3C"/>
    <w:rsid w:val="00E22F57"/>
    <w:rsid w:val="00E2324B"/>
    <w:rsid w:val="00E23300"/>
    <w:rsid w:val="00E23887"/>
    <w:rsid w:val="00E238E3"/>
    <w:rsid w:val="00E23908"/>
    <w:rsid w:val="00E243B4"/>
    <w:rsid w:val="00E246DF"/>
    <w:rsid w:val="00E24B3D"/>
    <w:rsid w:val="00E24C1E"/>
    <w:rsid w:val="00E254AB"/>
    <w:rsid w:val="00E2576F"/>
    <w:rsid w:val="00E25B8B"/>
    <w:rsid w:val="00E25E23"/>
    <w:rsid w:val="00E25FBC"/>
    <w:rsid w:val="00E266F8"/>
    <w:rsid w:val="00E267B0"/>
    <w:rsid w:val="00E27194"/>
    <w:rsid w:val="00E27825"/>
    <w:rsid w:val="00E302BD"/>
    <w:rsid w:val="00E30449"/>
    <w:rsid w:val="00E3059E"/>
    <w:rsid w:val="00E30708"/>
    <w:rsid w:val="00E30B53"/>
    <w:rsid w:val="00E31639"/>
    <w:rsid w:val="00E31664"/>
    <w:rsid w:val="00E316AC"/>
    <w:rsid w:val="00E3178E"/>
    <w:rsid w:val="00E3198C"/>
    <w:rsid w:val="00E319F2"/>
    <w:rsid w:val="00E31BF9"/>
    <w:rsid w:val="00E31EF6"/>
    <w:rsid w:val="00E31F4B"/>
    <w:rsid w:val="00E3219E"/>
    <w:rsid w:val="00E322F1"/>
    <w:rsid w:val="00E32330"/>
    <w:rsid w:val="00E3235B"/>
    <w:rsid w:val="00E32ED1"/>
    <w:rsid w:val="00E32FE8"/>
    <w:rsid w:val="00E3302E"/>
    <w:rsid w:val="00E332FB"/>
    <w:rsid w:val="00E3368D"/>
    <w:rsid w:val="00E33AC5"/>
    <w:rsid w:val="00E34202"/>
    <w:rsid w:val="00E344AA"/>
    <w:rsid w:val="00E3502E"/>
    <w:rsid w:val="00E3524A"/>
    <w:rsid w:val="00E35538"/>
    <w:rsid w:val="00E35860"/>
    <w:rsid w:val="00E358AD"/>
    <w:rsid w:val="00E35D31"/>
    <w:rsid w:val="00E35D4C"/>
    <w:rsid w:val="00E35DB0"/>
    <w:rsid w:val="00E35E3E"/>
    <w:rsid w:val="00E360C9"/>
    <w:rsid w:val="00E3628D"/>
    <w:rsid w:val="00E3644C"/>
    <w:rsid w:val="00E36B83"/>
    <w:rsid w:val="00E37A47"/>
    <w:rsid w:val="00E37EBB"/>
    <w:rsid w:val="00E40369"/>
    <w:rsid w:val="00E40A18"/>
    <w:rsid w:val="00E4115B"/>
    <w:rsid w:val="00E418C3"/>
    <w:rsid w:val="00E42060"/>
    <w:rsid w:val="00E421A2"/>
    <w:rsid w:val="00E42519"/>
    <w:rsid w:val="00E42669"/>
    <w:rsid w:val="00E426A7"/>
    <w:rsid w:val="00E427B6"/>
    <w:rsid w:val="00E42B6D"/>
    <w:rsid w:val="00E43021"/>
    <w:rsid w:val="00E43085"/>
    <w:rsid w:val="00E43956"/>
    <w:rsid w:val="00E43F9E"/>
    <w:rsid w:val="00E4429F"/>
    <w:rsid w:val="00E44774"/>
    <w:rsid w:val="00E44BD2"/>
    <w:rsid w:val="00E4514A"/>
    <w:rsid w:val="00E457F1"/>
    <w:rsid w:val="00E466C1"/>
    <w:rsid w:val="00E46BCF"/>
    <w:rsid w:val="00E46C5E"/>
    <w:rsid w:val="00E47847"/>
    <w:rsid w:val="00E478FD"/>
    <w:rsid w:val="00E4797B"/>
    <w:rsid w:val="00E47C8F"/>
    <w:rsid w:val="00E508CE"/>
    <w:rsid w:val="00E50924"/>
    <w:rsid w:val="00E51C43"/>
    <w:rsid w:val="00E51E1D"/>
    <w:rsid w:val="00E51E9C"/>
    <w:rsid w:val="00E520E5"/>
    <w:rsid w:val="00E5241B"/>
    <w:rsid w:val="00E5271A"/>
    <w:rsid w:val="00E527AD"/>
    <w:rsid w:val="00E52CD0"/>
    <w:rsid w:val="00E5338D"/>
    <w:rsid w:val="00E53499"/>
    <w:rsid w:val="00E53670"/>
    <w:rsid w:val="00E5486D"/>
    <w:rsid w:val="00E54BAF"/>
    <w:rsid w:val="00E54D3F"/>
    <w:rsid w:val="00E55104"/>
    <w:rsid w:val="00E559F0"/>
    <w:rsid w:val="00E55CD2"/>
    <w:rsid w:val="00E55EF2"/>
    <w:rsid w:val="00E55F03"/>
    <w:rsid w:val="00E56056"/>
    <w:rsid w:val="00E562D4"/>
    <w:rsid w:val="00E56516"/>
    <w:rsid w:val="00E56CFE"/>
    <w:rsid w:val="00E57C36"/>
    <w:rsid w:val="00E60669"/>
    <w:rsid w:val="00E6122C"/>
    <w:rsid w:val="00E61295"/>
    <w:rsid w:val="00E6147F"/>
    <w:rsid w:val="00E61572"/>
    <w:rsid w:val="00E61A3E"/>
    <w:rsid w:val="00E61A63"/>
    <w:rsid w:val="00E61A8A"/>
    <w:rsid w:val="00E62948"/>
    <w:rsid w:val="00E62B26"/>
    <w:rsid w:val="00E62E80"/>
    <w:rsid w:val="00E6308B"/>
    <w:rsid w:val="00E633D5"/>
    <w:rsid w:val="00E635AF"/>
    <w:rsid w:val="00E6384B"/>
    <w:rsid w:val="00E63FE7"/>
    <w:rsid w:val="00E64330"/>
    <w:rsid w:val="00E64CF3"/>
    <w:rsid w:val="00E64E1D"/>
    <w:rsid w:val="00E64F52"/>
    <w:rsid w:val="00E654FD"/>
    <w:rsid w:val="00E657D0"/>
    <w:rsid w:val="00E65B76"/>
    <w:rsid w:val="00E6614B"/>
    <w:rsid w:val="00E663E4"/>
    <w:rsid w:val="00E66757"/>
    <w:rsid w:val="00E66A5B"/>
    <w:rsid w:val="00E66D0E"/>
    <w:rsid w:val="00E6703D"/>
    <w:rsid w:val="00E6707B"/>
    <w:rsid w:val="00E670AF"/>
    <w:rsid w:val="00E67473"/>
    <w:rsid w:val="00E675DD"/>
    <w:rsid w:val="00E70967"/>
    <w:rsid w:val="00E70FC5"/>
    <w:rsid w:val="00E7149B"/>
    <w:rsid w:val="00E71622"/>
    <w:rsid w:val="00E71658"/>
    <w:rsid w:val="00E717E9"/>
    <w:rsid w:val="00E718AE"/>
    <w:rsid w:val="00E71939"/>
    <w:rsid w:val="00E71A6D"/>
    <w:rsid w:val="00E72653"/>
    <w:rsid w:val="00E72DB8"/>
    <w:rsid w:val="00E72E68"/>
    <w:rsid w:val="00E735AF"/>
    <w:rsid w:val="00E73DBB"/>
    <w:rsid w:val="00E749FE"/>
    <w:rsid w:val="00E74DDC"/>
    <w:rsid w:val="00E75489"/>
    <w:rsid w:val="00E76830"/>
    <w:rsid w:val="00E76C0E"/>
    <w:rsid w:val="00E76CAC"/>
    <w:rsid w:val="00E76D1E"/>
    <w:rsid w:val="00E776FB"/>
    <w:rsid w:val="00E77713"/>
    <w:rsid w:val="00E7773D"/>
    <w:rsid w:val="00E77D70"/>
    <w:rsid w:val="00E815DE"/>
    <w:rsid w:val="00E819F5"/>
    <w:rsid w:val="00E81FCF"/>
    <w:rsid w:val="00E82B92"/>
    <w:rsid w:val="00E82CA2"/>
    <w:rsid w:val="00E839D2"/>
    <w:rsid w:val="00E84038"/>
    <w:rsid w:val="00E84134"/>
    <w:rsid w:val="00E844EE"/>
    <w:rsid w:val="00E84511"/>
    <w:rsid w:val="00E84758"/>
    <w:rsid w:val="00E8567D"/>
    <w:rsid w:val="00E8582C"/>
    <w:rsid w:val="00E86798"/>
    <w:rsid w:val="00E86F4D"/>
    <w:rsid w:val="00E8744E"/>
    <w:rsid w:val="00E874A2"/>
    <w:rsid w:val="00E8751B"/>
    <w:rsid w:val="00E87942"/>
    <w:rsid w:val="00E87F61"/>
    <w:rsid w:val="00E90392"/>
    <w:rsid w:val="00E9078A"/>
    <w:rsid w:val="00E90FDE"/>
    <w:rsid w:val="00E91105"/>
    <w:rsid w:val="00E91199"/>
    <w:rsid w:val="00E91423"/>
    <w:rsid w:val="00E916CF"/>
    <w:rsid w:val="00E91B0F"/>
    <w:rsid w:val="00E91B7A"/>
    <w:rsid w:val="00E91CAE"/>
    <w:rsid w:val="00E920E0"/>
    <w:rsid w:val="00E929AD"/>
    <w:rsid w:val="00E92A2C"/>
    <w:rsid w:val="00E93222"/>
    <w:rsid w:val="00E93486"/>
    <w:rsid w:val="00E936EB"/>
    <w:rsid w:val="00E9416E"/>
    <w:rsid w:val="00E944D0"/>
    <w:rsid w:val="00E94AA4"/>
    <w:rsid w:val="00E94CF0"/>
    <w:rsid w:val="00E966FB"/>
    <w:rsid w:val="00E968A2"/>
    <w:rsid w:val="00E96A28"/>
    <w:rsid w:val="00E96D8B"/>
    <w:rsid w:val="00E97090"/>
    <w:rsid w:val="00E97116"/>
    <w:rsid w:val="00E9724D"/>
    <w:rsid w:val="00E972DB"/>
    <w:rsid w:val="00E975BD"/>
    <w:rsid w:val="00E9764C"/>
    <w:rsid w:val="00E97C08"/>
    <w:rsid w:val="00EA04EA"/>
    <w:rsid w:val="00EA057D"/>
    <w:rsid w:val="00EA0AF0"/>
    <w:rsid w:val="00EA0EC3"/>
    <w:rsid w:val="00EA182E"/>
    <w:rsid w:val="00EA1EAD"/>
    <w:rsid w:val="00EA27D8"/>
    <w:rsid w:val="00EA2BE4"/>
    <w:rsid w:val="00EA2E1B"/>
    <w:rsid w:val="00EA2F91"/>
    <w:rsid w:val="00EA3288"/>
    <w:rsid w:val="00EA35E2"/>
    <w:rsid w:val="00EA3DCB"/>
    <w:rsid w:val="00EA442B"/>
    <w:rsid w:val="00EA489A"/>
    <w:rsid w:val="00EA4967"/>
    <w:rsid w:val="00EA4F11"/>
    <w:rsid w:val="00EA6208"/>
    <w:rsid w:val="00EA768B"/>
    <w:rsid w:val="00EB02F0"/>
    <w:rsid w:val="00EB04B0"/>
    <w:rsid w:val="00EB0E29"/>
    <w:rsid w:val="00EB0FB2"/>
    <w:rsid w:val="00EB13B8"/>
    <w:rsid w:val="00EB1CCE"/>
    <w:rsid w:val="00EB2367"/>
    <w:rsid w:val="00EB2B5F"/>
    <w:rsid w:val="00EB2CD0"/>
    <w:rsid w:val="00EB2DEA"/>
    <w:rsid w:val="00EB2EC2"/>
    <w:rsid w:val="00EB305D"/>
    <w:rsid w:val="00EB3081"/>
    <w:rsid w:val="00EB33A3"/>
    <w:rsid w:val="00EB3993"/>
    <w:rsid w:val="00EB3A56"/>
    <w:rsid w:val="00EB3CF9"/>
    <w:rsid w:val="00EB452E"/>
    <w:rsid w:val="00EB576A"/>
    <w:rsid w:val="00EB5771"/>
    <w:rsid w:val="00EB5F8C"/>
    <w:rsid w:val="00EB6C87"/>
    <w:rsid w:val="00EB6FE3"/>
    <w:rsid w:val="00EB7B5F"/>
    <w:rsid w:val="00EC017E"/>
    <w:rsid w:val="00EC01DD"/>
    <w:rsid w:val="00EC04E6"/>
    <w:rsid w:val="00EC177B"/>
    <w:rsid w:val="00EC1A09"/>
    <w:rsid w:val="00EC1E77"/>
    <w:rsid w:val="00EC2723"/>
    <w:rsid w:val="00EC30A9"/>
    <w:rsid w:val="00EC3310"/>
    <w:rsid w:val="00EC33D7"/>
    <w:rsid w:val="00EC3ED8"/>
    <w:rsid w:val="00EC3F28"/>
    <w:rsid w:val="00EC4028"/>
    <w:rsid w:val="00EC442F"/>
    <w:rsid w:val="00EC44E3"/>
    <w:rsid w:val="00EC4891"/>
    <w:rsid w:val="00EC4BEE"/>
    <w:rsid w:val="00EC4D87"/>
    <w:rsid w:val="00EC4F33"/>
    <w:rsid w:val="00EC5076"/>
    <w:rsid w:val="00EC518E"/>
    <w:rsid w:val="00EC51F0"/>
    <w:rsid w:val="00EC55EB"/>
    <w:rsid w:val="00EC5DBB"/>
    <w:rsid w:val="00EC5ED4"/>
    <w:rsid w:val="00EC6573"/>
    <w:rsid w:val="00EC66E5"/>
    <w:rsid w:val="00EC7CD7"/>
    <w:rsid w:val="00ED00FB"/>
    <w:rsid w:val="00ED059A"/>
    <w:rsid w:val="00ED06A4"/>
    <w:rsid w:val="00ED079F"/>
    <w:rsid w:val="00ED0932"/>
    <w:rsid w:val="00ED0EF6"/>
    <w:rsid w:val="00ED0F46"/>
    <w:rsid w:val="00ED1A02"/>
    <w:rsid w:val="00ED2416"/>
    <w:rsid w:val="00ED24B2"/>
    <w:rsid w:val="00ED29D5"/>
    <w:rsid w:val="00ED2E2C"/>
    <w:rsid w:val="00ED3028"/>
    <w:rsid w:val="00ED30A6"/>
    <w:rsid w:val="00ED332C"/>
    <w:rsid w:val="00ED3B59"/>
    <w:rsid w:val="00ED4620"/>
    <w:rsid w:val="00ED4ED3"/>
    <w:rsid w:val="00ED4FAB"/>
    <w:rsid w:val="00ED55F7"/>
    <w:rsid w:val="00ED57ED"/>
    <w:rsid w:val="00ED588F"/>
    <w:rsid w:val="00ED5BCC"/>
    <w:rsid w:val="00ED6CA9"/>
    <w:rsid w:val="00ED706F"/>
    <w:rsid w:val="00ED7415"/>
    <w:rsid w:val="00ED743D"/>
    <w:rsid w:val="00ED7643"/>
    <w:rsid w:val="00ED7DC1"/>
    <w:rsid w:val="00ED7DE9"/>
    <w:rsid w:val="00EE0189"/>
    <w:rsid w:val="00EE0366"/>
    <w:rsid w:val="00EE0816"/>
    <w:rsid w:val="00EE0E3D"/>
    <w:rsid w:val="00EE19BD"/>
    <w:rsid w:val="00EE1AE3"/>
    <w:rsid w:val="00EE1F14"/>
    <w:rsid w:val="00EE214B"/>
    <w:rsid w:val="00EE22B3"/>
    <w:rsid w:val="00EE2A3E"/>
    <w:rsid w:val="00EE2D4E"/>
    <w:rsid w:val="00EE3634"/>
    <w:rsid w:val="00EE4915"/>
    <w:rsid w:val="00EE4BA3"/>
    <w:rsid w:val="00EE4E0F"/>
    <w:rsid w:val="00EE521B"/>
    <w:rsid w:val="00EE57C8"/>
    <w:rsid w:val="00EE5C77"/>
    <w:rsid w:val="00EE6A28"/>
    <w:rsid w:val="00EE6B16"/>
    <w:rsid w:val="00EE6CE3"/>
    <w:rsid w:val="00EE6EB0"/>
    <w:rsid w:val="00EE700C"/>
    <w:rsid w:val="00EE7477"/>
    <w:rsid w:val="00EE75FB"/>
    <w:rsid w:val="00EE79A1"/>
    <w:rsid w:val="00EF0009"/>
    <w:rsid w:val="00EF0948"/>
    <w:rsid w:val="00EF0BE4"/>
    <w:rsid w:val="00EF1073"/>
    <w:rsid w:val="00EF1394"/>
    <w:rsid w:val="00EF1659"/>
    <w:rsid w:val="00EF16E4"/>
    <w:rsid w:val="00EF17F9"/>
    <w:rsid w:val="00EF1B12"/>
    <w:rsid w:val="00EF1DE1"/>
    <w:rsid w:val="00EF217D"/>
    <w:rsid w:val="00EF2521"/>
    <w:rsid w:val="00EF2E17"/>
    <w:rsid w:val="00EF30C4"/>
    <w:rsid w:val="00EF34D4"/>
    <w:rsid w:val="00EF3C6C"/>
    <w:rsid w:val="00EF3F77"/>
    <w:rsid w:val="00EF408A"/>
    <w:rsid w:val="00EF419B"/>
    <w:rsid w:val="00EF433A"/>
    <w:rsid w:val="00EF455D"/>
    <w:rsid w:val="00EF4DE6"/>
    <w:rsid w:val="00EF519C"/>
    <w:rsid w:val="00EF594F"/>
    <w:rsid w:val="00EF5A1A"/>
    <w:rsid w:val="00EF6027"/>
    <w:rsid w:val="00EF60DE"/>
    <w:rsid w:val="00EF6227"/>
    <w:rsid w:val="00EF7220"/>
    <w:rsid w:val="00EF7BED"/>
    <w:rsid w:val="00F008E5"/>
    <w:rsid w:val="00F00AC4"/>
    <w:rsid w:val="00F00C84"/>
    <w:rsid w:val="00F00DEC"/>
    <w:rsid w:val="00F01698"/>
    <w:rsid w:val="00F020A8"/>
    <w:rsid w:val="00F02478"/>
    <w:rsid w:val="00F02773"/>
    <w:rsid w:val="00F03020"/>
    <w:rsid w:val="00F033B3"/>
    <w:rsid w:val="00F0348C"/>
    <w:rsid w:val="00F03618"/>
    <w:rsid w:val="00F04264"/>
    <w:rsid w:val="00F04282"/>
    <w:rsid w:val="00F04EE1"/>
    <w:rsid w:val="00F04F20"/>
    <w:rsid w:val="00F0523D"/>
    <w:rsid w:val="00F05338"/>
    <w:rsid w:val="00F053A2"/>
    <w:rsid w:val="00F05681"/>
    <w:rsid w:val="00F05AC2"/>
    <w:rsid w:val="00F05D1B"/>
    <w:rsid w:val="00F0634A"/>
    <w:rsid w:val="00F06ACD"/>
    <w:rsid w:val="00F06E88"/>
    <w:rsid w:val="00F070DF"/>
    <w:rsid w:val="00F075DC"/>
    <w:rsid w:val="00F07646"/>
    <w:rsid w:val="00F079DD"/>
    <w:rsid w:val="00F10619"/>
    <w:rsid w:val="00F109A9"/>
    <w:rsid w:val="00F10E2A"/>
    <w:rsid w:val="00F11090"/>
    <w:rsid w:val="00F111B3"/>
    <w:rsid w:val="00F1130D"/>
    <w:rsid w:val="00F113CA"/>
    <w:rsid w:val="00F114AC"/>
    <w:rsid w:val="00F11F09"/>
    <w:rsid w:val="00F11FBD"/>
    <w:rsid w:val="00F126A6"/>
    <w:rsid w:val="00F126CB"/>
    <w:rsid w:val="00F129D4"/>
    <w:rsid w:val="00F12B53"/>
    <w:rsid w:val="00F12BFA"/>
    <w:rsid w:val="00F12C35"/>
    <w:rsid w:val="00F131F0"/>
    <w:rsid w:val="00F1331B"/>
    <w:rsid w:val="00F1381C"/>
    <w:rsid w:val="00F138FF"/>
    <w:rsid w:val="00F13A65"/>
    <w:rsid w:val="00F13CA6"/>
    <w:rsid w:val="00F1411C"/>
    <w:rsid w:val="00F141ED"/>
    <w:rsid w:val="00F14E97"/>
    <w:rsid w:val="00F14F59"/>
    <w:rsid w:val="00F15B1B"/>
    <w:rsid w:val="00F20372"/>
    <w:rsid w:val="00F212A3"/>
    <w:rsid w:val="00F2135F"/>
    <w:rsid w:val="00F213A7"/>
    <w:rsid w:val="00F2171F"/>
    <w:rsid w:val="00F21F88"/>
    <w:rsid w:val="00F22425"/>
    <w:rsid w:val="00F22587"/>
    <w:rsid w:val="00F22F51"/>
    <w:rsid w:val="00F23242"/>
    <w:rsid w:val="00F232C6"/>
    <w:rsid w:val="00F2390F"/>
    <w:rsid w:val="00F24057"/>
    <w:rsid w:val="00F243A9"/>
    <w:rsid w:val="00F2447A"/>
    <w:rsid w:val="00F2451C"/>
    <w:rsid w:val="00F2466C"/>
    <w:rsid w:val="00F24E8F"/>
    <w:rsid w:val="00F24EC2"/>
    <w:rsid w:val="00F25011"/>
    <w:rsid w:val="00F252EF"/>
    <w:rsid w:val="00F253AF"/>
    <w:rsid w:val="00F25471"/>
    <w:rsid w:val="00F256A6"/>
    <w:rsid w:val="00F2644A"/>
    <w:rsid w:val="00F26583"/>
    <w:rsid w:val="00F26926"/>
    <w:rsid w:val="00F2710B"/>
    <w:rsid w:val="00F272A4"/>
    <w:rsid w:val="00F273F9"/>
    <w:rsid w:val="00F27B3F"/>
    <w:rsid w:val="00F27D60"/>
    <w:rsid w:val="00F30D52"/>
    <w:rsid w:val="00F30EB7"/>
    <w:rsid w:val="00F312CC"/>
    <w:rsid w:val="00F316F4"/>
    <w:rsid w:val="00F31B67"/>
    <w:rsid w:val="00F31B99"/>
    <w:rsid w:val="00F31C02"/>
    <w:rsid w:val="00F31C95"/>
    <w:rsid w:val="00F32453"/>
    <w:rsid w:val="00F3271B"/>
    <w:rsid w:val="00F32832"/>
    <w:rsid w:val="00F334B7"/>
    <w:rsid w:val="00F337FE"/>
    <w:rsid w:val="00F3407F"/>
    <w:rsid w:val="00F3428E"/>
    <w:rsid w:val="00F342A6"/>
    <w:rsid w:val="00F3465D"/>
    <w:rsid w:val="00F34D4A"/>
    <w:rsid w:val="00F355CA"/>
    <w:rsid w:val="00F35608"/>
    <w:rsid w:val="00F35836"/>
    <w:rsid w:val="00F35839"/>
    <w:rsid w:val="00F3586D"/>
    <w:rsid w:val="00F36170"/>
    <w:rsid w:val="00F36468"/>
    <w:rsid w:val="00F368E9"/>
    <w:rsid w:val="00F36E6C"/>
    <w:rsid w:val="00F372CF"/>
    <w:rsid w:val="00F37727"/>
    <w:rsid w:val="00F37B43"/>
    <w:rsid w:val="00F40908"/>
    <w:rsid w:val="00F40EAC"/>
    <w:rsid w:val="00F40F93"/>
    <w:rsid w:val="00F429FB"/>
    <w:rsid w:val="00F42C9B"/>
    <w:rsid w:val="00F4358C"/>
    <w:rsid w:val="00F4360D"/>
    <w:rsid w:val="00F43893"/>
    <w:rsid w:val="00F43F7D"/>
    <w:rsid w:val="00F44210"/>
    <w:rsid w:val="00F44762"/>
    <w:rsid w:val="00F44C23"/>
    <w:rsid w:val="00F451D4"/>
    <w:rsid w:val="00F45326"/>
    <w:rsid w:val="00F45A43"/>
    <w:rsid w:val="00F45C8B"/>
    <w:rsid w:val="00F45E30"/>
    <w:rsid w:val="00F45FCA"/>
    <w:rsid w:val="00F468E9"/>
    <w:rsid w:val="00F46997"/>
    <w:rsid w:val="00F471E3"/>
    <w:rsid w:val="00F473AE"/>
    <w:rsid w:val="00F47B47"/>
    <w:rsid w:val="00F5014C"/>
    <w:rsid w:val="00F501BD"/>
    <w:rsid w:val="00F50485"/>
    <w:rsid w:val="00F505F1"/>
    <w:rsid w:val="00F50ECE"/>
    <w:rsid w:val="00F50FB9"/>
    <w:rsid w:val="00F513E8"/>
    <w:rsid w:val="00F51ACE"/>
    <w:rsid w:val="00F522D7"/>
    <w:rsid w:val="00F523BB"/>
    <w:rsid w:val="00F5251A"/>
    <w:rsid w:val="00F527CB"/>
    <w:rsid w:val="00F52AC2"/>
    <w:rsid w:val="00F52B69"/>
    <w:rsid w:val="00F52C6D"/>
    <w:rsid w:val="00F52F6E"/>
    <w:rsid w:val="00F53441"/>
    <w:rsid w:val="00F536FD"/>
    <w:rsid w:val="00F54028"/>
    <w:rsid w:val="00F54051"/>
    <w:rsid w:val="00F542AF"/>
    <w:rsid w:val="00F54483"/>
    <w:rsid w:val="00F54829"/>
    <w:rsid w:val="00F549BC"/>
    <w:rsid w:val="00F54B16"/>
    <w:rsid w:val="00F54E53"/>
    <w:rsid w:val="00F5565A"/>
    <w:rsid w:val="00F55EEE"/>
    <w:rsid w:val="00F56565"/>
    <w:rsid w:val="00F56701"/>
    <w:rsid w:val="00F56B4F"/>
    <w:rsid w:val="00F56C56"/>
    <w:rsid w:val="00F5738A"/>
    <w:rsid w:val="00F57B23"/>
    <w:rsid w:val="00F57E6B"/>
    <w:rsid w:val="00F60BCE"/>
    <w:rsid w:val="00F60E41"/>
    <w:rsid w:val="00F61B93"/>
    <w:rsid w:val="00F626A6"/>
    <w:rsid w:val="00F62C34"/>
    <w:rsid w:val="00F6304A"/>
    <w:rsid w:val="00F631AF"/>
    <w:rsid w:val="00F63469"/>
    <w:rsid w:val="00F634F3"/>
    <w:rsid w:val="00F63978"/>
    <w:rsid w:val="00F6462D"/>
    <w:rsid w:val="00F6498B"/>
    <w:rsid w:val="00F64AF0"/>
    <w:rsid w:val="00F64B91"/>
    <w:rsid w:val="00F64FC4"/>
    <w:rsid w:val="00F653BC"/>
    <w:rsid w:val="00F653DD"/>
    <w:rsid w:val="00F66373"/>
    <w:rsid w:val="00F66557"/>
    <w:rsid w:val="00F66BA6"/>
    <w:rsid w:val="00F672F0"/>
    <w:rsid w:val="00F678C0"/>
    <w:rsid w:val="00F67B34"/>
    <w:rsid w:val="00F67EE2"/>
    <w:rsid w:val="00F67F7B"/>
    <w:rsid w:val="00F70071"/>
    <w:rsid w:val="00F70329"/>
    <w:rsid w:val="00F70B1C"/>
    <w:rsid w:val="00F71616"/>
    <w:rsid w:val="00F716D9"/>
    <w:rsid w:val="00F718E7"/>
    <w:rsid w:val="00F71D7C"/>
    <w:rsid w:val="00F71F15"/>
    <w:rsid w:val="00F72362"/>
    <w:rsid w:val="00F725B2"/>
    <w:rsid w:val="00F72689"/>
    <w:rsid w:val="00F7278F"/>
    <w:rsid w:val="00F737FC"/>
    <w:rsid w:val="00F73D4E"/>
    <w:rsid w:val="00F750CE"/>
    <w:rsid w:val="00F75380"/>
    <w:rsid w:val="00F75BC4"/>
    <w:rsid w:val="00F75D36"/>
    <w:rsid w:val="00F75D4F"/>
    <w:rsid w:val="00F75DCD"/>
    <w:rsid w:val="00F761DB"/>
    <w:rsid w:val="00F763A0"/>
    <w:rsid w:val="00F767B9"/>
    <w:rsid w:val="00F767F2"/>
    <w:rsid w:val="00F76954"/>
    <w:rsid w:val="00F76D1C"/>
    <w:rsid w:val="00F76F0C"/>
    <w:rsid w:val="00F773E5"/>
    <w:rsid w:val="00F7759E"/>
    <w:rsid w:val="00F77F91"/>
    <w:rsid w:val="00F80065"/>
    <w:rsid w:val="00F8052C"/>
    <w:rsid w:val="00F80CAB"/>
    <w:rsid w:val="00F81722"/>
    <w:rsid w:val="00F819A1"/>
    <w:rsid w:val="00F8269C"/>
    <w:rsid w:val="00F829F0"/>
    <w:rsid w:val="00F82D4F"/>
    <w:rsid w:val="00F831FA"/>
    <w:rsid w:val="00F836A6"/>
    <w:rsid w:val="00F836AB"/>
    <w:rsid w:val="00F83CEC"/>
    <w:rsid w:val="00F83D78"/>
    <w:rsid w:val="00F8428E"/>
    <w:rsid w:val="00F846EB"/>
    <w:rsid w:val="00F85072"/>
    <w:rsid w:val="00F85178"/>
    <w:rsid w:val="00F85EF9"/>
    <w:rsid w:val="00F85F9F"/>
    <w:rsid w:val="00F86E99"/>
    <w:rsid w:val="00F86FD5"/>
    <w:rsid w:val="00F87724"/>
    <w:rsid w:val="00F87AB0"/>
    <w:rsid w:val="00F900CE"/>
    <w:rsid w:val="00F91D5A"/>
    <w:rsid w:val="00F91E49"/>
    <w:rsid w:val="00F91EC2"/>
    <w:rsid w:val="00F91FE5"/>
    <w:rsid w:val="00F9204E"/>
    <w:rsid w:val="00F924CD"/>
    <w:rsid w:val="00F925FE"/>
    <w:rsid w:val="00F92606"/>
    <w:rsid w:val="00F928EE"/>
    <w:rsid w:val="00F92C8D"/>
    <w:rsid w:val="00F92FBB"/>
    <w:rsid w:val="00F93011"/>
    <w:rsid w:val="00F932AB"/>
    <w:rsid w:val="00F93614"/>
    <w:rsid w:val="00F93EEA"/>
    <w:rsid w:val="00F942B2"/>
    <w:rsid w:val="00F943B9"/>
    <w:rsid w:val="00F9484B"/>
    <w:rsid w:val="00F949DB"/>
    <w:rsid w:val="00F95415"/>
    <w:rsid w:val="00F965CD"/>
    <w:rsid w:val="00F966E6"/>
    <w:rsid w:val="00F96840"/>
    <w:rsid w:val="00F96A80"/>
    <w:rsid w:val="00F96E60"/>
    <w:rsid w:val="00F97534"/>
    <w:rsid w:val="00F978F1"/>
    <w:rsid w:val="00F97EC1"/>
    <w:rsid w:val="00FA06C5"/>
    <w:rsid w:val="00FA084B"/>
    <w:rsid w:val="00FA0939"/>
    <w:rsid w:val="00FA0981"/>
    <w:rsid w:val="00FA0BA7"/>
    <w:rsid w:val="00FA113F"/>
    <w:rsid w:val="00FA1E68"/>
    <w:rsid w:val="00FA21B9"/>
    <w:rsid w:val="00FA2C57"/>
    <w:rsid w:val="00FA2CB0"/>
    <w:rsid w:val="00FA2EF4"/>
    <w:rsid w:val="00FA3B98"/>
    <w:rsid w:val="00FA3C53"/>
    <w:rsid w:val="00FA4056"/>
    <w:rsid w:val="00FA47B9"/>
    <w:rsid w:val="00FA48FD"/>
    <w:rsid w:val="00FA49EF"/>
    <w:rsid w:val="00FA4B15"/>
    <w:rsid w:val="00FA4BF6"/>
    <w:rsid w:val="00FA52BF"/>
    <w:rsid w:val="00FA53E8"/>
    <w:rsid w:val="00FA6178"/>
    <w:rsid w:val="00FA6880"/>
    <w:rsid w:val="00FA6A55"/>
    <w:rsid w:val="00FA6C48"/>
    <w:rsid w:val="00FA76DB"/>
    <w:rsid w:val="00FA7AA2"/>
    <w:rsid w:val="00FA7D3D"/>
    <w:rsid w:val="00FB01DC"/>
    <w:rsid w:val="00FB022D"/>
    <w:rsid w:val="00FB06E6"/>
    <w:rsid w:val="00FB071F"/>
    <w:rsid w:val="00FB0E9C"/>
    <w:rsid w:val="00FB1302"/>
    <w:rsid w:val="00FB1384"/>
    <w:rsid w:val="00FB13D0"/>
    <w:rsid w:val="00FB1704"/>
    <w:rsid w:val="00FB179D"/>
    <w:rsid w:val="00FB210B"/>
    <w:rsid w:val="00FB222F"/>
    <w:rsid w:val="00FB246A"/>
    <w:rsid w:val="00FB2CD8"/>
    <w:rsid w:val="00FB2F13"/>
    <w:rsid w:val="00FB380D"/>
    <w:rsid w:val="00FB3B03"/>
    <w:rsid w:val="00FB3EE7"/>
    <w:rsid w:val="00FB4789"/>
    <w:rsid w:val="00FB48D4"/>
    <w:rsid w:val="00FB54B5"/>
    <w:rsid w:val="00FB5F0E"/>
    <w:rsid w:val="00FB700E"/>
    <w:rsid w:val="00FB70F3"/>
    <w:rsid w:val="00FB742C"/>
    <w:rsid w:val="00FB7ED8"/>
    <w:rsid w:val="00FC03F9"/>
    <w:rsid w:val="00FC05F0"/>
    <w:rsid w:val="00FC0FA7"/>
    <w:rsid w:val="00FC11C8"/>
    <w:rsid w:val="00FC2084"/>
    <w:rsid w:val="00FC2563"/>
    <w:rsid w:val="00FC260D"/>
    <w:rsid w:val="00FC3638"/>
    <w:rsid w:val="00FC4093"/>
    <w:rsid w:val="00FC413F"/>
    <w:rsid w:val="00FC41CB"/>
    <w:rsid w:val="00FC47A0"/>
    <w:rsid w:val="00FC4899"/>
    <w:rsid w:val="00FC4ECE"/>
    <w:rsid w:val="00FC4F50"/>
    <w:rsid w:val="00FC4FFA"/>
    <w:rsid w:val="00FC51EC"/>
    <w:rsid w:val="00FC52EB"/>
    <w:rsid w:val="00FC5AB4"/>
    <w:rsid w:val="00FC5EAA"/>
    <w:rsid w:val="00FC6959"/>
    <w:rsid w:val="00FC6A13"/>
    <w:rsid w:val="00FC7DDA"/>
    <w:rsid w:val="00FD0A91"/>
    <w:rsid w:val="00FD0D78"/>
    <w:rsid w:val="00FD117F"/>
    <w:rsid w:val="00FD11E7"/>
    <w:rsid w:val="00FD1639"/>
    <w:rsid w:val="00FD170D"/>
    <w:rsid w:val="00FD1DA5"/>
    <w:rsid w:val="00FD22E9"/>
    <w:rsid w:val="00FD23B9"/>
    <w:rsid w:val="00FD23D9"/>
    <w:rsid w:val="00FD2855"/>
    <w:rsid w:val="00FD2BD8"/>
    <w:rsid w:val="00FD2D18"/>
    <w:rsid w:val="00FD30DD"/>
    <w:rsid w:val="00FD3CC0"/>
    <w:rsid w:val="00FD429F"/>
    <w:rsid w:val="00FD46DB"/>
    <w:rsid w:val="00FD4C73"/>
    <w:rsid w:val="00FD4FAA"/>
    <w:rsid w:val="00FD51FF"/>
    <w:rsid w:val="00FD522F"/>
    <w:rsid w:val="00FD5424"/>
    <w:rsid w:val="00FD58CF"/>
    <w:rsid w:val="00FD58E8"/>
    <w:rsid w:val="00FD5D45"/>
    <w:rsid w:val="00FD5D6F"/>
    <w:rsid w:val="00FD6298"/>
    <w:rsid w:val="00FD6633"/>
    <w:rsid w:val="00FD6FA6"/>
    <w:rsid w:val="00FD74BD"/>
    <w:rsid w:val="00FE0D13"/>
    <w:rsid w:val="00FE0D25"/>
    <w:rsid w:val="00FE0E21"/>
    <w:rsid w:val="00FE1460"/>
    <w:rsid w:val="00FE1D05"/>
    <w:rsid w:val="00FE274A"/>
    <w:rsid w:val="00FE28C0"/>
    <w:rsid w:val="00FE30FB"/>
    <w:rsid w:val="00FE33CA"/>
    <w:rsid w:val="00FE354A"/>
    <w:rsid w:val="00FE3864"/>
    <w:rsid w:val="00FE3B3D"/>
    <w:rsid w:val="00FE3C0A"/>
    <w:rsid w:val="00FE4548"/>
    <w:rsid w:val="00FE45A7"/>
    <w:rsid w:val="00FE47A4"/>
    <w:rsid w:val="00FE4BBA"/>
    <w:rsid w:val="00FE4EB1"/>
    <w:rsid w:val="00FE54E2"/>
    <w:rsid w:val="00FE6221"/>
    <w:rsid w:val="00FE6CF2"/>
    <w:rsid w:val="00FE6DAB"/>
    <w:rsid w:val="00FE7130"/>
    <w:rsid w:val="00FE7528"/>
    <w:rsid w:val="00FF02A3"/>
    <w:rsid w:val="00FF0540"/>
    <w:rsid w:val="00FF07DC"/>
    <w:rsid w:val="00FF0F45"/>
    <w:rsid w:val="00FF1EB5"/>
    <w:rsid w:val="00FF25D6"/>
    <w:rsid w:val="00FF27C4"/>
    <w:rsid w:val="00FF2D07"/>
    <w:rsid w:val="00FF2D94"/>
    <w:rsid w:val="00FF31EF"/>
    <w:rsid w:val="00FF31F7"/>
    <w:rsid w:val="00FF3279"/>
    <w:rsid w:val="00FF3568"/>
    <w:rsid w:val="00FF3FA2"/>
    <w:rsid w:val="00FF42EB"/>
    <w:rsid w:val="00FF4A15"/>
    <w:rsid w:val="00FF4E30"/>
    <w:rsid w:val="00FF4ECA"/>
    <w:rsid w:val="00FF54C3"/>
    <w:rsid w:val="00FF56DD"/>
    <w:rsid w:val="00FF5991"/>
    <w:rsid w:val="00FF59B8"/>
    <w:rsid w:val="00FF5D1F"/>
    <w:rsid w:val="00FF6489"/>
    <w:rsid w:val="00FF6DC9"/>
    <w:rsid w:val="00FF72C9"/>
    <w:rsid w:val="00FF72D2"/>
    <w:rsid w:val="00FF7E02"/>
    <w:rsid w:val="00FF7E35"/>
    <w:rsid w:val="00FF7F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9EDE"/>
  <w15:docId w15:val="{9120C05A-E46A-44E4-8F09-D8079371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0C"/>
    <w:pPr>
      <w:ind w:firstLine="709"/>
      <w:jc w:val="both"/>
    </w:pPr>
    <w:rPr>
      <w:rFonts w:ascii="Times New Roman" w:hAnsi="Times New Roman"/>
      <w:sz w:val="24"/>
    </w:rPr>
  </w:style>
  <w:style w:type="paragraph" w:styleId="1">
    <w:name w:val="heading 1"/>
    <w:basedOn w:val="SDText"/>
    <w:next w:val="2"/>
    <w:link w:val="10"/>
    <w:uiPriority w:val="9"/>
    <w:qFormat/>
    <w:rsid w:val="00BD2318"/>
    <w:pPr>
      <w:keepNext/>
      <w:keepLines/>
      <w:spacing w:after="0"/>
      <w:ind w:firstLine="0"/>
      <w:outlineLvl w:val="0"/>
    </w:pPr>
    <w:rPr>
      <w:rFonts w:eastAsiaTheme="majorEastAsia" w:cstheme="majorBidi"/>
      <w:b/>
      <w:color w:val="000000" w:themeColor="text1"/>
      <w:szCs w:val="32"/>
    </w:rPr>
  </w:style>
  <w:style w:type="paragraph" w:styleId="2">
    <w:name w:val="heading 2"/>
    <w:basedOn w:val="SDText"/>
    <w:next w:val="SDText"/>
    <w:link w:val="20"/>
    <w:uiPriority w:val="9"/>
    <w:unhideWhenUsed/>
    <w:qFormat/>
    <w:rsid w:val="00BD2318"/>
    <w:pPr>
      <w:keepNext/>
      <w:keepLines/>
      <w:numPr>
        <w:ilvl w:val="1"/>
        <w:numId w:val="1"/>
      </w:numPr>
      <w:spacing w:after="0"/>
      <w:outlineLvl w:val="1"/>
    </w:pPr>
    <w:rPr>
      <w:rFonts w:eastAsiaTheme="majorEastAsia" w:cstheme="majorBidi"/>
      <w:b/>
      <w:color w:val="000000" w:themeColor="text1"/>
      <w:szCs w:val="28"/>
    </w:rPr>
  </w:style>
  <w:style w:type="paragraph" w:styleId="3">
    <w:name w:val="heading 3"/>
    <w:basedOn w:val="SDText"/>
    <w:next w:val="SDText"/>
    <w:link w:val="30"/>
    <w:uiPriority w:val="9"/>
    <w:unhideWhenUsed/>
    <w:qFormat/>
    <w:rsid w:val="008F61BF"/>
    <w:pPr>
      <w:keepNext/>
      <w:keepLines/>
      <w:numPr>
        <w:ilvl w:val="2"/>
        <w:numId w:val="1"/>
      </w:numPr>
      <w:spacing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DE11C7"/>
    <w:pPr>
      <w:keepNext/>
      <w:keepLines/>
      <w:numPr>
        <w:ilvl w:val="3"/>
        <w:numId w:val="1"/>
      </w:numPr>
      <w:spacing w:after="0"/>
      <w:outlineLvl w:val="3"/>
    </w:pPr>
    <w:rPr>
      <w:rFonts w:eastAsiaTheme="majorEastAsia" w:cstheme="majorBidi"/>
      <w:b/>
      <w:iCs/>
      <w:color w:val="000000" w:themeColor="text1"/>
    </w:rPr>
  </w:style>
  <w:style w:type="paragraph" w:styleId="5">
    <w:name w:val="heading 5"/>
    <w:basedOn w:val="SDText"/>
    <w:next w:val="SDText"/>
    <w:link w:val="50"/>
    <w:uiPriority w:val="9"/>
    <w:unhideWhenUsed/>
    <w:qFormat/>
    <w:rsid w:val="00FC413F"/>
    <w:pPr>
      <w:keepNext/>
      <w:keepLines/>
      <w:numPr>
        <w:ilvl w:val="4"/>
        <w:numId w:val="1"/>
      </w:numPr>
      <w:spacing w:before="40" w:after="0"/>
      <w:outlineLvl w:val="4"/>
    </w:pPr>
    <w:rPr>
      <w:rFonts w:eastAsiaTheme="majorEastAsia" w:cstheme="majorBidi"/>
      <w:i/>
      <w:color w:val="000000" w:themeColor="text1"/>
    </w:rPr>
  </w:style>
  <w:style w:type="paragraph" w:styleId="6">
    <w:name w:val="heading 6"/>
    <w:basedOn w:val="a"/>
    <w:next w:val="a"/>
    <w:link w:val="60"/>
    <w:uiPriority w:val="9"/>
    <w:unhideWhenUsed/>
    <w:qFormat/>
    <w:rsid w:val="00074437"/>
    <w:pPr>
      <w:keepNext/>
      <w:keepLines/>
      <w:numPr>
        <w:ilvl w:val="5"/>
        <w:numId w:val="1"/>
      </w:numPr>
      <w:spacing w:before="40" w:after="0"/>
      <w:outlineLvl w:val="5"/>
    </w:pPr>
    <w:rPr>
      <w:rFonts w:asciiTheme="majorHAnsi" w:eastAsiaTheme="majorEastAsia" w:hAnsiTheme="majorHAnsi" w:cstheme="majorBidi"/>
    </w:rPr>
  </w:style>
  <w:style w:type="paragraph" w:styleId="7">
    <w:name w:val="heading 7"/>
    <w:basedOn w:val="a"/>
    <w:next w:val="a"/>
    <w:link w:val="70"/>
    <w:uiPriority w:val="9"/>
    <w:unhideWhenUsed/>
    <w:qFormat/>
    <w:rsid w:val="005E1657"/>
    <w:pPr>
      <w:keepNext/>
      <w:keepLines/>
      <w:numPr>
        <w:ilvl w:val="6"/>
        <w:numId w:val="1"/>
      </w:numPr>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unhideWhenUsed/>
    <w:qFormat/>
    <w:rsid w:val="008647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647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2318"/>
    <w:rPr>
      <w:rFonts w:ascii="Times New Roman" w:eastAsiaTheme="majorEastAsia" w:hAnsi="Times New Roman" w:cstheme="majorBidi"/>
      <w:b/>
      <w:color w:val="000000" w:themeColor="text1"/>
      <w:sz w:val="24"/>
      <w:szCs w:val="32"/>
    </w:rPr>
  </w:style>
  <w:style w:type="character" w:customStyle="1" w:styleId="20">
    <w:name w:val="Заголовок 2 Знак"/>
    <w:basedOn w:val="a0"/>
    <w:link w:val="2"/>
    <w:uiPriority w:val="9"/>
    <w:rsid w:val="00BD2318"/>
    <w:rPr>
      <w:rFonts w:ascii="Times New Roman" w:eastAsiaTheme="majorEastAsia" w:hAnsi="Times New Roman" w:cstheme="majorBidi"/>
      <w:b/>
      <w:color w:val="000000" w:themeColor="text1"/>
      <w:sz w:val="24"/>
      <w:szCs w:val="28"/>
    </w:rPr>
  </w:style>
  <w:style w:type="paragraph" w:customStyle="1" w:styleId="SDText">
    <w:name w:val="SD_Text"/>
    <w:basedOn w:val="a"/>
    <w:link w:val="SDText0"/>
    <w:qFormat/>
    <w:rsid w:val="0087092C"/>
  </w:style>
  <w:style w:type="character" w:customStyle="1" w:styleId="30">
    <w:name w:val="Заголовок 3 Знак"/>
    <w:basedOn w:val="a0"/>
    <w:link w:val="3"/>
    <w:uiPriority w:val="9"/>
    <w:rsid w:val="008F61BF"/>
    <w:rPr>
      <w:rFonts w:ascii="Times New Roman" w:eastAsiaTheme="majorEastAsia" w:hAnsi="Times New Roman" w:cstheme="majorBidi"/>
      <w:b/>
      <w:color w:val="000000" w:themeColor="text1"/>
      <w:sz w:val="24"/>
      <w:szCs w:val="24"/>
    </w:rPr>
  </w:style>
  <w:style w:type="character" w:customStyle="1" w:styleId="SDText0">
    <w:name w:val="SD_Text Знак"/>
    <w:basedOn w:val="10"/>
    <w:link w:val="SDText"/>
    <w:rsid w:val="0087092C"/>
    <w:rPr>
      <w:rFonts w:ascii="Times New Roman" w:eastAsiaTheme="majorEastAsia" w:hAnsi="Times New Roman" w:cstheme="majorBidi"/>
      <w:b w:val="0"/>
      <w:color w:val="000000" w:themeColor="text1"/>
      <w:sz w:val="24"/>
      <w:szCs w:val="32"/>
    </w:rPr>
  </w:style>
  <w:style w:type="character" w:customStyle="1" w:styleId="40">
    <w:name w:val="Заголовок 4 Знак"/>
    <w:basedOn w:val="a0"/>
    <w:link w:val="4"/>
    <w:uiPriority w:val="9"/>
    <w:rsid w:val="00DE11C7"/>
    <w:rPr>
      <w:rFonts w:ascii="Times New Roman" w:eastAsiaTheme="majorEastAsia" w:hAnsi="Times New Roman" w:cstheme="majorBidi"/>
      <w:b/>
      <w:iCs/>
      <w:color w:val="000000" w:themeColor="text1"/>
      <w:sz w:val="24"/>
    </w:rPr>
  </w:style>
  <w:style w:type="character" w:customStyle="1" w:styleId="50">
    <w:name w:val="Заголовок 5 Знак"/>
    <w:basedOn w:val="a0"/>
    <w:link w:val="5"/>
    <w:uiPriority w:val="9"/>
    <w:rsid w:val="00FC413F"/>
    <w:rPr>
      <w:rFonts w:ascii="Times New Roman" w:eastAsiaTheme="majorEastAsia" w:hAnsi="Times New Roman" w:cstheme="majorBidi"/>
      <w:i/>
      <w:color w:val="000000" w:themeColor="text1"/>
      <w:sz w:val="24"/>
    </w:rPr>
  </w:style>
  <w:style w:type="character" w:customStyle="1" w:styleId="60">
    <w:name w:val="Заголовок 6 Знак"/>
    <w:basedOn w:val="a0"/>
    <w:link w:val="6"/>
    <w:uiPriority w:val="9"/>
    <w:rsid w:val="00074437"/>
    <w:rPr>
      <w:rFonts w:asciiTheme="majorHAnsi" w:eastAsiaTheme="majorEastAsia" w:hAnsiTheme="majorHAnsi" w:cstheme="majorBidi"/>
      <w:sz w:val="24"/>
    </w:rPr>
  </w:style>
  <w:style w:type="character" w:customStyle="1" w:styleId="70">
    <w:name w:val="Заголовок 7 Знак"/>
    <w:basedOn w:val="a0"/>
    <w:link w:val="7"/>
    <w:uiPriority w:val="9"/>
    <w:rsid w:val="005E1657"/>
    <w:rPr>
      <w:rFonts w:asciiTheme="majorHAnsi" w:eastAsiaTheme="majorEastAsia" w:hAnsiTheme="majorHAnsi" w:cstheme="majorBidi"/>
      <w:i/>
      <w:iCs/>
      <w:sz w:val="24"/>
    </w:rPr>
  </w:style>
  <w:style w:type="character" w:customStyle="1" w:styleId="80">
    <w:name w:val="Заголовок 8 Знак"/>
    <w:basedOn w:val="a0"/>
    <w:link w:val="8"/>
    <w:uiPriority w:val="9"/>
    <w:rsid w:val="008647B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647BF"/>
    <w:rPr>
      <w:rFonts w:asciiTheme="majorHAnsi" w:eastAsiaTheme="majorEastAsia" w:hAnsiTheme="majorHAnsi" w:cstheme="majorBidi"/>
      <w:i/>
      <w:iCs/>
      <w:color w:val="272727" w:themeColor="text1" w:themeTint="D8"/>
      <w:sz w:val="21"/>
      <w:szCs w:val="21"/>
    </w:rPr>
  </w:style>
  <w:style w:type="paragraph" w:customStyle="1" w:styleId="SDpicture">
    <w:name w:val="SD_picture"/>
    <w:basedOn w:val="SDText"/>
    <w:qFormat/>
    <w:rsid w:val="00FC413F"/>
    <w:pPr>
      <w:jc w:val="center"/>
    </w:pPr>
    <w:rPr>
      <w:i/>
    </w:rPr>
  </w:style>
  <w:style w:type="paragraph" w:styleId="a3">
    <w:name w:val="caption"/>
    <w:basedOn w:val="a"/>
    <w:next w:val="a"/>
    <w:autoRedefine/>
    <w:uiPriority w:val="35"/>
    <w:unhideWhenUsed/>
    <w:qFormat/>
    <w:rsid w:val="002D5834"/>
    <w:pPr>
      <w:keepNext/>
      <w:keepLines/>
      <w:suppressAutoHyphens/>
      <w:spacing w:after="200"/>
      <w:ind w:firstLine="0"/>
      <w:contextualSpacing/>
      <w:jc w:val="center"/>
    </w:pPr>
    <w:rPr>
      <w:b/>
      <w:iCs/>
      <w:sz w:val="20"/>
      <w:szCs w:val="18"/>
    </w:rPr>
  </w:style>
  <w:style w:type="table" w:styleId="a4">
    <w:name w:val="Table Grid"/>
    <w:basedOn w:val="a1"/>
    <w:uiPriority w:val="59"/>
    <w:qFormat/>
    <w:rsid w:val="007D588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unhideWhenUsed/>
    <w:rsid w:val="00232890"/>
    <w:pPr>
      <w:spacing w:after="0"/>
    </w:pPr>
    <w:rPr>
      <w:sz w:val="20"/>
      <w:szCs w:val="20"/>
    </w:rPr>
  </w:style>
  <w:style w:type="character" w:customStyle="1" w:styleId="a6">
    <w:name w:val="Текст сноски Знак"/>
    <w:basedOn w:val="a0"/>
    <w:link w:val="a5"/>
    <w:uiPriority w:val="99"/>
    <w:rsid w:val="00232890"/>
    <w:rPr>
      <w:rFonts w:ascii="Times New Roman" w:hAnsi="Times New Roman"/>
      <w:sz w:val="20"/>
      <w:szCs w:val="20"/>
    </w:rPr>
  </w:style>
  <w:style w:type="character" w:styleId="a7">
    <w:name w:val="footnote reference"/>
    <w:basedOn w:val="a0"/>
    <w:uiPriority w:val="99"/>
    <w:semiHidden/>
    <w:unhideWhenUsed/>
    <w:rsid w:val="00232890"/>
    <w:rPr>
      <w:vertAlign w:val="superscript"/>
    </w:rPr>
  </w:style>
  <w:style w:type="paragraph" w:styleId="a8">
    <w:name w:val="TOC Heading"/>
    <w:basedOn w:val="1"/>
    <w:next w:val="a"/>
    <w:uiPriority w:val="39"/>
    <w:unhideWhenUsed/>
    <w:qFormat/>
    <w:rsid w:val="00975816"/>
    <w:pPr>
      <w:spacing w:line="259" w:lineRule="auto"/>
      <w:jc w:val="left"/>
      <w:outlineLvl w:val="9"/>
    </w:pPr>
    <w:rPr>
      <w:rFonts w:cs="Times New Roman"/>
      <w:lang w:eastAsia="ru-RU"/>
    </w:rPr>
  </w:style>
  <w:style w:type="paragraph" w:styleId="11">
    <w:name w:val="toc 1"/>
    <w:basedOn w:val="a"/>
    <w:next w:val="a"/>
    <w:autoRedefine/>
    <w:uiPriority w:val="39"/>
    <w:unhideWhenUsed/>
    <w:rsid w:val="00157F01"/>
    <w:pPr>
      <w:spacing w:before="120" w:after="0"/>
      <w:jc w:val="left"/>
    </w:pPr>
    <w:rPr>
      <w:b/>
      <w:bCs/>
      <w:szCs w:val="24"/>
    </w:rPr>
  </w:style>
  <w:style w:type="paragraph" w:styleId="21">
    <w:name w:val="toc 2"/>
    <w:basedOn w:val="a"/>
    <w:next w:val="a"/>
    <w:autoRedefine/>
    <w:uiPriority w:val="39"/>
    <w:unhideWhenUsed/>
    <w:rsid w:val="00364071"/>
    <w:pPr>
      <w:tabs>
        <w:tab w:val="left" w:pos="1680"/>
        <w:tab w:val="right" w:leader="dot" w:pos="9345"/>
      </w:tabs>
      <w:spacing w:after="0"/>
      <w:ind w:left="284" w:firstLine="0"/>
      <w:jc w:val="left"/>
    </w:pPr>
    <w:rPr>
      <w:b/>
      <w:bCs/>
      <w:sz w:val="22"/>
    </w:rPr>
  </w:style>
  <w:style w:type="paragraph" w:styleId="31">
    <w:name w:val="toc 3"/>
    <w:basedOn w:val="a"/>
    <w:next w:val="a"/>
    <w:autoRedefine/>
    <w:uiPriority w:val="39"/>
    <w:unhideWhenUsed/>
    <w:rsid w:val="00364071"/>
    <w:pPr>
      <w:tabs>
        <w:tab w:val="right" w:leader="dot" w:pos="9345"/>
      </w:tabs>
      <w:spacing w:after="0"/>
      <w:ind w:left="709" w:hanging="142"/>
      <w:contextualSpacing/>
      <w:jc w:val="left"/>
    </w:pPr>
    <w:rPr>
      <w:sz w:val="22"/>
    </w:rPr>
  </w:style>
  <w:style w:type="character" w:styleId="a9">
    <w:name w:val="Hyperlink"/>
    <w:basedOn w:val="a0"/>
    <w:uiPriority w:val="99"/>
    <w:unhideWhenUsed/>
    <w:rsid w:val="009A0B62"/>
    <w:rPr>
      <w:color w:val="0563C1" w:themeColor="hyperlink"/>
      <w:u w:val="single"/>
    </w:rPr>
  </w:style>
  <w:style w:type="paragraph" w:styleId="aa">
    <w:name w:val="table of figures"/>
    <w:basedOn w:val="a"/>
    <w:next w:val="a"/>
    <w:uiPriority w:val="99"/>
    <w:unhideWhenUsed/>
    <w:rsid w:val="009B3DC5"/>
    <w:pPr>
      <w:spacing w:after="0"/>
    </w:pPr>
    <w:rPr>
      <w:sz w:val="20"/>
    </w:rPr>
  </w:style>
  <w:style w:type="paragraph" w:styleId="ab">
    <w:name w:val="Bibliography"/>
    <w:basedOn w:val="a"/>
    <w:next w:val="a"/>
    <w:uiPriority w:val="37"/>
    <w:unhideWhenUsed/>
    <w:rsid w:val="00823C2F"/>
    <w:pPr>
      <w:tabs>
        <w:tab w:val="left" w:pos="384"/>
      </w:tabs>
      <w:spacing w:after="0"/>
      <w:ind w:left="384" w:hanging="384"/>
    </w:pPr>
  </w:style>
  <w:style w:type="paragraph" w:styleId="ac">
    <w:name w:val="header"/>
    <w:basedOn w:val="a"/>
    <w:link w:val="ad"/>
    <w:uiPriority w:val="99"/>
    <w:unhideWhenUsed/>
    <w:rsid w:val="0050728B"/>
    <w:pPr>
      <w:tabs>
        <w:tab w:val="center" w:pos="4677"/>
        <w:tab w:val="right" w:pos="9355"/>
      </w:tabs>
      <w:spacing w:after="0"/>
    </w:pPr>
  </w:style>
  <w:style w:type="character" w:customStyle="1" w:styleId="ad">
    <w:name w:val="Верхний колонтитул Знак"/>
    <w:basedOn w:val="a0"/>
    <w:link w:val="ac"/>
    <w:uiPriority w:val="99"/>
    <w:rsid w:val="0050728B"/>
    <w:rPr>
      <w:rFonts w:ascii="Times New Roman" w:hAnsi="Times New Roman"/>
      <w:sz w:val="24"/>
    </w:rPr>
  </w:style>
  <w:style w:type="paragraph" w:styleId="ae">
    <w:name w:val="footer"/>
    <w:basedOn w:val="a"/>
    <w:link w:val="af"/>
    <w:uiPriority w:val="99"/>
    <w:unhideWhenUsed/>
    <w:rsid w:val="0050728B"/>
    <w:pPr>
      <w:tabs>
        <w:tab w:val="center" w:pos="4677"/>
        <w:tab w:val="right" w:pos="9355"/>
      </w:tabs>
      <w:spacing w:after="0"/>
    </w:pPr>
  </w:style>
  <w:style w:type="character" w:customStyle="1" w:styleId="af">
    <w:name w:val="Нижний колонтитул Знак"/>
    <w:basedOn w:val="a0"/>
    <w:link w:val="ae"/>
    <w:uiPriority w:val="99"/>
    <w:rsid w:val="0050728B"/>
    <w:rPr>
      <w:rFonts w:ascii="Times New Roman" w:hAnsi="Times New Roman"/>
      <w:sz w:val="24"/>
    </w:rPr>
  </w:style>
  <w:style w:type="character" w:styleId="af0">
    <w:name w:val="annotation reference"/>
    <w:basedOn w:val="a0"/>
    <w:uiPriority w:val="99"/>
    <w:unhideWhenUsed/>
    <w:rsid w:val="005B0BF7"/>
    <w:rPr>
      <w:sz w:val="16"/>
      <w:szCs w:val="16"/>
    </w:rPr>
  </w:style>
  <w:style w:type="paragraph" w:styleId="af1">
    <w:name w:val="annotation text"/>
    <w:basedOn w:val="a"/>
    <w:link w:val="af2"/>
    <w:uiPriority w:val="99"/>
    <w:unhideWhenUsed/>
    <w:rsid w:val="005B0BF7"/>
    <w:rPr>
      <w:sz w:val="20"/>
      <w:szCs w:val="20"/>
    </w:rPr>
  </w:style>
  <w:style w:type="character" w:customStyle="1" w:styleId="af2">
    <w:name w:val="Текст примечания Знак"/>
    <w:basedOn w:val="a0"/>
    <w:link w:val="af1"/>
    <w:uiPriority w:val="99"/>
    <w:rsid w:val="005B0BF7"/>
    <w:rPr>
      <w:rFonts w:ascii="Times New Roman" w:hAnsi="Times New Roman"/>
      <w:sz w:val="20"/>
      <w:szCs w:val="20"/>
    </w:rPr>
  </w:style>
  <w:style w:type="paragraph" w:styleId="af3">
    <w:name w:val="annotation subject"/>
    <w:basedOn w:val="af1"/>
    <w:next w:val="af1"/>
    <w:link w:val="af4"/>
    <w:uiPriority w:val="99"/>
    <w:semiHidden/>
    <w:unhideWhenUsed/>
    <w:rsid w:val="005B0BF7"/>
    <w:rPr>
      <w:b/>
      <w:bCs/>
    </w:rPr>
  </w:style>
  <w:style w:type="character" w:customStyle="1" w:styleId="af4">
    <w:name w:val="Тема примечания Знак"/>
    <w:basedOn w:val="af2"/>
    <w:link w:val="af3"/>
    <w:uiPriority w:val="99"/>
    <w:semiHidden/>
    <w:rsid w:val="005B0BF7"/>
    <w:rPr>
      <w:rFonts w:ascii="Times New Roman" w:hAnsi="Times New Roman"/>
      <w:b/>
      <w:bCs/>
      <w:sz w:val="20"/>
      <w:szCs w:val="20"/>
    </w:rPr>
  </w:style>
  <w:style w:type="paragraph" w:styleId="af5">
    <w:name w:val="Balloon Text"/>
    <w:basedOn w:val="a"/>
    <w:link w:val="af6"/>
    <w:uiPriority w:val="99"/>
    <w:semiHidden/>
    <w:unhideWhenUsed/>
    <w:rsid w:val="005B0BF7"/>
    <w:pPr>
      <w:spacing w:after="0"/>
    </w:pPr>
    <w:rPr>
      <w:rFonts w:ascii="Segoe UI" w:hAnsi="Segoe UI" w:cs="Segoe UI"/>
      <w:sz w:val="18"/>
      <w:szCs w:val="18"/>
    </w:rPr>
  </w:style>
  <w:style w:type="character" w:customStyle="1" w:styleId="af6">
    <w:name w:val="Текст выноски Знак"/>
    <w:basedOn w:val="a0"/>
    <w:link w:val="af5"/>
    <w:uiPriority w:val="99"/>
    <w:semiHidden/>
    <w:rsid w:val="005B0BF7"/>
    <w:rPr>
      <w:rFonts w:ascii="Segoe UI" w:hAnsi="Segoe UI" w:cs="Segoe UI"/>
      <w:sz w:val="18"/>
      <w:szCs w:val="18"/>
    </w:rPr>
  </w:style>
  <w:style w:type="character" w:styleId="af7">
    <w:name w:val="Subtle Emphasis"/>
    <w:basedOn w:val="a0"/>
    <w:uiPriority w:val="19"/>
    <w:qFormat/>
    <w:rsid w:val="00066F7B"/>
    <w:rPr>
      <w:i/>
      <w:iCs/>
      <w:color w:val="404040" w:themeColor="text1" w:themeTint="BF"/>
    </w:rPr>
  </w:style>
  <w:style w:type="paragraph" w:customStyle="1" w:styleId="SDcomments">
    <w:name w:val="SD_comments"/>
    <w:basedOn w:val="SDText"/>
    <w:qFormat/>
    <w:rsid w:val="00031769"/>
    <w:pPr>
      <w:spacing w:after="0"/>
    </w:pPr>
    <w:rPr>
      <w:sz w:val="20"/>
      <w:szCs w:val="20"/>
    </w:rPr>
  </w:style>
  <w:style w:type="paragraph" w:styleId="af8">
    <w:name w:val="Document Map"/>
    <w:basedOn w:val="a"/>
    <w:link w:val="af9"/>
    <w:uiPriority w:val="99"/>
    <w:semiHidden/>
    <w:unhideWhenUsed/>
    <w:rsid w:val="0082226D"/>
    <w:pPr>
      <w:spacing w:after="0"/>
    </w:pPr>
    <w:rPr>
      <w:rFonts w:cs="Times New Roman"/>
      <w:szCs w:val="24"/>
    </w:rPr>
  </w:style>
  <w:style w:type="character" w:customStyle="1" w:styleId="af9">
    <w:name w:val="Схема документа Знак"/>
    <w:basedOn w:val="a0"/>
    <w:link w:val="af8"/>
    <w:uiPriority w:val="99"/>
    <w:semiHidden/>
    <w:rsid w:val="0082226D"/>
    <w:rPr>
      <w:rFonts w:ascii="Times New Roman" w:hAnsi="Times New Roman" w:cs="Times New Roman"/>
      <w:sz w:val="24"/>
      <w:szCs w:val="24"/>
    </w:rPr>
  </w:style>
  <w:style w:type="paragraph" w:customStyle="1" w:styleId="SDTable">
    <w:name w:val="SD_Table"/>
    <w:basedOn w:val="a3"/>
    <w:qFormat/>
    <w:rsid w:val="00975816"/>
    <w:pPr>
      <w:jc w:val="right"/>
    </w:pPr>
  </w:style>
  <w:style w:type="paragraph" w:styleId="41">
    <w:name w:val="toc 4"/>
    <w:basedOn w:val="a"/>
    <w:next w:val="a"/>
    <w:autoRedefine/>
    <w:uiPriority w:val="39"/>
    <w:unhideWhenUsed/>
    <w:rsid w:val="00364071"/>
    <w:pPr>
      <w:tabs>
        <w:tab w:val="right" w:leader="dot" w:pos="9345"/>
      </w:tabs>
      <w:spacing w:after="0"/>
      <w:ind w:left="1134" w:firstLine="0"/>
      <w:jc w:val="left"/>
    </w:pPr>
    <w:rPr>
      <w:sz w:val="20"/>
      <w:szCs w:val="20"/>
    </w:rPr>
  </w:style>
  <w:style w:type="paragraph" w:styleId="51">
    <w:name w:val="toc 5"/>
    <w:basedOn w:val="a"/>
    <w:next w:val="a"/>
    <w:autoRedefine/>
    <w:uiPriority w:val="39"/>
    <w:unhideWhenUsed/>
    <w:rsid w:val="00157F01"/>
    <w:pPr>
      <w:spacing w:after="0"/>
      <w:ind w:left="960"/>
      <w:jc w:val="left"/>
    </w:pPr>
    <w:rPr>
      <w:sz w:val="20"/>
      <w:szCs w:val="20"/>
    </w:rPr>
  </w:style>
  <w:style w:type="paragraph" w:styleId="61">
    <w:name w:val="toc 6"/>
    <w:basedOn w:val="a"/>
    <w:next w:val="a"/>
    <w:autoRedefine/>
    <w:uiPriority w:val="39"/>
    <w:unhideWhenUsed/>
    <w:rsid w:val="00157F01"/>
    <w:pPr>
      <w:spacing w:after="0"/>
      <w:ind w:left="1200"/>
      <w:jc w:val="left"/>
    </w:pPr>
    <w:rPr>
      <w:sz w:val="20"/>
      <w:szCs w:val="20"/>
    </w:rPr>
  </w:style>
  <w:style w:type="paragraph" w:styleId="71">
    <w:name w:val="toc 7"/>
    <w:basedOn w:val="a"/>
    <w:next w:val="a"/>
    <w:autoRedefine/>
    <w:uiPriority w:val="39"/>
    <w:unhideWhenUsed/>
    <w:rsid w:val="00157F01"/>
    <w:pPr>
      <w:spacing w:after="0"/>
      <w:ind w:left="1440"/>
      <w:jc w:val="left"/>
    </w:pPr>
    <w:rPr>
      <w:sz w:val="20"/>
      <w:szCs w:val="20"/>
    </w:rPr>
  </w:style>
  <w:style w:type="paragraph" w:styleId="81">
    <w:name w:val="toc 8"/>
    <w:basedOn w:val="a"/>
    <w:next w:val="a"/>
    <w:autoRedefine/>
    <w:uiPriority w:val="39"/>
    <w:unhideWhenUsed/>
    <w:rsid w:val="00157F01"/>
    <w:pPr>
      <w:spacing w:after="0"/>
      <w:ind w:left="1680"/>
      <w:jc w:val="left"/>
    </w:pPr>
    <w:rPr>
      <w:sz w:val="20"/>
      <w:szCs w:val="20"/>
    </w:rPr>
  </w:style>
  <w:style w:type="paragraph" w:styleId="91">
    <w:name w:val="toc 9"/>
    <w:basedOn w:val="a"/>
    <w:next w:val="a"/>
    <w:autoRedefine/>
    <w:uiPriority w:val="39"/>
    <w:unhideWhenUsed/>
    <w:rsid w:val="009B3DC5"/>
    <w:pPr>
      <w:spacing w:after="0"/>
      <w:ind w:left="1920"/>
      <w:jc w:val="left"/>
    </w:pPr>
    <w:rPr>
      <w:rFonts w:asciiTheme="minorHAnsi" w:hAnsiTheme="minorHAnsi"/>
      <w:sz w:val="20"/>
      <w:szCs w:val="20"/>
    </w:rPr>
  </w:style>
  <w:style w:type="paragraph" w:styleId="afa">
    <w:name w:val="Revision"/>
    <w:hidden/>
    <w:uiPriority w:val="99"/>
    <w:semiHidden/>
    <w:rsid w:val="009F69EE"/>
    <w:pPr>
      <w:spacing w:after="0"/>
    </w:pPr>
    <w:rPr>
      <w:rFonts w:ascii="Times New Roman" w:hAnsi="Times New Roman"/>
      <w:sz w:val="24"/>
    </w:rPr>
  </w:style>
  <w:style w:type="table" w:customStyle="1" w:styleId="12">
    <w:name w:val="Сетка таблицы1"/>
    <w:basedOn w:val="a1"/>
    <w:next w:val="a4"/>
    <w:uiPriority w:val="39"/>
    <w:rsid w:val="00DA365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laceholder Text"/>
    <w:basedOn w:val="a0"/>
    <w:uiPriority w:val="99"/>
    <w:semiHidden/>
    <w:rsid w:val="00424E0F"/>
    <w:rPr>
      <w:color w:val="808080"/>
    </w:rPr>
  </w:style>
  <w:style w:type="paragraph" w:customStyle="1" w:styleId="ProtocolID">
    <w:name w:val="Protocol ID"/>
    <w:basedOn w:val="a"/>
    <w:link w:val="ProtocolID0"/>
    <w:qFormat/>
    <w:rsid w:val="00F85178"/>
    <w:pPr>
      <w:spacing w:after="0"/>
    </w:pPr>
    <w:rPr>
      <w:szCs w:val="28"/>
    </w:rPr>
  </w:style>
  <w:style w:type="paragraph" w:styleId="afc">
    <w:name w:val="No Spacing"/>
    <w:uiPriority w:val="1"/>
    <w:qFormat/>
    <w:rsid w:val="0024475A"/>
    <w:pPr>
      <w:spacing w:after="0"/>
      <w:jc w:val="both"/>
    </w:pPr>
    <w:rPr>
      <w:rFonts w:ascii="Times New Roman" w:hAnsi="Times New Roman"/>
      <w:sz w:val="24"/>
    </w:rPr>
  </w:style>
  <w:style w:type="character" w:customStyle="1" w:styleId="ProtocolID0">
    <w:name w:val="Protocol ID Знак"/>
    <w:basedOn w:val="a0"/>
    <w:link w:val="ProtocolID"/>
    <w:rsid w:val="00F85178"/>
    <w:rPr>
      <w:rFonts w:ascii="Times New Roman" w:hAnsi="Times New Roman"/>
      <w:sz w:val="24"/>
      <w:szCs w:val="28"/>
    </w:rPr>
  </w:style>
  <w:style w:type="character" w:customStyle="1" w:styleId="22">
    <w:name w:val="Основной текст (2)_"/>
    <w:basedOn w:val="a0"/>
    <w:rsid w:val="00731075"/>
    <w:rPr>
      <w:rFonts w:ascii="Times New Roman" w:eastAsia="Times New Roman" w:hAnsi="Times New Roman" w:cs="Times New Roman"/>
      <w:b w:val="0"/>
      <w:bCs w:val="0"/>
      <w:i w:val="0"/>
      <w:iCs w:val="0"/>
      <w:smallCaps w:val="0"/>
      <w:strike w:val="0"/>
      <w:sz w:val="22"/>
      <w:szCs w:val="22"/>
      <w:u w:val="none"/>
    </w:rPr>
  </w:style>
  <w:style w:type="character" w:customStyle="1" w:styleId="23">
    <w:name w:val="Основной текст (2) + Курсив"/>
    <w:basedOn w:val="22"/>
    <w:rsid w:val="00731075"/>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62">
    <w:name w:val="Основной текст (6)_"/>
    <w:basedOn w:val="a0"/>
    <w:rsid w:val="00731075"/>
    <w:rPr>
      <w:rFonts w:ascii="Times New Roman" w:eastAsia="Times New Roman" w:hAnsi="Times New Roman" w:cs="Times New Roman"/>
      <w:b w:val="0"/>
      <w:bCs w:val="0"/>
      <w:i/>
      <w:iCs/>
      <w:smallCaps w:val="0"/>
      <w:strike w:val="0"/>
      <w:sz w:val="22"/>
      <w:szCs w:val="22"/>
      <w:u w:val="none"/>
    </w:rPr>
  </w:style>
  <w:style w:type="character" w:customStyle="1" w:styleId="afd">
    <w:name w:val="Подпись к таблице_"/>
    <w:basedOn w:val="a0"/>
    <w:link w:val="afe"/>
    <w:rsid w:val="00731075"/>
    <w:rPr>
      <w:rFonts w:ascii="Times New Roman" w:eastAsia="Times New Roman" w:hAnsi="Times New Roman" w:cs="Times New Roman"/>
      <w:shd w:val="clear" w:color="auto" w:fill="FFFFFF"/>
    </w:rPr>
  </w:style>
  <w:style w:type="character" w:customStyle="1" w:styleId="24">
    <w:name w:val="Основной текст (2)"/>
    <w:basedOn w:val="22"/>
    <w:rsid w:val="0073107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63">
    <w:name w:val="Основной текст (6)"/>
    <w:basedOn w:val="62"/>
    <w:rsid w:val="00731075"/>
    <w:rPr>
      <w:rFonts w:ascii="Times New Roman" w:eastAsia="Times New Roman" w:hAnsi="Times New Roman" w:cs="Times New Roman"/>
      <w:b w:val="0"/>
      <w:bCs w:val="0"/>
      <w:i/>
      <w:iCs/>
      <w:smallCaps w:val="0"/>
      <w:strike w:val="0"/>
      <w:color w:val="000000"/>
      <w:spacing w:val="0"/>
      <w:w w:val="100"/>
      <w:position w:val="0"/>
      <w:sz w:val="22"/>
      <w:szCs w:val="22"/>
      <w:u w:val="single"/>
      <w:lang w:val="ru-RU" w:eastAsia="ru-RU" w:bidi="ru-RU"/>
    </w:rPr>
  </w:style>
  <w:style w:type="character" w:customStyle="1" w:styleId="25">
    <w:name w:val="Основной текст (2) + Полужирный"/>
    <w:basedOn w:val="22"/>
    <w:rsid w:val="00731075"/>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26">
    <w:name w:val="Подпись к таблице (2)_"/>
    <w:basedOn w:val="a0"/>
    <w:rsid w:val="00731075"/>
    <w:rPr>
      <w:rFonts w:ascii="Times New Roman" w:eastAsia="Times New Roman" w:hAnsi="Times New Roman" w:cs="Times New Roman"/>
      <w:b w:val="0"/>
      <w:bCs w:val="0"/>
      <w:i/>
      <w:iCs/>
      <w:smallCaps w:val="0"/>
      <w:strike w:val="0"/>
      <w:sz w:val="22"/>
      <w:szCs w:val="22"/>
      <w:u w:val="none"/>
    </w:rPr>
  </w:style>
  <w:style w:type="character" w:customStyle="1" w:styleId="27">
    <w:name w:val="Подпись к таблице (2)"/>
    <w:basedOn w:val="26"/>
    <w:rsid w:val="00731075"/>
    <w:rPr>
      <w:rFonts w:ascii="Times New Roman" w:eastAsia="Times New Roman" w:hAnsi="Times New Roman" w:cs="Times New Roman"/>
      <w:b w:val="0"/>
      <w:bCs w:val="0"/>
      <w:i/>
      <w:iCs/>
      <w:smallCaps w:val="0"/>
      <w:strike w:val="0"/>
      <w:color w:val="000000"/>
      <w:spacing w:val="0"/>
      <w:w w:val="100"/>
      <w:position w:val="0"/>
      <w:sz w:val="22"/>
      <w:szCs w:val="22"/>
      <w:u w:val="single"/>
      <w:lang w:val="ru-RU" w:eastAsia="ru-RU" w:bidi="ru-RU"/>
    </w:rPr>
  </w:style>
  <w:style w:type="paragraph" w:customStyle="1" w:styleId="afe">
    <w:name w:val="Подпись к таблице"/>
    <w:basedOn w:val="a"/>
    <w:link w:val="afd"/>
    <w:rsid w:val="00731075"/>
    <w:pPr>
      <w:widowControl w:val="0"/>
      <w:shd w:val="clear" w:color="auto" w:fill="FFFFFF"/>
      <w:spacing w:after="0" w:line="403" w:lineRule="exact"/>
      <w:ind w:firstLine="0"/>
    </w:pPr>
    <w:rPr>
      <w:rFonts w:eastAsia="Times New Roman" w:cs="Times New Roman"/>
      <w:sz w:val="22"/>
    </w:rPr>
  </w:style>
  <w:style w:type="paragraph" w:styleId="aff">
    <w:name w:val="List Paragraph"/>
    <w:basedOn w:val="a"/>
    <w:uiPriority w:val="34"/>
    <w:qFormat/>
    <w:rsid w:val="00266CE0"/>
    <w:pPr>
      <w:ind w:left="720"/>
      <w:contextualSpacing/>
    </w:pPr>
  </w:style>
  <w:style w:type="character" w:customStyle="1" w:styleId="2Exact">
    <w:name w:val="Основной текст (2) Exact"/>
    <w:basedOn w:val="a0"/>
    <w:rsid w:val="00087AF5"/>
    <w:rPr>
      <w:rFonts w:ascii="Times New Roman" w:eastAsia="Times New Roman" w:hAnsi="Times New Roman" w:cs="Times New Roman"/>
      <w:b w:val="0"/>
      <w:bCs w:val="0"/>
      <w:i w:val="0"/>
      <w:iCs w:val="0"/>
      <w:smallCaps w:val="0"/>
      <w:strike w:val="0"/>
      <w:sz w:val="22"/>
      <w:szCs w:val="22"/>
      <w:u w:val="none"/>
    </w:rPr>
  </w:style>
  <w:style w:type="character" w:customStyle="1" w:styleId="28">
    <w:name w:val="Основной текст (2) + Полужирный;Курсив"/>
    <w:basedOn w:val="22"/>
    <w:rsid w:val="00087AF5"/>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42">
    <w:name w:val="Основной текст (4)_"/>
    <w:basedOn w:val="a0"/>
    <w:link w:val="43"/>
    <w:rsid w:val="00087AF5"/>
    <w:rPr>
      <w:rFonts w:ascii="Times New Roman" w:eastAsia="Times New Roman" w:hAnsi="Times New Roman" w:cs="Times New Roman"/>
      <w:b/>
      <w:bCs/>
      <w:i/>
      <w:iCs/>
      <w:shd w:val="clear" w:color="auto" w:fill="FFFFFF"/>
    </w:rPr>
  </w:style>
  <w:style w:type="character" w:customStyle="1" w:styleId="72">
    <w:name w:val="Основной текст (7)_"/>
    <w:basedOn w:val="a0"/>
    <w:link w:val="73"/>
    <w:rsid w:val="00087AF5"/>
    <w:rPr>
      <w:rFonts w:ascii="Tahoma" w:eastAsia="Tahoma" w:hAnsi="Tahoma" w:cs="Tahoma"/>
      <w:sz w:val="20"/>
      <w:szCs w:val="20"/>
      <w:shd w:val="clear" w:color="auto" w:fill="FFFFFF"/>
    </w:rPr>
  </w:style>
  <w:style w:type="character" w:customStyle="1" w:styleId="7LucidaSansUnicode105pt">
    <w:name w:val="Основной текст (7) + Lucida Sans Unicode;10;5 pt"/>
    <w:basedOn w:val="72"/>
    <w:rsid w:val="00087AF5"/>
    <w:rPr>
      <w:rFonts w:ascii="Lucida Sans Unicode" w:eastAsia="Lucida Sans Unicode" w:hAnsi="Lucida Sans Unicode" w:cs="Lucida Sans Unicode"/>
      <w:color w:val="000000"/>
      <w:spacing w:val="0"/>
      <w:w w:val="100"/>
      <w:position w:val="0"/>
      <w:sz w:val="21"/>
      <w:szCs w:val="21"/>
      <w:shd w:val="clear" w:color="auto" w:fill="FFFFFF"/>
      <w:lang w:val="ru-RU" w:eastAsia="ru-RU" w:bidi="ru-RU"/>
    </w:rPr>
  </w:style>
  <w:style w:type="character" w:customStyle="1" w:styleId="13">
    <w:name w:val="Заголовок №1_"/>
    <w:basedOn w:val="a0"/>
    <w:link w:val="14"/>
    <w:rsid w:val="00087AF5"/>
    <w:rPr>
      <w:rFonts w:ascii="Lucida Sans Unicode" w:eastAsia="Lucida Sans Unicode" w:hAnsi="Lucida Sans Unicode" w:cs="Lucida Sans Unicode"/>
      <w:sz w:val="20"/>
      <w:szCs w:val="20"/>
      <w:shd w:val="clear" w:color="auto" w:fill="FFFFFF"/>
    </w:rPr>
  </w:style>
  <w:style w:type="character" w:customStyle="1" w:styleId="1TimesNewRoman105pt">
    <w:name w:val="Заголовок №1 + Times New Roman;10;5 pt"/>
    <w:basedOn w:val="13"/>
    <w:rsid w:val="00087AF5"/>
    <w:rPr>
      <w:rFonts w:ascii="Times New Roman" w:eastAsia="Times New Roman" w:hAnsi="Times New Roman" w:cs="Times New Roman"/>
      <w:color w:val="000000"/>
      <w:spacing w:val="0"/>
      <w:w w:val="100"/>
      <w:position w:val="0"/>
      <w:sz w:val="21"/>
      <w:szCs w:val="21"/>
      <w:shd w:val="clear" w:color="auto" w:fill="FFFFFF"/>
      <w:lang w:val="ru-RU" w:eastAsia="ru-RU" w:bidi="ru-RU"/>
    </w:rPr>
  </w:style>
  <w:style w:type="character" w:customStyle="1" w:styleId="44">
    <w:name w:val="Основной текст (4) + Не полужирный"/>
    <w:basedOn w:val="42"/>
    <w:rsid w:val="00087AF5"/>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45">
    <w:name w:val="Основной текст (4) + Не полужирный;Не курсив"/>
    <w:basedOn w:val="42"/>
    <w:rsid w:val="00087AF5"/>
    <w:rPr>
      <w:rFonts w:ascii="Times New Roman" w:eastAsia="Times New Roman" w:hAnsi="Times New Roman" w:cs="Times New Roman"/>
      <w:b/>
      <w:bCs/>
      <w:i/>
      <w:iCs/>
      <w:color w:val="000000"/>
      <w:spacing w:val="0"/>
      <w:w w:val="100"/>
      <w:position w:val="0"/>
      <w:shd w:val="clear" w:color="auto" w:fill="FFFFFF"/>
      <w:lang w:val="ru-RU" w:eastAsia="ru-RU" w:bidi="ru-RU"/>
    </w:rPr>
  </w:style>
  <w:style w:type="paragraph" w:customStyle="1" w:styleId="43">
    <w:name w:val="Основной текст (4)"/>
    <w:basedOn w:val="a"/>
    <w:link w:val="42"/>
    <w:rsid w:val="00087AF5"/>
    <w:pPr>
      <w:widowControl w:val="0"/>
      <w:shd w:val="clear" w:color="auto" w:fill="FFFFFF"/>
      <w:spacing w:after="0" w:line="398" w:lineRule="exact"/>
      <w:ind w:firstLine="0"/>
    </w:pPr>
    <w:rPr>
      <w:rFonts w:eastAsia="Times New Roman" w:cs="Times New Roman"/>
      <w:b/>
      <w:bCs/>
      <w:i/>
      <w:iCs/>
      <w:sz w:val="22"/>
    </w:rPr>
  </w:style>
  <w:style w:type="paragraph" w:customStyle="1" w:styleId="73">
    <w:name w:val="Основной текст (7)"/>
    <w:basedOn w:val="a"/>
    <w:link w:val="72"/>
    <w:rsid w:val="00087AF5"/>
    <w:pPr>
      <w:widowControl w:val="0"/>
      <w:shd w:val="clear" w:color="auto" w:fill="FFFFFF"/>
      <w:spacing w:before="200" w:after="0" w:line="427" w:lineRule="exact"/>
      <w:ind w:firstLine="0"/>
    </w:pPr>
    <w:rPr>
      <w:rFonts w:ascii="Tahoma" w:eastAsia="Tahoma" w:hAnsi="Tahoma" w:cs="Tahoma"/>
      <w:sz w:val="20"/>
      <w:szCs w:val="20"/>
    </w:rPr>
  </w:style>
  <w:style w:type="paragraph" w:customStyle="1" w:styleId="14">
    <w:name w:val="Заголовок №1"/>
    <w:basedOn w:val="a"/>
    <w:link w:val="13"/>
    <w:rsid w:val="00087AF5"/>
    <w:pPr>
      <w:widowControl w:val="0"/>
      <w:shd w:val="clear" w:color="auto" w:fill="FFFFFF"/>
      <w:spacing w:after="0" w:line="398" w:lineRule="exact"/>
      <w:ind w:firstLine="0"/>
      <w:outlineLvl w:val="0"/>
    </w:pPr>
    <w:rPr>
      <w:rFonts w:ascii="Lucida Sans Unicode" w:eastAsia="Lucida Sans Unicode" w:hAnsi="Lucida Sans Unicode" w:cs="Lucida Sans Unicode"/>
      <w:sz w:val="20"/>
      <w:szCs w:val="20"/>
    </w:rPr>
  </w:style>
  <w:style w:type="character" w:customStyle="1" w:styleId="32">
    <w:name w:val="Основной текст (3)_"/>
    <w:basedOn w:val="a0"/>
    <w:link w:val="33"/>
    <w:rsid w:val="001F1D2E"/>
    <w:rPr>
      <w:rFonts w:ascii="Times New Roman" w:eastAsia="Times New Roman" w:hAnsi="Times New Roman" w:cs="Times New Roman"/>
      <w:b/>
      <w:bCs/>
      <w:shd w:val="clear" w:color="auto" w:fill="FFFFFF"/>
    </w:rPr>
  </w:style>
  <w:style w:type="paragraph" w:customStyle="1" w:styleId="33">
    <w:name w:val="Основной текст (3)"/>
    <w:basedOn w:val="a"/>
    <w:link w:val="32"/>
    <w:rsid w:val="001F1D2E"/>
    <w:pPr>
      <w:widowControl w:val="0"/>
      <w:shd w:val="clear" w:color="auto" w:fill="FFFFFF"/>
      <w:spacing w:before="560" w:after="380" w:line="398" w:lineRule="exact"/>
      <w:ind w:firstLine="0"/>
      <w:jc w:val="left"/>
    </w:pPr>
    <w:rPr>
      <w:rFonts w:eastAsia="Times New Roman" w:cs="Times New Roman"/>
      <w:b/>
      <w:bCs/>
      <w:sz w:val="22"/>
    </w:rPr>
  </w:style>
  <w:style w:type="character" w:customStyle="1" w:styleId="aff0">
    <w:name w:val="Колонтитул_"/>
    <w:basedOn w:val="a0"/>
    <w:rsid w:val="00474B31"/>
    <w:rPr>
      <w:rFonts w:ascii="Times New Roman" w:eastAsia="Times New Roman" w:hAnsi="Times New Roman" w:cs="Times New Roman"/>
      <w:b w:val="0"/>
      <w:bCs w:val="0"/>
      <w:i w:val="0"/>
      <w:iCs w:val="0"/>
      <w:smallCaps w:val="0"/>
      <w:strike w:val="0"/>
      <w:sz w:val="21"/>
      <w:szCs w:val="21"/>
      <w:u w:val="none"/>
    </w:rPr>
  </w:style>
  <w:style w:type="character" w:customStyle="1" w:styleId="aff1">
    <w:name w:val="Колонтитул"/>
    <w:basedOn w:val="aff0"/>
    <w:rsid w:val="00474B31"/>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52">
    <w:name w:val="Основной текст (5)_"/>
    <w:basedOn w:val="a0"/>
    <w:link w:val="53"/>
    <w:rsid w:val="00323DC1"/>
    <w:rPr>
      <w:rFonts w:ascii="Times New Roman" w:eastAsia="Times New Roman" w:hAnsi="Times New Roman" w:cs="Times New Roman"/>
      <w:b/>
      <w:bCs/>
      <w:i/>
      <w:iCs/>
      <w:shd w:val="clear" w:color="auto" w:fill="FFFFFF"/>
    </w:rPr>
  </w:style>
  <w:style w:type="character" w:customStyle="1" w:styleId="54">
    <w:name w:val="Основной текст (5) + Не полужирный"/>
    <w:basedOn w:val="52"/>
    <w:rsid w:val="00323DC1"/>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55">
    <w:name w:val="Основной текст (5) + Не полужирный;Не курсив"/>
    <w:basedOn w:val="52"/>
    <w:rsid w:val="00323DC1"/>
    <w:rPr>
      <w:rFonts w:ascii="Times New Roman" w:eastAsia="Times New Roman" w:hAnsi="Times New Roman" w:cs="Times New Roman"/>
      <w:b/>
      <w:bCs/>
      <w:i/>
      <w:iCs/>
      <w:color w:val="000000"/>
      <w:spacing w:val="0"/>
      <w:w w:val="100"/>
      <w:position w:val="0"/>
      <w:shd w:val="clear" w:color="auto" w:fill="FFFFFF"/>
      <w:lang w:val="ru-RU" w:eastAsia="ru-RU" w:bidi="ru-RU"/>
    </w:rPr>
  </w:style>
  <w:style w:type="paragraph" w:customStyle="1" w:styleId="53">
    <w:name w:val="Основной текст (5)"/>
    <w:basedOn w:val="a"/>
    <w:link w:val="52"/>
    <w:rsid w:val="00323DC1"/>
    <w:pPr>
      <w:widowControl w:val="0"/>
      <w:shd w:val="clear" w:color="auto" w:fill="FFFFFF"/>
      <w:spacing w:before="340" w:after="0" w:line="398" w:lineRule="exact"/>
      <w:ind w:firstLine="0"/>
    </w:pPr>
    <w:rPr>
      <w:rFonts w:eastAsia="Times New Roman" w:cs="Times New Roman"/>
      <w:b/>
      <w:bCs/>
      <w:i/>
      <w:iCs/>
      <w:sz w:val="22"/>
    </w:rPr>
  </w:style>
  <w:style w:type="character" w:customStyle="1" w:styleId="29">
    <w:name w:val="Заголовок №2_"/>
    <w:basedOn w:val="a0"/>
    <w:link w:val="2a"/>
    <w:rsid w:val="0012423B"/>
    <w:rPr>
      <w:rFonts w:ascii="Times New Roman" w:eastAsia="Times New Roman" w:hAnsi="Times New Roman" w:cs="Times New Roman"/>
      <w:b/>
      <w:bCs/>
      <w:shd w:val="clear" w:color="auto" w:fill="FFFFFF"/>
    </w:rPr>
  </w:style>
  <w:style w:type="paragraph" w:customStyle="1" w:styleId="2a">
    <w:name w:val="Заголовок №2"/>
    <w:basedOn w:val="a"/>
    <w:link w:val="29"/>
    <w:rsid w:val="0012423B"/>
    <w:pPr>
      <w:widowControl w:val="0"/>
      <w:shd w:val="clear" w:color="auto" w:fill="FFFFFF"/>
      <w:spacing w:before="560" w:after="560" w:line="244" w:lineRule="exact"/>
      <w:ind w:firstLine="0"/>
      <w:jc w:val="center"/>
      <w:outlineLvl w:val="1"/>
    </w:pPr>
    <w:rPr>
      <w:rFonts w:eastAsia="Times New Roman" w:cs="Times New Roman"/>
      <w:b/>
      <w:bCs/>
      <w:sz w:val="22"/>
    </w:rPr>
  </w:style>
  <w:style w:type="paragraph" w:customStyle="1" w:styleId="Default">
    <w:name w:val="Default"/>
    <w:link w:val="DefaultChar"/>
    <w:rsid w:val="007A5DAC"/>
    <w:pPr>
      <w:autoSpaceDE w:val="0"/>
      <w:autoSpaceDN w:val="0"/>
      <w:adjustRightInd w:val="0"/>
      <w:spacing w:after="0"/>
    </w:pPr>
    <w:rPr>
      <w:rFonts w:ascii="Times New Roman" w:eastAsia="Times New Roman" w:hAnsi="Times New Roman" w:cs="Times New Roman"/>
      <w:color w:val="000000"/>
      <w:sz w:val="24"/>
      <w:szCs w:val="24"/>
      <w:lang w:eastAsia="ru-RU"/>
    </w:rPr>
  </w:style>
  <w:style w:type="character" w:customStyle="1" w:styleId="DefaultChar">
    <w:name w:val="Default Char"/>
    <w:link w:val="Default"/>
    <w:locked/>
    <w:rsid w:val="007A5DAC"/>
    <w:rPr>
      <w:rFonts w:ascii="Times New Roman" w:eastAsia="Times New Roman" w:hAnsi="Times New Roman" w:cs="Times New Roman"/>
      <w:color w:val="000000"/>
      <w:sz w:val="24"/>
      <w:szCs w:val="24"/>
      <w:lang w:eastAsia="ru-RU"/>
    </w:rPr>
  </w:style>
  <w:style w:type="paragraph" w:customStyle="1" w:styleId="OT">
    <w:name w:val="OT"/>
    <w:basedOn w:val="a"/>
    <w:link w:val="OT0"/>
    <w:qFormat/>
    <w:rsid w:val="00382C19"/>
    <w:pPr>
      <w:widowControl w:val="0"/>
      <w:autoSpaceDE w:val="0"/>
      <w:autoSpaceDN w:val="0"/>
      <w:adjustRightInd w:val="0"/>
      <w:spacing w:after="0"/>
      <w:ind w:left="708" w:firstLine="0"/>
    </w:pPr>
    <w:rPr>
      <w:rFonts w:eastAsia="Times New Roman" w:cs="Times New Roman"/>
      <w:snapToGrid w:val="0"/>
      <w:szCs w:val="20"/>
      <w:lang w:eastAsia="ru-RU"/>
    </w:rPr>
  </w:style>
  <w:style w:type="character" w:customStyle="1" w:styleId="OT0">
    <w:name w:val="OT Знак"/>
    <w:link w:val="OT"/>
    <w:rsid w:val="00382C19"/>
    <w:rPr>
      <w:rFonts w:ascii="Times New Roman" w:eastAsia="Times New Roman" w:hAnsi="Times New Roman" w:cs="Times New Roman"/>
      <w:snapToGrid w:val="0"/>
      <w:sz w:val="24"/>
      <w:szCs w:val="20"/>
      <w:lang w:eastAsia="ru-RU"/>
    </w:rPr>
  </w:style>
  <w:style w:type="paragraph" w:styleId="aff2">
    <w:name w:val="Normal (Web)"/>
    <w:basedOn w:val="a"/>
    <w:uiPriority w:val="99"/>
    <w:rsid w:val="00667007"/>
    <w:pPr>
      <w:spacing w:before="100" w:beforeAutospacing="1" w:after="100" w:afterAutospacing="1"/>
      <w:ind w:firstLine="0"/>
      <w:jc w:val="left"/>
    </w:pPr>
    <w:rPr>
      <w:rFonts w:eastAsia="Times New Roman" w:cs="Times New Roman"/>
      <w:szCs w:val="24"/>
      <w:lang w:eastAsia="ru-RU"/>
    </w:rPr>
  </w:style>
  <w:style w:type="character" w:customStyle="1" w:styleId="15">
    <w:name w:val="Текст сноски Знак1"/>
    <w:uiPriority w:val="99"/>
    <w:locked/>
    <w:rsid w:val="00E61A3E"/>
    <w:rPr>
      <w:rFonts w:ascii="Times New Roman" w:eastAsia="Times New Roman" w:hAnsi="Times New Roman" w:cs="Times New Roman"/>
      <w:sz w:val="20"/>
      <w:szCs w:val="20"/>
      <w:lang w:eastAsia="ru-RU"/>
    </w:rPr>
  </w:style>
  <w:style w:type="character" w:styleId="aff3">
    <w:name w:val="endnote reference"/>
    <w:basedOn w:val="a0"/>
    <w:uiPriority w:val="99"/>
    <w:semiHidden/>
    <w:unhideWhenUsed/>
    <w:rsid w:val="000148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51">
      <w:bodyDiv w:val="1"/>
      <w:marLeft w:val="0"/>
      <w:marRight w:val="0"/>
      <w:marTop w:val="0"/>
      <w:marBottom w:val="0"/>
      <w:divBdr>
        <w:top w:val="none" w:sz="0" w:space="0" w:color="auto"/>
        <w:left w:val="none" w:sz="0" w:space="0" w:color="auto"/>
        <w:bottom w:val="none" w:sz="0" w:space="0" w:color="auto"/>
        <w:right w:val="none" w:sz="0" w:space="0" w:color="auto"/>
      </w:divBdr>
    </w:div>
    <w:div w:id="3018546">
      <w:bodyDiv w:val="1"/>
      <w:marLeft w:val="0"/>
      <w:marRight w:val="0"/>
      <w:marTop w:val="0"/>
      <w:marBottom w:val="0"/>
      <w:divBdr>
        <w:top w:val="none" w:sz="0" w:space="0" w:color="auto"/>
        <w:left w:val="none" w:sz="0" w:space="0" w:color="auto"/>
        <w:bottom w:val="none" w:sz="0" w:space="0" w:color="auto"/>
        <w:right w:val="none" w:sz="0" w:space="0" w:color="auto"/>
      </w:divBdr>
    </w:div>
    <w:div w:id="3555061">
      <w:bodyDiv w:val="1"/>
      <w:marLeft w:val="0"/>
      <w:marRight w:val="0"/>
      <w:marTop w:val="0"/>
      <w:marBottom w:val="0"/>
      <w:divBdr>
        <w:top w:val="none" w:sz="0" w:space="0" w:color="auto"/>
        <w:left w:val="none" w:sz="0" w:space="0" w:color="auto"/>
        <w:bottom w:val="none" w:sz="0" w:space="0" w:color="auto"/>
        <w:right w:val="none" w:sz="0" w:space="0" w:color="auto"/>
      </w:divBdr>
    </w:div>
    <w:div w:id="6061496">
      <w:bodyDiv w:val="1"/>
      <w:marLeft w:val="0"/>
      <w:marRight w:val="0"/>
      <w:marTop w:val="0"/>
      <w:marBottom w:val="0"/>
      <w:divBdr>
        <w:top w:val="none" w:sz="0" w:space="0" w:color="auto"/>
        <w:left w:val="none" w:sz="0" w:space="0" w:color="auto"/>
        <w:bottom w:val="none" w:sz="0" w:space="0" w:color="auto"/>
        <w:right w:val="none" w:sz="0" w:space="0" w:color="auto"/>
      </w:divBdr>
    </w:div>
    <w:div w:id="6373321">
      <w:bodyDiv w:val="1"/>
      <w:marLeft w:val="0"/>
      <w:marRight w:val="0"/>
      <w:marTop w:val="0"/>
      <w:marBottom w:val="0"/>
      <w:divBdr>
        <w:top w:val="none" w:sz="0" w:space="0" w:color="auto"/>
        <w:left w:val="none" w:sz="0" w:space="0" w:color="auto"/>
        <w:bottom w:val="none" w:sz="0" w:space="0" w:color="auto"/>
        <w:right w:val="none" w:sz="0" w:space="0" w:color="auto"/>
      </w:divBdr>
    </w:div>
    <w:div w:id="9185134">
      <w:bodyDiv w:val="1"/>
      <w:marLeft w:val="0"/>
      <w:marRight w:val="0"/>
      <w:marTop w:val="0"/>
      <w:marBottom w:val="0"/>
      <w:divBdr>
        <w:top w:val="none" w:sz="0" w:space="0" w:color="auto"/>
        <w:left w:val="none" w:sz="0" w:space="0" w:color="auto"/>
        <w:bottom w:val="none" w:sz="0" w:space="0" w:color="auto"/>
        <w:right w:val="none" w:sz="0" w:space="0" w:color="auto"/>
      </w:divBdr>
    </w:div>
    <w:div w:id="10181499">
      <w:bodyDiv w:val="1"/>
      <w:marLeft w:val="0"/>
      <w:marRight w:val="0"/>
      <w:marTop w:val="0"/>
      <w:marBottom w:val="0"/>
      <w:divBdr>
        <w:top w:val="none" w:sz="0" w:space="0" w:color="auto"/>
        <w:left w:val="none" w:sz="0" w:space="0" w:color="auto"/>
        <w:bottom w:val="none" w:sz="0" w:space="0" w:color="auto"/>
        <w:right w:val="none" w:sz="0" w:space="0" w:color="auto"/>
      </w:divBdr>
    </w:div>
    <w:div w:id="10573351">
      <w:bodyDiv w:val="1"/>
      <w:marLeft w:val="0"/>
      <w:marRight w:val="0"/>
      <w:marTop w:val="0"/>
      <w:marBottom w:val="0"/>
      <w:divBdr>
        <w:top w:val="none" w:sz="0" w:space="0" w:color="auto"/>
        <w:left w:val="none" w:sz="0" w:space="0" w:color="auto"/>
        <w:bottom w:val="none" w:sz="0" w:space="0" w:color="auto"/>
        <w:right w:val="none" w:sz="0" w:space="0" w:color="auto"/>
      </w:divBdr>
    </w:div>
    <w:div w:id="13000288">
      <w:bodyDiv w:val="1"/>
      <w:marLeft w:val="0"/>
      <w:marRight w:val="0"/>
      <w:marTop w:val="0"/>
      <w:marBottom w:val="0"/>
      <w:divBdr>
        <w:top w:val="none" w:sz="0" w:space="0" w:color="auto"/>
        <w:left w:val="none" w:sz="0" w:space="0" w:color="auto"/>
        <w:bottom w:val="none" w:sz="0" w:space="0" w:color="auto"/>
        <w:right w:val="none" w:sz="0" w:space="0" w:color="auto"/>
      </w:divBdr>
    </w:div>
    <w:div w:id="13046424">
      <w:bodyDiv w:val="1"/>
      <w:marLeft w:val="0"/>
      <w:marRight w:val="0"/>
      <w:marTop w:val="0"/>
      <w:marBottom w:val="0"/>
      <w:divBdr>
        <w:top w:val="none" w:sz="0" w:space="0" w:color="auto"/>
        <w:left w:val="none" w:sz="0" w:space="0" w:color="auto"/>
        <w:bottom w:val="none" w:sz="0" w:space="0" w:color="auto"/>
        <w:right w:val="none" w:sz="0" w:space="0" w:color="auto"/>
      </w:divBdr>
    </w:div>
    <w:div w:id="13582146">
      <w:bodyDiv w:val="1"/>
      <w:marLeft w:val="0"/>
      <w:marRight w:val="0"/>
      <w:marTop w:val="0"/>
      <w:marBottom w:val="0"/>
      <w:divBdr>
        <w:top w:val="none" w:sz="0" w:space="0" w:color="auto"/>
        <w:left w:val="none" w:sz="0" w:space="0" w:color="auto"/>
        <w:bottom w:val="none" w:sz="0" w:space="0" w:color="auto"/>
        <w:right w:val="none" w:sz="0" w:space="0" w:color="auto"/>
      </w:divBdr>
    </w:div>
    <w:div w:id="14045958">
      <w:bodyDiv w:val="1"/>
      <w:marLeft w:val="0"/>
      <w:marRight w:val="0"/>
      <w:marTop w:val="0"/>
      <w:marBottom w:val="0"/>
      <w:divBdr>
        <w:top w:val="none" w:sz="0" w:space="0" w:color="auto"/>
        <w:left w:val="none" w:sz="0" w:space="0" w:color="auto"/>
        <w:bottom w:val="none" w:sz="0" w:space="0" w:color="auto"/>
        <w:right w:val="none" w:sz="0" w:space="0" w:color="auto"/>
      </w:divBdr>
    </w:div>
    <w:div w:id="14114690">
      <w:bodyDiv w:val="1"/>
      <w:marLeft w:val="0"/>
      <w:marRight w:val="0"/>
      <w:marTop w:val="0"/>
      <w:marBottom w:val="0"/>
      <w:divBdr>
        <w:top w:val="none" w:sz="0" w:space="0" w:color="auto"/>
        <w:left w:val="none" w:sz="0" w:space="0" w:color="auto"/>
        <w:bottom w:val="none" w:sz="0" w:space="0" w:color="auto"/>
        <w:right w:val="none" w:sz="0" w:space="0" w:color="auto"/>
      </w:divBdr>
    </w:div>
    <w:div w:id="14119131">
      <w:bodyDiv w:val="1"/>
      <w:marLeft w:val="0"/>
      <w:marRight w:val="0"/>
      <w:marTop w:val="0"/>
      <w:marBottom w:val="0"/>
      <w:divBdr>
        <w:top w:val="none" w:sz="0" w:space="0" w:color="auto"/>
        <w:left w:val="none" w:sz="0" w:space="0" w:color="auto"/>
        <w:bottom w:val="none" w:sz="0" w:space="0" w:color="auto"/>
        <w:right w:val="none" w:sz="0" w:space="0" w:color="auto"/>
      </w:divBdr>
    </w:div>
    <w:div w:id="14616400">
      <w:bodyDiv w:val="1"/>
      <w:marLeft w:val="0"/>
      <w:marRight w:val="0"/>
      <w:marTop w:val="0"/>
      <w:marBottom w:val="0"/>
      <w:divBdr>
        <w:top w:val="none" w:sz="0" w:space="0" w:color="auto"/>
        <w:left w:val="none" w:sz="0" w:space="0" w:color="auto"/>
        <w:bottom w:val="none" w:sz="0" w:space="0" w:color="auto"/>
        <w:right w:val="none" w:sz="0" w:space="0" w:color="auto"/>
      </w:divBdr>
    </w:div>
    <w:div w:id="14618874">
      <w:bodyDiv w:val="1"/>
      <w:marLeft w:val="0"/>
      <w:marRight w:val="0"/>
      <w:marTop w:val="0"/>
      <w:marBottom w:val="0"/>
      <w:divBdr>
        <w:top w:val="none" w:sz="0" w:space="0" w:color="auto"/>
        <w:left w:val="none" w:sz="0" w:space="0" w:color="auto"/>
        <w:bottom w:val="none" w:sz="0" w:space="0" w:color="auto"/>
        <w:right w:val="none" w:sz="0" w:space="0" w:color="auto"/>
      </w:divBdr>
    </w:div>
    <w:div w:id="18624089">
      <w:bodyDiv w:val="1"/>
      <w:marLeft w:val="0"/>
      <w:marRight w:val="0"/>
      <w:marTop w:val="0"/>
      <w:marBottom w:val="0"/>
      <w:divBdr>
        <w:top w:val="none" w:sz="0" w:space="0" w:color="auto"/>
        <w:left w:val="none" w:sz="0" w:space="0" w:color="auto"/>
        <w:bottom w:val="none" w:sz="0" w:space="0" w:color="auto"/>
        <w:right w:val="none" w:sz="0" w:space="0" w:color="auto"/>
      </w:divBdr>
    </w:div>
    <w:div w:id="19363235">
      <w:bodyDiv w:val="1"/>
      <w:marLeft w:val="0"/>
      <w:marRight w:val="0"/>
      <w:marTop w:val="0"/>
      <w:marBottom w:val="0"/>
      <w:divBdr>
        <w:top w:val="none" w:sz="0" w:space="0" w:color="auto"/>
        <w:left w:val="none" w:sz="0" w:space="0" w:color="auto"/>
        <w:bottom w:val="none" w:sz="0" w:space="0" w:color="auto"/>
        <w:right w:val="none" w:sz="0" w:space="0" w:color="auto"/>
      </w:divBdr>
    </w:div>
    <w:div w:id="20786860">
      <w:bodyDiv w:val="1"/>
      <w:marLeft w:val="0"/>
      <w:marRight w:val="0"/>
      <w:marTop w:val="0"/>
      <w:marBottom w:val="0"/>
      <w:divBdr>
        <w:top w:val="none" w:sz="0" w:space="0" w:color="auto"/>
        <w:left w:val="none" w:sz="0" w:space="0" w:color="auto"/>
        <w:bottom w:val="none" w:sz="0" w:space="0" w:color="auto"/>
        <w:right w:val="none" w:sz="0" w:space="0" w:color="auto"/>
      </w:divBdr>
    </w:div>
    <w:div w:id="20981759">
      <w:bodyDiv w:val="1"/>
      <w:marLeft w:val="0"/>
      <w:marRight w:val="0"/>
      <w:marTop w:val="0"/>
      <w:marBottom w:val="0"/>
      <w:divBdr>
        <w:top w:val="none" w:sz="0" w:space="0" w:color="auto"/>
        <w:left w:val="none" w:sz="0" w:space="0" w:color="auto"/>
        <w:bottom w:val="none" w:sz="0" w:space="0" w:color="auto"/>
        <w:right w:val="none" w:sz="0" w:space="0" w:color="auto"/>
      </w:divBdr>
    </w:div>
    <w:div w:id="22025235">
      <w:bodyDiv w:val="1"/>
      <w:marLeft w:val="0"/>
      <w:marRight w:val="0"/>
      <w:marTop w:val="0"/>
      <w:marBottom w:val="0"/>
      <w:divBdr>
        <w:top w:val="none" w:sz="0" w:space="0" w:color="auto"/>
        <w:left w:val="none" w:sz="0" w:space="0" w:color="auto"/>
        <w:bottom w:val="none" w:sz="0" w:space="0" w:color="auto"/>
        <w:right w:val="none" w:sz="0" w:space="0" w:color="auto"/>
      </w:divBdr>
    </w:div>
    <w:div w:id="23482839">
      <w:bodyDiv w:val="1"/>
      <w:marLeft w:val="0"/>
      <w:marRight w:val="0"/>
      <w:marTop w:val="0"/>
      <w:marBottom w:val="0"/>
      <w:divBdr>
        <w:top w:val="none" w:sz="0" w:space="0" w:color="auto"/>
        <w:left w:val="none" w:sz="0" w:space="0" w:color="auto"/>
        <w:bottom w:val="none" w:sz="0" w:space="0" w:color="auto"/>
        <w:right w:val="none" w:sz="0" w:space="0" w:color="auto"/>
      </w:divBdr>
    </w:div>
    <w:div w:id="28722598">
      <w:bodyDiv w:val="1"/>
      <w:marLeft w:val="0"/>
      <w:marRight w:val="0"/>
      <w:marTop w:val="0"/>
      <w:marBottom w:val="0"/>
      <w:divBdr>
        <w:top w:val="none" w:sz="0" w:space="0" w:color="auto"/>
        <w:left w:val="none" w:sz="0" w:space="0" w:color="auto"/>
        <w:bottom w:val="none" w:sz="0" w:space="0" w:color="auto"/>
        <w:right w:val="none" w:sz="0" w:space="0" w:color="auto"/>
      </w:divBdr>
    </w:div>
    <w:div w:id="29188929">
      <w:bodyDiv w:val="1"/>
      <w:marLeft w:val="0"/>
      <w:marRight w:val="0"/>
      <w:marTop w:val="0"/>
      <w:marBottom w:val="0"/>
      <w:divBdr>
        <w:top w:val="none" w:sz="0" w:space="0" w:color="auto"/>
        <w:left w:val="none" w:sz="0" w:space="0" w:color="auto"/>
        <w:bottom w:val="none" w:sz="0" w:space="0" w:color="auto"/>
        <w:right w:val="none" w:sz="0" w:space="0" w:color="auto"/>
      </w:divBdr>
    </w:div>
    <w:div w:id="33775754">
      <w:bodyDiv w:val="1"/>
      <w:marLeft w:val="0"/>
      <w:marRight w:val="0"/>
      <w:marTop w:val="0"/>
      <w:marBottom w:val="0"/>
      <w:divBdr>
        <w:top w:val="none" w:sz="0" w:space="0" w:color="auto"/>
        <w:left w:val="none" w:sz="0" w:space="0" w:color="auto"/>
        <w:bottom w:val="none" w:sz="0" w:space="0" w:color="auto"/>
        <w:right w:val="none" w:sz="0" w:space="0" w:color="auto"/>
      </w:divBdr>
    </w:div>
    <w:div w:id="38289899">
      <w:bodyDiv w:val="1"/>
      <w:marLeft w:val="0"/>
      <w:marRight w:val="0"/>
      <w:marTop w:val="0"/>
      <w:marBottom w:val="0"/>
      <w:divBdr>
        <w:top w:val="none" w:sz="0" w:space="0" w:color="auto"/>
        <w:left w:val="none" w:sz="0" w:space="0" w:color="auto"/>
        <w:bottom w:val="none" w:sz="0" w:space="0" w:color="auto"/>
        <w:right w:val="none" w:sz="0" w:space="0" w:color="auto"/>
      </w:divBdr>
    </w:div>
    <w:div w:id="38404114">
      <w:bodyDiv w:val="1"/>
      <w:marLeft w:val="0"/>
      <w:marRight w:val="0"/>
      <w:marTop w:val="0"/>
      <w:marBottom w:val="0"/>
      <w:divBdr>
        <w:top w:val="none" w:sz="0" w:space="0" w:color="auto"/>
        <w:left w:val="none" w:sz="0" w:space="0" w:color="auto"/>
        <w:bottom w:val="none" w:sz="0" w:space="0" w:color="auto"/>
        <w:right w:val="none" w:sz="0" w:space="0" w:color="auto"/>
      </w:divBdr>
    </w:div>
    <w:div w:id="42826954">
      <w:bodyDiv w:val="1"/>
      <w:marLeft w:val="0"/>
      <w:marRight w:val="0"/>
      <w:marTop w:val="0"/>
      <w:marBottom w:val="0"/>
      <w:divBdr>
        <w:top w:val="none" w:sz="0" w:space="0" w:color="auto"/>
        <w:left w:val="none" w:sz="0" w:space="0" w:color="auto"/>
        <w:bottom w:val="none" w:sz="0" w:space="0" w:color="auto"/>
        <w:right w:val="none" w:sz="0" w:space="0" w:color="auto"/>
      </w:divBdr>
    </w:div>
    <w:div w:id="43335444">
      <w:bodyDiv w:val="1"/>
      <w:marLeft w:val="0"/>
      <w:marRight w:val="0"/>
      <w:marTop w:val="0"/>
      <w:marBottom w:val="0"/>
      <w:divBdr>
        <w:top w:val="none" w:sz="0" w:space="0" w:color="auto"/>
        <w:left w:val="none" w:sz="0" w:space="0" w:color="auto"/>
        <w:bottom w:val="none" w:sz="0" w:space="0" w:color="auto"/>
        <w:right w:val="none" w:sz="0" w:space="0" w:color="auto"/>
      </w:divBdr>
    </w:div>
    <w:div w:id="47264452">
      <w:bodyDiv w:val="1"/>
      <w:marLeft w:val="0"/>
      <w:marRight w:val="0"/>
      <w:marTop w:val="0"/>
      <w:marBottom w:val="0"/>
      <w:divBdr>
        <w:top w:val="none" w:sz="0" w:space="0" w:color="auto"/>
        <w:left w:val="none" w:sz="0" w:space="0" w:color="auto"/>
        <w:bottom w:val="none" w:sz="0" w:space="0" w:color="auto"/>
        <w:right w:val="none" w:sz="0" w:space="0" w:color="auto"/>
      </w:divBdr>
    </w:div>
    <w:div w:id="50156070">
      <w:bodyDiv w:val="1"/>
      <w:marLeft w:val="0"/>
      <w:marRight w:val="0"/>
      <w:marTop w:val="0"/>
      <w:marBottom w:val="0"/>
      <w:divBdr>
        <w:top w:val="none" w:sz="0" w:space="0" w:color="auto"/>
        <w:left w:val="none" w:sz="0" w:space="0" w:color="auto"/>
        <w:bottom w:val="none" w:sz="0" w:space="0" w:color="auto"/>
        <w:right w:val="none" w:sz="0" w:space="0" w:color="auto"/>
      </w:divBdr>
    </w:div>
    <w:div w:id="50471010">
      <w:bodyDiv w:val="1"/>
      <w:marLeft w:val="0"/>
      <w:marRight w:val="0"/>
      <w:marTop w:val="0"/>
      <w:marBottom w:val="0"/>
      <w:divBdr>
        <w:top w:val="none" w:sz="0" w:space="0" w:color="auto"/>
        <w:left w:val="none" w:sz="0" w:space="0" w:color="auto"/>
        <w:bottom w:val="none" w:sz="0" w:space="0" w:color="auto"/>
        <w:right w:val="none" w:sz="0" w:space="0" w:color="auto"/>
      </w:divBdr>
    </w:div>
    <w:div w:id="52235337">
      <w:bodyDiv w:val="1"/>
      <w:marLeft w:val="0"/>
      <w:marRight w:val="0"/>
      <w:marTop w:val="0"/>
      <w:marBottom w:val="0"/>
      <w:divBdr>
        <w:top w:val="none" w:sz="0" w:space="0" w:color="auto"/>
        <w:left w:val="none" w:sz="0" w:space="0" w:color="auto"/>
        <w:bottom w:val="none" w:sz="0" w:space="0" w:color="auto"/>
        <w:right w:val="none" w:sz="0" w:space="0" w:color="auto"/>
      </w:divBdr>
    </w:div>
    <w:div w:id="53086094">
      <w:bodyDiv w:val="1"/>
      <w:marLeft w:val="0"/>
      <w:marRight w:val="0"/>
      <w:marTop w:val="0"/>
      <w:marBottom w:val="0"/>
      <w:divBdr>
        <w:top w:val="none" w:sz="0" w:space="0" w:color="auto"/>
        <w:left w:val="none" w:sz="0" w:space="0" w:color="auto"/>
        <w:bottom w:val="none" w:sz="0" w:space="0" w:color="auto"/>
        <w:right w:val="none" w:sz="0" w:space="0" w:color="auto"/>
      </w:divBdr>
    </w:div>
    <w:div w:id="53548119">
      <w:bodyDiv w:val="1"/>
      <w:marLeft w:val="0"/>
      <w:marRight w:val="0"/>
      <w:marTop w:val="0"/>
      <w:marBottom w:val="0"/>
      <w:divBdr>
        <w:top w:val="none" w:sz="0" w:space="0" w:color="auto"/>
        <w:left w:val="none" w:sz="0" w:space="0" w:color="auto"/>
        <w:bottom w:val="none" w:sz="0" w:space="0" w:color="auto"/>
        <w:right w:val="none" w:sz="0" w:space="0" w:color="auto"/>
      </w:divBdr>
    </w:div>
    <w:div w:id="54401555">
      <w:bodyDiv w:val="1"/>
      <w:marLeft w:val="0"/>
      <w:marRight w:val="0"/>
      <w:marTop w:val="0"/>
      <w:marBottom w:val="0"/>
      <w:divBdr>
        <w:top w:val="none" w:sz="0" w:space="0" w:color="auto"/>
        <w:left w:val="none" w:sz="0" w:space="0" w:color="auto"/>
        <w:bottom w:val="none" w:sz="0" w:space="0" w:color="auto"/>
        <w:right w:val="none" w:sz="0" w:space="0" w:color="auto"/>
      </w:divBdr>
    </w:div>
    <w:div w:id="54474781">
      <w:bodyDiv w:val="1"/>
      <w:marLeft w:val="0"/>
      <w:marRight w:val="0"/>
      <w:marTop w:val="0"/>
      <w:marBottom w:val="0"/>
      <w:divBdr>
        <w:top w:val="none" w:sz="0" w:space="0" w:color="auto"/>
        <w:left w:val="none" w:sz="0" w:space="0" w:color="auto"/>
        <w:bottom w:val="none" w:sz="0" w:space="0" w:color="auto"/>
        <w:right w:val="none" w:sz="0" w:space="0" w:color="auto"/>
      </w:divBdr>
    </w:div>
    <w:div w:id="56978662">
      <w:bodyDiv w:val="1"/>
      <w:marLeft w:val="0"/>
      <w:marRight w:val="0"/>
      <w:marTop w:val="0"/>
      <w:marBottom w:val="0"/>
      <w:divBdr>
        <w:top w:val="none" w:sz="0" w:space="0" w:color="auto"/>
        <w:left w:val="none" w:sz="0" w:space="0" w:color="auto"/>
        <w:bottom w:val="none" w:sz="0" w:space="0" w:color="auto"/>
        <w:right w:val="none" w:sz="0" w:space="0" w:color="auto"/>
      </w:divBdr>
    </w:div>
    <w:div w:id="61604251">
      <w:bodyDiv w:val="1"/>
      <w:marLeft w:val="0"/>
      <w:marRight w:val="0"/>
      <w:marTop w:val="0"/>
      <w:marBottom w:val="0"/>
      <w:divBdr>
        <w:top w:val="none" w:sz="0" w:space="0" w:color="auto"/>
        <w:left w:val="none" w:sz="0" w:space="0" w:color="auto"/>
        <w:bottom w:val="none" w:sz="0" w:space="0" w:color="auto"/>
        <w:right w:val="none" w:sz="0" w:space="0" w:color="auto"/>
      </w:divBdr>
    </w:div>
    <w:div w:id="73087464">
      <w:bodyDiv w:val="1"/>
      <w:marLeft w:val="0"/>
      <w:marRight w:val="0"/>
      <w:marTop w:val="0"/>
      <w:marBottom w:val="0"/>
      <w:divBdr>
        <w:top w:val="none" w:sz="0" w:space="0" w:color="auto"/>
        <w:left w:val="none" w:sz="0" w:space="0" w:color="auto"/>
        <w:bottom w:val="none" w:sz="0" w:space="0" w:color="auto"/>
        <w:right w:val="none" w:sz="0" w:space="0" w:color="auto"/>
      </w:divBdr>
    </w:div>
    <w:div w:id="75439558">
      <w:bodyDiv w:val="1"/>
      <w:marLeft w:val="0"/>
      <w:marRight w:val="0"/>
      <w:marTop w:val="0"/>
      <w:marBottom w:val="0"/>
      <w:divBdr>
        <w:top w:val="none" w:sz="0" w:space="0" w:color="auto"/>
        <w:left w:val="none" w:sz="0" w:space="0" w:color="auto"/>
        <w:bottom w:val="none" w:sz="0" w:space="0" w:color="auto"/>
        <w:right w:val="none" w:sz="0" w:space="0" w:color="auto"/>
      </w:divBdr>
    </w:div>
    <w:div w:id="75713963">
      <w:bodyDiv w:val="1"/>
      <w:marLeft w:val="0"/>
      <w:marRight w:val="0"/>
      <w:marTop w:val="0"/>
      <w:marBottom w:val="0"/>
      <w:divBdr>
        <w:top w:val="none" w:sz="0" w:space="0" w:color="auto"/>
        <w:left w:val="none" w:sz="0" w:space="0" w:color="auto"/>
        <w:bottom w:val="none" w:sz="0" w:space="0" w:color="auto"/>
        <w:right w:val="none" w:sz="0" w:space="0" w:color="auto"/>
      </w:divBdr>
    </w:div>
    <w:div w:id="80107287">
      <w:bodyDiv w:val="1"/>
      <w:marLeft w:val="0"/>
      <w:marRight w:val="0"/>
      <w:marTop w:val="0"/>
      <w:marBottom w:val="0"/>
      <w:divBdr>
        <w:top w:val="none" w:sz="0" w:space="0" w:color="auto"/>
        <w:left w:val="none" w:sz="0" w:space="0" w:color="auto"/>
        <w:bottom w:val="none" w:sz="0" w:space="0" w:color="auto"/>
        <w:right w:val="none" w:sz="0" w:space="0" w:color="auto"/>
      </w:divBdr>
    </w:div>
    <w:div w:id="80641092">
      <w:bodyDiv w:val="1"/>
      <w:marLeft w:val="0"/>
      <w:marRight w:val="0"/>
      <w:marTop w:val="0"/>
      <w:marBottom w:val="0"/>
      <w:divBdr>
        <w:top w:val="none" w:sz="0" w:space="0" w:color="auto"/>
        <w:left w:val="none" w:sz="0" w:space="0" w:color="auto"/>
        <w:bottom w:val="none" w:sz="0" w:space="0" w:color="auto"/>
        <w:right w:val="none" w:sz="0" w:space="0" w:color="auto"/>
      </w:divBdr>
    </w:div>
    <w:div w:id="83301534">
      <w:bodyDiv w:val="1"/>
      <w:marLeft w:val="0"/>
      <w:marRight w:val="0"/>
      <w:marTop w:val="0"/>
      <w:marBottom w:val="0"/>
      <w:divBdr>
        <w:top w:val="none" w:sz="0" w:space="0" w:color="auto"/>
        <w:left w:val="none" w:sz="0" w:space="0" w:color="auto"/>
        <w:bottom w:val="none" w:sz="0" w:space="0" w:color="auto"/>
        <w:right w:val="none" w:sz="0" w:space="0" w:color="auto"/>
      </w:divBdr>
    </w:div>
    <w:div w:id="84500225">
      <w:bodyDiv w:val="1"/>
      <w:marLeft w:val="0"/>
      <w:marRight w:val="0"/>
      <w:marTop w:val="0"/>
      <w:marBottom w:val="0"/>
      <w:divBdr>
        <w:top w:val="none" w:sz="0" w:space="0" w:color="auto"/>
        <w:left w:val="none" w:sz="0" w:space="0" w:color="auto"/>
        <w:bottom w:val="none" w:sz="0" w:space="0" w:color="auto"/>
        <w:right w:val="none" w:sz="0" w:space="0" w:color="auto"/>
      </w:divBdr>
    </w:div>
    <w:div w:id="87966080">
      <w:bodyDiv w:val="1"/>
      <w:marLeft w:val="0"/>
      <w:marRight w:val="0"/>
      <w:marTop w:val="0"/>
      <w:marBottom w:val="0"/>
      <w:divBdr>
        <w:top w:val="none" w:sz="0" w:space="0" w:color="auto"/>
        <w:left w:val="none" w:sz="0" w:space="0" w:color="auto"/>
        <w:bottom w:val="none" w:sz="0" w:space="0" w:color="auto"/>
        <w:right w:val="none" w:sz="0" w:space="0" w:color="auto"/>
      </w:divBdr>
    </w:div>
    <w:div w:id="88739945">
      <w:bodyDiv w:val="1"/>
      <w:marLeft w:val="0"/>
      <w:marRight w:val="0"/>
      <w:marTop w:val="0"/>
      <w:marBottom w:val="0"/>
      <w:divBdr>
        <w:top w:val="none" w:sz="0" w:space="0" w:color="auto"/>
        <w:left w:val="none" w:sz="0" w:space="0" w:color="auto"/>
        <w:bottom w:val="none" w:sz="0" w:space="0" w:color="auto"/>
        <w:right w:val="none" w:sz="0" w:space="0" w:color="auto"/>
      </w:divBdr>
    </w:div>
    <w:div w:id="88939401">
      <w:bodyDiv w:val="1"/>
      <w:marLeft w:val="0"/>
      <w:marRight w:val="0"/>
      <w:marTop w:val="0"/>
      <w:marBottom w:val="0"/>
      <w:divBdr>
        <w:top w:val="none" w:sz="0" w:space="0" w:color="auto"/>
        <w:left w:val="none" w:sz="0" w:space="0" w:color="auto"/>
        <w:bottom w:val="none" w:sz="0" w:space="0" w:color="auto"/>
        <w:right w:val="none" w:sz="0" w:space="0" w:color="auto"/>
      </w:divBdr>
    </w:div>
    <w:div w:id="89277679">
      <w:bodyDiv w:val="1"/>
      <w:marLeft w:val="0"/>
      <w:marRight w:val="0"/>
      <w:marTop w:val="0"/>
      <w:marBottom w:val="0"/>
      <w:divBdr>
        <w:top w:val="none" w:sz="0" w:space="0" w:color="auto"/>
        <w:left w:val="none" w:sz="0" w:space="0" w:color="auto"/>
        <w:bottom w:val="none" w:sz="0" w:space="0" w:color="auto"/>
        <w:right w:val="none" w:sz="0" w:space="0" w:color="auto"/>
      </w:divBdr>
    </w:div>
    <w:div w:id="90512058">
      <w:bodyDiv w:val="1"/>
      <w:marLeft w:val="0"/>
      <w:marRight w:val="0"/>
      <w:marTop w:val="0"/>
      <w:marBottom w:val="0"/>
      <w:divBdr>
        <w:top w:val="none" w:sz="0" w:space="0" w:color="auto"/>
        <w:left w:val="none" w:sz="0" w:space="0" w:color="auto"/>
        <w:bottom w:val="none" w:sz="0" w:space="0" w:color="auto"/>
        <w:right w:val="none" w:sz="0" w:space="0" w:color="auto"/>
      </w:divBdr>
    </w:div>
    <w:div w:id="92937749">
      <w:bodyDiv w:val="1"/>
      <w:marLeft w:val="0"/>
      <w:marRight w:val="0"/>
      <w:marTop w:val="0"/>
      <w:marBottom w:val="0"/>
      <w:divBdr>
        <w:top w:val="none" w:sz="0" w:space="0" w:color="auto"/>
        <w:left w:val="none" w:sz="0" w:space="0" w:color="auto"/>
        <w:bottom w:val="none" w:sz="0" w:space="0" w:color="auto"/>
        <w:right w:val="none" w:sz="0" w:space="0" w:color="auto"/>
      </w:divBdr>
    </w:div>
    <w:div w:id="96214294">
      <w:bodyDiv w:val="1"/>
      <w:marLeft w:val="0"/>
      <w:marRight w:val="0"/>
      <w:marTop w:val="0"/>
      <w:marBottom w:val="0"/>
      <w:divBdr>
        <w:top w:val="none" w:sz="0" w:space="0" w:color="auto"/>
        <w:left w:val="none" w:sz="0" w:space="0" w:color="auto"/>
        <w:bottom w:val="none" w:sz="0" w:space="0" w:color="auto"/>
        <w:right w:val="none" w:sz="0" w:space="0" w:color="auto"/>
      </w:divBdr>
    </w:div>
    <w:div w:id="98568962">
      <w:bodyDiv w:val="1"/>
      <w:marLeft w:val="0"/>
      <w:marRight w:val="0"/>
      <w:marTop w:val="0"/>
      <w:marBottom w:val="0"/>
      <w:divBdr>
        <w:top w:val="none" w:sz="0" w:space="0" w:color="auto"/>
        <w:left w:val="none" w:sz="0" w:space="0" w:color="auto"/>
        <w:bottom w:val="none" w:sz="0" w:space="0" w:color="auto"/>
        <w:right w:val="none" w:sz="0" w:space="0" w:color="auto"/>
      </w:divBdr>
    </w:div>
    <w:div w:id="99110975">
      <w:bodyDiv w:val="1"/>
      <w:marLeft w:val="0"/>
      <w:marRight w:val="0"/>
      <w:marTop w:val="0"/>
      <w:marBottom w:val="0"/>
      <w:divBdr>
        <w:top w:val="none" w:sz="0" w:space="0" w:color="auto"/>
        <w:left w:val="none" w:sz="0" w:space="0" w:color="auto"/>
        <w:bottom w:val="none" w:sz="0" w:space="0" w:color="auto"/>
        <w:right w:val="none" w:sz="0" w:space="0" w:color="auto"/>
      </w:divBdr>
    </w:div>
    <w:div w:id="99692268">
      <w:bodyDiv w:val="1"/>
      <w:marLeft w:val="0"/>
      <w:marRight w:val="0"/>
      <w:marTop w:val="0"/>
      <w:marBottom w:val="0"/>
      <w:divBdr>
        <w:top w:val="none" w:sz="0" w:space="0" w:color="auto"/>
        <w:left w:val="none" w:sz="0" w:space="0" w:color="auto"/>
        <w:bottom w:val="none" w:sz="0" w:space="0" w:color="auto"/>
        <w:right w:val="none" w:sz="0" w:space="0" w:color="auto"/>
      </w:divBdr>
    </w:div>
    <w:div w:id="102262794">
      <w:bodyDiv w:val="1"/>
      <w:marLeft w:val="0"/>
      <w:marRight w:val="0"/>
      <w:marTop w:val="0"/>
      <w:marBottom w:val="0"/>
      <w:divBdr>
        <w:top w:val="none" w:sz="0" w:space="0" w:color="auto"/>
        <w:left w:val="none" w:sz="0" w:space="0" w:color="auto"/>
        <w:bottom w:val="none" w:sz="0" w:space="0" w:color="auto"/>
        <w:right w:val="none" w:sz="0" w:space="0" w:color="auto"/>
      </w:divBdr>
    </w:div>
    <w:div w:id="102312186">
      <w:bodyDiv w:val="1"/>
      <w:marLeft w:val="0"/>
      <w:marRight w:val="0"/>
      <w:marTop w:val="0"/>
      <w:marBottom w:val="0"/>
      <w:divBdr>
        <w:top w:val="none" w:sz="0" w:space="0" w:color="auto"/>
        <w:left w:val="none" w:sz="0" w:space="0" w:color="auto"/>
        <w:bottom w:val="none" w:sz="0" w:space="0" w:color="auto"/>
        <w:right w:val="none" w:sz="0" w:space="0" w:color="auto"/>
      </w:divBdr>
    </w:div>
    <w:div w:id="102962489">
      <w:bodyDiv w:val="1"/>
      <w:marLeft w:val="0"/>
      <w:marRight w:val="0"/>
      <w:marTop w:val="0"/>
      <w:marBottom w:val="0"/>
      <w:divBdr>
        <w:top w:val="none" w:sz="0" w:space="0" w:color="auto"/>
        <w:left w:val="none" w:sz="0" w:space="0" w:color="auto"/>
        <w:bottom w:val="none" w:sz="0" w:space="0" w:color="auto"/>
        <w:right w:val="none" w:sz="0" w:space="0" w:color="auto"/>
      </w:divBdr>
    </w:div>
    <w:div w:id="103772739">
      <w:bodyDiv w:val="1"/>
      <w:marLeft w:val="0"/>
      <w:marRight w:val="0"/>
      <w:marTop w:val="0"/>
      <w:marBottom w:val="0"/>
      <w:divBdr>
        <w:top w:val="none" w:sz="0" w:space="0" w:color="auto"/>
        <w:left w:val="none" w:sz="0" w:space="0" w:color="auto"/>
        <w:bottom w:val="none" w:sz="0" w:space="0" w:color="auto"/>
        <w:right w:val="none" w:sz="0" w:space="0" w:color="auto"/>
      </w:divBdr>
    </w:div>
    <w:div w:id="106003002">
      <w:bodyDiv w:val="1"/>
      <w:marLeft w:val="0"/>
      <w:marRight w:val="0"/>
      <w:marTop w:val="0"/>
      <w:marBottom w:val="0"/>
      <w:divBdr>
        <w:top w:val="none" w:sz="0" w:space="0" w:color="auto"/>
        <w:left w:val="none" w:sz="0" w:space="0" w:color="auto"/>
        <w:bottom w:val="none" w:sz="0" w:space="0" w:color="auto"/>
        <w:right w:val="none" w:sz="0" w:space="0" w:color="auto"/>
      </w:divBdr>
    </w:div>
    <w:div w:id="107242131">
      <w:bodyDiv w:val="1"/>
      <w:marLeft w:val="0"/>
      <w:marRight w:val="0"/>
      <w:marTop w:val="0"/>
      <w:marBottom w:val="0"/>
      <w:divBdr>
        <w:top w:val="none" w:sz="0" w:space="0" w:color="auto"/>
        <w:left w:val="none" w:sz="0" w:space="0" w:color="auto"/>
        <w:bottom w:val="none" w:sz="0" w:space="0" w:color="auto"/>
        <w:right w:val="none" w:sz="0" w:space="0" w:color="auto"/>
      </w:divBdr>
    </w:div>
    <w:div w:id="107819701">
      <w:bodyDiv w:val="1"/>
      <w:marLeft w:val="0"/>
      <w:marRight w:val="0"/>
      <w:marTop w:val="0"/>
      <w:marBottom w:val="0"/>
      <w:divBdr>
        <w:top w:val="none" w:sz="0" w:space="0" w:color="auto"/>
        <w:left w:val="none" w:sz="0" w:space="0" w:color="auto"/>
        <w:bottom w:val="none" w:sz="0" w:space="0" w:color="auto"/>
        <w:right w:val="none" w:sz="0" w:space="0" w:color="auto"/>
      </w:divBdr>
    </w:div>
    <w:div w:id="107895662">
      <w:bodyDiv w:val="1"/>
      <w:marLeft w:val="0"/>
      <w:marRight w:val="0"/>
      <w:marTop w:val="0"/>
      <w:marBottom w:val="0"/>
      <w:divBdr>
        <w:top w:val="none" w:sz="0" w:space="0" w:color="auto"/>
        <w:left w:val="none" w:sz="0" w:space="0" w:color="auto"/>
        <w:bottom w:val="none" w:sz="0" w:space="0" w:color="auto"/>
        <w:right w:val="none" w:sz="0" w:space="0" w:color="auto"/>
      </w:divBdr>
    </w:div>
    <w:div w:id="108361210">
      <w:bodyDiv w:val="1"/>
      <w:marLeft w:val="0"/>
      <w:marRight w:val="0"/>
      <w:marTop w:val="0"/>
      <w:marBottom w:val="0"/>
      <w:divBdr>
        <w:top w:val="none" w:sz="0" w:space="0" w:color="auto"/>
        <w:left w:val="none" w:sz="0" w:space="0" w:color="auto"/>
        <w:bottom w:val="none" w:sz="0" w:space="0" w:color="auto"/>
        <w:right w:val="none" w:sz="0" w:space="0" w:color="auto"/>
      </w:divBdr>
    </w:div>
    <w:div w:id="111095566">
      <w:bodyDiv w:val="1"/>
      <w:marLeft w:val="0"/>
      <w:marRight w:val="0"/>
      <w:marTop w:val="0"/>
      <w:marBottom w:val="0"/>
      <w:divBdr>
        <w:top w:val="none" w:sz="0" w:space="0" w:color="auto"/>
        <w:left w:val="none" w:sz="0" w:space="0" w:color="auto"/>
        <w:bottom w:val="none" w:sz="0" w:space="0" w:color="auto"/>
        <w:right w:val="none" w:sz="0" w:space="0" w:color="auto"/>
      </w:divBdr>
    </w:div>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14521416">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20078758">
      <w:bodyDiv w:val="1"/>
      <w:marLeft w:val="0"/>
      <w:marRight w:val="0"/>
      <w:marTop w:val="0"/>
      <w:marBottom w:val="0"/>
      <w:divBdr>
        <w:top w:val="none" w:sz="0" w:space="0" w:color="auto"/>
        <w:left w:val="none" w:sz="0" w:space="0" w:color="auto"/>
        <w:bottom w:val="none" w:sz="0" w:space="0" w:color="auto"/>
        <w:right w:val="none" w:sz="0" w:space="0" w:color="auto"/>
      </w:divBdr>
    </w:div>
    <w:div w:id="122307114">
      <w:bodyDiv w:val="1"/>
      <w:marLeft w:val="0"/>
      <w:marRight w:val="0"/>
      <w:marTop w:val="0"/>
      <w:marBottom w:val="0"/>
      <w:divBdr>
        <w:top w:val="none" w:sz="0" w:space="0" w:color="auto"/>
        <w:left w:val="none" w:sz="0" w:space="0" w:color="auto"/>
        <w:bottom w:val="none" w:sz="0" w:space="0" w:color="auto"/>
        <w:right w:val="none" w:sz="0" w:space="0" w:color="auto"/>
      </w:divBdr>
    </w:div>
    <w:div w:id="123545181">
      <w:bodyDiv w:val="1"/>
      <w:marLeft w:val="0"/>
      <w:marRight w:val="0"/>
      <w:marTop w:val="0"/>
      <w:marBottom w:val="0"/>
      <w:divBdr>
        <w:top w:val="none" w:sz="0" w:space="0" w:color="auto"/>
        <w:left w:val="none" w:sz="0" w:space="0" w:color="auto"/>
        <w:bottom w:val="none" w:sz="0" w:space="0" w:color="auto"/>
        <w:right w:val="none" w:sz="0" w:space="0" w:color="auto"/>
      </w:divBdr>
    </w:div>
    <w:div w:id="124280540">
      <w:bodyDiv w:val="1"/>
      <w:marLeft w:val="0"/>
      <w:marRight w:val="0"/>
      <w:marTop w:val="0"/>
      <w:marBottom w:val="0"/>
      <w:divBdr>
        <w:top w:val="none" w:sz="0" w:space="0" w:color="auto"/>
        <w:left w:val="none" w:sz="0" w:space="0" w:color="auto"/>
        <w:bottom w:val="none" w:sz="0" w:space="0" w:color="auto"/>
        <w:right w:val="none" w:sz="0" w:space="0" w:color="auto"/>
      </w:divBdr>
    </w:div>
    <w:div w:id="126894630">
      <w:bodyDiv w:val="1"/>
      <w:marLeft w:val="0"/>
      <w:marRight w:val="0"/>
      <w:marTop w:val="0"/>
      <w:marBottom w:val="0"/>
      <w:divBdr>
        <w:top w:val="none" w:sz="0" w:space="0" w:color="auto"/>
        <w:left w:val="none" w:sz="0" w:space="0" w:color="auto"/>
        <w:bottom w:val="none" w:sz="0" w:space="0" w:color="auto"/>
        <w:right w:val="none" w:sz="0" w:space="0" w:color="auto"/>
      </w:divBdr>
    </w:div>
    <w:div w:id="127548900">
      <w:bodyDiv w:val="1"/>
      <w:marLeft w:val="0"/>
      <w:marRight w:val="0"/>
      <w:marTop w:val="0"/>
      <w:marBottom w:val="0"/>
      <w:divBdr>
        <w:top w:val="none" w:sz="0" w:space="0" w:color="auto"/>
        <w:left w:val="none" w:sz="0" w:space="0" w:color="auto"/>
        <w:bottom w:val="none" w:sz="0" w:space="0" w:color="auto"/>
        <w:right w:val="none" w:sz="0" w:space="0" w:color="auto"/>
      </w:divBdr>
    </w:div>
    <w:div w:id="127599933">
      <w:bodyDiv w:val="1"/>
      <w:marLeft w:val="0"/>
      <w:marRight w:val="0"/>
      <w:marTop w:val="0"/>
      <w:marBottom w:val="0"/>
      <w:divBdr>
        <w:top w:val="none" w:sz="0" w:space="0" w:color="auto"/>
        <w:left w:val="none" w:sz="0" w:space="0" w:color="auto"/>
        <w:bottom w:val="none" w:sz="0" w:space="0" w:color="auto"/>
        <w:right w:val="none" w:sz="0" w:space="0" w:color="auto"/>
      </w:divBdr>
    </w:div>
    <w:div w:id="129440135">
      <w:bodyDiv w:val="1"/>
      <w:marLeft w:val="0"/>
      <w:marRight w:val="0"/>
      <w:marTop w:val="0"/>
      <w:marBottom w:val="0"/>
      <w:divBdr>
        <w:top w:val="none" w:sz="0" w:space="0" w:color="auto"/>
        <w:left w:val="none" w:sz="0" w:space="0" w:color="auto"/>
        <w:bottom w:val="none" w:sz="0" w:space="0" w:color="auto"/>
        <w:right w:val="none" w:sz="0" w:space="0" w:color="auto"/>
      </w:divBdr>
    </w:div>
    <w:div w:id="129907920">
      <w:bodyDiv w:val="1"/>
      <w:marLeft w:val="0"/>
      <w:marRight w:val="0"/>
      <w:marTop w:val="0"/>
      <w:marBottom w:val="0"/>
      <w:divBdr>
        <w:top w:val="none" w:sz="0" w:space="0" w:color="auto"/>
        <w:left w:val="none" w:sz="0" w:space="0" w:color="auto"/>
        <w:bottom w:val="none" w:sz="0" w:space="0" w:color="auto"/>
        <w:right w:val="none" w:sz="0" w:space="0" w:color="auto"/>
      </w:divBdr>
    </w:div>
    <w:div w:id="130170775">
      <w:bodyDiv w:val="1"/>
      <w:marLeft w:val="0"/>
      <w:marRight w:val="0"/>
      <w:marTop w:val="0"/>
      <w:marBottom w:val="0"/>
      <w:divBdr>
        <w:top w:val="none" w:sz="0" w:space="0" w:color="auto"/>
        <w:left w:val="none" w:sz="0" w:space="0" w:color="auto"/>
        <w:bottom w:val="none" w:sz="0" w:space="0" w:color="auto"/>
        <w:right w:val="none" w:sz="0" w:space="0" w:color="auto"/>
      </w:divBdr>
    </w:div>
    <w:div w:id="131757278">
      <w:bodyDiv w:val="1"/>
      <w:marLeft w:val="0"/>
      <w:marRight w:val="0"/>
      <w:marTop w:val="0"/>
      <w:marBottom w:val="0"/>
      <w:divBdr>
        <w:top w:val="none" w:sz="0" w:space="0" w:color="auto"/>
        <w:left w:val="none" w:sz="0" w:space="0" w:color="auto"/>
        <w:bottom w:val="none" w:sz="0" w:space="0" w:color="auto"/>
        <w:right w:val="none" w:sz="0" w:space="0" w:color="auto"/>
      </w:divBdr>
    </w:div>
    <w:div w:id="132069478">
      <w:bodyDiv w:val="1"/>
      <w:marLeft w:val="0"/>
      <w:marRight w:val="0"/>
      <w:marTop w:val="0"/>
      <w:marBottom w:val="0"/>
      <w:divBdr>
        <w:top w:val="none" w:sz="0" w:space="0" w:color="auto"/>
        <w:left w:val="none" w:sz="0" w:space="0" w:color="auto"/>
        <w:bottom w:val="none" w:sz="0" w:space="0" w:color="auto"/>
        <w:right w:val="none" w:sz="0" w:space="0" w:color="auto"/>
      </w:divBdr>
    </w:div>
    <w:div w:id="132716255">
      <w:bodyDiv w:val="1"/>
      <w:marLeft w:val="0"/>
      <w:marRight w:val="0"/>
      <w:marTop w:val="0"/>
      <w:marBottom w:val="0"/>
      <w:divBdr>
        <w:top w:val="none" w:sz="0" w:space="0" w:color="auto"/>
        <w:left w:val="none" w:sz="0" w:space="0" w:color="auto"/>
        <w:bottom w:val="none" w:sz="0" w:space="0" w:color="auto"/>
        <w:right w:val="none" w:sz="0" w:space="0" w:color="auto"/>
      </w:divBdr>
    </w:div>
    <w:div w:id="133644543">
      <w:bodyDiv w:val="1"/>
      <w:marLeft w:val="0"/>
      <w:marRight w:val="0"/>
      <w:marTop w:val="0"/>
      <w:marBottom w:val="0"/>
      <w:divBdr>
        <w:top w:val="none" w:sz="0" w:space="0" w:color="auto"/>
        <w:left w:val="none" w:sz="0" w:space="0" w:color="auto"/>
        <w:bottom w:val="none" w:sz="0" w:space="0" w:color="auto"/>
        <w:right w:val="none" w:sz="0" w:space="0" w:color="auto"/>
      </w:divBdr>
    </w:div>
    <w:div w:id="134757344">
      <w:bodyDiv w:val="1"/>
      <w:marLeft w:val="0"/>
      <w:marRight w:val="0"/>
      <w:marTop w:val="0"/>
      <w:marBottom w:val="0"/>
      <w:divBdr>
        <w:top w:val="none" w:sz="0" w:space="0" w:color="auto"/>
        <w:left w:val="none" w:sz="0" w:space="0" w:color="auto"/>
        <w:bottom w:val="none" w:sz="0" w:space="0" w:color="auto"/>
        <w:right w:val="none" w:sz="0" w:space="0" w:color="auto"/>
      </w:divBdr>
    </w:div>
    <w:div w:id="134875554">
      <w:bodyDiv w:val="1"/>
      <w:marLeft w:val="0"/>
      <w:marRight w:val="0"/>
      <w:marTop w:val="0"/>
      <w:marBottom w:val="0"/>
      <w:divBdr>
        <w:top w:val="none" w:sz="0" w:space="0" w:color="auto"/>
        <w:left w:val="none" w:sz="0" w:space="0" w:color="auto"/>
        <w:bottom w:val="none" w:sz="0" w:space="0" w:color="auto"/>
        <w:right w:val="none" w:sz="0" w:space="0" w:color="auto"/>
      </w:divBdr>
    </w:div>
    <w:div w:id="136192273">
      <w:bodyDiv w:val="1"/>
      <w:marLeft w:val="0"/>
      <w:marRight w:val="0"/>
      <w:marTop w:val="0"/>
      <w:marBottom w:val="0"/>
      <w:divBdr>
        <w:top w:val="none" w:sz="0" w:space="0" w:color="auto"/>
        <w:left w:val="none" w:sz="0" w:space="0" w:color="auto"/>
        <w:bottom w:val="none" w:sz="0" w:space="0" w:color="auto"/>
        <w:right w:val="none" w:sz="0" w:space="0" w:color="auto"/>
      </w:divBdr>
    </w:div>
    <w:div w:id="137039955">
      <w:bodyDiv w:val="1"/>
      <w:marLeft w:val="0"/>
      <w:marRight w:val="0"/>
      <w:marTop w:val="0"/>
      <w:marBottom w:val="0"/>
      <w:divBdr>
        <w:top w:val="none" w:sz="0" w:space="0" w:color="auto"/>
        <w:left w:val="none" w:sz="0" w:space="0" w:color="auto"/>
        <w:bottom w:val="none" w:sz="0" w:space="0" w:color="auto"/>
        <w:right w:val="none" w:sz="0" w:space="0" w:color="auto"/>
      </w:divBdr>
    </w:div>
    <w:div w:id="139346250">
      <w:bodyDiv w:val="1"/>
      <w:marLeft w:val="0"/>
      <w:marRight w:val="0"/>
      <w:marTop w:val="0"/>
      <w:marBottom w:val="0"/>
      <w:divBdr>
        <w:top w:val="none" w:sz="0" w:space="0" w:color="auto"/>
        <w:left w:val="none" w:sz="0" w:space="0" w:color="auto"/>
        <w:bottom w:val="none" w:sz="0" w:space="0" w:color="auto"/>
        <w:right w:val="none" w:sz="0" w:space="0" w:color="auto"/>
      </w:divBdr>
    </w:div>
    <w:div w:id="148443509">
      <w:bodyDiv w:val="1"/>
      <w:marLeft w:val="0"/>
      <w:marRight w:val="0"/>
      <w:marTop w:val="0"/>
      <w:marBottom w:val="0"/>
      <w:divBdr>
        <w:top w:val="none" w:sz="0" w:space="0" w:color="auto"/>
        <w:left w:val="none" w:sz="0" w:space="0" w:color="auto"/>
        <w:bottom w:val="none" w:sz="0" w:space="0" w:color="auto"/>
        <w:right w:val="none" w:sz="0" w:space="0" w:color="auto"/>
      </w:divBdr>
    </w:div>
    <w:div w:id="148909299">
      <w:bodyDiv w:val="1"/>
      <w:marLeft w:val="0"/>
      <w:marRight w:val="0"/>
      <w:marTop w:val="0"/>
      <w:marBottom w:val="0"/>
      <w:divBdr>
        <w:top w:val="none" w:sz="0" w:space="0" w:color="auto"/>
        <w:left w:val="none" w:sz="0" w:space="0" w:color="auto"/>
        <w:bottom w:val="none" w:sz="0" w:space="0" w:color="auto"/>
        <w:right w:val="none" w:sz="0" w:space="0" w:color="auto"/>
      </w:divBdr>
    </w:div>
    <w:div w:id="150104124">
      <w:bodyDiv w:val="1"/>
      <w:marLeft w:val="0"/>
      <w:marRight w:val="0"/>
      <w:marTop w:val="0"/>
      <w:marBottom w:val="0"/>
      <w:divBdr>
        <w:top w:val="none" w:sz="0" w:space="0" w:color="auto"/>
        <w:left w:val="none" w:sz="0" w:space="0" w:color="auto"/>
        <w:bottom w:val="none" w:sz="0" w:space="0" w:color="auto"/>
        <w:right w:val="none" w:sz="0" w:space="0" w:color="auto"/>
      </w:divBdr>
    </w:div>
    <w:div w:id="151411950">
      <w:bodyDiv w:val="1"/>
      <w:marLeft w:val="0"/>
      <w:marRight w:val="0"/>
      <w:marTop w:val="0"/>
      <w:marBottom w:val="0"/>
      <w:divBdr>
        <w:top w:val="none" w:sz="0" w:space="0" w:color="auto"/>
        <w:left w:val="none" w:sz="0" w:space="0" w:color="auto"/>
        <w:bottom w:val="none" w:sz="0" w:space="0" w:color="auto"/>
        <w:right w:val="none" w:sz="0" w:space="0" w:color="auto"/>
      </w:divBdr>
    </w:div>
    <w:div w:id="155846478">
      <w:bodyDiv w:val="1"/>
      <w:marLeft w:val="0"/>
      <w:marRight w:val="0"/>
      <w:marTop w:val="0"/>
      <w:marBottom w:val="0"/>
      <w:divBdr>
        <w:top w:val="none" w:sz="0" w:space="0" w:color="auto"/>
        <w:left w:val="none" w:sz="0" w:space="0" w:color="auto"/>
        <w:bottom w:val="none" w:sz="0" w:space="0" w:color="auto"/>
        <w:right w:val="none" w:sz="0" w:space="0" w:color="auto"/>
      </w:divBdr>
    </w:div>
    <w:div w:id="156384594">
      <w:bodyDiv w:val="1"/>
      <w:marLeft w:val="0"/>
      <w:marRight w:val="0"/>
      <w:marTop w:val="0"/>
      <w:marBottom w:val="0"/>
      <w:divBdr>
        <w:top w:val="none" w:sz="0" w:space="0" w:color="auto"/>
        <w:left w:val="none" w:sz="0" w:space="0" w:color="auto"/>
        <w:bottom w:val="none" w:sz="0" w:space="0" w:color="auto"/>
        <w:right w:val="none" w:sz="0" w:space="0" w:color="auto"/>
      </w:divBdr>
    </w:div>
    <w:div w:id="156651816">
      <w:bodyDiv w:val="1"/>
      <w:marLeft w:val="0"/>
      <w:marRight w:val="0"/>
      <w:marTop w:val="0"/>
      <w:marBottom w:val="0"/>
      <w:divBdr>
        <w:top w:val="none" w:sz="0" w:space="0" w:color="auto"/>
        <w:left w:val="none" w:sz="0" w:space="0" w:color="auto"/>
        <w:bottom w:val="none" w:sz="0" w:space="0" w:color="auto"/>
        <w:right w:val="none" w:sz="0" w:space="0" w:color="auto"/>
      </w:divBdr>
    </w:div>
    <w:div w:id="158812546">
      <w:bodyDiv w:val="1"/>
      <w:marLeft w:val="0"/>
      <w:marRight w:val="0"/>
      <w:marTop w:val="0"/>
      <w:marBottom w:val="0"/>
      <w:divBdr>
        <w:top w:val="none" w:sz="0" w:space="0" w:color="auto"/>
        <w:left w:val="none" w:sz="0" w:space="0" w:color="auto"/>
        <w:bottom w:val="none" w:sz="0" w:space="0" w:color="auto"/>
        <w:right w:val="none" w:sz="0" w:space="0" w:color="auto"/>
      </w:divBdr>
    </w:div>
    <w:div w:id="161624061">
      <w:bodyDiv w:val="1"/>
      <w:marLeft w:val="0"/>
      <w:marRight w:val="0"/>
      <w:marTop w:val="0"/>
      <w:marBottom w:val="0"/>
      <w:divBdr>
        <w:top w:val="none" w:sz="0" w:space="0" w:color="auto"/>
        <w:left w:val="none" w:sz="0" w:space="0" w:color="auto"/>
        <w:bottom w:val="none" w:sz="0" w:space="0" w:color="auto"/>
        <w:right w:val="none" w:sz="0" w:space="0" w:color="auto"/>
      </w:divBdr>
    </w:div>
    <w:div w:id="163739842">
      <w:bodyDiv w:val="1"/>
      <w:marLeft w:val="0"/>
      <w:marRight w:val="0"/>
      <w:marTop w:val="0"/>
      <w:marBottom w:val="0"/>
      <w:divBdr>
        <w:top w:val="none" w:sz="0" w:space="0" w:color="auto"/>
        <w:left w:val="none" w:sz="0" w:space="0" w:color="auto"/>
        <w:bottom w:val="none" w:sz="0" w:space="0" w:color="auto"/>
        <w:right w:val="none" w:sz="0" w:space="0" w:color="auto"/>
      </w:divBdr>
    </w:div>
    <w:div w:id="165444467">
      <w:bodyDiv w:val="1"/>
      <w:marLeft w:val="0"/>
      <w:marRight w:val="0"/>
      <w:marTop w:val="0"/>
      <w:marBottom w:val="0"/>
      <w:divBdr>
        <w:top w:val="none" w:sz="0" w:space="0" w:color="auto"/>
        <w:left w:val="none" w:sz="0" w:space="0" w:color="auto"/>
        <w:bottom w:val="none" w:sz="0" w:space="0" w:color="auto"/>
        <w:right w:val="none" w:sz="0" w:space="0" w:color="auto"/>
      </w:divBdr>
    </w:div>
    <w:div w:id="165831160">
      <w:bodyDiv w:val="1"/>
      <w:marLeft w:val="0"/>
      <w:marRight w:val="0"/>
      <w:marTop w:val="0"/>
      <w:marBottom w:val="0"/>
      <w:divBdr>
        <w:top w:val="none" w:sz="0" w:space="0" w:color="auto"/>
        <w:left w:val="none" w:sz="0" w:space="0" w:color="auto"/>
        <w:bottom w:val="none" w:sz="0" w:space="0" w:color="auto"/>
        <w:right w:val="none" w:sz="0" w:space="0" w:color="auto"/>
      </w:divBdr>
    </w:div>
    <w:div w:id="166217900">
      <w:bodyDiv w:val="1"/>
      <w:marLeft w:val="0"/>
      <w:marRight w:val="0"/>
      <w:marTop w:val="0"/>
      <w:marBottom w:val="0"/>
      <w:divBdr>
        <w:top w:val="none" w:sz="0" w:space="0" w:color="auto"/>
        <w:left w:val="none" w:sz="0" w:space="0" w:color="auto"/>
        <w:bottom w:val="none" w:sz="0" w:space="0" w:color="auto"/>
        <w:right w:val="none" w:sz="0" w:space="0" w:color="auto"/>
      </w:divBdr>
    </w:div>
    <w:div w:id="167331331">
      <w:bodyDiv w:val="1"/>
      <w:marLeft w:val="0"/>
      <w:marRight w:val="0"/>
      <w:marTop w:val="0"/>
      <w:marBottom w:val="0"/>
      <w:divBdr>
        <w:top w:val="none" w:sz="0" w:space="0" w:color="auto"/>
        <w:left w:val="none" w:sz="0" w:space="0" w:color="auto"/>
        <w:bottom w:val="none" w:sz="0" w:space="0" w:color="auto"/>
        <w:right w:val="none" w:sz="0" w:space="0" w:color="auto"/>
      </w:divBdr>
    </w:div>
    <w:div w:id="167840167">
      <w:bodyDiv w:val="1"/>
      <w:marLeft w:val="0"/>
      <w:marRight w:val="0"/>
      <w:marTop w:val="0"/>
      <w:marBottom w:val="0"/>
      <w:divBdr>
        <w:top w:val="none" w:sz="0" w:space="0" w:color="auto"/>
        <w:left w:val="none" w:sz="0" w:space="0" w:color="auto"/>
        <w:bottom w:val="none" w:sz="0" w:space="0" w:color="auto"/>
        <w:right w:val="none" w:sz="0" w:space="0" w:color="auto"/>
      </w:divBdr>
    </w:div>
    <w:div w:id="171846608">
      <w:bodyDiv w:val="1"/>
      <w:marLeft w:val="0"/>
      <w:marRight w:val="0"/>
      <w:marTop w:val="0"/>
      <w:marBottom w:val="0"/>
      <w:divBdr>
        <w:top w:val="none" w:sz="0" w:space="0" w:color="auto"/>
        <w:left w:val="none" w:sz="0" w:space="0" w:color="auto"/>
        <w:bottom w:val="none" w:sz="0" w:space="0" w:color="auto"/>
        <w:right w:val="none" w:sz="0" w:space="0" w:color="auto"/>
      </w:divBdr>
    </w:div>
    <w:div w:id="172259214">
      <w:bodyDiv w:val="1"/>
      <w:marLeft w:val="0"/>
      <w:marRight w:val="0"/>
      <w:marTop w:val="0"/>
      <w:marBottom w:val="0"/>
      <w:divBdr>
        <w:top w:val="none" w:sz="0" w:space="0" w:color="auto"/>
        <w:left w:val="none" w:sz="0" w:space="0" w:color="auto"/>
        <w:bottom w:val="none" w:sz="0" w:space="0" w:color="auto"/>
        <w:right w:val="none" w:sz="0" w:space="0" w:color="auto"/>
      </w:divBdr>
    </w:div>
    <w:div w:id="174225764">
      <w:bodyDiv w:val="1"/>
      <w:marLeft w:val="0"/>
      <w:marRight w:val="0"/>
      <w:marTop w:val="0"/>
      <w:marBottom w:val="0"/>
      <w:divBdr>
        <w:top w:val="none" w:sz="0" w:space="0" w:color="auto"/>
        <w:left w:val="none" w:sz="0" w:space="0" w:color="auto"/>
        <w:bottom w:val="none" w:sz="0" w:space="0" w:color="auto"/>
        <w:right w:val="none" w:sz="0" w:space="0" w:color="auto"/>
      </w:divBdr>
    </w:div>
    <w:div w:id="183904726">
      <w:bodyDiv w:val="1"/>
      <w:marLeft w:val="0"/>
      <w:marRight w:val="0"/>
      <w:marTop w:val="0"/>
      <w:marBottom w:val="0"/>
      <w:divBdr>
        <w:top w:val="none" w:sz="0" w:space="0" w:color="auto"/>
        <w:left w:val="none" w:sz="0" w:space="0" w:color="auto"/>
        <w:bottom w:val="none" w:sz="0" w:space="0" w:color="auto"/>
        <w:right w:val="none" w:sz="0" w:space="0" w:color="auto"/>
      </w:divBdr>
    </w:div>
    <w:div w:id="184637873">
      <w:bodyDiv w:val="1"/>
      <w:marLeft w:val="0"/>
      <w:marRight w:val="0"/>
      <w:marTop w:val="0"/>
      <w:marBottom w:val="0"/>
      <w:divBdr>
        <w:top w:val="none" w:sz="0" w:space="0" w:color="auto"/>
        <w:left w:val="none" w:sz="0" w:space="0" w:color="auto"/>
        <w:bottom w:val="none" w:sz="0" w:space="0" w:color="auto"/>
        <w:right w:val="none" w:sz="0" w:space="0" w:color="auto"/>
      </w:divBdr>
    </w:div>
    <w:div w:id="189683111">
      <w:bodyDiv w:val="1"/>
      <w:marLeft w:val="0"/>
      <w:marRight w:val="0"/>
      <w:marTop w:val="0"/>
      <w:marBottom w:val="0"/>
      <w:divBdr>
        <w:top w:val="none" w:sz="0" w:space="0" w:color="auto"/>
        <w:left w:val="none" w:sz="0" w:space="0" w:color="auto"/>
        <w:bottom w:val="none" w:sz="0" w:space="0" w:color="auto"/>
        <w:right w:val="none" w:sz="0" w:space="0" w:color="auto"/>
      </w:divBdr>
    </w:div>
    <w:div w:id="190918443">
      <w:bodyDiv w:val="1"/>
      <w:marLeft w:val="0"/>
      <w:marRight w:val="0"/>
      <w:marTop w:val="0"/>
      <w:marBottom w:val="0"/>
      <w:divBdr>
        <w:top w:val="none" w:sz="0" w:space="0" w:color="auto"/>
        <w:left w:val="none" w:sz="0" w:space="0" w:color="auto"/>
        <w:bottom w:val="none" w:sz="0" w:space="0" w:color="auto"/>
        <w:right w:val="none" w:sz="0" w:space="0" w:color="auto"/>
      </w:divBdr>
    </w:div>
    <w:div w:id="191000675">
      <w:bodyDiv w:val="1"/>
      <w:marLeft w:val="0"/>
      <w:marRight w:val="0"/>
      <w:marTop w:val="0"/>
      <w:marBottom w:val="0"/>
      <w:divBdr>
        <w:top w:val="none" w:sz="0" w:space="0" w:color="auto"/>
        <w:left w:val="none" w:sz="0" w:space="0" w:color="auto"/>
        <w:bottom w:val="none" w:sz="0" w:space="0" w:color="auto"/>
        <w:right w:val="none" w:sz="0" w:space="0" w:color="auto"/>
      </w:divBdr>
    </w:div>
    <w:div w:id="191496683">
      <w:bodyDiv w:val="1"/>
      <w:marLeft w:val="0"/>
      <w:marRight w:val="0"/>
      <w:marTop w:val="0"/>
      <w:marBottom w:val="0"/>
      <w:divBdr>
        <w:top w:val="none" w:sz="0" w:space="0" w:color="auto"/>
        <w:left w:val="none" w:sz="0" w:space="0" w:color="auto"/>
        <w:bottom w:val="none" w:sz="0" w:space="0" w:color="auto"/>
        <w:right w:val="none" w:sz="0" w:space="0" w:color="auto"/>
      </w:divBdr>
    </w:div>
    <w:div w:id="191699287">
      <w:bodyDiv w:val="1"/>
      <w:marLeft w:val="0"/>
      <w:marRight w:val="0"/>
      <w:marTop w:val="0"/>
      <w:marBottom w:val="0"/>
      <w:divBdr>
        <w:top w:val="none" w:sz="0" w:space="0" w:color="auto"/>
        <w:left w:val="none" w:sz="0" w:space="0" w:color="auto"/>
        <w:bottom w:val="none" w:sz="0" w:space="0" w:color="auto"/>
        <w:right w:val="none" w:sz="0" w:space="0" w:color="auto"/>
      </w:divBdr>
    </w:div>
    <w:div w:id="192500697">
      <w:bodyDiv w:val="1"/>
      <w:marLeft w:val="0"/>
      <w:marRight w:val="0"/>
      <w:marTop w:val="0"/>
      <w:marBottom w:val="0"/>
      <w:divBdr>
        <w:top w:val="none" w:sz="0" w:space="0" w:color="auto"/>
        <w:left w:val="none" w:sz="0" w:space="0" w:color="auto"/>
        <w:bottom w:val="none" w:sz="0" w:space="0" w:color="auto"/>
        <w:right w:val="none" w:sz="0" w:space="0" w:color="auto"/>
      </w:divBdr>
    </w:div>
    <w:div w:id="193466112">
      <w:bodyDiv w:val="1"/>
      <w:marLeft w:val="0"/>
      <w:marRight w:val="0"/>
      <w:marTop w:val="0"/>
      <w:marBottom w:val="0"/>
      <w:divBdr>
        <w:top w:val="none" w:sz="0" w:space="0" w:color="auto"/>
        <w:left w:val="none" w:sz="0" w:space="0" w:color="auto"/>
        <w:bottom w:val="none" w:sz="0" w:space="0" w:color="auto"/>
        <w:right w:val="none" w:sz="0" w:space="0" w:color="auto"/>
      </w:divBdr>
    </w:div>
    <w:div w:id="193541871">
      <w:bodyDiv w:val="1"/>
      <w:marLeft w:val="0"/>
      <w:marRight w:val="0"/>
      <w:marTop w:val="0"/>
      <w:marBottom w:val="0"/>
      <w:divBdr>
        <w:top w:val="none" w:sz="0" w:space="0" w:color="auto"/>
        <w:left w:val="none" w:sz="0" w:space="0" w:color="auto"/>
        <w:bottom w:val="none" w:sz="0" w:space="0" w:color="auto"/>
        <w:right w:val="none" w:sz="0" w:space="0" w:color="auto"/>
      </w:divBdr>
    </w:div>
    <w:div w:id="194002327">
      <w:bodyDiv w:val="1"/>
      <w:marLeft w:val="0"/>
      <w:marRight w:val="0"/>
      <w:marTop w:val="0"/>
      <w:marBottom w:val="0"/>
      <w:divBdr>
        <w:top w:val="none" w:sz="0" w:space="0" w:color="auto"/>
        <w:left w:val="none" w:sz="0" w:space="0" w:color="auto"/>
        <w:bottom w:val="none" w:sz="0" w:space="0" w:color="auto"/>
        <w:right w:val="none" w:sz="0" w:space="0" w:color="auto"/>
      </w:divBdr>
    </w:div>
    <w:div w:id="195625895">
      <w:bodyDiv w:val="1"/>
      <w:marLeft w:val="0"/>
      <w:marRight w:val="0"/>
      <w:marTop w:val="0"/>
      <w:marBottom w:val="0"/>
      <w:divBdr>
        <w:top w:val="none" w:sz="0" w:space="0" w:color="auto"/>
        <w:left w:val="none" w:sz="0" w:space="0" w:color="auto"/>
        <w:bottom w:val="none" w:sz="0" w:space="0" w:color="auto"/>
        <w:right w:val="none" w:sz="0" w:space="0" w:color="auto"/>
      </w:divBdr>
    </w:div>
    <w:div w:id="196747772">
      <w:bodyDiv w:val="1"/>
      <w:marLeft w:val="0"/>
      <w:marRight w:val="0"/>
      <w:marTop w:val="0"/>
      <w:marBottom w:val="0"/>
      <w:divBdr>
        <w:top w:val="none" w:sz="0" w:space="0" w:color="auto"/>
        <w:left w:val="none" w:sz="0" w:space="0" w:color="auto"/>
        <w:bottom w:val="none" w:sz="0" w:space="0" w:color="auto"/>
        <w:right w:val="none" w:sz="0" w:space="0" w:color="auto"/>
      </w:divBdr>
    </w:div>
    <w:div w:id="198520232">
      <w:bodyDiv w:val="1"/>
      <w:marLeft w:val="0"/>
      <w:marRight w:val="0"/>
      <w:marTop w:val="0"/>
      <w:marBottom w:val="0"/>
      <w:divBdr>
        <w:top w:val="none" w:sz="0" w:space="0" w:color="auto"/>
        <w:left w:val="none" w:sz="0" w:space="0" w:color="auto"/>
        <w:bottom w:val="none" w:sz="0" w:space="0" w:color="auto"/>
        <w:right w:val="none" w:sz="0" w:space="0" w:color="auto"/>
      </w:divBdr>
    </w:div>
    <w:div w:id="198710709">
      <w:bodyDiv w:val="1"/>
      <w:marLeft w:val="0"/>
      <w:marRight w:val="0"/>
      <w:marTop w:val="0"/>
      <w:marBottom w:val="0"/>
      <w:divBdr>
        <w:top w:val="none" w:sz="0" w:space="0" w:color="auto"/>
        <w:left w:val="none" w:sz="0" w:space="0" w:color="auto"/>
        <w:bottom w:val="none" w:sz="0" w:space="0" w:color="auto"/>
        <w:right w:val="none" w:sz="0" w:space="0" w:color="auto"/>
      </w:divBdr>
    </w:div>
    <w:div w:id="199250009">
      <w:bodyDiv w:val="1"/>
      <w:marLeft w:val="0"/>
      <w:marRight w:val="0"/>
      <w:marTop w:val="0"/>
      <w:marBottom w:val="0"/>
      <w:divBdr>
        <w:top w:val="none" w:sz="0" w:space="0" w:color="auto"/>
        <w:left w:val="none" w:sz="0" w:space="0" w:color="auto"/>
        <w:bottom w:val="none" w:sz="0" w:space="0" w:color="auto"/>
        <w:right w:val="none" w:sz="0" w:space="0" w:color="auto"/>
      </w:divBdr>
    </w:div>
    <w:div w:id="205987916">
      <w:bodyDiv w:val="1"/>
      <w:marLeft w:val="0"/>
      <w:marRight w:val="0"/>
      <w:marTop w:val="0"/>
      <w:marBottom w:val="0"/>
      <w:divBdr>
        <w:top w:val="none" w:sz="0" w:space="0" w:color="auto"/>
        <w:left w:val="none" w:sz="0" w:space="0" w:color="auto"/>
        <w:bottom w:val="none" w:sz="0" w:space="0" w:color="auto"/>
        <w:right w:val="none" w:sz="0" w:space="0" w:color="auto"/>
      </w:divBdr>
    </w:div>
    <w:div w:id="206189832">
      <w:bodyDiv w:val="1"/>
      <w:marLeft w:val="0"/>
      <w:marRight w:val="0"/>
      <w:marTop w:val="0"/>
      <w:marBottom w:val="0"/>
      <w:divBdr>
        <w:top w:val="none" w:sz="0" w:space="0" w:color="auto"/>
        <w:left w:val="none" w:sz="0" w:space="0" w:color="auto"/>
        <w:bottom w:val="none" w:sz="0" w:space="0" w:color="auto"/>
        <w:right w:val="none" w:sz="0" w:space="0" w:color="auto"/>
      </w:divBdr>
    </w:div>
    <w:div w:id="208076974">
      <w:bodyDiv w:val="1"/>
      <w:marLeft w:val="0"/>
      <w:marRight w:val="0"/>
      <w:marTop w:val="0"/>
      <w:marBottom w:val="0"/>
      <w:divBdr>
        <w:top w:val="none" w:sz="0" w:space="0" w:color="auto"/>
        <w:left w:val="none" w:sz="0" w:space="0" w:color="auto"/>
        <w:bottom w:val="none" w:sz="0" w:space="0" w:color="auto"/>
        <w:right w:val="none" w:sz="0" w:space="0" w:color="auto"/>
      </w:divBdr>
    </w:div>
    <w:div w:id="209459802">
      <w:bodyDiv w:val="1"/>
      <w:marLeft w:val="0"/>
      <w:marRight w:val="0"/>
      <w:marTop w:val="0"/>
      <w:marBottom w:val="0"/>
      <w:divBdr>
        <w:top w:val="none" w:sz="0" w:space="0" w:color="auto"/>
        <w:left w:val="none" w:sz="0" w:space="0" w:color="auto"/>
        <w:bottom w:val="none" w:sz="0" w:space="0" w:color="auto"/>
        <w:right w:val="none" w:sz="0" w:space="0" w:color="auto"/>
      </w:divBdr>
    </w:div>
    <w:div w:id="211622162">
      <w:bodyDiv w:val="1"/>
      <w:marLeft w:val="0"/>
      <w:marRight w:val="0"/>
      <w:marTop w:val="0"/>
      <w:marBottom w:val="0"/>
      <w:divBdr>
        <w:top w:val="none" w:sz="0" w:space="0" w:color="auto"/>
        <w:left w:val="none" w:sz="0" w:space="0" w:color="auto"/>
        <w:bottom w:val="none" w:sz="0" w:space="0" w:color="auto"/>
        <w:right w:val="none" w:sz="0" w:space="0" w:color="auto"/>
      </w:divBdr>
    </w:div>
    <w:div w:id="211773699">
      <w:bodyDiv w:val="1"/>
      <w:marLeft w:val="0"/>
      <w:marRight w:val="0"/>
      <w:marTop w:val="0"/>
      <w:marBottom w:val="0"/>
      <w:divBdr>
        <w:top w:val="none" w:sz="0" w:space="0" w:color="auto"/>
        <w:left w:val="none" w:sz="0" w:space="0" w:color="auto"/>
        <w:bottom w:val="none" w:sz="0" w:space="0" w:color="auto"/>
        <w:right w:val="none" w:sz="0" w:space="0" w:color="auto"/>
      </w:divBdr>
    </w:div>
    <w:div w:id="212884306">
      <w:bodyDiv w:val="1"/>
      <w:marLeft w:val="0"/>
      <w:marRight w:val="0"/>
      <w:marTop w:val="0"/>
      <w:marBottom w:val="0"/>
      <w:divBdr>
        <w:top w:val="none" w:sz="0" w:space="0" w:color="auto"/>
        <w:left w:val="none" w:sz="0" w:space="0" w:color="auto"/>
        <w:bottom w:val="none" w:sz="0" w:space="0" w:color="auto"/>
        <w:right w:val="none" w:sz="0" w:space="0" w:color="auto"/>
      </w:divBdr>
    </w:div>
    <w:div w:id="215043445">
      <w:bodyDiv w:val="1"/>
      <w:marLeft w:val="0"/>
      <w:marRight w:val="0"/>
      <w:marTop w:val="0"/>
      <w:marBottom w:val="0"/>
      <w:divBdr>
        <w:top w:val="none" w:sz="0" w:space="0" w:color="auto"/>
        <w:left w:val="none" w:sz="0" w:space="0" w:color="auto"/>
        <w:bottom w:val="none" w:sz="0" w:space="0" w:color="auto"/>
        <w:right w:val="none" w:sz="0" w:space="0" w:color="auto"/>
      </w:divBdr>
    </w:div>
    <w:div w:id="215433153">
      <w:bodyDiv w:val="1"/>
      <w:marLeft w:val="0"/>
      <w:marRight w:val="0"/>
      <w:marTop w:val="0"/>
      <w:marBottom w:val="0"/>
      <w:divBdr>
        <w:top w:val="none" w:sz="0" w:space="0" w:color="auto"/>
        <w:left w:val="none" w:sz="0" w:space="0" w:color="auto"/>
        <w:bottom w:val="none" w:sz="0" w:space="0" w:color="auto"/>
        <w:right w:val="none" w:sz="0" w:space="0" w:color="auto"/>
      </w:divBdr>
    </w:div>
    <w:div w:id="217596921">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4729331">
      <w:bodyDiv w:val="1"/>
      <w:marLeft w:val="0"/>
      <w:marRight w:val="0"/>
      <w:marTop w:val="0"/>
      <w:marBottom w:val="0"/>
      <w:divBdr>
        <w:top w:val="none" w:sz="0" w:space="0" w:color="auto"/>
        <w:left w:val="none" w:sz="0" w:space="0" w:color="auto"/>
        <w:bottom w:val="none" w:sz="0" w:space="0" w:color="auto"/>
        <w:right w:val="none" w:sz="0" w:space="0" w:color="auto"/>
      </w:divBdr>
    </w:div>
    <w:div w:id="228661813">
      <w:bodyDiv w:val="1"/>
      <w:marLeft w:val="0"/>
      <w:marRight w:val="0"/>
      <w:marTop w:val="0"/>
      <w:marBottom w:val="0"/>
      <w:divBdr>
        <w:top w:val="none" w:sz="0" w:space="0" w:color="auto"/>
        <w:left w:val="none" w:sz="0" w:space="0" w:color="auto"/>
        <w:bottom w:val="none" w:sz="0" w:space="0" w:color="auto"/>
        <w:right w:val="none" w:sz="0" w:space="0" w:color="auto"/>
      </w:divBdr>
    </w:div>
    <w:div w:id="231624147">
      <w:bodyDiv w:val="1"/>
      <w:marLeft w:val="0"/>
      <w:marRight w:val="0"/>
      <w:marTop w:val="0"/>
      <w:marBottom w:val="0"/>
      <w:divBdr>
        <w:top w:val="none" w:sz="0" w:space="0" w:color="auto"/>
        <w:left w:val="none" w:sz="0" w:space="0" w:color="auto"/>
        <w:bottom w:val="none" w:sz="0" w:space="0" w:color="auto"/>
        <w:right w:val="none" w:sz="0" w:space="0" w:color="auto"/>
      </w:divBdr>
    </w:div>
    <w:div w:id="232396195">
      <w:bodyDiv w:val="1"/>
      <w:marLeft w:val="0"/>
      <w:marRight w:val="0"/>
      <w:marTop w:val="0"/>
      <w:marBottom w:val="0"/>
      <w:divBdr>
        <w:top w:val="none" w:sz="0" w:space="0" w:color="auto"/>
        <w:left w:val="none" w:sz="0" w:space="0" w:color="auto"/>
        <w:bottom w:val="none" w:sz="0" w:space="0" w:color="auto"/>
        <w:right w:val="none" w:sz="0" w:space="0" w:color="auto"/>
      </w:divBdr>
    </w:div>
    <w:div w:id="232544147">
      <w:bodyDiv w:val="1"/>
      <w:marLeft w:val="0"/>
      <w:marRight w:val="0"/>
      <w:marTop w:val="0"/>
      <w:marBottom w:val="0"/>
      <w:divBdr>
        <w:top w:val="none" w:sz="0" w:space="0" w:color="auto"/>
        <w:left w:val="none" w:sz="0" w:space="0" w:color="auto"/>
        <w:bottom w:val="none" w:sz="0" w:space="0" w:color="auto"/>
        <w:right w:val="none" w:sz="0" w:space="0" w:color="auto"/>
      </w:divBdr>
    </w:div>
    <w:div w:id="233513851">
      <w:bodyDiv w:val="1"/>
      <w:marLeft w:val="0"/>
      <w:marRight w:val="0"/>
      <w:marTop w:val="0"/>
      <w:marBottom w:val="0"/>
      <w:divBdr>
        <w:top w:val="none" w:sz="0" w:space="0" w:color="auto"/>
        <w:left w:val="none" w:sz="0" w:space="0" w:color="auto"/>
        <w:bottom w:val="none" w:sz="0" w:space="0" w:color="auto"/>
        <w:right w:val="none" w:sz="0" w:space="0" w:color="auto"/>
      </w:divBdr>
    </w:div>
    <w:div w:id="235209799">
      <w:bodyDiv w:val="1"/>
      <w:marLeft w:val="0"/>
      <w:marRight w:val="0"/>
      <w:marTop w:val="0"/>
      <w:marBottom w:val="0"/>
      <w:divBdr>
        <w:top w:val="none" w:sz="0" w:space="0" w:color="auto"/>
        <w:left w:val="none" w:sz="0" w:space="0" w:color="auto"/>
        <w:bottom w:val="none" w:sz="0" w:space="0" w:color="auto"/>
        <w:right w:val="none" w:sz="0" w:space="0" w:color="auto"/>
      </w:divBdr>
    </w:div>
    <w:div w:id="238564012">
      <w:bodyDiv w:val="1"/>
      <w:marLeft w:val="0"/>
      <w:marRight w:val="0"/>
      <w:marTop w:val="0"/>
      <w:marBottom w:val="0"/>
      <w:divBdr>
        <w:top w:val="none" w:sz="0" w:space="0" w:color="auto"/>
        <w:left w:val="none" w:sz="0" w:space="0" w:color="auto"/>
        <w:bottom w:val="none" w:sz="0" w:space="0" w:color="auto"/>
        <w:right w:val="none" w:sz="0" w:space="0" w:color="auto"/>
      </w:divBdr>
    </w:div>
    <w:div w:id="238754297">
      <w:bodyDiv w:val="1"/>
      <w:marLeft w:val="0"/>
      <w:marRight w:val="0"/>
      <w:marTop w:val="0"/>
      <w:marBottom w:val="0"/>
      <w:divBdr>
        <w:top w:val="none" w:sz="0" w:space="0" w:color="auto"/>
        <w:left w:val="none" w:sz="0" w:space="0" w:color="auto"/>
        <w:bottom w:val="none" w:sz="0" w:space="0" w:color="auto"/>
        <w:right w:val="none" w:sz="0" w:space="0" w:color="auto"/>
      </w:divBdr>
    </w:div>
    <w:div w:id="239101765">
      <w:bodyDiv w:val="1"/>
      <w:marLeft w:val="0"/>
      <w:marRight w:val="0"/>
      <w:marTop w:val="0"/>
      <w:marBottom w:val="0"/>
      <w:divBdr>
        <w:top w:val="none" w:sz="0" w:space="0" w:color="auto"/>
        <w:left w:val="none" w:sz="0" w:space="0" w:color="auto"/>
        <w:bottom w:val="none" w:sz="0" w:space="0" w:color="auto"/>
        <w:right w:val="none" w:sz="0" w:space="0" w:color="auto"/>
      </w:divBdr>
    </w:div>
    <w:div w:id="241379361">
      <w:bodyDiv w:val="1"/>
      <w:marLeft w:val="0"/>
      <w:marRight w:val="0"/>
      <w:marTop w:val="0"/>
      <w:marBottom w:val="0"/>
      <w:divBdr>
        <w:top w:val="none" w:sz="0" w:space="0" w:color="auto"/>
        <w:left w:val="none" w:sz="0" w:space="0" w:color="auto"/>
        <w:bottom w:val="none" w:sz="0" w:space="0" w:color="auto"/>
        <w:right w:val="none" w:sz="0" w:space="0" w:color="auto"/>
      </w:divBdr>
    </w:div>
    <w:div w:id="241724925">
      <w:bodyDiv w:val="1"/>
      <w:marLeft w:val="0"/>
      <w:marRight w:val="0"/>
      <w:marTop w:val="0"/>
      <w:marBottom w:val="0"/>
      <w:divBdr>
        <w:top w:val="none" w:sz="0" w:space="0" w:color="auto"/>
        <w:left w:val="none" w:sz="0" w:space="0" w:color="auto"/>
        <w:bottom w:val="none" w:sz="0" w:space="0" w:color="auto"/>
        <w:right w:val="none" w:sz="0" w:space="0" w:color="auto"/>
      </w:divBdr>
    </w:div>
    <w:div w:id="242032052">
      <w:bodyDiv w:val="1"/>
      <w:marLeft w:val="0"/>
      <w:marRight w:val="0"/>
      <w:marTop w:val="0"/>
      <w:marBottom w:val="0"/>
      <w:divBdr>
        <w:top w:val="none" w:sz="0" w:space="0" w:color="auto"/>
        <w:left w:val="none" w:sz="0" w:space="0" w:color="auto"/>
        <w:bottom w:val="none" w:sz="0" w:space="0" w:color="auto"/>
        <w:right w:val="none" w:sz="0" w:space="0" w:color="auto"/>
      </w:divBdr>
    </w:div>
    <w:div w:id="243420798">
      <w:bodyDiv w:val="1"/>
      <w:marLeft w:val="0"/>
      <w:marRight w:val="0"/>
      <w:marTop w:val="0"/>
      <w:marBottom w:val="0"/>
      <w:divBdr>
        <w:top w:val="none" w:sz="0" w:space="0" w:color="auto"/>
        <w:left w:val="none" w:sz="0" w:space="0" w:color="auto"/>
        <w:bottom w:val="none" w:sz="0" w:space="0" w:color="auto"/>
        <w:right w:val="none" w:sz="0" w:space="0" w:color="auto"/>
      </w:divBdr>
    </w:div>
    <w:div w:id="243759019">
      <w:bodyDiv w:val="1"/>
      <w:marLeft w:val="0"/>
      <w:marRight w:val="0"/>
      <w:marTop w:val="0"/>
      <w:marBottom w:val="0"/>
      <w:divBdr>
        <w:top w:val="none" w:sz="0" w:space="0" w:color="auto"/>
        <w:left w:val="none" w:sz="0" w:space="0" w:color="auto"/>
        <w:bottom w:val="none" w:sz="0" w:space="0" w:color="auto"/>
        <w:right w:val="none" w:sz="0" w:space="0" w:color="auto"/>
      </w:divBdr>
    </w:div>
    <w:div w:id="245262304">
      <w:bodyDiv w:val="1"/>
      <w:marLeft w:val="0"/>
      <w:marRight w:val="0"/>
      <w:marTop w:val="0"/>
      <w:marBottom w:val="0"/>
      <w:divBdr>
        <w:top w:val="none" w:sz="0" w:space="0" w:color="auto"/>
        <w:left w:val="none" w:sz="0" w:space="0" w:color="auto"/>
        <w:bottom w:val="none" w:sz="0" w:space="0" w:color="auto"/>
        <w:right w:val="none" w:sz="0" w:space="0" w:color="auto"/>
      </w:divBdr>
    </w:div>
    <w:div w:id="247617206">
      <w:bodyDiv w:val="1"/>
      <w:marLeft w:val="0"/>
      <w:marRight w:val="0"/>
      <w:marTop w:val="0"/>
      <w:marBottom w:val="0"/>
      <w:divBdr>
        <w:top w:val="none" w:sz="0" w:space="0" w:color="auto"/>
        <w:left w:val="none" w:sz="0" w:space="0" w:color="auto"/>
        <w:bottom w:val="none" w:sz="0" w:space="0" w:color="auto"/>
        <w:right w:val="none" w:sz="0" w:space="0" w:color="auto"/>
      </w:divBdr>
    </w:div>
    <w:div w:id="249772567">
      <w:bodyDiv w:val="1"/>
      <w:marLeft w:val="0"/>
      <w:marRight w:val="0"/>
      <w:marTop w:val="0"/>
      <w:marBottom w:val="0"/>
      <w:divBdr>
        <w:top w:val="none" w:sz="0" w:space="0" w:color="auto"/>
        <w:left w:val="none" w:sz="0" w:space="0" w:color="auto"/>
        <w:bottom w:val="none" w:sz="0" w:space="0" w:color="auto"/>
        <w:right w:val="none" w:sz="0" w:space="0" w:color="auto"/>
      </w:divBdr>
    </w:div>
    <w:div w:id="251208156">
      <w:bodyDiv w:val="1"/>
      <w:marLeft w:val="0"/>
      <w:marRight w:val="0"/>
      <w:marTop w:val="0"/>
      <w:marBottom w:val="0"/>
      <w:divBdr>
        <w:top w:val="none" w:sz="0" w:space="0" w:color="auto"/>
        <w:left w:val="none" w:sz="0" w:space="0" w:color="auto"/>
        <w:bottom w:val="none" w:sz="0" w:space="0" w:color="auto"/>
        <w:right w:val="none" w:sz="0" w:space="0" w:color="auto"/>
      </w:divBdr>
    </w:div>
    <w:div w:id="252707998">
      <w:bodyDiv w:val="1"/>
      <w:marLeft w:val="0"/>
      <w:marRight w:val="0"/>
      <w:marTop w:val="0"/>
      <w:marBottom w:val="0"/>
      <w:divBdr>
        <w:top w:val="none" w:sz="0" w:space="0" w:color="auto"/>
        <w:left w:val="none" w:sz="0" w:space="0" w:color="auto"/>
        <w:bottom w:val="none" w:sz="0" w:space="0" w:color="auto"/>
        <w:right w:val="none" w:sz="0" w:space="0" w:color="auto"/>
      </w:divBdr>
    </w:div>
    <w:div w:id="254748376">
      <w:bodyDiv w:val="1"/>
      <w:marLeft w:val="0"/>
      <w:marRight w:val="0"/>
      <w:marTop w:val="0"/>
      <w:marBottom w:val="0"/>
      <w:divBdr>
        <w:top w:val="none" w:sz="0" w:space="0" w:color="auto"/>
        <w:left w:val="none" w:sz="0" w:space="0" w:color="auto"/>
        <w:bottom w:val="none" w:sz="0" w:space="0" w:color="auto"/>
        <w:right w:val="none" w:sz="0" w:space="0" w:color="auto"/>
      </w:divBdr>
    </w:div>
    <w:div w:id="256906231">
      <w:bodyDiv w:val="1"/>
      <w:marLeft w:val="0"/>
      <w:marRight w:val="0"/>
      <w:marTop w:val="0"/>
      <w:marBottom w:val="0"/>
      <w:divBdr>
        <w:top w:val="none" w:sz="0" w:space="0" w:color="auto"/>
        <w:left w:val="none" w:sz="0" w:space="0" w:color="auto"/>
        <w:bottom w:val="none" w:sz="0" w:space="0" w:color="auto"/>
        <w:right w:val="none" w:sz="0" w:space="0" w:color="auto"/>
      </w:divBdr>
    </w:div>
    <w:div w:id="257519927">
      <w:bodyDiv w:val="1"/>
      <w:marLeft w:val="0"/>
      <w:marRight w:val="0"/>
      <w:marTop w:val="0"/>
      <w:marBottom w:val="0"/>
      <w:divBdr>
        <w:top w:val="none" w:sz="0" w:space="0" w:color="auto"/>
        <w:left w:val="none" w:sz="0" w:space="0" w:color="auto"/>
        <w:bottom w:val="none" w:sz="0" w:space="0" w:color="auto"/>
        <w:right w:val="none" w:sz="0" w:space="0" w:color="auto"/>
      </w:divBdr>
    </w:div>
    <w:div w:id="261307880">
      <w:bodyDiv w:val="1"/>
      <w:marLeft w:val="0"/>
      <w:marRight w:val="0"/>
      <w:marTop w:val="0"/>
      <w:marBottom w:val="0"/>
      <w:divBdr>
        <w:top w:val="none" w:sz="0" w:space="0" w:color="auto"/>
        <w:left w:val="none" w:sz="0" w:space="0" w:color="auto"/>
        <w:bottom w:val="none" w:sz="0" w:space="0" w:color="auto"/>
        <w:right w:val="none" w:sz="0" w:space="0" w:color="auto"/>
      </w:divBdr>
    </w:div>
    <w:div w:id="264072649">
      <w:bodyDiv w:val="1"/>
      <w:marLeft w:val="0"/>
      <w:marRight w:val="0"/>
      <w:marTop w:val="0"/>
      <w:marBottom w:val="0"/>
      <w:divBdr>
        <w:top w:val="none" w:sz="0" w:space="0" w:color="auto"/>
        <w:left w:val="none" w:sz="0" w:space="0" w:color="auto"/>
        <w:bottom w:val="none" w:sz="0" w:space="0" w:color="auto"/>
        <w:right w:val="none" w:sz="0" w:space="0" w:color="auto"/>
      </w:divBdr>
    </w:div>
    <w:div w:id="265426364">
      <w:bodyDiv w:val="1"/>
      <w:marLeft w:val="0"/>
      <w:marRight w:val="0"/>
      <w:marTop w:val="0"/>
      <w:marBottom w:val="0"/>
      <w:divBdr>
        <w:top w:val="none" w:sz="0" w:space="0" w:color="auto"/>
        <w:left w:val="none" w:sz="0" w:space="0" w:color="auto"/>
        <w:bottom w:val="none" w:sz="0" w:space="0" w:color="auto"/>
        <w:right w:val="none" w:sz="0" w:space="0" w:color="auto"/>
      </w:divBdr>
    </w:div>
    <w:div w:id="269357210">
      <w:bodyDiv w:val="1"/>
      <w:marLeft w:val="0"/>
      <w:marRight w:val="0"/>
      <w:marTop w:val="0"/>
      <w:marBottom w:val="0"/>
      <w:divBdr>
        <w:top w:val="none" w:sz="0" w:space="0" w:color="auto"/>
        <w:left w:val="none" w:sz="0" w:space="0" w:color="auto"/>
        <w:bottom w:val="none" w:sz="0" w:space="0" w:color="auto"/>
        <w:right w:val="none" w:sz="0" w:space="0" w:color="auto"/>
      </w:divBdr>
    </w:div>
    <w:div w:id="274094068">
      <w:bodyDiv w:val="1"/>
      <w:marLeft w:val="0"/>
      <w:marRight w:val="0"/>
      <w:marTop w:val="0"/>
      <w:marBottom w:val="0"/>
      <w:divBdr>
        <w:top w:val="none" w:sz="0" w:space="0" w:color="auto"/>
        <w:left w:val="none" w:sz="0" w:space="0" w:color="auto"/>
        <w:bottom w:val="none" w:sz="0" w:space="0" w:color="auto"/>
        <w:right w:val="none" w:sz="0" w:space="0" w:color="auto"/>
      </w:divBdr>
    </w:div>
    <w:div w:id="274795601">
      <w:bodyDiv w:val="1"/>
      <w:marLeft w:val="0"/>
      <w:marRight w:val="0"/>
      <w:marTop w:val="0"/>
      <w:marBottom w:val="0"/>
      <w:divBdr>
        <w:top w:val="none" w:sz="0" w:space="0" w:color="auto"/>
        <w:left w:val="none" w:sz="0" w:space="0" w:color="auto"/>
        <w:bottom w:val="none" w:sz="0" w:space="0" w:color="auto"/>
        <w:right w:val="none" w:sz="0" w:space="0" w:color="auto"/>
      </w:divBdr>
    </w:div>
    <w:div w:id="275796517">
      <w:bodyDiv w:val="1"/>
      <w:marLeft w:val="0"/>
      <w:marRight w:val="0"/>
      <w:marTop w:val="0"/>
      <w:marBottom w:val="0"/>
      <w:divBdr>
        <w:top w:val="none" w:sz="0" w:space="0" w:color="auto"/>
        <w:left w:val="none" w:sz="0" w:space="0" w:color="auto"/>
        <w:bottom w:val="none" w:sz="0" w:space="0" w:color="auto"/>
        <w:right w:val="none" w:sz="0" w:space="0" w:color="auto"/>
      </w:divBdr>
    </w:div>
    <w:div w:id="275870845">
      <w:bodyDiv w:val="1"/>
      <w:marLeft w:val="0"/>
      <w:marRight w:val="0"/>
      <w:marTop w:val="0"/>
      <w:marBottom w:val="0"/>
      <w:divBdr>
        <w:top w:val="none" w:sz="0" w:space="0" w:color="auto"/>
        <w:left w:val="none" w:sz="0" w:space="0" w:color="auto"/>
        <w:bottom w:val="none" w:sz="0" w:space="0" w:color="auto"/>
        <w:right w:val="none" w:sz="0" w:space="0" w:color="auto"/>
      </w:divBdr>
    </w:div>
    <w:div w:id="276451917">
      <w:bodyDiv w:val="1"/>
      <w:marLeft w:val="0"/>
      <w:marRight w:val="0"/>
      <w:marTop w:val="0"/>
      <w:marBottom w:val="0"/>
      <w:divBdr>
        <w:top w:val="none" w:sz="0" w:space="0" w:color="auto"/>
        <w:left w:val="none" w:sz="0" w:space="0" w:color="auto"/>
        <w:bottom w:val="none" w:sz="0" w:space="0" w:color="auto"/>
        <w:right w:val="none" w:sz="0" w:space="0" w:color="auto"/>
      </w:divBdr>
    </w:div>
    <w:div w:id="276567673">
      <w:bodyDiv w:val="1"/>
      <w:marLeft w:val="0"/>
      <w:marRight w:val="0"/>
      <w:marTop w:val="0"/>
      <w:marBottom w:val="0"/>
      <w:divBdr>
        <w:top w:val="none" w:sz="0" w:space="0" w:color="auto"/>
        <w:left w:val="none" w:sz="0" w:space="0" w:color="auto"/>
        <w:bottom w:val="none" w:sz="0" w:space="0" w:color="auto"/>
        <w:right w:val="none" w:sz="0" w:space="0" w:color="auto"/>
      </w:divBdr>
    </w:div>
    <w:div w:id="278729062">
      <w:bodyDiv w:val="1"/>
      <w:marLeft w:val="0"/>
      <w:marRight w:val="0"/>
      <w:marTop w:val="0"/>
      <w:marBottom w:val="0"/>
      <w:divBdr>
        <w:top w:val="none" w:sz="0" w:space="0" w:color="auto"/>
        <w:left w:val="none" w:sz="0" w:space="0" w:color="auto"/>
        <w:bottom w:val="none" w:sz="0" w:space="0" w:color="auto"/>
        <w:right w:val="none" w:sz="0" w:space="0" w:color="auto"/>
      </w:divBdr>
    </w:div>
    <w:div w:id="281157308">
      <w:bodyDiv w:val="1"/>
      <w:marLeft w:val="0"/>
      <w:marRight w:val="0"/>
      <w:marTop w:val="0"/>
      <w:marBottom w:val="0"/>
      <w:divBdr>
        <w:top w:val="none" w:sz="0" w:space="0" w:color="auto"/>
        <w:left w:val="none" w:sz="0" w:space="0" w:color="auto"/>
        <w:bottom w:val="none" w:sz="0" w:space="0" w:color="auto"/>
        <w:right w:val="none" w:sz="0" w:space="0" w:color="auto"/>
      </w:divBdr>
    </w:div>
    <w:div w:id="284041430">
      <w:bodyDiv w:val="1"/>
      <w:marLeft w:val="0"/>
      <w:marRight w:val="0"/>
      <w:marTop w:val="0"/>
      <w:marBottom w:val="0"/>
      <w:divBdr>
        <w:top w:val="none" w:sz="0" w:space="0" w:color="auto"/>
        <w:left w:val="none" w:sz="0" w:space="0" w:color="auto"/>
        <w:bottom w:val="none" w:sz="0" w:space="0" w:color="auto"/>
        <w:right w:val="none" w:sz="0" w:space="0" w:color="auto"/>
      </w:divBdr>
    </w:div>
    <w:div w:id="285355078">
      <w:bodyDiv w:val="1"/>
      <w:marLeft w:val="0"/>
      <w:marRight w:val="0"/>
      <w:marTop w:val="0"/>
      <w:marBottom w:val="0"/>
      <w:divBdr>
        <w:top w:val="none" w:sz="0" w:space="0" w:color="auto"/>
        <w:left w:val="none" w:sz="0" w:space="0" w:color="auto"/>
        <w:bottom w:val="none" w:sz="0" w:space="0" w:color="auto"/>
        <w:right w:val="none" w:sz="0" w:space="0" w:color="auto"/>
      </w:divBdr>
    </w:div>
    <w:div w:id="291446783">
      <w:bodyDiv w:val="1"/>
      <w:marLeft w:val="0"/>
      <w:marRight w:val="0"/>
      <w:marTop w:val="0"/>
      <w:marBottom w:val="0"/>
      <w:divBdr>
        <w:top w:val="none" w:sz="0" w:space="0" w:color="auto"/>
        <w:left w:val="none" w:sz="0" w:space="0" w:color="auto"/>
        <w:bottom w:val="none" w:sz="0" w:space="0" w:color="auto"/>
        <w:right w:val="none" w:sz="0" w:space="0" w:color="auto"/>
      </w:divBdr>
    </w:div>
    <w:div w:id="294022631">
      <w:bodyDiv w:val="1"/>
      <w:marLeft w:val="0"/>
      <w:marRight w:val="0"/>
      <w:marTop w:val="0"/>
      <w:marBottom w:val="0"/>
      <w:divBdr>
        <w:top w:val="none" w:sz="0" w:space="0" w:color="auto"/>
        <w:left w:val="none" w:sz="0" w:space="0" w:color="auto"/>
        <w:bottom w:val="none" w:sz="0" w:space="0" w:color="auto"/>
        <w:right w:val="none" w:sz="0" w:space="0" w:color="auto"/>
      </w:divBdr>
    </w:div>
    <w:div w:id="295137916">
      <w:bodyDiv w:val="1"/>
      <w:marLeft w:val="0"/>
      <w:marRight w:val="0"/>
      <w:marTop w:val="0"/>
      <w:marBottom w:val="0"/>
      <w:divBdr>
        <w:top w:val="none" w:sz="0" w:space="0" w:color="auto"/>
        <w:left w:val="none" w:sz="0" w:space="0" w:color="auto"/>
        <w:bottom w:val="none" w:sz="0" w:space="0" w:color="auto"/>
        <w:right w:val="none" w:sz="0" w:space="0" w:color="auto"/>
      </w:divBdr>
    </w:div>
    <w:div w:id="296498474">
      <w:bodyDiv w:val="1"/>
      <w:marLeft w:val="0"/>
      <w:marRight w:val="0"/>
      <w:marTop w:val="0"/>
      <w:marBottom w:val="0"/>
      <w:divBdr>
        <w:top w:val="none" w:sz="0" w:space="0" w:color="auto"/>
        <w:left w:val="none" w:sz="0" w:space="0" w:color="auto"/>
        <w:bottom w:val="none" w:sz="0" w:space="0" w:color="auto"/>
        <w:right w:val="none" w:sz="0" w:space="0" w:color="auto"/>
      </w:divBdr>
    </w:div>
    <w:div w:id="297226357">
      <w:bodyDiv w:val="1"/>
      <w:marLeft w:val="0"/>
      <w:marRight w:val="0"/>
      <w:marTop w:val="0"/>
      <w:marBottom w:val="0"/>
      <w:divBdr>
        <w:top w:val="none" w:sz="0" w:space="0" w:color="auto"/>
        <w:left w:val="none" w:sz="0" w:space="0" w:color="auto"/>
        <w:bottom w:val="none" w:sz="0" w:space="0" w:color="auto"/>
        <w:right w:val="none" w:sz="0" w:space="0" w:color="auto"/>
      </w:divBdr>
    </w:div>
    <w:div w:id="300623784">
      <w:bodyDiv w:val="1"/>
      <w:marLeft w:val="0"/>
      <w:marRight w:val="0"/>
      <w:marTop w:val="0"/>
      <w:marBottom w:val="0"/>
      <w:divBdr>
        <w:top w:val="none" w:sz="0" w:space="0" w:color="auto"/>
        <w:left w:val="none" w:sz="0" w:space="0" w:color="auto"/>
        <w:bottom w:val="none" w:sz="0" w:space="0" w:color="auto"/>
        <w:right w:val="none" w:sz="0" w:space="0" w:color="auto"/>
      </w:divBdr>
    </w:div>
    <w:div w:id="304046565">
      <w:bodyDiv w:val="1"/>
      <w:marLeft w:val="0"/>
      <w:marRight w:val="0"/>
      <w:marTop w:val="0"/>
      <w:marBottom w:val="0"/>
      <w:divBdr>
        <w:top w:val="none" w:sz="0" w:space="0" w:color="auto"/>
        <w:left w:val="none" w:sz="0" w:space="0" w:color="auto"/>
        <w:bottom w:val="none" w:sz="0" w:space="0" w:color="auto"/>
        <w:right w:val="none" w:sz="0" w:space="0" w:color="auto"/>
      </w:divBdr>
    </w:div>
    <w:div w:id="304165191">
      <w:bodyDiv w:val="1"/>
      <w:marLeft w:val="0"/>
      <w:marRight w:val="0"/>
      <w:marTop w:val="0"/>
      <w:marBottom w:val="0"/>
      <w:divBdr>
        <w:top w:val="none" w:sz="0" w:space="0" w:color="auto"/>
        <w:left w:val="none" w:sz="0" w:space="0" w:color="auto"/>
        <w:bottom w:val="none" w:sz="0" w:space="0" w:color="auto"/>
        <w:right w:val="none" w:sz="0" w:space="0" w:color="auto"/>
      </w:divBdr>
    </w:div>
    <w:div w:id="308823985">
      <w:bodyDiv w:val="1"/>
      <w:marLeft w:val="0"/>
      <w:marRight w:val="0"/>
      <w:marTop w:val="0"/>
      <w:marBottom w:val="0"/>
      <w:divBdr>
        <w:top w:val="none" w:sz="0" w:space="0" w:color="auto"/>
        <w:left w:val="none" w:sz="0" w:space="0" w:color="auto"/>
        <w:bottom w:val="none" w:sz="0" w:space="0" w:color="auto"/>
        <w:right w:val="none" w:sz="0" w:space="0" w:color="auto"/>
      </w:divBdr>
    </w:div>
    <w:div w:id="312568194">
      <w:bodyDiv w:val="1"/>
      <w:marLeft w:val="0"/>
      <w:marRight w:val="0"/>
      <w:marTop w:val="0"/>
      <w:marBottom w:val="0"/>
      <w:divBdr>
        <w:top w:val="none" w:sz="0" w:space="0" w:color="auto"/>
        <w:left w:val="none" w:sz="0" w:space="0" w:color="auto"/>
        <w:bottom w:val="none" w:sz="0" w:space="0" w:color="auto"/>
        <w:right w:val="none" w:sz="0" w:space="0" w:color="auto"/>
      </w:divBdr>
    </w:div>
    <w:div w:id="313143651">
      <w:bodyDiv w:val="1"/>
      <w:marLeft w:val="0"/>
      <w:marRight w:val="0"/>
      <w:marTop w:val="0"/>
      <w:marBottom w:val="0"/>
      <w:divBdr>
        <w:top w:val="none" w:sz="0" w:space="0" w:color="auto"/>
        <w:left w:val="none" w:sz="0" w:space="0" w:color="auto"/>
        <w:bottom w:val="none" w:sz="0" w:space="0" w:color="auto"/>
        <w:right w:val="none" w:sz="0" w:space="0" w:color="auto"/>
      </w:divBdr>
    </w:div>
    <w:div w:id="313343354">
      <w:bodyDiv w:val="1"/>
      <w:marLeft w:val="0"/>
      <w:marRight w:val="0"/>
      <w:marTop w:val="0"/>
      <w:marBottom w:val="0"/>
      <w:divBdr>
        <w:top w:val="none" w:sz="0" w:space="0" w:color="auto"/>
        <w:left w:val="none" w:sz="0" w:space="0" w:color="auto"/>
        <w:bottom w:val="none" w:sz="0" w:space="0" w:color="auto"/>
        <w:right w:val="none" w:sz="0" w:space="0" w:color="auto"/>
      </w:divBdr>
    </w:div>
    <w:div w:id="317196377">
      <w:bodyDiv w:val="1"/>
      <w:marLeft w:val="0"/>
      <w:marRight w:val="0"/>
      <w:marTop w:val="0"/>
      <w:marBottom w:val="0"/>
      <w:divBdr>
        <w:top w:val="none" w:sz="0" w:space="0" w:color="auto"/>
        <w:left w:val="none" w:sz="0" w:space="0" w:color="auto"/>
        <w:bottom w:val="none" w:sz="0" w:space="0" w:color="auto"/>
        <w:right w:val="none" w:sz="0" w:space="0" w:color="auto"/>
      </w:divBdr>
    </w:div>
    <w:div w:id="318001783">
      <w:bodyDiv w:val="1"/>
      <w:marLeft w:val="0"/>
      <w:marRight w:val="0"/>
      <w:marTop w:val="0"/>
      <w:marBottom w:val="0"/>
      <w:divBdr>
        <w:top w:val="none" w:sz="0" w:space="0" w:color="auto"/>
        <w:left w:val="none" w:sz="0" w:space="0" w:color="auto"/>
        <w:bottom w:val="none" w:sz="0" w:space="0" w:color="auto"/>
        <w:right w:val="none" w:sz="0" w:space="0" w:color="auto"/>
      </w:divBdr>
    </w:div>
    <w:div w:id="319188953">
      <w:bodyDiv w:val="1"/>
      <w:marLeft w:val="0"/>
      <w:marRight w:val="0"/>
      <w:marTop w:val="0"/>
      <w:marBottom w:val="0"/>
      <w:divBdr>
        <w:top w:val="none" w:sz="0" w:space="0" w:color="auto"/>
        <w:left w:val="none" w:sz="0" w:space="0" w:color="auto"/>
        <w:bottom w:val="none" w:sz="0" w:space="0" w:color="auto"/>
        <w:right w:val="none" w:sz="0" w:space="0" w:color="auto"/>
      </w:divBdr>
    </w:div>
    <w:div w:id="319237005">
      <w:bodyDiv w:val="1"/>
      <w:marLeft w:val="0"/>
      <w:marRight w:val="0"/>
      <w:marTop w:val="0"/>
      <w:marBottom w:val="0"/>
      <w:divBdr>
        <w:top w:val="none" w:sz="0" w:space="0" w:color="auto"/>
        <w:left w:val="none" w:sz="0" w:space="0" w:color="auto"/>
        <w:bottom w:val="none" w:sz="0" w:space="0" w:color="auto"/>
        <w:right w:val="none" w:sz="0" w:space="0" w:color="auto"/>
      </w:divBdr>
    </w:div>
    <w:div w:id="320039025">
      <w:bodyDiv w:val="1"/>
      <w:marLeft w:val="0"/>
      <w:marRight w:val="0"/>
      <w:marTop w:val="0"/>
      <w:marBottom w:val="0"/>
      <w:divBdr>
        <w:top w:val="none" w:sz="0" w:space="0" w:color="auto"/>
        <w:left w:val="none" w:sz="0" w:space="0" w:color="auto"/>
        <w:bottom w:val="none" w:sz="0" w:space="0" w:color="auto"/>
        <w:right w:val="none" w:sz="0" w:space="0" w:color="auto"/>
      </w:divBdr>
    </w:div>
    <w:div w:id="320741826">
      <w:bodyDiv w:val="1"/>
      <w:marLeft w:val="0"/>
      <w:marRight w:val="0"/>
      <w:marTop w:val="0"/>
      <w:marBottom w:val="0"/>
      <w:divBdr>
        <w:top w:val="none" w:sz="0" w:space="0" w:color="auto"/>
        <w:left w:val="none" w:sz="0" w:space="0" w:color="auto"/>
        <w:bottom w:val="none" w:sz="0" w:space="0" w:color="auto"/>
        <w:right w:val="none" w:sz="0" w:space="0" w:color="auto"/>
      </w:divBdr>
    </w:div>
    <w:div w:id="320889308">
      <w:bodyDiv w:val="1"/>
      <w:marLeft w:val="0"/>
      <w:marRight w:val="0"/>
      <w:marTop w:val="0"/>
      <w:marBottom w:val="0"/>
      <w:divBdr>
        <w:top w:val="none" w:sz="0" w:space="0" w:color="auto"/>
        <w:left w:val="none" w:sz="0" w:space="0" w:color="auto"/>
        <w:bottom w:val="none" w:sz="0" w:space="0" w:color="auto"/>
        <w:right w:val="none" w:sz="0" w:space="0" w:color="auto"/>
      </w:divBdr>
    </w:div>
    <w:div w:id="321395006">
      <w:bodyDiv w:val="1"/>
      <w:marLeft w:val="0"/>
      <w:marRight w:val="0"/>
      <w:marTop w:val="0"/>
      <w:marBottom w:val="0"/>
      <w:divBdr>
        <w:top w:val="none" w:sz="0" w:space="0" w:color="auto"/>
        <w:left w:val="none" w:sz="0" w:space="0" w:color="auto"/>
        <w:bottom w:val="none" w:sz="0" w:space="0" w:color="auto"/>
        <w:right w:val="none" w:sz="0" w:space="0" w:color="auto"/>
      </w:divBdr>
    </w:div>
    <w:div w:id="323701991">
      <w:bodyDiv w:val="1"/>
      <w:marLeft w:val="0"/>
      <w:marRight w:val="0"/>
      <w:marTop w:val="0"/>
      <w:marBottom w:val="0"/>
      <w:divBdr>
        <w:top w:val="none" w:sz="0" w:space="0" w:color="auto"/>
        <w:left w:val="none" w:sz="0" w:space="0" w:color="auto"/>
        <w:bottom w:val="none" w:sz="0" w:space="0" w:color="auto"/>
        <w:right w:val="none" w:sz="0" w:space="0" w:color="auto"/>
      </w:divBdr>
    </w:div>
    <w:div w:id="324163498">
      <w:bodyDiv w:val="1"/>
      <w:marLeft w:val="0"/>
      <w:marRight w:val="0"/>
      <w:marTop w:val="0"/>
      <w:marBottom w:val="0"/>
      <w:divBdr>
        <w:top w:val="none" w:sz="0" w:space="0" w:color="auto"/>
        <w:left w:val="none" w:sz="0" w:space="0" w:color="auto"/>
        <w:bottom w:val="none" w:sz="0" w:space="0" w:color="auto"/>
        <w:right w:val="none" w:sz="0" w:space="0" w:color="auto"/>
      </w:divBdr>
    </w:div>
    <w:div w:id="325862162">
      <w:bodyDiv w:val="1"/>
      <w:marLeft w:val="0"/>
      <w:marRight w:val="0"/>
      <w:marTop w:val="0"/>
      <w:marBottom w:val="0"/>
      <w:divBdr>
        <w:top w:val="none" w:sz="0" w:space="0" w:color="auto"/>
        <w:left w:val="none" w:sz="0" w:space="0" w:color="auto"/>
        <w:bottom w:val="none" w:sz="0" w:space="0" w:color="auto"/>
        <w:right w:val="none" w:sz="0" w:space="0" w:color="auto"/>
      </w:divBdr>
    </w:div>
    <w:div w:id="325941395">
      <w:bodyDiv w:val="1"/>
      <w:marLeft w:val="0"/>
      <w:marRight w:val="0"/>
      <w:marTop w:val="0"/>
      <w:marBottom w:val="0"/>
      <w:divBdr>
        <w:top w:val="none" w:sz="0" w:space="0" w:color="auto"/>
        <w:left w:val="none" w:sz="0" w:space="0" w:color="auto"/>
        <w:bottom w:val="none" w:sz="0" w:space="0" w:color="auto"/>
        <w:right w:val="none" w:sz="0" w:space="0" w:color="auto"/>
      </w:divBdr>
    </w:div>
    <w:div w:id="326860340">
      <w:bodyDiv w:val="1"/>
      <w:marLeft w:val="0"/>
      <w:marRight w:val="0"/>
      <w:marTop w:val="0"/>
      <w:marBottom w:val="0"/>
      <w:divBdr>
        <w:top w:val="none" w:sz="0" w:space="0" w:color="auto"/>
        <w:left w:val="none" w:sz="0" w:space="0" w:color="auto"/>
        <w:bottom w:val="none" w:sz="0" w:space="0" w:color="auto"/>
        <w:right w:val="none" w:sz="0" w:space="0" w:color="auto"/>
      </w:divBdr>
    </w:div>
    <w:div w:id="331835246">
      <w:bodyDiv w:val="1"/>
      <w:marLeft w:val="0"/>
      <w:marRight w:val="0"/>
      <w:marTop w:val="0"/>
      <w:marBottom w:val="0"/>
      <w:divBdr>
        <w:top w:val="none" w:sz="0" w:space="0" w:color="auto"/>
        <w:left w:val="none" w:sz="0" w:space="0" w:color="auto"/>
        <w:bottom w:val="none" w:sz="0" w:space="0" w:color="auto"/>
        <w:right w:val="none" w:sz="0" w:space="0" w:color="auto"/>
      </w:divBdr>
    </w:div>
    <w:div w:id="332029705">
      <w:bodyDiv w:val="1"/>
      <w:marLeft w:val="0"/>
      <w:marRight w:val="0"/>
      <w:marTop w:val="0"/>
      <w:marBottom w:val="0"/>
      <w:divBdr>
        <w:top w:val="none" w:sz="0" w:space="0" w:color="auto"/>
        <w:left w:val="none" w:sz="0" w:space="0" w:color="auto"/>
        <w:bottom w:val="none" w:sz="0" w:space="0" w:color="auto"/>
        <w:right w:val="none" w:sz="0" w:space="0" w:color="auto"/>
      </w:divBdr>
    </w:div>
    <w:div w:id="333264233">
      <w:bodyDiv w:val="1"/>
      <w:marLeft w:val="0"/>
      <w:marRight w:val="0"/>
      <w:marTop w:val="0"/>
      <w:marBottom w:val="0"/>
      <w:divBdr>
        <w:top w:val="none" w:sz="0" w:space="0" w:color="auto"/>
        <w:left w:val="none" w:sz="0" w:space="0" w:color="auto"/>
        <w:bottom w:val="none" w:sz="0" w:space="0" w:color="auto"/>
        <w:right w:val="none" w:sz="0" w:space="0" w:color="auto"/>
      </w:divBdr>
    </w:div>
    <w:div w:id="333579347">
      <w:bodyDiv w:val="1"/>
      <w:marLeft w:val="0"/>
      <w:marRight w:val="0"/>
      <w:marTop w:val="0"/>
      <w:marBottom w:val="0"/>
      <w:divBdr>
        <w:top w:val="none" w:sz="0" w:space="0" w:color="auto"/>
        <w:left w:val="none" w:sz="0" w:space="0" w:color="auto"/>
        <w:bottom w:val="none" w:sz="0" w:space="0" w:color="auto"/>
        <w:right w:val="none" w:sz="0" w:space="0" w:color="auto"/>
      </w:divBdr>
    </w:div>
    <w:div w:id="335303649">
      <w:bodyDiv w:val="1"/>
      <w:marLeft w:val="0"/>
      <w:marRight w:val="0"/>
      <w:marTop w:val="0"/>
      <w:marBottom w:val="0"/>
      <w:divBdr>
        <w:top w:val="none" w:sz="0" w:space="0" w:color="auto"/>
        <w:left w:val="none" w:sz="0" w:space="0" w:color="auto"/>
        <w:bottom w:val="none" w:sz="0" w:space="0" w:color="auto"/>
        <w:right w:val="none" w:sz="0" w:space="0" w:color="auto"/>
      </w:divBdr>
    </w:div>
    <w:div w:id="342904001">
      <w:bodyDiv w:val="1"/>
      <w:marLeft w:val="0"/>
      <w:marRight w:val="0"/>
      <w:marTop w:val="0"/>
      <w:marBottom w:val="0"/>
      <w:divBdr>
        <w:top w:val="none" w:sz="0" w:space="0" w:color="auto"/>
        <w:left w:val="none" w:sz="0" w:space="0" w:color="auto"/>
        <w:bottom w:val="none" w:sz="0" w:space="0" w:color="auto"/>
        <w:right w:val="none" w:sz="0" w:space="0" w:color="auto"/>
      </w:divBdr>
    </w:div>
    <w:div w:id="343553853">
      <w:bodyDiv w:val="1"/>
      <w:marLeft w:val="0"/>
      <w:marRight w:val="0"/>
      <w:marTop w:val="0"/>
      <w:marBottom w:val="0"/>
      <w:divBdr>
        <w:top w:val="none" w:sz="0" w:space="0" w:color="auto"/>
        <w:left w:val="none" w:sz="0" w:space="0" w:color="auto"/>
        <w:bottom w:val="none" w:sz="0" w:space="0" w:color="auto"/>
        <w:right w:val="none" w:sz="0" w:space="0" w:color="auto"/>
      </w:divBdr>
    </w:div>
    <w:div w:id="344406904">
      <w:bodyDiv w:val="1"/>
      <w:marLeft w:val="0"/>
      <w:marRight w:val="0"/>
      <w:marTop w:val="0"/>
      <w:marBottom w:val="0"/>
      <w:divBdr>
        <w:top w:val="none" w:sz="0" w:space="0" w:color="auto"/>
        <w:left w:val="none" w:sz="0" w:space="0" w:color="auto"/>
        <w:bottom w:val="none" w:sz="0" w:space="0" w:color="auto"/>
        <w:right w:val="none" w:sz="0" w:space="0" w:color="auto"/>
      </w:divBdr>
    </w:div>
    <w:div w:id="345866013">
      <w:bodyDiv w:val="1"/>
      <w:marLeft w:val="0"/>
      <w:marRight w:val="0"/>
      <w:marTop w:val="0"/>
      <w:marBottom w:val="0"/>
      <w:divBdr>
        <w:top w:val="none" w:sz="0" w:space="0" w:color="auto"/>
        <w:left w:val="none" w:sz="0" w:space="0" w:color="auto"/>
        <w:bottom w:val="none" w:sz="0" w:space="0" w:color="auto"/>
        <w:right w:val="none" w:sz="0" w:space="0" w:color="auto"/>
      </w:divBdr>
    </w:div>
    <w:div w:id="346175233">
      <w:bodyDiv w:val="1"/>
      <w:marLeft w:val="0"/>
      <w:marRight w:val="0"/>
      <w:marTop w:val="0"/>
      <w:marBottom w:val="0"/>
      <w:divBdr>
        <w:top w:val="none" w:sz="0" w:space="0" w:color="auto"/>
        <w:left w:val="none" w:sz="0" w:space="0" w:color="auto"/>
        <w:bottom w:val="none" w:sz="0" w:space="0" w:color="auto"/>
        <w:right w:val="none" w:sz="0" w:space="0" w:color="auto"/>
      </w:divBdr>
    </w:div>
    <w:div w:id="346828201">
      <w:bodyDiv w:val="1"/>
      <w:marLeft w:val="0"/>
      <w:marRight w:val="0"/>
      <w:marTop w:val="0"/>
      <w:marBottom w:val="0"/>
      <w:divBdr>
        <w:top w:val="none" w:sz="0" w:space="0" w:color="auto"/>
        <w:left w:val="none" w:sz="0" w:space="0" w:color="auto"/>
        <w:bottom w:val="none" w:sz="0" w:space="0" w:color="auto"/>
        <w:right w:val="none" w:sz="0" w:space="0" w:color="auto"/>
      </w:divBdr>
    </w:div>
    <w:div w:id="347562316">
      <w:bodyDiv w:val="1"/>
      <w:marLeft w:val="0"/>
      <w:marRight w:val="0"/>
      <w:marTop w:val="0"/>
      <w:marBottom w:val="0"/>
      <w:divBdr>
        <w:top w:val="none" w:sz="0" w:space="0" w:color="auto"/>
        <w:left w:val="none" w:sz="0" w:space="0" w:color="auto"/>
        <w:bottom w:val="none" w:sz="0" w:space="0" w:color="auto"/>
        <w:right w:val="none" w:sz="0" w:space="0" w:color="auto"/>
      </w:divBdr>
    </w:div>
    <w:div w:id="348336421">
      <w:bodyDiv w:val="1"/>
      <w:marLeft w:val="0"/>
      <w:marRight w:val="0"/>
      <w:marTop w:val="0"/>
      <w:marBottom w:val="0"/>
      <w:divBdr>
        <w:top w:val="none" w:sz="0" w:space="0" w:color="auto"/>
        <w:left w:val="none" w:sz="0" w:space="0" w:color="auto"/>
        <w:bottom w:val="none" w:sz="0" w:space="0" w:color="auto"/>
        <w:right w:val="none" w:sz="0" w:space="0" w:color="auto"/>
      </w:divBdr>
    </w:div>
    <w:div w:id="348528515">
      <w:bodyDiv w:val="1"/>
      <w:marLeft w:val="0"/>
      <w:marRight w:val="0"/>
      <w:marTop w:val="0"/>
      <w:marBottom w:val="0"/>
      <w:divBdr>
        <w:top w:val="none" w:sz="0" w:space="0" w:color="auto"/>
        <w:left w:val="none" w:sz="0" w:space="0" w:color="auto"/>
        <w:bottom w:val="none" w:sz="0" w:space="0" w:color="auto"/>
        <w:right w:val="none" w:sz="0" w:space="0" w:color="auto"/>
      </w:divBdr>
    </w:div>
    <w:div w:id="350184595">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2535964">
      <w:bodyDiv w:val="1"/>
      <w:marLeft w:val="0"/>
      <w:marRight w:val="0"/>
      <w:marTop w:val="0"/>
      <w:marBottom w:val="0"/>
      <w:divBdr>
        <w:top w:val="none" w:sz="0" w:space="0" w:color="auto"/>
        <w:left w:val="none" w:sz="0" w:space="0" w:color="auto"/>
        <w:bottom w:val="none" w:sz="0" w:space="0" w:color="auto"/>
        <w:right w:val="none" w:sz="0" w:space="0" w:color="auto"/>
      </w:divBdr>
    </w:div>
    <w:div w:id="353194929">
      <w:bodyDiv w:val="1"/>
      <w:marLeft w:val="0"/>
      <w:marRight w:val="0"/>
      <w:marTop w:val="0"/>
      <w:marBottom w:val="0"/>
      <w:divBdr>
        <w:top w:val="none" w:sz="0" w:space="0" w:color="auto"/>
        <w:left w:val="none" w:sz="0" w:space="0" w:color="auto"/>
        <w:bottom w:val="none" w:sz="0" w:space="0" w:color="auto"/>
        <w:right w:val="none" w:sz="0" w:space="0" w:color="auto"/>
      </w:divBdr>
    </w:div>
    <w:div w:id="354354386">
      <w:bodyDiv w:val="1"/>
      <w:marLeft w:val="0"/>
      <w:marRight w:val="0"/>
      <w:marTop w:val="0"/>
      <w:marBottom w:val="0"/>
      <w:divBdr>
        <w:top w:val="none" w:sz="0" w:space="0" w:color="auto"/>
        <w:left w:val="none" w:sz="0" w:space="0" w:color="auto"/>
        <w:bottom w:val="none" w:sz="0" w:space="0" w:color="auto"/>
        <w:right w:val="none" w:sz="0" w:space="0" w:color="auto"/>
      </w:divBdr>
    </w:div>
    <w:div w:id="355422720">
      <w:bodyDiv w:val="1"/>
      <w:marLeft w:val="0"/>
      <w:marRight w:val="0"/>
      <w:marTop w:val="0"/>
      <w:marBottom w:val="0"/>
      <w:divBdr>
        <w:top w:val="none" w:sz="0" w:space="0" w:color="auto"/>
        <w:left w:val="none" w:sz="0" w:space="0" w:color="auto"/>
        <w:bottom w:val="none" w:sz="0" w:space="0" w:color="auto"/>
        <w:right w:val="none" w:sz="0" w:space="0" w:color="auto"/>
      </w:divBdr>
    </w:div>
    <w:div w:id="357971374">
      <w:bodyDiv w:val="1"/>
      <w:marLeft w:val="0"/>
      <w:marRight w:val="0"/>
      <w:marTop w:val="0"/>
      <w:marBottom w:val="0"/>
      <w:divBdr>
        <w:top w:val="none" w:sz="0" w:space="0" w:color="auto"/>
        <w:left w:val="none" w:sz="0" w:space="0" w:color="auto"/>
        <w:bottom w:val="none" w:sz="0" w:space="0" w:color="auto"/>
        <w:right w:val="none" w:sz="0" w:space="0" w:color="auto"/>
      </w:divBdr>
    </w:div>
    <w:div w:id="361906333">
      <w:bodyDiv w:val="1"/>
      <w:marLeft w:val="0"/>
      <w:marRight w:val="0"/>
      <w:marTop w:val="0"/>
      <w:marBottom w:val="0"/>
      <w:divBdr>
        <w:top w:val="none" w:sz="0" w:space="0" w:color="auto"/>
        <w:left w:val="none" w:sz="0" w:space="0" w:color="auto"/>
        <w:bottom w:val="none" w:sz="0" w:space="0" w:color="auto"/>
        <w:right w:val="none" w:sz="0" w:space="0" w:color="auto"/>
      </w:divBdr>
    </w:div>
    <w:div w:id="362369667">
      <w:bodyDiv w:val="1"/>
      <w:marLeft w:val="0"/>
      <w:marRight w:val="0"/>
      <w:marTop w:val="0"/>
      <w:marBottom w:val="0"/>
      <w:divBdr>
        <w:top w:val="none" w:sz="0" w:space="0" w:color="auto"/>
        <w:left w:val="none" w:sz="0" w:space="0" w:color="auto"/>
        <w:bottom w:val="none" w:sz="0" w:space="0" w:color="auto"/>
        <w:right w:val="none" w:sz="0" w:space="0" w:color="auto"/>
      </w:divBdr>
    </w:div>
    <w:div w:id="365372586">
      <w:bodyDiv w:val="1"/>
      <w:marLeft w:val="0"/>
      <w:marRight w:val="0"/>
      <w:marTop w:val="0"/>
      <w:marBottom w:val="0"/>
      <w:divBdr>
        <w:top w:val="none" w:sz="0" w:space="0" w:color="auto"/>
        <w:left w:val="none" w:sz="0" w:space="0" w:color="auto"/>
        <w:bottom w:val="none" w:sz="0" w:space="0" w:color="auto"/>
        <w:right w:val="none" w:sz="0" w:space="0" w:color="auto"/>
      </w:divBdr>
    </w:div>
    <w:div w:id="366102309">
      <w:bodyDiv w:val="1"/>
      <w:marLeft w:val="0"/>
      <w:marRight w:val="0"/>
      <w:marTop w:val="0"/>
      <w:marBottom w:val="0"/>
      <w:divBdr>
        <w:top w:val="none" w:sz="0" w:space="0" w:color="auto"/>
        <w:left w:val="none" w:sz="0" w:space="0" w:color="auto"/>
        <w:bottom w:val="none" w:sz="0" w:space="0" w:color="auto"/>
        <w:right w:val="none" w:sz="0" w:space="0" w:color="auto"/>
      </w:divBdr>
    </w:div>
    <w:div w:id="366640724">
      <w:bodyDiv w:val="1"/>
      <w:marLeft w:val="0"/>
      <w:marRight w:val="0"/>
      <w:marTop w:val="0"/>
      <w:marBottom w:val="0"/>
      <w:divBdr>
        <w:top w:val="none" w:sz="0" w:space="0" w:color="auto"/>
        <w:left w:val="none" w:sz="0" w:space="0" w:color="auto"/>
        <w:bottom w:val="none" w:sz="0" w:space="0" w:color="auto"/>
        <w:right w:val="none" w:sz="0" w:space="0" w:color="auto"/>
      </w:divBdr>
    </w:div>
    <w:div w:id="369766206">
      <w:bodyDiv w:val="1"/>
      <w:marLeft w:val="0"/>
      <w:marRight w:val="0"/>
      <w:marTop w:val="0"/>
      <w:marBottom w:val="0"/>
      <w:divBdr>
        <w:top w:val="none" w:sz="0" w:space="0" w:color="auto"/>
        <w:left w:val="none" w:sz="0" w:space="0" w:color="auto"/>
        <w:bottom w:val="none" w:sz="0" w:space="0" w:color="auto"/>
        <w:right w:val="none" w:sz="0" w:space="0" w:color="auto"/>
      </w:divBdr>
    </w:div>
    <w:div w:id="371151971">
      <w:bodyDiv w:val="1"/>
      <w:marLeft w:val="0"/>
      <w:marRight w:val="0"/>
      <w:marTop w:val="0"/>
      <w:marBottom w:val="0"/>
      <w:divBdr>
        <w:top w:val="none" w:sz="0" w:space="0" w:color="auto"/>
        <w:left w:val="none" w:sz="0" w:space="0" w:color="auto"/>
        <w:bottom w:val="none" w:sz="0" w:space="0" w:color="auto"/>
        <w:right w:val="none" w:sz="0" w:space="0" w:color="auto"/>
      </w:divBdr>
    </w:div>
    <w:div w:id="375158683">
      <w:bodyDiv w:val="1"/>
      <w:marLeft w:val="0"/>
      <w:marRight w:val="0"/>
      <w:marTop w:val="0"/>
      <w:marBottom w:val="0"/>
      <w:divBdr>
        <w:top w:val="none" w:sz="0" w:space="0" w:color="auto"/>
        <w:left w:val="none" w:sz="0" w:space="0" w:color="auto"/>
        <w:bottom w:val="none" w:sz="0" w:space="0" w:color="auto"/>
        <w:right w:val="none" w:sz="0" w:space="0" w:color="auto"/>
      </w:divBdr>
    </w:div>
    <w:div w:id="375350417">
      <w:bodyDiv w:val="1"/>
      <w:marLeft w:val="0"/>
      <w:marRight w:val="0"/>
      <w:marTop w:val="0"/>
      <w:marBottom w:val="0"/>
      <w:divBdr>
        <w:top w:val="none" w:sz="0" w:space="0" w:color="auto"/>
        <w:left w:val="none" w:sz="0" w:space="0" w:color="auto"/>
        <w:bottom w:val="none" w:sz="0" w:space="0" w:color="auto"/>
        <w:right w:val="none" w:sz="0" w:space="0" w:color="auto"/>
      </w:divBdr>
    </w:div>
    <w:div w:id="376510802">
      <w:bodyDiv w:val="1"/>
      <w:marLeft w:val="0"/>
      <w:marRight w:val="0"/>
      <w:marTop w:val="0"/>
      <w:marBottom w:val="0"/>
      <w:divBdr>
        <w:top w:val="none" w:sz="0" w:space="0" w:color="auto"/>
        <w:left w:val="none" w:sz="0" w:space="0" w:color="auto"/>
        <w:bottom w:val="none" w:sz="0" w:space="0" w:color="auto"/>
        <w:right w:val="none" w:sz="0" w:space="0" w:color="auto"/>
      </w:divBdr>
    </w:div>
    <w:div w:id="378937514">
      <w:bodyDiv w:val="1"/>
      <w:marLeft w:val="0"/>
      <w:marRight w:val="0"/>
      <w:marTop w:val="0"/>
      <w:marBottom w:val="0"/>
      <w:divBdr>
        <w:top w:val="none" w:sz="0" w:space="0" w:color="auto"/>
        <w:left w:val="none" w:sz="0" w:space="0" w:color="auto"/>
        <w:bottom w:val="none" w:sz="0" w:space="0" w:color="auto"/>
        <w:right w:val="none" w:sz="0" w:space="0" w:color="auto"/>
      </w:divBdr>
    </w:div>
    <w:div w:id="380131283">
      <w:bodyDiv w:val="1"/>
      <w:marLeft w:val="0"/>
      <w:marRight w:val="0"/>
      <w:marTop w:val="0"/>
      <w:marBottom w:val="0"/>
      <w:divBdr>
        <w:top w:val="none" w:sz="0" w:space="0" w:color="auto"/>
        <w:left w:val="none" w:sz="0" w:space="0" w:color="auto"/>
        <w:bottom w:val="none" w:sz="0" w:space="0" w:color="auto"/>
        <w:right w:val="none" w:sz="0" w:space="0" w:color="auto"/>
      </w:divBdr>
    </w:div>
    <w:div w:id="384529253">
      <w:bodyDiv w:val="1"/>
      <w:marLeft w:val="0"/>
      <w:marRight w:val="0"/>
      <w:marTop w:val="0"/>
      <w:marBottom w:val="0"/>
      <w:divBdr>
        <w:top w:val="none" w:sz="0" w:space="0" w:color="auto"/>
        <w:left w:val="none" w:sz="0" w:space="0" w:color="auto"/>
        <w:bottom w:val="none" w:sz="0" w:space="0" w:color="auto"/>
        <w:right w:val="none" w:sz="0" w:space="0" w:color="auto"/>
      </w:divBdr>
    </w:div>
    <w:div w:id="388309218">
      <w:bodyDiv w:val="1"/>
      <w:marLeft w:val="0"/>
      <w:marRight w:val="0"/>
      <w:marTop w:val="0"/>
      <w:marBottom w:val="0"/>
      <w:divBdr>
        <w:top w:val="none" w:sz="0" w:space="0" w:color="auto"/>
        <w:left w:val="none" w:sz="0" w:space="0" w:color="auto"/>
        <w:bottom w:val="none" w:sz="0" w:space="0" w:color="auto"/>
        <w:right w:val="none" w:sz="0" w:space="0" w:color="auto"/>
      </w:divBdr>
    </w:div>
    <w:div w:id="389967000">
      <w:bodyDiv w:val="1"/>
      <w:marLeft w:val="0"/>
      <w:marRight w:val="0"/>
      <w:marTop w:val="0"/>
      <w:marBottom w:val="0"/>
      <w:divBdr>
        <w:top w:val="none" w:sz="0" w:space="0" w:color="auto"/>
        <w:left w:val="none" w:sz="0" w:space="0" w:color="auto"/>
        <w:bottom w:val="none" w:sz="0" w:space="0" w:color="auto"/>
        <w:right w:val="none" w:sz="0" w:space="0" w:color="auto"/>
      </w:divBdr>
    </w:div>
    <w:div w:id="390495296">
      <w:bodyDiv w:val="1"/>
      <w:marLeft w:val="0"/>
      <w:marRight w:val="0"/>
      <w:marTop w:val="0"/>
      <w:marBottom w:val="0"/>
      <w:divBdr>
        <w:top w:val="none" w:sz="0" w:space="0" w:color="auto"/>
        <w:left w:val="none" w:sz="0" w:space="0" w:color="auto"/>
        <w:bottom w:val="none" w:sz="0" w:space="0" w:color="auto"/>
        <w:right w:val="none" w:sz="0" w:space="0" w:color="auto"/>
      </w:divBdr>
    </w:div>
    <w:div w:id="391539248">
      <w:bodyDiv w:val="1"/>
      <w:marLeft w:val="0"/>
      <w:marRight w:val="0"/>
      <w:marTop w:val="0"/>
      <w:marBottom w:val="0"/>
      <w:divBdr>
        <w:top w:val="none" w:sz="0" w:space="0" w:color="auto"/>
        <w:left w:val="none" w:sz="0" w:space="0" w:color="auto"/>
        <w:bottom w:val="none" w:sz="0" w:space="0" w:color="auto"/>
        <w:right w:val="none" w:sz="0" w:space="0" w:color="auto"/>
      </w:divBdr>
    </w:div>
    <w:div w:id="392582236">
      <w:bodyDiv w:val="1"/>
      <w:marLeft w:val="0"/>
      <w:marRight w:val="0"/>
      <w:marTop w:val="0"/>
      <w:marBottom w:val="0"/>
      <w:divBdr>
        <w:top w:val="none" w:sz="0" w:space="0" w:color="auto"/>
        <w:left w:val="none" w:sz="0" w:space="0" w:color="auto"/>
        <w:bottom w:val="none" w:sz="0" w:space="0" w:color="auto"/>
        <w:right w:val="none" w:sz="0" w:space="0" w:color="auto"/>
      </w:divBdr>
    </w:div>
    <w:div w:id="392972271">
      <w:bodyDiv w:val="1"/>
      <w:marLeft w:val="0"/>
      <w:marRight w:val="0"/>
      <w:marTop w:val="0"/>
      <w:marBottom w:val="0"/>
      <w:divBdr>
        <w:top w:val="none" w:sz="0" w:space="0" w:color="auto"/>
        <w:left w:val="none" w:sz="0" w:space="0" w:color="auto"/>
        <w:bottom w:val="none" w:sz="0" w:space="0" w:color="auto"/>
        <w:right w:val="none" w:sz="0" w:space="0" w:color="auto"/>
      </w:divBdr>
    </w:div>
    <w:div w:id="393357306">
      <w:bodyDiv w:val="1"/>
      <w:marLeft w:val="0"/>
      <w:marRight w:val="0"/>
      <w:marTop w:val="0"/>
      <w:marBottom w:val="0"/>
      <w:divBdr>
        <w:top w:val="none" w:sz="0" w:space="0" w:color="auto"/>
        <w:left w:val="none" w:sz="0" w:space="0" w:color="auto"/>
        <w:bottom w:val="none" w:sz="0" w:space="0" w:color="auto"/>
        <w:right w:val="none" w:sz="0" w:space="0" w:color="auto"/>
      </w:divBdr>
    </w:div>
    <w:div w:id="397287196">
      <w:bodyDiv w:val="1"/>
      <w:marLeft w:val="0"/>
      <w:marRight w:val="0"/>
      <w:marTop w:val="0"/>
      <w:marBottom w:val="0"/>
      <w:divBdr>
        <w:top w:val="none" w:sz="0" w:space="0" w:color="auto"/>
        <w:left w:val="none" w:sz="0" w:space="0" w:color="auto"/>
        <w:bottom w:val="none" w:sz="0" w:space="0" w:color="auto"/>
        <w:right w:val="none" w:sz="0" w:space="0" w:color="auto"/>
      </w:divBdr>
    </w:div>
    <w:div w:id="397674524">
      <w:bodyDiv w:val="1"/>
      <w:marLeft w:val="0"/>
      <w:marRight w:val="0"/>
      <w:marTop w:val="0"/>
      <w:marBottom w:val="0"/>
      <w:divBdr>
        <w:top w:val="none" w:sz="0" w:space="0" w:color="auto"/>
        <w:left w:val="none" w:sz="0" w:space="0" w:color="auto"/>
        <w:bottom w:val="none" w:sz="0" w:space="0" w:color="auto"/>
        <w:right w:val="none" w:sz="0" w:space="0" w:color="auto"/>
      </w:divBdr>
    </w:div>
    <w:div w:id="400560198">
      <w:bodyDiv w:val="1"/>
      <w:marLeft w:val="0"/>
      <w:marRight w:val="0"/>
      <w:marTop w:val="0"/>
      <w:marBottom w:val="0"/>
      <w:divBdr>
        <w:top w:val="none" w:sz="0" w:space="0" w:color="auto"/>
        <w:left w:val="none" w:sz="0" w:space="0" w:color="auto"/>
        <w:bottom w:val="none" w:sz="0" w:space="0" w:color="auto"/>
        <w:right w:val="none" w:sz="0" w:space="0" w:color="auto"/>
      </w:divBdr>
    </w:div>
    <w:div w:id="404958882">
      <w:bodyDiv w:val="1"/>
      <w:marLeft w:val="0"/>
      <w:marRight w:val="0"/>
      <w:marTop w:val="0"/>
      <w:marBottom w:val="0"/>
      <w:divBdr>
        <w:top w:val="none" w:sz="0" w:space="0" w:color="auto"/>
        <w:left w:val="none" w:sz="0" w:space="0" w:color="auto"/>
        <w:bottom w:val="none" w:sz="0" w:space="0" w:color="auto"/>
        <w:right w:val="none" w:sz="0" w:space="0" w:color="auto"/>
      </w:divBdr>
    </w:div>
    <w:div w:id="405691837">
      <w:bodyDiv w:val="1"/>
      <w:marLeft w:val="0"/>
      <w:marRight w:val="0"/>
      <w:marTop w:val="0"/>
      <w:marBottom w:val="0"/>
      <w:divBdr>
        <w:top w:val="none" w:sz="0" w:space="0" w:color="auto"/>
        <w:left w:val="none" w:sz="0" w:space="0" w:color="auto"/>
        <w:bottom w:val="none" w:sz="0" w:space="0" w:color="auto"/>
        <w:right w:val="none" w:sz="0" w:space="0" w:color="auto"/>
      </w:divBdr>
    </w:div>
    <w:div w:id="405955285">
      <w:bodyDiv w:val="1"/>
      <w:marLeft w:val="0"/>
      <w:marRight w:val="0"/>
      <w:marTop w:val="0"/>
      <w:marBottom w:val="0"/>
      <w:divBdr>
        <w:top w:val="none" w:sz="0" w:space="0" w:color="auto"/>
        <w:left w:val="none" w:sz="0" w:space="0" w:color="auto"/>
        <w:bottom w:val="none" w:sz="0" w:space="0" w:color="auto"/>
        <w:right w:val="none" w:sz="0" w:space="0" w:color="auto"/>
      </w:divBdr>
    </w:div>
    <w:div w:id="407313683">
      <w:bodyDiv w:val="1"/>
      <w:marLeft w:val="0"/>
      <w:marRight w:val="0"/>
      <w:marTop w:val="0"/>
      <w:marBottom w:val="0"/>
      <w:divBdr>
        <w:top w:val="none" w:sz="0" w:space="0" w:color="auto"/>
        <w:left w:val="none" w:sz="0" w:space="0" w:color="auto"/>
        <w:bottom w:val="none" w:sz="0" w:space="0" w:color="auto"/>
        <w:right w:val="none" w:sz="0" w:space="0" w:color="auto"/>
      </w:divBdr>
    </w:div>
    <w:div w:id="409618881">
      <w:bodyDiv w:val="1"/>
      <w:marLeft w:val="0"/>
      <w:marRight w:val="0"/>
      <w:marTop w:val="0"/>
      <w:marBottom w:val="0"/>
      <w:divBdr>
        <w:top w:val="none" w:sz="0" w:space="0" w:color="auto"/>
        <w:left w:val="none" w:sz="0" w:space="0" w:color="auto"/>
        <w:bottom w:val="none" w:sz="0" w:space="0" w:color="auto"/>
        <w:right w:val="none" w:sz="0" w:space="0" w:color="auto"/>
      </w:divBdr>
    </w:div>
    <w:div w:id="411240480">
      <w:bodyDiv w:val="1"/>
      <w:marLeft w:val="0"/>
      <w:marRight w:val="0"/>
      <w:marTop w:val="0"/>
      <w:marBottom w:val="0"/>
      <w:divBdr>
        <w:top w:val="none" w:sz="0" w:space="0" w:color="auto"/>
        <w:left w:val="none" w:sz="0" w:space="0" w:color="auto"/>
        <w:bottom w:val="none" w:sz="0" w:space="0" w:color="auto"/>
        <w:right w:val="none" w:sz="0" w:space="0" w:color="auto"/>
      </w:divBdr>
    </w:div>
    <w:div w:id="417674663">
      <w:bodyDiv w:val="1"/>
      <w:marLeft w:val="0"/>
      <w:marRight w:val="0"/>
      <w:marTop w:val="0"/>
      <w:marBottom w:val="0"/>
      <w:divBdr>
        <w:top w:val="none" w:sz="0" w:space="0" w:color="auto"/>
        <w:left w:val="none" w:sz="0" w:space="0" w:color="auto"/>
        <w:bottom w:val="none" w:sz="0" w:space="0" w:color="auto"/>
        <w:right w:val="none" w:sz="0" w:space="0" w:color="auto"/>
      </w:divBdr>
    </w:div>
    <w:div w:id="420486764">
      <w:bodyDiv w:val="1"/>
      <w:marLeft w:val="0"/>
      <w:marRight w:val="0"/>
      <w:marTop w:val="0"/>
      <w:marBottom w:val="0"/>
      <w:divBdr>
        <w:top w:val="none" w:sz="0" w:space="0" w:color="auto"/>
        <w:left w:val="none" w:sz="0" w:space="0" w:color="auto"/>
        <w:bottom w:val="none" w:sz="0" w:space="0" w:color="auto"/>
        <w:right w:val="none" w:sz="0" w:space="0" w:color="auto"/>
      </w:divBdr>
    </w:div>
    <w:div w:id="421686368">
      <w:bodyDiv w:val="1"/>
      <w:marLeft w:val="0"/>
      <w:marRight w:val="0"/>
      <w:marTop w:val="0"/>
      <w:marBottom w:val="0"/>
      <w:divBdr>
        <w:top w:val="none" w:sz="0" w:space="0" w:color="auto"/>
        <w:left w:val="none" w:sz="0" w:space="0" w:color="auto"/>
        <w:bottom w:val="none" w:sz="0" w:space="0" w:color="auto"/>
        <w:right w:val="none" w:sz="0" w:space="0" w:color="auto"/>
      </w:divBdr>
    </w:div>
    <w:div w:id="421881776">
      <w:bodyDiv w:val="1"/>
      <w:marLeft w:val="0"/>
      <w:marRight w:val="0"/>
      <w:marTop w:val="0"/>
      <w:marBottom w:val="0"/>
      <w:divBdr>
        <w:top w:val="none" w:sz="0" w:space="0" w:color="auto"/>
        <w:left w:val="none" w:sz="0" w:space="0" w:color="auto"/>
        <w:bottom w:val="none" w:sz="0" w:space="0" w:color="auto"/>
        <w:right w:val="none" w:sz="0" w:space="0" w:color="auto"/>
      </w:divBdr>
    </w:div>
    <w:div w:id="423383262">
      <w:bodyDiv w:val="1"/>
      <w:marLeft w:val="0"/>
      <w:marRight w:val="0"/>
      <w:marTop w:val="0"/>
      <w:marBottom w:val="0"/>
      <w:divBdr>
        <w:top w:val="none" w:sz="0" w:space="0" w:color="auto"/>
        <w:left w:val="none" w:sz="0" w:space="0" w:color="auto"/>
        <w:bottom w:val="none" w:sz="0" w:space="0" w:color="auto"/>
        <w:right w:val="none" w:sz="0" w:space="0" w:color="auto"/>
      </w:divBdr>
    </w:div>
    <w:div w:id="426463083">
      <w:bodyDiv w:val="1"/>
      <w:marLeft w:val="0"/>
      <w:marRight w:val="0"/>
      <w:marTop w:val="0"/>
      <w:marBottom w:val="0"/>
      <w:divBdr>
        <w:top w:val="none" w:sz="0" w:space="0" w:color="auto"/>
        <w:left w:val="none" w:sz="0" w:space="0" w:color="auto"/>
        <w:bottom w:val="none" w:sz="0" w:space="0" w:color="auto"/>
        <w:right w:val="none" w:sz="0" w:space="0" w:color="auto"/>
      </w:divBdr>
    </w:div>
    <w:div w:id="426967661">
      <w:bodyDiv w:val="1"/>
      <w:marLeft w:val="0"/>
      <w:marRight w:val="0"/>
      <w:marTop w:val="0"/>
      <w:marBottom w:val="0"/>
      <w:divBdr>
        <w:top w:val="none" w:sz="0" w:space="0" w:color="auto"/>
        <w:left w:val="none" w:sz="0" w:space="0" w:color="auto"/>
        <w:bottom w:val="none" w:sz="0" w:space="0" w:color="auto"/>
        <w:right w:val="none" w:sz="0" w:space="0" w:color="auto"/>
      </w:divBdr>
    </w:div>
    <w:div w:id="430856030">
      <w:bodyDiv w:val="1"/>
      <w:marLeft w:val="0"/>
      <w:marRight w:val="0"/>
      <w:marTop w:val="0"/>
      <w:marBottom w:val="0"/>
      <w:divBdr>
        <w:top w:val="none" w:sz="0" w:space="0" w:color="auto"/>
        <w:left w:val="none" w:sz="0" w:space="0" w:color="auto"/>
        <w:bottom w:val="none" w:sz="0" w:space="0" w:color="auto"/>
        <w:right w:val="none" w:sz="0" w:space="0" w:color="auto"/>
      </w:divBdr>
    </w:div>
    <w:div w:id="432168366">
      <w:bodyDiv w:val="1"/>
      <w:marLeft w:val="0"/>
      <w:marRight w:val="0"/>
      <w:marTop w:val="0"/>
      <w:marBottom w:val="0"/>
      <w:divBdr>
        <w:top w:val="none" w:sz="0" w:space="0" w:color="auto"/>
        <w:left w:val="none" w:sz="0" w:space="0" w:color="auto"/>
        <w:bottom w:val="none" w:sz="0" w:space="0" w:color="auto"/>
        <w:right w:val="none" w:sz="0" w:space="0" w:color="auto"/>
      </w:divBdr>
    </w:div>
    <w:div w:id="435095786">
      <w:bodyDiv w:val="1"/>
      <w:marLeft w:val="0"/>
      <w:marRight w:val="0"/>
      <w:marTop w:val="0"/>
      <w:marBottom w:val="0"/>
      <w:divBdr>
        <w:top w:val="none" w:sz="0" w:space="0" w:color="auto"/>
        <w:left w:val="none" w:sz="0" w:space="0" w:color="auto"/>
        <w:bottom w:val="none" w:sz="0" w:space="0" w:color="auto"/>
        <w:right w:val="none" w:sz="0" w:space="0" w:color="auto"/>
      </w:divBdr>
    </w:div>
    <w:div w:id="435757194">
      <w:bodyDiv w:val="1"/>
      <w:marLeft w:val="0"/>
      <w:marRight w:val="0"/>
      <w:marTop w:val="0"/>
      <w:marBottom w:val="0"/>
      <w:divBdr>
        <w:top w:val="none" w:sz="0" w:space="0" w:color="auto"/>
        <w:left w:val="none" w:sz="0" w:space="0" w:color="auto"/>
        <w:bottom w:val="none" w:sz="0" w:space="0" w:color="auto"/>
        <w:right w:val="none" w:sz="0" w:space="0" w:color="auto"/>
      </w:divBdr>
    </w:div>
    <w:div w:id="437066422">
      <w:bodyDiv w:val="1"/>
      <w:marLeft w:val="0"/>
      <w:marRight w:val="0"/>
      <w:marTop w:val="0"/>
      <w:marBottom w:val="0"/>
      <w:divBdr>
        <w:top w:val="none" w:sz="0" w:space="0" w:color="auto"/>
        <w:left w:val="none" w:sz="0" w:space="0" w:color="auto"/>
        <w:bottom w:val="none" w:sz="0" w:space="0" w:color="auto"/>
        <w:right w:val="none" w:sz="0" w:space="0" w:color="auto"/>
      </w:divBdr>
    </w:div>
    <w:div w:id="437602777">
      <w:bodyDiv w:val="1"/>
      <w:marLeft w:val="0"/>
      <w:marRight w:val="0"/>
      <w:marTop w:val="0"/>
      <w:marBottom w:val="0"/>
      <w:divBdr>
        <w:top w:val="none" w:sz="0" w:space="0" w:color="auto"/>
        <w:left w:val="none" w:sz="0" w:space="0" w:color="auto"/>
        <w:bottom w:val="none" w:sz="0" w:space="0" w:color="auto"/>
        <w:right w:val="none" w:sz="0" w:space="0" w:color="auto"/>
      </w:divBdr>
    </w:div>
    <w:div w:id="438306300">
      <w:bodyDiv w:val="1"/>
      <w:marLeft w:val="0"/>
      <w:marRight w:val="0"/>
      <w:marTop w:val="0"/>
      <w:marBottom w:val="0"/>
      <w:divBdr>
        <w:top w:val="none" w:sz="0" w:space="0" w:color="auto"/>
        <w:left w:val="none" w:sz="0" w:space="0" w:color="auto"/>
        <w:bottom w:val="none" w:sz="0" w:space="0" w:color="auto"/>
        <w:right w:val="none" w:sz="0" w:space="0" w:color="auto"/>
      </w:divBdr>
    </w:div>
    <w:div w:id="441723820">
      <w:bodyDiv w:val="1"/>
      <w:marLeft w:val="0"/>
      <w:marRight w:val="0"/>
      <w:marTop w:val="0"/>
      <w:marBottom w:val="0"/>
      <w:divBdr>
        <w:top w:val="none" w:sz="0" w:space="0" w:color="auto"/>
        <w:left w:val="none" w:sz="0" w:space="0" w:color="auto"/>
        <w:bottom w:val="none" w:sz="0" w:space="0" w:color="auto"/>
        <w:right w:val="none" w:sz="0" w:space="0" w:color="auto"/>
      </w:divBdr>
    </w:div>
    <w:div w:id="442464053">
      <w:bodyDiv w:val="1"/>
      <w:marLeft w:val="0"/>
      <w:marRight w:val="0"/>
      <w:marTop w:val="0"/>
      <w:marBottom w:val="0"/>
      <w:divBdr>
        <w:top w:val="none" w:sz="0" w:space="0" w:color="auto"/>
        <w:left w:val="none" w:sz="0" w:space="0" w:color="auto"/>
        <w:bottom w:val="none" w:sz="0" w:space="0" w:color="auto"/>
        <w:right w:val="none" w:sz="0" w:space="0" w:color="auto"/>
      </w:divBdr>
    </w:div>
    <w:div w:id="444153563">
      <w:bodyDiv w:val="1"/>
      <w:marLeft w:val="0"/>
      <w:marRight w:val="0"/>
      <w:marTop w:val="0"/>
      <w:marBottom w:val="0"/>
      <w:divBdr>
        <w:top w:val="none" w:sz="0" w:space="0" w:color="auto"/>
        <w:left w:val="none" w:sz="0" w:space="0" w:color="auto"/>
        <w:bottom w:val="none" w:sz="0" w:space="0" w:color="auto"/>
        <w:right w:val="none" w:sz="0" w:space="0" w:color="auto"/>
      </w:divBdr>
    </w:div>
    <w:div w:id="445270086">
      <w:bodyDiv w:val="1"/>
      <w:marLeft w:val="0"/>
      <w:marRight w:val="0"/>
      <w:marTop w:val="0"/>
      <w:marBottom w:val="0"/>
      <w:divBdr>
        <w:top w:val="none" w:sz="0" w:space="0" w:color="auto"/>
        <w:left w:val="none" w:sz="0" w:space="0" w:color="auto"/>
        <w:bottom w:val="none" w:sz="0" w:space="0" w:color="auto"/>
        <w:right w:val="none" w:sz="0" w:space="0" w:color="auto"/>
      </w:divBdr>
    </w:div>
    <w:div w:id="446702737">
      <w:bodyDiv w:val="1"/>
      <w:marLeft w:val="0"/>
      <w:marRight w:val="0"/>
      <w:marTop w:val="0"/>
      <w:marBottom w:val="0"/>
      <w:divBdr>
        <w:top w:val="none" w:sz="0" w:space="0" w:color="auto"/>
        <w:left w:val="none" w:sz="0" w:space="0" w:color="auto"/>
        <w:bottom w:val="none" w:sz="0" w:space="0" w:color="auto"/>
        <w:right w:val="none" w:sz="0" w:space="0" w:color="auto"/>
      </w:divBdr>
    </w:div>
    <w:div w:id="448398907">
      <w:bodyDiv w:val="1"/>
      <w:marLeft w:val="0"/>
      <w:marRight w:val="0"/>
      <w:marTop w:val="0"/>
      <w:marBottom w:val="0"/>
      <w:divBdr>
        <w:top w:val="none" w:sz="0" w:space="0" w:color="auto"/>
        <w:left w:val="none" w:sz="0" w:space="0" w:color="auto"/>
        <w:bottom w:val="none" w:sz="0" w:space="0" w:color="auto"/>
        <w:right w:val="none" w:sz="0" w:space="0" w:color="auto"/>
      </w:divBdr>
    </w:div>
    <w:div w:id="449278615">
      <w:bodyDiv w:val="1"/>
      <w:marLeft w:val="0"/>
      <w:marRight w:val="0"/>
      <w:marTop w:val="0"/>
      <w:marBottom w:val="0"/>
      <w:divBdr>
        <w:top w:val="none" w:sz="0" w:space="0" w:color="auto"/>
        <w:left w:val="none" w:sz="0" w:space="0" w:color="auto"/>
        <w:bottom w:val="none" w:sz="0" w:space="0" w:color="auto"/>
        <w:right w:val="none" w:sz="0" w:space="0" w:color="auto"/>
      </w:divBdr>
    </w:div>
    <w:div w:id="450826254">
      <w:bodyDiv w:val="1"/>
      <w:marLeft w:val="0"/>
      <w:marRight w:val="0"/>
      <w:marTop w:val="0"/>
      <w:marBottom w:val="0"/>
      <w:divBdr>
        <w:top w:val="none" w:sz="0" w:space="0" w:color="auto"/>
        <w:left w:val="none" w:sz="0" w:space="0" w:color="auto"/>
        <w:bottom w:val="none" w:sz="0" w:space="0" w:color="auto"/>
        <w:right w:val="none" w:sz="0" w:space="0" w:color="auto"/>
      </w:divBdr>
    </w:div>
    <w:div w:id="451441337">
      <w:bodyDiv w:val="1"/>
      <w:marLeft w:val="0"/>
      <w:marRight w:val="0"/>
      <w:marTop w:val="0"/>
      <w:marBottom w:val="0"/>
      <w:divBdr>
        <w:top w:val="none" w:sz="0" w:space="0" w:color="auto"/>
        <w:left w:val="none" w:sz="0" w:space="0" w:color="auto"/>
        <w:bottom w:val="none" w:sz="0" w:space="0" w:color="auto"/>
        <w:right w:val="none" w:sz="0" w:space="0" w:color="auto"/>
      </w:divBdr>
    </w:div>
    <w:div w:id="451483665">
      <w:bodyDiv w:val="1"/>
      <w:marLeft w:val="0"/>
      <w:marRight w:val="0"/>
      <w:marTop w:val="0"/>
      <w:marBottom w:val="0"/>
      <w:divBdr>
        <w:top w:val="none" w:sz="0" w:space="0" w:color="auto"/>
        <w:left w:val="none" w:sz="0" w:space="0" w:color="auto"/>
        <w:bottom w:val="none" w:sz="0" w:space="0" w:color="auto"/>
        <w:right w:val="none" w:sz="0" w:space="0" w:color="auto"/>
      </w:divBdr>
    </w:div>
    <w:div w:id="453863767">
      <w:bodyDiv w:val="1"/>
      <w:marLeft w:val="0"/>
      <w:marRight w:val="0"/>
      <w:marTop w:val="0"/>
      <w:marBottom w:val="0"/>
      <w:divBdr>
        <w:top w:val="none" w:sz="0" w:space="0" w:color="auto"/>
        <w:left w:val="none" w:sz="0" w:space="0" w:color="auto"/>
        <w:bottom w:val="none" w:sz="0" w:space="0" w:color="auto"/>
        <w:right w:val="none" w:sz="0" w:space="0" w:color="auto"/>
      </w:divBdr>
    </w:div>
    <w:div w:id="454257623">
      <w:bodyDiv w:val="1"/>
      <w:marLeft w:val="0"/>
      <w:marRight w:val="0"/>
      <w:marTop w:val="0"/>
      <w:marBottom w:val="0"/>
      <w:divBdr>
        <w:top w:val="none" w:sz="0" w:space="0" w:color="auto"/>
        <w:left w:val="none" w:sz="0" w:space="0" w:color="auto"/>
        <w:bottom w:val="none" w:sz="0" w:space="0" w:color="auto"/>
        <w:right w:val="none" w:sz="0" w:space="0" w:color="auto"/>
      </w:divBdr>
    </w:div>
    <w:div w:id="458883425">
      <w:bodyDiv w:val="1"/>
      <w:marLeft w:val="0"/>
      <w:marRight w:val="0"/>
      <w:marTop w:val="0"/>
      <w:marBottom w:val="0"/>
      <w:divBdr>
        <w:top w:val="none" w:sz="0" w:space="0" w:color="auto"/>
        <w:left w:val="none" w:sz="0" w:space="0" w:color="auto"/>
        <w:bottom w:val="none" w:sz="0" w:space="0" w:color="auto"/>
        <w:right w:val="none" w:sz="0" w:space="0" w:color="auto"/>
      </w:divBdr>
    </w:div>
    <w:div w:id="459762116">
      <w:bodyDiv w:val="1"/>
      <w:marLeft w:val="0"/>
      <w:marRight w:val="0"/>
      <w:marTop w:val="0"/>
      <w:marBottom w:val="0"/>
      <w:divBdr>
        <w:top w:val="none" w:sz="0" w:space="0" w:color="auto"/>
        <w:left w:val="none" w:sz="0" w:space="0" w:color="auto"/>
        <w:bottom w:val="none" w:sz="0" w:space="0" w:color="auto"/>
        <w:right w:val="none" w:sz="0" w:space="0" w:color="auto"/>
      </w:divBdr>
    </w:div>
    <w:div w:id="463083511">
      <w:bodyDiv w:val="1"/>
      <w:marLeft w:val="0"/>
      <w:marRight w:val="0"/>
      <w:marTop w:val="0"/>
      <w:marBottom w:val="0"/>
      <w:divBdr>
        <w:top w:val="none" w:sz="0" w:space="0" w:color="auto"/>
        <w:left w:val="none" w:sz="0" w:space="0" w:color="auto"/>
        <w:bottom w:val="none" w:sz="0" w:space="0" w:color="auto"/>
        <w:right w:val="none" w:sz="0" w:space="0" w:color="auto"/>
      </w:divBdr>
    </w:div>
    <w:div w:id="464541774">
      <w:bodyDiv w:val="1"/>
      <w:marLeft w:val="0"/>
      <w:marRight w:val="0"/>
      <w:marTop w:val="0"/>
      <w:marBottom w:val="0"/>
      <w:divBdr>
        <w:top w:val="none" w:sz="0" w:space="0" w:color="auto"/>
        <w:left w:val="none" w:sz="0" w:space="0" w:color="auto"/>
        <w:bottom w:val="none" w:sz="0" w:space="0" w:color="auto"/>
        <w:right w:val="none" w:sz="0" w:space="0" w:color="auto"/>
      </w:divBdr>
    </w:div>
    <w:div w:id="464812067">
      <w:bodyDiv w:val="1"/>
      <w:marLeft w:val="0"/>
      <w:marRight w:val="0"/>
      <w:marTop w:val="0"/>
      <w:marBottom w:val="0"/>
      <w:divBdr>
        <w:top w:val="none" w:sz="0" w:space="0" w:color="auto"/>
        <w:left w:val="none" w:sz="0" w:space="0" w:color="auto"/>
        <w:bottom w:val="none" w:sz="0" w:space="0" w:color="auto"/>
        <w:right w:val="none" w:sz="0" w:space="0" w:color="auto"/>
      </w:divBdr>
    </w:div>
    <w:div w:id="465590884">
      <w:bodyDiv w:val="1"/>
      <w:marLeft w:val="0"/>
      <w:marRight w:val="0"/>
      <w:marTop w:val="0"/>
      <w:marBottom w:val="0"/>
      <w:divBdr>
        <w:top w:val="none" w:sz="0" w:space="0" w:color="auto"/>
        <w:left w:val="none" w:sz="0" w:space="0" w:color="auto"/>
        <w:bottom w:val="none" w:sz="0" w:space="0" w:color="auto"/>
        <w:right w:val="none" w:sz="0" w:space="0" w:color="auto"/>
      </w:divBdr>
    </w:div>
    <w:div w:id="465663874">
      <w:bodyDiv w:val="1"/>
      <w:marLeft w:val="0"/>
      <w:marRight w:val="0"/>
      <w:marTop w:val="0"/>
      <w:marBottom w:val="0"/>
      <w:divBdr>
        <w:top w:val="none" w:sz="0" w:space="0" w:color="auto"/>
        <w:left w:val="none" w:sz="0" w:space="0" w:color="auto"/>
        <w:bottom w:val="none" w:sz="0" w:space="0" w:color="auto"/>
        <w:right w:val="none" w:sz="0" w:space="0" w:color="auto"/>
      </w:divBdr>
    </w:div>
    <w:div w:id="466823196">
      <w:bodyDiv w:val="1"/>
      <w:marLeft w:val="0"/>
      <w:marRight w:val="0"/>
      <w:marTop w:val="0"/>
      <w:marBottom w:val="0"/>
      <w:divBdr>
        <w:top w:val="none" w:sz="0" w:space="0" w:color="auto"/>
        <w:left w:val="none" w:sz="0" w:space="0" w:color="auto"/>
        <w:bottom w:val="none" w:sz="0" w:space="0" w:color="auto"/>
        <w:right w:val="none" w:sz="0" w:space="0" w:color="auto"/>
      </w:divBdr>
    </w:div>
    <w:div w:id="467865256">
      <w:bodyDiv w:val="1"/>
      <w:marLeft w:val="0"/>
      <w:marRight w:val="0"/>
      <w:marTop w:val="0"/>
      <w:marBottom w:val="0"/>
      <w:divBdr>
        <w:top w:val="none" w:sz="0" w:space="0" w:color="auto"/>
        <w:left w:val="none" w:sz="0" w:space="0" w:color="auto"/>
        <w:bottom w:val="none" w:sz="0" w:space="0" w:color="auto"/>
        <w:right w:val="none" w:sz="0" w:space="0" w:color="auto"/>
      </w:divBdr>
    </w:div>
    <w:div w:id="468330600">
      <w:bodyDiv w:val="1"/>
      <w:marLeft w:val="0"/>
      <w:marRight w:val="0"/>
      <w:marTop w:val="0"/>
      <w:marBottom w:val="0"/>
      <w:divBdr>
        <w:top w:val="none" w:sz="0" w:space="0" w:color="auto"/>
        <w:left w:val="none" w:sz="0" w:space="0" w:color="auto"/>
        <w:bottom w:val="none" w:sz="0" w:space="0" w:color="auto"/>
        <w:right w:val="none" w:sz="0" w:space="0" w:color="auto"/>
      </w:divBdr>
    </w:div>
    <w:div w:id="469638219">
      <w:bodyDiv w:val="1"/>
      <w:marLeft w:val="0"/>
      <w:marRight w:val="0"/>
      <w:marTop w:val="0"/>
      <w:marBottom w:val="0"/>
      <w:divBdr>
        <w:top w:val="none" w:sz="0" w:space="0" w:color="auto"/>
        <w:left w:val="none" w:sz="0" w:space="0" w:color="auto"/>
        <w:bottom w:val="none" w:sz="0" w:space="0" w:color="auto"/>
        <w:right w:val="none" w:sz="0" w:space="0" w:color="auto"/>
      </w:divBdr>
    </w:div>
    <w:div w:id="472328722">
      <w:bodyDiv w:val="1"/>
      <w:marLeft w:val="0"/>
      <w:marRight w:val="0"/>
      <w:marTop w:val="0"/>
      <w:marBottom w:val="0"/>
      <w:divBdr>
        <w:top w:val="none" w:sz="0" w:space="0" w:color="auto"/>
        <w:left w:val="none" w:sz="0" w:space="0" w:color="auto"/>
        <w:bottom w:val="none" w:sz="0" w:space="0" w:color="auto"/>
        <w:right w:val="none" w:sz="0" w:space="0" w:color="auto"/>
      </w:divBdr>
    </w:div>
    <w:div w:id="472914325">
      <w:bodyDiv w:val="1"/>
      <w:marLeft w:val="0"/>
      <w:marRight w:val="0"/>
      <w:marTop w:val="0"/>
      <w:marBottom w:val="0"/>
      <w:divBdr>
        <w:top w:val="none" w:sz="0" w:space="0" w:color="auto"/>
        <w:left w:val="none" w:sz="0" w:space="0" w:color="auto"/>
        <w:bottom w:val="none" w:sz="0" w:space="0" w:color="auto"/>
        <w:right w:val="none" w:sz="0" w:space="0" w:color="auto"/>
      </w:divBdr>
    </w:div>
    <w:div w:id="476461697">
      <w:bodyDiv w:val="1"/>
      <w:marLeft w:val="0"/>
      <w:marRight w:val="0"/>
      <w:marTop w:val="0"/>
      <w:marBottom w:val="0"/>
      <w:divBdr>
        <w:top w:val="none" w:sz="0" w:space="0" w:color="auto"/>
        <w:left w:val="none" w:sz="0" w:space="0" w:color="auto"/>
        <w:bottom w:val="none" w:sz="0" w:space="0" w:color="auto"/>
        <w:right w:val="none" w:sz="0" w:space="0" w:color="auto"/>
      </w:divBdr>
    </w:div>
    <w:div w:id="477188494">
      <w:bodyDiv w:val="1"/>
      <w:marLeft w:val="0"/>
      <w:marRight w:val="0"/>
      <w:marTop w:val="0"/>
      <w:marBottom w:val="0"/>
      <w:divBdr>
        <w:top w:val="none" w:sz="0" w:space="0" w:color="auto"/>
        <w:left w:val="none" w:sz="0" w:space="0" w:color="auto"/>
        <w:bottom w:val="none" w:sz="0" w:space="0" w:color="auto"/>
        <w:right w:val="none" w:sz="0" w:space="0" w:color="auto"/>
      </w:divBdr>
    </w:div>
    <w:div w:id="477378411">
      <w:bodyDiv w:val="1"/>
      <w:marLeft w:val="0"/>
      <w:marRight w:val="0"/>
      <w:marTop w:val="0"/>
      <w:marBottom w:val="0"/>
      <w:divBdr>
        <w:top w:val="none" w:sz="0" w:space="0" w:color="auto"/>
        <w:left w:val="none" w:sz="0" w:space="0" w:color="auto"/>
        <w:bottom w:val="none" w:sz="0" w:space="0" w:color="auto"/>
        <w:right w:val="none" w:sz="0" w:space="0" w:color="auto"/>
      </w:divBdr>
    </w:div>
    <w:div w:id="478156912">
      <w:bodyDiv w:val="1"/>
      <w:marLeft w:val="0"/>
      <w:marRight w:val="0"/>
      <w:marTop w:val="0"/>
      <w:marBottom w:val="0"/>
      <w:divBdr>
        <w:top w:val="none" w:sz="0" w:space="0" w:color="auto"/>
        <w:left w:val="none" w:sz="0" w:space="0" w:color="auto"/>
        <w:bottom w:val="none" w:sz="0" w:space="0" w:color="auto"/>
        <w:right w:val="none" w:sz="0" w:space="0" w:color="auto"/>
      </w:divBdr>
    </w:div>
    <w:div w:id="478496894">
      <w:bodyDiv w:val="1"/>
      <w:marLeft w:val="0"/>
      <w:marRight w:val="0"/>
      <w:marTop w:val="0"/>
      <w:marBottom w:val="0"/>
      <w:divBdr>
        <w:top w:val="none" w:sz="0" w:space="0" w:color="auto"/>
        <w:left w:val="none" w:sz="0" w:space="0" w:color="auto"/>
        <w:bottom w:val="none" w:sz="0" w:space="0" w:color="auto"/>
        <w:right w:val="none" w:sz="0" w:space="0" w:color="auto"/>
      </w:divBdr>
    </w:div>
    <w:div w:id="478808216">
      <w:bodyDiv w:val="1"/>
      <w:marLeft w:val="0"/>
      <w:marRight w:val="0"/>
      <w:marTop w:val="0"/>
      <w:marBottom w:val="0"/>
      <w:divBdr>
        <w:top w:val="none" w:sz="0" w:space="0" w:color="auto"/>
        <w:left w:val="none" w:sz="0" w:space="0" w:color="auto"/>
        <w:bottom w:val="none" w:sz="0" w:space="0" w:color="auto"/>
        <w:right w:val="none" w:sz="0" w:space="0" w:color="auto"/>
      </w:divBdr>
    </w:div>
    <w:div w:id="481427667">
      <w:bodyDiv w:val="1"/>
      <w:marLeft w:val="0"/>
      <w:marRight w:val="0"/>
      <w:marTop w:val="0"/>
      <w:marBottom w:val="0"/>
      <w:divBdr>
        <w:top w:val="none" w:sz="0" w:space="0" w:color="auto"/>
        <w:left w:val="none" w:sz="0" w:space="0" w:color="auto"/>
        <w:bottom w:val="none" w:sz="0" w:space="0" w:color="auto"/>
        <w:right w:val="none" w:sz="0" w:space="0" w:color="auto"/>
      </w:divBdr>
    </w:div>
    <w:div w:id="483929907">
      <w:bodyDiv w:val="1"/>
      <w:marLeft w:val="0"/>
      <w:marRight w:val="0"/>
      <w:marTop w:val="0"/>
      <w:marBottom w:val="0"/>
      <w:divBdr>
        <w:top w:val="none" w:sz="0" w:space="0" w:color="auto"/>
        <w:left w:val="none" w:sz="0" w:space="0" w:color="auto"/>
        <w:bottom w:val="none" w:sz="0" w:space="0" w:color="auto"/>
        <w:right w:val="none" w:sz="0" w:space="0" w:color="auto"/>
      </w:divBdr>
    </w:div>
    <w:div w:id="484511269">
      <w:bodyDiv w:val="1"/>
      <w:marLeft w:val="0"/>
      <w:marRight w:val="0"/>
      <w:marTop w:val="0"/>
      <w:marBottom w:val="0"/>
      <w:divBdr>
        <w:top w:val="none" w:sz="0" w:space="0" w:color="auto"/>
        <w:left w:val="none" w:sz="0" w:space="0" w:color="auto"/>
        <w:bottom w:val="none" w:sz="0" w:space="0" w:color="auto"/>
        <w:right w:val="none" w:sz="0" w:space="0" w:color="auto"/>
      </w:divBdr>
    </w:div>
    <w:div w:id="486435424">
      <w:bodyDiv w:val="1"/>
      <w:marLeft w:val="0"/>
      <w:marRight w:val="0"/>
      <w:marTop w:val="0"/>
      <w:marBottom w:val="0"/>
      <w:divBdr>
        <w:top w:val="none" w:sz="0" w:space="0" w:color="auto"/>
        <w:left w:val="none" w:sz="0" w:space="0" w:color="auto"/>
        <w:bottom w:val="none" w:sz="0" w:space="0" w:color="auto"/>
        <w:right w:val="none" w:sz="0" w:space="0" w:color="auto"/>
      </w:divBdr>
    </w:div>
    <w:div w:id="487020063">
      <w:bodyDiv w:val="1"/>
      <w:marLeft w:val="0"/>
      <w:marRight w:val="0"/>
      <w:marTop w:val="0"/>
      <w:marBottom w:val="0"/>
      <w:divBdr>
        <w:top w:val="none" w:sz="0" w:space="0" w:color="auto"/>
        <w:left w:val="none" w:sz="0" w:space="0" w:color="auto"/>
        <w:bottom w:val="none" w:sz="0" w:space="0" w:color="auto"/>
        <w:right w:val="none" w:sz="0" w:space="0" w:color="auto"/>
      </w:divBdr>
    </w:div>
    <w:div w:id="487553650">
      <w:bodyDiv w:val="1"/>
      <w:marLeft w:val="0"/>
      <w:marRight w:val="0"/>
      <w:marTop w:val="0"/>
      <w:marBottom w:val="0"/>
      <w:divBdr>
        <w:top w:val="none" w:sz="0" w:space="0" w:color="auto"/>
        <w:left w:val="none" w:sz="0" w:space="0" w:color="auto"/>
        <w:bottom w:val="none" w:sz="0" w:space="0" w:color="auto"/>
        <w:right w:val="none" w:sz="0" w:space="0" w:color="auto"/>
      </w:divBdr>
    </w:div>
    <w:div w:id="489255769">
      <w:bodyDiv w:val="1"/>
      <w:marLeft w:val="0"/>
      <w:marRight w:val="0"/>
      <w:marTop w:val="0"/>
      <w:marBottom w:val="0"/>
      <w:divBdr>
        <w:top w:val="none" w:sz="0" w:space="0" w:color="auto"/>
        <w:left w:val="none" w:sz="0" w:space="0" w:color="auto"/>
        <w:bottom w:val="none" w:sz="0" w:space="0" w:color="auto"/>
        <w:right w:val="none" w:sz="0" w:space="0" w:color="auto"/>
      </w:divBdr>
    </w:div>
    <w:div w:id="494272589">
      <w:bodyDiv w:val="1"/>
      <w:marLeft w:val="0"/>
      <w:marRight w:val="0"/>
      <w:marTop w:val="0"/>
      <w:marBottom w:val="0"/>
      <w:divBdr>
        <w:top w:val="none" w:sz="0" w:space="0" w:color="auto"/>
        <w:left w:val="none" w:sz="0" w:space="0" w:color="auto"/>
        <w:bottom w:val="none" w:sz="0" w:space="0" w:color="auto"/>
        <w:right w:val="none" w:sz="0" w:space="0" w:color="auto"/>
      </w:divBdr>
    </w:div>
    <w:div w:id="494497143">
      <w:bodyDiv w:val="1"/>
      <w:marLeft w:val="0"/>
      <w:marRight w:val="0"/>
      <w:marTop w:val="0"/>
      <w:marBottom w:val="0"/>
      <w:divBdr>
        <w:top w:val="none" w:sz="0" w:space="0" w:color="auto"/>
        <w:left w:val="none" w:sz="0" w:space="0" w:color="auto"/>
        <w:bottom w:val="none" w:sz="0" w:space="0" w:color="auto"/>
        <w:right w:val="none" w:sz="0" w:space="0" w:color="auto"/>
      </w:divBdr>
    </w:div>
    <w:div w:id="494760877">
      <w:bodyDiv w:val="1"/>
      <w:marLeft w:val="0"/>
      <w:marRight w:val="0"/>
      <w:marTop w:val="0"/>
      <w:marBottom w:val="0"/>
      <w:divBdr>
        <w:top w:val="none" w:sz="0" w:space="0" w:color="auto"/>
        <w:left w:val="none" w:sz="0" w:space="0" w:color="auto"/>
        <w:bottom w:val="none" w:sz="0" w:space="0" w:color="auto"/>
        <w:right w:val="none" w:sz="0" w:space="0" w:color="auto"/>
      </w:divBdr>
    </w:div>
    <w:div w:id="497228343">
      <w:bodyDiv w:val="1"/>
      <w:marLeft w:val="0"/>
      <w:marRight w:val="0"/>
      <w:marTop w:val="0"/>
      <w:marBottom w:val="0"/>
      <w:divBdr>
        <w:top w:val="none" w:sz="0" w:space="0" w:color="auto"/>
        <w:left w:val="none" w:sz="0" w:space="0" w:color="auto"/>
        <w:bottom w:val="none" w:sz="0" w:space="0" w:color="auto"/>
        <w:right w:val="none" w:sz="0" w:space="0" w:color="auto"/>
      </w:divBdr>
    </w:div>
    <w:div w:id="497890156">
      <w:bodyDiv w:val="1"/>
      <w:marLeft w:val="0"/>
      <w:marRight w:val="0"/>
      <w:marTop w:val="0"/>
      <w:marBottom w:val="0"/>
      <w:divBdr>
        <w:top w:val="none" w:sz="0" w:space="0" w:color="auto"/>
        <w:left w:val="none" w:sz="0" w:space="0" w:color="auto"/>
        <w:bottom w:val="none" w:sz="0" w:space="0" w:color="auto"/>
        <w:right w:val="none" w:sz="0" w:space="0" w:color="auto"/>
      </w:divBdr>
    </w:div>
    <w:div w:id="499276272">
      <w:bodyDiv w:val="1"/>
      <w:marLeft w:val="0"/>
      <w:marRight w:val="0"/>
      <w:marTop w:val="0"/>
      <w:marBottom w:val="0"/>
      <w:divBdr>
        <w:top w:val="none" w:sz="0" w:space="0" w:color="auto"/>
        <w:left w:val="none" w:sz="0" w:space="0" w:color="auto"/>
        <w:bottom w:val="none" w:sz="0" w:space="0" w:color="auto"/>
        <w:right w:val="none" w:sz="0" w:space="0" w:color="auto"/>
      </w:divBdr>
    </w:div>
    <w:div w:id="500971439">
      <w:bodyDiv w:val="1"/>
      <w:marLeft w:val="0"/>
      <w:marRight w:val="0"/>
      <w:marTop w:val="0"/>
      <w:marBottom w:val="0"/>
      <w:divBdr>
        <w:top w:val="none" w:sz="0" w:space="0" w:color="auto"/>
        <w:left w:val="none" w:sz="0" w:space="0" w:color="auto"/>
        <w:bottom w:val="none" w:sz="0" w:space="0" w:color="auto"/>
        <w:right w:val="none" w:sz="0" w:space="0" w:color="auto"/>
      </w:divBdr>
    </w:div>
    <w:div w:id="503980160">
      <w:bodyDiv w:val="1"/>
      <w:marLeft w:val="0"/>
      <w:marRight w:val="0"/>
      <w:marTop w:val="0"/>
      <w:marBottom w:val="0"/>
      <w:divBdr>
        <w:top w:val="none" w:sz="0" w:space="0" w:color="auto"/>
        <w:left w:val="none" w:sz="0" w:space="0" w:color="auto"/>
        <w:bottom w:val="none" w:sz="0" w:space="0" w:color="auto"/>
        <w:right w:val="none" w:sz="0" w:space="0" w:color="auto"/>
      </w:divBdr>
    </w:div>
    <w:div w:id="504898374">
      <w:bodyDiv w:val="1"/>
      <w:marLeft w:val="0"/>
      <w:marRight w:val="0"/>
      <w:marTop w:val="0"/>
      <w:marBottom w:val="0"/>
      <w:divBdr>
        <w:top w:val="none" w:sz="0" w:space="0" w:color="auto"/>
        <w:left w:val="none" w:sz="0" w:space="0" w:color="auto"/>
        <w:bottom w:val="none" w:sz="0" w:space="0" w:color="auto"/>
        <w:right w:val="none" w:sz="0" w:space="0" w:color="auto"/>
      </w:divBdr>
    </w:div>
    <w:div w:id="504903134">
      <w:bodyDiv w:val="1"/>
      <w:marLeft w:val="0"/>
      <w:marRight w:val="0"/>
      <w:marTop w:val="0"/>
      <w:marBottom w:val="0"/>
      <w:divBdr>
        <w:top w:val="none" w:sz="0" w:space="0" w:color="auto"/>
        <w:left w:val="none" w:sz="0" w:space="0" w:color="auto"/>
        <w:bottom w:val="none" w:sz="0" w:space="0" w:color="auto"/>
        <w:right w:val="none" w:sz="0" w:space="0" w:color="auto"/>
      </w:divBdr>
    </w:div>
    <w:div w:id="506748443">
      <w:bodyDiv w:val="1"/>
      <w:marLeft w:val="0"/>
      <w:marRight w:val="0"/>
      <w:marTop w:val="0"/>
      <w:marBottom w:val="0"/>
      <w:divBdr>
        <w:top w:val="none" w:sz="0" w:space="0" w:color="auto"/>
        <w:left w:val="none" w:sz="0" w:space="0" w:color="auto"/>
        <w:bottom w:val="none" w:sz="0" w:space="0" w:color="auto"/>
        <w:right w:val="none" w:sz="0" w:space="0" w:color="auto"/>
      </w:divBdr>
    </w:div>
    <w:div w:id="507135295">
      <w:bodyDiv w:val="1"/>
      <w:marLeft w:val="0"/>
      <w:marRight w:val="0"/>
      <w:marTop w:val="0"/>
      <w:marBottom w:val="0"/>
      <w:divBdr>
        <w:top w:val="none" w:sz="0" w:space="0" w:color="auto"/>
        <w:left w:val="none" w:sz="0" w:space="0" w:color="auto"/>
        <w:bottom w:val="none" w:sz="0" w:space="0" w:color="auto"/>
        <w:right w:val="none" w:sz="0" w:space="0" w:color="auto"/>
      </w:divBdr>
    </w:div>
    <w:div w:id="507600969">
      <w:bodyDiv w:val="1"/>
      <w:marLeft w:val="0"/>
      <w:marRight w:val="0"/>
      <w:marTop w:val="0"/>
      <w:marBottom w:val="0"/>
      <w:divBdr>
        <w:top w:val="none" w:sz="0" w:space="0" w:color="auto"/>
        <w:left w:val="none" w:sz="0" w:space="0" w:color="auto"/>
        <w:bottom w:val="none" w:sz="0" w:space="0" w:color="auto"/>
        <w:right w:val="none" w:sz="0" w:space="0" w:color="auto"/>
      </w:divBdr>
    </w:div>
    <w:div w:id="507907620">
      <w:bodyDiv w:val="1"/>
      <w:marLeft w:val="0"/>
      <w:marRight w:val="0"/>
      <w:marTop w:val="0"/>
      <w:marBottom w:val="0"/>
      <w:divBdr>
        <w:top w:val="none" w:sz="0" w:space="0" w:color="auto"/>
        <w:left w:val="none" w:sz="0" w:space="0" w:color="auto"/>
        <w:bottom w:val="none" w:sz="0" w:space="0" w:color="auto"/>
        <w:right w:val="none" w:sz="0" w:space="0" w:color="auto"/>
      </w:divBdr>
    </w:div>
    <w:div w:id="513034476">
      <w:bodyDiv w:val="1"/>
      <w:marLeft w:val="0"/>
      <w:marRight w:val="0"/>
      <w:marTop w:val="0"/>
      <w:marBottom w:val="0"/>
      <w:divBdr>
        <w:top w:val="none" w:sz="0" w:space="0" w:color="auto"/>
        <w:left w:val="none" w:sz="0" w:space="0" w:color="auto"/>
        <w:bottom w:val="none" w:sz="0" w:space="0" w:color="auto"/>
        <w:right w:val="none" w:sz="0" w:space="0" w:color="auto"/>
      </w:divBdr>
    </w:div>
    <w:div w:id="513571874">
      <w:bodyDiv w:val="1"/>
      <w:marLeft w:val="0"/>
      <w:marRight w:val="0"/>
      <w:marTop w:val="0"/>
      <w:marBottom w:val="0"/>
      <w:divBdr>
        <w:top w:val="none" w:sz="0" w:space="0" w:color="auto"/>
        <w:left w:val="none" w:sz="0" w:space="0" w:color="auto"/>
        <w:bottom w:val="none" w:sz="0" w:space="0" w:color="auto"/>
        <w:right w:val="none" w:sz="0" w:space="0" w:color="auto"/>
      </w:divBdr>
    </w:div>
    <w:div w:id="514031182">
      <w:bodyDiv w:val="1"/>
      <w:marLeft w:val="0"/>
      <w:marRight w:val="0"/>
      <w:marTop w:val="0"/>
      <w:marBottom w:val="0"/>
      <w:divBdr>
        <w:top w:val="none" w:sz="0" w:space="0" w:color="auto"/>
        <w:left w:val="none" w:sz="0" w:space="0" w:color="auto"/>
        <w:bottom w:val="none" w:sz="0" w:space="0" w:color="auto"/>
        <w:right w:val="none" w:sz="0" w:space="0" w:color="auto"/>
      </w:divBdr>
    </w:div>
    <w:div w:id="514467465">
      <w:bodyDiv w:val="1"/>
      <w:marLeft w:val="0"/>
      <w:marRight w:val="0"/>
      <w:marTop w:val="0"/>
      <w:marBottom w:val="0"/>
      <w:divBdr>
        <w:top w:val="none" w:sz="0" w:space="0" w:color="auto"/>
        <w:left w:val="none" w:sz="0" w:space="0" w:color="auto"/>
        <w:bottom w:val="none" w:sz="0" w:space="0" w:color="auto"/>
        <w:right w:val="none" w:sz="0" w:space="0" w:color="auto"/>
      </w:divBdr>
    </w:div>
    <w:div w:id="515467016">
      <w:bodyDiv w:val="1"/>
      <w:marLeft w:val="0"/>
      <w:marRight w:val="0"/>
      <w:marTop w:val="0"/>
      <w:marBottom w:val="0"/>
      <w:divBdr>
        <w:top w:val="none" w:sz="0" w:space="0" w:color="auto"/>
        <w:left w:val="none" w:sz="0" w:space="0" w:color="auto"/>
        <w:bottom w:val="none" w:sz="0" w:space="0" w:color="auto"/>
        <w:right w:val="none" w:sz="0" w:space="0" w:color="auto"/>
      </w:divBdr>
    </w:div>
    <w:div w:id="516113470">
      <w:bodyDiv w:val="1"/>
      <w:marLeft w:val="0"/>
      <w:marRight w:val="0"/>
      <w:marTop w:val="0"/>
      <w:marBottom w:val="0"/>
      <w:divBdr>
        <w:top w:val="none" w:sz="0" w:space="0" w:color="auto"/>
        <w:left w:val="none" w:sz="0" w:space="0" w:color="auto"/>
        <w:bottom w:val="none" w:sz="0" w:space="0" w:color="auto"/>
        <w:right w:val="none" w:sz="0" w:space="0" w:color="auto"/>
      </w:divBdr>
    </w:div>
    <w:div w:id="516770157">
      <w:bodyDiv w:val="1"/>
      <w:marLeft w:val="0"/>
      <w:marRight w:val="0"/>
      <w:marTop w:val="0"/>
      <w:marBottom w:val="0"/>
      <w:divBdr>
        <w:top w:val="none" w:sz="0" w:space="0" w:color="auto"/>
        <w:left w:val="none" w:sz="0" w:space="0" w:color="auto"/>
        <w:bottom w:val="none" w:sz="0" w:space="0" w:color="auto"/>
        <w:right w:val="none" w:sz="0" w:space="0" w:color="auto"/>
      </w:divBdr>
    </w:div>
    <w:div w:id="517739236">
      <w:bodyDiv w:val="1"/>
      <w:marLeft w:val="0"/>
      <w:marRight w:val="0"/>
      <w:marTop w:val="0"/>
      <w:marBottom w:val="0"/>
      <w:divBdr>
        <w:top w:val="none" w:sz="0" w:space="0" w:color="auto"/>
        <w:left w:val="none" w:sz="0" w:space="0" w:color="auto"/>
        <w:bottom w:val="none" w:sz="0" w:space="0" w:color="auto"/>
        <w:right w:val="none" w:sz="0" w:space="0" w:color="auto"/>
      </w:divBdr>
    </w:div>
    <w:div w:id="518158517">
      <w:bodyDiv w:val="1"/>
      <w:marLeft w:val="0"/>
      <w:marRight w:val="0"/>
      <w:marTop w:val="0"/>
      <w:marBottom w:val="0"/>
      <w:divBdr>
        <w:top w:val="none" w:sz="0" w:space="0" w:color="auto"/>
        <w:left w:val="none" w:sz="0" w:space="0" w:color="auto"/>
        <w:bottom w:val="none" w:sz="0" w:space="0" w:color="auto"/>
        <w:right w:val="none" w:sz="0" w:space="0" w:color="auto"/>
      </w:divBdr>
    </w:div>
    <w:div w:id="523328541">
      <w:bodyDiv w:val="1"/>
      <w:marLeft w:val="0"/>
      <w:marRight w:val="0"/>
      <w:marTop w:val="0"/>
      <w:marBottom w:val="0"/>
      <w:divBdr>
        <w:top w:val="none" w:sz="0" w:space="0" w:color="auto"/>
        <w:left w:val="none" w:sz="0" w:space="0" w:color="auto"/>
        <w:bottom w:val="none" w:sz="0" w:space="0" w:color="auto"/>
        <w:right w:val="none" w:sz="0" w:space="0" w:color="auto"/>
      </w:divBdr>
    </w:div>
    <w:div w:id="525100662">
      <w:bodyDiv w:val="1"/>
      <w:marLeft w:val="0"/>
      <w:marRight w:val="0"/>
      <w:marTop w:val="0"/>
      <w:marBottom w:val="0"/>
      <w:divBdr>
        <w:top w:val="none" w:sz="0" w:space="0" w:color="auto"/>
        <w:left w:val="none" w:sz="0" w:space="0" w:color="auto"/>
        <w:bottom w:val="none" w:sz="0" w:space="0" w:color="auto"/>
        <w:right w:val="none" w:sz="0" w:space="0" w:color="auto"/>
      </w:divBdr>
    </w:div>
    <w:div w:id="526791593">
      <w:bodyDiv w:val="1"/>
      <w:marLeft w:val="0"/>
      <w:marRight w:val="0"/>
      <w:marTop w:val="0"/>
      <w:marBottom w:val="0"/>
      <w:divBdr>
        <w:top w:val="none" w:sz="0" w:space="0" w:color="auto"/>
        <w:left w:val="none" w:sz="0" w:space="0" w:color="auto"/>
        <w:bottom w:val="none" w:sz="0" w:space="0" w:color="auto"/>
        <w:right w:val="none" w:sz="0" w:space="0" w:color="auto"/>
      </w:divBdr>
    </w:div>
    <w:div w:id="528033710">
      <w:bodyDiv w:val="1"/>
      <w:marLeft w:val="0"/>
      <w:marRight w:val="0"/>
      <w:marTop w:val="0"/>
      <w:marBottom w:val="0"/>
      <w:divBdr>
        <w:top w:val="none" w:sz="0" w:space="0" w:color="auto"/>
        <w:left w:val="none" w:sz="0" w:space="0" w:color="auto"/>
        <w:bottom w:val="none" w:sz="0" w:space="0" w:color="auto"/>
        <w:right w:val="none" w:sz="0" w:space="0" w:color="auto"/>
      </w:divBdr>
    </w:div>
    <w:div w:id="528297868">
      <w:bodyDiv w:val="1"/>
      <w:marLeft w:val="0"/>
      <w:marRight w:val="0"/>
      <w:marTop w:val="0"/>
      <w:marBottom w:val="0"/>
      <w:divBdr>
        <w:top w:val="none" w:sz="0" w:space="0" w:color="auto"/>
        <w:left w:val="none" w:sz="0" w:space="0" w:color="auto"/>
        <w:bottom w:val="none" w:sz="0" w:space="0" w:color="auto"/>
        <w:right w:val="none" w:sz="0" w:space="0" w:color="auto"/>
      </w:divBdr>
    </w:div>
    <w:div w:id="528370345">
      <w:bodyDiv w:val="1"/>
      <w:marLeft w:val="0"/>
      <w:marRight w:val="0"/>
      <w:marTop w:val="0"/>
      <w:marBottom w:val="0"/>
      <w:divBdr>
        <w:top w:val="none" w:sz="0" w:space="0" w:color="auto"/>
        <w:left w:val="none" w:sz="0" w:space="0" w:color="auto"/>
        <w:bottom w:val="none" w:sz="0" w:space="0" w:color="auto"/>
        <w:right w:val="none" w:sz="0" w:space="0" w:color="auto"/>
      </w:divBdr>
    </w:div>
    <w:div w:id="530000313">
      <w:bodyDiv w:val="1"/>
      <w:marLeft w:val="0"/>
      <w:marRight w:val="0"/>
      <w:marTop w:val="0"/>
      <w:marBottom w:val="0"/>
      <w:divBdr>
        <w:top w:val="none" w:sz="0" w:space="0" w:color="auto"/>
        <w:left w:val="none" w:sz="0" w:space="0" w:color="auto"/>
        <w:bottom w:val="none" w:sz="0" w:space="0" w:color="auto"/>
        <w:right w:val="none" w:sz="0" w:space="0" w:color="auto"/>
      </w:divBdr>
    </w:div>
    <w:div w:id="536502883">
      <w:bodyDiv w:val="1"/>
      <w:marLeft w:val="0"/>
      <w:marRight w:val="0"/>
      <w:marTop w:val="0"/>
      <w:marBottom w:val="0"/>
      <w:divBdr>
        <w:top w:val="none" w:sz="0" w:space="0" w:color="auto"/>
        <w:left w:val="none" w:sz="0" w:space="0" w:color="auto"/>
        <w:bottom w:val="none" w:sz="0" w:space="0" w:color="auto"/>
        <w:right w:val="none" w:sz="0" w:space="0" w:color="auto"/>
      </w:divBdr>
    </w:div>
    <w:div w:id="537546058">
      <w:bodyDiv w:val="1"/>
      <w:marLeft w:val="0"/>
      <w:marRight w:val="0"/>
      <w:marTop w:val="0"/>
      <w:marBottom w:val="0"/>
      <w:divBdr>
        <w:top w:val="none" w:sz="0" w:space="0" w:color="auto"/>
        <w:left w:val="none" w:sz="0" w:space="0" w:color="auto"/>
        <w:bottom w:val="none" w:sz="0" w:space="0" w:color="auto"/>
        <w:right w:val="none" w:sz="0" w:space="0" w:color="auto"/>
      </w:divBdr>
    </w:div>
    <w:div w:id="537939543">
      <w:bodyDiv w:val="1"/>
      <w:marLeft w:val="0"/>
      <w:marRight w:val="0"/>
      <w:marTop w:val="0"/>
      <w:marBottom w:val="0"/>
      <w:divBdr>
        <w:top w:val="none" w:sz="0" w:space="0" w:color="auto"/>
        <w:left w:val="none" w:sz="0" w:space="0" w:color="auto"/>
        <w:bottom w:val="none" w:sz="0" w:space="0" w:color="auto"/>
        <w:right w:val="none" w:sz="0" w:space="0" w:color="auto"/>
      </w:divBdr>
    </w:div>
    <w:div w:id="539586538">
      <w:bodyDiv w:val="1"/>
      <w:marLeft w:val="0"/>
      <w:marRight w:val="0"/>
      <w:marTop w:val="0"/>
      <w:marBottom w:val="0"/>
      <w:divBdr>
        <w:top w:val="none" w:sz="0" w:space="0" w:color="auto"/>
        <w:left w:val="none" w:sz="0" w:space="0" w:color="auto"/>
        <w:bottom w:val="none" w:sz="0" w:space="0" w:color="auto"/>
        <w:right w:val="none" w:sz="0" w:space="0" w:color="auto"/>
      </w:divBdr>
    </w:div>
    <w:div w:id="539903614">
      <w:bodyDiv w:val="1"/>
      <w:marLeft w:val="0"/>
      <w:marRight w:val="0"/>
      <w:marTop w:val="0"/>
      <w:marBottom w:val="0"/>
      <w:divBdr>
        <w:top w:val="none" w:sz="0" w:space="0" w:color="auto"/>
        <w:left w:val="none" w:sz="0" w:space="0" w:color="auto"/>
        <w:bottom w:val="none" w:sz="0" w:space="0" w:color="auto"/>
        <w:right w:val="none" w:sz="0" w:space="0" w:color="auto"/>
      </w:divBdr>
    </w:div>
    <w:div w:id="540096870">
      <w:bodyDiv w:val="1"/>
      <w:marLeft w:val="0"/>
      <w:marRight w:val="0"/>
      <w:marTop w:val="0"/>
      <w:marBottom w:val="0"/>
      <w:divBdr>
        <w:top w:val="none" w:sz="0" w:space="0" w:color="auto"/>
        <w:left w:val="none" w:sz="0" w:space="0" w:color="auto"/>
        <w:bottom w:val="none" w:sz="0" w:space="0" w:color="auto"/>
        <w:right w:val="none" w:sz="0" w:space="0" w:color="auto"/>
      </w:divBdr>
    </w:div>
    <w:div w:id="542137759">
      <w:bodyDiv w:val="1"/>
      <w:marLeft w:val="0"/>
      <w:marRight w:val="0"/>
      <w:marTop w:val="0"/>
      <w:marBottom w:val="0"/>
      <w:divBdr>
        <w:top w:val="none" w:sz="0" w:space="0" w:color="auto"/>
        <w:left w:val="none" w:sz="0" w:space="0" w:color="auto"/>
        <w:bottom w:val="none" w:sz="0" w:space="0" w:color="auto"/>
        <w:right w:val="none" w:sz="0" w:space="0" w:color="auto"/>
      </w:divBdr>
    </w:div>
    <w:div w:id="545219981">
      <w:bodyDiv w:val="1"/>
      <w:marLeft w:val="0"/>
      <w:marRight w:val="0"/>
      <w:marTop w:val="0"/>
      <w:marBottom w:val="0"/>
      <w:divBdr>
        <w:top w:val="none" w:sz="0" w:space="0" w:color="auto"/>
        <w:left w:val="none" w:sz="0" w:space="0" w:color="auto"/>
        <w:bottom w:val="none" w:sz="0" w:space="0" w:color="auto"/>
        <w:right w:val="none" w:sz="0" w:space="0" w:color="auto"/>
      </w:divBdr>
    </w:div>
    <w:div w:id="549268559">
      <w:bodyDiv w:val="1"/>
      <w:marLeft w:val="0"/>
      <w:marRight w:val="0"/>
      <w:marTop w:val="0"/>
      <w:marBottom w:val="0"/>
      <w:divBdr>
        <w:top w:val="none" w:sz="0" w:space="0" w:color="auto"/>
        <w:left w:val="none" w:sz="0" w:space="0" w:color="auto"/>
        <w:bottom w:val="none" w:sz="0" w:space="0" w:color="auto"/>
        <w:right w:val="none" w:sz="0" w:space="0" w:color="auto"/>
      </w:divBdr>
    </w:div>
    <w:div w:id="549270635">
      <w:bodyDiv w:val="1"/>
      <w:marLeft w:val="0"/>
      <w:marRight w:val="0"/>
      <w:marTop w:val="0"/>
      <w:marBottom w:val="0"/>
      <w:divBdr>
        <w:top w:val="none" w:sz="0" w:space="0" w:color="auto"/>
        <w:left w:val="none" w:sz="0" w:space="0" w:color="auto"/>
        <w:bottom w:val="none" w:sz="0" w:space="0" w:color="auto"/>
        <w:right w:val="none" w:sz="0" w:space="0" w:color="auto"/>
      </w:divBdr>
    </w:div>
    <w:div w:id="550313971">
      <w:bodyDiv w:val="1"/>
      <w:marLeft w:val="0"/>
      <w:marRight w:val="0"/>
      <w:marTop w:val="0"/>
      <w:marBottom w:val="0"/>
      <w:divBdr>
        <w:top w:val="none" w:sz="0" w:space="0" w:color="auto"/>
        <w:left w:val="none" w:sz="0" w:space="0" w:color="auto"/>
        <w:bottom w:val="none" w:sz="0" w:space="0" w:color="auto"/>
        <w:right w:val="none" w:sz="0" w:space="0" w:color="auto"/>
      </w:divBdr>
    </w:div>
    <w:div w:id="552279017">
      <w:bodyDiv w:val="1"/>
      <w:marLeft w:val="0"/>
      <w:marRight w:val="0"/>
      <w:marTop w:val="0"/>
      <w:marBottom w:val="0"/>
      <w:divBdr>
        <w:top w:val="none" w:sz="0" w:space="0" w:color="auto"/>
        <w:left w:val="none" w:sz="0" w:space="0" w:color="auto"/>
        <w:bottom w:val="none" w:sz="0" w:space="0" w:color="auto"/>
        <w:right w:val="none" w:sz="0" w:space="0" w:color="auto"/>
      </w:divBdr>
    </w:div>
    <w:div w:id="553392023">
      <w:bodyDiv w:val="1"/>
      <w:marLeft w:val="0"/>
      <w:marRight w:val="0"/>
      <w:marTop w:val="0"/>
      <w:marBottom w:val="0"/>
      <w:divBdr>
        <w:top w:val="none" w:sz="0" w:space="0" w:color="auto"/>
        <w:left w:val="none" w:sz="0" w:space="0" w:color="auto"/>
        <w:bottom w:val="none" w:sz="0" w:space="0" w:color="auto"/>
        <w:right w:val="none" w:sz="0" w:space="0" w:color="auto"/>
      </w:divBdr>
    </w:div>
    <w:div w:id="555316329">
      <w:bodyDiv w:val="1"/>
      <w:marLeft w:val="0"/>
      <w:marRight w:val="0"/>
      <w:marTop w:val="0"/>
      <w:marBottom w:val="0"/>
      <w:divBdr>
        <w:top w:val="none" w:sz="0" w:space="0" w:color="auto"/>
        <w:left w:val="none" w:sz="0" w:space="0" w:color="auto"/>
        <w:bottom w:val="none" w:sz="0" w:space="0" w:color="auto"/>
        <w:right w:val="none" w:sz="0" w:space="0" w:color="auto"/>
      </w:divBdr>
    </w:div>
    <w:div w:id="556169109">
      <w:bodyDiv w:val="1"/>
      <w:marLeft w:val="0"/>
      <w:marRight w:val="0"/>
      <w:marTop w:val="0"/>
      <w:marBottom w:val="0"/>
      <w:divBdr>
        <w:top w:val="none" w:sz="0" w:space="0" w:color="auto"/>
        <w:left w:val="none" w:sz="0" w:space="0" w:color="auto"/>
        <w:bottom w:val="none" w:sz="0" w:space="0" w:color="auto"/>
        <w:right w:val="none" w:sz="0" w:space="0" w:color="auto"/>
      </w:divBdr>
    </w:div>
    <w:div w:id="558056948">
      <w:bodyDiv w:val="1"/>
      <w:marLeft w:val="0"/>
      <w:marRight w:val="0"/>
      <w:marTop w:val="0"/>
      <w:marBottom w:val="0"/>
      <w:divBdr>
        <w:top w:val="none" w:sz="0" w:space="0" w:color="auto"/>
        <w:left w:val="none" w:sz="0" w:space="0" w:color="auto"/>
        <w:bottom w:val="none" w:sz="0" w:space="0" w:color="auto"/>
        <w:right w:val="none" w:sz="0" w:space="0" w:color="auto"/>
      </w:divBdr>
    </w:div>
    <w:div w:id="559247161">
      <w:bodyDiv w:val="1"/>
      <w:marLeft w:val="0"/>
      <w:marRight w:val="0"/>
      <w:marTop w:val="0"/>
      <w:marBottom w:val="0"/>
      <w:divBdr>
        <w:top w:val="none" w:sz="0" w:space="0" w:color="auto"/>
        <w:left w:val="none" w:sz="0" w:space="0" w:color="auto"/>
        <w:bottom w:val="none" w:sz="0" w:space="0" w:color="auto"/>
        <w:right w:val="none" w:sz="0" w:space="0" w:color="auto"/>
      </w:divBdr>
    </w:div>
    <w:div w:id="561017317">
      <w:bodyDiv w:val="1"/>
      <w:marLeft w:val="0"/>
      <w:marRight w:val="0"/>
      <w:marTop w:val="0"/>
      <w:marBottom w:val="0"/>
      <w:divBdr>
        <w:top w:val="none" w:sz="0" w:space="0" w:color="auto"/>
        <w:left w:val="none" w:sz="0" w:space="0" w:color="auto"/>
        <w:bottom w:val="none" w:sz="0" w:space="0" w:color="auto"/>
        <w:right w:val="none" w:sz="0" w:space="0" w:color="auto"/>
      </w:divBdr>
    </w:div>
    <w:div w:id="561714824">
      <w:bodyDiv w:val="1"/>
      <w:marLeft w:val="0"/>
      <w:marRight w:val="0"/>
      <w:marTop w:val="0"/>
      <w:marBottom w:val="0"/>
      <w:divBdr>
        <w:top w:val="none" w:sz="0" w:space="0" w:color="auto"/>
        <w:left w:val="none" w:sz="0" w:space="0" w:color="auto"/>
        <w:bottom w:val="none" w:sz="0" w:space="0" w:color="auto"/>
        <w:right w:val="none" w:sz="0" w:space="0" w:color="auto"/>
      </w:divBdr>
    </w:div>
    <w:div w:id="561991564">
      <w:bodyDiv w:val="1"/>
      <w:marLeft w:val="0"/>
      <w:marRight w:val="0"/>
      <w:marTop w:val="0"/>
      <w:marBottom w:val="0"/>
      <w:divBdr>
        <w:top w:val="none" w:sz="0" w:space="0" w:color="auto"/>
        <w:left w:val="none" w:sz="0" w:space="0" w:color="auto"/>
        <w:bottom w:val="none" w:sz="0" w:space="0" w:color="auto"/>
        <w:right w:val="none" w:sz="0" w:space="0" w:color="auto"/>
      </w:divBdr>
    </w:div>
    <w:div w:id="562907514">
      <w:bodyDiv w:val="1"/>
      <w:marLeft w:val="0"/>
      <w:marRight w:val="0"/>
      <w:marTop w:val="0"/>
      <w:marBottom w:val="0"/>
      <w:divBdr>
        <w:top w:val="none" w:sz="0" w:space="0" w:color="auto"/>
        <w:left w:val="none" w:sz="0" w:space="0" w:color="auto"/>
        <w:bottom w:val="none" w:sz="0" w:space="0" w:color="auto"/>
        <w:right w:val="none" w:sz="0" w:space="0" w:color="auto"/>
      </w:divBdr>
    </w:div>
    <w:div w:id="564412522">
      <w:bodyDiv w:val="1"/>
      <w:marLeft w:val="0"/>
      <w:marRight w:val="0"/>
      <w:marTop w:val="0"/>
      <w:marBottom w:val="0"/>
      <w:divBdr>
        <w:top w:val="none" w:sz="0" w:space="0" w:color="auto"/>
        <w:left w:val="none" w:sz="0" w:space="0" w:color="auto"/>
        <w:bottom w:val="none" w:sz="0" w:space="0" w:color="auto"/>
        <w:right w:val="none" w:sz="0" w:space="0" w:color="auto"/>
      </w:divBdr>
    </w:div>
    <w:div w:id="565343297">
      <w:bodyDiv w:val="1"/>
      <w:marLeft w:val="0"/>
      <w:marRight w:val="0"/>
      <w:marTop w:val="0"/>
      <w:marBottom w:val="0"/>
      <w:divBdr>
        <w:top w:val="none" w:sz="0" w:space="0" w:color="auto"/>
        <w:left w:val="none" w:sz="0" w:space="0" w:color="auto"/>
        <w:bottom w:val="none" w:sz="0" w:space="0" w:color="auto"/>
        <w:right w:val="none" w:sz="0" w:space="0" w:color="auto"/>
      </w:divBdr>
    </w:div>
    <w:div w:id="569314482">
      <w:bodyDiv w:val="1"/>
      <w:marLeft w:val="0"/>
      <w:marRight w:val="0"/>
      <w:marTop w:val="0"/>
      <w:marBottom w:val="0"/>
      <w:divBdr>
        <w:top w:val="none" w:sz="0" w:space="0" w:color="auto"/>
        <w:left w:val="none" w:sz="0" w:space="0" w:color="auto"/>
        <w:bottom w:val="none" w:sz="0" w:space="0" w:color="auto"/>
        <w:right w:val="none" w:sz="0" w:space="0" w:color="auto"/>
      </w:divBdr>
    </w:div>
    <w:div w:id="569773142">
      <w:bodyDiv w:val="1"/>
      <w:marLeft w:val="0"/>
      <w:marRight w:val="0"/>
      <w:marTop w:val="0"/>
      <w:marBottom w:val="0"/>
      <w:divBdr>
        <w:top w:val="none" w:sz="0" w:space="0" w:color="auto"/>
        <w:left w:val="none" w:sz="0" w:space="0" w:color="auto"/>
        <w:bottom w:val="none" w:sz="0" w:space="0" w:color="auto"/>
        <w:right w:val="none" w:sz="0" w:space="0" w:color="auto"/>
      </w:divBdr>
    </w:div>
    <w:div w:id="574168799">
      <w:bodyDiv w:val="1"/>
      <w:marLeft w:val="0"/>
      <w:marRight w:val="0"/>
      <w:marTop w:val="0"/>
      <w:marBottom w:val="0"/>
      <w:divBdr>
        <w:top w:val="none" w:sz="0" w:space="0" w:color="auto"/>
        <w:left w:val="none" w:sz="0" w:space="0" w:color="auto"/>
        <w:bottom w:val="none" w:sz="0" w:space="0" w:color="auto"/>
        <w:right w:val="none" w:sz="0" w:space="0" w:color="auto"/>
      </w:divBdr>
    </w:div>
    <w:div w:id="574507797">
      <w:bodyDiv w:val="1"/>
      <w:marLeft w:val="0"/>
      <w:marRight w:val="0"/>
      <w:marTop w:val="0"/>
      <w:marBottom w:val="0"/>
      <w:divBdr>
        <w:top w:val="none" w:sz="0" w:space="0" w:color="auto"/>
        <w:left w:val="none" w:sz="0" w:space="0" w:color="auto"/>
        <w:bottom w:val="none" w:sz="0" w:space="0" w:color="auto"/>
        <w:right w:val="none" w:sz="0" w:space="0" w:color="auto"/>
      </w:divBdr>
    </w:div>
    <w:div w:id="576331579">
      <w:bodyDiv w:val="1"/>
      <w:marLeft w:val="0"/>
      <w:marRight w:val="0"/>
      <w:marTop w:val="0"/>
      <w:marBottom w:val="0"/>
      <w:divBdr>
        <w:top w:val="none" w:sz="0" w:space="0" w:color="auto"/>
        <w:left w:val="none" w:sz="0" w:space="0" w:color="auto"/>
        <w:bottom w:val="none" w:sz="0" w:space="0" w:color="auto"/>
        <w:right w:val="none" w:sz="0" w:space="0" w:color="auto"/>
      </w:divBdr>
    </w:div>
    <w:div w:id="576862684">
      <w:bodyDiv w:val="1"/>
      <w:marLeft w:val="0"/>
      <w:marRight w:val="0"/>
      <w:marTop w:val="0"/>
      <w:marBottom w:val="0"/>
      <w:divBdr>
        <w:top w:val="none" w:sz="0" w:space="0" w:color="auto"/>
        <w:left w:val="none" w:sz="0" w:space="0" w:color="auto"/>
        <w:bottom w:val="none" w:sz="0" w:space="0" w:color="auto"/>
        <w:right w:val="none" w:sz="0" w:space="0" w:color="auto"/>
      </w:divBdr>
    </w:div>
    <w:div w:id="577132353">
      <w:bodyDiv w:val="1"/>
      <w:marLeft w:val="0"/>
      <w:marRight w:val="0"/>
      <w:marTop w:val="0"/>
      <w:marBottom w:val="0"/>
      <w:divBdr>
        <w:top w:val="none" w:sz="0" w:space="0" w:color="auto"/>
        <w:left w:val="none" w:sz="0" w:space="0" w:color="auto"/>
        <w:bottom w:val="none" w:sz="0" w:space="0" w:color="auto"/>
        <w:right w:val="none" w:sz="0" w:space="0" w:color="auto"/>
      </w:divBdr>
    </w:div>
    <w:div w:id="581061223">
      <w:bodyDiv w:val="1"/>
      <w:marLeft w:val="0"/>
      <w:marRight w:val="0"/>
      <w:marTop w:val="0"/>
      <w:marBottom w:val="0"/>
      <w:divBdr>
        <w:top w:val="none" w:sz="0" w:space="0" w:color="auto"/>
        <w:left w:val="none" w:sz="0" w:space="0" w:color="auto"/>
        <w:bottom w:val="none" w:sz="0" w:space="0" w:color="auto"/>
        <w:right w:val="none" w:sz="0" w:space="0" w:color="auto"/>
      </w:divBdr>
    </w:div>
    <w:div w:id="581571045">
      <w:bodyDiv w:val="1"/>
      <w:marLeft w:val="0"/>
      <w:marRight w:val="0"/>
      <w:marTop w:val="0"/>
      <w:marBottom w:val="0"/>
      <w:divBdr>
        <w:top w:val="none" w:sz="0" w:space="0" w:color="auto"/>
        <w:left w:val="none" w:sz="0" w:space="0" w:color="auto"/>
        <w:bottom w:val="none" w:sz="0" w:space="0" w:color="auto"/>
        <w:right w:val="none" w:sz="0" w:space="0" w:color="auto"/>
      </w:divBdr>
    </w:div>
    <w:div w:id="581765386">
      <w:bodyDiv w:val="1"/>
      <w:marLeft w:val="0"/>
      <w:marRight w:val="0"/>
      <w:marTop w:val="0"/>
      <w:marBottom w:val="0"/>
      <w:divBdr>
        <w:top w:val="none" w:sz="0" w:space="0" w:color="auto"/>
        <w:left w:val="none" w:sz="0" w:space="0" w:color="auto"/>
        <w:bottom w:val="none" w:sz="0" w:space="0" w:color="auto"/>
        <w:right w:val="none" w:sz="0" w:space="0" w:color="auto"/>
      </w:divBdr>
    </w:div>
    <w:div w:id="583031045">
      <w:bodyDiv w:val="1"/>
      <w:marLeft w:val="0"/>
      <w:marRight w:val="0"/>
      <w:marTop w:val="0"/>
      <w:marBottom w:val="0"/>
      <w:divBdr>
        <w:top w:val="none" w:sz="0" w:space="0" w:color="auto"/>
        <w:left w:val="none" w:sz="0" w:space="0" w:color="auto"/>
        <w:bottom w:val="none" w:sz="0" w:space="0" w:color="auto"/>
        <w:right w:val="none" w:sz="0" w:space="0" w:color="auto"/>
      </w:divBdr>
    </w:div>
    <w:div w:id="583295625">
      <w:bodyDiv w:val="1"/>
      <w:marLeft w:val="0"/>
      <w:marRight w:val="0"/>
      <w:marTop w:val="0"/>
      <w:marBottom w:val="0"/>
      <w:divBdr>
        <w:top w:val="none" w:sz="0" w:space="0" w:color="auto"/>
        <w:left w:val="none" w:sz="0" w:space="0" w:color="auto"/>
        <w:bottom w:val="none" w:sz="0" w:space="0" w:color="auto"/>
        <w:right w:val="none" w:sz="0" w:space="0" w:color="auto"/>
      </w:divBdr>
    </w:div>
    <w:div w:id="583729657">
      <w:bodyDiv w:val="1"/>
      <w:marLeft w:val="0"/>
      <w:marRight w:val="0"/>
      <w:marTop w:val="0"/>
      <w:marBottom w:val="0"/>
      <w:divBdr>
        <w:top w:val="none" w:sz="0" w:space="0" w:color="auto"/>
        <w:left w:val="none" w:sz="0" w:space="0" w:color="auto"/>
        <w:bottom w:val="none" w:sz="0" w:space="0" w:color="auto"/>
        <w:right w:val="none" w:sz="0" w:space="0" w:color="auto"/>
      </w:divBdr>
    </w:div>
    <w:div w:id="584849690">
      <w:bodyDiv w:val="1"/>
      <w:marLeft w:val="0"/>
      <w:marRight w:val="0"/>
      <w:marTop w:val="0"/>
      <w:marBottom w:val="0"/>
      <w:divBdr>
        <w:top w:val="none" w:sz="0" w:space="0" w:color="auto"/>
        <w:left w:val="none" w:sz="0" w:space="0" w:color="auto"/>
        <w:bottom w:val="none" w:sz="0" w:space="0" w:color="auto"/>
        <w:right w:val="none" w:sz="0" w:space="0" w:color="auto"/>
      </w:divBdr>
    </w:div>
    <w:div w:id="586503838">
      <w:bodyDiv w:val="1"/>
      <w:marLeft w:val="0"/>
      <w:marRight w:val="0"/>
      <w:marTop w:val="0"/>
      <w:marBottom w:val="0"/>
      <w:divBdr>
        <w:top w:val="none" w:sz="0" w:space="0" w:color="auto"/>
        <w:left w:val="none" w:sz="0" w:space="0" w:color="auto"/>
        <w:bottom w:val="none" w:sz="0" w:space="0" w:color="auto"/>
        <w:right w:val="none" w:sz="0" w:space="0" w:color="auto"/>
      </w:divBdr>
    </w:div>
    <w:div w:id="586964110">
      <w:bodyDiv w:val="1"/>
      <w:marLeft w:val="0"/>
      <w:marRight w:val="0"/>
      <w:marTop w:val="0"/>
      <w:marBottom w:val="0"/>
      <w:divBdr>
        <w:top w:val="none" w:sz="0" w:space="0" w:color="auto"/>
        <w:left w:val="none" w:sz="0" w:space="0" w:color="auto"/>
        <w:bottom w:val="none" w:sz="0" w:space="0" w:color="auto"/>
        <w:right w:val="none" w:sz="0" w:space="0" w:color="auto"/>
      </w:divBdr>
    </w:div>
    <w:div w:id="587160508">
      <w:bodyDiv w:val="1"/>
      <w:marLeft w:val="0"/>
      <w:marRight w:val="0"/>
      <w:marTop w:val="0"/>
      <w:marBottom w:val="0"/>
      <w:divBdr>
        <w:top w:val="none" w:sz="0" w:space="0" w:color="auto"/>
        <w:left w:val="none" w:sz="0" w:space="0" w:color="auto"/>
        <w:bottom w:val="none" w:sz="0" w:space="0" w:color="auto"/>
        <w:right w:val="none" w:sz="0" w:space="0" w:color="auto"/>
      </w:divBdr>
    </w:div>
    <w:div w:id="587543767">
      <w:bodyDiv w:val="1"/>
      <w:marLeft w:val="0"/>
      <w:marRight w:val="0"/>
      <w:marTop w:val="0"/>
      <w:marBottom w:val="0"/>
      <w:divBdr>
        <w:top w:val="none" w:sz="0" w:space="0" w:color="auto"/>
        <w:left w:val="none" w:sz="0" w:space="0" w:color="auto"/>
        <w:bottom w:val="none" w:sz="0" w:space="0" w:color="auto"/>
        <w:right w:val="none" w:sz="0" w:space="0" w:color="auto"/>
      </w:divBdr>
    </w:div>
    <w:div w:id="589973546">
      <w:bodyDiv w:val="1"/>
      <w:marLeft w:val="0"/>
      <w:marRight w:val="0"/>
      <w:marTop w:val="0"/>
      <w:marBottom w:val="0"/>
      <w:divBdr>
        <w:top w:val="none" w:sz="0" w:space="0" w:color="auto"/>
        <w:left w:val="none" w:sz="0" w:space="0" w:color="auto"/>
        <w:bottom w:val="none" w:sz="0" w:space="0" w:color="auto"/>
        <w:right w:val="none" w:sz="0" w:space="0" w:color="auto"/>
      </w:divBdr>
    </w:div>
    <w:div w:id="590814214">
      <w:bodyDiv w:val="1"/>
      <w:marLeft w:val="0"/>
      <w:marRight w:val="0"/>
      <w:marTop w:val="0"/>
      <w:marBottom w:val="0"/>
      <w:divBdr>
        <w:top w:val="none" w:sz="0" w:space="0" w:color="auto"/>
        <w:left w:val="none" w:sz="0" w:space="0" w:color="auto"/>
        <w:bottom w:val="none" w:sz="0" w:space="0" w:color="auto"/>
        <w:right w:val="none" w:sz="0" w:space="0" w:color="auto"/>
      </w:divBdr>
    </w:div>
    <w:div w:id="593781491">
      <w:bodyDiv w:val="1"/>
      <w:marLeft w:val="0"/>
      <w:marRight w:val="0"/>
      <w:marTop w:val="0"/>
      <w:marBottom w:val="0"/>
      <w:divBdr>
        <w:top w:val="none" w:sz="0" w:space="0" w:color="auto"/>
        <w:left w:val="none" w:sz="0" w:space="0" w:color="auto"/>
        <w:bottom w:val="none" w:sz="0" w:space="0" w:color="auto"/>
        <w:right w:val="none" w:sz="0" w:space="0" w:color="auto"/>
      </w:divBdr>
    </w:div>
    <w:div w:id="595940212">
      <w:bodyDiv w:val="1"/>
      <w:marLeft w:val="0"/>
      <w:marRight w:val="0"/>
      <w:marTop w:val="0"/>
      <w:marBottom w:val="0"/>
      <w:divBdr>
        <w:top w:val="none" w:sz="0" w:space="0" w:color="auto"/>
        <w:left w:val="none" w:sz="0" w:space="0" w:color="auto"/>
        <w:bottom w:val="none" w:sz="0" w:space="0" w:color="auto"/>
        <w:right w:val="none" w:sz="0" w:space="0" w:color="auto"/>
      </w:divBdr>
    </w:div>
    <w:div w:id="598022125">
      <w:bodyDiv w:val="1"/>
      <w:marLeft w:val="0"/>
      <w:marRight w:val="0"/>
      <w:marTop w:val="0"/>
      <w:marBottom w:val="0"/>
      <w:divBdr>
        <w:top w:val="none" w:sz="0" w:space="0" w:color="auto"/>
        <w:left w:val="none" w:sz="0" w:space="0" w:color="auto"/>
        <w:bottom w:val="none" w:sz="0" w:space="0" w:color="auto"/>
        <w:right w:val="none" w:sz="0" w:space="0" w:color="auto"/>
      </w:divBdr>
    </w:div>
    <w:div w:id="601957475">
      <w:bodyDiv w:val="1"/>
      <w:marLeft w:val="0"/>
      <w:marRight w:val="0"/>
      <w:marTop w:val="0"/>
      <w:marBottom w:val="0"/>
      <w:divBdr>
        <w:top w:val="none" w:sz="0" w:space="0" w:color="auto"/>
        <w:left w:val="none" w:sz="0" w:space="0" w:color="auto"/>
        <w:bottom w:val="none" w:sz="0" w:space="0" w:color="auto"/>
        <w:right w:val="none" w:sz="0" w:space="0" w:color="auto"/>
      </w:divBdr>
    </w:div>
    <w:div w:id="608591111">
      <w:bodyDiv w:val="1"/>
      <w:marLeft w:val="0"/>
      <w:marRight w:val="0"/>
      <w:marTop w:val="0"/>
      <w:marBottom w:val="0"/>
      <w:divBdr>
        <w:top w:val="none" w:sz="0" w:space="0" w:color="auto"/>
        <w:left w:val="none" w:sz="0" w:space="0" w:color="auto"/>
        <w:bottom w:val="none" w:sz="0" w:space="0" w:color="auto"/>
        <w:right w:val="none" w:sz="0" w:space="0" w:color="auto"/>
      </w:divBdr>
    </w:div>
    <w:div w:id="610862346">
      <w:bodyDiv w:val="1"/>
      <w:marLeft w:val="0"/>
      <w:marRight w:val="0"/>
      <w:marTop w:val="0"/>
      <w:marBottom w:val="0"/>
      <w:divBdr>
        <w:top w:val="none" w:sz="0" w:space="0" w:color="auto"/>
        <w:left w:val="none" w:sz="0" w:space="0" w:color="auto"/>
        <w:bottom w:val="none" w:sz="0" w:space="0" w:color="auto"/>
        <w:right w:val="none" w:sz="0" w:space="0" w:color="auto"/>
      </w:divBdr>
    </w:div>
    <w:div w:id="612828938">
      <w:bodyDiv w:val="1"/>
      <w:marLeft w:val="0"/>
      <w:marRight w:val="0"/>
      <w:marTop w:val="0"/>
      <w:marBottom w:val="0"/>
      <w:divBdr>
        <w:top w:val="none" w:sz="0" w:space="0" w:color="auto"/>
        <w:left w:val="none" w:sz="0" w:space="0" w:color="auto"/>
        <w:bottom w:val="none" w:sz="0" w:space="0" w:color="auto"/>
        <w:right w:val="none" w:sz="0" w:space="0" w:color="auto"/>
      </w:divBdr>
    </w:div>
    <w:div w:id="614287406">
      <w:bodyDiv w:val="1"/>
      <w:marLeft w:val="0"/>
      <w:marRight w:val="0"/>
      <w:marTop w:val="0"/>
      <w:marBottom w:val="0"/>
      <w:divBdr>
        <w:top w:val="none" w:sz="0" w:space="0" w:color="auto"/>
        <w:left w:val="none" w:sz="0" w:space="0" w:color="auto"/>
        <w:bottom w:val="none" w:sz="0" w:space="0" w:color="auto"/>
        <w:right w:val="none" w:sz="0" w:space="0" w:color="auto"/>
      </w:divBdr>
    </w:div>
    <w:div w:id="617220802">
      <w:bodyDiv w:val="1"/>
      <w:marLeft w:val="0"/>
      <w:marRight w:val="0"/>
      <w:marTop w:val="0"/>
      <w:marBottom w:val="0"/>
      <w:divBdr>
        <w:top w:val="none" w:sz="0" w:space="0" w:color="auto"/>
        <w:left w:val="none" w:sz="0" w:space="0" w:color="auto"/>
        <w:bottom w:val="none" w:sz="0" w:space="0" w:color="auto"/>
        <w:right w:val="none" w:sz="0" w:space="0" w:color="auto"/>
      </w:divBdr>
    </w:div>
    <w:div w:id="617637914">
      <w:bodyDiv w:val="1"/>
      <w:marLeft w:val="0"/>
      <w:marRight w:val="0"/>
      <w:marTop w:val="0"/>
      <w:marBottom w:val="0"/>
      <w:divBdr>
        <w:top w:val="none" w:sz="0" w:space="0" w:color="auto"/>
        <w:left w:val="none" w:sz="0" w:space="0" w:color="auto"/>
        <w:bottom w:val="none" w:sz="0" w:space="0" w:color="auto"/>
        <w:right w:val="none" w:sz="0" w:space="0" w:color="auto"/>
      </w:divBdr>
    </w:div>
    <w:div w:id="618535623">
      <w:bodyDiv w:val="1"/>
      <w:marLeft w:val="0"/>
      <w:marRight w:val="0"/>
      <w:marTop w:val="0"/>
      <w:marBottom w:val="0"/>
      <w:divBdr>
        <w:top w:val="none" w:sz="0" w:space="0" w:color="auto"/>
        <w:left w:val="none" w:sz="0" w:space="0" w:color="auto"/>
        <w:bottom w:val="none" w:sz="0" w:space="0" w:color="auto"/>
        <w:right w:val="none" w:sz="0" w:space="0" w:color="auto"/>
      </w:divBdr>
    </w:div>
    <w:div w:id="620065443">
      <w:bodyDiv w:val="1"/>
      <w:marLeft w:val="0"/>
      <w:marRight w:val="0"/>
      <w:marTop w:val="0"/>
      <w:marBottom w:val="0"/>
      <w:divBdr>
        <w:top w:val="none" w:sz="0" w:space="0" w:color="auto"/>
        <w:left w:val="none" w:sz="0" w:space="0" w:color="auto"/>
        <w:bottom w:val="none" w:sz="0" w:space="0" w:color="auto"/>
        <w:right w:val="none" w:sz="0" w:space="0" w:color="auto"/>
      </w:divBdr>
    </w:div>
    <w:div w:id="621229476">
      <w:bodyDiv w:val="1"/>
      <w:marLeft w:val="0"/>
      <w:marRight w:val="0"/>
      <w:marTop w:val="0"/>
      <w:marBottom w:val="0"/>
      <w:divBdr>
        <w:top w:val="none" w:sz="0" w:space="0" w:color="auto"/>
        <w:left w:val="none" w:sz="0" w:space="0" w:color="auto"/>
        <w:bottom w:val="none" w:sz="0" w:space="0" w:color="auto"/>
        <w:right w:val="none" w:sz="0" w:space="0" w:color="auto"/>
      </w:divBdr>
    </w:div>
    <w:div w:id="621570791">
      <w:bodyDiv w:val="1"/>
      <w:marLeft w:val="0"/>
      <w:marRight w:val="0"/>
      <w:marTop w:val="0"/>
      <w:marBottom w:val="0"/>
      <w:divBdr>
        <w:top w:val="none" w:sz="0" w:space="0" w:color="auto"/>
        <w:left w:val="none" w:sz="0" w:space="0" w:color="auto"/>
        <w:bottom w:val="none" w:sz="0" w:space="0" w:color="auto"/>
        <w:right w:val="none" w:sz="0" w:space="0" w:color="auto"/>
      </w:divBdr>
    </w:div>
    <w:div w:id="625088920">
      <w:bodyDiv w:val="1"/>
      <w:marLeft w:val="0"/>
      <w:marRight w:val="0"/>
      <w:marTop w:val="0"/>
      <w:marBottom w:val="0"/>
      <w:divBdr>
        <w:top w:val="none" w:sz="0" w:space="0" w:color="auto"/>
        <w:left w:val="none" w:sz="0" w:space="0" w:color="auto"/>
        <w:bottom w:val="none" w:sz="0" w:space="0" w:color="auto"/>
        <w:right w:val="none" w:sz="0" w:space="0" w:color="auto"/>
      </w:divBdr>
    </w:div>
    <w:div w:id="627246043">
      <w:bodyDiv w:val="1"/>
      <w:marLeft w:val="0"/>
      <w:marRight w:val="0"/>
      <w:marTop w:val="0"/>
      <w:marBottom w:val="0"/>
      <w:divBdr>
        <w:top w:val="none" w:sz="0" w:space="0" w:color="auto"/>
        <w:left w:val="none" w:sz="0" w:space="0" w:color="auto"/>
        <w:bottom w:val="none" w:sz="0" w:space="0" w:color="auto"/>
        <w:right w:val="none" w:sz="0" w:space="0" w:color="auto"/>
      </w:divBdr>
    </w:div>
    <w:div w:id="627661940">
      <w:bodyDiv w:val="1"/>
      <w:marLeft w:val="0"/>
      <w:marRight w:val="0"/>
      <w:marTop w:val="0"/>
      <w:marBottom w:val="0"/>
      <w:divBdr>
        <w:top w:val="none" w:sz="0" w:space="0" w:color="auto"/>
        <w:left w:val="none" w:sz="0" w:space="0" w:color="auto"/>
        <w:bottom w:val="none" w:sz="0" w:space="0" w:color="auto"/>
        <w:right w:val="none" w:sz="0" w:space="0" w:color="auto"/>
      </w:divBdr>
    </w:div>
    <w:div w:id="629285419">
      <w:bodyDiv w:val="1"/>
      <w:marLeft w:val="0"/>
      <w:marRight w:val="0"/>
      <w:marTop w:val="0"/>
      <w:marBottom w:val="0"/>
      <w:divBdr>
        <w:top w:val="none" w:sz="0" w:space="0" w:color="auto"/>
        <w:left w:val="none" w:sz="0" w:space="0" w:color="auto"/>
        <w:bottom w:val="none" w:sz="0" w:space="0" w:color="auto"/>
        <w:right w:val="none" w:sz="0" w:space="0" w:color="auto"/>
      </w:divBdr>
    </w:div>
    <w:div w:id="630942594">
      <w:bodyDiv w:val="1"/>
      <w:marLeft w:val="0"/>
      <w:marRight w:val="0"/>
      <w:marTop w:val="0"/>
      <w:marBottom w:val="0"/>
      <w:divBdr>
        <w:top w:val="none" w:sz="0" w:space="0" w:color="auto"/>
        <w:left w:val="none" w:sz="0" w:space="0" w:color="auto"/>
        <w:bottom w:val="none" w:sz="0" w:space="0" w:color="auto"/>
        <w:right w:val="none" w:sz="0" w:space="0" w:color="auto"/>
      </w:divBdr>
    </w:div>
    <w:div w:id="634410598">
      <w:bodyDiv w:val="1"/>
      <w:marLeft w:val="0"/>
      <w:marRight w:val="0"/>
      <w:marTop w:val="0"/>
      <w:marBottom w:val="0"/>
      <w:divBdr>
        <w:top w:val="none" w:sz="0" w:space="0" w:color="auto"/>
        <w:left w:val="none" w:sz="0" w:space="0" w:color="auto"/>
        <w:bottom w:val="none" w:sz="0" w:space="0" w:color="auto"/>
        <w:right w:val="none" w:sz="0" w:space="0" w:color="auto"/>
      </w:divBdr>
    </w:div>
    <w:div w:id="637078960">
      <w:bodyDiv w:val="1"/>
      <w:marLeft w:val="0"/>
      <w:marRight w:val="0"/>
      <w:marTop w:val="0"/>
      <w:marBottom w:val="0"/>
      <w:divBdr>
        <w:top w:val="none" w:sz="0" w:space="0" w:color="auto"/>
        <w:left w:val="none" w:sz="0" w:space="0" w:color="auto"/>
        <w:bottom w:val="none" w:sz="0" w:space="0" w:color="auto"/>
        <w:right w:val="none" w:sz="0" w:space="0" w:color="auto"/>
      </w:divBdr>
    </w:div>
    <w:div w:id="637345994">
      <w:bodyDiv w:val="1"/>
      <w:marLeft w:val="0"/>
      <w:marRight w:val="0"/>
      <w:marTop w:val="0"/>
      <w:marBottom w:val="0"/>
      <w:divBdr>
        <w:top w:val="none" w:sz="0" w:space="0" w:color="auto"/>
        <w:left w:val="none" w:sz="0" w:space="0" w:color="auto"/>
        <w:bottom w:val="none" w:sz="0" w:space="0" w:color="auto"/>
        <w:right w:val="none" w:sz="0" w:space="0" w:color="auto"/>
      </w:divBdr>
    </w:div>
    <w:div w:id="637540047">
      <w:bodyDiv w:val="1"/>
      <w:marLeft w:val="0"/>
      <w:marRight w:val="0"/>
      <w:marTop w:val="0"/>
      <w:marBottom w:val="0"/>
      <w:divBdr>
        <w:top w:val="none" w:sz="0" w:space="0" w:color="auto"/>
        <w:left w:val="none" w:sz="0" w:space="0" w:color="auto"/>
        <w:bottom w:val="none" w:sz="0" w:space="0" w:color="auto"/>
        <w:right w:val="none" w:sz="0" w:space="0" w:color="auto"/>
      </w:divBdr>
    </w:div>
    <w:div w:id="638343219">
      <w:bodyDiv w:val="1"/>
      <w:marLeft w:val="0"/>
      <w:marRight w:val="0"/>
      <w:marTop w:val="0"/>
      <w:marBottom w:val="0"/>
      <w:divBdr>
        <w:top w:val="none" w:sz="0" w:space="0" w:color="auto"/>
        <w:left w:val="none" w:sz="0" w:space="0" w:color="auto"/>
        <w:bottom w:val="none" w:sz="0" w:space="0" w:color="auto"/>
        <w:right w:val="none" w:sz="0" w:space="0" w:color="auto"/>
      </w:divBdr>
    </w:div>
    <w:div w:id="639723991">
      <w:bodyDiv w:val="1"/>
      <w:marLeft w:val="0"/>
      <w:marRight w:val="0"/>
      <w:marTop w:val="0"/>
      <w:marBottom w:val="0"/>
      <w:divBdr>
        <w:top w:val="none" w:sz="0" w:space="0" w:color="auto"/>
        <w:left w:val="none" w:sz="0" w:space="0" w:color="auto"/>
        <w:bottom w:val="none" w:sz="0" w:space="0" w:color="auto"/>
        <w:right w:val="none" w:sz="0" w:space="0" w:color="auto"/>
      </w:divBdr>
    </w:div>
    <w:div w:id="641467059">
      <w:bodyDiv w:val="1"/>
      <w:marLeft w:val="0"/>
      <w:marRight w:val="0"/>
      <w:marTop w:val="0"/>
      <w:marBottom w:val="0"/>
      <w:divBdr>
        <w:top w:val="none" w:sz="0" w:space="0" w:color="auto"/>
        <w:left w:val="none" w:sz="0" w:space="0" w:color="auto"/>
        <w:bottom w:val="none" w:sz="0" w:space="0" w:color="auto"/>
        <w:right w:val="none" w:sz="0" w:space="0" w:color="auto"/>
      </w:divBdr>
    </w:div>
    <w:div w:id="643245121">
      <w:bodyDiv w:val="1"/>
      <w:marLeft w:val="0"/>
      <w:marRight w:val="0"/>
      <w:marTop w:val="0"/>
      <w:marBottom w:val="0"/>
      <w:divBdr>
        <w:top w:val="none" w:sz="0" w:space="0" w:color="auto"/>
        <w:left w:val="none" w:sz="0" w:space="0" w:color="auto"/>
        <w:bottom w:val="none" w:sz="0" w:space="0" w:color="auto"/>
        <w:right w:val="none" w:sz="0" w:space="0" w:color="auto"/>
      </w:divBdr>
    </w:div>
    <w:div w:id="643511010">
      <w:bodyDiv w:val="1"/>
      <w:marLeft w:val="0"/>
      <w:marRight w:val="0"/>
      <w:marTop w:val="0"/>
      <w:marBottom w:val="0"/>
      <w:divBdr>
        <w:top w:val="none" w:sz="0" w:space="0" w:color="auto"/>
        <w:left w:val="none" w:sz="0" w:space="0" w:color="auto"/>
        <w:bottom w:val="none" w:sz="0" w:space="0" w:color="auto"/>
        <w:right w:val="none" w:sz="0" w:space="0" w:color="auto"/>
      </w:divBdr>
    </w:div>
    <w:div w:id="643848240">
      <w:bodyDiv w:val="1"/>
      <w:marLeft w:val="0"/>
      <w:marRight w:val="0"/>
      <w:marTop w:val="0"/>
      <w:marBottom w:val="0"/>
      <w:divBdr>
        <w:top w:val="none" w:sz="0" w:space="0" w:color="auto"/>
        <w:left w:val="none" w:sz="0" w:space="0" w:color="auto"/>
        <w:bottom w:val="none" w:sz="0" w:space="0" w:color="auto"/>
        <w:right w:val="none" w:sz="0" w:space="0" w:color="auto"/>
      </w:divBdr>
    </w:div>
    <w:div w:id="643849058">
      <w:bodyDiv w:val="1"/>
      <w:marLeft w:val="0"/>
      <w:marRight w:val="0"/>
      <w:marTop w:val="0"/>
      <w:marBottom w:val="0"/>
      <w:divBdr>
        <w:top w:val="none" w:sz="0" w:space="0" w:color="auto"/>
        <w:left w:val="none" w:sz="0" w:space="0" w:color="auto"/>
        <w:bottom w:val="none" w:sz="0" w:space="0" w:color="auto"/>
        <w:right w:val="none" w:sz="0" w:space="0" w:color="auto"/>
      </w:divBdr>
    </w:div>
    <w:div w:id="646251970">
      <w:bodyDiv w:val="1"/>
      <w:marLeft w:val="0"/>
      <w:marRight w:val="0"/>
      <w:marTop w:val="0"/>
      <w:marBottom w:val="0"/>
      <w:divBdr>
        <w:top w:val="none" w:sz="0" w:space="0" w:color="auto"/>
        <w:left w:val="none" w:sz="0" w:space="0" w:color="auto"/>
        <w:bottom w:val="none" w:sz="0" w:space="0" w:color="auto"/>
        <w:right w:val="none" w:sz="0" w:space="0" w:color="auto"/>
      </w:divBdr>
    </w:div>
    <w:div w:id="648485348">
      <w:bodyDiv w:val="1"/>
      <w:marLeft w:val="0"/>
      <w:marRight w:val="0"/>
      <w:marTop w:val="0"/>
      <w:marBottom w:val="0"/>
      <w:divBdr>
        <w:top w:val="none" w:sz="0" w:space="0" w:color="auto"/>
        <w:left w:val="none" w:sz="0" w:space="0" w:color="auto"/>
        <w:bottom w:val="none" w:sz="0" w:space="0" w:color="auto"/>
        <w:right w:val="none" w:sz="0" w:space="0" w:color="auto"/>
      </w:divBdr>
    </w:div>
    <w:div w:id="649165772">
      <w:bodyDiv w:val="1"/>
      <w:marLeft w:val="0"/>
      <w:marRight w:val="0"/>
      <w:marTop w:val="0"/>
      <w:marBottom w:val="0"/>
      <w:divBdr>
        <w:top w:val="none" w:sz="0" w:space="0" w:color="auto"/>
        <w:left w:val="none" w:sz="0" w:space="0" w:color="auto"/>
        <w:bottom w:val="none" w:sz="0" w:space="0" w:color="auto"/>
        <w:right w:val="none" w:sz="0" w:space="0" w:color="auto"/>
      </w:divBdr>
    </w:div>
    <w:div w:id="649945750">
      <w:bodyDiv w:val="1"/>
      <w:marLeft w:val="0"/>
      <w:marRight w:val="0"/>
      <w:marTop w:val="0"/>
      <w:marBottom w:val="0"/>
      <w:divBdr>
        <w:top w:val="none" w:sz="0" w:space="0" w:color="auto"/>
        <w:left w:val="none" w:sz="0" w:space="0" w:color="auto"/>
        <w:bottom w:val="none" w:sz="0" w:space="0" w:color="auto"/>
        <w:right w:val="none" w:sz="0" w:space="0" w:color="auto"/>
      </w:divBdr>
    </w:div>
    <w:div w:id="652031358">
      <w:bodyDiv w:val="1"/>
      <w:marLeft w:val="0"/>
      <w:marRight w:val="0"/>
      <w:marTop w:val="0"/>
      <w:marBottom w:val="0"/>
      <w:divBdr>
        <w:top w:val="none" w:sz="0" w:space="0" w:color="auto"/>
        <w:left w:val="none" w:sz="0" w:space="0" w:color="auto"/>
        <w:bottom w:val="none" w:sz="0" w:space="0" w:color="auto"/>
        <w:right w:val="none" w:sz="0" w:space="0" w:color="auto"/>
      </w:divBdr>
    </w:div>
    <w:div w:id="653025691">
      <w:bodyDiv w:val="1"/>
      <w:marLeft w:val="0"/>
      <w:marRight w:val="0"/>
      <w:marTop w:val="0"/>
      <w:marBottom w:val="0"/>
      <w:divBdr>
        <w:top w:val="none" w:sz="0" w:space="0" w:color="auto"/>
        <w:left w:val="none" w:sz="0" w:space="0" w:color="auto"/>
        <w:bottom w:val="none" w:sz="0" w:space="0" w:color="auto"/>
        <w:right w:val="none" w:sz="0" w:space="0" w:color="auto"/>
      </w:divBdr>
    </w:div>
    <w:div w:id="656155010">
      <w:bodyDiv w:val="1"/>
      <w:marLeft w:val="0"/>
      <w:marRight w:val="0"/>
      <w:marTop w:val="0"/>
      <w:marBottom w:val="0"/>
      <w:divBdr>
        <w:top w:val="none" w:sz="0" w:space="0" w:color="auto"/>
        <w:left w:val="none" w:sz="0" w:space="0" w:color="auto"/>
        <w:bottom w:val="none" w:sz="0" w:space="0" w:color="auto"/>
        <w:right w:val="none" w:sz="0" w:space="0" w:color="auto"/>
      </w:divBdr>
    </w:div>
    <w:div w:id="656882072">
      <w:bodyDiv w:val="1"/>
      <w:marLeft w:val="0"/>
      <w:marRight w:val="0"/>
      <w:marTop w:val="0"/>
      <w:marBottom w:val="0"/>
      <w:divBdr>
        <w:top w:val="none" w:sz="0" w:space="0" w:color="auto"/>
        <w:left w:val="none" w:sz="0" w:space="0" w:color="auto"/>
        <w:bottom w:val="none" w:sz="0" w:space="0" w:color="auto"/>
        <w:right w:val="none" w:sz="0" w:space="0" w:color="auto"/>
      </w:divBdr>
    </w:div>
    <w:div w:id="658775665">
      <w:bodyDiv w:val="1"/>
      <w:marLeft w:val="0"/>
      <w:marRight w:val="0"/>
      <w:marTop w:val="0"/>
      <w:marBottom w:val="0"/>
      <w:divBdr>
        <w:top w:val="none" w:sz="0" w:space="0" w:color="auto"/>
        <w:left w:val="none" w:sz="0" w:space="0" w:color="auto"/>
        <w:bottom w:val="none" w:sz="0" w:space="0" w:color="auto"/>
        <w:right w:val="none" w:sz="0" w:space="0" w:color="auto"/>
      </w:divBdr>
    </w:div>
    <w:div w:id="659891661">
      <w:bodyDiv w:val="1"/>
      <w:marLeft w:val="0"/>
      <w:marRight w:val="0"/>
      <w:marTop w:val="0"/>
      <w:marBottom w:val="0"/>
      <w:divBdr>
        <w:top w:val="none" w:sz="0" w:space="0" w:color="auto"/>
        <w:left w:val="none" w:sz="0" w:space="0" w:color="auto"/>
        <w:bottom w:val="none" w:sz="0" w:space="0" w:color="auto"/>
        <w:right w:val="none" w:sz="0" w:space="0" w:color="auto"/>
      </w:divBdr>
    </w:div>
    <w:div w:id="663624481">
      <w:bodyDiv w:val="1"/>
      <w:marLeft w:val="0"/>
      <w:marRight w:val="0"/>
      <w:marTop w:val="0"/>
      <w:marBottom w:val="0"/>
      <w:divBdr>
        <w:top w:val="none" w:sz="0" w:space="0" w:color="auto"/>
        <w:left w:val="none" w:sz="0" w:space="0" w:color="auto"/>
        <w:bottom w:val="none" w:sz="0" w:space="0" w:color="auto"/>
        <w:right w:val="none" w:sz="0" w:space="0" w:color="auto"/>
      </w:divBdr>
    </w:div>
    <w:div w:id="665092002">
      <w:bodyDiv w:val="1"/>
      <w:marLeft w:val="0"/>
      <w:marRight w:val="0"/>
      <w:marTop w:val="0"/>
      <w:marBottom w:val="0"/>
      <w:divBdr>
        <w:top w:val="none" w:sz="0" w:space="0" w:color="auto"/>
        <w:left w:val="none" w:sz="0" w:space="0" w:color="auto"/>
        <w:bottom w:val="none" w:sz="0" w:space="0" w:color="auto"/>
        <w:right w:val="none" w:sz="0" w:space="0" w:color="auto"/>
      </w:divBdr>
    </w:div>
    <w:div w:id="665130362">
      <w:bodyDiv w:val="1"/>
      <w:marLeft w:val="0"/>
      <w:marRight w:val="0"/>
      <w:marTop w:val="0"/>
      <w:marBottom w:val="0"/>
      <w:divBdr>
        <w:top w:val="none" w:sz="0" w:space="0" w:color="auto"/>
        <w:left w:val="none" w:sz="0" w:space="0" w:color="auto"/>
        <w:bottom w:val="none" w:sz="0" w:space="0" w:color="auto"/>
        <w:right w:val="none" w:sz="0" w:space="0" w:color="auto"/>
      </w:divBdr>
    </w:div>
    <w:div w:id="665783963">
      <w:bodyDiv w:val="1"/>
      <w:marLeft w:val="0"/>
      <w:marRight w:val="0"/>
      <w:marTop w:val="0"/>
      <w:marBottom w:val="0"/>
      <w:divBdr>
        <w:top w:val="none" w:sz="0" w:space="0" w:color="auto"/>
        <w:left w:val="none" w:sz="0" w:space="0" w:color="auto"/>
        <w:bottom w:val="none" w:sz="0" w:space="0" w:color="auto"/>
        <w:right w:val="none" w:sz="0" w:space="0" w:color="auto"/>
      </w:divBdr>
    </w:div>
    <w:div w:id="669481297">
      <w:bodyDiv w:val="1"/>
      <w:marLeft w:val="0"/>
      <w:marRight w:val="0"/>
      <w:marTop w:val="0"/>
      <w:marBottom w:val="0"/>
      <w:divBdr>
        <w:top w:val="none" w:sz="0" w:space="0" w:color="auto"/>
        <w:left w:val="none" w:sz="0" w:space="0" w:color="auto"/>
        <w:bottom w:val="none" w:sz="0" w:space="0" w:color="auto"/>
        <w:right w:val="none" w:sz="0" w:space="0" w:color="auto"/>
      </w:divBdr>
    </w:div>
    <w:div w:id="672799884">
      <w:bodyDiv w:val="1"/>
      <w:marLeft w:val="0"/>
      <w:marRight w:val="0"/>
      <w:marTop w:val="0"/>
      <w:marBottom w:val="0"/>
      <w:divBdr>
        <w:top w:val="none" w:sz="0" w:space="0" w:color="auto"/>
        <w:left w:val="none" w:sz="0" w:space="0" w:color="auto"/>
        <w:bottom w:val="none" w:sz="0" w:space="0" w:color="auto"/>
        <w:right w:val="none" w:sz="0" w:space="0" w:color="auto"/>
      </w:divBdr>
    </w:div>
    <w:div w:id="672951347">
      <w:bodyDiv w:val="1"/>
      <w:marLeft w:val="0"/>
      <w:marRight w:val="0"/>
      <w:marTop w:val="0"/>
      <w:marBottom w:val="0"/>
      <w:divBdr>
        <w:top w:val="none" w:sz="0" w:space="0" w:color="auto"/>
        <w:left w:val="none" w:sz="0" w:space="0" w:color="auto"/>
        <w:bottom w:val="none" w:sz="0" w:space="0" w:color="auto"/>
        <w:right w:val="none" w:sz="0" w:space="0" w:color="auto"/>
      </w:divBdr>
    </w:div>
    <w:div w:id="673387473">
      <w:bodyDiv w:val="1"/>
      <w:marLeft w:val="0"/>
      <w:marRight w:val="0"/>
      <w:marTop w:val="0"/>
      <w:marBottom w:val="0"/>
      <w:divBdr>
        <w:top w:val="none" w:sz="0" w:space="0" w:color="auto"/>
        <w:left w:val="none" w:sz="0" w:space="0" w:color="auto"/>
        <w:bottom w:val="none" w:sz="0" w:space="0" w:color="auto"/>
        <w:right w:val="none" w:sz="0" w:space="0" w:color="auto"/>
      </w:divBdr>
    </w:div>
    <w:div w:id="679892493">
      <w:bodyDiv w:val="1"/>
      <w:marLeft w:val="0"/>
      <w:marRight w:val="0"/>
      <w:marTop w:val="0"/>
      <w:marBottom w:val="0"/>
      <w:divBdr>
        <w:top w:val="none" w:sz="0" w:space="0" w:color="auto"/>
        <w:left w:val="none" w:sz="0" w:space="0" w:color="auto"/>
        <w:bottom w:val="none" w:sz="0" w:space="0" w:color="auto"/>
        <w:right w:val="none" w:sz="0" w:space="0" w:color="auto"/>
      </w:divBdr>
    </w:div>
    <w:div w:id="681858633">
      <w:bodyDiv w:val="1"/>
      <w:marLeft w:val="0"/>
      <w:marRight w:val="0"/>
      <w:marTop w:val="0"/>
      <w:marBottom w:val="0"/>
      <w:divBdr>
        <w:top w:val="none" w:sz="0" w:space="0" w:color="auto"/>
        <w:left w:val="none" w:sz="0" w:space="0" w:color="auto"/>
        <w:bottom w:val="none" w:sz="0" w:space="0" w:color="auto"/>
        <w:right w:val="none" w:sz="0" w:space="0" w:color="auto"/>
      </w:divBdr>
    </w:div>
    <w:div w:id="682124746">
      <w:bodyDiv w:val="1"/>
      <w:marLeft w:val="0"/>
      <w:marRight w:val="0"/>
      <w:marTop w:val="0"/>
      <w:marBottom w:val="0"/>
      <w:divBdr>
        <w:top w:val="none" w:sz="0" w:space="0" w:color="auto"/>
        <w:left w:val="none" w:sz="0" w:space="0" w:color="auto"/>
        <w:bottom w:val="none" w:sz="0" w:space="0" w:color="auto"/>
        <w:right w:val="none" w:sz="0" w:space="0" w:color="auto"/>
      </w:divBdr>
    </w:div>
    <w:div w:id="686905582">
      <w:bodyDiv w:val="1"/>
      <w:marLeft w:val="0"/>
      <w:marRight w:val="0"/>
      <w:marTop w:val="0"/>
      <w:marBottom w:val="0"/>
      <w:divBdr>
        <w:top w:val="none" w:sz="0" w:space="0" w:color="auto"/>
        <w:left w:val="none" w:sz="0" w:space="0" w:color="auto"/>
        <w:bottom w:val="none" w:sz="0" w:space="0" w:color="auto"/>
        <w:right w:val="none" w:sz="0" w:space="0" w:color="auto"/>
      </w:divBdr>
    </w:div>
    <w:div w:id="691953379">
      <w:bodyDiv w:val="1"/>
      <w:marLeft w:val="0"/>
      <w:marRight w:val="0"/>
      <w:marTop w:val="0"/>
      <w:marBottom w:val="0"/>
      <w:divBdr>
        <w:top w:val="none" w:sz="0" w:space="0" w:color="auto"/>
        <w:left w:val="none" w:sz="0" w:space="0" w:color="auto"/>
        <w:bottom w:val="none" w:sz="0" w:space="0" w:color="auto"/>
        <w:right w:val="none" w:sz="0" w:space="0" w:color="auto"/>
      </w:divBdr>
    </w:div>
    <w:div w:id="693111638">
      <w:bodyDiv w:val="1"/>
      <w:marLeft w:val="0"/>
      <w:marRight w:val="0"/>
      <w:marTop w:val="0"/>
      <w:marBottom w:val="0"/>
      <w:divBdr>
        <w:top w:val="none" w:sz="0" w:space="0" w:color="auto"/>
        <w:left w:val="none" w:sz="0" w:space="0" w:color="auto"/>
        <w:bottom w:val="none" w:sz="0" w:space="0" w:color="auto"/>
        <w:right w:val="none" w:sz="0" w:space="0" w:color="auto"/>
      </w:divBdr>
    </w:div>
    <w:div w:id="693648652">
      <w:bodyDiv w:val="1"/>
      <w:marLeft w:val="0"/>
      <w:marRight w:val="0"/>
      <w:marTop w:val="0"/>
      <w:marBottom w:val="0"/>
      <w:divBdr>
        <w:top w:val="none" w:sz="0" w:space="0" w:color="auto"/>
        <w:left w:val="none" w:sz="0" w:space="0" w:color="auto"/>
        <w:bottom w:val="none" w:sz="0" w:space="0" w:color="auto"/>
        <w:right w:val="none" w:sz="0" w:space="0" w:color="auto"/>
      </w:divBdr>
    </w:div>
    <w:div w:id="693925962">
      <w:bodyDiv w:val="1"/>
      <w:marLeft w:val="0"/>
      <w:marRight w:val="0"/>
      <w:marTop w:val="0"/>
      <w:marBottom w:val="0"/>
      <w:divBdr>
        <w:top w:val="none" w:sz="0" w:space="0" w:color="auto"/>
        <w:left w:val="none" w:sz="0" w:space="0" w:color="auto"/>
        <w:bottom w:val="none" w:sz="0" w:space="0" w:color="auto"/>
        <w:right w:val="none" w:sz="0" w:space="0" w:color="auto"/>
      </w:divBdr>
    </w:div>
    <w:div w:id="695815269">
      <w:bodyDiv w:val="1"/>
      <w:marLeft w:val="0"/>
      <w:marRight w:val="0"/>
      <w:marTop w:val="0"/>
      <w:marBottom w:val="0"/>
      <w:divBdr>
        <w:top w:val="none" w:sz="0" w:space="0" w:color="auto"/>
        <w:left w:val="none" w:sz="0" w:space="0" w:color="auto"/>
        <w:bottom w:val="none" w:sz="0" w:space="0" w:color="auto"/>
        <w:right w:val="none" w:sz="0" w:space="0" w:color="auto"/>
      </w:divBdr>
    </w:div>
    <w:div w:id="699012189">
      <w:bodyDiv w:val="1"/>
      <w:marLeft w:val="0"/>
      <w:marRight w:val="0"/>
      <w:marTop w:val="0"/>
      <w:marBottom w:val="0"/>
      <w:divBdr>
        <w:top w:val="none" w:sz="0" w:space="0" w:color="auto"/>
        <w:left w:val="none" w:sz="0" w:space="0" w:color="auto"/>
        <w:bottom w:val="none" w:sz="0" w:space="0" w:color="auto"/>
        <w:right w:val="none" w:sz="0" w:space="0" w:color="auto"/>
      </w:divBdr>
    </w:div>
    <w:div w:id="702749447">
      <w:bodyDiv w:val="1"/>
      <w:marLeft w:val="0"/>
      <w:marRight w:val="0"/>
      <w:marTop w:val="0"/>
      <w:marBottom w:val="0"/>
      <w:divBdr>
        <w:top w:val="none" w:sz="0" w:space="0" w:color="auto"/>
        <w:left w:val="none" w:sz="0" w:space="0" w:color="auto"/>
        <w:bottom w:val="none" w:sz="0" w:space="0" w:color="auto"/>
        <w:right w:val="none" w:sz="0" w:space="0" w:color="auto"/>
      </w:divBdr>
    </w:div>
    <w:div w:id="705258272">
      <w:bodyDiv w:val="1"/>
      <w:marLeft w:val="0"/>
      <w:marRight w:val="0"/>
      <w:marTop w:val="0"/>
      <w:marBottom w:val="0"/>
      <w:divBdr>
        <w:top w:val="none" w:sz="0" w:space="0" w:color="auto"/>
        <w:left w:val="none" w:sz="0" w:space="0" w:color="auto"/>
        <w:bottom w:val="none" w:sz="0" w:space="0" w:color="auto"/>
        <w:right w:val="none" w:sz="0" w:space="0" w:color="auto"/>
      </w:divBdr>
    </w:div>
    <w:div w:id="706877089">
      <w:bodyDiv w:val="1"/>
      <w:marLeft w:val="0"/>
      <w:marRight w:val="0"/>
      <w:marTop w:val="0"/>
      <w:marBottom w:val="0"/>
      <w:divBdr>
        <w:top w:val="none" w:sz="0" w:space="0" w:color="auto"/>
        <w:left w:val="none" w:sz="0" w:space="0" w:color="auto"/>
        <w:bottom w:val="none" w:sz="0" w:space="0" w:color="auto"/>
        <w:right w:val="none" w:sz="0" w:space="0" w:color="auto"/>
      </w:divBdr>
    </w:div>
    <w:div w:id="707099739">
      <w:bodyDiv w:val="1"/>
      <w:marLeft w:val="0"/>
      <w:marRight w:val="0"/>
      <w:marTop w:val="0"/>
      <w:marBottom w:val="0"/>
      <w:divBdr>
        <w:top w:val="none" w:sz="0" w:space="0" w:color="auto"/>
        <w:left w:val="none" w:sz="0" w:space="0" w:color="auto"/>
        <w:bottom w:val="none" w:sz="0" w:space="0" w:color="auto"/>
        <w:right w:val="none" w:sz="0" w:space="0" w:color="auto"/>
      </w:divBdr>
    </w:div>
    <w:div w:id="707682882">
      <w:bodyDiv w:val="1"/>
      <w:marLeft w:val="0"/>
      <w:marRight w:val="0"/>
      <w:marTop w:val="0"/>
      <w:marBottom w:val="0"/>
      <w:divBdr>
        <w:top w:val="none" w:sz="0" w:space="0" w:color="auto"/>
        <w:left w:val="none" w:sz="0" w:space="0" w:color="auto"/>
        <w:bottom w:val="none" w:sz="0" w:space="0" w:color="auto"/>
        <w:right w:val="none" w:sz="0" w:space="0" w:color="auto"/>
      </w:divBdr>
    </w:div>
    <w:div w:id="711421682">
      <w:bodyDiv w:val="1"/>
      <w:marLeft w:val="0"/>
      <w:marRight w:val="0"/>
      <w:marTop w:val="0"/>
      <w:marBottom w:val="0"/>
      <w:divBdr>
        <w:top w:val="none" w:sz="0" w:space="0" w:color="auto"/>
        <w:left w:val="none" w:sz="0" w:space="0" w:color="auto"/>
        <w:bottom w:val="none" w:sz="0" w:space="0" w:color="auto"/>
        <w:right w:val="none" w:sz="0" w:space="0" w:color="auto"/>
      </w:divBdr>
    </w:div>
    <w:div w:id="712315659">
      <w:bodyDiv w:val="1"/>
      <w:marLeft w:val="0"/>
      <w:marRight w:val="0"/>
      <w:marTop w:val="0"/>
      <w:marBottom w:val="0"/>
      <w:divBdr>
        <w:top w:val="none" w:sz="0" w:space="0" w:color="auto"/>
        <w:left w:val="none" w:sz="0" w:space="0" w:color="auto"/>
        <w:bottom w:val="none" w:sz="0" w:space="0" w:color="auto"/>
        <w:right w:val="none" w:sz="0" w:space="0" w:color="auto"/>
      </w:divBdr>
    </w:div>
    <w:div w:id="713508504">
      <w:bodyDiv w:val="1"/>
      <w:marLeft w:val="0"/>
      <w:marRight w:val="0"/>
      <w:marTop w:val="0"/>
      <w:marBottom w:val="0"/>
      <w:divBdr>
        <w:top w:val="none" w:sz="0" w:space="0" w:color="auto"/>
        <w:left w:val="none" w:sz="0" w:space="0" w:color="auto"/>
        <w:bottom w:val="none" w:sz="0" w:space="0" w:color="auto"/>
        <w:right w:val="none" w:sz="0" w:space="0" w:color="auto"/>
      </w:divBdr>
    </w:div>
    <w:div w:id="715083821">
      <w:bodyDiv w:val="1"/>
      <w:marLeft w:val="0"/>
      <w:marRight w:val="0"/>
      <w:marTop w:val="0"/>
      <w:marBottom w:val="0"/>
      <w:divBdr>
        <w:top w:val="none" w:sz="0" w:space="0" w:color="auto"/>
        <w:left w:val="none" w:sz="0" w:space="0" w:color="auto"/>
        <w:bottom w:val="none" w:sz="0" w:space="0" w:color="auto"/>
        <w:right w:val="none" w:sz="0" w:space="0" w:color="auto"/>
      </w:divBdr>
    </w:div>
    <w:div w:id="717096992">
      <w:bodyDiv w:val="1"/>
      <w:marLeft w:val="0"/>
      <w:marRight w:val="0"/>
      <w:marTop w:val="0"/>
      <w:marBottom w:val="0"/>
      <w:divBdr>
        <w:top w:val="none" w:sz="0" w:space="0" w:color="auto"/>
        <w:left w:val="none" w:sz="0" w:space="0" w:color="auto"/>
        <w:bottom w:val="none" w:sz="0" w:space="0" w:color="auto"/>
        <w:right w:val="none" w:sz="0" w:space="0" w:color="auto"/>
      </w:divBdr>
    </w:div>
    <w:div w:id="717708548">
      <w:bodyDiv w:val="1"/>
      <w:marLeft w:val="0"/>
      <w:marRight w:val="0"/>
      <w:marTop w:val="0"/>
      <w:marBottom w:val="0"/>
      <w:divBdr>
        <w:top w:val="none" w:sz="0" w:space="0" w:color="auto"/>
        <w:left w:val="none" w:sz="0" w:space="0" w:color="auto"/>
        <w:bottom w:val="none" w:sz="0" w:space="0" w:color="auto"/>
        <w:right w:val="none" w:sz="0" w:space="0" w:color="auto"/>
      </w:divBdr>
    </w:div>
    <w:div w:id="718826732">
      <w:bodyDiv w:val="1"/>
      <w:marLeft w:val="0"/>
      <w:marRight w:val="0"/>
      <w:marTop w:val="0"/>
      <w:marBottom w:val="0"/>
      <w:divBdr>
        <w:top w:val="none" w:sz="0" w:space="0" w:color="auto"/>
        <w:left w:val="none" w:sz="0" w:space="0" w:color="auto"/>
        <w:bottom w:val="none" w:sz="0" w:space="0" w:color="auto"/>
        <w:right w:val="none" w:sz="0" w:space="0" w:color="auto"/>
      </w:divBdr>
    </w:div>
    <w:div w:id="720136682">
      <w:bodyDiv w:val="1"/>
      <w:marLeft w:val="0"/>
      <w:marRight w:val="0"/>
      <w:marTop w:val="0"/>
      <w:marBottom w:val="0"/>
      <w:divBdr>
        <w:top w:val="none" w:sz="0" w:space="0" w:color="auto"/>
        <w:left w:val="none" w:sz="0" w:space="0" w:color="auto"/>
        <w:bottom w:val="none" w:sz="0" w:space="0" w:color="auto"/>
        <w:right w:val="none" w:sz="0" w:space="0" w:color="auto"/>
      </w:divBdr>
    </w:div>
    <w:div w:id="720636590">
      <w:bodyDiv w:val="1"/>
      <w:marLeft w:val="0"/>
      <w:marRight w:val="0"/>
      <w:marTop w:val="0"/>
      <w:marBottom w:val="0"/>
      <w:divBdr>
        <w:top w:val="none" w:sz="0" w:space="0" w:color="auto"/>
        <w:left w:val="none" w:sz="0" w:space="0" w:color="auto"/>
        <w:bottom w:val="none" w:sz="0" w:space="0" w:color="auto"/>
        <w:right w:val="none" w:sz="0" w:space="0" w:color="auto"/>
      </w:divBdr>
    </w:div>
    <w:div w:id="721249592">
      <w:bodyDiv w:val="1"/>
      <w:marLeft w:val="0"/>
      <w:marRight w:val="0"/>
      <w:marTop w:val="0"/>
      <w:marBottom w:val="0"/>
      <w:divBdr>
        <w:top w:val="none" w:sz="0" w:space="0" w:color="auto"/>
        <w:left w:val="none" w:sz="0" w:space="0" w:color="auto"/>
        <w:bottom w:val="none" w:sz="0" w:space="0" w:color="auto"/>
        <w:right w:val="none" w:sz="0" w:space="0" w:color="auto"/>
      </w:divBdr>
    </w:div>
    <w:div w:id="726226568">
      <w:bodyDiv w:val="1"/>
      <w:marLeft w:val="0"/>
      <w:marRight w:val="0"/>
      <w:marTop w:val="0"/>
      <w:marBottom w:val="0"/>
      <w:divBdr>
        <w:top w:val="none" w:sz="0" w:space="0" w:color="auto"/>
        <w:left w:val="none" w:sz="0" w:space="0" w:color="auto"/>
        <w:bottom w:val="none" w:sz="0" w:space="0" w:color="auto"/>
        <w:right w:val="none" w:sz="0" w:space="0" w:color="auto"/>
      </w:divBdr>
    </w:div>
    <w:div w:id="726339673">
      <w:bodyDiv w:val="1"/>
      <w:marLeft w:val="0"/>
      <w:marRight w:val="0"/>
      <w:marTop w:val="0"/>
      <w:marBottom w:val="0"/>
      <w:divBdr>
        <w:top w:val="none" w:sz="0" w:space="0" w:color="auto"/>
        <w:left w:val="none" w:sz="0" w:space="0" w:color="auto"/>
        <w:bottom w:val="none" w:sz="0" w:space="0" w:color="auto"/>
        <w:right w:val="none" w:sz="0" w:space="0" w:color="auto"/>
      </w:divBdr>
    </w:div>
    <w:div w:id="727148505">
      <w:bodyDiv w:val="1"/>
      <w:marLeft w:val="0"/>
      <w:marRight w:val="0"/>
      <w:marTop w:val="0"/>
      <w:marBottom w:val="0"/>
      <w:divBdr>
        <w:top w:val="none" w:sz="0" w:space="0" w:color="auto"/>
        <w:left w:val="none" w:sz="0" w:space="0" w:color="auto"/>
        <w:bottom w:val="none" w:sz="0" w:space="0" w:color="auto"/>
        <w:right w:val="none" w:sz="0" w:space="0" w:color="auto"/>
      </w:divBdr>
    </w:div>
    <w:div w:id="728189417">
      <w:bodyDiv w:val="1"/>
      <w:marLeft w:val="0"/>
      <w:marRight w:val="0"/>
      <w:marTop w:val="0"/>
      <w:marBottom w:val="0"/>
      <w:divBdr>
        <w:top w:val="none" w:sz="0" w:space="0" w:color="auto"/>
        <w:left w:val="none" w:sz="0" w:space="0" w:color="auto"/>
        <w:bottom w:val="none" w:sz="0" w:space="0" w:color="auto"/>
        <w:right w:val="none" w:sz="0" w:space="0" w:color="auto"/>
      </w:divBdr>
    </w:div>
    <w:div w:id="728964420">
      <w:bodyDiv w:val="1"/>
      <w:marLeft w:val="0"/>
      <w:marRight w:val="0"/>
      <w:marTop w:val="0"/>
      <w:marBottom w:val="0"/>
      <w:divBdr>
        <w:top w:val="none" w:sz="0" w:space="0" w:color="auto"/>
        <w:left w:val="none" w:sz="0" w:space="0" w:color="auto"/>
        <w:bottom w:val="none" w:sz="0" w:space="0" w:color="auto"/>
        <w:right w:val="none" w:sz="0" w:space="0" w:color="auto"/>
      </w:divBdr>
    </w:div>
    <w:div w:id="730427958">
      <w:bodyDiv w:val="1"/>
      <w:marLeft w:val="0"/>
      <w:marRight w:val="0"/>
      <w:marTop w:val="0"/>
      <w:marBottom w:val="0"/>
      <w:divBdr>
        <w:top w:val="none" w:sz="0" w:space="0" w:color="auto"/>
        <w:left w:val="none" w:sz="0" w:space="0" w:color="auto"/>
        <w:bottom w:val="none" w:sz="0" w:space="0" w:color="auto"/>
        <w:right w:val="none" w:sz="0" w:space="0" w:color="auto"/>
      </w:divBdr>
    </w:div>
    <w:div w:id="734470675">
      <w:bodyDiv w:val="1"/>
      <w:marLeft w:val="0"/>
      <w:marRight w:val="0"/>
      <w:marTop w:val="0"/>
      <w:marBottom w:val="0"/>
      <w:divBdr>
        <w:top w:val="none" w:sz="0" w:space="0" w:color="auto"/>
        <w:left w:val="none" w:sz="0" w:space="0" w:color="auto"/>
        <w:bottom w:val="none" w:sz="0" w:space="0" w:color="auto"/>
        <w:right w:val="none" w:sz="0" w:space="0" w:color="auto"/>
      </w:divBdr>
    </w:div>
    <w:div w:id="735510862">
      <w:bodyDiv w:val="1"/>
      <w:marLeft w:val="0"/>
      <w:marRight w:val="0"/>
      <w:marTop w:val="0"/>
      <w:marBottom w:val="0"/>
      <w:divBdr>
        <w:top w:val="none" w:sz="0" w:space="0" w:color="auto"/>
        <w:left w:val="none" w:sz="0" w:space="0" w:color="auto"/>
        <w:bottom w:val="none" w:sz="0" w:space="0" w:color="auto"/>
        <w:right w:val="none" w:sz="0" w:space="0" w:color="auto"/>
      </w:divBdr>
    </w:div>
    <w:div w:id="735517555">
      <w:bodyDiv w:val="1"/>
      <w:marLeft w:val="0"/>
      <w:marRight w:val="0"/>
      <w:marTop w:val="0"/>
      <w:marBottom w:val="0"/>
      <w:divBdr>
        <w:top w:val="none" w:sz="0" w:space="0" w:color="auto"/>
        <w:left w:val="none" w:sz="0" w:space="0" w:color="auto"/>
        <w:bottom w:val="none" w:sz="0" w:space="0" w:color="auto"/>
        <w:right w:val="none" w:sz="0" w:space="0" w:color="auto"/>
      </w:divBdr>
    </w:div>
    <w:div w:id="735980856">
      <w:bodyDiv w:val="1"/>
      <w:marLeft w:val="0"/>
      <w:marRight w:val="0"/>
      <w:marTop w:val="0"/>
      <w:marBottom w:val="0"/>
      <w:divBdr>
        <w:top w:val="none" w:sz="0" w:space="0" w:color="auto"/>
        <w:left w:val="none" w:sz="0" w:space="0" w:color="auto"/>
        <w:bottom w:val="none" w:sz="0" w:space="0" w:color="auto"/>
        <w:right w:val="none" w:sz="0" w:space="0" w:color="auto"/>
      </w:divBdr>
    </w:div>
    <w:div w:id="737289240">
      <w:bodyDiv w:val="1"/>
      <w:marLeft w:val="0"/>
      <w:marRight w:val="0"/>
      <w:marTop w:val="0"/>
      <w:marBottom w:val="0"/>
      <w:divBdr>
        <w:top w:val="none" w:sz="0" w:space="0" w:color="auto"/>
        <w:left w:val="none" w:sz="0" w:space="0" w:color="auto"/>
        <w:bottom w:val="none" w:sz="0" w:space="0" w:color="auto"/>
        <w:right w:val="none" w:sz="0" w:space="0" w:color="auto"/>
      </w:divBdr>
    </w:div>
    <w:div w:id="738863692">
      <w:bodyDiv w:val="1"/>
      <w:marLeft w:val="0"/>
      <w:marRight w:val="0"/>
      <w:marTop w:val="0"/>
      <w:marBottom w:val="0"/>
      <w:divBdr>
        <w:top w:val="none" w:sz="0" w:space="0" w:color="auto"/>
        <w:left w:val="none" w:sz="0" w:space="0" w:color="auto"/>
        <w:bottom w:val="none" w:sz="0" w:space="0" w:color="auto"/>
        <w:right w:val="none" w:sz="0" w:space="0" w:color="auto"/>
      </w:divBdr>
    </w:div>
    <w:div w:id="739209129">
      <w:bodyDiv w:val="1"/>
      <w:marLeft w:val="0"/>
      <w:marRight w:val="0"/>
      <w:marTop w:val="0"/>
      <w:marBottom w:val="0"/>
      <w:divBdr>
        <w:top w:val="none" w:sz="0" w:space="0" w:color="auto"/>
        <w:left w:val="none" w:sz="0" w:space="0" w:color="auto"/>
        <w:bottom w:val="none" w:sz="0" w:space="0" w:color="auto"/>
        <w:right w:val="none" w:sz="0" w:space="0" w:color="auto"/>
      </w:divBdr>
    </w:div>
    <w:div w:id="740830425">
      <w:bodyDiv w:val="1"/>
      <w:marLeft w:val="0"/>
      <w:marRight w:val="0"/>
      <w:marTop w:val="0"/>
      <w:marBottom w:val="0"/>
      <w:divBdr>
        <w:top w:val="none" w:sz="0" w:space="0" w:color="auto"/>
        <w:left w:val="none" w:sz="0" w:space="0" w:color="auto"/>
        <w:bottom w:val="none" w:sz="0" w:space="0" w:color="auto"/>
        <w:right w:val="none" w:sz="0" w:space="0" w:color="auto"/>
      </w:divBdr>
    </w:div>
    <w:div w:id="742416858">
      <w:bodyDiv w:val="1"/>
      <w:marLeft w:val="0"/>
      <w:marRight w:val="0"/>
      <w:marTop w:val="0"/>
      <w:marBottom w:val="0"/>
      <w:divBdr>
        <w:top w:val="none" w:sz="0" w:space="0" w:color="auto"/>
        <w:left w:val="none" w:sz="0" w:space="0" w:color="auto"/>
        <w:bottom w:val="none" w:sz="0" w:space="0" w:color="auto"/>
        <w:right w:val="none" w:sz="0" w:space="0" w:color="auto"/>
      </w:divBdr>
    </w:div>
    <w:div w:id="742458573">
      <w:bodyDiv w:val="1"/>
      <w:marLeft w:val="0"/>
      <w:marRight w:val="0"/>
      <w:marTop w:val="0"/>
      <w:marBottom w:val="0"/>
      <w:divBdr>
        <w:top w:val="none" w:sz="0" w:space="0" w:color="auto"/>
        <w:left w:val="none" w:sz="0" w:space="0" w:color="auto"/>
        <w:bottom w:val="none" w:sz="0" w:space="0" w:color="auto"/>
        <w:right w:val="none" w:sz="0" w:space="0" w:color="auto"/>
      </w:divBdr>
    </w:div>
    <w:div w:id="745036261">
      <w:bodyDiv w:val="1"/>
      <w:marLeft w:val="0"/>
      <w:marRight w:val="0"/>
      <w:marTop w:val="0"/>
      <w:marBottom w:val="0"/>
      <w:divBdr>
        <w:top w:val="none" w:sz="0" w:space="0" w:color="auto"/>
        <w:left w:val="none" w:sz="0" w:space="0" w:color="auto"/>
        <w:bottom w:val="none" w:sz="0" w:space="0" w:color="auto"/>
        <w:right w:val="none" w:sz="0" w:space="0" w:color="auto"/>
      </w:divBdr>
    </w:div>
    <w:div w:id="748233628">
      <w:bodyDiv w:val="1"/>
      <w:marLeft w:val="0"/>
      <w:marRight w:val="0"/>
      <w:marTop w:val="0"/>
      <w:marBottom w:val="0"/>
      <w:divBdr>
        <w:top w:val="none" w:sz="0" w:space="0" w:color="auto"/>
        <w:left w:val="none" w:sz="0" w:space="0" w:color="auto"/>
        <w:bottom w:val="none" w:sz="0" w:space="0" w:color="auto"/>
        <w:right w:val="none" w:sz="0" w:space="0" w:color="auto"/>
      </w:divBdr>
    </w:div>
    <w:div w:id="748506163">
      <w:bodyDiv w:val="1"/>
      <w:marLeft w:val="0"/>
      <w:marRight w:val="0"/>
      <w:marTop w:val="0"/>
      <w:marBottom w:val="0"/>
      <w:divBdr>
        <w:top w:val="none" w:sz="0" w:space="0" w:color="auto"/>
        <w:left w:val="none" w:sz="0" w:space="0" w:color="auto"/>
        <w:bottom w:val="none" w:sz="0" w:space="0" w:color="auto"/>
        <w:right w:val="none" w:sz="0" w:space="0" w:color="auto"/>
      </w:divBdr>
    </w:div>
    <w:div w:id="748622716">
      <w:bodyDiv w:val="1"/>
      <w:marLeft w:val="0"/>
      <w:marRight w:val="0"/>
      <w:marTop w:val="0"/>
      <w:marBottom w:val="0"/>
      <w:divBdr>
        <w:top w:val="none" w:sz="0" w:space="0" w:color="auto"/>
        <w:left w:val="none" w:sz="0" w:space="0" w:color="auto"/>
        <w:bottom w:val="none" w:sz="0" w:space="0" w:color="auto"/>
        <w:right w:val="none" w:sz="0" w:space="0" w:color="auto"/>
      </w:divBdr>
    </w:div>
    <w:div w:id="749884031">
      <w:bodyDiv w:val="1"/>
      <w:marLeft w:val="0"/>
      <w:marRight w:val="0"/>
      <w:marTop w:val="0"/>
      <w:marBottom w:val="0"/>
      <w:divBdr>
        <w:top w:val="none" w:sz="0" w:space="0" w:color="auto"/>
        <w:left w:val="none" w:sz="0" w:space="0" w:color="auto"/>
        <w:bottom w:val="none" w:sz="0" w:space="0" w:color="auto"/>
        <w:right w:val="none" w:sz="0" w:space="0" w:color="auto"/>
      </w:divBdr>
    </w:div>
    <w:div w:id="751126442">
      <w:bodyDiv w:val="1"/>
      <w:marLeft w:val="0"/>
      <w:marRight w:val="0"/>
      <w:marTop w:val="0"/>
      <w:marBottom w:val="0"/>
      <w:divBdr>
        <w:top w:val="none" w:sz="0" w:space="0" w:color="auto"/>
        <w:left w:val="none" w:sz="0" w:space="0" w:color="auto"/>
        <w:bottom w:val="none" w:sz="0" w:space="0" w:color="auto"/>
        <w:right w:val="none" w:sz="0" w:space="0" w:color="auto"/>
      </w:divBdr>
    </w:div>
    <w:div w:id="752314381">
      <w:bodyDiv w:val="1"/>
      <w:marLeft w:val="0"/>
      <w:marRight w:val="0"/>
      <w:marTop w:val="0"/>
      <w:marBottom w:val="0"/>
      <w:divBdr>
        <w:top w:val="none" w:sz="0" w:space="0" w:color="auto"/>
        <w:left w:val="none" w:sz="0" w:space="0" w:color="auto"/>
        <w:bottom w:val="none" w:sz="0" w:space="0" w:color="auto"/>
        <w:right w:val="none" w:sz="0" w:space="0" w:color="auto"/>
      </w:divBdr>
    </w:div>
    <w:div w:id="754206302">
      <w:bodyDiv w:val="1"/>
      <w:marLeft w:val="0"/>
      <w:marRight w:val="0"/>
      <w:marTop w:val="0"/>
      <w:marBottom w:val="0"/>
      <w:divBdr>
        <w:top w:val="none" w:sz="0" w:space="0" w:color="auto"/>
        <w:left w:val="none" w:sz="0" w:space="0" w:color="auto"/>
        <w:bottom w:val="none" w:sz="0" w:space="0" w:color="auto"/>
        <w:right w:val="none" w:sz="0" w:space="0" w:color="auto"/>
      </w:divBdr>
    </w:div>
    <w:div w:id="755176142">
      <w:bodyDiv w:val="1"/>
      <w:marLeft w:val="0"/>
      <w:marRight w:val="0"/>
      <w:marTop w:val="0"/>
      <w:marBottom w:val="0"/>
      <w:divBdr>
        <w:top w:val="none" w:sz="0" w:space="0" w:color="auto"/>
        <w:left w:val="none" w:sz="0" w:space="0" w:color="auto"/>
        <w:bottom w:val="none" w:sz="0" w:space="0" w:color="auto"/>
        <w:right w:val="none" w:sz="0" w:space="0" w:color="auto"/>
      </w:divBdr>
    </w:div>
    <w:div w:id="755396624">
      <w:bodyDiv w:val="1"/>
      <w:marLeft w:val="0"/>
      <w:marRight w:val="0"/>
      <w:marTop w:val="0"/>
      <w:marBottom w:val="0"/>
      <w:divBdr>
        <w:top w:val="none" w:sz="0" w:space="0" w:color="auto"/>
        <w:left w:val="none" w:sz="0" w:space="0" w:color="auto"/>
        <w:bottom w:val="none" w:sz="0" w:space="0" w:color="auto"/>
        <w:right w:val="none" w:sz="0" w:space="0" w:color="auto"/>
      </w:divBdr>
    </w:div>
    <w:div w:id="755907579">
      <w:bodyDiv w:val="1"/>
      <w:marLeft w:val="0"/>
      <w:marRight w:val="0"/>
      <w:marTop w:val="0"/>
      <w:marBottom w:val="0"/>
      <w:divBdr>
        <w:top w:val="none" w:sz="0" w:space="0" w:color="auto"/>
        <w:left w:val="none" w:sz="0" w:space="0" w:color="auto"/>
        <w:bottom w:val="none" w:sz="0" w:space="0" w:color="auto"/>
        <w:right w:val="none" w:sz="0" w:space="0" w:color="auto"/>
      </w:divBdr>
    </w:div>
    <w:div w:id="764426551">
      <w:bodyDiv w:val="1"/>
      <w:marLeft w:val="0"/>
      <w:marRight w:val="0"/>
      <w:marTop w:val="0"/>
      <w:marBottom w:val="0"/>
      <w:divBdr>
        <w:top w:val="none" w:sz="0" w:space="0" w:color="auto"/>
        <w:left w:val="none" w:sz="0" w:space="0" w:color="auto"/>
        <w:bottom w:val="none" w:sz="0" w:space="0" w:color="auto"/>
        <w:right w:val="none" w:sz="0" w:space="0" w:color="auto"/>
      </w:divBdr>
    </w:div>
    <w:div w:id="765729644">
      <w:bodyDiv w:val="1"/>
      <w:marLeft w:val="0"/>
      <w:marRight w:val="0"/>
      <w:marTop w:val="0"/>
      <w:marBottom w:val="0"/>
      <w:divBdr>
        <w:top w:val="none" w:sz="0" w:space="0" w:color="auto"/>
        <w:left w:val="none" w:sz="0" w:space="0" w:color="auto"/>
        <w:bottom w:val="none" w:sz="0" w:space="0" w:color="auto"/>
        <w:right w:val="none" w:sz="0" w:space="0" w:color="auto"/>
      </w:divBdr>
    </w:div>
    <w:div w:id="770128380">
      <w:bodyDiv w:val="1"/>
      <w:marLeft w:val="0"/>
      <w:marRight w:val="0"/>
      <w:marTop w:val="0"/>
      <w:marBottom w:val="0"/>
      <w:divBdr>
        <w:top w:val="none" w:sz="0" w:space="0" w:color="auto"/>
        <w:left w:val="none" w:sz="0" w:space="0" w:color="auto"/>
        <w:bottom w:val="none" w:sz="0" w:space="0" w:color="auto"/>
        <w:right w:val="none" w:sz="0" w:space="0" w:color="auto"/>
      </w:divBdr>
    </w:div>
    <w:div w:id="772164200">
      <w:bodyDiv w:val="1"/>
      <w:marLeft w:val="0"/>
      <w:marRight w:val="0"/>
      <w:marTop w:val="0"/>
      <w:marBottom w:val="0"/>
      <w:divBdr>
        <w:top w:val="none" w:sz="0" w:space="0" w:color="auto"/>
        <w:left w:val="none" w:sz="0" w:space="0" w:color="auto"/>
        <w:bottom w:val="none" w:sz="0" w:space="0" w:color="auto"/>
        <w:right w:val="none" w:sz="0" w:space="0" w:color="auto"/>
      </w:divBdr>
    </w:div>
    <w:div w:id="773285905">
      <w:bodyDiv w:val="1"/>
      <w:marLeft w:val="0"/>
      <w:marRight w:val="0"/>
      <w:marTop w:val="0"/>
      <w:marBottom w:val="0"/>
      <w:divBdr>
        <w:top w:val="none" w:sz="0" w:space="0" w:color="auto"/>
        <w:left w:val="none" w:sz="0" w:space="0" w:color="auto"/>
        <w:bottom w:val="none" w:sz="0" w:space="0" w:color="auto"/>
        <w:right w:val="none" w:sz="0" w:space="0" w:color="auto"/>
      </w:divBdr>
    </w:div>
    <w:div w:id="781731880">
      <w:bodyDiv w:val="1"/>
      <w:marLeft w:val="0"/>
      <w:marRight w:val="0"/>
      <w:marTop w:val="0"/>
      <w:marBottom w:val="0"/>
      <w:divBdr>
        <w:top w:val="none" w:sz="0" w:space="0" w:color="auto"/>
        <w:left w:val="none" w:sz="0" w:space="0" w:color="auto"/>
        <w:bottom w:val="none" w:sz="0" w:space="0" w:color="auto"/>
        <w:right w:val="none" w:sz="0" w:space="0" w:color="auto"/>
      </w:divBdr>
    </w:div>
    <w:div w:id="783578909">
      <w:bodyDiv w:val="1"/>
      <w:marLeft w:val="0"/>
      <w:marRight w:val="0"/>
      <w:marTop w:val="0"/>
      <w:marBottom w:val="0"/>
      <w:divBdr>
        <w:top w:val="none" w:sz="0" w:space="0" w:color="auto"/>
        <w:left w:val="none" w:sz="0" w:space="0" w:color="auto"/>
        <w:bottom w:val="none" w:sz="0" w:space="0" w:color="auto"/>
        <w:right w:val="none" w:sz="0" w:space="0" w:color="auto"/>
      </w:divBdr>
    </w:div>
    <w:div w:id="786657848">
      <w:bodyDiv w:val="1"/>
      <w:marLeft w:val="0"/>
      <w:marRight w:val="0"/>
      <w:marTop w:val="0"/>
      <w:marBottom w:val="0"/>
      <w:divBdr>
        <w:top w:val="none" w:sz="0" w:space="0" w:color="auto"/>
        <w:left w:val="none" w:sz="0" w:space="0" w:color="auto"/>
        <w:bottom w:val="none" w:sz="0" w:space="0" w:color="auto"/>
        <w:right w:val="none" w:sz="0" w:space="0" w:color="auto"/>
      </w:divBdr>
    </w:div>
    <w:div w:id="786971875">
      <w:bodyDiv w:val="1"/>
      <w:marLeft w:val="0"/>
      <w:marRight w:val="0"/>
      <w:marTop w:val="0"/>
      <w:marBottom w:val="0"/>
      <w:divBdr>
        <w:top w:val="none" w:sz="0" w:space="0" w:color="auto"/>
        <w:left w:val="none" w:sz="0" w:space="0" w:color="auto"/>
        <w:bottom w:val="none" w:sz="0" w:space="0" w:color="auto"/>
        <w:right w:val="none" w:sz="0" w:space="0" w:color="auto"/>
      </w:divBdr>
    </w:div>
    <w:div w:id="787311314">
      <w:bodyDiv w:val="1"/>
      <w:marLeft w:val="0"/>
      <w:marRight w:val="0"/>
      <w:marTop w:val="0"/>
      <w:marBottom w:val="0"/>
      <w:divBdr>
        <w:top w:val="none" w:sz="0" w:space="0" w:color="auto"/>
        <w:left w:val="none" w:sz="0" w:space="0" w:color="auto"/>
        <w:bottom w:val="none" w:sz="0" w:space="0" w:color="auto"/>
        <w:right w:val="none" w:sz="0" w:space="0" w:color="auto"/>
      </w:divBdr>
    </w:div>
    <w:div w:id="787355036">
      <w:bodyDiv w:val="1"/>
      <w:marLeft w:val="0"/>
      <w:marRight w:val="0"/>
      <w:marTop w:val="0"/>
      <w:marBottom w:val="0"/>
      <w:divBdr>
        <w:top w:val="none" w:sz="0" w:space="0" w:color="auto"/>
        <w:left w:val="none" w:sz="0" w:space="0" w:color="auto"/>
        <w:bottom w:val="none" w:sz="0" w:space="0" w:color="auto"/>
        <w:right w:val="none" w:sz="0" w:space="0" w:color="auto"/>
      </w:divBdr>
    </w:div>
    <w:div w:id="788738009">
      <w:bodyDiv w:val="1"/>
      <w:marLeft w:val="0"/>
      <w:marRight w:val="0"/>
      <w:marTop w:val="0"/>
      <w:marBottom w:val="0"/>
      <w:divBdr>
        <w:top w:val="none" w:sz="0" w:space="0" w:color="auto"/>
        <w:left w:val="none" w:sz="0" w:space="0" w:color="auto"/>
        <w:bottom w:val="none" w:sz="0" w:space="0" w:color="auto"/>
        <w:right w:val="none" w:sz="0" w:space="0" w:color="auto"/>
      </w:divBdr>
    </w:div>
    <w:div w:id="789592793">
      <w:bodyDiv w:val="1"/>
      <w:marLeft w:val="0"/>
      <w:marRight w:val="0"/>
      <w:marTop w:val="0"/>
      <w:marBottom w:val="0"/>
      <w:divBdr>
        <w:top w:val="none" w:sz="0" w:space="0" w:color="auto"/>
        <w:left w:val="none" w:sz="0" w:space="0" w:color="auto"/>
        <w:bottom w:val="none" w:sz="0" w:space="0" w:color="auto"/>
        <w:right w:val="none" w:sz="0" w:space="0" w:color="auto"/>
      </w:divBdr>
    </w:div>
    <w:div w:id="790172204">
      <w:bodyDiv w:val="1"/>
      <w:marLeft w:val="0"/>
      <w:marRight w:val="0"/>
      <w:marTop w:val="0"/>
      <w:marBottom w:val="0"/>
      <w:divBdr>
        <w:top w:val="none" w:sz="0" w:space="0" w:color="auto"/>
        <w:left w:val="none" w:sz="0" w:space="0" w:color="auto"/>
        <w:bottom w:val="none" w:sz="0" w:space="0" w:color="auto"/>
        <w:right w:val="none" w:sz="0" w:space="0" w:color="auto"/>
      </w:divBdr>
    </w:div>
    <w:div w:id="791945330">
      <w:bodyDiv w:val="1"/>
      <w:marLeft w:val="0"/>
      <w:marRight w:val="0"/>
      <w:marTop w:val="0"/>
      <w:marBottom w:val="0"/>
      <w:divBdr>
        <w:top w:val="none" w:sz="0" w:space="0" w:color="auto"/>
        <w:left w:val="none" w:sz="0" w:space="0" w:color="auto"/>
        <w:bottom w:val="none" w:sz="0" w:space="0" w:color="auto"/>
        <w:right w:val="none" w:sz="0" w:space="0" w:color="auto"/>
      </w:divBdr>
    </w:div>
    <w:div w:id="792406672">
      <w:bodyDiv w:val="1"/>
      <w:marLeft w:val="0"/>
      <w:marRight w:val="0"/>
      <w:marTop w:val="0"/>
      <w:marBottom w:val="0"/>
      <w:divBdr>
        <w:top w:val="none" w:sz="0" w:space="0" w:color="auto"/>
        <w:left w:val="none" w:sz="0" w:space="0" w:color="auto"/>
        <w:bottom w:val="none" w:sz="0" w:space="0" w:color="auto"/>
        <w:right w:val="none" w:sz="0" w:space="0" w:color="auto"/>
      </w:divBdr>
    </w:div>
    <w:div w:id="795220789">
      <w:bodyDiv w:val="1"/>
      <w:marLeft w:val="0"/>
      <w:marRight w:val="0"/>
      <w:marTop w:val="0"/>
      <w:marBottom w:val="0"/>
      <w:divBdr>
        <w:top w:val="none" w:sz="0" w:space="0" w:color="auto"/>
        <w:left w:val="none" w:sz="0" w:space="0" w:color="auto"/>
        <w:bottom w:val="none" w:sz="0" w:space="0" w:color="auto"/>
        <w:right w:val="none" w:sz="0" w:space="0" w:color="auto"/>
      </w:divBdr>
    </w:div>
    <w:div w:id="797993802">
      <w:bodyDiv w:val="1"/>
      <w:marLeft w:val="0"/>
      <w:marRight w:val="0"/>
      <w:marTop w:val="0"/>
      <w:marBottom w:val="0"/>
      <w:divBdr>
        <w:top w:val="none" w:sz="0" w:space="0" w:color="auto"/>
        <w:left w:val="none" w:sz="0" w:space="0" w:color="auto"/>
        <w:bottom w:val="none" w:sz="0" w:space="0" w:color="auto"/>
        <w:right w:val="none" w:sz="0" w:space="0" w:color="auto"/>
      </w:divBdr>
    </w:div>
    <w:div w:id="798063575">
      <w:bodyDiv w:val="1"/>
      <w:marLeft w:val="0"/>
      <w:marRight w:val="0"/>
      <w:marTop w:val="0"/>
      <w:marBottom w:val="0"/>
      <w:divBdr>
        <w:top w:val="none" w:sz="0" w:space="0" w:color="auto"/>
        <w:left w:val="none" w:sz="0" w:space="0" w:color="auto"/>
        <w:bottom w:val="none" w:sz="0" w:space="0" w:color="auto"/>
        <w:right w:val="none" w:sz="0" w:space="0" w:color="auto"/>
      </w:divBdr>
    </w:div>
    <w:div w:id="801535698">
      <w:bodyDiv w:val="1"/>
      <w:marLeft w:val="0"/>
      <w:marRight w:val="0"/>
      <w:marTop w:val="0"/>
      <w:marBottom w:val="0"/>
      <w:divBdr>
        <w:top w:val="none" w:sz="0" w:space="0" w:color="auto"/>
        <w:left w:val="none" w:sz="0" w:space="0" w:color="auto"/>
        <w:bottom w:val="none" w:sz="0" w:space="0" w:color="auto"/>
        <w:right w:val="none" w:sz="0" w:space="0" w:color="auto"/>
      </w:divBdr>
    </w:div>
    <w:div w:id="802045504">
      <w:bodyDiv w:val="1"/>
      <w:marLeft w:val="0"/>
      <w:marRight w:val="0"/>
      <w:marTop w:val="0"/>
      <w:marBottom w:val="0"/>
      <w:divBdr>
        <w:top w:val="none" w:sz="0" w:space="0" w:color="auto"/>
        <w:left w:val="none" w:sz="0" w:space="0" w:color="auto"/>
        <w:bottom w:val="none" w:sz="0" w:space="0" w:color="auto"/>
        <w:right w:val="none" w:sz="0" w:space="0" w:color="auto"/>
      </w:divBdr>
    </w:div>
    <w:div w:id="806049051">
      <w:bodyDiv w:val="1"/>
      <w:marLeft w:val="0"/>
      <w:marRight w:val="0"/>
      <w:marTop w:val="0"/>
      <w:marBottom w:val="0"/>
      <w:divBdr>
        <w:top w:val="none" w:sz="0" w:space="0" w:color="auto"/>
        <w:left w:val="none" w:sz="0" w:space="0" w:color="auto"/>
        <w:bottom w:val="none" w:sz="0" w:space="0" w:color="auto"/>
        <w:right w:val="none" w:sz="0" w:space="0" w:color="auto"/>
      </w:divBdr>
    </w:div>
    <w:div w:id="806245063">
      <w:bodyDiv w:val="1"/>
      <w:marLeft w:val="0"/>
      <w:marRight w:val="0"/>
      <w:marTop w:val="0"/>
      <w:marBottom w:val="0"/>
      <w:divBdr>
        <w:top w:val="none" w:sz="0" w:space="0" w:color="auto"/>
        <w:left w:val="none" w:sz="0" w:space="0" w:color="auto"/>
        <w:bottom w:val="none" w:sz="0" w:space="0" w:color="auto"/>
        <w:right w:val="none" w:sz="0" w:space="0" w:color="auto"/>
      </w:divBdr>
    </w:div>
    <w:div w:id="807943539">
      <w:bodyDiv w:val="1"/>
      <w:marLeft w:val="0"/>
      <w:marRight w:val="0"/>
      <w:marTop w:val="0"/>
      <w:marBottom w:val="0"/>
      <w:divBdr>
        <w:top w:val="none" w:sz="0" w:space="0" w:color="auto"/>
        <w:left w:val="none" w:sz="0" w:space="0" w:color="auto"/>
        <w:bottom w:val="none" w:sz="0" w:space="0" w:color="auto"/>
        <w:right w:val="none" w:sz="0" w:space="0" w:color="auto"/>
      </w:divBdr>
    </w:div>
    <w:div w:id="810828785">
      <w:bodyDiv w:val="1"/>
      <w:marLeft w:val="0"/>
      <w:marRight w:val="0"/>
      <w:marTop w:val="0"/>
      <w:marBottom w:val="0"/>
      <w:divBdr>
        <w:top w:val="none" w:sz="0" w:space="0" w:color="auto"/>
        <w:left w:val="none" w:sz="0" w:space="0" w:color="auto"/>
        <w:bottom w:val="none" w:sz="0" w:space="0" w:color="auto"/>
        <w:right w:val="none" w:sz="0" w:space="0" w:color="auto"/>
      </w:divBdr>
    </w:div>
    <w:div w:id="811674794">
      <w:bodyDiv w:val="1"/>
      <w:marLeft w:val="0"/>
      <w:marRight w:val="0"/>
      <w:marTop w:val="0"/>
      <w:marBottom w:val="0"/>
      <w:divBdr>
        <w:top w:val="none" w:sz="0" w:space="0" w:color="auto"/>
        <w:left w:val="none" w:sz="0" w:space="0" w:color="auto"/>
        <w:bottom w:val="none" w:sz="0" w:space="0" w:color="auto"/>
        <w:right w:val="none" w:sz="0" w:space="0" w:color="auto"/>
      </w:divBdr>
    </w:div>
    <w:div w:id="811795616">
      <w:bodyDiv w:val="1"/>
      <w:marLeft w:val="0"/>
      <w:marRight w:val="0"/>
      <w:marTop w:val="0"/>
      <w:marBottom w:val="0"/>
      <w:divBdr>
        <w:top w:val="none" w:sz="0" w:space="0" w:color="auto"/>
        <w:left w:val="none" w:sz="0" w:space="0" w:color="auto"/>
        <w:bottom w:val="none" w:sz="0" w:space="0" w:color="auto"/>
        <w:right w:val="none" w:sz="0" w:space="0" w:color="auto"/>
      </w:divBdr>
    </w:div>
    <w:div w:id="811867769">
      <w:bodyDiv w:val="1"/>
      <w:marLeft w:val="0"/>
      <w:marRight w:val="0"/>
      <w:marTop w:val="0"/>
      <w:marBottom w:val="0"/>
      <w:divBdr>
        <w:top w:val="none" w:sz="0" w:space="0" w:color="auto"/>
        <w:left w:val="none" w:sz="0" w:space="0" w:color="auto"/>
        <w:bottom w:val="none" w:sz="0" w:space="0" w:color="auto"/>
        <w:right w:val="none" w:sz="0" w:space="0" w:color="auto"/>
      </w:divBdr>
    </w:div>
    <w:div w:id="812143126">
      <w:bodyDiv w:val="1"/>
      <w:marLeft w:val="0"/>
      <w:marRight w:val="0"/>
      <w:marTop w:val="0"/>
      <w:marBottom w:val="0"/>
      <w:divBdr>
        <w:top w:val="none" w:sz="0" w:space="0" w:color="auto"/>
        <w:left w:val="none" w:sz="0" w:space="0" w:color="auto"/>
        <w:bottom w:val="none" w:sz="0" w:space="0" w:color="auto"/>
        <w:right w:val="none" w:sz="0" w:space="0" w:color="auto"/>
      </w:divBdr>
    </w:div>
    <w:div w:id="815414720">
      <w:bodyDiv w:val="1"/>
      <w:marLeft w:val="0"/>
      <w:marRight w:val="0"/>
      <w:marTop w:val="0"/>
      <w:marBottom w:val="0"/>
      <w:divBdr>
        <w:top w:val="none" w:sz="0" w:space="0" w:color="auto"/>
        <w:left w:val="none" w:sz="0" w:space="0" w:color="auto"/>
        <w:bottom w:val="none" w:sz="0" w:space="0" w:color="auto"/>
        <w:right w:val="none" w:sz="0" w:space="0" w:color="auto"/>
      </w:divBdr>
    </w:div>
    <w:div w:id="816383460">
      <w:bodyDiv w:val="1"/>
      <w:marLeft w:val="0"/>
      <w:marRight w:val="0"/>
      <w:marTop w:val="0"/>
      <w:marBottom w:val="0"/>
      <w:divBdr>
        <w:top w:val="none" w:sz="0" w:space="0" w:color="auto"/>
        <w:left w:val="none" w:sz="0" w:space="0" w:color="auto"/>
        <w:bottom w:val="none" w:sz="0" w:space="0" w:color="auto"/>
        <w:right w:val="none" w:sz="0" w:space="0" w:color="auto"/>
      </w:divBdr>
    </w:div>
    <w:div w:id="819232049">
      <w:bodyDiv w:val="1"/>
      <w:marLeft w:val="0"/>
      <w:marRight w:val="0"/>
      <w:marTop w:val="0"/>
      <w:marBottom w:val="0"/>
      <w:divBdr>
        <w:top w:val="none" w:sz="0" w:space="0" w:color="auto"/>
        <w:left w:val="none" w:sz="0" w:space="0" w:color="auto"/>
        <w:bottom w:val="none" w:sz="0" w:space="0" w:color="auto"/>
        <w:right w:val="none" w:sz="0" w:space="0" w:color="auto"/>
      </w:divBdr>
    </w:div>
    <w:div w:id="820736471">
      <w:bodyDiv w:val="1"/>
      <w:marLeft w:val="0"/>
      <w:marRight w:val="0"/>
      <w:marTop w:val="0"/>
      <w:marBottom w:val="0"/>
      <w:divBdr>
        <w:top w:val="none" w:sz="0" w:space="0" w:color="auto"/>
        <w:left w:val="none" w:sz="0" w:space="0" w:color="auto"/>
        <w:bottom w:val="none" w:sz="0" w:space="0" w:color="auto"/>
        <w:right w:val="none" w:sz="0" w:space="0" w:color="auto"/>
      </w:divBdr>
    </w:div>
    <w:div w:id="824318050">
      <w:bodyDiv w:val="1"/>
      <w:marLeft w:val="0"/>
      <w:marRight w:val="0"/>
      <w:marTop w:val="0"/>
      <w:marBottom w:val="0"/>
      <w:divBdr>
        <w:top w:val="none" w:sz="0" w:space="0" w:color="auto"/>
        <w:left w:val="none" w:sz="0" w:space="0" w:color="auto"/>
        <w:bottom w:val="none" w:sz="0" w:space="0" w:color="auto"/>
        <w:right w:val="none" w:sz="0" w:space="0" w:color="auto"/>
      </w:divBdr>
    </w:div>
    <w:div w:id="824705847">
      <w:bodyDiv w:val="1"/>
      <w:marLeft w:val="0"/>
      <w:marRight w:val="0"/>
      <w:marTop w:val="0"/>
      <w:marBottom w:val="0"/>
      <w:divBdr>
        <w:top w:val="none" w:sz="0" w:space="0" w:color="auto"/>
        <w:left w:val="none" w:sz="0" w:space="0" w:color="auto"/>
        <w:bottom w:val="none" w:sz="0" w:space="0" w:color="auto"/>
        <w:right w:val="none" w:sz="0" w:space="0" w:color="auto"/>
      </w:divBdr>
    </w:div>
    <w:div w:id="826021969">
      <w:bodyDiv w:val="1"/>
      <w:marLeft w:val="0"/>
      <w:marRight w:val="0"/>
      <w:marTop w:val="0"/>
      <w:marBottom w:val="0"/>
      <w:divBdr>
        <w:top w:val="none" w:sz="0" w:space="0" w:color="auto"/>
        <w:left w:val="none" w:sz="0" w:space="0" w:color="auto"/>
        <w:bottom w:val="none" w:sz="0" w:space="0" w:color="auto"/>
        <w:right w:val="none" w:sz="0" w:space="0" w:color="auto"/>
      </w:divBdr>
    </w:div>
    <w:div w:id="827020465">
      <w:bodyDiv w:val="1"/>
      <w:marLeft w:val="0"/>
      <w:marRight w:val="0"/>
      <w:marTop w:val="0"/>
      <w:marBottom w:val="0"/>
      <w:divBdr>
        <w:top w:val="none" w:sz="0" w:space="0" w:color="auto"/>
        <w:left w:val="none" w:sz="0" w:space="0" w:color="auto"/>
        <w:bottom w:val="none" w:sz="0" w:space="0" w:color="auto"/>
        <w:right w:val="none" w:sz="0" w:space="0" w:color="auto"/>
      </w:divBdr>
    </w:div>
    <w:div w:id="827096819">
      <w:bodyDiv w:val="1"/>
      <w:marLeft w:val="0"/>
      <w:marRight w:val="0"/>
      <w:marTop w:val="0"/>
      <w:marBottom w:val="0"/>
      <w:divBdr>
        <w:top w:val="none" w:sz="0" w:space="0" w:color="auto"/>
        <w:left w:val="none" w:sz="0" w:space="0" w:color="auto"/>
        <w:bottom w:val="none" w:sz="0" w:space="0" w:color="auto"/>
        <w:right w:val="none" w:sz="0" w:space="0" w:color="auto"/>
      </w:divBdr>
    </w:div>
    <w:div w:id="828403816">
      <w:bodyDiv w:val="1"/>
      <w:marLeft w:val="0"/>
      <w:marRight w:val="0"/>
      <w:marTop w:val="0"/>
      <w:marBottom w:val="0"/>
      <w:divBdr>
        <w:top w:val="none" w:sz="0" w:space="0" w:color="auto"/>
        <w:left w:val="none" w:sz="0" w:space="0" w:color="auto"/>
        <w:bottom w:val="none" w:sz="0" w:space="0" w:color="auto"/>
        <w:right w:val="none" w:sz="0" w:space="0" w:color="auto"/>
      </w:divBdr>
    </w:div>
    <w:div w:id="828442560">
      <w:bodyDiv w:val="1"/>
      <w:marLeft w:val="0"/>
      <w:marRight w:val="0"/>
      <w:marTop w:val="0"/>
      <w:marBottom w:val="0"/>
      <w:divBdr>
        <w:top w:val="none" w:sz="0" w:space="0" w:color="auto"/>
        <w:left w:val="none" w:sz="0" w:space="0" w:color="auto"/>
        <w:bottom w:val="none" w:sz="0" w:space="0" w:color="auto"/>
        <w:right w:val="none" w:sz="0" w:space="0" w:color="auto"/>
      </w:divBdr>
    </w:div>
    <w:div w:id="828864630">
      <w:bodyDiv w:val="1"/>
      <w:marLeft w:val="0"/>
      <w:marRight w:val="0"/>
      <w:marTop w:val="0"/>
      <w:marBottom w:val="0"/>
      <w:divBdr>
        <w:top w:val="none" w:sz="0" w:space="0" w:color="auto"/>
        <w:left w:val="none" w:sz="0" w:space="0" w:color="auto"/>
        <w:bottom w:val="none" w:sz="0" w:space="0" w:color="auto"/>
        <w:right w:val="none" w:sz="0" w:space="0" w:color="auto"/>
      </w:divBdr>
    </w:div>
    <w:div w:id="836188868">
      <w:bodyDiv w:val="1"/>
      <w:marLeft w:val="0"/>
      <w:marRight w:val="0"/>
      <w:marTop w:val="0"/>
      <w:marBottom w:val="0"/>
      <w:divBdr>
        <w:top w:val="none" w:sz="0" w:space="0" w:color="auto"/>
        <w:left w:val="none" w:sz="0" w:space="0" w:color="auto"/>
        <w:bottom w:val="none" w:sz="0" w:space="0" w:color="auto"/>
        <w:right w:val="none" w:sz="0" w:space="0" w:color="auto"/>
      </w:divBdr>
    </w:div>
    <w:div w:id="837426091">
      <w:bodyDiv w:val="1"/>
      <w:marLeft w:val="0"/>
      <w:marRight w:val="0"/>
      <w:marTop w:val="0"/>
      <w:marBottom w:val="0"/>
      <w:divBdr>
        <w:top w:val="none" w:sz="0" w:space="0" w:color="auto"/>
        <w:left w:val="none" w:sz="0" w:space="0" w:color="auto"/>
        <w:bottom w:val="none" w:sz="0" w:space="0" w:color="auto"/>
        <w:right w:val="none" w:sz="0" w:space="0" w:color="auto"/>
      </w:divBdr>
    </w:div>
    <w:div w:id="839849583">
      <w:bodyDiv w:val="1"/>
      <w:marLeft w:val="0"/>
      <w:marRight w:val="0"/>
      <w:marTop w:val="0"/>
      <w:marBottom w:val="0"/>
      <w:divBdr>
        <w:top w:val="none" w:sz="0" w:space="0" w:color="auto"/>
        <w:left w:val="none" w:sz="0" w:space="0" w:color="auto"/>
        <w:bottom w:val="none" w:sz="0" w:space="0" w:color="auto"/>
        <w:right w:val="none" w:sz="0" w:space="0" w:color="auto"/>
      </w:divBdr>
    </w:div>
    <w:div w:id="841894109">
      <w:bodyDiv w:val="1"/>
      <w:marLeft w:val="0"/>
      <w:marRight w:val="0"/>
      <w:marTop w:val="0"/>
      <w:marBottom w:val="0"/>
      <w:divBdr>
        <w:top w:val="none" w:sz="0" w:space="0" w:color="auto"/>
        <w:left w:val="none" w:sz="0" w:space="0" w:color="auto"/>
        <w:bottom w:val="none" w:sz="0" w:space="0" w:color="auto"/>
        <w:right w:val="none" w:sz="0" w:space="0" w:color="auto"/>
      </w:divBdr>
    </w:div>
    <w:div w:id="845365247">
      <w:bodyDiv w:val="1"/>
      <w:marLeft w:val="0"/>
      <w:marRight w:val="0"/>
      <w:marTop w:val="0"/>
      <w:marBottom w:val="0"/>
      <w:divBdr>
        <w:top w:val="none" w:sz="0" w:space="0" w:color="auto"/>
        <w:left w:val="none" w:sz="0" w:space="0" w:color="auto"/>
        <w:bottom w:val="none" w:sz="0" w:space="0" w:color="auto"/>
        <w:right w:val="none" w:sz="0" w:space="0" w:color="auto"/>
      </w:divBdr>
    </w:div>
    <w:div w:id="845903601">
      <w:bodyDiv w:val="1"/>
      <w:marLeft w:val="0"/>
      <w:marRight w:val="0"/>
      <w:marTop w:val="0"/>
      <w:marBottom w:val="0"/>
      <w:divBdr>
        <w:top w:val="none" w:sz="0" w:space="0" w:color="auto"/>
        <w:left w:val="none" w:sz="0" w:space="0" w:color="auto"/>
        <w:bottom w:val="none" w:sz="0" w:space="0" w:color="auto"/>
        <w:right w:val="none" w:sz="0" w:space="0" w:color="auto"/>
      </w:divBdr>
    </w:div>
    <w:div w:id="846478995">
      <w:bodyDiv w:val="1"/>
      <w:marLeft w:val="0"/>
      <w:marRight w:val="0"/>
      <w:marTop w:val="0"/>
      <w:marBottom w:val="0"/>
      <w:divBdr>
        <w:top w:val="none" w:sz="0" w:space="0" w:color="auto"/>
        <w:left w:val="none" w:sz="0" w:space="0" w:color="auto"/>
        <w:bottom w:val="none" w:sz="0" w:space="0" w:color="auto"/>
        <w:right w:val="none" w:sz="0" w:space="0" w:color="auto"/>
      </w:divBdr>
    </w:div>
    <w:div w:id="847526272">
      <w:bodyDiv w:val="1"/>
      <w:marLeft w:val="0"/>
      <w:marRight w:val="0"/>
      <w:marTop w:val="0"/>
      <w:marBottom w:val="0"/>
      <w:divBdr>
        <w:top w:val="none" w:sz="0" w:space="0" w:color="auto"/>
        <w:left w:val="none" w:sz="0" w:space="0" w:color="auto"/>
        <w:bottom w:val="none" w:sz="0" w:space="0" w:color="auto"/>
        <w:right w:val="none" w:sz="0" w:space="0" w:color="auto"/>
      </w:divBdr>
    </w:div>
    <w:div w:id="849297448">
      <w:bodyDiv w:val="1"/>
      <w:marLeft w:val="0"/>
      <w:marRight w:val="0"/>
      <w:marTop w:val="0"/>
      <w:marBottom w:val="0"/>
      <w:divBdr>
        <w:top w:val="none" w:sz="0" w:space="0" w:color="auto"/>
        <w:left w:val="none" w:sz="0" w:space="0" w:color="auto"/>
        <w:bottom w:val="none" w:sz="0" w:space="0" w:color="auto"/>
        <w:right w:val="none" w:sz="0" w:space="0" w:color="auto"/>
      </w:divBdr>
    </w:div>
    <w:div w:id="849955070">
      <w:bodyDiv w:val="1"/>
      <w:marLeft w:val="0"/>
      <w:marRight w:val="0"/>
      <w:marTop w:val="0"/>
      <w:marBottom w:val="0"/>
      <w:divBdr>
        <w:top w:val="none" w:sz="0" w:space="0" w:color="auto"/>
        <w:left w:val="none" w:sz="0" w:space="0" w:color="auto"/>
        <w:bottom w:val="none" w:sz="0" w:space="0" w:color="auto"/>
        <w:right w:val="none" w:sz="0" w:space="0" w:color="auto"/>
      </w:divBdr>
    </w:div>
    <w:div w:id="850417534">
      <w:bodyDiv w:val="1"/>
      <w:marLeft w:val="0"/>
      <w:marRight w:val="0"/>
      <w:marTop w:val="0"/>
      <w:marBottom w:val="0"/>
      <w:divBdr>
        <w:top w:val="none" w:sz="0" w:space="0" w:color="auto"/>
        <w:left w:val="none" w:sz="0" w:space="0" w:color="auto"/>
        <w:bottom w:val="none" w:sz="0" w:space="0" w:color="auto"/>
        <w:right w:val="none" w:sz="0" w:space="0" w:color="auto"/>
      </w:divBdr>
    </w:div>
    <w:div w:id="851653132">
      <w:bodyDiv w:val="1"/>
      <w:marLeft w:val="0"/>
      <w:marRight w:val="0"/>
      <w:marTop w:val="0"/>
      <w:marBottom w:val="0"/>
      <w:divBdr>
        <w:top w:val="none" w:sz="0" w:space="0" w:color="auto"/>
        <w:left w:val="none" w:sz="0" w:space="0" w:color="auto"/>
        <w:bottom w:val="none" w:sz="0" w:space="0" w:color="auto"/>
        <w:right w:val="none" w:sz="0" w:space="0" w:color="auto"/>
      </w:divBdr>
    </w:div>
    <w:div w:id="854349848">
      <w:bodyDiv w:val="1"/>
      <w:marLeft w:val="0"/>
      <w:marRight w:val="0"/>
      <w:marTop w:val="0"/>
      <w:marBottom w:val="0"/>
      <w:divBdr>
        <w:top w:val="none" w:sz="0" w:space="0" w:color="auto"/>
        <w:left w:val="none" w:sz="0" w:space="0" w:color="auto"/>
        <w:bottom w:val="none" w:sz="0" w:space="0" w:color="auto"/>
        <w:right w:val="none" w:sz="0" w:space="0" w:color="auto"/>
      </w:divBdr>
    </w:div>
    <w:div w:id="854467341">
      <w:bodyDiv w:val="1"/>
      <w:marLeft w:val="0"/>
      <w:marRight w:val="0"/>
      <w:marTop w:val="0"/>
      <w:marBottom w:val="0"/>
      <w:divBdr>
        <w:top w:val="none" w:sz="0" w:space="0" w:color="auto"/>
        <w:left w:val="none" w:sz="0" w:space="0" w:color="auto"/>
        <w:bottom w:val="none" w:sz="0" w:space="0" w:color="auto"/>
        <w:right w:val="none" w:sz="0" w:space="0" w:color="auto"/>
      </w:divBdr>
    </w:div>
    <w:div w:id="856164102">
      <w:bodyDiv w:val="1"/>
      <w:marLeft w:val="0"/>
      <w:marRight w:val="0"/>
      <w:marTop w:val="0"/>
      <w:marBottom w:val="0"/>
      <w:divBdr>
        <w:top w:val="none" w:sz="0" w:space="0" w:color="auto"/>
        <w:left w:val="none" w:sz="0" w:space="0" w:color="auto"/>
        <w:bottom w:val="none" w:sz="0" w:space="0" w:color="auto"/>
        <w:right w:val="none" w:sz="0" w:space="0" w:color="auto"/>
      </w:divBdr>
    </w:div>
    <w:div w:id="862208870">
      <w:bodyDiv w:val="1"/>
      <w:marLeft w:val="0"/>
      <w:marRight w:val="0"/>
      <w:marTop w:val="0"/>
      <w:marBottom w:val="0"/>
      <w:divBdr>
        <w:top w:val="none" w:sz="0" w:space="0" w:color="auto"/>
        <w:left w:val="none" w:sz="0" w:space="0" w:color="auto"/>
        <w:bottom w:val="none" w:sz="0" w:space="0" w:color="auto"/>
        <w:right w:val="none" w:sz="0" w:space="0" w:color="auto"/>
      </w:divBdr>
    </w:div>
    <w:div w:id="864319948">
      <w:bodyDiv w:val="1"/>
      <w:marLeft w:val="0"/>
      <w:marRight w:val="0"/>
      <w:marTop w:val="0"/>
      <w:marBottom w:val="0"/>
      <w:divBdr>
        <w:top w:val="none" w:sz="0" w:space="0" w:color="auto"/>
        <w:left w:val="none" w:sz="0" w:space="0" w:color="auto"/>
        <w:bottom w:val="none" w:sz="0" w:space="0" w:color="auto"/>
        <w:right w:val="none" w:sz="0" w:space="0" w:color="auto"/>
      </w:divBdr>
    </w:div>
    <w:div w:id="864714529">
      <w:bodyDiv w:val="1"/>
      <w:marLeft w:val="0"/>
      <w:marRight w:val="0"/>
      <w:marTop w:val="0"/>
      <w:marBottom w:val="0"/>
      <w:divBdr>
        <w:top w:val="none" w:sz="0" w:space="0" w:color="auto"/>
        <w:left w:val="none" w:sz="0" w:space="0" w:color="auto"/>
        <w:bottom w:val="none" w:sz="0" w:space="0" w:color="auto"/>
        <w:right w:val="none" w:sz="0" w:space="0" w:color="auto"/>
      </w:divBdr>
    </w:div>
    <w:div w:id="865019201">
      <w:bodyDiv w:val="1"/>
      <w:marLeft w:val="0"/>
      <w:marRight w:val="0"/>
      <w:marTop w:val="0"/>
      <w:marBottom w:val="0"/>
      <w:divBdr>
        <w:top w:val="none" w:sz="0" w:space="0" w:color="auto"/>
        <w:left w:val="none" w:sz="0" w:space="0" w:color="auto"/>
        <w:bottom w:val="none" w:sz="0" w:space="0" w:color="auto"/>
        <w:right w:val="none" w:sz="0" w:space="0" w:color="auto"/>
      </w:divBdr>
    </w:div>
    <w:div w:id="870535434">
      <w:bodyDiv w:val="1"/>
      <w:marLeft w:val="0"/>
      <w:marRight w:val="0"/>
      <w:marTop w:val="0"/>
      <w:marBottom w:val="0"/>
      <w:divBdr>
        <w:top w:val="none" w:sz="0" w:space="0" w:color="auto"/>
        <w:left w:val="none" w:sz="0" w:space="0" w:color="auto"/>
        <w:bottom w:val="none" w:sz="0" w:space="0" w:color="auto"/>
        <w:right w:val="none" w:sz="0" w:space="0" w:color="auto"/>
      </w:divBdr>
    </w:div>
    <w:div w:id="871042761">
      <w:bodyDiv w:val="1"/>
      <w:marLeft w:val="0"/>
      <w:marRight w:val="0"/>
      <w:marTop w:val="0"/>
      <w:marBottom w:val="0"/>
      <w:divBdr>
        <w:top w:val="none" w:sz="0" w:space="0" w:color="auto"/>
        <w:left w:val="none" w:sz="0" w:space="0" w:color="auto"/>
        <w:bottom w:val="none" w:sz="0" w:space="0" w:color="auto"/>
        <w:right w:val="none" w:sz="0" w:space="0" w:color="auto"/>
      </w:divBdr>
    </w:div>
    <w:div w:id="871915801">
      <w:bodyDiv w:val="1"/>
      <w:marLeft w:val="0"/>
      <w:marRight w:val="0"/>
      <w:marTop w:val="0"/>
      <w:marBottom w:val="0"/>
      <w:divBdr>
        <w:top w:val="none" w:sz="0" w:space="0" w:color="auto"/>
        <w:left w:val="none" w:sz="0" w:space="0" w:color="auto"/>
        <w:bottom w:val="none" w:sz="0" w:space="0" w:color="auto"/>
        <w:right w:val="none" w:sz="0" w:space="0" w:color="auto"/>
      </w:divBdr>
    </w:div>
    <w:div w:id="871959000">
      <w:bodyDiv w:val="1"/>
      <w:marLeft w:val="0"/>
      <w:marRight w:val="0"/>
      <w:marTop w:val="0"/>
      <w:marBottom w:val="0"/>
      <w:divBdr>
        <w:top w:val="none" w:sz="0" w:space="0" w:color="auto"/>
        <w:left w:val="none" w:sz="0" w:space="0" w:color="auto"/>
        <w:bottom w:val="none" w:sz="0" w:space="0" w:color="auto"/>
        <w:right w:val="none" w:sz="0" w:space="0" w:color="auto"/>
      </w:divBdr>
    </w:div>
    <w:div w:id="874738359">
      <w:bodyDiv w:val="1"/>
      <w:marLeft w:val="0"/>
      <w:marRight w:val="0"/>
      <w:marTop w:val="0"/>
      <w:marBottom w:val="0"/>
      <w:divBdr>
        <w:top w:val="none" w:sz="0" w:space="0" w:color="auto"/>
        <w:left w:val="none" w:sz="0" w:space="0" w:color="auto"/>
        <w:bottom w:val="none" w:sz="0" w:space="0" w:color="auto"/>
        <w:right w:val="none" w:sz="0" w:space="0" w:color="auto"/>
      </w:divBdr>
    </w:div>
    <w:div w:id="875387955">
      <w:bodyDiv w:val="1"/>
      <w:marLeft w:val="0"/>
      <w:marRight w:val="0"/>
      <w:marTop w:val="0"/>
      <w:marBottom w:val="0"/>
      <w:divBdr>
        <w:top w:val="none" w:sz="0" w:space="0" w:color="auto"/>
        <w:left w:val="none" w:sz="0" w:space="0" w:color="auto"/>
        <w:bottom w:val="none" w:sz="0" w:space="0" w:color="auto"/>
        <w:right w:val="none" w:sz="0" w:space="0" w:color="auto"/>
      </w:divBdr>
    </w:div>
    <w:div w:id="876308674">
      <w:bodyDiv w:val="1"/>
      <w:marLeft w:val="0"/>
      <w:marRight w:val="0"/>
      <w:marTop w:val="0"/>
      <w:marBottom w:val="0"/>
      <w:divBdr>
        <w:top w:val="none" w:sz="0" w:space="0" w:color="auto"/>
        <w:left w:val="none" w:sz="0" w:space="0" w:color="auto"/>
        <w:bottom w:val="none" w:sz="0" w:space="0" w:color="auto"/>
        <w:right w:val="none" w:sz="0" w:space="0" w:color="auto"/>
      </w:divBdr>
    </w:div>
    <w:div w:id="876357632">
      <w:bodyDiv w:val="1"/>
      <w:marLeft w:val="0"/>
      <w:marRight w:val="0"/>
      <w:marTop w:val="0"/>
      <w:marBottom w:val="0"/>
      <w:divBdr>
        <w:top w:val="none" w:sz="0" w:space="0" w:color="auto"/>
        <w:left w:val="none" w:sz="0" w:space="0" w:color="auto"/>
        <w:bottom w:val="none" w:sz="0" w:space="0" w:color="auto"/>
        <w:right w:val="none" w:sz="0" w:space="0" w:color="auto"/>
      </w:divBdr>
    </w:div>
    <w:div w:id="877425330">
      <w:bodyDiv w:val="1"/>
      <w:marLeft w:val="0"/>
      <w:marRight w:val="0"/>
      <w:marTop w:val="0"/>
      <w:marBottom w:val="0"/>
      <w:divBdr>
        <w:top w:val="none" w:sz="0" w:space="0" w:color="auto"/>
        <w:left w:val="none" w:sz="0" w:space="0" w:color="auto"/>
        <w:bottom w:val="none" w:sz="0" w:space="0" w:color="auto"/>
        <w:right w:val="none" w:sz="0" w:space="0" w:color="auto"/>
      </w:divBdr>
    </w:div>
    <w:div w:id="879515501">
      <w:bodyDiv w:val="1"/>
      <w:marLeft w:val="0"/>
      <w:marRight w:val="0"/>
      <w:marTop w:val="0"/>
      <w:marBottom w:val="0"/>
      <w:divBdr>
        <w:top w:val="none" w:sz="0" w:space="0" w:color="auto"/>
        <w:left w:val="none" w:sz="0" w:space="0" w:color="auto"/>
        <w:bottom w:val="none" w:sz="0" w:space="0" w:color="auto"/>
        <w:right w:val="none" w:sz="0" w:space="0" w:color="auto"/>
      </w:divBdr>
    </w:div>
    <w:div w:id="880900619">
      <w:bodyDiv w:val="1"/>
      <w:marLeft w:val="0"/>
      <w:marRight w:val="0"/>
      <w:marTop w:val="0"/>
      <w:marBottom w:val="0"/>
      <w:divBdr>
        <w:top w:val="none" w:sz="0" w:space="0" w:color="auto"/>
        <w:left w:val="none" w:sz="0" w:space="0" w:color="auto"/>
        <w:bottom w:val="none" w:sz="0" w:space="0" w:color="auto"/>
        <w:right w:val="none" w:sz="0" w:space="0" w:color="auto"/>
      </w:divBdr>
    </w:div>
    <w:div w:id="881096405">
      <w:bodyDiv w:val="1"/>
      <w:marLeft w:val="0"/>
      <w:marRight w:val="0"/>
      <w:marTop w:val="0"/>
      <w:marBottom w:val="0"/>
      <w:divBdr>
        <w:top w:val="none" w:sz="0" w:space="0" w:color="auto"/>
        <w:left w:val="none" w:sz="0" w:space="0" w:color="auto"/>
        <w:bottom w:val="none" w:sz="0" w:space="0" w:color="auto"/>
        <w:right w:val="none" w:sz="0" w:space="0" w:color="auto"/>
      </w:divBdr>
    </w:div>
    <w:div w:id="882517556">
      <w:bodyDiv w:val="1"/>
      <w:marLeft w:val="0"/>
      <w:marRight w:val="0"/>
      <w:marTop w:val="0"/>
      <w:marBottom w:val="0"/>
      <w:divBdr>
        <w:top w:val="none" w:sz="0" w:space="0" w:color="auto"/>
        <w:left w:val="none" w:sz="0" w:space="0" w:color="auto"/>
        <w:bottom w:val="none" w:sz="0" w:space="0" w:color="auto"/>
        <w:right w:val="none" w:sz="0" w:space="0" w:color="auto"/>
      </w:divBdr>
    </w:div>
    <w:div w:id="882594026">
      <w:bodyDiv w:val="1"/>
      <w:marLeft w:val="0"/>
      <w:marRight w:val="0"/>
      <w:marTop w:val="0"/>
      <w:marBottom w:val="0"/>
      <w:divBdr>
        <w:top w:val="none" w:sz="0" w:space="0" w:color="auto"/>
        <w:left w:val="none" w:sz="0" w:space="0" w:color="auto"/>
        <w:bottom w:val="none" w:sz="0" w:space="0" w:color="auto"/>
        <w:right w:val="none" w:sz="0" w:space="0" w:color="auto"/>
      </w:divBdr>
    </w:div>
    <w:div w:id="883910655">
      <w:bodyDiv w:val="1"/>
      <w:marLeft w:val="0"/>
      <w:marRight w:val="0"/>
      <w:marTop w:val="0"/>
      <w:marBottom w:val="0"/>
      <w:divBdr>
        <w:top w:val="none" w:sz="0" w:space="0" w:color="auto"/>
        <w:left w:val="none" w:sz="0" w:space="0" w:color="auto"/>
        <w:bottom w:val="none" w:sz="0" w:space="0" w:color="auto"/>
        <w:right w:val="none" w:sz="0" w:space="0" w:color="auto"/>
      </w:divBdr>
    </w:div>
    <w:div w:id="885022954">
      <w:bodyDiv w:val="1"/>
      <w:marLeft w:val="0"/>
      <w:marRight w:val="0"/>
      <w:marTop w:val="0"/>
      <w:marBottom w:val="0"/>
      <w:divBdr>
        <w:top w:val="none" w:sz="0" w:space="0" w:color="auto"/>
        <w:left w:val="none" w:sz="0" w:space="0" w:color="auto"/>
        <w:bottom w:val="none" w:sz="0" w:space="0" w:color="auto"/>
        <w:right w:val="none" w:sz="0" w:space="0" w:color="auto"/>
      </w:divBdr>
    </w:div>
    <w:div w:id="886451088">
      <w:bodyDiv w:val="1"/>
      <w:marLeft w:val="0"/>
      <w:marRight w:val="0"/>
      <w:marTop w:val="0"/>
      <w:marBottom w:val="0"/>
      <w:divBdr>
        <w:top w:val="none" w:sz="0" w:space="0" w:color="auto"/>
        <w:left w:val="none" w:sz="0" w:space="0" w:color="auto"/>
        <w:bottom w:val="none" w:sz="0" w:space="0" w:color="auto"/>
        <w:right w:val="none" w:sz="0" w:space="0" w:color="auto"/>
      </w:divBdr>
    </w:div>
    <w:div w:id="886600089">
      <w:bodyDiv w:val="1"/>
      <w:marLeft w:val="0"/>
      <w:marRight w:val="0"/>
      <w:marTop w:val="0"/>
      <w:marBottom w:val="0"/>
      <w:divBdr>
        <w:top w:val="none" w:sz="0" w:space="0" w:color="auto"/>
        <w:left w:val="none" w:sz="0" w:space="0" w:color="auto"/>
        <w:bottom w:val="none" w:sz="0" w:space="0" w:color="auto"/>
        <w:right w:val="none" w:sz="0" w:space="0" w:color="auto"/>
      </w:divBdr>
    </w:div>
    <w:div w:id="887377783">
      <w:bodyDiv w:val="1"/>
      <w:marLeft w:val="0"/>
      <w:marRight w:val="0"/>
      <w:marTop w:val="0"/>
      <w:marBottom w:val="0"/>
      <w:divBdr>
        <w:top w:val="none" w:sz="0" w:space="0" w:color="auto"/>
        <w:left w:val="none" w:sz="0" w:space="0" w:color="auto"/>
        <w:bottom w:val="none" w:sz="0" w:space="0" w:color="auto"/>
        <w:right w:val="none" w:sz="0" w:space="0" w:color="auto"/>
      </w:divBdr>
    </w:div>
    <w:div w:id="890187564">
      <w:bodyDiv w:val="1"/>
      <w:marLeft w:val="0"/>
      <w:marRight w:val="0"/>
      <w:marTop w:val="0"/>
      <w:marBottom w:val="0"/>
      <w:divBdr>
        <w:top w:val="none" w:sz="0" w:space="0" w:color="auto"/>
        <w:left w:val="none" w:sz="0" w:space="0" w:color="auto"/>
        <w:bottom w:val="none" w:sz="0" w:space="0" w:color="auto"/>
        <w:right w:val="none" w:sz="0" w:space="0" w:color="auto"/>
      </w:divBdr>
    </w:div>
    <w:div w:id="890464602">
      <w:bodyDiv w:val="1"/>
      <w:marLeft w:val="0"/>
      <w:marRight w:val="0"/>
      <w:marTop w:val="0"/>
      <w:marBottom w:val="0"/>
      <w:divBdr>
        <w:top w:val="none" w:sz="0" w:space="0" w:color="auto"/>
        <w:left w:val="none" w:sz="0" w:space="0" w:color="auto"/>
        <w:bottom w:val="none" w:sz="0" w:space="0" w:color="auto"/>
        <w:right w:val="none" w:sz="0" w:space="0" w:color="auto"/>
      </w:divBdr>
    </w:div>
    <w:div w:id="890730849">
      <w:bodyDiv w:val="1"/>
      <w:marLeft w:val="0"/>
      <w:marRight w:val="0"/>
      <w:marTop w:val="0"/>
      <w:marBottom w:val="0"/>
      <w:divBdr>
        <w:top w:val="none" w:sz="0" w:space="0" w:color="auto"/>
        <w:left w:val="none" w:sz="0" w:space="0" w:color="auto"/>
        <w:bottom w:val="none" w:sz="0" w:space="0" w:color="auto"/>
        <w:right w:val="none" w:sz="0" w:space="0" w:color="auto"/>
      </w:divBdr>
    </w:div>
    <w:div w:id="891234338">
      <w:bodyDiv w:val="1"/>
      <w:marLeft w:val="0"/>
      <w:marRight w:val="0"/>
      <w:marTop w:val="0"/>
      <w:marBottom w:val="0"/>
      <w:divBdr>
        <w:top w:val="none" w:sz="0" w:space="0" w:color="auto"/>
        <w:left w:val="none" w:sz="0" w:space="0" w:color="auto"/>
        <w:bottom w:val="none" w:sz="0" w:space="0" w:color="auto"/>
        <w:right w:val="none" w:sz="0" w:space="0" w:color="auto"/>
      </w:divBdr>
    </w:div>
    <w:div w:id="894394408">
      <w:bodyDiv w:val="1"/>
      <w:marLeft w:val="0"/>
      <w:marRight w:val="0"/>
      <w:marTop w:val="0"/>
      <w:marBottom w:val="0"/>
      <w:divBdr>
        <w:top w:val="none" w:sz="0" w:space="0" w:color="auto"/>
        <w:left w:val="none" w:sz="0" w:space="0" w:color="auto"/>
        <w:bottom w:val="none" w:sz="0" w:space="0" w:color="auto"/>
        <w:right w:val="none" w:sz="0" w:space="0" w:color="auto"/>
      </w:divBdr>
    </w:div>
    <w:div w:id="896018369">
      <w:bodyDiv w:val="1"/>
      <w:marLeft w:val="0"/>
      <w:marRight w:val="0"/>
      <w:marTop w:val="0"/>
      <w:marBottom w:val="0"/>
      <w:divBdr>
        <w:top w:val="none" w:sz="0" w:space="0" w:color="auto"/>
        <w:left w:val="none" w:sz="0" w:space="0" w:color="auto"/>
        <w:bottom w:val="none" w:sz="0" w:space="0" w:color="auto"/>
        <w:right w:val="none" w:sz="0" w:space="0" w:color="auto"/>
      </w:divBdr>
    </w:div>
    <w:div w:id="896356623">
      <w:bodyDiv w:val="1"/>
      <w:marLeft w:val="0"/>
      <w:marRight w:val="0"/>
      <w:marTop w:val="0"/>
      <w:marBottom w:val="0"/>
      <w:divBdr>
        <w:top w:val="none" w:sz="0" w:space="0" w:color="auto"/>
        <w:left w:val="none" w:sz="0" w:space="0" w:color="auto"/>
        <w:bottom w:val="none" w:sz="0" w:space="0" w:color="auto"/>
        <w:right w:val="none" w:sz="0" w:space="0" w:color="auto"/>
      </w:divBdr>
    </w:div>
    <w:div w:id="896472605">
      <w:bodyDiv w:val="1"/>
      <w:marLeft w:val="0"/>
      <w:marRight w:val="0"/>
      <w:marTop w:val="0"/>
      <w:marBottom w:val="0"/>
      <w:divBdr>
        <w:top w:val="none" w:sz="0" w:space="0" w:color="auto"/>
        <w:left w:val="none" w:sz="0" w:space="0" w:color="auto"/>
        <w:bottom w:val="none" w:sz="0" w:space="0" w:color="auto"/>
        <w:right w:val="none" w:sz="0" w:space="0" w:color="auto"/>
      </w:divBdr>
    </w:div>
    <w:div w:id="898632579">
      <w:bodyDiv w:val="1"/>
      <w:marLeft w:val="0"/>
      <w:marRight w:val="0"/>
      <w:marTop w:val="0"/>
      <w:marBottom w:val="0"/>
      <w:divBdr>
        <w:top w:val="none" w:sz="0" w:space="0" w:color="auto"/>
        <w:left w:val="none" w:sz="0" w:space="0" w:color="auto"/>
        <w:bottom w:val="none" w:sz="0" w:space="0" w:color="auto"/>
        <w:right w:val="none" w:sz="0" w:space="0" w:color="auto"/>
      </w:divBdr>
    </w:div>
    <w:div w:id="898858917">
      <w:bodyDiv w:val="1"/>
      <w:marLeft w:val="0"/>
      <w:marRight w:val="0"/>
      <w:marTop w:val="0"/>
      <w:marBottom w:val="0"/>
      <w:divBdr>
        <w:top w:val="none" w:sz="0" w:space="0" w:color="auto"/>
        <w:left w:val="none" w:sz="0" w:space="0" w:color="auto"/>
        <w:bottom w:val="none" w:sz="0" w:space="0" w:color="auto"/>
        <w:right w:val="none" w:sz="0" w:space="0" w:color="auto"/>
      </w:divBdr>
    </w:div>
    <w:div w:id="901717247">
      <w:bodyDiv w:val="1"/>
      <w:marLeft w:val="0"/>
      <w:marRight w:val="0"/>
      <w:marTop w:val="0"/>
      <w:marBottom w:val="0"/>
      <w:divBdr>
        <w:top w:val="none" w:sz="0" w:space="0" w:color="auto"/>
        <w:left w:val="none" w:sz="0" w:space="0" w:color="auto"/>
        <w:bottom w:val="none" w:sz="0" w:space="0" w:color="auto"/>
        <w:right w:val="none" w:sz="0" w:space="0" w:color="auto"/>
      </w:divBdr>
    </w:div>
    <w:div w:id="901910741">
      <w:bodyDiv w:val="1"/>
      <w:marLeft w:val="0"/>
      <w:marRight w:val="0"/>
      <w:marTop w:val="0"/>
      <w:marBottom w:val="0"/>
      <w:divBdr>
        <w:top w:val="none" w:sz="0" w:space="0" w:color="auto"/>
        <w:left w:val="none" w:sz="0" w:space="0" w:color="auto"/>
        <w:bottom w:val="none" w:sz="0" w:space="0" w:color="auto"/>
        <w:right w:val="none" w:sz="0" w:space="0" w:color="auto"/>
      </w:divBdr>
    </w:div>
    <w:div w:id="903563607">
      <w:bodyDiv w:val="1"/>
      <w:marLeft w:val="0"/>
      <w:marRight w:val="0"/>
      <w:marTop w:val="0"/>
      <w:marBottom w:val="0"/>
      <w:divBdr>
        <w:top w:val="none" w:sz="0" w:space="0" w:color="auto"/>
        <w:left w:val="none" w:sz="0" w:space="0" w:color="auto"/>
        <w:bottom w:val="none" w:sz="0" w:space="0" w:color="auto"/>
        <w:right w:val="none" w:sz="0" w:space="0" w:color="auto"/>
      </w:divBdr>
    </w:div>
    <w:div w:id="904529545">
      <w:bodyDiv w:val="1"/>
      <w:marLeft w:val="0"/>
      <w:marRight w:val="0"/>
      <w:marTop w:val="0"/>
      <w:marBottom w:val="0"/>
      <w:divBdr>
        <w:top w:val="none" w:sz="0" w:space="0" w:color="auto"/>
        <w:left w:val="none" w:sz="0" w:space="0" w:color="auto"/>
        <w:bottom w:val="none" w:sz="0" w:space="0" w:color="auto"/>
        <w:right w:val="none" w:sz="0" w:space="0" w:color="auto"/>
      </w:divBdr>
    </w:div>
    <w:div w:id="905603397">
      <w:bodyDiv w:val="1"/>
      <w:marLeft w:val="0"/>
      <w:marRight w:val="0"/>
      <w:marTop w:val="0"/>
      <w:marBottom w:val="0"/>
      <w:divBdr>
        <w:top w:val="none" w:sz="0" w:space="0" w:color="auto"/>
        <w:left w:val="none" w:sz="0" w:space="0" w:color="auto"/>
        <w:bottom w:val="none" w:sz="0" w:space="0" w:color="auto"/>
        <w:right w:val="none" w:sz="0" w:space="0" w:color="auto"/>
      </w:divBdr>
    </w:div>
    <w:div w:id="905728818">
      <w:bodyDiv w:val="1"/>
      <w:marLeft w:val="0"/>
      <w:marRight w:val="0"/>
      <w:marTop w:val="0"/>
      <w:marBottom w:val="0"/>
      <w:divBdr>
        <w:top w:val="none" w:sz="0" w:space="0" w:color="auto"/>
        <w:left w:val="none" w:sz="0" w:space="0" w:color="auto"/>
        <w:bottom w:val="none" w:sz="0" w:space="0" w:color="auto"/>
        <w:right w:val="none" w:sz="0" w:space="0" w:color="auto"/>
      </w:divBdr>
    </w:div>
    <w:div w:id="907301558">
      <w:bodyDiv w:val="1"/>
      <w:marLeft w:val="0"/>
      <w:marRight w:val="0"/>
      <w:marTop w:val="0"/>
      <w:marBottom w:val="0"/>
      <w:divBdr>
        <w:top w:val="none" w:sz="0" w:space="0" w:color="auto"/>
        <w:left w:val="none" w:sz="0" w:space="0" w:color="auto"/>
        <w:bottom w:val="none" w:sz="0" w:space="0" w:color="auto"/>
        <w:right w:val="none" w:sz="0" w:space="0" w:color="auto"/>
      </w:divBdr>
    </w:div>
    <w:div w:id="912665820">
      <w:bodyDiv w:val="1"/>
      <w:marLeft w:val="0"/>
      <w:marRight w:val="0"/>
      <w:marTop w:val="0"/>
      <w:marBottom w:val="0"/>
      <w:divBdr>
        <w:top w:val="none" w:sz="0" w:space="0" w:color="auto"/>
        <w:left w:val="none" w:sz="0" w:space="0" w:color="auto"/>
        <w:bottom w:val="none" w:sz="0" w:space="0" w:color="auto"/>
        <w:right w:val="none" w:sz="0" w:space="0" w:color="auto"/>
      </w:divBdr>
    </w:div>
    <w:div w:id="912858910">
      <w:bodyDiv w:val="1"/>
      <w:marLeft w:val="0"/>
      <w:marRight w:val="0"/>
      <w:marTop w:val="0"/>
      <w:marBottom w:val="0"/>
      <w:divBdr>
        <w:top w:val="none" w:sz="0" w:space="0" w:color="auto"/>
        <w:left w:val="none" w:sz="0" w:space="0" w:color="auto"/>
        <w:bottom w:val="none" w:sz="0" w:space="0" w:color="auto"/>
        <w:right w:val="none" w:sz="0" w:space="0" w:color="auto"/>
      </w:divBdr>
    </w:div>
    <w:div w:id="919213225">
      <w:bodyDiv w:val="1"/>
      <w:marLeft w:val="0"/>
      <w:marRight w:val="0"/>
      <w:marTop w:val="0"/>
      <w:marBottom w:val="0"/>
      <w:divBdr>
        <w:top w:val="none" w:sz="0" w:space="0" w:color="auto"/>
        <w:left w:val="none" w:sz="0" w:space="0" w:color="auto"/>
        <w:bottom w:val="none" w:sz="0" w:space="0" w:color="auto"/>
        <w:right w:val="none" w:sz="0" w:space="0" w:color="auto"/>
      </w:divBdr>
    </w:div>
    <w:div w:id="920525110">
      <w:bodyDiv w:val="1"/>
      <w:marLeft w:val="0"/>
      <w:marRight w:val="0"/>
      <w:marTop w:val="0"/>
      <w:marBottom w:val="0"/>
      <w:divBdr>
        <w:top w:val="none" w:sz="0" w:space="0" w:color="auto"/>
        <w:left w:val="none" w:sz="0" w:space="0" w:color="auto"/>
        <w:bottom w:val="none" w:sz="0" w:space="0" w:color="auto"/>
        <w:right w:val="none" w:sz="0" w:space="0" w:color="auto"/>
      </w:divBdr>
    </w:div>
    <w:div w:id="922564767">
      <w:bodyDiv w:val="1"/>
      <w:marLeft w:val="0"/>
      <w:marRight w:val="0"/>
      <w:marTop w:val="0"/>
      <w:marBottom w:val="0"/>
      <w:divBdr>
        <w:top w:val="none" w:sz="0" w:space="0" w:color="auto"/>
        <w:left w:val="none" w:sz="0" w:space="0" w:color="auto"/>
        <w:bottom w:val="none" w:sz="0" w:space="0" w:color="auto"/>
        <w:right w:val="none" w:sz="0" w:space="0" w:color="auto"/>
      </w:divBdr>
    </w:div>
    <w:div w:id="923951987">
      <w:bodyDiv w:val="1"/>
      <w:marLeft w:val="0"/>
      <w:marRight w:val="0"/>
      <w:marTop w:val="0"/>
      <w:marBottom w:val="0"/>
      <w:divBdr>
        <w:top w:val="none" w:sz="0" w:space="0" w:color="auto"/>
        <w:left w:val="none" w:sz="0" w:space="0" w:color="auto"/>
        <w:bottom w:val="none" w:sz="0" w:space="0" w:color="auto"/>
        <w:right w:val="none" w:sz="0" w:space="0" w:color="auto"/>
      </w:divBdr>
    </w:div>
    <w:div w:id="924609382">
      <w:bodyDiv w:val="1"/>
      <w:marLeft w:val="0"/>
      <w:marRight w:val="0"/>
      <w:marTop w:val="0"/>
      <w:marBottom w:val="0"/>
      <w:divBdr>
        <w:top w:val="none" w:sz="0" w:space="0" w:color="auto"/>
        <w:left w:val="none" w:sz="0" w:space="0" w:color="auto"/>
        <w:bottom w:val="none" w:sz="0" w:space="0" w:color="auto"/>
        <w:right w:val="none" w:sz="0" w:space="0" w:color="auto"/>
      </w:divBdr>
    </w:div>
    <w:div w:id="924654588">
      <w:bodyDiv w:val="1"/>
      <w:marLeft w:val="0"/>
      <w:marRight w:val="0"/>
      <w:marTop w:val="0"/>
      <w:marBottom w:val="0"/>
      <w:divBdr>
        <w:top w:val="none" w:sz="0" w:space="0" w:color="auto"/>
        <w:left w:val="none" w:sz="0" w:space="0" w:color="auto"/>
        <w:bottom w:val="none" w:sz="0" w:space="0" w:color="auto"/>
        <w:right w:val="none" w:sz="0" w:space="0" w:color="auto"/>
      </w:divBdr>
    </w:div>
    <w:div w:id="928318062">
      <w:bodyDiv w:val="1"/>
      <w:marLeft w:val="0"/>
      <w:marRight w:val="0"/>
      <w:marTop w:val="0"/>
      <w:marBottom w:val="0"/>
      <w:divBdr>
        <w:top w:val="none" w:sz="0" w:space="0" w:color="auto"/>
        <w:left w:val="none" w:sz="0" w:space="0" w:color="auto"/>
        <w:bottom w:val="none" w:sz="0" w:space="0" w:color="auto"/>
        <w:right w:val="none" w:sz="0" w:space="0" w:color="auto"/>
      </w:divBdr>
    </w:div>
    <w:div w:id="928346634">
      <w:bodyDiv w:val="1"/>
      <w:marLeft w:val="0"/>
      <w:marRight w:val="0"/>
      <w:marTop w:val="0"/>
      <w:marBottom w:val="0"/>
      <w:divBdr>
        <w:top w:val="none" w:sz="0" w:space="0" w:color="auto"/>
        <w:left w:val="none" w:sz="0" w:space="0" w:color="auto"/>
        <w:bottom w:val="none" w:sz="0" w:space="0" w:color="auto"/>
        <w:right w:val="none" w:sz="0" w:space="0" w:color="auto"/>
      </w:divBdr>
    </w:div>
    <w:div w:id="928930791">
      <w:bodyDiv w:val="1"/>
      <w:marLeft w:val="0"/>
      <w:marRight w:val="0"/>
      <w:marTop w:val="0"/>
      <w:marBottom w:val="0"/>
      <w:divBdr>
        <w:top w:val="none" w:sz="0" w:space="0" w:color="auto"/>
        <w:left w:val="none" w:sz="0" w:space="0" w:color="auto"/>
        <w:bottom w:val="none" w:sz="0" w:space="0" w:color="auto"/>
        <w:right w:val="none" w:sz="0" w:space="0" w:color="auto"/>
      </w:divBdr>
    </w:div>
    <w:div w:id="929705677">
      <w:bodyDiv w:val="1"/>
      <w:marLeft w:val="0"/>
      <w:marRight w:val="0"/>
      <w:marTop w:val="0"/>
      <w:marBottom w:val="0"/>
      <w:divBdr>
        <w:top w:val="none" w:sz="0" w:space="0" w:color="auto"/>
        <w:left w:val="none" w:sz="0" w:space="0" w:color="auto"/>
        <w:bottom w:val="none" w:sz="0" w:space="0" w:color="auto"/>
        <w:right w:val="none" w:sz="0" w:space="0" w:color="auto"/>
      </w:divBdr>
    </w:div>
    <w:div w:id="929893912">
      <w:bodyDiv w:val="1"/>
      <w:marLeft w:val="0"/>
      <w:marRight w:val="0"/>
      <w:marTop w:val="0"/>
      <w:marBottom w:val="0"/>
      <w:divBdr>
        <w:top w:val="none" w:sz="0" w:space="0" w:color="auto"/>
        <w:left w:val="none" w:sz="0" w:space="0" w:color="auto"/>
        <w:bottom w:val="none" w:sz="0" w:space="0" w:color="auto"/>
        <w:right w:val="none" w:sz="0" w:space="0" w:color="auto"/>
      </w:divBdr>
    </w:div>
    <w:div w:id="935289446">
      <w:bodyDiv w:val="1"/>
      <w:marLeft w:val="0"/>
      <w:marRight w:val="0"/>
      <w:marTop w:val="0"/>
      <w:marBottom w:val="0"/>
      <w:divBdr>
        <w:top w:val="none" w:sz="0" w:space="0" w:color="auto"/>
        <w:left w:val="none" w:sz="0" w:space="0" w:color="auto"/>
        <w:bottom w:val="none" w:sz="0" w:space="0" w:color="auto"/>
        <w:right w:val="none" w:sz="0" w:space="0" w:color="auto"/>
      </w:divBdr>
    </w:div>
    <w:div w:id="935596284">
      <w:bodyDiv w:val="1"/>
      <w:marLeft w:val="0"/>
      <w:marRight w:val="0"/>
      <w:marTop w:val="0"/>
      <w:marBottom w:val="0"/>
      <w:divBdr>
        <w:top w:val="none" w:sz="0" w:space="0" w:color="auto"/>
        <w:left w:val="none" w:sz="0" w:space="0" w:color="auto"/>
        <w:bottom w:val="none" w:sz="0" w:space="0" w:color="auto"/>
        <w:right w:val="none" w:sz="0" w:space="0" w:color="auto"/>
      </w:divBdr>
    </w:div>
    <w:div w:id="936206860">
      <w:bodyDiv w:val="1"/>
      <w:marLeft w:val="0"/>
      <w:marRight w:val="0"/>
      <w:marTop w:val="0"/>
      <w:marBottom w:val="0"/>
      <w:divBdr>
        <w:top w:val="none" w:sz="0" w:space="0" w:color="auto"/>
        <w:left w:val="none" w:sz="0" w:space="0" w:color="auto"/>
        <w:bottom w:val="none" w:sz="0" w:space="0" w:color="auto"/>
        <w:right w:val="none" w:sz="0" w:space="0" w:color="auto"/>
      </w:divBdr>
    </w:div>
    <w:div w:id="937834845">
      <w:bodyDiv w:val="1"/>
      <w:marLeft w:val="0"/>
      <w:marRight w:val="0"/>
      <w:marTop w:val="0"/>
      <w:marBottom w:val="0"/>
      <w:divBdr>
        <w:top w:val="none" w:sz="0" w:space="0" w:color="auto"/>
        <w:left w:val="none" w:sz="0" w:space="0" w:color="auto"/>
        <w:bottom w:val="none" w:sz="0" w:space="0" w:color="auto"/>
        <w:right w:val="none" w:sz="0" w:space="0" w:color="auto"/>
      </w:divBdr>
    </w:div>
    <w:div w:id="939752335">
      <w:bodyDiv w:val="1"/>
      <w:marLeft w:val="0"/>
      <w:marRight w:val="0"/>
      <w:marTop w:val="0"/>
      <w:marBottom w:val="0"/>
      <w:divBdr>
        <w:top w:val="none" w:sz="0" w:space="0" w:color="auto"/>
        <w:left w:val="none" w:sz="0" w:space="0" w:color="auto"/>
        <w:bottom w:val="none" w:sz="0" w:space="0" w:color="auto"/>
        <w:right w:val="none" w:sz="0" w:space="0" w:color="auto"/>
      </w:divBdr>
    </w:div>
    <w:div w:id="942611862">
      <w:bodyDiv w:val="1"/>
      <w:marLeft w:val="0"/>
      <w:marRight w:val="0"/>
      <w:marTop w:val="0"/>
      <w:marBottom w:val="0"/>
      <w:divBdr>
        <w:top w:val="none" w:sz="0" w:space="0" w:color="auto"/>
        <w:left w:val="none" w:sz="0" w:space="0" w:color="auto"/>
        <w:bottom w:val="none" w:sz="0" w:space="0" w:color="auto"/>
        <w:right w:val="none" w:sz="0" w:space="0" w:color="auto"/>
      </w:divBdr>
    </w:div>
    <w:div w:id="944456209">
      <w:bodyDiv w:val="1"/>
      <w:marLeft w:val="0"/>
      <w:marRight w:val="0"/>
      <w:marTop w:val="0"/>
      <w:marBottom w:val="0"/>
      <w:divBdr>
        <w:top w:val="none" w:sz="0" w:space="0" w:color="auto"/>
        <w:left w:val="none" w:sz="0" w:space="0" w:color="auto"/>
        <w:bottom w:val="none" w:sz="0" w:space="0" w:color="auto"/>
        <w:right w:val="none" w:sz="0" w:space="0" w:color="auto"/>
      </w:divBdr>
    </w:div>
    <w:div w:id="945767694">
      <w:bodyDiv w:val="1"/>
      <w:marLeft w:val="0"/>
      <w:marRight w:val="0"/>
      <w:marTop w:val="0"/>
      <w:marBottom w:val="0"/>
      <w:divBdr>
        <w:top w:val="none" w:sz="0" w:space="0" w:color="auto"/>
        <w:left w:val="none" w:sz="0" w:space="0" w:color="auto"/>
        <w:bottom w:val="none" w:sz="0" w:space="0" w:color="auto"/>
        <w:right w:val="none" w:sz="0" w:space="0" w:color="auto"/>
      </w:divBdr>
    </w:div>
    <w:div w:id="947466501">
      <w:bodyDiv w:val="1"/>
      <w:marLeft w:val="0"/>
      <w:marRight w:val="0"/>
      <w:marTop w:val="0"/>
      <w:marBottom w:val="0"/>
      <w:divBdr>
        <w:top w:val="none" w:sz="0" w:space="0" w:color="auto"/>
        <w:left w:val="none" w:sz="0" w:space="0" w:color="auto"/>
        <w:bottom w:val="none" w:sz="0" w:space="0" w:color="auto"/>
        <w:right w:val="none" w:sz="0" w:space="0" w:color="auto"/>
      </w:divBdr>
    </w:div>
    <w:div w:id="949236572">
      <w:bodyDiv w:val="1"/>
      <w:marLeft w:val="0"/>
      <w:marRight w:val="0"/>
      <w:marTop w:val="0"/>
      <w:marBottom w:val="0"/>
      <w:divBdr>
        <w:top w:val="none" w:sz="0" w:space="0" w:color="auto"/>
        <w:left w:val="none" w:sz="0" w:space="0" w:color="auto"/>
        <w:bottom w:val="none" w:sz="0" w:space="0" w:color="auto"/>
        <w:right w:val="none" w:sz="0" w:space="0" w:color="auto"/>
      </w:divBdr>
    </w:div>
    <w:div w:id="951477476">
      <w:bodyDiv w:val="1"/>
      <w:marLeft w:val="0"/>
      <w:marRight w:val="0"/>
      <w:marTop w:val="0"/>
      <w:marBottom w:val="0"/>
      <w:divBdr>
        <w:top w:val="none" w:sz="0" w:space="0" w:color="auto"/>
        <w:left w:val="none" w:sz="0" w:space="0" w:color="auto"/>
        <w:bottom w:val="none" w:sz="0" w:space="0" w:color="auto"/>
        <w:right w:val="none" w:sz="0" w:space="0" w:color="auto"/>
      </w:divBdr>
    </w:div>
    <w:div w:id="952900036">
      <w:bodyDiv w:val="1"/>
      <w:marLeft w:val="0"/>
      <w:marRight w:val="0"/>
      <w:marTop w:val="0"/>
      <w:marBottom w:val="0"/>
      <w:divBdr>
        <w:top w:val="none" w:sz="0" w:space="0" w:color="auto"/>
        <w:left w:val="none" w:sz="0" w:space="0" w:color="auto"/>
        <w:bottom w:val="none" w:sz="0" w:space="0" w:color="auto"/>
        <w:right w:val="none" w:sz="0" w:space="0" w:color="auto"/>
      </w:divBdr>
    </w:div>
    <w:div w:id="954825773">
      <w:bodyDiv w:val="1"/>
      <w:marLeft w:val="0"/>
      <w:marRight w:val="0"/>
      <w:marTop w:val="0"/>
      <w:marBottom w:val="0"/>
      <w:divBdr>
        <w:top w:val="none" w:sz="0" w:space="0" w:color="auto"/>
        <w:left w:val="none" w:sz="0" w:space="0" w:color="auto"/>
        <w:bottom w:val="none" w:sz="0" w:space="0" w:color="auto"/>
        <w:right w:val="none" w:sz="0" w:space="0" w:color="auto"/>
      </w:divBdr>
    </w:div>
    <w:div w:id="958726648">
      <w:bodyDiv w:val="1"/>
      <w:marLeft w:val="0"/>
      <w:marRight w:val="0"/>
      <w:marTop w:val="0"/>
      <w:marBottom w:val="0"/>
      <w:divBdr>
        <w:top w:val="none" w:sz="0" w:space="0" w:color="auto"/>
        <w:left w:val="none" w:sz="0" w:space="0" w:color="auto"/>
        <w:bottom w:val="none" w:sz="0" w:space="0" w:color="auto"/>
        <w:right w:val="none" w:sz="0" w:space="0" w:color="auto"/>
      </w:divBdr>
    </w:div>
    <w:div w:id="960233910">
      <w:bodyDiv w:val="1"/>
      <w:marLeft w:val="0"/>
      <w:marRight w:val="0"/>
      <w:marTop w:val="0"/>
      <w:marBottom w:val="0"/>
      <w:divBdr>
        <w:top w:val="none" w:sz="0" w:space="0" w:color="auto"/>
        <w:left w:val="none" w:sz="0" w:space="0" w:color="auto"/>
        <w:bottom w:val="none" w:sz="0" w:space="0" w:color="auto"/>
        <w:right w:val="none" w:sz="0" w:space="0" w:color="auto"/>
      </w:divBdr>
    </w:div>
    <w:div w:id="962615874">
      <w:bodyDiv w:val="1"/>
      <w:marLeft w:val="0"/>
      <w:marRight w:val="0"/>
      <w:marTop w:val="0"/>
      <w:marBottom w:val="0"/>
      <w:divBdr>
        <w:top w:val="none" w:sz="0" w:space="0" w:color="auto"/>
        <w:left w:val="none" w:sz="0" w:space="0" w:color="auto"/>
        <w:bottom w:val="none" w:sz="0" w:space="0" w:color="auto"/>
        <w:right w:val="none" w:sz="0" w:space="0" w:color="auto"/>
      </w:divBdr>
    </w:div>
    <w:div w:id="962729081">
      <w:bodyDiv w:val="1"/>
      <w:marLeft w:val="0"/>
      <w:marRight w:val="0"/>
      <w:marTop w:val="0"/>
      <w:marBottom w:val="0"/>
      <w:divBdr>
        <w:top w:val="none" w:sz="0" w:space="0" w:color="auto"/>
        <w:left w:val="none" w:sz="0" w:space="0" w:color="auto"/>
        <w:bottom w:val="none" w:sz="0" w:space="0" w:color="auto"/>
        <w:right w:val="none" w:sz="0" w:space="0" w:color="auto"/>
      </w:divBdr>
    </w:div>
    <w:div w:id="962855566">
      <w:bodyDiv w:val="1"/>
      <w:marLeft w:val="0"/>
      <w:marRight w:val="0"/>
      <w:marTop w:val="0"/>
      <w:marBottom w:val="0"/>
      <w:divBdr>
        <w:top w:val="none" w:sz="0" w:space="0" w:color="auto"/>
        <w:left w:val="none" w:sz="0" w:space="0" w:color="auto"/>
        <w:bottom w:val="none" w:sz="0" w:space="0" w:color="auto"/>
        <w:right w:val="none" w:sz="0" w:space="0" w:color="auto"/>
      </w:divBdr>
    </w:div>
    <w:div w:id="964117248">
      <w:bodyDiv w:val="1"/>
      <w:marLeft w:val="0"/>
      <w:marRight w:val="0"/>
      <w:marTop w:val="0"/>
      <w:marBottom w:val="0"/>
      <w:divBdr>
        <w:top w:val="none" w:sz="0" w:space="0" w:color="auto"/>
        <w:left w:val="none" w:sz="0" w:space="0" w:color="auto"/>
        <w:bottom w:val="none" w:sz="0" w:space="0" w:color="auto"/>
        <w:right w:val="none" w:sz="0" w:space="0" w:color="auto"/>
      </w:divBdr>
    </w:div>
    <w:div w:id="964389537">
      <w:bodyDiv w:val="1"/>
      <w:marLeft w:val="0"/>
      <w:marRight w:val="0"/>
      <w:marTop w:val="0"/>
      <w:marBottom w:val="0"/>
      <w:divBdr>
        <w:top w:val="none" w:sz="0" w:space="0" w:color="auto"/>
        <w:left w:val="none" w:sz="0" w:space="0" w:color="auto"/>
        <w:bottom w:val="none" w:sz="0" w:space="0" w:color="auto"/>
        <w:right w:val="none" w:sz="0" w:space="0" w:color="auto"/>
      </w:divBdr>
    </w:div>
    <w:div w:id="965816405">
      <w:bodyDiv w:val="1"/>
      <w:marLeft w:val="0"/>
      <w:marRight w:val="0"/>
      <w:marTop w:val="0"/>
      <w:marBottom w:val="0"/>
      <w:divBdr>
        <w:top w:val="none" w:sz="0" w:space="0" w:color="auto"/>
        <w:left w:val="none" w:sz="0" w:space="0" w:color="auto"/>
        <w:bottom w:val="none" w:sz="0" w:space="0" w:color="auto"/>
        <w:right w:val="none" w:sz="0" w:space="0" w:color="auto"/>
      </w:divBdr>
    </w:div>
    <w:div w:id="968707987">
      <w:bodyDiv w:val="1"/>
      <w:marLeft w:val="0"/>
      <w:marRight w:val="0"/>
      <w:marTop w:val="0"/>
      <w:marBottom w:val="0"/>
      <w:divBdr>
        <w:top w:val="none" w:sz="0" w:space="0" w:color="auto"/>
        <w:left w:val="none" w:sz="0" w:space="0" w:color="auto"/>
        <w:bottom w:val="none" w:sz="0" w:space="0" w:color="auto"/>
        <w:right w:val="none" w:sz="0" w:space="0" w:color="auto"/>
      </w:divBdr>
    </w:div>
    <w:div w:id="970867816">
      <w:bodyDiv w:val="1"/>
      <w:marLeft w:val="0"/>
      <w:marRight w:val="0"/>
      <w:marTop w:val="0"/>
      <w:marBottom w:val="0"/>
      <w:divBdr>
        <w:top w:val="none" w:sz="0" w:space="0" w:color="auto"/>
        <w:left w:val="none" w:sz="0" w:space="0" w:color="auto"/>
        <w:bottom w:val="none" w:sz="0" w:space="0" w:color="auto"/>
        <w:right w:val="none" w:sz="0" w:space="0" w:color="auto"/>
      </w:divBdr>
    </w:div>
    <w:div w:id="971522617">
      <w:bodyDiv w:val="1"/>
      <w:marLeft w:val="0"/>
      <w:marRight w:val="0"/>
      <w:marTop w:val="0"/>
      <w:marBottom w:val="0"/>
      <w:divBdr>
        <w:top w:val="none" w:sz="0" w:space="0" w:color="auto"/>
        <w:left w:val="none" w:sz="0" w:space="0" w:color="auto"/>
        <w:bottom w:val="none" w:sz="0" w:space="0" w:color="auto"/>
        <w:right w:val="none" w:sz="0" w:space="0" w:color="auto"/>
      </w:divBdr>
    </w:div>
    <w:div w:id="972176548">
      <w:bodyDiv w:val="1"/>
      <w:marLeft w:val="0"/>
      <w:marRight w:val="0"/>
      <w:marTop w:val="0"/>
      <w:marBottom w:val="0"/>
      <w:divBdr>
        <w:top w:val="none" w:sz="0" w:space="0" w:color="auto"/>
        <w:left w:val="none" w:sz="0" w:space="0" w:color="auto"/>
        <w:bottom w:val="none" w:sz="0" w:space="0" w:color="auto"/>
        <w:right w:val="none" w:sz="0" w:space="0" w:color="auto"/>
      </w:divBdr>
    </w:div>
    <w:div w:id="976179202">
      <w:bodyDiv w:val="1"/>
      <w:marLeft w:val="0"/>
      <w:marRight w:val="0"/>
      <w:marTop w:val="0"/>
      <w:marBottom w:val="0"/>
      <w:divBdr>
        <w:top w:val="none" w:sz="0" w:space="0" w:color="auto"/>
        <w:left w:val="none" w:sz="0" w:space="0" w:color="auto"/>
        <w:bottom w:val="none" w:sz="0" w:space="0" w:color="auto"/>
        <w:right w:val="none" w:sz="0" w:space="0" w:color="auto"/>
      </w:divBdr>
    </w:div>
    <w:div w:id="978613832">
      <w:bodyDiv w:val="1"/>
      <w:marLeft w:val="0"/>
      <w:marRight w:val="0"/>
      <w:marTop w:val="0"/>
      <w:marBottom w:val="0"/>
      <w:divBdr>
        <w:top w:val="none" w:sz="0" w:space="0" w:color="auto"/>
        <w:left w:val="none" w:sz="0" w:space="0" w:color="auto"/>
        <w:bottom w:val="none" w:sz="0" w:space="0" w:color="auto"/>
        <w:right w:val="none" w:sz="0" w:space="0" w:color="auto"/>
      </w:divBdr>
    </w:div>
    <w:div w:id="985160247">
      <w:bodyDiv w:val="1"/>
      <w:marLeft w:val="0"/>
      <w:marRight w:val="0"/>
      <w:marTop w:val="0"/>
      <w:marBottom w:val="0"/>
      <w:divBdr>
        <w:top w:val="none" w:sz="0" w:space="0" w:color="auto"/>
        <w:left w:val="none" w:sz="0" w:space="0" w:color="auto"/>
        <w:bottom w:val="none" w:sz="0" w:space="0" w:color="auto"/>
        <w:right w:val="none" w:sz="0" w:space="0" w:color="auto"/>
      </w:divBdr>
    </w:div>
    <w:div w:id="986127672">
      <w:bodyDiv w:val="1"/>
      <w:marLeft w:val="0"/>
      <w:marRight w:val="0"/>
      <w:marTop w:val="0"/>
      <w:marBottom w:val="0"/>
      <w:divBdr>
        <w:top w:val="none" w:sz="0" w:space="0" w:color="auto"/>
        <w:left w:val="none" w:sz="0" w:space="0" w:color="auto"/>
        <w:bottom w:val="none" w:sz="0" w:space="0" w:color="auto"/>
        <w:right w:val="none" w:sz="0" w:space="0" w:color="auto"/>
      </w:divBdr>
    </w:div>
    <w:div w:id="987442650">
      <w:bodyDiv w:val="1"/>
      <w:marLeft w:val="0"/>
      <w:marRight w:val="0"/>
      <w:marTop w:val="0"/>
      <w:marBottom w:val="0"/>
      <w:divBdr>
        <w:top w:val="none" w:sz="0" w:space="0" w:color="auto"/>
        <w:left w:val="none" w:sz="0" w:space="0" w:color="auto"/>
        <w:bottom w:val="none" w:sz="0" w:space="0" w:color="auto"/>
        <w:right w:val="none" w:sz="0" w:space="0" w:color="auto"/>
      </w:divBdr>
    </w:div>
    <w:div w:id="990400775">
      <w:bodyDiv w:val="1"/>
      <w:marLeft w:val="0"/>
      <w:marRight w:val="0"/>
      <w:marTop w:val="0"/>
      <w:marBottom w:val="0"/>
      <w:divBdr>
        <w:top w:val="none" w:sz="0" w:space="0" w:color="auto"/>
        <w:left w:val="none" w:sz="0" w:space="0" w:color="auto"/>
        <w:bottom w:val="none" w:sz="0" w:space="0" w:color="auto"/>
        <w:right w:val="none" w:sz="0" w:space="0" w:color="auto"/>
      </w:divBdr>
    </w:div>
    <w:div w:id="991373257">
      <w:bodyDiv w:val="1"/>
      <w:marLeft w:val="0"/>
      <w:marRight w:val="0"/>
      <w:marTop w:val="0"/>
      <w:marBottom w:val="0"/>
      <w:divBdr>
        <w:top w:val="none" w:sz="0" w:space="0" w:color="auto"/>
        <w:left w:val="none" w:sz="0" w:space="0" w:color="auto"/>
        <w:bottom w:val="none" w:sz="0" w:space="0" w:color="auto"/>
        <w:right w:val="none" w:sz="0" w:space="0" w:color="auto"/>
      </w:divBdr>
    </w:div>
    <w:div w:id="994990027">
      <w:bodyDiv w:val="1"/>
      <w:marLeft w:val="0"/>
      <w:marRight w:val="0"/>
      <w:marTop w:val="0"/>
      <w:marBottom w:val="0"/>
      <w:divBdr>
        <w:top w:val="none" w:sz="0" w:space="0" w:color="auto"/>
        <w:left w:val="none" w:sz="0" w:space="0" w:color="auto"/>
        <w:bottom w:val="none" w:sz="0" w:space="0" w:color="auto"/>
        <w:right w:val="none" w:sz="0" w:space="0" w:color="auto"/>
      </w:divBdr>
    </w:div>
    <w:div w:id="1000498683">
      <w:bodyDiv w:val="1"/>
      <w:marLeft w:val="0"/>
      <w:marRight w:val="0"/>
      <w:marTop w:val="0"/>
      <w:marBottom w:val="0"/>
      <w:divBdr>
        <w:top w:val="none" w:sz="0" w:space="0" w:color="auto"/>
        <w:left w:val="none" w:sz="0" w:space="0" w:color="auto"/>
        <w:bottom w:val="none" w:sz="0" w:space="0" w:color="auto"/>
        <w:right w:val="none" w:sz="0" w:space="0" w:color="auto"/>
      </w:divBdr>
    </w:div>
    <w:div w:id="1004095155">
      <w:bodyDiv w:val="1"/>
      <w:marLeft w:val="0"/>
      <w:marRight w:val="0"/>
      <w:marTop w:val="0"/>
      <w:marBottom w:val="0"/>
      <w:divBdr>
        <w:top w:val="none" w:sz="0" w:space="0" w:color="auto"/>
        <w:left w:val="none" w:sz="0" w:space="0" w:color="auto"/>
        <w:bottom w:val="none" w:sz="0" w:space="0" w:color="auto"/>
        <w:right w:val="none" w:sz="0" w:space="0" w:color="auto"/>
      </w:divBdr>
    </w:div>
    <w:div w:id="1006782923">
      <w:bodyDiv w:val="1"/>
      <w:marLeft w:val="0"/>
      <w:marRight w:val="0"/>
      <w:marTop w:val="0"/>
      <w:marBottom w:val="0"/>
      <w:divBdr>
        <w:top w:val="none" w:sz="0" w:space="0" w:color="auto"/>
        <w:left w:val="none" w:sz="0" w:space="0" w:color="auto"/>
        <w:bottom w:val="none" w:sz="0" w:space="0" w:color="auto"/>
        <w:right w:val="none" w:sz="0" w:space="0" w:color="auto"/>
      </w:divBdr>
    </w:div>
    <w:div w:id="1007098066">
      <w:bodyDiv w:val="1"/>
      <w:marLeft w:val="0"/>
      <w:marRight w:val="0"/>
      <w:marTop w:val="0"/>
      <w:marBottom w:val="0"/>
      <w:divBdr>
        <w:top w:val="none" w:sz="0" w:space="0" w:color="auto"/>
        <w:left w:val="none" w:sz="0" w:space="0" w:color="auto"/>
        <w:bottom w:val="none" w:sz="0" w:space="0" w:color="auto"/>
        <w:right w:val="none" w:sz="0" w:space="0" w:color="auto"/>
      </w:divBdr>
    </w:div>
    <w:div w:id="1009059601">
      <w:bodyDiv w:val="1"/>
      <w:marLeft w:val="0"/>
      <w:marRight w:val="0"/>
      <w:marTop w:val="0"/>
      <w:marBottom w:val="0"/>
      <w:divBdr>
        <w:top w:val="none" w:sz="0" w:space="0" w:color="auto"/>
        <w:left w:val="none" w:sz="0" w:space="0" w:color="auto"/>
        <w:bottom w:val="none" w:sz="0" w:space="0" w:color="auto"/>
        <w:right w:val="none" w:sz="0" w:space="0" w:color="auto"/>
      </w:divBdr>
    </w:div>
    <w:div w:id="1009329185">
      <w:bodyDiv w:val="1"/>
      <w:marLeft w:val="0"/>
      <w:marRight w:val="0"/>
      <w:marTop w:val="0"/>
      <w:marBottom w:val="0"/>
      <w:divBdr>
        <w:top w:val="none" w:sz="0" w:space="0" w:color="auto"/>
        <w:left w:val="none" w:sz="0" w:space="0" w:color="auto"/>
        <w:bottom w:val="none" w:sz="0" w:space="0" w:color="auto"/>
        <w:right w:val="none" w:sz="0" w:space="0" w:color="auto"/>
      </w:divBdr>
    </w:div>
    <w:div w:id="1014041010">
      <w:bodyDiv w:val="1"/>
      <w:marLeft w:val="0"/>
      <w:marRight w:val="0"/>
      <w:marTop w:val="0"/>
      <w:marBottom w:val="0"/>
      <w:divBdr>
        <w:top w:val="none" w:sz="0" w:space="0" w:color="auto"/>
        <w:left w:val="none" w:sz="0" w:space="0" w:color="auto"/>
        <w:bottom w:val="none" w:sz="0" w:space="0" w:color="auto"/>
        <w:right w:val="none" w:sz="0" w:space="0" w:color="auto"/>
      </w:divBdr>
    </w:div>
    <w:div w:id="1015619271">
      <w:bodyDiv w:val="1"/>
      <w:marLeft w:val="0"/>
      <w:marRight w:val="0"/>
      <w:marTop w:val="0"/>
      <w:marBottom w:val="0"/>
      <w:divBdr>
        <w:top w:val="none" w:sz="0" w:space="0" w:color="auto"/>
        <w:left w:val="none" w:sz="0" w:space="0" w:color="auto"/>
        <w:bottom w:val="none" w:sz="0" w:space="0" w:color="auto"/>
        <w:right w:val="none" w:sz="0" w:space="0" w:color="auto"/>
      </w:divBdr>
    </w:div>
    <w:div w:id="1017579098">
      <w:bodyDiv w:val="1"/>
      <w:marLeft w:val="0"/>
      <w:marRight w:val="0"/>
      <w:marTop w:val="0"/>
      <w:marBottom w:val="0"/>
      <w:divBdr>
        <w:top w:val="none" w:sz="0" w:space="0" w:color="auto"/>
        <w:left w:val="none" w:sz="0" w:space="0" w:color="auto"/>
        <w:bottom w:val="none" w:sz="0" w:space="0" w:color="auto"/>
        <w:right w:val="none" w:sz="0" w:space="0" w:color="auto"/>
      </w:divBdr>
    </w:div>
    <w:div w:id="1018195819">
      <w:bodyDiv w:val="1"/>
      <w:marLeft w:val="0"/>
      <w:marRight w:val="0"/>
      <w:marTop w:val="0"/>
      <w:marBottom w:val="0"/>
      <w:divBdr>
        <w:top w:val="none" w:sz="0" w:space="0" w:color="auto"/>
        <w:left w:val="none" w:sz="0" w:space="0" w:color="auto"/>
        <w:bottom w:val="none" w:sz="0" w:space="0" w:color="auto"/>
        <w:right w:val="none" w:sz="0" w:space="0" w:color="auto"/>
      </w:divBdr>
    </w:div>
    <w:div w:id="1022049580">
      <w:bodyDiv w:val="1"/>
      <w:marLeft w:val="0"/>
      <w:marRight w:val="0"/>
      <w:marTop w:val="0"/>
      <w:marBottom w:val="0"/>
      <w:divBdr>
        <w:top w:val="none" w:sz="0" w:space="0" w:color="auto"/>
        <w:left w:val="none" w:sz="0" w:space="0" w:color="auto"/>
        <w:bottom w:val="none" w:sz="0" w:space="0" w:color="auto"/>
        <w:right w:val="none" w:sz="0" w:space="0" w:color="auto"/>
      </w:divBdr>
    </w:div>
    <w:div w:id="1022976487">
      <w:bodyDiv w:val="1"/>
      <w:marLeft w:val="0"/>
      <w:marRight w:val="0"/>
      <w:marTop w:val="0"/>
      <w:marBottom w:val="0"/>
      <w:divBdr>
        <w:top w:val="none" w:sz="0" w:space="0" w:color="auto"/>
        <w:left w:val="none" w:sz="0" w:space="0" w:color="auto"/>
        <w:bottom w:val="none" w:sz="0" w:space="0" w:color="auto"/>
        <w:right w:val="none" w:sz="0" w:space="0" w:color="auto"/>
      </w:divBdr>
    </w:div>
    <w:div w:id="1027605145">
      <w:bodyDiv w:val="1"/>
      <w:marLeft w:val="0"/>
      <w:marRight w:val="0"/>
      <w:marTop w:val="0"/>
      <w:marBottom w:val="0"/>
      <w:divBdr>
        <w:top w:val="none" w:sz="0" w:space="0" w:color="auto"/>
        <w:left w:val="none" w:sz="0" w:space="0" w:color="auto"/>
        <w:bottom w:val="none" w:sz="0" w:space="0" w:color="auto"/>
        <w:right w:val="none" w:sz="0" w:space="0" w:color="auto"/>
      </w:divBdr>
    </w:div>
    <w:div w:id="1027833571">
      <w:bodyDiv w:val="1"/>
      <w:marLeft w:val="0"/>
      <w:marRight w:val="0"/>
      <w:marTop w:val="0"/>
      <w:marBottom w:val="0"/>
      <w:divBdr>
        <w:top w:val="none" w:sz="0" w:space="0" w:color="auto"/>
        <w:left w:val="none" w:sz="0" w:space="0" w:color="auto"/>
        <w:bottom w:val="none" w:sz="0" w:space="0" w:color="auto"/>
        <w:right w:val="none" w:sz="0" w:space="0" w:color="auto"/>
      </w:divBdr>
    </w:div>
    <w:div w:id="1030300740">
      <w:bodyDiv w:val="1"/>
      <w:marLeft w:val="0"/>
      <w:marRight w:val="0"/>
      <w:marTop w:val="0"/>
      <w:marBottom w:val="0"/>
      <w:divBdr>
        <w:top w:val="none" w:sz="0" w:space="0" w:color="auto"/>
        <w:left w:val="none" w:sz="0" w:space="0" w:color="auto"/>
        <w:bottom w:val="none" w:sz="0" w:space="0" w:color="auto"/>
        <w:right w:val="none" w:sz="0" w:space="0" w:color="auto"/>
      </w:divBdr>
    </w:div>
    <w:div w:id="1030569076">
      <w:bodyDiv w:val="1"/>
      <w:marLeft w:val="0"/>
      <w:marRight w:val="0"/>
      <w:marTop w:val="0"/>
      <w:marBottom w:val="0"/>
      <w:divBdr>
        <w:top w:val="none" w:sz="0" w:space="0" w:color="auto"/>
        <w:left w:val="none" w:sz="0" w:space="0" w:color="auto"/>
        <w:bottom w:val="none" w:sz="0" w:space="0" w:color="auto"/>
        <w:right w:val="none" w:sz="0" w:space="0" w:color="auto"/>
      </w:divBdr>
    </w:div>
    <w:div w:id="1031149008">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3191795">
      <w:bodyDiv w:val="1"/>
      <w:marLeft w:val="0"/>
      <w:marRight w:val="0"/>
      <w:marTop w:val="0"/>
      <w:marBottom w:val="0"/>
      <w:divBdr>
        <w:top w:val="none" w:sz="0" w:space="0" w:color="auto"/>
        <w:left w:val="none" w:sz="0" w:space="0" w:color="auto"/>
        <w:bottom w:val="none" w:sz="0" w:space="0" w:color="auto"/>
        <w:right w:val="none" w:sz="0" w:space="0" w:color="auto"/>
      </w:divBdr>
    </w:div>
    <w:div w:id="1036739252">
      <w:bodyDiv w:val="1"/>
      <w:marLeft w:val="0"/>
      <w:marRight w:val="0"/>
      <w:marTop w:val="0"/>
      <w:marBottom w:val="0"/>
      <w:divBdr>
        <w:top w:val="none" w:sz="0" w:space="0" w:color="auto"/>
        <w:left w:val="none" w:sz="0" w:space="0" w:color="auto"/>
        <w:bottom w:val="none" w:sz="0" w:space="0" w:color="auto"/>
        <w:right w:val="none" w:sz="0" w:space="0" w:color="auto"/>
      </w:divBdr>
    </w:div>
    <w:div w:id="1037588813">
      <w:bodyDiv w:val="1"/>
      <w:marLeft w:val="0"/>
      <w:marRight w:val="0"/>
      <w:marTop w:val="0"/>
      <w:marBottom w:val="0"/>
      <w:divBdr>
        <w:top w:val="none" w:sz="0" w:space="0" w:color="auto"/>
        <w:left w:val="none" w:sz="0" w:space="0" w:color="auto"/>
        <w:bottom w:val="none" w:sz="0" w:space="0" w:color="auto"/>
        <w:right w:val="none" w:sz="0" w:space="0" w:color="auto"/>
      </w:divBdr>
    </w:div>
    <w:div w:id="1040057034">
      <w:bodyDiv w:val="1"/>
      <w:marLeft w:val="0"/>
      <w:marRight w:val="0"/>
      <w:marTop w:val="0"/>
      <w:marBottom w:val="0"/>
      <w:divBdr>
        <w:top w:val="none" w:sz="0" w:space="0" w:color="auto"/>
        <w:left w:val="none" w:sz="0" w:space="0" w:color="auto"/>
        <w:bottom w:val="none" w:sz="0" w:space="0" w:color="auto"/>
        <w:right w:val="none" w:sz="0" w:space="0" w:color="auto"/>
      </w:divBdr>
    </w:div>
    <w:div w:id="1041638711">
      <w:bodyDiv w:val="1"/>
      <w:marLeft w:val="0"/>
      <w:marRight w:val="0"/>
      <w:marTop w:val="0"/>
      <w:marBottom w:val="0"/>
      <w:divBdr>
        <w:top w:val="none" w:sz="0" w:space="0" w:color="auto"/>
        <w:left w:val="none" w:sz="0" w:space="0" w:color="auto"/>
        <w:bottom w:val="none" w:sz="0" w:space="0" w:color="auto"/>
        <w:right w:val="none" w:sz="0" w:space="0" w:color="auto"/>
      </w:divBdr>
    </w:div>
    <w:div w:id="1041780284">
      <w:bodyDiv w:val="1"/>
      <w:marLeft w:val="0"/>
      <w:marRight w:val="0"/>
      <w:marTop w:val="0"/>
      <w:marBottom w:val="0"/>
      <w:divBdr>
        <w:top w:val="none" w:sz="0" w:space="0" w:color="auto"/>
        <w:left w:val="none" w:sz="0" w:space="0" w:color="auto"/>
        <w:bottom w:val="none" w:sz="0" w:space="0" w:color="auto"/>
        <w:right w:val="none" w:sz="0" w:space="0" w:color="auto"/>
      </w:divBdr>
    </w:div>
    <w:div w:id="1042025084">
      <w:bodyDiv w:val="1"/>
      <w:marLeft w:val="0"/>
      <w:marRight w:val="0"/>
      <w:marTop w:val="0"/>
      <w:marBottom w:val="0"/>
      <w:divBdr>
        <w:top w:val="none" w:sz="0" w:space="0" w:color="auto"/>
        <w:left w:val="none" w:sz="0" w:space="0" w:color="auto"/>
        <w:bottom w:val="none" w:sz="0" w:space="0" w:color="auto"/>
        <w:right w:val="none" w:sz="0" w:space="0" w:color="auto"/>
      </w:divBdr>
    </w:div>
    <w:div w:id="1042746420">
      <w:bodyDiv w:val="1"/>
      <w:marLeft w:val="0"/>
      <w:marRight w:val="0"/>
      <w:marTop w:val="0"/>
      <w:marBottom w:val="0"/>
      <w:divBdr>
        <w:top w:val="none" w:sz="0" w:space="0" w:color="auto"/>
        <w:left w:val="none" w:sz="0" w:space="0" w:color="auto"/>
        <w:bottom w:val="none" w:sz="0" w:space="0" w:color="auto"/>
        <w:right w:val="none" w:sz="0" w:space="0" w:color="auto"/>
      </w:divBdr>
    </w:div>
    <w:div w:id="1044401772">
      <w:bodyDiv w:val="1"/>
      <w:marLeft w:val="0"/>
      <w:marRight w:val="0"/>
      <w:marTop w:val="0"/>
      <w:marBottom w:val="0"/>
      <w:divBdr>
        <w:top w:val="none" w:sz="0" w:space="0" w:color="auto"/>
        <w:left w:val="none" w:sz="0" w:space="0" w:color="auto"/>
        <w:bottom w:val="none" w:sz="0" w:space="0" w:color="auto"/>
        <w:right w:val="none" w:sz="0" w:space="0" w:color="auto"/>
      </w:divBdr>
    </w:div>
    <w:div w:id="1045059705">
      <w:bodyDiv w:val="1"/>
      <w:marLeft w:val="0"/>
      <w:marRight w:val="0"/>
      <w:marTop w:val="0"/>
      <w:marBottom w:val="0"/>
      <w:divBdr>
        <w:top w:val="none" w:sz="0" w:space="0" w:color="auto"/>
        <w:left w:val="none" w:sz="0" w:space="0" w:color="auto"/>
        <w:bottom w:val="none" w:sz="0" w:space="0" w:color="auto"/>
        <w:right w:val="none" w:sz="0" w:space="0" w:color="auto"/>
      </w:divBdr>
    </w:div>
    <w:div w:id="1046222468">
      <w:bodyDiv w:val="1"/>
      <w:marLeft w:val="0"/>
      <w:marRight w:val="0"/>
      <w:marTop w:val="0"/>
      <w:marBottom w:val="0"/>
      <w:divBdr>
        <w:top w:val="none" w:sz="0" w:space="0" w:color="auto"/>
        <w:left w:val="none" w:sz="0" w:space="0" w:color="auto"/>
        <w:bottom w:val="none" w:sz="0" w:space="0" w:color="auto"/>
        <w:right w:val="none" w:sz="0" w:space="0" w:color="auto"/>
      </w:divBdr>
    </w:div>
    <w:div w:id="1047948318">
      <w:bodyDiv w:val="1"/>
      <w:marLeft w:val="0"/>
      <w:marRight w:val="0"/>
      <w:marTop w:val="0"/>
      <w:marBottom w:val="0"/>
      <w:divBdr>
        <w:top w:val="none" w:sz="0" w:space="0" w:color="auto"/>
        <w:left w:val="none" w:sz="0" w:space="0" w:color="auto"/>
        <w:bottom w:val="none" w:sz="0" w:space="0" w:color="auto"/>
        <w:right w:val="none" w:sz="0" w:space="0" w:color="auto"/>
      </w:divBdr>
    </w:div>
    <w:div w:id="1048577749">
      <w:bodyDiv w:val="1"/>
      <w:marLeft w:val="0"/>
      <w:marRight w:val="0"/>
      <w:marTop w:val="0"/>
      <w:marBottom w:val="0"/>
      <w:divBdr>
        <w:top w:val="none" w:sz="0" w:space="0" w:color="auto"/>
        <w:left w:val="none" w:sz="0" w:space="0" w:color="auto"/>
        <w:bottom w:val="none" w:sz="0" w:space="0" w:color="auto"/>
        <w:right w:val="none" w:sz="0" w:space="0" w:color="auto"/>
      </w:divBdr>
    </w:div>
    <w:div w:id="1051613106">
      <w:bodyDiv w:val="1"/>
      <w:marLeft w:val="0"/>
      <w:marRight w:val="0"/>
      <w:marTop w:val="0"/>
      <w:marBottom w:val="0"/>
      <w:divBdr>
        <w:top w:val="none" w:sz="0" w:space="0" w:color="auto"/>
        <w:left w:val="none" w:sz="0" w:space="0" w:color="auto"/>
        <w:bottom w:val="none" w:sz="0" w:space="0" w:color="auto"/>
        <w:right w:val="none" w:sz="0" w:space="0" w:color="auto"/>
      </w:divBdr>
    </w:div>
    <w:div w:id="1056246423">
      <w:bodyDiv w:val="1"/>
      <w:marLeft w:val="0"/>
      <w:marRight w:val="0"/>
      <w:marTop w:val="0"/>
      <w:marBottom w:val="0"/>
      <w:divBdr>
        <w:top w:val="none" w:sz="0" w:space="0" w:color="auto"/>
        <w:left w:val="none" w:sz="0" w:space="0" w:color="auto"/>
        <w:bottom w:val="none" w:sz="0" w:space="0" w:color="auto"/>
        <w:right w:val="none" w:sz="0" w:space="0" w:color="auto"/>
      </w:divBdr>
    </w:div>
    <w:div w:id="1058747600">
      <w:bodyDiv w:val="1"/>
      <w:marLeft w:val="0"/>
      <w:marRight w:val="0"/>
      <w:marTop w:val="0"/>
      <w:marBottom w:val="0"/>
      <w:divBdr>
        <w:top w:val="none" w:sz="0" w:space="0" w:color="auto"/>
        <w:left w:val="none" w:sz="0" w:space="0" w:color="auto"/>
        <w:bottom w:val="none" w:sz="0" w:space="0" w:color="auto"/>
        <w:right w:val="none" w:sz="0" w:space="0" w:color="auto"/>
      </w:divBdr>
    </w:div>
    <w:div w:id="1061059356">
      <w:bodyDiv w:val="1"/>
      <w:marLeft w:val="0"/>
      <w:marRight w:val="0"/>
      <w:marTop w:val="0"/>
      <w:marBottom w:val="0"/>
      <w:divBdr>
        <w:top w:val="none" w:sz="0" w:space="0" w:color="auto"/>
        <w:left w:val="none" w:sz="0" w:space="0" w:color="auto"/>
        <w:bottom w:val="none" w:sz="0" w:space="0" w:color="auto"/>
        <w:right w:val="none" w:sz="0" w:space="0" w:color="auto"/>
      </w:divBdr>
    </w:div>
    <w:div w:id="1061445002">
      <w:bodyDiv w:val="1"/>
      <w:marLeft w:val="0"/>
      <w:marRight w:val="0"/>
      <w:marTop w:val="0"/>
      <w:marBottom w:val="0"/>
      <w:divBdr>
        <w:top w:val="none" w:sz="0" w:space="0" w:color="auto"/>
        <w:left w:val="none" w:sz="0" w:space="0" w:color="auto"/>
        <w:bottom w:val="none" w:sz="0" w:space="0" w:color="auto"/>
        <w:right w:val="none" w:sz="0" w:space="0" w:color="auto"/>
      </w:divBdr>
    </w:div>
    <w:div w:id="1061715374">
      <w:bodyDiv w:val="1"/>
      <w:marLeft w:val="0"/>
      <w:marRight w:val="0"/>
      <w:marTop w:val="0"/>
      <w:marBottom w:val="0"/>
      <w:divBdr>
        <w:top w:val="none" w:sz="0" w:space="0" w:color="auto"/>
        <w:left w:val="none" w:sz="0" w:space="0" w:color="auto"/>
        <w:bottom w:val="none" w:sz="0" w:space="0" w:color="auto"/>
        <w:right w:val="none" w:sz="0" w:space="0" w:color="auto"/>
      </w:divBdr>
    </w:div>
    <w:div w:id="1061749552">
      <w:bodyDiv w:val="1"/>
      <w:marLeft w:val="0"/>
      <w:marRight w:val="0"/>
      <w:marTop w:val="0"/>
      <w:marBottom w:val="0"/>
      <w:divBdr>
        <w:top w:val="none" w:sz="0" w:space="0" w:color="auto"/>
        <w:left w:val="none" w:sz="0" w:space="0" w:color="auto"/>
        <w:bottom w:val="none" w:sz="0" w:space="0" w:color="auto"/>
        <w:right w:val="none" w:sz="0" w:space="0" w:color="auto"/>
      </w:divBdr>
    </w:div>
    <w:div w:id="1062866646">
      <w:bodyDiv w:val="1"/>
      <w:marLeft w:val="0"/>
      <w:marRight w:val="0"/>
      <w:marTop w:val="0"/>
      <w:marBottom w:val="0"/>
      <w:divBdr>
        <w:top w:val="none" w:sz="0" w:space="0" w:color="auto"/>
        <w:left w:val="none" w:sz="0" w:space="0" w:color="auto"/>
        <w:bottom w:val="none" w:sz="0" w:space="0" w:color="auto"/>
        <w:right w:val="none" w:sz="0" w:space="0" w:color="auto"/>
      </w:divBdr>
    </w:div>
    <w:div w:id="1066225279">
      <w:bodyDiv w:val="1"/>
      <w:marLeft w:val="0"/>
      <w:marRight w:val="0"/>
      <w:marTop w:val="0"/>
      <w:marBottom w:val="0"/>
      <w:divBdr>
        <w:top w:val="none" w:sz="0" w:space="0" w:color="auto"/>
        <w:left w:val="none" w:sz="0" w:space="0" w:color="auto"/>
        <w:bottom w:val="none" w:sz="0" w:space="0" w:color="auto"/>
        <w:right w:val="none" w:sz="0" w:space="0" w:color="auto"/>
      </w:divBdr>
    </w:div>
    <w:div w:id="1068765870">
      <w:bodyDiv w:val="1"/>
      <w:marLeft w:val="0"/>
      <w:marRight w:val="0"/>
      <w:marTop w:val="0"/>
      <w:marBottom w:val="0"/>
      <w:divBdr>
        <w:top w:val="none" w:sz="0" w:space="0" w:color="auto"/>
        <w:left w:val="none" w:sz="0" w:space="0" w:color="auto"/>
        <w:bottom w:val="none" w:sz="0" w:space="0" w:color="auto"/>
        <w:right w:val="none" w:sz="0" w:space="0" w:color="auto"/>
      </w:divBdr>
    </w:div>
    <w:div w:id="1069496856">
      <w:bodyDiv w:val="1"/>
      <w:marLeft w:val="0"/>
      <w:marRight w:val="0"/>
      <w:marTop w:val="0"/>
      <w:marBottom w:val="0"/>
      <w:divBdr>
        <w:top w:val="none" w:sz="0" w:space="0" w:color="auto"/>
        <w:left w:val="none" w:sz="0" w:space="0" w:color="auto"/>
        <w:bottom w:val="none" w:sz="0" w:space="0" w:color="auto"/>
        <w:right w:val="none" w:sz="0" w:space="0" w:color="auto"/>
      </w:divBdr>
    </w:div>
    <w:div w:id="1070813611">
      <w:bodyDiv w:val="1"/>
      <w:marLeft w:val="0"/>
      <w:marRight w:val="0"/>
      <w:marTop w:val="0"/>
      <w:marBottom w:val="0"/>
      <w:divBdr>
        <w:top w:val="none" w:sz="0" w:space="0" w:color="auto"/>
        <w:left w:val="none" w:sz="0" w:space="0" w:color="auto"/>
        <w:bottom w:val="none" w:sz="0" w:space="0" w:color="auto"/>
        <w:right w:val="none" w:sz="0" w:space="0" w:color="auto"/>
      </w:divBdr>
    </w:div>
    <w:div w:id="1072047654">
      <w:bodyDiv w:val="1"/>
      <w:marLeft w:val="0"/>
      <w:marRight w:val="0"/>
      <w:marTop w:val="0"/>
      <w:marBottom w:val="0"/>
      <w:divBdr>
        <w:top w:val="none" w:sz="0" w:space="0" w:color="auto"/>
        <w:left w:val="none" w:sz="0" w:space="0" w:color="auto"/>
        <w:bottom w:val="none" w:sz="0" w:space="0" w:color="auto"/>
        <w:right w:val="none" w:sz="0" w:space="0" w:color="auto"/>
      </w:divBdr>
    </w:div>
    <w:div w:id="1073044089">
      <w:bodyDiv w:val="1"/>
      <w:marLeft w:val="0"/>
      <w:marRight w:val="0"/>
      <w:marTop w:val="0"/>
      <w:marBottom w:val="0"/>
      <w:divBdr>
        <w:top w:val="none" w:sz="0" w:space="0" w:color="auto"/>
        <w:left w:val="none" w:sz="0" w:space="0" w:color="auto"/>
        <w:bottom w:val="none" w:sz="0" w:space="0" w:color="auto"/>
        <w:right w:val="none" w:sz="0" w:space="0" w:color="auto"/>
      </w:divBdr>
    </w:div>
    <w:div w:id="1077434487">
      <w:bodyDiv w:val="1"/>
      <w:marLeft w:val="0"/>
      <w:marRight w:val="0"/>
      <w:marTop w:val="0"/>
      <w:marBottom w:val="0"/>
      <w:divBdr>
        <w:top w:val="none" w:sz="0" w:space="0" w:color="auto"/>
        <w:left w:val="none" w:sz="0" w:space="0" w:color="auto"/>
        <w:bottom w:val="none" w:sz="0" w:space="0" w:color="auto"/>
        <w:right w:val="none" w:sz="0" w:space="0" w:color="auto"/>
      </w:divBdr>
    </w:div>
    <w:div w:id="1078482289">
      <w:bodyDiv w:val="1"/>
      <w:marLeft w:val="0"/>
      <w:marRight w:val="0"/>
      <w:marTop w:val="0"/>
      <w:marBottom w:val="0"/>
      <w:divBdr>
        <w:top w:val="none" w:sz="0" w:space="0" w:color="auto"/>
        <w:left w:val="none" w:sz="0" w:space="0" w:color="auto"/>
        <w:bottom w:val="none" w:sz="0" w:space="0" w:color="auto"/>
        <w:right w:val="none" w:sz="0" w:space="0" w:color="auto"/>
      </w:divBdr>
    </w:div>
    <w:div w:id="1084109602">
      <w:bodyDiv w:val="1"/>
      <w:marLeft w:val="0"/>
      <w:marRight w:val="0"/>
      <w:marTop w:val="0"/>
      <w:marBottom w:val="0"/>
      <w:divBdr>
        <w:top w:val="none" w:sz="0" w:space="0" w:color="auto"/>
        <w:left w:val="none" w:sz="0" w:space="0" w:color="auto"/>
        <w:bottom w:val="none" w:sz="0" w:space="0" w:color="auto"/>
        <w:right w:val="none" w:sz="0" w:space="0" w:color="auto"/>
      </w:divBdr>
    </w:div>
    <w:div w:id="1084760991">
      <w:bodyDiv w:val="1"/>
      <w:marLeft w:val="0"/>
      <w:marRight w:val="0"/>
      <w:marTop w:val="0"/>
      <w:marBottom w:val="0"/>
      <w:divBdr>
        <w:top w:val="none" w:sz="0" w:space="0" w:color="auto"/>
        <w:left w:val="none" w:sz="0" w:space="0" w:color="auto"/>
        <w:bottom w:val="none" w:sz="0" w:space="0" w:color="auto"/>
        <w:right w:val="none" w:sz="0" w:space="0" w:color="auto"/>
      </w:divBdr>
    </w:div>
    <w:div w:id="1086537228">
      <w:bodyDiv w:val="1"/>
      <w:marLeft w:val="0"/>
      <w:marRight w:val="0"/>
      <w:marTop w:val="0"/>
      <w:marBottom w:val="0"/>
      <w:divBdr>
        <w:top w:val="none" w:sz="0" w:space="0" w:color="auto"/>
        <w:left w:val="none" w:sz="0" w:space="0" w:color="auto"/>
        <w:bottom w:val="none" w:sz="0" w:space="0" w:color="auto"/>
        <w:right w:val="none" w:sz="0" w:space="0" w:color="auto"/>
      </w:divBdr>
    </w:div>
    <w:div w:id="1088312651">
      <w:bodyDiv w:val="1"/>
      <w:marLeft w:val="0"/>
      <w:marRight w:val="0"/>
      <w:marTop w:val="0"/>
      <w:marBottom w:val="0"/>
      <w:divBdr>
        <w:top w:val="none" w:sz="0" w:space="0" w:color="auto"/>
        <w:left w:val="none" w:sz="0" w:space="0" w:color="auto"/>
        <w:bottom w:val="none" w:sz="0" w:space="0" w:color="auto"/>
        <w:right w:val="none" w:sz="0" w:space="0" w:color="auto"/>
      </w:divBdr>
    </w:div>
    <w:div w:id="1089620210">
      <w:bodyDiv w:val="1"/>
      <w:marLeft w:val="0"/>
      <w:marRight w:val="0"/>
      <w:marTop w:val="0"/>
      <w:marBottom w:val="0"/>
      <w:divBdr>
        <w:top w:val="none" w:sz="0" w:space="0" w:color="auto"/>
        <w:left w:val="none" w:sz="0" w:space="0" w:color="auto"/>
        <w:bottom w:val="none" w:sz="0" w:space="0" w:color="auto"/>
        <w:right w:val="none" w:sz="0" w:space="0" w:color="auto"/>
      </w:divBdr>
    </w:div>
    <w:div w:id="1093165131">
      <w:bodyDiv w:val="1"/>
      <w:marLeft w:val="0"/>
      <w:marRight w:val="0"/>
      <w:marTop w:val="0"/>
      <w:marBottom w:val="0"/>
      <w:divBdr>
        <w:top w:val="none" w:sz="0" w:space="0" w:color="auto"/>
        <w:left w:val="none" w:sz="0" w:space="0" w:color="auto"/>
        <w:bottom w:val="none" w:sz="0" w:space="0" w:color="auto"/>
        <w:right w:val="none" w:sz="0" w:space="0" w:color="auto"/>
      </w:divBdr>
    </w:div>
    <w:div w:id="1094210206">
      <w:bodyDiv w:val="1"/>
      <w:marLeft w:val="0"/>
      <w:marRight w:val="0"/>
      <w:marTop w:val="0"/>
      <w:marBottom w:val="0"/>
      <w:divBdr>
        <w:top w:val="none" w:sz="0" w:space="0" w:color="auto"/>
        <w:left w:val="none" w:sz="0" w:space="0" w:color="auto"/>
        <w:bottom w:val="none" w:sz="0" w:space="0" w:color="auto"/>
        <w:right w:val="none" w:sz="0" w:space="0" w:color="auto"/>
      </w:divBdr>
    </w:div>
    <w:div w:id="1097405258">
      <w:bodyDiv w:val="1"/>
      <w:marLeft w:val="0"/>
      <w:marRight w:val="0"/>
      <w:marTop w:val="0"/>
      <w:marBottom w:val="0"/>
      <w:divBdr>
        <w:top w:val="none" w:sz="0" w:space="0" w:color="auto"/>
        <w:left w:val="none" w:sz="0" w:space="0" w:color="auto"/>
        <w:bottom w:val="none" w:sz="0" w:space="0" w:color="auto"/>
        <w:right w:val="none" w:sz="0" w:space="0" w:color="auto"/>
      </w:divBdr>
    </w:div>
    <w:div w:id="1103652422">
      <w:bodyDiv w:val="1"/>
      <w:marLeft w:val="0"/>
      <w:marRight w:val="0"/>
      <w:marTop w:val="0"/>
      <w:marBottom w:val="0"/>
      <w:divBdr>
        <w:top w:val="none" w:sz="0" w:space="0" w:color="auto"/>
        <w:left w:val="none" w:sz="0" w:space="0" w:color="auto"/>
        <w:bottom w:val="none" w:sz="0" w:space="0" w:color="auto"/>
        <w:right w:val="none" w:sz="0" w:space="0" w:color="auto"/>
      </w:divBdr>
    </w:div>
    <w:div w:id="1105619206">
      <w:bodyDiv w:val="1"/>
      <w:marLeft w:val="0"/>
      <w:marRight w:val="0"/>
      <w:marTop w:val="0"/>
      <w:marBottom w:val="0"/>
      <w:divBdr>
        <w:top w:val="none" w:sz="0" w:space="0" w:color="auto"/>
        <w:left w:val="none" w:sz="0" w:space="0" w:color="auto"/>
        <w:bottom w:val="none" w:sz="0" w:space="0" w:color="auto"/>
        <w:right w:val="none" w:sz="0" w:space="0" w:color="auto"/>
      </w:divBdr>
    </w:div>
    <w:div w:id="1106074882">
      <w:bodyDiv w:val="1"/>
      <w:marLeft w:val="0"/>
      <w:marRight w:val="0"/>
      <w:marTop w:val="0"/>
      <w:marBottom w:val="0"/>
      <w:divBdr>
        <w:top w:val="none" w:sz="0" w:space="0" w:color="auto"/>
        <w:left w:val="none" w:sz="0" w:space="0" w:color="auto"/>
        <w:bottom w:val="none" w:sz="0" w:space="0" w:color="auto"/>
        <w:right w:val="none" w:sz="0" w:space="0" w:color="auto"/>
      </w:divBdr>
    </w:div>
    <w:div w:id="1109736019">
      <w:bodyDiv w:val="1"/>
      <w:marLeft w:val="0"/>
      <w:marRight w:val="0"/>
      <w:marTop w:val="0"/>
      <w:marBottom w:val="0"/>
      <w:divBdr>
        <w:top w:val="none" w:sz="0" w:space="0" w:color="auto"/>
        <w:left w:val="none" w:sz="0" w:space="0" w:color="auto"/>
        <w:bottom w:val="none" w:sz="0" w:space="0" w:color="auto"/>
        <w:right w:val="none" w:sz="0" w:space="0" w:color="auto"/>
      </w:divBdr>
    </w:div>
    <w:div w:id="1110470206">
      <w:bodyDiv w:val="1"/>
      <w:marLeft w:val="0"/>
      <w:marRight w:val="0"/>
      <w:marTop w:val="0"/>
      <w:marBottom w:val="0"/>
      <w:divBdr>
        <w:top w:val="none" w:sz="0" w:space="0" w:color="auto"/>
        <w:left w:val="none" w:sz="0" w:space="0" w:color="auto"/>
        <w:bottom w:val="none" w:sz="0" w:space="0" w:color="auto"/>
        <w:right w:val="none" w:sz="0" w:space="0" w:color="auto"/>
      </w:divBdr>
    </w:div>
    <w:div w:id="1110658982">
      <w:bodyDiv w:val="1"/>
      <w:marLeft w:val="0"/>
      <w:marRight w:val="0"/>
      <w:marTop w:val="0"/>
      <w:marBottom w:val="0"/>
      <w:divBdr>
        <w:top w:val="none" w:sz="0" w:space="0" w:color="auto"/>
        <w:left w:val="none" w:sz="0" w:space="0" w:color="auto"/>
        <w:bottom w:val="none" w:sz="0" w:space="0" w:color="auto"/>
        <w:right w:val="none" w:sz="0" w:space="0" w:color="auto"/>
      </w:divBdr>
    </w:div>
    <w:div w:id="1111432615">
      <w:bodyDiv w:val="1"/>
      <w:marLeft w:val="0"/>
      <w:marRight w:val="0"/>
      <w:marTop w:val="0"/>
      <w:marBottom w:val="0"/>
      <w:divBdr>
        <w:top w:val="none" w:sz="0" w:space="0" w:color="auto"/>
        <w:left w:val="none" w:sz="0" w:space="0" w:color="auto"/>
        <w:bottom w:val="none" w:sz="0" w:space="0" w:color="auto"/>
        <w:right w:val="none" w:sz="0" w:space="0" w:color="auto"/>
      </w:divBdr>
    </w:div>
    <w:div w:id="1111584681">
      <w:bodyDiv w:val="1"/>
      <w:marLeft w:val="0"/>
      <w:marRight w:val="0"/>
      <w:marTop w:val="0"/>
      <w:marBottom w:val="0"/>
      <w:divBdr>
        <w:top w:val="none" w:sz="0" w:space="0" w:color="auto"/>
        <w:left w:val="none" w:sz="0" w:space="0" w:color="auto"/>
        <w:bottom w:val="none" w:sz="0" w:space="0" w:color="auto"/>
        <w:right w:val="none" w:sz="0" w:space="0" w:color="auto"/>
      </w:divBdr>
    </w:div>
    <w:div w:id="1112551928">
      <w:bodyDiv w:val="1"/>
      <w:marLeft w:val="0"/>
      <w:marRight w:val="0"/>
      <w:marTop w:val="0"/>
      <w:marBottom w:val="0"/>
      <w:divBdr>
        <w:top w:val="none" w:sz="0" w:space="0" w:color="auto"/>
        <w:left w:val="none" w:sz="0" w:space="0" w:color="auto"/>
        <w:bottom w:val="none" w:sz="0" w:space="0" w:color="auto"/>
        <w:right w:val="none" w:sz="0" w:space="0" w:color="auto"/>
      </w:divBdr>
    </w:div>
    <w:div w:id="1114129238">
      <w:bodyDiv w:val="1"/>
      <w:marLeft w:val="0"/>
      <w:marRight w:val="0"/>
      <w:marTop w:val="0"/>
      <w:marBottom w:val="0"/>
      <w:divBdr>
        <w:top w:val="none" w:sz="0" w:space="0" w:color="auto"/>
        <w:left w:val="none" w:sz="0" w:space="0" w:color="auto"/>
        <w:bottom w:val="none" w:sz="0" w:space="0" w:color="auto"/>
        <w:right w:val="none" w:sz="0" w:space="0" w:color="auto"/>
      </w:divBdr>
    </w:div>
    <w:div w:id="1116489911">
      <w:bodyDiv w:val="1"/>
      <w:marLeft w:val="0"/>
      <w:marRight w:val="0"/>
      <w:marTop w:val="0"/>
      <w:marBottom w:val="0"/>
      <w:divBdr>
        <w:top w:val="none" w:sz="0" w:space="0" w:color="auto"/>
        <w:left w:val="none" w:sz="0" w:space="0" w:color="auto"/>
        <w:bottom w:val="none" w:sz="0" w:space="0" w:color="auto"/>
        <w:right w:val="none" w:sz="0" w:space="0" w:color="auto"/>
      </w:divBdr>
    </w:div>
    <w:div w:id="1118451971">
      <w:bodyDiv w:val="1"/>
      <w:marLeft w:val="0"/>
      <w:marRight w:val="0"/>
      <w:marTop w:val="0"/>
      <w:marBottom w:val="0"/>
      <w:divBdr>
        <w:top w:val="none" w:sz="0" w:space="0" w:color="auto"/>
        <w:left w:val="none" w:sz="0" w:space="0" w:color="auto"/>
        <w:bottom w:val="none" w:sz="0" w:space="0" w:color="auto"/>
        <w:right w:val="none" w:sz="0" w:space="0" w:color="auto"/>
      </w:divBdr>
    </w:div>
    <w:div w:id="1119495949">
      <w:bodyDiv w:val="1"/>
      <w:marLeft w:val="0"/>
      <w:marRight w:val="0"/>
      <w:marTop w:val="0"/>
      <w:marBottom w:val="0"/>
      <w:divBdr>
        <w:top w:val="none" w:sz="0" w:space="0" w:color="auto"/>
        <w:left w:val="none" w:sz="0" w:space="0" w:color="auto"/>
        <w:bottom w:val="none" w:sz="0" w:space="0" w:color="auto"/>
        <w:right w:val="none" w:sz="0" w:space="0" w:color="auto"/>
      </w:divBdr>
    </w:div>
    <w:div w:id="1119954105">
      <w:bodyDiv w:val="1"/>
      <w:marLeft w:val="0"/>
      <w:marRight w:val="0"/>
      <w:marTop w:val="0"/>
      <w:marBottom w:val="0"/>
      <w:divBdr>
        <w:top w:val="none" w:sz="0" w:space="0" w:color="auto"/>
        <w:left w:val="none" w:sz="0" w:space="0" w:color="auto"/>
        <w:bottom w:val="none" w:sz="0" w:space="0" w:color="auto"/>
        <w:right w:val="none" w:sz="0" w:space="0" w:color="auto"/>
      </w:divBdr>
    </w:div>
    <w:div w:id="1124352099">
      <w:bodyDiv w:val="1"/>
      <w:marLeft w:val="0"/>
      <w:marRight w:val="0"/>
      <w:marTop w:val="0"/>
      <w:marBottom w:val="0"/>
      <w:divBdr>
        <w:top w:val="none" w:sz="0" w:space="0" w:color="auto"/>
        <w:left w:val="none" w:sz="0" w:space="0" w:color="auto"/>
        <w:bottom w:val="none" w:sz="0" w:space="0" w:color="auto"/>
        <w:right w:val="none" w:sz="0" w:space="0" w:color="auto"/>
      </w:divBdr>
    </w:div>
    <w:div w:id="1125269868">
      <w:bodyDiv w:val="1"/>
      <w:marLeft w:val="0"/>
      <w:marRight w:val="0"/>
      <w:marTop w:val="0"/>
      <w:marBottom w:val="0"/>
      <w:divBdr>
        <w:top w:val="none" w:sz="0" w:space="0" w:color="auto"/>
        <w:left w:val="none" w:sz="0" w:space="0" w:color="auto"/>
        <w:bottom w:val="none" w:sz="0" w:space="0" w:color="auto"/>
        <w:right w:val="none" w:sz="0" w:space="0" w:color="auto"/>
      </w:divBdr>
    </w:div>
    <w:div w:id="1135414843">
      <w:bodyDiv w:val="1"/>
      <w:marLeft w:val="0"/>
      <w:marRight w:val="0"/>
      <w:marTop w:val="0"/>
      <w:marBottom w:val="0"/>
      <w:divBdr>
        <w:top w:val="none" w:sz="0" w:space="0" w:color="auto"/>
        <w:left w:val="none" w:sz="0" w:space="0" w:color="auto"/>
        <w:bottom w:val="none" w:sz="0" w:space="0" w:color="auto"/>
        <w:right w:val="none" w:sz="0" w:space="0" w:color="auto"/>
      </w:divBdr>
    </w:div>
    <w:div w:id="1138761060">
      <w:bodyDiv w:val="1"/>
      <w:marLeft w:val="0"/>
      <w:marRight w:val="0"/>
      <w:marTop w:val="0"/>
      <w:marBottom w:val="0"/>
      <w:divBdr>
        <w:top w:val="none" w:sz="0" w:space="0" w:color="auto"/>
        <w:left w:val="none" w:sz="0" w:space="0" w:color="auto"/>
        <w:bottom w:val="none" w:sz="0" w:space="0" w:color="auto"/>
        <w:right w:val="none" w:sz="0" w:space="0" w:color="auto"/>
      </w:divBdr>
    </w:div>
    <w:div w:id="1145006401">
      <w:bodyDiv w:val="1"/>
      <w:marLeft w:val="0"/>
      <w:marRight w:val="0"/>
      <w:marTop w:val="0"/>
      <w:marBottom w:val="0"/>
      <w:divBdr>
        <w:top w:val="none" w:sz="0" w:space="0" w:color="auto"/>
        <w:left w:val="none" w:sz="0" w:space="0" w:color="auto"/>
        <w:bottom w:val="none" w:sz="0" w:space="0" w:color="auto"/>
        <w:right w:val="none" w:sz="0" w:space="0" w:color="auto"/>
      </w:divBdr>
    </w:div>
    <w:div w:id="1145851079">
      <w:bodyDiv w:val="1"/>
      <w:marLeft w:val="0"/>
      <w:marRight w:val="0"/>
      <w:marTop w:val="0"/>
      <w:marBottom w:val="0"/>
      <w:divBdr>
        <w:top w:val="none" w:sz="0" w:space="0" w:color="auto"/>
        <w:left w:val="none" w:sz="0" w:space="0" w:color="auto"/>
        <w:bottom w:val="none" w:sz="0" w:space="0" w:color="auto"/>
        <w:right w:val="none" w:sz="0" w:space="0" w:color="auto"/>
      </w:divBdr>
    </w:div>
    <w:div w:id="1147160977">
      <w:bodyDiv w:val="1"/>
      <w:marLeft w:val="0"/>
      <w:marRight w:val="0"/>
      <w:marTop w:val="0"/>
      <w:marBottom w:val="0"/>
      <w:divBdr>
        <w:top w:val="none" w:sz="0" w:space="0" w:color="auto"/>
        <w:left w:val="none" w:sz="0" w:space="0" w:color="auto"/>
        <w:bottom w:val="none" w:sz="0" w:space="0" w:color="auto"/>
        <w:right w:val="none" w:sz="0" w:space="0" w:color="auto"/>
      </w:divBdr>
    </w:div>
    <w:div w:id="1148787951">
      <w:bodyDiv w:val="1"/>
      <w:marLeft w:val="0"/>
      <w:marRight w:val="0"/>
      <w:marTop w:val="0"/>
      <w:marBottom w:val="0"/>
      <w:divBdr>
        <w:top w:val="none" w:sz="0" w:space="0" w:color="auto"/>
        <w:left w:val="none" w:sz="0" w:space="0" w:color="auto"/>
        <w:bottom w:val="none" w:sz="0" w:space="0" w:color="auto"/>
        <w:right w:val="none" w:sz="0" w:space="0" w:color="auto"/>
      </w:divBdr>
    </w:div>
    <w:div w:id="1151403933">
      <w:bodyDiv w:val="1"/>
      <w:marLeft w:val="0"/>
      <w:marRight w:val="0"/>
      <w:marTop w:val="0"/>
      <w:marBottom w:val="0"/>
      <w:divBdr>
        <w:top w:val="none" w:sz="0" w:space="0" w:color="auto"/>
        <w:left w:val="none" w:sz="0" w:space="0" w:color="auto"/>
        <w:bottom w:val="none" w:sz="0" w:space="0" w:color="auto"/>
        <w:right w:val="none" w:sz="0" w:space="0" w:color="auto"/>
      </w:divBdr>
    </w:div>
    <w:div w:id="1151676570">
      <w:bodyDiv w:val="1"/>
      <w:marLeft w:val="0"/>
      <w:marRight w:val="0"/>
      <w:marTop w:val="0"/>
      <w:marBottom w:val="0"/>
      <w:divBdr>
        <w:top w:val="none" w:sz="0" w:space="0" w:color="auto"/>
        <w:left w:val="none" w:sz="0" w:space="0" w:color="auto"/>
        <w:bottom w:val="none" w:sz="0" w:space="0" w:color="auto"/>
        <w:right w:val="none" w:sz="0" w:space="0" w:color="auto"/>
      </w:divBdr>
    </w:div>
    <w:div w:id="1151747298">
      <w:bodyDiv w:val="1"/>
      <w:marLeft w:val="0"/>
      <w:marRight w:val="0"/>
      <w:marTop w:val="0"/>
      <w:marBottom w:val="0"/>
      <w:divBdr>
        <w:top w:val="none" w:sz="0" w:space="0" w:color="auto"/>
        <w:left w:val="none" w:sz="0" w:space="0" w:color="auto"/>
        <w:bottom w:val="none" w:sz="0" w:space="0" w:color="auto"/>
        <w:right w:val="none" w:sz="0" w:space="0" w:color="auto"/>
      </w:divBdr>
    </w:div>
    <w:div w:id="1152212684">
      <w:bodyDiv w:val="1"/>
      <w:marLeft w:val="0"/>
      <w:marRight w:val="0"/>
      <w:marTop w:val="0"/>
      <w:marBottom w:val="0"/>
      <w:divBdr>
        <w:top w:val="none" w:sz="0" w:space="0" w:color="auto"/>
        <w:left w:val="none" w:sz="0" w:space="0" w:color="auto"/>
        <w:bottom w:val="none" w:sz="0" w:space="0" w:color="auto"/>
        <w:right w:val="none" w:sz="0" w:space="0" w:color="auto"/>
      </w:divBdr>
    </w:div>
    <w:div w:id="1153255972">
      <w:bodyDiv w:val="1"/>
      <w:marLeft w:val="0"/>
      <w:marRight w:val="0"/>
      <w:marTop w:val="0"/>
      <w:marBottom w:val="0"/>
      <w:divBdr>
        <w:top w:val="none" w:sz="0" w:space="0" w:color="auto"/>
        <w:left w:val="none" w:sz="0" w:space="0" w:color="auto"/>
        <w:bottom w:val="none" w:sz="0" w:space="0" w:color="auto"/>
        <w:right w:val="none" w:sz="0" w:space="0" w:color="auto"/>
      </w:divBdr>
    </w:div>
    <w:div w:id="1157455825">
      <w:bodyDiv w:val="1"/>
      <w:marLeft w:val="0"/>
      <w:marRight w:val="0"/>
      <w:marTop w:val="0"/>
      <w:marBottom w:val="0"/>
      <w:divBdr>
        <w:top w:val="none" w:sz="0" w:space="0" w:color="auto"/>
        <w:left w:val="none" w:sz="0" w:space="0" w:color="auto"/>
        <w:bottom w:val="none" w:sz="0" w:space="0" w:color="auto"/>
        <w:right w:val="none" w:sz="0" w:space="0" w:color="auto"/>
      </w:divBdr>
    </w:div>
    <w:div w:id="1157722800">
      <w:bodyDiv w:val="1"/>
      <w:marLeft w:val="0"/>
      <w:marRight w:val="0"/>
      <w:marTop w:val="0"/>
      <w:marBottom w:val="0"/>
      <w:divBdr>
        <w:top w:val="none" w:sz="0" w:space="0" w:color="auto"/>
        <w:left w:val="none" w:sz="0" w:space="0" w:color="auto"/>
        <w:bottom w:val="none" w:sz="0" w:space="0" w:color="auto"/>
        <w:right w:val="none" w:sz="0" w:space="0" w:color="auto"/>
      </w:divBdr>
    </w:div>
    <w:div w:id="1159157659">
      <w:bodyDiv w:val="1"/>
      <w:marLeft w:val="0"/>
      <w:marRight w:val="0"/>
      <w:marTop w:val="0"/>
      <w:marBottom w:val="0"/>
      <w:divBdr>
        <w:top w:val="none" w:sz="0" w:space="0" w:color="auto"/>
        <w:left w:val="none" w:sz="0" w:space="0" w:color="auto"/>
        <w:bottom w:val="none" w:sz="0" w:space="0" w:color="auto"/>
        <w:right w:val="none" w:sz="0" w:space="0" w:color="auto"/>
      </w:divBdr>
    </w:div>
    <w:div w:id="1159421453">
      <w:bodyDiv w:val="1"/>
      <w:marLeft w:val="0"/>
      <w:marRight w:val="0"/>
      <w:marTop w:val="0"/>
      <w:marBottom w:val="0"/>
      <w:divBdr>
        <w:top w:val="none" w:sz="0" w:space="0" w:color="auto"/>
        <w:left w:val="none" w:sz="0" w:space="0" w:color="auto"/>
        <w:bottom w:val="none" w:sz="0" w:space="0" w:color="auto"/>
        <w:right w:val="none" w:sz="0" w:space="0" w:color="auto"/>
      </w:divBdr>
    </w:div>
    <w:div w:id="1159732434">
      <w:bodyDiv w:val="1"/>
      <w:marLeft w:val="0"/>
      <w:marRight w:val="0"/>
      <w:marTop w:val="0"/>
      <w:marBottom w:val="0"/>
      <w:divBdr>
        <w:top w:val="none" w:sz="0" w:space="0" w:color="auto"/>
        <w:left w:val="none" w:sz="0" w:space="0" w:color="auto"/>
        <w:bottom w:val="none" w:sz="0" w:space="0" w:color="auto"/>
        <w:right w:val="none" w:sz="0" w:space="0" w:color="auto"/>
      </w:divBdr>
    </w:div>
    <w:div w:id="1161891868">
      <w:bodyDiv w:val="1"/>
      <w:marLeft w:val="0"/>
      <w:marRight w:val="0"/>
      <w:marTop w:val="0"/>
      <w:marBottom w:val="0"/>
      <w:divBdr>
        <w:top w:val="none" w:sz="0" w:space="0" w:color="auto"/>
        <w:left w:val="none" w:sz="0" w:space="0" w:color="auto"/>
        <w:bottom w:val="none" w:sz="0" w:space="0" w:color="auto"/>
        <w:right w:val="none" w:sz="0" w:space="0" w:color="auto"/>
      </w:divBdr>
    </w:div>
    <w:div w:id="1162086280">
      <w:bodyDiv w:val="1"/>
      <w:marLeft w:val="0"/>
      <w:marRight w:val="0"/>
      <w:marTop w:val="0"/>
      <w:marBottom w:val="0"/>
      <w:divBdr>
        <w:top w:val="none" w:sz="0" w:space="0" w:color="auto"/>
        <w:left w:val="none" w:sz="0" w:space="0" w:color="auto"/>
        <w:bottom w:val="none" w:sz="0" w:space="0" w:color="auto"/>
        <w:right w:val="none" w:sz="0" w:space="0" w:color="auto"/>
      </w:divBdr>
    </w:div>
    <w:div w:id="1162696102">
      <w:bodyDiv w:val="1"/>
      <w:marLeft w:val="0"/>
      <w:marRight w:val="0"/>
      <w:marTop w:val="0"/>
      <w:marBottom w:val="0"/>
      <w:divBdr>
        <w:top w:val="none" w:sz="0" w:space="0" w:color="auto"/>
        <w:left w:val="none" w:sz="0" w:space="0" w:color="auto"/>
        <w:bottom w:val="none" w:sz="0" w:space="0" w:color="auto"/>
        <w:right w:val="none" w:sz="0" w:space="0" w:color="auto"/>
      </w:divBdr>
    </w:div>
    <w:div w:id="1162894471">
      <w:bodyDiv w:val="1"/>
      <w:marLeft w:val="0"/>
      <w:marRight w:val="0"/>
      <w:marTop w:val="0"/>
      <w:marBottom w:val="0"/>
      <w:divBdr>
        <w:top w:val="none" w:sz="0" w:space="0" w:color="auto"/>
        <w:left w:val="none" w:sz="0" w:space="0" w:color="auto"/>
        <w:bottom w:val="none" w:sz="0" w:space="0" w:color="auto"/>
        <w:right w:val="none" w:sz="0" w:space="0" w:color="auto"/>
      </w:divBdr>
    </w:div>
    <w:div w:id="1163930217">
      <w:bodyDiv w:val="1"/>
      <w:marLeft w:val="0"/>
      <w:marRight w:val="0"/>
      <w:marTop w:val="0"/>
      <w:marBottom w:val="0"/>
      <w:divBdr>
        <w:top w:val="none" w:sz="0" w:space="0" w:color="auto"/>
        <w:left w:val="none" w:sz="0" w:space="0" w:color="auto"/>
        <w:bottom w:val="none" w:sz="0" w:space="0" w:color="auto"/>
        <w:right w:val="none" w:sz="0" w:space="0" w:color="auto"/>
      </w:divBdr>
    </w:div>
    <w:div w:id="1165122410">
      <w:bodyDiv w:val="1"/>
      <w:marLeft w:val="0"/>
      <w:marRight w:val="0"/>
      <w:marTop w:val="0"/>
      <w:marBottom w:val="0"/>
      <w:divBdr>
        <w:top w:val="none" w:sz="0" w:space="0" w:color="auto"/>
        <w:left w:val="none" w:sz="0" w:space="0" w:color="auto"/>
        <w:bottom w:val="none" w:sz="0" w:space="0" w:color="auto"/>
        <w:right w:val="none" w:sz="0" w:space="0" w:color="auto"/>
      </w:divBdr>
    </w:div>
    <w:div w:id="1165509065">
      <w:bodyDiv w:val="1"/>
      <w:marLeft w:val="0"/>
      <w:marRight w:val="0"/>
      <w:marTop w:val="0"/>
      <w:marBottom w:val="0"/>
      <w:divBdr>
        <w:top w:val="none" w:sz="0" w:space="0" w:color="auto"/>
        <w:left w:val="none" w:sz="0" w:space="0" w:color="auto"/>
        <w:bottom w:val="none" w:sz="0" w:space="0" w:color="auto"/>
        <w:right w:val="none" w:sz="0" w:space="0" w:color="auto"/>
      </w:divBdr>
    </w:div>
    <w:div w:id="1169952033">
      <w:bodyDiv w:val="1"/>
      <w:marLeft w:val="0"/>
      <w:marRight w:val="0"/>
      <w:marTop w:val="0"/>
      <w:marBottom w:val="0"/>
      <w:divBdr>
        <w:top w:val="none" w:sz="0" w:space="0" w:color="auto"/>
        <w:left w:val="none" w:sz="0" w:space="0" w:color="auto"/>
        <w:bottom w:val="none" w:sz="0" w:space="0" w:color="auto"/>
        <w:right w:val="none" w:sz="0" w:space="0" w:color="auto"/>
      </w:divBdr>
    </w:div>
    <w:div w:id="1173840854">
      <w:bodyDiv w:val="1"/>
      <w:marLeft w:val="0"/>
      <w:marRight w:val="0"/>
      <w:marTop w:val="0"/>
      <w:marBottom w:val="0"/>
      <w:divBdr>
        <w:top w:val="none" w:sz="0" w:space="0" w:color="auto"/>
        <w:left w:val="none" w:sz="0" w:space="0" w:color="auto"/>
        <w:bottom w:val="none" w:sz="0" w:space="0" w:color="auto"/>
        <w:right w:val="none" w:sz="0" w:space="0" w:color="auto"/>
      </w:divBdr>
    </w:div>
    <w:div w:id="1176191939">
      <w:bodyDiv w:val="1"/>
      <w:marLeft w:val="0"/>
      <w:marRight w:val="0"/>
      <w:marTop w:val="0"/>
      <w:marBottom w:val="0"/>
      <w:divBdr>
        <w:top w:val="none" w:sz="0" w:space="0" w:color="auto"/>
        <w:left w:val="none" w:sz="0" w:space="0" w:color="auto"/>
        <w:bottom w:val="none" w:sz="0" w:space="0" w:color="auto"/>
        <w:right w:val="none" w:sz="0" w:space="0" w:color="auto"/>
      </w:divBdr>
    </w:div>
    <w:div w:id="1176530493">
      <w:bodyDiv w:val="1"/>
      <w:marLeft w:val="0"/>
      <w:marRight w:val="0"/>
      <w:marTop w:val="0"/>
      <w:marBottom w:val="0"/>
      <w:divBdr>
        <w:top w:val="none" w:sz="0" w:space="0" w:color="auto"/>
        <w:left w:val="none" w:sz="0" w:space="0" w:color="auto"/>
        <w:bottom w:val="none" w:sz="0" w:space="0" w:color="auto"/>
        <w:right w:val="none" w:sz="0" w:space="0" w:color="auto"/>
      </w:divBdr>
    </w:div>
    <w:div w:id="1176924234">
      <w:bodyDiv w:val="1"/>
      <w:marLeft w:val="0"/>
      <w:marRight w:val="0"/>
      <w:marTop w:val="0"/>
      <w:marBottom w:val="0"/>
      <w:divBdr>
        <w:top w:val="none" w:sz="0" w:space="0" w:color="auto"/>
        <w:left w:val="none" w:sz="0" w:space="0" w:color="auto"/>
        <w:bottom w:val="none" w:sz="0" w:space="0" w:color="auto"/>
        <w:right w:val="none" w:sz="0" w:space="0" w:color="auto"/>
      </w:divBdr>
    </w:div>
    <w:div w:id="1179857561">
      <w:bodyDiv w:val="1"/>
      <w:marLeft w:val="0"/>
      <w:marRight w:val="0"/>
      <w:marTop w:val="0"/>
      <w:marBottom w:val="0"/>
      <w:divBdr>
        <w:top w:val="none" w:sz="0" w:space="0" w:color="auto"/>
        <w:left w:val="none" w:sz="0" w:space="0" w:color="auto"/>
        <w:bottom w:val="none" w:sz="0" w:space="0" w:color="auto"/>
        <w:right w:val="none" w:sz="0" w:space="0" w:color="auto"/>
      </w:divBdr>
    </w:div>
    <w:div w:id="1181435744">
      <w:bodyDiv w:val="1"/>
      <w:marLeft w:val="0"/>
      <w:marRight w:val="0"/>
      <w:marTop w:val="0"/>
      <w:marBottom w:val="0"/>
      <w:divBdr>
        <w:top w:val="none" w:sz="0" w:space="0" w:color="auto"/>
        <w:left w:val="none" w:sz="0" w:space="0" w:color="auto"/>
        <w:bottom w:val="none" w:sz="0" w:space="0" w:color="auto"/>
        <w:right w:val="none" w:sz="0" w:space="0" w:color="auto"/>
      </w:divBdr>
    </w:div>
    <w:div w:id="1184516576">
      <w:bodyDiv w:val="1"/>
      <w:marLeft w:val="0"/>
      <w:marRight w:val="0"/>
      <w:marTop w:val="0"/>
      <w:marBottom w:val="0"/>
      <w:divBdr>
        <w:top w:val="none" w:sz="0" w:space="0" w:color="auto"/>
        <w:left w:val="none" w:sz="0" w:space="0" w:color="auto"/>
        <w:bottom w:val="none" w:sz="0" w:space="0" w:color="auto"/>
        <w:right w:val="none" w:sz="0" w:space="0" w:color="auto"/>
      </w:divBdr>
    </w:div>
    <w:div w:id="1185946546">
      <w:bodyDiv w:val="1"/>
      <w:marLeft w:val="0"/>
      <w:marRight w:val="0"/>
      <w:marTop w:val="0"/>
      <w:marBottom w:val="0"/>
      <w:divBdr>
        <w:top w:val="none" w:sz="0" w:space="0" w:color="auto"/>
        <w:left w:val="none" w:sz="0" w:space="0" w:color="auto"/>
        <w:bottom w:val="none" w:sz="0" w:space="0" w:color="auto"/>
        <w:right w:val="none" w:sz="0" w:space="0" w:color="auto"/>
      </w:divBdr>
    </w:div>
    <w:div w:id="1189223380">
      <w:bodyDiv w:val="1"/>
      <w:marLeft w:val="0"/>
      <w:marRight w:val="0"/>
      <w:marTop w:val="0"/>
      <w:marBottom w:val="0"/>
      <w:divBdr>
        <w:top w:val="none" w:sz="0" w:space="0" w:color="auto"/>
        <w:left w:val="none" w:sz="0" w:space="0" w:color="auto"/>
        <w:bottom w:val="none" w:sz="0" w:space="0" w:color="auto"/>
        <w:right w:val="none" w:sz="0" w:space="0" w:color="auto"/>
      </w:divBdr>
    </w:div>
    <w:div w:id="1190147635">
      <w:bodyDiv w:val="1"/>
      <w:marLeft w:val="0"/>
      <w:marRight w:val="0"/>
      <w:marTop w:val="0"/>
      <w:marBottom w:val="0"/>
      <w:divBdr>
        <w:top w:val="none" w:sz="0" w:space="0" w:color="auto"/>
        <w:left w:val="none" w:sz="0" w:space="0" w:color="auto"/>
        <w:bottom w:val="none" w:sz="0" w:space="0" w:color="auto"/>
        <w:right w:val="none" w:sz="0" w:space="0" w:color="auto"/>
      </w:divBdr>
    </w:div>
    <w:div w:id="1190605553">
      <w:bodyDiv w:val="1"/>
      <w:marLeft w:val="0"/>
      <w:marRight w:val="0"/>
      <w:marTop w:val="0"/>
      <w:marBottom w:val="0"/>
      <w:divBdr>
        <w:top w:val="none" w:sz="0" w:space="0" w:color="auto"/>
        <w:left w:val="none" w:sz="0" w:space="0" w:color="auto"/>
        <w:bottom w:val="none" w:sz="0" w:space="0" w:color="auto"/>
        <w:right w:val="none" w:sz="0" w:space="0" w:color="auto"/>
      </w:divBdr>
    </w:div>
    <w:div w:id="1191721307">
      <w:bodyDiv w:val="1"/>
      <w:marLeft w:val="0"/>
      <w:marRight w:val="0"/>
      <w:marTop w:val="0"/>
      <w:marBottom w:val="0"/>
      <w:divBdr>
        <w:top w:val="none" w:sz="0" w:space="0" w:color="auto"/>
        <w:left w:val="none" w:sz="0" w:space="0" w:color="auto"/>
        <w:bottom w:val="none" w:sz="0" w:space="0" w:color="auto"/>
        <w:right w:val="none" w:sz="0" w:space="0" w:color="auto"/>
      </w:divBdr>
    </w:div>
    <w:div w:id="1192568464">
      <w:bodyDiv w:val="1"/>
      <w:marLeft w:val="0"/>
      <w:marRight w:val="0"/>
      <w:marTop w:val="0"/>
      <w:marBottom w:val="0"/>
      <w:divBdr>
        <w:top w:val="none" w:sz="0" w:space="0" w:color="auto"/>
        <w:left w:val="none" w:sz="0" w:space="0" w:color="auto"/>
        <w:bottom w:val="none" w:sz="0" w:space="0" w:color="auto"/>
        <w:right w:val="none" w:sz="0" w:space="0" w:color="auto"/>
      </w:divBdr>
    </w:div>
    <w:div w:id="1198274764">
      <w:bodyDiv w:val="1"/>
      <w:marLeft w:val="0"/>
      <w:marRight w:val="0"/>
      <w:marTop w:val="0"/>
      <w:marBottom w:val="0"/>
      <w:divBdr>
        <w:top w:val="none" w:sz="0" w:space="0" w:color="auto"/>
        <w:left w:val="none" w:sz="0" w:space="0" w:color="auto"/>
        <w:bottom w:val="none" w:sz="0" w:space="0" w:color="auto"/>
        <w:right w:val="none" w:sz="0" w:space="0" w:color="auto"/>
      </w:divBdr>
    </w:div>
    <w:div w:id="1198619723">
      <w:bodyDiv w:val="1"/>
      <w:marLeft w:val="0"/>
      <w:marRight w:val="0"/>
      <w:marTop w:val="0"/>
      <w:marBottom w:val="0"/>
      <w:divBdr>
        <w:top w:val="none" w:sz="0" w:space="0" w:color="auto"/>
        <w:left w:val="none" w:sz="0" w:space="0" w:color="auto"/>
        <w:bottom w:val="none" w:sz="0" w:space="0" w:color="auto"/>
        <w:right w:val="none" w:sz="0" w:space="0" w:color="auto"/>
      </w:divBdr>
    </w:div>
    <w:div w:id="1200162070">
      <w:bodyDiv w:val="1"/>
      <w:marLeft w:val="0"/>
      <w:marRight w:val="0"/>
      <w:marTop w:val="0"/>
      <w:marBottom w:val="0"/>
      <w:divBdr>
        <w:top w:val="none" w:sz="0" w:space="0" w:color="auto"/>
        <w:left w:val="none" w:sz="0" w:space="0" w:color="auto"/>
        <w:bottom w:val="none" w:sz="0" w:space="0" w:color="auto"/>
        <w:right w:val="none" w:sz="0" w:space="0" w:color="auto"/>
      </w:divBdr>
    </w:div>
    <w:div w:id="1202670492">
      <w:bodyDiv w:val="1"/>
      <w:marLeft w:val="0"/>
      <w:marRight w:val="0"/>
      <w:marTop w:val="0"/>
      <w:marBottom w:val="0"/>
      <w:divBdr>
        <w:top w:val="none" w:sz="0" w:space="0" w:color="auto"/>
        <w:left w:val="none" w:sz="0" w:space="0" w:color="auto"/>
        <w:bottom w:val="none" w:sz="0" w:space="0" w:color="auto"/>
        <w:right w:val="none" w:sz="0" w:space="0" w:color="auto"/>
      </w:divBdr>
    </w:div>
    <w:div w:id="1205212149">
      <w:bodyDiv w:val="1"/>
      <w:marLeft w:val="0"/>
      <w:marRight w:val="0"/>
      <w:marTop w:val="0"/>
      <w:marBottom w:val="0"/>
      <w:divBdr>
        <w:top w:val="none" w:sz="0" w:space="0" w:color="auto"/>
        <w:left w:val="none" w:sz="0" w:space="0" w:color="auto"/>
        <w:bottom w:val="none" w:sz="0" w:space="0" w:color="auto"/>
        <w:right w:val="none" w:sz="0" w:space="0" w:color="auto"/>
      </w:divBdr>
    </w:div>
    <w:div w:id="1205827903">
      <w:bodyDiv w:val="1"/>
      <w:marLeft w:val="0"/>
      <w:marRight w:val="0"/>
      <w:marTop w:val="0"/>
      <w:marBottom w:val="0"/>
      <w:divBdr>
        <w:top w:val="none" w:sz="0" w:space="0" w:color="auto"/>
        <w:left w:val="none" w:sz="0" w:space="0" w:color="auto"/>
        <w:bottom w:val="none" w:sz="0" w:space="0" w:color="auto"/>
        <w:right w:val="none" w:sz="0" w:space="0" w:color="auto"/>
      </w:divBdr>
    </w:div>
    <w:div w:id="1207984338">
      <w:bodyDiv w:val="1"/>
      <w:marLeft w:val="0"/>
      <w:marRight w:val="0"/>
      <w:marTop w:val="0"/>
      <w:marBottom w:val="0"/>
      <w:divBdr>
        <w:top w:val="none" w:sz="0" w:space="0" w:color="auto"/>
        <w:left w:val="none" w:sz="0" w:space="0" w:color="auto"/>
        <w:bottom w:val="none" w:sz="0" w:space="0" w:color="auto"/>
        <w:right w:val="none" w:sz="0" w:space="0" w:color="auto"/>
      </w:divBdr>
    </w:div>
    <w:div w:id="1208184753">
      <w:bodyDiv w:val="1"/>
      <w:marLeft w:val="0"/>
      <w:marRight w:val="0"/>
      <w:marTop w:val="0"/>
      <w:marBottom w:val="0"/>
      <w:divBdr>
        <w:top w:val="none" w:sz="0" w:space="0" w:color="auto"/>
        <w:left w:val="none" w:sz="0" w:space="0" w:color="auto"/>
        <w:bottom w:val="none" w:sz="0" w:space="0" w:color="auto"/>
        <w:right w:val="none" w:sz="0" w:space="0" w:color="auto"/>
      </w:divBdr>
    </w:div>
    <w:div w:id="1209687806">
      <w:bodyDiv w:val="1"/>
      <w:marLeft w:val="0"/>
      <w:marRight w:val="0"/>
      <w:marTop w:val="0"/>
      <w:marBottom w:val="0"/>
      <w:divBdr>
        <w:top w:val="none" w:sz="0" w:space="0" w:color="auto"/>
        <w:left w:val="none" w:sz="0" w:space="0" w:color="auto"/>
        <w:bottom w:val="none" w:sz="0" w:space="0" w:color="auto"/>
        <w:right w:val="none" w:sz="0" w:space="0" w:color="auto"/>
      </w:divBdr>
    </w:div>
    <w:div w:id="1210072819">
      <w:bodyDiv w:val="1"/>
      <w:marLeft w:val="0"/>
      <w:marRight w:val="0"/>
      <w:marTop w:val="0"/>
      <w:marBottom w:val="0"/>
      <w:divBdr>
        <w:top w:val="none" w:sz="0" w:space="0" w:color="auto"/>
        <w:left w:val="none" w:sz="0" w:space="0" w:color="auto"/>
        <w:bottom w:val="none" w:sz="0" w:space="0" w:color="auto"/>
        <w:right w:val="none" w:sz="0" w:space="0" w:color="auto"/>
      </w:divBdr>
    </w:div>
    <w:div w:id="1211921862">
      <w:bodyDiv w:val="1"/>
      <w:marLeft w:val="0"/>
      <w:marRight w:val="0"/>
      <w:marTop w:val="0"/>
      <w:marBottom w:val="0"/>
      <w:divBdr>
        <w:top w:val="none" w:sz="0" w:space="0" w:color="auto"/>
        <w:left w:val="none" w:sz="0" w:space="0" w:color="auto"/>
        <w:bottom w:val="none" w:sz="0" w:space="0" w:color="auto"/>
        <w:right w:val="none" w:sz="0" w:space="0" w:color="auto"/>
      </w:divBdr>
    </w:div>
    <w:div w:id="1214149540">
      <w:bodyDiv w:val="1"/>
      <w:marLeft w:val="0"/>
      <w:marRight w:val="0"/>
      <w:marTop w:val="0"/>
      <w:marBottom w:val="0"/>
      <w:divBdr>
        <w:top w:val="none" w:sz="0" w:space="0" w:color="auto"/>
        <w:left w:val="none" w:sz="0" w:space="0" w:color="auto"/>
        <w:bottom w:val="none" w:sz="0" w:space="0" w:color="auto"/>
        <w:right w:val="none" w:sz="0" w:space="0" w:color="auto"/>
      </w:divBdr>
    </w:div>
    <w:div w:id="1215845609">
      <w:bodyDiv w:val="1"/>
      <w:marLeft w:val="0"/>
      <w:marRight w:val="0"/>
      <w:marTop w:val="0"/>
      <w:marBottom w:val="0"/>
      <w:divBdr>
        <w:top w:val="none" w:sz="0" w:space="0" w:color="auto"/>
        <w:left w:val="none" w:sz="0" w:space="0" w:color="auto"/>
        <w:bottom w:val="none" w:sz="0" w:space="0" w:color="auto"/>
        <w:right w:val="none" w:sz="0" w:space="0" w:color="auto"/>
      </w:divBdr>
    </w:div>
    <w:div w:id="1218396308">
      <w:bodyDiv w:val="1"/>
      <w:marLeft w:val="0"/>
      <w:marRight w:val="0"/>
      <w:marTop w:val="0"/>
      <w:marBottom w:val="0"/>
      <w:divBdr>
        <w:top w:val="none" w:sz="0" w:space="0" w:color="auto"/>
        <w:left w:val="none" w:sz="0" w:space="0" w:color="auto"/>
        <w:bottom w:val="none" w:sz="0" w:space="0" w:color="auto"/>
        <w:right w:val="none" w:sz="0" w:space="0" w:color="auto"/>
      </w:divBdr>
    </w:div>
    <w:div w:id="1219240225">
      <w:bodyDiv w:val="1"/>
      <w:marLeft w:val="0"/>
      <w:marRight w:val="0"/>
      <w:marTop w:val="0"/>
      <w:marBottom w:val="0"/>
      <w:divBdr>
        <w:top w:val="none" w:sz="0" w:space="0" w:color="auto"/>
        <w:left w:val="none" w:sz="0" w:space="0" w:color="auto"/>
        <w:bottom w:val="none" w:sz="0" w:space="0" w:color="auto"/>
        <w:right w:val="none" w:sz="0" w:space="0" w:color="auto"/>
      </w:divBdr>
    </w:div>
    <w:div w:id="1219438364">
      <w:bodyDiv w:val="1"/>
      <w:marLeft w:val="0"/>
      <w:marRight w:val="0"/>
      <w:marTop w:val="0"/>
      <w:marBottom w:val="0"/>
      <w:divBdr>
        <w:top w:val="none" w:sz="0" w:space="0" w:color="auto"/>
        <w:left w:val="none" w:sz="0" w:space="0" w:color="auto"/>
        <w:bottom w:val="none" w:sz="0" w:space="0" w:color="auto"/>
        <w:right w:val="none" w:sz="0" w:space="0" w:color="auto"/>
      </w:divBdr>
    </w:div>
    <w:div w:id="1224365220">
      <w:bodyDiv w:val="1"/>
      <w:marLeft w:val="0"/>
      <w:marRight w:val="0"/>
      <w:marTop w:val="0"/>
      <w:marBottom w:val="0"/>
      <w:divBdr>
        <w:top w:val="none" w:sz="0" w:space="0" w:color="auto"/>
        <w:left w:val="none" w:sz="0" w:space="0" w:color="auto"/>
        <w:bottom w:val="none" w:sz="0" w:space="0" w:color="auto"/>
        <w:right w:val="none" w:sz="0" w:space="0" w:color="auto"/>
      </w:divBdr>
    </w:div>
    <w:div w:id="1225020406">
      <w:bodyDiv w:val="1"/>
      <w:marLeft w:val="0"/>
      <w:marRight w:val="0"/>
      <w:marTop w:val="0"/>
      <w:marBottom w:val="0"/>
      <w:divBdr>
        <w:top w:val="none" w:sz="0" w:space="0" w:color="auto"/>
        <w:left w:val="none" w:sz="0" w:space="0" w:color="auto"/>
        <w:bottom w:val="none" w:sz="0" w:space="0" w:color="auto"/>
        <w:right w:val="none" w:sz="0" w:space="0" w:color="auto"/>
      </w:divBdr>
    </w:div>
    <w:div w:id="1225214600">
      <w:bodyDiv w:val="1"/>
      <w:marLeft w:val="0"/>
      <w:marRight w:val="0"/>
      <w:marTop w:val="0"/>
      <w:marBottom w:val="0"/>
      <w:divBdr>
        <w:top w:val="none" w:sz="0" w:space="0" w:color="auto"/>
        <w:left w:val="none" w:sz="0" w:space="0" w:color="auto"/>
        <w:bottom w:val="none" w:sz="0" w:space="0" w:color="auto"/>
        <w:right w:val="none" w:sz="0" w:space="0" w:color="auto"/>
      </w:divBdr>
    </w:div>
    <w:div w:id="1225793709">
      <w:bodyDiv w:val="1"/>
      <w:marLeft w:val="0"/>
      <w:marRight w:val="0"/>
      <w:marTop w:val="0"/>
      <w:marBottom w:val="0"/>
      <w:divBdr>
        <w:top w:val="none" w:sz="0" w:space="0" w:color="auto"/>
        <w:left w:val="none" w:sz="0" w:space="0" w:color="auto"/>
        <w:bottom w:val="none" w:sz="0" w:space="0" w:color="auto"/>
        <w:right w:val="none" w:sz="0" w:space="0" w:color="auto"/>
      </w:divBdr>
    </w:div>
    <w:div w:id="1226800282">
      <w:bodyDiv w:val="1"/>
      <w:marLeft w:val="0"/>
      <w:marRight w:val="0"/>
      <w:marTop w:val="0"/>
      <w:marBottom w:val="0"/>
      <w:divBdr>
        <w:top w:val="none" w:sz="0" w:space="0" w:color="auto"/>
        <w:left w:val="none" w:sz="0" w:space="0" w:color="auto"/>
        <w:bottom w:val="none" w:sz="0" w:space="0" w:color="auto"/>
        <w:right w:val="none" w:sz="0" w:space="0" w:color="auto"/>
      </w:divBdr>
    </w:div>
    <w:div w:id="1230311435">
      <w:bodyDiv w:val="1"/>
      <w:marLeft w:val="0"/>
      <w:marRight w:val="0"/>
      <w:marTop w:val="0"/>
      <w:marBottom w:val="0"/>
      <w:divBdr>
        <w:top w:val="none" w:sz="0" w:space="0" w:color="auto"/>
        <w:left w:val="none" w:sz="0" w:space="0" w:color="auto"/>
        <w:bottom w:val="none" w:sz="0" w:space="0" w:color="auto"/>
        <w:right w:val="none" w:sz="0" w:space="0" w:color="auto"/>
      </w:divBdr>
    </w:div>
    <w:div w:id="1233198762">
      <w:bodyDiv w:val="1"/>
      <w:marLeft w:val="0"/>
      <w:marRight w:val="0"/>
      <w:marTop w:val="0"/>
      <w:marBottom w:val="0"/>
      <w:divBdr>
        <w:top w:val="none" w:sz="0" w:space="0" w:color="auto"/>
        <w:left w:val="none" w:sz="0" w:space="0" w:color="auto"/>
        <w:bottom w:val="none" w:sz="0" w:space="0" w:color="auto"/>
        <w:right w:val="none" w:sz="0" w:space="0" w:color="auto"/>
      </w:divBdr>
    </w:div>
    <w:div w:id="1234461861">
      <w:bodyDiv w:val="1"/>
      <w:marLeft w:val="0"/>
      <w:marRight w:val="0"/>
      <w:marTop w:val="0"/>
      <w:marBottom w:val="0"/>
      <w:divBdr>
        <w:top w:val="none" w:sz="0" w:space="0" w:color="auto"/>
        <w:left w:val="none" w:sz="0" w:space="0" w:color="auto"/>
        <w:bottom w:val="none" w:sz="0" w:space="0" w:color="auto"/>
        <w:right w:val="none" w:sz="0" w:space="0" w:color="auto"/>
      </w:divBdr>
    </w:div>
    <w:div w:id="1235974237">
      <w:bodyDiv w:val="1"/>
      <w:marLeft w:val="0"/>
      <w:marRight w:val="0"/>
      <w:marTop w:val="0"/>
      <w:marBottom w:val="0"/>
      <w:divBdr>
        <w:top w:val="none" w:sz="0" w:space="0" w:color="auto"/>
        <w:left w:val="none" w:sz="0" w:space="0" w:color="auto"/>
        <w:bottom w:val="none" w:sz="0" w:space="0" w:color="auto"/>
        <w:right w:val="none" w:sz="0" w:space="0" w:color="auto"/>
      </w:divBdr>
    </w:div>
    <w:div w:id="1239561195">
      <w:bodyDiv w:val="1"/>
      <w:marLeft w:val="0"/>
      <w:marRight w:val="0"/>
      <w:marTop w:val="0"/>
      <w:marBottom w:val="0"/>
      <w:divBdr>
        <w:top w:val="none" w:sz="0" w:space="0" w:color="auto"/>
        <w:left w:val="none" w:sz="0" w:space="0" w:color="auto"/>
        <w:bottom w:val="none" w:sz="0" w:space="0" w:color="auto"/>
        <w:right w:val="none" w:sz="0" w:space="0" w:color="auto"/>
      </w:divBdr>
    </w:div>
    <w:div w:id="1242564978">
      <w:bodyDiv w:val="1"/>
      <w:marLeft w:val="0"/>
      <w:marRight w:val="0"/>
      <w:marTop w:val="0"/>
      <w:marBottom w:val="0"/>
      <w:divBdr>
        <w:top w:val="none" w:sz="0" w:space="0" w:color="auto"/>
        <w:left w:val="none" w:sz="0" w:space="0" w:color="auto"/>
        <w:bottom w:val="none" w:sz="0" w:space="0" w:color="auto"/>
        <w:right w:val="none" w:sz="0" w:space="0" w:color="auto"/>
      </w:divBdr>
    </w:div>
    <w:div w:id="1244098869">
      <w:bodyDiv w:val="1"/>
      <w:marLeft w:val="0"/>
      <w:marRight w:val="0"/>
      <w:marTop w:val="0"/>
      <w:marBottom w:val="0"/>
      <w:divBdr>
        <w:top w:val="none" w:sz="0" w:space="0" w:color="auto"/>
        <w:left w:val="none" w:sz="0" w:space="0" w:color="auto"/>
        <w:bottom w:val="none" w:sz="0" w:space="0" w:color="auto"/>
        <w:right w:val="none" w:sz="0" w:space="0" w:color="auto"/>
      </w:divBdr>
    </w:div>
    <w:div w:id="1247182187">
      <w:bodyDiv w:val="1"/>
      <w:marLeft w:val="0"/>
      <w:marRight w:val="0"/>
      <w:marTop w:val="0"/>
      <w:marBottom w:val="0"/>
      <w:divBdr>
        <w:top w:val="none" w:sz="0" w:space="0" w:color="auto"/>
        <w:left w:val="none" w:sz="0" w:space="0" w:color="auto"/>
        <w:bottom w:val="none" w:sz="0" w:space="0" w:color="auto"/>
        <w:right w:val="none" w:sz="0" w:space="0" w:color="auto"/>
      </w:divBdr>
    </w:div>
    <w:div w:id="1247500286">
      <w:bodyDiv w:val="1"/>
      <w:marLeft w:val="0"/>
      <w:marRight w:val="0"/>
      <w:marTop w:val="0"/>
      <w:marBottom w:val="0"/>
      <w:divBdr>
        <w:top w:val="none" w:sz="0" w:space="0" w:color="auto"/>
        <w:left w:val="none" w:sz="0" w:space="0" w:color="auto"/>
        <w:bottom w:val="none" w:sz="0" w:space="0" w:color="auto"/>
        <w:right w:val="none" w:sz="0" w:space="0" w:color="auto"/>
      </w:divBdr>
    </w:div>
    <w:div w:id="1248198961">
      <w:bodyDiv w:val="1"/>
      <w:marLeft w:val="0"/>
      <w:marRight w:val="0"/>
      <w:marTop w:val="0"/>
      <w:marBottom w:val="0"/>
      <w:divBdr>
        <w:top w:val="none" w:sz="0" w:space="0" w:color="auto"/>
        <w:left w:val="none" w:sz="0" w:space="0" w:color="auto"/>
        <w:bottom w:val="none" w:sz="0" w:space="0" w:color="auto"/>
        <w:right w:val="none" w:sz="0" w:space="0" w:color="auto"/>
      </w:divBdr>
    </w:div>
    <w:div w:id="1248265017">
      <w:bodyDiv w:val="1"/>
      <w:marLeft w:val="0"/>
      <w:marRight w:val="0"/>
      <w:marTop w:val="0"/>
      <w:marBottom w:val="0"/>
      <w:divBdr>
        <w:top w:val="none" w:sz="0" w:space="0" w:color="auto"/>
        <w:left w:val="none" w:sz="0" w:space="0" w:color="auto"/>
        <w:bottom w:val="none" w:sz="0" w:space="0" w:color="auto"/>
        <w:right w:val="none" w:sz="0" w:space="0" w:color="auto"/>
      </w:divBdr>
    </w:div>
    <w:div w:id="1248807579">
      <w:bodyDiv w:val="1"/>
      <w:marLeft w:val="0"/>
      <w:marRight w:val="0"/>
      <w:marTop w:val="0"/>
      <w:marBottom w:val="0"/>
      <w:divBdr>
        <w:top w:val="none" w:sz="0" w:space="0" w:color="auto"/>
        <w:left w:val="none" w:sz="0" w:space="0" w:color="auto"/>
        <w:bottom w:val="none" w:sz="0" w:space="0" w:color="auto"/>
        <w:right w:val="none" w:sz="0" w:space="0" w:color="auto"/>
      </w:divBdr>
    </w:div>
    <w:div w:id="1251619006">
      <w:bodyDiv w:val="1"/>
      <w:marLeft w:val="0"/>
      <w:marRight w:val="0"/>
      <w:marTop w:val="0"/>
      <w:marBottom w:val="0"/>
      <w:divBdr>
        <w:top w:val="none" w:sz="0" w:space="0" w:color="auto"/>
        <w:left w:val="none" w:sz="0" w:space="0" w:color="auto"/>
        <w:bottom w:val="none" w:sz="0" w:space="0" w:color="auto"/>
        <w:right w:val="none" w:sz="0" w:space="0" w:color="auto"/>
      </w:divBdr>
    </w:div>
    <w:div w:id="1251811006">
      <w:bodyDiv w:val="1"/>
      <w:marLeft w:val="0"/>
      <w:marRight w:val="0"/>
      <w:marTop w:val="0"/>
      <w:marBottom w:val="0"/>
      <w:divBdr>
        <w:top w:val="none" w:sz="0" w:space="0" w:color="auto"/>
        <w:left w:val="none" w:sz="0" w:space="0" w:color="auto"/>
        <w:bottom w:val="none" w:sz="0" w:space="0" w:color="auto"/>
        <w:right w:val="none" w:sz="0" w:space="0" w:color="auto"/>
      </w:divBdr>
    </w:div>
    <w:div w:id="1253734748">
      <w:bodyDiv w:val="1"/>
      <w:marLeft w:val="0"/>
      <w:marRight w:val="0"/>
      <w:marTop w:val="0"/>
      <w:marBottom w:val="0"/>
      <w:divBdr>
        <w:top w:val="none" w:sz="0" w:space="0" w:color="auto"/>
        <w:left w:val="none" w:sz="0" w:space="0" w:color="auto"/>
        <w:bottom w:val="none" w:sz="0" w:space="0" w:color="auto"/>
        <w:right w:val="none" w:sz="0" w:space="0" w:color="auto"/>
      </w:divBdr>
    </w:div>
    <w:div w:id="1254902478">
      <w:bodyDiv w:val="1"/>
      <w:marLeft w:val="0"/>
      <w:marRight w:val="0"/>
      <w:marTop w:val="0"/>
      <w:marBottom w:val="0"/>
      <w:divBdr>
        <w:top w:val="none" w:sz="0" w:space="0" w:color="auto"/>
        <w:left w:val="none" w:sz="0" w:space="0" w:color="auto"/>
        <w:bottom w:val="none" w:sz="0" w:space="0" w:color="auto"/>
        <w:right w:val="none" w:sz="0" w:space="0" w:color="auto"/>
      </w:divBdr>
    </w:div>
    <w:div w:id="1255557744">
      <w:bodyDiv w:val="1"/>
      <w:marLeft w:val="0"/>
      <w:marRight w:val="0"/>
      <w:marTop w:val="0"/>
      <w:marBottom w:val="0"/>
      <w:divBdr>
        <w:top w:val="none" w:sz="0" w:space="0" w:color="auto"/>
        <w:left w:val="none" w:sz="0" w:space="0" w:color="auto"/>
        <w:bottom w:val="none" w:sz="0" w:space="0" w:color="auto"/>
        <w:right w:val="none" w:sz="0" w:space="0" w:color="auto"/>
      </w:divBdr>
    </w:div>
    <w:div w:id="1256866081">
      <w:bodyDiv w:val="1"/>
      <w:marLeft w:val="0"/>
      <w:marRight w:val="0"/>
      <w:marTop w:val="0"/>
      <w:marBottom w:val="0"/>
      <w:divBdr>
        <w:top w:val="none" w:sz="0" w:space="0" w:color="auto"/>
        <w:left w:val="none" w:sz="0" w:space="0" w:color="auto"/>
        <w:bottom w:val="none" w:sz="0" w:space="0" w:color="auto"/>
        <w:right w:val="none" w:sz="0" w:space="0" w:color="auto"/>
      </w:divBdr>
    </w:div>
    <w:div w:id="1259680287">
      <w:bodyDiv w:val="1"/>
      <w:marLeft w:val="0"/>
      <w:marRight w:val="0"/>
      <w:marTop w:val="0"/>
      <w:marBottom w:val="0"/>
      <w:divBdr>
        <w:top w:val="none" w:sz="0" w:space="0" w:color="auto"/>
        <w:left w:val="none" w:sz="0" w:space="0" w:color="auto"/>
        <w:bottom w:val="none" w:sz="0" w:space="0" w:color="auto"/>
        <w:right w:val="none" w:sz="0" w:space="0" w:color="auto"/>
      </w:divBdr>
    </w:div>
    <w:div w:id="1261252758">
      <w:bodyDiv w:val="1"/>
      <w:marLeft w:val="0"/>
      <w:marRight w:val="0"/>
      <w:marTop w:val="0"/>
      <w:marBottom w:val="0"/>
      <w:divBdr>
        <w:top w:val="none" w:sz="0" w:space="0" w:color="auto"/>
        <w:left w:val="none" w:sz="0" w:space="0" w:color="auto"/>
        <w:bottom w:val="none" w:sz="0" w:space="0" w:color="auto"/>
        <w:right w:val="none" w:sz="0" w:space="0" w:color="auto"/>
      </w:divBdr>
    </w:div>
    <w:div w:id="1262496070">
      <w:bodyDiv w:val="1"/>
      <w:marLeft w:val="0"/>
      <w:marRight w:val="0"/>
      <w:marTop w:val="0"/>
      <w:marBottom w:val="0"/>
      <w:divBdr>
        <w:top w:val="none" w:sz="0" w:space="0" w:color="auto"/>
        <w:left w:val="none" w:sz="0" w:space="0" w:color="auto"/>
        <w:bottom w:val="none" w:sz="0" w:space="0" w:color="auto"/>
        <w:right w:val="none" w:sz="0" w:space="0" w:color="auto"/>
      </w:divBdr>
    </w:div>
    <w:div w:id="1266693287">
      <w:bodyDiv w:val="1"/>
      <w:marLeft w:val="0"/>
      <w:marRight w:val="0"/>
      <w:marTop w:val="0"/>
      <w:marBottom w:val="0"/>
      <w:divBdr>
        <w:top w:val="none" w:sz="0" w:space="0" w:color="auto"/>
        <w:left w:val="none" w:sz="0" w:space="0" w:color="auto"/>
        <w:bottom w:val="none" w:sz="0" w:space="0" w:color="auto"/>
        <w:right w:val="none" w:sz="0" w:space="0" w:color="auto"/>
      </w:divBdr>
    </w:div>
    <w:div w:id="1268149248">
      <w:bodyDiv w:val="1"/>
      <w:marLeft w:val="0"/>
      <w:marRight w:val="0"/>
      <w:marTop w:val="0"/>
      <w:marBottom w:val="0"/>
      <w:divBdr>
        <w:top w:val="none" w:sz="0" w:space="0" w:color="auto"/>
        <w:left w:val="none" w:sz="0" w:space="0" w:color="auto"/>
        <w:bottom w:val="none" w:sz="0" w:space="0" w:color="auto"/>
        <w:right w:val="none" w:sz="0" w:space="0" w:color="auto"/>
      </w:divBdr>
    </w:div>
    <w:div w:id="1271669030">
      <w:bodyDiv w:val="1"/>
      <w:marLeft w:val="0"/>
      <w:marRight w:val="0"/>
      <w:marTop w:val="0"/>
      <w:marBottom w:val="0"/>
      <w:divBdr>
        <w:top w:val="none" w:sz="0" w:space="0" w:color="auto"/>
        <w:left w:val="none" w:sz="0" w:space="0" w:color="auto"/>
        <w:bottom w:val="none" w:sz="0" w:space="0" w:color="auto"/>
        <w:right w:val="none" w:sz="0" w:space="0" w:color="auto"/>
      </w:divBdr>
    </w:div>
    <w:div w:id="1278877605">
      <w:bodyDiv w:val="1"/>
      <w:marLeft w:val="0"/>
      <w:marRight w:val="0"/>
      <w:marTop w:val="0"/>
      <w:marBottom w:val="0"/>
      <w:divBdr>
        <w:top w:val="none" w:sz="0" w:space="0" w:color="auto"/>
        <w:left w:val="none" w:sz="0" w:space="0" w:color="auto"/>
        <w:bottom w:val="none" w:sz="0" w:space="0" w:color="auto"/>
        <w:right w:val="none" w:sz="0" w:space="0" w:color="auto"/>
      </w:divBdr>
    </w:div>
    <w:div w:id="1279600935">
      <w:bodyDiv w:val="1"/>
      <w:marLeft w:val="0"/>
      <w:marRight w:val="0"/>
      <w:marTop w:val="0"/>
      <w:marBottom w:val="0"/>
      <w:divBdr>
        <w:top w:val="none" w:sz="0" w:space="0" w:color="auto"/>
        <w:left w:val="none" w:sz="0" w:space="0" w:color="auto"/>
        <w:bottom w:val="none" w:sz="0" w:space="0" w:color="auto"/>
        <w:right w:val="none" w:sz="0" w:space="0" w:color="auto"/>
      </w:divBdr>
    </w:div>
    <w:div w:id="1279996154">
      <w:bodyDiv w:val="1"/>
      <w:marLeft w:val="0"/>
      <w:marRight w:val="0"/>
      <w:marTop w:val="0"/>
      <w:marBottom w:val="0"/>
      <w:divBdr>
        <w:top w:val="none" w:sz="0" w:space="0" w:color="auto"/>
        <w:left w:val="none" w:sz="0" w:space="0" w:color="auto"/>
        <w:bottom w:val="none" w:sz="0" w:space="0" w:color="auto"/>
        <w:right w:val="none" w:sz="0" w:space="0" w:color="auto"/>
      </w:divBdr>
    </w:div>
    <w:div w:id="1281495883">
      <w:bodyDiv w:val="1"/>
      <w:marLeft w:val="0"/>
      <w:marRight w:val="0"/>
      <w:marTop w:val="0"/>
      <w:marBottom w:val="0"/>
      <w:divBdr>
        <w:top w:val="none" w:sz="0" w:space="0" w:color="auto"/>
        <w:left w:val="none" w:sz="0" w:space="0" w:color="auto"/>
        <w:bottom w:val="none" w:sz="0" w:space="0" w:color="auto"/>
        <w:right w:val="none" w:sz="0" w:space="0" w:color="auto"/>
      </w:divBdr>
    </w:div>
    <w:div w:id="1282229821">
      <w:bodyDiv w:val="1"/>
      <w:marLeft w:val="0"/>
      <w:marRight w:val="0"/>
      <w:marTop w:val="0"/>
      <w:marBottom w:val="0"/>
      <w:divBdr>
        <w:top w:val="none" w:sz="0" w:space="0" w:color="auto"/>
        <w:left w:val="none" w:sz="0" w:space="0" w:color="auto"/>
        <w:bottom w:val="none" w:sz="0" w:space="0" w:color="auto"/>
        <w:right w:val="none" w:sz="0" w:space="0" w:color="auto"/>
      </w:divBdr>
    </w:div>
    <w:div w:id="1284120220">
      <w:bodyDiv w:val="1"/>
      <w:marLeft w:val="0"/>
      <w:marRight w:val="0"/>
      <w:marTop w:val="0"/>
      <w:marBottom w:val="0"/>
      <w:divBdr>
        <w:top w:val="none" w:sz="0" w:space="0" w:color="auto"/>
        <w:left w:val="none" w:sz="0" w:space="0" w:color="auto"/>
        <w:bottom w:val="none" w:sz="0" w:space="0" w:color="auto"/>
        <w:right w:val="none" w:sz="0" w:space="0" w:color="auto"/>
      </w:divBdr>
    </w:div>
    <w:div w:id="1287350802">
      <w:bodyDiv w:val="1"/>
      <w:marLeft w:val="0"/>
      <w:marRight w:val="0"/>
      <w:marTop w:val="0"/>
      <w:marBottom w:val="0"/>
      <w:divBdr>
        <w:top w:val="none" w:sz="0" w:space="0" w:color="auto"/>
        <w:left w:val="none" w:sz="0" w:space="0" w:color="auto"/>
        <w:bottom w:val="none" w:sz="0" w:space="0" w:color="auto"/>
        <w:right w:val="none" w:sz="0" w:space="0" w:color="auto"/>
      </w:divBdr>
    </w:div>
    <w:div w:id="1289243256">
      <w:bodyDiv w:val="1"/>
      <w:marLeft w:val="0"/>
      <w:marRight w:val="0"/>
      <w:marTop w:val="0"/>
      <w:marBottom w:val="0"/>
      <w:divBdr>
        <w:top w:val="none" w:sz="0" w:space="0" w:color="auto"/>
        <w:left w:val="none" w:sz="0" w:space="0" w:color="auto"/>
        <w:bottom w:val="none" w:sz="0" w:space="0" w:color="auto"/>
        <w:right w:val="none" w:sz="0" w:space="0" w:color="auto"/>
      </w:divBdr>
    </w:div>
    <w:div w:id="1293485831">
      <w:bodyDiv w:val="1"/>
      <w:marLeft w:val="0"/>
      <w:marRight w:val="0"/>
      <w:marTop w:val="0"/>
      <w:marBottom w:val="0"/>
      <w:divBdr>
        <w:top w:val="none" w:sz="0" w:space="0" w:color="auto"/>
        <w:left w:val="none" w:sz="0" w:space="0" w:color="auto"/>
        <w:bottom w:val="none" w:sz="0" w:space="0" w:color="auto"/>
        <w:right w:val="none" w:sz="0" w:space="0" w:color="auto"/>
      </w:divBdr>
    </w:div>
    <w:div w:id="1296372301">
      <w:bodyDiv w:val="1"/>
      <w:marLeft w:val="0"/>
      <w:marRight w:val="0"/>
      <w:marTop w:val="0"/>
      <w:marBottom w:val="0"/>
      <w:divBdr>
        <w:top w:val="none" w:sz="0" w:space="0" w:color="auto"/>
        <w:left w:val="none" w:sz="0" w:space="0" w:color="auto"/>
        <w:bottom w:val="none" w:sz="0" w:space="0" w:color="auto"/>
        <w:right w:val="none" w:sz="0" w:space="0" w:color="auto"/>
      </w:divBdr>
    </w:div>
    <w:div w:id="1300648584">
      <w:bodyDiv w:val="1"/>
      <w:marLeft w:val="0"/>
      <w:marRight w:val="0"/>
      <w:marTop w:val="0"/>
      <w:marBottom w:val="0"/>
      <w:divBdr>
        <w:top w:val="none" w:sz="0" w:space="0" w:color="auto"/>
        <w:left w:val="none" w:sz="0" w:space="0" w:color="auto"/>
        <w:bottom w:val="none" w:sz="0" w:space="0" w:color="auto"/>
        <w:right w:val="none" w:sz="0" w:space="0" w:color="auto"/>
      </w:divBdr>
    </w:div>
    <w:div w:id="1301110597">
      <w:bodyDiv w:val="1"/>
      <w:marLeft w:val="0"/>
      <w:marRight w:val="0"/>
      <w:marTop w:val="0"/>
      <w:marBottom w:val="0"/>
      <w:divBdr>
        <w:top w:val="none" w:sz="0" w:space="0" w:color="auto"/>
        <w:left w:val="none" w:sz="0" w:space="0" w:color="auto"/>
        <w:bottom w:val="none" w:sz="0" w:space="0" w:color="auto"/>
        <w:right w:val="none" w:sz="0" w:space="0" w:color="auto"/>
      </w:divBdr>
    </w:div>
    <w:div w:id="1302541142">
      <w:bodyDiv w:val="1"/>
      <w:marLeft w:val="0"/>
      <w:marRight w:val="0"/>
      <w:marTop w:val="0"/>
      <w:marBottom w:val="0"/>
      <w:divBdr>
        <w:top w:val="none" w:sz="0" w:space="0" w:color="auto"/>
        <w:left w:val="none" w:sz="0" w:space="0" w:color="auto"/>
        <w:bottom w:val="none" w:sz="0" w:space="0" w:color="auto"/>
        <w:right w:val="none" w:sz="0" w:space="0" w:color="auto"/>
      </w:divBdr>
    </w:div>
    <w:div w:id="1304189970">
      <w:bodyDiv w:val="1"/>
      <w:marLeft w:val="0"/>
      <w:marRight w:val="0"/>
      <w:marTop w:val="0"/>
      <w:marBottom w:val="0"/>
      <w:divBdr>
        <w:top w:val="none" w:sz="0" w:space="0" w:color="auto"/>
        <w:left w:val="none" w:sz="0" w:space="0" w:color="auto"/>
        <w:bottom w:val="none" w:sz="0" w:space="0" w:color="auto"/>
        <w:right w:val="none" w:sz="0" w:space="0" w:color="auto"/>
      </w:divBdr>
    </w:div>
    <w:div w:id="1307590735">
      <w:bodyDiv w:val="1"/>
      <w:marLeft w:val="0"/>
      <w:marRight w:val="0"/>
      <w:marTop w:val="0"/>
      <w:marBottom w:val="0"/>
      <w:divBdr>
        <w:top w:val="none" w:sz="0" w:space="0" w:color="auto"/>
        <w:left w:val="none" w:sz="0" w:space="0" w:color="auto"/>
        <w:bottom w:val="none" w:sz="0" w:space="0" w:color="auto"/>
        <w:right w:val="none" w:sz="0" w:space="0" w:color="auto"/>
      </w:divBdr>
    </w:div>
    <w:div w:id="1308634600">
      <w:bodyDiv w:val="1"/>
      <w:marLeft w:val="0"/>
      <w:marRight w:val="0"/>
      <w:marTop w:val="0"/>
      <w:marBottom w:val="0"/>
      <w:divBdr>
        <w:top w:val="none" w:sz="0" w:space="0" w:color="auto"/>
        <w:left w:val="none" w:sz="0" w:space="0" w:color="auto"/>
        <w:bottom w:val="none" w:sz="0" w:space="0" w:color="auto"/>
        <w:right w:val="none" w:sz="0" w:space="0" w:color="auto"/>
      </w:divBdr>
    </w:div>
    <w:div w:id="1313292905">
      <w:bodyDiv w:val="1"/>
      <w:marLeft w:val="0"/>
      <w:marRight w:val="0"/>
      <w:marTop w:val="0"/>
      <w:marBottom w:val="0"/>
      <w:divBdr>
        <w:top w:val="none" w:sz="0" w:space="0" w:color="auto"/>
        <w:left w:val="none" w:sz="0" w:space="0" w:color="auto"/>
        <w:bottom w:val="none" w:sz="0" w:space="0" w:color="auto"/>
        <w:right w:val="none" w:sz="0" w:space="0" w:color="auto"/>
      </w:divBdr>
    </w:div>
    <w:div w:id="1315841749">
      <w:bodyDiv w:val="1"/>
      <w:marLeft w:val="0"/>
      <w:marRight w:val="0"/>
      <w:marTop w:val="0"/>
      <w:marBottom w:val="0"/>
      <w:divBdr>
        <w:top w:val="none" w:sz="0" w:space="0" w:color="auto"/>
        <w:left w:val="none" w:sz="0" w:space="0" w:color="auto"/>
        <w:bottom w:val="none" w:sz="0" w:space="0" w:color="auto"/>
        <w:right w:val="none" w:sz="0" w:space="0" w:color="auto"/>
      </w:divBdr>
    </w:div>
    <w:div w:id="1317339647">
      <w:bodyDiv w:val="1"/>
      <w:marLeft w:val="0"/>
      <w:marRight w:val="0"/>
      <w:marTop w:val="0"/>
      <w:marBottom w:val="0"/>
      <w:divBdr>
        <w:top w:val="none" w:sz="0" w:space="0" w:color="auto"/>
        <w:left w:val="none" w:sz="0" w:space="0" w:color="auto"/>
        <w:bottom w:val="none" w:sz="0" w:space="0" w:color="auto"/>
        <w:right w:val="none" w:sz="0" w:space="0" w:color="auto"/>
      </w:divBdr>
    </w:div>
    <w:div w:id="1319384862">
      <w:bodyDiv w:val="1"/>
      <w:marLeft w:val="0"/>
      <w:marRight w:val="0"/>
      <w:marTop w:val="0"/>
      <w:marBottom w:val="0"/>
      <w:divBdr>
        <w:top w:val="none" w:sz="0" w:space="0" w:color="auto"/>
        <w:left w:val="none" w:sz="0" w:space="0" w:color="auto"/>
        <w:bottom w:val="none" w:sz="0" w:space="0" w:color="auto"/>
        <w:right w:val="none" w:sz="0" w:space="0" w:color="auto"/>
      </w:divBdr>
    </w:div>
    <w:div w:id="1319454085">
      <w:bodyDiv w:val="1"/>
      <w:marLeft w:val="0"/>
      <w:marRight w:val="0"/>
      <w:marTop w:val="0"/>
      <w:marBottom w:val="0"/>
      <w:divBdr>
        <w:top w:val="none" w:sz="0" w:space="0" w:color="auto"/>
        <w:left w:val="none" w:sz="0" w:space="0" w:color="auto"/>
        <w:bottom w:val="none" w:sz="0" w:space="0" w:color="auto"/>
        <w:right w:val="none" w:sz="0" w:space="0" w:color="auto"/>
      </w:divBdr>
    </w:div>
    <w:div w:id="1322657045">
      <w:bodyDiv w:val="1"/>
      <w:marLeft w:val="0"/>
      <w:marRight w:val="0"/>
      <w:marTop w:val="0"/>
      <w:marBottom w:val="0"/>
      <w:divBdr>
        <w:top w:val="none" w:sz="0" w:space="0" w:color="auto"/>
        <w:left w:val="none" w:sz="0" w:space="0" w:color="auto"/>
        <w:bottom w:val="none" w:sz="0" w:space="0" w:color="auto"/>
        <w:right w:val="none" w:sz="0" w:space="0" w:color="auto"/>
      </w:divBdr>
    </w:div>
    <w:div w:id="1324970050">
      <w:bodyDiv w:val="1"/>
      <w:marLeft w:val="0"/>
      <w:marRight w:val="0"/>
      <w:marTop w:val="0"/>
      <w:marBottom w:val="0"/>
      <w:divBdr>
        <w:top w:val="none" w:sz="0" w:space="0" w:color="auto"/>
        <w:left w:val="none" w:sz="0" w:space="0" w:color="auto"/>
        <w:bottom w:val="none" w:sz="0" w:space="0" w:color="auto"/>
        <w:right w:val="none" w:sz="0" w:space="0" w:color="auto"/>
      </w:divBdr>
    </w:div>
    <w:div w:id="1325859368">
      <w:bodyDiv w:val="1"/>
      <w:marLeft w:val="0"/>
      <w:marRight w:val="0"/>
      <w:marTop w:val="0"/>
      <w:marBottom w:val="0"/>
      <w:divBdr>
        <w:top w:val="none" w:sz="0" w:space="0" w:color="auto"/>
        <w:left w:val="none" w:sz="0" w:space="0" w:color="auto"/>
        <w:bottom w:val="none" w:sz="0" w:space="0" w:color="auto"/>
        <w:right w:val="none" w:sz="0" w:space="0" w:color="auto"/>
      </w:divBdr>
    </w:div>
    <w:div w:id="1326083834">
      <w:bodyDiv w:val="1"/>
      <w:marLeft w:val="0"/>
      <w:marRight w:val="0"/>
      <w:marTop w:val="0"/>
      <w:marBottom w:val="0"/>
      <w:divBdr>
        <w:top w:val="none" w:sz="0" w:space="0" w:color="auto"/>
        <w:left w:val="none" w:sz="0" w:space="0" w:color="auto"/>
        <w:bottom w:val="none" w:sz="0" w:space="0" w:color="auto"/>
        <w:right w:val="none" w:sz="0" w:space="0" w:color="auto"/>
      </w:divBdr>
    </w:div>
    <w:div w:id="1326515319">
      <w:bodyDiv w:val="1"/>
      <w:marLeft w:val="0"/>
      <w:marRight w:val="0"/>
      <w:marTop w:val="0"/>
      <w:marBottom w:val="0"/>
      <w:divBdr>
        <w:top w:val="none" w:sz="0" w:space="0" w:color="auto"/>
        <w:left w:val="none" w:sz="0" w:space="0" w:color="auto"/>
        <w:bottom w:val="none" w:sz="0" w:space="0" w:color="auto"/>
        <w:right w:val="none" w:sz="0" w:space="0" w:color="auto"/>
      </w:divBdr>
    </w:div>
    <w:div w:id="1329560015">
      <w:bodyDiv w:val="1"/>
      <w:marLeft w:val="0"/>
      <w:marRight w:val="0"/>
      <w:marTop w:val="0"/>
      <w:marBottom w:val="0"/>
      <w:divBdr>
        <w:top w:val="none" w:sz="0" w:space="0" w:color="auto"/>
        <w:left w:val="none" w:sz="0" w:space="0" w:color="auto"/>
        <w:bottom w:val="none" w:sz="0" w:space="0" w:color="auto"/>
        <w:right w:val="none" w:sz="0" w:space="0" w:color="auto"/>
      </w:divBdr>
    </w:div>
    <w:div w:id="1335455321">
      <w:bodyDiv w:val="1"/>
      <w:marLeft w:val="0"/>
      <w:marRight w:val="0"/>
      <w:marTop w:val="0"/>
      <w:marBottom w:val="0"/>
      <w:divBdr>
        <w:top w:val="none" w:sz="0" w:space="0" w:color="auto"/>
        <w:left w:val="none" w:sz="0" w:space="0" w:color="auto"/>
        <w:bottom w:val="none" w:sz="0" w:space="0" w:color="auto"/>
        <w:right w:val="none" w:sz="0" w:space="0" w:color="auto"/>
      </w:divBdr>
    </w:div>
    <w:div w:id="1336227841">
      <w:bodyDiv w:val="1"/>
      <w:marLeft w:val="0"/>
      <w:marRight w:val="0"/>
      <w:marTop w:val="0"/>
      <w:marBottom w:val="0"/>
      <w:divBdr>
        <w:top w:val="none" w:sz="0" w:space="0" w:color="auto"/>
        <w:left w:val="none" w:sz="0" w:space="0" w:color="auto"/>
        <w:bottom w:val="none" w:sz="0" w:space="0" w:color="auto"/>
        <w:right w:val="none" w:sz="0" w:space="0" w:color="auto"/>
      </w:divBdr>
    </w:div>
    <w:div w:id="1339229931">
      <w:bodyDiv w:val="1"/>
      <w:marLeft w:val="0"/>
      <w:marRight w:val="0"/>
      <w:marTop w:val="0"/>
      <w:marBottom w:val="0"/>
      <w:divBdr>
        <w:top w:val="none" w:sz="0" w:space="0" w:color="auto"/>
        <w:left w:val="none" w:sz="0" w:space="0" w:color="auto"/>
        <w:bottom w:val="none" w:sz="0" w:space="0" w:color="auto"/>
        <w:right w:val="none" w:sz="0" w:space="0" w:color="auto"/>
      </w:divBdr>
    </w:div>
    <w:div w:id="1342780089">
      <w:bodyDiv w:val="1"/>
      <w:marLeft w:val="0"/>
      <w:marRight w:val="0"/>
      <w:marTop w:val="0"/>
      <w:marBottom w:val="0"/>
      <w:divBdr>
        <w:top w:val="none" w:sz="0" w:space="0" w:color="auto"/>
        <w:left w:val="none" w:sz="0" w:space="0" w:color="auto"/>
        <w:bottom w:val="none" w:sz="0" w:space="0" w:color="auto"/>
        <w:right w:val="none" w:sz="0" w:space="0" w:color="auto"/>
      </w:divBdr>
    </w:div>
    <w:div w:id="1344163832">
      <w:bodyDiv w:val="1"/>
      <w:marLeft w:val="0"/>
      <w:marRight w:val="0"/>
      <w:marTop w:val="0"/>
      <w:marBottom w:val="0"/>
      <w:divBdr>
        <w:top w:val="none" w:sz="0" w:space="0" w:color="auto"/>
        <w:left w:val="none" w:sz="0" w:space="0" w:color="auto"/>
        <w:bottom w:val="none" w:sz="0" w:space="0" w:color="auto"/>
        <w:right w:val="none" w:sz="0" w:space="0" w:color="auto"/>
      </w:divBdr>
    </w:div>
    <w:div w:id="1348022747">
      <w:bodyDiv w:val="1"/>
      <w:marLeft w:val="0"/>
      <w:marRight w:val="0"/>
      <w:marTop w:val="0"/>
      <w:marBottom w:val="0"/>
      <w:divBdr>
        <w:top w:val="none" w:sz="0" w:space="0" w:color="auto"/>
        <w:left w:val="none" w:sz="0" w:space="0" w:color="auto"/>
        <w:bottom w:val="none" w:sz="0" w:space="0" w:color="auto"/>
        <w:right w:val="none" w:sz="0" w:space="0" w:color="auto"/>
      </w:divBdr>
    </w:div>
    <w:div w:id="1351493232">
      <w:bodyDiv w:val="1"/>
      <w:marLeft w:val="0"/>
      <w:marRight w:val="0"/>
      <w:marTop w:val="0"/>
      <w:marBottom w:val="0"/>
      <w:divBdr>
        <w:top w:val="none" w:sz="0" w:space="0" w:color="auto"/>
        <w:left w:val="none" w:sz="0" w:space="0" w:color="auto"/>
        <w:bottom w:val="none" w:sz="0" w:space="0" w:color="auto"/>
        <w:right w:val="none" w:sz="0" w:space="0" w:color="auto"/>
      </w:divBdr>
    </w:div>
    <w:div w:id="1351838093">
      <w:bodyDiv w:val="1"/>
      <w:marLeft w:val="0"/>
      <w:marRight w:val="0"/>
      <w:marTop w:val="0"/>
      <w:marBottom w:val="0"/>
      <w:divBdr>
        <w:top w:val="none" w:sz="0" w:space="0" w:color="auto"/>
        <w:left w:val="none" w:sz="0" w:space="0" w:color="auto"/>
        <w:bottom w:val="none" w:sz="0" w:space="0" w:color="auto"/>
        <w:right w:val="none" w:sz="0" w:space="0" w:color="auto"/>
      </w:divBdr>
    </w:div>
    <w:div w:id="1354570243">
      <w:bodyDiv w:val="1"/>
      <w:marLeft w:val="0"/>
      <w:marRight w:val="0"/>
      <w:marTop w:val="0"/>
      <w:marBottom w:val="0"/>
      <w:divBdr>
        <w:top w:val="none" w:sz="0" w:space="0" w:color="auto"/>
        <w:left w:val="none" w:sz="0" w:space="0" w:color="auto"/>
        <w:bottom w:val="none" w:sz="0" w:space="0" w:color="auto"/>
        <w:right w:val="none" w:sz="0" w:space="0" w:color="auto"/>
      </w:divBdr>
    </w:div>
    <w:div w:id="1356690328">
      <w:bodyDiv w:val="1"/>
      <w:marLeft w:val="0"/>
      <w:marRight w:val="0"/>
      <w:marTop w:val="0"/>
      <w:marBottom w:val="0"/>
      <w:divBdr>
        <w:top w:val="none" w:sz="0" w:space="0" w:color="auto"/>
        <w:left w:val="none" w:sz="0" w:space="0" w:color="auto"/>
        <w:bottom w:val="none" w:sz="0" w:space="0" w:color="auto"/>
        <w:right w:val="none" w:sz="0" w:space="0" w:color="auto"/>
      </w:divBdr>
    </w:div>
    <w:div w:id="1356882587">
      <w:bodyDiv w:val="1"/>
      <w:marLeft w:val="0"/>
      <w:marRight w:val="0"/>
      <w:marTop w:val="0"/>
      <w:marBottom w:val="0"/>
      <w:divBdr>
        <w:top w:val="none" w:sz="0" w:space="0" w:color="auto"/>
        <w:left w:val="none" w:sz="0" w:space="0" w:color="auto"/>
        <w:bottom w:val="none" w:sz="0" w:space="0" w:color="auto"/>
        <w:right w:val="none" w:sz="0" w:space="0" w:color="auto"/>
      </w:divBdr>
    </w:div>
    <w:div w:id="1358383357">
      <w:bodyDiv w:val="1"/>
      <w:marLeft w:val="0"/>
      <w:marRight w:val="0"/>
      <w:marTop w:val="0"/>
      <w:marBottom w:val="0"/>
      <w:divBdr>
        <w:top w:val="none" w:sz="0" w:space="0" w:color="auto"/>
        <w:left w:val="none" w:sz="0" w:space="0" w:color="auto"/>
        <w:bottom w:val="none" w:sz="0" w:space="0" w:color="auto"/>
        <w:right w:val="none" w:sz="0" w:space="0" w:color="auto"/>
      </w:divBdr>
    </w:div>
    <w:div w:id="1359504013">
      <w:bodyDiv w:val="1"/>
      <w:marLeft w:val="0"/>
      <w:marRight w:val="0"/>
      <w:marTop w:val="0"/>
      <w:marBottom w:val="0"/>
      <w:divBdr>
        <w:top w:val="none" w:sz="0" w:space="0" w:color="auto"/>
        <w:left w:val="none" w:sz="0" w:space="0" w:color="auto"/>
        <w:bottom w:val="none" w:sz="0" w:space="0" w:color="auto"/>
        <w:right w:val="none" w:sz="0" w:space="0" w:color="auto"/>
      </w:divBdr>
    </w:div>
    <w:div w:id="1360160972">
      <w:bodyDiv w:val="1"/>
      <w:marLeft w:val="0"/>
      <w:marRight w:val="0"/>
      <w:marTop w:val="0"/>
      <w:marBottom w:val="0"/>
      <w:divBdr>
        <w:top w:val="none" w:sz="0" w:space="0" w:color="auto"/>
        <w:left w:val="none" w:sz="0" w:space="0" w:color="auto"/>
        <w:bottom w:val="none" w:sz="0" w:space="0" w:color="auto"/>
        <w:right w:val="none" w:sz="0" w:space="0" w:color="auto"/>
      </w:divBdr>
    </w:div>
    <w:div w:id="1363359096">
      <w:bodyDiv w:val="1"/>
      <w:marLeft w:val="0"/>
      <w:marRight w:val="0"/>
      <w:marTop w:val="0"/>
      <w:marBottom w:val="0"/>
      <w:divBdr>
        <w:top w:val="none" w:sz="0" w:space="0" w:color="auto"/>
        <w:left w:val="none" w:sz="0" w:space="0" w:color="auto"/>
        <w:bottom w:val="none" w:sz="0" w:space="0" w:color="auto"/>
        <w:right w:val="none" w:sz="0" w:space="0" w:color="auto"/>
      </w:divBdr>
    </w:div>
    <w:div w:id="1365716137">
      <w:bodyDiv w:val="1"/>
      <w:marLeft w:val="0"/>
      <w:marRight w:val="0"/>
      <w:marTop w:val="0"/>
      <w:marBottom w:val="0"/>
      <w:divBdr>
        <w:top w:val="none" w:sz="0" w:space="0" w:color="auto"/>
        <w:left w:val="none" w:sz="0" w:space="0" w:color="auto"/>
        <w:bottom w:val="none" w:sz="0" w:space="0" w:color="auto"/>
        <w:right w:val="none" w:sz="0" w:space="0" w:color="auto"/>
      </w:divBdr>
    </w:div>
    <w:div w:id="1366635895">
      <w:bodyDiv w:val="1"/>
      <w:marLeft w:val="0"/>
      <w:marRight w:val="0"/>
      <w:marTop w:val="0"/>
      <w:marBottom w:val="0"/>
      <w:divBdr>
        <w:top w:val="none" w:sz="0" w:space="0" w:color="auto"/>
        <w:left w:val="none" w:sz="0" w:space="0" w:color="auto"/>
        <w:bottom w:val="none" w:sz="0" w:space="0" w:color="auto"/>
        <w:right w:val="none" w:sz="0" w:space="0" w:color="auto"/>
      </w:divBdr>
    </w:div>
    <w:div w:id="1372267325">
      <w:bodyDiv w:val="1"/>
      <w:marLeft w:val="0"/>
      <w:marRight w:val="0"/>
      <w:marTop w:val="0"/>
      <w:marBottom w:val="0"/>
      <w:divBdr>
        <w:top w:val="none" w:sz="0" w:space="0" w:color="auto"/>
        <w:left w:val="none" w:sz="0" w:space="0" w:color="auto"/>
        <w:bottom w:val="none" w:sz="0" w:space="0" w:color="auto"/>
        <w:right w:val="none" w:sz="0" w:space="0" w:color="auto"/>
      </w:divBdr>
    </w:div>
    <w:div w:id="1373766740">
      <w:bodyDiv w:val="1"/>
      <w:marLeft w:val="0"/>
      <w:marRight w:val="0"/>
      <w:marTop w:val="0"/>
      <w:marBottom w:val="0"/>
      <w:divBdr>
        <w:top w:val="none" w:sz="0" w:space="0" w:color="auto"/>
        <w:left w:val="none" w:sz="0" w:space="0" w:color="auto"/>
        <w:bottom w:val="none" w:sz="0" w:space="0" w:color="auto"/>
        <w:right w:val="none" w:sz="0" w:space="0" w:color="auto"/>
      </w:divBdr>
    </w:div>
    <w:div w:id="1373844573">
      <w:bodyDiv w:val="1"/>
      <w:marLeft w:val="0"/>
      <w:marRight w:val="0"/>
      <w:marTop w:val="0"/>
      <w:marBottom w:val="0"/>
      <w:divBdr>
        <w:top w:val="none" w:sz="0" w:space="0" w:color="auto"/>
        <w:left w:val="none" w:sz="0" w:space="0" w:color="auto"/>
        <w:bottom w:val="none" w:sz="0" w:space="0" w:color="auto"/>
        <w:right w:val="none" w:sz="0" w:space="0" w:color="auto"/>
      </w:divBdr>
    </w:div>
    <w:div w:id="1374885148">
      <w:bodyDiv w:val="1"/>
      <w:marLeft w:val="0"/>
      <w:marRight w:val="0"/>
      <w:marTop w:val="0"/>
      <w:marBottom w:val="0"/>
      <w:divBdr>
        <w:top w:val="none" w:sz="0" w:space="0" w:color="auto"/>
        <w:left w:val="none" w:sz="0" w:space="0" w:color="auto"/>
        <w:bottom w:val="none" w:sz="0" w:space="0" w:color="auto"/>
        <w:right w:val="none" w:sz="0" w:space="0" w:color="auto"/>
      </w:divBdr>
    </w:div>
    <w:div w:id="1375421462">
      <w:bodyDiv w:val="1"/>
      <w:marLeft w:val="0"/>
      <w:marRight w:val="0"/>
      <w:marTop w:val="0"/>
      <w:marBottom w:val="0"/>
      <w:divBdr>
        <w:top w:val="none" w:sz="0" w:space="0" w:color="auto"/>
        <w:left w:val="none" w:sz="0" w:space="0" w:color="auto"/>
        <w:bottom w:val="none" w:sz="0" w:space="0" w:color="auto"/>
        <w:right w:val="none" w:sz="0" w:space="0" w:color="auto"/>
      </w:divBdr>
    </w:div>
    <w:div w:id="1375541878">
      <w:bodyDiv w:val="1"/>
      <w:marLeft w:val="0"/>
      <w:marRight w:val="0"/>
      <w:marTop w:val="0"/>
      <w:marBottom w:val="0"/>
      <w:divBdr>
        <w:top w:val="none" w:sz="0" w:space="0" w:color="auto"/>
        <w:left w:val="none" w:sz="0" w:space="0" w:color="auto"/>
        <w:bottom w:val="none" w:sz="0" w:space="0" w:color="auto"/>
        <w:right w:val="none" w:sz="0" w:space="0" w:color="auto"/>
      </w:divBdr>
    </w:div>
    <w:div w:id="1375617782">
      <w:bodyDiv w:val="1"/>
      <w:marLeft w:val="0"/>
      <w:marRight w:val="0"/>
      <w:marTop w:val="0"/>
      <w:marBottom w:val="0"/>
      <w:divBdr>
        <w:top w:val="none" w:sz="0" w:space="0" w:color="auto"/>
        <w:left w:val="none" w:sz="0" w:space="0" w:color="auto"/>
        <w:bottom w:val="none" w:sz="0" w:space="0" w:color="auto"/>
        <w:right w:val="none" w:sz="0" w:space="0" w:color="auto"/>
      </w:divBdr>
    </w:div>
    <w:div w:id="1375697803">
      <w:bodyDiv w:val="1"/>
      <w:marLeft w:val="0"/>
      <w:marRight w:val="0"/>
      <w:marTop w:val="0"/>
      <w:marBottom w:val="0"/>
      <w:divBdr>
        <w:top w:val="none" w:sz="0" w:space="0" w:color="auto"/>
        <w:left w:val="none" w:sz="0" w:space="0" w:color="auto"/>
        <w:bottom w:val="none" w:sz="0" w:space="0" w:color="auto"/>
        <w:right w:val="none" w:sz="0" w:space="0" w:color="auto"/>
      </w:divBdr>
    </w:div>
    <w:div w:id="1376999148">
      <w:bodyDiv w:val="1"/>
      <w:marLeft w:val="0"/>
      <w:marRight w:val="0"/>
      <w:marTop w:val="0"/>
      <w:marBottom w:val="0"/>
      <w:divBdr>
        <w:top w:val="none" w:sz="0" w:space="0" w:color="auto"/>
        <w:left w:val="none" w:sz="0" w:space="0" w:color="auto"/>
        <w:bottom w:val="none" w:sz="0" w:space="0" w:color="auto"/>
        <w:right w:val="none" w:sz="0" w:space="0" w:color="auto"/>
      </w:divBdr>
    </w:div>
    <w:div w:id="1380780062">
      <w:bodyDiv w:val="1"/>
      <w:marLeft w:val="0"/>
      <w:marRight w:val="0"/>
      <w:marTop w:val="0"/>
      <w:marBottom w:val="0"/>
      <w:divBdr>
        <w:top w:val="none" w:sz="0" w:space="0" w:color="auto"/>
        <w:left w:val="none" w:sz="0" w:space="0" w:color="auto"/>
        <w:bottom w:val="none" w:sz="0" w:space="0" w:color="auto"/>
        <w:right w:val="none" w:sz="0" w:space="0" w:color="auto"/>
      </w:divBdr>
    </w:div>
    <w:div w:id="1381706543">
      <w:bodyDiv w:val="1"/>
      <w:marLeft w:val="0"/>
      <w:marRight w:val="0"/>
      <w:marTop w:val="0"/>
      <w:marBottom w:val="0"/>
      <w:divBdr>
        <w:top w:val="none" w:sz="0" w:space="0" w:color="auto"/>
        <w:left w:val="none" w:sz="0" w:space="0" w:color="auto"/>
        <w:bottom w:val="none" w:sz="0" w:space="0" w:color="auto"/>
        <w:right w:val="none" w:sz="0" w:space="0" w:color="auto"/>
      </w:divBdr>
    </w:div>
    <w:div w:id="1382511751">
      <w:bodyDiv w:val="1"/>
      <w:marLeft w:val="0"/>
      <w:marRight w:val="0"/>
      <w:marTop w:val="0"/>
      <w:marBottom w:val="0"/>
      <w:divBdr>
        <w:top w:val="none" w:sz="0" w:space="0" w:color="auto"/>
        <w:left w:val="none" w:sz="0" w:space="0" w:color="auto"/>
        <w:bottom w:val="none" w:sz="0" w:space="0" w:color="auto"/>
        <w:right w:val="none" w:sz="0" w:space="0" w:color="auto"/>
      </w:divBdr>
    </w:div>
    <w:div w:id="1382710143">
      <w:bodyDiv w:val="1"/>
      <w:marLeft w:val="0"/>
      <w:marRight w:val="0"/>
      <w:marTop w:val="0"/>
      <w:marBottom w:val="0"/>
      <w:divBdr>
        <w:top w:val="none" w:sz="0" w:space="0" w:color="auto"/>
        <w:left w:val="none" w:sz="0" w:space="0" w:color="auto"/>
        <w:bottom w:val="none" w:sz="0" w:space="0" w:color="auto"/>
        <w:right w:val="none" w:sz="0" w:space="0" w:color="auto"/>
      </w:divBdr>
    </w:div>
    <w:div w:id="1383208510">
      <w:bodyDiv w:val="1"/>
      <w:marLeft w:val="0"/>
      <w:marRight w:val="0"/>
      <w:marTop w:val="0"/>
      <w:marBottom w:val="0"/>
      <w:divBdr>
        <w:top w:val="none" w:sz="0" w:space="0" w:color="auto"/>
        <w:left w:val="none" w:sz="0" w:space="0" w:color="auto"/>
        <w:bottom w:val="none" w:sz="0" w:space="0" w:color="auto"/>
        <w:right w:val="none" w:sz="0" w:space="0" w:color="auto"/>
      </w:divBdr>
    </w:div>
    <w:div w:id="1383212870">
      <w:bodyDiv w:val="1"/>
      <w:marLeft w:val="0"/>
      <w:marRight w:val="0"/>
      <w:marTop w:val="0"/>
      <w:marBottom w:val="0"/>
      <w:divBdr>
        <w:top w:val="none" w:sz="0" w:space="0" w:color="auto"/>
        <w:left w:val="none" w:sz="0" w:space="0" w:color="auto"/>
        <w:bottom w:val="none" w:sz="0" w:space="0" w:color="auto"/>
        <w:right w:val="none" w:sz="0" w:space="0" w:color="auto"/>
      </w:divBdr>
    </w:div>
    <w:div w:id="1389377450">
      <w:bodyDiv w:val="1"/>
      <w:marLeft w:val="0"/>
      <w:marRight w:val="0"/>
      <w:marTop w:val="0"/>
      <w:marBottom w:val="0"/>
      <w:divBdr>
        <w:top w:val="none" w:sz="0" w:space="0" w:color="auto"/>
        <w:left w:val="none" w:sz="0" w:space="0" w:color="auto"/>
        <w:bottom w:val="none" w:sz="0" w:space="0" w:color="auto"/>
        <w:right w:val="none" w:sz="0" w:space="0" w:color="auto"/>
      </w:divBdr>
    </w:div>
    <w:div w:id="1389456496">
      <w:bodyDiv w:val="1"/>
      <w:marLeft w:val="0"/>
      <w:marRight w:val="0"/>
      <w:marTop w:val="0"/>
      <w:marBottom w:val="0"/>
      <w:divBdr>
        <w:top w:val="none" w:sz="0" w:space="0" w:color="auto"/>
        <w:left w:val="none" w:sz="0" w:space="0" w:color="auto"/>
        <w:bottom w:val="none" w:sz="0" w:space="0" w:color="auto"/>
        <w:right w:val="none" w:sz="0" w:space="0" w:color="auto"/>
      </w:divBdr>
    </w:div>
    <w:div w:id="1390567875">
      <w:bodyDiv w:val="1"/>
      <w:marLeft w:val="0"/>
      <w:marRight w:val="0"/>
      <w:marTop w:val="0"/>
      <w:marBottom w:val="0"/>
      <w:divBdr>
        <w:top w:val="none" w:sz="0" w:space="0" w:color="auto"/>
        <w:left w:val="none" w:sz="0" w:space="0" w:color="auto"/>
        <w:bottom w:val="none" w:sz="0" w:space="0" w:color="auto"/>
        <w:right w:val="none" w:sz="0" w:space="0" w:color="auto"/>
      </w:divBdr>
    </w:div>
    <w:div w:id="1393694261">
      <w:bodyDiv w:val="1"/>
      <w:marLeft w:val="0"/>
      <w:marRight w:val="0"/>
      <w:marTop w:val="0"/>
      <w:marBottom w:val="0"/>
      <w:divBdr>
        <w:top w:val="none" w:sz="0" w:space="0" w:color="auto"/>
        <w:left w:val="none" w:sz="0" w:space="0" w:color="auto"/>
        <w:bottom w:val="none" w:sz="0" w:space="0" w:color="auto"/>
        <w:right w:val="none" w:sz="0" w:space="0" w:color="auto"/>
      </w:divBdr>
    </w:div>
    <w:div w:id="1395661567">
      <w:bodyDiv w:val="1"/>
      <w:marLeft w:val="0"/>
      <w:marRight w:val="0"/>
      <w:marTop w:val="0"/>
      <w:marBottom w:val="0"/>
      <w:divBdr>
        <w:top w:val="none" w:sz="0" w:space="0" w:color="auto"/>
        <w:left w:val="none" w:sz="0" w:space="0" w:color="auto"/>
        <w:bottom w:val="none" w:sz="0" w:space="0" w:color="auto"/>
        <w:right w:val="none" w:sz="0" w:space="0" w:color="auto"/>
      </w:divBdr>
    </w:div>
    <w:div w:id="1395666173">
      <w:bodyDiv w:val="1"/>
      <w:marLeft w:val="0"/>
      <w:marRight w:val="0"/>
      <w:marTop w:val="0"/>
      <w:marBottom w:val="0"/>
      <w:divBdr>
        <w:top w:val="none" w:sz="0" w:space="0" w:color="auto"/>
        <w:left w:val="none" w:sz="0" w:space="0" w:color="auto"/>
        <w:bottom w:val="none" w:sz="0" w:space="0" w:color="auto"/>
        <w:right w:val="none" w:sz="0" w:space="0" w:color="auto"/>
      </w:divBdr>
    </w:div>
    <w:div w:id="1396666244">
      <w:bodyDiv w:val="1"/>
      <w:marLeft w:val="0"/>
      <w:marRight w:val="0"/>
      <w:marTop w:val="0"/>
      <w:marBottom w:val="0"/>
      <w:divBdr>
        <w:top w:val="none" w:sz="0" w:space="0" w:color="auto"/>
        <w:left w:val="none" w:sz="0" w:space="0" w:color="auto"/>
        <w:bottom w:val="none" w:sz="0" w:space="0" w:color="auto"/>
        <w:right w:val="none" w:sz="0" w:space="0" w:color="auto"/>
      </w:divBdr>
    </w:div>
    <w:div w:id="1397242049">
      <w:bodyDiv w:val="1"/>
      <w:marLeft w:val="0"/>
      <w:marRight w:val="0"/>
      <w:marTop w:val="0"/>
      <w:marBottom w:val="0"/>
      <w:divBdr>
        <w:top w:val="none" w:sz="0" w:space="0" w:color="auto"/>
        <w:left w:val="none" w:sz="0" w:space="0" w:color="auto"/>
        <w:bottom w:val="none" w:sz="0" w:space="0" w:color="auto"/>
        <w:right w:val="none" w:sz="0" w:space="0" w:color="auto"/>
      </w:divBdr>
    </w:div>
    <w:div w:id="1398280090">
      <w:bodyDiv w:val="1"/>
      <w:marLeft w:val="0"/>
      <w:marRight w:val="0"/>
      <w:marTop w:val="0"/>
      <w:marBottom w:val="0"/>
      <w:divBdr>
        <w:top w:val="none" w:sz="0" w:space="0" w:color="auto"/>
        <w:left w:val="none" w:sz="0" w:space="0" w:color="auto"/>
        <w:bottom w:val="none" w:sz="0" w:space="0" w:color="auto"/>
        <w:right w:val="none" w:sz="0" w:space="0" w:color="auto"/>
      </w:divBdr>
    </w:div>
    <w:div w:id="1401053762">
      <w:bodyDiv w:val="1"/>
      <w:marLeft w:val="0"/>
      <w:marRight w:val="0"/>
      <w:marTop w:val="0"/>
      <w:marBottom w:val="0"/>
      <w:divBdr>
        <w:top w:val="none" w:sz="0" w:space="0" w:color="auto"/>
        <w:left w:val="none" w:sz="0" w:space="0" w:color="auto"/>
        <w:bottom w:val="none" w:sz="0" w:space="0" w:color="auto"/>
        <w:right w:val="none" w:sz="0" w:space="0" w:color="auto"/>
      </w:divBdr>
    </w:div>
    <w:div w:id="1402214931">
      <w:bodyDiv w:val="1"/>
      <w:marLeft w:val="0"/>
      <w:marRight w:val="0"/>
      <w:marTop w:val="0"/>
      <w:marBottom w:val="0"/>
      <w:divBdr>
        <w:top w:val="none" w:sz="0" w:space="0" w:color="auto"/>
        <w:left w:val="none" w:sz="0" w:space="0" w:color="auto"/>
        <w:bottom w:val="none" w:sz="0" w:space="0" w:color="auto"/>
        <w:right w:val="none" w:sz="0" w:space="0" w:color="auto"/>
      </w:divBdr>
    </w:div>
    <w:div w:id="1403064469">
      <w:bodyDiv w:val="1"/>
      <w:marLeft w:val="0"/>
      <w:marRight w:val="0"/>
      <w:marTop w:val="0"/>
      <w:marBottom w:val="0"/>
      <w:divBdr>
        <w:top w:val="none" w:sz="0" w:space="0" w:color="auto"/>
        <w:left w:val="none" w:sz="0" w:space="0" w:color="auto"/>
        <w:bottom w:val="none" w:sz="0" w:space="0" w:color="auto"/>
        <w:right w:val="none" w:sz="0" w:space="0" w:color="auto"/>
      </w:divBdr>
    </w:div>
    <w:div w:id="1404332280">
      <w:bodyDiv w:val="1"/>
      <w:marLeft w:val="0"/>
      <w:marRight w:val="0"/>
      <w:marTop w:val="0"/>
      <w:marBottom w:val="0"/>
      <w:divBdr>
        <w:top w:val="none" w:sz="0" w:space="0" w:color="auto"/>
        <w:left w:val="none" w:sz="0" w:space="0" w:color="auto"/>
        <w:bottom w:val="none" w:sz="0" w:space="0" w:color="auto"/>
        <w:right w:val="none" w:sz="0" w:space="0" w:color="auto"/>
      </w:divBdr>
    </w:div>
    <w:div w:id="1404599518">
      <w:bodyDiv w:val="1"/>
      <w:marLeft w:val="0"/>
      <w:marRight w:val="0"/>
      <w:marTop w:val="0"/>
      <w:marBottom w:val="0"/>
      <w:divBdr>
        <w:top w:val="none" w:sz="0" w:space="0" w:color="auto"/>
        <w:left w:val="none" w:sz="0" w:space="0" w:color="auto"/>
        <w:bottom w:val="none" w:sz="0" w:space="0" w:color="auto"/>
        <w:right w:val="none" w:sz="0" w:space="0" w:color="auto"/>
      </w:divBdr>
    </w:div>
    <w:div w:id="1406680037">
      <w:bodyDiv w:val="1"/>
      <w:marLeft w:val="0"/>
      <w:marRight w:val="0"/>
      <w:marTop w:val="0"/>
      <w:marBottom w:val="0"/>
      <w:divBdr>
        <w:top w:val="none" w:sz="0" w:space="0" w:color="auto"/>
        <w:left w:val="none" w:sz="0" w:space="0" w:color="auto"/>
        <w:bottom w:val="none" w:sz="0" w:space="0" w:color="auto"/>
        <w:right w:val="none" w:sz="0" w:space="0" w:color="auto"/>
      </w:divBdr>
    </w:div>
    <w:div w:id="1407415231">
      <w:bodyDiv w:val="1"/>
      <w:marLeft w:val="0"/>
      <w:marRight w:val="0"/>
      <w:marTop w:val="0"/>
      <w:marBottom w:val="0"/>
      <w:divBdr>
        <w:top w:val="none" w:sz="0" w:space="0" w:color="auto"/>
        <w:left w:val="none" w:sz="0" w:space="0" w:color="auto"/>
        <w:bottom w:val="none" w:sz="0" w:space="0" w:color="auto"/>
        <w:right w:val="none" w:sz="0" w:space="0" w:color="auto"/>
      </w:divBdr>
    </w:div>
    <w:div w:id="1407799315">
      <w:bodyDiv w:val="1"/>
      <w:marLeft w:val="0"/>
      <w:marRight w:val="0"/>
      <w:marTop w:val="0"/>
      <w:marBottom w:val="0"/>
      <w:divBdr>
        <w:top w:val="none" w:sz="0" w:space="0" w:color="auto"/>
        <w:left w:val="none" w:sz="0" w:space="0" w:color="auto"/>
        <w:bottom w:val="none" w:sz="0" w:space="0" w:color="auto"/>
        <w:right w:val="none" w:sz="0" w:space="0" w:color="auto"/>
      </w:divBdr>
    </w:div>
    <w:div w:id="1408578358">
      <w:bodyDiv w:val="1"/>
      <w:marLeft w:val="0"/>
      <w:marRight w:val="0"/>
      <w:marTop w:val="0"/>
      <w:marBottom w:val="0"/>
      <w:divBdr>
        <w:top w:val="none" w:sz="0" w:space="0" w:color="auto"/>
        <w:left w:val="none" w:sz="0" w:space="0" w:color="auto"/>
        <w:bottom w:val="none" w:sz="0" w:space="0" w:color="auto"/>
        <w:right w:val="none" w:sz="0" w:space="0" w:color="auto"/>
      </w:divBdr>
    </w:div>
    <w:div w:id="1408962059">
      <w:bodyDiv w:val="1"/>
      <w:marLeft w:val="0"/>
      <w:marRight w:val="0"/>
      <w:marTop w:val="0"/>
      <w:marBottom w:val="0"/>
      <w:divBdr>
        <w:top w:val="none" w:sz="0" w:space="0" w:color="auto"/>
        <w:left w:val="none" w:sz="0" w:space="0" w:color="auto"/>
        <w:bottom w:val="none" w:sz="0" w:space="0" w:color="auto"/>
        <w:right w:val="none" w:sz="0" w:space="0" w:color="auto"/>
      </w:divBdr>
    </w:div>
    <w:div w:id="1409229742">
      <w:bodyDiv w:val="1"/>
      <w:marLeft w:val="0"/>
      <w:marRight w:val="0"/>
      <w:marTop w:val="0"/>
      <w:marBottom w:val="0"/>
      <w:divBdr>
        <w:top w:val="none" w:sz="0" w:space="0" w:color="auto"/>
        <w:left w:val="none" w:sz="0" w:space="0" w:color="auto"/>
        <w:bottom w:val="none" w:sz="0" w:space="0" w:color="auto"/>
        <w:right w:val="none" w:sz="0" w:space="0" w:color="auto"/>
      </w:divBdr>
    </w:div>
    <w:div w:id="1409690148">
      <w:bodyDiv w:val="1"/>
      <w:marLeft w:val="0"/>
      <w:marRight w:val="0"/>
      <w:marTop w:val="0"/>
      <w:marBottom w:val="0"/>
      <w:divBdr>
        <w:top w:val="none" w:sz="0" w:space="0" w:color="auto"/>
        <w:left w:val="none" w:sz="0" w:space="0" w:color="auto"/>
        <w:bottom w:val="none" w:sz="0" w:space="0" w:color="auto"/>
        <w:right w:val="none" w:sz="0" w:space="0" w:color="auto"/>
      </w:divBdr>
    </w:div>
    <w:div w:id="1410930951">
      <w:bodyDiv w:val="1"/>
      <w:marLeft w:val="0"/>
      <w:marRight w:val="0"/>
      <w:marTop w:val="0"/>
      <w:marBottom w:val="0"/>
      <w:divBdr>
        <w:top w:val="none" w:sz="0" w:space="0" w:color="auto"/>
        <w:left w:val="none" w:sz="0" w:space="0" w:color="auto"/>
        <w:bottom w:val="none" w:sz="0" w:space="0" w:color="auto"/>
        <w:right w:val="none" w:sz="0" w:space="0" w:color="auto"/>
      </w:divBdr>
    </w:div>
    <w:div w:id="1412003926">
      <w:bodyDiv w:val="1"/>
      <w:marLeft w:val="0"/>
      <w:marRight w:val="0"/>
      <w:marTop w:val="0"/>
      <w:marBottom w:val="0"/>
      <w:divBdr>
        <w:top w:val="none" w:sz="0" w:space="0" w:color="auto"/>
        <w:left w:val="none" w:sz="0" w:space="0" w:color="auto"/>
        <w:bottom w:val="none" w:sz="0" w:space="0" w:color="auto"/>
        <w:right w:val="none" w:sz="0" w:space="0" w:color="auto"/>
      </w:divBdr>
    </w:div>
    <w:div w:id="1413626137">
      <w:bodyDiv w:val="1"/>
      <w:marLeft w:val="0"/>
      <w:marRight w:val="0"/>
      <w:marTop w:val="0"/>
      <w:marBottom w:val="0"/>
      <w:divBdr>
        <w:top w:val="none" w:sz="0" w:space="0" w:color="auto"/>
        <w:left w:val="none" w:sz="0" w:space="0" w:color="auto"/>
        <w:bottom w:val="none" w:sz="0" w:space="0" w:color="auto"/>
        <w:right w:val="none" w:sz="0" w:space="0" w:color="auto"/>
      </w:divBdr>
    </w:div>
    <w:div w:id="1414623473">
      <w:bodyDiv w:val="1"/>
      <w:marLeft w:val="0"/>
      <w:marRight w:val="0"/>
      <w:marTop w:val="0"/>
      <w:marBottom w:val="0"/>
      <w:divBdr>
        <w:top w:val="none" w:sz="0" w:space="0" w:color="auto"/>
        <w:left w:val="none" w:sz="0" w:space="0" w:color="auto"/>
        <w:bottom w:val="none" w:sz="0" w:space="0" w:color="auto"/>
        <w:right w:val="none" w:sz="0" w:space="0" w:color="auto"/>
      </w:divBdr>
    </w:div>
    <w:div w:id="1416247098">
      <w:bodyDiv w:val="1"/>
      <w:marLeft w:val="0"/>
      <w:marRight w:val="0"/>
      <w:marTop w:val="0"/>
      <w:marBottom w:val="0"/>
      <w:divBdr>
        <w:top w:val="none" w:sz="0" w:space="0" w:color="auto"/>
        <w:left w:val="none" w:sz="0" w:space="0" w:color="auto"/>
        <w:bottom w:val="none" w:sz="0" w:space="0" w:color="auto"/>
        <w:right w:val="none" w:sz="0" w:space="0" w:color="auto"/>
      </w:divBdr>
    </w:div>
    <w:div w:id="1416364194">
      <w:bodyDiv w:val="1"/>
      <w:marLeft w:val="0"/>
      <w:marRight w:val="0"/>
      <w:marTop w:val="0"/>
      <w:marBottom w:val="0"/>
      <w:divBdr>
        <w:top w:val="none" w:sz="0" w:space="0" w:color="auto"/>
        <w:left w:val="none" w:sz="0" w:space="0" w:color="auto"/>
        <w:bottom w:val="none" w:sz="0" w:space="0" w:color="auto"/>
        <w:right w:val="none" w:sz="0" w:space="0" w:color="auto"/>
      </w:divBdr>
    </w:div>
    <w:div w:id="1417088896">
      <w:bodyDiv w:val="1"/>
      <w:marLeft w:val="0"/>
      <w:marRight w:val="0"/>
      <w:marTop w:val="0"/>
      <w:marBottom w:val="0"/>
      <w:divBdr>
        <w:top w:val="none" w:sz="0" w:space="0" w:color="auto"/>
        <w:left w:val="none" w:sz="0" w:space="0" w:color="auto"/>
        <w:bottom w:val="none" w:sz="0" w:space="0" w:color="auto"/>
        <w:right w:val="none" w:sz="0" w:space="0" w:color="auto"/>
      </w:divBdr>
    </w:div>
    <w:div w:id="1421834347">
      <w:bodyDiv w:val="1"/>
      <w:marLeft w:val="0"/>
      <w:marRight w:val="0"/>
      <w:marTop w:val="0"/>
      <w:marBottom w:val="0"/>
      <w:divBdr>
        <w:top w:val="none" w:sz="0" w:space="0" w:color="auto"/>
        <w:left w:val="none" w:sz="0" w:space="0" w:color="auto"/>
        <w:bottom w:val="none" w:sz="0" w:space="0" w:color="auto"/>
        <w:right w:val="none" w:sz="0" w:space="0" w:color="auto"/>
      </w:divBdr>
    </w:div>
    <w:div w:id="1427770759">
      <w:bodyDiv w:val="1"/>
      <w:marLeft w:val="0"/>
      <w:marRight w:val="0"/>
      <w:marTop w:val="0"/>
      <w:marBottom w:val="0"/>
      <w:divBdr>
        <w:top w:val="none" w:sz="0" w:space="0" w:color="auto"/>
        <w:left w:val="none" w:sz="0" w:space="0" w:color="auto"/>
        <w:bottom w:val="none" w:sz="0" w:space="0" w:color="auto"/>
        <w:right w:val="none" w:sz="0" w:space="0" w:color="auto"/>
      </w:divBdr>
    </w:div>
    <w:div w:id="1428424666">
      <w:bodyDiv w:val="1"/>
      <w:marLeft w:val="0"/>
      <w:marRight w:val="0"/>
      <w:marTop w:val="0"/>
      <w:marBottom w:val="0"/>
      <w:divBdr>
        <w:top w:val="none" w:sz="0" w:space="0" w:color="auto"/>
        <w:left w:val="none" w:sz="0" w:space="0" w:color="auto"/>
        <w:bottom w:val="none" w:sz="0" w:space="0" w:color="auto"/>
        <w:right w:val="none" w:sz="0" w:space="0" w:color="auto"/>
      </w:divBdr>
    </w:div>
    <w:div w:id="1428427967">
      <w:bodyDiv w:val="1"/>
      <w:marLeft w:val="0"/>
      <w:marRight w:val="0"/>
      <w:marTop w:val="0"/>
      <w:marBottom w:val="0"/>
      <w:divBdr>
        <w:top w:val="none" w:sz="0" w:space="0" w:color="auto"/>
        <w:left w:val="none" w:sz="0" w:space="0" w:color="auto"/>
        <w:bottom w:val="none" w:sz="0" w:space="0" w:color="auto"/>
        <w:right w:val="none" w:sz="0" w:space="0" w:color="auto"/>
      </w:divBdr>
    </w:div>
    <w:div w:id="1429693015">
      <w:bodyDiv w:val="1"/>
      <w:marLeft w:val="0"/>
      <w:marRight w:val="0"/>
      <w:marTop w:val="0"/>
      <w:marBottom w:val="0"/>
      <w:divBdr>
        <w:top w:val="none" w:sz="0" w:space="0" w:color="auto"/>
        <w:left w:val="none" w:sz="0" w:space="0" w:color="auto"/>
        <w:bottom w:val="none" w:sz="0" w:space="0" w:color="auto"/>
        <w:right w:val="none" w:sz="0" w:space="0" w:color="auto"/>
      </w:divBdr>
    </w:div>
    <w:div w:id="1435859900">
      <w:bodyDiv w:val="1"/>
      <w:marLeft w:val="0"/>
      <w:marRight w:val="0"/>
      <w:marTop w:val="0"/>
      <w:marBottom w:val="0"/>
      <w:divBdr>
        <w:top w:val="none" w:sz="0" w:space="0" w:color="auto"/>
        <w:left w:val="none" w:sz="0" w:space="0" w:color="auto"/>
        <w:bottom w:val="none" w:sz="0" w:space="0" w:color="auto"/>
        <w:right w:val="none" w:sz="0" w:space="0" w:color="auto"/>
      </w:divBdr>
    </w:div>
    <w:div w:id="1438328972">
      <w:bodyDiv w:val="1"/>
      <w:marLeft w:val="0"/>
      <w:marRight w:val="0"/>
      <w:marTop w:val="0"/>
      <w:marBottom w:val="0"/>
      <w:divBdr>
        <w:top w:val="none" w:sz="0" w:space="0" w:color="auto"/>
        <w:left w:val="none" w:sz="0" w:space="0" w:color="auto"/>
        <w:bottom w:val="none" w:sz="0" w:space="0" w:color="auto"/>
        <w:right w:val="none" w:sz="0" w:space="0" w:color="auto"/>
      </w:divBdr>
    </w:div>
    <w:div w:id="1439643685">
      <w:bodyDiv w:val="1"/>
      <w:marLeft w:val="0"/>
      <w:marRight w:val="0"/>
      <w:marTop w:val="0"/>
      <w:marBottom w:val="0"/>
      <w:divBdr>
        <w:top w:val="none" w:sz="0" w:space="0" w:color="auto"/>
        <w:left w:val="none" w:sz="0" w:space="0" w:color="auto"/>
        <w:bottom w:val="none" w:sz="0" w:space="0" w:color="auto"/>
        <w:right w:val="none" w:sz="0" w:space="0" w:color="auto"/>
      </w:divBdr>
    </w:div>
    <w:div w:id="1440181077">
      <w:bodyDiv w:val="1"/>
      <w:marLeft w:val="0"/>
      <w:marRight w:val="0"/>
      <w:marTop w:val="0"/>
      <w:marBottom w:val="0"/>
      <w:divBdr>
        <w:top w:val="none" w:sz="0" w:space="0" w:color="auto"/>
        <w:left w:val="none" w:sz="0" w:space="0" w:color="auto"/>
        <w:bottom w:val="none" w:sz="0" w:space="0" w:color="auto"/>
        <w:right w:val="none" w:sz="0" w:space="0" w:color="auto"/>
      </w:divBdr>
    </w:div>
    <w:div w:id="1440761486">
      <w:bodyDiv w:val="1"/>
      <w:marLeft w:val="0"/>
      <w:marRight w:val="0"/>
      <w:marTop w:val="0"/>
      <w:marBottom w:val="0"/>
      <w:divBdr>
        <w:top w:val="none" w:sz="0" w:space="0" w:color="auto"/>
        <w:left w:val="none" w:sz="0" w:space="0" w:color="auto"/>
        <w:bottom w:val="none" w:sz="0" w:space="0" w:color="auto"/>
        <w:right w:val="none" w:sz="0" w:space="0" w:color="auto"/>
      </w:divBdr>
    </w:div>
    <w:div w:id="1442646014">
      <w:bodyDiv w:val="1"/>
      <w:marLeft w:val="0"/>
      <w:marRight w:val="0"/>
      <w:marTop w:val="0"/>
      <w:marBottom w:val="0"/>
      <w:divBdr>
        <w:top w:val="none" w:sz="0" w:space="0" w:color="auto"/>
        <w:left w:val="none" w:sz="0" w:space="0" w:color="auto"/>
        <w:bottom w:val="none" w:sz="0" w:space="0" w:color="auto"/>
        <w:right w:val="none" w:sz="0" w:space="0" w:color="auto"/>
      </w:divBdr>
    </w:div>
    <w:div w:id="1445538611">
      <w:bodyDiv w:val="1"/>
      <w:marLeft w:val="0"/>
      <w:marRight w:val="0"/>
      <w:marTop w:val="0"/>
      <w:marBottom w:val="0"/>
      <w:divBdr>
        <w:top w:val="none" w:sz="0" w:space="0" w:color="auto"/>
        <w:left w:val="none" w:sz="0" w:space="0" w:color="auto"/>
        <w:bottom w:val="none" w:sz="0" w:space="0" w:color="auto"/>
        <w:right w:val="none" w:sz="0" w:space="0" w:color="auto"/>
      </w:divBdr>
    </w:div>
    <w:div w:id="1445611804">
      <w:bodyDiv w:val="1"/>
      <w:marLeft w:val="0"/>
      <w:marRight w:val="0"/>
      <w:marTop w:val="0"/>
      <w:marBottom w:val="0"/>
      <w:divBdr>
        <w:top w:val="none" w:sz="0" w:space="0" w:color="auto"/>
        <w:left w:val="none" w:sz="0" w:space="0" w:color="auto"/>
        <w:bottom w:val="none" w:sz="0" w:space="0" w:color="auto"/>
        <w:right w:val="none" w:sz="0" w:space="0" w:color="auto"/>
      </w:divBdr>
    </w:div>
    <w:div w:id="1447776191">
      <w:bodyDiv w:val="1"/>
      <w:marLeft w:val="0"/>
      <w:marRight w:val="0"/>
      <w:marTop w:val="0"/>
      <w:marBottom w:val="0"/>
      <w:divBdr>
        <w:top w:val="none" w:sz="0" w:space="0" w:color="auto"/>
        <w:left w:val="none" w:sz="0" w:space="0" w:color="auto"/>
        <w:bottom w:val="none" w:sz="0" w:space="0" w:color="auto"/>
        <w:right w:val="none" w:sz="0" w:space="0" w:color="auto"/>
      </w:divBdr>
    </w:div>
    <w:div w:id="1448425464">
      <w:bodyDiv w:val="1"/>
      <w:marLeft w:val="0"/>
      <w:marRight w:val="0"/>
      <w:marTop w:val="0"/>
      <w:marBottom w:val="0"/>
      <w:divBdr>
        <w:top w:val="none" w:sz="0" w:space="0" w:color="auto"/>
        <w:left w:val="none" w:sz="0" w:space="0" w:color="auto"/>
        <w:bottom w:val="none" w:sz="0" w:space="0" w:color="auto"/>
        <w:right w:val="none" w:sz="0" w:space="0" w:color="auto"/>
      </w:divBdr>
    </w:div>
    <w:div w:id="1451049702">
      <w:bodyDiv w:val="1"/>
      <w:marLeft w:val="0"/>
      <w:marRight w:val="0"/>
      <w:marTop w:val="0"/>
      <w:marBottom w:val="0"/>
      <w:divBdr>
        <w:top w:val="none" w:sz="0" w:space="0" w:color="auto"/>
        <w:left w:val="none" w:sz="0" w:space="0" w:color="auto"/>
        <w:bottom w:val="none" w:sz="0" w:space="0" w:color="auto"/>
        <w:right w:val="none" w:sz="0" w:space="0" w:color="auto"/>
      </w:divBdr>
    </w:div>
    <w:div w:id="1451627919">
      <w:bodyDiv w:val="1"/>
      <w:marLeft w:val="0"/>
      <w:marRight w:val="0"/>
      <w:marTop w:val="0"/>
      <w:marBottom w:val="0"/>
      <w:divBdr>
        <w:top w:val="none" w:sz="0" w:space="0" w:color="auto"/>
        <w:left w:val="none" w:sz="0" w:space="0" w:color="auto"/>
        <w:bottom w:val="none" w:sz="0" w:space="0" w:color="auto"/>
        <w:right w:val="none" w:sz="0" w:space="0" w:color="auto"/>
      </w:divBdr>
    </w:div>
    <w:div w:id="1462722072">
      <w:bodyDiv w:val="1"/>
      <w:marLeft w:val="0"/>
      <w:marRight w:val="0"/>
      <w:marTop w:val="0"/>
      <w:marBottom w:val="0"/>
      <w:divBdr>
        <w:top w:val="none" w:sz="0" w:space="0" w:color="auto"/>
        <w:left w:val="none" w:sz="0" w:space="0" w:color="auto"/>
        <w:bottom w:val="none" w:sz="0" w:space="0" w:color="auto"/>
        <w:right w:val="none" w:sz="0" w:space="0" w:color="auto"/>
      </w:divBdr>
    </w:div>
    <w:div w:id="1464999047">
      <w:bodyDiv w:val="1"/>
      <w:marLeft w:val="0"/>
      <w:marRight w:val="0"/>
      <w:marTop w:val="0"/>
      <w:marBottom w:val="0"/>
      <w:divBdr>
        <w:top w:val="none" w:sz="0" w:space="0" w:color="auto"/>
        <w:left w:val="none" w:sz="0" w:space="0" w:color="auto"/>
        <w:bottom w:val="none" w:sz="0" w:space="0" w:color="auto"/>
        <w:right w:val="none" w:sz="0" w:space="0" w:color="auto"/>
      </w:divBdr>
    </w:div>
    <w:div w:id="1465538760">
      <w:bodyDiv w:val="1"/>
      <w:marLeft w:val="0"/>
      <w:marRight w:val="0"/>
      <w:marTop w:val="0"/>
      <w:marBottom w:val="0"/>
      <w:divBdr>
        <w:top w:val="none" w:sz="0" w:space="0" w:color="auto"/>
        <w:left w:val="none" w:sz="0" w:space="0" w:color="auto"/>
        <w:bottom w:val="none" w:sz="0" w:space="0" w:color="auto"/>
        <w:right w:val="none" w:sz="0" w:space="0" w:color="auto"/>
      </w:divBdr>
    </w:div>
    <w:div w:id="1466116087">
      <w:bodyDiv w:val="1"/>
      <w:marLeft w:val="0"/>
      <w:marRight w:val="0"/>
      <w:marTop w:val="0"/>
      <w:marBottom w:val="0"/>
      <w:divBdr>
        <w:top w:val="none" w:sz="0" w:space="0" w:color="auto"/>
        <w:left w:val="none" w:sz="0" w:space="0" w:color="auto"/>
        <w:bottom w:val="none" w:sz="0" w:space="0" w:color="auto"/>
        <w:right w:val="none" w:sz="0" w:space="0" w:color="auto"/>
      </w:divBdr>
    </w:div>
    <w:div w:id="1469975132">
      <w:bodyDiv w:val="1"/>
      <w:marLeft w:val="0"/>
      <w:marRight w:val="0"/>
      <w:marTop w:val="0"/>
      <w:marBottom w:val="0"/>
      <w:divBdr>
        <w:top w:val="none" w:sz="0" w:space="0" w:color="auto"/>
        <w:left w:val="none" w:sz="0" w:space="0" w:color="auto"/>
        <w:bottom w:val="none" w:sz="0" w:space="0" w:color="auto"/>
        <w:right w:val="none" w:sz="0" w:space="0" w:color="auto"/>
      </w:divBdr>
    </w:div>
    <w:div w:id="1471366179">
      <w:bodyDiv w:val="1"/>
      <w:marLeft w:val="0"/>
      <w:marRight w:val="0"/>
      <w:marTop w:val="0"/>
      <w:marBottom w:val="0"/>
      <w:divBdr>
        <w:top w:val="none" w:sz="0" w:space="0" w:color="auto"/>
        <w:left w:val="none" w:sz="0" w:space="0" w:color="auto"/>
        <w:bottom w:val="none" w:sz="0" w:space="0" w:color="auto"/>
        <w:right w:val="none" w:sz="0" w:space="0" w:color="auto"/>
      </w:divBdr>
    </w:div>
    <w:div w:id="1472595382">
      <w:bodyDiv w:val="1"/>
      <w:marLeft w:val="0"/>
      <w:marRight w:val="0"/>
      <w:marTop w:val="0"/>
      <w:marBottom w:val="0"/>
      <w:divBdr>
        <w:top w:val="none" w:sz="0" w:space="0" w:color="auto"/>
        <w:left w:val="none" w:sz="0" w:space="0" w:color="auto"/>
        <w:bottom w:val="none" w:sz="0" w:space="0" w:color="auto"/>
        <w:right w:val="none" w:sz="0" w:space="0" w:color="auto"/>
      </w:divBdr>
    </w:div>
    <w:div w:id="1473255261">
      <w:bodyDiv w:val="1"/>
      <w:marLeft w:val="0"/>
      <w:marRight w:val="0"/>
      <w:marTop w:val="0"/>
      <w:marBottom w:val="0"/>
      <w:divBdr>
        <w:top w:val="none" w:sz="0" w:space="0" w:color="auto"/>
        <w:left w:val="none" w:sz="0" w:space="0" w:color="auto"/>
        <w:bottom w:val="none" w:sz="0" w:space="0" w:color="auto"/>
        <w:right w:val="none" w:sz="0" w:space="0" w:color="auto"/>
      </w:divBdr>
    </w:div>
    <w:div w:id="1473910291">
      <w:bodyDiv w:val="1"/>
      <w:marLeft w:val="0"/>
      <w:marRight w:val="0"/>
      <w:marTop w:val="0"/>
      <w:marBottom w:val="0"/>
      <w:divBdr>
        <w:top w:val="none" w:sz="0" w:space="0" w:color="auto"/>
        <w:left w:val="none" w:sz="0" w:space="0" w:color="auto"/>
        <w:bottom w:val="none" w:sz="0" w:space="0" w:color="auto"/>
        <w:right w:val="none" w:sz="0" w:space="0" w:color="auto"/>
      </w:divBdr>
    </w:div>
    <w:div w:id="1474564661">
      <w:bodyDiv w:val="1"/>
      <w:marLeft w:val="0"/>
      <w:marRight w:val="0"/>
      <w:marTop w:val="0"/>
      <w:marBottom w:val="0"/>
      <w:divBdr>
        <w:top w:val="none" w:sz="0" w:space="0" w:color="auto"/>
        <w:left w:val="none" w:sz="0" w:space="0" w:color="auto"/>
        <w:bottom w:val="none" w:sz="0" w:space="0" w:color="auto"/>
        <w:right w:val="none" w:sz="0" w:space="0" w:color="auto"/>
      </w:divBdr>
    </w:div>
    <w:div w:id="1475218111">
      <w:bodyDiv w:val="1"/>
      <w:marLeft w:val="0"/>
      <w:marRight w:val="0"/>
      <w:marTop w:val="0"/>
      <w:marBottom w:val="0"/>
      <w:divBdr>
        <w:top w:val="none" w:sz="0" w:space="0" w:color="auto"/>
        <w:left w:val="none" w:sz="0" w:space="0" w:color="auto"/>
        <w:bottom w:val="none" w:sz="0" w:space="0" w:color="auto"/>
        <w:right w:val="none" w:sz="0" w:space="0" w:color="auto"/>
      </w:divBdr>
    </w:div>
    <w:div w:id="1481003251">
      <w:bodyDiv w:val="1"/>
      <w:marLeft w:val="0"/>
      <w:marRight w:val="0"/>
      <w:marTop w:val="0"/>
      <w:marBottom w:val="0"/>
      <w:divBdr>
        <w:top w:val="none" w:sz="0" w:space="0" w:color="auto"/>
        <w:left w:val="none" w:sz="0" w:space="0" w:color="auto"/>
        <w:bottom w:val="none" w:sz="0" w:space="0" w:color="auto"/>
        <w:right w:val="none" w:sz="0" w:space="0" w:color="auto"/>
      </w:divBdr>
    </w:div>
    <w:div w:id="1481189987">
      <w:bodyDiv w:val="1"/>
      <w:marLeft w:val="0"/>
      <w:marRight w:val="0"/>
      <w:marTop w:val="0"/>
      <w:marBottom w:val="0"/>
      <w:divBdr>
        <w:top w:val="none" w:sz="0" w:space="0" w:color="auto"/>
        <w:left w:val="none" w:sz="0" w:space="0" w:color="auto"/>
        <w:bottom w:val="none" w:sz="0" w:space="0" w:color="auto"/>
        <w:right w:val="none" w:sz="0" w:space="0" w:color="auto"/>
      </w:divBdr>
    </w:div>
    <w:div w:id="1488284877">
      <w:bodyDiv w:val="1"/>
      <w:marLeft w:val="0"/>
      <w:marRight w:val="0"/>
      <w:marTop w:val="0"/>
      <w:marBottom w:val="0"/>
      <w:divBdr>
        <w:top w:val="none" w:sz="0" w:space="0" w:color="auto"/>
        <w:left w:val="none" w:sz="0" w:space="0" w:color="auto"/>
        <w:bottom w:val="none" w:sz="0" w:space="0" w:color="auto"/>
        <w:right w:val="none" w:sz="0" w:space="0" w:color="auto"/>
      </w:divBdr>
    </w:div>
    <w:div w:id="1490361613">
      <w:bodyDiv w:val="1"/>
      <w:marLeft w:val="0"/>
      <w:marRight w:val="0"/>
      <w:marTop w:val="0"/>
      <w:marBottom w:val="0"/>
      <w:divBdr>
        <w:top w:val="none" w:sz="0" w:space="0" w:color="auto"/>
        <w:left w:val="none" w:sz="0" w:space="0" w:color="auto"/>
        <w:bottom w:val="none" w:sz="0" w:space="0" w:color="auto"/>
        <w:right w:val="none" w:sz="0" w:space="0" w:color="auto"/>
      </w:divBdr>
    </w:div>
    <w:div w:id="1491676021">
      <w:bodyDiv w:val="1"/>
      <w:marLeft w:val="0"/>
      <w:marRight w:val="0"/>
      <w:marTop w:val="0"/>
      <w:marBottom w:val="0"/>
      <w:divBdr>
        <w:top w:val="none" w:sz="0" w:space="0" w:color="auto"/>
        <w:left w:val="none" w:sz="0" w:space="0" w:color="auto"/>
        <w:bottom w:val="none" w:sz="0" w:space="0" w:color="auto"/>
        <w:right w:val="none" w:sz="0" w:space="0" w:color="auto"/>
      </w:divBdr>
    </w:div>
    <w:div w:id="1493133019">
      <w:bodyDiv w:val="1"/>
      <w:marLeft w:val="0"/>
      <w:marRight w:val="0"/>
      <w:marTop w:val="0"/>
      <w:marBottom w:val="0"/>
      <w:divBdr>
        <w:top w:val="none" w:sz="0" w:space="0" w:color="auto"/>
        <w:left w:val="none" w:sz="0" w:space="0" w:color="auto"/>
        <w:bottom w:val="none" w:sz="0" w:space="0" w:color="auto"/>
        <w:right w:val="none" w:sz="0" w:space="0" w:color="auto"/>
      </w:divBdr>
    </w:div>
    <w:div w:id="1493447931">
      <w:bodyDiv w:val="1"/>
      <w:marLeft w:val="0"/>
      <w:marRight w:val="0"/>
      <w:marTop w:val="0"/>
      <w:marBottom w:val="0"/>
      <w:divBdr>
        <w:top w:val="none" w:sz="0" w:space="0" w:color="auto"/>
        <w:left w:val="none" w:sz="0" w:space="0" w:color="auto"/>
        <w:bottom w:val="none" w:sz="0" w:space="0" w:color="auto"/>
        <w:right w:val="none" w:sz="0" w:space="0" w:color="auto"/>
      </w:divBdr>
    </w:div>
    <w:div w:id="1495297097">
      <w:bodyDiv w:val="1"/>
      <w:marLeft w:val="0"/>
      <w:marRight w:val="0"/>
      <w:marTop w:val="0"/>
      <w:marBottom w:val="0"/>
      <w:divBdr>
        <w:top w:val="none" w:sz="0" w:space="0" w:color="auto"/>
        <w:left w:val="none" w:sz="0" w:space="0" w:color="auto"/>
        <w:bottom w:val="none" w:sz="0" w:space="0" w:color="auto"/>
        <w:right w:val="none" w:sz="0" w:space="0" w:color="auto"/>
      </w:divBdr>
    </w:div>
    <w:div w:id="1496796009">
      <w:bodyDiv w:val="1"/>
      <w:marLeft w:val="0"/>
      <w:marRight w:val="0"/>
      <w:marTop w:val="0"/>
      <w:marBottom w:val="0"/>
      <w:divBdr>
        <w:top w:val="none" w:sz="0" w:space="0" w:color="auto"/>
        <w:left w:val="none" w:sz="0" w:space="0" w:color="auto"/>
        <w:bottom w:val="none" w:sz="0" w:space="0" w:color="auto"/>
        <w:right w:val="none" w:sz="0" w:space="0" w:color="auto"/>
      </w:divBdr>
    </w:div>
    <w:div w:id="1497574120">
      <w:bodyDiv w:val="1"/>
      <w:marLeft w:val="0"/>
      <w:marRight w:val="0"/>
      <w:marTop w:val="0"/>
      <w:marBottom w:val="0"/>
      <w:divBdr>
        <w:top w:val="none" w:sz="0" w:space="0" w:color="auto"/>
        <w:left w:val="none" w:sz="0" w:space="0" w:color="auto"/>
        <w:bottom w:val="none" w:sz="0" w:space="0" w:color="auto"/>
        <w:right w:val="none" w:sz="0" w:space="0" w:color="auto"/>
      </w:divBdr>
    </w:div>
    <w:div w:id="1497769665">
      <w:bodyDiv w:val="1"/>
      <w:marLeft w:val="0"/>
      <w:marRight w:val="0"/>
      <w:marTop w:val="0"/>
      <w:marBottom w:val="0"/>
      <w:divBdr>
        <w:top w:val="none" w:sz="0" w:space="0" w:color="auto"/>
        <w:left w:val="none" w:sz="0" w:space="0" w:color="auto"/>
        <w:bottom w:val="none" w:sz="0" w:space="0" w:color="auto"/>
        <w:right w:val="none" w:sz="0" w:space="0" w:color="auto"/>
      </w:divBdr>
    </w:div>
    <w:div w:id="1498691155">
      <w:bodyDiv w:val="1"/>
      <w:marLeft w:val="0"/>
      <w:marRight w:val="0"/>
      <w:marTop w:val="0"/>
      <w:marBottom w:val="0"/>
      <w:divBdr>
        <w:top w:val="none" w:sz="0" w:space="0" w:color="auto"/>
        <w:left w:val="none" w:sz="0" w:space="0" w:color="auto"/>
        <w:bottom w:val="none" w:sz="0" w:space="0" w:color="auto"/>
        <w:right w:val="none" w:sz="0" w:space="0" w:color="auto"/>
      </w:divBdr>
    </w:div>
    <w:div w:id="1499075315">
      <w:bodyDiv w:val="1"/>
      <w:marLeft w:val="0"/>
      <w:marRight w:val="0"/>
      <w:marTop w:val="0"/>
      <w:marBottom w:val="0"/>
      <w:divBdr>
        <w:top w:val="none" w:sz="0" w:space="0" w:color="auto"/>
        <w:left w:val="none" w:sz="0" w:space="0" w:color="auto"/>
        <w:bottom w:val="none" w:sz="0" w:space="0" w:color="auto"/>
        <w:right w:val="none" w:sz="0" w:space="0" w:color="auto"/>
      </w:divBdr>
    </w:div>
    <w:div w:id="1499232004">
      <w:bodyDiv w:val="1"/>
      <w:marLeft w:val="0"/>
      <w:marRight w:val="0"/>
      <w:marTop w:val="0"/>
      <w:marBottom w:val="0"/>
      <w:divBdr>
        <w:top w:val="none" w:sz="0" w:space="0" w:color="auto"/>
        <w:left w:val="none" w:sz="0" w:space="0" w:color="auto"/>
        <w:bottom w:val="none" w:sz="0" w:space="0" w:color="auto"/>
        <w:right w:val="none" w:sz="0" w:space="0" w:color="auto"/>
      </w:divBdr>
    </w:div>
    <w:div w:id="1499803172">
      <w:bodyDiv w:val="1"/>
      <w:marLeft w:val="0"/>
      <w:marRight w:val="0"/>
      <w:marTop w:val="0"/>
      <w:marBottom w:val="0"/>
      <w:divBdr>
        <w:top w:val="none" w:sz="0" w:space="0" w:color="auto"/>
        <w:left w:val="none" w:sz="0" w:space="0" w:color="auto"/>
        <w:bottom w:val="none" w:sz="0" w:space="0" w:color="auto"/>
        <w:right w:val="none" w:sz="0" w:space="0" w:color="auto"/>
      </w:divBdr>
    </w:div>
    <w:div w:id="1504585736">
      <w:bodyDiv w:val="1"/>
      <w:marLeft w:val="0"/>
      <w:marRight w:val="0"/>
      <w:marTop w:val="0"/>
      <w:marBottom w:val="0"/>
      <w:divBdr>
        <w:top w:val="none" w:sz="0" w:space="0" w:color="auto"/>
        <w:left w:val="none" w:sz="0" w:space="0" w:color="auto"/>
        <w:bottom w:val="none" w:sz="0" w:space="0" w:color="auto"/>
        <w:right w:val="none" w:sz="0" w:space="0" w:color="auto"/>
      </w:divBdr>
    </w:div>
    <w:div w:id="1505897807">
      <w:bodyDiv w:val="1"/>
      <w:marLeft w:val="0"/>
      <w:marRight w:val="0"/>
      <w:marTop w:val="0"/>
      <w:marBottom w:val="0"/>
      <w:divBdr>
        <w:top w:val="none" w:sz="0" w:space="0" w:color="auto"/>
        <w:left w:val="none" w:sz="0" w:space="0" w:color="auto"/>
        <w:bottom w:val="none" w:sz="0" w:space="0" w:color="auto"/>
        <w:right w:val="none" w:sz="0" w:space="0" w:color="auto"/>
      </w:divBdr>
    </w:div>
    <w:div w:id="1506281500">
      <w:bodyDiv w:val="1"/>
      <w:marLeft w:val="0"/>
      <w:marRight w:val="0"/>
      <w:marTop w:val="0"/>
      <w:marBottom w:val="0"/>
      <w:divBdr>
        <w:top w:val="none" w:sz="0" w:space="0" w:color="auto"/>
        <w:left w:val="none" w:sz="0" w:space="0" w:color="auto"/>
        <w:bottom w:val="none" w:sz="0" w:space="0" w:color="auto"/>
        <w:right w:val="none" w:sz="0" w:space="0" w:color="auto"/>
      </w:divBdr>
    </w:div>
    <w:div w:id="1506287108">
      <w:bodyDiv w:val="1"/>
      <w:marLeft w:val="0"/>
      <w:marRight w:val="0"/>
      <w:marTop w:val="0"/>
      <w:marBottom w:val="0"/>
      <w:divBdr>
        <w:top w:val="none" w:sz="0" w:space="0" w:color="auto"/>
        <w:left w:val="none" w:sz="0" w:space="0" w:color="auto"/>
        <w:bottom w:val="none" w:sz="0" w:space="0" w:color="auto"/>
        <w:right w:val="none" w:sz="0" w:space="0" w:color="auto"/>
      </w:divBdr>
    </w:div>
    <w:div w:id="1510023131">
      <w:bodyDiv w:val="1"/>
      <w:marLeft w:val="0"/>
      <w:marRight w:val="0"/>
      <w:marTop w:val="0"/>
      <w:marBottom w:val="0"/>
      <w:divBdr>
        <w:top w:val="none" w:sz="0" w:space="0" w:color="auto"/>
        <w:left w:val="none" w:sz="0" w:space="0" w:color="auto"/>
        <w:bottom w:val="none" w:sz="0" w:space="0" w:color="auto"/>
        <w:right w:val="none" w:sz="0" w:space="0" w:color="auto"/>
      </w:divBdr>
    </w:div>
    <w:div w:id="1510362785">
      <w:bodyDiv w:val="1"/>
      <w:marLeft w:val="0"/>
      <w:marRight w:val="0"/>
      <w:marTop w:val="0"/>
      <w:marBottom w:val="0"/>
      <w:divBdr>
        <w:top w:val="none" w:sz="0" w:space="0" w:color="auto"/>
        <w:left w:val="none" w:sz="0" w:space="0" w:color="auto"/>
        <w:bottom w:val="none" w:sz="0" w:space="0" w:color="auto"/>
        <w:right w:val="none" w:sz="0" w:space="0" w:color="auto"/>
      </w:divBdr>
    </w:div>
    <w:div w:id="1513031245">
      <w:bodyDiv w:val="1"/>
      <w:marLeft w:val="0"/>
      <w:marRight w:val="0"/>
      <w:marTop w:val="0"/>
      <w:marBottom w:val="0"/>
      <w:divBdr>
        <w:top w:val="none" w:sz="0" w:space="0" w:color="auto"/>
        <w:left w:val="none" w:sz="0" w:space="0" w:color="auto"/>
        <w:bottom w:val="none" w:sz="0" w:space="0" w:color="auto"/>
        <w:right w:val="none" w:sz="0" w:space="0" w:color="auto"/>
      </w:divBdr>
    </w:div>
    <w:div w:id="1513447914">
      <w:bodyDiv w:val="1"/>
      <w:marLeft w:val="0"/>
      <w:marRight w:val="0"/>
      <w:marTop w:val="0"/>
      <w:marBottom w:val="0"/>
      <w:divBdr>
        <w:top w:val="none" w:sz="0" w:space="0" w:color="auto"/>
        <w:left w:val="none" w:sz="0" w:space="0" w:color="auto"/>
        <w:bottom w:val="none" w:sz="0" w:space="0" w:color="auto"/>
        <w:right w:val="none" w:sz="0" w:space="0" w:color="auto"/>
      </w:divBdr>
    </w:div>
    <w:div w:id="1513910180">
      <w:bodyDiv w:val="1"/>
      <w:marLeft w:val="0"/>
      <w:marRight w:val="0"/>
      <w:marTop w:val="0"/>
      <w:marBottom w:val="0"/>
      <w:divBdr>
        <w:top w:val="none" w:sz="0" w:space="0" w:color="auto"/>
        <w:left w:val="none" w:sz="0" w:space="0" w:color="auto"/>
        <w:bottom w:val="none" w:sz="0" w:space="0" w:color="auto"/>
        <w:right w:val="none" w:sz="0" w:space="0" w:color="auto"/>
      </w:divBdr>
    </w:div>
    <w:div w:id="1514880087">
      <w:bodyDiv w:val="1"/>
      <w:marLeft w:val="0"/>
      <w:marRight w:val="0"/>
      <w:marTop w:val="0"/>
      <w:marBottom w:val="0"/>
      <w:divBdr>
        <w:top w:val="none" w:sz="0" w:space="0" w:color="auto"/>
        <w:left w:val="none" w:sz="0" w:space="0" w:color="auto"/>
        <w:bottom w:val="none" w:sz="0" w:space="0" w:color="auto"/>
        <w:right w:val="none" w:sz="0" w:space="0" w:color="auto"/>
      </w:divBdr>
    </w:div>
    <w:div w:id="1517307669">
      <w:bodyDiv w:val="1"/>
      <w:marLeft w:val="0"/>
      <w:marRight w:val="0"/>
      <w:marTop w:val="0"/>
      <w:marBottom w:val="0"/>
      <w:divBdr>
        <w:top w:val="none" w:sz="0" w:space="0" w:color="auto"/>
        <w:left w:val="none" w:sz="0" w:space="0" w:color="auto"/>
        <w:bottom w:val="none" w:sz="0" w:space="0" w:color="auto"/>
        <w:right w:val="none" w:sz="0" w:space="0" w:color="auto"/>
      </w:divBdr>
    </w:div>
    <w:div w:id="1523014601">
      <w:bodyDiv w:val="1"/>
      <w:marLeft w:val="0"/>
      <w:marRight w:val="0"/>
      <w:marTop w:val="0"/>
      <w:marBottom w:val="0"/>
      <w:divBdr>
        <w:top w:val="none" w:sz="0" w:space="0" w:color="auto"/>
        <w:left w:val="none" w:sz="0" w:space="0" w:color="auto"/>
        <w:bottom w:val="none" w:sz="0" w:space="0" w:color="auto"/>
        <w:right w:val="none" w:sz="0" w:space="0" w:color="auto"/>
      </w:divBdr>
    </w:div>
    <w:div w:id="1523395266">
      <w:bodyDiv w:val="1"/>
      <w:marLeft w:val="0"/>
      <w:marRight w:val="0"/>
      <w:marTop w:val="0"/>
      <w:marBottom w:val="0"/>
      <w:divBdr>
        <w:top w:val="none" w:sz="0" w:space="0" w:color="auto"/>
        <w:left w:val="none" w:sz="0" w:space="0" w:color="auto"/>
        <w:bottom w:val="none" w:sz="0" w:space="0" w:color="auto"/>
        <w:right w:val="none" w:sz="0" w:space="0" w:color="auto"/>
      </w:divBdr>
    </w:div>
    <w:div w:id="1526477242">
      <w:bodyDiv w:val="1"/>
      <w:marLeft w:val="0"/>
      <w:marRight w:val="0"/>
      <w:marTop w:val="0"/>
      <w:marBottom w:val="0"/>
      <w:divBdr>
        <w:top w:val="none" w:sz="0" w:space="0" w:color="auto"/>
        <w:left w:val="none" w:sz="0" w:space="0" w:color="auto"/>
        <w:bottom w:val="none" w:sz="0" w:space="0" w:color="auto"/>
        <w:right w:val="none" w:sz="0" w:space="0" w:color="auto"/>
      </w:divBdr>
    </w:div>
    <w:div w:id="1529417794">
      <w:bodyDiv w:val="1"/>
      <w:marLeft w:val="0"/>
      <w:marRight w:val="0"/>
      <w:marTop w:val="0"/>
      <w:marBottom w:val="0"/>
      <w:divBdr>
        <w:top w:val="none" w:sz="0" w:space="0" w:color="auto"/>
        <w:left w:val="none" w:sz="0" w:space="0" w:color="auto"/>
        <w:bottom w:val="none" w:sz="0" w:space="0" w:color="auto"/>
        <w:right w:val="none" w:sz="0" w:space="0" w:color="auto"/>
      </w:divBdr>
    </w:div>
    <w:div w:id="1530952389">
      <w:bodyDiv w:val="1"/>
      <w:marLeft w:val="0"/>
      <w:marRight w:val="0"/>
      <w:marTop w:val="0"/>
      <w:marBottom w:val="0"/>
      <w:divBdr>
        <w:top w:val="none" w:sz="0" w:space="0" w:color="auto"/>
        <w:left w:val="none" w:sz="0" w:space="0" w:color="auto"/>
        <w:bottom w:val="none" w:sz="0" w:space="0" w:color="auto"/>
        <w:right w:val="none" w:sz="0" w:space="0" w:color="auto"/>
      </w:divBdr>
    </w:div>
    <w:div w:id="1532722781">
      <w:bodyDiv w:val="1"/>
      <w:marLeft w:val="0"/>
      <w:marRight w:val="0"/>
      <w:marTop w:val="0"/>
      <w:marBottom w:val="0"/>
      <w:divBdr>
        <w:top w:val="none" w:sz="0" w:space="0" w:color="auto"/>
        <w:left w:val="none" w:sz="0" w:space="0" w:color="auto"/>
        <w:bottom w:val="none" w:sz="0" w:space="0" w:color="auto"/>
        <w:right w:val="none" w:sz="0" w:space="0" w:color="auto"/>
      </w:divBdr>
    </w:div>
    <w:div w:id="1534148540">
      <w:bodyDiv w:val="1"/>
      <w:marLeft w:val="0"/>
      <w:marRight w:val="0"/>
      <w:marTop w:val="0"/>
      <w:marBottom w:val="0"/>
      <w:divBdr>
        <w:top w:val="none" w:sz="0" w:space="0" w:color="auto"/>
        <w:left w:val="none" w:sz="0" w:space="0" w:color="auto"/>
        <w:bottom w:val="none" w:sz="0" w:space="0" w:color="auto"/>
        <w:right w:val="none" w:sz="0" w:space="0" w:color="auto"/>
      </w:divBdr>
    </w:div>
    <w:div w:id="1534415223">
      <w:bodyDiv w:val="1"/>
      <w:marLeft w:val="0"/>
      <w:marRight w:val="0"/>
      <w:marTop w:val="0"/>
      <w:marBottom w:val="0"/>
      <w:divBdr>
        <w:top w:val="none" w:sz="0" w:space="0" w:color="auto"/>
        <w:left w:val="none" w:sz="0" w:space="0" w:color="auto"/>
        <w:bottom w:val="none" w:sz="0" w:space="0" w:color="auto"/>
        <w:right w:val="none" w:sz="0" w:space="0" w:color="auto"/>
      </w:divBdr>
    </w:div>
    <w:div w:id="1535265554">
      <w:bodyDiv w:val="1"/>
      <w:marLeft w:val="0"/>
      <w:marRight w:val="0"/>
      <w:marTop w:val="0"/>
      <w:marBottom w:val="0"/>
      <w:divBdr>
        <w:top w:val="none" w:sz="0" w:space="0" w:color="auto"/>
        <w:left w:val="none" w:sz="0" w:space="0" w:color="auto"/>
        <w:bottom w:val="none" w:sz="0" w:space="0" w:color="auto"/>
        <w:right w:val="none" w:sz="0" w:space="0" w:color="auto"/>
      </w:divBdr>
    </w:div>
    <w:div w:id="1535843055">
      <w:bodyDiv w:val="1"/>
      <w:marLeft w:val="0"/>
      <w:marRight w:val="0"/>
      <w:marTop w:val="0"/>
      <w:marBottom w:val="0"/>
      <w:divBdr>
        <w:top w:val="none" w:sz="0" w:space="0" w:color="auto"/>
        <w:left w:val="none" w:sz="0" w:space="0" w:color="auto"/>
        <w:bottom w:val="none" w:sz="0" w:space="0" w:color="auto"/>
        <w:right w:val="none" w:sz="0" w:space="0" w:color="auto"/>
      </w:divBdr>
    </w:div>
    <w:div w:id="1537698294">
      <w:bodyDiv w:val="1"/>
      <w:marLeft w:val="0"/>
      <w:marRight w:val="0"/>
      <w:marTop w:val="0"/>
      <w:marBottom w:val="0"/>
      <w:divBdr>
        <w:top w:val="none" w:sz="0" w:space="0" w:color="auto"/>
        <w:left w:val="none" w:sz="0" w:space="0" w:color="auto"/>
        <w:bottom w:val="none" w:sz="0" w:space="0" w:color="auto"/>
        <w:right w:val="none" w:sz="0" w:space="0" w:color="auto"/>
      </w:divBdr>
    </w:div>
    <w:div w:id="1538347889">
      <w:bodyDiv w:val="1"/>
      <w:marLeft w:val="0"/>
      <w:marRight w:val="0"/>
      <w:marTop w:val="0"/>
      <w:marBottom w:val="0"/>
      <w:divBdr>
        <w:top w:val="none" w:sz="0" w:space="0" w:color="auto"/>
        <w:left w:val="none" w:sz="0" w:space="0" w:color="auto"/>
        <w:bottom w:val="none" w:sz="0" w:space="0" w:color="auto"/>
        <w:right w:val="none" w:sz="0" w:space="0" w:color="auto"/>
      </w:divBdr>
    </w:div>
    <w:div w:id="1539128557">
      <w:bodyDiv w:val="1"/>
      <w:marLeft w:val="0"/>
      <w:marRight w:val="0"/>
      <w:marTop w:val="0"/>
      <w:marBottom w:val="0"/>
      <w:divBdr>
        <w:top w:val="none" w:sz="0" w:space="0" w:color="auto"/>
        <w:left w:val="none" w:sz="0" w:space="0" w:color="auto"/>
        <w:bottom w:val="none" w:sz="0" w:space="0" w:color="auto"/>
        <w:right w:val="none" w:sz="0" w:space="0" w:color="auto"/>
      </w:divBdr>
    </w:div>
    <w:div w:id="1539397182">
      <w:bodyDiv w:val="1"/>
      <w:marLeft w:val="0"/>
      <w:marRight w:val="0"/>
      <w:marTop w:val="0"/>
      <w:marBottom w:val="0"/>
      <w:divBdr>
        <w:top w:val="none" w:sz="0" w:space="0" w:color="auto"/>
        <w:left w:val="none" w:sz="0" w:space="0" w:color="auto"/>
        <w:bottom w:val="none" w:sz="0" w:space="0" w:color="auto"/>
        <w:right w:val="none" w:sz="0" w:space="0" w:color="auto"/>
      </w:divBdr>
    </w:div>
    <w:div w:id="1543129453">
      <w:bodyDiv w:val="1"/>
      <w:marLeft w:val="0"/>
      <w:marRight w:val="0"/>
      <w:marTop w:val="0"/>
      <w:marBottom w:val="0"/>
      <w:divBdr>
        <w:top w:val="none" w:sz="0" w:space="0" w:color="auto"/>
        <w:left w:val="none" w:sz="0" w:space="0" w:color="auto"/>
        <w:bottom w:val="none" w:sz="0" w:space="0" w:color="auto"/>
        <w:right w:val="none" w:sz="0" w:space="0" w:color="auto"/>
      </w:divBdr>
    </w:div>
    <w:div w:id="1543708235">
      <w:bodyDiv w:val="1"/>
      <w:marLeft w:val="0"/>
      <w:marRight w:val="0"/>
      <w:marTop w:val="0"/>
      <w:marBottom w:val="0"/>
      <w:divBdr>
        <w:top w:val="none" w:sz="0" w:space="0" w:color="auto"/>
        <w:left w:val="none" w:sz="0" w:space="0" w:color="auto"/>
        <w:bottom w:val="none" w:sz="0" w:space="0" w:color="auto"/>
        <w:right w:val="none" w:sz="0" w:space="0" w:color="auto"/>
      </w:divBdr>
    </w:div>
    <w:div w:id="1545096952">
      <w:bodyDiv w:val="1"/>
      <w:marLeft w:val="0"/>
      <w:marRight w:val="0"/>
      <w:marTop w:val="0"/>
      <w:marBottom w:val="0"/>
      <w:divBdr>
        <w:top w:val="none" w:sz="0" w:space="0" w:color="auto"/>
        <w:left w:val="none" w:sz="0" w:space="0" w:color="auto"/>
        <w:bottom w:val="none" w:sz="0" w:space="0" w:color="auto"/>
        <w:right w:val="none" w:sz="0" w:space="0" w:color="auto"/>
      </w:divBdr>
    </w:div>
    <w:div w:id="1545410841">
      <w:bodyDiv w:val="1"/>
      <w:marLeft w:val="0"/>
      <w:marRight w:val="0"/>
      <w:marTop w:val="0"/>
      <w:marBottom w:val="0"/>
      <w:divBdr>
        <w:top w:val="none" w:sz="0" w:space="0" w:color="auto"/>
        <w:left w:val="none" w:sz="0" w:space="0" w:color="auto"/>
        <w:bottom w:val="none" w:sz="0" w:space="0" w:color="auto"/>
        <w:right w:val="none" w:sz="0" w:space="0" w:color="auto"/>
      </w:divBdr>
    </w:div>
    <w:div w:id="1548102989">
      <w:bodyDiv w:val="1"/>
      <w:marLeft w:val="0"/>
      <w:marRight w:val="0"/>
      <w:marTop w:val="0"/>
      <w:marBottom w:val="0"/>
      <w:divBdr>
        <w:top w:val="none" w:sz="0" w:space="0" w:color="auto"/>
        <w:left w:val="none" w:sz="0" w:space="0" w:color="auto"/>
        <w:bottom w:val="none" w:sz="0" w:space="0" w:color="auto"/>
        <w:right w:val="none" w:sz="0" w:space="0" w:color="auto"/>
      </w:divBdr>
    </w:div>
    <w:div w:id="1549099802">
      <w:bodyDiv w:val="1"/>
      <w:marLeft w:val="0"/>
      <w:marRight w:val="0"/>
      <w:marTop w:val="0"/>
      <w:marBottom w:val="0"/>
      <w:divBdr>
        <w:top w:val="none" w:sz="0" w:space="0" w:color="auto"/>
        <w:left w:val="none" w:sz="0" w:space="0" w:color="auto"/>
        <w:bottom w:val="none" w:sz="0" w:space="0" w:color="auto"/>
        <w:right w:val="none" w:sz="0" w:space="0" w:color="auto"/>
      </w:divBdr>
    </w:div>
    <w:div w:id="1549293112">
      <w:bodyDiv w:val="1"/>
      <w:marLeft w:val="0"/>
      <w:marRight w:val="0"/>
      <w:marTop w:val="0"/>
      <w:marBottom w:val="0"/>
      <w:divBdr>
        <w:top w:val="none" w:sz="0" w:space="0" w:color="auto"/>
        <w:left w:val="none" w:sz="0" w:space="0" w:color="auto"/>
        <w:bottom w:val="none" w:sz="0" w:space="0" w:color="auto"/>
        <w:right w:val="none" w:sz="0" w:space="0" w:color="auto"/>
      </w:divBdr>
    </w:div>
    <w:div w:id="1550416050">
      <w:bodyDiv w:val="1"/>
      <w:marLeft w:val="0"/>
      <w:marRight w:val="0"/>
      <w:marTop w:val="0"/>
      <w:marBottom w:val="0"/>
      <w:divBdr>
        <w:top w:val="none" w:sz="0" w:space="0" w:color="auto"/>
        <w:left w:val="none" w:sz="0" w:space="0" w:color="auto"/>
        <w:bottom w:val="none" w:sz="0" w:space="0" w:color="auto"/>
        <w:right w:val="none" w:sz="0" w:space="0" w:color="auto"/>
      </w:divBdr>
    </w:div>
    <w:div w:id="1550798757">
      <w:bodyDiv w:val="1"/>
      <w:marLeft w:val="0"/>
      <w:marRight w:val="0"/>
      <w:marTop w:val="0"/>
      <w:marBottom w:val="0"/>
      <w:divBdr>
        <w:top w:val="none" w:sz="0" w:space="0" w:color="auto"/>
        <w:left w:val="none" w:sz="0" w:space="0" w:color="auto"/>
        <w:bottom w:val="none" w:sz="0" w:space="0" w:color="auto"/>
        <w:right w:val="none" w:sz="0" w:space="0" w:color="auto"/>
      </w:divBdr>
    </w:div>
    <w:div w:id="1551725696">
      <w:bodyDiv w:val="1"/>
      <w:marLeft w:val="0"/>
      <w:marRight w:val="0"/>
      <w:marTop w:val="0"/>
      <w:marBottom w:val="0"/>
      <w:divBdr>
        <w:top w:val="none" w:sz="0" w:space="0" w:color="auto"/>
        <w:left w:val="none" w:sz="0" w:space="0" w:color="auto"/>
        <w:bottom w:val="none" w:sz="0" w:space="0" w:color="auto"/>
        <w:right w:val="none" w:sz="0" w:space="0" w:color="auto"/>
      </w:divBdr>
    </w:div>
    <w:div w:id="1558278353">
      <w:bodyDiv w:val="1"/>
      <w:marLeft w:val="0"/>
      <w:marRight w:val="0"/>
      <w:marTop w:val="0"/>
      <w:marBottom w:val="0"/>
      <w:divBdr>
        <w:top w:val="none" w:sz="0" w:space="0" w:color="auto"/>
        <w:left w:val="none" w:sz="0" w:space="0" w:color="auto"/>
        <w:bottom w:val="none" w:sz="0" w:space="0" w:color="auto"/>
        <w:right w:val="none" w:sz="0" w:space="0" w:color="auto"/>
      </w:divBdr>
    </w:div>
    <w:div w:id="1564678164">
      <w:bodyDiv w:val="1"/>
      <w:marLeft w:val="0"/>
      <w:marRight w:val="0"/>
      <w:marTop w:val="0"/>
      <w:marBottom w:val="0"/>
      <w:divBdr>
        <w:top w:val="none" w:sz="0" w:space="0" w:color="auto"/>
        <w:left w:val="none" w:sz="0" w:space="0" w:color="auto"/>
        <w:bottom w:val="none" w:sz="0" w:space="0" w:color="auto"/>
        <w:right w:val="none" w:sz="0" w:space="0" w:color="auto"/>
      </w:divBdr>
    </w:div>
    <w:div w:id="1565799140">
      <w:bodyDiv w:val="1"/>
      <w:marLeft w:val="0"/>
      <w:marRight w:val="0"/>
      <w:marTop w:val="0"/>
      <w:marBottom w:val="0"/>
      <w:divBdr>
        <w:top w:val="none" w:sz="0" w:space="0" w:color="auto"/>
        <w:left w:val="none" w:sz="0" w:space="0" w:color="auto"/>
        <w:bottom w:val="none" w:sz="0" w:space="0" w:color="auto"/>
        <w:right w:val="none" w:sz="0" w:space="0" w:color="auto"/>
      </w:divBdr>
    </w:div>
    <w:div w:id="1567569249">
      <w:bodyDiv w:val="1"/>
      <w:marLeft w:val="0"/>
      <w:marRight w:val="0"/>
      <w:marTop w:val="0"/>
      <w:marBottom w:val="0"/>
      <w:divBdr>
        <w:top w:val="none" w:sz="0" w:space="0" w:color="auto"/>
        <w:left w:val="none" w:sz="0" w:space="0" w:color="auto"/>
        <w:bottom w:val="none" w:sz="0" w:space="0" w:color="auto"/>
        <w:right w:val="none" w:sz="0" w:space="0" w:color="auto"/>
      </w:divBdr>
    </w:div>
    <w:div w:id="1569195127">
      <w:bodyDiv w:val="1"/>
      <w:marLeft w:val="0"/>
      <w:marRight w:val="0"/>
      <w:marTop w:val="0"/>
      <w:marBottom w:val="0"/>
      <w:divBdr>
        <w:top w:val="none" w:sz="0" w:space="0" w:color="auto"/>
        <w:left w:val="none" w:sz="0" w:space="0" w:color="auto"/>
        <w:bottom w:val="none" w:sz="0" w:space="0" w:color="auto"/>
        <w:right w:val="none" w:sz="0" w:space="0" w:color="auto"/>
      </w:divBdr>
    </w:div>
    <w:div w:id="1569877933">
      <w:bodyDiv w:val="1"/>
      <w:marLeft w:val="0"/>
      <w:marRight w:val="0"/>
      <w:marTop w:val="0"/>
      <w:marBottom w:val="0"/>
      <w:divBdr>
        <w:top w:val="none" w:sz="0" w:space="0" w:color="auto"/>
        <w:left w:val="none" w:sz="0" w:space="0" w:color="auto"/>
        <w:bottom w:val="none" w:sz="0" w:space="0" w:color="auto"/>
        <w:right w:val="none" w:sz="0" w:space="0" w:color="auto"/>
      </w:divBdr>
    </w:div>
    <w:div w:id="1570068142">
      <w:bodyDiv w:val="1"/>
      <w:marLeft w:val="0"/>
      <w:marRight w:val="0"/>
      <w:marTop w:val="0"/>
      <w:marBottom w:val="0"/>
      <w:divBdr>
        <w:top w:val="none" w:sz="0" w:space="0" w:color="auto"/>
        <w:left w:val="none" w:sz="0" w:space="0" w:color="auto"/>
        <w:bottom w:val="none" w:sz="0" w:space="0" w:color="auto"/>
        <w:right w:val="none" w:sz="0" w:space="0" w:color="auto"/>
      </w:divBdr>
    </w:div>
    <w:div w:id="1571577063">
      <w:bodyDiv w:val="1"/>
      <w:marLeft w:val="0"/>
      <w:marRight w:val="0"/>
      <w:marTop w:val="0"/>
      <w:marBottom w:val="0"/>
      <w:divBdr>
        <w:top w:val="none" w:sz="0" w:space="0" w:color="auto"/>
        <w:left w:val="none" w:sz="0" w:space="0" w:color="auto"/>
        <w:bottom w:val="none" w:sz="0" w:space="0" w:color="auto"/>
        <w:right w:val="none" w:sz="0" w:space="0" w:color="auto"/>
      </w:divBdr>
    </w:div>
    <w:div w:id="1573617249">
      <w:bodyDiv w:val="1"/>
      <w:marLeft w:val="0"/>
      <w:marRight w:val="0"/>
      <w:marTop w:val="0"/>
      <w:marBottom w:val="0"/>
      <w:divBdr>
        <w:top w:val="none" w:sz="0" w:space="0" w:color="auto"/>
        <w:left w:val="none" w:sz="0" w:space="0" w:color="auto"/>
        <w:bottom w:val="none" w:sz="0" w:space="0" w:color="auto"/>
        <w:right w:val="none" w:sz="0" w:space="0" w:color="auto"/>
      </w:divBdr>
    </w:div>
    <w:div w:id="1573812952">
      <w:bodyDiv w:val="1"/>
      <w:marLeft w:val="0"/>
      <w:marRight w:val="0"/>
      <w:marTop w:val="0"/>
      <w:marBottom w:val="0"/>
      <w:divBdr>
        <w:top w:val="none" w:sz="0" w:space="0" w:color="auto"/>
        <w:left w:val="none" w:sz="0" w:space="0" w:color="auto"/>
        <w:bottom w:val="none" w:sz="0" w:space="0" w:color="auto"/>
        <w:right w:val="none" w:sz="0" w:space="0" w:color="auto"/>
      </w:divBdr>
    </w:div>
    <w:div w:id="1573857118">
      <w:bodyDiv w:val="1"/>
      <w:marLeft w:val="0"/>
      <w:marRight w:val="0"/>
      <w:marTop w:val="0"/>
      <w:marBottom w:val="0"/>
      <w:divBdr>
        <w:top w:val="none" w:sz="0" w:space="0" w:color="auto"/>
        <w:left w:val="none" w:sz="0" w:space="0" w:color="auto"/>
        <w:bottom w:val="none" w:sz="0" w:space="0" w:color="auto"/>
        <w:right w:val="none" w:sz="0" w:space="0" w:color="auto"/>
      </w:divBdr>
    </w:div>
    <w:div w:id="1576938140">
      <w:bodyDiv w:val="1"/>
      <w:marLeft w:val="0"/>
      <w:marRight w:val="0"/>
      <w:marTop w:val="0"/>
      <w:marBottom w:val="0"/>
      <w:divBdr>
        <w:top w:val="none" w:sz="0" w:space="0" w:color="auto"/>
        <w:left w:val="none" w:sz="0" w:space="0" w:color="auto"/>
        <w:bottom w:val="none" w:sz="0" w:space="0" w:color="auto"/>
        <w:right w:val="none" w:sz="0" w:space="0" w:color="auto"/>
      </w:divBdr>
    </w:div>
    <w:div w:id="1577863445">
      <w:bodyDiv w:val="1"/>
      <w:marLeft w:val="0"/>
      <w:marRight w:val="0"/>
      <w:marTop w:val="0"/>
      <w:marBottom w:val="0"/>
      <w:divBdr>
        <w:top w:val="none" w:sz="0" w:space="0" w:color="auto"/>
        <w:left w:val="none" w:sz="0" w:space="0" w:color="auto"/>
        <w:bottom w:val="none" w:sz="0" w:space="0" w:color="auto"/>
        <w:right w:val="none" w:sz="0" w:space="0" w:color="auto"/>
      </w:divBdr>
    </w:div>
    <w:div w:id="1579711669">
      <w:bodyDiv w:val="1"/>
      <w:marLeft w:val="0"/>
      <w:marRight w:val="0"/>
      <w:marTop w:val="0"/>
      <w:marBottom w:val="0"/>
      <w:divBdr>
        <w:top w:val="none" w:sz="0" w:space="0" w:color="auto"/>
        <w:left w:val="none" w:sz="0" w:space="0" w:color="auto"/>
        <w:bottom w:val="none" w:sz="0" w:space="0" w:color="auto"/>
        <w:right w:val="none" w:sz="0" w:space="0" w:color="auto"/>
      </w:divBdr>
    </w:div>
    <w:div w:id="1583296300">
      <w:bodyDiv w:val="1"/>
      <w:marLeft w:val="0"/>
      <w:marRight w:val="0"/>
      <w:marTop w:val="0"/>
      <w:marBottom w:val="0"/>
      <w:divBdr>
        <w:top w:val="none" w:sz="0" w:space="0" w:color="auto"/>
        <w:left w:val="none" w:sz="0" w:space="0" w:color="auto"/>
        <w:bottom w:val="none" w:sz="0" w:space="0" w:color="auto"/>
        <w:right w:val="none" w:sz="0" w:space="0" w:color="auto"/>
      </w:divBdr>
    </w:div>
    <w:div w:id="1585217246">
      <w:bodyDiv w:val="1"/>
      <w:marLeft w:val="0"/>
      <w:marRight w:val="0"/>
      <w:marTop w:val="0"/>
      <w:marBottom w:val="0"/>
      <w:divBdr>
        <w:top w:val="none" w:sz="0" w:space="0" w:color="auto"/>
        <w:left w:val="none" w:sz="0" w:space="0" w:color="auto"/>
        <w:bottom w:val="none" w:sz="0" w:space="0" w:color="auto"/>
        <w:right w:val="none" w:sz="0" w:space="0" w:color="auto"/>
      </w:divBdr>
    </w:div>
    <w:div w:id="1587232271">
      <w:bodyDiv w:val="1"/>
      <w:marLeft w:val="0"/>
      <w:marRight w:val="0"/>
      <w:marTop w:val="0"/>
      <w:marBottom w:val="0"/>
      <w:divBdr>
        <w:top w:val="none" w:sz="0" w:space="0" w:color="auto"/>
        <w:left w:val="none" w:sz="0" w:space="0" w:color="auto"/>
        <w:bottom w:val="none" w:sz="0" w:space="0" w:color="auto"/>
        <w:right w:val="none" w:sz="0" w:space="0" w:color="auto"/>
      </w:divBdr>
    </w:div>
    <w:div w:id="1588003682">
      <w:bodyDiv w:val="1"/>
      <w:marLeft w:val="0"/>
      <w:marRight w:val="0"/>
      <w:marTop w:val="0"/>
      <w:marBottom w:val="0"/>
      <w:divBdr>
        <w:top w:val="none" w:sz="0" w:space="0" w:color="auto"/>
        <w:left w:val="none" w:sz="0" w:space="0" w:color="auto"/>
        <w:bottom w:val="none" w:sz="0" w:space="0" w:color="auto"/>
        <w:right w:val="none" w:sz="0" w:space="0" w:color="auto"/>
      </w:divBdr>
    </w:div>
    <w:div w:id="1588223092">
      <w:bodyDiv w:val="1"/>
      <w:marLeft w:val="0"/>
      <w:marRight w:val="0"/>
      <w:marTop w:val="0"/>
      <w:marBottom w:val="0"/>
      <w:divBdr>
        <w:top w:val="none" w:sz="0" w:space="0" w:color="auto"/>
        <w:left w:val="none" w:sz="0" w:space="0" w:color="auto"/>
        <w:bottom w:val="none" w:sz="0" w:space="0" w:color="auto"/>
        <w:right w:val="none" w:sz="0" w:space="0" w:color="auto"/>
      </w:divBdr>
    </w:div>
    <w:div w:id="1589726095">
      <w:bodyDiv w:val="1"/>
      <w:marLeft w:val="0"/>
      <w:marRight w:val="0"/>
      <w:marTop w:val="0"/>
      <w:marBottom w:val="0"/>
      <w:divBdr>
        <w:top w:val="none" w:sz="0" w:space="0" w:color="auto"/>
        <w:left w:val="none" w:sz="0" w:space="0" w:color="auto"/>
        <w:bottom w:val="none" w:sz="0" w:space="0" w:color="auto"/>
        <w:right w:val="none" w:sz="0" w:space="0" w:color="auto"/>
      </w:divBdr>
    </w:div>
    <w:div w:id="1592153758">
      <w:bodyDiv w:val="1"/>
      <w:marLeft w:val="0"/>
      <w:marRight w:val="0"/>
      <w:marTop w:val="0"/>
      <w:marBottom w:val="0"/>
      <w:divBdr>
        <w:top w:val="none" w:sz="0" w:space="0" w:color="auto"/>
        <w:left w:val="none" w:sz="0" w:space="0" w:color="auto"/>
        <w:bottom w:val="none" w:sz="0" w:space="0" w:color="auto"/>
        <w:right w:val="none" w:sz="0" w:space="0" w:color="auto"/>
      </w:divBdr>
    </w:div>
    <w:div w:id="1593052037">
      <w:bodyDiv w:val="1"/>
      <w:marLeft w:val="0"/>
      <w:marRight w:val="0"/>
      <w:marTop w:val="0"/>
      <w:marBottom w:val="0"/>
      <w:divBdr>
        <w:top w:val="none" w:sz="0" w:space="0" w:color="auto"/>
        <w:left w:val="none" w:sz="0" w:space="0" w:color="auto"/>
        <w:bottom w:val="none" w:sz="0" w:space="0" w:color="auto"/>
        <w:right w:val="none" w:sz="0" w:space="0" w:color="auto"/>
      </w:divBdr>
    </w:div>
    <w:div w:id="1593315250">
      <w:bodyDiv w:val="1"/>
      <w:marLeft w:val="0"/>
      <w:marRight w:val="0"/>
      <w:marTop w:val="0"/>
      <w:marBottom w:val="0"/>
      <w:divBdr>
        <w:top w:val="none" w:sz="0" w:space="0" w:color="auto"/>
        <w:left w:val="none" w:sz="0" w:space="0" w:color="auto"/>
        <w:bottom w:val="none" w:sz="0" w:space="0" w:color="auto"/>
        <w:right w:val="none" w:sz="0" w:space="0" w:color="auto"/>
      </w:divBdr>
    </w:div>
    <w:div w:id="1595361234">
      <w:bodyDiv w:val="1"/>
      <w:marLeft w:val="0"/>
      <w:marRight w:val="0"/>
      <w:marTop w:val="0"/>
      <w:marBottom w:val="0"/>
      <w:divBdr>
        <w:top w:val="none" w:sz="0" w:space="0" w:color="auto"/>
        <w:left w:val="none" w:sz="0" w:space="0" w:color="auto"/>
        <w:bottom w:val="none" w:sz="0" w:space="0" w:color="auto"/>
        <w:right w:val="none" w:sz="0" w:space="0" w:color="auto"/>
      </w:divBdr>
    </w:div>
    <w:div w:id="1595936729">
      <w:bodyDiv w:val="1"/>
      <w:marLeft w:val="0"/>
      <w:marRight w:val="0"/>
      <w:marTop w:val="0"/>
      <w:marBottom w:val="0"/>
      <w:divBdr>
        <w:top w:val="none" w:sz="0" w:space="0" w:color="auto"/>
        <w:left w:val="none" w:sz="0" w:space="0" w:color="auto"/>
        <w:bottom w:val="none" w:sz="0" w:space="0" w:color="auto"/>
        <w:right w:val="none" w:sz="0" w:space="0" w:color="auto"/>
      </w:divBdr>
    </w:div>
    <w:div w:id="1596477726">
      <w:bodyDiv w:val="1"/>
      <w:marLeft w:val="0"/>
      <w:marRight w:val="0"/>
      <w:marTop w:val="0"/>
      <w:marBottom w:val="0"/>
      <w:divBdr>
        <w:top w:val="none" w:sz="0" w:space="0" w:color="auto"/>
        <w:left w:val="none" w:sz="0" w:space="0" w:color="auto"/>
        <w:bottom w:val="none" w:sz="0" w:space="0" w:color="auto"/>
        <w:right w:val="none" w:sz="0" w:space="0" w:color="auto"/>
      </w:divBdr>
    </w:div>
    <w:div w:id="1596596452">
      <w:bodyDiv w:val="1"/>
      <w:marLeft w:val="0"/>
      <w:marRight w:val="0"/>
      <w:marTop w:val="0"/>
      <w:marBottom w:val="0"/>
      <w:divBdr>
        <w:top w:val="none" w:sz="0" w:space="0" w:color="auto"/>
        <w:left w:val="none" w:sz="0" w:space="0" w:color="auto"/>
        <w:bottom w:val="none" w:sz="0" w:space="0" w:color="auto"/>
        <w:right w:val="none" w:sz="0" w:space="0" w:color="auto"/>
      </w:divBdr>
    </w:div>
    <w:div w:id="1608272063">
      <w:bodyDiv w:val="1"/>
      <w:marLeft w:val="0"/>
      <w:marRight w:val="0"/>
      <w:marTop w:val="0"/>
      <w:marBottom w:val="0"/>
      <w:divBdr>
        <w:top w:val="none" w:sz="0" w:space="0" w:color="auto"/>
        <w:left w:val="none" w:sz="0" w:space="0" w:color="auto"/>
        <w:bottom w:val="none" w:sz="0" w:space="0" w:color="auto"/>
        <w:right w:val="none" w:sz="0" w:space="0" w:color="auto"/>
      </w:divBdr>
    </w:div>
    <w:div w:id="1610163181">
      <w:bodyDiv w:val="1"/>
      <w:marLeft w:val="0"/>
      <w:marRight w:val="0"/>
      <w:marTop w:val="0"/>
      <w:marBottom w:val="0"/>
      <w:divBdr>
        <w:top w:val="none" w:sz="0" w:space="0" w:color="auto"/>
        <w:left w:val="none" w:sz="0" w:space="0" w:color="auto"/>
        <w:bottom w:val="none" w:sz="0" w:space="0" w:color="auto"/>
        <w:right w:val="none" w:sz="0" w:space="0" w:color="auto"/>
      </w:divBdr>
    </w:div>
    <w:div w:id="1610746042">
      <w:bodyDiv w:val="1"/>
      <w:marLeft w:val="0"/>
      <w:marRight w:val="0"/>
      <w:marTop w:val="0"/>
      <w:marBottom w:val="0"/>
      <w:divBdr>
        <w:top w:val="none" w:sz="0" w:space="0" w:color="auto"/>
        <w:left w:val="none" w:sz="0" w:space="0" w:color="auto"/>
        <w:bottom w:val="none" w:sz="0" w:space="0" w:color="auto"/>
        <w:right w:val="none" w:sz="0" w:space="0" w:color="auto"/>
      </w:divBdr>
    </w:div>
    <w:div w:id="1613631301">
      <w:bodyDiv w:val="1"/>
      <w:marLeft w:val="0"/>
      <w:marRight w:val="0"/>
      <w:marTop w:val="0"/>
      <w:marBottom w:val="0"/>
      <w:divBdr>
        <w:top w:val="none" w:sz="0" w:space="0" w:color="auto"/>
        <w:left w:val="none" w:sz="0" w:space="0" w:color="auto"/>
        <w:bottom w:val="none" w:sz="0" w:space="0" w:color="auto"/>
        <w:right w:val="none" w:sz="0" w:space="0" w:color="auto"/>
      </w:divBdr>
    </w:div>
    <w:div w:id="1615089025">
      <w:bodyDiv w:val="1"/>
      <w:marLeft w:val="0"/>
      <w:marRight w:val="0"/>
      <w:marTop w:val="0"/>
      <w:marBottom w:val="0"/>
      <w:divBdr>
        <w:top w:val="none" w:sz="0" w:space="0" w:color="auto"/>
        <w:left w:val="none" w:sz="0" w:space="0" w:color="auto"/>
        <w:bottom w:val="none" w:sz="0" w:space="0" w:color="auto"/>
        <w:right w:val="none" w:sz="0" w:space="0" w:color="auto"/>
      </w:divBdr>
    </w:div>
    <w:div w:id="1615281315">
      <w:bodyDiv w:val="1"/>
      <w:marLeft w:val="0"/>
      <w:marRight w:val="0"/>
      <w:marTop w:val="0"/>
      <w:marBottom w:val="0"/>
      <w:divBdr>
        <w:top w:val="none" w:sz="0" w:space="0" w:color="auto"/>
        <w:left w:val="none" w:sz="0" w:space="0" w:color="auto"/>
        <w:bottom w:val="none" w:sz="0" w:space="0" w:color="auto"/>
        <w:right w:val="none" w:sz="0" w:space="0" w:color="auto"/>
      </w:divBdr>
    </w:div>
    <w:div w:id="1615285930">
      <w:bodyDiv w:val="1"/>
      <w:marLeft w:val="0"/>
      <w:marRight w:val="0"/>
      <w:marTop w:val="0"/>
      <w:marBottom w:val="0"/>
      <w:divBdr>
        <w:top w:val="none" w:sz="0" w:space="0" w:color="auto"/>
        <w:left w:val="none" w:sz="0" w:space="0" w:color="auto"/>
        <w:bottom w:val="none" w:sz="0" w:space="0" w:color="auto"/>
        <w:right w:val="none" w:sz="0" w:space="0" w:color="auto"/>
      </w:divBdr>
    </w:div>
    <w:div w:id="1616405314">
      <w:bodyDiv w:val="1"/>
      <w:marLeft w:val="0"/>
      <w:marRight w:val="0"/>
      <w:marTop w:val="0"/>
      <w:marBottom w:val="0"/>
      <w:divBdr>
        <w:top w:val="none" w:sz="0" w:space="0" w:color="auto"/>
        <w:left w:val="none" w:sz="0" w:space="0" w:color="auto"/>
        <w:bottom w:val="none" w:sz="0" w:space="0" w:color="auto"/>
        <w:right w:val="none" w:sz="0" w:space="0" w:color="auto"/>
      </w:divBdr>
    </w:div>
    <w:div w:id="1617441644">
      <w:bodyDiv w:val="1"/>
      <w:marLeft w:val="0"/>
      <w:marRight w:val="0"/>
      <w:marTop w:val="0"/>
      <w:marBottom w:val="0"/>
      <w:divBdr>
        <w:top w:val="none" w:sz="0" w:space="0" w:color="auto"/>
        <w:left w:val="none" w:sz="0" w:space="0" w:color="auto"/>
        <w:bottom w:val="none" w:sz="0" w:space="0" w:color="auto"/>
        <w:right w:val="none" w:sz="0" w:space="0" w:color="auto"/>
      </w:divBdr>
    </w:div>
    <w:div w:id="1620451162">
      <w:bodyDiv w:val="1"/>
      <w:marLeft w:val="0"/>
      <w:marRight w:val="0"/>
      <w:marTop w:val="0"/>
      <w:marBottom w:val="0"/>
      <w:divBdr>
        <w:top w:val="none" w:sz="0" w:space="0" w:color="auto"/>
        <w:left w:val="none" w:sz="0" w:space="0" w:color="auto"/>
        <w:bottom w:val="none" w:sz="0" w:space="0" w:color="auto"/>
        <w:right w:val="none" w:sz="0" w:space="0" w:color="auto"/>
      </w:divBdr>
    </w:div>
    <w:div w:id="1622028781">
      <w:bodyDiv w:val="1"/>
      <w:marLeft w:val="0"/>
      <w:marRight w:val="0"/>
      <w:marTop w:val="0"/>
      <w:marBottom w:val="0"/>
      <w:divBdr>
        <w:top w:val="none" w:sz="0" w:space="0" w:color="auto"/>
        <w:left w:val="none" w:sz="0" w:space="0" w:color="auto"/>
        <w:bottom w:val="none" w:sz="0" w:space="0" w:color="auto"/>
        <w:right w:val="none" w:sz="0" w:space="0" w:color="auto"/>
      </w:divBdr>
    </w:div>
    <w:div w:id="1623922687">
      <w:bodyDiv w:val="1"/>
      <w:marLeft w:val="0"/>
      <w:marRight w:val="0"/>
      <w:marTop w:val="0"/>
      <w:marBottom w:val="0"/>
      <w:divBdr>
        <w:top w:val="none" w:sz="0" w:space="0" w:color="auto"/>
        <w:left w:val="none" w:sz="0" w:space="0" w:color="auto"/>
        <w:bottom w:val="none" w:sz="0" w:space="0" w:color="auto"/>
        <w:right w:val="none" w:sz="0" w:space="0" w:color="auto"/>
      </w:divBdr>
    </w:div>
    <w:div w:id="1625114424">
      <w:bodyDiv w:val="1"/>
      <w:marLeft w:val="0"/>
      <w:marRight w:val="0"/>
      <w:marTop w:val="0"/>
      <w:marBottom w:val="0"/>
      <w:divBdr>
        <w:top w:val="none" w:sz="0" w:space="0" w:color="auto"/>
        <w:left w:val="none" w:sz="0" w:space="0" w:color="auto"/>
        <w:bottom w:val="none" w:sz="0" w:space="0" w:color="auto"/>
        <w:right w:val="none" w:sz="0" w:space="0" w:color="auto"/>
      </w:divBdr>
    </w:div>
    <w:div w:id="1626697319">
      <w:bodyDiv w:val="1"/>
      <w:marLeft w:val="0"/>
      <w:marRight w:val="0"/>
      <w:marTop w:val="0"/>
      <w:marBottom w:val="0"/>
      <w:divBdr>
        <w:top w:val="none" w:sz="0" w:space="0" w:color="auto"/>
        <w:left w:val="none" w:sz="0" w:space="0" w:color="auto"/>
        <w:bottom w:val="none" w:sz="0" w:space="0" w:color="auto"/>
        <w:right w:val="none" w:sz="0" w:space="0" w:color="auto"/>
      </w:divBdr>
    </w:div>
    <w:div w:id="1628899387">
      <w:bodyDiv w:val="1"/>
      <w:marLeft w:val="0"/>
      <w:marRight w:val="0"/>
      <w:marTop w:val="0"/>
      <w:marBottom w:val="0"/>
      <w:divBdr>
        <w:top w:val="none" w:sz="0" w:space="0" w:color="auto"/>
        <w:left w:val="none" w:sz="0" w:space="0" w:color="auto"/>
        <w:bottom w:val="none" w:sz="0" w:space="0" w:color="auto"/>
        <w:right w:val="none" w:sz="0" w:space="0" w:color="auto"/>
      </w:divBdr>
    </w:div>
    <w:div w:id="1629505862">
      <w:bodyDiv w:val="1"/>
      <w:marLeft w:val="0"/>
      <w:marRight w:val="0"/>
      <w:marTop w:val="0"/>
      <w:marBottom w:val="0"/>
      <w:divBdr>
        <w:top w:val="none" w:sz="0" w:space="0" w:color="auto"/>
        <w:left w:val="none" w:sz="0" w:space="0" w:color="auto"/>
        <w:bottom w:val="none" w:sz="0" w:space="0" w:color="auto"/>
        <w:right w:val="none" w:sz="0" w:space="0" w:color="auto"/>
      </w:divBdr>
    </w:div>
    <w:div w:id="1629777417">
      <w:bodyDiv w:val="1"/>
      <w:marLeft w:val="0"/>
      <w:marRight w:val="0"/>
      <w:marTop w:val="0"/>
      <w:marBottom w:val="0"/>
      <w:divBdr>
        <w:top w:val="none" w:sz="0" w:space="0" w:color="auto"/>
        <w:left w:val="none" w:sz="0" w:space="0" w:color="auto"/>
        <w:bottom w:val="none" w:sz="0" w:space="0" w:color="auto"/>
        <w:right w:val="none" w:sz="0" w:space="0" w:color="auto"/>
      </w:divBdr>
    </w:div>
    <w:div w:id="1630470718">
      <w:bodyDiv w:val="1"/>
      <w:marLeft w:val="0"/>
      <w:marRight w:val="0"/>
      <w:marTop w:val="0"/>
      <w:marBottom w:val="0"/>
      <w:divBdr>
        <w:top w:val="none" w:sz="0" w:space="0" w:color="auto"/>
        <w:left w:val="none" w:sz="0" w:space="0" w:color="auto"/>
        <w:bottom w:val="none" w:sz="0" w:space="0" w:color="auto"/>
        <w:right w:val="none" w:sz="0" w:space="0" w:color="auto"/>
      </w:divBdr>
    </w:div>
    <w:div w:id="1630668534">
      <w:bodyDiv w:val="1"/>
      <w:marLeft w:val="0"/>
      <w:marRight w:val="0"/>
      <w:marTop w:val="0"/>
      <w:marBottom w:val="0"/>
      <w:divBdr>
        <w:top w:val="none" w:sz="0" w:space="0" w:color="auto"/>
        <w:left w:val="none" w:sz="0" w:space="0" w:color="auto"/>
        <w:bottom w:val="none" w:sz="0" w:space="0" w:color="auto"/>
        <w:right w:val="none" w:sz="0" w:space="0" w:color="auto"/>
      </w:divBdr>
    </w:div>
    <w:div w:id="1631672319">
      <w:bodyDiv w:val="1"/>
      <w:marLeft w:val="0"/>
      <w:marRight w:val="0"/>
      <w:marTop w:val="0"/>
      <w:marBottom w:val="0"/>
      <w:divBdr>
        <w:top w:val="none" w:sz="0" w:space="0" w:color="auto"/>
        <w:left w:val="none" w:sz="0" w:space="0" w:color="auto"/>
        <w:bottom w:val="none" w:sz="0" w:space="0" w:color="auto"/>
        <w:right w:val="none" w:sz="0" w:space="0" w:color="auto"/>
      </w:divBdr>
    </w:div>
    <w:div w:id="1634287475">
      <w:bodyDiv w:val="1"/>
      <w:marLeft w:val="0"/>
      <w:marRight w:val="0"/>
      <w:marTop w:val="0"/>
      <w:marBottom w:val="0"/>
      <w:divBdr>
        <w:top w:val="none" w:sz="0" w:space="0" w:color="auto"/>
        <w:left w:val="none" w:sz="0" w:space="0" w:color="auto"/>
        <w:bottom w:val="none" w:sz="0" w:space="0" w:color="auto"/>
        <w:right w:val="none" w:sz="0" w:space="0" w:color="auto"/>
      </w:divBdr>
    </w:div>
    <w:div w:id="1636131862">
      <w:bodyDiv w:val="1"/>
      <w:marLeft w:val="0"/>
      <w:marRight w:val="0"/>
      <w:marTop w:val="0"/>
      <w:marBottom w:val="0"/>
      <w:divBdr>
        <w:top w:val="none" w:sz="0" w:space="0" w:color="auto"/>
        <w:left w:val="none" w:sz="0" w:space="0" w:color="auto"/>
        <w:bottom w:val="none" w:sz="0" w:space="0" w:color="auto"/>
        <w:right w:val="none" w:sz="0" w:space="0" w:color="auto"/>
      </w:divBdr>
    </w:div>
    <w:div w:id="1638417440">
      <w:bodyDiv w:val="1"/>
      <w:marLeft w:val="0"/>
      <w:marRight w:val="0"/>
      <w:marTop w:val="0"/>
      <w:marBottom w:val="0"/>
      <w:divBdr>
        <w:top w:val="none" w:sz="0" w:space="0" w:color="auto"/>
        <w:left w:val="none" w:sz="0" w:space="0" w:color="auto"/>
        <w:bottom w:val="none" w:sz="0" w:space="0" w:color="auto"/>
        <w:right w:val="none" w:sz="0" w:space="0" w:color="auto"/>
      </w:divBdr>
    </w:div>
    <w:div w:id="1638753598">
      <w:bodyDiv w:val="1"/>
      <w:marLeft w:val="0"/>
      <w:marRight w:val="0"/>
      <w:marTop w:val="0"/>
      <w:marBottom w:val="0"/>
      <w:divBdr>
        <w:top w:val="none" w:sz="0" w:space="0" w:color="auto"/>
        <w:left w:val="none" w:sz="0" w:space="0" w:color="auto"/>
        <w:bottom w:val="none" w:sz="0" w:space="0" w:color="auto"/>
        <w:right w:val="none" w:sz="0" w:space="0" w:color="auto"/>
      </w:divBdr>
    </w:div>
    <w:div w:id="1639066684">
      <w:bodyDiv w:val="1"/>
      <w:marLeft w:val="0"/>
      <w:marRight w:val="0"/>
      <w:marTop w:val="0"/>
      <w:marBottom w:val="0"/>
      <w:divBdr>
        <w:top w:val="none" w:sz="0" w:space="0" w:color="auto"/>
        <w:left w:val="none" w:sz="0" w:space="0" w:color="auto"/>
        <w:bottom w:val="none" w:sz="0" w:space="0" w:color="auto"/>
        <w:right w:val="none" w:sz="0" w:space="0" w:color="auto"/>
      </w:divBdr>
    </w:div>
    <w:div w:id="1641767145">
      <w:bodyDiv w:val="1"/>
      <w:marLeft w:val="0"/>
      <w:marRight w:val="0"/>
      <w:marTop w:val="0"/>
      <w:marBottom w:val="0"/>
      <w:divBdr>
        <w:top w:val="none" w:sz="0" w:space="0" w:color="auto"/>
        <w:left w:val="none" w:sz="0" w:space="0" w:color="auto"/>
        <w:bottom w:val="none" w:sz="0" w:space="0" w:color="auto"/>
        <w:right w:val="none" w:sz="0" w:space="0" w:color="auto"/>
      </w:divBdr>
    </w:div>
    <w:div w:id="1642147215">
      <w:bodyDiv w:val="1"/>
      <w:marLeft w:val="0"/>
      <w:marRight w:val="0"/>
      <w:marTop w:val="0"/>
      <w:marBottom w:val="0"/>
      <w:divBdr>
        <w:top w:val="none" w:sz="0" w:space="0" w:color="auto"/>
        <w:left w:val="none" w:sz="0" w:space="0" w:color="auto"/>
        <w:bottom w:val="none" w:sz="0" w:space="0" w:color="auto"/>
        <w:right w:val="none" w:sz="0" w:space="0" w:color="auto"/>
      </w:divBdr>
    </w:div>
    <w:div w:id="1643147858">
      <w:bodyDiv w:val="1"/>
      <w:marLeft w:val="0"/>
      <w:marRight w:val="0"/>
      <w:marTop w:val="0"/>
      <w:marBottom w:val="0"/>
      <w:divBdr>
        <w:top w:val="none" w:sz="0" w:space="0" w:color="auto"/>
        <w:left w:val="none" w:sz="0" w:space="0" w:color="auto"/>
        <w:bottom w:val="none" w:sz="0" w:space="0" w:color="auto"/>
        <w:right w:val="none" w:sz="0" w:space="0" w:color="auto"/>
      </w:divBdr>
    </w:div>
    <w:div w:id="1644919376">
      <w:bodyDiv w:val="1"/>
      <w:marLeft w:val="0"/>
      <w:marRight w:val="0"/>
      <w:marTop w:val="0"/>
      <w:marBottom w:val="0"/>
      <w:divBdr>
        <w:top w:val="none" w:sz="0" w:space="0" w:color="auto"/>
        <w:left w:val="none" w:sz="0" w:space="0" w:color="auto"/>
        <w:bottom w:val="none" w:sz="0" w:space="0" w:color="auto"/>
        <w:right w:val="none" w:sz="0" w:space="0" w:color="auto"/>
      </w:divBdr>
    </w:div>
    <w:div w:id="1645550667">
      <w:bodyDiv w:val="1"/>
      <w:marLeft w:val="0"/>
      <w:marRight w:val="0"/>
      <w:marTop w:val="0"/>
      <w:marBottom w:val="0"/>
      <w:divBdr>
        <w:top w:val="none" w:sz="0" w:space="0" w:color="auto"/>
        <w:left w:val="none" w:sz="0" w:space="0" w:color="auto"/>
        <w:bottom w:val="none" w:sz="0" w:space="0" w:color="auto"/>
        <w:right w:val="none" w:sz="0" w:space="0" w:color="auto"/>
      </w:divBdr>
    </w:div>
    <w:div w:id="1646081737">
      <w:bodyDiv w:val="1"/>
      <w:marLeft w:val="0"/>
      <w:marRight w:val="0"/>
      <w:marTop w:val="0"/>
      <w:marBottom w:val="0"/>
      <w:divBdr>
        <w:top w:val="none" w:sz="0" w:space="0" w:color="auto"/>
        <w:left w:val="none" w:sz="0" w:space="0" w:color="auto"/>
        <w:bottom w:val="none" w:sz="0" w:space="0" w:color="auto"/>
        <w:right w:val="none" w:sz="0" w:space="0" w:color="auto"/>
      </w:divBdr>
    </w:div>
    <w:div w:id="1646885934">
      <w:bodyDiv w:val="1"/>
      <w:marLeft w:val="0"/>
      <w:marRight w:val="0"/>
      <w:marTop w:val="0"/>
      <w:marBottom w:val="0"/>
      <w:divBdr>
        <w:top w:val="none" w:sz="0" w:space="0" w:color="auto"/>
        <w:left w:val="none" w:sz="0" w:space="0" w:color="auto"/>
        <w:bottom w:val="none" w:sz="0" w:space="0" w:color="auto"/>
        <w:right w:val="none" w:sz="0" w:space="0" w:color="auto"/>
      </w:divBdr>
    </w:div>
    <w:div w:id="1646933356">
      <w:bodyDiv w:val="1"/>
      <w:marLeft w:val="0"/>
      <w:marRight w:val="0"/>
      <w:marTop w:val="0"/>
      <w:marBottom w:val="0"/>
      <w:divBdr>
        <w:top w:val="none" w:sz="0" w:space="0" w:color="auto"/>
        <w:left w:val="none" w:sz="0" w:space="0" w:color="auto"/>
        <w:bottom w:val="none" w:sz="0" w:space="0" w:color="auto"/>
        <w:right w:val="none" w:sz="0" w:space="0" w:color="auto"/>
      </w:divBdr>
    </w:div>
    <w:div w:id="1650283315">
      <w:bodyDiv w:val="1"/>
      <w:marLeft w:val="0"/>
      <w:marRight w:val="0"/>
      <w:marTop w:val="0"/>
      <w:marBottom w:val="0"/>
      <w:divBdr>
        <w:top w:val="none" w:sz="0" w:space="0" w:color="auto"/>
        <w:left w:val="none" w:sz="0" w:space="0" w:color="auto"/>
        <w:bottom w:val="none" w:sz="0" w:space="0" w:color="auto"/>
        <w:right w:val="none" w:sz="0" w:space="0" w:color="auto"/>
      </w:divBdr>
    </w:div>
    <w:div w:id="1651014835">
      <w:bodyDiv w:val="1"/>
      <w:marLeft w:val="0"/>
      <w:marRight w:val="0"/>
      <w:marTop w:val="0"/>
      <w:marBottom w:val="0"/>
      <w:divBdr>
        <w:top w:val="none" w:sz="0" w:space="0" w:color="auto"/>
        <w:left w:val="none" w:sz="0" w:space="0" w:color="auto"/>
        <w:bottom w:val="none" w:sz="0" w:space="0" w:color="auto"/>
        <w:right w:val="none" w:sz="0" w:space="0" w:color="auto"/>
      </w:divBdr>
    </w:div>
    <w:div w:id="1651904681">
      <w:bodyDiv w:val="1"/>
      <w:marLeft w:val="0"/>
      <w:marRight w:val="0"/>
      <w:marTop w:val="0"/>
      <w:marBottom w:val="0"/>
      <w:divBdr>
        <w:top w:val="none" w:sz="0" w:space="0" w:color="auto"/>
        <w:left w:val="none" w:sz="0" w:space="0" w:color="auto"/>
        <w:bottom w:val="none" w:sz="0" w:space="0" w:color="auto"/>
        <w:right w:val="none" w:sz="0" w:space="0" w:color="auto"/>
      </w:divBdr>
    </w:div>
    <w:div w:id="1653831359">
      <w:bodyDiv w:val="1"/>
      <w:marLeft w:val="0"/>
      <w:marRight w:val="0"/>
      <w:marTop w:val="0"/>
      <w:marBottom w:val="0"/>
      <w:divBdr>
        <w:top w:val="none" w:sz="0" w:space="0" w:color="auto"/>
        <w:left w:val="none" w:sz="0" w:space="0" w:color="auto"/>
        <w:bottom w:val="none" w:sz="0" w:space="0" w:color="auto"/>
        <w:right w:val="none" w:sz="0" w:space="0" w:color="auto"/>
      </w:divBdr>
    </w:div>
    <w:div w:id="1654218793">
      <w:bodyDiv w:val="1"/>
      <w:marLeft w:val="0"/>
      <w:marRight w:val="0"/>
      <w:marTop w:val="0"/>
      <w:marBottom w:val="0"/>
      <w:divBdr>
        <w:top w:val="none" w:sz="0" w:space="0" w:color="auto"/>
        <w:left w:val="none" w:sz="0" w:space="0" w:color="auto"/>
        <w:bottom w:val="none" w:sz="0" w:space="0" w:color="auto"/>
        <w:right w:val="none" w:sz="0" w:space="0" w:color="auto"/>
      </w:divBdr>
    </w:div>
    <w:div w:id="1654915247">
      <w:bodyDiv w:val="1"/>
      <w:marLeft w:val="0"/>
      <w:marRight w:val="0"/>
      <w:marTop w:val="0"/>
      <w:marBottom w:val="0"/>
      <w:divBdr>
        <w:top w:val="none" w:sz="0" w:space="0" w:color="auto"/>
        <w:left w:val="none" w:sz="0" w:space="0" w:color="auto"/>
        <w:bottom w:val="none" w:sz="0" w:space="0" w:color="auto"/>
        <w:right w:val="none" w:sz="0" w:space="0" w:color="auto"/>
      </w:divBdr>
    </w:div>
    <w:div w:id="1655791940">
      <w:bodyDiv w:val="1"/>
      <w:marLeft w:val="0"/>
      <w:marRight w:val="0"/>
      <w:marTop w:val="0"/>
      <w:marBottom w:val="0"/>
      <w:divBdr>
        <w:top w:val="none" w:sz="0" w:space="0" w:color="auto"/>
        <w:left w:val="none" w:sz="0" w:space="0" w:color="auto"/>
        <w:bottom w:val="none" w:sz="0" w:space="0" w:color="auto"/>
        <w:right w:val="none" w:sz="0" w:space="0" w:color="auto"/>
      </w:divBdr>
    </w:div>
    <w:div w:id="1657033191">
      <w:bodyDiv w:val="1"/>
      <w:marLeft w:val="0"/>
      <w:marRight w:val="0"/>
      <w:marTop w:val="0"/>
      <w:marBottom w:val="0"/>
      <w:divBdr>
        <w:top w:val="none" w:sz="0" w:space="0" w:color="auto"/>
        <w:left w:val="none" w:sz="0" w:space="0" w:color="auto"/>
        <w:bottom w:val="none" w:sz="0" w:space="0" w:color="auto"/>
        <w:right w:val="none" w:sz="0" w:space="0" w:color="auto"/>
      </w:divBdr>
    </w:div>
    <w:div w:id="1659573054">
      <w:bodyDiv w:val="1"/>
      <w:marLeft w:val="0"/>
      <w:marRight w:val="0"/>
      <w:marTop w:val="0"/>
      <w:marBottom w:val="0"/>
      <w:divBdr>
        <w:top w:val="none" w:sz="0" w:space="0" w:color="auto"/>
        <w:left w:val="none" w:sz="0" w:space="0" w:color="auto"/>
        <w:bottom w:val="none" w:sz="0" w:space="0" w:color="auto"/>
        <w:right w:val="none" w:sz="0" w:space="0" w:color="auto"/>
      </w:divBdr>
    </w:div>
    <w:div w:id="1661159335">
      <w:bodyDiv w:val="1"/>
      <w:marLeft w:val="0"/>
      <w:marRight w:val="0"/>
      <w:marTop w:val="0"/>
      <w:marBottom w:val="0"/>
      <w:divBdr>
        <w:top w:val="none" w:sz="0" w:space="0" w:color="auto"/>
        <w:left w:val="none" w:sz="0" w:space="0" w:color="auto"/>
        <w:bottom w:val="none" w:sz="0" w:space="0" w:color="auto"/>
        <w:right w:val="none" w:sz="0" w:space="0" w:color="auto"/>
      </w:divBdr>
    </w:div>
    <w:div w:id="1661812491">
      <w:bodyDiv w:val="1"/>
      <w:marLeft w:val="0"/>
      <w:marRight w:val="0"/>
      <w:marTop w:val="0"/>
      <w:marBottom w:val="0"/>
      <w:divBdr>
        <w:top w:val="none" w:sz="0" w:space="0" w:color="auto"/>
        <w:left w:val="none" w:sz="0" w:space="0" w:color="auto"/>
        <w:bottom w:val="none" w:sz="0" w:space="0" w:color="auto"/>
        <w:right w:val="none" w:sz="0" w:space="0" w:color="auto"/>
      </w:divBdr>
    </w:div>
    <w:div w:id="1662345381">
      <w:bodyDiv w:val="1"/>
      <w:marLeft w:val="0"/>
      <w:marRight w:val="0"/>
      <w:marTop w:val="0"/>
      <w:marBottom w:val="0"/>
      <w:divBdr>
        <w:top w:val="none" w:sz="0" w:space="0" w:color="auto"/>
        <w:left w:val="none" w:sz="0" w:space="0" w:color="auto"/>
        <w:bottom w:val="none" w:sz="0" w:space="0" w:color="auto"/>
        <w:right w:val="none" w:sz="0" w:space="0" w:color="auto"/>
      </w:divBdr>
    </w:div>
    <w:div w:id="1664384395">
      <w:bodyDiv w:val="1"/>
      <w:marLeft w:val="0"/>
      <w:marRight w:val="0"/>
      <w:marTop w:val="0"/>
      <w:marBottom w:val="0"/>
      <w:divBdr>
        <w:top w:val="none" w:sz="0" w:space="0" w:color="auto"/>
        <w:left w:val="none" w:sz="0" w:space="0" w:color="auto"/>
        <w:bottom w:val="none" w:sz="0" w:space="0" w:color="auto"/>
        <w:right w:val="none" w:sz="0" w:space="0" w:color="auto"/>
      </w:divBdr>
    </w:div>
    <w:div w:id="1664888682">
      <w:bodyDiv w:val="1"/>
      <w:marLeft w:val="0"/>
      <w:marRight w:val="0"/>
      <w:marTop w:val="0"/>
      <w:marBottom w:val="0"/>
      <w:divBdr>
        <w:top w:val="none" w:sz="0" w:space="0" w:color="auto"/>
        <w:left w:val="none" w:sz="0" w:space="0" w:color="auto"/>
        <w:bottom w:val="none" w:sz="0" w:space="0" w:color="auto"/>
        <w:right w:val="none" w:sz="0" w:space="0" w:color="auto"/>
      </w:divBdr>
    </w:div>
    <w:div w:id="1665428877">
      <w:bodyDiv w:val="1"/>
      <w:marLeft w:val="0"/>
      <w:marRight w:val="0"/>
      <w:marTop w:val="0"/>
      <w:marBottom w:val="0"/>
      <w:divBdr>
        <w:top w:val="none" w:sz="0" w:space="0" w:color="auto"/>
        <w:left w:val="none" w:sz="0" w:space="0" w:color="auto"/>
        <w:bottom w:val="none" w:sz="0" w:space="0" w:color="auto"/>
        <w:right w:val="none" w:sz="0" w:space="0" w:color="auto"/>
      </w:divBdr>
    </w:div>
    <w:div w:id="1666351049">
      <w:bodyDiv w:val="1"/>
      <w:marLeft w:val="0"/>
      <w:marRight w:val="0"/>
      <w:marTop w:val="0"/>
      <w:marBottom w:val="0"/>
      <w:divBdr>
        <w:top w:val="none" w:sz="0" w:space="0" w:color="auto"/>
        <w:left w:val="none" w:sz="0" w:space="0" w:color="auto"/>
        <w:bottom w:val="none" w:sz="0" w:space="0" w:color="auto"/>
        <w:right w:val="none" w:sz="0" w:space="0" w:color="auto"/>
      </w:divBdr>
    </w:div>
    <w:div w:id="1669095047">
      <w:bodyDiv w:val="1"/>
      <w:marLeft w:val="0"/>
      <w:marRight w:val="0"/>
      <w:marTop w:val="0"/>
      <w:marBottom w:val="0"/>
      <w:divBdr>
        <w:top w:val="none" w:sz="0" w:space="0" w:color="auto"/>
        <w:left w:val="none" w:sz="0" w:space="0" w:color="auto"/>
        <w:bottom w:val="none" w:sz="0" w:space="0" w:color="auto"/>
        <w:right w:val="none" w:sz="0" w:space="0" w:color="auto"/>
      </w:divBdr>
    </w:div>
    <w:div w:id="1671987033">
      <w:bodyDiv w:val="1"/>
      <w:marLeft w:val="0"/>
      <w:marRight w:val="0"/>
      <w:marTop w:val="0"/>
      <w:marBottom w:val="0"/>
      <w:divBdr>
        <w:top w:val="none" w:sz="0" w:space="0" w:color="auto"/>
        <w:left w:val="none" w:sz="0" w:space="0" w:color="auto"/>
        <w:bottom w:val="none" w:sz="0" w:space="0" w:color="auto"/>
        <w:right w:val="none" w:sz="0" w:space="0" w:color="auto"/>
      </w:divBdr>
    </w:div>
    <w:div w:id="1672641843">
      <w:bodyDiv w:val="1"/>
      <w:marLeft w:val="0"/>
      <w:marRight w:val="0"/>
      <w:marTop w:val="0"/>
      <w:marBottom w:val="0"/>
      <w:divBdr>
        <w:top w:val="none" w:sz="0" w:space="0" w:color="auto"/>
        <w:left w:val="none" w:sz="0" w:space="0" w:color="auto"/>
        <w:bottom w:val="none" w:sz="0" w:space="0" w:color="auto"/>
        <w:right w:val="none" w:sz="0" w:space="0" w:color="auto"/>
      </w:divBdr>
    </w:div>
    <w:div w:id="1673532980">
      <w:bodyDiv w:val="1"/>
      <w:marLeft w:val="0"/>
      <w:marRight w:val="0"/>
      <w:marTop w:val="0"/>
      <w:marBottom w:val="0"/>
      <w:divBdr>
        <w:top w:val="none" w:sz="0" w:space="0" w:color="auto"/>
        <w:left w:val="none" w:sz="0" w:space="0" w:color="auto"/>
        <w:bottom w:val="none" w:sz="0" w:space="0" w:color="auto"/>
        <w:right w:val="none" w:sz="0" w:space="0" w:color="auto"/>
      </w:divBdr>
    </w:div>
    <w:div w:id="1676226533">
      <w:bodyDiv w:val="1"/>
      <w:marLeft w:val="0"/>
      <w:marRight w:val="0"/>
      <w:marTop w:val="0"/>
      <w:marBottom w:val="0"/>
      <w:divBdr>
        <w:top w:val="none" w:sz="0" w:space="0" w:color="auto"/>
        <w:left w:val="none" w:sz="0" w:space="0" w:color="auto"/>
        <w:bottom w:val="none" w:sz="0" w:space="0" w:color="auto"/>
        <w:right w:val="none" w:sz="0" w:space="0" w:color="auto"/>
      </w:divBdr>
    </w:div>
    <w:div w:id="1680736303">
      <w:bodyDiv w:val="1"/>
      <w:marLeft w:val="0"/>
      <w:marRight w:val="0"/>
      <w:marTop w:val="0"/>
      <w:marBottom w:val="0"/>
      <w:divBdr>
        <w:top w:val="none" w:sz="0" w:space="0" w:color="auto"/>
        <w:left w:val="none" w:sz="0" w:space="0" w:color="auto"/>
        <w:bottom w:val="none" w:sz="0" w:space="0" w:color="auto"/>
        <w:right w:val="none" w:sz="0" w:space="0" w:color="auto"/>
      </w:divBdr>
    </w:div>
    <w:div w:id="1685864852">
      <w:bodyDiv w:val="1"/>
      <w:marLeft w:val="0"/>
      <w:marRight w:val="0"/>
      <w:marTop w:val="0"/>
      <w:marBottom w:val="0"/>
      <w:divBdr>
        <w:top w:val="none" w:sz="0" w:space="0" w:color="auto"/>
        <w:left w:val="none" w:sz="0" w:space="0" w:color="auto"/>
        <w:bottom w:val="none" w:sz="0" w:space="0" w:color="auto"/>
        <w:right w:val="none" w:sz="0" w:space="0" w:color="auto"/>
      </w:divBdr>
    </w:div>
    <w:div w:id="1688865775">
      <w:bodyDiv w:val="1"/>
      <w:marLeft w:val="0"/>
      <w:marRight w:val="0"/>
      <w:marTop w:val="0"/>
      <w:marBottom w:val="0"/>
      <w:divBdr>
        <w:top w:val="none" w:sz="0" w:space="0" w:color="auto"/>
        <w:left w:val="none" w:sz="0" w:space="0" w:color="auto"/>
        <w:bottom w:val="none" w:sz="0" w:space="0" w:color="auto"/>
        <w:right w:val="none" w:sz="0" w:space="0" w:color="auto"/>
      </w:divBdr>
    </w:div>
    <w:div w:id="1690984930">
      <w:bodyDiv w:val="1"/>
      <w:marLeft w:val="0"/>
      <w:marRight w:val="0"/>
      <w:marTop w:val="0"/>
      <w:marBottom w:val="0"/>
      <w:divBdr>
        <w:top w:val="none" w:sz="0" w:space="0" w:color="auto"/>
        <w:left w:val="none" w:sz="0" w:space="0" w:color="auto"/>
        <w:bottom w:val="none" w:sz="0" w:space="0" w:color="auto"/>
        <w:right w:val="none" w:sz="0" w:space="0" w:color="auto"/>
      </w:divBdr>
    </w:div>
    <w:div w:id="1692300340">
      <w:bodyDiv w:val="1"/>
      <w:marLeft w:val="0"/>
      <w:marRight w:val="0"/>
      <w:marTop w:val="0"/>
      <w:marBottom w:val="0"/>
      <w:divBdr>
        <w:top w:val="none" w:sz="0" w:space="0" w:color="auto"/>
        <w:left w:val="none" w:sz="0" w:space="0" w:color="auto"/>
        <w:bottom w:val="none" w:sz="0" w:space="0" w:color="auto"/>
        <w:right w:val="none" w:sz="0" w:space="0" w:color="auto"/>
      </w:divBdr>
    </w:div>
    <w:div w:id="1694110940">
      <w:bodyDiv w:val="1"/>
      <w:marLeft w:val="0"/>
      <w:marRight w:val="0"/>
      <w:marTop w:val="0"/>
      <w:marBottom w:val="0"/>
      <w:divBdr>
        <w:top w:val="none" w:sz="0" w:space="0" w:color="auto"/>
        <w:left w:val="none" w:sz="0" w:space="0" w:color="auto"/>
        <w:bottom w:val="none" w:sz="0" w:space="0" w:color="auto"/>
        <w:right w:val="none" w:sz="0" w:space="0" w:color="auto"/>
      </w:divBdr>
    </w:div>
    <w:div w:id="1694460292">
      <w:bodyDiv w:val="1"/>
      <w:marLeft w:val="0"/>
      <w:marRight w:val="0"/>
      <w:marTop w:val="0"/>
      <w:marBottom w:val="0"/>
      <w:divBdr>
        <w:top w:val="none" w:sz="0" w:space="0" w:color="auto"/>
        <w:left w:val="none" w:sz="0" w:space="0" w:color="auto"/>
        <w:bottom w:val="none" w:sz="0" w:space="0" w:color="auto"/>
        <w:right w:val="none" w:sz="0" w:space="0" w:color="auto"/>
      </w:divBdr>
    </w:div>
    <w:div w:id="1696272327">
      <w:bodyDiv w:val="1"/>
      <w:marLeft w:val="0"/>
      <w:marRight w:val="0"/>
      <w:marTop w:val="0"/>
      <w:marBottom w:val="0"/>
      <w:divBdr>
        <w:top w:val="none" w:sz="0" w:space="0" w:color="auto"/>
        <w:left w:val="none" w:sz="0" w:space="0" w:color="auto"/>
        <w:bottom w:val="none" w:sz="0" w:space="0" w:color="auto"/>
        <w:right w:val="none" w:sz="0" w:space="0" w:color="auto"/>
      </w:divBdr>
    </w:div>
    <w:div w:id="1699501235">
      <w:bodyDiv w:val="1"/>
      <w:marLeft w:val="0"/>
      <w:marRight w:val="0"/>
      <w:marTop w:val="0"/>
      <w:marBottom w:val="0"/>
      <w:divBdr>
        <w:top w:val="none" w:sz="0" w:space="0" w:color="auto"/>
        <w:left w:val="none" w:sz="0" w:space="0" w:color="auto"/>
        <w:bottom w:val="none" w:sz="0" w:space="0" w:color="auto"/>
        <w:right w:val="none" w:sz="0" w:space="0" w:color="auto"/>
      </w:divBdr>
    </w:div>
    <w:div w:id="1699743265">
      <w:bodyDiv w:val="1"/>
      <w:marLeft w:val="0"/>
      <w:marRight w:val="0"/>
      <w:marTop w:val="0"/>
      <w:marBottom w:val="0"/>
      <w:divBdr>
        <w:top w:val="none" w:sz="0" w:space="0" w:color="auto"/>
        <w:left w:val="none" w:sz="0" w:space="0" w:color="auto"/>
        <w:bottom w:val="none" w:sz="0" w:space="0" w:color="auto"/>
        <w:right w:val="none" w:sz="0" w:space="0" w:color="auto"/>
      </w:divBdr>
    </w:div>
    <w:div w:id="1700163232">
      <w:bodyDiv w:val="1"/>
      <w:marLeft w:val="0"/>
      <w:marRight w:val="0"/>
      <w:marTop w:val="0"/>
      <w:marBottom w:val="0"/>
      <w:divBdr>
        <w:top w:val="none" w:sz="0" w:space="0" w:color="auto"/>
        <w:left w:val="none" w:sz="0" w:space="0" w:color="auto"/>
        <w:bottom w:val="none" w:sz="0" w:space="0" w:color="auto"/>
        <w:right w:val="none" w:sz="0" w:space="0" w:color="auto"/>
      </w:divBdr>
    </w:div>
    <w:div w:id="1702124948">
      <w:bodyDiv w:val="1"/>
      <w:marLeft w:val="0"/>
      <w:marRight w:val="0"/>
      <w:marTop w:val="0"/>
      <w:marBottom w:val="0"/>
      <w:divBdr>
        <w:top w:val="none" w:sz="0" w:space="0" w:color="auto"/>
        <w:left w:val="none" w:sz="0" w:space="0" w:color="auto"/>
        <w:bottom w:val="none" w:sz="0" w:space="0" w:color="auto"/>
        <w:right w:val="none" w:sz="0" w:space="0" w:color="auto"/>
      </w:divBdr>
    </w:div>
    <w:div w:id="1704135277">
      <w:bodyDiv w:val="1"/>
      <w:marLeft w:val="0"/>
      <w:marRight w:val="0"/>
      <w:marTop w:val="0"/>
      <w:marBottom w:val="0"/>
      <w:divBdr>
        <w:top w:val="none" w:sz="0" w:space="0" w:color="auto"/>
        <w:left w:val="none" w:sz="0" w:space="0" w:color="auto"/>
        <w:bottom w:val="none" w:sz="0" w:space="0" w:color="auto"/>
        <w:right w:val="none" w:sz="0" w:space="0" w:color="auto"/>
      </w:divBdr>
    </w:div>
    <w:div w:id="1706785815">
      <w:bodyDiv w:val="1"/>
      <w:marLeft w:val="0"/>
      <w:marRight w:val="0"/>
      <w:marTop w:val="0"/>
      <w:marBottom w:val="0"/>
      <w:divBdr>
        <w:top w:val="none" w:sz="0" w:space="0" w:color="auto"/>
        <w:left w:val="none" w:sz="0" w:space="0" w:color="auto"/>
        <w:bottom w:val="none" w:sz="0" w:space="0" w:color="auto"/>
        <w:right w:val="none" w:sz="0" w:space="0" w:color="auto"/>
      </w:divBdr>
    </w:div>
    <w:div w:id="1707680552">
      <w:bodyDiv w:val="1"/>
      <w:marLeft w:val="0"/>
      <w:marRight w:val="0"/>
      <w:marTop w:val="0"/>
      <w:marBottom w:val="0"/>
      <w:divBdr>
        <w:top w:val="none" w:sz="0" w:space="0" w:color="auto"/>
        <w:left w:val="none" w:sz="0" w:space="0" w:color="auto"/>
        <w:bottom w:val="none" w:sz="0" w:space="0" w:color="auto"/>
        <w:right w:val="none" w:sz="0" w:space="0" w:color="auto"/>
      </w:divBdr>
    </w:div>
    <w:div w:id="1709452375">
      <w:bodyDiv w:val="1"/>
      <w:marLeft w:val="0"/>
      <w:marRight w:val="0"/>
      <w:marTop w:val="0"/>
      <w:marBottom w:val="0"/>
      <w:divBdr>
        <w:top w:val="none" w:sz="0" w:space="0" w:color="auto"/>
        <w:left w:val="none" w:sz="0" w:space="0" w:color="auto"/>
        <w:bottom w:val="none" w:sz="0" w:space="0" w:color="auto"/>
        <w:right w:val="none" w:sz="0" w:space="0" w:color="auto"/>
      </w:divBdr>
    </w:div>
    <w:div w:id="1709604153">
      <w:bodyDiv w:val="1"/>
      <w:marLeft w:val="0"/>
      <w:marRight w:val="0"/>
      <w:marTop w:val="0"/>
      <w:marBottom w:val="0"/>
      <w:divBdr>
        <w:top w:val="none" w:sz="0" w:space="0" w:color="auto"/>
        <w:left w:val="none" w:sz="0" w:space="0" w:color="auto"/>
        <w:bottom w:val="none" w:sz="0" w:space="0" w:color="auto"/>
        <w:right w:val="none" w:sz="0" w:space="0" w:color="auto"/>
      </w:divBdr>
    </w:div>
    <w:div w:id="1710373100">
      <w:bodyDiv w:val="1"/>
      <w:marLeft w:val="0"/>
      <w:marRight w:val="0"/>
      <w:marTop w:val="0"/>
      <w:marBottom w:val="0"/>
      <w:divBdr>
        <w:top w:val="none" w:sz="0" w:space="0" w:color="auto"/>
        <w:left w:val="none" w:sz="0" w:space="0" w:color="auto"/>
        <w:bottom w:val="none" w:sz="0" w:space="0" w:color="auto"/>
        <w:right w:val="none" w:sz="0" w:space="0" w:color="auto"/>
      </w:divBdr>
    </w:div>
    <w:div w:id="1711031604">
      <w:bodyDiv w:val="1"/>
      <w:marLeft w:val="0"/>
      <w:marRight w:val="0"/>
      <w:marTop w:val="0"/>
      <w:marBottom w:val="0"/>
      <w:divBdr>
        <w:top w:val="none" w:sz="0" w:space="0" w:color="auto"/>
        <w:left w:val="none" w:sz="0" w:space="0" w:color="auto"/>
        <w:bottom w:val="none" w:sz="0" w:space="0" w:color="auto"/>
        <w:right w:val="none" w:sz="0" w:space="0" w:color="auto"/>
      </w:divBdr>
    </w:div>
    <w:div w:id="1711296639">
      <w:bodyDiv w:val="1"/>
      <w:marLeft w:val="0"/>
      <w:marRight w:val="0"/>
      <w:marTop w:val="0"/>
      <w:marBottom w:val="0"/>
      <w:divBdr>
        <w:top w:val="none" w:sz="0" w:space="0" w:color="auto"/>
        <w:left w:val="none" w:sz="0" w:space="0" w:color="auto"/>
        <w:bottom w:val="none" w:sz="0" w:space="0" w:color="auto"/>
        <w:right w:val="none" w:sz="0" w:space="0" w:color="auto"/>
      </w:divBdr>
    </w:div>
    <w:div w:id="1713187927">
      <w:bodyDiv w:val="1"/>
      <w:marLeft w:val="0"/>
      <w:marRight w:val="0"/>
      <w:marTop w:val="0"/>
      <w:marBottom w:val="0"/>
      <w:divBdr>
        <w:top w:val="none" w:sz="0" w:space="0" w:color="auto"/>
        <w:left w:val="none" w:sz="0" w:space="0" w:color="auto"/>
        <w:bottom w:val="none" w:sz="0" w:space="0" w:color="auto"/>
        <w:right w:val="none" w:sz="0" w:space="0" w:color="auto"/>
      </w:divBdr>
    </w:div>
    <w:div w:id="1714113588">
      <w:bodyDiv w:val="1"/>
      <w:marLeft w:val="0"/>
      <w:marRight w:val="0"/>
      <w:marTop w:val="0"/>
      <w:marBottom w:val="0"/>
      <w:divBdr>
        <w:top w:val="none" w:sz="0" w:space="0" w:color="auto"/>
        <w:left w:val="none" w:sz="0" w:space="0" w:color="auto"/>
        <w:bottom w:val="none" w:sz="0" w:space="0" w:color="auto"/>
        <w:right w:val="none" w:sz="0" w:space="0" w:color="auto"/>
      </w:divBdr>
    </w:div>
    <w:div w:id="1718048444">
      <w:bodyDiv w:val="1"/>
      <w:marLeft w:val="0"/>
      <w:marRight w:val="0"/>
      <w:marTop w:val="0"/>
      <w:marBottom w:val="0"/>
      <w:divBdr>
        <w:top w:val="none" w:sz="0" w:space="0" w:color="auto"/>
        <w:left w:val="none" w:sz="0" w:space="0" w:color="auto"/>
        <w:bottom w:val="none" w:sz="0" w:space="0" w:color="auto"/>
        <w:right w:val="none" w:sz="0" w:space="0" w:color="auto"/>
      </w:divBdr>
    </w:div>
    <w:div w:id="1718774674">
      <w:bodyDiv w:val="1"/>
      <w:marLeft w:val="0"/>
      <w:marRight w:val="0"/>
      <w:marTop w:val="0"/>
      <w:marBottom w:val="0"/>
      <w:divBdr>
        <w:top w:val="none" w:sz="0" w:space="0" w:color="auto"/>
        <w:left w:val="none" w:sz="0" w:space="0" w:color="auto"/>
        <w:bottom w:val="none" w:sz="0" w:space="0" w:color="auto"/>
        <w:right w:val="none" w:sz="0" w:space="0" w:color="auto"/>
      </w:divBdr>
    </w:div>
    <w:div w:id="1718814103">
      <w:bodyDiv w:val="1"/>
      <w:marLeft w:val="0"/>
      <w:marRight w:val="0"/>
      <w:marTop w:val="0"/>
      <w:marBottom w:val="0"/>
      <w:divBdr>
        <w:top w:val="none" w:sz="0" w:space="0" w:color="auto"/>
        <w:left w:val="none" w:sz="0" w:space="0" w:color="auto"/>
        <w:bottom w:val="none" w:sz="0" w:space="0" w:color="auto"/>
        <w:right w:val="none" w:sz="0" w:space="0" w:color="auto"/>
      </w:divBdr>
    </w:div>
    <w:div w:id="1718820993">
      <w:bodyDiv w:val="1"/>
      <w:marLeft w:val="0"/>
      <w:marRight w:val="0"/>
      <w:marTop w:val="0"/>
      <w:marBottom w:val="0"/>
      <w:divBdr>
        <w:top w:val="none" w:sz="0" w:space="0" w:color="auto"/>
        <w:left w:val="none" w:sz="0" w:space="0" w:color="auto"/>
        <w:bottom w:val="none" w:sz="0" w:space="0" w:color="auto"/>
        <w:right w:val="none" w:sz="0" w:space="0" w:color="auto"/>
      </w:divBdr>
    </w:div>
    <w:div w:id="1720208488">
      <w:bodyDiv w:val="1"/>
      <w:marLeft w:val="0"/>
      <w:marRight w:val="0"/>
      <w:marTop w:val="0"/>
      <w:marBottom w:val="0"/>
      <w:divBdr>
        <w:top w:val="none" w:sz="0" w:space="0" w:color="auto"/>
        <w:left w:val="none" w:sz="0" w:space="0" w:color="auto"/>
        <w:bottom w:val="none" w:sz="0" w:space="0" w:color="auto"/>
        <w:right w:val="none" w:sz="0" w:space="0" w:color="auto"/>
      </w:divBdr>
    </w:div>
    <w:div w:id="1720590787">
      <w:bodyDiv w:val="1"/>
      <w:marLeft w:val="0"/>
      <w:marRight w:val="0"/>
      <w:marTop w:val="0"/>
      <w:marBottom w:val="0"/>
      <w:divBdr>
        <w:top w:val="none" w:sz="0" w:space="0" w:color="auto"/>
        <w:left w:val="none" w:sz="0" w:space="0" w:color="auto"/>
        <w:bottom w:val="none" w:sz="0" w:space="0" w:color="auto"/>
        <w:right w:val="none" w:sz="0" w:space="0" w:color="auto"/>
      </w:divBdr>
    </w:div>
    <w:div w:id="1722822162">
      <w:bodyDiv w:val="1"/>
      <w:marLeft w:val="0"/>
      <w:marRight w:val="0"/>
      <w:marTop w:val="0"/>
      <w:marBottom w:val="0"/>
      <w:divBdr>
        <w:top w:val="none" w:sz="0" w:space="0" w:color="auto"/>
        <w:left w:val="none" w:sz="0" w:space="0" w:color="auto"/>
        <w:bottom w:val="none" w:sz="0" w:space="0" w:color="auto"/>
        <w:right w:val="none" w:sz="0" w:space="0" w:color="auto"/>
      </w:divBdr>
    </w:div>
    <w:div w:id="1722901045">
      <w:bodyDiv w:val="1"/>
      <w:marLeft w:val="0"/>
      <w:marRight w:val="0"/>
      <w:marTop w:val="0"/>
      <w:marBottom w:val="0"/>
      <w:divBdr>
        <w:top w:val="none" w:sz="0" w:space="0" w:color="auto"/>
        <w:left w:val="none" w:sz="0" w:space="0" w:color="auto"/>
        <w:bottom w:val="none" w:sz="0" w:space="0" w:color="auto"/>
        <w:right w:val="none" w:sz="0" w:space="0" w:color="auto"/>
      </w:divBdr>
    </w:div>
    <w:div w:id="1722905178">
      <w:bodyDiv w:val="1"/>
      <w:marLeft w:val="0"/>
      <w:marRight w:val="0"/>
      <w:marTop w:val="0"/>
      <w:marBottom w:val="0"/>
      <w:divBdr>
        <w:top w:val="none" w:sz="0" w:space="0" w:color="auto"/>
        <w:left w:val="none" w:sz="0" w:space="0" w:color="auto"/>
        <w:bottom w:val="none" w:sz="0" w:space="0" w:color="auto"/>
        <w:right w:val="none" w:sz="0" w:space="0" w:color="auto"/>
      </w:divBdr>
    </w:div>
    <w:div w:id="1725062956">
      <w:bodyDiv w:val="1"/>
      <w:marLeft w:val="0"/>
      <w:marRight w:val="0"/>
      <w:marTop w:val="0"/>
      <w:marBottom w:val="0"/>
      <w:divBdr>
        <w:top w:val="none" w:sz="0" w:space="0" w:color="auto"/>
        <w:left w:val="none" w:sz="0" w:space="0" w:color="auto"/>
        <w:bottom w:val="none" w:sz="0" w:space="0" w:color="auto"/>
        <w:right w:val="none" w:sz="0" w:space="0" w:color="auto"/>
      </w:divBdr>
    </w:div>
    <w:div w:id="1729910846">
      <w:bodyDiv w:val="1"/>
      <w:marLeft w:val="0"/>
      <w:marRight w:val="0"/>
      <w:marTop w:val="0"/>
      <w:marBottom w:val="0"/>
      <w:divBdr>
        <w:top w:val="none" w:sz="0" w:space="0" w:color="auto"/>
        <w:left w:val="none" w:sz="0" w:space="0" w:color="auto"/>
        <w:bottom w:val="none" w:sz="0" w:space="0" w:color="auto"/>
        <w:right w:val="none" w:sz="0" w:space="0" w:color="auto"/>
      </w:divBdr>
    </w:div>
    <w:div w:id="1734087463">
      <w:bodyDiv w:val="1"/>
      <w:marLeft w:val="0"/>
      <w:marRight w:val="0"/>
      <w:marTop w:val="0"/>
      <w:marBottom w:val="0"/>
      <w:divBdr>
        <w:top w:val="none" w:sz="0" w:space="0" w:color="auto"/>
        <w:left w:val="none" w:sz="0" w:space="0" w:color="auto"/>
        <w:bottom w:val="none" w:sz="0" w:space="0" w:color="auto"/>
        <w:right w:val="none" w:sz="0" w:space="0" w:color="auto"/>
      </w:divBdr>
    </w:div>
    <w:div w:id="1735546639">
      <w:bodyDiv w:val="1"/>
      <w:marLeft w:val="0"/>
      <w:marRight w:val="0"/>
      <w:marTop w:val="0"/>
      <w:marBottom w:val="0"/>
      <w:divBdr>
        <w:top w:val="none" w:sz="0" w:space="0" w:color="auto"/>
        <w:left w:val="none" w:sz="0" w:space="0" w:color="auto"/>
        <w:bottom w:val="none" w:sz="0" w:space="0" w:color="auto"/>
        <w:right w:val="none" w:sz="0" w:space="0" w:color="auto"/>
      </w:divBdr>
    </w:div>
    <w:div w:id="1737435543">
      <w:bodyDiv w:val="1"/>
      <w:marLeft w:val="0"/>
      <w:marRight w:val="0"/>
      <w:marTop w:val="0"/>
      <w:marBottom w:val="0"/>
      <w:divBdr>
        <w:top w:val="none" w:sz="0" w:space="0" w:color="auto"/>
        <w:left w:val="none" w:sz="0" w:space="0" w:color="auto"/>
        <w:bottom w:val="none" w:sz="0" w:space="0" w:color="auto"/>
        <w:right w:val="none" w:sz="0" w:space="0" w:color="auto"/>
      </w:divBdr>
    </w:div>
    <w:div w:id="1740129661">
      <w:bodyDiv w:val="1"/>
      <w:marLeft w:val="0"/>
      <w:marRight w:val="0"/>
      <w:marTop w:val="0"/>
      <w:marBottom w:val="0"/>
      <w:divBdr>
        <w:top w:val="none" w:sz="0" w:space="0" w:color="auto"/>
        <w:left w:val="none" w:sz="0" w:space="0" w:color="auto"/>
        <w:bottom w:val="none" w:sz="0" w:space="0" w:color="auto"/>
        <w:right w:val="none" w:sz="0" w:space="0" w:color="auto"/>
      </w:divBdr>
    </w:div>
    <w:div w:id="1741248257">
      <w:bodyDiv w:val="1"/>
      <w:marLeft w:val="0"/>
      <w:marRight w:val="0"/>
      <w:marTop w:val="0"/>
      <w:marBottom w:val="0"/>
      <w:divBdr>
        <w:top w:val="none" w:sz="0" w:space="0" w:color="auto"/>
        <w:left w:val="none" w:sz="0" w:space="0" w:color="auto"/>
        <w:bottom w:val="none" w:sz="0" w:space="0" w:color="auto"/>
        <w:right w:val="none" w:sz="0" w:space="0" w:color="auto"/>
      </w:divBdr>
    </w:div>
    <w:div w:id="1743329368">
      <w:bodyDiv w:val="1"/>
      <w:marLeft w:val="0"/>
      <w:marRight w:val="0"/>
      <w:marTop w:val="0"/>
      <w:marBottom w:val="0"/>
      <w:divBdr>
        <w:top w:val="none" w:sz="0" w:space="0" w:color="auto"/>
        <w:left w:val="none" w:sz="0" w:space="0" w:color="auto"/>
        <w:bottom w:val="none" w:sz="0" w:space="0" w:color="auto"/>
        <w:right w:val="none" w:sz="0" w:space="0" w:color="auto"/>
      </w:divBdr>
    </w:div>
    <w:div w:id="1744138212">
      <w:bodyDiv w:val="1"/>
      <w:marLeft w:val="0"/>
      <w:marRight w:val="0"/>
      <w:marTop w:val="0"/>
      <w:marBottom w:val="0"/>
      <w:divBdr>
        <w:top w:val="none" w:sz="0" w:space="0" w:color="auto"/>
        <w:left w:val="none" w:sz="0" w:space="0" w:color="auto"/>
        <w:bottom w:val="none" w:sz="0" w:space="0" w:color="auto"/>
        <w:right w:val="none" w:sz="0" w:space="0" w:color="auto"/>
      </w:divBdr>
    </w:div>
    <w:div w:id="1746342479">
      <w:bodyDiv w:val="1"/>
      <w:marLeft w:val="0"/>
      <w:marRight w:val="0"/>
      <w:marTop w:val="0"/>
      <w:marBottom w:val="0"/>
      <w:divBdr>
        <w:top w:val="none" w:sz="0" w:space="0" w:color="auto"/>
        <w:left w:val="none" w:sz="0" w:space="0" w:color="auto"/>
        <w:bottom w:val="none" w:sz="0" w:space="0" w:color="auto"/>
        <w:right w:val="none" w:sz="0" w:space="0" w:color="auto"/>
      </w:divBdr>
    </w:div>
    <w:div w:id="1746415706">
      <w:bodyDiv w:val="1"/>
      <w:marLeft w:val="0"/>
      <w:marRight w:val="0"/>
      <w:marTop w:val="0"/>
      <w:marBottom w:val="0"/>
      <w:divBdr>
        <w:top w:val="none" w:sz="0" w:space="0" w:color="auto"/>
        <w:left w:val="none" w:sz="0" w:space="0" w:color="auto"/>
        <w:bottom w:val="none" w:sz="0" w:space="0" w:color="auto"/>
        <w:right w:val="none" w:sz="0" w:space="0" w:color="auto"/>
      </w:divBdr>
    </w:div>
    <w:div w:id="1750422974">
      <w:bodyDiv w:val="1"/>
      <w:marLeft w:val="0"/>
      <w:marRight w:val="0"/>
      <w:marTop w:val="0"/>
      <w:marBottom w:val="0"/>
      <w:divBdr>
        <w:top w:val="none" w:sz="0" w:space="0" w:color="auto"/>
        <w:left w:val="none" w:sz="0" w:space="0" w:color="auto"/>
        <w:bottom w:val="none" w:sz="0" w:space="0" w:color="auto"/>
        <w:right w:val="none" w:sz="0" w:space="0" w:color="auto"/>
      </w:divBdr>
    </w:div>
    <w:div w:id="1752197545">
      <w:bodyDiv w:val="1"/>
      <w:marLeft w:val="0"/>
      <w:marRight w:val="0"/>
      <w:marTop w:val="0"/>
      <w:marBottom w:val="0"/>
      <w:divBdr>
        <w:top w:val="none" w:sz="0" w:space="0" w:color="auto"/>
        <w:left w:val="none" w:sz="0" w:space="0" w:color="auto"/>
        <w:bottom w:val="none" w:sz="0" w:space="0" w:color="auto"/>
        <w:right w:val="none" w:sz="0" w:space="0" w:color="auto"/>
      </w:divBdr>
    </w:div>
    <w:div w:id="1753043298">
      <w:bodyDiv w:val="1"/>
      <w:marLeft w:val="0"/>
      <w:marRight w:val="0"/>
      <w:marTop w:val="0"/>
      <w:marBottom w:val="0"/>
      <w:divBdr>
        <w:top w:val="none" w:sz="0" w:space="0" w:color="auto"/>
        <w:left w:val="none" w:sz="0" w:space="0" w:color="auto"/>
        <w:bottom w:val="none" w:sz="0" w:space="0" w:color="auto"/>
        <w:right w:val="none" w:sz="0" w:space="0" w:color="auto"/>
      </w:divBdr>
    </w:div>
    <w:div w:id="1755585244">
      <w:bodyDiv w:val="1"/>
      <w:marLeft w:val="0"/>
      <w:marRight w:val="0"/>
      <w:marTop w:val="0"/>
      <w:marBottom w:val="0"/>
      <w:divBdr>
        <w:top w:val="none" w:sz="0" w:space="0" w:color="auto"/>
        <w:left w:val="none" w:sz="0" w:space="0" w:color="auto"/>
        <w:bottom w:val="none" w:sz="0" w:space="0" w:color="auto"/>
        <w:right w:val="none" w:sz="0" w:space="0" w:color="auto"/>
      </w:divBdr>
    </w:div>
    <w:div w:id="1756508301">
      <w:bodyDiv w:val="1"/>
      <w:marLeft w:val="0"/>
      <w:marRight w:val="0"/>
      <w:marTop w:val="0"/>
      <w:marBottom w:val="0"/>
      <w:divBdr>
        <w:top w:val="none" w:sz="0" w:space="0" w:color="auto"/>
        <w:left w:val="none" w:sz="0" w:space="0" w:color="auto"/>
        <w:bottom w:val="none" w:sz="0" w:space="0" w:color="auto"/>
        <w:right w:val="none" w:sz="0" w:space="0" w:color="auto"/>
      </w:divBdr>
    </w:div>
    <w:div w:id="1756707112">
      <w:bodyDiv w:val="1"/>
      <w:marLeft w:val="0"/>
      <w:marRight w:val="0"/>
      <w:marTop w:val="0"/>
      <w:marBottom w:val="0"/>
      <w:divBdr>
        <w:top w:val="none" w:sz="0" w:space="0" w:color="auto"/>
        <w:left w:val="none" w:sz="0" w:space="0" w:color="auto"/>
        <w:bottom w:val="none" w:sz="0" w:space="0" w:color="auto"/>
        <w:right w:val="none" w:sz="0" w:space="0" w:color="auto"/>
      </w:divBdr>
    </w:div>
    <w:div w:id="1757284001">
      <w:bodyDiv w:val="1"/>
      <w:marLeft w:val="0"/>
      <w:marRight w:val="0"/>
      <w:marTop w:val="0"/>
      <w:marBottom w:val="0"/>
      <w:divBdr>
        <w:top w:val="none" w:sz="0" w:space="0" w:color="auto"/>
        <w:left w:val="none" w:sz="0" w:space="0" w:color="auto"/>
        <w:bottom w:val="none" w:sz="0" w:space="0" w:color="auto"/>
        <w:right w:val="none" w:sz="0" w:space="0" w:color="auto"/>
      </w:divBdr>
    </w:div>
    <w:div w:id="1757823823">
      <w:bodyDiv w:val="1"/>
      <w:marLeft w:val="0"/>
      <w:marRight w:val="0"/>
      <w:marTop w:val="0"/>
      <w:marBottom w:val="0"/>
      <w:divBdr>
        <w:top w:val="none" w:sz="0" w:space="0" w:color="auto"/>
        <w:left w:val="none" w:sz="0" w:space="0" w:color="auto"/>
        <w:bottom w:val="none" w:sz="0" w:space="0" w:color="auto"/>
        <w:right w:val="none" w:sz="0" w:space="0" w:color="auto"/>
      </w:divBdr>
    </w:div>
    <w:div w:id="1759598517">
      <w:bodyDiv w:val="1"/>
      <w:marLeft w:val="0"/>
      <w:marRight w:val="0"/>
      <w:marTop w:val="0"/>
      <w:marBottom w:val="0"/>
      <w:divBdr>
        <w:top w:val="none" w:sz="0" w:space="0" w:color="auto"/>
        <w:left w:val="none" w:sz="0" w:space="0" w:color="auto"/>
        <w:bottom w:val="none" w:sz="0" w:space="0" w:color="auto"/>
        <w:right w:val="none" w:sz="0" w:space="0" w:color="auto"/>
      </w:divBdr>
    </w:div>
    <w:div w:id="1759979079">
      <w:bodyDiv w:val="1"/>
      <w:marLeft w:val="0"/>
      <w:marRight w:val="0"/>
      <w:marTop w:val="0"/>
      <w:marBottom w:val="0"/>
      <w:divBdr>
        <w:top w:val="none" w:sz="0" w:space="0" w:color="auto"/>
        <w:left w:val="none" w:sz="0" w:space="0" w:color="auto"/>
        <w:bottom w:val="none" w:sz="0" w:space="0" w:color="auto"/>
        <w:right w:val="none" w:sz="0" w:space="0" w:color="auto"/>
      </w:divBdr>
    </w:div>
    <w:div w:id="1762332975">
      <w:bodyDiv w:val="1"/>
      <w:marLeft w:val="0"/>
      <w:marRight w:val="0"/>
      <w:marTop w:val="0"/>
      <w:marBottom w:val="0"/>
      <w:divBdr>
        <w:top w:val="none" w:sz="0" w:space="0" w:color="auto"/>
        <w:left w:val="none" w:sz="0" w:space="0" w:color="auto"/>
        <w:bottom w:val="none" w:sz="0" w:space="0" w:color="auto"/>
        <w:right w:val="none" w:sz="0" w:space="0" w:color="auto"/>
      </w:divBdr>
    </w:div>
    <w:div w:id="1766030738">
      <w:bodyDiv w:val="1"/>
      <w:marLeft w:val="0"/>
      <w:marRight w:val="0"/>
      <w:marTop w:val="0"/>
      <w:marBottom w:val="0"/>
      <w:divBdr>
        <w:top w:val="none" w:sz="0" w:space="0" w:color="auto"/>
        <w:left w:val="none" w:sz="0" w:space="0" w:color="auto"/>
        <w:bottom w:val="none" w:sz="0" w:space="0" w:color="auto"/>
        <w:right w:val="none" w:sz="0" w:space="0" w:color="auto"/>
      </w:divBdr>
    </w:div>
    <w:div w:id="1766146206">
      <w:bodyDiv w:val="1"/>
      <w:marLeft w:val="0"/>
      <w:marRight w:val="0"/>
      <w:marTop w:val="0"/>
      <w:marBottom w:val="0"/>
      <w:divBdr>
        <w:top w:val="none" w:sz="0" w:space="0" w:color="auto"/>
        <w:left w:val="none" w:sz="0" w:space="0" w:color="auto"/>
        <w:bottom w:val="none" w:sz="0" w:space="0" w:color="auto"/>
        <w:right w:val="none" w:sz="0" w:space="0" w:color="auto"/>
      </w:divBdr>
    </w:div>
    <w:div w:id="1767070097">
      <w:bodyDiv w:val="1"/>
      <w:marLeft w:val="0"/>
      <w:marRight w:val="0"/>
      <w:marTop w:val="0"/>
      <w:marBottom w:val="0"/>
      <w:divBdr>
        <w:top w:val="none" w:sz="0" w:space="0" w:color="auto"/>
        <w:left w:val="none" w:sz="0" w:space="0" w:color="auto"/>
        <w:bottom w:val="none" w:sz="0" w:space="0" w:color="auto"/>
        <w:right w:val="none" w:sz="0" w:space="0" w:color="auto"/>
      </w:divBdr>
    </w:div>
    <w:div w:id="1768233746">
      <w:bodyDiv w:val="1"/>
      <w:marLeft w:val="0"/>
      <w:marRight w:val="0"/>
      <w:marTop w:val="0"/>
      <w:marBottom w:val="0"/>
      <w:divBdr>
        <w:top w:val="none" w:sz="0" w:space="0" w:color="auto"/>
        <w:left w:val="none" w:sz="0" w:space="0" w:color="auto"/>
        <w:bottom w:val="none" w:sz="0" w:space="0" w:color="auto"/>
        <w:right w:val="none" w:sz="0" w:space="0" w:color="auto"/>
      </w:divBdr>
    </w:div>
    <w:div w:id="1770198319">
      <w:bodyDiv w:val="1"/>
      <w:marLeft w:val="0"/>
      <w:marRight w:val="0"/>
      <w:marTop w:val="0"/>
      <w:marBottom w:val="0"/>
      <w:divBdr>
        <w:top w:val="none" w:sz="0" w:space="0" w:color="auto"/>
        <w:left w:val="none" w:sz="0" w:space="0" w:color="auto"/>
        <w:bottom w:val="none" w:sz="0" w:space="0" w:color="auto"/>
        <w:right w:val="none" w:sz="0" w:space="0" w:color="auto"/>
      </w:divBdr>
    </w:div>
    <w:div w:id="1775007611">
      <w:bodyDiv w:val="1"/>
      <w:marLeft w:val="0"/>
      <w:marRight w:val="0"/>
      <w:marTop w:val="0"/>
      <w:marBottom w:val="0"/>
      <w:divBdr>
        <w:top w:val="none" w:sz="0" w:space="0" w:color="auto"/>
        <w:left w:val="none" w:sz="0" w:space="0" w:color="auto"/>
        <w:bottom w:val="none" w:sz="0" w:space="0" w:color="auto"/>
        <w:right w:val="none" w:sz="0" w:space="0" w:color="auto"/>
      </w:divBdr>
    </w:div>
    <w:div w:id="1775053223">
      <w:bodyDiv w:val="1"/>
      <w:marLeft w:val="0"/>
      <w:marRight w:val="0"/>
      <w:marTop w:val="0"/>
      <w:marBottom w:val="0"/>
      <w:divBdr>
        <w:top w:val="none" w:sz="0" w:space="0" w:color="auto"/>
        <w:left w:val="none" w:sz="0" w:space="0" w:color="auto"/>
        <w:bottom w:val="none" w:sz="0" w:space="0" w:color="auto"/>
        <w:right w:val="none" w:sz="0" w:space="0" w:color="auto"/>
      </w:divBdr>
    </w:div>
    <w:div w:id="1776095809">
      <w:bodyDiv w:val="1"/>
      <w:marLeft w:val="0"/>
      <w:marRight w:val="0"/>
      <w:marTop w:val="0"/>
      <w:marBottom w:val="0"/>
      <w:divBdr>
        <w:top w:val="none" w:sz="0" w:space="0" w:color="auto"/>
        <w:left w:val="none" w:sz="0" w:space="0" w:color="auto"/>
        <w:bottom w:val="none" w:sz="0" w:space="0" w:color="auto"/>
        <w:right w:val="none" w:sz="0" w:space="0" w:color="auto"/>
      </w:divBdr>
    </w:div>
    <w:div w:id="1780250035">
      <w:bodyDiv w:val="1"/>
      <w:marLeft w:val="0"/>
      <w:marRight w:val="0"/>
      <w:marTop w:val="0"/>
      <w:marBottom w:val="0"/>
      <w:divBdr>
        <w:top w:val="none" w:sz="0" w:space="0" w:color="auto"/>
        <w:left w:val="none" w:sz="0" w:space="0" w:color="auto"/>
        <w:bottom w:val="none" w:sz="0" w:space="0" w:color="auto"/>
        <w:right w:val="none" w:sz="0" w:space="0" w:color="auto"/>
      </w:divBdr>
    </w:div>
    <w:div w:id="1780679941">
      <w:bodyDiv w:val="1"/>
      <w:marLeft w:val="0"/>
      <w:marRight w:val="0"/>
      <w:marTop w:val="0"/>
      <w:marBottom w:val="0"/>
      <w:divBdr>
        <w:top w:val="none" w:sz="0" w:space="0" w:color="auto"/>
        <w:left w:val="none" w:sz="0" w:space="0" w:color="auto"/>
        <w:bottom w:val="none" w:sz="0" w:space="0" w:color="auto"/>
        <w:right w:val="none" w:sz="0" w:space="0" w:color="auto"/>
      </w:divBdr>
    </w:div>
    <w:div w:id="1781022158">
      <w:bodyDiv w:val="1"/>
      <w:marLeft w:val="0"/>
      <w:marRight w:val="0"/>
      <w:marTop w:val="0"/>
      <w:marBottom w:val="0"/>
      <w:divBdr>
        <w:top w:val="none" w:sz="0" w:space="0" w:color="auto"/>
        <w:left w:val="none" w:sz="0" w:space="0" w:color="auto"/>
        <w:bottom w:val="none" w:sz="0" w:space="0" w:color="auto"/>
        <w:right w:val="none" w:sz="0" w:space="0" w:color="auto"/>
      </w:divBdr>
    </w:div>
    <w:div w:id="1783718633">
      <w:bodyDiv w:val="1"/>
      <w:marLeft w:val="0"/>
      <w:marRight w:val="0"/>
      <w:marTop w:val="0"/>
      <w:marBottom w:val="0"/>
      <w:divBdr>
        <w:top w:val="none" w:sz="0" w:space="0" w:color="auto"/>
        <w:left w:val="none" w:sz="0" w:space="0" w:color="auto"/>
        <w:bottom w:val="none" w:sz="0" w:space="0" w:color="auto"/>
        <w:right w:val="none" w:sz="0" w:space="0" w:color="auto"/>
      </w:divBdr>
    </w:div>
    <w:div w:id="1785079851">
      <w:bodyDiv w:val="1"/>
      <w:marLeft w:val="0"/>
      <w:marRight w:val="0"/>
      <w:marTop w:val="0"/>
      <w:marBottom w:val="0"/>
      <w:divBdr>
        <w:top w:val="none" w:sz="0" w:space="0" w:color="auto"/>
        <w:left w:val="none" w:sz="0" w:space="0" w:color="auto"/>
        <w:bottom w:val="none" w:sz="0" w:space="0" w:color="auto"/>
        <w:right w:val="none" w:sz="0" w:space="0" w:color="auto"/>
      </w:divBdr>
    </w:div>
    <w:div w:id="1787626290">
      <w:bodyDiv w:val="1"/>
      <w:marLeft w:val="0"/>
      <w:marRight w:val="0"/>
      <w:marTop w:val="0"/>
      <w:marBottom w:val="0"/>
      <w:divBdr>
        <w:top w:val="none" w:sz="0" w:space="0" w:color="auto"/>
        <w:left w:val="none" w:sz="0" w:space="0" w:color="auto"/>
        <w:bottom w:val="none" w:sz="0" w:space="0" w:color="auto"/>
        <w:right w:val="none" w:sz="0" w:space="0" w:color="auto"/>
      </w:divBdr>
    </w:div>
    <w:div w:id="1789663619">
      <w:bodyDiv w:val="1"/>
      <w:marLeft w:val="0"/>
      <w:marRight w:val="0"/>
      <w:marTop w:val="0"/>
      <w:marBottom w:val="0"/>
      <w:divBdr>
        <w:top w:val="none" w:sz="0" w:space="0" w:color="auto"/>
        <w:left w:val="none" w:sz="0" w:space="0" w:color="auto"/>
        <w:bottom w:val="none" w:sz="0" w:space="0" w:color="auto"/>
        <w:right w:val="none" w:sz="0" w:space="0" w:color="auto"/>
      </w:divBdr>
    </w:div>
    <w:div w:id="1791893187">
      <w:bodyDiv w:val="1"/>
      <w:marLeft w:val="0"/>
      <w:marRight w:val="0"/>
      <w:marTop w:val="0"/>
      <w:marBottom w:val="0"/>
      <w:divBdr>
        <w:top w:val="none" w:sz="0" w:space="0" w:color="auto"/>
        <w:left w:val="none" w:sz="0" w:space="0" w:color="auto"/>
        <w:bottom w:val="none" w:sz="0" w:space="0" w:color="auto"/>
        <w:right w:val="none" w:sz="0" w:space="0" w:color="auto"/>
      </w:divBdr>
    </w:div>
    <w:div w:id="1798798618">
      <w:bodyDiv w:val="1"/>
      <w:marLeft w:val="0"/>
      <w:marRight w:val="0"/>
      <w:marTop w:val="0"/>
      <w:marBottom w:val="0"/>
      <w:divBdr>
        <w:top w:val="none" w:sz="0" w:space="0" w:color="auto"/>
        <w:left w:val="none" w:sz="0" w:space="0" w:color="auto"/>
        <w:bottom w:val="none" w:sz="0" w:space="0" w:color="auto"/>
        <w:right w:val="none" w:sz="0" w:space="0" w:color="auto"/>
      </w:divBdr>
    </w:div>
    <w:div w:id="1799444584">
      <w:bodyDiv w:val="1"/>
      <w:marLeft w:val="0"/>
      <w:marRight w:val="0"/>
      <w:marTop w:val="0"/>
      <w:marBottom w:val="0"/>
      <w:divBdr>
        <w:top w:val="none" w:sz="0" w:space="0" w:color="auto"/>
        <w:left w:val="none" w:sz="0" w:space="0" w:color="auto"/>
        <w:bottom w:val="none" w:sz="0" w:space="0" w:color="auto"/>
        <w:right w:val="none" w:sz="0" w:space="0" w:color="auto"/>
      </w:divBdr>
    </w:div>
    <w:div w:id="1802306706">
      <w:bodyDiv w:val="1"/>
      <w:marLeft w:val="0"/>
      <w:marRight w:val="0"/>
      <w:marTop w:val="0"/>
      <w:marBottom w:val="0"/>
      <w:divBdr>
        <w:top w:val="none" w:sz="0" w:space="0" w:color="auto"/>
        <w:left w:val="none" w:sz="0" w:space="0" w:color="auto"/>
        <w:bottom w:val="none" w:sz="0" w:space="0" w:color="auto"/>
        <w:right w:val="none" w:sz="0" w:space="0" w:color="auto"/>
      </w:divBdr>
    </w:div>
    <w:div w:id="1802965004">
      <w:bodyDiv w:val="1"/>
      <w:marLeft w:val="0"/>
      <w:marRight w:val="0"/>
      <w:marTop w:val="0"/>
      <w:marBottom w:val="0"/>
      <w:divBdr>
        <w:top w:val="none" w:sz="0" w:space="0" w:color="auto"/>
        <w:left w:val="none" w:sz="0" w:space="0" w:color="auto"/>
        <w:bottom w:val="none" w:sz="0" w:space="0" w:color="auto"/>
        <w:right w:val="none" w:sz="0" w:space="0" w:color="auto"/>
      </w:divBdr>
    </w:div>
    <w:div w:id="1804035993">
      <w:bodyDiv w:val="1"/>
      <w:marLeft w:val="0"/>
      <w:marRight w:val="0"/>
      <w:marTop w:val="0"/>
      <w:marBottom w:val="0"/>
      <w:divBdr>
        <w:top w:val="none" w:sz="0" w:space="0" w:color="auto"/>
        <w:left w:val="none" w:sz="0" w:space="0" w:color="auto"/>
        <w:bottom w:val="none" w:sz="0" w:space="0" w:color="auto"/>
        <w:right w:val="none" w:sz="0" w:space="0" w:color="auto"/>
      </w:divBdr>
    </w:div>
    <w:div w:id="1804150090">
      <w:bodyDiv w:val="1"/>
      <w:marLeft w:val="0"/>
      <w:marRight w:val="0"/>
      <w:marTop w:val="0"/>
      <w:marBottom w:val="0"/>
      <w:divBdr>
        <w:top w:val="none" w:sz="0" w:space="0" w:color="auto"/>
        <w:left w:val="none" w:sz="0" w:space="0" w:color="auto"/>
        <w:bottom w:val="none" w:sz="0" w:space="0" w:color="auto"/>
        <w:right w:val="none" w:sz="0" w:space="0" w:color="auto"/>
      </w:divBdr>
    </w:div>
    <w:div w:id="1805928139">
      <w:bodyDiv w:val="1"/>
      <w:marLeft w:val="0"/>
      <w:marRight w:val="0"/>
      <w:marTop w:val="0"/>
      <w:marBottom w:val="0"/>
      <w:divBdr>
        <w:top w:val="none" w:sz="0" w:space="0" w:color="auto"/>
        <w:left w:val="none" w:sz="0" w:space="0" w:color="auto"/>
        <w:bottom w:val="none" w:sz="0" w:space="0" w:color="auto"/>
        <w:right w:val="none" w:sz="0" w:space="0" w:color="auto"/>
      </w:divBdr>
    </w:div>
    <w:div w:id="1806852323">
      <w:bodyDiv w:val="1"/>
      <w:marLeft w:val="0"/>
      <w:marRight w:val="0"/>
      <w:marTop w:val="0"/>
      <w:marBottom w:val="0"/>
      <w:divBdr>
        <w:top w:val="none" w:sz="0" w:space="0" w:color="auto"/>
        <w:left w:val="none" w:sz="0" w:space="0" w:color="auto"/>
        <w:bottom w:val="none" w:sz="0" w:space="0" w:color="auto"/>
        <w:right w:val="none" w:sz="0" w:space="0" w:color="auto"/>
      </w:divBdr>
    </w:div>
    <w:div w:id="1811746812">
      <w:bodyDiv w:val="1"/>
      <w:marLeft w:val="0"/>
      <w:marRight w:val="0"/>
      <w:marTop w:val="0"/>
      <w:marBottom w:val="0"/>
      <w:divBdr>
        <w:top w:val="none" w:sz="0" w:space="0" w:color="auto"/>
        <w:left w:val="none" w:sz="0" w:space="0" w:color="auto"/>
        <w:bottom w:val="none" w:sz="0" w:space="0" w:color="auto"/>
        <w:right w:val="none" w:sz="0" w:space="0" w:color="auto"/>
      </w:divBdr>
    </w:div>
    <w:div w:id="1812750023">
      <w:bodyDiv w:val="1"/>
      <w:marLeft w:val="0"/>
      <w:marRight w:val="0"/>
      <w:marTop w:val="0"/>
      <w:marBottom w:val="0"/>
      <w:divBdr>
        <w:top w:val="none" w:sz="0" w:space="0" w:color="auto"/>
        <w:left w:val="none" w:sz="0" w:space="0" w:color="auto"/>
        <w:bottom w:val="none" w:sz="0" w:space="0" w:color="auto"/>
        <w:right w:val="none" w:sz="0" w:space="0" w:color="auto"/>
      </w:divBdr>
    </w:div>
    <w:div w:id="1817258284">
      <w:bodyDiv w:val="1"/>
      <w:marLeft w:val="0"/>
      <w:marRight w:val="0"/>
      <w:marTop w:val="0"/>
      <w:marBottom w:val="0"/>
      <w:divBdr>
        <w:top w:val="none" w:sz="0" w:space="0" w:color="auto"/>
        <w:left w:val="none" w:sz="0" w:space="0" w:color="auto"/>
        <w:bottom w:val="none" w:sz="0" w:space="0" w:color="auto"/>
        <w:right w:val="none" w:sz="0" w:space="0" w:color="auto"/>
      </w:divBdr>
    </w:div>
    <w:div w:id="1818034601">
      <w:bodyDiv w:val="1"/>
      <w:marLeft w:val="0"/>
      <w:marRight w:val="0"/>
      <w:marTop w:val="0"/>
      <w:marBottom w:val="0"/>
      <w:divBdr>
        <w:top w:val="none" w:sz="0" w:space="0" w:color="auto"/>
        <w:left w:val="none" w:sz="0" w:space="0" w:color="auto"/>
        <w:bottom w:val="none" w:sz="0" w:space="0" w:color="auto"/>
        <w:right w:val="none" w:sz="0" w:space="0" w:color="auto"/>
      </w:divBdr>
    </w:div>
    <w:div w:id="1820534316">
      <w:bodyDiv w:val="1"/>
      <w:marLeft w:val="0"/>
      <w:marRight w:val="0"/>
      <w:marTop w:val="0"/>
      <w:marBottom w:val="0"/>
      <w:divBdr>
        <w:top w:val="none" w:sz="0" w:space="0" w:color="auto"/>
        <w:left w:val="none" w:sz="0" w:space="0" w:color="auto"/>
        <w:bottom w:val="none" w:sz="0" w:space="0" w:color="auto"/>
        <w:right w:val="none" w:sz="0" w:space="0" w:color="auto"/>
      </w:divBdr>
    </w:div>
    <w:div w:id="1820802274">
      <w:bodyDiv w:val="1"/>
      <w:marLeft w:val="0"/>
      <w:marRight w:val="0"/>
      <w:marTop w:val="0"/>
      <w:marBottom w:val="0"/>
      <w:divBdr>
        <w:top w:val="none" w:sz="0" w:space="0" w:color="auto"/>
        <w:left w:val="none" w:sz="0" w:space="0" w:color="auto"/>
        <w:bottom w:val="none" w:sz="0" w:space="0" w:color="auto"/>
        <w:right w:val="none" w:sz="0" w:space="0" w:color="auto"/>
      </w:divBdr>
    </w:div>
    <w:div w:id="1824393638">
      <w:bodyDiv w:val="1"/>
      <w:marLeft w:val="0"/>
      <w:marRight w:val="0"/>
      <w:marTop w:val="0"/>
      <w:marBottom w:val="0"/>
      <w:divBdr>
        <w:top w:val="none" w:sz="0" w:space="0" w:color="auto"/>
        <w:left w:val="none" w:sz="0" w:space="0" w:color="auto"/>
        <w:bottom w:val="none" w:sz="0" w:space="0" w:color="auto"/>
        <w:right w:val="none" w:sz="0" w:space="0" w:color="auto"/>
      </w:divBdr>
    </w:div>
    <w:div w:id="1825079210">
      <w:bodyDiv w:val="1"/>
      <w:marLeft w:val="0"/>
      <w:marRight w:val="0"/>
      <w:marTop w:val="0"/>
      <w:marBottom w:val="0"/>
      <w:divBdr>
        <w:top w:val="none" w:sz="0" w:space="0" w:color="auto"/>
        <w:left w:val="none" w:sz="0" w:space="0" w:color="auto"/>
        <w:bottom w:val="none" w:sz="0" w:space="0" w:color="auto"/>
        <w:right w:val="none" w:sz="0" w:space="0" w:color="auto"/>
      </w:divBdr>
    </w:div>
    <w:div w:id="1826044747">
      <w:bodyDiv w:val="1"/>
      <w:marLeft w:val="0"/>
      <w:marRight w:val="0"/>
      <w:marTop w:val="0"/>
      <w:marBottom w:val="0"/>
      <w:divBdr>
        <w:top w:val="none" w:sz="0" w:space="0" w:color="auto"/>
        <w:left w:val="none" w:sz="0" w:space="0" w:color="auto"/>
        <w:bottom w:val="none" w:sz="0" w:space="0" w:color="auto"/>
        <w:right w:val="none" w:sz="0" w:space="0" w:color="auto"/>
      </w:divBdr>
    </w:div>
    <w:div w:id="1828129466">
      <w:bodyDiv w:val="1"/>
      <w:marLeft w:val="0"/>
      <w:marRight w:val="0"/>
      <w:marTop w:val="0"/>
      <w:marBottom w:val="0"/>
      <w:divBdr>
        <w:top w:val="none" w:sz="0" w:space="0" w:color="auto"/>
        <w:left w:val="none" w:sz="0" w:space="0" w:color="auto"/>
        <w:bottom w:val="none" w:sz="0" w:space="0" w:color="auto"/>
        <w:right w:val="none" w:sz="0" w:space="0" w:color="auto"/>
      </w:divBdr>
    </w:div>
    <w:div w:id="1830124331">
      <w:bodyDiv w:val="1"/>
      <w:marLeft w:val="0"/>
      <w:marRight w:val="0"/>
      <w:marTop w:val="0"/>
      <w:marBottom w:val="0"/>
      <w:divBdr>
        <w:top w:val="none" w:sz="0" w:space="0" w:color="auto"/>
        <w:left w:val="none" w:sz="0" w:space="0" w:color="auto"/>
        <w:bottom w:val="none" w:sz="0" w:space="0" w:color="auto"/>
        <w:right w:val="none" w:sz="0" w:space="0" w:color="auto"/>
      </w:divBdr>
    </w:div>
    <w:div w:id="1832482136">
      <w:bodyDiv w:val="1"/>
      <w:marLeft w:val="0"/>
      <w:marRight w:val="0"/>
      <w:marTop w:val="0"/>
      <w:marBottom w:val="0"/>
      <w:divBdr>
        <w:top w:val="none" w:sz="0" w:space="0" w:color="auto"/>
        <w:left w:val="none" w:sz="0" w:space="0" w:color="auto"/>
        <w:bottom w:val="none" w:sz="0" w:space="0" w:color="auto"/>
        <w:right w:val="none" w:sz="0" w:space="0" w:color="auto"/>
      </w:divBdr>
    </w:div>
    <w:div w:id="1833644355">
      <w:bodyDiv w:val="1"/>
      <w:marLeft w:val="0"/>
      <w:marRight w:val="0"/>
      <w:marTop w:val="0"/>
      <w:marBottom w:val="0"/>
      <w:divBdr>
        <w:top w:val="none" w:sz="0" w:space="0" w:color="auto"/>
        <w:left w:val="none" w:sz="0" w:space="0" w:color="auto"/>
        <w:bottom w:val="none" w:sz="0" w:space="0" w:color="auto"/>
        <w:right w:val="none" w:sz="0" w:space="0" w:color="auto"/>
      </w:divBdr>
    </w:div>
    <w:div w:id="1834879841">
      <w:bodyDiv w:val="1"/>
      <w:marLeft w:val="0"/>
      <w:marRight w:val="0"/>
      <w:marTop w:val="0"/>
      <w:marBottom w:val="0"/>
      <w:divBdr>
        <w:top w:val="none" w:sz="0" w:space="0" w:color="auto"/>
        <w:left w:val="none" w:sz="0" w:space="0" w:color="auto"/>
        <w:bottom w:val="none" w:sz="0" w:space="0" w:color="auto"/>
        <w:right w:val="none" w:sz="0" w:space="0" w:color="auto"/>
      </w:divBdr>
    </w:div>
    <w:div w:id="1835140854">
      <w:bodyDiv w:val="1"/>
      <w:marLeft w:val="0"/>
      <w:marRight w:val="0"/>
      <w:marTop w:val="0"/>
      <w:marBottom w:val="0"/>
      <w:divBdr>
        <w:top w:val="none" w:sz="0" w:space="0" w:color="auto"/>
        <w:left w:val="none" w:sz="0" w:space="0" w:color="auto"/>
        <w:bottom w:val="none" w:sz="0" w:space="0" w:color="auto"/>
        <w:right w:val="none" w:sz="0" w:space="0" w:color="auto"/>
      </w:divBdr>
    </w:div>
    <w:div w:id="1835680629">
      <w:bodyDiv w:val="1"/>
      <w:marLeft w:val="0"/>
      <w:marRight w:val="0"/>
      <w:marTop w:val="0"/>
      <w:marBottom w:val="0"/>
      <w:divBdr>
        <w:top w:val="none" w:sz="0" w:space="0" w:color="auto"/>
        <w:left w:val="none" w:sz="0" w:space="0" w:color="auto"/>
        <w:bottom w:val="none" w:sz="0" w:space="0" w:color="auto"/>
        <w:right w:val="none" w:sz="0" w:space="0" w:color="auto"/>
      </w:divBdr>
    </w:div>
    <w:div w:id="1837529335">
      <w:bodyDiv w:val="1"/>
      <w:marLeft w:val="0"/>
      <w:marRight w:val="0"/>
      <w:marTop w:val="0"/>
      <w:marBottom w:val="0"/>
      <w:divBdr>
        <w:top w:val="none" w:sz="0" w:space="0" w:color="auto"/>
        <w:left w:val="none" w:sz="0" w:space="0" w:color="auto"/>
        <w:bottom w:val="none" w:sz="0" w:space="0" w:color="auto"/>
        <w:right w:val="none" w:sz="0" w:space="0" w:color="auto"/>
      </w:divBdr>
    </w:div>
    <w:div w:id="1839416364">
      <w:bodyDiv w:val="1"/>
      <w:marLeft w:val="0"/>
      <w:marRight w:val="0"/>
      <w:marTop w:val="0"/>
      <w:marBottom w:val="0"/>
      <w:divBdr>
        <w:top w:val="none" w:sz="0" w:space="0" w:color="auto"/>
        <w:left w:val="none" w:sz="0" w:space="0" w:color="auto"/>
        <w:bottom w:val="none" w:sz="0" w:space="0" w:color="auto"/>
        <w:right w:val="none" w:sz="0" w:space="0" w:color="auto"/>
      </w:divBdr>
    </w:div>
    <w:div w:id="1839734342">
      <w:bodyDiv w:val="1"/>
      <w:marLeft w:val="0"/>
      <w:marRight w:val="0"/>
      <w:marTop w:val="0"/>
      <w:marBottom w:val="0"/>
      <w:divBdr>
        <w:top w:val="none" w:sz="0" w:space="0" w:color="auto"/>
        <w:left w:val="none" w:sz="0" w:space="0" w:color="auto"/>
        <w:bottom w:val="none" w:sz="0" w:space="0" w:color="auto"/>
        <w:right w:val="none" w:sz="0" w:space="0" w:color="auto"/>
      </w:divBdr>
    </w:div>
    <w:div w:id="1840610748">
      <w:bodyDiv w:val="1"/>
      <w:marLeft w:val="0"/>
      <w:marRight w:val="0"/>
      <w:marTop w:val="0"/>
      <w:marBottom w:val="0"/>
      <w:divBdr>
        <w:top w:val="none" w:sz="0" w:space="0" w:color="auto"/>
        <w:left w:val="none" w:sz="0" w:space="0" w:color="auto"/>
        <w:bottom w:val="none" w:sz="0" w:space="0" w:color="auto"/>
        <w:right w:val="none" w:sz="0" w:space="0" w:color="auto"/>
      </w:divBdr>
    </w:div>
    <w:div w:id="1844975179">
      <w:bodyDiv w:val="1"/>
      <w:marLeft w:val="0"/>
      <w:marRight w:val="0"/>
      <w:marTop w:val="0"/>
      <w:marBottom w:val="0"/>
      <w:divBdr>
        <w:top w:val="none" w:sz="0" w:space="0" w:color="auto"/>
        <w:left w:val="none" w:sz="0" w:space="0" w:color="auto"/>
        <w:bottom w:val="none" w:sz="0" w:space="0" w:color="auto"/>
        <w:right w:val="none" w:sz="0" w:space="0" w:color="auto"/>
      </w:divBdr>
    </w:div>
    <w:div w:id="1845244448">
      <w:bodyDiv w:val="1"/>
      <w:marLeft w:val="0"/>
      <w:marRight w:val="0"/>
      <w:marTop w:val="0"/>
      <w:marBottom w:val="0"/>
      <w:divBdr>
        <w:top w:val="none" w:sz="0" w:space="0" w:color="auto"/>
        <w:left w:val="none" w:sz="0" w:space="0" w:color="auto"/>
        <w:bottom w:val="none" w:sz="0" w:space="0" w:color="auto"/>
        <w:right w:val="none" w:sz="0" w:space="0" w:color="auto"/>
      </w:divBdr>
    </w:div>
    <w:div w:id="1845322965">
      <w:bodyDiv w:val="1"/>
      <w:marLeft w:val="0"/>
      <w:marRight w:val="0"/>
      <w:marTop w:val="0"/>
      <w:marBottom w:val="0"/>
      <w:divBdr>
        <w:top w:val="none" w:sz="0" w:space="0" w:color="auto"/>
        <w:left w:val="none" w:sz="0" w:space="0" w:color="auto"/>
        <w:bottom w:val="none" w:sz="0" w:space="0" w:color="auto"/>
        <w:right w:val="none" w:sz="0" w:space="0" w:color="auto"/>
      </w:divBdr>
    </w:div>
    <w:div w:id="1848787315">
      <w:bodyDiv w:val="1"/>
      <w:marLeft w:val="0"/>
      <w:marRight w:val="0"/>
      <w:marTop w:val="0"/>
      <w:marBottom w:val="0"/>
      <w:divBdr>
        <w:top w:val="none" w:sz="0" w:space="0" w:color="auto"/>
        <w:left w:val="none" w:sz="0" w:space="0" w:color="auto"/>
        <w:bottom w:val="none" w:sz="0" w:space="0" w:color="auto"/>
        <w:right w:val="none" w:sz="0" w:space="0" w:color="auto"/>
      </w:divBdr>
    </w:div>
    <w:div w:id="1849639402">
      <w:bodyDiv w:val="1"/>
      <w:marLeft w:val="0"/>
      <w:marRight w:val="0"/>
      <w:marTop w:val="0"/>
      <w:marBottom w:val="0"/>
      <w:divBdr>
        <w:top w:val="none" w:sz="0" w:space="0" w:color="auto"/>
        <w:left w:val="none" w:sz="0" w:space="0" w:color="auto"/>
        <w:bottom w:val="none" w:sz="0" w:space="0" w:color="auto"/>
        <w:right w:val="none" w:sz="0" w:space="0" w:color="auto"/>
      </w:divBdr>
    </w:div>
    <w:div w:id="1850754180">
      <w:bodyDiv w:val="1"/>
      <w:marLeft w:val="0"/>
      <w:marRight w:val="0"/>
      <w:marTop w:val="0"/>
      <w:marBottom w:val="0"/>
      <w:divBdr>
        <w:top w:val="none" w:sz="0" w:space="0" w:color="auto"/>
        <w:left w:val="none" w:sz="0" w:space="0" w:color="auto"/>
        <w:bottom w:val="none" w:sz="0" w:space="0" w:color="auto"/>
        <w:right w:val="none" w:sz="0" w:space="0" w:color="auto"/>
      </w:divBdr>
    </w:div>
    <w:div w:id="1852138011">
      <w:bodyDiv w:val="1"/>
      <w:marLeft w:val="0"/>
      <w:marRight w:val="0"/>
      <w:marTop w:val="0"/>
      <w:marBottom w:val="0"/>
      <w:divBdr>
        <w:top w:val="none" w:sz="0" w:space="0" w:color="auto"/>
        <w:left w:val="none" w:sz="0" w:space="0" w:color="auto"/>
        <w:bottom w:val="none" w:sz="0" w:space="0" w:color="auto"/>
        <w:right w:val="none" w:sz="0" w:space="0" w:color="auto"/>
      </w:divBdr>
    </w:div>
    <w:div w:id="1854420399">
      <w:bodyDiv w:val="1"/>
      <w:marLeft w:val="0"/>
      <w:marRight w:val="0"/>
      <w:marTop w:val="0"/>
      <w:marBottom w:val="0"/>
      <w:divBdr>
        <w:top w:val="none" w:sz="0" w:space="0" w:color="auto"/>
        <w:left w:val="none" w:sz="0" w:space="0" w:color="auto"/>
        <w:bottom w:val="none" w:sz="0" w:space="0" w:color="auto"/>
        <w:right w:val="none" w:sz="0" w:space="0" w:color="auto"/>
      </w:divBdr>
    </w:div>
    <w:div w:id="1860509632">
      <w:bodyDiv w:val="1"/>
      <w:marLeft w:val="0"/>
      <w:marRight w:val="0"/>
      <w:marTop w:val="0"/>
      <w:marBottom w:val="0"/>
      <w:divBdr>
        <w:top w:val="none" w:sz="0" w:space="0" w:color="auto"/>
        <w:left w:val="none" w:sz="0" w:space="0" w:color="auto"/>
        <w:bottom w:val="none" w:sz="0" w:space="0" w:color="auto"/>
        <w:right w:val="none" w:sz="0" w:space="0" w:color="auto"/>
      </w:divBdr>
    </w:div>
    <w:div w:id="1861581157">
      <w:bodyDiv w:val="1"/>
      <w:marLeft w:val="0"/>
      <w:marRight w:val="0"/>
      <w:marTop w:val="0"/>
      <w:marBottom w:val="0"/>
      <w:divBdr>
        <w:top w:val="none" w:sz="0" w:space="0" w:color="auto"/>
        <w:left w:val="none" w:sz="0" w:space="0" w:color="auto"/>
        <w:bottom w:val="none" w:sz="0" w:space="0" w:color="auto"/>
        <w:right w:val="none" w:sz="0" w:space="0" w:color="auto"/>
      </w:divBdr>
    </w:div>
    <w:div w:id="1863207762">
      <w:bodyDiv w:val="1"/>
      <w:marLeft w:val="0"/>
      <w:marRight w:val="0"/>
      <w:marTop w:val="0"/>
      <w:marBottom w:val="0"/>
      <w:divBdr>
        <w:top w:val="none" w:sz="0" w:space="0" w:color="auto"/>
        <w:left w:val="none" w:sz="0" w:space="0" w:color="auto"/>
        <w:bottom w:val="none" w:sz="0" w:space="0" w:color="auto"/>
        <w:right w:val="none" w:sz="0" w:space="0" w:color="auto"/>
      </w:divBdr>
    </w:div>
    <w:div w:id="1867012539">
      <w:bodyDiv w:val="1"/>
      <w:marLeft w:val="0"/>
      <w:marRight w:val="0"/>
      <w:marTop w:val="0"/>
      <w:marBottom w:val="0"/>
      <w:divBdr>
        <w:top w:val="none" w:sz="0" w:space="0" w:color="auto"/>
        <w:left w:val="none" w:sz="0" w:space="0" w:color="auto"/>
        <w:bottom w:val="none" w:sz="0" w:space="0" w:color="auto"/>
        <w:right w:val="none" w:sz="0" w:space="0" w:color="auto"/>
      </w:divBdr>
    </w:div>
    <w:div w:id="1868983048">
      <w:bodyDiv w:val="1"/>
      <w:marLeft w:val="0"/>
      <w:marRight w:val="0"/>
      <w:marTop w:val="0"/>
      <w:marBottom w:val="0"/>
      <w:divBdr>
        <w:top w:val="none" w:sz="0" w:space="0" w:color="auto"/>
        <w:left w:val="none" w:sz="0" w:space="0" w:color="auto"/>
        <w:bottom w:val="none" w:sz="0" w:space="0" w:color="auto"/>
        <w:right w:val="none" w:sz="0" w:space="0" w:color="auto"/>
      </w:divBdr>
    </w:div>
    <w:div w:id="1869294547">
      <w:bodyDiv w:val="1"/>
      <w:marLeft w:val="0"/>
      <w:marRight w:val="0"/>
      <w:marTop w:val="0"/>
      <w:marBottom w:val="0"/>
      <w:divBdr>
        <w:top w:val="none" w:sz="0" w:space="0" w:color="auto"/>
        <w:left w:val="none" w:sz="0" w:space="0" w:color="auto"/>
        <w:bottom w:val="none" w:sz="0" w:space="0" w:color="auto"/>
        <w:right w:val="none" w:sz="0" w:space="0" w:color="auto"/>
      </w:divBdr>
    </w:div>
    <w:div w:id="1871331155">
      <w:bodyDiv w:val="1"/>
      <w:marLeft w:val="0"/>
      <w:marRight w:val="0"/>
      <w:marTop w:val="0"/>
      <w:marBottom w:val="0"/>
      <w:divBdr>
        <w:top w:val="none" w:sz="0" w:space="0" w:color="auto"/>
        <w:left w:val="none" w:sz="0" w:space="0" w:color="auto"/>
        <w:bottom w:val="none" w:sz="0" w:space="0" w:color="auto"/>
        <w:right w:val="none" w:sz="0" w:space="0" w:color="auto"/>
      </w:divBdr>
    </w:div>
    <w:div w:id="1873104763">
      <w:bodyDiv w:val="1"/>
      <w:marLeft w:val="0"/>
      <w:marRight w:val="0"/>
      <w:marTop w:val="0"/>
      <w:marBottom w:val="0"/>
      <w:divBdr>
        <w:top w:val="none" w:sz="0" w:space="0" w:color="auto"/>
        <w:left w:val="none" w:sz="0" w:space="0" w:color="auto"/>
        <w:bottom w:val="none" w:sz="0" w:space="0" w:color="auto"/>
        <w:right w:val="none" w:sz="0" w:space="0" w:color="auto"/>
      </w:divBdr>
    </w:div>
    <w:div w:id="1874423425">
      <w:bodyDiv w:val="1"/>
      <w:marLeft w:val="0"/>
      <w:marRight w:val="0"/>
      <w:marTop w:val="0"/>
      <w:marBottom w:val="0"/>
      <w:divBdr>
        <w:top w:val="none" w:sz="0" w:space="0" w:color="auto"/>
        <w:left w:val="none" w:sz="0" w:space="0" w:color="auto"/>
        <w:bottom w:val="none" w:sz="0" w:space="0" w:color="auto"/>
        <w:right w:val="none" w:sz="0" w:space="0" w:color="auto"/>
      </w:divBdr>
    </w:div>
    <w:div w:id="1875120567">
      <w:bodyDiv w:val="1"/>
      <w:marLeft w:val="0"/>
      <w:marRight w:val="0"/>
      <w:marTop w:val="0"/>
      <w:marBottom w:val="0"/>
      <w:divBdr>
        <w:top w:val="none" w:sz="0" w:space="0" w:color="auto"/>
        <w:left w:val="none" w:sz="0" w:space="0" w:color="auto"/>
        <w:bottom w:val="none" w:sz="0" w:space="0" w:color="auto"/>
        <w:right w:val="none" w:sz="0" w:space="0" w:color="auto"/>
      </w:divBdr>
    </w:div>
    <w:div w:id="1875270763">
      <w:bodyDiv w:val="1"/>
      <w:marLeft w:val="0"/>
      <w:marRight w:val="0"/>
      <w:marTop w:val="0"/>
      <w:marBottom w:val="0"/>
      <w:divBdr>
        <w:top w:val="none" w:sz="0" w:space="0" w:color="auto"/>
        <w:left w:val="none" w:sz="0" w:space="0" w:color="auto"/>
        <w:bottom w:val="none" w:sz="0" w:space="0" w:color="auto"/>
        <w:right w:val="none" w:sz="0" w:space="0" w:color="auto"/>
      </w:divBdr>
    </w:div>
    <w:div w:id="1876114761">
      <w:bodyDiv w:val="1"/>
      <w:marLeft w:val="0"/>
      <w:marRight w:val="0"/>
      <w:marTop w:val="0"/>
      <w:marBottom w:val="0"/>
      <w:divBdr>
        <w:top w:val="none" w:sz="0" w:space="0" w:color="auto"/>
        <w:left w:val="none" w:sz="0" w:space="0" w:color="auto"/>
        <w:bottom w:val="none" w:sz="0" w:space="0" w:color="auto"/>
        <w:right w:val="none" w:sz="0" w:space="0" w:color="auto"/>
      </w:divBdr>
    </w:div>
    <w:div w:id="1876382072">
      <w:bodyDiv w:val="1"/>
      <w:marLeft w:val="0"/>
      <w:marRight w:val="0"/>
      <w:marTop w:val="0"/>
      <w:marBottom w:val="0"/>
      <w:divBdr>
        <w:top w:val="none" w:sz="0" w:space="0" w:color="auto"/>
        <w:left w:val="none" w:sz="0" w:space="0" w:color="auto"/>
        <w:bottom w:val="none" w:sz="0" w:space="0" w:color="auto"/>
        <w:right w:val="none" w:sz="0" w:space="0" w:color="auto"/>
      </w:divBdr>
    </w:div>
    <w:div w:id="1877428546">
      <w:bodyDiv w:val="1"/>
      <w:marLeft w:val="0"/>
      <w:marRight w:val="0"/>
      <w:marTop w:val="0"/>
      <w:marBottom w:val="0"/>
      <w:divBdr>
        <w:top w:val="none" w:sz="0" w:space="0" w:color="auto"/>
        <w:left w:val="none" w:sz="0" w:space="0" w:color="auto"/>
        <w:bottom w:val="none" w:sz="0" w:space="0" w:color="auto"/>
        <w:right w:val="none" w:sz="0" w:space="0" w:color="auto"/>
      </w:divBdr>
    </w:div>
    <w:div w:id="1880582532">
      <w:bodyDiv w:val="1"/>
      <w:marLeft w:val="0"/>
      <w:marRight w:val="0"/>
      <w:marTop w:val="0"/>
      <w:marBottom w:val="0"/>
      <w:divBdr>
        <w:top w:val="none" w:sz="0" w:space="0" w:color="auto"/>
        <w:left w:val="none" w:sz="0" w:space="0" w:color="auto"/>
        <w:bottom w:val="none" w:sz="0" w:space="0" w:color="auto"/>
        <w:right w:val="none" w:sz="0" w:space="0" w:color="auto"/>
      </w:divBdr>
    </w:div>
    <w:div w:id="1880780018">
      <w:bodyDiv w:val="1"/>
      <w:marLeft w:val="0"/>
      <w:marRight w:val="0"/>
      <w:marTop w:val="0"/>
      <w:marBottom w:val="0"/>
      <w:divBdr>
        <w:top w:val="none" w:sz="0" w:space="0" w:color="auto"/>
        <w:left w:val="none" w:sz="0" w:space="0" w:color="auto"/>
        <w:bottom w:val="none" w:sz="0" w:space="0" w:color="auto"/>
        <w:right w:val="none" w:sz="0" w:space="0" w:color="auto"/>
      </w:divBdr>
    </w:div>
    <w:div w:id="1881822852">
      <w:bodyDiv w:val="1"/>
      <w:marLeft w:val="0"/>
      <w:marRight w:val="0"/>
      <w:marTop w:val="0"/>
      <w:marBottom w:val="0"/>
      <w:divBdr>
        <w:top w:val="none" w:sz="0" w:space="0" w:color="auto"/>
        <w:left w:val="none" w:sz="0" w:space="0" w:color="auto"/>
        <w:bottom w:val="none" w:sz="0" w:space="0" w:color="auto"/>
        <w:right w:val="none" w:sz="0" w:space="0" w:color="auto"/>
      </w:divBdr>
    </w:div>
    <w:div w:id="1882084091">
      <w:bodyDiv w:val="1"/>
      <w:marLeft w:val="0"/>
      <w:marRight w:val="0"/>
      <w:marTop w:val="0"/>
      <w:marBottom w:val="0"/>
      <w:divBdr>
        <w:top w:val="none" w:sz="0" w:space="0" w:color="auto"/>
        <w:left w:val="none" w:sz="0" w:space="0" w:color="auto"/>
        <w:bottom w:val="none" w:sz="0" w:space="0" w:color="auto"/>
        <w:right w:val="none" w:sz="0" w:space="0" w:color="auto"/>
      </w:divBdr>
    </w:div>
    <w:div w:id="1884442838">
      <w:bodyDiv w:val="1"/>
      <w:marLeft w:val="0"/>
      <w:marRight w:val="0"/>
      <w:marTop w:val="0"/>
      <w:marBottom w:val="0"/>
      <w:divBdr>
        <w:top w:val="none" w:sz="0" w:space="0" w:color="auto"/>
        <w:left w:val="none" w:sz="0" w:space="0" w:color="auto"/>
        <w:bottom w:val="none" w:sz="0" w:space="0" w:color="auto"/>
        <w:right w:val="none" w:sz="0" w:space="0" w:color="auto"/>
      </w:divBdr>
    </w:div>
    <w:div w:id="1885016397">
      <w:bodyDiv w:val="1"/>
      <w:marLeft w:val="0"/>
      <w:marRight w:val="0"/>
      <w:marTop w:val="0"/>
      <w:marBottom w:val="0"/>
      <w:divBdr>
        <w:top w:val="none" w:sz="0" w:space="0" w:color="auto"/>
        <w:left w:val="none" w:sz="0" w:space="0" w:color="auto"/>
        <w:bottom w:val="none" w:sz="0" w:space="0" w:color="auto"/>
        <w:right w:val="none" w:sz="0" w:space="0" w:color="auto"/>
      </w:divBdr>
    </w:div>
    <w:div w:id="1887639211">
      <w:bodyDiv w:val="1"/>
      <w:marLeft w:val="0"/>
      <w:marRight w:val="0"/>
      <w:marTop w:val="0"/>
      <w:marBottom w:val="0"/>
      <w:divBdr>
        <w:top w:val="none" w:sz="0" w:space="0" w:color="auto"/>
        <w:left w:val="none" w:sz="0" w:space="0" w:color="auto"/>
        <w:bottom w:val="none" w:sz="0" w:space="0" w:color="auto"/>
        <w:right w:val="none" w:sz="0" w:space="0" w:color="auto"/>
      </w:divBdr>
    </w:div>
    <w:div w:id="1887831022">
      <w:bodyDiv w:val="1"/>
      <w:marLeft w:val="0"/>
      <w:marRight w:val="0"/>
      <w:marTop w:val="0"/>
      <w:marBottom w:val="0"/>
      <w:divBdr>
        <w:top w:val="none" w:sz="0" w:space="0" w:color="auto"/>
        <w:left w:val="none" w:sz="0" w:space="0" w:color="auto"/>
        <w:bottom w:val="none" w:sz="0" w:space="0" w:color="auto"/>
        <w:right w:val="none" w:sz="0" w:space="0" w:color="auto"/>
      </w:divBdr>
    </w:div>
    <w:div w:id="1890150030">
      <w:bodyDiv w:val="1"/>
      <w:marLeft w:val="0"/>
      <w:marRight w:val="0"/>
      <w:marTop w:val="0"/>
      <w:marBottom w:val="0"/>
      <w:divBdr>
        <w:top w:val="none" w:sz="0" w:space="0" w:color="auto"/>
        <w:left w:val="none" w:sz="0" w:space="0" w:color="auto"/>
        <w:bottom w:val="none" w:sz="0" w:space="0" w:color="auto"/>
        <w:right w:val="none" w:sz="0" w:space="0" w:color="auto"/>
      </w:divBdr>
    </w:div>
    <w:div w:id="1890721901">
      <w:bodyDiv w:val="1"/>
      <w:marLeft w:val="0"/>
      <w:marRight w:val="0"/>
      <w:marTop w:val="0"/>
      <w:marBottom w:val="0"/>
      <w:divBdr>
        <w:top w:val="none" w:sz="0" w:space="0" w:color="auto"/>
        <w:left w:val="none" w:sz="0" w:space="0" w:color="auto"/>
        <w:bottom w:val="none" w:sz="0" w:space="0" w:color="auto"/>
        <w:right w:val="none" w:sz="0" w:space="0" w:color="auto"/>
      </w:divBdr>
    </w:div>
    <w:div w:id="1890991965">
      <w:bodyDiv w:val="1"/>
      <w:marLeft w:val="0"/>
      <w:marRight w:val="0"/>
      <w:marTop w:val="0"/>
      <w:marBottom w:val="0"/>
      <w:divBdr>
        <w:top w:val="none" w:sz="0" w:space="0" w:color="auto"/>
        <w:left w:val="none" w:sz="0" w:space="0" w:color="auto"/>
        <w:bottom w:val="none" w:sz="0" w:space="0" w:color="auto"/>
        <w:right w:val="none" w:sz="0" w:space="0" w:color="auto"/>
      </w:divBdr>
    </w:div>
    <w:div w:id="1891571257">
      <w:bodyDiv w:val="1"/>
      <w:marLeft w:val="0"/>
      <w:marRight w:val="0"/>
      <w:marTop w:val="0"/>
      <w:marBottom w:val="0"/>
      <w:divBdr>
        <w:top w:val="none" w:sz="0" w:space="0" w:color="auto"/>
        <w:left w:val="none" w:sz="0" w:space="0" w:color="auto"/>
        <w:bottom w:val="none" w:sz="0" w:space="0" w:color="auto"/>
        <w:right w:val="none" w:sz="0" w:space="0" w:color="auto"/>
      </w:divBdr>
    </w:div>
    <w:div w:id="1891726335">
      <w:bodyDiv w:val="1"/>
      <w:marLeft w:val="0"/>
      <w:marRight w:val="0"/>
      <w:marTop w:val="0"/>
      <w:marBottom w:val="0"/>
      <w:divBdr>
        <w:top w:val="none" w:sz="0" w:space="0" w:color="auto"/>
        <w:left w:val="none" w:sz="0" w:space="0" w:color="auto"/>
        <w:bottom w:val="none" w:sz="0" w:space="0" w:color="auto"/>
        <w:right w:val="none" w:sz="0" w:space="0" w:color="auto"/>
      </w:divBdr>
    </w:div>
    <w:div w:id="1892418158">
      <w:bodyDiv w:val="1"/>
      <w:marLeft w:val="0"/>
      <w:marRight w:val="0"/>
      <w:marTop w:val="0"/>
      <w:marBottom w:val="0"/>
      <w:divBdr>
        <w:top w:val="none" w:sz="0" w:space="0" w:color="auto"/>
        <w:left w:val="none" w:sz="0" w:space="0" w:color="auto"/>
        <w:bottom w:val="none" w:sz="0" w:space="0" w:color="auto"/>
        <w:right w:val="none" w:sz="0" w:space="0" w:color="auto"/>
      </w:divBdr>
    </w:div>
    <w:div w:id="1897936947">
      <w:bodyDiv w:val="1"/>
      <w:marLeft w:val="0"/>
      <w:marRight w:val="0"/>
      <w:marTop w:val="0"/>
      <w:marBottom w:val="0"/>
      <w:divBdr>
        <w:top w:val="none" w:sz="0" w:space="0" w:color="auto"/>
        <w:left w:val="none" w:sz="0" w:space="0" w:color="auto"/>
        <w:bottom w:val="none" w:sz="0" w:space="0" w:color="auto"/>
        <w:right w:val="none" w:sz="0" w:space="0" w:color="auto"/>
      </w:divBdr>
    </w:div>
    <w:div w:id="1900743188">
      <w:bodyDiv w:val="1"/>
      <w:marLeft w:val="0"/>
      <w:marRight w:val="0"/>
      <w:marTop w:val="0"/>
      <w:marBottom w:val="0"/>
      <w:divBdr>
        <w:top w:val="none" w:sz="0" w:space="0" w:color="auto"/>
        <w:left w:val="none" w:sz="0" w:space="0" w:color="auto"/>
        <w:bottom w:val="none" w:sz="0" w:space="0" w:color="auto"/>
        <w:right w:val="none" w:sz="0" w:space="0" w:color="auto"/>
      </w:divBdr>
    </w:div>
    <w:div w:id="1900747319">
      <w:bodyDiv w:val="1"/>
      <w:marLeft w:val="0"/>
      <w:marRight w:val="0"/>
      <w:marTop w:val="0"/>
      <w:marBottom w:val="0"/>
      <w:divBdr>
        <w:top w:val="none" w:sz="0" w:space="0" w:color="auto"/>
        <w:left w:val="none" w:sz="0" w:space="0" w:color="auto"/>
        <w:bottom w:val="none" w:sz="0" w:space="0" w:color="auto"/>
        <w:right w:val="none" w:sz="0" w:space="0" w:color="auto"/>
      </w:divBdr>
    </w:div>
    <w:div w:id="1900969829">
      <w:bodyDiv w:val="1"/>
      <w:marLeft w:val="0"/>
      <w:marRight w:val="0"/>
      <w:marTop w:val="0"/>
      <w:marBottom w:val="0"/>
      <w:divBdr>
        <w:top w:val="none" w:sz="0" w:space="0" w:color="auto"/>
        <w:left w:val="none" w:sz="0" w:space="0" w:color="auto"/>
        <w:bottom w:val="none" w:sz="0" w:space="0" w:color="auto"/>
        <w:right w:val="none" w:sz="0" w:space="0" w:color="auto"/>
      </w:divBdr>
    </w:div>
    <w:div w:id="1901284960">
      <w:bodyDiv w:val="1"/>
      <w:marLeft w:val="0"/>
      <w:marRight w:val="0"/>
      <w:marTop w:val="0"/>
      <w:marBottom w:val="0"/>
      <w:divBdr>
        <w:top w:val="none" w:sz="0" w:space="0" w:color="auto"/>
        <w:left w:val="none" w:sz="0" w:space="0" w:color="auto"/>
        <w:bottom w:val="none" w:sz="0" w:space="0" w:color="auto"/>
        <w:right w:val="none" w:sz="0" w:space="0" w:color="auto"/>
      </w:divBdr>
    </w:div>
    <w:div w:id="1904830354">
      <w:bodyDiv w:val="1"/>
      <w:marLeft w:val="0"/>
      <w:marRight w:val="0"/>
      <w:marTop w:val="0"/>
      <w:marBottom w:val="0"/>
      <w:divBdr>
        <w:top w:val="none" w:sz="0" w:space="0" w:color="auto"/>
        <w:left w:val="none" w:sz="0" w:space="0" w:color="auto"/>
        <w:bottom w:val="none" w:sz="0" w:space="0" w:color="auto"/>
        <w:right w:val="none" w:sz="0" w:space="0" w:color="auto"/>
      </w:divBdr>
    </w:div>
    <w:div w:id="1905678362">
      <w:bodyDiv w:val="1"/>
      <w:marLeft w:val="0"/>
      <w:marRight w:val="0"/>
      <w:marTop w:val="0"/>
      <w:marBottom w:val="0"/>
      <w:divBdr>
        <w:top w:val="none" w:sz="0" w:space="0" w:color="auto"/>
        <w:left w:val="none" w:sz="0" w:space="0" w:color="auto"/>
        <w:bottom w:val="none" w:sz="0" w:space="0" w:color="auto"/>
        <w:right w:val="none" w:sz="0" w:space="0" w:color="auto"/>
      </w:divBdr>
    </w:div>
    <w:div w:id="1906065664">
      <w:bodyDiv w:val="1"/>
      <w:marLeft w:val="0"/>
      <w:marRight w:val="0"/>
      <w:marTop w:val="0"/>
      <w:marBottom w:val="0"/>
      <w:divBdr>
        <w:top w:val="none" w:sz="0" w:space="0" w:color="auto"/>
        <w:left w:val="none" w:sz="0" w:space="0" w:color="auto"/>
        <w:bottom w:val="none" w:sz="0" w:space="0" w:color="auto"/>
        <w:right w:val="none" w:sz="0" w:space="0" w:color="auto"/>
      </w:divBdr>
    </w:div>
    <w:div w:id="1906408921">
      <w:bodyDiv w:val="1"/>
      <w:marLeft w:val="0"/>
      <w:marRight w:val="0"/>
      <w:marTop w:val="0"/>
      <w:marBottom w:val="0"/>
      <w:divBdr>
        <w:top w:val="none" w:sz="0" w:space="0" w:color="auto"/>
        <w:left w:val="none" w:sz="0" w:space="0" w:color="auto"/>
        <w:bottom w:val="none" w:sz="0" w:space="0" w:color="auto"/>
        <w:right w:val="none" w:sz="0" w:space="0" w:color="auto"/>
      </w:divBdr>
    </w:div>
    <w:div w:id="1907373271">
      <w:bodyDiv w:val="1"/>
      <w:marLeft w:val="0"/>
      <w:marRight w:val="0"/>
      <w:marTop w:val="0"/>
      <w:marBottom w:val="0"/>
      <w:divBdr>
        <w:top w:val="none" w:sz="0" w:space="0" w:color="auto"/>
        <w:left w:val="none" w:sz="0" w:space="0" w:color="auto"/>
        <w:bottom w:val="none" w:sz="0" w:space="0" w:color="auto"/>
        <w:right w:val="none" w:sz="0" w:space="0" w:color="auto"/>
      </w:divBdr>
    </w:div>
    <w:div w:id="1909151985">
      <w:bodyDiv w:val="1"/>
      <w:marLeft w:val="0"/>
      <w:marRight w:val="0"/>
      <w:marTop w:val="0"/>
      <w:marBottom w:val="0"/>
      <w:divBdr>
        <w:top w:val="none" w:sz="0" w:space="0" w:color="auto"/>
        <w:left w:val="none" w:sz="0" w:space="0" w:color="auto"/>
        <w:bottom w:val="none" w:sz="0" w:space="0" w:color="auto"/>
        <w:right w:val="none" w:sz="0" w:space="0" w:color="auto"/>
      </w:divBdr>
    </w:div>
    <w:div w:id="1911189181">
      <w:bodyDiv w:val="1"/>
      <w:marLeft w:val="0"/>
      <w:marRight w:val="0"/>
      <w:marTop w:val="0"/>
      <w:marBottom w:val="0"/>
      <w:divBdr>
        <w:top w:val="none" w:sz="0" w:space="0" w:color="auto"/>
        <w:left w:val="none" w:sz="0" w:space="0" w:color="auto"/>
        <w:bottom w:val="none" w:sz="0" w:space="0" w:color="auto"/>
        <w:right w:val="none" w:sz="0" w:space="0" w:color="auto"/>
      </w:divBdr>
    </w:div>
    <w:div w:id="1911381917">
      <w:bodyDiv w:val="1"/>
      <w:marLeft w:val="0"/>
      <w:marRight w:val="0"/>
      <w:marTop w:val="0"/>
      <w:marBottom w:val="0"/>
      <w:divBdr>
        <w:top w:val="none" w:sz="0" w:space="0" w:color="auto"/>
        <w:left w:val="none" w:sz="0" w:space="0" w:color="auto"/>
        <w:bottom w:val="none" w:sz="0" w:space="0" w:color="auto"/>
        <w:right w:val="none" w:sz="0" w:space="0" w:color="auto"/>
      </w:divBdr>
    </w:div>
    <w:div w:id="1911689547">
      <w:bodyDiv w:val="1"/>
      <w:marLeft w:val="0"/>
      <w:marRight w:val="0"/>
      <w:marTop w:val="0"/>
      <w:marBottom w:val="0"/>
      <w:divBdr>
        <w:top w:val="none" w:sz="0" w:space="0" w:color="auto"/>
        <w:left w:val="none" w:sz="0" w:space="0" w:color="auto"/>
        <w:bottom w:val="none" w:sz="0" w:space="0" w:color="auto"/>
        <w:right w:val="none" w:sz="0" w:space="0" w:color="auto"/>
      </w:divBdr>
    </w:div>
    <w:div w:id="1911766378">
      <w:bodyDiv w:val="1"/>
      <w:marLeft w:val="0"/>
      <w:marRight w:val="0"/>
      <w:marTop w:val="0"/>
      <w:marBottom w:val="0"/>
      <w:divBdr>
        <w:top w:val="none" w:sz="0" w:space="0" w:color="auto"/>
        <w:left w:val="none" w:sz="0" w:space="0" w:color="auto"/>
        <w:bottom w:val="none" w:sz="0" w:space="0" w:color="auto"/>
        <w:right w:val="none" w:sz="0" w:space="0" w:color="auto"/>
      </w:divBdr>
    </w:div>
    <w:div w:id="1911887144">
      <w:bodyDiv w:val="1"/>
      <w:marLeft w:val="0"/>
      <w:marRight w:val="0"/>
      <w:marTop w:val="0"/>
      <w:marBottom w:val="0"/>
      <w:divBdr>
        <w:top w:val="none" w:sz="0" w:space="0" w:color="auto"/>
        <w:left w:val="none" w:sz="0" w:space="0" w:color="auto"/>
        <w:bottom w:val="none" w:sz="0" w:space="0" w:color="auto"/>
        <w:right w:val="none" w:sz="0" w:space="0" w:color="auto"/>
      </w:divBdr>
    </w:div>
    <w:div w:id="1912153382">
      <w:bodyDiv w:val="1"/>
      <w:marLeft w:val="0"/>
      <w:marRight w:val="0"/>
      <w:marTop w:val="0"/>
      <w:marBottom w:val="0"/>
      <w:divBdr>
        <w:top w:val="none" w:sz="0" w:space="0" w:color="auto"/>
        <w:left w:val="none" w:sz="0" w:space="0" w:color="auto"/>
        <w:bottom w:val="none" w:sz="0" w:space="0" w:color="auto"/>
        <w:right w:val="none" w:sz="0" w:space="0" w:color="auto"/>
      </w:divBdr>
    </w:div>
    <w:div w:id="1914124164">
      <w:bodyDiv w:val="1"/>
      <w:marLeft w:val="0"/>
      <w:marRight w:val="0"/>
      <w:marTop w:val="0"/>
      <w:marBottom w:val="0"/>
      <w:divBdr>
        <w:top w:val="none" w:sz="0" w:space="0" w:color="auto"/>
        <w:left w:val="none" w:sz="0" w:space="0" w:color="auto"/>
        <w:bottom w:val="none" w:sz="0" w:space="0" w:color="auto"/>
        <w:right w:val="none" w:sz="0" w:space="0" w:color="auto"/>
      </w:divBdr>
    </w:div>
    <w:div w:id="1914469006">
      <w:bodyDiv w:val="1"/>
      <w:marLeft w:val="0"/>
      <w:marRight w:val="0"/>
      <w:marTop w:val="0"/>
      <w:marBottom w:val="0"/>
      <w:divBdr>
        <w:top w:val="none" w:sz="0" w:space="0" w:color="auto"/>
        <w:left w:val="none" w:sz="0" w:space="0" w:color="auto"/>
        <w:bottom w:val="none" w:sz="0" w:space="0" w:color="auto"/>
        <w:right w:val="none" w:sz="0" w:space="0" w:color="auto"/>
      </w:divBdr>
    </w:div>
    <w:div w:id="1915432475">
      <w:bodyDiv w:val="1"/>
      <w:marLeft w:val="0"/>
      <w:marRight w:val="0"/>
      <w:marTop w:val="0"/>
      <w:marBottom w:val="0"/>
      <w:divBdr>
        <w:top w:val="none" w:sz="0" w:space="0" w:color="auto"/>
        <w:left w:val="none" w:sz="0" w:space="0" w:color="auto"/>
        <w:bottom w:val="none" w:sz="0" w:space="0" w:color="auto"/>
        <w:right w:val="none" w:sz="0" w:space="0" w:color="auto"/>
      </w:divBdr>
    </w:div>
    <w:div w:id="1916816882">
      <w:bodyDiv w:val="1"/>
      <w:marLeft w:val="0"/>
      <w:marRight w:val="0"/>
      <w:marTop w:val="0"/>
      <w:marBottom w:val="0"/>
      <w:divBdr>
        <w:top w:val="none" w:sz="0" w:space="0" w:color="auto"/>
        <w:left w:val="none" w:sz="0" w:space="0" w:color="auto"/>
        <w:bottom w:val="none" w:sz="0" w:space="0" w:color="auto"/>
        <w:right w:val="none" w:sz="0" w:space="0" w:color="auto"/>
      </w:divBdr>
    </w:div>
    <w:div w:id="1918857780">
      <w:bodyDiv w:val="1"/>
      <w:marLeft w:val="0"/>
      <w:marRight w:val="0"/>
      <w:marTop w:val="0"/>
      <w:marBottom w:val="0"/>
      <w:divBdr>
        <w:top w:val="none" w:sz="0" w:space="0" w:color="auto"/>
        <w:left w:val="none" w:sz="0" w:space="0" w:color="auto"/>
        <w:bottom w:val="none" w:sz="0" w:space="0" w:color="auto"/>
        <w:right w:val="none" w:sz="0" w:space="0" w:color="auto"/>
      </w:divBdr>
    </w:div>
    <w:div w:id="1921136303">
      <w:bodyDiv w:val="1"/>
      <w:marLeft w:val="0"/>
      <w:marRight w:val="0"/>
      <w:marTop w:val="0"/>
      <w:marBottom w:val="0"/>
      <w:divBdr>
        <w:top w:val="none" w:sz="0" w:space="0" w:color="auto"/>
        <w:left w:val="none" w:sz="0" w:space="0" w:color="auto"/>
        <w:bottom w:val="none" w:sz="0" w:space="0" w:color="auto"/>
        <w:right w:val="none" w:sz="0" w:space="0" w:color="auto"/>
      </w:divBdr>
    </w:div>
    <w:div w:id="1923175006">
      <w:bodyDiv w:val="1"/>
      <w:marLeft w:val="0"/>
      <w:marRight w:val="0"/>
      <w:marTop w:val="0"/>
      <w:marBottom w:val="0"/>
      <w:divBdr>
        <w:top w:val="none" w:sz="0" w:space="0" w:color="auto"/>
        <w:left w:val="none" w:sz="0" w:space="0" w:color="auto"/>
        <w:bottom w:val="none" w:sz="0" w:space="0" w:color="auto"/>
        <w:right w:val="none" w:sz="0" w:space="0" w:color="auto"/>
      </w:divBdr>
    </w:div>
    <w:div w:id="1925214520">
      <w:bodyDiv w:val="1"/>
      <w:marLeft w:val="0"/>
      <w:marRight w:val="0"/>
      <w:marTop w:val="0"/>
      <w:marBottom w:val="0"/>
      <w:divBdr>
        <w:top w:val="none" w:sz="0" w:space="0" w:color="auto"/>
        <w:left w:val="none" w:sz="0" w:space="0" w:color="auto"/>
        <w:bottom w:val="none" w:sz="0" w:space="0" w:color="auto"/>
        <w:right w:val="none" w:sz="0" w:space="0" w:color="auto"/>
      </w:divBdr>
    </w:div>
    <w:div w:id="1930237023">
      <w:bodyDiv w:val="1"/>
      <w:marLeft w:val="0"/>
      <w:marRight w:val="0"/>
      <w:marTop w:val="0"/>
      <w:marBottom w:val="0"/>
      <w:divBdr>
        <w:top w:val="none" w:sz="0" w:space="0" w:color="auto"/>
        <w:left w:val="none" w:sz="0" w:space="0" w:color="auto"/>
        <w:bottom w:val="none" w:sz="0" w:space="0" w:color="auto"/>
        <w:right w:val="none" w:sz="0" w:space="0" w:color="auto"/>
      </w:divBdr>
    </w:div>
    <w:div w:id="1930774999">
      <w:bodyDiv w:val="1"/>
      <w:marLeft w:val="0"/>
      <w:marRight w:val="0"/>
      <w:marTop w:val="0"/>
      <w:marBottom w:val="0"/>
      <w:divBdr>
        <w:top w:val="none" w:sz="0" w:space="0" w:color="auto"/>
        <w:left w:val="none" w:sz="0" w:space="0" w:color="auto"/>
        <w:bottom w:val="none" w:sz="0" w:space="0" w:color="auto"/>
        <w:right w:val="none" w:sz="0" w:space="0" w:color="auto"/>
      </w:divBdr>
    </w:div>
    <w:div w:id="1932733248">
      <w:bodyDiv w:val="1"/>
      <w:marLeft w:val="0"/>
      <w:marRight w:val="0"/>
      <w:marTop w:val="0"/>
      <w:marBottom w:val="0"/>
      <w:divBdr>
        <w:top w:val="none" w:sz="0" w:space="0" w:color="auto"/>
        <w:left w:val="none" w:sz="0" w:space="0" w:color="auto"/>
        <w:bottom w:val="none" w:sz="0" w:space="0" w:color="auto"/>
        <w:right w:val="none" w:sz="0" w:space="0" w:color="auto"/>
      </w:divBdr>
    </w:div>
    <w:div w:id="1933276985">
      <w:bodyDiv w:val="1"/>
      <w:marLeft w:val="0"/>
      <w:marRight w:val="0"/>
      <w:marTop w:val="0"/>
      <w:marBottom w:val="0"/>
      <w:divBdr>
        <w:top w:val="none" w:sz="0" w:space="0" w:color="auto"/>
        <w:left w:val="none" w:sz="0" w:space="0" w:color="auto"/>
        <w:bottom w:val="none" w:sz="0" w:space="0" w:color="auto"/>
        <w:right w:val="none" w:sz="0" w:space="0" w:color="auto"/>
      </w:divBdr>
    </w:div>
    <w:div w:id="1933859200">
      <w:bodyDiv w:val="1"/>
      <w:marLeft w:val="0"/>
      <w:marRight w:val="0"/>
      <w:marTop w:val="0"/>
      <w:marBottom w:val="0"/>
      <w:divBdr>
        <w:top w:val="none" w:sz="0" w:space="0" w:color="auto"/>
        <w:left w:val="none" w:sz="0" w:space="0" w:color="auto"/>
        <w:bottom w:val="none" w:sz="0" w:space="0" w:color="auto"/>
        <w:right w:val="none" w:sz="0" w:space="0" w:color="auto"/>
      </w:divBdr>
    </w:div>
    <w:div w:id="1937320165">
      <w:bodyDiv w:val="1"/>
      <w:marLeft w:val="0"/>
      <w:marRight w:val="0"/>
      <w:marTop w:val="0"/>
      <w:marBottom w:val="0"/>
      <w:divBdr>
        <w:top w:val="none" w:sz="0" w:space="0" w:color="auto"/>
        <w:left w:val="none" w:sz="0" w:space="0" w:color="auto"/>
        <w:bottom w:val="none" w:sz="0" w:space="0" w:color="auto"/>
        <w:right w:val="none" w:sz="0" w:space="0" w:color="auto"/>
      </w:divBdr>
    </w:div>
    <w:div w:id="1938977075">
      <w:bodyDiv w:val="1"/>
      <w:marLeft w:val="0"/>
      <w:marRight w:val="0"/>
      <w:marTop w:val="0"/>
      <w:marBottom w:val="0"/>
      <w:divBdr>
        <w:top w:val="none" w:sz="0" w:space="0" w:color="auto"/>
        <w:left w:val="none" w:sz="0" w:space="0" w:color="auto"/>
        <w:bottom w:val="none" w:sz="0" w:space="0" w:color="auto"/>
        <w:right w:val="none" w:sz="0" w:space="0" w:color="auto"/>
      </w:divBdr>
    </w:div>
    <w:div w:id="1938978128">
      <w:bodyDiv w:val="1"/>
      <w:marLeft w:val="0"/>
      <w:marRight w:val="0"/>
      <w:marTop w:val="0"/>
      <w:marBottom w:val="0"/>
      <w:divBdr>
        <w:top w:val="none" w:sz="0" w:space="0" w:color="auto"/>
        <w:left w:val="none" w:sz="0" w:space="0" w:color="auto"/>
        <w:bottom w:val="none" w:sz="0" w:space="0" w:color="auto"/>
        <w:right w:val="none" w:sz="0" w:space="0" w:color="auto"/>
      </w:divBdr>
    </w:div>
    <w:div w:id="1940871527">
      <w:bodyDiv w:val="1"/>
      <w:marLeft w:val="0"/>
      <w:marRight w:val="0"/>
      <w:marTop w:val="0"/>
      <w:marBottom w:val="0"/>
      <w:divBdr>
        <w:top w:val="none" w:sz="0" w:space="0" w:color="auto"/>
        <w:left w:val="none" w:sz="0" w:space="0" w:color="auto"/>
        <w:bottom w:val="none" w:sz="0" w:space="0" w:color="auto"/>
        <w:right w:val="none" w:sz="0" w:space="0" w:color="auto"/>
      </w:divBdr>
    </w:div>
    <w:div w:id="1942640141">
      <w:bodyDiv w:val="1"/>
      <w:marLeft w:val="0"/>
      <w:marRight w:val="0"/>
      <w:marTop w:val="0"/>
      <w:marBottom w:val="0"/>
      <w:divBdr>
        <w:top w:val="none" w:sz="0" w:space="0" w:color="auto"/>
        <w:left w:val="none" w:sz="0" w:space="0" w:color="auto"/>
        <w:bottom w:val="none" w:sz="0" w:space="0" w:color="auto"/>
        <w:right w:val="none" w:sz="0" w:space="0" w:color="auto"/>
      </w:divBdr>
    </w:div>
    <w:div w:id="1942756385">
      <w:bodyDiv w:val="1"/>
      <w:marLeft w:val="0"/>
      <w:marRight w:val="0"/>
      <w:marTop w:val="0"/>
      <w:marBottom w:val="0"/>
      <w:divBdr>
        <w:top w:val="none" w:sz="0" w:space="0" w:color="auto"/>
        <w:left w:val="none" w:sz="0" w:space="0" w:color="auto"/>
        <w:bottom w:val="none" w:sz="0" w:space="0" w:color="auto"/>
        <w:right w:val="none" w:sz="0" w:space="0" w:color="auto"/>
      </w:divBdr>
    </w:div>
    <w:div w:id="1944992659">
      <w:bodyDiv w:val="1"/>
      <w:marLeft w:val="0"/>
      <w:marRight w:val="0"/>
      <w:marTop w:val="0"/>
      <w:marBottom w:val="0"/>
      <w:divBdr>
        <w:top w:val="none" w:sz="0" w:space="0" w:color="auto"/>
        <w:left w:val="none" w:sz="0" w:space="0" w:color="auto"/>
        <w:bottom w:val="none" w:sz="0" w:space="0" w:color="auto"/>
        <w:right w:val="none" w:sz="0" w:space="0" w:color="auto"/>
      </w:divBdr>
    </w:div>
    <w:div w:id="1947617617">
      <w:bodyDiv w:val="1"/>
      <w:marLeft w:val="0"/>
      <w:marRight w:val="0"/>
      <w:marTop w:val="0"/>
      <w:marBottom w:val="0"/>
      <w:divBdr>
        <w:top w:val="none" w:sz="0" w:space="0" w:color="auto"/>
        <w:left w:val="none" w:sz="0" w:space="0" w:color="auto"/>
        <w:bottom w:val="none" w:sz="0" w:space="0" w:color="auto"/>
        <w:right w:val="none" w:sz="0" w:space="0" w:color="auto"/>
      </w:divBdr>
    </w:div>
    <w:div w:id="1949239026">
      <w:bodyDiv w:val="1"/>
      <w:marLeft w:val="0"/>
      <w:marRight w:val="0"/>
      <w:marTop w:val="0"/>
      <w:marBottom w:val="0"/>
      <w:divBdr>
        <w:top w:val="none" w:sz="0" w:space="0" w:color="auto"/>
        <w:left w:val="none" w:sz="0" w:space="0" w:color="auto"/>
        <w:bottom w:val="none" w:sz="0" w:space="0" w:color="auto"/>
        <w:right w:val="none" w:sz="0" w:space="0" w:color="auto"/>
      </w:divBdr>
    </w:div>
    <w:div w:id="1949658915">
      <w:bodyDiv w:val="1"/>
      <w:marLeft w:val="0"/>
      <w:marRight w:val="0"/>
      <w:marTop w:val="0"/>
      <w:marBottom w:val="0"/>
      <w:divBdr>
        <w:top w:val="none" w:sz="0" w:space="0" w:color="auto"/>
        <w:left w:val="none" w:sz="0" w:space="0" w:color="auto"/>
        <w:bottom w:val="none" w:sz="0" w:space="0" w:color="auto"/>
        <w:right w:val="none" w:sz="0" w:space="0" w:color="auto"/>
      </w:divBdr>
    </w:div>
    <w:div w:id="1950160855">
      <w:bodyDiv w:val="1"/>
      <w:marLeft w:val="0"/>
      <w:marRight w:val="0"/>
      <w:marTop w:val="0"/>
      <w:marBottom w:val="0"/>
      <w:divBdr>
        <w:top w:val="none" w:sz="0" w:space="0" w:color="auto"/>
        <w:left w:val="none" w:sz="0" w:space="0" w:color="auto"/>
        <w:bottom w:val="none" w:sz="0" w:space="0" w:color="auto"/>
        <w:right w:val="none" w:sz="0" w:space="0" w:color="auto"/>
      </w:divBdr>
    </w:div>
    <w:div w:id="1950965241">
      <w:bodyDiv w:val="1"/>
      <w:marLeft w:val="0"/>
      <w:marRight w:val="0"/>
      <w:marTop w:val="0"/>
      <w:marBottom w:val="0"/>
      <w:divBdr>
        <w:top w:val="none" w:sz="0" w:space="0" w:color="auto"/>
        <w:left w:val="none" w:sz="0" w:space="0" w:color="auto"/>
        <w:bottom w:val="none" w:sz="0" w:space="0" w:color="auto"/>
        <w:right w:val="none" w:sz="0" w:space="0" w:color="auto"/>
      </w:divBdr>
    </w:div>
    <w:div w:id="1957560891">
      <w:bodyDiv w:val="1"/>
      <w:marLeft w:val="0"/>
      <w:marRight w:val="0"/>
      <w:marTop w:val="0"/>
      <w:marBottom w:val="0"/>
      <w:divBdr>
        <w:top w:val="none" w:sz="0" w:space="0" w:color="auto"/>
        <w:left w:val="none" w:sz="0" w:space="0" w:color="auto"/>
        <w:bottom w:val="none" w:sz="0" w:space="0" w:color="auto"/>
        <w:right w:val="none" w:sz="0" w:space="0" w:color="auto"/>
      </w:divBdr>
    </w:div>
    <w:div w:id="1959405599">
      <w:bodyDiv w:val="1"/>
      <w:marLeft w:val="0"/>
      <w:marRight w:val="0"/>
      <w:marTop w:val="0"/>
      <w:marBottom w:val="0"/>
      <w:divBdr>
        <w:top w:val="none" w:sz="0" w:space="0" w:color="auto"/>
        <w:left w:val="none" w:sz="0" w:space="0" w:color="auto"/>
        <w:bottom w:val="none" w:sz="0" w:space="0" w:color="auto"/>
        <w:right w:val="none" w:sz="0" w:space="0" w:color="auto"/>
      </w:divBdr>
    </w:div>
    <w:div w:id="1961374699">
      <w:bodyDiv w:val="1"/>
      <w:marLeft w:val="0"/>
      <w:marRight w:val="0"/>
      <w:marTop w:val="0"/>
      <w:marBottom w:val="0"/>
      <w:divBdr>
        <w:top w:val="none" w:sz="0" w:space="0" w:color="auto"/>
        <w:left w:val="none" w:sz="0" w:space="0" w:color="auto"/>
        <w:bottom w:val="none" w:sz="0" w:space="0" w:color="auto"/>
        <w:right w:val="none" w:sz="0" w:space="0" w:color="auto"/>
      </w:divBdr>
    </w:div>
    <w:div w:id="1961454906">
      <w:bodyDiv w:val="1"/>
      <w:marLeft w:val="0"/>
      <w:marRight w:val="0"/>
      <w:marTop w:val="0"/>
      <w:marBottom w:val="0"/>
      <w:divBdr>
        <w:top w:val="none" w:sz="0" w:space="0" w:color="auto"/>
        <w:left w:val="none" w:sz="0" w:space="0" w:color="auto"/>
        <w:bottom w:val="none" w:sz="0" w:space="0" w:color="auto"/>
        <w:right w:val="none" w:sz="0" w:space="0" w:color="auto"/>
      </w:divBdr>
    </w:div>
    <w:div w:id="1962149128">
      <w:bodyDiv w:val="1"/>
      <w:marLeft w:val="0"/>
      <w:marRight w:val="0"/>
      <w:marTop w:val="0"/>
      <w:marBottom w:val="0"/>
      <w:divBdr>
        <w:top w:val="none" w:sz="0" w:space="0" w:color="auto"/>
        <w:left w:val="none" w:sz="0" w:space="0" w:color="auto"/>
        <w:bottom w:val="none" w:sz="0" w:space="0" w:color="auto"/>
        <w:right w:val="none" w:sz="0" w:space="0" w:color="auto"/>
      </w:divBdr>
    </w:div>
    <w:div w:id="1962834205">
      <w:bodyDiv w:val="1"/>
      <w:marLeft w:val="0"/>
      <w:marRight w:val="0"/>
      <w:marTop w:val="0"/>
      <w:marBottom w:val="0"/>
      <w:divBdr>
        <w:top w:val="none" w:sz="0" w:space="0" w:color="auto"/>
        <w:left w:val="none" w:sz="0" w:space="0" w:color="auto"/>
        <w:bottom w:val="none" w:sz="0" w:space="0" w:color="auto"/>
        <w:right w:val="none" w:sz="0" w:space="0" w:color="auto"/>
      </w:divBdr>
    </w:div>
    <w:div w:id="1963999507">
      <w:bodyDiv w:val="1"/>
      <w:marLeft w:val="0"/>
      <w:marRight w:val="0"/>
      <w:marTop w:val="0"/>
      <w:marBottom w:val="0"/>
      <w:divBdr>
        <w:top w:val="none" w:sz="0" w:space="0" w:color="auto"/>
        <w:left w:val="none" w:sz="0" w:space="0" w:color="auto"/>
        <w:bottom w:val="none" w:sz="0" w:space="0" w:color="auto"/>
        <w:right w:val="none" w:sz="0" w:space="0" w:color="auto"/>
      </w:divBdr>
    </w:div>
    <w:div w:id="1966422780">
      <w:bodyDiv w:val="1"/>
      <w:marLeft w:val="0"/>
      <w:marRight w:val="0"/>
      <w:marTop w:val="0"/>
      <w:marBottom w:val="0"/>
      <w:divBdr>
        <w:top w:val="none" w:sz="0" w:space="0" w:color="auto"/>
        <w:left w:val="none" w:sz="0" w:space="0" w:color="auto"/>
        <w:bottom w:val="none" w:sz="0" w:space="0" w:color="auto"/>
        <w:right w:val="none" w:sz="0" w:space="0" w:color="auto"/>
      </w:divBdr>
    </w:div>
    <w:div w:id="1967273083">
      <w:bodyDiv w:val="1"/>
      <w:marLeft w:val="0"/>
      <w:marRight w:val="0"/>
      <w:marTop w:val="0"/>
      <w:marBottom w:val="0"/>
      <w:divBdr>
        <w:top w:val="none" w:sz="0" w:space="0" w:color="auto"/>
        <w:left w:val="none" w:sz="0" w:space="0" w:color="auto"/>
        <w:bottom w:val="none" w:sz="0" w:space="0" w:color="auto"/>
        <w:right w:val="none" w:sz="0" w:space="0" w:color="auto"/>
      </w:divBdr>
    </w:div>
    <w:div w:id="1967732936">
      <w:bodyDiv w:val="1"/>
      <w:marLeft w:val="0"/>
      <w:marRight w:val="0"/>
      <w:marTop w:val="0"/>
      <w:marBottom w:val="0"/>
      <w:divBdr>
        <w:top w:val="none" w:sz="0" w:space="0" w:color="auto"/>
        <w:left w:val="none" w:sz="0" w:space="0" w:color="auto"/>
        <w:bottom w:val="none" w:sz="0" w:space="0" w:color="auto"/>
        <w:right w:val="none" w:sz="0" w:space="0" w:color="auto"/>
      </w:divBdr>
    </w:div>
    <w:div w:id="1968319612">
      <w:bodyDiv w:val="1"/>
      <w:marLeft w:val="0"/>
      <w:marRight w:val="0"/>
      <w:marTop w:val="0"/>
      <w:marBottom w:val="0"/>
      <w:divBdr>
        <w:top w:val="none" w:sz="0" w:space="0" w:color="auto"/>
        <w:left w:val="none" w:sz="0" w:space="0" w:color="auto"/>
        <w:bottom w:val="none" w:sz="0" w:space="0" w:color="auto"/>
        <w:right w:val="none" w:sz="0" w:space="0" w:color="auto"/>
      </w:divBdr>
    </w:div>
    <w:div w:id="1968705355">
      <w:bodyDiv w:val="1"/>
      <w:marLeft w:val="0"/>
      <w:marRight w:val="0"/>
      <w:marTop w:val="0"/>
      <w:marBottom w:val="0"/>
      <w:divBdr>
        <w:top w:val="none" w:sz="0" w:space="0" w:color="auto"/>
        <w:left w:val="none" w:sz="0" w:space="0" w:color="auto"/>
        <w:bottom w:val="none" w:sz="0" w:space="0" w:color="auto"/>
        <w:right w:val="none" w:sz="0" w:space="0" w:color="auto"/>
      </w:divBdr>
    </w:div>
    <w:div w:id="1969164840">
      <w:bodyDiv w:val="1"/>
      <w:marLeft w:val="0"/>
      <w:marRight w:val="0"/>
      <w:marTop w:val="0"/>
      <w:marBottom w:val="0"/>
      <w:divBdr>
        <w:top w:val="none" w:sz="0" w:space="0" w:color="auto"/>
        <w:left w:val="none" w:sz="0" w:space="0" w:color="auto"/>
        <w:bottom w:val="none" w:sz="0" w:space="0" w:color="auto"/>
        <w:right w:val="none" w:sz="0" w:space="0" w:color="auto"/>
      </w:divBdr>
    </w:div>
    <w:div w:id="1969358515">
      <w:bodyDiv w:val="1"/>
      <w:marLeft w:val="0"/>
      <w:marRight w:val="0"/>
      <w:marTop w:val="0"/>
      <w:marBottom w:val="0"/>
      <w:divBdr>
        <w:top w:val="none" w:sz="0" w:space="0" w:color="auto"/>
        <w:left w:val="none" w:sz="0" w:space="0" w:color="auto"/>
        <w:bottom w:val="none" w:sz="0" w:space="0" w:color="auto"/>
        <w:right w:val="none" w:sz="0" w:space="0" w:color="auto"/>
      </w:divBdr>
    </w:div>
    <w:div w:id="1973290079">
      <w:bodyDiv w:val="1"/>
      <w:marLeft w:val="0"/>
      <w:marRight w:val="0"/>
      <w:marTop w:val="0"/>
      <w:marBottom w:val="0"/>
      <w:divBdr>
        <w:top w:val="none" w:sz="0" w:space="0" w:color="auto"/>
        <w:left w:val="none" w:sz="0" w:space="0" w:color="auto"/>
        <w:bottom w:val="none" w:sz="0" w:space="0" w:color="auto"/>
        <w:right w:val="none" w:sz="0" w:space="0" w:color="auto"/>
      </w:divBdr>
    </w:div>
    <w:div w:id="1975983144">
      <w:bodyDiv w:val="1"/>
      <w:marLeft w:val="0"/>
      <w:marRight w:val="0"/>
      <w:marTop w:val="0"/>
      <w:marBottom w:val="0"/>
      <w:divBdr>
        <w:top w:val="none" w:sz="0" w:space="0" w:color="auto"/>
        <w:left w:val="none" w:sz="0" w:space="0" w:color="auto"/>
        <w:bottom w:val="none" w:sz="0" w:space="0" w:color="auto"/>
        <w:right w:val="none" w:sz="0" w:space="0" w:color="auto"/>
      </w:divBdr>
    </w:div>
    <w:div w:id="1976981215">
      <w:bodyDiv w:val="1"/>
      <w:marLeft w:val="0"/>
      <w:marRight w:val="0"/>
      <w:marTop w:val="0"/>
      <w:marBottom w:val="0"/>
      <w:divBdr>
        <w:top w:val="none" w:sz="0" w:space="0" w:color="auto"/>
        <w:left w:val="none" w:sz="0" w:space="0" w:color="auto"/>
        <w:bottom w:val="none" w:sz="0" w:space="0" w:color="auto"/>
        <w:right w:val="none" w:sz="0" w:space="0" w:color="auto"/>
      </w:divBdr>
    </w:div>
    <w:div w:id="1979335365">
      <w:bodyDiv w:val="1"/>
      <w:marLeft w:val="0"/>
      <w:marRight w:val="0"/>
      <w:marTop w:val="0"/>
      <w:marBottom w:val="0"/>
      <w:divBdr>
        <w:top w:val="none" w:sz="0" w:space="0" w:color="auto"/>
        <w:left w:val="none" w:sz="0" w:space="0" w:color="auto"/>
        <w:bottom w:val="none" w:sz="0" w:space="0" w:color="auto"/>
        <w:right w:val="none" w:sz="0" w:space="0" w:color="auto"/>
      </w:divBdr>
    </w:div>
    <w:div w:id="1979795052">
      <w:bodyDiv w:val="1"/>
      <w:marLeft w:val="0"/>
      <w:marRight w:val="0"/>
      <w:marTop w:val="0"/>
      <w:marBottom w:val="0"/>
      <w:divBdr>
        <w:top w:val="none" w:sz="0" w:space="0" w:color="auto"/>
        <w:left w:val="none" w:sz="0" w:space="0" w:color="auto"/>
        <w:bottom w:val="none" w:sz="0" w:space="0" w:color="auto"/>
        <w:right w:val="none" w:sz="0" w:space="0" w:color="auto"/>
      </w:divBdr>
    </w:div>
    <w:div w:id="1981425455">
      <w:bodyDiv w:val="1"/>
      <w:marLeft w:val="0"/>
      <w:marRight w:val="0"/>
      <w:marTop w:val="0"/>
      <w:marBottom w:val="0"/>
      <w:divBdr>
        <w:top w:val="none" w:sz="0" w:space="0" w:color="auto"/>
        <w:left w:val="none" w:sz="0" w:space="0" w:color="auto"/>
        <w:bottom w:val="none" w:sz="0" w:space="0" w:color="auto"/>
        <w:right w:val="none" w:sz="0" w:space="0" w:color="auto"/>
      </w:divBdr>
    </w:div>
    <w:div w:id="1982079180">
      <w:bodyDiv w:val="1"/>
      <w:marLeft w:val="0"/>
      <w:marRight w:val="0"/>
      <w:marTop w:val="0"/>
      <w:marBottom w:val="0"/>
      <w:divBdr>
        <w:top w:val="none" w:sz="0" w:space="0" w:color="auto"/>
        <w:left w:val="none" w:sz="0" w:space="0" w:color="auto"/>
        <w:bottom w:val="none" w:sz="0" w:space="0" w:color="auto"/>
        <w:right w:val="none" w:sz="0" w:space="0" w:color="auto"/>
      </w:divBdr>
    </w:div>
    <w:div w:id="1982299882">
      <w:bodyDiv w:val="1"/>
      <w:marLeft w:val="0"/>
      <w:marRight w:val="0"/>
      <w:marTop w:val="0"/>
      <w:marBottom w:val="0"/>
      <w:divBdr>
        <w:top w:val="none" w:sz="0" w:space="0" w:color="auto"/>
        <w:left w:val="none" w:sz="0" w:space="0" w:color="auto"/>
        <w:bottom w:val="none" w:sz="0" w:space="0" w:color="auto"/>
        <w:right w:val="none" w:sz="0" w:space="0" w:color="auto"/>
      </w:divBdr>
    </w:div>
    <w:div w:id="1984771365">
      <w:bodyDiv w:val="1"/>
      <w:marLeft w:val="0"/>
      <w:marRight w:val="0"/>
      <w:marTop w:val="0"/>
      <w:marBottom w:val="0"/>
      <w:divBdr>
        <w:top w:val="none" w:sz="0" w:space="0" w:color="auto"/>
        <w:left w:val="none" w:sz="0" w:space="0" w:color="auto"/>
        <w:bottom w:val="none" w:sz="0" w:space="0" w:color="auto"/>
        <w:right w:val="none" w:sz="0" w:space="0" w:color="auto"/>
      </w:divBdr>
    </w:div>
    <w:div w:id="1989555184">
      <w:bodyDiv w:val="1"/>
      <w:marLeft w:val="0"/>
      <w:marRight w:val="0"/>
      <w:marTop w:val="0"/>
      <w:marBottom w:val="0"/>
      <w:divBdr>
        <w:top w:val="none" w:sz="0" w:space="0" w:color="auto"/>
        <w:left w:val="none" w:sz="0" w:space="0" w:color="auto"/>
        <w:bottom w:val="none" w:sz="0" w:space="0" w:color="auto"/>
        <w:right w:val="none" w:sz="0" w:space="0" w:color="auto"/>
      </w:divBdr>
    </w:div>
    <w:div w:id="1992246236">
      <w:bodyDiv w:val="1"/>
      <w:marLeft w:val="0"/>
      <w:marRight w:val="0"/>
      <w:marTop w:val="0"/>
      <w:marBottom w:val="0"/>
      <w:divBdr>
        <w:top w:val="none" w:sz="0" w:space="0" w:color="auto"/>
        <w:left w:val="none" w:sz="0" w:space="0" w:color="auto"/>
        <w:bottom w:val="none" w:sz="0" w:space="0" w:color="auto"/>
        <w:right w:val="none" w:sz="0" w:space="0" w:color="auto"/>
      </w:divBdr>
    </w:div>
    <w:div w:id="1993168326">
      <w:bodyDiv w:val="1"/>
      <w:marLeft w:val="0"/>
      <w:marRight w:val="0"/>
      <w:marTop w:val="0"/>
      <w:marBottom w:val="0"/>
      <w:divBdr>
        <w:top w:val="none" w:sz="0" w:space="0" w:color="auto"/>
        <w:left w:val="none" w:sz="0" w:space="0" w:color="auto"/>
        <w:bottom w:val="none" w:sz="0" w:space="0" w:color="auto"/>
        <w:right w:val="none" w:sz="0" w:space="0" w:color="auto"/>
      </w:divBdr>
    </w:div>
    <w:div w:id="1996642542">
      <w:bodyDiv w:val="1"/>
      <w:marLeft w:val="0"/>
      <w:marRight w:val="0"/>
      <w:marTop w:val="0"/>
      <w:marBottom w:val="0"/>
      <w:divBdr>
        <w:top w:val="none" w:sz="0" w:space="0" w:color="auto"/>
        <w:left w:val="none" w:sz="0" w:space="0" w:color="auto"/>
        <w:bottom w:val="none" w:sz="0" w:space="0" w:color="auto"/>
        <w:right w:val="none" w:sz="0" w:space="0" w:color="auto"/>
      </w:divBdr>
    </w:div>
    <w:div w:id="1996833274">
      <w:bodyDiv w:val="1"/>
      <w:marLeft w:val="0"/>
      <w:marRight w:val="0"/>
      <w:marTop w:val="0"/>
      <w:marBottom w:val="0"/>
      <w:divBdr>
        <w:top w:val="none" w:sz="0" w:space="0" w:color="auto"/>
        <w:left w:val="none" w:sz="0" w:space="0" w:color="auto"/>
        <w:bottom w:val="none" w:sz="0" w:space="0" w:color="auto"/>
        <w:right w:val="none" w:sz="0" w:space="0" w:color="auto"/>
      </w:divBdr>
    </w:div>
    <w:div w:id="1997998256">
      <w:bodyDiv w:val="1"/>
      <w:marLeft w:val="0"/>
      <w:marRight w:val="0"/>
      <w:marTop w:val="0"/>
      <w:marBottom w:val="0"/>
      <w:divBdr>
        <w:top w:val="none" w:sz="0" w:space="0" w:color="auto"/>
        <w:left w:val="none" w:sz="0" w:space="0" w:color="auto"/>
        <w:bottom w:val="none" w:sz="0" w:space="0" w:color="auto"/>
        <w:right w:val="none" w:sz="0" w:space="0" w:color="auto"/>
      </w:divBdr>
    </w:div>
    <w:div w:id="1999259370">
      <w:bodyDiv w:val="1"/>
      <w:marLeft w:val="0"/>
      <w:marRight w:val="0"/>
      <w:marTop w:val="0"/>
      <w:marBottom w:val="0"/>
      <w:divBdr>
        <w:top w:val="none" w:sz="0" w:space="0" w:color="auto"/>
        <w:left w:val="none" w:sz="0" w:space="0" w:color="auto"/>
        <w:bottom w:val="none" w:sz="0" w:space="0" w:color="auto"/>
        <w:right w:val="none" w:sz="0" w:space="0" w:color="auto"/>
      </w:divBdr>
    </w:div>
    <w:div w:id="2003701049">
      <w:bodyDiv w:val="1"/>
      <w:marLeft w:val="0"/>
      <w:marRight w:val="0"/>
      <w:marTop w:val="0"/>
      <w:marBottom w:val="0"/>
      <w:divBdr>
        <w:top w:val="none" w:sz="0" w:space="0" w:color="auto"/>
        <w:left w:val="none" w:sz="0" w:space="0" w:color="auto"/>
        <w:bottom w:val="none" w:sz="0" w:space="0" w:color="auto"/>
        <w:right w:val="none" w:sz="0" w:space="0" w:color="auto"/>
      </w:divBdr>
    </w:div>
    <w:div w:id="2005237599">
      <w:bodyDiv w:val="1"/>
      <w:marLeft w:val="0"/>
      <w:marRight w:val="0"/>
      <w:marTop w:val="0"/>
      <w:marBottom w:val="0"/>
      <w:divBdr>
        <w:top w:val="none" w:sz="0" w:space="0" w:color="auto"/>
        <w:left w:val="none" w:sz="0" w:space="0" w:color="auto"/>
        <w:bottom w:val="none" w:sz="0" w:space="0" w:color="auto"/>
        <w:right w:val="none" w:sz="0" w:space="0" w:color="auto"/>
      </w:divBdr>
    </w:div>
    <w:div w:id="2005549197">
      <w:bodyDiv w:val="1"/>
      <w:marLeft w:val="0"/>
      <w:marRight w:val="0"/>
      <w:marTop w:val="0"/>
      <w:marBottom w:val="0"/>
      <w:divBdr>
        <w:top w:val="none" w:sz="0" w:space="0" w:color="auto"/>
        <w:left w:val="none" w:sz="0" w:space="0" w:color="auto"/>
        <w:bottom w:val="none" w:sz="0" w:space="0" w:color="auto"/>
        <w:right w:val="none" w:sz="0" w:space="0" w:color="auto"/>
      </w:divBdr>
    </w:div>
    <w:div w:id="2007005679">
      <w:bodyDiv w:val="1"/>
      <w:marLeft w:val="0"/>
      <w:marRight w:val="0"/>
      <w:marTop w:val="0"/>
      <w:marBottom w:val="0"/>
      <w:divBdr>
        <w:top w:val="none" w:sz="0" w:space="0" w:color="auto"/>
        <w:left w:val="none" w:sz="0" w:space="0" w:color="auto"/>
        <w:bottom w:val="none" w:sz="0" w:space="0" w:color="auto"/>
        <w:right w:val="none" w:sz="0" w:space="0" w:color="auto"/>
      </w:divBdr>
    </w:div>
    <w:div w:id="2008051718">
      <w:bodyDiv w:val="1"/>
      <w:marLeft w:val="0"/>
      <w:marRight w:val="0"/>
      <w:marTop w:val="0"/>
      <w:marBottom w:val="0"/>
      <w:divBdr>
        <w:top w:val="none" w:sz="0" w:space="0" w:color="auto"/>
        <w:left w:val="none" w:sz="0" w:space="0" w:color="auto"/>
        <w:bottom w:val="none" w:sz="0" w:space="0" w:color="auto"/>
        <w:right w:val="none" w:sz="0" w:space="0" w:color="auto"/>
      </w:divBdr>
    </w:div>
    <w:div w:id="2016492289">
      <w:bodyDiv w:val="1"/>
      <w:marLeft w:val="0"/>
      <w:marRight w:val="0"/>
      <w:marTop w:val="0"/>
      <w:marBottom w:val="0"/>
      <w:divBdr>
        <w:top w:val="none" w:sz="0" w:space="0" w:color="auto"/>
        <w:left w:val="none" w:sz="0" w:space="0" w:color="auto"/>
        <w:bottom w:val="none" w:sz="0" w:space="0" w:color="auto"/>
        <w:right w:val="none" w:sz="0" w:space="0" w:color="auto"/>
      </w:divBdr>
    </w:div>
    <w:div w:id="2017803251">
      <w:bodyDiv w:val="1"/>
      <w:marLeft w:val="0"/>
      <w:marRight w:val="0"/>
      <w:marTop w:val="0"/>
      <w:marBottom w:val="0"/>
      <w:divBdr>
        <w:top w:val="none" w:sz="0" w:space="0" w:color="auto"/>
        <w:left w:val="none" w:sz="0" w:space="0" w:color="auto"/>
        <w:bottom w:val="none" w:sz="0" w:space="0" w:color="auto"/>
        <w:right w:val="none" w:sz="0" w:space="0" w:color="auto"/>
      </w:divBdr>
    </w:div>
    <w:div w:id="2025815308">
      <w:bodyDiv w:val="1"/>
      <w:marLeft w:val="0"/>
      <w:marRight w:val="0"/>
      <w:marTop w:val="0"/>
      <w:marBottom w:val="0"/>
      <w:divBdr>
        <w:top w:val="none" w:sz="0" w:space="0" w:color="auto"/>
        <w:left w:val="none" w:sz="0" w:space="0" w:color="auto"/>
        <w:bottom w:val="none" w:sz="0" w:space="0" w:color="auto"/>
        <w:right w:val="none" w:sz="0" w:space="0" w:color="auto"/>
      </w:divBdr>
    </w:div>
    <w:div w:id="2026785694">
      <w:bodyDiv w:val="1"/>
      <w:marLeft w:val="0"/>
      <w:marRight w:val="0"/>
      <w:marTop w:val="0"/>
      <w:marBottom w:val="0"/>
      <w:divBdr>
        <w:top w:val="none" w:sz="0" w:space="0" w:color="auto"/>
        <w:left w:val="none" w:sz="0" w:space="0" w:color="auto"/>
        <w:bottom w:val="none" w:sz="0" w:space="0" w:color="auto"/>
        <w:right w:val="none" w:sz="0" w:space="0" w:color="auto"/>
      </w:divBdr>
    </w:div>
    <w:div w:id="2027442627">
      <w:bodyDiv w:val="1"/>
      <w:marLeft w:val="0"/>
      <w:marRight w:val="0"/>
      <w:marTop w:val="0"/>
      <w:marBottom w:val="0"/>
      <w:divBdr>
        <w:top w:val="none" w:sz="0" w:space="0" w:color="auto"/>
        <w:left w:val="none" w:sz="0" w:space="0" w:color="auto"/>
        <w:bottom w:val="none" w:sz="0" w:space="0" w:color="auto"/>
        <w:right w:val="none" w:sz="0" w:space="0" w:color="auto"/>
      </w:divBdr>
    </w:div>
    <w:div w:id="2027515602">
      <w:bodyDiv w:val="1"/>
      <w:marLeft w:val="0"/>
      <w:marRight w:val="0"/>
      <w:marTop w:val="0"/>
      <w:marBottom w:val="0"/>
      <w:divBdr>
        <w:top w:val="none" w:sz="0" w:space="0" w:color="auto"/>
        <w:left w:val="none" w:sz="0" w:space="0" w:color="auto"/>
        <w:bottom w:val="none" w:sz="0" w:space="0" w:color="auto"/>
        <w:right w:val="none" w:sz="0" w:space="0" w:color="auto"/>
      </w:divBdr>
    </w:div>
    <w:div w:id="2029599317">
      <w:bodyDiv w:val="1"/>
      <w:marLeft w:val="0"/>
      <w:marRight w:val="0"/>
      <w:marTop w:val="0"/>
      <w:marBottom w:val="0"/>
      <w:divBdr>
        <w:top w:val="none" w:sz="0" w:space="0" w:color="auto"/>
        <w:left w:val="none" w:sz="0" w:space="0" w:color="auto"/>
        <w:bottom w:val="none" w:sz="0" w:space="0" w:color="auto"/>
        <w:right w:val="none" w:sz="0" w:space="0" w:color="auto"/>
      </w:divBdr>
    </w:div>
    <w:div w:id="2030644194">
      <w:bodyDiv w:val="1"/>
      <w:marLeft w:val="0"/>
      <w:marRight w:val="0"/>
      <w:marTop w:val="0"/>
      <w:marBottom w:val="0"/>
      <w:divBdr>
        <w:top w:val="none" w:sz="0" w:space="0" w:color="auto"/>
        <w:left w:val="none" w:sz="0" w:space="0" w:color="auto"/>
        <w:bottom w:val="none" w:sz="0" w:space="0" w:color="auto"/>
        <w:right w:val="none" w:sz="0" w:space="0" w:color="auto"/>
      </w:divBdr>
    </w:div>
    <w:div w:id="2030795421">
      <w:bodyDiv w:val="1"/>
      <w:marLeft w:val="0"/>
      <w:marRight w:val="0"/>
      <w:marTop w:val="0"/>
      <w:marBottom w:val="0"/>
      <w:divBdr>
        <w:top w:val="none" w:sz="0" w:space="0" w:color="auto"/>
        <w:left w:val="none" w:sz="0" w:space="0" w:color="auto"/>
        <w:bottom w:val="none" w:sz="0" w:space="0" w:color="auto"/>
        <w:right w:val="none" w:sz="0" w:space="0" w:color="auto"/>
      </w:divBdr>
    </w:div>
    <w:div w:id="2031375614">
      <w:bodyDiv w:val="1"/>
      <w:marLeft w:val="0"/>
      <w:marRight w:val="0"/>
      <w:marTop w:val="0"/>
      <w:marBottom w:val="0"/>
      <w:divBdr>
        <w:top w:val="none" w:sz="0" w:space="0" w:color="auto"/>
        <w:left w:val="none" w:sz="0" w:space="0" w:color="auto"/>
        <w:bottom w:val="none" w:sz="0" w:space="0" w:color="auto"/>
        <w:right w:val="none" w:sz="0" w:space="0" w:color="auto"/>
      </w:divBdr>
    </w:div>
    <w:div w:id="2032565103">
      <w:bodyDiv w:val="1"/>
      <w:marLeft w:val="0"/>
      <w:marRight w:val="0"/>
      <w:marTop w:val="0"/>
      <w:marBottom w:val="0"/>
      <w:divBdr>
        <w:top w:val="none" w:sz="0" w:space="0" w:color="auto"/>
        <w:left w:val="none" w:sz="0" w:space="0" w:color="auto"/>
        <w:bottom w:val="none" w:sz="0" w:space="0" w:color="auto"/>
        <w:right w:val="none" w:sz="0" w:space="0" w:color="auto"/>
      </w:divBdr>
    </w:div>
    <w:div w:id="2032992869">
      <w:bodyDiv w:val="1"/>
      <w:marLeft w:val="0"/>
      <w:marRight w:val="0"/>
      <w:marTop w:val="0"/>
      <w:marBottom w:val="0"/>
      <w:divBdr>
        <w:top w:val="none" w:sz="0" w:space="0" w:color="auto"/>
        <w:left w:val="none" w:sz="0" w:space="0" w:color="auto"/>
        <w:bottom w:val="none" w:sz="0" w:space="0" w:color="auto"/>
        <w:right w:val="none" w:sz="0" w:space="0" w:color="auto"/>
      </w:divBdr>
    </w:div>
    <w:div w:id="2037807365">
      <w:bodyDiv w:val="1"/>
      <w:marLeft w:val="0"/>
      <w:marRight w:val="0"/>
      <w:marTop w:val="0"/>
      <w:marBottom w:val="0"/>
      <w:divBdr>
        <w:top w:val="none" w:sz="0" w:space="0" w:color="auto"/>
        <w:left w:val="none" w:sz="0" w:space="0" w:color="auto"/>
        <w:bottom w:val="none" w:sz="0" w:space="0" w:color="auto"/>
        <w:right w:val="none" w:sz="0" w:space="0" w:color="auto"/>
      </w:divBdr>
    </w:div>
    <w:div w:id="2038311815">
      <w:bodyDiv w:val="1"/>
      <w:marLeft w:val="0"/>
      <w:marRight w:val="0"/>
      <w:marTop w:val="0"/>
      <w:marBottom w:val="0"/>
      <w:divBdr>
        <w:top w:val="none" w:sz="0" w:space="0" w:color="auto"/>
        <w:left w:val="none" w:sz="0" w:space="0" w:color="auto"/>
        <w:bottom w:val="none" w:sz="0" w:space="0" w:color="auto"/>
        <w:right w:val="none" w:sz="0" w:space="0" w:color="auto"/>
      </w:divBdr>
    </w:div>
    <w:div w:id="2040083190">
      <w:bodyDiv w:val="1"/>
      <w:marLeft w:val="0"/>
      <w:marRight w:val="0"/>
      <w:marTop w:val="0"/>
      <w:marBottom w:val="0"/>
      <w:divBdr>
        <w:top w:val="none" w:sz="0" w:space="0" w:color="auto"/>
        <w:left w:val="none" w:sz="0" w:space="0" w:color="auto"/>
        <w:bottom w:val="none" w:sz="0" w:space="0" w:color="auto"/>
        <w:right w:val="none" w:sz="0" w:space="0" w:color="auto"/>
      </w:divBdr>
    </w:div>
    <w:div w:id="2040816094">
      <w:bodyDiv w:val="1"/>
      <w:marLeft w:val="0"/>
      <w:marRight w:val="0"/>
      <w:marTop w:val="0"/>
      <w:marBottom w:val="0"/>
      <w:divBdr>
        <w:top w:val="none" w:sz="0" w:space="0" w:color="auto"/>
        <w:left w:val="none" w:sz="0" w:space="0" w:color="auto"/>
        <w:bottom w:val="none" w:sz="0" w:space="0" w:color="auto"/>
        <w:right w:val="none" w:sz="0" w:space="0" w:color="auto"/>
      </w:divBdr>
    </w:div>
    <w:div w:id="2040931995">
      <w:bodyDiv w:val="1"/>
      <w:marLeft w:val="0"/>
      <w:marRight w:val="0"/>
      <w:marTop w:val="0"/>
      <w:marBottom w:val="0"/>
      <w:divBdr>
        <w:top w:val="none" w:sz="0" w:space="0" w:color="auto"/>
        <w:left w:val="none" w:sz="0" w:space="0" w:color="auto"/>
        <w:bottom w:val="none" w:sz="0" w:space="0" w:color="auto"/>
        <w:right w:val="none" w:sz="0" w:space="0" w:color="auto"/>
      </w:divBdr>
    </w:div>
    <w:div w:id="2041203735">
      <w:bodyDiv w:val="1"/>
      <w:marLeft w:val="0"/>
      <w:marRight w:val="0"/>
      <w:marTop w:val="0"/>
      <w:marBottom w:val="0"/>
      <w:divBdr>
        <w:top w:val="none" w:sz="0" w:space="0" w:color="auto"/>
        <w:left w:val="none" w:sz="0" w:space="0" w:color="auto"/>
        <w:bottom w:val="none" w:sz="0" w:space="0" w:color="auto"/>
        <w:right w:val="none" w:sz="0" w:space="0" w:color="auto"/>
      </w:divBdr>
    </w:div>
    <w:div w:id="2041859535">
      <w:bodyDiv w:val="1"/>
      <w:marLeft w:val="0"/>
      <w:marRight w:val="0"/>
      <w:marTop w:val="0"/>
      <w:marBottom w:val="0"/>
      <w:divBdr>
        <w:top w:val="none" w:sz="0" w:space="0" w:color="auto"/>
        <w:left w:val="none" w:sz="0" w:space="0" w:color="auto"/>
        <w:bottom w:val="none" w:sz="0" w:space="0" w:color="auto"/>
        <w:right w:val="none" w:sz="0" w:space="0" w:color="auto"/>
      </w:divBdr>
    </w:div>
    <w:div w:id="2044211889">
      <w:bodyDiv w:val="1"/>
      <w:marLeft w:val="0"/>
      <w:marRight w:val="0"/>
      <w:marTop w:val="0"/>
      <w:marBottom w:val="0"/>
      <w:divBdr>
        <w:top w:val="none" w:sz="0" w:space="0" w:color="auto"/>
        <w:left w:val="none" w:sz="0" w:space="0" w:color="auto"/>
        <w:bottom w:val="none" w:sz="0" w:space="0" w:color="auto"/>
        <w:right w:val="none" w:sz="0" w:space="0" w:color="auto"/>
      </w:divBdr>
    </w:div>
    <w:div w:id="2044556750">
      <w:bodyDiv w:val="1"/>
      <w:marLeft w:val="0"/>
      <w:marRight w:val="0"/>
      <w:marTop w:val="0"/>
      <w:marBottom w:val="0"/>
      <w:divBdr>
        <w:top w:val="none" w:sz="0" w:space="0" w:color="auto"/>
        <w:left w:val="none" w:sz="0" w:space="0" w:color="auto"/>
        <w:bottom w:val="none" w:sz="0" w:space="0" w:color="auto"/>
        <w:right w:val="none" w:sz="0" w:space="0" w:color="auto"/>
      </w:divBdr>
    </w:div>
    <w:div w:id="2050497062">
      <w:bodyDiv w:val="1"/>
      <w:marLeft w:val="0"/>
      <w:marRight w:val="0"/>
      <w:marTop w:val="0"/>
      <w:marBottom w:val="0"/>
      <w:divBdr>
        <w:top w:val="none" w:sz="0" w:space="0" w:color="auto"/>
        <w:left w:val="none" w:sz="0" w:space="0" w:color="auto"/>
        <w:bottom w:val="none" w:sz="0" w:space="0" w:color="auto"/>
        <w:right w:val="none" w:sz="0" w:space="0" w:color="auto"/>
      </w:divBdr>
    </w:div>
    <w:div w:id="2051539414">
      <w:bodyDiv w:val="1"/>
      <w:marLeft w:val="0"/>
      <w:marRight w:val="0"/>
      <w:marTop w:val="0"/>
      <w:marBottom w:val="0"/>
      <w:divBdr>
        <w:top w:val="none" w:sz="0" w:space="0" w:color="auto"/>
        <w:left w:val="none" w:sz="0" w:space="0" w:color="auto"/>
        <w:bottom w:val="none" w:sz="0" w:space="0" w:color="auto"/>
        <w:right w:val="none" w:sz="0" w:space="0" w:color="auto"/>
      </w:divBdr>
    </w:div>
    <w:div w:id="2055621241">
      <w:bodyDiv w:val="1"/>
      <w:marLeft w:val="0"/>
      <w:marRight w:val="0"/>
      <w:marTop w:val="0"/>
      <w:marBottom w:val="0"/>
      <w:divBdr>
        <w:top w:val="none" w:sz="0" w:space="0" w:color="auto"/>
        <w:left w:val="none" w:sz="0" w:space="0" w:color="auto"/>
        <w:bottom w:val="none" w:sz="0" w:space="0" w:color="auto"/>
        <w:right w:val="none" w:sz="0" w:space="0" w:color="auto"/>
      </w:divBdr>
    </w:div>
    <w:div w:id="2057270680">
      <w:bodyDiv w:val="1"/>
      <w:marLeft w:val="0"/>
      <w:marRight w:val="0"/>
      <w:marTop w:val="0"/>
      <w:marBottom w:val="0"/>
      <w:divBdr>
        <w:top w:val="none" w:sz="0" w:space="0" w:color="auto"/>
        <w:left w:val="none" w:sz="0" w:space="0" w:color="auto"/>
        <w:bottom w:val="none" w:sz="0" w:space="0" w:color="auto"/>
        <w:right w:val="none" w:sz="0" w:space="0" w:color="auto"/>
      </w:divBdr>
    </w:div>
    <w:div w:id="2057469387">
      <w:bodyDiv w:val="1"/>
      <w:marLeft w:val="0"/>
      <w:marRight w:val="0"/>
      <w:marTop w:val="0"/>
      <w:marBottom w:val="0"/>
      <w:divBdr>
        <w:top w:val="none" w:sz="0" w:space="0" w:color="auto"/>
        <w:left w:val="none" w:sz="0" w:space="0" w:color="auto"/>
        <w:bottom w:val="none" w:sz="0" w:space="0" w:color="auto"/>
        <w:right w:val="none" w:sz="0" w:space="0" w:color="auto"/>
      </w:divBdr>
    </w:div>
    <w:div w:id="2058387205">
      <w:bodyDiv w:val="1"/>
      <w:marLeft w:val="0"/>
      <w:marRight w:val="0"/>
      <w:marTop w:val="0"/>
      <w:marBottom w:val="0"/>
      <w:divBdr>
        <w:top w:val="none" w:sz="0" w:space="0" w:color="auto"/>
        <w:left w:val="none" w:sz="0" w:space="0" w:color="auto"/>
        <w:bottom w:val="none" w:sz="0" w:space="0" w:color="auto"/>
        <w:right w:val="none" w:sz="0" w:space="0" w:color="auto"/>
      </w:divBdr>
    </w:div>
    <w:div w:id="2059738155">
      <w:bodyDiv w:val="1"/>
      <w:marLeft w:val="0"/>
      <w:marRight w:val="0"/>
      <w:marTop w:val="0"/>
      <w:marBottom w:val="0"/>
      <w:divBdr>
        <w:top w:val="none" w:sz="0" w:space="0" w:color="auto"/>
        <w:left w:val="none" w:sz="0" w:space="0" w:color="auto"/>
        <w:bottom w:val="none" w:sz="0" w:space="0" w:color="auto"/>
        <w:right w:val="none" w:sz="0" w:space="0" w:color="auto"/>
      </w:divBdr>
    </w:div>
    <w:div w:id="2060130303">
      <w:bodyDiv w:val="1"/>
      <w:marLeft w:val="0"/>
      <w:marRight w:val="0"/>
      <w:marTop w:val="0"/>
      <w:marBottom w:val="0"/>
      <w:divBdr>
        <w:top w:val="none" w:sz="0" w:space="0" w:color="auto"/>
        <w:left w:val="none" w:sz="0" w:space="0" w:color="auto"/>
        <w:bottom w:val="none" w:sz="0" w:space="0" w:color="auto"/>
        <w:right w:val="none" w:sz="0" w:space="0" w:color="auto"/>
      </w:divBdr>
    </w:div>
    <w:div w:id="2060400183">
      <w:bodyDiv w:val="1"/>
      <w:marLeft w:val="0"/>
      <w:marRight w:val="0"/>
      <w:marTop w:val="0"/>
      <w:marBottom w:val="0"/>
      <w:divBdr>
        <w:top w:val="none" w:sz="0" w:space="0" w:color="auto"/>
        <w:left w:val="none" w:sz="0" w:space="0" w:color="auto"/>
        <w:bottom w:val="none" w:sz="0" w:space="0" w:color="auto"/>
        <w:right w:val="none" w:sz="0" w:space="0" w:color="auto"/>
      </w:divBdr>
    </w:div>
    <w:div w:id="2062171609">
      <w:bodyDiv w:val="1"/>
      <w:marLeft w:val="0"/>
      <w:marRight w:val="0"/>
      <w:marTop w:val="0"/>
      <w:marBottom w:val="0"/>
      <w:divBdr>
        <w:top w:val="none" w:sz="0" w:space="0" w:color="auto"/>
        <w:left w:val="none" w:sz="0" w:space="0" w:color="auto"/>
        <w:bottom w:val="none" w:sz="0" w:space="0" w:color="auto"/>
        <w:right w:val="none" w:sz="0" w:space="0" w:color="auto"/>
      </w:divBdr>
    </w:div>
    <w:div w:id="2063678247">
      <w:bodyDiv w:val="1"/>
      <w:marLeft w:val="0"/>
      <w:marRight w:val="0"/>
      <w:marTop w:val="0"/>
      <w:marBottom w:val="0"/>
      <w:divBdr>
        <w:top w:val="none" w:sz="0" w:space="0" w:color="auto"/>
        <w:left w:val="none" w:sz="0" w:space="0" w:color="auto"/>
        <w:bottom w:val="none" w:sz="0" w:space="0" w:color="auto"/>
        <w:right w:val="none" w:sz="0" w:space="0" w:color="auto"/>
      </w:divBdr>
    </w:div>
    <w:div w:id="2063943648">
      <w:bodyDiv w:val="1"/>
      <w:marLeft w:val="0"/>
      <w:marRight w:val="0"/>
      <w:marTop w:val="0"/>
      <w:marBottom w:val="0"/>
      <w:divBdr>
        <w:top w:val="none" w:sz="0" w:space="0" w:color="auto"/>
        <w:left w:val="none" w:sz="0" w:space="0" w:color="auto"/>
        <w:bottom w:val="none" w:sz="0" w:space="0" w:color="auto"/>
        <w:right w:val="none" w:sz="0" w:space="0" w:color="auto"/>
      </w:divBdr>
    </w:div>
    <w:div w:id="2066440969">
      <w:bodyDiv w:val="1"/>
      <w:marLeft w:val="0"/>
      <w:marRight w:val="0"/>
      <w:marTop w:val="0"/>
      <w:marBottom w:val="0"/>
      <w:divBdr>
        <w:top w:val="none" w:sz="0" w:space="0" w:color="auto"/>
        <w:left w:val="none" w:sz="0" w:space="0" w:color="auto"/>
        <w:bottom w:val="none" w:sz="0" w:space="0" w:color="auto"/>
        <w:right w:val="none" w:sz="0" w:space="0" w:color="auto"/>
      </w:divBdr>
    </w:div>
    <w:div w:id="2071492850">
      <w:bodyDiv w:val="1"/>
      <w:marLeft w:val="0"/>
      <w:marRight w:val="0"/>
      <w:marTop w:val="0"/>
      <w:marBottom w:val="0"/>
      <w:divBdr>
        <w:top w:val="none" w:sz="0" w:space="0" w:color="auto"/>
        <w:left w:val="none" w:sz="0" w:space="0" w:color="auto"/>
        <w:bottom w:val="none" w:sz="0" w:space="0" w:color="auto"/>
        <w:right w:val="none" w:sz="0" w:space="0" w:color="auto"/>
      </w:divBdr>
    </w:div>
    <w:div w:id="2072772705">
      <w:bodyDiv w:val="1"/>
      <w:marLeft w:val="0"/>
      <w:marRight w:val="0"/>
      <w:marTop w:val="0"/>
      <w:marBottom w:val="0"/>
      <w:divBdr>
        <w:top w:val="none" w:sz="0" w:space="0" w:color="auto"/>
        <w:left w:val="none" w:sz="0" w:space="0" w:color="auto"/>
        <w:bottom w:val="none" w:sz="0" w:space="0" w:color="auto"/>
        <w:right w:val="none" w:sz="0" w:space="0" w:color="auto"/>
      </w:divBdr>
    </w:div>
    <w:div w:id="2072918641">
      <w:bodyDiv w:val="1"/>
      <w:marLeft w:val="0"/>
      <w:marRight w:val="0"/>
      <w:marTop w:val="0"/>
      <w:marBottom w:val="0"/>
      <w:divBdr>
        <w:top w:val="none" w:sz="0" w:space="0" w:color="auto"/>
        <w:left w:val="none" w:sz="0" w:space="0" w:color="auto"/>
        <w:bottom w:val="none" w:sz="0" w:space="0" w:color="auto"/>
        <w:right w:val="none" w:sz="0" w:space="0" w:color="auto"/>
      </w:divBdr>
    </w:div>
    <w:div w:id="2075617935">
      <w:bodyDiv w:val="1"/>
      <w:marLeft w:val="0"/>
      <w:marRight w:val="0"/>
      <w:marTop w:val="0"/>
      <w:marBottom w:val="0"/>
      <w:divBdr>
        <w:top w:val="none" w:sz="0" w:space="0" w:color="auto"/>
        <w:left w:val="none" w:sz="0" w:space="0" w:color="auto"/>
        <w:bottom w:val="none" w:sz="0" w:space="0" w:color="auto"/>
        <w:right w:val="none" w:sz="0" w:space="0" w:color="auto"/>
      </w:divBdr>
    </w:div>
    <w:div w:id="2076775524">
      <w:bodyDiv w:val="1"/>
      <w:marLeft w:val="0"/>
      <w:marRight w:val="0"/>
      <w:marTop w:val="0"/>
      <w:marBottom w:val="0"/>
      <w:divBdr>
        <w:top w:val="none" w:sz="0" w:space="0" w:color="auto"/>
        <w:left w:val="none" w:sz="0" w:space="0" w:color="auto"/>
        <w:bottom w:val="none" w:sz="0" w:space="0" w:color="auto"/>
        <w:right w:val="none" w:sz="0" w:space="0" w:color="auto"/>
      </w:divBdr>
    </w:div>
    <w:div w:id="2078436107">
      <w:bodyDiv w:val="1"/>
      <w:marLeft w:val="0"/>
      <w:marRight w:val="0"/>
      <w:marTop w:val="0"/>
      <w:marBottom w:val="0"/>
      <w:divBdr>
        <w:top w:val="none" w:sz="0" w:space="0" w:color="auto"/>
        <w:left w:val="none" w:sz="0" w:space="0" w:color="auto"/>
        <w:bottom w:val="none" w:sz="0" w:space="0" w:color="auto"/>
        <w:right w:val="none" w:sz="0" w:space="0" w:color="auto"/>
      </w:divBdr>
    </w:div>
    <w:div w:id="2079982542">
      <w:bodyDiv w:val="1"/>
      <w:marLeft w:val="0"/>
      <w:marRight w:val="0"/>
      <w:marTop w:val="0"/>
      <w:marBottom w:val="0"/>
      <w:divBdr>
        <w:top w:val="none" w:sz="0" w:space="0" w:color="auto"/>
        <w:left w:val="none" w:sz="0" w:space="0" w:color="auto"/>
        <w:bottom w:val="none" w:sz="0" w:space="0" w:color="auto"/>
        <w:right w:val="none" w:sz="0" w:space="0" w:color="auto"/>
      </w:divBdr>
    </w:div>
    <w:div w:id="2080056992">
      <w:bodyDiv w:val="1"/>
      <w:marLeft w:val="0"/>
      <w:marRight w:val="0"/>
      <w:marTop w:val="0"/>
      <w:marBottom w:val="0"/>
      <w:divBdr>
        <w:top w:val="none" w:sz="0" w:space="0" w:color="auto"/>
        <w:left w:val="none" w:sz="0" w:space="0" w:color="auto"/>
        <w:bottom w:val="none" w:sz="0" w:space="0" w:color="auto"/>
        <w:right w:val="none" w:sz="0" w:space="0" w:color="auto"/>
      </w:divBdr>
    </w:div>
    <w:div w:id="2080595870">
      <w:bodyDiv w:val="1"/>
      <w:marLeft w:val="0"/>
      <w:marRight w:val="0"/>
      <w:marTop w:val="0"/>
      <w:marBottom w:val="0"/>
      <w:divBdr>
        <w:top w:val="none" w:sz="0" w:space="0" w:color="auto"/>
        <w:left w:val="none" w:sz="0" w:space="0" w:color="auto"/>
        <w:bottom w:val="none" w:sz="0" w:space="0" w:color="auto"/>
        <w:right w:val="none" w:sz="0" w:space="0" w:color="auto"/>
      </w:divBdr>
    </w:div>
    <w:div w:id="2081244049">
      <w:bodyDiv w:val="1"/>
      <w:marLeft w:val="0"/>
      <w:marRight w:val="0"/>
      <w:marTop w:val="0"/>
      <w:marBottom w:val="0"/>
      <w:divBdr>
        <w:top w:val="none" w:sz="0" w:space="0" w:color="auto"/>
        <w:left w:val="none" w:sz="0" w:space="0" w:color="auto"/>
        <w:bottom w:val="none" w:sz="0" w:space="0" w:color="auto"/>
        <w:right w:val="none" w:sz="0" w:space="0" w:color="auto"/>
      </w:divBdr>
    </w:div>
    <w:div w:id="2082096524">
      <w:bodyDiv w:val="1"/>
      <w:marLeft w:val="0"/>
      <w:marRight w:val="0"/>
      <w:marTop w:val="0"/>
      <w:marBottom w:val="0"/>
      <w:divBdr>
        <w:top w:val="none" w:sz="0" w:space="0" w:color="auto"/>
        <w:left w:val="none" w:sz="0" w:space="0" w:color="auto"/>
        <w:bottom w:val="none" w:sz="0" w:space="0" w:color="auto"/>
        <w:right w:val="none" w:sz="0" w:space="0" w:color="auto"/>
      </w:divBdr>
    </w:div>
    <w:div w:id="2082293739">
      <w:bodyDiv w:val="1"/>
      <w:marLeft w:val="0"/>
      <w:marRight w:val="0"/>
      <w:marTop w:val="0"/>
      <w:marBottom w:val="0"/>
      <w:divBdr>
        <w:top w:val="none" w:sz="0" w:space="0" w:color="auto"/>
        <w:left w:val="none" w:sz="0" w:space="0" w:color="auto"/>
        <w:bottom w:val="none" w:sz="0" w:space="0" w:color="auto"/>
        <w:right w:val="none" w:sz="0" w:space="0" w:color="auto"/>
      </w:divBdr>
    </w:div>
    <w:div w:id="2082676821">
      <w:bodyDiv w:val="1"/>
      <w:marLeft w:val="0"/>
      <w:marRight w:val="0"/>
      <w:marTop w:val="0"/>
      <w:marBottom w:val="0"/>
      <w:divBdr>
        <w:top w:val="none" w:sz="0" w:space="0" w:color="auto"/>
        <w:left w:val="none" w:sz="0" w:space="0" w:color="auto"/>
        <w:bottom w:val="none" w:sz="0" w:space="0" w:color="auto"/>
        <w:right w:val="none" w:sz="0" w:space="0" w:color="auto"/>
      </w:divBdr>
    </w:div>
    <w:div w:id="2084911579">
      <w:bodyDiv w:val="1"/>
      <w:marLeft w:val="0"/>
      <w:marRight w:val="0"/>
      <w:marTop w:val="0"/>
      <w:marBottom w:val="0"/>
      <w:divBdr>
        <w:top w:val="none" w:sz="0" w:space="0" w:color="auto"/>
        <w:left w:val="none" w:sz="0" w:space="0" w:color="auto"/>
        <w:bottom w:val="none" w:sz="0" w:space="0" w:color="auto"/>
        <w:right w:val="none" w:sz="0" w:space="0" w:color="auto"/>
      </w:divBdr>
    </w:div>
    <w:div w:id="2087411806">
      <w:bodyDiv w:val="1"/>
      <w:marLeft w:val="0"/>
      <w:marRight w:val="0"/>
      <w:marTop w:val="0"/>
      <w:marBottom w:val="0"/>
      <w:divBdr>
        <w:top w:val="none" w:sz="0" w:space="0" w:color="auto"/>
        <w:left w:val="none" w:sz="0" w:space="0" w:color="auto"/>
        <w:bottom w:val="none" w:sz="0" w:space="0" w:color="auto"/>
        <w:right w:val="none" w:sz="0" w:space="0" w:color="auto"/>
      </w:divBdr>
    </w:div>
    <w:div w:id="2095199056">
      <w:bodyDiv w:val="1"/>
      <w:marLeft w:val="0"/>
      <w:marRight w:val="0"/>
      <w:marTop w:val="0"/>
      <w:marBottom w:val="0"/>
      <w:divBdr>
        <w:top w:val="none" w:sz="0" w:space="0" w:color="auto"/>
        <w:left w:val="none" w:sz="0" w:space="0" w:color="auto"/>
        <w:bottom w:val="none" w:sz="0" w:space="0" w:color="auto"/>
        <w:right w:val="none" w:sz="0" w:space="0" w:color="auto"/>
      </w:divBdr>
    </w:div>
    <w:div w:id="2097051192">
      <w:bodyDiv w:val="1"/>
      <w:marLeft w:val="0"/>
      <w:marRight w:val="0"/>
      <w:marTop w:val="0"/>
      <w:marBottom w:val="0"/>
      <w:divBdr>
        <w:top w:val="none" w:sz="0" w:space="0" w:color="auto"/>
        <w:left w:val="none" w:sz="0" w:space="0" w:color="auto"/>
        <w:bottom w:val="none" w:sz="0" w:space="0" w:color="auto"/>
        <w:right w:val="none" w:sz="0" w:space="0" w:color="auto"/>
      </w:divBdr>
    </w:div>
    <w:div w:id="2098356007">
      <w:bodyDiv w:val="1"/>
      <w:marLeft w:val="0"/>
      <w:marRight w:val="0"/>
      <w:marTop w:val="0"/>
      <w:marBottom w:val="0"/>
      <w:divBdr>
        <w:top w:val="none" w:sz="0" w:space="0" w:color="auto"/>
        <w:left w:val="none" w:sz="0" w:space="0" w:color="auto"/>
        <w:bottom w:val="none" w:sz="0" w:space="0" w:color="auto"/>
        <w:right w:val="none" w:sz="0" w:space="0" w:color="auto"/>
      </w:divBdr>
    </w:div>
    <w:div w:id="2100054847">
      <w:bodyDiv w:val="1"/>
      <w:marLeft w:val="0"/>
      <w:marRight w:val="0"/>
      <w:marTop w:val="0"/>
      <w:marBottom w:val="0"/>
      <w:divBdr>
        <w:top w:val="none" w:sz="0" w:space="0" w:color="auto"/>
        <w:left w:val="none" w:sz="0" w:space="0" w:color="auto"/>
        <w:bottom w:val="none" w:sz="0" w:space="0" w:color="auto"/>
        <w:right w:val="none" w:sz="0" w:space="0" w:color="auto"/>
      </w:divBdr>
    </w:div>
    <w:div w:id="2102558560">
      <w:bodyDiv w:val="1"/>
      <w:marLeft w:val="0"/>
      <w:marRight w:val="0"/>
      <w:marTop w:val="0"/>
      <w:marBottom w:val="0"/>
      <w:divBdr>
        <w:top w:val="none" w:sz="0" w:space="0" w:color="auto"/>
        <w:left w:val="none" w:sz="0" w:space="0" w:color="auto"/>
        <w:bottom w:val="none" w:sz="0" w:space="0" w:color="auto"/>
        <w:right w:val="none" w:sz="0" w:space="0" w:color="auto"/>
      </w:divBdr>
    </w:div>
    <w:div w:id="2103792150">
      <w:bodyDiv w:val="1"/>
      <w:marLeft w:val="0"/>
      <w:marRight w:val="0"/>
      <w:marTop w:val="0"/>
      <w:marBottom w:val="0"/>
      <w:divBdr>
        <w:top w:val="none" w:sz="0" w:space="0" w:color="auto"/>
        <w:left w:val="none" w:sz="0" w:space="0" w:color="auto"/>
        <w:bottom w:val="none" w:sz="0" w:space="0" w:color="auto"/>
        <w:right w:val="none" w:sz="0" w:space="0" w:color="auto"/>
      </w:divBdr>
    </w:div>
    <w:div w:id="2105101744">
      <w:bodyDiv w:val="1"/>
      <w:marLeft w:val="0"/>
      <w:marRight w:val="0"/>
      <w:marTop w:val="0"/>
      <w:marBottom w:val="0"/>
      <w:divBdr>
        <w:top w:val="none" w:sz="0" w:space="0" w:color="auto"/>
        <w:left w:val="none" w:sz="0" w:space="0" w:color="auto"/>
        <w:bottom w:val="none" w:sz="0" w:space="0" w:color="auto"/>
        <w:right w:val="none" w:sz="0" w:space="0" w:color="auto"/>
      </w:divBdr>
    </w:div>
    <w:div w:id="2107145860">
      <w:bodyDiv w:val="1"/>
      <w:marLeft w:val="0"/>
      <w:marRight w:val="0"/>
      <w:marTop w:val="0"/>
      <w:marBottom w:val="0"/>
      <w:divBdr>
        <w:top w:val="none" w:sz="0" w:space="0" w:color="auto"/>
        <w:left w:val="none" w:sz="0" w:space="0" w:color="auto"/>
        <w:bottom w:val="none" w:sz="0" w:space="0" w:color="auto"/>
        <w:right w:val="none" w:sz="0" w:space="0" w:color="auto"/>
      </w:divBdr>
    </w:div>
    <w:div w:id="2108965905">
      <w:bodyDiv w:val="1"/>
      <w:marLeft w:val="0"/>
      <w:marRight w:val="0"/>
      <w:marTop w:val="0"/>
      <w:marBottom w:val="0"/>
      <w:divBdr>
        <w:top w:val="none" w:sz="0" w:space="0" w:color="auto"/>
        <w:left w:val="none" w:sz="0" w:space="0" w:color="auto"/>
        <w:bottom w:val="none" w:sz="0" w:space="0" w:color="auto"/>
        <w:right w:val="none" w:sz="0" w:space="0" w:color="auto"/>
      </w:divBdr>
    </w:div>
    <w:div w:id="2110225837">
      <w:bodyDiv w:val="1"/>
      <w:marLeft w:val="0"/>
      <w:marRight w:val="0"/>
      <w:marTop w:val="0"/>
      <w:marBottom w:val="0"/>
      <w:divBdr>
        <w:top w:val="none" w:sz="0" w:space="0" w:color="auto"/>
        <w:left w:val="none" w:sz="0" w:space="0" w:color="auto"/>
        <w:bottom w:val="none" w:sz="0" w:space="0" w:color="auto"/>
        <w:right w:val="none" w:sz="0" w:space="0" w:color="auto"/>
      </w:divBdr>
    </w:div>
    <w:div w:id="2117014077">
      <w:bodyDiv w:val="1"/>
      <w:marLeft w:val="0"/>
      <w:marRight w:val="0"/>
      <w:marTop w:val="0"/>
      <w:marBottom w:val="0"/>
      <w:divBdr>
        <w:top w:val="none" w:sz="0" w:space="0" w:color="auto"/>
        <w:left w:val="none" w:sz="0" w:space="0" w:color="auto"/>
        <w:bottom w:val="none" w:sz="0" w:space="0" w:color="auto"/>
        <w:right w:val="none" w:sz="0" w:space="0" w:color="auto"/>
      </w:divBdr>
    </w:div>
    <w:div w:id="2118594225">
      <w:bodyDiv w:val="1"/>
      <w:marLeft w:val="0"/>
      <w:marRight w:val="0"/>
      <w:marTop w:val="0"/>
      <w:marBottom w:val="0"/>
      <w:divBdr>
        <w:top w:val="none" w:sz="0" w:space="0" w:color="auto"/>
        <w:left w:val="none" w:sz="0" w:space="0" w:color="auto"/>
        <w:bottom w:val="none" w:sz="0" w:space="0" w:color="auto"/>
        <w:right w:val="none" w:sz="0" w:space="0" w:color="auto"/>
      </w:divBdr>
    </w:div>
    <w:div w:id="2121563757">
      <w:bodyDiv w:val="1"/>
      <w:marLeft w:val="0"/>
      <w:marRight w:val="0"/>
      <w:marTop w:val="0"/>
      <w:marBottom w:val="0"/>
      <w:divBdr>
        <w:top w:val="none" w:sz="0" w:space="0" w:color="auto"/>
        <w:left w:val="none" w:sz="0" w:space="0" w:color="auto"/>
        <w:bottom w:val="none" w:sz="0" w:space="0" w:color="auto"/>
        <w:right w:val="none" w:sz="0" w:space="0" w:color="auto"/>
      </w:divBdr>
    </w:div>
    <w:div w:id="2126265392">
      <w:bodyDiv w:val="1"/>
      <w:marLeft w:val="0"/>
      <w:marRight w:val="0"/>
      <w:marTop w:val="0"/>
      <w:marBottom w:val="0"/>
      <w:divBdr>
        <w:top w:val="none" w:sz="0" w:space="0" w:color="auto"/>
        <w:left w:val="none" w:sz="0" w:space="0" w:color="auto"/>
        <w:bottom w:val="none" w:sz="0" w:space="0" w:color="auto"/>
        <w:right w:val="none" w:sz="0" w:space="0" w:color="auto"/>
      </w:divBdr>
    </w:div>
    <w:div w:id="2127575137">
      <w:bodyDiv w:val="1"/>
      <w:marLeft w:val="0"/>
      <w:marRight w:val="0"/>
      <w:marTop w:val="0"/>
      <w:marBottom w:val="0"/>
      <w:divBdr>
        <w:top w:val="none" w:sz="0" w:space="0" w:color="auto"/>
        <w:left w:val="none" w:sz="0" w:space="0" w:color="auto"/>
        <w:bottom w:val="none" w:sz="0" w:space="0" w:color="auto"/>
        <w:right w:val="none" w:sz="0" w:space="0" w:color="auto"/>
      </w:divBdr>
    </w:div>
    <w:div w:id="2143034903">
      <w:bodyDiv w:val="1"/>
      <w:marLeft w:val="0"/>
      <w:marRight w:val="0"/>
      <w:marTop w:val="0"/>
      <w:marBottom w:val="0"/>
      <w:divBdr>
        <w:top w:val="none" w:sz="0" w:space="0" w:color="auto"/>
        <w:left w:val="none" w:sz="0" w:space="0" w:color="auto"/>
        <w:bottom w:val="none" w:sz="0" w:space="0" w:color="auto"/>
        <w:right w:val="none" w:sz="0" w:space="0" w:color="auto"/>
      </w:divBdr>
    </w:div>
    <w:div w:id="2143886889">
      <w:bodyDiv w:val="1"/>
      <w:marLeft w:val="0"/>
      <w:marRight w:val="0"/>
      <w:marTop w:val="0"/>
      <w:marBottom w:val="0"/>
      <w:divBdr>
        <w:top w:val="none" w:sz="0" w:space="0" w:color="auto"/>
        <w:left w:val="none" w:sz="0" w:space="0" w:color="auto"/>
        <w:bottom w:val="none" w:sz="0" w:space="0" w:color="auto"/>
        <w:right w:val="none" w:sz="0" w:space="0" w:color="auto"/>
      </w:divBdr>
    </w:div>
    <w:div w:id="21448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36"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glossaryDocument" Target="glossary/document.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ema.europa.eu/en/documents/variation-report/xeljanz-h-c-4214-x-0024-g-epar-assessment-report-variation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files\TL\&#1044;&#1080;&#1088;&#1077;&#1082;&#1094;&#1080;&#1103;%20&#1087;&#1086;%20&#1085;&#1072;&#1091;&#1082;&#1077;%20&#1080;%20&#1088;&#1072;&#1079;&#1088;&#1072;&#1073;&#1086;&#1090;&#1082;&#1072;&#1084;\&#1056;&#1072;&#1073;&#1086;&#1095;&#1072;&#1103;%20&#1087;&#1072;&#1087;&#1082;&#1072;\RAZRABOTKA\Tofacitinib\&#1051;&#1077;&#1082;&#1092;&#1086;&#1088;&#1084;&#1072;\&#1058;&#1057;&#1050;&#1056;\&#1076;&#1083;&#1103;%20&#1056;&#1050;&#104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iles\TL\&#1044;&#1080;&#1088;&#1077;&#1082;&#1094;&#1080;&#1103;%20&#1087;&#1086;%20&#1085;&#1072;&#1091;&#1082;&#1077;%20&#1080;%20&#1088;&#1072;&#1079;&#1088;&#1072;&#1073;&#1086;&#1090;&#1082;&#1072;&#1084;\&#1056;&#1072;&#1073;&#1086;&#1095;&#1072;&#1103;%20&#1087;&#1072;&#1087;&#1082;&#1072;\RAZRABOTKA\Tofacitinib\&#1051;&#1077;&#1082;&#1092;&#1086;&#1088;&#1084;&#1072;\&#1058;&#1057;&#1050;&#1056;\&#1076;&#1083;&#1103;%20&#1056;&#1050;&#104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iles\TL\&#1044;&#1080;&#1088;&#1077;&#1082;&#1094;&#1080;&#1103;%20&#1087;&#1086;%20&#1085;&#1072;&#1091;&#1082;&#1077;%20&#1080;%20&#1088;&#1072;&#1079;&#1088;&#1072;&#1073;&#1086;&#1090;&#1082;&#1072;&#1084;\&#1056;&#1072;&#1073;&#1086;&#1095;&#1072;&#1103;%20&#1087;&#1072;&#1087;&#1082;&#1072;\RAZRABOTKA\Tofacitinib\&#1051;&#1077;&#1082;&#1092;&#1086;&#1088;&#1084;&#1072;\&#1058;&#1057;&#1050;&#1056;\&#1076;&#1083;&#1103;%20&#1056;&#1050;&#104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02466080450655"/>
          <c:y val="5.7666095906316862E-2"/>
          <c:w val="0.78845598918480286"/>
          <c:h val="0.75108400923568774"/>
        </c:manualLayout>
      </c:layout>
      <c:lineChart>
        <c:grouping val="standard"/>
        <c:varyColors val="0"/>
        <c:ser>
          <c:idx val="0"/>
          <c:order val="0"/>
          <c:tx>
            <c:v>ТОФАЦИТИНИБ тппо 10 мг, с.011122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Лист1!$A$61:$A$66</c:f>
              <c:numCache>
                <c:formatCode>General</c:formatCode>
                <c:ptCount val="6"/>
                <c:pt idx="0">
                  <c:v>0</c:v>
                </c:pt>
                <c:pt idx="1">
                  <c:v>10</c:v>
                </c:pt>
                <c:pt idx="2">
                  <c:v>15</c:v>
                </c:pt>
                <c:pt idx="3">
                  <c:v>20</c:v>
                </c:pt>
                <c:pt idx="4">
                  <c:v>30</c:v>
                </c:pt>
                <c:pt idx="5">
                  <c:v>45</c:v>
                </c:pt>
              </c:numCache>
            </c:numRef>
          </c:cat>
          <c:val>
            <c:numRef>
              <c:f>Лист1!$B$61:$B$66</c:f>
              <c:numCache>
                <c:formatCode>General</c:formatCode>
                <c:ptCount val="6"/>
                <c:pt idx="0">
                  <c:v>0</c:v>
                </c:pt>
                <c:pt idx="1">
                  <c:v>97.9</c:v>
                </c:pt>
                <c:pt idx="2">
                  <c:v>101.9</c:v>
                </c:pt>
                <c:pt idx="3" formatCode="0.0">
                  <c:v>101</c:v>
                </c:pt>
                <c:pt idx="4">
                  <c:v>100.6</c:v>
                </c:pt>
                <c:pt idx="5">
                  <c:v>100.8</c:v>
                </c:pt>
              </c:numCache>
            </c:numRef>
          </c:val>
          <c:smooth val="0"/>
          <c:extLst>
            <c:ext xmlns:c16="http://schemas.microsoft.com/office/drawing/2014/chart" uri="{C3380CC4-5D6E-409C-BE32-E72D297353CC}">
              <c16:uniqueId val="{00000000-2A81-48B1-821E-C80E981D1A79}"/>
            </c:ext>
          </c:extLst>
        </c:ser>
        <c:ser>
          <c:idx val="1"/>
          <c:order val="1"/>
          <c:tx>
            <c:v>Яквинус тппо 10 мг, с. FJ4524</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Лист1!$A$61:$A$66</c:f>
              <c:numCache>
                <c:formatCode>General</c:formatCode>
                <c:ptCount val="6"/>
                <c:pt idx="0">
                  <c:v>0</c:v>
                </c:pt>
                <c:pt idx="1">
                  <c:v>10</c:v>
                </c:pt>
                <c:pt idx="2">
                  <c:v>15</c:v>
                </c:pt>
                <c:pt idx="3">
                  <c:v>20</c:v>
                </c:pt>
                <c:pt idx="4">
                  <c:v>30</c:v>
                </c:pt>
                <c:pt idx="5">
                  <c:v>45</c:v>
                </c:pt>
              </c:numCache>
            </c:numRef>
          </c:cat>
          <c:val>
            <c:numRef>
              <c:f>Лист1!$E$61:$E$66</c:f>
              <c:numCache>
                <c:formatCode>0.0</c:formatCode>
                <c:ptCount val="6"/>
                <c:pt idx="0" formatCode="General">
                  <c:v>0</c:v>
                </c:pt>
                <c:pt idx="1">
                  <c:v>95.6</c:v>
                </c:pt>
                <c:pt idx="2">
                  <c:v>97</c:v>
                </c:pt>
                <c:pt idx="3">
                  <c:v>98.5</c:v>
                </c:pt>
                <c:pt idx="4">
                  <c:v>100.8</c:v>
                </c:pt>
                <c:pt idx="5">
                  <c:v>101.3</c:v>
                </c:pt>
              </c:numCache>
            </c:numRef>
          </c:val>
          <c:smooth val="0"/>
          <c:extLst>
            <c:ext xmlns:c16="http://schemas.microsoft.com/office/drawing/2014/chart" uri="{C3380CC4-5D6E-409C-BE32-E72D297353CC}">
              <c16:uniqueId val="{00000001-2A81-48B1-821E-C80E981D1A79}"/>
            </c:ext>
          </c:extLst>
        </c:ser>
        <c:dLbls>
          <c:showLegendKey val="0"/>
          <c:showVal val="0"/>
          <c:showCatName val="0"/>
          <c:showSerName val="0"/>
          <c:showPercent val="0"/>
          <c:showBubbleSize val="0"/>
        </c:dLbls>
        <c:marker val="1"/>
        <c:smooth val="0"/>
        <c:axId val="188441728"/>
        <c:axId val="188542976"/>
      </c:lineChart>
      <c:catAx>
        <c:axId val="18844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ru-RU" b="0"/>
                  <a:t>Время, мин</a:t>
                </a:r>
              </a:p>
            </c:rich>
          </c:tx>
          <c:layout>
            <c:manualLayout>
              <c:xMode val="edge"/>
              <c:yMode val="edge"/>
              <c:x val="0.42759154784933473"/>
              <c:y val="0.8943938586624040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ru-RU"/>
          </a:p>
        </c:txPr>
        <c:crossAx val="188542976"/>
        <c:crosses val="autoZero"/>
        <c:auto val="1"/>
        <c:lblAlgn val="ctr"/>
        <c:lblOffset val="100"/>
        <c:noMultiLvlLbl val="0"/>
      </c:catAx>
      <c:valAx>
        <c:axId val="18854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ru-RU" b="0"/>
                  <a:t>Количество высвободившегося тофацитиниба, %</a:t>
                </a:r>
              </a:p>
            </c:rich>
          </c:tx>
          <c:layout>
            <c:manualLayout>
              <c:xMode val="edge"/>
              <c:yMode val="edge"/>
              <c:x val="1.9424760808042035E-2"/>
              <c:y val="5.0637556669052737E-2"/>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ru-RU"/>
          </a:p>
        </c:txPr>
        <c:crossAx val="188441728"/>
        <c:crosses val="autoZero"/>
        <c:crossBetween val="between"/>
      </c:valAx>
      <c:spPr>
        <a:noFill/>
        <a:ln>
          <a:noFill/>
        </a:ln>
        <a:effectLst/>
      </c:spPr>
    </c:plotArea>
    <c:legend>
      <c:legendPos val="t"/>
      <c:layout>
        <c:manualLayout>
          <c:xMode val="edge"/>
          <c:yMode val="edge"/>
          <c:x val="0.45181092260837502"/>
          <c:y val="0.33562405763109399"/>
          <c:w val="0.48336540517425702"/>
          <c:h val="0.20332942424750097"/>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38875280102496"/>
          <c:y val="6.228424727227188E-2"/>
          <c:w val="0.78509189718828443"/>
          <c:h val="0.75099607081917941"/>
        </c:manualLayout>
      </c:layout>
      <c:lineChart>
        <c:grouping val="standard"/>
        <c:varyColors val="0"/>
        <c:ser>
          <c:idx val="0"/>
          <c:order val="0"/>
          <c:tx>
            <c:v>ТОФАЦИТИНИБ тппо 10 мг, с.011122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Лист1!$A$61:$A$66</c:f>
              <c:numCache>
                <c:formatCode>General</c:formatCode>
                <c:ptCount val="6"/>
                <c:pt idx="0">
                  <c:v>0</c:v>
                </c:pt>
                <c:pt idx="1">
                  <c:v>10</c:v>
                </c:pt>
                <c:pt idx="2">
                  <c:v>15</c:v>
                </c:pt>
                <c:pt idx="3">
                  <c:v>20</c:v>
                </c:pt>
                <c:pt idx="4">
                  <c:v>30</c:v>
                </c:pt>
                <c:pt idx="5">
                  <c:v>45</c:v>
                </c:pt>
              </c:numCache>
            </c:numRef>
          </c:cat>
          <c:val>
            <c:numRef>
              <c:f>Лист1!$C$61:$C$66</c:f>
              <c:numCache>
                <c:formatCode>General</c:formatCode>
                <c:ptCount val="6"/>
                <c:pt idx="0">
                  <c:v>0</c:v>
                </c:pt>
                <c:pt idx="1">
                  <c:v>99.2</c:v>
                </c:pt>
                <c:pt idx="2">
                  <c:v>100.5</c:v>
                </c:pt>
                <c:pt idx="3">
                  <c:v>100.1</c:v>
                </c:pt>
                <c:pt idx="4">
                  <c:v>100.7</c:v>
                </c:pt>
                <c:pt idx="5">
                  <c:v>99.3</c:v>
                </c:pt>
              </c:numCache>
            </c:numRef>
          </c:val>
          <c:smooth val="0"/>
          <c:extLst>
            <c:ext xmlns:c16="http://schemas.microsoft.com/office/drawing/2014/chart" uri="{C3380CC4-5D6E-409C-BE32-E72D297353CC}">
              <c16:uniqueId val="{00000000-02F2-476B-9629-1120F18FD05B}"/>
            </c:ext>
          </c:extLst>
        </c:ser>
        <c:ser>
          <c:idx val="1"/>
          <c:order val="1"/>
          <c:tx>
            <c:v>Яквинус тппо 10 мг, с. FJ4524</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Лист1!$A$61:$A$66</c:f>
              <c:numCache>
                <c:formatCode>General</c:formatCode>
                <c:ptCount val="6"/>
                <c:pt idx="0">
                  <c:v>0</c:v>
                </c:pt>
                <c:pt idx="1">
                  <c:v>10</c:v>
                </c:pt>
                <c:pt idx="2">
                  <c:v>15</c:v>
                </c:pt>
                <c:pt idx="3">
                  <c:v>20</c:v>
                </c:pt>
                <c:pt idx="4">
                  <c:v>30</c:v>
                </c:pt>
                <c:pt idx="5">
                  <c:v>45</c:v>
                </c:pt>
              </c:numCache>
            </c:numRef>
          </c:cat>
          <c:val>
            <c:numRef>
              <c:f>Лист1!$F$61:$F$66</c:f>
              <c:numCache>
                <c:formatCode>0.0</c:formatCode>
                <c:ptCount val="6"/>
                <c:pt idx="0" formatCode="General">
                  <c:v>0</c:v>
                </c:pt>
                <c:pt idx="1">
                  <c:v>94.3</c:v>
                </c:pt>
                <c:pt idx="2">
                  <c:v>96</c:v>
                </c:pt>
                <c:pt idx="3">
                  <c:v>98.1</c:v>
                </c:pt>
                <c:pt idx="4">
                  <c:v>100.6</c:v>
                </c:pt>
                <c:pt idx="5">
                  <c:v>100.8</c:v>
                </c:pt>
              </c:numCache>
            </c:numRef>
          </c:val>
          <c:smooth val="0"/>
          <c:extLst>
            <c:ext xmlns:c16="http://schemas.microsoft.com/office/drawing/2014/chart" uri="{C3380CC4-5D6E-409C-BE32-E72D297353CC}">
              <c16:uniqueId val="{00000001-02F2-476B-9629-1120F18FD05B}"/>
            </c:ext>
          </c:extLst>
        </c:ser>
        <c:dLbls>
          <c:showLegendKey val="0"/>
          <c:showVal val="0"/>
          <c:showCatName val="0"/>
          <c:showSerName val="0"/>
          <c:showPercent val="0"/>
          <c:showBubbleSize val="0"/>
        </c:dLbls>
        <c:marker val="1"/>
        <c:smooth val="0"/>
        <c:axId val="189275520"/>
        <c:axId val="189807232"/>
      </c:lineChart>
      <c:catAx>
        <c:axId val="189275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ru-RU" b="0"/>
                  <a:t>Время, мин</a:t>
                </a:r>
              </a:p>
            </c:rich>
          </c:tx>
          <c:layout>
            <c:manualLayout>
              <c:xMode val="edge"/>
              <c:yMode val="edge"/>
              <c:x val="0.40040893701629182"/>
              <c:y val="0.8984324292796732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ru-RU"/>
          </a:p>
        </c:txPr>
        <c:crossAx val="189807232"/>
        <c:crosses val="autoZero"/>
        <c:auto val="1"/>
        <c:lblAlgn val="ctr"/>
        <c:lblOffset val="100"/>
        <c:noMultiLvlLbl val="0"/>
      </c:catAx>
      <c:valAx>
        <c:axId val="18980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ru-RU" b="0"/>
                  <a:t>Количество высвободившегося тофацитиниба, %</a:t>
                </a:r>
              </a:p>
            </c:rich>
          </c:tx>
          <c:layout>
            <c:manualLayout>
              <c:xMode val="edge"/>
              <c:yMode val="edge"/>
              <c:x val="1.2828736369467608E-2"/>
              <c:y val="0.13830271216097989"/>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ru-RU"/>
          </a:p>
        </c:txPr>
        <c:crossAx val="189275520"/>
        <c:crosses val="autoZero"/>
        <c:crossBetween val="between"/>
      </c:valAx>
      <c:spPr>
        <a:noFill/>
        <a:ln>
          <a:noFill/>
        </a:ln>
        <a:effectLst/>
      </c:spPr>
    </c:plotArea>
    <c:legend>
      <c:legendPos val="t"/>
      <c:layout>
        <c:manualLayout>
          <c:xMode val="edge"/>
          <c:yMode val="edge"/>
          <c:x val="0.36843053373940837"/>
          <c:y val="0.41740775736366287"/>
          <c:w val="0.62661962796664528"/>
          <c:h val="0.20779282589676287"/>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97438461629115"/>
          <c:y val="6.1053263194637768E-2"/>
          <c:w val="0.81502561538370888"/>
          <c:h val="0.75957311939781114"/>
        </c:manualLayout>
      </c:layout>
      <c:lineChart>
        <c:grouping val="standard"/>
        <c:varyColors val="0"/>
        <c:ser>
          <c:idx val="0"/>
          <c:order val="0"/>
          <c:tx>
            <c:v>ТОФАЦИТИНИБ тппо 10 мг, с.011122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Лист1!$A$61:$A$66</c:f>
              <c:numCache>
                <c:formatCode>General</c:formatCode>
                <c:ptCount val="6"/>
                <c:pt idx="0">
                  <c:v>0</c:v>
                </c:pt>
                <c:pt idx="1">
                  <c:v>10</c:v>
                </c:pt>
                <c:pt idx="2">
                  <c:v>15</c:v>
                </c:pt>
                <c:pt idx="3">
                  <c:v>20</c:v>
                </c:pt>
                <c:pt idx="4">
                  <c:v>30</c:v>
                </c:pt>
                <c:pt idx="5">
                  <c:v>45</c:v>
                </c:pt>
              </c:numCache>
            </c:numRef>
          </c:cat>
          <c:val>
            <c:numRef>
              <c:f>Лист1!$D$61:$D$66</c:f>
              <c:numCache>
                <c:formatCode>General</c:formatCode>
                <c:ptCount val="6"/>
                <c:pt idx="0">
                  <c:v>0</c:v>
                </c:pt>
                <c:pt idx="1">
                  <c:v>95.8</c:v>
                </c:pt>
                <c:pt idx="2">
                  <c:v>97.4</c:v>
                </c:pt>
                <c:pt idx="3">
                  <c:v>100.2</c:v>
                </c:pt>
                <c:pt idx="4">
                  <c:v>100.9</c:v>
                </c:pt>
                <c:pt idx="5">
                  <c:v>101.3</c:v>
                </c:pt>
              </c:numCache>
            </c:numRef>
          </c:val>
          <c:smooth val="0"/>
          <c:extLst>
            <c:ext xmlns:c16="http://schemas.microsoft.com/office/drawing/2014/chart" uri="{C3380CC4-5D6E-409C-BE32-E72D297353CC}">
              <c16:uniqueId val="{00000000-E925-4E97-B3D3-C762CFD63DD5}"/>
            </c:ext>
          </c:extLst>
        </c:ser>
        <c:ser>
          <c:idx val="1"/>
          <c:order val="1"/>
          <c:tx>
            <c:v>Яквинус тппо 10 мг, с. FJ4524</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Лист1!$A$61:$A$66</c:f>
              <c:numCache>
                <c:formatCode>General</c:formatCode>
                <c:ptCount val="6"/>
                <c:pt idx="0">
                  <c:v>0</c:v>
                </c:pt>
                <c:pt idx="1">
                  <c:v>10</c:v>
                </c:pt>
                <c:pt idx="2">
                  <c:v>15</c:v>
                </c:pt>
                <c:pt idx="3">
                  <c:v>20</c:v>
                </c:pt>
                <c:pt idx="4">
                  <c:v>30</c:v>
                </c:pt>
                <c:pt idx="5">
                  <c:v>45</c:v>
                </c:pt>
              </c:numCache>
            </c:numRef>
          </c:cat>
          <c:val>
            <c:numRef>
              <c:f>Лист1!$G$61:$G$66</c:f>
              <c:numCache>
                <c:formatCode>0.0</c:formatCode>
                <c:ptCount val="6"/>
                <c:pt idx="0" formatCode="General">
                  <c:v>0</c:v>
                </c:pt>
                <c:pt idx="1">
                  <c:v>92.5</c:v>
                </c:pt>
                <c:pt idx="2">
                  <c:v>95</c:v>
                </c:pt>
                <c:pt idx="3">
                  <c:v>96.6</c:v>
                </c:pt>
                <c:pt idx="4">
                  <c:v>99.5</c:v>
                </c:pt>
                <c:pt idx="5">
                  <c:v>100.8</c:v>
                </c:pt>
              </c:numCache>
            </c:numRef>
          </c:val>
          <c:smooth val="0"/>
          <c:extLst>
            <c:ext xmlns:c16="http://schemas.microsoft.com/office/drawing/2014/chart" uri="{C3380CC4-5D6E-409C-BE32-E72D297353CC}">
              <c16:uniqueId val="{00000001-E925-4E97-B3D3-C762CFD63DD5}"/>
            </c:ext>
          </c:extLst>
        </c:ser>
        <c:dLbls>
          <c:showLegendKey val="0"/>
          <c:showVal val="0"/>
          <c:showCatName val="0"/>
          <c:showSerName val="0"/>
          <c:showPercent val="0"/>
          <c:showBubbleSize val="0"/>
        </c:dLbls>
        <c:marker val="1"/>
        <c:smooth val="0"/>
        <c:axId val="270961280"/>
        <c:axId val="270980992"/>
      </c:lineChart>
      <c:catAx>
        <c:axId val="27096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ru-RU" b="0"/>
                  <a:t>Время, мин</a:t>
                </a:r>
              </a:p>
            </c:rich>
          </c:tx>
          <c:layout>
            <c:manualLayout>
              <c:xMode val="edge"/>
              <c:yMode val="edge"/>
              <c:x val="0.4089614279292702"/>
              <c:y val="0.9008849557522122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ru-RU"/>
          </a:p>
        </c:txPr>
        <c:crossAx val="270980992"/>
        <c:crosses val="autoZero"/>
        <c:auto val="1"/>
        <c:lblAlgn val="ctr"/>
        <c:lblOffset val="100"/>
        <c:noMultiLvlLbl val="0"/>
      </c:catAx>
      <c:valAx>
        <c:axId val="27098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ru-RU" b="0"/>
                  <a:t>Количество высвободившегося тофацитиниба, %</a:t>
                </a:r>
              </a:p>
            </c:rich>
          </c:tx>
          <c:layout>
            <c:manualLayout>
              <c:xMode val="edge"/>
              <c:yMode val="edge"/>
              <c:x val="1.0690613641223007E-2"/>
              <c:y val="0.11920144937635008"/>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ru-RU"/>
          </a:p>
        </c:txPr>
        <c:crossAx val="270961280"/>
        <c:crosses val="autoZero"/>
        <c:crossBetween val="between"/>
      </c:valAx>
      <c:spPr>
        <a:noFill/>
        <a:ln>
          <a:noFill/>
        </a:ln>
        <a:effectLst/>
      </c:spPr>
    </c:plotArea>
    <c:legend>
      <c:legendPos val="t"/>
      <c:layout>
        <c:manualLayout>
          <c:xMode val="edge"/>
          <c:yMode val="edge"/>
          <c:x val="0.46250658693320806"/>
          <c:y val="0.3830945473921023"/>
          <c:w val="0.51329912336968142"/>
          <c:h val="0.20449894421092102"/>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5F243D22114F918DC01566DA456E4A"/>
        <w:category>
          <w:name w:val="Общие"/>
          <w:gallery w:val="placeholder"/>
        </w:category>
        <w:types>
          <w:type w:val="bbPlcHdr"/>
        </w:types>
        <w:behaviors>
          <w:behavior w:val="content"/>
        </w:behaviors>
        <w:guid w:val="{67550CCF-7129-44BE-8BBD-429E00C725C2}"/>
      </w:docPartPr>
      <w:docPartBody>
        <w:p w:rsidR="00B4476F" w:rsidRDefault="00A7589A" w:rsidP="00A7589A">
          <w:pPr>
            <w:pStyle w:val="D55F243D22114F918DC01566DA456E4A"/>
          </w:pPr>
          <w:r w:rsidRPr="009945D0">
            <w:rPr>
              <w:rStyle w:val="a3"/>
              <w:szCs w:val="24"/>
            </w:rPr>
            <w:t>Место для ввода текста.</w:t>
          </w:r>
        </w:p>
      </w:docPartBody>
    </w:docPart>
    <w:docPart>
      <w:docPartPr>
        <w:name w:val="0F231BE2004A4A9F8A6454E50D1F90D2"/>
        <w:category>
          <w:name w:val="Общие"/>
          <w:gallery w:val="placeholder"/>
        </w:category>
        <w:types>
          <w:type w:val="bbPlcHdr"/>
        </w:types>
        <w:behaviors>
          <w:behavior w:val="content"/>
        </w:behaviors>
        <w:guid w:val="{C3E32BF8-2132-4AAA-84A2-D3817F0A5031}"/>
      </w:docPartPr>
      <w:docPartBody>
        <w:p w:rsidR="00B4476F" w:rsidRDefault="00A7589A" w:rsidP="00A7589A">
          <w:pPr>
            <w:pStyle w:val="0F231BE2004A4A9F8A6454E50D1F90D2"/>
          </w:pPr>
          <w:r w:rsidRPr="00F85178">
            <w:rPr>
              <w:rStyle w:val="a3"/>
              <w:szCs w:val="24"/>
            </w:rPr>
            <w:t>Место для ввода текста.</w:t>
          </w:r>
        </w:p>
      </w:docPartBody>
    </w:docPart>
    <w:docPart>
      <w:docPartPr>
        <w:name w:val="EB0B02A282CE4281B8EF3C7ACD611376"/>
        <w:category>
          <w:name w:val="Общие"/>
          <w:gallery w:val="placeholder"/>
        </w:category>
        <w:types>
          <w:type w:val="bbPlcHdr"/>
        </w:types>
        <w:behaviors>
          <w:behavior w:val="content"/>
        </w:behaviors>
        <w:guid w:val="{A37F8EE2-20BC-428F-9E1C-E0D948F3CD05}"/>
      </w:docPartPr>
      <w:docPartBody>
        <w:p w:rsidR="00B4476F" w:rsidRDefault="00A7589A" w:rsidP="00A7589A">
          <w:pPr>
            <w:pStyle w:val="EB0B02A282CE4281B8EF3C7ACD611376"/>
          </w:pPr>
          <w:r w:rsidRPr="00F85178">
            <w:rPr>
              <w:rStyle w:val="a3"/>
              <w:szCs w:val="24"/>
            </w:rPr>
            <w:t>Место для ввода даты.</w:t>
          </w:r>
        </w:p>
      </w:docPartBody>
    </w:docPart>
    <w:docPart>
      <w:docPartPr>
        <w:name w:val="DefaultPlaceholder_-1854013440"/>
        <w:category>
          <w:name w:val="Общие"/>
          <w:gallery w:val="placeholder"/>
        </w:category>
        <w:types>
          <w:type w:val="bbPlcHdr"/>
        </w:types>
        <w:behaviors>
          <w:behavior w:val="content"/>
        </w:behaviors>
        <w:guid w:val="{A1214E72-DB12-4EAD-8155-AEF963251610}"/>
      </w:docPartPr>
      <w:docPartBody>
        <w:p w:rsidR="00D246C9" w:rsidRDefault="00A7589A">
          <w:r w:rsidRPr="00535E93">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1CD"/>
    <w:rsid w:val="00003F30"/>
    <w:rsid w:val="00173004"/>
    <w:rsid w:val="00180B9F"/>
    <w:rsid w:val="001C046D"/>
    <w:rsid w:val="00357E8F"/>
    <w:rsid w:val="0038066E"/>
    <w:rsid w:val="00444AA3"/>
    <w:rsid w:val="005111CD"/>
    <w:rsid w:val="0064079A"/>
    <w:rsid w:val="00662A91"/>
    <w:rsid w:val="006F7961"/>
    <w:rsid w:val="00780B0E"/>
    <w:rsid w:val="007A1228"/>
    <w:rsid w:val="007E6F5C"/>
    <w:rsid w:val="007F265D"/>
    <w:rsid w:val="0092299A"/>
    <w:rsid w:val="0098649C"/>
    <w:rsid w:val="00A7589A"/>
    <w:rsid w:val="00AA619A"/>
    <w:rsid w:val="00B3053D"/>
    <w:rsid w:val="00B33121"/>
    <w:rsid w:val="00B4476F"/>
    <w:rsid w:val="00BA4BAA"/>
    <w:rsid w:val="00C75EA3"/>
    <w:rsid w:val="00D246C9"/>
    <w:rsid w:val="00D40713"/>
    <w:rsid w:val="00F55382"/>
    <w:rsid w:val="00F60458"/>
    <w:rsid w:val="00F6361D"/>
    <w:rsid w:val="00F6563A"/>
    <w:rsid w:val="00F820DB"/>
    <w:rsid w:val="00FB735B"/>
    <w:rsid w:val="00FD1F6A"/>
    <w:rsid w:val="00FF3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1F6A"/>
    <w:rPr>
      <w:color w:val="808080"/>
    </w:rPr>
  </w:style>
  <w:style w:type="paragraph" w:customStyle="1" w:styleId="D55F243D22114F918DC01566DA456E4A">
    <w:name w:val="D55F243D22114F918DC01566DA456E4A"/>
    <w:rsid w:val="00A7589A"/>
    <w:pPr>
      <w:spacing w:after="0" w:line="240" w:lineRule="auto"/>
      <w:jc w:val="both"/>
    </w:pPr>
    <w:rPr>
      <w:rFonts w:ascii="Times New Roman" w:eastAsiaTheme="minorHAnsi" w:hAnsi="Times New Roman"/>
      <w:sz w:val="24"/>
      <w:szCs w:val="28"/>
      <w:lang w:eastAsia="en-US"/>
    </w:rPr>
  </w:style>
  <w:style w:type="paragraph" w:customStyle="1" w:styleId="0F231BE2004A4A9F8A6454E50D1F90D2">
    <w:name w:val="0F231BE2004A4A9F8A6454E50D1F90D2"/>
    <w:rsid w:val="00A7589A"/>
    <w:pPr>
      <w:spacing w:line="276" w:lineRule="auto"/>
      <w:jc w:val="both"/>
    </w:pPr>
    <w:rPr>
      <w:rFonts w:ascii="Times New Roman" w:eastAsiaTheme="minorHAnsi" w:hAnsi="Times New Roman"/>
      <w:sz w:val="24"/>
      <w:lang w:eastAsia="en-US"/>
    </w:rPr>
  </w:style>
  <w:style w:type="paragraph" w:customStyle="1" w:styleId="EB0B02A282CE4281B8EF3C7ACD611376">
    <w:name w:val="EB0B02A282CE4281B8EF3C7ACD611376"/>
    <w:rsid w:val="00A7589A"/>
    <w:pPr>
      <w:spacing w:line="276" w:lineRule="auto"/>
      <w:jc w:val="both"/>
    </w:pPr>
    <w:rPr>
      <w:rFonts w:ascii="Times New Roman" w:eastAsiaTheme="minorHAnsi" w:hAnsi="Times New Roman"/>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1CFD0F9E8BFC848B9CE96836C2A6546" ma:contentTypeVersion="16" ma:contentTypeDescription="Создание документа." ma:contentTypeScope="" ma:versionID="1b57755366fd7746fa73906bb592f9b7">
  <xsd:schema xmlns:xsd="http://www.w3.org/2001/XMLSchema" xmlns:xs="http://www.w3.org/2001/XMLSchema" xmlns:p="http://schemas.microsoft.com/office/2006/metadata/properties" xmlns:ns2="e92b3814-a978-4e2d-af1b-be0f208bb190" xmlns:ns3="544e7861-b211-4af9-9ef2-07d978a58404" targetNamespace="http://schemas.microsoft.com/office/2006/metadata/properties" ma:root="true" ma:fieldsID="326e7ce745e6b1245a4d9fdfe156fe6c" ns2:_="" ns3:_="">
    <xsd:import namespace="e92b3814-a978-4e2d-af1b-be0f208bb190"/>
    <xsd:import namespace="544e7861-b211-4af9-9ef2-07d978a584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b3814-a978-4e2d-af1b-be0f208bb190"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TaxCatchAll" ma:index="23" nillable="true" ma:displayName="Taxonomy Catch All Column" ma:hidden="true" ma:list="{10cdff80-a249-4fa4-bb18-a42de2bef057}" ma:internalName="TaxCatchAll" ma:showField="CatchAllData" ma:web="e92b3814-a978-4e2d-af1b-be0f208bb19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4e7861-b211-4af9-9ef2-07d978a5840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c0c83cd9-88a3-47b3-b6bc-3f40b354df8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dprotocoldata xmlns="http://protocoldata@statandocs.com">
  <SDDocProperties>
    <StudyName/>
    <StudyPhase/>
    <StudyMaxDuration/>
    <StudyGoal/>
    <ProtocolId/>
    <ProtocolVersion/>
    <ProtocolDate/>
    <DocumentId/>
    <DocumentType/>
    <DocumentDate>19 декабря 2022 г</DocumentDate>
    <DocumentVersion>1.0</DocumentVersion>
    <DocumentName/>
    <TemplateInfo/>
  </SDDocProperties>
  <SDResponsibilities>
    <SDResponsible>
      <ResponsibleName/>
      <ResponsibleRole/>
      <ResponsiblePosition/>
      <ResponsibleDate/>
    </SDResponsible>
    <SDResponsible>
      <ResponsibleName/>
      <ResponsibleRole/>
      <ResponsiblePosition/>
      <ResponsibleDate/>
    </SDResponsible>
  </SDResponsibilities>
  <SDHistoryList>
    <SDHistory>
      <HistoryVersion/>
      <HistoryDate/>
      <HistoryDescription/>
    </SDHistory>
    <SDHistory>
      <HistoryVersion/>
      <HistoryDate/>
      <HistoryDescription/>
    </SDHistory>
  </SDHistoryList>
  <SDAbbreviations>
    <SDAbbreviation>
      <Abbreviation/>
      <AbbreviationDescription/>
    </SDAbbreviation>
    <SDAbbreviation>
      <Abbreviation/>
      <AbbreviationDescription/>
    </SDAbbreviation>
  </SDAbbreviations>
  <SDDrugs>
    <SDDrug>
      <DrugName>ТОФАЦИТИНИБ</DrugName>
      <DrugINN>тофацитиниб</DrugINN>
      <DrugDosage>Ревматоидный артрит, </DrugDosage>
      <DrugForm>таблетки, покрытые пленочной оболочкой</DrugForm>
      <DrugATX>DT-TFC (L041050)</DrugATX>
    </SDDrug>
    <SDDrug>
      <DrugName>Яквинус</DrugName>
      <DrugINN/>
      <DrugDosage/>
      <DrugForm/>
      <DrugATX/>
    </SDDrug>
    <SDDrug>
      <DrugName/>
      <DrugINN/>
      <DrugDosage/>
      <DrugForm/>
      <DrugATX/>
    </SDDrug>
    <SDDrug>
      <DrugName/>
      <DrugINN/>
      <DrugDosage/>
      <DrugForm/>
      <DrugATX/>
    </SDDrug>
  </SDDrugs>
  <SDParties>
    <Sponsor>
      <LF/>
      <Name/>
      <SmallName/>
    </Sponsor>
    <CRO>
      <LF/>
      <Name/>
      <SmallName/>
    </CRO>
    <Vendor>
      <LF>ООО</LF>
      <Name>Статэндокс</Name>
      <SmallName>ООО "Статэндокс"</SmallName>
    </Vendor>
  </SDParties>
  <SDTables>
    <ObjectivesPrefix>Задачи исследования</ObjectivesPrefix>
    <Objectives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wp14"&gt;&lt;w:body&gt;&lt;w:sdt&gt;&lt;w:sdtPr&gt;&lt;w:rPr&gt;&lt;w:lang w:eastAsia="ru-RU"/&gt;&lt;/w:rPr&gt;&lt;w:alias w:val="Задачи исследования"/&gt;&lt;w:tag w:val="Задачи исследования"/&gt;&lt;w:id w:val="416372034"/&gt;&lt;w:placeholder&gt;&lt;w:docPart w:val="AC22EB33D8CA4007947A2750A6FEFEA8"/&gt;&lt;/w:placeholder&gt;&lt;w15:dataBinding w:prefixMappings="xmlns:ns0='http://protocoldata@statandocs.com' " w:xpath="/ns0:sdprotocoldata[1]/ns0:SDTables[1]/ns0:ObjectivesPrefix[1]" w:storeItemID="{1373BE51-EF05-4579-B48A-626F95452BBC}"/&gt;&lt;/w:sdtPr&gt;&lt;w:sdtEndPr&gt;&lt;w:rPr&gt;&lt;w:highlight w:val="cyan"/&gt;&lt;w:lang w:eastAsia="en-US"/&gt;&lt;/w:rPr&gt;&lt;/w:sdtEndPr&gt;&lt;w:sdtContent&gt;&lt;w:p w14:paraId="60CBD405" w14:textId="59B04ABC" w:rsidR="00BC777D" w:rsidRPr="001153C0" w:rsidRDefault="00BC777D" w:rsidP="00E642D7"&gt;&lt;w:pPr&gt;&lt;w:pStyle w:val="SDText"/&gt;&lt;w:spacing w:after="0" w:line="360" w:lineRule="auto"/&gt;&lt;w:rPr&gt;&lt;w:highlight w:val="cyan"/&gt;&lt;w:lang w:val="en-US"/&gt;&lt;/w:rPr&gt;&lt;/w:pPr&gt;&lt;w:r w:rsidRPr="001153C0"&gt;&lt;w:rPr&gt;&lt;w:highlight w:val="cyan"/&gt;&lt;w:lang w:eastAsia="ru-RU"/&gt;&lt;/w:rPr&gt;&lt;w:fldChar w:fldCharType="begin"/&gt;&lt;/w:r&gt;&lt;w:r w:rsidRPr="001153C0"&gt;&lt;w:rPr&gt;&lt;w:highlight w:val="cyan"/&gt;&lt;w:lang w:eastAsia="ru-RU"/&gt;&lt;/w:rPr&gt;&lt;w:instrText xml:space="preserve"&gt; SEQ Objectives \r 1 \* MERGEFORMAT &lt;/w:instrText&gt;&lt;/w:r&gt;&lt;w:r w:rsidRPr="001153C0"&gt;&lt;w:rPr&gt;&lt;w:highlight w:val="cyan"/&gt;&lt;w:lang w:eastAsia="ru-RU"/&gt;&lt;/w:rPr&gt;&lt;w:fldChar w:fldCharType="separate"/&gt;&lt;/w:r&gt;&lt;w:r&gt;&lt;w:rPr&gt;&lt;w:noProof/&gt;&lt;w:highlight w:val="cyan"/&gt;&lt;w:lang w:eastAsia="ru-RU"/&gt;&lt;/w:rPr&gt;&lt;w:t&gt;1&lt;/w:t&gt;&lt;/w:r&gt;&lt;w:r w:rsidRPr="001153C0"&gt;&lt;w:rPr&gt;&lt;w:highlight w:val="cyan"/&gt;&lt;w:lang w:eastAsia="ru-RU"/&gt;&lt;/w:rPr&gt;&lt;w:fldChar w:fldCharType="end"/&gt;&lt;/w:r&gt;&lt;w:r w:rsidRPr="001153C0"&gt;&lt;w:rPr&gt;&lt;w:highlight w:val="cyan"/&gt;&lt;w:lang w:eastAsia="ru-RU"/&gt;&lt;/w:rPr&gt;&lt;w:t&gt;.&lt;/w:t&gt;&lt;/w:r&gt;&lt;w:r&gt;&lt;w:rPr&gt;&lt;w:highlight w:val="cyan"/&gt;&lt;w:lang w:eastAsia="ru-RU"/&gt;&lt;/w:rPr&gt;&lt;w:tab/&gt;&lt;/w:r&gt;&lt;w:r w:rsidRPr="001153C0"&gt;&lt;w:rPr&gt;&lt;w:highlight w:val="cyan"/&gt;&lt;/w:rPr&gt;&lt;w:t xml:space="preserve"&gt;Задача исследования &lt;/w:t&gt;&lt;/w:r&gt;&lt;w:r w:rsidRPr="001153C0"&gt;&lt;w:rPr&gt;&lt;w:highlight w:val="cyan"/&gt;&lt;w:lang w:eastAsia="ru-RU"/&gt;&lt;/w:rPr&gt;&lt;w:fldChar w:fldCharType="begin"/&gt;&lt;/w:r&gt;&lt;w:r w:rsidRPr="001153C0"&gt;&lt;w:rPr&gt;&lt;w:highlight w:val="cyan"/&gt;&lt;w:lang w:eastAsia="ru-RU"/&gt;&lt;/w:rPr&gt;&lt;w:instrText xml:space="preserve"&gt; SEQ Objectives \c \* MERGEFORMAT  \* MERGEFORMAT &lt;/w:instrText&gt;&lt;/w:r&gt;&lt;w:r w:rsidRPr="001153C0"&gt;&lt;w:rPr&gt;&lt;w:highlight w:val="cyan"/&gt;&lt;w:lang w:eastAsia="ru-RU"/&gt;&lt;/w:rPr&gt;&lt;w:fldChar w:fldCharType="separate"/&gt;&lt;/w:r&gt;&lt;w:r&gt;&lt;w:rPr&gt;&lt;w:noProof/&gt;&lt;w:highlight w:val="cyan"/&gt;&lt;w:lang w:eastAsia="ru-RU"/&gt;&lt;/w:rPr&gt;&lt;w:t&gt;1&lt;/w:t&gt;&lt;/w:r&gt;&lt;w:r w:rsidRPr="001153C0"&gt;&lt;w:rPr&gt;&lt;w:highlight w:val="cyan"/&gt;&lt;w:lang w:eastAsia="ru-RU"/&gt;&lt;/w:rPr&gt;&lt;w:fldChar w:fldCharType="end"/&gt;&lt;/w:r&gt;&lt;w:r w:rsidRPr="001153C0"&gt;&lt;w:rPr&gt;&lt;w:highlight w:val="cyan"/&gt;&lt;w:lang w:eastAsia="ru-RU"/&gt;&lt;/w:rPr&gt;&lt;w:t&gt;;&lt;/w:t&gt;&lt;/w:r&gt;&lt;/w:p&gt;&lt;w:p w14:paraId="382B37A8" w14:textId="77777777" w:rsidR="00BC777D" w:rsidRDefault="00BC777D" w:rsidP="00E642D7"&gt;&lt;w:pPr&gt;&lt;w:pStyle w:val="SDText"/&gt;&lt;w:spacing w:after="0" w:line="360" w:lineRule="auto"/&gt;&lt;w:rPr&gt;&lt;w:highlight w:val="cyan"/&gt;&lt;/w:rPr&gt;&lt;/w:pPr&gt;&lt;w:r w:rsidRPr="001153C0"&gt;&lt;w:rPr&gt;&lt;w:highlight w:val="cyan"/&gt;&lt;w:lang w:eastAsia="ru-RU"/&gt;&lt;/w:rPr&gt;&lt;w:fldChar w:fldCharType="begin"/&gt;&lt;/w:r&gt;&lt;w:r w:rsidRPr="001153C0"&gt;&lt;w:rPr&gt;&lt;w:highlight w:val="cyan"/&gt;&lt;w:lang w:eastAsia="ru-RU"/&gt;&lt;/w:rPr&gt;&lt;w:instrText xml:space="preserve"&gt; SEQ Objectives  \* MERGEFORMAT &lt;/w:instrText&gt;&lt;/w:r&gt;&lt;w:r w:rsidRPr="001153C0"&gt;&lt;w:rPr&gt;&lt;w:highlight w:val="cyan"/&gt;&lt;w:lang w:eastAsia="ru-RU"/&gt;&lt;/w:rPr&gt;&lt;w:fldChar w:fldCharType="separate"/&gt;&lt;/w:r&gt;&lt;w:r&gt;&lt;w:rPr&gt;&lt;w:noProof/&gt;&lt;w:highlight w:val="cyan"/&gt;&lt;w:lang w:eastAsia="ru-RU"/&gt;&lt;/w:rPr&gt;&lt;w:t&gt;2&lt;/w:t&gt;&lt;/w:r&gt;&lt;w:r w:rsidRPr="001153C0"&gt;&lt;w:rPr&gt;&lt;w:highlight w:val="cyan"/&gt;&lt;w:lang w:eastAsia="ru-RU"/&gt;&lt;/w:rPr&gt;&lt;w:fldChar w:fldCharType="end"/&gt;&lt;/w:r&gt;&lt;w:r w:rsidRPr="001153C0"&gt;&lt;w:rPr&gt;&lt;w:highlight w:val="cyan"/&gt;&lt;w:lang w:eastAsia="ru-RU"/&gt;&lt;/w:rPr&gt;&lt;w:t&gt;.&lt;/w:t&gt;&lt;/w:r&gt;&lt;w:r&gt;&lt;w:rPr&gt;&lt;w:highlight w:val="cyan"/&gt;&lt;w:lang w:eastAsia="ru-RU"/&gt;&lt;/w:rPr&gt;&lt;w:tab/&gt;&lt;/w:r&gt;&lt;w:r w:rsidRPr="001153C0"&gt;&lt;w:rPr&gt;&lt;w:highlight w:val="cyan"/&gt;&lt;/w:rPr&gt;&lt;w:t&gt;Задача исследования&lt;/w:t&gt;&lt;/w:r&gt;&lt;w:r w:rsidRPr="001153C0"&gt;&lt;w:rPr&gt;&lt;w:highlight w:val="cyan"/&gt;&lt;w:lang w:val="en-US"/&gt;&lt;/w:rPr&gt;&lt;w:t xml:space="preserve"&gt; &lt;/w:t&gt;&lt;/w:r&gt;&lt;w:r w:rsidRPr="001153C0"&gt;&lt;w:rPr&gt;&lt;w:highlight w:val="cyan"/&gt;&lt;w:lang w:eastAsia="ru-RU"/&gt;&lt;/w:rPr&gt;&lt;w:fldChar w:fldCharType="begin"/&gt;&lt;/w:r&gt;&lt;w:r w:rsidRPr="001153C0"&gt;&lt;w:rPr&gt;&lt;w:highlight w:val="cyan"/&gt;&lt;w:lang w:eastAsia="ru-RU"/&gt;&lt;/w:rPr&gt;&lt;w:instrText xml:space="preserve"&gt; SEQ Objectives \c \* MERGEFORMAT  \* MERGEFORMAT &lt;/w:instrText&gt;&lt;/w:r&gt;&lt;w:r w:rsidRPr="001153C0"&gt;&lt;w:rPr&gt;&lt;w:highlight w:val="cyan"/&gt;&lt;w:lang w:eastAsia="ru-RU"/&gt;&lt;/w:rPr&gt;&lt;w:fldChar w:fldCharType="separate"/&gt;&lt;/w:r&gt;&lt;w:r&gt;&lt;w:rPr&gt;&lt;w:noProof/&gt;&lt;w:highlight w:val="cyan"/&gt;&lt;w:lang w:eastAsia="ru-RU"/&gt;&lt;/w:rPr&gt;&lt;w:t&gt;2&lt;/w:t&gt;&lt;/w:r&gt;&lt;w:r w:rsidRPr="001153C0"&gt;&lt;w:rPr&gt;&lt;w:highlight w:val="cyan"/&gt;&lt;w:lang w:eastAsia="ru-RU"/&gt;&lt;/w:rPr&gt;&lt;w:fldChar w:fldCharType="end"/&gt;&lt;/w:r&gt;&lt;w:r w:rsidRPr="001153C0"&gt;&lt;w:rPr&gt;&lt;w:highlight w:val="cyan"/&gt;&lt;w:lang w:val="en-US" w:eastAsia="ru-RU"/&gt;&lt;/w:rPr&gt;&lt;w:t&gt;.&lt;/w:t&gt;&lt;/w:r&gt;&lt;/w:p&gt;&lt;/w:sdtContent&gt;&lt;/w:sdt&gt;&lt;w:p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wp14"&gt;&lt;w:docParts&gt;&lt;w:docPart&gt;&lt;w:docPartPr&gt;&lt;w:name w:val="AC22EB33D8CA4007947A2750A6FEFEA8"/&gt;&lt;w:category&gt;&lt;w:name w:val="Общие"/&gt;&lt;w:gallery w:val="placeholder"/&gt;&lt;/w:category&gt;&lt;w:types&gt;&lt;w:type w:val="bbPlcHdr"/&gt;&lt;/w:types&gt;&lt;w:behaviors&gt;&lt;w:behavior w:val="content"/&gt;&lt;/w:behaviors&gt;&lt;w:guid w:val="{1DEBF493-8F1C-4B8E-8E09-308EAB135464}"/&gt;&lt;/w:docPartPr&gt;&lt;w:docPartBody&gt;&lt;w:p w:rsidR="00000000" w:rsidRDefault="00B26610"&gt;&lt;w:pPr&gt;&lt;w:pStyle w:val="AC22EB33D8CA4007947A2750A6FEFEA8"/&gt;&lt;/w:pPr&gt;&lt;w:r w:rsidRPr="00993CDE"&gt;&lt;w:rPr&gt;&lt;w:rStyle w:val="a3"/&gt;&lt;/w:rPr&gt;&lt;w:t&gt;Место для ввода текста.&lt;/w:t&gt;&lt;/w:r&gt;&lt;/w:p&gt;&lt;/w:docPartBody&gt;&lt;/w:docPart&gt;&lt;/w:docParts&gt;&lt;/w:glossaryDocument&gt;&lt;/pkg:xmlData&gt;&lt;/pkg:part&gt;&lt;pkg:part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w16sdtdh"&gt;&lt;w:view w:val="normal"/&gt;&lt;w:defaultTabStop w:val="708"/&gt;&lt;w:characterSpacingControl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w:val="ru-RU"/&gt;&lt;w:clrSchemeMapping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w:cstheme="minorBidi"/&gt;&lt;w:sz w:val="22"/&gt;&lt;w:szCs w:val="22"/&gt;&lt;w:lang w:val="ru-RU" w:eastAsia="ru-RU"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w:styleId="a"&gt;&lt;w:name w:val="Normal"/&gt;&lt;w:qFormat/&gt;&lt;/w:style&gt;&lt;w:style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w:type="character" w:styleId="a3"&gt;&lt;w:name w:val="Placeholder Text"/&gt;&lt;w:basedOn w:val="a0"/&gt;&lt;w:uiPriority w:val="99"/&gt;&lt;w:semiHidden/&gt;&lt;w:rPr&gt;&lt;w:color w:val="808080"/&gt;&lt;/w:rPr&gt;&lt;/w:style&gt;&lt;w:style w:type="paragraph" w:customStyle="1" w:styleId="AC22EB33D8CA4007947A2750A6FEFEA8"&gt;&lt;w:name w:val="AC22EB33D8CA4007947A2750A6FEFEA8"/&gt;&lt;/w:style&gt;&lt;/w:styles&gt;&lt;/pkg:xmlData&gt;&lt;/pkg:part&gt;&lt;pkg:part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w16sdtdh"/&gt;&lt;/pkg:xmlData&gt;&lt;/pkg:part&gt;&lt;/pkg:package&gt;
</ObjectivesSuffix>
    <EfficaciesPrefix>Основные параметры эффективности:</EfficaciesPrefix>
    <Efficacies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w:rsidR="009477D6" w:rsidRDefault="009477D6" w:rsidP="009477D6"&gt;&lt;w:pPr&gt;&lt;w:pStyle w:val="SDText"/&gt;&lt;w:spacing w:after="0" w:line="360" w:lineRule="auto"/&gt;&lt;/w:pPr&gt;&lt;/w:p&gt;&lt;w:p w:rsidR="008E4461" w:rsidRPr="00E642D7" w:rsidRDefault="008E4461" w:rsidP="00E642D7"&gt;&lt;w:pPr&gt;&lt;w:pStyle w:val="SDText"/&gt;&lt;w:spacing w:after="0" w:line="360" w:lineRule="auto"/&gt;&lt;w:rPr&gt;&lt;w:szCs w:val="24"/&gt;&lt;w:lang w:eastAsia="ru-RU" w:bidi="ru-RU"/&gt;&lt;/w:rPr&gt;&lt;/w:pPr&gt;&lt;/w:p&gt;&lt;w:p w:rsidR="00000000" w:rsidRDefault="007A52AA"/&gt;&lt;w:sectPr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w:val="022619EF"/&gt;&lt;w:multiLevelType w:val="hybridMultilevel"/&gt;&lt;w:tmpl w:val="5DC85A10"/&gt;&lt;w:lvl w:ilvl="0" w:tplc="38569944"&gt;&lt;w:start w:val="1"/&gt;&lt;w:numFmt w:val="bullet"/&gt;&lt;w:lvlText w:val=""/&gt;&lt;w:lvlJc w:val="left"/&gt;&lt;w:pPr&gt;&lt;w:ind w:left="360" w:hanging="360"/&gt;&lt;/w:pPr&gt;&lt;w:rPr&gt;&lt;w:rFonts w:ascii="Symbol" w:eastAsiaTheme="minorHAnsi" w:hAnsi="Symbol" w:cstheme="minorBidi"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w:abstractNumId="1" w15:restartNumberingAfterBreak="0"&gt;&lt;w:nsid w:val="05F65CD4"/&gt;&lt;w:multiLevelType w:val="hybridMultilevel"/&gt;&lt;w:tmpl w:val="8E502A86"/&gt;&lt;w:lvl w:ilvl="0" w:tplc="04190011"&gt;&lt;w:start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w:abstractNumId="2" w15:restartNumberingAfterBreak="0"&gt;&lt;w:nsid w:val="08CA50BE"/&gt;&lt;w:multiLevelType w:val="hybridMultilevel"/&gt;&lt;w:tmpl w:val="C41E496E"/&gt;&lt;w:lvl w:ilvl="0" w:tplc="0419000F"&gt;&lt;w:start w:val="1"/&gt;&lt;w:numFmt w:val="decimal"/&gt;&lt;w:lvlText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w:abstractNumId="3" w15:restartNumberingAfterBreak="0"&gt;&lt;w:nsid w:val="0AEF2B52"/&gt;&lt;w:multiLevelType w:val="hybridMultilevel"/&gt;&lt;w:tmpl w:val="19B0EDD4"/&gt;&lt;w:lvl w:ilvl="0" w:tplc="D8CA697C"&gt;&lt;w:numFmt w:val="bullet"/&gt;&lt;w:lvlText w:val=""/&gt;&lt;w:lvlJc w:val="left"/&gt;&lt;w:pPr&gt;&lt;w:ind w:left="720" w:hanging="360"/&gt;&lt;/w:pPr&gt;&lt;w:rPr&gt;&lt;w:rFonts w:ascii="Symbol" w:eastAsiaTheme="minorHAnsi" w:hAnsi="Symbol" w:cs="Times New Roman"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w:val="0B585D75"/&gt;&lt;w:multiLevelType w:val="hybridMultilevel"/&gt;&lt;w:tmpl w:val="3962DF50"/&gt;&lt;w:lvl w:ilvl="0" w:tplc="04190001"&gt;&lt;w:start w:val="1"/&gt;&lt;w:numFmt w:val="bullet"/&gt;&lt;w:lvlText w:val=""/&gt;&lt;w:lvlJc w:val="left"/&gt;&lt;w:pPr&gt;&lt;w:ind w:left="360" w:hanging="360"/&gt;&lt;/w:pPr&gt;&lt;w:rPr&gt;&lt;w:rFonts w:ascii="Symbol" w:hAnsi="Symbol" w:hint="default"/&gt;&lt;/w:rPr&gt;&lt;/w:lvl&gt;&lt;w:lvl w:ilvl="1" w:tplc="04190003" w:tentative="1"&gt;&lt;w:start w:val="1"/&gt;&lt;w:numFmt w:val="bullet"/&gt;&lt;w:lvlText w:val="o"/&gt;&lt;w:lvlJc w:val="left"/&gt;&lt;w:pPr&gt;&lt;w:ind w:left="1080" w:hanging="360"/&gt;&lt;/w:pPr&gt;&lt;w:rPr&gt;&lt;w:rFonts w:ascii="Courier New" w:hAnsi="Courier New" w:cs="Courier New" w:hint="default"/&gt;&lt;/w:rPr&gt;&lt;/w:lvl&gt;&lt;w:lvl w:ilvl="2" w:tplc="04190005" w:tentative="1"&gt;&lt;w:start w:val="1"/&gt;&lt;w:numFmt w:val="bullet"/&gt;&lt;w:lvlText w:val=""/&gt;&lt;w:lvlJc w:val="left"/&gt;&lt;w:pPr&gt;&lt;w:ind w:left="1800" w:hanging="360"/&gt;&lt;/w:pPr&gt;&lt;w:rPr&gt;&lt;w:rFonts w:ascii="Wingdings" w:hAnsi="Wingdings" w:hint="default"/&gt;&lt;/w:rPr&gt;&lt;/w:lvl&gt;&lt;w:lvl w:ilvl="3" w:tplc="04190001" w:tentative="1"&gt;&lt;w:start w:val="1"/&gt;&lt;w:numFmt w:val="bullet"/&gt;&lt;w:lvlText w:val=""/&gt;&lt;w:lvlJc w:val="left"/&gt;&lt;w:pPr&gt;&lt;w:ind w:left="2520" w:hanging="360"/&gt;&lt;/w:pPr&gt;&lt;w:rPr&gt;&lt;w:rFonts w:ascii="Symbol" w:hAnsi="Symbol" w:hint="default"/&gt;&lt;/w:rPr&gt;&lt;/w:lvl&gt;&lt;w:lvl w:ilvl="4" w:tplc="04190003" w:tentative="1"&gt;&lt;w:start w:val="1"/&gt;&lt;w:numFmt w:val="bullet"/&gt;&lt;w:lvlText w:val="o"/&gt;&lt;w:lvlJc w:val="left"/&gt;&lt;w:pPr&gt;&lt;w:ind w:left="3240" w:hanging="360"/&gt;&lt;/w:pPr&gt;&lt;w:rPr&gt;&lt;w:rFonts w:ascii="Courier New" w:hAnsi="Courier New" w:cs="Courier New" w:hint="default"/&gt;&lt;/w:rPr&gt;&lt;/w:lvl&gt;&lt;w:lvl w:ilvl="5" w:tplc="04190005" w:tentative="1"&gt;&lt;w:start w:val="1"/&gt;&lt;w:numFmt w:val="bullet"/&gt;&lt;w:lvlText w:val=""/&gt;&lt;w:lvlJc w:val="left"/&gt;&lt;w:pPr&gt;&lt;w:ind w:left="3960" w:hanging="360"/&gt;&lt;/w:pPr&gt;&lt;w:rPr&gt;&lt;w:rFonts w:ascii="Wingdings" w:hAnsi="Wingdings" w:hint="default"/&gt;&lt;/w:rPr&gt;&lt;/w:lvl&gt;&lt;w:lvl w:ilvl="6" w:tplc="04190001" w:tentative="1"&gt;&lt;w:start w:val="1"/&gt;&lt;w:numFmt w:val="bullet"/&gt;&lt;w:lvlText w:val=""/&gt;&lt;w:lvlJc w:val="left"/&gt;&lt;w:pPr&gt;&lt;w:ind w:left="4680" w:hanging="360"/&gt;&lt;/w:pPr&gt;&lt;w:rPr&gt;&lt;w:rFonts w:ascii="Symbol" w:hAnsi="Symbol" w:hint="default"/&gt;&lt;/w:rPr&gt;&lt;/w:lvl&gt;&lt;w:lvl w:ilvl="7" w:tplc="04190003" w:tentative="1"&gt;&lt;w:start w:val="1"/&gt;&lt;w:numFmt w:val="bullet"/&gt;&lt;w:lvlText w:val="o"/&gt;&lt;w:lvlJc w:val="left"/&gt;&lt;w:pPr&gt;&lt;w:ind w:left="5400" w:hanging="360"/&gt;&lt;/w:pPr&gt;&lt;w:rPr&gt;&lt;w:rFonts w:ascii="Courier New" w:hAnsi="Courier New" w:cs="Courier New" w:hint="default"/&gt;&lt;/w:rPr&gt;&lt;/w:lvl&gt;&lt;w:lvl w:ilvl="8" w:tplc="04190005" w:tentative="1"&gt;&lt;w:start w:val="1"/&gt;&lt;w:numFmt w:val="bullet"/&gt;&lt;w:lvlText w:val=""/&gt;&lt;w:lvlJc w:val="left"/&gt;&lt;w:pPr&gt;&lt;w:ind w:left="6120" w:hanging="360"/&gt;&lt;/w:pPr&gt;&lt;w:rPr&gt;&lt;w:rFonts w:ascii="Wingdings" w:hAnsi="Wingdings" w:hint="default"/&gt;&lt;/w:rPr&gt;&lt;/w:lvl&gt;&lt;/w:abstractNum&gt;&lt;w:abstractNum w:abstractNumId="5" w15:restartNumberingAfterBreak="0"&gt;&lt;w:nsid w:val="0C2A4ACF"/&gt;&lt;w:multiLevelType w:val="hybridMultilevel"/&gt;&lt;w:tmpl w:val="41B2C782"/&gt;&lt;w:lvl w:ilvl="0" w:tplc="0419000F"&gt;&lt;w:start w:val="1"/&gt;&lt;w:numFmt w:val="decimal"/&gt;&lt;w:lvlText w:val="%1."/&gt;&lt;w:lvlJc w:val="left"/&gt;&lt;w:pPr&gt;&lt;w:ind w:left="360" w:hanging="360"/&gt;&lt;/w:pPr&gt;&lt;/w:lvl&gt;&lt;w:lvl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w:abstractNumId="6" w15:restartNumberingAfterBreak="0"&gt;&lt;w:nsid w:val="0C7C2F7A"/&gt;&lt;w:multiLevelType w:val="hybridMultilevel"/&gt;&lt;w:tmpl w:val="3A787042"/&gt;&lt;w:lvl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w:abstractNumId="7" w15:restartNumberingAfterBreak="0"&gt;&lt;w:nsid w:val="0FA01ADC"/&gt;&lt;w:multiLevelType w:val="hybridMultilevel"/&gt;&lt;w:tmpl w:val="315A9986"/&gt;&lt;w:lvl w:ilvl="0" w:tplc="04190011"&gt;&lt;w:start w:val="1"/&gt;&lt;w:numFmt w:val="decimal"/&gt;&lt;w:lvlText w:val="%1)"/&gt;&lt;w:lvlJc w:val="left"/&gt;&lt;w:pPr&gt;&lt;w:ind w:left="360" w:hanging="360"/&gt;&lt;/w:pPr&gt;&lt;w:rPr&gt;&lt;w:rFonts w:hint="default"/&gt;&lt;/w:rPr&gt;&lt;/w:lvl&gt;&lt;w:lvl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w:abstractNumId="8" w15:restartNumberingAfterBreak="0"&gt;&lt;w:nsid w:val="1172659B"/&gt;&lt;w:multiLevelType w:val="hybridMultilevel"/&gt;&lt;w:tmpl w:val="781C67AA"/&gt;&lt;w:lvl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w:val="137A5744"/&gt;&lt;w:multiLevelType w:val="hybridMultilevel"/&gt;&lt;w:tmpl w:val="4008DAF2"/&gt;&lt;w:lvl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w:val="139C0B17"/&gt;&lt;w:multiLevelType w:val="hybridMultilevel"/&gt;&lt;w:tmpl w:val="B9B26B32"/&gt;&lt;w:lvl w:ilvl="0" w:tplc="04190011"&gt;&lt;w:start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w:abstractNumId="11" w15:restartNumberingAfterBreak="0"&gt;&lt;w:nsid w:val="145A628B"/&gt;&lt;w:multiLevelType w:val="hybridMultilevel"/&gt;&lt;w:tmpl w:val="8DD0FA32"/&gt;&lt;w:lvl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w:val="14926AAA"/&gt;&lt;w:multiLevelType w:val="hybridMultilevel"/&gt;&lt;w:tmpl w:val="5994124C"/&gt;&lt;w:lvl w:ilvl="0" w:tplc="04190011"&gt;&lt;w:start w:val="1"/&gt;&lt;w:numFmt w:val="decimal"/&gt;&lt;w:lvlText w:val="%1)"/&gt;&lt;w:lvlJc w:val="left"/&gt;&lt;w:pPr&gt;&lt;w:ind w:left="360" w:hanging="360"/&gt;&lt;/w:pPr&gt;&lt;w:rPr&gt;&lt;w:rFonts w:hint="default"/&gt;&lt;/w:rPr&gt;&lt;/w:lvl&gt;&lt;w:lvl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w:abstractNumId="13" w15:restartNumberingAfterBreak="0"&gt;&lt;w:nsid w:val="167A0DF0"/&gt;&lt;w:multiLevelType w:val="hybridMultilevel"/&gt;&lt;w:tmpl w:val="AB847DA2"/&gt;&lt;w:lvl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w:val="179202B6"/&gt;&lt;w:multiLevelType w:val="hybridMultilevel"/&gt;&lt;w:tmpl w:val="78B40542"/&gt;&lt;w:lvl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w:val="1C5B0070"/&gt;&lt;w:multiLevelType w:val="hybridMultilevel"/&gt;&lt;w:tmpl w:val="E6CCAC0E"/&gt;&lt;w:lvl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w:val="1DCF3715"/&gt;&lt;w:multiLevelType w:val="multilevel"/&gt;&lt;w:tmpl w:val="A1C47E6E"/&gt;&lt;w:lvl w:ilvl="0"&gt;&lt;w:numFmt w:val="bullet"/&gt;&lt;w:lvlText w:val="•"/&gt;&lt;w:lvlJc w:val="left"/&gt;&lt;w:pPr&gt;&lt;w:ind w:left="720" w:hanging="360"/&gt;&lt;/w:pPr&gt;&lt;w:rPr&gt;&lt;w:rFonts w:ascii="OpenSymbol" w:eastAsia="Times New Roman" w:hAnsi="OpenSymbol"/&gt;&lt;/w:rPr&gt;&lt;/w:lvl&gt;&lt;w:lvl w:ilvl="1"&gt;&lt;w:numFmt w:val="bullet"/&gt;&lt;w:lvlText w:val="◦"/&gt;&lt;w:lvlJc w:val="left"/&gt;&lt;w:pPr&gt;&lt;w:ind w:left="1080" w:hanging="360"/&gt;&lt;/w:pPr&gt;&lt;w:rPr&gt;&lt;w:rFonts w:ascii="OpenSymbol" w:eastAsia="Times New Roman" w:hAnsi="OpenSymbol"/&gt;&lt;/w:rPr&gt;&lt;/w:lvl&gt;&lt;w:lvl w:ilvl="2"&gt;&lt;w:numFmt w:val="bullet"/&gt;&lt;w:lvlText w:val="▪"/&gt;&lt;w:lvlJc w:val="left"/&gt;&lt;w:pPr&gt;&lt;w:ind w:left="1440" w:hanging="360"/&gt;&lt;/w:pPr&gt;&lt;w:rPr&gt;&lt;w:rFonts w:ascii="OpenSymbol" w:eastAsia="Times New Roman" w:hAnsi="OpenSymbol"/&gt;&lt;/w:rPr&gt;&lt;/w:lvl&gt;&lt;w:lvl w:ilvl="3"&gt;&lt;w:numFmt w:val="bullet"/&gt;&lt;w:lvlText w:val="•"/&gt;&lt;w:lvlJc w:val="left"/&gt;&lt;w:pPr&gt;&lt;w:ind w:left="1800" w:hanging="360"/&gt;&lt;/w:pPr&gt;&lt;w:rPr&gt;&lt;w:rFonts w:ascii="OpenSymbol" w:eastAsia="Times New Roman" w:hAnsi="OpenSymbol"/&gt;&lt;/w:rPr&gt;&lt;/w:lvl&gt;&lt;w:lvl w:ilvl="4"&gt;&lt;w:numFmt w:val="bullet"/&gt;&lt;w:lvlText w:val="◦"/&gt;&lt;w:lvlJc w:val="left"/&gt;&lt;w:pPr&gt;&lt;w:ind w:left="2160" w:hanging="360"/&gt;&lt;/w:pPr&gt;&lt;w:rPr&gt;&lt;w:rFonts w:ascii="OpenSymbol" w:eastAsia="Times New Roman" w:hAnsi="OpenSymbol"/&gt;&lt;/w:rPr&gt;&lt;/w:lvl&gt;&lt;w:lvl w:ilvl="5"&gt;&lt;w:numFmt w:val="bullet"/&gt;&lt;w:lvlText w:val="▪"/&gt;&lt;w:lvlJc w:val="left"/&gt;&lt;w:pPr&gt;&lt;w:ind w:left="2520" w:hanging="360"/&gt;&lt;/w:pPr&gt;&lt;w:rPr&gt;&lt;w:rFonts w:ascii="OpenSymbol" w:eastAsia="Times New Roman" w:hAnsi="OpenSymbol"/&gt;&lt;/w:rPr&gt;&lt;/w:lvl&gt;&lt;w:lvl w:ilvl="6"&gt;&lt;w:numFmt w:val="bullet"/&gt;&lt;w:lvlText w:val="•"/&gt;&lt;w:lvlJc w:val="left"/&gt;&lt;w:pPr&gt;&lt;w:ind w:left="2880" w:hanging="360"/&gt;&lt;/w:pPr&gt;&lt;w:rPr&gt;&lt;w:rFonts w:ascii="OpenSymbol" w:eastAsia="Times New Roman" w:hAnsi="OpenSymbol"/&gt;&lt;/w:rPr&gt;&lt;/w:lvl&gt;&lt;w:lvl w:ilvl="7"&gt;&lt;w:numFmt w:val="bullet"/&gt;&lt;w:lvlText w:val="◦"/&gt;&lt;w:lvlJc w:val="left"/&gt;&lt;w:pPr&gt;&lt;w:ind w:left="3240" w:hanging="360"/&gt;&lt;/w:pPr&gt;&lt;w:rPr&gt;&lt;w:rFonts w:ascii="OpenSymbol" w:eastAsia="Times New Roman" w:hAnsi="OpenSymbol"/&gt;&lt;/w:rPr&gt;&lt;/w:lvl&gt;&lt;w:lvl w:ilvl="8"&gt;&lt;w:numFmt w:val="bullet"/&gt;&lt;w:lvlText w:val="▪"/&gt;&lt;w:lvlJc w:val="left"/&gt;&lt;w:pPr&gt;&lt;w:ind w:left="3600" w:hanging="360"/&gt;&lt;/w:pPr&gt;&lt;w:rPr&gt;&lt;w:rFonts w:ascii="OpenSymbol" w:eastAsia="Times New Roman" w:hAnsi="OpenSymbol"/&gt;&lt;/w:rPr&gt;&lt;/w:lvl&gt;&lt;/w:abstractNum&gt;&lt;w:abstractNum w:abstractNumId="17" w15:restartNumberingAfterBreak="0"&gt;&lt;w:nsid w:val="1E851A31"/&gt;&lt;w:multiLevelType w:val="hybridMultilevel"/&gt;&lt;w:tmpl w:val="05865992"/&gt;&lt;w:lvl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w:val="21C71387"/&gt;&lt;w:multiLevelType w:val="hybridMultilevel"/&gt;&lt;w:tmpl w:val="5994124C"/&gt;&lt;w:lvl w:ilvl="0" w:tplc="04190011"&gt;&lt;w:start w:val="1"/&gt;&lt;w:numFmt w:val="decimal"/&gt;&lt;w:lvlText w:val="%1)"/&gt;&lt;w:lvlJc w:val="left"/&gt;&lt;w:pPr&gt;&lt;w:ind w:left="360" w:hanging="360"/&gt;&lt;/w:pPr&gt;&lt;w:rPr&gt;&lt;w:rFonts w:hint="default"/&gt;&lt;/w:rPr&gt;&lt;/w:lvl&gt;&lt;w:lvl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w:abstractNumId="19" w15:restartNumberingAfterBreak="0"&gt;&lt;w:nsid w:val="2241555A"/&gt;&lt;w:multiLevelType w:val="hybridMultilevel"/&gt;&lt;w:tmpl w:val="2EE68ED8"/&gt;&lt;w:lvl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w:val="2401633B"/&gt;&lt;w:multiLevelType w:val="hybridMultilevel"/&gt;&lt;w:tmpl w:val="248EC602"/&gt;&lt;w:lvl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w:val="288C4581"/&gt;&lt;w:multiLevelType w:val="hybridMultilevel"/&gt;&lt;w:tmpl w:val="8EACD68A"/&gt;&lt;w:lvl w:ilvl="0" w:tplc="0419000B"&gt;&lt;w:start w:val="1"/&gt;&lt;w:numFmt w:val="bullet"/&gt;&lt;w:lvlText w:val=""/&gt;&lt;w:lvlJc w:val="left"/&gt;&lt;w:pPr&gt;&lt;w:ind w:left="720" w:hanging="360"/&gt;&lt;/w:pPr&gt;&lt;w:rPr&gt;&lt;w:rFonts w:ascii="Wingdings" w:hAnsi="Wingdings"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w:val="28F31A7D"/&gt;&lt;w:multiLevelType w:val="hybridMultilevel"/&gt;&lt;w:tmpl w:val="E018B182"/&gt;&lt;w:lvl w:ilvl="0" w:tplc="0419000F"&gt;&lt;w:start w:val="1"/&gt;&lt;w:numFmt w:val="decimal"/&gt;&lt;w:lvlText w:val="%1."/&gt;&lt;w:lvlJc w:val="left"/&gt;&lt;w:pPr&gt;&lt;w:ind w:left="360" w:hanging="360"/&gt;&lt;/w:pPr&gt;&lt;w:rPr&gt;&lt;w:rFonts w:hint="default"/&gt;&lt;/w:rPr&gt;&lt;/w:lvl&gt;&lt;w:lvl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w:abstractNumId="23" w15:restartNumberingAfterBreak="0"&gt;&lt;w:nsid w:val="2AA23F93"/&gt;&lt;w:multiLevelType w:val="hybridMultilevel"/&gt;&lt;w:tmpl w:val="3446CAD8"/&gt;&lt;w:lvl w:ilvl="0" w:tplc="0419000F"&gt;&lt;w:start w:val="1"/&gt;&lt;w:numFmt w:val="decimal"/&gt;&lt;w:lvlText w:val="%1."/&gt;&lt;w:lvlJc w:val="left"/&gt;&lt;w:pPr&gt;&lt;w:ind w:left="360" w:hanging="360"/&gt;&lt;/w:pPr&gt;&lt;/w:lvl&gt;&lt;w:lvl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w:abstractNumId="24" w15:restartNumberingAfterBreak="0"&gt;&lt;w:nsid w:val="2AB059B4"/&gt;&lt;w:multiLevelType w:val="hybridMultilevel"/&gt;&lt;w:tmpl w:val="0EE0EE7A"/&gt;&lt;w:lvl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w:val="2B9C48CC"/&gt;&lt;w:multiLevelType w:val="hybridMultilevel"/&gt;&lt;w:tmpl w:val="12BCF7D8"/&gt;&lt;w:lvl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w:val="2BAD5224"/&gt;&lt;w:multiLevelType w:val="hybridMultilevel"/&gt;&lt;w:tmpl w:val="F816FACE"/&gt;&lt;w:lvl w:ilvl="0" w:tplc="04190011"&gt;&lt;w:start w:val="1"/&gt;&lt;w:numFmt w:val="decimal"/&gt;&lt;w:lvlText w:val="%1)"/&gt;&lt;w:lvlJc w:val="left"/&gt;&lt;w:pPr&gt;&lt;w:ind w:left="360" w:hanging="360"/&gt;&lt;/w:pPr&gt;&lt;w:rPr&gt;&lt;w:rFonts w:hint="default"/&gt;&lt;/w:rPr&gt;&lt;/w:lvl&gt;&lt;w:lvl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w:abstractNumId="27" w15:restartNumberingAfterBreak="0"&gt;&lt;w:nsid w:val="2F434C03"/&gt;&lt;w:multiLevelType w:val="hybridMultilevel"/&gt;&lt;w:tmpl w:val="A3D220C6"/&gt;&lt;w:lvl w:ilvl="0" w:tplc="04190001"&gt;&lt;w:start w:val="1"/&gt;&lt;w:numFmt w:val="bullet"/&gt;&lt;w:lvlText w:val=""/&gt;&lt;w:lvlJc w:val="left"/&gt;&lt;w:pPr&gt;&lt;w:ind w:left="720" w:hanging="360"/&gt;&lt;/w:pPr&gt;&lt;w:rPr&gt;&lt;w:rFonts w:ascii="Symbol" w:hAnsi="Symbol" w:hint="default"/&gt;&lt;/w:rPr&gt;&lt;/w:lvl&gt;&lt;w:lvl w:ilvl="1" w:tplc="04190003"&gt;&lt;w:start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w:val="2F6277CD"/&gt;&lt;w:multiLevelType w:val="hybridMultilevel"/&gt;&lt;w:tmpl w:val="393035C0"/&gt;&lt;w:lvl w:ilvl="0" w:tplc="0419000F"&gt;&lt;w:start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w:abstractNumId="29" w15:restartNumberingAfterBreak="0"&gt;&lt;w:nsid w:val="31A24461"/&gt;&lt;w:multiLevelType w:val="hybridMultilevel"/&gt;&lt;w:tmpl w:val="EBE66D04"/&gt;&lt;w:lvl w:ilvl="0" w:tplc="0419000F"&gt;&lt;w:start w:val="1"/&gt;&lt;w:numFmt w:val="decimal"/&gt;&lt;w:lvlText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w:abstractNumId="30" w15:restartNumberingAfterBreak="0"&gt;&lt;w:nsid w:val="34073EEA"/&gt;&lt;w:multiLevelType w:val="hybridMultilevel"/&gt;&lt;w:tmpl w:val="A54492F0"/&gt;&lt;w:lvl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w:val="37031B45"/&gt;&lt;w:multiLevelType w:val="multilevel"/&gt;&lt;w:tmpl w:val="C910145E"/&gt;&lt;w:lvl w:ilvl="0"&gt;&lt;w:start w:val="1"/&gt;&lt;w:numFmt w:val="bullet"/&gt;&lt;w:pStyle w:val="a"/&gt;&lt;w:lvlText w:val=""/&gt;&lt;w:lvlJc w:val="left"/&gt;&lt;w:pPr&gt;&lt;w:ind w:left="680" w:hanging="396"/&gt;&lt;/w:pPr&gt;&lt;w:rPr&gt;&lt;w:rFonts w:ascii="Symbol" w:hAnsi="Symbol" w:hint="default"/&gt;&lt;/w:rPr&gt;&lt;/w:lvl&gt;&lt;w:lvl w:ilvl="1"&gt;&lt;w:start w:val="1"/&gt;&lt;w:numFmt w:val="bullet"/&gt;&lt;w:lvlText w:val="o"/&gt;&lt;w:lvlJc w:val="left"/&gt;&lt;w:pPr&gt;&lt;w:ind w:left="1247" w:hanging="396"/&gt;&lt;/w:pPr&gt;&lt;w:rPr&gt;&lt;w:rFonts w:ascii="Courier New" w:hAnsi="Courier New" w:hint="default"/&gt;&lt;/w:rPr&gt;&lt;/w:lvl&gt;&lt;w:lvl w:ilvl="2"&gt;&lt;w:start w:val="1"/&gt;&lt;w:numFmt w:val="bullet"/&gt;&lt;w:lvlText w:val=""/&gt;&lt;w:lvlJc w:val="left"/&gt;&lt;w:pPr&gt;&lt;w:ind w:left="1701" w:hanging="454"/&gt;&lt;/w:pPr&gt;&lt;w:rPr&gt;&lt;w:rFonts w:ascii="Wingdings" w:hAnsi="Wingdings" w:hint="default"/&gt;&lt;/w:rPr&gt;&lt;/w:lvl&gt;&lt;w:lvl w:ilvl="3"&gt;&lt;w:start w:val="1"/&gt;&lt;w:numFmt w:val="bullet"/&gt;&lt;w:lvlText w:val=""/&gt;&lt;w:lvlJc w:val="left"/&gt;&lt;w:pPr&gt;&lt;w:ind w:left="2381" w:hanging="453"/&gt;&lt;/w:pPr&gt;&lt;w:rPr&gt;&lt;w:rFonts w:ascii="Symbol" w:hAnsi="Symbol" w:hint="default"/&gt;&lt;/w:rPr&gt;&lt;/w:lvl&gt;&lt;w:lvl w:ilvl="4"&gt;&lt;w:start w:val="1"/&gt;&lt;w:numFmt w:val="bullet"/&gt;&lt;w:lvlText w:val="o"/&gt;&lt;w:lvlJc w:val="left"/&gt;&lt;w:pPr&gt;&lt;w:ind w:left="3062" w:hanging="454"/&gt;&lt;/w:pPr&gt;&lt;w:rPr&gt;&lt;w:rFonts w:ascii="Courier New" w:hAnsi="Courier New" w:hint="default"/&gt;&lt;/w:rPr&gt;&lt;/w:lvl&gt;&lt;w:lvl w:ilvl="5"&gt;&lt;w:start w:val="1"/&gt;&lt;w:numFmt w:val="bullet"/&gt;&lt;w:lvlText w:val=""/&gt;&lt;w:lvlJc w:val="left"/&gt;&lt;w:pPr&gt;&lt;w:ind w:left="3402" w:hanging="283"/&gt;&lt;/w:pPr&gt;&lt;w:rPr&gt;&lt;w:rFonts w:ascii="Wingdings" w:hAnsi="Wingdings" w:hint="default"/&gt;&lt;/w:rPr&gt;&lt;/w:lvl&gt;&lt;w:lvl w:ilvl="6"&gt;&lt;w:start w:val="1"/&gt;&lt;w:numFmt w:val="bullet"/&gt;&lt;w:lvlText w:val=""/&gt;&lt;w:lvlJc w:val="left"/&gt;&lt;w:pPr&gt;&lt;w:ind w:left="3856" w:hanging="397"/&gt;&lt;/w:pPr&gt;&lt;w:rPr&gt;&lt;w:rFonts w:ascii="Symbol" w:hAnsi="Symbol" w:hint="default"/&gt;&lt;/w:rPr&gt;&lt;/w:lvl&gt;&lt;w:lvl w:ilvl="7"&gt;&lt;w:start w:val="1"/&gt;&lt;w:numFmt w:val="bullet"/&gt;&lt;w:lvlText w:val="o"/&gt;&lt;w:lvlJc w:val="left"/&gt;&lt;w:pPr&gt;&lt;w:ind w:left="4196" w:hanging="340"/&gt;&lt;/w:pPr&gt;&lt;w:rPr&gt;&lt;w:rFonts w:ascii="Courier New" w:hAnsi="Courier New" w:hint="default"/&gt;&lt;/w:rPr&gt;&lt;/w:lvl&gt;&lt;w:lvl w:ilvl="8"&gt;&lt;w:start w:val="1"/&gt;&lt;w:numFmt w:val="bullet"/&gt;&lt;w:lvlText w:val=""/&gt;&lt;w:lvlJc w:val="left"/&gt;&lt;w:pPr&gt;&lt;w:ind w:left="4423" w:hanging="397"/&gt;&lt;/w:pPr&gt;&lt;w:rPr&gt;&lt;w:rFonts w:ascii="Wingdings" w:hAnsi="Wingdings" w:hint="default"/&gt;&lt;/w:rPr&gt;&lt;/w:lvl&gt;&lt;/w:abstractNum&gt;&lt;w:abstractNum w:abstractNumId="32" w15:restartNumberingAfterBreak="0"&gt;&lt;w:nsid w:val="39B92DFE"/&gt;&lt;w:multiLevelType w:val="multilevel"/&gt;&lt;w:tmpl w:val="1C2C394A"/&gt;&lt;w:lvl w:ilvl="0"&gt;&lt;w:start w:val="1"/&gt;&lt;w:numFmt w:val="decimal"/&gt;&lt;w:pStyle w:val="1"/&gt;&lt;w:lvlText w:val="%1"/&gt;&lt;w:lvlJc w:val="left"/&gt;&lt;w:pPr&gt;&lt;w:ind w:left="432" w:hanging="432"/&gt;&lt;/w:pPr&gt;&lt;/w:lvl&gt;&lt;w:lvl w:ilvl="1"&gt;&lt;w:start w:val="1"/&gt;&lt;w:numFmt w:val="decimal"/&gt;&lt;w:pStyle w:val="2"/&gt;&lt;w:lvlText w:val="%1.%2"/&gt;&lt;w:lvlJc w:val="left"/&gt;&lt;w:pPr&gt;&lt;w:ind w:left="576" w:hanging="576"/&gt;&lt;/w:pPr&gt;&lt;/w:lvl&gt;&lt;w:lvl w:ilvl="2"&gt;&lt;w:start w:val="1"/&gt;&lt;w:numFmt w:val="decimal"/&gt;&lt;w:pStyle w:val="3"/&gt;&lt;w:lvlText w:val="%1.%2.%3"/&gt;&lt;w:lvlJc w:val="left"/&gt;&lt;w:pPr&gt;&lt;w:ind w:left="720" w:hanging="720"/&gt;&lt;/w:pPr&gt;&lt;/w:lvl&gt;&lt;w:lvl w:ilvl="3"&gt;&lt;w:start w:val="1"/&gt;&lt;w:numFmt w:val="decimal"/&gt;&lt;w:pStyle w:val="4"/&gt;&lt;w:lvlText w:val="%1.%2.%3.%4"/&gt;&lt;w:lvlJc w:val="left"/&gt;&lt;w:pPr&gt;&lt;w:ind w:left="864" w:hanging="864"/&gt;&lt;/w:pPr&gt;&lt;w:rPr&gt;&lt;w:b/&gt;&lt;w:i/&gt;&lt;/w:rPr&gt;&lt;/w:lvl&gt;&lt;w:lvl w:ilvl="4"&gt;&lt;w:start w:val="1"/&gt;&lt;w:numFmt w:val="decimal"/&gt;&lt;w:pStyle w:val="5"/&gt;&lt;w:lvlText w:val="%1.%2.%3.%4.%5"/&gt;&lt;w:lvlJc w:val="left"/&gt;&lt;w:pPr&gt;&lt;w:ind w:left="1008" w:hanging="1008"/&gt;&lt;/w:pPr&gt;&lt;/w:lvl&gt;&lt;w:lvl w:ilvl="5"&gt;&lt;w:start w:val="1"/&gt;&lt;w:numFmt w:val="decimal"/&gt;&lt;w:pStyle w:val="6"/&gt;&lt;w:lvlText w:val="%1.%2.%3.%4.%5.%6"/&gt;&lt;w:lvlJc w:val="left"/&gt;&lt;w:pPr&gt;&lt;w:ind w:left="1152" w:hanging="1152"/&gt;&lt;/w:pPr&gt;&lt;/w:lvl&gt;&lt;w:lvl w:ilvl="6"&gt;&lt;w:start w:val="1"/&gt;&lt;w:numFmt w:val="decimal"/&gt;&lt;w:pStyle w:val="7"/&gt;&lt;w:lvlText w:val="%1.%2.%3.%4.%5.%6.%7"/&gt;&lt;w:lvlJc w:val="left"/&gt;&lt;w:pPr&gt;&lt;w:ind w:left="1296" w:hanging="1296"/&gt;&lt;/w:pPr&gt;&lt;/w:lvl&gt;&lt;w:lvl w:ilvl="7"&gt;&lt;w:start w:val="1"/&gt;&lt;w:numFmt w:val="decimal"/&gt;&lt;w:pStyle w:val="8"/&gt;&lt;w:lvlText w:val="%1.%2.%3.%4.%5.%6.%7.%8"/&gt;&lt;w:lvlJc w:val="left"/&gt;&lt;w:pPr&gt;&lt;w:ind w:left="1440" w:hanging="1440"/&gt;&lt;/w:pPr&gt;&lt;/w:lvl&gt;&lt;w:lvl w:ilvl="8"&gt;&lt;w:start w:val="1"/&gt;&lt;w:numFmt w:val="decimal"/&gt;&lt;w:pStyle w:val="9"/&gt;&lt;w:lvlText w:val="%1.%2.%3.%4.%5.%6.%7.%8.%9"/&gt;&lt;w:lvlJc w:val="left"/&gt;&lt;w:pPr&gt;&lt;w:ind w:left="1584" w:hanging="1584"/&gt;&lt;/w:pPr&gt;&lt;/w:lvl&gt;&lt;/w:abstractNum&gt;&lt;w:abstractNum w:abstractNumId="33" w15:restartNumberingAfterBreak="0"&gt;&lt;w:nsid w:val="3A4F1C24"/&gt;&lt;w:multiLevelType w:val="hybridMultilevel"/&gt;&lt;w:tmpl w:val="B2E81DE4"/&gt;&lt;w:lvl w:ilvl="0" w:tplc="0419000F"&gt;&lt;w:start w:val="1"/&gt;&lt;w:numFmt w:val="decimal"/&gt;&lt;w:lvlText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w:abstractNumId="34" w15:restartNumberingAfterBreak="0"&gt;&lt;w:nsid w:val="3E977322"/&gt;&lt;w:multiLevelType w:val="hybridMultilevel"/&gt;&lt;w:tmpl w:val="50BEDFDA"/&gt;&lt;w:lvl w:ilvl="0" w:tplc="04190019"&gt;&lt;w:start w:val="1"/&gt;&lt;w:numFmt w:val="lowerLetter"/&gt;&lt;w:lvlText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w:abstractNumId="35" w15:restartNumberingAfterBreak="0"&gt;&lt;w:nsid w:val="3F4F0A36"/&gt;&lt;w:multiLevelType w:val="hybridMultilevel"/&gt;&lt;w:tmpl w:val="B31A85FC"/&gt;&lt;w:lvl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w:val="3F8C291F"/&gt;&lt;w:multiLevelType w:val="hybridMultilevel"/&gt;&lt;w:tmpl w:val="83EED4BA"/&gt;&lt;w:lvl w:ilvl="0" w:tplc="0419000F"&gt;&lt;w:start w:val="1"/&gt;&lt;w:numFmt w:val="decimal"/&gt;&lt;w:lvlText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w:abstractNumId="37" w15:restartNumberingAfterBreak="0"&gt;&lt;w:nsid w:val="4A9C7D1A"/&gt;&lt;w:multiLevelType w:val="hybridMultilevel"/&gt;&lt;w:tmpl w:val="E5B01E98"/&gt;&lt;w:lvl w:ilvl="0" w:tplc="04190011"&gt;&lt;w:start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w:abstractNumId="38" w15:restartNumberingAfterBreak="0"&gt;&lt;w:nsid w:val="4E920091"/&gt;&lt;w:multiLevelType w:val="hybridMultilevel"/&gt;&lt;w:tmpl w:val="A032044E"/&gt;&lt;w:lvl w:ilvl="0" w:tplc="04190001"&gt;&lt;w:start w:val="1"/&gt;&lt;w:numFmt w:val="bullet"/&gt;&lt;w:lvlText w:val=""/&gt;&lt;w:lvlJc w:val="left"/&gt;&lt;w:pPr&gt;&lt;w:ind w:left="1440" w:hanging="360"/&gt;&lt;/w:pPr&gt;&lt;w:rPr&gt;&lt;w:rFonts w:ascii="Symbol" w:hAnsi="Symbol" w:hint="default"/&gt;&lt;/w:rPr&gt;&lt;/w:lvl&gt;&lt;w:lvl w:ilvl="1" w:tplc="04190003" w:tentative="1"&gt;&lt;w:start w:val="1"/&gt;&lt;w:numFmt w:val="bullet"/&gt;&lt;w:lvlText w:val="o"/&gt;&lt;w:lvlJc w:val="left"/&gt;&lt;w:pPr&gt;&lt;w:ind w:left="2160" w:hanging="360"/&gt;&lt;/w:pPr&gt;&lt;w:rPr&gt;&lt;w:rFonts w:ascii="Courier New" w:hAnsi="Courier New" w:cs="Courier New" w:hint="default"/&gt;&lt;/w:rPr&gt;&lt;/w:lvl&gt;&lt;w:lvl w:ilvl="2" w:tplc="04190005" w:tentative="1"&gt;&lt;w:start w:val="1"/&gt;&lt;w:numFmt w:val="bullet"/&gt;&lt;w:lvlText w:val=""/&gt;&lt;w:lvlJc w:val="left"/&gt;&lt;w:pPr&gt;&lt;w:ind w:left="2880" w:hanging="360"/&gt;&lt;/w:pPr&gt;&lt;w:rPr&gt;&lt;w:rFonts w:ascii="Wingdings" w:hAnsi="Wingdings" w:hint="default"/&gt;&lt;/w:rPr&gt;&lt;/w:lvl&gt;&lt;w:lvl w:ilvl="3" w:tplc="04190001" w:tentative="1"&gt;&lt;w:start w:val="1"/&gt;&lt;w:numFmt w:val="bullet"/&gt;&lt;w:lvlText w:val=""/&gt;&lt;w:lvlJc w:val="left"/&gt;&lt;w:pPr&gt;&lt;w:ind w:left="3600" w:hanging="360"/&gt;&lt;/w:pPr&gt;&lt;w:rPr&gt;&lt;w:rFonts w:ascii="Symbol" w:hAnsi="Symbol" w:hint="default"/&gt;&lt;/w:rPr&gt;&lt;/w:lvl&gt;&lt;w:lvl w:ilvl="4" w:tplc="04190003" w:tentative="1"&gt;&lt;w:start w:val="1"/&gt;&lt;w:numFmt w:val="bullet"/&gt;&lt;w:lvlText w:val="o"/&gt;&lt;w:lvlJc w:val="left"/&gt;&lt;w:pPr&gt;&lt;w:ind w:left="4320" w:hanging="360"/&gt;&lt;/w:pPr&gt;&lt;w:rPr&gt;&lt;w:rFonts w:ascii="Courier New" w:hAnsi="Courier New" w:cs="Courier New" w:hint="default"/&gt;&lt;/w:rPr&gt;&lt;/w:lvl&gt;&lt;w:lvl w:ilvl="5" w:tplc="04190005" w:tentative="1"&gt;&lt;w:start w:val="1"/&gt;&lt;w:numFmt w:val="bullet"/&gt;&lt;w:lvlText w:val=""/&gt;&lt;w:lvlJc w:val="left"/&gt;&lt;w:pPr&gt;&lt;w:ind w:left="5040" w:hanging="360"/&gt;&lt;/w:pPr&gt;&lt;w:rPr&gt;&lt;w:rFonts w:ascii="Wingdings" w:hAnsi="Wingdings" w:hint="default"/&gt;&lt;/w:rPr&gt;&lt;/w:lvl&gt;&lt;w:lvl w:ilvl="6" w:tplc="04190001" w:tentative="1"&gt;&lt;w:start w:val="1"/&gt;&lt;w:numFmt w:val="bullet"/&gt;&lt;w:lvlText w:val=""/&gt;&lt;w:lvlJc w:val="left"/&gt;&lt;w:pPr&gt;&lt;w:ind w:left="5760" w:hanging="360"/&gt;&lt;/w:pPr&gt;&lt;w:rPr&gt;&lt;w:rFonts w:ascii="Symbol" w:hAnsi="Symbol" w:hint="default"/&gt;&lt;/w:rPr&gt;&lt;/w:lvl&gt;&lt;w:lvl w:ilvl="7" w:tplc="04190003" w:tentative="1"&gt;&lt;w:start w:val="1"/&gt;&lt;w:numFmt w:val="bullet"/&gt;&lt;w:lvlText w:val="o"/&gt;&lt;w:lvlJc w:val="left"/&gt;&lt;w:pPr&gt;&lt;w:ind w:left="6480" w:hanging="360"/&gt;&lt;/w:pPr&gt;&lt;w:rPr&gt;&lt;w:rFonts w:ascii="Courier New" w:hAnsi="Courier New" w:cs="Courier New" w:hint="default"/&gt;&lt;/w:rPr&gt;&lt;/w:lvl&gt;&lt;w:lvl w:ilvl="8" w:tplc="04190005" w:tentative="1"&gt;&lt;w:start w:val="1"/&gt;&lt;w:numFmt w:val="bullet"/&gt;&lt;w:lvlText w:val=""/&gt;&lt;w:lvlJc w:val="left"/&gt;&lt;w:pPr&gt;&lt;w:ind w:left="7200" w:hanging="360"/&gt;&lt;/w:pPr&gt;&lt;w:rPr&gt;&lt;w:rFonts w:ascii="Wingdings" w:hAnsi="Wingdings" w:hint="default"/&gt;&lt;/w:rPr&gt;&lt;/w:lvl&gt;&lt;/w:abstractNum&gt;&lt;w:abstractNum w:abstractNumId="39" w15:restartNumberingAfterBreak="0"&gt;&lt;w:nsid w:val="51C81963"/&gt;&lt;w:multiLevelType w:val="hybridMultilevel"/&gt;&lt;w:tmpl w:val="2C8ED344"/&gt;&lt;w:lvl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w:val="5223570B"/&gt;&lt;w:multiLevelType w:val="hybridMultilevel"/&gt;&lt;w:tmpl w:val="0D9A4052"/&gt;&lt;w:lvl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w:abstractNumId="41" w15:restartNumberingAfterBreak="0"&gt;&lt;w:nsid w:val="54510026"/&gt;&lt;w:multiLevelType w:val="hybridMultilevel"/&gt;&lt;w:tmpl w:val="CA326D30"/&gt;&lt;w:lvl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w:val="59857CFA"/&gt;&lt;w:multiLevelType w:val="hybridMultilevel"/&gt;&lt;w:tmpl w:val="280CBB2E"/&gt;&lt;w:lvl w:ilvl="0" w:tplc="04190011"&gt;&lt;w:start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w:abstractNumId="43" w15:restartNumberingAfterBreak="0"&gt;&lt;w:nsid w:val="5C072F98"/&gt;&lt;w:multiLevelType w:val="hybridMultilevel"/&gt;&lt;w:tmpl w:val="150CB4C2"/&gt;&lt;w:lvl w:ilvl="0" w:tplc="04190011"&gt;&lt;w:start w:val="1"/&gt;&lt;w:numFmt w:val="decimal"/&gt;&lt;w:lvlText w:val="%1)"/&gt;&lt;w:lvlJc w:val="left"/&gt;&lt;w:pPr&gt;&lt;w:ind w:left="360" w:hanging="360"/&gt;&lt;/w:pPr&gt;&lt;w:rPr&gt;&lt;w:rFonts w:hint="default"/&gt;&lt;/w:rPr&gt;&lt;/w:lvl&gt;&lt;w:lvl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w:abstractNumId="44" w15:restartNumberingAfterBreak="0"&gt;&lt;w:nsid w:val="5DD32E4C"/&gt;&lt;w:multiLevelType w:val="hybridMultilevel"/&gt;&lt;w:tmpl w:val="AD762EE8"/&gt;&lt;w:lvl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w:val="5E605B08"/&gt;&lt;w:multiLevelType w:val="hybridMultilevel"/&gt;&lt;w:tmpl w:val="16E4ADF8"/&gt;&lt;w:lvl w:ilvl="0" w:tplc="0419000F"&gt;&lt;w:start w:val="1"/&gt;&lt;w:numFmt w:val="decimal"/&gt;&lt;w:lvlText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w:abstractNumId="46" w15:restartNumberingAfterBreak="0"&gt;&lt;w:nsid w:val="61467E08"/&gt;&lt;w:multiLevelType w:val="hybridMultilevel"/&gt;&lt;w:tmpl w:val="20EC71B8"/&gt;&lt;w:lvl w:ilvl="0" w:tplc="41AA744C"&gt;&lt;w:start w:val="1"/&gt;&lt;w:numFmt w:val="decimal"/&gt;&lt;w:lvlText w:val="%1)"/&gt;&lt;w:lvlJc w:val="left"/&gt;&lt;w:pPr&gt;&lt;w:ind w:left="1068" w:hanging="708"/&gt;&lt;/w:pPr&gt;&lt;w:rPr&gt;&lt;w:rFonts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w:abstractNumId="47" w15:restartNumberingAfterBreak="0"&gt;&lt;w:nsid w:val="621C16A2"/&gt;&lt;w:multiLevelType w:val="hybridMultilevel"/&gt;&lt;w:tmpl w:val="F816FACE"/&gt;&lt;w:lvl w:ilvl="0" w:tplc="04190011"&gt;&lt;w:start w:val="1"/&gt;&lt;w:numFmt w:val="decimal"/&gt;&lt;w:lvlText w:val="%1)"/&gt;&lt;w:lvlJc w:val="left"/&gt;&lt;w:pPr&gt;&lt;w:ind w:left="360" w:hanging="360"/&gt;&lt;/w:pPr&gt;&lt;w:rPr&gt;&lt;w:rFonts w:hint="default"/&gt;&lt;/w:rPr&gt;&lt;/w:lvl&gt;&lt;w:lvl w:ilvl="1" w:tplc="04190019" w:tentative="1"&gt;&lt;w:start w:val="1"/&gt;&lt;w:numFmt w:val="lowerLetter"/&gt;&lt;w:lvlText w:val="%2."/&gt;&lt;w:lvlJc w:val="left"/&gt;&lt;w:pPr&gt;&lt;w:ind w:left="1080" w:hanging="360"/&gt;&lt;/w:pPr&gt;&lt;/w:lvl&gt;&lt;w:lvl w:ilvl="2" w:tplc="0419001B" w:tentative="1"&gt;&lt;w:start w:val="1"/&gt;&lt;w:numFmt w:val="lowerRoman"/&gt;&lt;w:lvlText w:val="%3."/&gt;&lt;w:lvlJc w:val="right"/&gt;&lt;w:pPr&gt;&lt;w:ind w:left="1800" w:hanging="180"/&gt;&lt;/w:pPr&gt;&lt;/w:lvl&gt;&lt;w:lvl w:ilvl="3" w:tplc="0419000F" w:tentative="1"&gt;&lt;w:start w:val="1"/&gt;&lt;w:numFmt w:val="decimal"/&gt;&lt;w:lvlText w:val="%4."/&gt;&lt;w:lvlJc w:val="left"/&gt;&lt;w:pPr&gt;&lt;w:ind w:left="2520" w:hanging="360"/&gt;&lt;/w:pPr&gt;&lt;/w:lvl&gt;&lt;w:lvl w:ilvl="4" w:tplc="04190019" w:tentative="1"&gt;&lt;w:start w:val="1"/&gt;&lt;w:numFmt w:val="lowerLetter"/&gt;&lt;w:lvlText w:val="%5."/&gt;&lt;w:lvlJc w:val="left"/&gt;&lt;w:pPr&gt;&lt;w:ind w:left="3240" w:hanging="360"/&gt;&lt;/w:pPr&gt;&lt;/w:lvl&gt;&lt;w:lvl w:ilvl="5" w:tplc="0419001B" w:tentative="1"&gt;&lt;w:start w:val="1"/&gt;&lt;w:numFmt w:val="lowerRoman"/&gt;&lt;w:lvlText w:val="%6."/&gt;&lt;w:lvlJc w:val="right"/&gt;&lt;w:pPr&gt;&lt;w:ind w:left="3960" w:hanging="180"/&gt;&lt;/w:pPr&gt;&lt;/w:lvl&gt;&lt;w:lvl w:ilvl="6" w:tplc="0419000F" w:tentative="1"&gt;&lt;w:start w:val="1"/&gt;&lt;w:numFmt w:val="decimal"/&gt;&lt;w:lvlText w:val="%7."/&gt;&lt;w:lvlJc w:val="left"/&gt;&lt;w:pPr&gt;&lt;w:ind w:left="4680" w:hanging="360"/&gt;&lt;/w:pPr&gt;&lt;/w:lvl&gt;&lt;w:lvl w:ilvl="7" w:tplc="04190019" w:tentative="1"&gt;&lt;w:start w:val="1"/&gt;&lt;w:numFmt w:val="lowerLetter"/&gt;&lt;w:lvlText w:val="%8."/&gt;&lt;w:lvlJc w:val="left"/&gt;&lt;w:pPr&gt;&lt;w:ind w:left="5400" w:hanging="360"/&gt;&lt;/w:pPr&gt;&lt;/w:lvl&gt;&lt;w:lvl w:ilvl="8" w:tplc="0419001B" w:tentative="1"&gt;&lt;w:start w:val="1"/&gt;&lt;w:numFmt w:val="lowerRoman"/&gt;&lt;w:lvlText w:val="%9."/&gt;&lt;w:lvlJc w:val="right"/&gt;&lt;w:pPr&gt;&lt;w:ind w:left="6120" w:hanging="180"/&gt;&lt;/w:pPr&gt;&lt;/w:lvl&gt;&lt;/w:abstractNum&gt;&lt;w:abstractNum w:abstractNumId="48" w15:restartNumberingAfterBreak="0"&gt;&lt;w:nsid w:val="62772D76"/&gt;&lt;w:multiLevelType w:val="hybridMultilevel"/&gt;&lt;w:tmpl w:val="873EE7E2"/&gt;&lt;w:lvl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w:val="63DF28ED"/&gt;&lt;w:multiLevelType w:val="hybridMultilevel"/&gt;&lt;w:tmpl w:val="59B61722"/&gt;&lt;w:lvl w:ilvl="0" w:tplc="0419000F"&gt;&lt;w:start w:val="1"/&gt;&lt;w:numFmt w:val="decimal"/&gt;&lt;w:lvlText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w:abstractNumId="50" w15:restartNumberingAfterBreak="0"&gt;&lt;w:nsid w:val="653729CA"/&gt;&lt;w:multiLevelType w:val="hybridMultilevel"/&gt;&lt;w:tmpl w:val="EFE276EC"/&gt;&lt;w:lvl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w:val="6B6E2A11"/&gt;&lt;w:multiLevelType w:val="hybridMultilevel"/&gt;&lt;w:tmpl w:val="31FE2E40"/&gt;&lt;w:lvl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w:val="6C4D16B1"/&gt;&lt;w:multiLevelType w:val="hybridMultilevel"/&gt;&lt;w:tmpl w:val="B9B26B32"/&gt;&lt;w:lvl w:ilvl="0" w:tplc="04190011"&gt;&lt;w:start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w:abstractNumId="53" w15:restartNumberingAfterBreak="0"&gt;&lt;w:nsid w:val="6EE929E7"/&gt;&lt;w:multiLevelType w:val="multilevel"/&gt;&lt;w:tmpl w:val="434402A8"/&gt;&lt;w:lvl w:ilvl="0"&gt;&lt;w:start w:val="1"/&gt;&lt;w:numFmt w:val="decimal"/&gt;&lt;w:lvlText w:val="%1."/&gt;&lt;w:lvlJc w:val="left"/&gt;&lt;w:pPr&gt;&lt;w:ind w:left="720" w:hanging="360"/&gt;&lt;/w:pPr&gt;&lt;/w:lvl&gt;&lt;w:lvl w:ilvl="1"&gt;&lt;w:start w:val="2"/&gt;&lt;w:numFmt w:val="decimal"/&gt;&lt;w:isLgl/&gt;&lt;w:lvlText w:val="%1.%2."/&gt;&lt;w:lvlJc w:val="left"/&gt;&lt;w:pPr&gt;&lt;w:ind w:left="1080" w:hanging="720"/&gt;&lt;/w:pPr&gt;&lt;w:rPr&gt;&lt;w:rFonts w:hint="default"/&gt;&lt;/w:rPr&gt;&lt;/w:lvl&gt;&lt;w:lvl w:ilvl="2"&gt;&lt;w:start w:val="4"/&gt;&lt;w:numFmt w:val="decimal"/&gt;&lt;w:isLgl/&gt;&lt;w:lvlText w:val="%1.%2.%3."/&gt;&lt;w:lvlJc w:val="left"/&gt;&lt;w:pPr&gt;&lt;w:ind w:left="1080" w:hanging="720"/&gt;&lt;/w:pPr&gt;&lt;w:rPr&gt;&lt;w:rFonts w:hint="default"/&gt;&lt;/w:rPr&gt;&lt;/w:lvl&gt;&lt;w:lvl w:ilvl="3"&gt;&lt;w:start w:val="4"/&gt;&lt;w:numFmt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w:abstractNumId="54" w15:restartNumberingAfterBreak="0"&gt;&lt;w:nsid w:val="718F54E9"/&gt;&lt;w:multiLevelType w:val="hybridMultilevel"/&gt;&lt;w:tmpl w:val="B42EF856"/&gt;&lt;w:lvl w:ilvl="0" w:tplc="0419000F"&gt;&lt;w:start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w:abstractNumId="55" w15:restartNumberingAfterBreak="0"&gt;&lt;w:nsid w:val="719071A4"/&gt;&lt;w:multiLevelType w:val="hybridMultilevel"/&gt;&lt;w:tmpl w:val="E1BA4538"/&gt;&lt;w:lvl w:ilvl="0" w:tplc="04190001"&gt;&lt;w:start w:val="1"/&gt;&lt;w:numFmt w:val="bullet"/&gt;&lt;w:lvlText w:val=""/&gt;&lt;w:lvlJc w:val="left"/&gt;&lt;w:pPr&gt;&lt;w:ind w:left="1800" w:hanging="360"/&gt;&lt;/w:pPr&gt;&lt;w:rPr&gt;&lt;w:rFonts w:ascii="Symbol" w:hAnsi="Symbol" w:hint="default"/&gt;&lt;/w:rPr&gt;&lt;/w:lvl&gt;&lt;w:lvl w:ilvl="1" w:tplc="04190003" w:tentative="1"&gt;&lt;w:start w:val="1"/&gt;&lt;w:numFmt w:val="bullet"/&gt;&lt;w:lvlText w:val="o"/&gt;&lt;w:lvlJc w:val="left"/&gt;&lt;w:pPr&gt;&lt;w:ind w:left="2520" w:hanging="360"/&gt;&lt;/w:pPr&gt;&lt;w:rPr&gt;&lt;w:rFonts w:ascii="Courier New" w:hAnsi="Courier New" w:cs="Courier New" w:hint="default"/&gt;&lt;/w:rPr&gt;&lt;/w:lvl&gt;&lt;w:lvl w:ilvl="2" w:tplc="04190005" w:tentative="1"&gt;&lt;w:start w:val="1"/&gt;&lt;w:numFmt w:val="bullet"/&gt;&lt;w:lvlText w:val=""/&gt;&lt;w:lvlJc w:val="left"/&gt;&lt;w:pPr&gt;&lt;w:ind w:left="3240" w:hanging="360"/&gt;&lt;/w:pPr&gt;&lt;w:rPr&gt;&lt;w:rFonts w:ascii="Wingdings" w:hAnsi="Wingdings" w:hint="default"/&gt;&lt;/w:rPr&gt;&lt;/w:lvl&gt;&lt;w:lvl w:ilvl="3" w:tplc="04190001" w:tentative="1"&gt;&lt;w:start w:val="1"/&gt;&lt;w:numFmt w:val="bullet"/&gt;&lt;w:lvlText w:val=""/&gt;&lt;w:lvlJc w:val="left"/&gt;&lt;w:pPr&gt;&lt;w:ind w:left="3960" w:hanging="360"/&gt;&lt;/w:pPr&gt;&lt;w:rPr&gt;&lt;w:rFonts w:ascii="Symbol" w:hAnsi="Symbol" w:hint="default"/&gt;&lt;/w:rPr&gt;&lt;/w:lvl&gt;&lt;w:lvl w:ilvl="4" w:tplc="04190003" w:tentative="1"&gt;&lt;w:start w:val="1"/&gt;&lt;w:numFmt w:val="bullet"/&gt;&lt;w:lvlText w:val="o"/&gt;&lt;w:lvlJc w:val="left"/&gt;&lt;w:pPr&gt;&lt;w:ind w:left="4680" w:hanging="360"/&gt;&lt;/w:pPr&gt;&lt;w:rPr&gt;&lt;w:rFonts w:ascii="Courier New" w:hAnsi="Courier New" w:cs="Courier New" w:hint="default"/&gt;&lt;/w:rPr&gt;&lt;/w:lvl&gt;&lt;w:lvl w:ilvl="5" w:tplc="04190005" w:tentative="1"&gt;&lt;w:start w:val="1"/&gt;&lt;w:numFmt w:val="bullet"/&gt;&lt;w:lvlText w:val=""/&gt;&lt;w:lvlJc w:val="left"/&gt;&lt;w:pPr&gt;&lt;w:ind w:left="5400" w:hanging="360"/&gt;&lt;/w:pPr&gt;&lt;w:rPr&gt;&lt;w:rFonts w:ascii="Wingdings" w:hAnsi="Wingdings" w:hint="default"/&gt;&lt;/w:rPr&gt;&lt;/w:lvl&gt;&lt;w:lvl w:ilvl="6" w:tplc="04190001" w:tentative="1"&gt;&lt;w:start w:val="1"/&gt;&lt;w:numFmt w:val="bullet"/&gt;&lt;w:lvlText w:val=""/&gt;&lt;w:lvlJc w:val="left"/&gt;&lt;w:pPr&gt;&lt;w:ind w:left="6120" w:hanging="360"/&gt;&lt;/w:pPr&gt;&lt;w:rPr&gt;&lt;w:rFonts w:ascii="Symbol" w:hAnsi="Symbol" w:hint="default"/&gt;&lt;/w:rPr&gt;&lt;/w:lvl&gt;&lt;w:lvl w:ilvl="7" w:tplc="04190003" w:tentative="1"&gt;&lt;w:start w:val="1"/&gt;&lt;w:numFmt w:val="bullet"/&gt;&lt;w:lvlText w:val="o"/&gt;&lt;w:lvlJc w:val="left"/&gt;&lt;w:pPr&gt;&lt;w:ind w:left="6840" w:hanging="360"/&gt;&lt;/w:pPr&gt;&lt;w:rPr&gt;&lt;w:rFonts w:ascii="Courier New" w:hAnsi="Courier New" w:cs="Courier New" w:hint="default"/&gt;&lt;/w:rPr&gt;&lt;/w:lvl&gt;&lt;w:lvl w:ilvl="8" w:tplc="04190005" w:tentative="1"&gt;&lt;w:start w:val="1"/&gt;&lt;w:numFmt w:val="bullet"/&gt;&lt;w:lvlText w:val=""/&gt;&lt;w:lvlJc w:val="left"/&gt;&lt;w:pPr&gt;&lt;w:ind w:left="7560" w:hanging="360"/&gt;&lt;/w:pPr&gt;&lt;w:rPr&gt;&lt;w:rFonts w:ascii="Wingdings" w:hAnsi="Wingdings" w:hint="default"/&gt;&lt;/w:rPr&gt;&lt;/w:lvl&gt;&lt;/w:abstractNum&gt;&lt;w:abstractNum w:abstractNumId="56" w15:restartNumberingAfterBreak="0"&gt;&lt;w:nsid w:val="728223F7"/&gt;&lt;w:multiLevelType w:val="hybridMultilevel"/&gt;&lt;w:tmpl w:val="F404F342"/&gt;&lt;w:lvl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w:val="74BD4FFA"/&gt;&lt;w:multiLevelType w:val="hybridMultilevel"/&gt;&lt;w:tmpl w:val="510E08A2"/&gt;&lt;w:lvl w:ilvl="0" w:tplc="0419000F"&gt;&lt;w:start w:val="1"/&gt;&lt;w:numFmt w:val="decimal"/&gt;&lt;w:lvlText w:val="%1."/&gt;&lt;w:lvlJc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w:abstractNumId="58" w15:restartNumberingAfterBreak="0"&gt;&lt;w:nsid w:val="760207CA"/&gt;&lt;w:multiLevelType w:val="hybridMultilevel"/&gt;&lt;w:tmpl w:val="F626AAC0"/&gt;&lt;w:lvl w:ilvl="0" w:tplc="04190001"&gt;&lt;w:start w:val="1"/&gt;&lt;w:numFmt w:val="bullet"/&gt;&lt;w:lvlText w:val=""/&gt;&lt;w:lvlJc w:val="left"/&gt;&lt;w:pPr&gt;&lt;w:ind w:left="720" w:hanging="360"/&gt;&lt;/w:pPr&gt;&lt;w:rPr&gt;&lt;w:rFonts w:ascii="Symbol" w:hAnsi="Symbol" w:hint="default"/&gt;&lt;/w:rPr&gt;&lt;/w:lvl&gt;&lt;w:lvl w:ilvl="1" w:tplc="04190003" w:tentative="1"&gt;&lt;w:start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w:val="789122E3"/&gt;&lt;w:multiLevelType w:val="hybridMultilevel"/&gt;&lt;w:tmpl w:val="467C863C"/&gt;&lt;w:lvl w:ilvl="0" w:tplc="04190001"&gt;&lt;w:start w:val="1"/&gt;&lt;w:numFmt w:val="bullet"/&gt;&lt;w:lvlText w:val=""/&gt;&lt;w:lvlJc w:val="left"/&gt;&lt;w:pPr&gt;&lt;w:ind w:left="720" w:hanging="360"/&gt;&lt;/w:pPr&gt;&lt;w:rPr&gt;&lt;w:rFonts w:ascii="Symbol" w:hAnsi="Symbol" w:hint="default"/&gt;&lt;/w:rPr&gt;&lt;/w:lvl&gt;&lt;w:lvl w:ilvl="1" w:tplc="04190003"&gt;&lt;w:start w:val="1"/&gt;&lt;w:numFmt w:val="bullet"/&gt;&lt;w:lvlText w:val="o"/&gt;&lt;w:lvlJc w:val="left"/&gt;&lt;w:pPr&gt;&lt;w:ind w:left="1440" w:hanging="360"/&gt;&lt;/w:pPr&gt;&lt;w:rPr&gt;&lt;w:rFonts w:ascii="Courier New" w:hAnsi="Courier New" w:cs="Courier New" w:hint="default"/&gt;&lt;/w:rPr&gt;&lt;/w:lvl&gt;&lt;w:lvl w:ilvl="2" w:tplc="04190005" w:tentative="1"&gt;&lt;w:start w:val="1"/&gt;&lt;w:numFmt w:val="bullet"/&gt;&lt;w:lvlText w:val=""/&gt;&lt;w:lvlJc w:val="left"/&gt;&lt;w:pPr&gt;&lt;w:ind w:left="2160" w:hanging="360"/&gt;&lt;/w:pPr&gt;&lt;w:rPr&gt;&lt;w:rFonts w:ascii="Wingdings" w:hAnsi="Wingdings" w:hint="default"/&gt;&lt;/w:rPr&gt;&lt;/w:lvl&gt;&lt;w:lvl w:ilvl="3" w:tplc="04190001" w:tentative="1"&gt;&lt;w:start w:val="1"/&gt;&lt;w:numFmt w:val="bullet"/&gt;&lt;w:lvlText w:val=""/&gt;&lt;w:lvlJc w:val="left"/&gt;&lt;w:pPr&gt;&lt;w:ind w:left="2880" w:hanging="360"/&gt;&lt;/w:pPr&gt;&lt;w:rPr&gt;&lt;w:rFonts w:ascii="Symbol" w:hAnsi="Symbol" w:hint="default"/&gt;&lt;/w:rPr&gt;&lt;/w:lvl&gt;&lt;w:lvl w:ilvl="4" w:tplc="04190003" w:tentative="1"&gt;&lt;w:start w:val="1"/&gt;&lt;w:numFmt w:val="bullet"/&gt;&lt;w:lvlText w:val="o"/&gt;&lt;w:lvlJc w:val="left"/&gt;&lt;w:pPr&gt;&lt;w:ind w:left="3600" w:hanging="360"/&gt;&lt;/w:pPr&gt;&lt;w:rPr&gt;&lt;w:rFonts w:ascii="Courier New" w:hAnsi="Courier New" w:cs="Courier New" w:hint="default"/&gt;&lt;/w:rPr&gt;&lt;/w:lvl&gt;&lt;w:lvl w:ilvl="5" w:tplc="04190005" w:tentative="1"&gt;&lt;w:start w:val="1"/&gt;&lt;w:numFmt w:val="bullet"/&gt;&lt;w:lvlText w:val=""/&gt;&lt;w:lvlJc w:val="left"/&gt;&lt;w:pPr&gt;&lt;w:ind w:left="4320" w:hanging="360"/&gt;&lt;/w:pPr&gt;&lt;w:rPr&gt;&lt;w:rFonts w:ascii="Wingdings" w:hAnsi="Wingdings" w:hint="default"/&gt;&lt;/w:rPr&gt;&lt;/w:lvl&gt;&lt;w:lvl w:ilvl="6" w:tplc="04190001" w:tentative="1"&gt;&lt;w:start w:val="1"/&gt;&lt;w:numFmt w:val="bullet"/&gt;&lt;w:lvlText w:val=""/&gt;&lt;w:lvlJc w:val="left"/&gt;&lt;w:pPr&gt;&lt;w:ind w:left="5040" w:hanging="360"/&gt;&lt;/w:pPr&gt;&lt;w:rPr&gt;&lt;w:rFonts w:ascii="Symbol" w:hAnsi="Symbol" w:hint="default"/&gt;&lt;/w:rPr&gt;&lt;/w:lvl&gt;&lt;w:lvl w:ilvl="7" w:tplc="04190003" w:tentative="1"&gt;&lt;w:start w:val="1"/&gt;&lt;w:numFmt w:val="bullet"/&gt;&lt;w:lvlText w:val="o"/&gt;&lt;w:lvlJc w:val="left"/&gt;&lt;w:pPr&gt;&lt;w:ind w:left="5760" w:hanging="360"/&gt;&lt;/w:pPr&gt;&lt;w:rPr&gt;&lt;w:rFonts w:ascii="Courier New" w:hAnsi="Courier New" w:cs="Courier New" w:hint="default"/&gt;&lt;/w:rPr&gt;&lt;/w:lvl&gt;&lt;w:lvl w:ilvl="8" w:tplc="04190005"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w:val="7A793FC7"/&gt;&lt;w:multiLevelType w:val="hybridMultilevel"/&gt;&lt;w:tmpl w:val="10F4BFDE"/&gt;&lt;w:lvl w:ilvl="0" w:tplc="0419000F"&gt;&lt;w:start w:val="1"/&gt;&lt;w:numFmt w:val="decimal"/&gt;&lt;w:lvlText w:val="%1."/&gt;&lt;w:lvlJc w:val="left"/&gt;&lt;w:pPr&gt;&lt;w:ind w:left="720" w:hanging="360"/&gt;&lt;/w:pPr&gt;&lt;/w:lvl&gt;&lt;w:lvl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w:hanging="180"/&gt;&lt;/w:pPr&gt;&lt;/w:lvl&gt;&lt;/w:abstractNum&gt;&lt;w:num w:numId="1"&gt;&lt;w:abstractNumId w:val="32"/&gt;&lt;/w:num&gt;&lt;w:num w:numId="2"&gt;&lt;w:abstractNumId w:val="31"/&gt;&lt;/w:num&gt;&lt;w:num w:numId="3"&gt;&lt;w:abstractNumId w:val="11"/&gt;&lt;/w:num&gt;&lt;w:num w:numId="4"&gt;&lt;w:abstractNumId w:val="20"/&gt;&lt;/w:num&gt;&lt;w:num w:numId="5"&gt;&lt;w:abstractNumId w:val="4"/&gt;&lt;/w:num&gt;&lt;w:num w:numId="6"&gt;&lt;w:abstractNumId w:val="59"/&gt;&lt;/w:num&gt;&lt;w:num w:numId="7"&gt;&lt;w:abstractNumId w:val="3"/&gt;&lt;/w:num&gt;&lt;w:num w:numId="8"&gt;&lt;w:abstractNumId w:val="12"/&gt;&lt;/w:num&gt;&lt;w:num w:numId="9"&gt;&lt;w:abstractNumId w:val="0"/&gt;&lt;/w:num&gt;&lt;w:num w:numId="10"&gt;&lt;w:abstractNumId w:val="18"/&gt;&lt;/w:num&gt;&lt;w:num w:numId="11"&gt;&lt;w:abstractNumId w:val="37"/&gt;&lt;/w:num&gt;&lt;w:num w:numId="12"&gt;&lt;w:abstractNumId w:val="1"/&gt;&lt;/w:num&gt;&lt;w:num w:numId="13"&gt;&lt;w:abstractNumId w:val="25"/&gt;&lt;/w:num&gt;&lt;w:num w:numId="14"&gt;&lt;w:abstractNumId w:val="50"/&gt;&lt;/w:num&gt;&lt;w:num w:numId="15"&gt;&lt;w:abstractNumId w:val="6"/&gt;&lt;/w:num&gt;&lt;w:num w:numId="16"&gt;&lt;w:abstractNumId w:val="48"/&gt;&lt;/w:num&gt;&lt;w:num w:numId="17"&gt;&lt;w:abstractNumId w:val="19"/&gt;&lt;/w:num&gt;&lt;w:num w:numId="18"&gt;&lt;w:abstractNumId w:val="41"/&gt;&lt;/w:num&gt;&lt;w:num w:numId="19"&gt;&lt;w:abstractNumId w:val="49"/&gt;&lt;/w:num&gt;&lt;w:num w:numId="20"&gt;&lt;w:abstractNumId w:val="34"/&gt;&lt;/w:num&gt;&lt;w:num w:numId="21"&gt;&lt;w:abstractNumId w:val="29"/&gt;&lt;/w:num&gt;&lt;w:num w:numId="22"&gt;&lt;w:abstractNumId w:val="60"/&gt;&lt;/w:num&gt;&lt;w:num w:numId="23"&gt;&lt;w:abstractNumId w:val="45"/&gt;&lt;/w:num&gt;&lt;w:num w:numId="24"&gt;&lt;w:abstractNumId w:val="2"/&gt;&lt;/w:num&gt;&lt;w:num w:numId="25"&gt;&lt;w:abstractNumId w:val="57"/&gt;&lt;/w:num&gt;&lt;w:num w:numId="26"&gt;&lt;w:abstractNumId w:val="54"/&gt;&lt;/w:num&gt;&lt;w:num w:numId="27"&gt;&lt;w:abstractNumId w:val="28"/&gt;&lt;/w:num&gt;&lt;w:num w:numId="28"&gt;&lt;w:abstractNumId w:val="38"/&gt;&lt;/w:num&gt;&lt;w:num w:numId="29"&gt;&lt;w:abstractNumId w:val="42"/&gt;&lt;/w:num&gt;&lt;w:num w:numId="30"&gt;&lt;w:abstractNumId w:val="47"/&gt;&lt;/w:num&gt;&lt;w:num w:numId="31"&gt;&lt;w:abstractNumId w:val="7"/&gt;&lt;/w:num&gt;&lt;w:num w:numId="32"&gt;&lt;w:abstractNumId w:val="56"/&gt;&lt;/w:num&gt;&lt;w:num w:numId="33"&gt;&lt;w:abstractNumId w:val="55"/&gt;&lt;/w:num&gt;&lt;w:num w:numId="34"&gt;&lt;w:abstractNumId w:val="13"/&gt;&lt;/w:num&gt;&lt;w:num w:numId="35"&gt;&lt;w:abstractNumId w:val="51"/&gt;&lt;/w:num&gt;&lt;w:num w:numId="36"&gt;&lt;w:abstractNumId w:val="15"/&gt;&lt;/w:num&gt;&lt;w:num w:numId="37"&gt;&lt;w:abstractNumId w:val="53"/&gt;&lt;/w:num&gt;&lt;w:num w:numId="38"&gt;&lt;w:abstractNumId w:val="32"/&gt;&lt;w:lvlOverride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w:numId="39"&gt;&lt;w:abstractNumId w:val="27"/&gt;&lt;/w:num&gt;&lt;w:num w:numId="40"&gt;&lt;w:abstractNumId w:val="36"/&gt;&lt;/w:num&gt;&lt;w:num w:numId="41"&gt;&lt;w:abstractNumId w:val="46"/&gt;&lt;/w:num&gt;&lt;w:num w:numId="42"&gt;&lt;w:abstractNumId w:val="26"/&gt;&lt;/w:num&gt;&lt;w:num w:numId="43"&gt;&lt;w:abstractNumId w:val="21"/&gt;&lt;/w:num&gt;&lt;w:num w:numId="44"&gt;&lt;w:abstractNumId w:val="9"/&gt;&lt;/w:num&gt;&lt;w:num w:numId="45"&gt;&lt;w:abstractNumId w:val="43"/&gt;&lt;/w:num&gt;&lt;w:num w:numId="46"&gt;&lt;w:abstractNumId w:val="22"/&gt;&lt;/w:num&gt;&lt;w:num w:numId="47"&gt;&lt;w:abstractNumId w:val="5"/&gt;&lt;/w:num&gt;&lt;w:num w:numId="48"&gt;&lt;w:abstractNumId w:val="23"/&gt;&lt;/w:num&gt;&lt;w:num w:numId="49"&gt;&lt;w:abstractNumId w:val="44"/&gt;&lt;/w:num&gt;&lt;w:num w:numId="50"&gt;&lt;w:abstractNumId w:val="39"/&gt;&lt;/w:num&gt;&lt;w:num w:numId="51"&gt;&lt;w:abstractNumId w:val="58"/&gt;&lt;/w:num&gt;&lt;w:num w:numId="52"&gt;&lt;w:abstractNumId w:val="35"/&gt;&lt;/w:num&gt;&lt;w:num w:numId="53"&gt;&lt;w:abstractNumId w:val="52"/&gt;&lt;/w:num&gt;&lt;w:num w:numId="54"&gt;&lt;w:abstractNumId w:val="40"/&gt;&lt;/w:num&gt;&lt;w:num w:numId="55"&gt;&lt;w:abstractNumId w:val="16"/&gt;&lt;/w:num&gt;&lt;w:num w:numId="56"&gt;&lt;w:abstractNumId w:val="24"/&gt;&lt;/w:num&gt;&lt;w:num w:numId="57"&gt;&lt;w:abstractNumId w:val="14"/&gt;&lt;/w:num&gt;&lt;w:num w:numId="58"&gt;&lt;w:abstractNumId w:val="10"/&gt;&lt;/w:num&gt;&lt;w:num w:numId="59"&gt;&lt;w:abstractNumId w:val="17"/&gt;&lt;/w:num&gt;&lt;w:num w:numId="60"&gt;&lt;w:abstractNumId w:val="30"/&gt;&lt;/w:num&gt;&lt;w:num w:numId="61"&gt;&lt;w:abstractNumId w:val="8"/&gt;&lt;/w:num&gt;&lt;w:num w:numId="62"&gt;&lt;w:abstractNumId w:val="33"/&gt;&lt;/w:num&gt;&lt;w:numIdMacAtCleanup w:val="52"/&gt;&lt;/w:numbering&gt;&lt;/pkg:xmlData&gt;&lt;/pkg:part&gt;&lt;pkg:part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w:styleId="a0"&gt;&lt;w:name w:val="Normal"/&gt;&lt;w:qFormat/&gt;&lt;w:rsid w:val="00C354ED"/&gt;&lt;w:pPr&gt;&lt;w:spacing w:line="276" w:lineRule="auto"/&gt;&lt;w:jc w:val="both"/&gt;&lt;/w:pPr&gt;&lt;w:rPr&gt;&lt;w:rFonts w:ascii="Times New Roman" w:hAnsi="Times New Roman"/&gt;&lt;w:sz w:val="24"/&gt;&lt;/w:rPr&gt;&lt;/w:style&gt;&lt;w:style w:type="paragraph" w:styleId="1"&gt;&lt;w:name w:val="heading 1"/&gt;&lt;w:basedOn w:val="SDText"/&gt;&lt;w:next w:val="2"/&gt;&lt;w:link w:val="10"/&gt;&lt;w:uiPriority w:val="9"/&gt;&lt;w:qFormat/&gt;&lt;w:rsid w:val="00E642D7"/&gt;&lt;w:pPr&gt;&lt;w:keepNext/&gt;&lt;w:keepLines/&gt;&lt;w:numPr&gt;&lt;w:numId w:val="1"/&gt;&lt;/w:numPr&gt;&lt;w:spacing w:before="120" w:after="240" w:line="360" w:lineRule="auto"/&gt;&lt;w:ind w:left="431" w:hanging="431"/&gt;&lt;w:outlineLvl w:val="0"/&gt;&lt;/w:pPr&gt;&lt;w:rPr&gt;&lt;w:rFonts w:eastAsiaTheme="majorEastAsia" w:cstheme="majorBidi"/&gt;&lt;w:b/&gt;&lt;w:color w:val="000000" w:themeColor="text1"/&gt;&lt;w:sz w:val="32"/&gt;&lt;w:szCs w:val="32"/&gt;&lt;/w:rPr&gt;&lt;/w:style&gt;&lt;w:style w:type="paragraph" w:styleId="2"&gt;&lt;w:name w:val="heading 2"/&gt;&lt;w:aliases w:val="Heading 2 Char1,Heading 2 Char Char,Heading 2 Char1 Char,Heading 2 Char Char Char,Heading 2 Char Char1,Heading 2 Char1 Char1 Char,Heading 2 Char Char Char1 Char,Heading 2 Char1 Char1 Char Char Char,Heading 2 Char Char Char1 Char Char Char"/&gt;&lt;w:basedOn w:val="SDText"/&gt;&lt;w:next w:val="SDText"/&gt;&lt;w:link w:val="20"/&gt;&lt;w:autoRedefine/&gt;&lt;w:uiPriority w:val="9"/&gt;&lt;w:unhideWhenUsed/&gt;&lt;w:qFormat/&gt;&lt;w:rsid w:val="00E642D7"/&gt;&lt;w:pPr&gt;&lt;w:keepNext/&gt;&lt;w:keepLines/&gt;&lt;w:numPr&gt;&lt;w:ilvl w:val="1"/&gt;&lt;w:numId w:val="1"/&gt;&lt;/w:numPr&gt;&lt;w:spacing w:before="80" w:after="120"/&gt;&lt;w:ind w:left="578" w:hanging="578"/&gt;&lt;w:outlineLvl w:val="1"/&gt;&lt;/w:pPr&gt;&lt;w:rPr&gt;&lt;w:rFonts w:eastAsiaTheme="majorEastAsia" w:cstheme="majorBidi"/&gt;&lt;w:b/&gt;&lt;w:color w:val="000000" w:themeColor="text1"/&gt;&lt;w:sz w:val="32"/&gt;&lt;w:szCs w:val="26"/&gt;&lt;/w:rPr&gt;&lt;/w:style&gt;&lt;w:style w:type="paragraph" w:styleId="3"&gt;&lt;w:name w:val="heading 3"/&gt;&lt;w:aliases w:val="Heading 3 Char1,Heading 3 Char Char,Heading 3 Char1 Char Char,Heading 3 Char Char Char Char,Heading 3 Char1 Char Char Char Char,Heading 3 Char Char Char Char Char Char,Heading 3 Char1 Char1 Char,Heading 3 Char Char Char1 Char"/&gt;&lt;w:basedOn w:val="SDText"/&gt;&lt;w:next w:val="SDText"/&gt;&lt;w:link w:val="30"/&gt;&lt;w:uiPriority w:val="9"/&gt;&lt;w:unhideWhenUsed/&gt;&lt;w:qFormat/&gt;&lt;w:rsid w:val="00E642D7"/&gt;&lt;w:pPr&gt;&lt;w:keepNext/&gt;&lt;w:keepLines/&gt;&lt;w:numPr&gt;&lt;w:ilvl w:val="2"/&gt;&lt;w:numId w:val="1"/&gt;&lt;/w:numPr&gt;&lt;w:spacing w:before="80" w:after="120" w:line="360" w:lineRule="auto"/&gt;&lt;w:outlineLvl w:val="2"/&gt;&lt;/w:pPr&gt;&lt;w:rPr&gt;&lt;w:rFonts w:eastAsiaTheme="majorEastAsia" w:cstheme="majorBidi"/&gt;&lt;w:b/&gt;&lt;w:color w:val="000000" w:themeColor="text1"/&gt;&lt;w:sz w:val="28"/&gt;&lt;w:szCs w:val="24"/&gt;&lt;w:lang w:eastAsia="ru-RU"/&gt;&lt;/w:rPr&gt;&lt;/w:style&gt;&lt;w:style w:type="paragraph" w:styleId="4"&gt;&lt;w:name w:val="heading 4"/&gt;&lt;w:basedOn w:val="a0"/&gt;&lt;w:next w:val="a0"/&gt;&lt;w:link w:val="40"/&gt;&lt;w:uiPriority w:val="9"/&gt;&lt;w:unhideWhenUsed/&gt;&lt;w:qFormat/&gt;&lt;w:rsid w:val="00E642D7"/&gt;&lt;w:pPr&gt;&lt;w:keepNext/&gt;&lt;w:keepLines/&gt;&lt;w:numPr&gt;&lt;w:ilvl w:val="3"/&gt;&lt;w:numId w:val="1"/&gt;&lt;/w:numPr&gt;&lt;w:spacing w:before="80" w:after="120" w:line="240" w:lineRule="auto"/&gt;&lt;w:ind w:left="862" w:hanging="862"/&gt;&lt;w:jc w:val="left"/&gt;&lt;w:outlineLvl w:val="3"/&gt;&lt;/w:pPr&gt;&lt;w:rPr&gt;&lt;w:rFonts w:eastAsiaTheme="majorEastAsia" w:cstheme="majorBidi"/&gt;&lt;w:b/&gt;&lt;w:i/&gt;&lt;w:iCs/&gt;&lt;w:color w:val="000000" w:themeColor="text1"/&gt;&lt;w:szCs w:val="24"/&gt;&lt;w:lang w:eastAsia="ru-RU"/&gt;&lt;/w:rPr&gt;&lt;/w:style&gt;&lt;w:style w:type="paragraph" w:styleId="5"&gt;&lt;w:name w:val="heading 5"/&gt;&lt;w:basedOn w:val="SDText"/&gt;&lt;w:next w:val="SDText"/&gt;&lt;w:link w:val="50"/&gt;&lt;w:uiPriority w:val="9"/&gt;&lt;w:unhideWhenUsed/&gt;&lt;w:qFormat/&gt;&lt;w:rsid w:val="008D7311"/&gt;&lt;w:pPr&gt;&lt;w:keepNext/&gt;&lt;w:keepLines/&gt;&lt;w:numPr&gt;&lt;w:ilvl w:val="4"/&gt;&lt;w:numId w:val="1"/&gt;&lt;/w:numPr&gt;&lt;w:spacing w:before="60" w:after="60"/&gt;&lt;w:ind w:left="1009" w:hanging="1009"/&gt;&lt;w:outlineLvl w:val="4"/&gt;&lt;/w:pPr&gt;&lt;w:rPr&gt;&lt;w:rFonts w:eastAsiaTheme="majorEastAsia" w:cstheme="majorBidi"/&gt;&lt;w:i/&gt;&lt;w:color w:val="000000" w:themeColor="text1"/&gt;&lt;/w:rPr&gt;&lt;/w:style&gt;&lt;w:style w:type="paragraph" w:styleId="6"&gt;&lt;w:name w:val="heading 6"/&gt;&lt;w:basedOn w:val="a0"/&gt;&lt;w:next w:val="a0"/&gt;&lt;w:link w:val="60"/&gt;&lt;w:uiPriority w:val="9"/&gt;&lt;w:unhideWhenUsed/&gt;&lt;w:qFormat/&gt;&lt;w:rsid w:val="008D7311"/&gt;&lt;w:pPr&gt;&lt;w:keepNext/&gt;&lt;w:keepLines/&gt;&lt;w:numPr&gt;&lt;w:ilvl w:val="5"/&gt;&lt;w:numId w:val="1"/&gt;&lt;/w:numPr&gt;&lt;w:spacing w:before="60" w:after="60"/&gt;&lt;w:ind w:left="1151" w:hanging="1151"/&gt;&lt;w:outlineLvl w:val="5"/&gt;&lt;/w:pPr&gt;&lt;w:rPr&gt;&lt;w:rFonts w:eastAsiaTheme="majorEastAsia" w:cstheme="majorBidi"/&gt;&lt;w:i/&gt;&lt;w:color w:val="000000" w:themeColor="text1"/&gt;&lt;w:u w:val="single"/&gt;&lt;/w:rPr&gt;&lt;/w:style&gt;&lt;w:style w:type="paragraph" w:styleId="7"&gt;&lt;w:name w:val="heading 7"/&gt;&lt;w:basedOn w:val="a0"/&gt;&lt;w:next w:val="a0"/&gt;&lt;w:link w:val="70"/&gt;&lt;w:uiPriority w:val="9"/&gt;&lt;w:unhideWhenUsed/&gt;&lt;w:qFormat/&gt;&lt;w:rsid w:val="008647BF"/&gt;&lt;w:pPr&gt;&lt;w:keepNext/&gt;&lt;w:keepLines/&gt;&lt;w:numPr&gt;&lt;w:ilvl w:val="6"/&gt;&lt;w:numId w:val="1"/&gt;&lt;/w:numPr&gt;&lt;w:spacing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w:styleId="8"&gt;&lt;w:name w:val="heading 8"/&gt;&lt;w:basedOn w:val="a0"/&gt;&lt;w:next w:val="a0"/&gt;&lt;w:link w:val="80"/&gt;&lt;w:uiPriority w:val="9"/&gt;&lt;w:unhideWhenUsed/&gt;&lt;w:qFormat/&gt;&lt;w:rsid w:val="008647BF"/&gt;&lt;w:pPr&gt;&lt;w:keepNext/&gt;&lt;w:keepLines/&gt;&lt;w:numPr&gt;&lt;w:ilvl w:val="7"/&gt;&lt;w:numId w:val="1"/&gt;&lt;/w:numPr&gt;&lt;w:spacing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w:styleId="9"&gt;&lt;w:name w:val="heading 9"/&gt;&lt;w:basedOn w:val="a0"/&gt;&lt;w:next w:val="a0"/&gt;&lt;w:link w:val="90"/&gt;&lt;w:uiPriority w:val="9"/&gt;&lt;w:unhideWhenUsed/&gt;&lt;w:qFormat/&gt;&lt;w:rsid w:val="008647BF"/&gt;&lt;w:pPr&gt;&lt;w:keepNext/&gt;&lt;w:keepLines/&gt;&lt;w:numPr&gt;&lt;w:ilvl w:val="8"/&gt;&lt;w:numId w:val="1"/&gt;&lt;/w:numPr&gt;&lt;w:spacing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w:styleId="a1"&gt;&lt;w:name w:val="Default Paragraph Font"/&gt;&lt;w:uiPriority w:val="1"/&gt;&lt;w:semiHidden/&gt;&lt;w:unhideWhenUsed/&gt;&lt;/w:style&gt;&lt;w:style w:type="table" w:default="1" w:styleId="a2"&gt;&lt;w:name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w:styleId="a3"&gt;&lt;w:name w:val="No List"/&gt;&lt;w:uiPriority w:val="99"/&gt;&lt;w:semiHidden/&gt;&lt;w:unhideWhenUsed/&gt;&lt;/w:style&gt;&lt;w:style w:type="character" w:customStyle="1" w:styleId="10"&gt;&lt;w:name w:val="Заголовок 1 Знак"/&gt;&lt;w:basedOn w:val="a1"/&gt;&lt;w:link w:val="1"/&gt;&lt;w:uiPriority w:val="9"/&gt;&lt;w:rsid w:val="00E642D7"/&gt;&lt;w:rPr&gt;&lt;w:rFonts w:ascii="Times New Roman" w:eastAsiaTheme="majorEastAsia" w:hAnsi="Times New Roman" w:cstheme="majorBidi"/&gt;&lt;w:b/&gt;&lt;w:color w:val="000000" w:themeColor="text1"/&gt;&lt;w:sz w:val="32"/&gt;&lt;w:szCs w:val="32"/&gt;&lt;/w:rPr&gt;&lt;/w:style&gt;&lt;w:style w:type="character" w:customStyle="1" w:styleId="20"&gt;&lt;w:name w:val="Заголовок 2 Знак"/&gt;&lt;w:aliases w:val="Heading 2 Char1 Знак,Heading 2 Char Char Знак,Heading 2 Char1 Char Знак,Heading 2 Char Char Char Знак,Heading 2 Char Char1 Знак,Heading 2 Char1 Char1 Char Знак,Heading 2 Char Char Char1 Char Знак"/&gt;&lt;w:basedOn w:val="a1"/&gt;&lt;w:link w:val="2"/&gt;&lt;w:uiPriority w:val="9"/&gt;&lt;w:rsid w:val="00E642D7"/&gt;&lt;w:rPr&gt;&lt;w:rFonts w:ascii="Times New Roman" w:eastAsiaTheme="majorEastAsia" w:hAnsi="Times New Roman" w:cstheme="majorBidi"/&gt;&lt;w:b/&gt;&lt;w:color w:val="000000" w:themeColor="text1"/&gt;&lt;w:sz w:val="32"/&gt;&lt;w:szCs w:val="26"/&gt;&lt;/w:rPr&gt;&lt;/w:style&gt;&lt;w:style w:type="paragraph" w:customStyle="1" w:styleId="SDText"&gt;&lt;w:name w:val="SD_Text"/&gt;&lt;w:basedOn w:val="a0"/&gt;&lt;w:link w:val="SDText0"/&gt;&lt;w:qFormat/&gt;&lt;w:rsid w:val="00066F7B"/&gt;&lt;/w:style&gt;&lt;w:style w:type="character" w:customStyle="1" w:styleId="30"&gt;&lt;w:name w:val="Заголовок 3 Знак"/&gt;&lt;w:aliases w:val="Heading 3 Char1 Знак,Heading 3 Char Char Знак,Heading 3 Char1 Char Char Знак,Heading 3 Char Char Char Char Знак,Heading 3 Char1 Char Char Char Char Знак,Heading 3 Char Char Char Char Char Char Знак,Heading 3 Char1 Char1 Char Знак"/&gt;&lt;w:basedOn w:val="a1"/&gt;&lt;w:link w:val="3"/&gt;&lt;w:uiPriority w:val="9"/&gt;&lt;w:rsid w:val="00E642D7"/&gt;&lt;w:rPr&gt;&lt;w:rFonts w:ascii="Times New Roman" w:eastAsiaTheme="majorEastAsia" w:hAnsi="Times New Roman" w:cstheme="majorBidi"/&gt;&lt;w:b/&gt;&lt;w:color w:val="000000" w:themeColor="text1"/&gt;&lt;w:sz w:val="28"/&gt;&lt;w:szCs w:val="24"/&gt;&lt;w:lang w:eastAsia="ru-RU"/&gt;&lt;/w:rPr&gt;&lt;/w:style&gt;&lt;w:style w:type="character" w:customStyle="1" w:styleId="SDText0"&gt;&lt;w:name w:val="SD_Text Знак"/&gt;&lt;w:basedOn w:val="10"/&gt;&lt;w:link w:val="SDText"/&gt;&lt;w:rsid w:val="00066F7B"/&gt;&lt;w:rPr&gt;&lt;w:rFonts w:ascii="Times New Roman" w:eastAsiaTheme="majorEastAsia" w:hAnsi="Times New Roman" w:cstheme="majorBidi"/&gt;&lt;w:b w:val="0"/&gt;&lt;w:color w:val="000000" w:themeColor="text1"/&gt;&lt;w:sz w:val="24"/&gt;&lt;w:szCs w:val="32"/&gt;&lt;/w:rPr&gt;&lt;/w:style&gt;&lt;w:style w:type="character" w:customStyle="1" w:styleId="40"&gt;&lt;w:name w:val="Заголовок 4 Знак"/&gt;&lt;w:basedOn w:val="a1"/&gt;&lt;w:link w:val="4"/&gt;&lt;w:uiPriority w:val="9"/&gt;&lt;w:rsid w:val="00E642D7"/&gt;&lt;w:rPr&gt;&lt;w:rFonts w:ascii="Times New Roman" w:eastAsiaTheme="majorEastAsia" w:hAnsi="Times New Roman" w:cstheme="majorBidi"/&gt;&lt;w:b/&gt;&lt;w:i/&gt;&lt;w:iCs/&gt;&lt;w:color w:val="000000" w:themeColor="text1"/&gt;&lt;w:sz w:val="24"/&gt;&lt;w:szCs w:val="24"/&gt;&lt;w:lang w:eastAsia="ru-RU"/&gt;&lt;/w:rPr&gt;&lt;/w:style&gt;&lt;w:style w:type="character" w:customStyle="1" w:styleId="50"&gt;&lt;w:name w:val="Заголовок 5 Знак"/&gt;&lt;w:basedOn w:val="a1"/&gt;&lt;w:link w:val="5"/&gt;&lt;w:uiPriority w:val="9"/&gt;&lt;w:rsid w:val="008D7311"/&gt;&lt;w:rPr&gt;&lt;w:rFonts w:ascii="Times New Roman" w:eastAsiaTheme="majorEastAsia" w:hAnsi="Times New Roman" w:cstheme="majorBidi"/&gt;&lt;w:i/&gt;&lt;w:color w:val="000000" w:themeColor="text1"/&gt;&lt;w:sz w:val="24"/&gt;&lt;/w:rPr&gt;&lt;/w:style&gt;&lt;w:style w:type="character" w:customStyle="1" w:styleId="60"&gt;&lt;w:name w:val="Заголовок 6 Знак"/&gt;&lt;w:basedOn w:val="a1"/&gt;&lt;w:link w:val="6"/&gt;&lt;w:uiPriority w:val="9"/&gt;&lt;w:rsid w:val="008D7311"/&gt;&lt;w:rPr&gt;&lt;w:rFonts w:ascii="Times New Roman" w:eastAsiaTheme="majorEastAsia" w:hAnsi="Times New Roman" w:cstheme="majorBidi"/&gt;&lt;w:i/&gt;&lt;w:color w:val="000000" w:themeColor="text1"/&gt;&lt;w:sz w:val="24"/&gt;&lt;w:u w:val="single"/&gt;&lt;/w:rPr&gt;&lt;/w:style&gt;&lt;w:style w:type="character" w:customStyle="1" w:styleId="70"&gt;&lt;w:name w:val="Заголовок 7 Знак"/&gt;&lt;w:basedOn w:val="a1"/&gt;&lt;w:link w:val="7"/&gt;&lt;w:uiPriority w:val="9"/&gt;&lt;w:semiHidden/&gt;&lt;w:rsid w:val="008647BF"/&gt;&lt;w:rPr&gt;&lt;w:rFonts w:asciiTheme="majorHAnsi" w:eastAsiaTheme="majorEastAsia" w:hAnsiTheme="majorHAnsi" w:cstheme="majorBidi"/&gt;&lt;w:i/&gt;&lt;w:iCs/&gt;&lt;w:color w:val="1F4D78" w:themeColor="accent1" w:themeShade="7F"/&gt;&lt;w:sz w:val="24"/&gt;&lt;/w:rPr&gt;&lt;/w:style&gt;&lt;w:style w:type="character" w:customStyle="1" w:styleId="80"&gt;&lt;w:name w:val="Заголовок 8 Знак"/&gt;&lt;w:basedOn w:val="a1"/&gt;&lt;w:link w:val="8"/&gt;&lt;w:uiPriority w:val="9"/&gt;&lt;w:semiHidden/&gt;&lt;w:rsid w:val="008647BF"/&gt;&lt;w:rPr&gt;&lt;w:rFonts w:asciiTheme="majorHAnsi" w:eastAsiaTheme="majorEastAsia" w:hAnsiTheme="majorHAnsi" w:cstheme="majorBidi"/&gt;&lt;w:color w:val="272727" w:themeColor="text1" w:themeTint="D8"/&gt;&lt;w:sz w:val="21"/&gt;&lt;w:szCs w:val="21"/&gt;&lt;/w:rPr&gt;&lt;/w:style&gt;&lt;w:style w:type="character" w:customStyle="1" w:styleId="90"&gt;&lt;w:name w:val="Заголовок 9 Знак"/&gt;&lt;w:basedOn w:val="a1"/&gt;&lt;w:link w:val="9"/&gt;&lt;w:uiPriority w:val="9"/&gt;&lt;w:semiHidden/&gt;&lt;w:rsid w:val="008647BF"/&gt;&lt;w:rPr&gt;&lt;w:rFonts w:asciiTheme="majorHAnsi" w:eastAsiaTheme="majorEastAsia" w:hAnsiTheme="majorHAnsi" w:cstheme="majorBidi"/&gt;&lt;w:i/&gt;&lt;w:iCs/&gt;&lt;w:color w:val="272727" w:themeColor="text1" w:themeTint="D8"/&gt;&lt;w:sz w:val="21"/&gt;&lt;w:szCs w:val="21"/&gt;&lt;/w:rPr&gt;&lt;/w:style&gt;&lt;w:style w:type="paragraph" w:customStyle="1" w:styleId="SDpicture"&gt;&lt;w:name w:val="SD_picture"/&gt;&lt;w:basedOn w:val="SDText"/&gt;&lt;w:qFormat/&gt;&lt;w:rsid w:val="00FC413F"/&gt;&lt;w:pPr&gt;&lt;w:jc w:val="center"/&gt;&lt;/w:pPr&gt;&lt;w:rPr&gt;&lt;w:i/&gt;&lt;/w:rPr&gt;&lt;/w:style&gt;&lt;w:style w:type="paragraph" w:styleId="a4"&gt;&lt;w:name w:val="caption"/&gt;&lt;w:basedOn w:val="a0"/&gt;&lt;w:next w:val="a0"/&gt;&lt;w:uiPriority w:val="35"/&gt;&lt;w:unhideWhenUsed/&gt;&lt;w:qFormat/&gt;&lt;w:rsid w:val="00066F7B"/&gt;&lt;w:pPr&gt;&lt;w:keepNext/&gt;&lt;w:keepLines/&gt;&lt;w:suppressAutoHyphens/&gt;&lt;w:spacing w:after="200"/&gt;&lt;w:jc w:val="center"/&gt;&lt;/w:pPr&gt;&lt;w:rPr&gt;&lt;w:b/&gt;&lt;w:iCs/&gt;&lt;w:sz w:val="20"/&gt;&lt;w:szCs w:val="18"/&gt;&lt;/w:rPr&gt;&lt;/w:style&gt;&lt;w:style w:type="table" w:styleId="a5"&gt;&lt;w:name w:val="Table Grid"/&gt;&lt;w:basedOn w:val="a2"/&gt;&lt;w:uiPriority w:val="59"/&gt;&lt;w:rsid w:val="007D588F"/&gt;&lt;w:pPr&gt;&lt;w:spacing w:after="0"/&gt;&lt;/w:pPr&gt;&lt;w:tblPr&gt;&lt;w:tblBorders&gt;&lt;w:top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w:styleId="a6"&gt;&lt;w:name w:val="footnote text"/&gt;&lt;w:basedOn w:val="a0"/&gt;&lt;w:link w:val="a7"/&gt;&lt;w:uiPriority w:val="99"/&gt;&lt;w:semiHidden/&gt;&lt;w:unhideWhenUsed/&gt;&lt;w:rsid w:val="00232890"/&gt;&lt;w:pPr&gt;&lt;w:spacing w:after="0"/&gt;&lt;/w:pPr&gt;&lt;w:rPr&gt;&lt;w:sz w:val="20"/&gt;&lt;w:szCs w:val="20"/&gt;&lt;/w:rPr&gt;&lt;/w:style&gt;&lt;w:style w:type="character" w:customStyle="1" w:styleId="a7"&gt;&lt;w:name w:val="Текст сноски Знак"/&gt;&lt;w:basedOn w:val="a1"/&gt;&lt;w:link w:val="a6"/&gt;&lt;w:uiPriority w:val="99"/&gt;&lt;w:semiHidden/&gt;&lt;w:rsid w:val="00232890"/&gt;&lt;w:rPr&gt;&lt;w:rFonts w:ascii="Times New Roman" w:hAnsi="Times New Roman"/&gt;&lt;w:sz w:val="20"/&gt;&lt;w:szCs w:val="20"/&gt;&lt;/w:rPr&gt;&lt;/w:style&gt;&lt;w:style w:type="character" w:styleId="a8"&gt;&lt;w:name w:val="footnote reference"/&gt;&lt;w:basedOn w:val="a1"/&gt;&lt;w:uiPriority w:val="99"/&gt;&lt;w:semiHidden/&gt;&lt;w:unhideWhenUsed/&gt;&lt;w:rsid w:val="00232890"/&gt;&lt;w:rPr&gt;&lt;w:vertAlign w:val="superscript"/&gt;&lt;/w:rPr&gt;&lt;/w:style&gt;&lt;w:style w:type="paragraph" w:styleId="a9"&gt;&lt;w:name w:val="TOC Heading"/&gt;&lt;w:basedOn w:val="1"/&gt;&lt;w:next w:val="a0"/&gt;&lt;w:uiPriority w:val="39"/&gt;&lt;w:unhideWhenUsed/&gt;&lt;w:qFormat/&gt;&lt;w:rsid w:val="00975816"/&gt;&lt;w:pPr&gt;&lt;w:numPr&gt;&lt;w:numId w:val="0"/&gt;&lt;/w:numPr&gt;&lt;w:spacing w:line="259" w:lineRule="auto"/&gt;&lt;w:jc w:val="left"/&gt;&lt;w:outlineLvl w:val="9"/&gt;&lt;/w:pPr&gt;&lt;w:rPr&gt;&lt;w:rFonts w:cs="Times New Roman"/&gt;&lt;w:lang w:eastAsia="ru-RU"/&gt;&lt;/w:rPr&gt;&lt;/w:style&gt;&lt;w:style w:type="paragraph" w:styleId="11"&gt;&lt;w:name w:val="toc 1"/&gt;&lt;w:basedOn w:val="a0"/&gt;&lt;w:next w:val="a0"/&gt;&lt;w:autoRedefine/&gt;&lt;w:uiPriority w:val="39"/&gt;&lt;w:unhideWhenUsed/&gt;&lt;w:rsid w:val="001D1A4D"/&gt;&lt;w:pPr&gt;&lt;w:spacing w:after="0" w:line="240" w:lineRule="auto"/&gt;&lt;w:jc w:val="left"/&gt;&lt;/w:pPr&gt;&lt;w:rPr&gt;&lt;w:b/&gt;&lt;w:bCs/&gt;&lt;w:szCs w:val="24"/&gt;&lt;/w:rPr&gt;&lt;/w:style&gt;&lt;w:style w:type="paragraph" w:styleId="21"&gt;&lt;w:name w:val="toc 2"/&gt;&lt;w:basedOn w:val="a0"/&gt;&lt;w:next w:val="a0"/&gt;&lt;w:autoRedefine/&gt;&lt;w:uiPriority w:val="39"/&gt;&lt;w:unhideWhenUsed/&gt;&lt;w:rsid w:val="001D1A4D"/&gt;&lt;w:pPr&gt;&lt;w:tabs&gt;&lt;w:tab w:val="left" w:pos="960"/&gt;&lt;w:tab w:val="right" w:leader="dot" w:pos="9345"/&gt;&lt;/w:tabs&gt;&lt;w:spacing w:after="0" w:line="240" w:lineRule="auto"/&gt;&lt;w:ind w:left="240"/&gt;&lt;w:jc w:val="left"/&gt;&lt;/w:pPr&gt;&lt;w:rPr&gt;&lt;w:b/&gt;&lt;w:bCs/&gt;&lt;w:sz w:val="22"/&gt;&lt;/w:rPr&gt;&lt;/w:style&gt;&lt;w:style w:type="paragraph" w:styleId="31"&gt;&lt;w:name w:val="toc 3"/&gt;&lt;w:basedOn w:val="a0"/&gt;&lt;w:next w:val="a0"/&gt;&lt;w:autoRedefine/&gt;&lt;w:uiPriority w:val="39"/&gt;&lt;w:unhideWhenUsed/&gt;&lt;w:rsid w:val="001D1A4D"/&gt;&lt;w:pPr&gt;&lt;w:spacing w:after="0" w:line="240" w:lineRule="auto"/&gt;&lt;w:ind w:left="480"/&gt;&lt;w:jc w:val="left"/&gt;&lt;/w:pPr&gt;&lt;w:rPr&gt;&lt;w:sz w:val="22"/&gt;&lt;/w:rPr&gt;&lt;/w:style&gt;&lt;w:style w:type="character" w:styleId="aa"&gt;&lt;w:name w:val="Hyperlink"/&gt;&lt;w:basedOn w:val="a1"/&gt;&lt;w:uiPriority w:val="99"/&gt;&lt;w:unhideWhenUsed/&gt;&lt;w:rsid w:val="009A0B62"/&gt;&lt;w:rPr&gt;&lt;w:color w:val="0563C1" w:themeColor="hyperlink"/&gt;&lt;w:u w:val="single"/&gt;&lt;/w:rPr&gt;&lt;/w:style&gt;&lt;w:style w:type="paragraph" w:styleId="ab"&gt;&lt;w:name w:val="table of figures"/&gt;&lt;w:basedOn w:val="a0"/&gt;&lt;w:next w:val="a0"/&gt;&lt;w:uiPriority w:val="99"/&gt;&lt;w:unhideWhenUsed/&gt;&lt;w:rsid w:val="009B3DC5"/&gt;&lt;w:pPr&gt;&lt;w:spacing w:after="0"/&gt;&lt;/w:pPr&gt;&lt;w:rPr&gt;&lt;w:sz w:val="20"/&gt;&lt;/w:rPr&gt;&lt;/w:style&gt;&lt;w:style w:type="paragraph" w:styleId="ac"&gt;&lt;w:name w:val="Bibliography"/&gt;&lt;w:basedOn w:val="a0"/&gt;&lt;w:next w:val="a0"/&gt;&lt;w:uiPriority w:val="37"/&gt;&lt;w:unhideWhenUsed/&gt;&lt;w:rsid w:val="00F243A9"/&gt;&lt;w:pPr&gt;&lt;w:tabs&gt;&lt;w:tab w:val="left" w:pos="264"/&gt;&lt;/w:tabs&gt;&lt;w:spacing w:after="0" w:line="240" w:lineRule="auto"/&gt;&lt;w:ind w:left="264" w:hanging="264"/&gt;&lt;/w:pPr&gt;&lt;/w:style&gt;&lt;w:style w:type="paragraph" w:styleId="ad"&gt;&lt;w:name w:val="header"/&gt;&lt;w:basedOn w:val="a0"/&gt;&lt;w:link w:val="ae"/&gt;&lt;w:uiPriority w:val="99"/&gt;&lt;w:unhideWhenUsed/&gt;&lt;w:rsid w:val="0050728B"/&gt;&lt;w:pPr&gt;&lt;w:tabs&gt;&lt;w:tab w:val="center" w:pos="4677"/&gt;&lt;w:tab w:val="right" w:pos="9355"/&gt;&lt;/w:tabs&gt;&lt;w:spacing w:after="0"/&gt;&lt;/w:pPr&gt;&lt;/w:style&gt;&lt;w:style w:type="character" w:customStyle="1" w:styleId="ae"&gt;&lt;w:name w:val="Верхний колонтитул Знак"/&gt;&lt;w:basedOn w:val="a1"/&gt;&lt;w:link w:val="ad"/&gt;&lt;w:uiPriority w:val="99"/&gt;&lt;w:rsid w:val="0050728B"/&gt;&lt;w:rPr&gt;&lt;w:rFonts w:ascii="Times New Roman" w:hAnsi="Times New Roman"/&gt;&lt;w:sz w:val="24"/&gt;&lt;/w:rPr&gt;&lt;/w:style&gt;&lt;w:style w:type="paragraph" w:styleId="af"&gt;&lt;w:name w:val="footer"/&gt;&lt;w:basedOn w:val="a0"/&gt;&lt;w:link w:val="af0"/&gt;&lt;w:unhideWhenUsed/&gt;&lt;w:rsid w:val="0050728B"/&gt;&lt;w:pPr&gt;&lt;w:tabs&gt;&lt;w:tab w:val="center" w:pos="4677"/&gt;&lt;w:tab w:val="right" w:pos="9355"/&gt;&lt;/w:tabs&gt;&lt;w:spacing w:after="0"/&gt;&lt;/w:pPr&gt;&lt;/w:style&gt;&lt;w:style w:type="character" w:customStyle="1" w:styleId="af0"&gt;&lt;w:name w:val="Нижний колонтитул Знак"/&gt;&lt;w:basedOn w:val="a1"/&gt;&lt;w:link w:val="af"/&gt;&lt;w:rsid w:val="0050728B"/&gt;&lt;w:rPr&gt;&lt;w:rFonts w:ascii="Times New Roman" w:hAnsi="Times New Roman"/&gt;&lt;w:sz w:val="24"/&gt;&lt;/w:rPr&gt;&lt;/w:style&gt;&lt;w:style w:type="character" w:styleId="af1"&gt;&lt;w:name w:val="annotation reference"/&gt;&lt;w:basedOn w:val="a1"/&gt;&lt;w:uiPriority w:val="99"/&gt;&lt;w:semiHidden/&gt;&lt;w:unhideWhenUsed/&gt;&lt;w:rsid w:val="005B0BF7"/&gt;&lt;w:rPr&gt;&lt;w:sz w:val="16"/&gt;&lt;w:szCs w:val="16"/&gt;&lt;/w:rPr&gt;&lt;/w:style&gt;&lt;w:style w:type="paragraph" w:styleId="af2"&gt;&lt;w:name w:val="annotation text"/&gt;&lt;w:basedOn w:val="a0"/&gt;&lt;w:link w:val="af3"/&gt;&lt;w:uiPriority w:val="99"/&gt;&lt;w:semiHidden/&gt;&lt;w:unhideWhenUsed/&gt;&lt;w:rsid w:val="005B0BF7"/&gt;&lt;w:rPr&gt;&lt;w:sz w:val="20"/&gt;&lt;w:szCs w:val="20"/&gt;&lt;/w:rPr&gt;&lt;/w:style&gt;&lt;w:style w:type="character" w:customStyle="1" w:styleId="af3"&gt;&lt;w:name w:val="Текст примечания Знак"/&gt;&lt;w:basedOn w:val="a1"/&gt;&lt;w:link w:val="af2"/&gt;&lt;w:uiPriority w:val="99"/&gt;&lt;w:semiHidden/&gt;&lt;w:rsid w:val="005B0BF7"/&gt;&lt;w:rPr&gt;&lt;w:rFonts w:ascii="Times New Roman" w:hAnsi="Times New Roman"/&gt;&lt;w:sz w:val="20"/&gt;&lt;w:szCs w:val="20"/&gt;&lt;/w:rPr&gt;&lt;/w:style&gt;&lt;w:style w:type="paragraph" w:styleId="af4"&gt;&lt;w:name w:val="annotation subject"/&gt;&lt;w:basedOn w:val="af2"/&gt;&lt;w:next w:val="af2"/&gt;&lt;w:link w:val="af5"/&gt;&lt;w:uiPriority w:val="99"/&gt;&lt;w:semiHidden/&gt;&lt;w:unhideWhenUsed/&gt;&lt;w:rsid w:val="005B0BF7"/&gt;&lt;w:rPr&gt;&lt;w:b/&gt;&lt;w:bCs/&gt;&lt;/w:rPr&gt;&lt;/w:style&gt;&lt;w:style w:type="character" w:customStyle="1" w:styleId="af5"&gt;&lt;w:name w:val="Тема примечания Знак"/&gt;&lt;w:basedOn w:val="af3"/&gt;&lt;w:link w:val="af4"/&gt;&lt;w:uiPriority w:val="99"/&gt;&lt;w:semiHidden/&gt;&lt;w:rsid w:val="005B0BF7"/&gt;&lt;w:rPr&gt;&lt;w:rFonts w:ascii="Times New Roman" w:hAnsi="Times New Roman"/&gt;&lt;w:b/&gt;&lt;w:bCs/&gt;&lt;w:sz w:val="20"/&gt;&lt;w:szCs w:val="20"/&gt;&lt;/w:rPr&gt;&lt;/w:style&gt;&lt;w:style w:type="paragraph" w:styleId="af6"&gt;&lt;w:name w:val="Balloon Text"/&gt;&lt;w:basedOn w:val="a0"/&gt;&lt;w:link w:val="af7"/&gt;&lt;w:uiPriority w:val="99"/&gt;&lt;w:semiHidden/&gt;&lt;w:unhideWhenUsed/&gt;&lt;w:rsid w:val="005B0BF7"/&gt;&lt;w:pPr&gt;&lt;w:spacing w:after="0"/&gt;&lt;/w:pPr&gt;&lt;w:rPr&gt;&lt;w:rFonts w:ascii="Segoe UI" w:hAnsi="Segoe UI" w:cs="Segoe UI"/&gt;&lt;w:sz w:val="18"/&gt;&lt;w:szCs w:val="18"/&gt;&lt;/w:rPr&gt;&lt;/w:style&gt;&lt;w:style w:type="character" w:customStyle="1" w:styleId="af7"&gt;&lt;w:name w:val="Текст выноски Знак"/&gt;&lt;w:basedOn w:val="a1"/&gt;&lt;w:link w:val="af6"/&gt;&lt;w:uiPriority w:val="99"/&gt;&lt;w:semiHidden/&gt;&lt;w:rsid w:val="005B0BF7"/&gt;&lt;w:rPr&gt;&lt;w:rFonts w:ascii="Segoe UI" w:hAnsi="Segoe UI" w:cs="Segoe UI"/&gt;&lt;w:sz w:val="18"/&gt;&lt;w:szCs w:val="18"/&gt;&lt;/w:rPr&gt;&lt;/w:style&gt;&lt;w:style w:type="character" w:styleId="af8"&gt;&lt;w:name w:val="Subtle Emphasis"/&gt;&lt;w:basedOn w:val="a1"/&gt;&lt;w:uiPriority w:val="19"/&gt;&lt;w:qFormat/&gt;&lt;w:rsid w:val="00066F7B"/&gt;&lt;w:rPr&gt;&lt;w:i/&gt;&lt;w:iCs/&gt;&lt;w:color w:val="404040" w:themeColor="text1" w:themeTint="BF"/&gt;&lt;/w:rPr&gt;&lt;/w:style&gt;&lt;w:style w:type="paragraph" w:customStyle="1" w:styleId="SDcomments"&gt;&lt;w:name w:val="SD_comments"/&gt;&lt;w:basedOn w:val="SDText"/&gt;&lt;w:qFormat/&gt;&lt;w:rsid w:val="00031769"/&gt;&lt;w:pPr&gt;&lt;w:spacing w:after="0" w:line="240" w:lineRule="auto"/&gt;&lt;/w:pPr&gt;&lt;w:rPr&gt;&lt;w:sz w:val="20"/&gt;&lt;w:szCs w:val="20"/&gt;&lt;/w:rPr&gt;&lt;/w:style&gt;&lt;w:style w:type="paragraph" w:styleId="af9"&gt;&lt;w:name w:val="Document Map"/&gt;&lt;w:basedOn w:val="a0"/&gt;&lt;w:link w:val="afa"/&gt;&lt;w:uiPriority w:val="99"/&gt;&lt;w:semiHidden/&gt;&lt;w:unhideWhenUsed/&gt;&lt;w:rsid w:val="0082226D"/&gt;&lt;w:pPr&gt;&lt;w:spacing w:after="0" w:line="240" w:lineRule="auto"/&gt;&lt;/w:pPr&gt;&lt;w:rPr&gt;&lt;w:rFonts w:cs="Times New Roman"/&gt;&lt;w:szCs w:val="24"/&gt;&lt;/w:rPr&gt;&lt;/w:style&gt;&lt;w:style w:type="character" w:customStyle="1" w:styleId="afa"&gt;&lt;w:name w:val="Схема документа Знак"/&gt;&lt;w:basedOn w:val="a1"/&gt;&lt;w:link w:val="af9"/&gt;&lt;w:uiPriority w:val="99"/&gt;&lt;w:semiHidden/&gt;&lt;w:rsid w:val="0082226D"/&gt;&lt;w:rPr&gt;&lt;w:rFonts w:ascii="Times New Roman" w:hAnsi="Times New Roman" w:cs="Times New Roman"/&gt;&lt;w:sz w:val="24"/&gt;&lt;w:szCs w:val="24"/&gt;&lt;/w:rPr&gt;&lt;/w:style&gt;&lt;w:style w:type="paragraph" w:customStyle="1" w:styleId="SDTable"&gt;&lt;w:name w:val="SD_Table"/&gt;&lt;w:basedOn w:val="a4"/&gt;&lt;w:qFormat/&gt;&lt;w:rsid w:val="00975816"/&gt;&lt;w:pPr&gt;&lt;w:jc w:val="right"/&gt;&lt;/w:pPr&gt;&lt;/w:style&gt;&lt;w:style w:type="paragraph" w:styleId="41"&gt;&lt;w:name w:val="toc 4"/&gt;&lt;w:basedOn w:val="a0"/&gt;&lt;w:next w:val="a0"/&gt;&lt;w:autoRedefine/&gt;&lt;w:uiPriority w:val="39"/&gt;&lt;w:unhideWhenUsed/&gt;&lt;w:rsid w:val="001D1A4D"/&gt;&lt;w:pPr&gt;&lt;w:spacing w:after="0" w:line="240" w:lineRule="auto"/&gt;&lt;w:ind w:left="720"/&gt;&lt;w:jc w:val="left"/&gt;&lt;/w:pPr&gt;&lt;w:rPr&gt;&lt;w:sz w:val="20"/&gt;&lt;w:szCs w:val="20"/&gt;&lt;/w:rPr&gt;&lt;/w:style&gt;&lt;w:style w:type="paragraph" w:styleId="51"&gt;&lt;w:name w:val="toc 5"/&gt;&lt;w:basedOn w:val="a0"/&gt;&lt;w:next w:val="a0"/&gt;&lt;w:autoRedefine/&gt;&lt;w:uiPriority w:val="39"/&gt;&lt;w:unhideWhenUsed/&gt;&lt;w:rsid w:val="001D1A4D"/&gt;&lt;w:pPr&gt;&lt;w:spacing w:after="0" w:line="240" w:lineRule="auto"/&gt;&lt;w:ind w:left="960"/&gt;&lt;w:jc w:val="left"/&gt;&lt;/w:pPr&gt;&lt;w:rPr&gt;&lt;w:sz w:val="20"/&gt;&lt;w:szCs w:val="20"/&gt;&lt;/w:rPr&gt;&lt;/w:style&gt;&lt;w:style w:type="paragraph" w:styleId="61"&gt;&lt;w:name w:val="toc 6"/&gt;&lt;w:basedOn w:val="a0"/&gt;&lt;w:next w:val="a0"/&gt;&lt;w:autoRedefine/&gt;&lt;w:uiPriority w:val="39"/&gt;&lt;w:unhideWhenUsed/&gt;&lt;w:rsid w:val="001D1A4D"/&gt;&lt;w:pPr&gt;&lt;w:spacing w:after="0" w:line="240" w:lineRule="auto"/&gt;&lt;w:ind w:left="1200"/&gt;&lt;w:jc w:val="left"/&gt;&lt;/w:pPr&gt;&lt;w:rPr&gt;&lt;w:sz w:val="20"/&gt;&lt;w:szCs w:val="20"/&gt;&lt;/w:rPr&gt;&lt;/w:style&gt;&lt;w:style w:type="paragraph" w:styleId="71"&gt;&lt;w:name w:val="toc 7"/&gt;&lt;w:basedOn w:val="a0"/&gt;&lt;w:next w:val="a0"/&gt;&lt;w:autoRedefine/&gt;&lt;w:uiPriority w:val="39"/&gt;&lt;w:unhideWhenUsed/&gt;&lt;w:rsid w:val="001D1A4D"/&gt;&lt;w:pPr&gt;&lt;w:spacing w:after="0" w:line="240" w:lineRule="auto"/&gt;&lt;w:ind w:left="1440"/&gt;&lt;w:jc w:val="left"/&gt;&lt;/w:pPr&gt;&lt;w:rPr&gt;&lt;w:sz w:val="20"/&gt;&lt;w:szCs w:val="20"/&gt;&lt;/w:rPr&gt;&lt;/w:style&gt;&lt;w:style w:type="paragraph" w:styleId="81"&gt;&lt;w:name w:val="toc 8"/&gt;&lt;w:basedOn w:val="a0"/&gt;&lt;w:next w:val="a0"/&gt;&lt;w:autoRedefine/&gt;&lt;w:uiPriority w:val="39"/&gt;&lt;w:unhideWhenUsed/&gt;&lt;w:rsid w:val="001D1A4D"/&gt;&lt;w:pPr&gt;&lt;w:spacing w:after="0" w:line="240" w:lineRule="auto"/&gt;&lt;w:ind w:left="1680"/&gt;&lt;w:jc w:val="left"/&gt;&lt;/w:pPr&gt;&lt;w:rPr&gt;&lt;w:sz w:val="20"/&gt;&lt;w:szCs w:val="20"/&gt;&lt;/w:rPr&gt;&lt;/w:style&gt;&lt;w:style w:type="paragraph" w:styleId="91"&gt;&lt;w:name w:val="toc 9"/&gt;&lt;w:basedOn w:val="a0"/&gt;&lt;w:next w:val="a0"/&gt;&lt;w:autoRedefine/&gt;&lt;w:uiPriority w:val="39"/&gt;&lt;w:unhideWhenUsed/&gt;&lt;w:rsid w:val="001D1A4D"/&gt;&lt;w:pPr&gt;&lt;w:spacing w:after="0" w:line="240" w:lineRule="auto"/&gt;&lt;w:ind w:left="1920"/&gt;&lt;w:jc w:val="left"/&gt;&lt;/w:pPr&gt;&lt;w:rPr&gt;&lt;w:sz w:val="20"/&gt;&lt;w:szCs w:val="20"/&gt;&lt;/w:rPr&gt;&lt;/w:style&gt;&lt;w:style w:type="paragraph" w:styleId="afb"&gt;&lt;w:name w:val="Revision"/&gt;&lt;w:hidden/&gt;&lt;w:uiPriority w:val="99"/&gt;&lt;w:semiHidden/&gt;&lt;w:rsid w:val="009F69EE"/&gt;&lt;w:pPr&gt;&lt;w:spacing w:after="0"/&gt;&lt;/w:pPr&gt;&lt;w:rPr&gt;&lt;w:rFonts w:ascii="Times New Roman" w:hAnsi="Times New Roman"/&gt;&lt;w:sz w:val="24"/&gt;&lt;/w:rPr&gt;&lt;/w:style&gt;&lt;w:style w:type="table" w:customStyle="1" w:styleId="12"&gt;&lt;w:name w:val="Сетка таблицы1"/&gt;&lt;w:basedOn w:val="a2"/&gt;&lt;w:next w:val="a5"/&gt;&lt;w:uiPriority w:val="39"/&gt;&lt;w:rsid w:val="00DA3654"/&gt;&lt;w:pPr&gt;&lt;w:spacing w:after="0"/&gt;&lt;/w:pPr&gt;&lt;w:tblPr&gt;&lt;w:tblBorders&gt;&lt;w:top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w:type="numbering" w:customStyle="1" w:styleId="13"&gt;&lt;w:name w:val="Нет списка1"/&gt;&lt;w:next w:val="a3"/&gt;&lt;w:uiPriority w:val="99"/&gt;&lt;w:semiHidden/&gt;&lt;w:unhideWhenUsed/&gt;&lt;w:rsid w:val="00EF25E9"/&gt;&lt;/w:style&gt;&lt;w:style w:type="paragraph" w:customStyle="1" w:styleId="Standard"&gt;&lt;w:name w:val="Standard"/&gt;&lt;w:rsid w:val="00EF25E9"/&gt;&lt;w:pPr&gt;&lt;w:suppressAutoHyphens/&gt;&lt;w:autoSpaceDN w:val="0"/&gt;&lt;w:spacing w:after="0"/&gt;&lt;w:jc w:val="both"/&gt;&lt;w:textAlignment w:val="baseline"/&gt;&lt;/w:pPr&gt;&lt;w:rPr&gt;&lt;w:rFonts w:ascii="Arial" w:eastAsia="Calibri" w:hAnsi="Arial" w:cs="Times New Roman"/&gt;&lt;w:kern w:val="3"/&gt;&lt;w:szCs w:val="20"/&gt;&lt;w:lang w:val="en-US"/&gt;&lt;/w:rPr&gt;&lt;/w:style&gt;&lt;w:style w:type="paragraph" w:styleId="afc"&gt;&lt;w:name w:val="List Paragraph"/&gt;&lt;w:basedOn w:val="Standard"/&gt;&lt;w:uiPriority w:val="34"/&gt;&lt;w:qFormat/&gt;&lt;w:rsid w:val="00EF25E9"/&gt;&lt;w:pPr&gt;&lt;w:spacing w:line="276" w:lineRule="auto"/&gt;&lt;/w:pPr&gt;&lt;w:rPr&gt;&lt;w:rFonts w:ascii="Times New Roman" w:hAnsi="Times New Roman"/&gt;&lt;w:sz w:val="24"/&gt;&lt;/w:rPr&gt;&lt;/w:style&gt;&lt;w:style w:type="paragraph" w:customStyle="1" w:styleId="Head"&gt;&lt;w:name w:val="Head"/&gt;&lt;w:basedOn w:val="a0"/&gt;&lt;w:rsid w:val="00EF25E9"/&gt;&lt;w:pPr&gt;&lt;w:autoSpaceDN w:val="0"/&gt;&lt;w:spacing w:before="240" w:after="240" w:line="240" w:lineRule="auto"/&gt;&lt;w:jc w:val="left"/&gt;&lt;w:outlineLvl w:val="3"/&gt;&lt;/w:pPr&gt;&lt;w:rPr&gt;&lt;w:rFonts w:eastAsia="Times New Roman" w:cs="Times New Roman"/&gt;&lt;w:sz w:val="32"/&gt;&lt;w:szCs w:val="20"/&gt;&lt;w:lang w:eastAsia="ru-RU"/&gt;&lt;/w:rPr&gt;&lt;/w:style&gt;&lt;w:style w:type="character" w:styleId="afd"&gt;&lt;w:name w:val="Placeholder Text"/&gt;&lt;w:basedOn w:val="a1"/&gt;&lt;w:uiPriority w:val="99"/&gt;&lt;w:semiHidden/&gt;&lt;w:rsid w:val="00EF25E9"/&gt;&lt;w:rPr&gt;&lt;w:color w:val="808080"/&gt;&lt;/w:rPr&gt;&lt;/w:style&gt;&lt;w:style w:type="character" w:customStyle="1" w:styleId="shorttext"&gt;&lt;w:name w:val="short_text"/&gt;&lt;w:basedOn w:val="a1"/&gt;&lt;w:rsid w:val="00EF25E9"/&gt;&lt;/w:style&gt;&lt;w:style w:type="paragraph" w:styleId="a"&gt;&lt;w:name w:val="List Bullet"/&gt;&lt;w:uiPriority w:val="2"/&gt;&lt;w:rsid w:val="00EF25E9"/&gt;&lt;w:pPr&gt;&lt;w:numPr&gt;&lt;w:numId w:val="2"/&gt;&lt;/w:numPr&gt;&lt;w:spacing w:before="200" w:after="200" w:line="288" w:lineRule="auto"/&gt;&lt;w:contextualSpacing/&gt;&lt;w:jc w:val="both"/&gt;&lt;/w:pPr&gt;&lt;w:rPr&gt;&lt;w:rFonts w:ascii="Times New Roman" w:eastAsiaTheme="minorEastAsia" w:hAnsi="Times New Roman"/&gt;&lt;w:sz w:val="24"/&gt;&lt;w:szCs w:val="24"/&gt;&lt;w:lang w:eastAsia="ru-RU"/&gt;&lt;/w:rPr&gt;&lt;/w:style&gt;&lt;w:style w:type="paragraph" w:customStyle="1" w:styleId="14"&gt;&lt;w:name w:val="Обычный1"/&gt;&lt;w:rsid w:val="00EF25E9"/&gt;&lt;w:pPr&gt;&lt;w:widowControl w:val="0"/&gt;&lt;w:spacing w:after="0"/&gt;&lt;/w:pPr&gt;&lt;w:rPr&gt;&lt;w:rFonts w:ascii="Times New Roman" w:eastAsia="Times New Roman" w:hAnsi="Times New Roman" w:cs="Times New Roman"/&gt;&lt;w:snapToGrid w:val="0"/&gt;&lt;w:sz w:val="20"/&gt;&lt;w:szCs w:val="20"/&gt;&lt;w:lang w:eastAsia="ru-RU"/&gt;&lt;/w:rPr&gt;&lt;/w:style&gt;&lt;w:style w:type="character" w:customStyle="1" w:styleId="afe"&gt;&lt;w:name w:val="Основной текст + Полужирный"/&gt;&lt;w:aliases w:val="Курсив10"/&gt;&lt;w:uiPriority w:val="99"/&gt;&lt;w:rsid w:val="00EF25E9"/&gt;&lt;w:rPr&gt;&lt;w:rFonts w:ascii="Times New Roman" w:hAnsi="Times New Roman" w:cs="Times New Roman"/&gt;&lt;w:b/&gt;&lt;w:bCs/&gt;&lt;w:i/&gt;&lt;w:iCs/&gt;&lt;w:sz w:val="26"/&gt;&lt;w:szCs w:val="26"/&gt;&lt;/w:rPr&gt;&lt;/w:style&gt;&lt;w:style w:type="character" w:customStyle="1" w:styleId="aff"&gt;&lt;w:name w:val="Основной текст + Курсив"/&gt;&lt;w:uiPriority w:val="99"/&gt;&lt;w:rsid w:val="00EF25E9"/&gt;&lt;w:rPr&gt;&lt;w:rFonts w:ascii="Times New Roman" w:hAnsi="Times New Roman" w:cs="Times New Roman"/&gt;&lt;w:i/&gt;&lt;w:iCs/&gt;&lt;w:sz w:val="26"/&gt;&lt;w:szCs w:val="26"/&gt;&lt;/w:rPr&gt;&lt;/w:style&gt;&lt;w:style w:type="paragraph" w:customStyle="1" w:styleId="style13243705380000000560msonormal"&gt;&lt;w:name w:val="style_13243705380000000560msonormal"/&gt;&lt;w:basedOn w:val="a0"/&gt;&lt;w:rsid w:val="00EF25E9"/&gt;&lt;w:pPr&gt;&lt;w:spacing w:before="100" w:beforeAutospacing="1" w:after="100" w:afterAutospacing="1" w:line="240" w:lineRule="auto"/&gt;&lt;w:jc w:val="left"/&gt;&lt;/w:pPr&gt;&lt;w:rPr&gt;&lt;w:rFonts w:eastAsia="Times New Roman" w:cs="Times New Roman"/&gt;&lt;w:szCs w:val="24"/&gt;&lt;w:lang w:eastAsia="ru-RU"/&gt;&lt;/w:rPr&gt;&lt;/w:style&gt;&lt;w:style w:type="paragraph" w:styleId="aff0"&gt;&lt;w:name w:val="Body Text"/&gt;&lt;w:basedOn w:val="a0"/&gt;&lt;w:link w:val="aff1"/&gt;&lt;w:rsid w:val="00EF25E9"/&gt;&lt;w:pPr&gt;&lt;w:spacing w:after="0" w:line="240" w:lineRule="auto"/&gt;&lt;w:jc w:val="left"/&gt;&lt;/w:pPr&gt;&lt;w:rPr&gt;&lt;w:rFonts w:eastAsia="Times New Roman" w:cs="Times New Roman"/&gt;&lt;w:sz w:val="28"/&gt;&lt;w:szCs w:val="20"/&gt;&lt;w:lang w:eastAsia="ru-RU"/&gt;&lt;/w:rPr&gt;&lt;/w:style&gt;&lt;w:style w:type="character" w:customStyle="1" w:styleId="aff1"&gt;&lt;w:name w:val="Основной текст Знак"/&gt;&lt;w:basedOn w:val="a1"/&gt;&lt;w:link w:val="aff0"/&gt;&lt;w:rsid w:val="00EF25E9"/&gt;&lt;w:rPr&gt;&lt;w:rFonts w:ascii="Times New Roman" w:eastAsia="Times New Roman" w:hAnsi="Times New Roman" w:cs="Times New Roman"/&gt;&lt;w:sz w:val="28"/&gt;&lt;w:szCs w:val="20"/&gt;&lt;w:lang w:eastAsia="ru-RU"/&gt;&lt;/w:rPr&gt;&lt;/w:style&gt;&lt;w:style w:type="character" w:customStyle="1" w:styleId="22"&gt;&lt;w:name w:val="Основной текст (2)"/&gt;&lt;w:link w:val="210"/&gt;&lt;w:uiPriority w:val="99"/&gt;&lt;w:locked/&gt;&lt;w:rsid w:val="00EF25E9"/&gt;&lt;w:rPr&gt;&lt;w:rFonts w:ascii="Times New Roman" w:hAnsi="Times New Roman" w:cs="Times New Roman"/&gt;&lt;w:sz w:val="26"/&gt;&lt;w:szCs w:val="26"/&gt;&lt;w:shd w:val="clear" w:color="auto" w:fill="FFFFFF"/&gt;&lt;/w:rPr&gt;&lt;/w:style&gt;&lt;w:style w:type="paragraph" w:customStyle="1" w:styleId="210"&gt;&lt;w:name w:val="Основной текст (2)1"/&gt;&lt;w:basedOn w:val="a0"/&gt;&lt;w:link w:val="22"/&gt;&lt;w:uiPriority w:val="99"/&gt;&lt;w:rsid w:val="00EF25E9"/&gt;&lt;w:pPr&gt;&lt;w:shd w:val="clear" w:color="auto" w:fill="FFFFFF"/&gt;&lt;w:spacing w:after="2460" w:line="240" w:lineRule="atLeast"/&gt;&lt;w:jc w:val="left"/&gt;&lt;/w:pPr&gt;&lt;w:rPr&gt;&lt;w:rFonts w:cs="Times New Roman"/&gt;&lt;w:sz w:val="26"/&gt;&lt;w:szCs w:val="26"/&gt;&lt;/w:rPr&gt;&lt;/w:style&gt;&lt;w:style w:type="character" w:customStyle="1" w:styleId="140"&gt;&lt;w:name w:val="Основной текст (14)"/&gt;&lt;w:link w:val="141"/&gt;&lt;w:uiPriority w:val="99"/&gt;&lt;w:rsid w:val="00EF25E9"/&gt;&lt;w:rPr&gt;&lt;w:rFonts w:ascii="Times New Roman" w:hAnsi="Times New Roman" w:cs="Times New Roman"/&gt;&lt;w:sz w:val="26"/&gt;&lt;w:szCs w:val="26"/&gt;&lt;w:shd w:val="clear" w:color="auto" w:fill="FFFFFF"/&gt;&lt;/w:rPr&gt;&lt;/w:style&gt;&lt;w:style w:type="paragraph" w:customStyle="1" w:styleId="141"&gt;&lt;w:name w:val="Основной текст (14)1"/&gt;&lt;w:basedOn w:val="a0"/&gt;&lt;w:link w:val="140"/&gt;&lt;w:uiPriority w:val="99"/&gt;&lt;w:rsid w:val="00EF25E9"/&gt;&lt;w:pPr&gt;&lt;w:shd w:val="clear" w:color="auto" w:fill="FFFFFF"/&gt;&lt;w:spacing w:after="0" w:line="299" w:lineRule="exact"/&gt;&lt;/w:pPr&gt;&lt;w:rPr&gt;&lt;w:rFonts w:cs="Times New Roman"/&gt;&lt;w:sz w:val="26"/&gt;&lt;w:szCs w:val="26"/&gt;&lt;/w:rPr&gt;&lt;/w:style&gt;&lt;w:style w:type="paragraph" w:styleId="aff2"&gt;&lt;w:name w:val="Body Text Indent"/&gt;&lt;w:basedOn w:val="a0"/&gt;&lt;w:link w:val="aff3"/&gt;&lt;w:uiPriority w:val="99"/&gt;&lt;w:semiHidden/&gt;&lt;w:unhideWhenUsed/&gt;&lt;w:rsid w:val="00EF25E9"/&gt;&lt;w:pPr&gt;&lt;w:spacing w:after="120" w:line="240" w:lineRule="auto"/&gt;&lt;w:ind w:left="283"/&gt;&lt;w:jc w:val="left"/&gt;&lt;/w:pPr&gt;&lt;w:rPr&gt;&lt;w:rFonts w:cs="Times New Roman"/&gt;&lt;w:szCs w:val="24"/&gt;&lt;w:lang w:eastAsia="ru-RU"/&gt;&lt;/w:rPr&gt;&lt;/w:style&gt;&lt;w:style w:type="character" w:customStyle="1" w:styleId="aff3"&gt;&lt;w:name w:val="Основной текст с отступом Знак"/&gt;&lt;w:basedOn w:val="a1"/&gt;&lt;w:link w:val="aff2"/&gt;&lt;w:uiPriority w:val="99"/&gt;&lt;w:semiHidden/&gt;&lt;w:rsid w:val="00EF25E9"/&gt;&lt;w:rPr&gt;&lt;w:rFonts w:ascii="Times New Roman" w:hAnsi="Times New Roman" w:cs="Times New Roman"/&gt;&lt;w:sz w:val="24"/&gt;&lt;w:szCs w:val="24"/&gt;&lt;w:lang w:eastAsia="ru-RU"/&gt;&lt;/w:rPr&gt;&lt;/w:style&gt;&lt;w:style w:type="paragraph" w:customStyle="1" w:styleId="102"&gt;&lt;w:name w:val="Стиль Стиль1 + разреженный на  02 пт"/&gt;&lt;w:basedOn w:val="a0"/&gt;&lt;w:rsid w:val="00EF25E9"/&gt;&lt;w:pPr&gt;&lt;w:suppressAutoHyphens/&gt;&lt;w:spacing w:after="0" w:line="360" w:lineRule="auto"/&gt;&lt;w:ind w:firstLine="709"/&gt;&lt;/w:pPr&gt;&lt;w:rPr&gt;&lt;w:rFonts w:eastAsia="Times New Roman" w:cs="Times New Roman"/&gt;&lt;w:spacing w:val="4"/&gt;&lt;w:sz w:val="28"/&gt;&lt;w:szCs w:val="24"/&gt;&lt;w:lang w:eastAsia="ru-RU"/&gt;&lt;/w:rPr&gt;&lt;/w:style&gt;&lt;w:style w:type="paragraph" w:styleId="aff4"&gt;&lt;w:name w:val="Subtitle"/&gt;&lt;w:basedOn w:val="a0"/&gt;&lt;w:next w:val="a0"/&gt;&lt;w:link w:val="aff5"/&gt;&lt;w:uiPriority w:val="11"/&gt;&lt;w:qFormat/&gt;&lt;w:rsid w:val="00D04395"/&gt;&lt;w:pPr&gt;&lt;w:numPr&gt;&lt;w:ilvl w:val="1"/&gt;&lt;/w:numPr&gt;&lt;/w:pPr&gt;&lt;w:rPr&gt;&lt;w:rFonts w:eastAsiaTheme="minorEastAsia"/&gt;&lt;w:b/&gt;&lt;w:color w:val="000000" w:themeColor="text1"/&gt;&lt;/w:rPr&gt;&lt;/w:style&gt;&lt;w:style w:type="character" w:customStyle="1" w:styleId="aff5"&gt;&lt;w:name w:val="Подзаголовок Знак"/&gt;&lt;w:basedOn w:val="a1"/&gt;&lt;w:link w:val="aff4"/&gt;&lt;w:uiPriority w:val="11"/&gt;&lt;w:rsid w:val="00D04395"/&gt;&lt;w:rPr&gt;&lt;w:rFonts w:ascii="Times New Roman" w:eastAsiaTheme="minorEastAsia" w:hAnsi="Times New Roman"/&gt;&lt;w:b/&gt;&lt;w:color w:val="000000" w:themeColor="text1"/&gt;&lt;w:sz w:val="24"/&gt;&lt;/w:rPr&gt;&lt;/w:style&gt;&lt;w:style w:type="paragraph" w:customStyle="1" w:styleId="15"&gt;&lt;w:name w:val="Список литературы1"/&gt;&lt;w:basedOn w:val="a0"/&gt;&lt;w:rsid w:val="005D6D84"/&gt;&lt;w:pPr&gt;&lt;w:tabs&gt;&lt;w:tab w:val="left" w:pos="260"/&gt;&lt;/w:tabs&gt;&lt;w:spacing w:after="0" w:line="240" w:lineRule="auto"/&gt;&lt;w:ind w:left="264" w:hanging="264"/&gt;&lt;w:jc w:val="left"/&gt;&lt;/w:pPr&gt;&lt;w:rPr&gt;&lt;w:rFonts w:cs="Times New Roman"/&gt;&lt;w:szCs w:val="24"/&gt;&lt;w:lang w:eastAsia="ru-RU"/&gt;&lt;/w:rPr&gt;&lt;/w:style&gt;&lt;w:style w:type="table" w:customStyle="1" w:styleId="23"&gt;&lt;w:name w:val="Сетка таблицы2"/&gt;&lt;w:basedOn w:val="a2"/&gt;&lt;w:next w:val="a5"/&gt;&lt;w:uiPriority w:val="39"/&gt;&lt;w:rsid w:val="00F93CD5"/&gt;&lt;w:pPr&gt;&lt;w:spacing w:after="0"/&gt;&lt;/w:pPr&gt;&lt;w:rPr&gt;&lt;w:sz w:val="24"/&gt;&lt;w:szCs w:val="24"/&gt;&lt;/w:rPr&gt;&lt;w:tblPr&gt;&lt;w:tblBorders&gt;&lt;w:top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w:styleId="-1"&gt;&lt;w:name w:val="Grid Table 1 Light"/&gt;&lt;w:basedOn w:val="a2"/&gt;&lt;w:uiPriority w:val="46"/&gt;&lt;w:rsid w:val="008D7311"/&gt;&lt;w:pPr&gt;&lt;w:spacing w:after="0"/&gt;&lt;/w:pPr&gt;&lt;w:tblPr&gt;&lt;w:tblStyleRowBandSize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w:type="paragraph" w:styleId="aff6"&gt;&lt;w:name w:val="Normal (Web)"/&gt;&lt;w:basedOn w:val="a0"/&gt;&lt;w:uiPriority w:val="99"/&gt;&lt;w:unhideWhenUsed/&gt;&lt;w:rsid w:val="00925C9E"/&gt;&lt;w:pPr&gt;&lt;w:spacing w:before="100" w:beforeAutospacing="1" w:after="100" w:afterAutospacing="1" w:line="240" w:lineRule="auto"/&gt;&lt;w:jc w:val="left"/&gt;&lt;/w:pPr&gt;&lt;w:rPr&gt;&lt;w:rFonts w:eastAsiaTheme="minorEastAsia" w:cs="Times New Roman"/&gt;&lt;w:szCs w:val="24"/&gt;&lt;w:lang w:eastAsia="ru-RU"/&gt;&lt;/w:rPr&gt;&lt;/w:style&gt;&lt;w:style w:type="character" w:styleId="aff7"&gt;&lt;w:name w:val="Book Title"/&gt;&lt;w:basedOn w:val="a1"/&gt;&lt;w:uiPriority w:val="33"/&gt;&lt;w:qFormat/&gt;&lt;w:rsid w:val="00836E81"/&gt;&lt;w:rPr&gt;&lt;w:b/&gt;&lt;w:bCs/&gt;&lt;w:i/&gt;&lt;w:iCs/&gt;&lt;w:spacing w:val="5"/&gt;&lt;/w:rPr&gt;&lt;/w:style&gt;&lt;w:style w:type="paragraph" w:customStyle="1" w:styleId="Style4"&gt;&lt;w:name w:val="Style4"/&gt;&lt;w:basedOn w:val="a0"/&gt;&lt;w:uiPriority w:val="99"/&gt;&lt;w:rsid w:val="00850E32"/&gt;&lt;w:pPr&gt;&lt;w:widowControl w:val="0"/&gt;&lt;w:autoSpaceDE w:val="0"/&gt;&lt;w:autoSpaceDN w:val="0"/&gt;&lt;w:adjustRightInd w:val="0"/&gt;&lt;w:spacing w:after="0" w:line="264" w:lineRule="exact"/&gt;&lt;/w:pPr&gt;&lt;w:rPr&gt;&lt;w:rFonts w:eastAsia="Times New Roman" w:cs="Times New Roman"/&gt;&lt;w:szCs w:val="24"/&gt;&lt;w:lang w:eastAsia="ru-RU"/&gt;&lt;/w:rPr&gt;&lt;/w:style&gt;&lt;w:style w:type="paragraph" w:customStyle="1" w:styleId="Style7"&gt;&lt;w:name w:val="Style7"/&gt;&lt;w:basedOn w:val="a0"/&gt;&lt;w:rsid w:val="00850E32"/&gt;&lt;w:pPr&gt;&lt;w:widowControl w:val="0"/&gt;&lt;w:autoSpaceDE w:val="0"/&gt;&lt;w:autoSpaceDN w:val="0"/&gt;&lt;w:adjustRightInd w:val="0"/&gt;&lt;w:spacing w:after="0" w:line="240" w:lineRule="auto"/&gt;&lt;w:jc w:val="center"/&gt;&lt;/w:pPr&gt;&lt;w:rPr&gt;&lt;w:rFonts w:eastAsia="Times New Roman" w:cs="Times New Roman"/&gt;&lt;w:szCs w:val="24"/&gt;&lt;w:lang w:eastAsia="ru-RU"/&gt;&lt;/w:rPr&gt;&lt;/w:style&gt;&lt;w:style w:type="character" w:customStyle="1" w:styleId="FontStyle74"&gt;&lt;w:name w:val="Font Style74"/&gt;&lt;w:rsid w:val="00850E32"/&gt;&lt;w:rPr&gt;&lt;w:rFonts w:ascii="Times New Roman" w:hAnsi="Times New Roman" w:cs="Times New Roman"/&gt;&lt;w:sz w:val="20"/&gt;&lt;w:szCs w:val="20"/&gt;&lt;/w:rPr&gt;&lt;/w:style&gt;&lt;w:style w:type="paragraph" w:customStyle="1" w:styleId="Style12"&gt;&lt;w:name w:val="Style12"/&gt;&lt;w:basedOn w:val="a0"/&gt;&lt;w:rsid w:val="00850E32"/&gt;&lt;w:pPr&gt;&lt;w:widowControl w:val="0"/&gt;&lt;w:autoSpaceDE w:val="0"/&gt;&lt;w:autoSpaceDN w:val="0"/&gt;&lt;w:adjustRightInd w:val="0"/&gt;&lt;w:spacing w:after="0" w:line="264" w:lineRule="exact"/&gt;&lt;/w:pPr&gt;&lt;w:rPr&gt;&lt;w:rFonts w:eastAsia="Times New Roman" w:cs="Times New Roman"/&gt;&lt;w:szCs w:val="24"/&gt;&lt;w:lang w:eastAsia="ru-RU"/&gt;&lt;/w:rPr&gt;&lt;/w:style&gt;&lt;w:style w:type="character" w:customStyle="1" w:styleId="FontStyle79"&gt;&lt;w:name w:val="Font Style79"/&gt;&lt;w:rsid w:val="00850E32"/&gt;&lt;w:rPr&gt;&lt;w:rFonts w:ascii="Times New Roman" w:hAnsi="Times New Roman" w:cs="Times New Roman"/&gt;&lt;w:sz w:val="18"/&gt;&lt;w:szCs w:val="18"/&gt;&lt;/w:rPr&gt;&lt;/w:style&gt;&lt;w:style w:type="paragraph" w:styleId="aff8"&gt;&lt;w:name w:val="endnote text"/&gt;&lt;w:basedOn w:val="a0"/&gt;&lt;w:link w:val="aff9"/&gt;&lt;w:uiPriority w:val="99"/&gt;&lt;w:semiHidden/&gt;&lt;w:unhideWhenUsed/&gt;&lt;w:rsid w:val="00C85A21"/&gt;&lt;w:pPr&gt;&lt;w:spacing w:after="0" w:line="240" w:lineRule="auto"/&gt;&lt;/w:pPr&gt;&lt;w:rPr&gt;&lt;w:sz w:val="20"/&gt;&lt;w:szCs w:val="20"/&gt;&lt;/w:rPr&gt;&lt;/w:style&gt;&lt;w:style w:type="character" w:customStyle="1" w:styleId="aff9"&gt;&lt;w:name w:val="Текст концевой сноски Знак"/&gt;&lt;w:basedOn w:val="a1"/&gt;&lt;w:link w:val="aff8"/&gt;&lt;w:uiPriority w:val="99"/&gt;&lt;w:semiHidden/&gt;&lt;w:rsid w:val="00C85A21"/&gt;&lt;w:rPr&gt;&lt;w:rFonts w:ascii="Times New Roman" w:hAnsi="Times New Roman"/&gt;&lt;w:sz w:val="20"/&gt;&lt;w:szCs w:val="20"/&gt;&lt;/w:rPr&gt;&lt;/w:style&gt;&lt;w:style w:type="character" w:styleId="affa"&gt;&lt;w:name w:val="endnote reference"/&gt;&lt;w:basedOn w:val="a1"/&gt;&lt;w:uiPriority w:val="99"/&gt;&lt;w:semiHidden/&gt;&lt;w:unhideWhenUsed/&gt;&lt;w:rsid w:val="00C85A21"/&gt;&lt;w:rPr&gt;&lt;w:vertAlign w:val="superscript"/&gt;&lt;/w:rPr&gt;&lt;/w:style&gt;&lt;w:style w:type="table" w:customStyle="1" w:styleId="32"&gt;&lt;w:name w:val="Сетка таблицы3"/&gt;&lt;w:basedOn w:val="a2"/&gt;&lt;w:next w:val="a5"/&gt;&lt;w:uiPriority w:val="59"/&gt;&lt;w:rsid w:val="005F6D7C"/&gt;&lt;w:pPr&gt;&lt;w:spacing w:after="0"/&gt;&lt;/w:pPr&gt;&lt;w:tblPr&gt;&lt;w:tblBorders&gt;&lt;w:top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w:type="character" w:styleId="affb"&gt;&lt;w:name w:val="FollowedHyperlink"/&gt;&lt;w:basedOn w:val="a1"/&gt;&lt;w:uiPriority w:val="99"/&gt;&lt;w:semiHidden/&gt;&lt;w:unhideWhenUsed/&gt;&lt;w:rsid w:val="00FD6D81"/&gt;&lt;w:rPr&gt;&lt;w:color w:val="954F72" w:themeColor="followedHyperlink"/&gt;&lt;w:u w:val="single"/&gt;&lt;/w:rPr&gt;&lt;/w:style&gt;&lt;w:style w:type="character" w:customStyle="1" w:styleId="16"&gt;&lt;w:name w:val="Неразрешенное упоминание1"/&gt;&lt;w:basedOn w:val="a1"/&gt;&lt;w:uiPriority w:val="99"/&gt;&lt;w:semiHidden/&gt;&lt;w:unhideWhenUsed/&gt;&lt;w:rsid w:val="006D3E1A"/&gt;&lt;w:rPr&gt;&lt;w:color w:val="808080"/&gt;&lt;w:shd w:val="clear" w:color="auto" w:fill="E6E6E6"/&gt;&lt;/w:rPr&gt;&lt;/w:style&gt;&lt;w:style w:type="character" w:customStyle="1" w:styleId="st"&gt;&lt;w:name w:val="st"/&gt;&lt;w:basedOn w:val="a1"/&gt;&lt;w:rsid w:val="00791C61"/&gt;&lt;/w:style&gt;&lt;w:style w:type="character" w:customStyle="1" w:styleId="24"&gt;&lt;w:name w:val="Неразрешенное упоминание2"/&gt;&lt;w:basedOn w:val="a1"/&gt;&lt;w:uiPriority w:val="99"/&gt;&lt;w:semiHidden/&gt;&lt;w:unhideWhenUsed/&gt;&lt;w:rsid w:val="00F024B3"/&gt;&lt;w:rPr&gt;&lt;w:color w:val="605E5C"/&gt;&lt;w:shd w:val="clear" w:color="auto" w:fill="E1DFDD"/&gt;&lt;/w:rPr&gt;&lt;/w:style&gt;&lt;w:style w:type="paragraph" w:customStyle="1" w:styleId="ProtID"&gt;&lt;w:name w:val="ProtID"/&gt;&lt;w:basedOn w:val="SDText"/&gt;&lt;w:link w:val="ProtID0"/&gt;&lt;w:qFormat/&gt;&lt;w:rsid w:val="00317FD1"/&gt;&lt;w:rPr&gt;&lt;w:rFonts w:eastAsiaTheme="majorEastAsia" w:cs="Times New Roman"/&gt;&lt;w:color w:val="000000" w:themeColor="text1"/&gt;&lt;w:szCs w:val="32"/&gt;&lt;w:lang w:val="en-US"/&gt;&lt;/w:rPr&gt;&lt;/w:style&gt;&lt;w:style w:type="paragraph" w:customStyle="1" w:styleId="ProtVers"&gt;&lt;w:name w:val="ProtVers"/&gt;&lt;w:basedOn w:val="SDText"/&gt;&lt;w:link w:val="ProtVers0"/&gt;&lt;w:qFormat/&gt;&lt;w:rsid w:val="00317FD1"/&gt;&lt;w:rPr&gt;&lt;w:rFonts w:eastAsiaTheme="majorEastAsia" w:cs="Times New Roman"/&gt;&lt;w:color w:val="000000" w:themeColor="text1"/&gt;&lt;w:szCs w:val="32"/&gt;&lt;w:lang w:val="en-US" w:eastAsia="ru-RU"/&gt;&lt;/w:rPr&gt;&lt;/w:style&gt;&lt;w:style w:type="character" w:customStyle="1" w:styleId="ProtID0"&gt;&lt;w:name w:val="ProtID Знак"/&gt;&lt;w:basedOn w:val="SDText0"/&gt;&lt;w:link w:val="ProtID"/&gt;&lt;w:rsid w:val="00317FD1"/&gt;&lt;w:rPr&gt;&lt;w:rFonts w:ascii="Times New Roman" w:eastAsiaTheme="majorEastAsia" w:hAnsi="Times New Roman" w:cs="Times New Roman"/&gt;&lt;w:b w:val="0"/&gt;&lt;w:color w:val="000000" w:themeColor="text1"/&gt;&lt;w:sz w:val="24"/&gt;&lt;w:szCs w:val="32"/&gt;&lt;w:lang w:val="en-US"/&gt;&lt;/w:rPr&gt;&lt;/w:style&gt;&lt;w:style w:type="paragraph" w:customStyle="1" w:styleId="ProtVersDate"&gt;&lt;w:name w:val="ProtVersDate"/&gt;&lt;w:basedOn w:val="SDText"/&gt;&lt;w:link w:val="ProtVersDate0"/&gt;&lt;w:qFormat/&gt;&lt;w:rsid w:val="00317FD1"/&gt;&lt;w:rPr&gt;&lt;w:rFonts w:eastAsiaTheme="majorEastAsia" w:cs="Times New Roman"/&gt;&lt;w:color w:val="000000" w:themeColor="text1"/&gt;&lt;w:szCs w:val="32"/&gt;&lt;w:lang w:eastAsia="ru-RU"/&gt;&lt;/w:rPr&gt;&lt;/w:style&gt;&lt;w:style w:type="character" w:customStyle="1" w:styleId="ProtVers0"&gt;&lt;w:name w:val="ProtVers Знак"/&gt;&lt;w:basedOn w:val="SDText0"/&gt;&lt;w:link w:val="ProtVers"/&gt;&lt;w:rsid w:val="00317FD1"/&gt;&lt;w:rPr&gt;&lt;w:rFonts w:ascii="Times New Roman" w:eastAsiaTheme="majorEastAsia" w:hAnsi="Times New Roman" w:cs="Times New Roman"/&gt;&lt;w:b w:val="0"/&gt;&lt;w:color w:val="000000" w:themeColor="text1"/&gt;&lt;w:sz w:val="24"/&gt;&lt;w:szCs w:val="32"/&gt;&lt;w:lang w:val="en-US" w:eastAsia="ru-RU"/&gt;&lt;/w:rPr&gt;&lt;/w:style&gt;&lt;w:style w:type="paragraph" w:customStyle="1" w:styleId="IpName"&gt;&lt;w:name w:val="IpName"/&gt;&lt;w:basedOn w:val="SDText"/&gt;&lt;w:link w:val="IpName0"/&gt;&lt;w:qFormat/&gt;&lt;w:rsid w:val="00317FD1"/&gt;&lt;w:rPr&gt;&lt;w:rFonts w:eastAsiaTheme="majorEastAsia" w:cs="Times New Roman"/&gt;&lt;w:color w:val="000000" w:themeColor="text1"/&gt;&lt;w:szCs w:val="32"/&gt;&lt;w:lang w:eastAsia="ru-RU"/&gt;&lt;/w:rPr&gt;&lt;/w:style&gt;&lt;w:style w:type="character" w:customStyle="1" w:styleId="ProtVersDate0"&gt;&lt;w:name w:val="ProtVersDate Знак"/&gt;&lt;w:basedOn w:val="SDText0"/&gt;&lt;w:link w:val="ProtVersDate"/&gt;&lt;w:rsid w:val="00317FD1"/&gt;&lt;w:rPr&gt;&lt;w:rFonts w:ascii="Times New Roman" w:eastAsiaTheme="majorEastAsia" w:hAnsi="Times New Roman" w:cs="Times New Roman"/&gt;&lt;w:b w:val="0"/&gt;&lt;w:color w:val="000000" w:themeColor="text1"/&gt;&lt;w:sz w:val="24"/&gt;&lt;w:szCs w:val="32"/&gt;&lt;w:lang w:eastAsia="ru-RU"/&gt;&lt;/w:rPr&gt;&lt;/w:style&gt;&lt;w:style w:type="paragraph" w:customStyle="1" w:styleId="ProtName"&gt;&lt;w:name w:val="ProtName"/&gt;&lt;w:basedOn w:val="SDText"/&gt;&lt;w:link w:val="ProtName0"/&gt;&lt;w:qFormat/&gt;&lt;w:rsid w:val="00317FD1"/&gt;&lt;w:pPr&gt;&lt;w:spacing w:after="0"/&gt;&lt;/w:pPr&gt;&lt;w:rPr&gt;&lt;w:rFonts w:eastAsiaTheme="majorEastAsia" w:cs="Times New Roman"/&gt;&lt;w:color w:val="000000" w:themeColor="text1"/&gt;&lt;w:szCs w:val="32"/&gt;&lt;w:lang w:eastAsia="ru-RU"/&gt;&lt;/w:rPr&gt;&lt;/w:style&gt;&lt;w:style w:type="character" w:customStyle="1" w:styleId="IpName0"&gt;&lt;w:name w:val="IpName Знак"/&gt;&lt;w:basedOn w:val="SDText0"/&gt;&lt;w:link w:val="IpName"/&gt;&lt;w:rsid w:val="00317FD1"/&gt;&lt;w:rPr&gt;&lt;w:rFonts w:ascii="Times New Roman" w:eastAsiaTheme="majorEastAsia" w:hAnsi="Times New Roman" w:cs="Times New Roman"/&gt;&lt;w:b w:val="0"/&gt;&lt;w:color w:val="000000" w:themeColor="text1"/&gt;&lt;w:sz w:val="24"/&gt;&lt;w:szCs w:val="32"/&gt;&lt;w:lang w:eastAsia="ru-RU"/&gt;&lt;/w:rPr&gt;&lt;/w:style&gt;&lt;w:style w:type="paragraph" w:customStyle="1" w:styleId="Sponsor"&gt;&lt;w:name w:val="Sponsor"/&gt;&lt;w:basedOn w:val="SDText"/&gt;&lt;w:link w:val="Sponsor0"/&gt;&lt;w:qFormat/&gt;&lt;w:rsid w:val="00317FD1"/&gt;&lt;w:pPr&gt;&lt;w:spacing w:after="0"/&gt;&lt;/w:pPr&gt;&lt;w:rPr&gt;&lt;w:rFonts w:eastAsiaTheme="majorEastAsia" w:cs="Times New Roman"/&gt;&lt;w:color w:val="000000" w:themeColor="text1"/&gt;&lt;w:szCs w:val="32"/&gt;&lt;w:lang w:eastAsia="ru-RU"/&gt;&lt;/w:rPr&gt;&lt;/w:style&gt;&lt;w:style w:type="character" w:customStyle="1" w:styleId="ProtName0"&gt;&lt;w:name w:val="ProtName Знак"/&gt;&lt;w:basedOn w:val="SDText0"/&gt;&lt;w:link w:val="ProtName"/&gt;&lt;w:rsid w:val="00317FD1"/&gt;&lt;w:rPr&gt;&lt;w:rFonts w:ascii="Times New Roman" w:eastAsiaTheme="majorEastAsia" w:hAnsi="Times New Roman" w:cs="Times New Roman"/&gt;&lt;w:b w:val="0"/&gt;&lt;w:color w:val="000000" w:themeColor="text1"/&gt;&lt;w:sz w:val="24"/&gt;&lt;w:szCs w:val="32"/&gt;&lt;w:lang w:eastAsia="ru-RU"/&gt;&lt;/w:rPr&gt;&lt;/w:style&gt;&lt;w:style w:type="character" w:customStyle="1" w:styleId="Sponsor0"&gt;&lt;w:name w:val="Sponsor Знак"/&gt;&lt;w:basedOn w:val="SDText0"/&gt;&lt;w:link w:val="Sponsor"/&gt;&lt;w:rsid w:val="00317FD1"/&gt;&lt;w:rPr&gt;&lt;w:rFonts w:ascii="Times New Roman" w:eastAsiaTheme="majorEastAsia" w:hAnsi="Times New Roman" w:cs="Times New Roman"/&gt;&lt;w:b w:val="0"/&gt;&lt;w:color w:val="000000" w:themeColor="text1"/&gt;&lt;w:sz w:val="24"/&gt;&lt;w:szCs w:val="32"/&gt;&lt;w:lang w:eastAsia="ru-RU"/&gt;&lt;/w:rPr&gt;&lt;/w:style&gt;&lt;w:style w:type="character" w:styleId="affc"&gt;&lt;w:name w:val="Unresolved Mention"/&gt;&lt;w:basedOn w:val="a1"/&gt;&lt;w:uiPriority w:val="99"/&gt;&lt;w:semiHidden/&gt;&lt;w:unhideWhenUsed/&gt;&lt;w:rsid w:val="00E642D7"/&gt;&lt;w:rPr&gt;&lt;w:color w:val="605E5C"/&gt;&lt;w:shd w:val="clear" w:color="auto" w:fill="E1DFDD"/&gt;&lt;/w:rPr&gt;&lt;/w:style&gt;&lt;w:style w:type="paragraph" w:customStyle="1" w:styleId="CA5C9C7F2D734728B2941F227657B8DA"&gt;&lt;w:name w:val="CA5C9C7F2D734728B2941F227657B8DA"/&gt;&lt;w:rsid w:val="00283B11"/&gt;&lt;w:pPr&gt;&lt;w:spacing w:line="259" w:lineRule="auto"/&gt;&lt;/w:pPr&gt;&lt;w:rPr&gt;&lt;w:rFonts w:eastAsiaTheme="minorEastAsia"/&gt;&lt;w:lang w:eastAsia="ru-RU"/&gt;&lt;/w:rPr&gt;&lt;/w:style&gt;&lt;/w:styles&gt;&lt;/pkg:xmlData&gt;&lt;/pkg:part&gt;&lt;/pkg:package&gt;
</EfficaciesSuffix>
    <EfficaciesPrimPrefix>Основные параметры эффективности:</EfficaciesPrimPrefix>
    <EfficaciesPrim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w14:paraId="6F291FFD" w14:textId="314E4AC5" w:rsidR="00BC777D" w:rsidRPr="009477D6" w:rsidRDefault="00BC777D" w:rsidP="008A23C7"&gt;&lt;w:pPr&gt;&lt;w:pStyle w:val="SDText"/&gt;&lt;w:spacing w:after="0" w:line="360" w:lineRule="auto"/&gt;&lt;w:rPr&gt;&lt;w:highlight w:val="cyan"/&gt;&lt;w:lang w:eastAsia="ru-RU"/&gt;&lt;/w:rPr&gt;&lt;/w:pPr&gt;&lt;w:r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w:eastAsia="ru-RU"/&gt;&lt;/w:rPr&gt;&lt;w:instrText&gt;PrimEfficiacy&lt;/w:instrText&gt;&lt;/w:r&gt;&lt;w:r w:rsidRPr="00E642D7"&gt;&lt;w:rPr&gt;&lt;w:highlight w:val="cyan"/&gt;&lt;w:lang w:eastAsia="ru-RU"/&gt;&lt;/w:rPr&gt;&lt;w:instrText xml:space="preserve"&gt; \&lt;/w:instrText&gt;&lt;/w:r&gt;&lt;w:r w:rsidRPr="00857433"&gt;&lt;w:rPr&gt;&lt;w:highlight w:val="cyan"/&gt;&lt;w:lang w:val="en-US" w:eastAsia="ru-RU"/&gt;&lt;/w:rPr&gt;&lt;w:instrText&gt;r&lt;/w:instrText&gt;&lt;/w:r&gt;&lt;w:r w:rsidRPr="00E642D7"&gt;&lt;w:rPr&gt;&lt;w:highlight w:val="cyan"/&gt;&lt;w:lang w:eastAsia="ru-RU"/&gt;&lt;/w:rPr&gt;&lt;w:instrText xml:space="preserve"&gt; 1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w:eastAsia="ru-RU"/&gt;&lt;/w:rPr&gt;&lt;w:tab/&gt;&lt;w:t&gt;Основной п&lt;/w:t&gt;&lt;/w:r&gt;&lt;w:r w:rsidRPr="009477D6"&gt;&lt;w:rPr&gt;&lt;w:highlight w:val="cyan"/&gt;&lt;w:lang w:eastAsia="ru-RU"/&gt;&lt;/w:rPr&gt;&lt;w:t&gt;араметр эффективности 1;&lt;/w:t&gt;&lt;/w:r&gt;&lt;/w:p&gt;&lt;w:p w14:paraId="057F7C20" w14:textId="77777777" w:rsidR="00BC777D" w:rsidRPr="009477D6" w:rsidRDefault="00BC777D" w:rsidP="008A23C7"&gt;&lt;w:pPr&gt;&lt;w:pStyle w:val="SDText"/&gt;&lt;w:spacing w:after="0" w:line="360" w:lineRule="auto"/&gt;&lt;w:rPr&gt;&lt;w:highlight w:val="cyan"/&gt;&lt;w:lang w:eastAsia="ru-RU"/&gt;&lt;/w:rPr&gt;&lt;/w:pPr&gt;&lt;w:r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w:eastAsia="ru-RU"/&gt;&lt;/w:rPr&gt;&lt;w:instrText&gt;PrimEfficiacy&lt;/w:instrText&gt;&lt;/w:r&gt;&lt;w:r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w:eastAsia="ru-RU"/&gt;&lt;/w:rPr&gt;&lt;w:tab/&gt;&lt;w:t&gt;Основной п&lt;/w:t&gt;&lt;/w:r&gt;&lt;w:r w:rsidRPr="009477D6"&gt;&lt;w:rPr&gt;&lt;w:highlight w:val="cyan"/&gt;&lt;w:lang w:eastAsia="ru-RU"/&gt;&lt;/w:rPr&gt;&lt;w:t&gt;араметр эффективности 2.&lt;/w:t&gt;&lt;/w:r&gt;&lt;/w:p&gt;&lt;w:p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w:val="24"/&gt;&lt;/w:rPr&gt;&lt;/w:style&gt;&lt;/w:styles&gt;&lt;/pkg:xmlData&gt;&lt;/pkg:part&gt;&lt;/pkg:package&gt;
</EfficaciesPrimSuffix>
    <EfficaciesSecPrefix>Вторичные параметры эффективности:</EfficaciesSecPrefix>
    <EfficaciesSec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w14:paraId="4BC2FC11" w14:textId="0FE7DC97" w:rsidR="00BC777D" w:rsidRPr="000F64E0" w:rsidRDefault="00BC777D" w:rsidP="008A23C7"&gt;&lt;w:pPr&gt;&lt;w:pStyle w:val="SDText"/&gt;&lt;w:spacing w:after="0" w:line="360" w:lineRule="auto"/&gt;&lt;w:rPr&gt;&lt;w:highlight w:val="cyan"/&gt;&lt;w:lang w:eastAsia="ru-RU"/&gt;&lt;/w:rPr&gt;&lt;/w:pPr&gt;&lt;w:r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w:eastAsia="ru-RU"/&gt;&lt;/w:rPr&gt;&lt;w:instrText&gt;SecEfficiacy&lt;/w:instrText&gt;&lt;/w:r&gt;&lt;w:r w:rsidRPr="00E642D7"&gt;&lt;w:rPr&gt;&lt;w:highlight w:val="cyan"/&gt;&lt;w:lang w:eastAsia="ru-RU"/&gt;&lt;/w:rPr&gt;&lt;w:instrText xml:space="preserve"&gt; \&lt;/w:instrText&gt;&lt;/w:r&gt;&lt;w:r w:rsidRPr="00857433"&gt;&lt;w:rPr&gt;&lt;w:highlight w:val="cyan"/&gt;&lt;w:lang w:val="en-US" w:eastAsia="ru-RU"/&gt;&lt;/w:rPr&gt;&lt;w:instrText&gt;r&lt;/w:instrText&gt;&lt;/w:r&gt;&lt;w:r w:rsidRPr="00E642D7"&gt;&lt;w:rPr&gt;&lt;w:highlight w:val="cyan"/&gt;&lt;w:lang w:eastAsia="ru-RU"/&gt;&lt;/w:rPr&gt;&lt;w:instrText xml:space="preserve"&gt; 1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 w:rsidRPr="000F64E0"&gt;&lt;w:rPr&gt;&lt;w:highlight w:val="cyan"/&gt;&lt;w:lang w:eastAsia="ru-RU"/&gt;&lt;/w:rPr&gt;&lt;w:t&gt;Вторичный параметр эффективности 1;&lt;/w:t&gt;&lt;/w:r&gt;&lt;/w:p&gt;&lt;w:p w14:paraId="7576D5B8" w14:textId="77777777" w:rsidR="00BC777D" w:rsidRPr="000F64E0" w:rsidRDefault="00BC777D" w:rsidP="008A23C7"&gt;&lt;w:pPr&gt;&lt;w:pStyle w:val="SDText"/&gt;&lt;w:spacing w:after="0" w:line="360" w:lineRule="auto"/&gt;&lt;w:rPr&gt;&lt;w:highlight w:val="cyan"/&gt;&lt;w:lang w:eastAsia="ru-RU"/&gt;&lt;/w:rPr&gt;&lt;/w:pPr&gt;&lt;w:r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w:eastAsia="ru-RU"/&gt;&lt;/w:rPr&gt;&lt;w:instrText&gt;SecEfficiacy&lt;/w:instrText&gt;&lt;/w:r&gt;&lt;w:r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 w:rsidRPr="000F64E0"&gt;&lt;w:rPr&gt;&lt;w:highlight w:val="cyan"/&gt;&lt;w:lang w:eastAsia="ru-RU"/&gt;&lt;/w:rPr&gt;&lt;w:t&gt;Вторичный параметр эффективности 2.&lt;/w:t&gt;&lt;/w:r&gt;&lt;/w:p&gt;&lt;w:p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w:val="24"/&gt;&lt;/w:rPr&gt;&lt;/w:style&gt;&lt;/w:styles&gt;&lt;/pkg:xmlData&gt;&lt;/pkg:part&gt;&lt;/pkg:package&gt;
</EfficaciesSecSuffix>
    <SafetiesPrefix>Основные параметры безопасности:</SafetiesPrefix>
    <Safeties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wp14"&gt;&lt;w:body&gt;&lt;w:sdt&gt;&lt;w:sdtPr&gt;&lt;w:rPr&gt;&lt;w:szCs w:val="24"/&gt;&lt;w:lang w:eastAsia="ru-RU" w:bidi="ru-RU"/&gt;&lt;/w:rPr&gt;&lt;w:alias w:val="Параметры безопасности"/&gt;&lt;w:tag w:val="Параметры безопасности"/&gt;&lt;w:id w:val="-211340489"/&gt;&lt;w:placeholder&gt;&lt;w:docPart w:val="F5562F71724143C9BA04AC079D221474"/&gt;&lt;/w:placeholder&gt;&lt;w15:dataBinding w:prefixMappings="xmlns:ns0='http://protocoldata@statandocs.com' " w:xpath="/ns0:sdprotocoldata[1]/ns0:SDTables[1]/ns0:SafetiesPrefix[1]" w:storeItemID="{1373BE51-EF05-4579-B48A-626F95452BBC}"/&gt;&lt;/w:sdtPr&gt;&lt;w:sdtContent&gt;&lt;w:p w14:paraId="38D0C012" w14:textId="08F19B3D" w:rsidR="00BC777D" w:rsidRPr="00E642D7" w:rsidRDefault="00BC777D" w:rsidP="008A23C7"&gt;&lt;w:pPr&gt;&lt;w:pStyle w:val="SDText"/&gt;&lt;w:spacing w:after="0" w:line="360" w:lineRule="auto"/&gt;&lt;w:rPr&gt;&lt;w:highlight w:val="cyan"/&gt;&lt;/w:rPr&gt;&lt;/w:pPr&gt;&lt;w:r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w:eastAsia="ru-RU"/&gt;&lt;/w:rPr&gt;&lt;w:instrText&gt;Safety&lt;/w:instrText&gt;&lt;/w:r&gt;&lt;w:r w:rsidRPr="00E642D7"&gt;&lt;w:rPr&gt;&lt;w:highlight w:val="cyan"/&gt;&lt;w:lang w:eastAsia="ru-RU"/&gt;&lt;/w:rPr&gt;&lt;w:instrText xml:space="preserve"&gt; \&lt;/w:instrText&gt;&lt;/w:r&gt;&lt;w:r w:rsidRPr="00857433"&gt;&lt;w:rPr&gt;&lt;w:highlight w:val="cyan"/&gt;&lt;w:lang w:val="en-US" w:eastAsia="ru-RU"/&gt;&lt;/w:rPr&gt;&lt;w:instrText&gt;r&lt;/w:instrText&gt;&lt;/w:r&gt;&lt;w:r w:rsidRPr="00E642D7"&gt;&lt;w:rPr&gt;&lt;w:highlight w:val="cyan"/&gt;&lt;w:lang w:eastAsia="ru-RU"/&gt;&lt;/w:rPr&gt;&lt;w:instrText xml:space="preserve"&gt; 1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w:val="cyan"/&gt;&lt;/w:rPr&gt;&lt;w:t&gt;Параметр&lt;/w:t&gt;&lt;/w:r&gt;&lt;w:r w:rsidRPr="00E642D7"&gt;&lt;w:rPr&gt;&lt;w:highlight w:val="cyan"/&gt;&lt;/w:rPr&gt;&lt;w:t xml:space="preserve"&gt; &lt;/w:t&gt;&lt;/w:r&gt;&lt;w:r&gt;&lt;w:rPr&gt;&lt;w:highlight w:val="cyan"/&gt;&lt;/w:rPr&gt;&lt;w:t&gt;безопасности&lt;/w:t&gt;&lt;/w:r&gt;&lt;w:r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w:eastAsia="ru-RU"/&gt;&lt;/w:rPr&gt;&lt;w:instrText&gt;Safety&lt;/w:instrText&gt;&lt;/w:r&gt;&lt;w:r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w:eastAsia="ru-RU"/&gt;&lt;/w:rPr&gt;&lt;w:t&gt;;&lt;/w:t&gt;&lt;/w:r&gt;&lt;/w:p&gt;&lt;w:p w14:paraId="1BD99B78" w14:textId="77777777" w:rsidR="00BC777D" w:rsidRDefault="00BC777D" w:rsidP="008A23C7"&gt;&lt;w:pPr&gt;&lt;w:pStyle w:val="SDText"/&gt;&lt;w:spacing w:after="0" w:line="360" w:lineRule="auto"/&gt;&lt;w:rPr&gt;&lt;w:szCs w:val="24"/&gt;&lt;w:lang w:eastAsia="ru-RU" w:bidi="ru-RU"/&gt;&lt;/w:rPr&gt;&lt;/w:pPr&gt;&lt;w:r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w:eastAsia="ru-RU"/&gt;&lt;/w:rPr&gt;&lt;w:instrText&gt;Safety&lt;/w:instrText&gt;&lt;/w:r&gt;&lt;w:r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w:val="cyan"/&gt;&lt;/w:rPr&gt;&lt;w:t&gt;Параметр&lt;/w:t&gt;&lt;/w:r&gt;&lt;w:r w:rsidRPr="00E642D7"&gt;&lt;w:rPr&gt;&lt;w:highlight w:val="cyan"/&gt;&lt;/w:rPr&gt;&lt;w:t xml:space="preserve"&gt; &lt;/w:t&gt;&lt;/w:r&gt;&lt;w:r&gt;&lt;w:rPr&gt;&lt;w:highlight w:val="cyan"/&gt;&lt;/w:rPr&gt;&lt;w:t&gt;безопасности&lt;/w:t&gt;&lt;/w:r&gt;&lt;w:r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w:eastAsia="ru-RU"/&gt;&lt;/w:rPr&gt;&lt;w:instrText&gt;Safety&lt;/w:instrText&gt;&lt;/w:r&gt;&lt;w:r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w:eastAsia="ru-RU"/&gt;&lt;/w:rPr&gt;&lt;w:t&gt;.&lt;/w:t&gt;&lt;/w:r&gt;&lt;/w:p&gt;&lt;/w:sdtContent&gt;&lt;/w:sdt&gt;&lt;w:p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wp14"&gt;&lt;w:docParts&gt;&lt;w:docPart&gt;&lt;w:docPartPr&gt;&lt;w:name w:val="F5562F71724143C9BA04AC079D221474"/&gt;&lt;w:category&gt;&lt;w:name w:val="Общие"/&gt;&lt;w:gallery w:val="placeholder"/&gt;&lt;/w:category&gt;&lt;w:types&gt;&lt;w:type w:val="bbPlcHdr"/&gt;&lt;/w:types&gt;&lt;w:behaviors&gt;&lt;w:behavior w:val="content"/&gt;&lt;/w:behaviors&gt;&lt;w:guid w:val="{ED8D2A64-99F0-4166-9F17-188AE6344BB6}"/&gt;&lt;/w:docPartPr&gt;&lt;w:docPartBody&gt;&lt;w:p w:rsidR="00000000" w:rsidRDefault="00B26610"&gt;&lt;w:pPr&gt;&lt;w:pStyle w:val="F5562F71724143C9BA04AC079D221474"/&gt;&lt;/w:pPr&gt;&lt;w:r w:rsidRPr="00993CDE"&gt;&lt;w:rPr&gt;&lt;w:rStyle w:val="a3"/&gt;&lt;/w:rPr&gt;&lt;w:t&gt;Место для ввода текста.&lt;/w:t&gt;&lt;/w:r&gt;&lt;/w:p&gt;&lt;/w:docPartBody&gt;&lt;/w:docPart&gt;&lt;/w:docParts&gt;&lt;/w:glossaryDocument&gt;&lt;/pkg:xmlData&gt;&lt;/pkg:part&gt;&lt;pkg:part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w16sdtdh"&gt;&lt;w:view w:val="normal"/&gt;&lt;w:defaultTabStop w:val="708"/&gt;&lt;w:characterSpacingControl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w:val="ru-RU"/&gt;&lt;w:clrSchemeMapping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w:cstheme="minorBidi"/&gt;&lt;w:sz w:val="22"/&gt;&lt;w:szCs w:val="22"/&gt;&lt;w:lang w:val="ru-RU" w:eastAsia="ru-RU"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w:styleId="a"&gt;&lt;w:name w:val="Normal"/&gt;&lt;w:qFormat/&gt;&lt;/w:style&gt;&lt;w:style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w:type="character" w:styleId="a3"&gt;&lt;w:name w:val="Placeholder Text"/&gt;&lt;w:basedOn w:val="a0"/&gt;&lt;w:uiPriority w:val="99"/&gt;&lt;w:semiHidden/&gt;&lt;w:rPr&gt;&lt;w:color w:val="808080"/&gt;&lt;/w:rPr&gt;&lt;/w:style&gt;&lt;w:style w:type="paragraph" w:customStyle="1" w:styleId="F5562F71724143C9BA04AC079D221474"&gt;&lt;w:name w:val="F5562F71724143C9BA04AC079D221474"/&gt;&lt;/w:style&gt;&lt;/w:styles&gt;&lt;/pkg:xmlData&gt;&lt;/pkg:part&gt;&lt;pkg:part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w16sdtdh"/&gt;&lt;/pkg:xmlData&gt;&lt;/pkg:part&gt;&lt;/pkg:package&gt;
</SafetiesSuffix>
    <InclusionCriteriasPrefix>В исследование будут включения пациенты, отвечающие всем указанным критериям:</InclusionCriteriasPrefix>
    <InclusionCriterias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w14:paraId="7D89B1F9" w14:textId="113164D1" w:rsidR="00BC777D" w:rsidRPr="00E642D7" w:rsidRDefault="00BC777D" w:rsidP="001806D4"&gt;&lt;w:pPr&gt;&lt;w:pStyle w:val="SDText"/&gt;&lt;w:spacing w:after="0" w:line="360" w:lineRule="auto"/&gt;&lt;w:rPr&gt;&lt;w:highlight w:val="cyan"/&gt;&lt;/w:rPr&gt;&lt;/w:pPr&gt;&lt;w:r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w:eastAsia="ru-RU"/&gt;&lt;/w:rPr&gt;&lt;w:instrText&gt;InclCriteria&lt;/w:instrText&gt;&lt;/w:r&gt;&lt;w:r w:rsidRPr="00E642D7"&gt;&lt;w:rPr&gt;&lt;w:highlight w:val="cyan"/&gt;&lt;w:lang w:eastAsia="ru-RU"/&gt;&lt;/w:rPr&gt;&lt;w:instrText xml:space="preserve"&gt; \&lt;/w:instrText&gt;&lt;/w:r&gt;&lt;w:r w:rsidRPr="00857433"&gt;&lt;w:rPr&gt;&lt;w:highlight w:val="cyan"/&gt;&lt;w:lang w:val="en-US" w:eastAsia="ru-RU"/&gt;&lt;/w:rPr&gt;&lt;w:instrText&gt;r&lt;/w:instrText&gt;&lt;/w:r&gt;&lt;w:r w:rsidRPr="00E642D7"&gt;&lt;w:rPr&gt;&lt;w:highlight w:val="cyan"/&gt;&lt;w:lang w:eastAsia="ru-RU"/&gt;&lt;/w:rPr&gt;&lt;w:instrText xml:space="preserve"&gt; 1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w:val="cyan"/&gt;&lt;/w:rPr&gt;&lt;w:t&gt;Критерий включения&lt;/w:t&gt;&lt;/w:r&gt;&lt;w:r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w:eastAsia="ru-RU"/&gt;&lt;/w:rPr&gt;&lt;w:instrText&gt;InclCriteria&lt;/w:instrText&gt;&lt;/w:r&gt;&lt;w:r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w:eastAsia="ru-RU"/&gt;&lt;/w:rPr&gt;&lt;w:t&gt;;&lt;/w:t&gt;&lt;/w:r&gt;&lt;/w:p&gt;&lt;w:p w14:paraId="06824B08" w14:textId="77777777" w:rsidR="00BC777D" w:rsidRDefault="00BC777D" w:rsidP="001806D4"&gt;&lt;w:pPr&gt;&lt;w:pStyle w:val="SDText"/&gt;&lt;w:spacing w:after="0" w:line="360" w:lineRule="auto"/&gt;&lt;w:rPr&gt;&lt;w:lang w:eastAsia="ru-RU"/&gt;&lt;/w:rPr&gt;&lt;/w:pPr&gt;&lt;w:r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w:eastAsia="ru-RU"/&gt;&lt;/w:rPr&gt;&lt;w:instrText&gt;InclCriteria&lt;/w:instrText&gt;&lt;/w:r&gt;&lt;w:r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w:val="cyan"/&gt;&lt;/w:rPr&gt;&lt;w:t&gt;Критерий включения&lt;/w:t&gt;&lt;/w:r&gt;&lt;w:r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w:eastAsia="ru-RU"/&gt;&lt;/w:rPr&gt;&lt;w:instrText&gt;InclCriteria&lt;/w:instrText&gt;&lt;/w:r&gt;&lt;w:r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w:eastAsia="ru-RU"/&gt;&lt;/w:rPr&gt;&lt;w:t&gt;.&lt;/w:t&gt;&lt;/w:r&gt;&lt;/w:p&gt;&lt;w:p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w:val="24"/&gt;&lt;/w:rPr&gt;&lt;/w:style&gt;&lt;/w:styles&gt;&lt;/pkg:xmlData&gt;&lt;/pkg:part&gt;&lt;/pkg:package&gt;
</InclusionCriteriasSuffix>
    <NonInclusionCriteriasPrefix>Пациенты не могут быть включены в исследование при наличии хотя бы одного из следующих критериев невключения:</NonInclusionCriteriasPrefix>
    <NonInclusionCriterias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w14:paraId="480699FA" w14:textId="0BAF7AA2" w:rsidR="00BC777D" w:rsidRPr="00E642D7" w:rsidRDefault="00BC777D" w:rsidP="001806D4"&gt;&lt;w:pPr&gt;&lt;w:pStyle w:val="SDText"/&gt;&lt;w:spacing w:after="0" w:line="360" w:lineRule="auto"/&gt;&lt;w:rPr&gt;&lt;w:highlight w:val="cyan"/&gt;&lt;/w:rPr&gt;&lt;/w:pPr&gt;&lt;w:r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w:eastAsia="ru-RU"/&gt;&lt;/w:rPr&gt;&lt;w:instrText&gt;NonInclCriteria&lt;/w:instrText&gt;&lt;/w:r&gt;&lt;w:r w:rsidRPr="00E642D7"&gt;&lt;w:rPr&gt;&lt;w:highlight w:val="cyan"/&gt;&lt;w:lang w:eastAsia="ru-RU"/&gt;&lt;/w:rPr&gt;&lt;w:instrText xml:space="preserve"&gt; \&lt;/w:instrText&gt;&lt;/w:r&gt;&lt;w:r w:rsidRPr="00857433"&gt;&lt;w:rPr&gt;&lt;w:highlight w:val="cyan"/&gt;&lt;w:lang w:val="en-US" w:eastAsia="ru-RU"/&gt;&lt;/w:rPr&gt;&lt;w:instrText&gt;r&lt;/w:instrText&gt;&lt;/w:r&gt;&lt;w:r w:rsidRPr="00E642D7"&gt;&lt;w:rPr&gt;&lt;w:highlight w:val="cyan"/&gt;&lt;w:lang w:eastAsia="ru-RU"/&gt;&lt;/w:rPr&gt;&lt;w:instrText xml:space="preserve"&gt; 1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w:val="cyan"/&gt;&lt;/w:rPr&gt;&lt;w:t&gt;Критерий невключения&lt;/w:t&gt;&lt;/w:r&gt;&lt;w:r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w:eastAsia="ru-RU"/&gt;&lt;/w:rPr&gt;&lt;w:instrText&gt;NonInclCriteria&lt;/w:instrText&gt;&lt;/w:r&gt;&lt;w:r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w:eastAsia="ru-RU"/&gt;&lt;/w:rPr&gt;&lt;w:t&gt;;&lt;/w:t&gt;&lt;/w:r&gt;&lt;/w:p&gt;&lt;w:p w14:paraId="71CFD6ED" w14:textId="77777777" w:rsidR="00BC777D" w:rsidRDefault="00BC777D" w:rsidP="001806D4"&gt;&lt;w:pPr&gt;&lt;w:pStyle w:val="SDText"/&gt;&lt;w:spacing w:after="0" w:line="360" w:lineRule="auto"/&gt;&lt;/w:pPr&gt;&lt;w:r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w:eastAsia="ru-RU"/&gt;&lt;/w:rPr&gt;&lt;w:instrText&gt;NonInclCriteria&lt;/w:instrText&gt;&lt;/w:r&gt;&lt;w:r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w:val="cyan"/&gt;&lt;/w:rPr&gt;&lt;w:t&gt;Критерий невключения&lt;/w:t&gt;&lt;/w:r&gt;&lt;w:r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w:eastAsia="ru-RU"/&gt;&lt;/w:rPr&gt;&lt;w:instrText&gt;NonInclCriteria&lt;/w:instrText&gt;&lt;/w:r&gt;&lt;w:r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w:eastAsia="ru-RU"/&gt;&lt;/w:rPr&gt;&lt;w:t&gt;.&lt;/w:t&gt;&lt;/w:r&gt;&lt;/w:p&gt;&lt;w:p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w:val="24"/&gt;&lt;/w:rPr&gt;&lt;/w:style&gt;&lt;/w:styles&gt;&lt;/pkg:xmlData&gt;&lt;/pkg:part&gt;&lt;/pkg:package&gt;
</NonInclusionCriteriasSuffix>
    <WithdrawalCriteriasPrefix>Пациенты прекращают участие в исследовании в следующих случаях:</WithdrawalCriteriasPrefix>
    <WithdrawalCriterias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w14:paraId="19A299AA" w14:textId="68C84138" w:rsidR="00BC777D" w:rsidRPr="00E642D7" w:rsidRDefault="00BC777D" w:rsidP="0061633E"&gt;&lt;w:pPr&gt;&lt;w:pStyle w:val="SDText"/&gt;&lt;w:spacing w:after="0" w:line="360" w:lineRule="auto"/&gt;&lt;w:rPr&gt;&lt;w:highlight w:val="cyan"/&gt;&lt;/w:rPr&gt;&lt;/w:pPr&gt;&lt;w:r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w:eastAsia="ru-RU"/&gt;&lt;/w:rPr&gt;&lt;w:instrText&gt;WithdrawalCriteria&lt;/w:instrText&gt;&lt;/w:r&gt;&lt;w:r w:rsidRPr="00E642D7"&gt;&lt;w:rPr&gt;&lt;w:highlight w:val="cyan"/&gt;&lt;w:lang w:eastAsia="ru-RU"/&gt;&lt;/w:rPr&gt;&lt;w:instrText xml:space="preserve"&gt; \&lt;/w:instrText&gt;&lt;/w:r&gt;&lt;w:r w:rsidRPr="00857433"&gt;&lt;w:rPr&gt;&lt;w:highlight w:val="cyan"/&gt;&lt;w:lang w:val="en-US" w:eastAsia="ru-RU"/&gt;&lt;/w:rPr&gt;&lt;w:instrText&gt;r&lt;/w:instrText&gt;&lt;/w:r&gt;&lt;w:r w:rsidRPr="00E642D7"&gt;&lt;w:rPr&gt;&lt;w:highlight w:val="cyan"/&gt;&lt;w:lang w:eastAsia="ru-RU"/&gt;&lt;/w:rPr&gt;&lt;w:instrText xml:space="preserve"&gt; 1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w:val="cyan"/&gt;&lt;/w:rPr&gt;&lt;w:t&gt;Критерий исключения&lt;/w:t&gt;&lt;/w:r&gt;&lt;w:r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w:eastAsia="ru-RU"/&gt;&lt;/w:rPr&gt;&lt;w:instrText&gt;WithdrawalCriteria&lt;/w:instrText&gt;&lt;/w:r&gt;&lt;w:r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w:eastAsia="ru-RU"/&gt;&lt;/w:rPr&gt;&lt;w:t&gt;;&lt;/w:t&gt;&lt;/w:r&gt;&lt;/w:p&gt;&lt;w:p w14:paraId="454C25B2" w14:textId="77777777" w:rsidR="00BC777D" w:rsidRDefault="00BC777D" w:rsidP="0061633E"&gt;&lt;w:pPr&gt;&lt;w:pStyle w:val="SDText"/&gt;&lt;w:spacing w:after="0" w:line="360" w:lineRule="auto"/&gt;&lt;w:rPr&gt;&lt;w:szCs w:val="24"/&gt;&lt;w:lang w:eastAsia="ru-RU" w:bidi="ru-RU"/&gt;&lt;/w:rPr&gt;&lt;/w:pPr&gt;&lt;w:r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w:eastAsia="ru-RU"/&gt;&lt;/w:rPr&gt;&lt;w:instrText&gt;WithdrawalCriteria&lt;/w:instrText&gt;&lt;/w:r&gt;&lt;w:r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w:val="cyan"/&gt;&lt;/w:rPr&gt;&lt;w:t&gt;Критерий исключения&lt;/w:t&gt;&lt;/w:r&gt;&lt;w:r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w:eastAsia="ru-RU"/&gt;&lt;/w:rPr&gt;&lt;w:instrText&gt;WithdrawalCriteria&lt;/w:instrText&gt;&lt;/w:r&gt;&lt;w:r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w:eastAsia="ru-RU"/&gt;&lt;/w:rPr&gt;&lt;w:t&gt;.&lt;/w:t&gt;&lt;/w:r&gt;&lt;/w:p&gt;&lt;w:p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w:val="24"/&gt;&lt;/w:rPr&gt;&lt;/w:style&gt;&lt;/w:styles&gt;&lt;/pkg:xmlData&gt;&lt;/pkg:part&gt;&lt;/pkg:package&gt;
</WithdrawalCriteriasSuffix>
    <ForbiddenTherapyPrefix/>
    <ForbiddenTherapySuffix>&lt;?xml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w14:paraId="06775BB4" w14:textId="4CEA756E" w:rsidR="00BC777D" w:rsidRPr="00E642D7" w:rsidRDefault="00BC777D" w:rsidP="00253D4D"&gt;&lt;w:pPr&gt;&lt;w:pStyle w:val="SDText"/&gt;&lt;w:spacing w:after="0" w:line="360" w:lineRule="auto"/&gt;&lt;w:rPr&gt;&lt;w:highlight w:val="cyan"/&gt;&lt;/w:rPr&gt;&lt;/w:pPr&gt;&lt;w:r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w:eastAsia="ru-RU"/&gt;&lt;/w:rPr&gt;&lt;w:instrText&gt;ForbiddenTherapy&lt;/w:instrText&gt;&lt;/w:r&gt;&lt;w:r w:rsidRPr="00E642D7"&gt;&lt;w:rPr&gt;&lt;w:highlight w:val="cyan"/&gt;&lt;w:lang w:eastAsia="ru-RU"/&gt;&lt;/w:rPr&gt;&lt;w:instrText xml:space="preserve"&gt; \&lt;/w:instrText&gt;&lt;/w:r&gt;&lt;w:r w:rsidRPr="00857433"&gt;&lt;w:rPr&gt;&lt;w:highlight w:val="cyan"/&gt;&lt;w:lang w:val="en-US" w:eastAsia="ru-RU"/&gt;&lt;/w:rPr&gt;&lt;w:instrText&gt;r&lt;/w:instrText&gt;&lt;/w:r&gt;&lt;w:r w:rsidRPr="00E642D7"&gt;&lt;w:rPr&gt;&lt;w:highlight w:val="cyan"/&gt;&lt;w:lang w:eastAsia="ru-RU"/&gt;&lt;/w:rPr&gt;&lt;w:instrText xml:space="preserve"&gt; 1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w:val="cyan"/&gt;&lt;/w:rPr&gt;&lt;w:t&gt;Запрещённая терапия&lt;/w:t&gt;&lt;/w:r&gt;&lt;w:r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w:eastAsia="ru-RU"/&gt;&lt;/w:rPr&gt;&lt;w:instrText&gt;ForbiddenTherapy&lt;/w:instrText&gt;&lt;/w:r&gt;&lt;w:r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w:eastAsia="ru-RU"/&gt;&lt;/w:rPr&gt;&lt;w:t&gt;1&lt;/w:t&gt;&lt;/w:r&gt;&lt;w:r w:rsidRPr="001153C0"&gt;&lt;w:rPr&gt;&lt;w:highlight w:val="cyan"/&gt;&lt;w:lang w:eastAsia="ru-RU"/&gt;&lt;/w:rPr&gt;&lt;w:fldChar w:fldCharType="end"/&gt;&lt;/w:r&gt;&lt;w:r w:rsidRPr="00E642D7"&gt;&lt;w:rPr&gt;&lt;w:highlight w:val="cyan"/&gt;&lt;w:lang w:eastAsia="ru-RU"/&gt;&lt;/w:rPr&gt;&lt;w:t&gt;;&lt;/w:t&gt;&lt;/w:r&gt;&lt;/w:p&gt;&lt;w:p w14:paraId="13A7E8A2" w14:textId="77777777" w:rsidR="00BC777D" w:rsidRDefault="00BC777D" w:rsidP="00253D4D"&gt;&lt;w:pPr&gt;&lt;w:pStyle w:val="SDText"/&gt;&lt;w:spacing w:after="0" w:line="360" w:lineRule="auto"/&gt;&lt;w:rPr&gt;&lt;w:szCs w:val="24"/&gt;&lt;w:lang w:eastAsia="ru-RU" w:bidi="ru-RU"/&gt;&lt;/w:rPr&gt;&lt;/w:pPr&gt;&lt;w:r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w:eastAsia="ru-RU"/&gt;&lt;/w:rPr&gt;&lt;w:instrText&gt;ForbiddenTherapy&lt;/w:instrText&gt;&lt;/w:r&gt;&lt;w:r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w:eastAsia="ru-RU"/&gt;&lt;/w:rPr&gt;&lt;w:t&gt;.&lt;/w:t&gt;&lt;/w:r&gt;&lt;w:r&gt;&lt;w:rPr&gt;&lt;w:highlight w:val="cyan"/&gt;&lt;w:lang w:eastAsia="ru-RU"/&gt;&lt;/w:rPr&gt;&lt;w:tab/&gt;&lt;/w:r&gt;&lt;w:r&gt;&lt;w:rPr&gt;&lt;w:highlight w:val="cyan"/&gt;&lt;/w:rPr&gt;&lt;w:t&gt;Запрещённая терапия&lt;/w:t&gt;&lt;/w:r&gt;&lt;w:r w:rsidRPr="00E642D7"&gt;&lt;w:rPr&gt;&lt;w:highlight w:val="cyan"/&gt;&lt;/w:rPr&gt;&lt;w:t xml:space="preserve"&gt; &lt;/w:t&gt;&lt;/w:r&gt;&lt;w:r w:rsidRPr="001153C0"&gt;&lt;w:rPr&gt;&lt;w:highlight w:val="cyan"/&gt;&lt;w:lang w:eastAsia="ru-RU"/&gt;&lt;/w:rPr&gt;&lt;w:fldChar w:fldCharType="begin"/&gt;&lt;/w:r&gt;&lt;w:r w:rsidRPr="00E642D7"&gt;&lt;w:rPr&gt;&lt;w:highlight w:val="cyan"/&gt;&lt;w:lang w:eastAsia="ru-RU"/&gt;&lt;/w:rPr&gt;&lt;w:instrText xml:space="preserve"&gt; &lt;/w:instrText&gt;&lt;/w:r&gt;&lt;w:r w:rsidRPr="00857433"&gt;&lt;w:rPr&gt;&lt;w:highlight w:val="cyan"/&gt;&lt;w:lang w:val="en-US" w:eastAsia="ru-RU"/&gt;&lt;/w:rPr&gt;&lt;w:instrText&gt;SEQ&lt;/w:instrText&gt;&lt;/w:r&gt;&lt;w:r w:rsidRPr="00E642D7"&gt;&lt;w:rPr&gt;&lt;w:highlight w:val="cyan"/&gt;&lt;w:lang w:eastAsia="ru-RU"/&gt;&lt;/w:rPr&gt;&lt;w:instrText xml:space="preserve"&gt; &lt;/w:instrText&gt;&lt;/w:r&gt;&lt;w:r&gt;&lt;w:rPr&gt;&lt;w:highlight w:val="cyan"/&gt;&lt;w:lang w:val="en-US" w:eastAsia="ru-RU"/&gt;&lt;/w:rPr&gt;&lt;w:instrText&gt;ForbiddenTherapy&lt;/w:instrText&gt;&lt;/w:r&gt;&lt;w:r w:rsidRPr="00E642D7"&gt;&lt;w:rPr&gt;&lt;w:highlight w:val="cyan"/&gt;&lt;w:lang w:eastAsia="ru-RU"/&gt;&lt;/w:rPr&gt;&lt;w:instrText xml:space="preserve"&gt; \&lt;/w:instrText&gt;&lt;/w:r&gt;&lt;w:r w:rsidRPr="00857433"&gt;&lt;w:rPr&gt;&lt;w:highlight w:val="cyan"/&gt;&lt;w:lang w:val="en-US" w:eastAsia="ru-RU"/&gt;&lt;/w:rPr&gt;&lt;w:instrText&gt;c&lt;/w:instrText&gt;&lt;/w:r&gt;&lt;w:r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 &lt;/w:instrText&gt;&lt;/w:r&gt;&lt;w:r w:rsidRPr="00857433"&gt;&lt;w:rPr&gt;&lt;w:highlight w:val="cyan"/&gt;&lt;w:lang w:val="en-US" w:eastAsia="ru-RU"/&gt;&lt;/w:rPr&gt;&lt;w:instrText&gt;MERGEFORMAT&lt;/w:instrText&gt;&lt;/w:r&gt;&lt;w:r w:rsidRPr="00E642D7"&gt;&lt;w:rPr&gt;&lt;w:highlight w:val="cyan"/&gt;&lt;w:lang w:eastAsia="ru-RU"/&gt;&lt;/w:rPr&gt;&lt;w:instrText xml:space="preserve"&gt; &lt;/w:instrText&gt;&lt;/w:r&gt;&lt;w:r w:rsidRPr="001153C0"&gt;&lt;w:rPr&gt;&lt;w:highlight w:val="cyan"/&gt;&lt;w:lang w:eastAsia="ru-RU"/&gt;&lt;/w:rPr&gt;&lt;w:fldChar w:fldCharType="separate"/&gt;&lt;/w:r&gt;&lt;w:r w:rsidRPr="00BC777D"&gt;&lt;w:rPr&gt;&lt;w:noProof/&gt;&lt;w:highlight w:val="cyan"/&gt;&lt;w:lang w:eastAsia="ru-RU"/&gt;&lt;/w:rPr&gt;&lt;w:t&gt;2&lt;/w:t&gt;&lt;/w:r&gt;&lt;w:r w:rsidRPr="001153C0"&gt;&lt;w:rPr&gt;&lt;w:highlight w:val="cyan"/&gt;&lt;w:lang w:eastAsia="ru-RU"/&gt;&lt;/w:rPr&gt;&lt;w:fldChar w:fldCharType="end"/&gt;&lt;/w:r&gt;&lt;w:r w:rsidRPr="00E642D7"&gt;&lt;w:rPr&gt;&lt;w:highlight w:val="cyan"/&gt;&lt;w:lang w:eastAsia="ru-RU"/&gt;&lt;/w:rPr&gt;&lt;w:t&gt;.&lt;/w:t&gt;&lt;/w:r&gt;&lt;/w:p&gt;&lt;w:p w:rsidR="00000000" w:rsidRDefault="00000000"/&gt;&lt;w:sectPr w:rsidR="00000000"&gt;&lt;w:pgSz w:w="12240" w:h="15840"/&gt;&lt;w:pgMar w:top="1134" w:right="850" w:bottom="1134"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w:val="ru-RU" w:eastAsia="en-US" w:bidi="ar-SA"/&gt;&lt;/w:rPr&gt;&lt;/w:rPrDefault&gt;&lt;w:pPrDefault&gt;&lt;w:pPr&gt;&lt;w:spacing w:after="160"/&gt;&lt;/w:pPr&gt;&lt;/w:pPrDefault&gt;&lt;/w:docDefaults&gt;&lt;w:style w:type="paragraph" w:default="1" w:styleId="a"&gt;&lt;w:name w:val="Normal"/&gt;&lt;w:qFormat/&gt;&lt;w:pPr&gt;&lt;w:spacing w:line="276" w:lineRule="auto"/&gt;&lt;w:jc w:val="both"/&gt;&lt;/w:pPr&gt;&lt;w:rPr&gt;&lt;w:rFonts w:ascii="Times New Roman" w:hAnsi="Times New Roman"/&gt;&lt;w:sz w:val="24"/&gt;&lt;/w:rPr&gt;&lt;/w:style&gt;&lt;w:style w:type="character" w:default="1" w:styleId="a0"&gt;&lt;w:name w:val="Default Paragraph Font"/&gt;&lt;w:uiPriority w:val="1"/&gt;&lt;w:semiHidden/&gt;&lt;w:unhideWhenUsed/&gt;&lt;/w:style&gt;&lt;w:style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 w:type="paragraph" w:customStyle="1" w:styleId="SDText"&gt;&lt;w:name w:val="SD_Text"/&gt;&lt;w:basedOn w:val="a"/&gt;&lt;w:link w:val="SDText0"/&gt;&lt;w:qFormat/&gt;&lt;/w:style&gt;&lt;w:style w:type="character" w:customStyle="1" w:styleId="SDText0"&gt;&lt;w:name w:val="SD_Text Знак"/&gt;&lt;w:basedOn w:val="a0"/&gt;&lt;w:link w:val="SDText"/&gt;&lt;w:rPr&gt;&lt;w:rFonts w:ascii="Times New Roman" w:hAnsi="Times New Roman"/&gt;&lt;w:sz w:val="24"/&gt;&lt;/w:rPr&gt;&lt;/w:style&gt;&lt;/w:styles&gt;&lt;/pkg:xmlData&gt;&lt;/pkg:part&gt;&lt;/pkg:package&gt;
</ForbiddenTherapySuffix>
    <SampleSizePrefix/>
    <SampleSizeSuffix/>
    <RandomizationPrefix/>
    <RandomizationSuffix/>
  </SDTables>
  <SDVisits>
    <Part1Name/>
    <Part1VisitsPlainText/>
    <Part2Name/>
    <Part2VisitsPlainText/>
    <Part3Name/>
    <Part3VisitsPlainText/>
    <Part4Name/>
    <Part4VisitsPlainText/>
    <Part5Name/>
    <Part5VisitsPlainText/>
    <Part6Name/>
    <Part6VisitsPlainText/>
    <Part7Name/>
    <Part7VisitsPlainText/>
    <Part8Name/>
    <Part8VisitsPlainText/>
    <Part9Name/>
    <Part9VisitsPlainText/>
    <Part10Name/>
    <Part10VisitsPlainText/>
    <AddPart1Name/>
    <AddPart1VisitsPlainText/>
    <AddPart2Name/>
    <AddPart2VisitsPlainText/>
    <AddPart3Name/>
    <AddPart3VisitsPlainText/>
    <AddPart4Name/>
    <AddPart4VisitsPlainText/>
    <AddPart5Name/>
    <AddPart5VisitsPlainText/>
  </SDVisits>
</sdprotocoldat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4e7861-b211-4af9-9ef2-07d978a58404">
      <Terms xmlns="http://schemas.microsoft.com/office/infopath/2007/PartnerControls"/>
    </lcf76f155ced4ddcb4097134ff3c332f>
    <TaxCatchAll xmlns="e92b3814-a978-4e2d-af1b-be0f208bb19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Vancouver.XSL" StyleName="Vancouver" Version="1">
  <b:Source>
    <b:Tag>Bab56</b:Tag>
    <b:SourceType>JournalArticle</b:SourceType>
    <b:Guid>{5BEF22A0-61EF-4EE4-A214-0CB438BDB5CF}</b:Guid>
    <b:Title>Salts of decamethylene-bis-4-aminoquinaldinium (dequadin); a new antimicrobial agent</b:Title>
    <b:Year>1956</b:Year>
    <b:Volume>8</b:Volume>
    <b:Issue>2</b:Issue>
    <b:LCID>en-US</b:LCID>
    <b:Author>
      <b:Author>
        <b:NameList>
          <b:Person>
            <b:Last>Babbs</b:Last>
            <b:First>M.</b:First>
          </b:Person>
          <b:Person>
            <b:Last>Collier</b:Last>
            <b:First>H.O.</b:First>
          </b:Person>
          <b:Person>
            <b:Last>Austin</b:Last>
            <b:First>W.C.</b:First>
          </b:Person>
          <b:Person>
            <b:Last>Potter</b:Last>
            <b:First>M.D.</b:First>
          </b:Person>
          <b:Person>
            <b:Last>Taylor</b:Last>
            <b:First>E.P.</b:First>
          </b:Person>
        </b:NameList>
      </b:Author>
    </b:Author>
    <b:JournalName>J Pharm Pharmacol</b:JournalName>
    <b:Pages>110-119</b:Pages>
    <b:RefOrder>3</b:RefOrder>
  </b:Source>
  <b:Source>
    <b:Tag>Wei87</b:Tag>
    <b:SourceType>JournalArticle</b:SourceType>
    <b:Guid>{CFEA0A92-D020-4FED-9D95-AE1FD194FE6C}</b:Guid>
    <b:Title>Dequalinium, a topical antimicrobial agent, displays anticarcinoma activity based on selective mitochondrial accumulation</b:Title>
    <b:JournalName>Proc Natl Acad Sci U S A</b:JournalName>
    <b:Year>1987</b:Year>
    <b:Volume>84</b:Volume>
    <b:Issue>15</b:Issue>
    <b:LCID>en-US</b:LCID>
    <b:Author>
      <b:Author>
        <b:NameList>
          <b:Person>
            <b:Last>Weiss</b:Last>
            <b:First>M.J.</b:First>
          </b:Person>
          <b:Person>
            <b:Last>Wong</b:Last>
            <b:First>J.R.</b:First>
          </b:Person>
          <b:Person>
            <b:Last>Ha</b:Last>
            <b:First>C.S.</b:First>
          </b:Person>
          <b:Person>
            <b:Last>Bleday</b:Last>
            <b:First>R.</b:First>
          </b:Person>
          <b:Person>
            <b:Last>Salem</b:Last>
            <b:First>R.R.</b:First>
          </b:Person>
        </b:NameList>
      </b:Author>
    </b:Author>
    <b:Pages>5444-5448</b:Pages>
    <b:RefOrder>1</b:RefOrder>
  </b:Source>
  <b:Source>
    <b:Tag>Col59</b:Tag>
    <b:SourceType>JournalArticle</b:SourceType>
    <b:Guid>{177798F1-2B04-4CF5-A448-FFBEC03A0F12}</b:Guid>
    <b:Title>Further observations on the biological properties of dequalinium (dequadin) and hedaquinium (teoquil)</b:Title>
    <b:JournalName>J Pharm Pharmacol</b:JournalName>
    <b:Year>1959</b:Year>
    <b:Volume>11</b:Volume>
    <b:LCID>en-US</b:LCID>
    <b:Author>
      <b:Author>
        <b:NameList>
          <b:Person>
            <b:Last>Collier</b:Last>
            <b:First>H.O.</b:First>
          </b:Person>
          <b:Person>
            <b:Last>Cox</b:Last>
            <b:First>W.A.</b:First>
          </b:Person>
          <b:Person>
            <b:Last>Huskinson</b:Last>
            <b:First>P.L.</b:First>
          </b:Person>
          <b:Person>
            <b:Last>Robinson</b:Last>
            <b:First>F.A.</b:First>
          </b:Person>
        </b:NameList>
      </b:Author>
    </b:Author>
    <b:Pages>671-680</b:Pages>
    <b:RefOrder>2</b:RefOrder>
  </b:Source>
</b:Sources>
</file>

<file path=customXml/itemProps1.xml><?xml version="1.0" encoding="utf-8"?>
<ds:datastoreItem xmlns:ds="http://schemas.openxmlformats.org/officeDocument/2006/customXml" ds:itemID="{B9B145D3-4233-4E93-A724-488683945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2b3814-a978-4e2d-af1b-be0f208bb190"/>
    <ds:schemaRef ds:uri="544e7861-b211-4af9-9ef2-07d978a58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95C51-6243-4E94-B45A-ADB0ED17598B}">
  <ds:schemaRefs>
    <ds:schemaRef ds:uri="http://protocoldata@statandocs.com"/>
  </ds:schemaRefs>
</ds:datastoreItem>
</file>

<file path=customXml/itemProps3.xml><?xml version="1.0" encoding="utf-8"?>
<ds:datastoreItem xmlns:ds="http://schemas.openxmlformats.org/officeDocument/2006/customXml" ds:itemID="{3C9202EC-3CCA-4555-9422-90822E1812E6}">
  <ds:schemaRefs>
    <ds:schemaRef ds:uri="http://schemas.microsoft.com/office/2006/metadata/properties"/>
    <ds:schemaRef ds:uri="http://schemas.microsoft.com/office/infopath/2007/PartnerControls"/>
    <ds:schemaRef ds:uri="544e7861-b211-4af9-9ef2-07d978a58404"/>
    <ds:schemaRef ds:uri="e92b3814-a978-4e2d-af1b-be0f208bb190"/>
  </ds:schemaRefs>
</ds:datastoreItem>
</file>

<file path=customXml/itemProps4.xml><?xml version="1.0" encoding="utf-8"?>
<ds:datastoreItem xmlns:ds="http://schemas.openxmlformats.org/officeDocument/2006/customXml" ds:itemID="{A1233B1E-2558-49B1-8A95-E2F6D5E2C429}">
  <ds:schemaRefs>
    <ds:schemaRef ds:uri="http://schemas.microsoft.com/sharepoint/v3/contenttype/forms"/>
  </ds:schemaRefs>
</ds:datastoreItem>
</file>

<file path=customXml/itemProps5.xml><?xml version="1.0" encoding="utf-8"?>
<ds:datastoreItem xmlns:ds="http://schemas.openxmlformats.org/officeDocument/2006/customXml" ds:itemID="{E1CA31FD-6140-428C-A5FE-65937017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4427</TotalTime>
  <Pages>198</Pages>
  <Words>145544</Words>
  <Characters>829601</Characters>
  <Application>Microsoft Office Word</Application>
  <DocSecurity>0</DocSecurity>
  <Lines>6913</Lines>
  <Paragraphs>1946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alkrasnovskiy</dc:creator>
  <cp:keywords/>
  <dc:description/>
  <cp:lastModifiedBy>Filon, Olga</cp:lastModifiedBy>
  <cp:revision>876</cp:revision>
  <cp:lastPrinted>2021-05-14T10:54:00Z</cp:lastPrinted>
  <dcterms:created xsi:type="dcterms:W3CDTF">2022-10-24T11:21:00Z</dcterms:created>
  <dcterms:modified xsi:type="dcterms:W3CDTF">2022-12-20T09:10:00Z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0x010100A1CFD0F9E8BFC848B9CE96836C2A6546</vt:lpwstr>
  </property>
  <property fmtid="{D5CDD505-2E9C-101B-9397-08002B2CF9AE}" pid="3" name="MediaServiceImageTags">
    <vt:lpwstr/>
  </property>
  <property fmtid="{D5CDD505-2E9C-101B-9397-08002B2CF9AE}" pid="4" name="ZOTERO_PREF_1">
    <vt:lpwstr>&lt;data data-version="3" zotero-version="6.0.15"&gt;&lt;session id="FNjHT0aT"/&gt;&lt;style id="http://www.zotero.org/styles/gost-r-7-0-5-2008-numeric" hasBibliography="1" bibliographyStyleHasBeenSet="1"/&gt;&lt;prefs&gt;&lt;pref name="fieldType" value="Field"/&gt;&lt;pref name="automat</vt:lpwstr>
  </property>
  <property fmtid="{D5CDD505-2E9C-101B-9397-08002B2CF9AE}" pid="5" name="ZOTERO_PREF_2">
    <vt:lpwstr>icJournalAbbreviations" value="true"/&gt;&lt;pref name="dontAskDelayCitationUpdates" value="true"/&gt;&lt;/prefs&gt;&lt;/data&gt;</vt:lpwstr>
  </property>
</Properties>
</file>