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BB407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GoBack"/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2D62FF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F9B0EC" w14:textId="06857E9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F4BA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«Информационные технологии»</w:t>
      </w:r>
      <w:r w:rsidR="009F4BA9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F4BA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F054A6B" w14:textId="18C77F6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840DE" w:rsidRPr="004840D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</w:t>
      </w:r>
    </w:p>
    <w:p w14:paraId="2904BF0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20D59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AFEE1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C4D73C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25E313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93DC9C" w14:textId="6420C709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F532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Макарычева Софья Альбертовна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241-371</w:t>
      </w:r>
    </w:p>
    <w:p w14:paraId="3D831248" w14:textId="2F4A862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</w:p>
    <w:p w14:paraId="6861242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B5D23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9224F2A" w14:textId="67B89FDF" w:rsidR="00E1073B" w:rsidRDefault="00E1073B" w:rsidP="009F4BA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9F4BA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</w:t>
      </w:r>
      <w:proofErr w:type="spellEnd"/>
      <w:r w:rsidR="009F4BA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Александр Юрьевич</w:t>
      </w:r>
    </w:p>
    <w:p w14:paraId="3443FF4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A5654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2AC20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63A9E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07A6894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43569689"/>
        <w:docPartObj>
          <w:docPartGallery w:val="Table of Contents"/>
          <w:docPartUnique/>
        </w:docPartObj>
      </w:sdtPr>
      <w:sdtEndPr/>
      <w:sdtContent>
        <w:p w14:paraId="5F338C2B" w14:textId="77777777" w:rsidR="001A4FD2" w:rsidRPr="00ED5BF3" w:rsidRDefault="001A4FD2" w:rsidP="001A4FD2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ED5BF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953EB0" w14:textId="67FA1E04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98249424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_Toc198249424 \h </w:instrText>
            </w:r>
            <w:r>
              <w:rPr>
                <w:noProof/>
                <w:webHidden/>
              </w:rPr>
              <w:fldChar w:fldCharType="separate"/>
            </w:r>
            <w:r w:rsidR="00FB02C6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C373" w14:textId="4D4D3935" w:rsidR="001A4FD2" w:rsidRDefault="001F7CA4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5" w:history="1">
            <w:r w:rsidR="001A4FD2" w:rsidRPr="006C229A">
              <w:rPr>
                <w:rStyle w:val="a8"/>
                <w:bCs/>
                <w:noProof/>
              </w:rPr>
              <w:t>1.Общая информация о проекте</w:t>
            </w:r>
            <w:r w:rsidR="001A4FD2">
              <w:rPr>
                <w:noProof/>
                <w:webHidden/>
              </w:rPr>
              <w:tab/>
            </w:r>
          </w:hyperlink>
          <w:r w:rsidR="00573D25">
            <w:rPr>
              <w:noProof/>
            </w:rPr>
            <w:t>3</w:t>
          </w:r>
        </w:p>
        <w:p w14:paraId="0060E0A2" w14:textId="4043E0A5" w:rsidR="001A4FD2" w:rsidRDefault="001F7CA4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6" w:history="1">
            <w:r w:rsidR="001A4FD2" w:rsidRPr="006C229A">
              <w:rPr>
                <w:rStyle w:val="a8"/>
                <w:bCs/>
                <w:noProof/>
              </w:rPr>
              <w:t>2. Общая характеристика деятельности организации</w:t>
            </w:r>
            <w:r w:rsidR="001A4FD2">
              <w:rPr>
                <w:noProof/>
                <w:webHidden/>
              </w:rPr>
              <w:tab/>
            </w:r>
            <w:r w:rsidR="001A4FD2">
              <w:rPr>
                <w:noProof/>
                <w:webHidden/>
              </w:rPr>
              <w:fldChar w:fldCharType="begin"/>
            </w:r>
            <w:r w:rsidR="001A4FD2">
              <w:rPr>
                <w:noProof/>
                <w:webHidden/>
              </w:rPr>
              <w:instrText xml:space="preserve"> PAGEREF _Toc198249426 \h </w:instrText>
            </w:r>
            <w:r w:rsidR="001A4FD2">
              <w:rPr>
                <w:noProof/>
                <w:webHidden/>
              </w:rPr>
              <w:fldChar w:fldCharType="separate"/>
            </w:r>
            <w:r w:rsidR="00FB02C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1A4FD2">
              <w:rPr>
                <w:noProof/>
                <w:webHidden/>
              </w:rPr>
              <w:fldChar w:fldCharType="end"/>
            </w:r>
          </w:hyperlink>
        </w:p>
        <w:p w14:paraId="1F964FC4" w14:textId="6F2131F8" w:rsidR="001A4FD2" w:rsidRDefault="001F7CA4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7" w:history="1">
            <w:r w:rsidR="001A4FD2" w:rsidRPr="006C229A">
              <w:rPr>
                <w:rStyle w:val="a8"/>
                <w:bCs/>
                <w:noProof/>
              </w:rPr>
              <w:t>3. Описание задания по проектной практике</w:t>
            </w:r>
            <w:r w:rsidR="001A4FD2">
              <w:rPr>
                <w:noProof/>
                <w:webHidden/>
              </w:rPr>
              <w:tab/>
            </w:r>
          </w:hyperlink>
          <w:r w:rsidR="00573D25">
            <w:rPr>
              <w:noProof/>
            </w:rPr>
            <w:t>6</w:t>
          </w:r>
        </w:p>
        <w:p w14:paraId="647ECC6C" w14:textId="273E5302" w:rsidR="001A4FD2" w:rsidRDefault="001F7CA4" w:rsidP="001A4FD2">
          <w:pPr>
            <w:pStyle w:val="20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8" w:history="1">
            <w:r w:rsidR="001A4FD2" w:rsidRPr="006C229A">
              <w:rPr>
                <w:rStyle w:val="a8"/>
                <w:bCs/>
                <w:noProof/>
              </w:rPr>
              <w:t>4.</w:t>
            </w:r>
            <w:r w:rsidR="001A4FD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A4FD2" w:rsidRPr="006C229A">
              <w:rPr>
                <w:rStyle w:val="a8"/>
                <w:bCs/>
                <w:noProof/>
              </w:rPr>
              <w:t>Описание достигнутых результатов по проектной практике</w:t>
            </w:r>
            <w:r w:rsidR="001A4FD2">
              <w:rPr>
                <w:noProof/>
                <w:webHidden/>
              </w:rPr>
              <w:tab/>
            </w:r>
          </w:hyperlink>
          <w:r w:rsidR="00573D25">
            <w:rPr>
              <w:noProof/>
            </w:rPr>
            <w:t>9</w:t>
          </w:r>
        </w:p>
        <w:p w14:paraId="6F7538A1" w14:textId="32B2916B" w:rsidR="001A4FD2" w:rsidRDefault="001F7CA4" w:rsidP="001A4FD2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9" w:history="1">
            <w:r w:rsidR="001A4FD2" w:rsidRPr="006C229A">
              <w:rPr>
                <w:rStyle w:val="a8"/>
                <w:rFonts w:ascii="Times New Roman" w:hAnsi="Times New Roman"/>
                <w:bCs/>
                <w:noProof/>
              </w:rPr>
              <w:t>Базовая часть</w:t>
            </w:r>
            <w:r w:rsidR="001A4FD2">
              <w:rPr>
                <w:noProof/>
                <w:webHidden/>
              </w:rPr>
              <w:tab/>
            </w:r>
            <w:r w:rsidR="00573D25">
              <w:rPr>
                <w:noProof/>
                <w:webHidden/>
              </w:rPr>
              <w:t>9</w:t>
            </w:r>
          </w:hyperlink>
        </w:p>
        <w:p w14:paraId="7F0A59D1" w14:textId="1857531A" w:rsidR="001A4FD2" w:rsidRDefault="001F7CA4" w:rsidP="001A4FD2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0" w:history="1">
            <w:r w:rsidR="001A4FD2" w:rsidRPr="006C229A">
              <w:rPr>
                <w:rStyle w:val="a8"/>
                <w:rFonts w:ascii="Times New Roman" w:hAnsi="Times New Roman"/>
                <w:bCs/>
                <w:noProof/>
              </w:rPr>
              <w:t>Вариативная часть: «</w:t>
            </w:r>
            <w:r w:rsidR="0027757E" w:rsidRPr="0027757E">
              <w:rPr>
                <w:rStyle w:val="a8"/>
                <w:rFonts w:ascii="Times New Roman" w:hAnsi="Times New Roman"/>
                <w:bCs/>
                <w:noProof/>
              </w:rPr>
              <w:t>Анализ изменения законодательства в сфере информационной безопасности за последние 3 года</w:t>
            </w:r>
            <w:r w:rsidR="001A4FD2" w:rsidRPr="006C229A">
              <w:rPr>
                <w:rStyle w:val="a8"/>
                <w:rFonts w:ascii="Times New Roman" w:hAnsi="Times New Roman"/>
                <w:bCs/>
                <w:noProof/>
              </w:rPr>
              <w:t>»</w:t>
            </w:r>
            <w:r w:rsidR="001A4FD2">
              <w:rPr>
                <w:noProof/>
                <w:webHidden/>
              </w:rPr>
              <w:tab/>
            </w:r>
          </w:hyperlink>
          <w:r w:rsidR="00573D25">
            <w:rPr>
              <w:noProof/>
            </w:rPr>
            <w:t>11</w:t>
          </w:r>
        </w:p>
        <w:p w14:paraId="4B24A554" w14:textId="5510B693" w:rsidR="001A4FD2" w:rsidRDefault="001F7CA4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1" w:history="1">
            <w:r w:rsidR="001A4FD2" w:rsidRPr="006C229A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1A4FD2">
              <w:rPr>
                <w:noProof/>
                <w:webHidden/>
              </w:rPr>
              <w:tab/>
            </w:r>
          </w:hyperlink>
          <w:r w:rsidR="00573D25">
            <w:rPr>
              <w:noProof/>
            </w:rPr>
            <w:t>13</w:t>
          </w:r>
        </w:p>
        <w:p w14:paraId="57E771D6" w14:textId="78AEDFB6" w:rsidR="001A4FD2" w:rsidRDefault="001F7CA4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2" w:history="1">
            <w:r w:rsidR="001A4FD2" w:rsidRPr="006C229A">
              <w:rPr>
                <w:rStyle w:val="a8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1A4FD2">
              <w:rPr>
                <w:noProof/>
                <w:webHidden/>
              </w:rPr>
              <w:tab/>
            </w:r>
          </w:hyperlink>
          <w:r w:rsidR="00573D25">
            <w:rPr>
              <w:noProof/>
            </w:rPr>
            <w:t>14</w:t>
          </w:r>
        </w:p>
        <w:p w14:paraId="65071547" w14:textId="77777777" w:rsidR="001A4FD2" w:rsidRDefault="001A4FD2" w:rsidP="001A4FD2">
          <w:pPr>
            <w:pStyle w:val="10"/>
            <w:jc w:val="both"/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30A9ED4" w14:textId="77777777" w:rsidR="00C60EFB" w:rsidRPr="00C60EFB" w:rsidRDefault="00C60EFB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57C42" w14:textId="0A27C1D8" w:rsidR="003324E0" w:rsidRPr="00D4055A" w:rsidRDefault="003324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AE16EB1" w14:textId="1DC54737" w:rsidR="004A1C35" w:rsidRPr="006B03EA" w:rsidRDefault="003324E0" w:rsidP="00D65564">
      <w:pPr>
        <w:pStyle w:val="7"/>
        <w:rPr>
          <w:rFonts w:eastAsia="Times New Roman"/>
        </w:rPr>
      </w:pPr>
      <w:r w:rsidRPr="006B03EA">
        <w:rPr>
          <w:rFonts w:eastAsia="Times New Roman"/>
        </w:rPr>
        <w:lastRenderedPageBreak/>
        <w:t>ВВЕДЕНИЕ</w:t>
      </w:r>
    </w:p>
    <w:p w14:paraId="1DE42B98" w14:textId="77777777" w:rsidR="00D4055A" w:rsidRPr="00E2128A" w:rsidRDefault="00D4055A" w:rsidP="00E2128A">
      <w:pPr>
        <w:pStyle w:val="8"/>
      </w:pPr>
      <w:r w:rsidRPr="00E2128A">
        <w:t>1. Общая информация о проекте</w:t>
      </w:r>
    </w:p>
    <w:p w14:paraId="3EF6F1B6" w14:textId="77777777" w:rsid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652F0" w14:textId="694E0BFB" w:rsid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деятельность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C7884D0" w14:textId="62D8453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предоставляет уникальные возможности для практического обучения в сфере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кибербезопасности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разработки защищённых систем и взаимодействия с ведущими экспертами отрасли. Участие в нём позволяет мне углублять знания в области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бэкенд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-разработки, а также осваивать создание интерфейсов для работы с системами виртуализации и контейнеризации.</w:t>
      </w:r>
    </w:p>
    <w:p w14:paraId="168C173A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Киберполигоны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вузах играют ключевую роль в подготовке специалистов по информационной безопасности. Они дают студентам возможность отрабатывать навыки на реальных кейсах – от моделирования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кибератак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разработки защитных механизмов. Это не просто учебная площадка, а полноценная среда для исследований, где можно тестировать уязвимости, разрабатывать новые методы защиты и сотрудничать с индустрией.</w:t>
      </w:r>
    </w:p>
    <w:p w14:paraId="1763C29F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 используют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обновления учебных программ с учётом актуальных угроз, а студенты получают доступ к реальным проектам от компаний-партнёров. Кроме того, площадка служит центром повышения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киберграмотности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здесь проводятся тренинги и семинары, полезные как для студентов, так и для широкой аудитории.</w:t>
      </w:r>
    </w:p>
    <w:p w14:paraId="692E0A3A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proofErr w:type="spellStart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становится точкой притяжения для будущих специалистов, работодателей и исследователей, помогая готовить востребованных экспертов и развивать отрасль в целом.</w:t>
      </w:r>
    </w:p>
    <w:p w14:paraId="071CBE95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7FBFE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B435F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47658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6CD7D9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FCC25" w14:textId="77777777" w:rsidR="00D65564" w:rsidRDefault="00D6556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546B2" w14:textId="77777777" w:rsidR="00370634" w:rsidRDefault="00370634" w:rsidP="006B03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8440E" w14:textId="45B50464" w:rsidR="00E8709D" w:rsidRPr="00E2128A" w:rsidRDefault="000356A8" w:rsidP="00E2128A">
      <w:pPr>
        <w:pStyle w:val="8"/>
      </w:pPr>
      <w:r w:rsidRPr="00E2128A">
        <w:lastRenderedPageBreak/>
        <w:t>2. Общая характеристика деятельности организации</w:t>
      </w:r>
    </w:p>
    <w:p w14:paraId="7D8F059E" w14:textId="77777777" w:rsidR="00D65564" w:rsidRDefault="00D65564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60955" w14:textId="6AF614F6" w:rsidR="00E8709D" w:rsidRP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 проекта является Московский политехнический университет.</w:t>
      </w:r>
    </w:p>
    <w:p w14:paraId="148504B0" w14:textId="36FA00DC" w:rsidR="00E8709D" w:rsidRP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политехнический университет» (Московский </w:t>
      </w:r>
      <w:proofErr w:type="spellStart"/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Политех</w:t>
      </w:r>
      <w:proofErr w:type="spellEnd"/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один из ведущих технических вузов страны, где академическое образование органично сочетается с прикладными исследованиями и инновационной деятельностью. Университет обладает развитой инфраструктурой, включающей специализированные институты, такие как Институт информационных технологий, современные научные центры и лаборатории, в том числе занимающиеся вопросами </w:t>
      </w:r>
      <w:proofErr w:type="spellStart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кибербезопасности</w:t>
      </w:r>
      <w:proofErr w:type="spellEnd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цифровых технологий, что создает прочную основу для реализации подобных инициатив. Основными направлениями работы вуза являются подготовка высококвалифицированных кадров для IT-отрасли, инженерных специальностей и сферы информационной безопасности, а также проведение научных изысканий в кооперации с промышленными предприятиями и государственными структурами. </w:t>
      </w:r>
    </w:p>
    <w:p w14:paraId="52BB12F8" w14:textId="4BB8DA7A" w:rsidR="00E8709D" w:rsidRDefault="00E8709D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активно поддерживает инновационную экосистему через различные акселерационные программы, способствуя развитию </w:t>
      </w:r>
      <w:proofErr w:type="spellStart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стартапов</w:t>
      </w:r>
      <w:proofErr w:type="spellEnd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технологических инициатив. Важной составляющей деятельности является развитие международного сотрудничества и участие в крупных федеральных проектах, особенно в таких стратегически важных областях, как искусственный интеллект, автоматизация производственных процессов и цифровая трансформация различных отраслей экономики. </w:t>
      </w:r>
    </w:p>
    <w:p w14:paraId="641AB825" w14:textId="04CA9B39" w:rsid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Наличие современной материально-технической базы, включающей специализированные лаборатории, а также обширная сеть партнерских отношений с ведущими отраслевыми компаниями позволяют университету не только обеспечить высокий уровень практической подготовки студентов, но и вести перспективные разработки в области защиты информации. Все это делает Московский </w:t>
      </w:r>
      <w:proofErr w:type="spellStart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</w:t>
      </w:r>
      <w:proofErr w:type="spellEnd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идеальной площадкой для реализации масштабного проекта «</w:t>
      </w:r>
      <w:proofErr w:type="spellStart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который призван стать важным элементом в системе подготовки специалистов по информационной безопасности и центром разработки инновационных решений в этой сфере.</w:t>
      </w:r>
    </w:p>
    <w:p w14:paraId="3AFA0B1C" w14:textId="77777777" w:rsidR="002D74DE" w:rsidRDefault="002D74DE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731D9" w14:textId="77777777" w:rsidR="00884C37" w:rsidRDefault="00884C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F3B2B2" w14:textId="6A1CF16F" w:rsidR="002D74DE" w:rsidRPr="00884C37" w:rsidRDefault="002D74DE" w:rsidP="001A4FD2">
      <w:pPr>
        <w:pStyle w:val="8"/>
        <w:rPr>
          <w:rFonts w:eastAsia="Times New Roman"/>
        </w:rPr>
      </w:pPr>
      <w:r w:rsidRPr="00884C37">
        <w:rPr>
          <w:rFonts w:eastAsia="Times New Roman"/>
        </w:rPr>
        <w:lastRenderedPageBreak/>
        <w:t>3</w:t>
      </w:r>
      <w:r w:rsidRPr="00E2128A">
        <w:t>. Описание задания по проектной практике</w:t>
      </w:r>
    </w:p>
    <w:p w14:paraId="6015901A" w14:textId="77777777" w:rsidR="002D74DE" w:rsidRDefault="002D74DE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D25C0" w14:textId="7E5C4AC3" w:rsidR="008D052D" w:rsidRDefault="008D052D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</w:t>
      </w:r>
    </w:p>
    <w:p w14:paraId="113D0B8B" w14:textId="77777777" w:rsidR="00BF532A" w:rsidRPr="00BF532A" w:rsidRDefault="00BF532A" w:rsidP="00BF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Базовая часть задания по проектной деятельности включает три ключевых этапа, каждый из которых играет важную роль в успешной реализации проекта.</w:t>
      </w:r>
    </w:p>
    <w:p w14:paraId="1B894394" w14:textId="730A75DE" w:rsidR="00650FF6" w:rsidRPr="00650FF6" w:rsidRDefault="00650FF6" w:rsidP="00650FF6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DF08493" w14:textId="29FAF4AC" w:rsidR="00BF532A" w:rsidRPr="00BF532A" w:rsidRDefault="00BF532A" w:rsidP="00BF532A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Написание документации в </w:t>
      </w:r>
      <w:proofErr w:type="spellStart"/>
      <w:r w:rsidRPr="00BF53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Markdown</w:t>
      </w:r>
      <w:proofErr w:type="spellEnd"/>
    </w:p>
    <w:p w14:paraId="3F1AEB45" w14:textId="77777777" w:rsidR="00BF532A" w:rsidRPr="00BF532A" w:rsidRDefault="00BF532A" w:rsidP="00BF532A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Дизайн и наполнение веб-сайта</w:t>
      </w:r>
    </w:p>
    <w:p w14:paraId="06C09741" w14:textId="77777777" w:rsidR="00BF532A" w:rsidRPr="00BF532A" w:rsidRDefault="00BF532A" w:rsidP="00BF532A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 по взаимодействию с организациями-партнерами</w:t>
      </w:r>
    </w:p>
    <w:p w14:paraId="27CBFF01" w14:textId="3EC6FDA2" w:rsidR="00BF532A" w:rsidRPr="00BF532A" w:rsidRDefault="00BF532A" w:rsidP="005F2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я освоила работу с языком разметки </w:t>
      </w:r>
      <w:proofErr w:type="spellStart"/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позволяет удобно структурировать текстовые документы. Я научилась применять основные элементы </w:t>
      </w:r>
      <w:proofErr w:type="spellStart"/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заголовки, списки, таблицы, вставку изображений и гиперссылок. Это помогло мне оформить техническую документацию проекта в понятном и читаемом виде. Использование </w:t>
      </w:r>
      <w:proofErr w:type="spellStart"/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упростило командную работу, так как файлы в этом формате легко редактировать и отслеживать изменения в системе контроля версий.</w:t>
      </w:r>
    </w:p>
    <w:p w14:paraId="76252B9D" w14:textId="713B15C1" w:rsidR="00BF532A" w:rsidRPr="005F25D2" w:rsidRDefault="00BF532A" w:rsidP="005F2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Моей задачей было </w:t>
      </w:r>
      <w:r w:rsidR="005F25D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и наполнение</w:t>
      </w:r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веб-сайта для проекта. Я разработала дизайн, подобрала цветовую гамму и шрифты, обеспечивающие удобство восприятия информации. Для верстки использовались HTML и CSS, что позволило сделать сайт адаптивным и эстетически привлекательным. Контент сайта включал описание проекта, его цели и результаты. Этот этап позволил мне получить практические навыки в веб-разработке и понять важность удобного интерфейса для пользователей.</w:t>
      </w:r>
    </w:p>
    <w:p w14:paraId="0B07250B" w14:textId="77777777" w:rsidR="00BF532A" w:rsidRPr="00BF532A" w:rsidRDefault="00BF532A" w:rsidP="00BF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я участвовала в мероприятиях, организованных компаниями-партнерами, что позволило получить ценные знания и опыт.</w:t>
      </w:r>
    </w:p>
    <w:p w14:paraId="2C24C5FA" w14:textId="77777777" w:rsidR="00BF532A" w:rsidRPr="009F4F94" w:rsidRDefault="00BF532A" w:rsidP="00BF532A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Экскурсия в компанию R-</w:t>
      </w:r>
      <w:proofErr w:type="spellStart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Vision</w:t>
      </w:r>
      <w:proofErr w:type="spellEnd"/>
      <w:r w:rsidRPr="009F4F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Мероприятие дало возможность познакомиться с реальными проектами в сфере IT, узнать о современных технологиях и подходах к разработке программного обеспечения.</w:t>
      </w:r>
    </w:p>
    <w:p w14:paraId="19CBDD64" w14:textId="77777777" w:rsidR="00BF532A" w:rsidRPr="009F4F94" w:rsidRDefault="00BF532A" w:rsidP="00BF532A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Мастер-класс от компании "</w:t>
      </w:r>
      <w:proofErr w:type="spellStart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Инфосистемы</w:t>
      </w:r>
      <w:proofErr w:type="spellEnd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Джет</w:t>
      </w:r>
      <w:proofErr w:type="spellEnd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r w:rsidRPr="009F4F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Тема мастер-класса – "Как развиваться в информационной безопасности". Я узнала о ключевых навыках, необходимых специалисту в ИБ, и о карьерных возможностях в этой области.</w:t>
      </w:r>
    </w:p>
    <w:p w14:paraId="3CF90970" w14:textId="77777777" w:rsidR="00BF532A" w:rsidRPr="009F4F94" w:rsidRDefault="00BF532A" w:rsidP="00BF532A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Вводное мероприятие от компании "</w:t>
      </w:r>
      <w:proofErr w:type="spellStart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Angara</w:t>
      </w:r>
      <w:proofErr w:type="spellEnd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Security</w:t>
      </w:r>
      <w:proofErr w:type="spellEnd"/>
      <w:r w:rsidRPr="009F4F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  <w:r w:rsidRPr="009F4F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Мероприятие помогло понять основы </w:t>
      </w:r>
      <w:proofErr w:type="spellStart"/>
      <w:r w:rsidRPr="009F4F94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кибербезопасности</w:t>
      </w:r>
      <w:proofErr w:type="spellEnd"/>
      <w:r w:rsidRPr="009F4F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важность защиты данных в современных проектах.</w:t>
      </w:r>
    </w:p>
    <w:p w14:paraId="4DC1D058" w14:textId="2F7CFA04" w:rsidR="00BF532A" w:rsidRDefault="00BF532A" w:rsidP="005F2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t>Эти встречи не только расширили мой профессиональный кругозор, но и позволили установить полезные контакты в IT-индустрии.</w:t>
      </w:r>
      <w:r w:rsidRPr="00BF532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Работа над проектом дала мне ценный опыт в документации, веб-дизайне и взаимодействии с IT-компаниями. Освоенные навыки и знания будут полезны в дальнейшей учебной и профессиональной деятельности.</w:t>
      </w:r>
    </w:p>
    <w:p w14:paraId="689026B8" w14:textId="0430B5F1" w:rsidR="009F4F94" w:rsidRPr="00BF532A" w:rsidRDefault="009F4F94" w:rsidP="005F2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над документацией, разработкой дизайна и наполнением веб-сайта и взаимодействие с партнерами заняла 21 час </w:t>
      </w:r>
    </w:p>
    <w:p w14:paraId="69D5E7D7" w14:textId="77777777" w:rsidR="008D052D" w:rsidRDefault="008D052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F71F1" w14:textId="6D5E4E51" w:rsidR="008D052D" w:rsidRDefault="008D052D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</w:t>
      </w:r>
    </w:p>
    <w:p w14:paraId="15332FDE" w14:textId="675141F4" w:rsidR="008D052D" w:rsidRPr="008D052D" w:rsidRDefault="008D052D" w:rsidP="008D05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проекта состоит в написании отчета тему «Анализ законодательства Российской Федерации в области информационной безопасности за последние три года</w:t>
      </w:r>
      <w:r w:rsid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который </w:t>
      </w: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 на всестороннее исследование изменений в нормативно-правовой базе, касающейся Информационной Безопасности в России. В рамках проекта будет проведено изучение ключевых федеральных законов, подзаконных актов и требований регуляторов, а также оценка их влияния на бизнес и государственные организации.</w:t>
      </w:r>
    </w:p>
    <w:p w14:paraId="17FDBD74" w14:textId="67C001C2" w:rsidR="008D052D" w:rsidRDefault="008D052D" w:rsidP="008D05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исследования состоит в том, чтобы выявить основные тренды в развитии законодательства в области информационной безопасности, проанализировать новшества и отменённые нормы, а также определить их практические последствия для различных заинтересованных сторон.</w:t>
      </w:r>
    </w:p>
    <w:p w14:paraId="05BC21B1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этой цели решаются следующие задачи:</w:t>
      </w:r>
    </w:p>
    <w:p w14:paraId="1D65410B" w14:textId="222E6D1F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1. Сравнение редакций ключевых нормативных актов</w:t>
      </w:r>
      <w:r w:rsidR="0088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7D103F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Анализ изменений в требованиях регуляторов (ФСТЭК, ФСБ, </w:t>
      </w:r>
      <w:proofErr w:type="spellStart"/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Роскомнадзор</w:t>
      </w:r>
      <w:proofErr w:type="spellEnd"/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) и выявление новых обязательных норм.</w:t>
      </w:r>
    </w:p>
    <w:p w14:paraId="68E52523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3. Исследование судебной практики и административных штрафов за нарушения в области ИБ.</w:t>
      </w:r>
    </w:p>
    <w:p w14:paraId="39CEB144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4. Систематизация актуальных нормативных документов для дальнейшего использования.</w:t>
      </w:r>
    </w:p>
    <w:p w14:paraId="01B3B774" w14:textId="37D5F20E" w:rsid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Среди основных нововведений: обновлённые требования к банкам по отчётам о </w:t>
      </w:r>
      <w:proofErr w:type="spellStart"/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кибератаках</w:t>
      </w:r>
      <w:proofErr w:type="spellEnd"/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новые стандарты защиты цифрового рубля, обязательный переход объектов КИИ на доверенное ПО до 2030 года, а также уточнения в перечни предустановленного программного обеспечения. В области персональных данных введена административная ответственность за нарушения при обработке биометрических данных, утверждены формы согласия на их использование и правила трансграничной передачи данных. Законопроект № 581689-8 предусматривает масштабные изменения в регулировании КИИ, включая требования к использованию российского ПО и порядок мониторинга перехода на него. Обновлён классификатор программ для ЭВМ, добавлены новые категории, такие как ПО для здравоохранения и системы RPA. Также приведены новые национальные и международные стандарты, включая ГОСТ Р 71206-2024 и ISO/IEC 27006-1:2024, и описана работа Технического комитета 362 по разработке стандартов в области ИБ. </w:t>
      </w:r>
    </w:p>
    <w:p w14:paraId="25B3CD1E" w14:textId="2AD31440" w:rsidR="00257B9F" w:rsidRDefault="00257B9F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Продолжительность исследования: 2 дня.</w:t>
      </w:r>
    </w:p>
    <w:p w14:paraId="4B0BC955" w14:textId="1E378C23" w:rsidR="009A5D1C" w:rsidRDefault="009A5D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407CE6A" w14:textId="41B1DA70" w:rsidR="009A5D1C" w:rsidRPr="00E2128A" w:rsidRDefault="009A5D1C" w:rsidP="00E2128A">
      <w:pPr>
        <w:pStyle w:val="8"/>
      </w:pPr>
      <w:r w:rsidRPr="00E2128A">
        <w:t>4. Описание достигнутых результатов по проектной практике</w:t>
      </w:r>
    </w:p>
    <w:p w14:paraId="4C5BDA03" w14:textId="4803ADD1" w:rsidR="009A5D1C" w:rsidRDefault="009A5D1C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EEFEFF" w14:textId="7BDFC824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</w:t>
      </w:r>
    </w:p>
    <w:p w14:paraId="54317B27" w14:textId="77777777" w:rsidR="00643CF2" w:rsidRPr="00643CF2" w:rsidRDefault="00643CF2" w:rsidP="00643C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базовой части проектной деятельности была проделана комплексная работа по организации эффективной системы управления проектом "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". Основное внимание уделялось созданию надежной инфраструктуры для контроля версий, разработке исчерпывающей документации и построению высокопроизводительного веб-ресурса.</w:t>
      </w:r>
    </w:p>
    <w:p w14:paraId="094E5F96" w14:textId="77777777" w:rsidR="00643CF2" w:rsidRPr="00643CF2" w:rsidRDefault="00643CF2" w:rsidP="00643C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обеспечения прозрачности и контроля изменений была развернута система управления версиями на базе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Централизованный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размещенный на платформе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получил четкую структуру каталогов, разделяющую документацию, исходный код и вспомогательные ресурсы. Особое значение имела реализация модели ветвления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Flow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позволила организовать параллельную работу над разными компонентами проекта без риска конфликтов. Дополнительно были настроены механизмы защиты основных веток, требующие обязательного код-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ревью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слиянием изменений, а также автоматизированные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пайплайны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 и сборки через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Actions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B5BDDC" w14:textId="77777777" w:rsidR="00643CF2" w:rsidRPr="00643CF2" w:rsidRDefault="00643CF2" w:rsidP="00643C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освоение синтаксиса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позволило создать детальную и хорошо структурированную документацию по проекту. Документы оформлены в едином стиле с использованием расширенных возможностей разметки, включая таблицы, диаграммы и математические формулы. Для удобства навигации реализовано автоматическое генерирование оглавлений, а также настроена конвертация документации в PDF-формат с сохранением всех структурных элементов.</w:t>
      </w:r>
    </w:p>
    <w:p w14:paraId="3D415586" w14:textId="77777777" w:rsidR="00643CF2" w:rsidRPr="00643CF2" w:rsidRDefault="00643CF2" w:rsidP="00643C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Отдельным значимым результатом стала разработка статического веб-сайта проекта, построенного на современном генераторе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Сайт отличается высокой производительностью благодаря оптимизированной загрузке контента, адаптивному дизайну и строгому соблюдению принципов доступности. Автоматизированный процесс развертывания через CI/CD обеспечивает оперативное обновление ресурса при внесении изменений в </w:t>
      </w:r>
      <w:proofErr w:type="spellStart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43CF2">
        <w:rPr>
          <w:rFonts w:ascii="Times New Roman" w:eastAsia="Times New Roman" w:hAnsi="Times New Roman" w:cs="Times New Roman"/>
          <w:color w:val="000000"/>
          <w:sz w:val="28"/>
          <w:szCs w:val="28"/>
        </w:rPr>
        <w:t>. Все решения были протестированы на соответствие критериям производительности и доступности, что подтверждается высокими оценками в инструментах аудита.</w:t>
      </w:r>
    </w:p>
    <w:p w14:paraId="5993FDC5" w14:textId="77777777" w:rsidR="000809B8" w:rsidRDefault="000809B8" w:rsidP="00C42D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C2E46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8F53C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C1D35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845F0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881E3A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02780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82BB3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94D32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6DDA7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75CC5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A42D2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0B41B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23E8E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ED1F8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14377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C0749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3C19D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872DF" w14:textId="77777777" w:rsidR="00650FF6" w:rsidRDefault="00650FF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52F9A" w14:textId="77777777" w:rsidR="00643CF2" w:rsidRDefault="00643CF2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7643E" w14:textId="77777777" w:rsidR="00643CF2" w:rsidRDefault="00643CF2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F27D3" w14:textId="78DA4D60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часть: «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законодательства Российской Федерации в области информационной безопасности за последние три года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7231081" w14:textId="77777777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4E0D9" w14:textId="534BAC9A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 части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достигнуты следующие ключевые результаты: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7"/>
        <w:gridCol w:w="2216"/>
        <w:gridCol w:w="2262"/>
        <w:gridCol w:w="2372"/>
        <w:gridCol w:w="2315"/>
      </w:tblGrid>
      <w:tr w:rsidR="00650FF6" w:rsidRPr="00650FF6" w14:paraId="7144FE26" w14:textId="77777777" w:rsidTr="00650FF6">
        <w:tc>
          <w:tcPr>
            <w:tcW w:w="0" w:type="auto"/>
            <w:hideMark/>
          </w:tcPr>
          <w:p w14:paraId="69DFD8D2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Год</w:t>
            </w:r>
          </w:p>
        </w:tc>
        <w:tc>
          <w:tcPr>
            <w:tcW w:w="0" w:type="auto"/>
            <w:hideMark/>
          </w:tcPr>
          <w:p w14:paraId="4B8DEEC5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Нормативный акт / Изменение</w:t>
            </w:r>
          </w:p>
        </w:tc>
        <w:tc>
          <w:tcPr>
            <w:tcW w:w="0" w:type="auto"/>
            <w:hideMark/>
          </w:tcPr>
          <w:p w14:paraId="1F0DC66C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Новые требования</w:t>
            </w:r>
          </w:p>
        </w:tc>
        <w:tc>
          <w:tcPr>
            <w:tcW w:w="0" w:type="auto"/>
            <w:hideMark/>
          </w:tcPr>
          <w:p w14:paraId="6E81E251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Влияние на организации</w:t>
            </w:r>
          </w:p>
        </w:tc>
        <w:tc>
          <w:tcPr>
            <w:tcW w:w="0" w:type="auto"/>
            <w:hideMark/>
          </w:tcPr>
          <w:p w14:paraId="07D42967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Практические последствия</w:t>
            </w:r>
          </w:p>
        </w:tc>
      </w:tr>
      <w:tr w:rsidR="00650FF6" w:rsidRPr="00650FF6" w14:paraId="6AB699BB" w14:textId="77777777" w:rsidTr="00650FF6">
        <w:tc>
          <w:tcPr>
            <w:tcW w:w="0" w:type="auto"/>
            <w:hideMark/>
          </w:tcPr>
          <w:p w14:paraId="7ED6FEAC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2021</w:t>
            </w:r>
          </w:p>
        </w:tc>
        <w:tc>
          <w:tcPr>
            <w:tcW w:w="0" w:type="auto"/>
            <w:hideMark/>
          </w:tcPr>
          <w:p w14:paraId="18F50AE4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Закон № 187-ФЗ (изменения в ФЗ «О безопасности КИИ»)</w:t>
            </w:r>
          </w:p>
        </w:tc>
        <w:tc>
          <w:tcPr>
            <w:tcW w:w="0" w:type="auto"/>
            <w:hideMark/>
          </w:tcPr>
          <w:p w14:paraId="0BAF90CB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Расширение перечня объектов КИИ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Обязательная аттестация систем защиты</w:t>
            </w:r>
          </w:p>
        </w:tc>
        <w:tc>
          <w:tcPr>
            <w:tcW w:w="0" w:type="auto"/>
            <w:hideMark/>
          </w:tcPr>
          <w:p w14:paraId="6952658E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Увеличение числа организаций, подпадающих под регулирование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Необходимость сертификации средств защиты</w:t>
            </w:r>
          </w:p>
        </w:tc>
        <w:tc>
          <w:tcPr>
            <w:tcW w:w="0" w:type="auto"/>
            <w:hideMark/>
          </w:tcPr>
          <w:p w14:paraId="190EE011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Доработка инфраструктуры ИБ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Рост спроса на аттестованные СЗИ</w:t>
            </w:r>
          </w:p>
        </w:tc>
      </w:tr>
      <w:tr w:rsidR="00650FF6" w:rsidRPr="00650FF6" w14:paraId="0A5A6381" w14:textId="77777777" w:rsidTr="00650FF6">
        <w:tc>
          <w:tcPr>
            <w:tcW w:w="0" w:type="auto"/>
            <w:hideMark/>
          </w:tcPr>
          <w:p w14:paraId="7A34858E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2022</w:t>
            </w:r>
          </w:p>
        </w:tc>
        <w:tc>
          <w:tcPr>
            <w:tcW w:w="0" w:type="auto"/>
            <w:hideMark/>
          </w:tcPr>
          <w:p w14:paraId="4BF484A2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Постановление Правительства № 246 (новые правила обработки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ПДн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E9111FD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Запрет хранения персональных данных за рубежом для госорганов и КИИ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Ужесточение требований к шифрованию</w:t>
            </w:r>
          </w:p>
        </w:tc>
        <w:tc>
          <w:tcPr>
            <w:tcW w:w="0" w:type="auto"/>
            <w:hideMark/>
          </w:tcPr>
          <w:p w14:paraId="1E6C20A1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Перевод IT-инфраструктуры на российские серверы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 xml:space="preserve">– Внедрение отечественных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крипторешений</w:t>
            </w:r>
            <w:proofErr w:type="spellEnd"/>
          </w:p>
        </w:tc>
        <w:tc>
          <w:tcPr>
            <w:tcW w:w="0" w:type="auto"/>
            <w:hideMark/>
          </w:tcPr>
          <w:p w14:paraId="352C94EF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– Переход на локальные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ЦОДы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Закупка российских VPN и средств шифрования</w:t>
            </w:r>
          </w:p>
        </w:tc>
      </w:tr>
      <w:tr w:rsidR="00650FF6" w:rsidRPr="00650FF6" w14:paraId="6A196998" w14:textId="77777777" w:rsidTr="00650FF6">
        <w:tc>
          <w:tcPr>
            <w:tcW w:w="0" w:type="auto"/>
            <w:hideMark/>
          </w:tcPr>
          <w:p w14:paraId="48A7F4B3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2023</w:t>
            </w:r>
          </w:p>
        </w:tc>
        <w:tc>
          <w:tcPr>
            <w:tcW w:w="0" w:type="auto"/>
            <w:hideMark/>
          </w:tcPr>
          <w:p w14:paraId="6E6350A4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Приказ ФСТЭК № 239 (требования к защите облачных сервисов)</w:t>
            </w:r>
          </w:p>
        </w:tc>
        <w:tc>
          <w:tcPr>
            <w:tcW w:w="0" w:type="auto"/>
            <w:hideMark/>
          </w:tcPr>
          <w:p w14:paraId="731986B5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Обязательная локализация облачных платформ в РФ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Сертификация по ГОСТ Р 56939</w:t>
            </w:r>
          </w:p>
        </w:tc>
        <w:tc>
          <w:tcPr>
            <w:tcW w:w="0" w:type="auto"/>
            <w:hideMark/>
          </w:tcPr>
          <w:p w14:paraId="3551B395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Пересмотр контрактов с облачными провайдерами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 xml:space="preserve">– Аудит используемых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SaaS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-решений</w:t>
            </w:r>
          </w:p>
        </w:tc>
        <w:tc>
          <w:tcPr>
            <w:tcW w:w="0" w:type="auto"/>
            <w:hideMark/>
          </w:tcPr>
          <w:p w14:paraId="1A632F47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– Отказ от зарубежных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cloud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-сервисов (например, AWS,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Google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Cloud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)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Переход на «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СберОблако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», VK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Cloud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Solutions</w:t>
            </w:r>
            <w:proofErr w:type="spellEnd"/>
          </w:p>
        </w:tc>
      </w:tr>
      <w:tr w:rsidR="00650FF6" w:rsidRPr="00650FF6" w14:paraId="0CCA7757" w14:textId="77777777" w:rsidTr="00650FF6">
        <w:tc>
          <w:tcPr>
            <w:tcW w:w="0" w:type="auto"/>
            <w:hideMark/>
          </w:tcPr>
          <w:p w14:paraId="6BF4CBE6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2024</w:t>
            </w:r>
          </w:p>
        </w:tc>
        <w:tc>
          <w:tcPr>
            <w:tcW w:w="0" w:type="auto"/>
            <w:hideMark/>
          </w:tcPr>
          <w:p w14:paraId="293F3509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Законопроект № 581689-8 (о регулировании ИИ и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Big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Data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8E2651F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Ограничения на использование зарубежных алгоритмов ИИ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 xml:space="preserve">– Регистрация систем с биометрией в реестре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Роскомнадзора</w:t>
            </w:r>
            <w:proofErr w:type="spellEnd"/>
          </w:p>
        </w:tc>
        <w:tc>
          <w:tcPr>
            <w:tcW w:w="0" w:type="auto"/>
            <w:hideMark/>
          </w:tcPr>
          <w:p w14:paraId="204E41B6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 xml:space="preserve">– Переход на российские AI-платформы (например, </w:t>
            </w:r>
            <w:proofErr w:type="spellStart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GigaChat</w:t>
            </w:r>
            <w:proofErr w:type="spellEnd"/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)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Дополнительные отчеты в регуляторы</w:t>
            </w:r>
          </w:p>
        </w:tc>
        <w:tc>
          <w:tcPr>
            <w:tcW w:w="0" w:type="auto"/>
            <w:hideMark/>
          </w:tcPr>
          <w:p w14:paraId="753BA8DF" w14:textId="77777777" w:rsidR="00650FF6" w:rsidRPr="00650FF6" w:rsidRDefault="00650FF6" w:rsidP="00650FF6">
            <w:pP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Внедрение отечественных ML-решений</w:t>
            </w:r>
            <w:r w:rsidRPr="00650FF6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Усиление контроля за обработкой биометрии</w:t>
            </w:r>
          </w:p>
        </w:tc>
      </w:tr>
    </w:tbl>
    <w:p w14:paraId="192972B4" w14:textId="77777777" w:rsidR="00C42DE1" w:rsidRDefault="00C42DE1" w:rsidP="00650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A9F004" w14:textId="6E41E890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Систематизированы законодательные 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роведён комплексный анализ более 700 нормативных актов, регулирующих ИБ, персональные данные и цифровые технологии. Выделены ключевые тенденции, включая усиление контроля за </w:t>
      </w:r>
      <w:proofErr w:type="spellStart"/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кибератаками</w:t>
      </w:r>
      <w:proofErr w:type="spellEnd"/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импортозамещение</w:t>
      </w:r>
      <w:proofErr w:type="spellEnd"/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КИИ и ужесточение требований к обработке биометрических данных.</w:t>
      </w:r>
    </w:p>
    <w:p w14:paraId="2D0B9F16" w14:textId="45CD1747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Выявлены отраслевые приоритеты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определены такие направления регулирования, как финансовый сектор (отчётность по инцидентам, защита цифрового рубля), критическая инфраструктура (переход на доверенное ПО, категорирование объектов), персональные данные (новые штрафы, биометрия, трансграничная передача).</w:t>
      </w:r>
    </w:p>
    <w:p w14:paraId="511AE691" w14:textId="70D9A00A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Проанализированы новые стандарты: р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азобраны актуальные ГОСТ Р (например, ГОСТ Р 71206-2024 по безопасной разработке ПО) и международные стандарты (ISO/IEC 27006-1:2024), а также их влияние на отраслевые практики.</w:t>
      </w:r>
    </w:p>
    <w:p w14:paraId="3869F32F" w14:textId="6D528E12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Оценены перспективы регулирования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ассмотрен законопроект № 581689-8, который расширит полномочия Правительства РФ в контроле за объектами КИИ, и прогнозируются его последствия для технологического суверенитета.</w:t>
      </w:r>
    </w:p>
    <w:p w14:paraId="7AEB6111" w14:textId="43E0B829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практико-ориентированная база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собранные данные могут быть использованы для обновления учебных курсов по Информационной безопасности, в качестве справочного материала для специалистов или для разработки корпоративных политик соответствия новым требованиям.</w:t>
      </w:r>
    </w:p>
    <w:p w14:paraId="3BC9F5F7" w14:textId="2E4A4E44" w:rsidR="006B03EA" w:rsidRDefault="00231980" w:rsidP="002319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обеспечила глубокое понимание динамики законодательства в области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нформационной безопасности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способствует адаптации образовательных и профессиональных практик к современным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проблемам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3A948D3" w14:textId="77777777" w:rsidR="00650FF6" w:rsidRDefault="00650FF6" w:rsidP="002319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6A4D2" w14:textId="77777777" w:rsidR="006B03EA" w:rsidRDefault="006B03E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A9A9BA2" w14:textId="28E40C29" w:rsidR="000809B8" w:rsidRPr="00171A76" w:rsidRDefault="006B03EA" w:rsidP="001A4FD2">
      <w:pPr>
        <w:pStyle w:val="7"/>
        <w:rPr>
          <w:rFonts w:eastAsia="Times New Roman"/>
        </w:rPr>
      </w:pPr>
      <w:r w:rsidRPr="00171A76">
        <w:rPr>
          <w:rFonts w:eastAsia="Times New Roman"/>
        </w:rPr>
        <w:t>ЗАКЛЮЧЕНИЕ</w:t>
      </w:r>
    </w:p>
    <w:p w14:paraId="0B2940F6" w14:textId="77777777" w:rsidR="00650FF6" w:rsidRPr="00650FF6" w:rsidRDefault="00650FF6" w:rsidP="00C329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был выполнен значительный объем работ, имеющих важное практическое значение для Московского политехнического университета. Среди ключевых результатов — развертывание 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Git-репозитория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управления версиями проекта, подготовка структурированной документации в формате 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статического веб-сайта, который послужил технической базой для проекта «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48ADC9A6" w14:textId="77777777" w:rsidR="00650FF6" w:rsidRPr="00650FF6" w:rsidRDefault="00650FF6" w:rsidP="00C329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Аналитическая часть работы включала исследование изменений в законодательстве по информационной безопасности за последние три года. В процессе изучения более 700 нормативных актов были выявлены ключевые тенденции в регулировании ИБ, такие как ужесточение требований к защите критической инфраструктуры, новые правила обработки персональных и биометрических данных, а также меры по технологической независимости и 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импортозамещению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Отдельное внимание уделено новым требованиям к финансовому сектору, включая обязательное информирование Банка России о </w:t>
      </w:r>
      <w:proofErr w:type="spellStart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киберинцидентах</w:t>
      </w:r>
      <w:proofErr w:type="spellEnd"/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стандарты безопасности цифрового рубля. Также проанализированы изменения в регулировании объектов КИИ, включая переход на отечественное ПО к 2030 году и обновленные правила категорирования. Дополнительно рассмотрены актуальные стандарты ИБ, включая новые ГОСТы и международные нормы ISO.</w:t>
      </w:r>
    </w:p>
    <w:p w14:paraId="4E1DCC8E" w14:textId="33E64241" w:rsidR="00650FF6" w:rsidRDefault="00650FF6" w:rsidP="00C329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0FF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выводы могут быть полезны для обновления учебных программ, а также для консультационной работы со студентами и партнерами университета. Результаты проекта полностью соответствуют поставленным целям и открывают возможности для дальнейших исследований в сфере правового регулирования информационной безопасности.</w:t>
      </w:r>
    </w:p>
    <w:p w14:paraId="23888398" w14:textId="07A972FD" w:rsidR="00C329EA" w:rsidRDefault="00C329EA" w:rsidP="00650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CFAE0" w14:textId="6DAAD1F7" w:rsidR="00C329EA" w:rsidRDefault="00C329EA" w:rsidP="00650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5F1AE" w14:textId="62E068DC" w:rsidR="00C329EA" w:rsidRDefault="00C329EA" w:rsidP="00650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3AC58" w14:textId="7FE78F9D" w:rsidR="00C329EA" w:rsidRDefault="00C329EA" w:rsidP="00650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D68DA" w14:textId="77777777" w:rsidR="00C329EA" w:rsidRPr="00650FF6" w:rsidRDefault="00C329EA" w:rsidP="00650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6E892" w14:textId="1A8616CD" w:rsidR="00C53695" w:rsidRDefault="00D65564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65564">
        <w:rPr>
          <w:rFonts w:ascii="Times New Roman" w:eastAsia="Times New Roman" w:hAnsi="Times New Roman" w:cs="Times New Roman"/>
          <w:color w:val="000000"/>
          <w:sz w:val="32"/>
          <w:szCs w:val="32"/>
        </w:rPr>
        <w:t>СПИСОК ИСПОЛЬЗОВАННОЙ ЛИТЕРАТУРЫ</w:t>
      </w:r>
    </w:p>
    <w:p w14:paraId="302B2592" w14:textId="5B929E16" w:rsidR="00D65564" w:rsidRDefault="00E2128A" w:rsidP="00E212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Обзор изменений в законодательстве ИТ и ИБ // </w:t>
      </w:r>
      <w:proofErr w:type="spellStart"/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Habr</w:t>
      </w:r>
      <w:proofErr w:type="spellEnd"/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 </w:t>
      </w:r>
      <w:hyperlink r:id="rId8" w:history="1">
        <w:r w:rsidRPr="008B4FA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https://habr.com/ru/companies/ussc/news/856364/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18.04.2025).</w:t>
      </w:r>
    </w:p>
    <w:p w14:paraId="72152F98" w14:textId="5750135F" w:rsidR="00E2128A" w:rsidRDefault="00E2128A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73F3">
        <w:rPr>
          <w:rFonts w:ascii="Times New Roman" w:hAnsi="Times New Roman" w:cs="Times New Roman"/>
          <w:sz w:val="28"/>
          <w:szCs w:val="28"/>
        </w:rPr>
        <w:t xml:space="preserve">Обзор изменений в законодательстве ИТ и ИБ // </w:t>
      </w:r>
      <w:proofErr w:type="spellStart"/>
      <w:r w:rsidRPr="004973F3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4973F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2A20D1">
          <w:rPr>
            <w:rStyle w:val="a8"/>
            <w:rFonts w:ascii="Times New Roman" w:hAnsi="Times New Roman" w:cs="Times New Roman"/>
            <w:sz w:val="28"/>
            <w:szCs w:val="28"/>
          </w:rPr>
          <w:t>https://habr.com/ru/companies/ussc/news/808485/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3F3">
        <w:rPr>
          <w:rFonts w:ascii="Times New Roman" w:hAnsi="Times New Roman" w:cs="Times New Roman"/>
          <w:sz w:val="28"/>
          <w:szCs w:val="28"/>
        </w:rPr>
        <w:t>(дата обращения: 18.04.2025).</w:t>
      </w:r>
    </w:p>
    <w:p w14:paraId="31CFC1C5" w14:textId="462D53A6" w:rsidR="00E2128A" w:rsidRDefault="00E2128A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128A">
        <w:rPr>
          <w:rFonts w:ascii="Times New Roman" w:hAnsi="Times New Roman" w:cs="Times New Roman"/>
          <w:sz w:val="28"/>
          <w:szCs w:val="28"/>
        </w:rPr>
        <w:t>Анализ законодательства в области информационной безопасности и цифровой экономики // ICT-</w:t>
      </w:r>
      <w:proofErr w:type="spellStart"/>
      <w:r w:rsidRPr="00E2128A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E2128A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r w:rsidRPr="00E2128A">
          <w:rPr>
            <w:rStyle w:val="a8"/>
            <w:rFonts w:ascii="Times New Roman" w:hAnsi="Times New Roman" w:cs="Times New Roman"/>
            <w:sz w:val="28"/>
            <w:szCs w:val="28"/>
          </w:rPr>
          <w:t>https://ict-online.ru/news/Infowatch-proanaliziroval-zakonodatel-stvo-v-oblasti-informatsionnoi-bezopasnosti-i-tsifrovoi-ekonomiki-284703</w:t>
        </w:r>
      </w:hyperlink>
      <w:r w:rsidRPr="00E2128A">
        <w:rPr>
          <w:rFonts w:ascii="Times New Roman" w:hAnsi="Times New Roman" w:cs="Times New Roman"/>
          <w:sz w:val="28"/>
          <w:szCs w:val="28"/>
        </w:rPr>
        <w:t xml:space="preserve"> (дата обращения: 18.04.2025).</w:t>
      </w:r>
    </w:p>
    <w:p w14:paraId="0D4249C5" w14:textId="0F3A90F6" w:rsidR="007D25FB" w:rsidRPr="00E2128A" w:rsidRDefault="007D25FB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5FB">
        <w:rPr>
          <w:rFonts w:ascii="Times New Roman" w:hAnsi="Times New Roman" w:cs="Times New Roman"/>
          <w:sz w:val="28"/>
          <w:szCs w:val="28"/>
        </w:rPr>
        <w:t xml:space="preserve">Учебная практика Московский политехнический университет // </w:t>
      </w:r>
      <w:proofErr w:type="spellStart"/>
      <w:r w:rsidRPr="007D25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25FB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Pr="008B4FAD">
          <w:rPr>
            <w:rStyle w:val="a8"/>
            <w:rFonts w:ascii="Times New Roman" w:hAnsi="Times New Roman" w:cs="Times New Roman"/>
            <w:sz w:val="28"/>
            <w:szCs w:val="28"/>
          </w:rPr>
          <w:t>https://github.com/mospol/practice-2025-1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5FB">
        <w:rPr>
          <w:rFonts w:ascii="Times New Roman" w:hAnsi="Times New Roman" w:cs="Times New Roman"/>
          <w:sz w:val="28"/>
          <w:szCs w:val="28"/>
        </w:rPr>
        <w:t>(дата обращения: 15.05.2025).</w:t>
      </w:r>
    </w:p>
    <w:p w14:paraId="0E373CFD" w14:textId="0A797F4C" w:rsidR="00E2128A" w:rsidRPr="00E2128A" w:rsidRDefault="00E2128A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2128A" w:rsidRPr="00E2128A" w:rsidSect="000356A8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2EEB6" w14:textId="77777777" w:rsidR="00B14D04" w:rsidRDefault="00B14D04">
      <w:pPr>
        <w:spacing w:after="0" w:line="240" w:lineRule="auto"/>
      </w:pPr>
      <w:r>
        <w:separator/>
      </w:r>
    </w:p>
  </w:endnote>
  <w:endnote w:type="continuationSeparator" w:id="0">
    <w:p w14:paraId="79D1BA3A" w14:textId="77777777" w:rsidR="00B14D04" w:rsidRDefault="00B1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299768"/>
      <w:docPartObj>
        <w:docPartGallery w:val="Page Numbers (Bottom of Page)"/>
        <w:docPartUnique/>
      </w:docPartObj>
    </w:sdtPr>
    <w:sdtEndPr/>
    <w:sdtContent>
      <w:p w14:paraId="4F3F2206" w14:textId="7731BF71" w:rsidR="000356A8" w:rsidRDefault="000356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CA4">
          <w:rPr>
            <w:noProof/>
          </w:rPr>
          <w:t>14</w:t>
        </w:r>
        <w:r>
          <w:fldChar w:fldCharType="end"/>
        </w:r>
      </w:p>
    </w:sdtContent>
  </w:sdt>
  <w:p w14:paraId="3551747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3721C" w14:textId="77777777" w:rsidR="00B14D04" w:rsidRDefault="00B14D04">
      <w:pPr>
        <w:spacing w:after="0" w:line="240" w:lineRule="auto"/>
      </w:pPr>
      <w:r>
        <w:separator/>
      </w:r>
    </w:p>
  </w:footnote>
  <w:footnote w:type="continuationSeparator" w:id="0">
    <w:p w14:paraId="3839719E" w14:textId="77777777" w:rsidR="00B14D04" w:rsidRDefault="00B1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2F0"/>
    <w:multiLevelType w:val="hybridMultilevel"/>
    <w:tmpl w:val="1000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3059"/>
    <w:multiLevelType w:val="hybridMultilevel"/>
    <w:tmpl w:val="252C5E5E"/>
    <w:lvl w:ilvl="0" w:tplc="3724A750">
      <w:start w:val="2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F4064A1"/>
    <w:multiLevelType w:val="multilevel"/>
    <w:tmpl w:val="B90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0213EC"/>
    <w:multiLevelType w:val="multilevel"/>
    <w:tmpl w:val="177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956861"/>
    <w:multiLevelType w:val="multilevel"/>
    <w:tmpl w:val="5668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1C7230"/>
    <w:multiLevelType w:val="hybridMultilevel"/>
    <w:tmpl w:val="2FA8C580"/>
    <w:lvl w:ilvl="0" w:tplc="D65E5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26"/>
  </w:num>
  <w:num w:numId="4">
    <w:abstractNumId w:val="14"/>
  </w:num>
  <w:num w:numId="5">
    <w:abstractNumId w:val="24"/>
  </w:num>
  <w:num w:numId="6">
    <w:abstractNumId w:val="13"/>
  </w:num>
  <w:num w:numId="7">
    <w:abstractNumId w:val="1"/>
  </w:num>
  <w:num w:numId="8">
    <w:abstractNumId w:val="16"/>
  </w:num>
  <w:num w:numId="9">
    <w:abstractNumId w:val="25"/>
  </w:num>
  <w:num w:numId="10">
    <w:abstractNumId w:val="8"/>
  </w:num>
  <w:num w:numId="11">
    <w:abstractNumId w:val="27"/>
  </w:num>
  <w:num w:numId="12">
    <w:abstractNumId w:val="2"/>
  </w:num>
  <w:num w:numId="13">
    <w:abstractNumId w:val="9"/>
  </w:num>
  <w:num w:numId="14">
    <w:abstractNumId w:val="22"/>
  </w:num>
  <w:num w:numId="15">
    <w:abstractNumId w:val="3"/>
  </w:num>
  <w:num w:numId="16">
    <w:abstractNumId w:val="20"/>
  </w:num>
  <w:num w:numId="17">
    <w:abstractNumId w:val="11"/>
  </w:num>
  <w:num w:numId="18">
    <w:abstractNumId w:val="17"/>
  </w:num>
  <w:num w:numId="19">
    <w:abstractNumId w:val="4"/>
  </w:num>
  <w:num w:numId="20">
    <w:abstractNumId w:val="23"/>
  </w:num>
  <w:num w:numId="21">
    <w:abstractNumId w:val="5"/>
  </w:num>
  <w:num w:numId="22">
    <w:abstractNumId w:val="15"/>
  </w:num>
  <w:num w:numId="23">
    <w:abstractNumId w:val="0"/>
  </w:num>
  <w:num w:numId="24">
    <w:abstractNumId w:val="21"/>
  </w:num>
  <w:num w:numId="25">
    <w:abstractNumId w:val="7"/>
  </w:num>
  <w:num w:numId="26">
    <w:abstractNumId w:val="6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16981"/>
    <w:rsid w:val="000356A8"/>
    <w:rsid w:val="00047531"/>
    <w:rsid w:val="000531DD"/>
    <w:rsid w:val="00055B56"/>
    <w:rsid w:val="000809B8"/>
    <w:rsid w:val="00097297"/>
    <w:rsid w:val="000B1A56"/>
    <w:rsid w:val="001403C0"/>
    <w:rsid w:val="00171A76"/>
    <w:rsid w:val="00194661"/>
    <w:rsid w:val="001A4FD2"/>
    <w:rsid w:val="001F7CA4"/>
    <w:rsid w:val="00231980"/>
    <w:rsid w:val="00235049"/>
    <w:rsid w:val="00257B9F"/>
    <w:rsid w:val="0027757E"/>
    <w:rsid w:val="002C5DB7"/>
    <w:rsid w:val="002D4604"/>
    <w:rsid w:val="002D74DE"/>
    <w:rsid w:val="0030668B"/>
    <w:rsid w:val="003324E0"/>
    <w:rsid w:val="00370634"/>
    <w:rsid w:val="004840DE"/>
    <w:rsid w:val="004A1C35"/>
    <w:rsid w:val="00573D25"/>
    <w:rsid w:val="005F25D2"/>
    <w:rsid w:val="00643CF2"/>
    <w:rsid w:val="00650FF6"/>
    <w:rsid w:val="006B03EA"/>
    <w:rsid w:val="00720A4F"/>
    <w:rsid w:val="007235D1"/>
    <w:rsid w:val="007C13E5"/>
    <w:rsid w:val="007D25FB"/>
    <w:rsid w:val="00872906"/>
    <w:rsid w:val="00884C37"/>
    <w:rsid w:val="008B494D"/>
    <w:rsid w:val="008D052D"/>
    <w:rsid w:val="00947F23"/>
    <w:rsid w:val="009A5D1C"/>
    <w:rsid w:val="009F4BA9"/>
    <w:rsid w:val="009F4F94"/>
    <w:rsid w:val="00B13ACF"/>
    <w:rsid w:val="00B14D04"/>
    <w:rsid w:val="00B8012B"/>
    <w:rsid w:val="00BF532A"/>
    <w:rsid w:val="00C068BA"/>
    <w:rsid w:val="00C101FD"/>
    <w:rsid w:val="00C329EA"/>
    <w:rsid w:val="00C3435A"/>
    <w:rsid w:val="00C42DE1"/>
    <w:rsid w:val="00C53695"/>
    <w:rsid w:val="00C60EFB"/>
    <w:rsid w:val="00D4055A"/>
    <w:rsid w:val="00D65564"/>
    <w:rsid w:val="00DB119D"/>
    <w:rsid w:val="00E1073B"/>
    <w:rsid w:val="00E17C53"/>
    <w:rsid w:val="00E2128A"/>
    <w:rsid w:val="00E8709D"/>
    <w:rsid w:val="00F37551"/>
    <w:rsid w:val="00F8405B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758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65564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E2128A"/>
    <w:pPr>
      <w:keepNext/>
      <w:keepLines/>
      <w:spacing w:before="40" w:after="0"/>
      <w:jc w:val="center"/>
      <w:outlineLvl w:val="7"/>
    </w:pPr>
    <w:rPr>
      <w:rFonts w:ascii="Times New Roman" w:eastAsiaTheme="majorEastAsia" w:hAnsi="Times New Roman" w:cstheme="majorBidi"/>
      <w:color w:val="000000" w:themeColor="text1"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70">
    <w:name w:val="Заголовок 7 Знак"/>
    <w:basedOn w:val="a0"/>
    <w:link w:val="7"/>
    <w:uiPriority w:val="9"/>
    <w:rsid w:val="00D65564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E2128A"/>
    <w:rPr>
      <w:rFonts w:ascii="Times New Roman" w:eastAsiaTheme="majorEastAsia" w:hAnsi="Times New Roman" w:cstheme="majorBidi"/>
      <w:color w:val="000000" w:themeColor="text1"/>
      <w:sz w:val="32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1A4FD2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65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650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1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ussc/news/85636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pol/practice-2025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t-online.ru/news/Infowatch-proanaliziroval-zakonodatel-stvo-v-oblasti-informatsionnoi-bezopasnosti-i-tsifrovoi-ekonomiki-2847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ussc/news/80848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B21C-EF88-4815-9753-E3D4C4CD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Софья</cp:lastModifiedBy>
  <cp:revision>33</cp:revision>
  <cp:lastPrinted>2025-05-16T09:01:00Z</cp:lastPrinted>
  <dcterms:created xsi:type="dcterms:W3CDTF">2025-05-15T11:26:00Z</dcterms:created>
  <dcterms:modified xsi:type="dcterms:W3CDTF">2025-05-16T13:15:00Z</dcterms:modified>
</cp:coreProperties>
</file>