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0" w:name="_Toc74731253"/>
            <w:bookmarkStart w:id="1" w:name="_Toc74816837"/>
            <w:bookmarkStart w:id="2" w:name="_Toc75441947"/>
            <w:bookmarkStart w:id="3" w:name="_Toc76482497"/>
            <w:bookmarkStart w:id="4" w:name="_Toc80865693"/>
            <w:r w:rsidRPr="00B679A0">
              <w:rPr>
                <w:i/>
                <w:highlight w:val="yellow"/>
                <w:lang w:val="en-US" w:eastAsia="ar-SA"/>
              </w:rPr>
              <w:t xml:space="preserve">ООО «НИИПГАЗА»</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sidRPr="00B679A0">
              <w:rPr>
                <w:i/>
                <w:highlight w:val="yellow"/>
                <w:lang w:val="en-US" w:eastAsia="ar-SA"/>
              </w:rPr>
              <w:t xml:space="preserve">ООО «Газпром трансгаз Казань»</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sidRPr="00B679A0">
              <w:rPr>
                <w:i/>
                <w:highlight w:val="yellow"/>
                <w:lang w:val="en-US" w:eastAsia="ar-SA"/>
              </w:rPr>
              <w:t xml:space="preserve">450059, Россия, Республика Башкортостан, г. Уфа, проспект Октября, дом 43/5, офис Б</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sidRPr="00B679A0">
              <w:rPr>
                <w:i/>
                <w:highlight w:val="yellow"/>
                <w:lang w:val="en-US" w:eastAsia="ar-SA"/>
              </w:rPr>
              <w:t xml:space="preserve">Правохеттинское ЛПУМГ, КЦ – 4МГ «Ямбург – Елец 1»</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sidRPr="00B679A0">
              <w:rPr>
                <w:i/>
                <w:highlight w:val="yellow"/>
                <w:lang w:eastAsia="ar-SA"/>
              </w:rPr>
              <w:t xml:space="preserve">Лаборатория НК </w:t>
            </w:r>
            <w:r w:rsidRPr="00B679A0">
              <w:rPr>
                <w:i/>
                <w:highlight w:val="yellow"/>
                <w:lang w:val="en-US" w:eastAsia="ar-SA"/>
              </w:rPr>
              <w:t xml:space="preserve">ООО «НИИПГАЗА»</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sidRPr="00B679A0">
              <w:rPr>
                <w:i/>
                <w:highlight w:val="yellow"/>
                <w:lang w:val="en-US" w:eastAsia="ar-SA"/>
              </w:rPr>
              <w:t xml:space="preserve">Пылеуловитель зав. № 46301, рег. № 727</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sidRPr="00B679A0">
              <w:rPr>
                <w:i/>
                <w:highlight w:val="yellow"/>
                <w:lang w:val="en-US" w:eastAsia="ar-SA"/>
              </w:rPr>
              <w:t xml:space="preserve">№ ЛНК-053А0002 от 02.03.2021 г</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sidRPr="00B679A0">
              <w:rPr>
                <w:i/>
                <w:highlight w:val="yellow"/>
                <w:lang w:val="en-US" w:eastAsia="ar-SA"/>
              </w:rPr>
              <w:t xml:space="preserve">135783</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bookmarkEnd w:id="2"/>
      <w:bookmarkEnd w:id="3"/>
      <w:bookmarkEnd w:id="4"/>
      <w:r w:rsidR="00703073" w:rsidRPr="00B679A0">
        <w:rPr>
          <w:rFonts w:ascii="Times New Roman" w:hAnsi="Times New Roman" w:cs="Times New Roman"/>
          <w:caps w:val="0"/>
          <w:color w:val="auto"/>
          <w:sz w:val="24"/>
          <w:highlight w:val="yellow"/>
        </w:rPr>
        <w:t xml:space="preserve">3</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B679A0">
        <w:rPr>
          <w:rFonts w:ascii="Times New Roman" w:eastAsia="Calibri" w:hAnsi="Times New Roman" w:cs="Times New Roman"/>
          <w:bCs w:val="0"/>
          <w:caps w:val="0"/>
          <w:color w:val="auto"/>
          <w:sz w:val="24"/>
          <w:szCs w:val="24"/>
          <w:highlight w:val="yellow"/>
        </w:rPr>
        <w:t xml:space="preserve">18.06.2022</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5" w:name="_Toc74731254"/>
      <w:bookmarkStart w:id="6" w:name="_Toc74816838"/>
      <w:bookmarkStart w:id="7" w:name="_Toc75441948"/>
      <w:bookmarkStart w:id="8" w:name="_Toc76482498"/>
      <w:bookmarkStart w:id="9"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5"/>
      <w:bookmarkEnd w:id="6"/>
      <w:bookmarkEnd w:id="7"/>
      <w:bookmarkEnd w:id="8"/>
      <w:bookmarkEnd w:id="9"/>
    </w:p>
    <w:p w14:paraId="5FCFB86C" w14:textId="3433B88D" w:rsidR="00655D0F" w:rsidRPr="007C4C59" w:rsidRDefault="00655D0F" w:rsidP="00AD20ED">
      <w:pPr>
        <w:pStyle w:val="aa"/>
        <w:numPr>
          <w:ilvl w:val="0"/>
          <w:numId w:val="23"/>
        </w:numPr>
        <w:spacing w:line="276" w:lineRule="auto"/>
        <w:ind w:left="0" w:firstLine="709"/>
        <w:rPr>
          <w:b/>
          <w:lang w:eastAsia="ar-SA"/>
        </w:rPr>
      </w:pPr>
      <w:bookmarkStart w:id="10"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21"/>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21"/>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21"/>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21"/>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21"/>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10"/>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23"/>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23"/>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22"/>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22"/>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11"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B679A0" w:rsidRDefault="007D74C9" w:rsidP="0087291C">
            <w:pPr>
              <w:rPr>
                <w:color w:val="000000" w:themeColor="text1"/>
                <w:highlight w:val="yellow"/>
              </w:rPr>
            </w:pPr>
            <w:r w:rsidRPr="00B679A0">
              <w:rPr>
                <w:color w:val="000000" w:themeColor="text1"/>
                <w:highlight w:val="yellow"/>
              </w:rPr>
              <w:t xml:space="preserve">Специалист ВИК 2 уровня</w:t>
            </w:r>
          </w:p>
          <w:p w14:paraId="0352E2A9" w14:textId="77777777" w:rsidR="007D74C9" w:rsidRPr="00893E33" w:rsidRDefault="007D74C9" w:rsidP="0087291C">
            <w:pPr>
              <w:rPr>
                <w:color w:val="000000" w:themeColor="text1"/>
              </w:rPr>
            </w:pPr>
            <w:r w:rsidRPr="00B679A0">
              <w:rPr>
                <w:color w:val="000000" w:themeColor="text1"/>
                <w:highlight w:val="yellow"/>
              </w:rPr>
              <w:t xml:space="preserve">Квалификационное удостоверение НОАП-0042-2534, действительно до 01.03.2023</w:t>
            </w:r>
          </w:p>
        </w:tc>
        <w:tc>
          <w:tcPr>
            <w:tcW w:w="2500" w:type="pct"/>
            <w:vAlign w:val="center"/>
          </w:tcPr>
          <w:p w14:paraId="1DCE0D2B" w14:textId="77777777" w:rsidR="007D74C9" w:rsidRPr="006E0EF8" w:rsidRDefault="007D74C9" w:rsidP="0087291C">
            <w:pPr>
              <w:suppressAutoHyphens/>
              <w:autoSpaceDE w:val="0"/>
              <w:autoSpaceDN w:val="0"/>
              <w:jc w:val="right"/>
            </w:pPr>
            <w:r w:rsidRPr="00B679A0">
              <w:rPr>
                <w:color w:val="000000" w:themeColor="text1"/>
                <w:highlight w:val="yellow"/>
                <w:lang w:val="en-US"/>
              </w:rPr>
              <w:t xml:space="preserve">И.Т. Ахияруллин</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11"/>
    <w:p w14:paraId="4104287F" w14:textId="77777777" w:rsidR="00D9060F" w:rsidRPr="00D9060F" w:rsidRDefault="00D9060F" w:rsidP="00D9060F">
      <w:pPr>
        <w:jc w:val="right"/>
      </w:pPr>
    </w:p>
    <w:sectPr w:rsidR="00D9060F" w:rsidRPr="00D9060F"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DF941" w14:textId="77777777" w:rsidR="006F0EA1" w:rsidRDefault="006F0EA1" w:rsidP="00776DB6">
      <w:r>
        <w:separator/>
      </w:r>
    </w:p>
  </w:endnote>
  <w:endnote w:type="continuationSeparator" w:id="0">
    <w:p w14:paraId="39E8B32E" w14:textId="77777777" w:rsidR="006F0EA1" w:rsidRDefault="006F0EA1"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BE1B" w14:textId="77777777" w:rsidR="00DD624B" w:rsidRDefault="00DD624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3C7DA139"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0425" w14:textId="77777777" w:rsidR="00DD624B" w:rsidRDefault="00DD62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452B1" w14:textId="77777777" w:rsidR="006F0EA1" w:rsidRDefault="006F0EA1" w:rsidP="00776DB6">
      <w:r>
        <w:separator/>
      </w:r>
    </w:p>
  </w:footnote>
  <w:footnote w:type="continuationSeparator" w:id="0">
    <w:p w14:paraId="41FF6B82" w14:textId="77777777" w:rsidR="006F0EA1" w:rsidRDefault="006F0EA1"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C45D5" w14:textId="77777777" w:rsidR="00DD624B" w:rsidRDefault="00DD624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2CC929C7" w:rsidR="00C1326B" w:rsidRPr="00DD624B" w:rsidRDefault="00DD624B" w:rsidP="00B46F9F">
          <w:pPr>
            <w:pStyle w:val="a3"/>
            <w:jc w:val="center"/>
            <w:rPr>
              <w:sz w:val="20"/>
              <w:highlight w:val="yellow"/>
              <w:lang w:val="en-US"/>
            </w:rPr>
          </w:pPr>
          <w:r w:rsidRPr="00DD624B">
            <w:rPr>
              <w:sz w:val="20"/>
              <w:highlight w:val="yellow"/>
              <w:lang w:val="en-US"/>
            </w:rPr>
            <w:t xml:space="preserve">ООО «НИИПГАЗА»</w:t>
          </w:r>
        </w:p>
      </w:tc>
      <w:tc>
        <w:tcPr>
          <w:tcW w:w="2500" w:type="pct"/>
          <w:vAlign w:val="center"/>
        </w:tcPr>
        <w:p w14:paraId="747D7027" w14:textId="1FAB1C88" w:rsidR="00C1326B" w:rsidRPr="00DD624B" w:rsidRDefault="00DD624B" w:rsidP="00B46F9F">
          <w:pPr>
            <w:pStyle w:val="a3"/>
            <w:jc w:val="center"/>
            <w:rPr>
              <w:sz w:val="20"/>
              <w:lang w:val="en-US"/>
            </w:rPr>
          </w:pPr>
          <w:r w:rsidRPr="00DD624B">
            <w:rPr>
              <w:sz w:val="20"/>
              <w:highlight w:val="yellow"/>
              <w:lang w:val="en-US"/>
            </w:rPr>
            <w:t xml:space="preserve">№ ТО-ЭЭ-СРД-0324.08-2021</w:t>
          </w:r>
          <w:bookmarkStart w:id="12" w:name="_GoBack"/>
          <w:bookmarkEnd w:id="12"/>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FBAE0" w14:textId="77777777" w:rsidR="00DD624B" w:rsidRDefault="00DD624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58B"/>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0EA1"/>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073"/>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D74C9"/>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97FFE"/>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0E7"/>
    <w:rsid w:val="00AB7F7D"/>
    <w:rsid w:val="00AC0040"/>
    <w:rsid w:val="00AC1AF5"/>
    <w:rsid w:val="00AC3BA1"/>
    <w:rsid w:val="00AC4B14"/>
    <w:rsid w:val="00AC5F0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679A0"/>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60F"/>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24B"/>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113"/>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A1957-3710-46FA-820F-1A8F6AC7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2</Pages>
  <Words>373</Words>
  <Characters>2130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2022-06-17T08:55:00Z</dcterms:modified>
</cp:coreProperties>
</file>