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 xml:space="preserve">ООО «Энергоэксперт»</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 xml:space="preserve">ООО «Газпром трансгаз Казань»</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 xml:space="preserve">Правохеттинское ЛПУМГ, КЦ – 4МГ «Ямбург – Елец 1»</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 xml:space="preserve">Пылеуловитель зав. № 46301, рег. № 727</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 xml:space="preserve">135783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 xml:space="preserve">1</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 xml:space="preserve">3.03.2022</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2021-01-27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2021-01-28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2021-02-04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2021-05-17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2021-01-26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2021-04-15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7</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NaT</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 xml:space="preserve">Специалист ВИК 2 уровня</w:t>
            </w:r>
          </w:p>
          <w:p w14:paraId="350CBAF1" w14:textId="27535AD3" w:rsidR="00F52751" w:rsidRPr="00893E33" w:rsidRDefault="00893E33" w:rsidP="00893E33">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 xml:space="preserve">К.Ю. Барашев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5" w:name="_Toc8737474"/>
      <w:bookmarkStart w:id="16" w:name="_Toc74731267"/>
      <w:bookmarkStart w:id="17" w:name="_Toc493839382"/>
      <w:bookmarkStart w:id="18" w:name="_Toc493840087"/>
      <w:bookmarkStart w:id="19" w:name="_Toc493856719"/>
      <w:bookmarkStart w:id="20" w:name="_Toc49385812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