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Pr>
                <w:i/>
                <w:lang w:val="en-US" w:eastAsia="ar-SA"/>
              </w:rPr>
              <w:t xml:space="preserve">ООО «Энергоэксперт»</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 xml:space="preserve">ООО «Газпром трансгаз Югорск»</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 xml:space="preserve">Правохеттинское ЛПУМГ, КЦ – 4МГ «Ямбург – Елец 1»</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 xml:space="preserve">Пылеуловитель зав. № 46301, рег. № 727</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135783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EA7C35">
        <w:rPr>
          <w:rFonts w:ascii="Times New Roman" w:hAnsi="Times New Roman" w:cs="Times New Roman"/>
          <w:caps w:val="0"/>
          <w:color w:val="auto"/>
          <w:sz w:val="24"/>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 xml:space="preserve">8.03.2022</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 xml:space="preserve">Специалист ВИК 2 уровня</w:t>
            </w:r>
          </w:p>
          <w:p w14:paraId="07ACE262" w14:textId="77777777" w:rsidR="00E71E6E" w:rsidRPr="00893E33" w:rsidRDefault="00E71E6E" w:rsidP="001D6B7F">
            <w:pPr>
              <w:rPr>
                <w:color w:val="000000" w:themeColor="text1"/>
              </w:rPr>
            </w:pPr>
            <w:r w:rsidRPr="00C35895">
              <w:rPr>
                <w:color w:val="000000" w:themeColor="text1"/>
              </w:rPr>
              <w:t xml:space="preserve">Квалификационное удостоверение 0058-0006, действительно до 2018-09-24 00:00:00</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 xml:space="preserve">И.А. Авдеев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AA6B1" w14:textId="77777777" w:rsidR="00613314" w:rsidRDefault="00613314" w:rsidP="00776DB6">
      <w:r>
        <w:separator/>
      </w:r>
    </w:p>
  </w:endnote>
  <w:endnote w:type="continuationSeparator" w:id="0">
    <w:p w14:paraId="4A418CD3" w14:textId="77777777" w:rsidR="00613314" w:rsidRDefault="00613314"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B89B3" w14:textId="77777777" w:rsidR="00613314" w:rsidRDefault="00613314" w:rsidP="00776DB6">
      <w:r>
        <w:separator/>
      </w:r>
    </w:p>
  </w:footnote>
  <w:footnote w:type="continuationSeparator" w:id="0">
    <w:p w14:paraId="74370C80" w14:textId="77777777" w:rsidR="00613314" w:rsidRDefault="00613314"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E2B83-27E4-42BA-936E-D45620BE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2022-02-25T06:17:00Z</dcterms:modified>
</cp:coreProperties>
</file>