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Pr>
                <w:i/>
                <w:lang w:val="en-US" w:eastAsia="ar-SA"/>
              </w:rPr>
              <w:t xml:space="preserve">ООО «Энергоэксперт»</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 xml:space="preserve">ООО «Газпром трансгаз Казань»</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 xml:space="preserve">Правохеттинское ЛПУМГ, КЦ – 4МГ «Ямбург – Елец 1»</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 xml:space="preserve">Пылеуловитель зав. № 46301, рег. № 727</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135783</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EA7C35">
        <w:rPr>
          <w:rFonts w:ascii="Times New Roman" w:hAnsi="Times New Roman" w:cs="Times New Roman"/>
          <w:caps w:val="0"/>
          <w:color w:val="auto"/>
          <w:sz w:val="24"/>
        </w:rPr>
        <w:t xml:space="preserve">2</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 xml:space="preserve">3.03.2022</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664.0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2021-01-27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99.0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2021-01-28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637.0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2021-02-04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1133612.0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С-ГХШ/18-05-2021/64158944</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2021-05-17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ТЭМП-УТ1</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2480.0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12/258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2021-01-26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405.0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2021-04-15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7</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Мультиметр цифровой специализированный серии V701 КОРД</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1905220.0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nan</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NaT</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 xml:space="preserve">Специалист ВИК 2 уровня</w:t>
            </w:r>
          </w:p>
          <w:p w14:paraId="1F01B44E" w14:textId="77777777" w:rsidR="00BE322D" w:rsidRPr="00893E33" w:rsidRDefault="00BE322D" w:rsidP="0087291C">
            <w:pPr>
              <w:rPr>
                <w:color w:val="000000" w:themeColor="text1"/>
              </w:rPr>
            </w:pPr>
            <w:r w:rsidRPr="00C35895">
              <w:rPr>
                <w:color w:val="000000" w:themeColor="text1"/>
              </w:rPr>
              <w:t xml:space="preserve">Квалификационное удостоверение 0045-04-2959, действительно до 2019-02-11 00:00:00</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 xml:space="preserve">К.Ю. Барашев</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bookmarkStart w:id="10" w:name="_GoBack"/>
      <w:bookmarkEnd w:id="10"/>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E9A8B" w14:textId="77777777" w:rsidR="00B23AE3" w:rsidRDefault="00B23AE3" w:rsidP="00776DB6">
      <w:r>
        <w:separator/>
      </w:r>
    </w:p>
  </w:endnote>
  <w:endnote w:type="continuationSeparator" w:id="0">
    <w:p w14:paraId="56537AFA" w14:textId="77777777" w:rsidR="00B23AE3" w:rsidRDefault="00B23AE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D0E3B" w14:textId="77777777" w:rsidR="00B23AE3" w:rsidRDefault="00B23AE3" w:rsidP="00776DB6">
      <w:r>
        <w:separator/>
      </w:r>
    </w:p>
  </w:footnote>
  <w:footnote w:type="continuationSeparator" w:id="0">
    <w:p w14:paraId="54C03EF1" w14:textId="77777777" w:rsidR="00B23AE3" w:rsidRDefault="00B23AE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32905" w:rsidRDefault="00C1326B" w:rsidP="00B46F9F">
          <w:pPr>
            <w:pStyle w:val="a3"/>
            <w:jc w:val="center"/>
            <w:rPr>
              <w:sz w:val="20"/>
            </w:rPr>
          </w:pPr>
          <w:r w:rsidRPr="00932905">
            <w:rPr>
              <w:sz w:val="20"/>
            </w:rPr>
            <w:t>ООО «</w:t>
          </w:r>
          <w:r w:rsidR="0043696D" w:rsidRPr="00932905">
            <w:rPr>
              <w:sz w:val="20"/>
            </w:rPr>
            <w:t>Энергоэксперт</w:t>
          </w:r>
          <w:r w:rsidRPr="00932905">
            <w:rPr>
              <w:sz w:val="20"/>
            </w:rPr>
            <w:t>»</w:t>
          </w:r>
        </w:p>
      </w:tc>
      <w:tc>
        <w:tcPr>
          <w:tcW w:w="2500" w:type="pct"/>
          <w:vAlign w:val="center"/>
        </w:tcPr>
        <w:p w14:paraId="747D7027" w14:textId="097650CF" w:rsidR="00C1326B" w:rsidRPr="00DF33AF" w:rsidRDefault="00C1326B" w:rsidP="00B46F9F">
          <w:pPr>
            <w:pStyle w:val="a3"/>
            <w:jc w:val="center"/>
            <w:rPr>
              <w:sz w:val="20"/>
            </w:rPr>
          </w:pPr>
          <w:r w:rsidRPr="00932905">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4D9D8-F743-4313-B141-28FB077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2022-02-25T06:34:00Z</dcterms:modified>
</cp:coreProperties>
</file>