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Pr>
                <w:i/>
                <w:lang w:val="en-US" w:eastAsia="ar-SA"/>
              </w:rPr>
              <w:t>{{executor}}</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Pr>
                <w:i/>
                <w:lang w:val="en-US" w:eastAsia="ar-SA"/>
              </w:rPr>
              <w:t>{{client}}</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Pr>
                <w:i/>
                <w:lang w:val="en-US" w:eastAsia="ar-SA"/>
              </w:rPr>
              <w:t>{{postal}}</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Pr>
                <w:i/>
                <w:lang w:val="en-US" w:eastAsia="ar-SA"/>
              </w:rPr>
              <w:t>{{</w:t>
            </w:r>
            <w:proofErr w:type="spellStart"/>
            <w:r>
              <w:rPr>
                <w:i/>
                <w:lang w:val="en-US" w:eastAsia="ar-SA"/>
              </w:rPr>
              <w:t>obj_location</w:t>
            </w:r>
            <w:proofErr w:type="spellEnd"/>
            <w:r>
              <w:rPr>
                <w:i/>
                <w:lang w:val="en-US" w:eastAsia="ar-SA"/>
              </w:rPr>
              <w:t>}}</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Pr>
                <w:i/>
                <w:lang w:eastAsia="ar-SA"/>
              </w:rPr>
              <w:t xml:space="preserve">Лаборатория НК </w:t>
            </w:r>
            <w:r>
              <w:rPr>
                <w:i/>
                <w:lang w:val="en-US" w:eastAsia="ar-SA"/>
              </w:rPr>
              <w:t>{{executor}}</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Pr>
                <w:i/>
                <w:lang w:val="en-US" w:eastAsia="ar-SA"/>
              </w:rPr>
              <w:t>{{</w:t>
            </w:r>
            <w:proofErr w:type="spellStart"/>
            <w:r>
              <w:rPr>
                <w:i/>
                <w:lang w:val="en-US" w:eastAsia="ar-SA"/>
              </w:rPr>
              <w:t>obj_name</w:t>
            </w:r>
            <w:proofErr w:type="spellEnd"/>
            <w:r>
              <w:rPr>
                <w:i/>
                <w:lang w:val="en-US" w:eastAsia="ar-SA"/>
              </w:rPr>
              <w:t>}}</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Pr>
                <w:i/>
                <w:lang w:val="en-US" w:eastAsia="ar-SA"/>
              </w:rPr>
              <w:t>{{cert}}</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Pr>
                <w:i/>
                <w:lang w:val="en-US" w:eastAsia="ar-SA"/>
              </w:rPr>
              <w:t>{{number}}</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EA7C35">
        <w:rPr>
          <w:rFonts w:ascii="Times New Roman" w:hAnsi="Times New Roman" w:cs="Times New Roman"/>
          <w:caps w:val="0"/>
          <w:color w:val="auto"/>
          <w:sz w:val="24"/>
        </w:rPr>
        <w:t>{{</w:t>
      </w:r>
      <w:r w:rsidR="00703073">
        <w:rPr>
          <w:rFonts w:ascii="Times New Roman" w:hAnsi="Times New Roman" w:cs="Times New Roman"/>
          <w:caps w:val="0"/>
          <w:color w:val="auto"/>
          <w:sz w:val="24"/>
          <w:lang w:val="en-US"/>
        </w:rPr>
        <w:t>p</w:t>
      </w:r>
      <w:r w:rsidR="00703073" w:rsidRPr="00EA7C35">
        <w:rPr>
          <w:rFonts w:ascii="Times New Roman" w:hAnsi="Times New Roman" w:cs="Times New Roman"/>
          <w:caps w:val="0"/>
          <w:color w:val="auto"/>
          <w:sz w:val="24"/>
        </w:rPr>
        <w:t>_</w:t>
      </w:r>
      <w:proofErr w:type="spellStart"/>
      <w:r w:rsidR="00703073">
        <w:rPr>
          <w:rFonts w:ascii="Times New Roman" w:hAnsi="Times New Roman" w:cs="Times New Roman"/>
          <w:caps w:val="0"/>
          <w:color w:val="auto"/>
          <w:sz w:val="24"/>
          <w:lang w:val="en-US"/>
        </w:rPr>
        <w:t>idx</w:t>
      </w:r>
      <w:proofErr w:type="spellEnd"/>
      <w:r w:rsidR="00703073" w:rsidRPr="00EA7C35">
        <w:rPr>
          <w:rFonts w:ascii="Times New Roman" w:hAnsi="Times New Roman" w:cs="Times New Roman"/>
          <w:caps w:val="0"/>
          <w:color w:val="auto"/>
          <w:sz w:val="24"/>
        </w:rPr>
        <w:t>}}</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EA7C35">
        <w:rPr>
          <w:rFonts w:ascii="Times New Roman" w:eastAsia="Calibri" w:hAnsi="Times New Roman" w:cs="Times New Roman"/>
          <w:bCs w:val="0"/>
          <w:caps w:val="0"/>
          <w:color w:val="auto"/>
          <w:sz w:val="24"/>
          <w:szCs w:val="24"/>
        </w:rPr>
        <w:t>{{</w:t>
      </w:r>
      <w:r w:rsidR="00703073" w:rsidRPr="00EA7C35">
        <w:rPr>
          <w:rFonts w:ascii="Times New Roman" w:eastAsia="Calibri" w:hAnsi="Times New Roman" w:cs="Times New Roman"/>
          <w:bCs w:val="0"/>
          <w:caps w:val="0"/>
          <w:color w:val="auto"/>
          <w:sz w:val="24"/>
          <w:szCs w:val="24"/>
          <w:lang w:val="en-US"/>
        </w:rPr>
        <w:t>date</w:t>
      </w:r>
      <w:r w:rsidR="00703073" w:rsidRPr="00EA7C35">
        <w:rPr>
          <w:rFonts w:ascii="Times New Roman" w:eastAsia="Calibri" w:hAnsi="Times New Roman" w:cs="Times New Roman"/>
          <w:bCs w:val="0"/>
          <w:caps w:val="0"/>
          <w:color w:val="auto"/>
          <w:sz w:val="24"/>
          <w:szCs w:val="24"/>
        </w:rPr>
        <w:t>}}</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50458B" w:rsidRPr="0050458B" w14:paraId="1EC57DBB" w14:textId="77777777" w:rsidTr="0087291C">
        <w:trPr>
          <w:trHeight w:val="20"/>
        </w:trPr>
        <w:tc>
          <w:tcPr>
            <w:tcW w:w="5000" w:type="pct"/>
            <w:gridSpan w:val="5"/>
            <w:vAlign w:val="center"/>
          </w:tcPr>
          <w:p w14:paraId="0316DA68" w14:textId="77777777" w:rsidR="0050458B" w:rsidRPr="00B000F7" w:rsidRDefault="0050458B" w:rsidP="0087291C">
            <w:pPr>
              <w:suppressAutoHyphens/>
              <w:rPr>
                <w:bCs/>
                <w:spacing w:val="-7"/>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for item in </w:t>
            </w:r>
            <w:proofErr w:type="spellStart"/>
            <w:r>
              <w:rPr>
                <w:bCs/>
                <w:spacing w:val="-7"/>
                <w:sz w:val="24"/>
                <w:szCs w:val="24"/>
                <w:lang w:val="en-US" w:eastAsia="be-BY"/>
              </w:rPr>
              <w:t>tbl_devices</w:t>
            </w:r>
            <w:proofErr w:type="spellEnd"/>
            <w:r>
              <w:rPr>
                <w:bCs/>
                <w:spacing w:val="-7"/>
                <w:sz w:val="24"/>
                <w:szCs w:val="24"/>
                <w:lang w:val="en-US" w:eastAsia="be-BY"/>
              </w:rPr>
              <w:t xml:space="preserve"> %}</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w:t>
            </w:r>
            <w:proofErr w:type="spellStart"/>
            <w:r>
              <w:rPr>
                <w:sz w:val="24"/>
                <w:szCs w:val="24"/>
                <w:lang w:val="en-US" w:eastAsia="be-BY"/>
              </w:rPr>
              <w:t>item.numberDevice</w:t>
            </w:r>
            <w:proofErr w:type="spellEnd"/>
            <w:r>
              <w:rPr>
                <w:sz w:val="24"/>
                <w:szCs w:val="24"/>
                <w:lang w:val="en-US" w:eastAsia="be-BY"/>
              </w:rPr>
              <w:t>}}</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{{item.c0}}</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{{item.c1}}</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{{item.c2}}</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{{item.c3}}</w:t>
            </w:r>
          </w:p>
        </w:tc>
      </w:tr>
      <w:tr w:rsidR="0050458B" w:rsidRPr="0005439E" w14:paraId="7E0B07AD" w14:textId="77777777" w:rsidTr="0087291C">
        <w:trPr>
          <w:trHeight w:val="20"/>
        </w:trPr>
        <w:tc>
          <w:tcPr>
            <w:tcW w:w="5000" w:type="pct"/>
            <w:gridSpan w:val="5"/>
            <w:vAlign w:val="center"/>
          </w:tcPr>
          <w:p w14:paraId="03D42E90" w14:textId="77777777" w:rsidR="0050458B" w:rsidRDefault="0050458B" w:rsidP="0087291C">
            <w:pPr>
              <w:suppressAutoHyphens/>
              <w:rPr>
                <w:sz w:val="24"/>
                <w:szCs w:val="24"/>
                <w:lang w:val="en-US" w:eastAsia="be-BY"/>
              </w:rPr>
            </w:pPr>
            <w:r>
              <w:rPr>
                <w:bCs/>
                <w:spacing w:val="-7"/>
                <w:sz w:val="24"/>
                <w:szCs w:val="24"/>
                <w:lang w:val="en-US" w:eastAsia="be-BY"/>
              </w:rPr>
              <w:t>{%</w:t>
            </w:r>
            <w:proofErr w:type="spellStart"/>
            <w:r>
              <w:rPr>
                <w:bCs/>
                <w:spacing w:val="-7"/>
                <w:sz w:val="24"/>
                <w:szCs w:val="24"/>
                <w:lang w:val="en-US" w:eastAsia="be-BY"/>
              </w:rPr>
              <w:t>tr</w:t>
            </w:r>
            <w:proofErr w:type="spellEnd"/>
            <w:r>
              <w:rPr>
                <w:bCs/>
                <w:spacing w:val="-7"/>
                <w:sz w:val="24"/>
                <w:szCs w:val="24"/>
                <w:lang w:val="en-US" w:eastAsia="be-BY"/>
              </w:rPr>
              <w:t xml:space="preserve"> </w:t>
            </w:r>
            <w:proofErr w:type="spellStart"/>
            <w:r>
              <w:rPr>
                <w:bCs/>
                <w:spacing w:val="-7"/>
                <w:sz w:val="24"/>
                <w:szCs w:val="24"/>
                <w:lang w:val="en-US" w:eastAsia="be-BY"/>
              </w:rPr>
              <w:t>endfor</w:t>
            </w:r>
            <w:proofErr w:type="spellEnd"/>
            <w:r>
              <w:rPr>
                <w:bCs/>
                <w:spacing w:val="-7"/>
                <w:sz w:val="24"/>
                <w:szCs w:val="24"/>
                <w:lang w:val="en-US" w:eastAsia="be-BY"/>
              </w:rPr>
              <w:t xml:space="preserve"> %}</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r w:rsidR="00AC5F04" w:rsidRPr="00AC5F04" w14:paraId="40D4915D" w14:textId="77777777" w:rsidTr="00AC5F04">
        <w:trPr>
          <w:trHeight w:val="57"/>
          <w:jc w:val="center"/>
        </w:trPr>
        <w:tc>
          <w:tcPr>
            <w:tcW w:w="5000" w:type="pct"/>
            <w:gridSpan w:val="4"/>
            <w:vAlign w:val="center"/>
          </w:tcPr>
          <w:p w14:paraId="7E9F5032" w14:textId="067F098B"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for item in </w:t>
            </w:r>
            <w:r w:rsidRPr="00210389">
              <w:rPr>
                <w:bCs/>
                <w:spacing w:val="-7"/>
                <w:lang w:val="en-US" w:eastAsia="be-BY"/>
              </w:rPr>
              <w:t>tbl_</w:t>
            </w:r>
            <w:r>
              <w:rPr>
                <w:bCs/>
                <w:spacing w:val="-7"/>
                <w:lang w:val="en-US" w:eastAsia="be-BY"/>
              </w:rPr>
              <w:t>0%}</w:t>
            </w:r>
          </w:p>
        </w:tc>
      </w:tr>
      <w:tr w:rsidR="00AC5F04" w:rsidRPr="00AC5F04" w14:paraId="4874F0F9" w14:textId="77777777" w:rsidTr="00AC5F04">
        <w:trPr>
          <w:trHeight w:val="57"/>
          <w:jc w:val="center"/>
        </w:trPr>
        <w:tc>
          <w:tcPr>
            <w:tcW w:w="1266" w:type="pct"/>
            <w:vAlign w:val="center"/>
          </w:tcPr>
          <w:p w14:paraId="3E45E4EB" w14:textId="3C501B5A" w:rsidR="00AC5F04" w:rsidRPr="00AC5F04" w:rsidRDefault="00AC5F04" w:rsidP="00AC5F04">
            <w:pPr>
              <w:numPr>
                <w:ilvl w:val="12"/>
                <w:numId w:val="0"/>
              </w:numPr>
              <w:jc w:val="center"/>
              <w:rPr>
                <w:snapToGrid w:val="0"/>
                <w:highlight w:val="yellow"/>
                <w:lang w:val="en-US"/>
              </w:rPr>
            </w:pPr>
            <w:r>
              <w:rPr>
                <w:lang w:val="en-US" w:eastAsia="be-BY"/>
              </w:rPr>
              <w:t>{{</w:t>
            </w:r>
            <w:proofErr w:type="spellStart"/>
            <w:r>
              <w:rPr>
                <w:lang w:val="en-US" w:eastAsia="be-BY"/>
              </w:rPr>
              <w:t>item.numberResult</w:t>
            </w:r>
            <w:proofErr w:type="spellEnd"/>
            <w:r>
              <w:rPr>
                <w:lang w:val="en-US" w:eastAsia="be-BY"/>
              </w:rPr>
              <w:t>}}</w:t>
            </w:r>
          </w:p>
        </w:tc>
        <w:tc>
          <w:tcPr>
            <w:tcW w:w="852" w:type="pct"/>
            <w:vAlign w:val="center"/>
          </w:tcPr>
          <w:p w14:paraId="1A6BDD92" w14:textId="3EEB826D" w:rsidR="00AC5F04" w:rsidRPr="00AC5F04" w:rsidRDefault="00AC5F04" w:rsidP="00AC5F04">
            <w:pPr>
              <w:numPr>
                <w:ilvl w:val="12"/>
                <w:numId w:val="0"/>
              </w:numPr>
              <w:jc w:val="center"/>
              <w:rPr>
                <w:iCs/>
                <w:snapToGrid w:val="0"/>
                <w:highlight w:val="yellow"/>
                <w:lang w:val="en-US"/>
              </w:rPr>
            </w:pPr>
            <w:r w:rsidRPr="00210389">
              <w:rPr>
                <w:color w:val="000000"/>
              </w:rPr>
              <w:t>{{item.c0}}</w:t>
            </w:r>
          </w:p>
        </w:tc>
        <w:tc>
          <w:tcPr>
            <w:tcW w:w="2121" w:type="pct"/>
            <w:vAlign w:val="center"/>
          </w:tcPr>
          <w:p w14:paraId="371FE77B" w14:textId="1113B729" w:rsidR="00AC5F04" w:rsidRPr="00AC5F04" w:rsidRDefault="00AC5F04" w:rsidP="00AC5F04">
            <w:pPr>
              <w:numPr>
                <w:ilvl w:val="12"/>
                <w:numId w:val="0"/>
              </w:numPr>
              <w:jc w:val="center"/>
              <w:rPr>
                <w:iCs/>
                <w:snapToGrid w:val="0"/>
                <w:highlight w:val="yellow"/>
                <w:lang w:val="en-US"/>
              </w:rPr>
            </w:pPr>
            <w:r w:rsidRPr="00210389">
              <w:rPr>
                <w:color w:val="000000"/>
              </w:rPr>
              <w:t>{{</w:t>
            </w:r>
            <w:proofErr w:type="spellStart"/>
            <w:r w:rsidRPr="00210389">
              <w:rPr>
                <w:color w:val="000000"/>
              </w:rPr>
              <w:t>item.c</w:t>
            </w:r>
            <w:proofErr w:type="spellEnd"/>
            <w:r>
              <w:rPr>
                <w:color w:val="000000"/>
                <w:lang w:val="en-US"/>
              </w:rPr>
              <w:t>1</w:t>
            </w:r>
            <w:r w:rsidRPr="00210389">
              <w:rPr>
                <w:color w:val="000000"/>
              </w:rPr>
              <w:t>}}</w:t>
            </w:r>
          </w:p>
        </w:tc>
        <w:tc>
          <w:tcPr>
            <w:tcW w:w="761" w:type="pct"/>
            <w:vAlign w:val="center"/>
          </w:tcPr>
          <w:p w14:paraId="5E00316C" w14:textId="727D2473" w:rsidR="00AC5F04" w:rsidRPr="00AC5F04" w:rsidRDefault="00AC5F04" w:rsidP="00AC5F04">
            <w:pPr>
              <w:numPr>
                <w:ilvl w:val="12"/>
                <w:numId w:val="0"/>
              </w:numPr>
              <w:jc w:val="center"/>
              <w:rPr>
                <w:snapToGrid w:val="0"/>
                <w:highlight w:val="yellow"/>
                <w:lang w:val="en-US"/>
              </w:rPr>
            </w:pPr>
            <w:r w:rsidRPr="00210389">
              <w:rPr>
                <w:color w:val="000000"/>
              </w:rPr>
              <w:t>{{</w:t>
            </w:r>
            <w:proofErr w:type="spellStart"/>
            <w:r w:rsidRPr="00210389">
              <w:rPr>
                <w:color w:val="000000"/>
              </w:rPr>
              <w:t>item.c</w:t>
            </w:r>
            <w:proofErr w:type="spellEnd"/>
            <w:r>
              <w:rPr>
                <w:color w:val="000000"/>
                <w:lang w:val="en-US"/>
              </w:rPr>
              <w:t>2</w:t>
            </w:r>
            <w:r w:rsidRPr="00210389">
              <w:rPr>
                <w:color w:val="000000"/>
              </w:rPr>
              <w:t>}}</w:t>
            </w:r>
          </w:p>
        </w:tc>
      </w:tr>
      <w:tr w:rsidR="00AC5F04" w:rsidRPr="00AC5F04" w14:paraId="582D11FA" w14:textId="77777777" w:rsidTr="00AC5F04">
        <w:trPr>
          <w:trHeight w:val="57"/>
          <w:jc w:val="center"/>
        </w:trPr>
        <w:tc>
          <w:tcPr>
            <w:tcW w:w="5000" w:type="pct"/>
            <w:gridSpan w:val="4"/>
            <w:vAlign w:val="center"/>
          </w:tcPr>
          <w:p w14:paraId="203CD110" w14:textId="0651C488" w:rsidR="00AC5F04" w:rsidRPr="00AC5F04" w:rsidRDefault="00AC5F04" w:rsidP="00AC5F04">
            <w:pPr>
              <w:numPr>
                <w:ilvl w:val="12"/>
                <w:numId w:val="0"/>
              </w:numPr>
              <w:jc w:val="left"/>
              <w:rPr>
                <w:snapToGrid w:val="0"/>
                <w:highlight w:val="yellow"/>
                <w:lang w:val="en-US"/>
              </w:rPr>
            </w:pPr>
            <w:r>
              <w:rPr>
                <w:bCs/>
                <w:spacing w:val="-7"/>
                <w:lang w:val="en-US" w:eastAsia="be-BY"/>
              </w:rPr>
              <w:t>{%</w:t>
            </w:r>
            <w:proofErr w:type="spellStart"/>
            <w:r>
              <w:rPr>
                <w:bCs/>
                <w:spacing w:val="-7"/>
                <w:lang w:val="en-US" w:eastAsia="be-BY"/>
              </w:rPr>
              <w:t>tr</w:t>
            </w:r>
            <w:proofErr w:type="spellEnd"/>
            <w:r>
              <w:rPr>
                <w:bCs/>
                <w:spacing w:val="-7"/>
                <w:lang w:val="en-US" w:eastAsia="be-BY"/>
              </w:rPr>
              <w:t xml:space="preserve"> </w:t>
            </w:r>
            <w:proofErr w:type="spellStart"/>
            <w:r>
              <w:rPr>
                <w:bCs/>
                <w:spacing w:val="-7"/>
                <w:lang w:val="en-US" w:eastAsia="be-BY"/>
              </w:rPr>
              <w:t>endfor</w:t>
            </w:r>
            <w:proofErr w:type="spellEnd"/>
            <w:r>
              <w:rPr>
                <w:bCs/>
                <w:spacing w:val="-7"/>
                <w:lang w:val="en-US" w:eastAsia="be-BY"/>
              </w:rPr>
              <w:t xml:space="preserve"> %}</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F57F06" w:rsidRDefault="007D74C9"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r>
              <w:rPr>
                <w:color w:val="000000" w:themeColor="text1"/>
                <w:lang w:val="en-US"/>
              </w:rPr>
              <w:t>position</w:t>
            </w:r>
            <w:r w:rsidRPr="00C35895">
              <w:rPr>
                <w:color w:val="000000" w:themeColor="text1"/>
              </w:rPr>
              <w:t>}}</w:t>
            </w:r>
          </w:p>
          <w:p w14:paraId="0352E2A9" w14:textId="77777777" w:rsidR="007D74C9" w:rsidRPr="00893E33" w:rsidRDefault="007D74C9" w:rsidP="0087291C">
            <w:pPr>
              <w:rPr>
                <w:color w:val="000000" w:themeColor="text1"/>
              </w:rPr>
            </w:pPr>
            <w:r w:rsidRPr="00C35895">
              <w:rPr>
                <w:color w:val="000000" w:themeColor="text1"/>
              </w:rPr>
              <w:t>{{</w:t>
            </w:r>
            <w:r>
              <w:rPr>
                <w:color w:val="000000" w:themeColor="text1"/>
                <w:lang w:val="en-US"/>
              </w:rPr>
              <w:t>specialist</w:t>
            </w:r>
            <w:r w:rsidRPr="00C35895">
              <w:rPr>
                <w:color w:val="000000" w:themeColor="text1"/>
              </w:rPr>
              <w:t>_</w:t>
            </w:r>
            <w:proofErr w:type="spellStart"/>
            <w:r>
              <w:rPr>
                <w:color w:val="000000" w:themeColor="text1"/>
                <w:lang w:val="en-US"/>
              </w:rPr>
              <w:t>qual</w:t>
            </w:r>
            <w:proofErr w:type="spellEnd"/>
            <w:r w:rsidRPr="00C35895">
              <w:rPr>
                <w:color w:val="000000" w:themeColor="text1"/>
              </w:rPr>
              <w:t>}}</w:t>
            </w:r>
          </w:p>
        </w:tc>
        <w:tc>
          <w:tcPr>
            <w:tcW w:w="2500" w:type="pct"/>
            <w:vAlign w:val="center"/>
          </w:tcPr>
          <w:p w14:paraId="1DCE0D2B" w14:textId="77777777" w:rsidR="007D74C9" w:rsidRPr="006E0EF8" w:rsidRDefault="007D74C9" w:rsidP="0087291C">
            <w:pPr>
              <w:suppressAutoHyphens/>
              <w:autoSpaceDE w:val="0"/>
              <w:autoSpaceDN w:val="0"/>
              <w:jc w:val="right"/>
            </w:pPr>
            <w:r>
              <w:rPr>
                <w:color w:val="000000" w:themeColor="text1"/>
                <w:lang w:val="en-US"/>
              </w:rPr>
              <w:t>{{</w:t>
            </w:r>
            <w:proofErr w:type="spellStart"/>
            <w:r>
              <w:rPr>
                <w:color w:val="000000" w:themeColor="text1"/>
                <w:lang w:val="en-US"/>
              </w:rPr>
              <w:t>surname_and_initials</w:t>
            </w:r>
            <w:proofErr w:type="spellEnd"/>
            <w:r>
              <w:rPr>
                <w:color w:val="000000" w:themeColor="text1"/>
                <w:lang w:val="en-US"/>
              </w:rPr>
              <w:t>}}</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bookmarkStart w:id="12" w:name="_GoBack"/>
      <w:bookmarkEnd w:id="12"/>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3D8C8" w14:textId="77777777" w:rsidR="00FC7113" w:rsidRDefault="00FC7113" w:rsidP="00776DB6">
      <w:r>
        <w:separator/>
      </w:r>
    </w:p>
  </w:endnote>
  <w:endnote w:type="continuationSeparator" w:id="0">
    <w:p w14:paraId="499386D1" w14:textId="77777777" w:rsidR="00FC7113" w:rsidRDefault="00FC711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103E2" w14:textId="77777777" w:rsidR="00FC7113" w:rsidRDefault="00FC7113" w:rsidP="00776DB6">
      <w:r>
        <w:separator/>
      </w:r>
    </w:p>
  </w:footnote>
  <w:footnote w:type="continuationSeparator" w:id="0">
    <w:p w14:paraId="285EE75E" w14:textId="77777777" w:rsidR="00FC7113" w:rsidRDefault="00FC711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97FFE" w:rsidRDefault="00C1326B" w:rsidP="00B46F9F">
          <w:pPr>
            <w:pStyle w:val="a3"/>
            <w:jc w:val="center"/>
            <w:rPr>
              <w:sz w:val="20"/>
            </w:rPr>
          </w:pPr>
          <w:r w:rsidRPr="00997FFE">
            <w:rPr>
              <w:sz w:val="20"/>
            </w:rPr>
            <w:t>ООО «</w:t>
          </w:r>
          <w:r w:rsidR="0043696D" w:rsidRPr="00997FFE">
            <w:rPr>
              <w:sz w:val="20"/>
            </w:rPr>
            <w:t>Энергоэксперт</w:t>
          </w:r>
          <w:r w:rsidRPr="00997FFE">
            <w:rPr>
              <w:sz w:val="20"/>
            </w:rPr>
            <w:t>»</w:t>
          </w:r>
        </w:p>
      </w:tc>
      <w:tc>
        <w:tcPr>
          <w:tcW w:w="2500" w:type="pct"/>
          <w:vAlign w:val="center"/>
        </w:tcPr>
        <w:p w14:paraId="747D7027" w14:textId="097650CF" w:rsidR="00C1326B" w:rsidRPr="00DF33AF" w:rsidRDefault="00C1326B" w:rsidP="00B46F9F">
          <w:pPr>
            <w:pStyle w:val="a3"/>
            <w:jc w:val="center"/>
            <w:rPr>
              <w:sz w:val="20"/>
            </w:rPr>
          </w:pPr>
          <w:r w:rsidRPr="00997FFE">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A1655-DBDB-47F8-910D-AF952BBD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245</cp:revision>
  <cp:lastPrinted>2021-07-07T05:28:00Z</cp:lastPrinted>
  <dcterms:created xsi:type="dcterms:W3CDTF">2021-05-28T09:21:00Z</dcterms:created>
  <dcterms:modified xsi:type="dcterms:W3CDTF">2022-02-25T06:54:00Z</dcterms:modified>
</cp:coreProperties>
</file>