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FD" w:rsidRPr="00A132FD" w:rsidRDefault="00A132FD">
      <w:pPr>
        <w:rPr>
          <w:b/>
          <w:sz w:val="24"/>
        </w:rPr>
      </w:pPr>
      <w:r w:rsidRPr="00A132FD">
        <w:rPr>
          <w:b/>
          <w:sz w:val="24"/>
        </w:rPr>
        <w:t>Software Measurement and Analysis</w:t>
      </w:r>
    </w:p>
    <w:p w:rsidR="001168AA" w:rsidRPr="00A132FD" w:rsidRDefault="00E0734A">
      <w:pPr>
        <w:rPr>
          <w:b/>
          <w:sz w:val="36"/>
        </w:rPr>
      </w:pPr>
      <w:r w:rsidRPr="00A132FD">
        <w:rPr>
          <w:b/>
          <w:sz w:val="36"/>
        </w:rPr>
        <w:t>DEFECT ANALYSIS REPORT.</w:t>
      </w:r>
    </w:p>
    <w:p w:rsidR="00076538" w:rsidRDefault="001168AA">
      <w:r>
        <w:t xml:space="preserve"> </w:t>
      </w:r>
    </w:p>
    <w:tbl>
      <w:tblPr>
        <w:tblStyle w:val="TableGrid"/>
        <w:tblW w:w="10098" w:type="dxa"/>
        <w:tblLook w:val="04A0"/>
      </w:tblPr>
      <w:tblGrid>
        <w:gridCol w:w="4608"/>
        <w:gridCol w:w="3192"/>
        <w:gridCol w:w="2298"/>
      </w:tblGrid>
      <w:tr w:rsidR="00076538" w:rsidTr="00076538">
        <w:tc>
          <w:tcPr>
            <w:tcW w:w="10098" w:type="dxa"/>
            <w:gridSpan w:val="3"/>
          </w:tcPr>
          <w:p w:rsidR="00076538" w:rsidRPr="009F5939" w:rsidRDefault="00076538">
            <w:pPr>
              <w:rPr>
                <w:b/>
              </w:rPr>
            </w:pPr>
            <w:r w:rsidRPr="009F5939">
              <w:rPr>
                <w:b/>
              </w:rPr>
              <w:t xml:space="preserve">HISTORY </w:t>
            </w:r>
          </w:p>
        </w:tc>
      </w:tr>
      <w:tr w:rsidR="00076538" w:rsidTr="00076538">
        <w:tc>
          <w:tcPr>
            <w:tcW w:w="4608" w:type="dxa"/>
          </w:tcPr>
          <w:p w:rsidR="00076538" w:rsidRDefault="00076538">
            <w:r>
              <w:t>Description</w:t>
            </w:r>
          </w:p>
        </w:tc>
        <w:tc>
          <w:tcPr>
            <w:tcW w:w="3192" w:type="dxa"/>
          </w:tcPr>
          <w:p w:rsidR="00076538" w:rsidRDefault="00076538">
            <w:r>
              <w:t xml:space="preserve">Author </w:t>
            </w:r>
          </w:p>
        </w:tc>
        <w:tc>
          <w:tcPr>
            <w:tcW w:w="2298" w:type="dxa"/>
          </w:tcPr>
          <w:p w:rsidR="00076538" w:rsidRDefault="00076538">
            <w:r>
              <w:t>Date:</w:t>
            </w:r>
          </w:p>
        </w:tc>
      </w:tr>
      <w:tr w:rsidR="00076538" w:rsidTr="00076538">
        <w:tc>
          <w:tcPr>
            <w:tcW w:w="4608" w:type="dxa"/>
          </w:tcPr>
          <w:p w:rsidR="00076538" w:rsidRDefault="00A132FD">
            <w:r>
              <w:t>Original</w:t>
            </w:r>
          </w:p>
        </w:tc>
        <w:tc>
          <w:tcPr>
            <w:tcW w:w="3192" w:type="dxa"/>
          </w:tcPr>
          <w:p w:rsidR="00076538" w:rsidRDefault="00A132FD">
            <w:r>
              <w:t>Son</w:t>
            </w:r>
          </w:p>
        </w:tc>
        <w:tc>
          <w:tcPr>
            <w:tcW w:w="2298" w:type="dxa"/>
          </w:tcPr>
          <w:p w:rsidR="00076538" w:rsidRDefault="00A132FD">
            <w:r>
              <w:t>14</w:t>
            </w:r>
            <w:r w:rsidRPr="00A132FD">
              <w:rPr>
                <w:vertAlign w:val="superscript"/>
              </w:rPr>
              <w:t>th</w:t>
            </w:r>
            <w:r>
              <w:t xml:space="preserve"> Apr 2012</w:t>
            </w:r>
          </w:p>
        </w:tc>
      </w:tr>
    </w:tbl>
    <w:p w:rsidR="00076538" w:rsidRDefault="00076538"/>
    <w:p w:rsidR="00076538" w:rsidRPr="00F333DF" w:rsidRDefault="00F66FFA" w:rsidP="00F66FFA">
      <w:pPr>
        <w:pStyle w:val="ListParagraph"/>
        <w:numPr>
          <w:ilvl w:val="0"/>
          <w:numId w:val="1"/>
        </w:numPr>
        <w:rPr>
          <w:b/>
        </w:rPr>
      </w:pPr>
      <w:r w:rsidRPr="00F333DF">
        <w:rPr>
          <w:b/>
        </w:rPr>
        <w:t>Purpose.</w:t>
      </w:r>
    </w:p>
    <w:p w:rsidR="00F66FFA" w:rsidRDefault="00F66FFA" w:rsidP="00F66FFA">
      <w:pPr>
        <w:pStyle w:val="ListParagraph"/>
      </w:pPr>
      <w:r>
        <w:t>T</w:t>
      </w:r>
      <w:r w:rsidR="00902F0D">
        <w:t xml:space="preserve">he report </w:t>
      </w:r>
      <w:r>
        <w:t>provide information about tracking defect</w:t>
      </w:r>
      <w:r w:rsidR="00902F0D">
        <w:t xml:space="preserve"> from 5</w:t>
      </w:r>
      <w:r w:rsidR="00902F0D" w:rsidRPr="00902F0D">
        <w:rPr>
          <w:vertAlign w:val="superscript"/>
        </w:rPr>
        <w:t>th</w:t>
      </w:r>
      <w:r w:rsidR="00902F0D">
        <w:t xml:space="preserve"> July 2010 to </w:t>
      </w:r>
      <w:r w:rsidR="008435C9">
        <w:t>19</w:t>
      </w:r>
      <w:r w:rsidR="008435C9" w:rsidRPr="008435C9">
        <w:rPr>
          <w:vertAlign w:val="superscript"/>
        </w:rPr>
        <w:t>th</w:t>
      </w:r>
      <w:r w:rsidR="00902F0D">
        <w:t xml:space="preserve"> </w:t>
      </w:r>
      <w:r w:rsidR="008435C9">
        <w:t>Aug</w:t>
      </w:r>
      <w:r w:rsidR="00902F0D">
        <w:t xml:space="preserve"> 2010.</w:t>
      </w:r>
    </w:p>
    <w:p w:rsidR="00F333DF" w:rsidRDefault="00F333DF" w:rsidP="00F66FFA">
      <w:pPr>
        <w:pStyle w:val="ListParagraph"/>
      </w:pPr>
      <w:r>
        <w:t xml:space="preserve">Reader of report is </w:t>
      </w:r>
      <w:r w:rsidRPr="009F5939">
        <w:rPr>
          <w:b/>
        </w:rPr>
        <w:t>project management</w:t>
      </w:r>
      <w:r>
        <w:t>.</w:t>
      </w:r>
    </w:p>
    <w:p w:rsidR="00F66FFA" w:rsidRDefault="00F333DF" w:rsidP="00F66FFA">
      <w:pPr>
        <w:pStyle w:val="ListParagraph"/>
        <w:numPr>
          <w:ilvl w:val="0"/>
          <w:numId w:val="1"/>
        </w:numPr>
      </w:pPr>
      <w:r w:rsidRPr="0008445D">
        <w:rPr>
          <w:b/>
        </w:rPr>
        <w:t>Defect statistics</w:t>
      </w:r>
      <w:r>
        <w:t>.</w:t>
      </w:r>
    </w:p>
    <w:p w:rsidR="00B6552C" w:rsidRDefault="00B6552C" w:rsidP="002469F8">
      <w:pPr>
        <w:pStyle w:val="ListParagraph"/>
        <w:numPr>
          <w:ilvl w:val="0"/>
          <w:numId w:val="2"/>
        </w:numPr>
      </w:pPr>
      <w:r>
        <w:t xml:space="preserve">Total day: </w:t>
      </w:r>
      <w:r w:rsidRPr="00B6552C">
        <w:rPr>
          <w:b/>
        </w:rPr>
        <w:t>45</w:t>
      </w:r>
      <w:r>
        <w:t>.</w:t>
      </w:r>
    </w:p>
    <w:p w:rsidR="00F333DF" w:rsidRDefault="009E5707" w:rsidP="002469F8">
      <w:pPr>
        <w:pStyle w:val="ListParagraph"/>
        <w:numPr>
          <w:ilvl w:val="0"/>
          <w:numId w:val="2"/>
        </w:numPr>
      </w:pPr>
      <w:r>
        <w:t>Number of d</w:t>
      </w:r>
      <w:r w:rsidR="000E4580">
        <w:t>efect open</w:t>
      </w:r>
      <w:r>
        <w:t>ed</w:t>
      </w:r>
      <w:r w:rsidR="000E4580">
        <w:t xml:space="preserve">: </w:t>
      </w:r>
      <w:r w:rsidR="00B6552C">
        <w:t>100</w:t>
      </w:r>
    </w:p>
    <w:p w:rsidR="000E4580" w:rsidRDefault="009E5707" w:rsidP="002469F8">
      <w:pPr>
        <w:pStyle w:val="ListParagraph"/>
        <w:numPr>
          <w:ilvl w:val="0"/>
          <w:numId w:val="2"/>
        </w:numPr>
      </w:pPr>
      <w:r>
        <w:t xml:space="preserve">Number of defect closed: </w:t>
      </w:r>
      <w:r w:rsidR="00B6552C">
        <w:t>70</w:t>
      </w:r>
    </w:p>
    <w:p w:rsidR="00D81EC5" w:rsidRDefault="00D81EC5" w:rsidP="00D81EC5">
      <w:pPr>
        <w:pStyle w:val="ListParagraph"/>
        <w:ind w:left="1440"/>
      </w:pPr>
      <w:r>
        <w:t xml:space="preserve">Rate defect closed/defect opened: </w:t>
      </w:r>
      <w:r w:rsidR="00B6552C">
        <w:rPr>
          <w:b/>
        </w:rPr>
        <w:t>70</w:t>
      </w:r>
      <w:r w:rsidRPr="00D81EC5">
        <w:rPr>
          <w:b/>
        </w:rPr>
        <w:t>%</w:t>
      </w:r>
      <w:r>
        <w:t xml:space="preserve"> </w:t>
      </w:r>
    </w:p>
    <w:p w:rsidR="003052F7" w:rsidRDefault="003052F7" w:rsidP="00910936">
      <w:pPr>
        <w:jc w:val="center"/>
      </w:pPr>
      <w:r>
        <w:rPr>
          <w:noProof/>
        </w:rPr>
        <w:drawing>
          <wp:inline distT="0" distB="0" distL="0" distR="0">
            <wp:extent cx="4910759" cy="3204375"/>
            <wp:effectExtent l="19050" t="0" r="23191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1EC5" w:rsidRDefault="00D81EC5" w:rsidP="00D81EC5">
      <w:pPr>
        <w:pStyle w:val="ListParagraph"/>
        <w:ind w:left="1440"/>
      </w:pPr>
      <w:r>
        <w:t xml:space="preserve">Average time to </w:t>
      </w:r>
      <w:r w:rsidR="006B6614">
        <w:t xml:space="preserve">detect and </w:t>
      </w:r>
      <w:r>
        <w:t xml:space="preserve">fix a defect: </w:t>
      </w:r>
      <w:r w:rsidR="00383DDD">
        <w:rPr>
          <w:b/>
        </w:rPr>
        <w:t>0.6</w:t>
      </w:r>
      <w:r w:rsidR="006B6614">
        <w:rPr>
          <w:b/>
        </w:rPr>
        <w:t>5</w:t>
      </w:r>
      <w:r w:rsidR="00383DDD">
        <w:rPr>
          <w:b/>
        </w:rPr>
        <w:t xml:space="preserve"> day </w:t>
      </w:r>
      <w:r w:rsidR="00383DDD" w:rsidRPr="00383DDD">
        <w:t>for</w:t>
      </w:r>
      <w:r w:rsidR="00383DDD">
        <w:rPr>
          <w:b/>
        </w:rPr>
        <w:t xml:space="preserve"> </w:t>
      </w:r>
      <w:r w:rsidR="00383DDD" w:rsidRPr="00383DDD">
        <w:t>a defect</w:t>
      </w:r>
      <w:r w:rsidR="00383DDD">
        <w:rPr>
          <w:b/>
        </w:rPr>
        <w:t xml:space="preserve"> </w:t>
      </w:r>
      <w:r>
        <w:t>.</w:t>
      </w:r>
    </w:p>
    <w:p w:rsidR="00892E00" w:rsidRDefault="00056BA7" w:rsidP="000C100A">
      <w:pPr>
        <w:pStyle w:val="ListParagraph"/>
        <w:ind w:left="1440"/>
      </w:pPr>
      <w:r>
        <w:t xml:space="preserve">Time need to fix all remain defects: </w:t>
      </w:r>
      <w:r w:rsidR="00892E00">
        <w:rPr>
          <w:b/>
        </w:rPr>
        <w:t>1</w:t>
      </w:r>
      <w:r w:rsidR="006B6614">
        <w:rPr>
          <w:b/>
        </w:rPr>
        <w:t>9,5</w:t>
      </w:r>
      <w:r w:rsidRPr="00056BA7">
        <w:rPr>
          <w:b/>
        </w:rPr>
        <w:t xml:space="preserve"> days</w:t>
      </w:r>
      <w:r>
        <w:rPr>
          <w:b/>
        </w:rPr>
        <w:t xml:space="preserve"> </w:t>
      </w:r>
      <w:r w:rsidRPr="00056BA7">
        <w:t xml:space="preserve">(more than </w:t>
      </w:r>
      <w:r w:rsidR="006B6614">
        <w:t>two</w:t>
      </w:r>
      <w:r w:rsidRPr="00056BA7">
        <w:t xml:space="preserve"> week</w:t>
      </w:r>
      <w:r w:rsidR="006B6614">
        <w:t>s</w:t>
      </w:r>
      <w:r w:rsidRPr="00056BA7">
        <w:t>)</w:t>
      </w:r>
      <w:r w:rsidR="000C100A">
        <w:t>.</w:t>
      </w:r>
    </w:p>
    <w:p w:rsidR="002E7BB3" w:rsidRDefault="002E7BB3" w:rsidP="00892E00">
      <w:pPr>
        <w:pStyle w:val="ListParagraph"/>
        <w:ind w:left="1440"/>
      </w:pPr>
    </w:p>
    <w:p w:rsidR="00F66FFA" w:rsidRDefault="0008445D" w:rsidP="00F66F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Defect status</w:t>
      </w:r>
      <w:r w:rsidR="00F66FFA" w:rsidRPr="00F333DF">
        <w:rPr>
          <w:b/>
        </w:rPr>
        <w:t>.</w:t>
      </w:r>
    </w:p>
    <w:p w:rsidR="00B87C51" w:rsidRDefault="00402CDD" w:rsidP="00B87C51">
      <w:pPr>
        <w:pStyle w:val="ListParagraph"/>
        <w:rPr>
          <w:b/>
        </w:rPr>
      </w:pPr>
      <w:r w:rsidRPr="00402CDD">
        <w:rPr>
          <w:b/>
        </w:rPr>
        <w:lastRenderedPageBreak/>
        <w:drawing>
          <wp:inline distT="0" distB="0" distL="0" distR="0">
            <wp:extent cx="4998223" cy="2814762"/>
            <wp:effectExtent l="19050" t="0" r="11927" b="4638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F11B6" w:rsidRDefault="00BF11B6" w:rsidP="00B87C51">
      <w:pPr>
        <w:pStyle w:val="ListParagraph"/>
        <w:rPr>
          <w:b/>
        </w:rPr>
      </w:pPr>
      <w:r w:rsidRPr="00BF11B6">
        <w:rPr>
          <w:b/>
        </w:rPr>
        <w:drawing>
          <wp:inline distT="0" distB="0" distL="0" distR="0">
            <wp:extent cx="4633125" cy="2266454"/>
            <wp:effectExtent l="19050" t="0" r="15075" b="496"/>
            <wp:docPr id="1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20484D" w:rsidTr="00014D4B">
        <w:tc>
          <w:tcPr>
            <w:tcW w:w="8856" w:type="dxa"/>
          </w:tcPr>
          <w:p w:rsidR="0020484D" w:rsidRPr="00504584" w:rsidRDefault="0020484D" w:rsidP="0020484D">
            <w:r>
              <w:t>Data Extraction Cycle:  Weekly during System Test or on demand through projects intranet site (last set of data points on graph show week-to-date current counts)</w:t>
            </w:r>
          </w:p>
        </w:tc>
      </w:tr>
      <w:tr w:rsidR="0020484D" w:rsidTr="00014D4B">
        <w:tc>
          <w:tcPr>
            <w:tcW w:w="8856" w:type="dxa"/>
          </w:tcPr>
          <w:p w:rsidR="0020484D" w:rsidRPr="00504584" w:rsidRDefault="0020484D" w:rsidP="00945505">
            <w:r w:rsidRPr="0020484D">
              <w:t>Reporting Cycle: Weekly during System Test</w:t>
            </w:r>
          </w:p>
        </w:tc>
      </w:tr>
      <w:tr w:rsidR="0020484D" w:rsidTr="00014D4B">
        <w:tc>
          <w:tcPr>
            <w:tcW w:w="8856" w:type="dxa"/>
          </w:tcPr>
          <w:p w:rsidR="0020484D" w:rsidRPr="00504584" w:rsidRDefault="0020484D" w:rsidP="00945505">
            <w:r w:rsidRPr="0020484D">
              <w:t>Availability:  Company Confidential – For Internal Use Only</w:t>
            </w:r>
          </w:p>
        </w:tc>
      </w:tr>
    </w:tbl>
    <w:p w:rsidR="00014D4B" w:rsidRDefault="00014D4B" w:rsidP="00B87C51">
      <w:pPr>
        <w:pStyle w:val="ListParagraph"/>
        <w:rPr>
          <w:b/>
        </w:rPr>
      </w:pPr>
    </w:p>
    <w:p w:rsidR="00F667C8" w:rsidRPr="00941B03" w:rsidRDefault="00E94C28" w:rsidP="00B87C51">
      <w:pPr>
        <w:pStyle w:val="ListParagraph"/>
      </w:pPr>
      <w:r>
        <w:rPr>
          <w:b/>
        </w:rPr>
        <w:t>Note</w:t>
      </w:r>
      <w:r w:rsidR="00F667C8">
        <w:rPr>
          <w:b/>
        </w:rPr>
        <w:t>.</w:t>
      </w:r>
      <w:r w:rsidR="00941B03">
        <w:rPr>
          <w:b/>
        </w:rPr>
        <w:t xml:space="preserve"> </w:t>
      </w:r>
      <w:r w:rsidR="00E04EF0">
        <w:t>From week 4 to week 6, fixing speed was decreased quickly.</w:t>
      </w:r>
      <w:r w:rsidR="00BF11B6">
        <w:t xml:space="preserve"> </w:t>
      </w:r>
      <w:r w:rsidR="00B16BAF">
        <w:t xml:space="preserve">The reason will be  </w:t>
      </w:r>
      <w:r w:rsidR="00B16BAF" w:rsidRPr="00B16BAF">
        <w:t>explained in the following</w:t>
      </w:r>
      <w:r w:rsidR="00385C8F">
        <w:t xml:space="preserve"> topic</w:t>
      </w:r>
      <w:r w:rsidR="00076283">
        <w:t>s</w:t>
      </w:r>
      <w:r w:rsidR="00385C8F">
        <w:t>.</w:t>
      </w:r>
    </w:p>
    <w:p w:rsidR="00F667C8" w:rsidRPr="00F333DF" w:rsidRDefault="00F667C8" w:rsidP="00B87C51">
      <w:pPr>
        <w:pStyle w:val="ListParagraph"/>
        <w:rPr>
          <w:b/>
        </w:rPr>
      </w:pPr>
    </w:p>
    <w:p w:rsidR="00F66FFA" w:rsidRDefault="00153956" w:rsidP="00F66FFA">
      <w:pPr>
        <w:pStyle w:val="ListParagraph"/>
        <w:numPr>
          <w:ilvl w:val="0"/>
          <w:numId w:val="1"/>
        </w:numPr>
      </w:pPr>
      <w:r w:rsidRPr="00563891">
        <w:rPr>
          <w:b/>
        </w:rPr>
        <w:t>Defects status by severity</w:t>
      </w:r>
      <w:r>
        <w:t>.</w:t>
      </w:r>
    </w:p>
    <w:p w:rsidR="00635233" w:rsidRDefault="00F667C8" w:rsidP="00635233">
      <w:pPr>
        <w:pStyle w:val="ListParagraph"/>
      </w:pPr>
      <w:r w:rsidRPr="00F667C8">
        <w:lastRenderedPageBreak/>
        <w:drawing>
          <wp:inline distT="0" distB="0" distL="0" distR="0">
            <wp:extent cx="5356031" cy="3275938"/>
            <wp:effectExtent l="19050" t="0" r="16069" b="662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20484D" w:rsidTr="0099616C">
        <w:tc>
          <w:tcPr>
            <w:tcW w:w="8856" w:type="dxa"/>
          </w:tcPr>
          <w:p w:rsidR="0020484D" w:rsidRDefault="0020484D" w:rsidP="009961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Data </w:t>
            </w:r>
            <w:r w:rsidRPr="00014D4B">
              <w:rPr>
                <w:b/>
              </w:rPr>
              <w:t xml:space="preserve">Extraction Cycle:  </w:t>
            </w:r>
            <w:r w:rsidRPr="00014D4B">
              <w:t>Weekly.</w:t>
            </w:r>
          </w:p>
        </w:tc>
      </w:tr>
      <w:tr w:rsidR="0020484D" w:rsidTr="0099616C">
        <w:tc>
          <w:tcPr>
            <w:tcW w:w="8856" w:type="dxa"/>
          </w:tcPr>
          <w:p w:rsidR="0020484D" w:rsidRDefault="0020484D" w:rsidP="0099616C">
            <w:pPr>
              <w:pStyle w:val="ListParagraph"/>
              <w:ind w:left="0"/>
              <w:rPr>
                <w:b/>
              </w:rPr>
            </w:pPr>
            <w:r w:rsidRPr="00014D4B">
              <w:rPr>
                <w:b/>
              </w:rPr>
              <w:t xml:space="preserve">Reporting Cycle:  </w:t>
            </w:r>
            <w:r w:rsidRPr="00014D4B">
              <w:t>Weekly starting with Integration Test</w:t>
            </w:r>
          </w:p>
        </w:tc>
      </w:tr>
      <w:tr w:rsidR="0020484D" w:rsidTr="0099616C">
        <w:tc>
          <w:tcPr>
            <w:tcW w:w="8856" w:type="dxa"/>
          </w:tcPr>
          <w:p w:rsidR="0020484D" w:rsidRDefault="0020484D" w:rsidP="0099616C">
            <w:pPr>
              <w:pStyle w:val="ListParagraph"/>
              <w:ind w:left="0"/>
              <w:rPr>
                <w:b/>
              </w:rPr>
            </w:pPr>
            <w:r w:rsidRPr="00014D4B">
              <w:rPr>
                <w:b/>
              </w:rPr>
              <w:t xml:space="preserve">Availability:  </w:t>
            </w:r>
            <w:r w:rsidRPr="00014D4B">
              <w:t>Company Confidential - Internal Use only</w:t>
            </w:r>
            <w:r w:rsidRPr="00014D4B">
              <w:rPr>
                <w:b/>
              </w:rPr>
              <w:t xml:space="preserve">  </w:t>
            </w:r>
          </w:p>
        </w:tc>
      </w:tr>
    </w:tbl>
    <w:p w:rsidR="00206955" w:rsidRDefault="00206955" w:rsidP="00635233">
      <w:pPr>
        <w:pStyle w:val="ListParagraph"/>
      </w:pPr>
    </w:p>
    <w:p w:rsidR="00206955" w:rsidRDefault="00431C7B" w:rsidP="00635233">
      <w:pPr>
        <w:pStyle w:val="ListParagraph"/>
      </w:pPr>
      <w:r>
        <w:rPr>
          <w:b/>
        </w:rPr>
        <w:t>Note</w:t>
      </w:r>
      <w:r w:rsidR="00206955">
        <w:t>.</w:t>
      </w:r>
      <w:r w:rsidR="00047A94">
        <w:t xml:space="preserve"> From week </w:t>
      </w:r>
      <w:r w:rsidR="00330D9D">
        <w:t>5</w:t>
      </w:r>
      <w:r w:rsidR="00047A94">
        <w:t xml:space="preserve"> to week</w:t>
      </w:r>
      <w:r w:rsidR="00330D9D">
        <w:t xml:space="preserve"> 6</w:t>
      </w:r>
      <w:r w:rsidR="00047A94">
        <w:t xml:space="preserve">, the </w:t>
      </w:r>
      <w:r w:rsidR="00330D9D">
        <w:t xml:space="preserve">open </w:t>
      </w:r>
      <w:r w:rsidR="00047A94">
        <w:t>critical</w:t>
      </w:r>
      <w:r w:rsidR="00330D9D">
        <w:t xml:space="preserve"> defects tend to increase, this is serious problem.</w:t>
      </w:r>
      <w:r w:rsidR="002C290D">
        <w:t xml:space="preserve"> 15 critical </w:t>
      </w:r>
      <w:r w:rsidR="00330D9D">
        <w:t xml:space="preserve"> </w:t>
      </w:r>
      <w:r w:rsidR="002C290D">
        <w:t xml:space="preserve">defects and 10 high defect can make project fail if we </w:t>
      </w:r>
      <w:r w:rsidR="008D36C9">
        <w:t xml:space="preserve">do not have </w:t>
      </w:r>
      <w:r w:rsidR="00C37683">
        <w:t xml:space="preserve">effective </w:t>
      </w:r>
      <w:r w:rsidR="008D36C9">
        <w:t>solution</w:t>
      </w:r>
      <w:r w:rsidR="00C37683">
        <w:t>s</w:t>
      </w:r>
      <w:r w:rsidR="008D36C9">
        <w:t>.</w:t>
      </w:r>
    </w:p>
    <w:p w:rsidR="00431C7B" w:rsidRDefault="00431C7B" w:rsidP="00635233">
      <w:pPr>
        <w:pStyle w:val="ListParagraph"/>
      </w:pPr>
      <w:r>
        <w:rPr>
          <w:b/>
        </w:rPr>
        <w:t>Reason why fix speed was decreased</w:t>
      </w:r>
      <w:r>
        <w:t>.</w:t>
      </w:r>
      <w:r w:rsidR="00DB6927">
        <w:rPr>
          <w:b/>
        </w:rPr>
        <w:t xml:space="preserve"> </w:t>
      </w:r>
      <w:r w:rsidR="00DB6927">
        <w:t xml:space="preserve">In week 1, 2, 3, 4, number of critical defect were detected are less than week 6. </w:t>
      </w:r>
      <w:r w:rsidR="00F440D5">
        <w:t>In cycle, after detect defects in previous week, testers will fix them in next week.</w:t>
      </w:r>
      <w:r w:rsidR="00D42006">
        <w:t xml:space="preserve"> So in week 5 and 6, the number of unfixed critical defect will be increase too much.</w:t>
      </w:r>
    </w:p>
    <w:p w:rsidR="00DC41B9" w:rsidRDefault="00D42006" w:rsidP="00635233">
      <w:pPr>
        <w:pStyle w:val="ListParagraph"/>
      </w:pPr>
      <w:r>
        <w:rPr>
          <w:b/>
        </w:rPr>
        <w:t>Recommend for problem</w:t>
      </w:r>
      <w:r w:rsidRPr="00D42006">
        <w:t>:</w:t>
      </w:r>
      <w:r>
        <w:t xml:space="preserve"> </w:t>
      </w:r>
      <w:r w:rsidR="00370AF6">
        <w:t>Should prepare the following steps for situation.</w:t>
      </w:r>
    </w:p>
    <w:p w:rsidR="00CD2945" w:rsidRDefault="00DC41B9" w:rsidP="00DC41B9">
      <w:pPr>
        <w:pStyle w:val="ListParagraph"/>
        <w:numPr>
          <w:ilvl w:val="0"/>
          <w:numId w:val="5"/>
        </w:numPr>
      </w:pPr>
      <w:r>
        <w:t xml:space="preserve">Review </w:t>
      </w:r>
      <w:r w:rsidR="004B6AF5">
        <w:t>all of project to find the source of problem</w:t>
      </w:r>
      <w:r w:rsidR="00CD2945">
        <w:t>s</w:t>
      </w:r>
      <w:r w:rsidR="004B6AF5">
        <w:t>.</w:t>
      </w:r>
    </w:p>
    <w:p w:rsidR="00D42006" w:rsidRDefault="00CD2945" w:rsidP="00DC41B9">
      <w:pPr>
        <w:pStyle w:val="ListParagraph"/>
        <w:numPr>
          <w:ilvl w:val="0"/>
          <w:numId w:val="5"/>
        </w:numPr>
      </w:pPr>
      <w:r>
        <w:t xml:space="preserve">Evaluate </w:t>
      </w:r>
      <w:r w:rsidRPr="00CD2945">
        <w:t>the influence</w:t>
      </w:r>
      <w:r>
        <w:t xml:space="preserve"> of found problems.</w:t>
      </w:r>
    </w:p>
    <w:p w:rsidR="00763A4A" w:rsidRDefault="00763A4A" w:rsidP="00DC41B9">
      <w:pPr>
        <w:pStyle w:val="ListParagraph"/>
        <w:numPr>
          <w:ilvl w:val="0"/>
          <w:numId w:val="5"/>
        </w:numPr>
      </w:pPr>
      <w:r>
        <w:t xml:space="preserve">Estimate </w:t>
      </w:r>
      <w:r w:rsidRPr="00763A4A">
        <w:t>impact of fix</w:t>
      </w:r>
      <w:r>
        <w:t>ing</w:t>
      </w:r>
      <w:r w:rsidRPr="00763A4A">
        <w:t xml:space="preserve"> problem</w:t>
      </w:r>
      <w:r>
        <w:t>s</w:t>
      </w:r>
      <w:r w:rsidR="006D34A2">
        <w:t xml:space="preserve"> (prepare human resource, time for solution, budget …)</w:t>
      </w:r>
      <w:r>
        <w:t xml:space="preserve"> (during </w:t>
      </w:r>
      <w:r w:rsidR="00C76A95">
        <w:t>progress, should not go on to develop project).</w:t>
      </w:r>
    </w:p>
    <w:p w:rsidR="006D34A2" w:rsidRDefault="00E62343" w:rsidP="00DC41B9">
      <w:pPr>
        <w:pStyle w:val="ListParagraph"/>
        <w:numPr>
          <w:ilvl w:val="0"/>
          <w:numId w:val="5"/>
        </w:numPr>
      </w:pPr>
      <w:r>
        <w:t>Solve the problems.</w:t>
      </w:r>
    </w:p>
    <w:p w:rsidR="009933A6" w:rsidRPr="00D42006" w:rsidRDefault="009933A6" w:rsidP="00DC41B9">
      <w:pPr>
        <w:pStyle w:val="ListParagraph"/>
        <w:numPr>
          <w:ilvl w:val="0"/>
          <w:numId w:val="5"/>
        </w:numPr>
      </w:pPr>
      <w:r>
        <w:t>Review.</w:t>
      </w:r>
    </w:p>
    <w:p w:rsidR="00635233" w:rsidRPr="00A0087A" w:rsidRDefault="00635233" w:rsidP="00F66FFA">
      <w:pPr>
        <w:pStyle w:val="ListParagraph"/>
        <w:numPr>
          <w:ilvl w:val="0"/>
          <w:numId w:val="1"/>
        </w:numPr>
        <w:rPr>
          <w:b/>
        </w:rPr>
      </w:pPr>
      <w:r w:rsidRPr="00A0087A">
        <w:rPr>
          <w:b/>
        </w:rPr>
        <w:t>Defect by tester.</w:t>
      </w:r>
    </w:p>
    <w:tbl>
      <w:tblPr>
        <w:tblW w:w="9185" w:type="dxa"/>
        <w:tblInd w:w="103" w:type="dxa"/>
        <w:tblLook w:val="04A0"/>
      </w:tblPr>
      <w:tblGrid>
        <w:gridCol w:w="960"/>
        <w:gridCol w:w="989"/>
        <w:gridCol w:w="936"/>
        <w:gridCol w:w="1350"/>
        <w:gridCol w:w="1260"/>
        <w:gridCol w:w="1080"/>
        <w:gridCol w:w="1080"/>
        <w:gridCol w:w="1530"/>
      </w:tblGrid>
      <w:tr w:rsidR="007634C6" w:rsidRPr="007634C6" w:rsidTr="007634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Defect assigned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Defect fix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4C6" w:rsidRPr="007634C6" w:rsidRDefault="007634C6" w:rsidP="0076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Time to fix (day)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Average defect fix in a 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Rate complete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Time to fix all remain defects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 xml:space="preserve">Average time to fix a defect </w:t>
            </w:r>
          </w:p>
        </w:tc>
      </w:tr>
      <w:tr w:rsidR="007634C6" w:rsidRPr="007634C6" w:rsidTr="007634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Anjuli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4C6" w:rsidRPr="007634C6" w:rsidRDefault="007634C6" w:rsidP="0076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83479A" w:rsidRPr="007634C6" w:rsidTr="007634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79A" w:rsidRPr="007634C6" w:rsidRDefault="0083479A" w:rsidP="00996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</w:tbl>
    <w:p w:rsidR="00635233" w:rsidRDefault="00A0087A" w:rsidP="00635233">
      <w:pPr>
        <w:pStyle w:val="ListParagraph"/>
      </w:pPr>
      <w:r w:rsidRPr="00A0087A">
        <w:lastRenderedPageBreak/>
        <w:drawing>
          <wp:inline distT="0" distB="0" distL="0" distR="0">
            <wp:extent cx="4572000" cy="2743200"/>
            <wp:effectExtent l="19050" t="0" r="19050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087A" w:rsidRDefault="00A0087A" w:rsidP="00635233">
      <w:pPr>
        <w:pStyle w:val="ListParagraph"/>
      </w:pPr>
    </w:p>
    <w:p w:rsidR="00A0087A" w:rsidRDefault="00A0087A" w:rsidP="00635233">
      <w:pPr>
        <w:pStyle w:val="ListParagraph"/>
      </w:pPr>
      <w:r w:rsidRPr="00A0087A">
        <w:drawing>
          <wp:inline distT="0" distB="0" distL="0" distR="0">
            <wp:extent cx="4572000" cy="2743200"/>
            <wp:effectExtent l="19050" t="0" r="19050" b="0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12FFE" w:rsidRDefault="00D25285" w:rsidP="00635233">
      <w:pPr>
        <w:pStyle w:val="ListParagraph"/>
      </w:pPr>
      <w:r w:rsidRPr="00D25285">
        <w:rPr>
          <w:b/>
        </w:rPr>
        <w:t>Comment</w:t>
      </w:r>
      <w:r>
        <w:t>.</w:t>
      </w:r>
      <w:r w:rsidR="00530538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780"/>
        <w:gridCol w:w="1809"/>
        <w:gridCol w:w="1777"/>
        <w:gridCol w:w="2752"/>
      </w:tblGrid>
      <w:tr w:rsidR="00912FFE" w:rsidTr="00912FFE">
        <w:tc>
          <w:tcPr>
            <w:tcW w:w="1780" w:type="dxa"/>
          </w:tcPr>
          <w:p w:rsidR="00912FFE" w:rsidRDefault="00912FFE" w:rsidP="0063523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9" w:type="dxa"/>
          </w:tcPr>
          <w:p w:rsidR="00912FFE" w:rsidRDefault="00912FFE" w:rsidP="00635233">
            <w:pPr>
              <w:pStyle w:val="ListParagraph"/>
              <w:ind w:left="0"/>
            </w:pPr>
            <w:r>
              <w:t>Effective</w:t>
            </w:r>
          </w:p>
        </w:tc>
        <w:tc>
          <w:tcPr>
            <w:tcW w:w="1777" w:type="dxa"/>
          </w:tcPr>
          <w:p w:rsidR="00912FFE" w:rsidRDefault="00912FFE" w:rsidP="00635233">
            <w:pPr>
              <w:pStyle w:val="ListParagraph"/>
              <w:ind w:left="0"/>
            </w:pPr>
            <w:r>
              <w:t>Effort</w:t>
            </w:r>
          </w:p>
        </w:tc>
        <w:tc>
          <w:tcPr>
            <w:tcW w:w="2752" w:type="dxa"/>
          </w:tcPr>
          <w:p w:rsidR="00912FFE" w:rsidRDefault="00912FFE" w:rsidP="00635233">
            <w:pPr>
              <w:pStyle w:val="ListParagraph"/>
              <w:ind w:left="0"/>
            </w:pPr>
            <w:r>
              <w:t>Note</w:t>
            </w:r>
          </w:p>
        </w:tc>
      </w:tr>
      <w:tr w:rsidR="00912FFE" w:rsidTr="008D6B8C">
        <w:tc>
          <w:tcPr>
            <w:tcW w:w="1780" w:type="dxa"/>
            <w:vAlign w:val="bottom"/>
          </w:tcPr>
          <w:p w:rsidR="00912FFE" w:rsidRPr="007634C6" w:rsidRDefault="00912FFE" w:rsidP="0099616C">
            <w:pPr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Anjuli</w:t>
            </w:r>
          </w:p>
        </w:tc>
        <w:tc>
          <w:tcPr>
            <w:tcW w:w="1809" w:type="dxa"/>
          </w:tcPr>
          <w:p w:rsidR="00912FFE" w:rsidRDefault="00912FFE" w:rsidP="00635233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1777" w:type="dxa"/>
          </w:tcPr>
          <w:p w:rsidR="00912FFE" w:rsidRDefault="00912FFE" w:rsidP="00635233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2752" w:type="dxa"/>
          </w:tcPr>
          <w:p w:rsidR="00912FFE" w:rsidRDefault="00912FFE" w:rsidP="00635233">
            <w:pPr>
              <w:pStyle w:val="ListParagraph"/>
              <w:ind w:left="0"/>
            </w:pPr>
          </w:p>
        </w:tc>
      </w:tr>
      <w:tr w:rsidR="00912FFE" w:rsidTr="008D6B8C">
        <w:tc>
          <w:tcPr>
            <w:tcW w:w="1780" w:type="dxa"/>
            <w:vAlign w:val="bottom"/>
          </w:tcPr>
          <w:p w:rsidR="00912FFE" w:rsidRPr="007634C6" w:rsidRDefault="00912FFE" w:rsidP="0099616C">
            <w:pPr>
              <w:rPr>
                <w:rFonts w:ascii="Calibri" w:eastAsia="Times New Roman" w:hAnsi="Calibri" w:cs="Calibri"/>
                <w:color w:val="000000"/>
              </w:rPr>
            </w:pPr>
            <w:r w:rsidRPr="007634C6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809" w:type="dxa"/>
          </w:tcPr>
          <w:p w:rsidR="00912FFE" w:rsidRDefault="00912FFE" w:rsidP="00912FFE">
            <w:pPr>
              <w:pStyle w:val="ListParagraph"/>
              <w:ind w:left="0"/>
            </w:pPr>
            <w:r>
              <w:t>Very good</w:t>
            </w:r>
          </w:p>
        </w:tc>
        <w:tc>
          <w:tcPr>
            <w:tcW w:w="1777" w:type="dxa"/>
          </w:tcPr>
          <w:p w:rsidR="00912FFE" w:rsidRDefault="00912FFE" w:rsidP="00635233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2752" w:type="dxa"/>
          </w:tcPr>
          <w:p w:rsidR="00912FFE" w:rsidRDefault="00912FFE" w:rsidP="00635233">
            <w:pPr>
              <w:pStyle w:val="ListParagraph"/>
              <w:ind w:left="0"/>
            </w:pPr>
          </w:p>
        </w:tc>
      </w:tr>
    </w:tbl>
    <w:p w:rsidR="00D25285" w:rsidRDefault="00D25285" w:rsidP="00635233">
      <w:pPr>
        <w:pStyle w:val="ListParagraph"/>
      </w:pPr>
    </w:p>
    <w:sectPr w:rsidR="00D2528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55D" w:rsidRDefault="0048255D" w:rsidP="00A132F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8255D" w:rsidRDefault="0048255D" w:rsidP="00A132F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62378"/>
      <w:docPartObj>
        <w:docPartGallery w:val="Page Numbers (Bottom of Page)"/>
        <w:docPartUnique/>
      </w:docPartObj>
    </w:sdtPr>
    <w:sdtContent>
      <w:p w:rsidR="00A132FD" w:rsidRDefault="00A132FD">
        <w:pPr>
          <w:pStyle w:val="Footer"/>
        </w:pPr>
        <w:fldSimple w:instr=" PAGE   \* MERGEFORMAT ">
          <w:r w:rsidR="007F5FA0">
            <w:rPr>
              <w:noProof/>
            </w:rPr>
            <w:t>4</w:t>
          </w:r>
        </w:fldSimple>
      </w:p>
    </w:sdtContent>
  </w:sdt>
  <w:p w:rsidR="00A132FD" w:rsidRDefault="00A132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55D" w:rsidRDefault="0048255D" w:rsidP="00A132F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8255D" w:rsidRDefault="0048255D" w:rsidP="00A132F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5CFA"/>
    <w:multiLevelType w:val="hybridMultilevel"/>
    <w:tmpl w:val="1D441C5A"/>
    <w:lvl w:ilvl="0" w:tplc="DA4E84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C00EC"/>
    <w:multiLevelType w:val="hybridMultilevel"/>
    <w:tmpl w:val="F3F4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2E682A"/>
    <w:multiLevelType w:val="hybridMultilevel"/>
    <w:tmpl w:val="A8EC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42D8C"/>
    <w:multiLevelType w:val="hybridMultilevel"/>
    <w:tmpl w:val="1658A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1A5626"/>
    <w:multiLevelType w:val="hybridMultilevel"/>
    <w:tmpl w:val="76ECD7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68AA"/>
    <w:rsid w:val="00014D4B"/>
    <w:rsid w:val="00047A94"/>
    <w:rsid w:val="00056BA7"/>
    <w:rsid w:val="00076283"/>
    <w:rsid w:val="00076538"/>
    <w:rsid w:val="0008445D"/>
    <w:rsid w:val="000C100A"/>
    <w:rsid w:val="000E4580"/>
    <w:rsid w:val="001168AA"/>
    <w:rsid w:val="00153956"/>
    <w:rsid w:val="001F4FF4"/>
    <w:rsid w:val="0020484D"/>
    <w:rsid w:val="00206955"/>
    <w:rsid w:val="002469F8"/>
    <w:rsid w:val="00267ECB"/>
    <w:rsid w:val="002C290D"/>
    <w:rsid w:val="002E7BB3"/>
    <w:rsid w:val="00302803"/>
    <w:rsid w:val="003052F7"/>
    <w:rsid w:val="00330D9D"/>
    <w:rsid w:val="00352BFD"/>
    <w:rsid w:val="00370AF6"/>
    <w:rsid w:val="00383DDD"/>
    <w:rsid w:val="00385C8F"/>
    <w:rsid w:val="00385E57"/>
    <w:rsid w:val="003E0BB8"/>
    <w:rsid w:val="00402CDD"/>
    <w:rsid w:val="00431C7B"/>
    <w:rsid w:val="0048255D"/>
    <w:rsid w:val="004B6AF5"/>
    <w:rsid w:val="00530538"/>
    <w:rsid w:val="00563891"/>
    <w:rsid w:val="005F3F06"/>
    <w:rsid w:val="00635233"/>
    <w:rsid w:val="006B6614"/>
    <w:rsid w:val="006D34A2"/>
    <w:rsid w:val="007634C6"/>
    <w:rsid w:val="00763A4A"/>
    <w:rsid w:val="007F5FA0"/>
    <w:rsid w:val="0083479A"/>
    <w:rsid w:val="008435C9"/>
    <w:rsid w:val="00892E00"/>
    <w:rsid w:val="008D36C9"/>
    <w:rsid w:val="00902F0D"/>
    <w:rsid w:val="00910936"/>
    <w:rsid w:val="00912FFE"/>
    <w:rsid w:val="00941B03"/>
    <w:rsid w:val="009933A6"/>
    <w:rsid w:val="009B027C"/>
    <w:rsid w:val="009E5707"/>
    <w:rsid w:val="009F5939"/>
    <w:rsid w:val="00A0087A"/>
    <w:rsid w:val="00A132FD"/>
    <w:rsid w:val="00B16BAF"/>
    <w:rsid w:val="00B6552C"/>
    <w:rsid w:val="00B87C51"/>
    <w:rsid w:val="00BF11B6"/>
    <w:rsid w:val="00C37683"/>
    <w:rsid w:val="00C76A95"/>
    <w:rsid w:val="00CD2945"/>
    <w:rsid w:val="00D25285"/>
    <w:rsid w:val="00D42006"/>
    <w:rsid w:val="00D81EC5"/>
    <w:rsid w:val="00DB6927"/>
    <w:rsid w:val="00DC41B9"/>
    <w:rsid w:val="00E04EF0"/>
    <w:rsid w:val="00E0734A"/>
    <w:rsid w:val="00E62343"/>
    <w:rsid w:val="00E94C28"/>
    <w:rsid w:val="00F333DF"/>
    <w:rsid w:val="00F440D5"/>
    <w:rsid w:val="00F667C8"/>
    <w:rsid w:val="00F66FFA"/>
    <w:rsid w:val="00FD497C"/>
    <w:rsid w:val="00FE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2FD"/>
  </w:style>
  <w:style w:type="paragraph" w:styleId="Footer">
    <w:name w:val="footer"/>
    <w:basedOn w:val="Normal"/>
    <w:link w:val="FooterChar"/>
    <w:uiPriority w:val="99"/>
    <w:unhideWhenUsed/>
    <w:rsid w:val="00A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6\SMA%20-%20Software%20Measurement%20&amp;%20Analysis\Assignment-09\SMA-SonDang-Ass09-Ver0.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6\SMA%20-%20Software%20Measurement%20&amp;%20Analysis\Assignment-09\SMA-SonDang-Ass09-Ver0.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6\SMA%20-%20Software%20Measurement%20&amp;%20Analysis\Assignment-09\SMA-SonDang-Ass09-Ver0.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6\SMA%20-%20Software%20Measurement%20&amp;%20Analysis\Assignment-09\SMA-SonDang-Ass09-Ver0.1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6\SMA%20-%20Software%20Measurement%20&amp;%20Analysis\Assignment-09\SMA-SonDang-Ass09-Ver0.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Status of fixing defect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Status of fix defect chart</c:v>
                </c:pt>
              </c:strCache>
            </c:strRef>
          </c:tx>
          <c:dLbls>
            <c:showPercent val="1"/>
          </c:dLbls>
          <c:cat>
            <c:strRef>
              <c:f>Sheet1!$A$2:$A$3</c:f>
              <c:strCache>
                <c:ptCount val="2"/>
                <c:pt idx="0">
                  <c:v>Unfix</c:v>
                </c:pt>
                <c:pt idx="1">
                  <c:v>Fix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</c:v>
                </c:pt>
                <c:pt idx="1">
                  <c:v>70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Fix status chart</a:t>
            </a:r>
          </a:p>
        </c:rich>
      </c:tx>
    </c:title>
    <c:plotArea>
      <c:layout/>
      <c:areaChart>
        <c:grouping val="stacked"/>
        <c:ser>
          <c:idx val="1"/>
          <c:order val="0"/>
          <c:tx>
            <c:v>Fixed</c:v>
          </c:tx>
          <c:spPr>
            <a:ln w="25400">
              <a:noFill/>
            </a:ln>
          </c:spPr>
          <c:val>
            <c:numRef>
              <c:f>Sheet1!$B$34:$G$34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33</c:v>
                </c:pt>
                <c:pt idx="3">
                  <c:v>64</c:v>
                </c:pt>
                <c:pt idx="4">
                  <c:v>70</c:v>
                </c:pt>
                <c:pt idx="5">
                  <c:v>70</c:v>
                </c:pt>
              </c:numCache>
            </c:numRef>
          </c:val>
        </c:ser>
        <c:ser>
          <c:idx val="0"/>
          <c:order val="1"/>
          <c:tx>
            <c:v>Unfix </c:v>
          </c:tx>
          <c:val>
            <c:numRef>
              <c:f>Sheet1!$B$32:$G$32</c:f>
              <c:numCache>
                <c:formatCode>General</c:formatCode>
                <c:ptCount val="6"/>
                <c:pt idx="0">
                  <c:v>15</c:v>
                </c:pt>
                <c:pt idx="1">
                  <c:v>31</c:v>
                </c:pt>
                <c:pt idx="2">
                  <c:v>26</c:v>
                </c:pt>
                <c:pt idx="3">
                  <c:v>5</c:v>
                </c:pt>
                <c:pt idx="4">
                  <c:v>9</c:v>
                </c:pt>
                <c:pt idx="5">
                  <c:v>30</c:v>
                </c:pt>
              </c:numCache>
            </c:numRef>
          </c:val>
        </c:ser>
        <c:axId val="100991360"/>
        <c:axId val="100993280"/>
      </c:areaChart>
      <c:catAx>
        <c:axId val="100991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4.7358075298248391E-2"/>
              <c:y val="0.70680296541879661"/>
            </c:manualLayout>
          </c:layout>
        </c:title>
        <c:numFmt formatCode="General" sourceLinked="1"/>
        <c:majorTickMark val="none"/>
        <c:tickLblPos val="nextTo"/>
        <c:crossAx val="100993280"/>
        <c:crosses val="autoZero"/>
        <c:auto val="1"/>
        <c:lblAlgn val="ctr"/>
        <c:lblOffset val="100"/>
      </c:catAx>
      <c:valAx>
        <c:axId val="100993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of defect</a:t>
                </a:r>
              </a:p>
            </c:rich>
          </c:tx>
        </c:title>
        <c:numFmt formatCode="General" sourceLinked="1"/>
        <c:majorTickMark val="none"/>
        <c:tickLblPos val="nextTo"/>
        <c:crossAx val="100991360"/>
        <c:crosses val="autoZero"/>
        <c:crossBetween val="midCat"/>
      </c:valAx>
      <c:dTable>
        <c:showHorzBorder val="1"/>
        <c:showVertBorder val="1"/>
        <c:showOutline val="1"/>
        <c:showKeys val="1"/>
      </c:dTable>
    </c:plotArea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Fix speed</c:v>
          </c:tx>
          <c:val>
            <c:numRef>
              <c:f>Sheet1!$B$36:$G$36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21</c:v>
                </c:pt>
                <c:pt idx="3">
                  <c:v>31</c:v>
                </c:pt>
                <c:pt idx="4">
                  <c:v>7</c:v>
                </c:pt>
                <c:pt idx="5">
                  <c:v>0</c:v>
                </c:pt>
              </c:numCache>
            </c:numRef>
          </c:val>
        </c:ser>
        <c:marker val="1"/>
        <c:axId val="101023104"/>
        <c:axId val="101025280"/>
      </c:lineChart>
      <c:catAx>
        <c:axId val="101023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tickLblPos val="nextTo"/>
        <c:crossAx val="101025280"/>
        <c:crosses val="autoZero"/>
        <c:auto val="1"/>
        <c:lblAlgn val="ctr"/>
        <c:lblOffset val="100"/>
      </c:catAx>
      <c:valAx>
        <c:axId val="101025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fixed defect per week</a:t>
                </a:r>
              </a:p>
            </c:rich>
          </c:tx>
        </c:title>
        <c:numFmt formatCode="General" sourceLinked="1"/>
        <c:tickLblPos val="nextTo"/>
        <c:crossAx val="101023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Open</a:t>
            </a:r>
            <a:r>
              <a:rPr lang="en-US" baseline="0"/>
              <a:t> defect with severity</a:t>
            </a:r>
            <a:endParaRPr lang="en-US"/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v>Critical</c:v>
          </c:tx>
          <c:val>
            <c:numRef>
              <c:f>Sheet2!$C$2:$H$2</c:f>
              <c:numCache>
                <c:formatCode>General</c:formatCode>
                <c:ptCount val="6"/>
                <c:pt idx="0">
                  <c:v>5</c:v>
                </c:pt>
                <c:pt idx="1">
                  <c:v>7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15</c:v>
                </c:pt>
              </c:numCache>
            </c:numRef>
          </c:val>
        </c:ser>
        <c:ser>
          <c:idx val="1"/>
          <c:order val="1"/>
          <c:tx>
            <c:v>High</c:v>
          </c:tx>
          <c:val>
            <c:numRef>
              <c:f>Sheet2!$C$3:$H$3</c:f>
              <c:numCache>
                <c:formatCode>General</c:formatCode>
                <c:ptCount val="6"/>
                <c:pt idx="0">
                  <c:v>8</c:v>
                </c:pt>
                <c:pt idx="1">
                  <c:v>10</c:v>
                </c:pt>
                <c:pt idx="2">
                  <c:v>10</c:v>
                </c:pt>
                <c:pt idx="3">
                  <c:v>3</c:v>
                </c:pt>
                <c:pt idx="4">
                  <c:v>0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v>Medium</c:v>
          </c:tx>
          <c:val>
            <c:numRef>
              <c:f>Sheet2!$C$4:$H$4</c:f>
              <c:numCache>
                <c:formatCode>General</c:formatCode>
                <c:ptCount val="6"/>
                <c:pt idx="0">
                  <c:v>2</c:v>
                </c:pt>
                <c:pt idx="1">
                  <c:v>9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</c:numCache>
            </c:numRef>
          </c:val>
        </c:ser>
        <c:ser>
          <c:idx val="3"/>
          <c:order val="3"/>
          <c:tx>
            <c:v>Low</c:v>
          </c:tx>
          <c:val>
            <c:numRef>
              <c:f>Sheet2!$C$5:$H$5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gapWidth val="95"/>
        <c:overlap val="100"/>
        <c:axId val="101916672"/>
        <c:axId val="101918208"/>
      </c:barChart>
      <c:catAx>
        <c:axId val="101916672"/>
        <c:scaling>
          <c:orientation val="minMax"/>
        </c:scaling>
        <c:axPos val="b"/>
        <c:numFmt formatCode="General" sourceLinked="1"/>
        <c:majorTickMark val="none"/>
        <c:tickLblPos val="nextTo"/>
        <c:crossAx val="101918208"/>
        <c:crosses val="autoZero"/>
        <c:auto val="1"/>
        <c:lblAlgn val="ctr"/>
        <c:lblOffset val="100"/>
      </c:catAx>
      <c:valAx>
        <c:axId val="101918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defect</a:t>
                </a:r>
              </a:p>
            </c:rich>
          </c:tx>
        </c:title>
        <c:numFmt formatCode="General" sourceLinked="1"/>
        <c:majorTickMark val="none"/>
        <c:tickLblPos val="nextTo"/>
        <c:crossAx val="10191667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Bob</c:v>
          </c:tx>
          <c:cat>
            <c:strRef>
              <c:f>Sheet3!$E$1</c:f>
              <c:strCache>
                <c:ptCount val="1"/>
                <c:pt idx="0">
                  <c:v>Average defect fix in a day</c:v>
                </c:pt>
              </c:strCache>
            </c:strRef>
          </c:cat>
          <c:val>
            <c:numRef>
              <c:f>Sheet3!$E$3</c:f>
              <c:numCache>
                <c:formatCode>General</c:formatCode>
                <c:ptCount val="1"/>
                <c:pt idx="0">
                  <c:v>1.1000000000000001</c:v>
                </c:pt>
              </c:numCache>
            </c:numRef>
          </c:val>
        </c:ser>
        <c:ser>
          <c:idx val="1"/>
          <c:order val="1"/>
          <c:tx>
            <c:strRef>
              <c:f>Sheet3!$A$2</c:f>
              <c:strCache>
                <c:ptCount val="1"/>
                <c:pt idx="0">
                  <c:v>Anjuli</c:v>
                </c:pt>
              </c:strCache>
            </c:strRef>
          </c:tx>
          <c:cat>
            <c:strRef>
              <c:f>Sheet3!$E$1</c:f>
              <c:strCache>
                <c:ptCount val="1"/>
                <c:pt idx="0">
                  <c:v>Average defect fix in a day</c:v>
                </c:pt>
              </c:strCache>
            </c:strRef>
          </c:cat>
          <c:val>
            <c:numRef>
              <c:f>Sheet3!$E$2</c:f>
              <c:numCache>
                <c:formatCode>General</c:formatCode>
                <c:ptCount val="1"/>
                <c:pt idx="0">
                  <c:v>0.70000000000000007</c:v>
                </c:pt>
              </c:numCache>
            </c:numRef>
          </c:val>
        </c:ser>
        <c:axId val="101936512"/>
        <c:axId val="103810176"/>
      </c:barChart>
      <c:catAx>
        <c:axId val="101936512"/>
        <c:scaling>
          <c:orientation val="minMax"/>
        </c:scaling>
        <c:axPos val="b"/>
        <c:tickLblPos val="nextTo"/>
        <c:crossAx val="103810176"/>
        <c:crosses val="autoZero"/>
        <c:auto val="1"/>
        <c:lblAlgn val="ctr"/>
        <c:lblOffset val="100"/>
      </c:catAx>
      <c:valAx>
        <c:axId val="103810176"/>
        <c:scaling>
          <c:orientation val="minMax"/>
        </c:scaling>
        <c:axPos val="l"/>
        <c:majorGridlines/>
        <c:numFmt formatCode="General" sourceLinked="1"/>
        <c:tickLblPos val="nextTo"/>
        <c:crossAx val="101936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Bob</c:v>
          </c:tx>
          <c:cat>
            <c:strRef>
              <c:f>Sheet3!$F$1</c:f>
              <c:strCache>
                <c:ptCount val="1"/>
                <c:pt idx="0">
                  <c:v>Rate complete</c:v>
                </c:pt>
              </c:strCache>
            </c:strRef>
          </c:cat>
          <c:val>
            <c:numRef>
              <c:f>Sheet3!$F$3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</c:ser>
        <c:ser>
          <c:idx val="1"/>
          <c:order val="1"/>
          <c:tx>
            <c:strRef>
              <c:f>Sheet3!$A$2</c:f>
              <c:strCache>
                <c:ptCount val="1"/>
                <c:pt idx="0">
                  <c:v>Anjuli</c:v>
                </c:pt>
              </c:strCache>
            </c:strRef>
          </c:tx>
          <c:cat>
            <c:strRef>
              <c:f>Sheet3!$F$1</c:f>
              <c:strCache>
                <c:ptCount val="1"/>
                <c:pt idx="0">
                  <c:v>Rate complete</c:v>
                </c:pt>
              </c:strCache>
            </c:strRef>
          </c:cat>
          <c:val>
            <c:numRef>
              <c:f>Sheet3!$F$2</c:f>
              <c:numCache>
                <c:formatCode>General</c:formatCode>
                <c:ptCount val="1"/>
                <c:pt idx="0">
                  <c:v>84</c:v>
                </c:pt>
              </c:numCache>
            </c:numRef>
          </c:val>
        </c:ser>
        <c:axId val="103830656"/>
        <c:axId val="103832192"/>
      </c:barChart>
      <c:catAx>
        <c:axId val="103830656"/>
        <c:scaling>
          <c:orientation val="minMax"/>
        </c:scaling>
        <c:axPos val="b"/>
        <c:tickLblPos val="nextTo"/>
        <c:crossAx val="103832192"/>
        <c:crosses val="autoZero"/>
        <c:auto val="1"/>
        <c:lblAlgn val="ctr"/>
        <c:lblOffset val="100"/>
      </c:catAx>
      <c:valAx>
        <c:axId val="103832192"/>
        <c:scaling>
          <c:orientation val="minMax"/>
          <c:min val="0"/>
        </c:scaling>
        <c:axPos val="l"/>
        <c:majorGridlines/>
        <c:numFmt formatCode="General" sourceLinked="1"/>
        <c:tickLblPos val="nextTo"/>
        <c:crossAx val="103830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A9DE5-B6F5-4B5A-BEFC-8C98DCB3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39</cp:revision>
  <dcterms:created xsi:type="dcterms:W3CDTF">2012-04-13T18:21:00Z</dcterms:created>
  <dcterms:modified xsi:type="dcterms:W3CDTF">2012-04-13T18:46:00Z</dcterms:modified>
</cp:coreProperties>
</file>