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bottom w:val="single" w:sz="12" w:color="1F4E79"/>
        </w:tblBorders>
      </w:tblPr>
      <w:tblGrid>
        <w:gridCol w:w="9638"/>
      </w:tblGrid>
      <w:tr>
        <w:tc>
          <w:tcPr>
            <w:tcW w:type="dxa" w:w="9638"/>
          </w:tcPr>
          <w:p>
            <w:r>
              <w:rPr>
                <w:rFonts w:ascii="HY견고딕" w:hAnsi="HY견고딕" w:eastAsia="HY견고딕"/>
                <w:b/>
                <w:color w:val="1F4E79"/>
                <w:sz w:val="44"/>
              </w:rPr>
              <w:t>8월 금통위 사후 검증</w:t>
            </w:r>
          </w:p>
        </w:tc>
      </w:tr>
      <w:tr>
        <w:tc>
          <w:tcPr>
            <w:tcW w:type="dxa" w:w="9638"/>
          </w:tcPr>
          <w:p>
            <w:r>
              <w:rPr>
                <w:rFonts w:ascii="HY견고딕" w:hAnsi="HY견고딕" w:eastAsia="HY견고딕"/>
                <w:b w:val="0"/>
                <w:color w:val="1F4E79"/>
                <w:sz w:val="30"/>
              </w:rPr>
              <w:t>시장가격은 인상을 얼마나 알고 있었나 — 렌즈별 적중 기록과 백테스트 갱신</w:t>
            </w:r>
          </w:p>
        </w:tc>
      </w:tr>
    </w:tbl>
    <w:p>
      <w:pPr>
        <w:spacing w:after="120"/>
        <w:jc w:val="right"/>
      </w:pPr>
      <w:r>
        <w:rPr>
          <w:rFonts w:ascii="바탕" w:hAnsi="바탕" w:eastAsia="바탕"/>
          <w:b w:val="0"/>
          <w:color w:val="6E6E6E"/>
          <w:sz w:val="18"/>
        </w:rPr>
        <w:t>FI운용1부 · 2026. 8. 28 · 데이터 기준 스왑 2026-08-28 · 현물 2026-08-27</w:t>
      </w:r>
    </w:p>
    <w:p>
      <w:pPr>
        <w:spacing w:after="0"/>
      </w:pPr>
      <w:r>
        <w:rPr>
          <w:rFonts w:ascii="HY신명조" w:hAnsi="HY신명조" w:eastAsia="HY신명조"/>
          <w:b/>
          <w:color w:val="93A8DD"/>
          <w:sz w:val="22"/>
        </w:rPr>
      </w:r>
    </w:p>
    <w:p>
      <w:pPr>
        <w:spacing w:after="40"/>
        <w:jc w:val="both"/>
      </w:pPr>
      <w:r>
        <w:rPr>
          <w:rFonts w:ascii="HY신명조" w:hAnsi="HY신명조" w:eastAsia="HY신명조"/>
          <w:b/>
          <w:color w:val="6191CE"/>
          <w:sz w:val="26"/>
        </w:rPr>
        <w:t>1) 요약</w:t>
      </w:r>
    </w:p>
    <w:p>
      <w:pPr>
        <w:spacing w:after="0"/>
      </w:pPr>
      <w:r>
        <w:rPr>
          <w:rFonts w:ascii="HY신명조" w:hAnsi="HY신명조" w:eastAsia="HY신명조"/>
          <w:b/>
          <w:color w:val="93A8DD"/>
          <w:sz w:val="22"/>
        </w:rPr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2026-08-27 금통위는 기준금리를 2.75%에서 3.00%로 25bp 인상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회의 전일(8/26) KOFR OIS 계단함수 모형의 인상확률 97.5% — 적중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같은 날 통안 스트립 23.1%, CD-IRS 스트립은 인상 0.0%에 오히려 인하를 44.1% 반영 — 둘 다 실패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금투협 BMSI는 8월 회의 대상 조사가 발표되지 않아 대조 불가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→ 스왑(OIS)만 맞혔다. 현물·CD 기반 렌즈는 인상을 회의 전날까지 반영하지 못했다</w:t>
      </w:r>
    </w:p>
    <w:p>
      <w:pPr>
        <w:spacing w:after="0"/>
      </w:pPr>
      <w:r>
        <w:rPr>
          <w:rFonts w:ascii="HY신명조" w:hAnsi="HY신명조" w:eastAsia="HY신명조"/>
          <w:b/>
          <w:color w:val="93A8DD"/>
          <w:sz w:val="22"/>
        </w:rPr>
      </w:r>
    </w:p>
    <w:p>
      <w:pPr>
        <w:spacing w:after="40"/>
        <w:jc w:val="both"/>
      </w:pPr>
      <w:r>
        <w:rPr>
          <w:rFonts w:ascii="HY신명조" w:hAnsi="HY신명조" w:eastAsia="HY신명조"/>
          <w:b/>
          <w:color w:val="6191CE"/>
          <w:sz w:val="26"/>
        </w:rPr>
        <w:t>2) 회의 전 3주 — 확률은 어떻게 움직였나</w:t>
      </w:r>
    </w:p>
    <w:p>
      <w:pPr>
        <w:spacing w:after="0"/>
      </w:pPr>
      <w:r>
        <w:rPr>
          <w:rFonts w:ascii="HY신명조" w:hAnsi="HY신명조" w:eastAsia="HY신명조"/>
          <w:b/>
          <w:color w:val="93A8DD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E8EDF7"/>
          </w:tcPr>
          <w:p>
            <w:pPr>
              <w:jc w:val="center"/>
            </w:pPr>
            <w:r>
              <w:rPr>
                <w:rFonts w:ascii="HY신명조" w:hAnsi="HY신명조" w:eastAsia="HY신명조"/>
                <w:b/>
                <w:color w:val="1F4E79"/>
                <w:sz w:val="21"/>
              </w:rPr>
              <w:t>기준일</w:t>
            </w:r>
          </w:p>
        </w:tc>
        <w:tc>
          <w:tcPr>
            <w:tcW w:type="dxa" w:w="1928"/>
            <w:shd w:val="clear" w:fill="E8EDF7"/>
          </w:tcPr>
          <w:p>
            <w:pPr>
              <w:jc w:val="center"/>
            </w:pPr>
            <w:r>
              <w:rPr>
                <w:rFonts w:ascii="HY신명조" w:hAnsi="HY신명조" w:eastAsia="HY신명조"/>
                <w:b/>
                <w:color w:val="1F4E79"/>
                <w:sz w:val="21"/>
              </w:rPr>
              <w:t>P(8/27)</w:t>
            </w:r>
          </w:p>
        </w:tc>
        <w:tc>
          <w:tcPr>
            <w:tcW w:type="dxa" w:w="1928"/>
            <w:shd w:val="clear" w:fill="E8EDF7"/>
          </w:tcPr>
          <w:p>
            <w:pPr>
              <w:jc w:val="center"/>
            </w:pPr>
            <w:r>
              <w:rPr>
                <w:rFonts w:ascii="HY신명조" w:hAnsi="HY신명조" w:eastAsia="HY신명조"/>
                <w:b/>
                <w:color w:val="1F4E79"/>
                <w:sz w:val="21"/>
              </w:rPr>
              <w:t>P(10/22)</w:t>
            </w:r>
          </w:p>
        </w:tc>
        <w:tc>
          <w:tcPr>
            <w:tcW w:type="dxa" w:w="1928"/>
            <w:shd w:val="clear" w:fill="E8EDF7"/>
          </w:tcPr>
          <w:p>
            <w:pPr>
              <w:jc w:val="center"/>
            </w:pPr>
            <w:r>
              <w:rPr>
                <w:rFonts w:ascii="HY신명조" w:hAnsi="HY신명조" w:eastAsia="HY신명조"/>
                <w:b/>
                <w:color w:val="1F4E79"/>
                <w:sz w:val="21"/>
              </w:rPr>
              <w:t>P(11/26)</w:t>
            </w:r>
          </w:p>
        </w:tc>
        <w:tc>
          <w:tcPr>
            <w:tcW w:type="dxa" w:w="1928"/>
            <w:shd w:val="clear" w:fill="E8EDF7"/>
          </w:tcPr>
          <w:p>
            <w:pPr>
              <w:jc w:val="center"/>
            </w:pPr>
            <w:r>
              <w:rPr>
                <w:rFonts w:ascii="HY신명조" w:hAnsi="HY신명조" w:eastAsia="HY신명조"/>
                <w:b/>
                <w:color w:val="1F4E79"/>
                <w:sz w:val="21"/>
              </w:rPr>
              <w:t>연말 내재 기준금리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8/07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50.2%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95.1%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36.0%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3.203%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8/14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70.5%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64.3%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65.4%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3.251%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8/21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100.0%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43.9%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51.2%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3.251%</w:t>
            </w:r>
          </w:p>
        </w:tc>
      </w:tr>
      <w:tr>
        <w:tc>
          <w:tcPr>
            <w:tcW w:type="dxa" w:w="1928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8/26</w:t>
            </w:r>
          </w:p>
        </w:tc>
        <w:tc>
          <w:tcPr>
            <w:tcW w:type="dxa" w:w="1928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97.5%</w:t>
            </w:r>
          </w:p>
        </w:tc>
        <w:tc>
          <w:tcPr>
            <w:tcW w:type="dxa" w:w="1928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10.6%</w:t>
            </w:r>
          </w:p>
        </w:tc>
        <w:tc>
          <w:tcPr>
            <w:tcW w:type="dxa" w:w="1928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56.9%</w:t>
            </w:r>
          </w:p>
        </w:tc>
        <w:tc>
          <w:tcPr>
            <w:tcW w:type="dxa" w:w="1928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3.163%</w:t>
            </w:r>
          </w:p>
        </w:tc>
      </w:tr>
    </w:tbl>
    <w:p>
      <w:pPr>
        <w:spacing w:after="120"/>
        <w:jc w:val="center"/>
      </w:pPr>
      <w:r>
        <w:rPr>
          <w:rFonts w:ascii="HY신명조" w:hAnsi="HY신명조" w:eastAsia="HY신명조"/>
          <w:b w:val="0"/>
          <w:color w:val="6E6E6E"/>
          <w:sz w:val="18"/>
        </w:rPr>
        <w:t>KOFR OIS 계단함수(모형 ①) 기준. 8/26은 회의 전일 마지막 관측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8월 인상확률은 3주 동안 50.2%에서 97.5%로 상승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같은 기간 연말 내재 기준금리는 3.203%에서 3.163%로 사실상 불변 — 긴축 총량이 아니라 시점이 앞당겨진 것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10월 확률이 같은 기간 하락한 것이 그 증거. 8월과 10월은 서로를 대체했고 총합은 유지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23030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next_meet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303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바탕" w:hAnsi="바탕" w:eastAsia="바탕"/>
          <w:b w:val="0"/>
          <w:color w:val="6E6E6E"/>
          <w:sz w:val="18"/>
        </w:rPr>
        <w:t>그림 1. 다음 금통위 인상확률 — 모형(실선), 서베이(마름모), 실제 결정(상단 표식)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→ 모형은 '얼마나 오를까'보다 '언제 오를까'를 먼저 바꿨다 — 누적은 수준, 배분은 방향으로 읽는 원칙이 그대로 확인됨</w:t>
      </w:r>
    </w:p>
    <w:p>
      <w:pPr>
        <w:spacing w:after="0"/>
      </w:pPr>
      <w:r>
        <w:rPr>
          <w:rFonts w:ascii="HY신명조" w:hAnsi="HY신명조" w:eastAsia="HY신명조"/>
          <w:b/>
          <w:color w:val="93A8DD"/>
          <w:sz w:val="22"/>
        </w:rPr>
      </w:r>
    </w:p>
    <w:p>
      <w:pPr>
        <w:spacing w:after="40"/>
        <w:jc w:val="both"/>
      </w:pPr>
      <w:r>
        <w:rPr>
          <w:rFonts w:ascii="HY신명조" w:hAnsi="HY신명조" w:eastAsia="HY신명조"/>
          <w:b/>
          <w:color w:val="6191CE"/>
          <w:sz w:val="26"/>
        </w:rPr>
        <w:t>3) 렌즈별 성적표 — 회의 전일 인상확률</w:t>
      </w:r>
    </w:p>
    <w:p>
      <w:pPr>
        <w:spacing w:after="0"/>
      </w:pPr>
      <w:r>
        <w:rPr>
          <w:rFonts w:ascii="HY신명조" w:hAnsi="HY신명조" w:eastAsia="HY신명조"/>
          <w:b/>
          <w:color w:val="93A8DD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E8EDF7"/>
          </w:tcPr>
          <w:p>
            <w:pPr>
              <w:jc w:val="center"/>
            </w:pPr>
            <w:r>
              <w:rPr>
                <w:rFonts w:ascii="HY신명조" w:hAnsi="HY신명조" w:eastAsia="HY신명조"/>
                <w:b/>
                <w:color w:val="1F4E79"/>
                <w:sz w:val="21"/>
              </w:rPr>
              <w:t>렌즈</w:t>
            </w:r>
          </w:p>
        </w:tc>
        <w:tc>
          <w:tcPr>
            <w:tcW w:type="dxa" w:w="1928"/>
            <w:shd w:val="clear" w:fill="E8EDF7"/>
          </w:tcPr>
          <w:p>
            <w:pPr>
              <w:jc w:val="center"/>
            </w:pPr>
            <w:r>
              <w:rPr>
                <w:rFonts w:ascii="HY신명조" w:hAnsi="HY신명조" w:eastAsia="HY신명조"/>
                <w:b/>
                <w:color w:val="1F4E79"/>
                <w:sz w:val="21"/>
              </w:rPr>
              <w:t>성격</w:t>
            </w:r>
          </w:p>
        </w:tc>
        <w:tc>
          <w:tcPr>
            <w:tcW w:type="dxa" w:w="1928"/>
            <w:shd w:val="clear" w:fill="E8EDF7"/>
          </w:tcPr>
          <w:p>
            <w:pPr>
              <w:jc w:val="center"/>
            </w:pPr>
            <w:r>
              <w:rPr>
                <w:rFonts w:ascii="HY신명조" w:hAnsi="HY신명조" w:eastAsia="HY신명조"/>
                <w:b/>
                <w:color w:val="1F4E79"/>
                <w:sz w:val="21"/>
              </w:rPr>
              <w:t>2026-07-16</w:t>
            </w:r>
          </w:p>
        </w:tc>
        <w:tc>
          <w:tcPr>
            <w:tcW w:type="dxa" w:w="1928"/>
            <w:shd w:val="clear" w:fill="E8EDF7"/>
          </w:tcPr>
          <w:p>
            <w:pPr>
              <w:jc w:val="center"/>
            </w:pPr>
            <w:r>
              <w:rPr>
                <w:rFonts w:ascii="HY신명조" w:hAnsi="HY신명조" w:eastAsia="HY신명조"/>
                <w:b/>
                <w:color w:val="1F4E79"/>
                <w:sz w:val="21"/>
              </w:rPr>
              <w:t>2026-08-27</w:t>
            </w:r>
          </w:p>
        </w:tc>
        <w:tc>
          <w:tcPr>
            <w:tcW w:type="dxa" w:w="1928"/>
            <w:shd w:val="clear" w:fill="E8EDF7"/>
          </w:tcPr>
          <w:p>
            <w:pPr>
              <w:jc w:val="center"/>
            </w:pPr>
            <w:r>
              <w:rPr>
                <w:rFonts w:ascii="HY신명조" w:hAnsi="HY신명조" w:eastAsia="HY신명조"/>
                <w:b/>
                <w:color w:val="1F4E79"/>
                <w:sz w:val="21"/>
              </w:rPr>
              <w:t>판정</w:t>
            </w:r>
          </w:p>
        </w:tc>
      </w:tr>
      <w:tr>
        <w:tc>
          <w:tcPr>
            <w:tcW w:type="dxa" w:w="1928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KOFR OIS</w:t>
            </w:r>
          </w:p>
        </w:tc>
        <w:tc>
          <w:tcPr>
            <w:tcW w:type="dxa" w:w="1928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스왑</w:t>
            </w:r>
          </w:p>
        </w:tc>
        <w:tc>
          <w:tcPr>
            <w:tcW w:type="dxa" w:w="1928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90.9%</w:t>
            </w:r>
          </w:p>
        </w:tc>
        <w:tc>
          <w:tcPr>
            <w:tcW w:type="dxa" w:w="1928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97.5%</w:t>
            </w:r>
          </w:p>
        </w:tc>
        <w:tc>
          <w:tcPr>
            <w:tcW w:type="dxa" w:w="1928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2회 연속 적중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통안 스트립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현물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100.0%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23.1%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7월 적중 · 8월 실패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CD-IRS 스트립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스왑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23.6%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0.0%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2회 연속 실패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BMSI 서베이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설문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66.0%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미발표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대조 불가</w:t>
            </w:r>
          </w:p>
        </w:tc>
      </w:tr>
    </w:tbl>
    <w:p>
      <w:pPr>
        <w:spacing w:after="120"/>
        <w:jc w:val="center"/>
      </w:pPr>
      <w:r>
        <w:rPr>
          <w:rFonts w:ascii="HY신명조" w:hAnsi="HY신명조" w:eastAsia="HY신명조"/>
          <w:b w:val="0"/>
          <w:color w:val="6E6E6E"/>
          <w:sz w:val="18"/>
        </w:rPr>
        <w:t>실제 결정은 두 회의 모두 25bp 인상. CD-IRS는 8/27에 대해 인상 0%, 인하 44.1%를 반영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CD-IRS의 실패가 가장 크다. 인상 전날 인하를 44.1% 반영했다 — 변동금리 준거가 CD91이라 CD 경직성과 조달 스프레드가 정책기대를 덮는 구조적 한계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통안은 7월엔 100%로 맞혔으나 8월엔 23%에 그쳤다. 같은 렌즈가 두 달 사이에 갈린 것으로, 단일 회차 확률을 액면대로 쓰기 어렵다는 뜻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OIS는 회의가 하루 앞이라 1주 호가가 8월 노드를 사실상 직접 가격했다. 곡선 적합 오차도 0.17bp로 표본 중위 0.37bp를 밑돈다 — 적합도는 회의가 가까울수록 좋아진다(1주 이내 평균 0.29bp)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20504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fit_snapsh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050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바탕" w:hAnsi="바탕" w:eastAsia="바탕"/>
          <w:b w:val="0"/>
          <w:color w:val="6E6E6E"/>
          <w:sz w:val="18"/>
        </w:rPr>
        <w:t>그림 2. 내재 정책금리 경로(a)와 곡선 적합(b) — 회의 후 기준(8/28), 남은 두 회의로 재배열된 모습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→ 회의 직전 구간에서는 OIS가 압도적으로 정확하다. 다만 이 유리한 조건이 상시 성립하지는 않는다</w:t>
      </w:r>
    </w:p>
    <w:p>
      <w:pPr>
        <w:spacing w:after="0"/>
      </w:pPr>
      <w:r>
        <w:rPr>
          <w:rFonts w:ascii="HY신명조" w:hAnsi="HY신명조" w:eastAsia="HY신명조"/>
          <w:b/>
          <w:color w:val="93A8DD"/>
          <w:sz w:val="22"/>
        </w:rPr>
      </w:r>
    </w:p>
    <w:p>
      <w:pPr>
        <w:spacing w:after="40"/>
        <w:jc w:val="both"/>
      </w:pPr>
      <w:r>
        <w:rPr>
          <w:rFonts w:ascii="HY신명조" w:hAnsi="HY신명조" w:eastAsia="HY신명조"/>
          <w:b/>
          <w:color w:val="6191CE"/>
          <w:sz w:val="26"/>
        </w:rPr>
        <w:t>4) 백테스트 갱신 — 8/27을 표본에 넣으면</w:t>
      </w:r>
    </w:p>
    <w:p>
      <w:pPr>
        <w:spacing w:after="0"/>
      </w:pPr>
      <w:r>
        <w:rPr>
          <w:rFonts w:ascii="HY신명조" w:hAnsi="HY신명조" w:eastAsia="HY신명조"/>
          <w:b/>
          <w:color w:val="93A8DD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E8EDF7"/>
          </w:tcPr>
          <w:p>
            <w:pPr>
              <w:jc w:val="center"/>
            </w:pPr>
            <w:r>
              <w:rPr>
                <w:rFonts w:ascii="HY신명조" w:hAnsi="HY신명조" w:eastAsia="HY신명조"/>
                <w:b/>
                <w:color w:val="1F4E79"/>
                <w:sz w:val="21"/>
              </w:rPr>
              <w:t>렌즈</w:t>
            </w:r>
          </w:p>
        </w:tc>
        <w:tc>
          <w:tcPr>
            <w:tcW w:type="dxa" w:w="2409"/>
            <w:shd w:val="clear" w:fill="E8EDF7"/>
          </w:tcPr>
          <w:p>
            <w:pPr>
              <w:jc w:val="center"/>
            </w:pPr>
            <w:r>
              <w:rPr>
                <w:rFonts w:ascii="HY신명조" w:hAnsi="HY신명조" w:eastAsia="HY신명조"/>
                <w:b/>
                <w:color w:val="1F4E79"/>
                <w:sz w:val="21"/>
              </w:rPr>
              <w:t>구판(8/27 제외)</w:t>
            </w:r>
          </w:p>
        </w:tc>
        <w:tc>
          <w:tcPr>
            <w:tcW w:type="dxa" w:w="2409"/>
            <w:shd w:val="clear" w:fill="E8EDF7"/>
          </w:tcPr>
          <w:p>
            <w:pPr>
              <w:jc w:val="center"/>
            </w:pPr>
            <w:r>
              <w:rPr>
                <w:rFonts w:ascii="HY신명조" w:hAnsi="HY신명조" w:eastAsia="HY신명조"/>
                <w:b/>
                <w:color w:val="1F4E79"/>
                <w:sz w:val="21"/>
              </w:rPr>
              <w:t>현재(8/27 포함)</w:t>
            </w:r>
          </w:p>
        </w:tc>
        <w:tc>
          <w:tcPr>
            <w:tcW w:type="dxa" w:w="2409"/>
            <w:shd w:val="clear" w:fill="E8EDF7"/>
          </w:tcPr>
          <w:p>
            <w:pPr>
              <w:jc w:val="center"/>
            </w:pPr>
            <w:r>
              <w:rPr>
                <w:rFonts w:ascii="HY신명조" w:hAnsi="HY신명조" w:eastAsia="HY신명조"/>
                <w:b/>
                <w:color w:val="1F4E79"/>
                <w:sz w:val="21"/>
              </w:rPr>
              <w:t>방향</w:t>
            </w:r>
          </w:p>
        </w:tc>
      </w:tr>
      <w:tr>
        <w:tc>
          <w:tcPr>
            <w:tcW w:type="dxa" w:w="2409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KOFR OIS</w:t>
            </w:r>
          </w:p>
        </w:tc>
        <w:tc>
          <w:tcPr>
            <w:tcW w:type="dxa" w:w="2409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0.381</w:t>
            </w:r>
          </w:p>
        </w:tc>
        <w:tc>
          <w:tcPr>
            <w:tcW w:type="dxa" w:w="2409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0.370</w:t>
            </w:r>
          </w:p>
        </w:tc>
        <w:tc>
          <w:tcPr>
            <w:tcW w:type="dxa" w:w="2409"/>
            <w:shd w:val="clear" w:fill="F4F6FB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개선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통안 스트립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0.285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0.292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악화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CD-IRS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0.377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0.386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악화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BMSI 서베이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0.128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0.128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불변(미발표)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무정보 기준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0.353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0.362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HY신명조" w:hAnsi="HY신명조" w:eastAsia="HY신명조"/>
                <w:b w:val="0"/>
                <w:color w:val="101010"/>
                <w:sz w:val="21"/>
              </w:rPr>
              <w:t>-</w:t>
            </w:r>
          </w:p>
        </w:tc>
      </w:tr>
    </w:tbl>
    <w:p>
      <w:pPr>
        <w:spacing w:after="120"/>
        <w:jc w:val="center"/>
      </w:pPr>
      <w:r>
        <w:rPr>
          <w:rFonts w:ascii="HY신명조" w:hAnsi="HY신명조" w:eastAsia="HY신명조"/>
          <w:b w:val="0"/>
          <w:color w:val="6E6E6E"/>
          <w:sz w:val="18"/>
        </w:rPr>
        <w:t>3분류 Brier 점수(인상·동결·인하), 낮을수록 정확. 표본은 2013-02 이후 정례 금통위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회의 한 번이 더해졌을 뿐인데 세 렌즈의 방향이 갈렸다 — OIS만 내려갔다(개선)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2026년 인상기(7/16·8/27 두 회의)만 떼면 격차가 더 분명하다: OIS 0.009 (n=2), 통안 0.591 (n=2), CD-IRS 1.337 (n=2)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다만 전 표본 기준으로는 여전히 BMSI 서베이가 가장 낮다. 시장가격의 강점은 총점이 아니라 전환점에서의 방향 정보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21794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backtest_tim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179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바탕" w:hAnsi="바탕" w:eastAsia="바탕"/>
          <w:b w:val="0"/>
          <w:color w:val="6E6E6E"/>
          <w:sz w:val="18"/>
        </w:rPr>
        <w:t>그림 3. 13년의 채점표 — 회의 전일 내재 순확률과 실제 결정(상단 인상·하단 인하)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→ 2026년 인상 사이클에 한정하면 OIS가 통안·CD-IRS를 큰 격차로 앞선다</w:t>
      </w:r>
    </w:p>
    <w:p>
      <w:pPr>
        <w:spacing w:after="0"/>
      </w:pPr>
      <w:r>
        <w:rPr>
          <w:rFonts w:ascii="HY신명조" w:hAnsi="HY신명조" w:eastAsia="HY신명조"/>
          <w:b/>
          <w:color w:val="93A8DD"/>
          <w:sz w:val="22"/>
        </w:rPr>
      </w:r>
    </w:p>
    <w:p>
      <w:pPr>
        <w:spacing w:after="40"/>
        <w:jc w:val="both"/>
      </w:pPr>
      <w:r>
        <w:rPr>
          <w:rFonts w:ascii="HY신명조" w:hAnsi="HY신명조" w:eastAsia="HY신명조"/>
          <w:b/>
          <w:color w:val="6191CE"/>
          <w:sz w:val="26"/>
        </w:rPr>
        <w:t>5) 왜 갈렸나 — 스왑과 현물 사이의 프리미엄</w:t>
      </w:r>
    </w:p>
    <w:p>
      <w:pPr>
        <w:spacing w:after="0"/>
      </w:pPr>
      <w:r>
        <w:rPr>
          <w:rFonts w:ascii="HY신명조" w:hAnsi="HY신명조" w:eastAsia="HY신명조"/>
          <w:b/>
          <w:color w:val="93A8DD"/>
          <w:sz w:val="22"/>
        </w:rPr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통안-OIS 격차(2026-08-27 기준): 3개월 14.7bp, 6개월 15.2bp, 1년 11.5bp (양수 = 통안이 강세)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격차는 순수한 기대 차이가 아니다. 절반 이상이 담보·수급 프리미엄이고, 나머지가 매파 이벤트 이후 현물의 반응 지연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국고 단기 스트립도 같은 방향이다. 회의 전일 연말 내재금리는 3.039%로 OIS의 3.163%보다 낮았다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22334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msb_ois_g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233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바탕" w:hAnsi="바탕" w:eastAsia="바탕"/>
          <w:b w:val="0"/>
          <w:color w:val="6E6E6E"/>
          <w:sz w:val="18"/>
        </w:rPr>
        <w:t>그림 4. 통안-OIS 격차의 시계열 — 매파 이벤트 이후 벌어졌다 수 주에 걸쳐 좁혀지는 패턴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→ 현물은 정책기대 외의 요인을 함께 담는다. 정책 확률 추출에는 스왑이 정공법이고 현물은 교차검증용</w:t>
      </w:r>
    </w:p>
    <w:p>
      <w:pPr>
        <w:spacing w:after="0"/>
      </w:pPr>
      <w:r>
        <w:rPr>
          <w:rFonts w:ascii="HY신명조" w:hAnsi="HY신명조" w:eastAsia="HY신명조"/>
          <w:b/>
          <w:color w:val="93A8DD"/>
          <w:sz w:val="22"/>
        </w:rPr>
      </w:r>
    </w:p>
    <w:p>
      <w:pPr>
        <w:spacing w:after="40"/>
        <w:jc w:val="both"/>
      </w:pPr>
      <w:r>
        <w:rPr>
          <w:rFonts w:ascii="HY신명조" w:hAnsi="HY신명조" w:eastAsia="HY신명조"/>
          <w:b/>
          <w:color w:val="6191CE"/>
          <w:sz w:val="26"/>
        </w:rPr>
        <w:t>6) 한계와 활용</w:t>
      </w:r>
    </w:p>
    <w:p>
      <w:pPr>
        <w:spacing w:after="0"/>
      </w:pPr>
      <w:r>
        <w:rPr>
          <w:rFonts w:ascii="HY신명조" w:hAnsi="HY신명조" w:eastAsia="HY신명조"/>
          <w:b/>
          <w:color w:val="93A8DD"/>
          <w:sz w:val="22"/>
        </w:rPr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(1) 표본이 얇다. OIS 유효 관측은 2022년 이후 회의뿐이며, 호가가 실질적으로 형성된 2024년 하반기 이후로 좁히면 더 줄어든다. 이번 적중 2회를 일반화하기엔 이르다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(2) 회의 직전이라는 유리한 조건이었다. 회의가 하루 앞이면 1주 OIS가 해당 노드를 거의 직접 가격한다. 회의까지 한 달 이상 남은 시점의 정확도는 별개 문제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(3) 회의별 배분은 여전히 노이즈가 크다. 이번에도 8월 확률이 8/21 100%에서 8/26 97.5%로 흔들렸고, 10월·11월 배분은 하루 단위로 뒤집혔다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(4) BMSI 8월분 미발표로 서베이 대조가 빠졌다. 발표되면 표에 채워 넣을 것</w:t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</w:r>
    </w:p>
    <w:p>
      <w:pPr>
        <w:spacing w:after="40"/>
        <w:jc w:val="both"/>
      </w:pPr>
      <w:r>
        <w:rPr>
          <w:rFonts w:ascii="HY신명조" w:hAnsi="HY신명조" w:eastAsia="HY신명조"/>
          <w:b w:val="0"/>
          <w:color w:val="101010"/>
          <w:sz w:val="24"/>
        </w:rPr>
        <w:t>→ 이번 회차는 모형의 유효성을 지지하지만 결론은 아니다 — 회의별 배분이 아니라 누적 수준과 방향 정보로 쓰는 원칙을 유지</w:t>
      </w:r>
    </w:p>
    <w:sectPr w:rsidR="00FC693F" w:rsidRPr="0006063C" w:rsidSect="00034616">
      <w:pgSz w:w="11906" w:h="16838"/>
      <w:pgMar w:top="1134" w:right="1134" w:bottom="1020" w:left="1134" w:header="1020" w:footer="76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9" w:lineRule="auto"/>
      <w:jc w:val="both"/>
    </w:pPr>
    <w:rPr>
      <w:rFonts w:ascii="HY신명조" w:hAnsi="HY신명조" w:eastAsia="HY신명조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