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예상 밖 기준금리 인상 시 국고채 금리 충격 분석</w:t>
      </w:r>
    </w:p>
    <w:p>
      <w:pPr>
        <w:jc w:val="center"/>
      </w:pPr>
      <w:r>
        <w:rPr>
          <w:b/>
          <w:sz w:val="21"/>
        </w:rPr>
        <w:t>PCA 기반 1일·1주·1개월 재가격화 경로</w:t>
      </w:r>
    </w:p>
    <w:p>
      <w:pPr>
        <w:jc w:val="center"/>
      </w:pPr>
      <w:r>
        <w:rPr>
          <w:sz w:val="16"/>
        </w:rPr>
        <w:t>시나리오: 전일 컨센서스 2.75% → 실제 3.00% (+25bp Surprise) | |Surprise| ≥ 5bp 표본 24회</w:t>
      </w:r>
    </w:p>
    <w:p>
      <w:pPr>
        <w:pStyle w:val="Heading1"/>
      </w:pPr>
      <w:r>
        <w:t>1. 분석 목적 및 핵심 결과</w:t>
      </w:r>
    </w:p>
    <w:p>
      <w:r>
        <w:t>본 연구는 금통위 직전 거래일 기준 시장 컨센서스 대비 실제 기준금리 결정이 +25bp 상회하는 경우, 국고채 현물이자율 곡선이 당일·1주·1개월에 걸쳐 어떻게 재가격화되는지를 추정한다. 정책 Surprise의 절대값이 5bp 미만인 사례는 정책결정 자체보다 기자회견, 해외금리, 수급 등 비정책 요인의 영향이 상대적으로 클 수 있다는 판단 아래 회귀 표본에서 제외하였다.</w:t>
      </w:r>
    </w:p>
    <w:p>
      <w:r>
        <w:t>결과의 특징은 시간에 따른 충격 중심의 이동이다. 당일에는 3M +7.9bp, 6M +5.1bp 등 초단기물이 가장 크게 상승하고 2~10Y는 약 +2bp 내외에 그친다. 그러나 1개월 누적 기준으로는 3M +9.3bp, 3Y +6.9bp, 10Y +9.9bp, 20Y +10.2bp로 중·장기 구간의 상승폭이 확대된다. 즉 초기에는 정책금리 자체의 Surprise가 초단기물에 집중되지만, 시간이 지나면서 향후 정책경로와 터미널 금리, 채권 전반의 숏 심리가 중·장기 구간으로 확산되는 패턴이 추정된다.</w:t>
      </w:r>
    </w:p>
    <w:p>
      <w:pPr>
        <w:pStyle w:val="Heading1"/>
      </w:pPr>
      <w:r>
        <w:t>2. 만기별 예상 금리 충격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만기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1일 충격(bp)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1주 누적(bp)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1개월 누적(bp)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3M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+7.85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+8.93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+9.34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6M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+5.07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+5.06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+6.07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9M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+4.75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+4.47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+5.92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1Y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+4.39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+3.92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+5.86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1.5Y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+3.16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+2.74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+5.99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2Y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+2.62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+2.38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+6.52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2.5Y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+2.48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+2.47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+6.88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3Y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+2.20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+2.38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+6.88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4Y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+2.24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+3.24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+8.07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5Y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+2.27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+3.73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+8.68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7Y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+2.14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+4.36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+9.23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10Y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+2.08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+4.99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+9.85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15Y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+2.24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+5.42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+9.86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20Y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+2.59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+6.07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+10.19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30Y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+2.46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+6.06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/>
                <w:b w:val="0"/>
                <w:sz w:val="15"/>
              </w:rPr>
              <w:t>+9.90</w:t>
            </w:r>
          </w:p>
        </w:tc>
      </w:tr>
    </w:tbl>
    <w:p>
      <w:pPr>
        <w:jc w:val="right"/>
      </w:pPr>
      <w:r>
        <w:rPr>
          <w:i/>
          <w:sz w:val="14"/>
        </w:rPr>
        <w:t>자료: BOK_PCA_1D_1W_1M_Shock_Result(1).xlsx, Scenario_Result 시트</w:t>
      </w:r>
    </w:p>
    <w:p>
      <w:pPr>
        <w:pStyle w:val="Heading1"/>
      </w:pPr>
      <w:r>
        <w:t>3. 연구 방법론</w:t>
      </w:r>
    </w:p>
    <w:p>
      <w:r>
        <w:t>① 일별 국고채 Zero Spot 금리변화(bp)를 대상으로 Correlation PCA를 실시하고, 제1~3주성분을 경제적 해석에 맞춰 Level, Slope, Curvature로 정렬한다. 세 요인의 설명력은 각각 75.6%, 11.5%, 5.9%로 누적 약 93.0%이다. ② 각 거래일의 Level·Slope·Curvature Score를 산출한 뒤, 각 금통위별로 직전 거래일→당일(1D), 직전 거래일→+7일 이내 마지막 거래일(1W), 직전 거래일→+1개월 이내 마지막 거래일(1M)의 Factor Score를 누적한다. ③ Policy Surprise는 '실제 기준금리-직전 거래일 컨센서스'로 정의하며, |Surprise|&lt;5bp인 사례는 회귀에서 제외한다. ④ 각 horizon의 누적 Level·Slope·Curvature Score를 Policy Surprise에 각각 OLS 회귀한다. ⑤ +25bp Surprise를 회귀식에 대입해 예상 Factor Score를 산출하고, PCA loading과 만기별 scale을 이용해 만기별 금리 충격(bp)으로 역산한다.</w:t>
      </w:r>
    </w:p>
    <w:p>
      <w:r>
        <w:rPr>
          <w:b/>
        </w:rPr>
        <w:t xml:space="preserve">방법론 수정사항. </w:t>
      </w:r>
      <w:r>
        <w:t>요청문에 포함된 '평균회귀모형의 θ·K 추정 → 잔차 ε를 Σ로 나누어 dW를 계산'하는 단계는 현재 결과 파일을 만든 최종 PCA 코드에는 포함되어 있지 않다. 이는 앞서 검토했던 DNS/평균회귀 버전의 방법론이다. 이번 결과의 실제 추정 구조는 'PCA Factor Score 산출·누적 → Policy Surprise와 OLS → 만기별 복원'이므로, 보고서에는 실제 코드와 일치하도록 수정하여 기술하였다.</w:t>
      </w:r>
    </w:p>
    <w:p>
      <w:pPr>
        <w:pStyle w:val="Heading1"/>
      </w:pPr>
      <w:r>
        <w:t>4. 결과 해석</w:t>
      </w:r>
    </w:p>
    <w:p>
      <w:r>
        <w:t>정책 Surprise 초기에는 예상치 못한 기준금리 인상 자체가 가장 직접적인 정보이므로 정책금리에 가까운 초단기물이 민감하게 반응한다. 실제로 당일 충격은 3M +7.9bp, 6M +5.1bp, 1Y +4.4bp인 반면 2~10Y는 +2~3bp 수준에 머문다. 이는 시장이 우선 당장의 정책금리 레벨을 재조정하는 과정으로 해석할 수 있다.</w:t>
      </w:r>
    </w:p>
    <w:p>
      <w:r>
        <w:t>반면 1주 이후에는 장기구간의 상승폭이 점차 확대되고, 1개월 기준 7Y 이상은 대체로 +9~10bp 수준까지 올라온다. 예상보다 매파적인 결정이 단순한 1회의 25bp 인상에 그치지 않고 향후 기준금리 경로 및 터미널 금리의 상향 가능성을 시사한다고 받아들여질 경우, 정책경로 재평가가 장기금리까지 확산될 수 있다. 동시에 예상 밖 긴축 이후 채권 자산 전반에 대한 숏 심리가 강화되면 장기물 역시 단기물 못지않은 약세 압력을 받을 수 있다.</w:t>
      </w:r>
    </w:p>
    <w:p>
      <w:r>
        <w:t>다만 이러한 설명은 결과와 정합적인 경제적 해석이지, 현재 OLS가 터미널 금리 우려나 숏 심리를 직접 식별한 것은 아니다. 특히 1주·1개월 구간에는 미국채 금리, 환율, 물가, 국채 발행·수급 등 동기간의 다른 충격도 포함된다. 따라서 장기금리 상승을 전적으로 금통위 Surprise의 인과효과로 해석하기보다는 '과거 의미 있는 정책 Surprise가 발생한 국면에서 관찰된 평균적 후속 재가격화'로 보는 것이 적절하다.</w:t>
      </w:r>
    </w:p>
    <w:p>
      <w:pPr>
        <w:pStyle w:val="Heading1"/>
      </w:pPr>
      <w:r>
        <w:t>5. 채권운용 관점의 시사점</w:t>
      </w:r>
    </w:p>
    <w:p>
      <w:pPr>
        <w:ind w:left="227" w:hanging="142"/>
      </w:pPr>
      <w:r>
        <w:rPr>
          <w:b/>
        </w:rPr>
        <w:t xml:space="preserve">• </w:t>
      </w:r>
      <w:r>
        <w:t>금통위 결정 전까지는 각 운용역의 정책 전망에 따라 듀레이션·커브 방향성 베팅이 가능하나, 실제 결정이 시장 예상보다 유의미하게 매파적이면 기존 포지션의 방향보다 Surprise 이후의 재가격화 경로를 우선 점검할 필요가 있다.</w:t>
      </w:r>
    </w:p>
    <w:p>
      <w:pPr>
        <w:ind w:left="227" w:hanging="142"/>
      </w:pPr>
      <w:r>
        <w:rPr>
          <w:b/>
        </w:rPr>
        <w:t xml:space="preserve">• </w:t>
      </w:r>
      <w:r>
        <w:t>1개월 금리상승 위험을 상대적으로 피하려면 단기구간이 방어적으로 보인다. 다만 이는 단기물이 '오르지 않는다'는 의미가 아니다. 3M은 당일 +7.9bp로 가장 먼저 충격을 받으며, 이후 추가 상승폭이 제한적인 구조다.</w:t>
      </w:r>
    </w:p>
    <w:p>
      <w:pPr>
        <w:ind w:left="227" w:hanging="142"/>
      </w:pPr>
      <w:r>
        <w:rPr>
          <w:b/>
        </w:rPr>
        <w:t xml:space="preserve">• </w:t>
      </w:r>
      <w:r>
        <w:t>중·장기물은 당일 충격이 작다고 해서 안전구간으로 보기 어렵다. 3Y는 +2.2bp→+6.9bp, 10Y는 +2.1bp→+9.9bp로 시간이 지나며 충격이 확대된다. 따라서 Surprise 직후 중·장기 듀레이션 확대를 서두르는 전략은 후속 약세에 노출될 수 있다.</w:t>
      </w:r>
    </w:p>
    <w:p>
      <w:pPr>
        <w:ind w:left="227" w:hanging="142"/>
      </w:pPr>
      <w:r>
        <w:rPr>
          <w:b/>
        </w:rPr>
        <w:t xml:space="preserve">• </w:t>
      </w:r>
      <w:r>
        <w:t>3/10년 플래트닝 베팅 역시 기계적으로 적용하기 어렵다. 중앙 추정치상 1개월 동안 3Y보다 10Y 상승폭이 더 커 오히려 3/10 스티프닝 방향의 위험이 존재한다. 정책결정 직후에는 터미널 금리 재평가와 장기채 숏 심리의 확산 여부를 확인한 뒤 커브 포지션을 단계적으로 구축하는 편이 합리적이다.</w:t>
      </w:r>
    </w:p>
    <w:p>
      <w:pPr>
        <w:pStyle w:val="Heading1"/>
      </w:pPr>
      <w:r>
        <w:t>6. 한계점 및 활용 시 유의사항</w:t>
      </w:r>
    </w:p>
    <w:p>
      <w:r>
        <w:t>첫째, OLS 설명력은 horizon·factor별 편차가 크며 전반적으로 높지 않다. 특히 1주 Level의 R²는 사실상 0에 가깝고, 1개월 Level도 약 0.04 수준이며 1개월 Slope는 통상적 R² 기준으로 음(-)의 값을 보인다. 1D Slope처럼 약 0.52의 비교적 높은 설명력을 보이는 항목도 있으나, Policy Surprise 하나만으로 전체 금리곡선 변화를 안정적으로 설명한다고 보기는 어렵다.</w:t>
      </w:r>
    </w:p>
    <w:p>
      <w:r>
        <w:t>둘째, Bootstrap 신뢰구간이 넓고 일부 만기에서는 0을 포함한다. 예를 들어 1개월 95% 구간은 3M 약 -1.9~+18.6bp, 3Y -4.1~+17.5bp, 10Y -3.5~+23.1bp 수준이다. 중앙 추정치의 방향과 크기를 확정적 전망으로 사용하기보다 위험 시나리오의 중심값으로 활용해야 한다.</w:t>
      </w:r>
    </w:p>
    <w:p>
      <w:r>
        <w:t>셋째, 당시의 매크로 환경 확인이 필수적이다. 같은 +25bp Surprise라도 물가 방향, 미국 금리, 원/달러 환율, 유가, 재정·국채 수급, 한은의 포워드 가이던스에 따라 장기금리 반응은 크게 달라질 수 있다. 특히 1주·1개월 추정치는 이러한 동시적 환경을 통제하지 못하므로 실제 운용에서는 금통위 Surprise와 매크로 레짐을 함께 판단해야 한다.</w:t>
      </w:r>
    </w:p>
    <w:p>
      <w:r>
        <w:t>넷째, 현재 회귀는 +5bp 이상의 매파 Surprise와 -5bp 이하의 비둘기파 Surprise를 절댓값 기준으로 함께 사용하며 선형·대칭 관계를 가정한다. 인상과 인하 충격의 반응이 비대칭적이라면 +25bp 인상 시나리오에는 매파 Surprise만을 사용한 별도 회귀가 더 적절할 수 있다. 향후에는 직접 만기별 OLS, positive-surprise 전용 회귀, 매크로 통제변수 추가를 통해 결과의 강건성을 확인할 필요가 있다.</w:t>
      </w:r>
    </w:p>
    <w:p>
      <w:pPr>
        <w:pStyle w:val="Heading1"/>
      </w:pPr>
      <w:r>
        <w:t>자료 및 출처</w:t>
      </w:r>
    </w:p>
    <w:p>
      <w:r>
        <w:t>분석 결과: BOK_PCA_1D_1W_1M_Shock_Result(1).xlsx. 주요 참조 시트: Scenario_Result(만기별 충격 및 Bootstrap 구간), Model_Summary(시나리오·표본·MIN_SURPRISE_BP), PCA_Explained(PCA 설명력), Surprise_Factor_Reg(OLS 계수 및 설명력).</w:t>
      </w:r>
    </w:p>
    <w:sectPr w:rsidR="00FC693F" w:rsidRPr="0006063C" w:rsidSect="00034616">
      <w:footerReference w:type="default" r:id="rId9"/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4"/>
      </w:rPr>
      <w:t>PCA 기반 기준금리 Policy Surprise 충격 분석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