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80"/>
      </w:pPr>
      <w:r>
        <w:rPr>
          <w:b/>
          <w:color w:val="1F4E78"/>
          <w:sz w:val="44"/>
        </w:rPr>
        <w:t xml:space="preserve">TrackIQ Partner API</w:t>
      </w:r>
    </w:p>
    <w:p>
      <w:pPr>
        <w:spacing w:after="80"/>
      </w:pPr>
      <w:r>
        <w:rPr>
          <w:b/>
          <w:sz w:val="28"/>
        </w:rPr>
        <w:t xml:space="preserve">Outbox Sequence Fix — Verification Report</w:t>
      </w:r>
    </w:p>
    <w:p>
      <w:pPr>
        <w:spacing w:after="160"/>
      </w:pPr>
      <w:r>
        <w:rPr>
          <w:b/>
          <w:color w:val="595959"/>
        </w:rPr>
        <w:t xml:space="preserve">Audience: </w:t>
      </w:r>
      <w:r>
        <w:rPr>
          <w:color w:val="595959"/>
        </w:rPr>
        <w:t xml:space="preserve">Engineering &amp; PMO  |  </w:t>
      </w:r>
      <w:r>
        <w:rPr>
          <w:b/>
          <w:color w:val="595959"/>
        </w:rPr>
        <w:t xml:space="preserve">Environment: </w:t>
      </w:r>
      <w:r>
        <w:rPr>
          <w:color w:val="595959"/>
        </w:rPr>
        <w:t xml:space="preserve">https://trackiq.apeiro-digital.com  |  </w:t>
      </w:r>
      <w:r>
        <w:rPr>
          <w:b/>
          <w:color w:val="595959"/>
        </w:rPr>
        <w:t xml:space="preserve">Date: </w:t>
      </w:r>
      <w:r>
        <w:rPr>
          <w:color w:val="595959"/>
        </w:rPr>
        <w:t xml:space="preserve">2 October 2026</w:t>
      </w:r>
    </w:p>
    <w:p>
      <w:pPr>
        <w:spacing w:after="160"/>
      </w:pPr>
      <w:r>
        <w:rPr>
          <w:b/>
        </w:rPr>
        <w:t xml:space="preserve">Verdict: </w:t>
      </w:r>
      <w:r>
        <w:rPr>
          <w:b/>
          <w:color w:val="006400"/>
        </w:rPr>
        <w:t xml:space="preserve">PASS</w:t>
      </w:r>
      <w:r>
        <w:t xml:space="preserve"> — Partner manufacturer event ingest no longer shows the intermittent 500 linked to epcis_outbox primary-key collisions.</w:t>
      </w:r>
    </w:p>
    <w:p>
      <w:pPr>
        <w:spacing w:before="320" w:after="160"/>
        <w:outlineLvl w:val="0"/>
      </w:pPr>
      <w:r>
        <w:rPr>
          <w:b/>
          <w:color w:val="1F4E78"/>
          <w:sz w:val="32"/>
        </w:rPr>
        <w:t xml:space="preserve">1. Executive summary</w:t>
      </w:r>
    </w:p>
    <w:p>
      <w:pPr>
        <w:spacing w:after="160"/>
      </w:pPr>
      <w:r>
        <w:t xml:space="preserve">Staging had intermittent HTTP 500 responses on Partner POST /api/integration/manufacturer/events. Root cause was not application logic in the outbox writer: after an import/restore, the Postgres sequence epcis_outbox_id_seq lagged behind max(epcis_outbox.id). New inserts reused IDs, hit unique constraint epcis_outbox_pkey, rolled back the ingest transaction, and returned a generic Internal server error to the partner.</w:t>
      </w:r>
    </w:p>
    <w:p>
      <w:pPr>
        <w:spacing w:after="160"/>
      </w:pPr>
      <w:r>
        <w:t xml:space="preserve">Ops fixed this without an app deploy, schema change, or row rewrite by aligning the sequence with setval(...). QA then retested from the Partner API only (black-box). TrackIQ accepted every unique commission in the burst, returned zero HTTP 5xx, and rejected duplicate eventIDs with a clean 409.</w:t>
      </w:r>
    </w:p>
    <w:p>
      <w:pPr>
        <w:spacing w:before="320" w:after="160"/>
        <w:outlineLvl w:val="0"/>
      </w:pPr>
      <w:r>
        <w:rPr>
          <w:b/>
          <w:color w:val="1F4E78"/>
          <w:sz w:val="32"/>
        </w:rPr>
        <w:t xml:space="preserve">2. How to read this vs the old bug</w:t>
      </w:r>
    </w:p>
    <w:p>
      <w:pPr>
        <w:spacing w:after="160"/>
      </w:pPr>
      <w:r>
        <w:rPr>
          <w:i/>
        </w:rPr>
        <w:t xml:space="preserve">This is the core comparison for stakeholders. Left = behaviour during the incident. Right = what TrackIQ did in the verification run after the ops fix.</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400"/>
        <w:gridCol w:w="4400"/>
      </w:tblGrid>
      <w:tr>
        <w:tc>
          <w:tcPr>
            <w:tcW w:w="4400" w:type="dxa"/>
            <w:shd w:val="clear" w:color="auto" w:fill="1F4E78"/>
            <w:tcMar>
              <w:top w:w="80" w:type="dxa"/>
              <w:bottom w:w="80" w:type="dxa"/>
              <w:left w:w="100" w:type="dxa"/>
              <w:right w:w="100" w:type="dxa"/>
            </w:tcMar>
          </w:tcPr>
          <w:p>
            <w:pPr>
              <w:spacing w:after="0"/>
            </w:pPr>
            <w:r>
              <w:rPr>
                <w:b/>
                <w:color w:val="FFFFFF"/>
              </w:rPr>
              <w:t xml:space="preserve">Before fix (incident)</w:t>
            </w:r>
          </w:p>
        </w:tc>
        <w:tc>
          <w:tcPr>
            <w:tcW w:w="4400" w:type="dxa"/>
            <w:shd w:val="clear" w:color="auto" w:fill="1F4E78"/>
            <w:tcMar>
              <w:top w:w="80" w:type="dxa"/>
              <w:bottom w:w="80" w:type="dxa"/>
              <w:left w:w="100" w:type="dxa"/>
              <w:right w:w="100" w:type="dxa"/>
            </w:tcMar>
          </w:tcPr>
          <w:p>
            <w:pPr>
              <w:spacing w:after="0"/>
            </w:pPr>
            <w:r>
              <w:rPr>
                <w:b/>
                <w:color w:val="FFFFFF"/>
              </w:rPr>
              <w:t xml:space="preserve">After these tests (TrackIQ)</w:t>
            </w:r>
          </w:p>
        </w:tc>
      </w:tr>
      <w:tr>
        <w:tc>
          <w:tcPr>
            <w:tcW w:w="4400" w:type="dxa"/>
            <w:tcMar>
              <w:top w:w="80" w:type="dxa"/>
              <w:bottom w:w="80" w:type="dxa"/>
              <w:left w:w="100" w:type="dxa"/>
              <w:right w:w="100" w:type="dxa"/>
            </w:tcMar>
          </w:tcPr>
          <w:p>
            <w:pPr>
              <w:spacing w:after="0"/>
            </w:pPr>
            <w:r>
              <w:t xml:space="preserve">Intermittent HTTP 500</w:t>
            </w:r>
          </w:p>
        </w:tc>
        <w:tc>
          <w:tcPr>
            <w:tcW w:w="4400" w:type="dxa"/>
            <w:tcMar>
              <w:top w:w="80" w:type="dxa"/>
              <w:bottom w:w="80" w:type="dxa"/>
              <w:left w:w="100" w:type="dxa"/>
              <w:right w:w="100" w:type="dxa"/>
            </w:tcMar>
          </w:tcPr>
          <w:p>
            <w:pPr>
              <w:spacing w:after="0"/>
            </w:pPr>
            <w:r>
              <w:t xml:space="preserve">0 × HTTP 500 in 32 manufacturer POSTs</w:t>
            </w:r>
          </w:p>
        </w:tc>
      </w:tr>
      <w:tr>
        <w:tc>
          <w:tcPr>
            <w:tcW w:w="4400" w:type="dxa"/>
            <w:tcMar>
              <w:top w:w="80" w:type="dxa"/>
              <w:bottom w:w="80" w:type="dxa"/>
              <w:left w:w="100" w:type="dxa"/>
              <w:right w:w="100" w:type="dxa"/>
            </w:tcMar>
          </w:tcPr>
          <w:p>
            <w:pPr>
              <w:spacing w:after="0"/>
            </w:pPr>
            <w:r>
              <w:t xml:space="preserve">Postgres: duplicate key on epcis_outbox_pkey</w:t>
            </w:r>
          </w:p>
        </w:tc>
        <w:tc>
          <w:tcPr>
            <w:tcW w:w="4400" w:type="dxa"/>
            <w:tcMar>
              <w:top w:w="80" w:type="dxa"/>
              <w:bottom w:w="80" w:type="dxa"/>
              <w:left w:w="100" w:type="dxa"/>
              <w:right w:w="100" w:type="dxa"/>
            </w:tcMar>
          </w:tcPr>
          <w:p>
            <w:pPr>
              <w:spacing w:after="0"/>
            </w:pPr>
            <w:r>
              <w:t xml:space="preserve">No sign of epcis_outbox_pkey / duplicate-key text in API responses</w:t>
            </w:r>
          </w:p>
        </w:tc>
      </w:tr>
      <w:tr>
        <w:tc>
          <w:tcPr>
            <w:tcW w:w="4400" w:type="dxa"/>
            <w:tcMar>
              <w:top w:w="80" w:type="dxa"/>
              <w:bottom w:w="80" w:type="dxa"/>
              <w:left w:w="100" w:type="dxa"/>
              <w:right w:w="100" w:type="dxa"/>
            </w:tcMar>
          </w:tcPr>
          <w:p>
            <w:pPr>
              <w:spacing w:after="0"/>
            </w:pPr>
            <w:r>
              <w:t xml:space="preserve">Ingest transaction rolled back</w:t>
            </w:r>
          </w:p>
        </w:tc>
        <w:tc>
          <w:tcPr>
            <w:tcW w:w="4400" w:type="dxa"/>
            <w:tcMar>
              <w:top w:w="80" w:type="dxa"/>
              <w:bottom w:w="80" w:type="dxa"/>
              <w:left w:w="100" w:type="dxa"/>
              <w:right w:w="100" w:type="dxa"/>
            </w:tcMar>
          </w:tcPr>
          <w:p>
            <w:pPr>
              <w:spacing w:after="0"/>
            </w:pPr>
            <w:r>
              <w:t xml:space="preserve">Events accepted (HTTP 202)</w:t>
            </w:r>
          </w:p>
        </w:tc>
      </w:tr>
      <w:tr>
        <w:tc>
          <w:tcPr>
            <w:tcW w:w="4400" w:type="dxa"/>
            <w:tcMar>
              <w:top w:w="80" w:type="dxa"/>
              <w:bottom w:w="80" w:type="dxa"/>
              <w:left w:w="100" w:type="dxa"/>
              <w:right w:w="100" w:type="dxa"/>
            </w:tcMar>
          </w:tcPr>
          <w:p>
            <w:pPr>
              <w:spacing w:after="0"/>
            </w:pPr>
            <w:r>
              <w:t xml:space="preserve">Partner saw generic Internal server error</w:t>
            </w:r>
          </w:p>
        </w:tc>
        <w:tc>
          <w:tcPr>
            <w:tcW w:w="4400" w:type="dxa"/>
            <w:tcMar>
              <w:top w:w="80" w:type="dxa"/>
              <w:bottom w:w="80" w:type="dxa"/>
              <w:left w:w="100" w:type="dxa"/>
              <w:right w:w="100" w:type="dxa"/>
            </w:tcMar>
          </w:tcPr>
          <w:p>
            <w:pPr>
              <w:spacing w:after="0"/>
            </w:pPr>
            <w:r>
              <w:t xml:space="preserve">Partner sees success (202) or clean 409 on replay</w:t>
            </w:r>
          </w:p>
        </w:tc>
      </w:tr>
    </w:tbl>
    <w:p>
      <w:pPr>
        <w:spacing w:after="200"/>
      </w:pPr>
    </w:p>
    <w:p>
      <w:pPr>
        <w:spacing w:before="320" w:after="160"/>
        <w:outlineLvl w:val="0"/>
      </w:pPr>
      <w:r>
        <w:rPr>
          <w:b/>
          <w:color w:val="1F4E78"/>
          <w:sz w:val="32"/>
        </w:rPr>
        <w:t xml:space="preserve">3. Incident (what broke)</w:t>
      </w:r>
    </w:p>
    <w:p>
      <w:pPr>
        <w:spacing w:after="160"/>
      </w:pPr>
      <w:r>
        <w:rPr>
          <w:b/>
        </w:rPr>
        <w:t xml:space="preserve">Symptom: </w:t>
      </w:r>
      <w:r>
        <w:t xml:space="preserve">Intermittent 500 on manufacturer event POST.</w:t>
      </w:r>
    </w:p>
    <w:p>
      <w:pPr>
        <w:spacing w:after="160"/>
      </w:pPr>
      <w:r>
        <w:rPr>
          <w:b/>
        </w:rPr>
        <w:t xml:space="preserve">Where it failed: </w:t>
      </w:r>
      <w:r>
        <w:t xml:space="preserve">Inside the ingest transaction, on insert into epcis_outbox, where id defaults to nextval('epcis_outbox_id_seq').</w:t>
      </w:r>
    </w:p>
    <w:p>
      <w:pPr>
        <w:spacing w:after="160"/>
      </w:pPr>
      <w:r>
        <w:rPr>
          <w:b/>
        </w:rPr>
        <w:t xml:space="preserve">Confirmed on staging primary (ops): </w:t>
      </w:r>
      <w:r>
        <w:t xml:space="preserve">max(epcis_outbox.id) ≈ 55,672 while epcis_outbox_id_seq.last_value ≈ 16,659 (SEQUENCE_BEHIND).</w:t>
      </w:r>
    </w:p>
    <w:p>
      <w:pPr>
        <w:spacing w:after="160"/>
      </w:pPr>
      <w:r>
        <w:rPr>
          <w:b/>
        </w:rPr>
        <w:t xml:space="preserve">Classification: </w:t>
      </w:r>
      <w:r>
        <w:t xml:space="preserve">Data/ops skew after import/restore — sequence not advanced with table data. Not an application bug in the outbox writer for this incident.</w:t>
      </w:r>
    </w:p>
    <w:p>
      <w:pPr>
        <w:spacing w:before="320" w:after="160"/>
        <w:outlineLvl w:val="0"/>
      </w:pPr>
      <w:r>
        <w:rPr>
          <w:b/>
          <w:color w:val="1F4E78"/>
          <w:sz w:val="32"/>
        </w:rPr>
        <w:t xml:space="preserve">4. Fix applied (ops-only)</w:t>
      </w:r>
    </w:p>
    <w:p>
      <w:pPr>
        <w:spacing w:after="160"/>
        <w:ind w:left="360"/>
      </w:pPr>
      <w:r>
        <w:t xml:space="preserve">•  </w:t>
      </w:r>
      <w:r>
        <w:t xml:space="preserve">No app deploy, no schema change, no row renumbering.</w:t>
      </w:r>
    </w:p>
    <w:p>
      <w:pPr>
        <w:spacing w:after="160"/>
        <w:ind w:left="360"/>
      </w:pPr>
      <w:r>
        <w:t xml:space="preserve">•  </w:t>
      </w:r>
      <w:r>
        <w:t xml:space="preserve">Connected as the app DB user via the API container DATABASE_URL (pgbouncer → primary).</w:t>
      </w:r>
    </w:p>
    <w:p>
      <w:pPr>
        <w:spacing w:after="160"/>
        <w:ind w:left="360"/>
      </w:pPr>
      <w:r>
        <w:t xml:space="preserve">•  </w:t>
      </w:r>
      <w:r>
        <w:t xml:space="preserve">Pre-check: last_value &lt; max(id) on epcis_outbox / epcis_outbox_id_seq.</w:t>
      </w:r>
    </w:p>
    <w:p>
      <w:pPr>
        <w:spacing w:after="160"/>
        <w:ind w:left="360"/>
      </w:pPr>
      <w:r>
        <w:t xml:space="preserve">•  </w:t>
      </w:r>
      <w:r>
        <w:t xml:space="preserve">Applied: setval('epcis_outbox_id_seq', (SELECT COALESCE(MAX(id), 1) FROM epcis_outbox), true) so the next nextval() is max(id) + 1.</w:t>
      </w:r>
    </w:p>
    <w:p>
      <w:pPr>
        <w:spacing w:after="160"/>
        <w:ind w:left="360"/>
      </w:pPr>
      <w:r>
        <w:t xml:space="preserve">•  </w:t>
      </w:r>
      <w:r>
        <w:t xml:space="preserve">Verified: last_value = max(id) and is_called = true.</w:t>
      </w:r>
    </w:p>
    <w:p>
      <w:pPr>
        <w:spacing w:after="160"/>
        <w:ind w:left="360"/>
      </w:pPr>
      <w:r>
        <w:t xml:space="preserve">•  </w:t>
      </w:r>
      <w:r>
        <w:t xml:space="preserve">Audited other serial/identity sequences for the same last_value &lt; max(pk) pattern and aligned any that were behind (same setval approach).</w:t>
      </w:r>
    </w:p>
    <w:p>
      <w:pPr>
        <w:spacing w:before="320" w:after="160"/>
        <w:outlineLvl w:val="0"/>
      </w:pPr>
      <w:r>
        <w:rPr>
          <w:b/>
          <w:color w:val="1F4E78"/>
          <w:sz w:val="32"/>
        </w:rPr>
        <w:t xml:space="preserve">5. What QA tested (TrackIQ only)</w:t>
      </w:r>
    </w:p>
    <w:p>
      <w:pPr>
        <w:spacing w:after="160"/>
      </w:pPr>
      <w:r>
        <w:rPr>
          <w:b/>
        </w:rPr>
        <w:t xml:space="preserve">Endpoint: </w:t>
      </w:r>
      <w:r>
        <w:t xml:space="preserve">POST https://trackiq.apeiro-digital.com/api/integration/manufacturer/events</w:t>
      </w:r>
    </w:p>
    <w:p>
      <w:pPr>
        <w:spacing w:after="160"/>
      </w:pPr>
      <w:r>
        <w:rPr>
          <w:b/>
        </w:rPr>
        <w:t xml:space="preserve">Auth: </w:t>
      </w:r>
      <w:r>
        <w:t xml:space="preserve">X-API-Key (manufacturer Partner token). Content-Type: application/ld+json.</w:t>
      </w:r>
    </w:p>
    <w:p>
      <w:pPr>
        <w:spacing w:after="160"/>
      </w:pPr>
      <w:r>
        <w:rPr>
          <w:b/>
        </w:rPr>
        <w:t xml:space="preserve">Method: </w:t>
      </w:r>
      <w:r>
        <w:t xml:space="preserve">Black-box Partner API checks only — no DB changes, no code changes, no architecture changes as part of the test.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2200"/>
        <w:gridCol w:w="3400"/>
      </w:tblGrid>
      <w:tr>
        <w:tc>
          <w:tcPr>
            <w:tcW w:w="3200" w:type="dxa"/>
            <w:shd w:val="clear" w:color="auto" w:fill="1F4E78"/>
            <w:tcMar>
              <w:top w:w="80" w:type="dxa"/>
              <w:bottom w:w="80" w:type="dxa"/>
              <w:left w:w="100" w:type="dxa"/>
              <w:right w:w="100" w:type="dxa"/>
            </w:tcMar>
          </w:tcPr>
          <w:p>
            <w:pPr>
              <w:spacing w:after="0"/>
            </w:pPr>
            <w:r>
              <w:rPr>
                <w:b/>
                <w:color w:val="FFFFFF"/>
              </w:rPr>
              <w:t xml:space="preserve">Step</w:t>
            </w:r>
          </w:p>
        </w:tc>
        <w:tc>
          <w:tcPr>
            <w:tcW w:w="2200" w:type="dxa"/>
            <w:shd w:val="clear" w:color="auto" w:fill="1F4E78"/>
            <w:tcMar>
              <w:top w:w="80" w:type="dxa"/>
              <w:bottom w:w="80" w:type="dxa"/>
              <w:left w:w="100" w:type="dxa"/>
              <w:right w:w="100" w:type="dxa"/>
            </w:tcMar>
          </w:tcPr>
          <w:p>
            <w:pPr>
              <w:spacing w:after="0"/>
            </w:pPr>
            <w:r>
              <w:rPr>
                <w:b/>
                <w:color w:val="FFFFFF"/>
              </w:rPr>
              <w:t xml:space="preserve">Requests</w:t>
            </w:r>
          </w:p>
        </w:tc>
        <w:tc>
          <w:tcPr>
            <w:tcW w:w="3400" w:type="dxa"/>
            <w:shd w:val="clear" w:color="auto" w:fill="1F4E78"/>
            <w:tcMar>
              <w:top w:w="80" w:type="dxa"/>
              <w:bottom w:w="80" w:type="dxa"/>
              <w:left w:w="100" w:type="dxa"/>
              <w:right w:w="100" w:type="dxa"/>
            </w:tcMar>
          </w:tcPr>
          <w:p>
            <w:pPr>
              <w:spacing w:after="0"/>
            </w:pPr>
            <w:r>
              <w:rPr>
                <w:b/>
                <w:color w:val="FFFFFF"/>
              </w:rPr>
              <w:t xml:space="preserve">Pass criterion</w:t>
            </w:r>
          </w:p>
        </w:tc>
      </w:tr>
      <w:tr>
        <w:tc>
          <w:tcPr>
            <w:tcW w:w="3200" w:type="dxa"/>
            <w:tcMar>
              <w:top w:w="80" w:type="dxa"/>
              <w:bottom w:w="80" w:type="dxa"/>
              <w:left w:w="100" w:type="dxa"/>
              <w:right w:w="100" w:type="dxa"/>
            </w:tcMar>
          </w:tcPr>
          <w:p>
            <w:pPr>
              <w:spacing w:after="0"/>
            </w:pPr>
            <w:r>
              <w:t xml:space="preserve">Sequential unique commissions</w:t>
            </w:r>
          </w:p>
        </w:tc>
        <w:tc>
          <w:tcPr>
            <w:tcW w:w="2200" w:type="dxa"/>
            <w:tcMar>
              <w:top w:w="80" w:type="dxa"/>
              <w:bottom w:w="80" w:type="dxa"/>
              <w:left w:w="100" w:type="dxa"/>
              <w:right w:w="100" w:type="dxa"/>
            </w:tcMar>
          </w:tcPr>
          <w:p>
            <w:pPr>
              <w:spacing w:after="0"/>
            </w:pPr>
            <w:r>
              <w:t xml:space="preserve">25</w:t>
            </w:r>
          </w:p>
        </w:tc>
        <w:tc>
          <w:tcPr>
            <w:tcW w:w="3400" w:type="dxa"/>
            <w:tcMar>
              <w:top w:w="80" w:type="dxa"/>
              <w:bottom w:w="80" w:type="dxa"/>
              <w:left w:w="100" w:type="dxa"/>
              <w:right w:w="100" w:type="dxa"/>
            </w:tcMar>
          </w:tcPr>
          <w:p>
            <w:pPr>
              <w:spacing w:after="0"/>
            </w:pPr>
            <w:r>
              <w:t xml:space="preserve">Each new eventID → HTTP 2xx (observed 202)</w:t>
            </w:r>
          </w:p>
        </w:tc>
      </w:tr>
      <w:tr>
        <w:tc>
          <w:tcPr>
            <w:tcW w:w="3200" w:type="dxa"/>
            <w:tcMar>
              <w:top w:w="80" w:type="dxa"/>
              <w:bottom w:w="80" w:type="dxa"/>
              <w:left w:w="100" w:type="dxa"/>
              <w:right w:w="100" w:type="dxa"/>
            </w:tcMar>
          </w:tcPr>
          <w:p>
            <w:pPr>
              <w:spacing w:after="0"/>
            </w:pPr>
            <w:r>
              <w:t xml:space="preserve">Concurrent unique commissions</w:t>
            </w:r>
          </w:p>
        </w:tc>
        <w:tc>
          <w:tcPr>
            <w:tcW w:w="2200" w:type="dxa"/>
            <w:tcMar>
              <w:top w:w="80" w:type="dxa"/>
              <w:bottom w:w="80" w:type="dxa"/>
              <w:left w:w="100" w:type="dxa"/>
              <w:right w:w="100" w:type="dxa"/>
            </w:tcMar>
          </w:tcPr>
          <w:p>
            <w:pPr>
              <w:spacing w:after="0"/>
            </w:pPr>
            <w:r>
              <w:t xml:space="preserve">5 in parallel</w:t>
            </w:r>
          </w:p>
        </w:tc>
        <w:tc>
          <w:tcPr>
            <w:tcW w:w="3400" w:type="dxa"/>
            <w:tcMar>
              <w:top w:w="80" w:type="dxa"/>
              <w:bottom w:w="80" w:type="dxa"/>
              <w:left w:w="100" w:type="dxa"/>
              <w:right w:w="100" w:type="dxa"/>
            </w:tcMar>
          </w:tcPr>
          <w:p>
            <w:pPr>
              <w:spacing w:after="0"/>
            </w:pPr>
            <w:r>
              <w:t xml:space="preserve">All HTTP 2xx; no intermittent 500</w:t>
            </w:r>
          </w:p>
        </w:tc>
      </w:tr>
      <w:tr>
        <w:tc>
          <w:tcPr>
            <w:tcW w:w="3200" w:type="dxa"/>
            <w:tcMar>
              <w:top w:w="80" w:type="dxa"/>
              <w:bottom w:w="80" w:type="dxa"/>
              <w:left w:w="100" w:type="dxa"/>
              <w:right w:w="100" w:type="dxa"/>
            </w:tcMar>
          </w:tcPr>
          <w:p>
            <w:pPr>
              <w:spacing w:after="0"/>
            </w:pPr>
            <w:r>
              <w:t xml:space="preserve">Duplicate eventID control</w:t>
            </w:r>
          </w:p>
        </w:tc>
        <w:tc>
          <w:tcPr>
            <w:tcW w:w="2200" w:type="dxa"/>
            <w:tcMar>
              <w:top w:w="80" w:type="dxa"/>
              <w:bottom w:w="80" w:type="dxa"/>
              <w:left w:w="100" w:type="dxa"/>
              <w:right w:w="100" w:type="dxa"/>
            </w:tcMar>
          </w:tcPr>
          <w:p>
            <w:pPr>
              <w:spacing w:after="0"/>
            </w:pPr>
            <w:r>
              <w:t xml:space="preserve">Same ID twice</w:t>
            </w:r>
          </w:p>
        </w:tc>
        <w:tc>
          <w:tcPr>
            <w:tcW w:w="3400" w:type="dxa"/>
            <w:tcMar>
              <w:top w:w="80" w:type="dxa"/>
              <w:bottom w:w="80" w:type="dxa"/>
              <w:left w:w="100" w:type="dxa"/>
              <w:right w:w="100" w:type="dxa"/>
            </w:tcMar>
          </w:tcPr>
          <w:p>
            <w:pPr>
              <w:spacing w:after="0"/>
            </w:pPr>
            <w:r>
              <w:t xml:space="preserve">First 2xx; second not 500 (observed 409)</w:t>
            </w:r>
          </w:p>
        </w:tc>
      </w:tr>
    </w:tbl>
    <w:p>
      <w:pPr>
        <w:spacing w:after="200"/>
      </w:pPr>
    </w:p>
    <w:p>
      <w:pPr>
        <w:spacing w:after="160"/>
      </w:pPr>
      <w:r>
        <w:rPr>
          <w:b/>
        </w:rPr>
        <w:t xml:space="preserve">Evidence: </w:t>
      </w:r>
      <w:r>
        <w:t xml:space="preserve">security/results/outbox-fix-verify-2026-10-02T10-28-29-067Z/findings.json (TrackIQ runId d7791001).</w:t>
      </w:r>
    </w:p>
    <w:p>
      <w:pPr>
        <w:spacing w:before="320" w:after="160"/>
        <w:outlineLvl w:val="0"/>
      </w:pPr>
      <w:r>
        <w:rPr>
          <w:b/>
          <w:color w:val="1F4E78"/>
          <w:sz w:val="32"/>
        </w:rPr>
        <w:t xml:space="preserve">6. Results (TrackIQ)</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00"/>
        <w:gridCol w:w="4600"/>
      </w:tblGrid>
      <w:tr>
        <w:tc>
          <w:tcPr>
            <w:tcW w:w="4200" w:type="dxa"/>
            <w:shd w:val="clear" w:color="auto" w:fill="1F4E78"/>
            <w:tcMar>
              <w:top w:w="80" w:type="dxa"/>
              <w:bottom w:w="80" w:type="dxa"/>
              <w:left w:w="100" w:type="dxa"/>
              <w:right w:w="100" w:type="dxa"/>
            </w:tcMar>
          </w:tcPr>
          <w:p>
            <w:pPr>
              <w:spacing w:after="0"/>
            </w:pPr>
            <w:r>
              <w:rPr>
                <w:b/>
                <w:color w:val="FFFFFF"/>
              </w:rPr>
              <w:t xml:space="preserve">Metric</w:t>
            </w:r>
          </w:p>
        </w:tc>
        <w:tc>
          <w:tcPr>
            <w:tcW w:w="4600" w:type="dxa"/>
            <w:shd w:val="clear" w:color="auto" w:fill="1F4E78"/>
            <w:tcMar>
              <w:top w:w="80" w:type="dxa"/>
              <w:bottom w:w="80" w:type="dxa"/>
              <w:left w:w="100" w:type="dxa"/>
              <w:right w:w="100" w:type="dxa"/>
            </w:tcMar>
          </w:tcPr>
          <w:p>
            <w:pPr>
              <w:spacing w:after="0"/>
            </w:pPr>
            <w:r>
              <w:rPr>
                <w:b/>
                <w:color w:val="FFFFFF"/>
              </w:rPr>
              <w:t xml:space="preserve">Result</w:t>
            </w:r>
          </w:p>
        </w:tc>
      </w:tr>
      <w:tr>
        <w:tc>
          <w:tcPr>
            <w:tcW w:w="4200" w:type="dxa"/>
            <w:tcMar>
              <w:top w:w="80" w:type="dxa"/>
              <w:bottom w:w="80" w:type="dxa"/>
              <w:left w:w="100" w:type="dxa"/>
              <w:right w:w="100" w:type="dxa"/>
            </w:tcMar>
          </w:tcPr>
          <w:p>
            <w:pPr>
              <w:spacing w:after="0"/>
            </w:pPr>
            <w:r>
              <w:t xml:space="preserve">Overall verdict</w:t>
            </w:r>
          </w:p>
        </w:tc>
        <w:tc>
          <w:tcPr>
            <w:tcW w:w="4600" w:type="dxa"/>
            <w:tcMar>
              <w:top w:w="80" w:type="dxa"/>
              <w:bottom w:w="80" w:type="dxa"/>
              <w:left w:w="100" w:type="dxa"/>
              <w:right w:w="100" w:type="dxa"/>
            </w:tcMar>
          </w:tcPr>
          <w:p>
            <w:pPr>
              <w:spacing w:after="0"/>
            </w:pPr>
            <w:r>
              <w:t xml:space="preserve">PASS</w:t>
            </w:r>
          </w:p>
        </w:tc>
      </w:tr>
      <w:tr>
        <w:tc>
          <w:tcPr>
            <w:tcW w:w="4200" w:type="dxa"/>
            <w:tcMar>
              <w:top w:w="80" w:type="dxa"/>
              <w:bottom w:w="80" w:type="dxa"/>
              <w:left w:w="100" w:type="dxa"/>
              <w:right w:w="100" w:type="dxa"/>
            </w:tcMar>
          </w:tcPr>
          <w:p>
            <w:pPr>
              <w:spacing w:after="0"/>
            </w:pPr>
            <w:r>
              <w:t xml:space="preserve">Unique event requests</w:t>
            </w:r>
          </w:p>
        </w:tc>
        <w:tc>
          <w:tcPr>
            <w:tcW w:w="4600" w:type="dxa"/>
            <w:tcMar>
              <w:top w:w="80" w:type="dxa"/>
              <w:bottom w:w="80" w:type="dxa"/>
              <w:left w:w="100" w:type="dxa"/>
              <w:right w:w="100" w:type="dxa"/>
            </w:tcMar>
          </w:tcPr>
          <w:p>
            <w:pPr>
              <w:spacing w:after="0"/>
            </w:pPr>
            <w:r>
              <w:t xml:space="preserve">30</w:t>
            </w:r>
          </w:p>
        </w:tc>
      </w:tr>
      <w:tr>
        <w:tc>
          <w:tcPr>
            <w:tcW w:w="4200" w:type="dxa"/>
            <w:tcMar>
              <w:top w:w="80" w:type="dxa"/>
              <w:bottom w:w="80" w:type="dxa"/>
              <w:left w:w="100" w:type="dxa"/>
              <w:right w:w="100" w:type="dxa"/>
            </w:tcMar>
          </w:tcPr>
          <w:p>
            <w:pPr>
              <w:spacing w:after="0"/>
            </w:pPr>
            <w:r>
              <w:t xml:space="preserve">Unique events accepted (HTTP 202)</w:t>
            </w:r>
          </w:p>
        </w:tc>
        <w:tc>
          <w:tcPr>
            <w:tcW w:w="4600" w:type="dxa"/>
            <w:tcMar>
              <w:top w:w="80" w:type="dxa"/>
              <w:bottom w:w="80" w:type="dxa"/>
              <w:left w:w="100" w:type="dxa"/>
              <w:right w:w="100" w:type="dxa"/>
            </w:tcMar>
          </w:tcPr>
          <w:p>
            <w:pPr>
              <w:spacing w:after="0"/>
            </w:pPr>
            <w:r>
              <w:t xml:space="preserve">30 / 30</w:t>
            </w:r>
          </w:p>
        </w:tc>
      </w:tr>
      <w:tr>
        <w:tc>
          <w:tcPr>
            <w:tcW w:w="4200" w:type="dxa"/>
            <w:tcMar>
              <w:top w:w="80" w:type="dxa"/>
              <w:bottom w:w="80" w:type="dxa"/>
              <w:left w:w="100" w:type="dxa"/>
              <w:right w:w="100" w:type="dxa"/>
            </w:tcMar>
          </w:tcPr>
          <w:p>
            <w:pPr>
              <w:spacing w:after="0"/>
            </w:pPr>
            <w:r>
              <w:t xml:space="preserve">HTTP 5xx count</w:t>
            </w:r>
          </w:p>
        </w:tc>
        <w:tc>
          <w:tcPr>
            <w:tcW w:w="4600" w:type="dxa"/>
            <w:tcMar>
              <w:top w:w="80" w:type="dxa"/>
              <w:bottom w:w="80" w:type="dxa"/>
              <w:left w:w="100" w:type="dxa"/>
              <w:right w:w="100" w:type="dxa"/>
            </w:tcMar>
          </w:tcPr>
          <w:p>
            <w:pPr>
              <w:spacing w:after="0"/>
            </w:pPr>
            <w:r>
              <w:t xml:space="preserve">0</w:t>
            </w:r>
          </w:p>
        </w:tc>
      </w:tr>
      <w:tr>
        <w:tc>
          <w:tcPr>
            <w:tcW w:w="4200" w:type="dxa"/>
            <w:tcMar>
              <w:top w:w="80" w:type="dxa"/>
              <w:bottom w:w="80" w:type="dxa"/>
              <w:left w:w="100" w:type="dxa"/>
              <w:right w:w="100" w:type="dxa"/>
            </w:tcMar>
          </w:tcPr>
          <w:p>
            <w:pPr>
              <w:spacing w:after="0"/>
            </w:pPr>
            <w:r>
              <w:t xml:space="preserve">epcis_outbox_pkey / duplicate-key in response body</w:t>
            </w:r>
          </w:p>
        </w:tc>
        <w:tc>
          <w:tcPr>
            <w:tcW w:w="4600" w:type="dxa"/>
            <w:tcMar>
              <w:top w:w="80" w:type="dxa"/>
              <w:bottom w:w="80" w:type="dxa"/>
              <w:left w:w="100" w:type="dxa"/>
              <w:right w:w="100" w:type="dxa"/>
            </w:tcMar>
          </w:tcPr>
          <w:p>
            <w:pPr>
              <w:spacing w:after="0"/>
            </w:pPr>
            <w:r>
              <w:t xml:space="preserve">0</w:t>
            </w:r>
          </w:p>
        </w:tc>
      </w:tr>
      <w:tr>
        <w:tc>
          <w:tcPr>
            <w:tcW w:w="4200" w:type="dxa"/>
            <w:tcMar>
              <w:top w:w="80" w:type="dxa"/>
              <w:bottom w:w="80" w:type="dxa"/>
              <w:left w:w="100" w:type="dxa"/>
              <w:right w:w="100" w:type="dxa"/>
            </w:tcMar>
          </w:tcPr>
          <w:p>
            <w:pPr>
              <w:spacing w:after="0"/>
            </w:pPr>
            <w:r>
              <w:t xml:space="preserve">Duplicate eventID — 1st POST</w:t>
            </w:r>
          </w:p>
        </w:tc>
        <w:tc>
          <w:tcPr>
            <w:tcW w:w="4600" w:type="dxa"/>
            <w:tcMar>
              <w:top w:w="80" w:type="dxa"/>
              <w:bottom w:w="80" w:type="dxa"/>
              <w:left w:w="100" w:type="dxa"/>
              <w:right w:w="100" w:type="dxa"/>
            </w:tcMar>
          </w:tcPr>
          <w:p>
            <w:pPr>
              <w:spacing w:after="0"/>
            </w:pPr>
            <w:r>
              <w:t xml:space="preserve">202</w:t>
            </w:r>
          </w:p>
        </w:tc>
      </w:tr>
      <w:tr>
        <w:tc>
          <w:tcPr>
            <w:tcW w:w="4200" w:type="dxa"/>
            <w:tcMar>
              <w:top w:w="80" w:type="dxa"/>
              <w:bottom w:w="80" w:type="dxa"/>
              <w:left w:w="100" w:type="dxa"/>
              <w:right w:w="100" w:type="dxa"/>
            </w:tcMar>
          </w:tcPr>
          <w:p>
            <w:pPr>
              <w:spacing w:after="0"/>
            </w:pPr>
            <w:r>
              <w:t xml:space="preserve">Duplicate eventID — 2nd POST</w:t>
            </w:r>
          </w:p>
        </w:tc>
        <w:tc>
          <w:tcPr>
            <w:tcW w:w="4600" w:type="dxa"/>
            <w:tcMar>
              <w:top w:w="80" w:type="dxa"/>
              <w:bottom w:w="80" w:type="dxa"/>
              <w:left w:w="100" w:type="dxa"/>
              <w:right w:w="100" w:type="dxa"/>
            </w:tcMar>
          </w:tcPr>
          <w:p>
            <w:pPr>
              <w:spacing w:after="0"/>
            </w:pPr>
            <w:r>
              <w:t xml:space="preserve">409 (dedupe; not 500)</w:t>
            </w:r>
          </w:p>
        </w:tc>
      </w:tr>
      <w:tr>
        <w:tc>
          <w:tcPr>
            <w:tcW w:w="4200" w:type="dxa"/>
            <w:tcMar>
              <w:top w:w="80" w:type="dxa"/>
              <w:bottom w:w="80" w:type="dxa"/>
              <w:left w:w="100" w:type="dxa"/>
              <w:right w:w="100" w:type="dxa"/>
            </w:tcMar>
          </w:tcPr>
          <w:p>
            <w:pPr>
              <w:spacing w:after="0"/>
            </w:pPr>
            <w:r>
              <w:t xml:space="preserve">Total manufacturer POSTs in run</w:t>
            </w:r>
          </w:p>
        </w:tc>
        <w:tc>
          <w:tcPr>
            <w:tcW w:w="4600" w:type="dxa"/>
            <w:tcMar>
              <w:top w:w="80" w:type="dxa"/>
              <w:bottom w:w="80" w:type="dxa"/>
              <w:left w:w="100" w:type="dxa"/>
              <w:right w:w="100" w:type="dxa"/>
            </w:tcMar>
          </w:tcPr>
          <w:p>
            <w:pPr>
              <w:spacing w:after="0"/>
            </w:pPr>
            <w:r>
              <w:t xml:space="preserve">32</w:t>
            </w:r>
          </w:p>
        </w:tc>
      </w:tr>
      <w:tr>
        <w:tc>
          <w:tcPr>
            <w:tcW w:w="4200" w:type="dxa"/>
            <w:tcMar>
              <w:top w:w="80" w:type="dxa"/>
              <w:bottom w:w="80" w:type="dxa"/>
              <w:left w:w="100" w:type="dxa"/>
              <w:right w:w="100" w:type="dxa"/>
            </w:tcMar>
          </w:tcPr>
          <w:p>
            <w:pPr>
              <w:spacing w:after="0"/>
            </w:pPr>
            <w:r>
              <w:t xml:space="preserve">Sequential latency (approx.)</w:t>
            </w:r>
          </w:p>
        </w:tc>
        <w:tc>
          <w:tcPr>
            <w:tcW w:w="4600" w:type="dxa"/>
            <w:tcMar>
              <w:top w:w="80" w:type="dxa"/>
              <w:bottom w:w="80" w:type="dxa"/>
              <w:left w:w="100" w:type="dxa"/>
              <w:right w:w="100" w:type="dxa"/>
            </w:tcMar>
          </w:tcPr>
          <w:p>
            <w:pPr>
              <w:spacing w:after="0"/>
            </w:pPr>
            <w:r>
              <w:t xml:space="preserve">min 103 ms · median 133 ms · max 172 ms</w:t>
            </w:r>
          </w:p>
        </w:tc>
      </w:tr>
      <w:tr>
        <w:tc>
          <w:tcPr>
            <w:tcW w:w="4200" w:type="dxa"/>
            <w:tcMar>
              <w:top w:w="80" w:type="dxa"/>
              <w:bottom w:w="80" w:type="dxa"/>
              <w:left w:w="100" w:type="dxa"/>
              <w:right w:w="100" w:type="dxa"/>
            </w:tcMar>
          </w:tcPr>
          <w:p>
            <w:pPr>
              <w:spacing w:after="0"/>
            </w:pPr>
            <w:r>
              <w:t xml:space="preserve">Concurrent latency (approx.)</w:t>
            </w:r>
          </w:p>
        </w:tc>
        <w:tc>
          <w:tcPr>
            <w:tcW w:w="4600" w:type="dxa"/>
            <w:tcMar>
              <w:top w:w="80" w:type="dxa"/>
              <w:bottom w:w="80" w:type="dxa"/>
              <w:left w:w="100" w:type="dxa"/>
              <w:right w:w="100" w:type="dxa"/>
            </w:tcMar>
          </w:tcPr>
          <w:p>
            <w:pPr>
              <w:spacing w:after="0"/>
            </w:pPr>
            <w:r>
              <w:t xml:space="preserve">min 202 ms · median 255 ms · max 281 ms</w:t>
            </w:r>
          </w:p>
        </w:tc>
      </w:tr>
    </w:tbl>
    <w:p>
      <w:pPr>
        <w:spacing w:after="200"/>
      </w:pPr>
    </w:p>
    <w:p>
      <w:pPr>
        <w:spacing w:after="160"/>
      </w:pPr>
      <w:r>
        <w:rPr>
          <w:b/>
        </w:rPr>
        <w:t xml:space="preserve">Sample eventIDs from the run: </w:t>
      </w:r>
      <w:r>
        <w:t xml:space="preserve">urn:uuid:7df65256-5ef0-407f-bdbe-3984d5915649 … urn:uuid:21036c6a-467c-4770-bce3-1895f893a7e3</w:t>
      </w:r>
    </w:p>
    <w:p>
      <w:pPr>
        <w:spacing w:before="320" w:after="160"/>
        <w:outlineLvl w:val="0"/>
      </w:pPr>
      <w:r>
        <w:rPr>
          <w:b/>
          <w:color w:val="1F4E78"/>
          <w:sz w:val="32"/>
        </w:rPr>
        <w:t xml:space="preserve">7. Plain-language takeaway</w:t>
      </w:r>
    </w:p>
    <w:p>
      <w:pPr>
        <w:spacing w:after="160"/>
      </w:pPr>
      <w:r>
        <w:t xml:space="preserve">Before the fix, partners sometimes got a vague “server error” even when their payload was fine — because the database was handing out outbox IDs that already existed. Ops reset the ID counter to sit past the highest existing row. After that, QA hammered the same Partner commission path with many new events (including a few at the same time). Everything was accepted, nothing returned 500, and replaying the same event ID correctly got a conflict (409) instead of another crash.</w:t>
      </w:r>
    </w:p>
    <w:p>
      <w:pPr>
        <w:spacing w:before="320" w:after="160"/>
        <w:outlineLvl w:val="0"/>
      </w:pPr>
      <w:r>
        <w:rPr>
          <w:b/>
          <w:color w:val="1F4E78"/>
          <w:sz w:val="32"/>
        </w:rPr>
        <w:t xml:space="preserve">8. Scope and limits</w:t>
      </w:r>
    </w:p>
    <w:p>
      <w:pPr>
        <w:spacing w:after="160"/>
        <w:ind w:left="360"/>
      </w:pPr>
      <w:r>
        <w:t xml:space="preserve">•  </w:t>
      </w:r>
      <w:r>
        <w:t xml:space="preserve">This report covers TrackIQ only and the outbox-sequence / intermittent-500 failure mode.</w:t>
      </w:r>
    </w:p>
    <w:p>
      <w:pPr>
        <w:spacing w:after="160"/>
        <w:ind w:left="360"/>
      </w:pPr>
      <w:r>
        <w:t xml:space="preserve">•  </w:t>
      </w:r>
      <w:r>
        <w:t xml:space="preserve">QA did not re-query sequence vs max(id) in this run; that remains an ops health check.</w:t>
      </w:r>
    </w:p>
    <w:p>
      <w:pPr>
        <w:spacing w:after="160"/>
        <w:ind w:left="360"/>
      </w:pPr>
      <w:r>
        <w:t xml:space="preserve">•  </w:t>
      </w:r>
      <w:r>
        <w:t xml:space="preserve">Large multi-thousand-event batches (timeouts / 504) and unrelated identifier 500s are out of scope for this verification.</w:t>
      </w:r>
    </w:p>
    <w:p>
      <w:pPr>
        <w:spacing w:after="160"/>
        <w:ind w:left="360"/>
      </w:pPr>
      <w:r>
        <w:t xml:space="preserve">•  </w:t>
      </w:r>
      <w:r>
        <w:t xml:space="preserve">Recommendation: after future DB restores/imports, include a sequence-vs-max(pk) check for epcis_outbox (and other serial tables) in the ops checklist.</w:t>
      </w:r>
    </w:p>
    <w:p>
      <w:pPr>
        <w:spacing w:before="320" w:after="160"/>
        <w:outlineLvl w:val="0"/>
      </w:pPr>
      <w:r>
        <w:rPr>
          <w:b/>
          <w:color w:val="1F4E78"/>
          <w:sz w:val="32"/>
        </w:rPr>
        <w:t xml:space="preserve">9. Sign-off</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200"/>
        <w:gridCol w:w="4600"/>
      </w:tblGrid>
      <w:tr>
        <w:tc>
          <w:tcPr>
            <w:tcW w:w="4200" w:type="dxa"/>
            <w:shd w:val="clear" w:color="auto" w:fill="1F4E78"/>
            <w:tcMar>
              <w:top w:w="80" w:type="dxa"/>
              <w:bottom w:w="80" w:type="dxa"/>
              <w:left w:w="100" w:type="dxa"/>
              <w:right w:w="100" w:type="dxa"/>
            </w:tcMar>
          </w:tcPr>
          <w:p>
            <w:pPr>
              <w:spacing w:after="0"/>
            </w:pPr>
            <w:r>
              <w:rPr>
                <w:b/>
                <w:color w:val="FFFFFF"/>
              </w:rPr>
              <w:t xml:space="preserve">Item</w:t>
            </w:r>
          </w:p>
        </w:tc>
        <w:tc>
          <w:tcPr>
            <w:tcW w:w="4600" w:type="dxa"/>
            <w:shd w:val="clear" w:color="auto" w:fill="1F4E78"/>
            <w:tcMar>
              <w:top w:w="80" w:type="dxa"/>
              <w:bottom w:w="80" w:type="dxa"/>
              <w:left w:w="100" w:type="dxa"/>
              <w:right w:w="100" w:type="dxa"/>
            </w:tcMar>
          </w:tcPr>
          <w:p>
            <w:pPr>
              <w:spacing w:after="0"/>
            </w:pPr>
            <w:r>
              <w:rPr>
                <w:b/>
                <w:color w:val="FFFFFF"/>
              </w:rPr>
              <w:t xml:space="preserve">Status</w:t>
            </w:r>
          </w:p>
        </w:tc>
      </w:tr>
      <w:tr>
        <w:tc>
          <w:tcPr>
            <w:tcW w:w="4200" w:type="dxa"/>
            <w:tcMar>
              <w:top w:w="80" w:type="dxa"/>
              <w:bottom w:w="80" w:type="dxa"/>
              <w:left w:w="100" w:type="dxa"/>
              <w:right w:w="100" w:type="dxa"/>
            </w:tcMar>
          </w:tcPr>
          <w:p>
            <w:pPr>
              <w:spacing w:after="0"/>
            </w:pPr>
            <w:r>
              <w:t xml:space="preserve">Incident class</w:t>
            </w:r>
          </w:p>
        </w:tc>
        <w:tc>
          <w:tcPr>
            <w:tcW w:w="4600" w:type="dxa"/>
            <w:tcMar>
              <w:top w:w="80" w:type="dxa"/>
              <w:bottom w:w="80" w:type="dxa"/>
              <w:left w:w="100" w:type="dxa"/>
              <w:right w:w="100" w:type="dxa"/>
            </w:tcMar>
          </w:tcPr>
          <w:p>
            <w:pPr>
              <w:spacing w:after="0"/>
            </w:pPr>
            <w:r>
              <w:t xml:space="preserve">Ops / sequence lag (not app outbox-writer bug)</w:t>
            </w:r>
          </w:p>
        </w:tc>
      </w:tr>
      <w:tr>
        <w:tc>
          <w:tcPr>
            <w:tcW w:w="4200" w:type="dxa"/>
            <w:tcMar>
              <w:top w:w="80" w:type="dxa"/>
              <w:bottom w:w="80" w:type="dxa"/>
              <w:left w:w="100" w:type="dxa"/>
              <w:right w:w="100" w:type="dxa"/>
            </w:tcMar>
          </w:tcPr>
          <w:p>
            <w:pPr>
              <w:spacing w:after="0"/>
            </w:pPr>
            <w:r>
              <w:t xml:space="preserve">Fix type</w:t>
            </w:r>
          </w:p>
        </w:tc>
        <w:tc>
          <w:tcPr>
            <w:tcW w:w="4600" w:type="dxa"/>
            <w:tcMar>
              <w:top w:w="80" w:type="dxa"/>
              <w:bottom w:w="80" w:type="dxa"/>
              <w:left w:w="100" w:type="dxa"/>
              <w:right w:w="100" w:type="dxa"/>
            </w:tcMar>
          </w:tcPr>
          <w:p>
            <w:pPr>
              <w:spacing w:after="0"/>
            </w:pPr>
            <w:r>
              <w:t xml:space="preserve">setval on epcis_outbox_id_seq (+ audit of other sequences)</w:t>
            </w:r>
          </w:p>
        </w:tc>
      </w:tr>
      <w:tr>
        <w:tc>
          <w:tcPr>
            <w:tcW w:w="4200" w:type="dxa"/>
            <w:tcMar>
              <w:top w:w="80" w:type="dxa"/>
              <w:bottom w:w="80" w:type="dxa"/>
              <w:left w:w="100" w:type="dxa"/>
              <w:right w:w="100" w:type="dxa"/>
            </w:tcMar>
          </w:tcPr>
          <w:p>
            <w:pPr>
              <w:spacing w:after="0"/>
            </w:pPr>
            <w:r>
              <w:t xml:space="preserve">QA black-box verification (TrackIQ)</w:t>
            </w:r>
          </w:p>
        </w:tc>
        <w:tc>
          <w:tcPr>
            <w:tcW w:w="4600" w:type="dxa"/>
            <w:tcMar>
              <w:top w:w="80" w:type="dxa"/>
              <w:bottom w:w="80" w:type="dxa"/>
              <w:left w:w="100" w:type="dxa"/>
              <w:right w:w="100" w:type="dxa"/>
            </w:tcMar>
          </w:tcPr>
          <w:p>
            <w:pPr>
              <w:spacing w:after="0"/>
            </w:pPr>
            <w:r>
              <w:t xml:space="preserve">PASS</w:t>
            </w:r>
          </w:p>
        </w:tc>
      </w:tr>
      <w:tr>
        <w:tc>
          <w:tcPr>
            <w:tcW w:w="4200" w:type="dxa"/>
            <w:tcMar>
              <w:top w:w="80" w:type="dxa"/>
              <w:bottom w:w="80" w:type="dxa"/>
              <w:left w:w="100" w:type="dxa"/>
              <w:right w:w="100" w:type="dxa"/>
            </w:tcMar>
          </w:tcPr>
          <w:p>
            <w:pPr>
              <w:spacing w:after="0"/>
            </w:pPr>
            <w:r>
              <w:t xml:space="preserve">Ready to share with Devs &amp; PMO</w:t>
            </w:r>
          </w:p>
        </w:tc>
        <w:tc>
          <w:tcPr>
            <w:tcW w:w="4600" w:type="dxa"/>
            <w:tcMar>
              <w:top w:w="80" w:type="dxa"/>
              <w:bottom w:w="80" w:type="dxa"/>
              <w:left w:w="100" w:type="dxa"/>
              <w:right w:w="100" w:type="dxa"/>
            </w:tcMar>
          </w:tcPr>
          <w:p>
            <w:pPr>
              <w:spacing w:after="0"/>
            </w:pPr>
            <w:r>
              <w:t xml:space="preserve">Yes</w:t>
            </w:r>
          </w:p>
        </w:tc>
      </w:tr>
    </w:tbl>
    <w:p>
      <w:pPr>
        <w:spacing w:after="200"/>
      </w:pPr>
    </w:p>
    <w:p>
      <w:pPr>
        <w:spacing w:after="160"/>
      </w:pPr>
      <w:r>
        <w:rPr>
          <w:i/>
          <w:color w:val="595959"/>
        </w:rPr>
        <w:t xml:space="preserve">Prepared from executed Partner API verification against TrackIQ on 2026-10-02.</w:t>
      </w:r>
    </w:p>
    <w:sectPr>
      <w:pgSz w:w="12240" w:h="15840"/>
      <w:pgMar w:top="1080" w:right="1080" w:bottom="1080" w:left="1080"/>
    </w:sectPr>
  </w:body>
</w:document>
</file>

<file path=docProps/core.xml><?xml version="1.0" encoding="utf-8"?>
<cp:coreProperties xmlns:cp="http://schemas.openxmlformats.org/package/2006/metadata/core-properties" xmlns:dc="http://purl.org/dc/elements/1.1/" xmlns:dcterms="http://purl.org/dc/terms/" xmlns:xsi="http://www.w3.org/2001/XMLSchema-instance">
  <dc:title>TrackIQ Outbox Sequence Fix Verification</dc:title>
  <dc:creator>TnT QA</dc:creator>
  <dcterms:created xsi:type="dcterms:W3CDTF">2026-10-02T00:00:00Z</dcterms:created>
</cp:coreProperties>
</file>