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b/>
          <w:color w:val="1F4E78"/>
          <w:sz w:val="44"/>
        </w:rPr>
        <w:t xml:space="preserve">TnT Partner API</w:t>
      </w:r>
    </w:p>
    <w:p>
      <w:pPr>
        <w:spacing w:after="320"/>
      </w:pPr>
      <w:r>
        <w:rPr>
          <w:b/>
          <w:sz w:val="26"/>
        </w:rPr>
        <w:t xml:space="preserve">Non-Functional &amp; Performance Testing — Findings and Test Plan</w:t>
      </w:r>
    </w:p>
    <w:p>
      <w:pPr>
        <w:spacing w:after="160"/>
      </w:pPr>
      <w:r>
        <w:rPr>
          <w:i/>
          <w:color w:val="595959"/>
        </w:rPr>
        <w:t xml:space="preserve">Prepared: 2026-09-02</w:t>
      </w:r>
      <w:r>
        <w:rPr>
          <w:color w:val="595959"/>
        </w:rPr>
        <w:t xml:space="preserve">    |    </w:t>
      </w:r>
      <w:r>
        <w:rPr>
          <w:i/>
          <w:color w:val="595959"/>
        </w:rPr>
        <w:t xml:space="preserve">Target: https://trackiq.apeiro-digital.com/new (unconfirmed vs. project config)</w:t>
      </w:r>
    </w:p>
    <w:p>
      <w:pPr>
        <w:spacing w:before="320" w:after="160"/>
        <w:outlineLvl w:val="0"/>
      </w:pPr>
      <w:r>
        <w:rPr>
          <w:b/>
          <w:color w:val="1F4E78"/>
          <w:sz w:val="32"/>
        </w:rPr>
        <w:t xml:space="preserve">1. Executive Summary</w:t>
      </w:r>
    </w:p>
    <w:p>
      <w:pPr>
        <w:spacing w:after="160"/>
      </w:pPr>
      <w:r>
        <w:t xml:space="preserve">This report captures diagnostic findings from initial testing of the TnT partner EPCIS API and proposes a k6-based non-functional/performance test plan covering load, stress, spike, soak, concurrency, latency, scalability, resilience, data integrity, and rate-limit verification.</w:t>
      </w:r>
    </w:p>
    <w:p>
      <w:pPr>
        <w:spacing w:after="160"/>
      </w:pPr>
      <w:r>
        <w:rPr>
          <w:b/>
        </w:rPr>
        <w:t xml:space="preserve">Headline finding: </w:t>
      </w:r>
      <w:r>
        <w:t xml:space="preserve">every API request sampled during diagnostic testing returned a generic HTTP 500, regardless of partner role, event type, or request format. This needs resolving before load testing at volume will produce meaningful results.</w:t>
      </w:r>
    </w:p>
    <w:p>
      <w:pPr>
        <w:spacing w:before="320" w:after="160"/>
        <w:outlineLvl w:val="0"/>
      </w:pPr>
      <w:r>
        <w:rPr>
          <w:b/>
          <w:color w:val="1F4E78"/>
          <w:sz w:val="32"/>
        </w:rPr>
        <w:t xml:space="preserve">2. Diagnostic Finding: Current System Health</w:t>
      </w:r>
    </w:p>
    <w:p>
      <w:pPr>
        <w:spacing w:after="160"/>
      </w:pPr>
      <w:r>
        <w:rPr>
          <w:b/>
        </w:rPr>
        <w:t xml:space="preserve">Evidence.</w:t>
      </w:r>
      <w:r>
        <w:t xml:space="preserve"> Three sampled runs (manufacturer / Commission; distributor / Error Declaration × 2), covering both JSON-LD and XML request variants, all returned the identical body:</w:t>
      </w:r>
    </w:p>
    <w:p>
      <w:pPr>
        <w:spacing w:after="160"/>
        <w:ind w:left="360"/>
      </w:pPr>
      <w:r>
        <w:rPr>
          <w:i/>
        </w:rPr>
        <w:t xml:space="preserve">{"statusCode":500,"message":"Internal server error"}</w:t>
      </w:r>
    </w:p>
    <w:p>
      <w:pPr>
        <w:spacing w:after="160"/>
      </w:pPr>
      <w:r>
        <w:t xml:space="preserve">That response shape is a generic, unstyled NestJS unhandled-exception response — consistent with the server crashing before or during request processing, not a clean validation rejection (no 400 with field detail) or a clean auth rejection (no 401/403).</w:t>
      </w:r>
    </w:p>
    <w:p>
      <w:pPr>
        <w:spacing w:after="160"/>
      </w:pPr>
      <w:r>
        <w:rPr>
          <w:b/>
        </w:rPr>
        <w:t xml:space="preserve">Auth header discrepancy.</w:t>
      </w:r>
      <w:r>
        <w:t xml:space="preserve"> The QA workbook's own “Test Steps” documentation specifies “Authorization: Bearer &lt;token&gt;”, while the verified Postman collection and this test suite's runner use “X-API-Key: &lt;token&gt;”. A comment on the workbook's API-MFG-COMM-001 row references a prior successful k6 certification run using X-API-Key, which is why the test suite defaults to it — but given the current 500s, this is worth re-confirming rather than assumed.</w:t>
      </w:r>
    </w:p>
    <w:p>
      <w:pPr>
        <w:spacing w:after="160"/>
      </w:pPr>
      <w:r>
        <w:rPr>
          <w:b/>
        </w:rPr>
        <w:t xml:space="preserve">Base URL discrepancy.</w:t>
      </w:r>
      <w:r>
        <w:t xml:space="preserve"> This plan was requested against https://trackiq.apeiro-digital.com/new, which differs from TRACKIQ_BASE_URL as configured everywhere else in the project (https://trackiq.apeiro-digital.com, no /new). Whether /new is a valid environment path is unconfirmed.</w:t>
      </w:r>
    </w:p>
    <w:p>
      <w:pPr>
        <w:spacing w:before="320" w:after="160"/>
        <w:outlineLvl w:val="0"/>
      </w:pPr>
      <w:r>
        <w:rPr>
          <w:b/>
          <w:color w:val="1F4E78"/>
          <w:sz w:val="32"/>
        </w:rPr>
        <w:t xml:space="preserve">3. Recommendation Before Scaling Up</w:t>
      </w:r>
    </w:p>
    <w:p>
      <w:pPr>
        <w:spacing w:after="160"/>
        <w:ind w:left="360"/>
      </w:pPr>
      <w:r>
        <w:t xml:space="preserve">•  </w:t>
      </w:r>
      <w:r>
        <w:t xml:space="preserve">Confirm the correct base URL for this test effort.</w:t>
      </w:r>
    </w:p>
    <w:p>
      <w:pPr>
        <w:spacing w:after="160"/>
        <w:ind w:left="360"/>
      </w:pPr>
      <w:r>
        <w:t xml:space="preserve">•  </w:t>
      </w:r>
      <w:r>
        <w:t xml:space="preserve">Confirm the correct auth header format (X-API-Key vs. Authorization: Bearer).</w:t>
      </w:r>
    </w:p>
    <w:p>
      <w:pPr>
        <w:spacing w:after="160"/>
        <w:ind w:left="360"/>
      </w:pPr>
      <w:r>
        <w:t xml:space="preserve">•  </w:t>
      </w:r>
      <w:r>
        <w:t xml:space="preserve">Obtain a token confirmed to work, and get a single manual request returning a real success response.</w:t>
      </w:r>
    </w:p>
    <w:p>
      <w:pPr>
        <w:spacing w:after="160"/>
        <w:ind w:left="360"/>
      </w:pPr>
      <w:r>
        <w:t xml:space="preserve">•  </w:t>
      </w:r>
      <w:r>
        <w:t xml:space="preserve">Only then layer concurrency/load on top — load-testing a currently-broken endpoint mainly re-confirms it's broken.</w:t>
      </w:r>
    </w:p>
    <w:p>
      <w:pPr>
        <w:spacing w:before="320" w:after="160"/>
        <w:outlineLvl w:val="0"/>
      </w:pPr>
      <w:r>
        <w:rPr>
          <w:b/>
          <w:color w:val="1F4E78"/>
          <w:sz w:val="32"/>
        </w:rPr>
        <w:t xml:space="preserve">4. Proposed Non-Functional Test Plan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500"/>
        <w:gridCol w:w="1800"/>
        <w:gridCol w:w="2900"/>
        <w:gridCol w:w="2600"/>
      </w:tblGrid>
      <w:tr>
        <w:tc>
          <w:tcPr>
            <w:tcW w:w="1500" w:type="dxa"/>
            <w:shd w:val="clear" w:color="auto"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Area</w:t>
            </w:r>
          </w:p>
        </w:tc>
        <w:tc>
          <w:tcPr>
            <w:tcW w:w="1800" w:type="dxa"/>
            <w:shd w:val="clear" w:color="auto"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Validates</w:t>
            </w:r>
          </w:p>
        </w:tc>
        <w:tc>
          <w:tcPr>
            <w:tcW w:w="2900" w:type="dxa"/>
            <w:shd w:val="clear" w:color="auto"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Key Scenario</w:t>
            </w:r>
          </w:p>
        </w:tc>
        <w:tc>
          <w:tcPr>
            <w:tcW w:w="2600" w:type="dxa"/>
            <w:shd w:val="clear" w:color="auto"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Success Criteria</w:t>
            </w:r>
          </w:p>
        </w:tc>
      </w:tr>
      <w:tr>
        <w:tc>
          <w:tcPr>
            <w:tcW w:w="15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Load</w:t>
            </w:r>
          </w:p>
        </w:tc>
        <w:tc>
          <w:tcPr>
            <w:tcW w:w="18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Behavior at expected real-world volume</w:t>
            </w:r>
          </w:p>
        </w:tc>
        <w:tc>
          <w:tcPr>
            <w:tcW w:w="29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Concurrent manufacturers/distributors/facilities submitting commission/pack/ship events</w:t>
            </w:r>
          </w:p>
        </w:tc>
        <w:tc>
          <w:tcPr>
            <w:tcW w:w="26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p95/p99 latency within SLA; error rate ~0%</w:t>
            </w:r>
          </w:p>
        </w:tc>
      </w:tr>
      <w:tr>
        <w:tc>
          <w:tcPr>
            <w:tcW w:w="15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Stress</w:t>
            </w:r>
          </w:p>
        </w:tc>
        <w:tc>
          <w:tcPr>
            <w:tcW w:w="18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Where it breaks</w:t>
            </w:r>
          </w:p>
        </w:tc>
        <w:tc>
          <w:tcPr>
            <w:tcW w:w="29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Ramp VUs well past expected volume</w:t>
            </w:r>
          </w:p>
        </w:tc>
        <w:tc>
          <w:tcPr>
            <w:tcW w:w="26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Breaking point identified; degrades gracefully (429/503), not crashes (500)</w:t>
            </w:r>
          </w:p>
        </w:tc>
      </w:tr>
      <w:tr>
        <w:tc>
          <w:tcPr>
            <w:tcW w:w="15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Spike</w:t>
            </w:r>
          </w:p>
        </w:tc>
        <w:tc>
          <w:tcPr>
            <w:tcW w:w="18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Sudden burst handling</w:t>
            </w:r>
          </w:p>
        </w:tc>
        <w:tc>
          <w:tcPr>
            <w:tcW w:w="29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Large batch commission near the 50,000-serial/message limit; shipment flood</w:t>
            </w:r>
          </w:p>
        </w:tc>
        <w:tc>
          <w:tcPr>
            <w:tcW w:w="26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System absorbs or cleanly rejects; no cascading failure</w:t>
            </w:r>
          </w:p>
        </w:tc>
      </w:tr>
      <w:tr>
        <w:tc>
          <w:tcPr>
            <w:tcW w:w="15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Soak / endurance</w:t>
            </w:r>
          </w:p>
        </w:tc>
        <w:tc>
          <w:tcPr>
            <w:tcW w:w="18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Degradation over time</w:t>
            </w:r>
          </w:p>
        </w:tc>
        <w:tc>
          <w:tcPr>
            <w:tcW w:w="29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Moderate sustained load, 1hr+</w:t>
            </w:r>
          </w:p>
        </w:tc>
        <w:tc>
          <w:tcPr>
            <w:tcW w:w="26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Latency/error rate stay flat — no memory-leak-shaped drift</w:t>
            </w:r>
          </w:p>
        </w:tc>
      </w:tr>
      <w:tr>
        <w:tc>
          <w:tcPr>
            <w:tcW w:w="15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Concurrent users</w:t>
            </w:r>
          </w:p>
        </w:tc>
        <w:tc>
          <w:tcPr>
            <w:tcW w:w="18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Many simultaneous distinct partners</w:t>
            </w:r>
          </w:p>
        </w:tc>
        <w:tc>
          <w:tcPr>
            <w:tcW w:w="29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Parallel VUs per role, each with own token/GLN</w:t>
            </w:r>
          </w:p>
        </w:tc>
        <w:tc>
          <w:tcPr>
            <w:tcW w:w="26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No cross-partner interference; correct isolation</w:t>
            </w:r>
          </w:p>
        </w:tc>
      </w:tr>
      <w:tr>
        <w:tc>
          <w:tcPr>
            <w:tcW w:w="15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Concurrency / race conditions</w:t>
            </w:r>
          </w:p>
        </w:tc>
        <w:tc>
          <w:tcPr>
            <w:tcW w:w="18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Conflicting simultaneous writes</w:t>
            </w:r>
          </w:p>
        </w:tc>
        <w:tc>
          <w:tcPr>
            <w:tcW w:w="29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Two simultaneous “pack” events on the same child EPC/SSCC</w:t>
            </w:r>
          </w:p>
        </w:tc>
        <w:tc>
          <w:tcPr>
            <w:tcW w:w="26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Exactly one wins cleanly (409); no silent double-aggregation</w:t>
            </w:r>
          </w:p>
        </w:tc>
      </w:tr>
      <w:tr>
        <w:tc>
          <w:tcPr>
            <w:tcW w:w="15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Latency</w:t>
            </w:r>
          </w:p>
        </w:tc>
        <w:tc>
          <w:tcPr>
            <w:tcW w:w="18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Response-time SLA</w:t>
            </w:r>
          </w:p>
        </w:tc>
        <w:tc>
          <w:tcPr>
            <w:tcW w:w="29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Tracked per endpoint across all scenarios above</w:t>
            </w:r>
          </w:p>
        </w:tc>
        <w:tc>
          <w:tcPr>
            <w:tcW w:w="26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Defined p95/p99 thresholds hold under load</w:t>
            </w:r>
          </w:p>
        </w:tc>
      </w:tr>
      <w:tr>
        <w:tc>
          <w:tcPr>
            <w:tcW w:w="15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Scalability</w:t>
            </w:r>
          </w:p>
        </w:tc>
        <w:tc>
          <w:tcPr>
            <w:tcW w:w="18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Does throughput scale linearly</w:t>
            </w:r>
          </w:p>
        </w:tc>
        <w:tc>
          <w:tcPr>
            <w:tcW w:w="29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Staged VU ramp (10→50→200→500…)</w:t>
            </w:r>
          </w:p>
        </w:tc>
        <w:tc>
          <w:tcPr>
            <w:tcW w:w="26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Identify the stage where the latency/error curve bends</w:t>
            </w:r>
          </w:p>
        </w:tc>
      </w:tr>
      <w:tr>
        <w:tc>
          <w:tcPr>
            <w:tcW w:w="15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Resilience</w:t>
            </w:r>
          </w:p>
        </w:tc>
        <w:tc>
          <w:tcPr>
            <w:tcW w:w="18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Recovery after failure/load</w:t>
            </w:r>
          </w:p>
        </w:tc>
        <w:tc>
          <w:tcPr>
            <w:tcW w:w="29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Error rate/latency in the minutes after a stress/spike run ends</w:t>
            </w:r>
          </w:p>
        </w:tc>
        <w:tc>
          <w:tcPr>
            <w:tcW w:w="26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Returns to baseline; no lingering degradation</w:t>
            </w:r>
          </w:p>
        </w:tc>
      </w:tr>
      <w:tr>
        <w:tc>
          <w:tcPr>
            <w:tcW w:w="15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Data integrity</w:t>
            </w:r>
          </w:p>
        </w:tc>
        <w:tc>
          <w:tcPr>
            <w:tcW w:w="18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No lost/duplicated events under load</w:t>
            </w:r>
          </w:p>
        </w:tc>
        <w:tc>
          <w:tcPr>
            <w:tcW w:w="29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Read back via Events Explorer after a concurrent burst</w:t>
            </w:r>
          </w:p>
        </w:tc>
        <w:tc>
          <w:tcPr>
            <w:tcW w:w="26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Zero dropped, zero duplicated EPCIS events — compliance-critical, not optional</w:t>
            </w:r>
          </w:p>
        </w:tc>
      </w:tr>
      <w:tr>
        <w:tc>
          <w:tcPr>
            <w:tcW w:w="15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Rate limiting</w:t>
            </w:r>
          </w:p>
        </w:tc>
        <w:tc>
          <w:tcPr>
            <w:tcW w:w="18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429 enforcement</w:t>
            </w:r>
          </w:p>
        </w:tc>
        <w:tc>
          <w:tcPr>
            <w:tcW w:w="29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Exceed a partner's documented request-tier budget</w:t>
            </w:r>
          </w:p>
        </w:tc>
        <w:tc>
          <w:tcPr>
            <w:tcW w:w="26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429 returned at the documented threshold, not silently accepted or 500'd</w:t>
            </w:r>
          </w:p>
        </w:tc>
      </w:tr>
    </w:tbl>
    <w:p>
      <w:pPr>
        <w:spacing w:after="200"/>
      </w:pPr>
    </w:p>
    <w:p>
      <w:pPr>
        <w:spacing w:before="320" w:after="160"/>
        <w:outlineLvl w:val="0"/>
      </w:pPr>
      <w:r>
        <w:rPr>
          <w:b/>
          <w:color w:val="1F4E78"/>
          <w:sz w:val="32"/>
        </w:rPr>
        <w:t xml:space="preserve">5. Practical Constraints</w:t>
      </w:r>
    </w:p>
    <w:p>
      <w:pPr>
        <w:spacing w:after="160"/>
        <w:ind w:left="360"/>
      </w:pPr>
      <w:r>
        <w:t xml:space="preserve">•  </w:t>
      </w:r>
      <w:r>
        <w:t xml:space="preserve">Test data must be unique per iteration — EPCIS events are one-shot; a duplicate eventID is hard-rejected (API-MFG-COMM-EDGE-001), so payloads need dynamically generated SGTINs/SSCCs/eventIDs, not the static Postman examples.</w:t>
      </w:r>
    </w:p>
    <w:p>
      <w:pPr>
        <w:spacing w:after="160"/>
        <w:ind w:left="360"/>
      </w:pPr>
      <w:r>
        <w:t xml:space="preserve">•  </w:t>
      </w:r>
      <w:r>
        <w:t xml:space="preserve">Tokens are passed via environment variables at run time only — never hardcoded or committed, consistent with how this project already handles credentials.</w:t>
      </w:r>
    </w:p>
    <w:p>
      <w:pPr>
        <w:spacing w:after="160"/>
        <w:ind w:left="360"/>
      </w:pPr>
      <w:r>
        <w:t xml:space="preserve">•  </w:t>
      </w:r>
      <w:r>
        <w:t xml:space="preserve">This targets a live, shared partner system, not a sandbox — stress/spike/soak runs at meaningful volume should be coordinated with whoever owns the trackiq environment first, since they generate real EPCIS events.</w:t>
      </w:r>
    </w:p>
    <w:p>
      <w:pPr>
        <w:spacing w:before="320" w:after="160"/>
        <w:outlineLvl w:val="0"/>
      </w:pPr>
      <w:r>
        <w:rPr>
          <w:b/>
          <w:color w:val="1F4E78"/>
          <w:sz w:val="32"/>
        </w:rPr>
        <w:t xml:space="preserve">6. Delivered: First Script — Load Test, Manufacturer Commission</w:t>
      </w:r>
    </w:p>
    <w:p>
      <w:pPr>
        <w:spacing w:after="160"/>
      </w:pPr>
      <w:r>
        <w:rPr>
          <w:b/>
        </w:rPr>
        <w:t xml:space="preserve">File: </w:t>
      </w:r>
      <w:r>
        <w:rPr>
          <w:i/>
        </w:rPr>
        <w:t xml:space="preserve">k6/load-manufacturer-commission.js</w:t>
      </w:r>
    </w:p>
    <w:p>
      <w:pPr>
        <w:spacing w:after="160"/>
      </w:pPr>
      <w:r>
        <w:t xml:space="preserve">Ramps to a configurable number of concurrent virtual users each committing new, uniquely generated EPCIS commissioning events, holds at peak, then ramps down. Asserts p95 &lt; 800ms, p99 &lt; 1500ms, error rate &lt; 1%, and HTTP status 201 or 202 (202 is the confirmed real behavior per the workbook's certification notes; 201 is accepted too since that's what the workbook's own Expected Result column documents).</w:t>
      </w:r>
    </w:p>
    <w:p>
      <w:pPr>
        <w:spacing w:after="160"/>
      </w:pPr>
      <w:r>
        <w:rPr>
          <w:b/>
        </w:rPr>
        <w:t xml:space="preserve">Run: </w:t>
      </w:r>
      <w:r>
        <w:rPr>
          <w:i/>
        </w:rPr>
        <w:t xml:space="preserve">k6 run -e MANUFACTURER_API_TOKEN=xxx k6/load-manufacturer-commission.js</w:t>
      </w:r>
    </w:p>
    <w:p>
      <w:pPr>
        <w:spacing w:after="160"/>
      </w:pPr>
      <w:r>
        <w:t xml:space="preserve">Optional overrides: BASE_URL, TARGET_VUS, RAMP_UP, HOLD, RAMP_DOWN, P95_MS, P99_MS (all passed the same way, e.g. -e TARGET_VUS=25).</w:t>
      </w:r>
    </w:p>
    <w:p>
      <w:pPr>
        <w:spacing w:after="160"/>
      </w:pPr>
      <w:r>
        <w:rPr>
          <w:b/>
          <w:color w:val="C00000"/>
        </w:rPr>
        <w:t xml:space="preserve">Note: </w:t>
      </w:r>
      <w:r>
        <w:rPr>
          <w:color w:val="C00000"/>
        </w:rPr>
        <w:t xml:space="preserve">k6 is not installed in this environment, and per instruction nothing was installed to produce this report. The script has been syntax-validated (parsed as a JS module) but not executed — it needs to be run wherever k6 is available (local machine or CI) once the Section 2 findings are resolved.</w:t>
      </w:r>
    </w:p>
    <w:p>
      <w:pPr>
        <w:spacing w:before="320" w:after="160"/>
        <w:outlineLvl w:val="0"/>
      </w:pPr>
      <w:r>
        <w:rPr>
          <w:b/>
          <w:color w:val="1F4E78"/>
          <w:sz w:val="32"/>
        </w:rPr>
        <w:t xml:space="preserve">7. Next Steps</w:t>
      </w:r>
    </w:p>
    <w:p>
      <w:pPr>
        <w:spacing w:after="160"/>
        <w:ind w:left="360"/>
      </w:pPr>
      <w:r>
        <w:t xml:space="preserve">•  </w:t>
      </w:r>
      <w:r>
        <w:t xml:space="preserve">Resolve the Section 2 diagnostic finding (base URL, auth header, valid token).</w:t>
      </w:r>
    </w:p>
    <w:p>
      <w:pPr>
        <w:spacing w:after="160"/>
        <w:ind w:left="360"/>
      </w:pPr>
      <w:r>
        <w:t xml:space="preserve">•  </w:t>
      </w:r>
      <w:r>
        <w:t xml:space="preserve">Run the delivered load script somewhere k6 is installed and capture a real baseline.</w:t>
      </w:r>
    </w:p>
    <w:p>
      <w:pPr>
        <w:spacing w:after="160"/>
        <w:ind w:left="360"/>
      </w:pPr>
      <w:r>
        <w:t xml:space="preserve">•  </w:t>
      </w:r>
      <w:r>
        <w:t xml:space="preserve">Build out the remaining scripts (stress, spike, soak, concurrency, rate-limit, data-integrity read-back checks) following the same pattern.</w:t>
      </w:r>
    </w:p>
    <w:sectPr>
      <w:pgSz w:w="12240" w:h="15840"/>
      <w:pgMar w:top="1080" w:right="1080" w:bottom="1080" w:left="1080"/>
    </w:sectPr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TnT Partner API Non-Functional Testing Findings</dc:title>
  <dc:creator>TnT QA</dc:creator>
  <dcterms:created xsi:type="dcterms:W3CDTF">2026-09-02T00:00:00Z</dcterms:created>
</cp:coreProperties>
</file>