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pPr>
      <w:r>
        <w:rPr>
          <w:b/>
          <w:color w:val="1F4E78"/>
          <w:sz w:val="44"/>
        </w:rPr>
        <w:t xml:space="preserve">TnT Partner API</w:t>
      </w:r>
    </w:p>
    <w:p>
      <w:pPr>
        <w:spacing w:after="320"/>
      </w:pPr>
      <w:r>
        <w:rPr>
          <w:b/>
          <w:sz w:val="26"/>
        </w:rPr>
        <w:t xml:space="preserve">Non-Functional &amp; Performance Testing — Findings and Test Plan</w:t>
      </w:r>
    </w:p>
    <w:p>
      <w:pPr>
        <w:spacing w:after="160"/>
      </w:pPr>
      <w:r>
        <w:rPr>
          <w:i/>
          <w:color w:val="595959"/>
        </w:rPr>
        <w:t xml:space="preserve">Prepared: 2026-09-02</w:t>
      </w:r>
      <w:r>
        <w:rPr>
          <w:color w:val="595959"/>
        </w:rPr>
        <w:t xml:space="preserve">    |    </w:t>
      </w:r>
      <w:r>
        <w:rPr>
          <w:i/>
          <w:color w:val="595959"/>
        </w:rPr>
        <w:t xml:space="preserve">Target: https://trackiq.apeiro-digital.com/new (confirmed, sandbox environment)</w:t>
      </w:r>
    </w:p>
    <w:p>
      <w:pPr>
        <w:spacing w:before="320" w:after="160"/>
        <w:outlineLvl w:val="0"/>
      </w:pPr>
      <w:r>
        <w:rPr>
          <w:b/>
          <w:color w:val="1F4E78"/>
          <w:sz w:val="32"/>
        </w:rPr>
        <w:t xml:space="preserve">1. Executive Summary</w:t>
      </w:r>
    </w:p>
    <w:p>
      <w:pPr>
        <w:spacing w:after="160"/>
      </w:pPr>
      <w:r>
        <w:t xml:space="preserve">This report captures diagnostic findings from initial testing of the TnT partner EPCIS API, the root cause of an early blocking issue and its resolution, results from the first real load test run, and a k6-based non-functional/performance test plan covering load, stress, spike, soak, concurrency, latency, scalability, resilience, data integrity, and rate-limit verification.</w:t>
      </w:r>
    </w:p>
    <w:p>
      <w:pPr>
        <w:spacing w:after="160"/>
      </w:pPr>
      <w:r>
        <w:rPr>
          <w:b/>
        </w:rPr>
        <w:t xml:space="preserve">Headline findings: </w:t>
      </w:r>
      <w:r>
        <w:t xml:space="preserve">(1) early diagnostic requests returned a generic HTTP 500 regardless of partner role or event type — caused by invalid GLN/GTIN identifiers in the Postman collection's own Commission example, not a systemic outage; corrected, a load test (3,817 requests at 10 VUs) then ran with a 0% error rate. (2) A stress test found a real breaking point between 150 and 500 concurrent VUs: throughput plateaus around 35-40 req/s regardless of added concurrency, then above the breaking point 4.21% of requests crash outright and others time out with no response. See Sections 2–5.</w:t>
      </w:r>
    </w:p>
    <w:p>
      <w:pPr>
        <w:spacing w:before="320" w:after="160"/>
        <w:outlineLvl w:val="0"/>
      </w:pPr>
      <w:r>
        <w:rPr>
          <w:b/>
          <w:color w:val="1F4E78"/>
          <w:sz w:val="32"/>
        </w:rPr>
        <w:t xml:space="preserve">2. Diagnostic Finding: Current System Health</w:t>
      </w:r>
    </w:p>
    <w:p>
      <w:pPr>
        <w:spacing w:after="160"/>
      </w:pPr>
      <w:r>
        <w:rPr>
          <w:b/>
        </w:rPr>
        <w:t xml:space="preserve">Evidence.</w:t>
      </w:r>
      <w:r>
        <w:t xml:space="preserve"> Three sampled runs (manufacturer / Commission; distributor / Error Declaration × 2), covering both JSON-LD and XML request variants, all returned the identical body:</w:t>
      </w:r>
    </w:p>
    <w:p>
      <w:pPr>
        <w:spacing w:after="160"/>
        <w:ind w:left="360"/>
      </w:pPr>
      <w:r>
        <w:rPr>
          <w:i/>
        </w:rPr>
        <w:t xml:space="preserve">{"statusCode":500,"message":"Internal server error"}</w:t>
      </w:r>
    </w:p>
    <w:p>
      <w:pPr>
        <w:spacing w:after="160"/>
      </w:pPr>
      <w:r>
        <w:t xml:space="preserve">That response shape is a generic, unstyled NestJS unhandled-exception response — consistent with the server crashing before or during request processing, not a clean validation rejection (no 400 with field detail) or a clean auth rejection (no 401/403).</w:t>
      </w:r>
    </w:p>
    <w:p>
      <w:pPr>
        <w:spacing w:after="160"/>
      </w:pPr>
      <w:r>
        <w:rPr>
          <w:b/>
          <w:color w:val="1F7A1F"/>
        </w:rPr>
        <w:t xml:space="preserve">This has since been root-caused and resolved — see Section 3.</w:t>
      </w:r>
    </w:p>
    <w:p>
      <w:pPr>
        <w:spacing w:before="320" w:after="160"/>
        <w:outlineLvl w:val="0"/>
      </w:pPr>
      <w:r>
        <w:rPr>
          <w:b/>
          <w:color w:val="1F4E78"/>
          <w:sz w:val="32"/>
        </w:rPr>
        <w:t xml:space="preserve">3. Root Cause &amp; Resolution</w:t>
      </w:r>
    </w:p>
    <w:p>
      <w:pPr>
        <w:spacing w:after="160"/>
      </w:pPr>
      <w:r>
        <w:t xml:space="preserve">Confirmed correct, once a valid token and the </w:t>
      </w:r>
      <w:r>
        <w:rPr>
          <w:i/>
        </w:rPr>
        <w:t xml:space="preserve">X-API-Key</w:t>
      </w:r>
      <w:r>
        <w:t xml:space="preserve"> header were used: base URL https://trackiq.apeiro-digital.com/new, auth header X-API-Key (not Authorization: Bearer, despite the workbook's Test Steps prose).</w:t>
      </w:r>
    </w:p>
    <w:p>
      <w:pPr>
        <w:spacing w:after="160"/>
      </w:pPr>
      <w:r>
        <w:rPr>
          <w:b/>
        </w:rPr>
        <w:t xml:space="preserve">The actual root cause: </w:t>
      </w:r>
      <w:r>
        <w:t xml:space="preserve">the Commission (ObjectEvent) example payload in the Postman collection — and therefore the first draft of the load-test script, which copied it — used a GLN (10000000.00009.0) and GTIN prefix (6161102974997) that the commissioning endpoint cannot handle gracefully. Every request built from that example returned the generic 500 above, with a valid token, against the correct URL. A manually supplied working example (a “Stolen” status-change event using a GS1 sample company prefix, 0123456) succeeded with HTTP 202 and only soft validation warnings.</w:t>
      </w:r>
    </w:p>
    <w:p>
      <w:pPr>
        <w:spacing w:after="160"/>
      </w:pPr>
      <w:r>
        <w:rPr>
          <w:b/>
        </w:rPr>
        <w:t xml:space="preserve">Isolating the difference: </w:t>
      </w:r>
      <w:r>
        <w:t xml:space="preserve">rebuilding the commissioning payload with the same 0123456-prefixed GLN/GTIN pattern, changing nothing else about the request, immediately fixed it — HTTP 202, {"success": true, ...}. The commissioning endpoint appears to throw an unhandled exception on certain unregistered/malformed identifier shapes instead of returning a clean 4xx, while other event types (e.g. status changes) tolerate unregistered identifiers with a soft warning. This is arguably a real defect worth reporting to the API team: a bad request should not be able to 500 a shared endpoint.</w:t>
      </w:r>
    </w:p>
    <w:p>
      <w:pPr>
        <w:spacing w:after="160"/>
      </w:pPr>
      <w:r>
        <w:rPr>
          <w:i/>
        </w:rPr>
        <w:t xml:space="preserve">k6/load-manufacturer-commission.js</w:t>
      </w:r>
      <w:r>
        <w:t xml:space="preserve"> was updated to generate GS1-valid-format identifiers (0123456 company prefix, numeric serials) instead of the broken example data, and now passes cleanly — see Section 5.</w:t>
      </w:r>
    </w:p>
    <w:p>
      <w:pPr>
        <w:spacing w:before="320" w:after="160"/>
        <w:outlineLvl w:val="0"/>
      </w:pPr>
      <w:r>
        <w:rPr>
          <w:b/>
          <w:color w:val="1F4E78"/>
          <w:sz w:val="32"/>
        </w:rPr>
        <w:t xml:space="preserve">4. Load Test Results — Manufacturer Commission</w:t>
      </w:r>
    </w:p>
    <w:p>
      <w:pPr>
        <w:spacing w:after="160"/>
      </w:pPr>
      <w:r>
        <w:rPr>
          <w:b/>
        </w:rPr>
        <w:t xml:space="preserve">Profile: </w:t>
      </w:r>
      <w:r>
        <w:t xml:space="preserve">ramp to 10 concurrent VUs over 30s, hold 1 minute, ramp down 30s (default script settings, run against the live sandbox).</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5600"/>
      </w:tblGrid>
      <w:tr>
        <w:tc>
          <w:tcPr>
            <w:tcW w:w="3200" w:type="dxa"/>
            <w:shd w:val="clear" w:color="auto" w:fill="1F4E78"/>
            <w:tcMar>
              <w:top w:w="80" w:type="dxa"/>
              <w:bottom w:w="80" w:type="dxa"/>
              <w:left w:w="100" w:type="dxa"/>
              <w:right w:w="100" w:type="dxa"/>
            </w:tcMar>
          </w:tcPr>
          <w:p>
            <w:pPr>
              <w:spacing w:after="0"/>
            </w:pPr>
            <w:r>
              <w:rPr>
                <w:b/>
              </w:rPr>
              <w:t xml:space="preserve">Metric</w:t>
            </w:r>
          </w:p>
        </w:tc>
        <w:tc>
          <w:tcPr>
            <w:tcW w:w="5600" w:type="dxa"/>
            <w:shd w:val="clear" w:color="auto" w:fill="1F4E78"/>
            <w:tcMar>
              <w:top w:w="80" w:type="dxa"/>
              <w:bottom w:w="80" w:type="dxa"/>
              <w:left w:w="100" w:type="dxa"/>
              <w:right w:w="100" w:type="dxa"/>
            </w:tcMar>
          </w:tcPr>
          <w:p>
            <w:pPr>
              <w:spacing w:after="0"/>
            </w:pPr>
            <w:r>
              <w:rPr>
                <w:b/>
              </w:rPr>
              <w:t xml:space="preserve">Result</w:t>
            </w:r>
          </w:p>
        </w:tc>
      </w:tr>
      <w:tr>
        <w:tc>
          <w:tcPr>
            <w:tcW w:w="3200" w:type="dxa"/>
            <w:tcMar>
              <w:top w:w="80" w:type="dxa"/>
              <w:bottom w:w="80" w:type="dxa"/>
              <w:left w:w="100" w:type="dxa"/>
              <w:right w:w="100" w:type="dxa"/>
            </w:tcMar>
          </w:tcPr>
          <w:p>
            <w:pPr>
              <w:spacing w:after="0"/>
            </w:pPr>
            <w:r>
              <w:t xml:space="preserve">Total requests</w:t>
            </w:r>
          </w:p>
        </w:tc>
        <w:tc>
          <w:tcPr>
            <w:tcW w:w="5600" w:type="dxa"/>
            <w:tcMar>
              <w:top w:w="80" w:type="dxa"/>
              <w:bottom w:w="80" w:type="dxa"/>
              <w:left w:w="100" w:type="dxa"/>
              <w:right w:w="100" w:type="dxa"/>
            </w:tcMar>
          </w:tcPr>
          <w:p>
            <w:pPr>
              <w:spacing w:after="0"/>
            </w:pPr>
            <w:r>
              <w:t xml:space="preserve">3,817</w:t>
            </w:r>
          </w:p>
        </w:tc>
      </w:tr>
      <w:tr>
        <w:tc>
          <w:tcPr>
            <w:tcW w:w="3200" w:type="dxa"/>
            <w:tcMar>
              <w:top w:w="80" w:type="dxa"/>
              <w:bottom w:w="80" w:type="dxa"/>
              <w:left w:w="100" w:type="dxa"/>
              <w:right w:w="100" w:type="dxa"/>
            </w:tcMar>
          </w:tcPr>
          <w:p>
            <w:pPr>
              <w:spacing w:after="0"/>
            </w:pPr>
            <w:r>
              <w:t xml:space="preserve">Error rate</w:t>
            </w:r>
          </w:p>
        </w:tc>
        <w:tc>
          <w:tcPr>
            <w:tcW w:w="5600" w:type="dxa"/>
            <w:tcMar>
              <w:top w:w="80" w:type="dxa"/>
              <w:bottom w:w="80" w:type="dxa"/>
              <w:left w:w="100" w:type="dxa"/>
              <w:right w:w="100" w:type="dxa"/>
            </w:tcMar>
          </w:tcPr>
          <w:p>
            <w:pPr>
              <w:spacing w:after="0"/>
            </w:pPr>
            <w:r>
              <w:t xml:space="preserve">0.00% (0 failed)</w:t>
            </w:r>
          </w:p>
        </w:tc>
      </w:tr>
      <w:tr>
        <w:tc>
          <w:tcPr>
            <w:tcW w:w="3200" w:type="dxa"/>
            <w:tcMar>
              <w:top w:w="80" w:type="dxa"/>
              <w:bottom w:w="80" w:type="dxa"/>
              <w:left w:w="100" w:type="dxa"/>
              <w:right w:w="100" w:type="dxa"/>
            </w:tcMar>
          </w:tcPr>
          <w:p>
            <w:pPr>
              <w:spacing w:after="0"/>
            </w:pPr>
            <w:r>
              <w:t xml:space="preserve">Checks passed</w:t>
            </w:r>
          </w:p>
        </w:tc>
        <w:tc>
          <w:tcPr>
            <w:tcW w:w="5600" w:type="dxa"/>
            <w:tcMar>
              <w:top w:w="80" w:type="dxa"/>
              <w:bottom w:w="80" w:type="dxa"/>
              <w:left w:w="100" w:type="dxa"/>
              <w:right w:w="100" w:type="dxa"/>
            </w:tcMar>
          </w:tcPr>
          <w:p>
            <w:pPr>
              <w:spacing w:after="0"/>
            </w:pPr>
            <w:r>
              <w:t xml:space="preserve">7,634 / 7,634 (100%) — status 201/202 and body.success === true</w:t>
            </w:r>
          </w:p>
        </w:tc>
      </w:tr>
      <w:tr>
        <w:tc>
          <w:tcPr>
            <w:tcW w:w="3200" w:type="dxa"/>
            <w:tcMar>
              <w:top w:w="80" w:type="dxa"/>
              <w:bottom w:w="80" w:type="dxa"/>
              <w:left w:w="100" w:type="dxa"/>
              <w:right w:w="100" w:type="dxa"/>
            </w:tcMar>
          </w:tcPr>
          <w:p>
            <w:pPr>
              <w:spacing w:after="0"/>
            </w:pPr>
            <w:r>
              <w:t xml:space="preserve">Throughput</w:t>
            </w:r>
          </w:p>
        </w:tc>
        <w:tc>
          <w:tcPr>
            <w:tcW w:w="5600" w:type="dxa"/>
            <w:tcMar>
              <w:top w:w="80" w:type="dxa"/>
              <w:bottom w:w="80" w:type="dxa"/>
              <w:left w:w="100" w:type="dxa"/>
              <w:right w:w="100" w:type="dxa"/>
            </w:tcMar>
          </w:tcPr>
          <w:p>
            <w:pPr>
              <w:spacing w:after="0"/>
            </w:pPr>
            <w:r>
              <w:t xml:space="preserve">≈31.8 req/s sustained at 10 VUs</w:t>
            </w:r>
          </w:p>
        </w:tc>
      </w:tr>
      <w:tr>
        <w:tc>
          <w:tcPr>
            <w:tcW w:w="3200" w:type="dxa"/>
            <w:tcMar>
              <w:top w:w="80" w:type="dxa"/>
              <w:bottom w:w="80" w:type="dxa"/>
              <w:left w:w="100" w:type="dxa"/>
              <w:right w:w="100" w:type="dxa"/>
            </w:tcMar>
          </w:tcPr>
          <w:p>
            <w:pPr>
              <w:spacing w:after="0"/>
            </w:pPr>
            <w:r>
              <w:t xml:space="preserve">Latency — average</w:t>
            </w:r>
          </w:p>
        </w:tc>
        <w:tc>
          <w:tcPr>
            <w:tcW w:w="5600" w:type="dxa"/>
            <w:tcMar>
              <w:top w:w="80" w:type="dxa"/>
              <w:bottom w:w="80" w:type="dxa"/>
              <w:left w:w="100" w:type="dxa"/>
              <w:right w:w="100" w:type="dxa"/>
            </w:tcMar>
          </w:tcPr>
          <w:p>
            <w:pPr>
              <w:spacing w:after="0"/>
            </w:pPr>
            <w:r>
              <w:t xml:space="preserve">239ms</w:t>
            </w:r>
          </w:p>
        </w:tc>
      </w:tr>
      <w:tr>
        <w:tc>
          <w:tcPr>
            <w:tcW w:w="3200" w:type="dxa"/>
            <w:tcMar>
              <w:top w:w="80" w:type="dxa"/>
              <w:bottom w:w="80" w:type="dxa"/>
              <w:left w:w="100" w:type="dxa"/>
              <w:right w:w="100" w:type="dxa"/>
            </w:tcMar>
          </w:tcPr>
          <w:p>
            <w:pPr>
              <w:spacing w:after="0"/>
            </w:pPr>
            <w:r>
              <w:t xml:space="preserve">Latency — p95</w:t>
            </w:r>
          </w:p>
        </w:tc>
        <w:tc>
          <w:tcPr>
            <w:tcW w:w="5600" w:type="dxa"/>
            <w:tcMar>
              <w:top w:w="80" w:type="dxa"/>
              <w:bottom w:w="80" w:type="dxa"/>
              <w:left w:w="100" w:type="dxa"/>
              <w:right w:w="100" w:type="dxa"/>
            </w:tcMar>
          </w:tcPr>
          <w:p>
            <w:pPr>
              <w:spacing w:after="0"/>
            </w:pPr>
            <w:r>
              <w:t xml:space="preserve">336ms (threshold: &lt; 800ms) — PASS</w:t>
            </w:r>
          </w:p>
        </w:tc>
      </w:tr>
      <w:tr>
        <w:tc>
          <w:tcPr>
            <w:tcW w:w="3200" w:type="dxa"/>
            <w:tcMar>
              <w:top w:w="80" w:type="dxa"/>
              <w:bottom w:w="80" w:type="dxa"/>
              <w:left w:w="100" w:type="dxa"/>
              <w:right w:w="100" w:type="dxa"/>
            </w:tcMar>
          </w:tcPr>
          <w:p>
            <w:pPr>
              <w:spacing w:after="0"/>
            </w:pPr>
            <w:r>
              <w:t xml:space="preserve">Latency — p99</w:t>
            </w:r>
          </w:p>
        </w:tc>
        <w:tc>
          <w:tcPr>
            <w:tcW w:w="5600" w:type="dxa"/>
            <w:tcMar>
              <w:top w:w="80" w:type="dxa"/>
              <w:bottom w:w="80" w:type="dxa"/>
              <w:left w:w="100" w:type="dxa"/>
              <w:right w:w="100" w:type="dxa"/>
            </w:tcMar>
          </w:tcPr>
          <w:p>
            <w:pPr>
              <w:spacing w:after="0"/>
            </w:pPr>
            <w:r>
              <w:t xml:space="preserve">380ms (threshold: &lt; 1500ms) — PASS</w:t>
            </w:r>
          </w:p>
        </w:tc>
      </w:tr>
      <w:tr>
        <w:tc>
          <w:tcPr>
            <w:tcW w:w="3200" w:type="dxa"/>
            <w:tcMar>
              <w:top w:w="80" w:type="dxa"/>
              <w:bottom w:w="80" w:type="dxa"/>
              <w:left w:w="100" w:type="dxa"/>
              <w:right w:w="100" w:type="dxa"/>
            </w:tcMar>
          </w:tcPr>
          <w:p>
            <w:pPr>
              <w:spacing w:after="0"/>
            </w:pPr>
            <w:r>
              <w:t xml:space="preserve">Latency — max</w:t>
            </w:r>
          </w:p>
        </w:tc>
        <w:tc>
          <w:tcPr>
            <w:tcW w:w="5600" w:type="dxa"/>
            <w:tcMar>
              <w:top w:w="80" w:type="dxa"/>
              <w:bottom w:w="80" w:type="dxa"/>
              <w:left w:w="100" w:type="dxa"/>
              <w:right w:w="100" w:type="dxa"/>
            </w:tcMar>
          </w:tcPr>
          <w:p>
            <w:pPr>
              <w:spacing w:after="0"/>
            </w:pPr>
            <w:r>
              <w:t xml:space="preserve">702ms</w:t>
            </w:r>
          </w:p>
        </w:tc>
      </w:tr>
    </w:tbl>
    <w:p>
      <w:pPr>
        <w:spacing w:after="200"/>
      </w:pPr>
    </w:p>
    <w:p>
      <w:pPr>
        <w:spacing w:after="160"/>
      </w:pPr>
      <w:r>
        <w:rPr>
          <w:b/>
          <w:color w:val="1F7A1F"/>
        </w:rPr>
        <w:t xml:space="preserve">Result: </w:t>
      </w:r>
      <w:r>
        <w:rPr>
          <w:color w:val="1F7A1F"/>
        </w:rPr>
        <w:t xml:space="preserve">clean pass — 0% errors, both latency thresholds comfortably met at this volume.</w:t>
      </w:r>
    </w:p>
    <w:p>
      <w:pPr>
        <w:spacing w:before="320" w:after="160"/>
        <w:outlineLvl w:val="0"/>
      </w:pPr>
      <w:r>
        <w:rPr>
          <w:b/>
          <w:color w:val="1F4E78"/>
          <w:sz w:val="32"/>
        </w:rPr>
        <w:t xml:space="preserve">5. Stress Test Results — Manufacturer Commission</w:t>
      </w:r>
    </w:p>
    <w:p>
      <w:pPr>
        <w:spacing w:after="160"/>
      </w:pPr>
      <w:r>
        <w:t xml:space="preserve">Escalated well past the load test's proven-healthy 10 VUs in two runs, using k6/stress-manufacturer-commission.js, to find where the endpoint actually breaks and whether it degrades gracefully or crashes.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400"/>
      </w:tblGrid>
      <w:tr>
        <w:tc>
          <w:tcPr>
            <w:tcW w:w="2400" w:type="dxa"/>
            <w:shd w:val="clear" w:color="auto" w:fill="1F4E78"/>
            <w:tcMar>
              <w:top w:w="80" w:type="dxa"/>
              <w:bottom w:w="80" w:type="dxa"/>
              <w:left w:w="100" w:type="dxa"/>
              <w:right w:w="100" w:type="dxa"/>
            </w:tcMar>
          </w:tcPr>
          <w:p>
            <w:pPr>
              <w:spacing w:after="0"/>
            </w:pPr>
            <w:r>
              <w:rPr>
                <w:b/>
              </w:rPr>
              <w:t xml:space="preserve">Stage</w:t>
            </w:r>
          </w:p>
        </w:tc>
        <w:tc>
          <w:tcPr>
            <w:tcW w:w="6400" w:type="dxa"/>
            <w:shd w:val="clear" w:color="auto" w:fill="1F4E78"/>
            <w:tcMar>
              <w:top w:w="80" w:type="dxa"/>
              <w:bottom w:w="80" w:type="dxa"/>
              <w:left w:w="100" w:type="dxa"/>
              <w:right w:w="100" w:type="dxa"/>
            </w:tcMar>
          </w:tcPr>
          <w:p>
            <w:pPr>
              <w:spacing w:after="0"/>
            </w:pPr>
            <w:r>
              <w:rPr>
                <w:b/>
              </w:rPr>
              <w:t xml:space="preserve">Result</w:t>
            </w:r>
          </w:p>
        </w:tc>
      </w:tr>
      <w:tr>
        <w:tc>
          <w:tcPr>
            <w:tcW w:w="2400" w:type="dxa"/>
            <w:tcMar>
              <w:top w:w="80" w:type="dxa"/>
              <w:bottom w:w="80" w:type="dxa"/>
              <w:left w:w="100" w:type="dxa"/>
              <w:right w:w="100" w:type="dxa"/>
            </w:tcMar>
          </w:tcPr>
          <w:p>
            <w:pPr>
              <w:spacing w:after="0"/>
            </w:pPr>
            <w:r>
              <w:t xml:space="preserve">Stage 1 — up to 150 VUs</w:t>
            </w:r>
          </w:p>
        </w:tc>
        <w:tc>
          <w:tcPr>
            <w:tcW w:w="6400" w:type="dxa"/>
            <w:tcMar>
              <w:top w:w="80" w:type="dxa"/>
              <w:bottom w:w="80" w:type="dxa"/>
              <w:left w:w="100" w:type="dxa"/>
              <w:right w:w="100" w:type="dxa"/>
            </w:tcMar>
          </w:tcPr>
          <w:p>
            <w:pPr>
              <w:spacing w:after="0"/>
            </w:pPr>
            <w:r>
              <w:t xml:space="preserve">6,746 requests, 0% errors, 0 unhandled crashes. Throughput barely moved from the 10-VU baseline (~37.5 vs. ~31.8 req/s) while latency rose sharply (avg 133ms → 2.46s, p95 4.13s) — consistent with a saturated queue, not a failure.</w:t>
            </w:r>
          </w:p>
        </w:tc>
      </w:tr>
      <w:tr>
        <w:tc>
          <w:tcPr>
            <w:tcW w:w="2400" w:type="dxa"/>
            <w:tcMar>
              <w:top w:w="80" w:type="dxa"/>
              <w:bottom w:w="80" w:type="dxa"/>
              <w:left w:w="100" w:type="dxa"/>
              <w:right w:w="100" w:type="dxa"/>
            </w:tcMar>
          </w:tcPr>
          <w:p>
            <w:pPr>
              <w:spacing w:after="0"/>
            </w:pPr>
            <w:r>
              <w:t xml:space="preserve">Stage 2 — up to 500 VUs</w:t>
            </w:r>
          </w:p>
        </w:tc>
        <w:tc>
          <w:tcPr>
            <w:tcW w:w="6400" w:type="dxa"/>
            <w:tcMar>
              <w:top w:w="80" w:type="dxa"/>
              <w:bottom w:w="80" w:type="dxa"/>
              <w:left w:w="100" w:type="dxa"/>
              <w:right w:w="100" w:type="dxa"/>
            </w:tcMar>
          </w:tcPr>
          <w:p>
            <w:pPr>
              <w:spacing w:after="0"/>
            </w:pPr>
            <w:r>
              <w:t xml:space="preserve">6,683 requests. 282 unhandled crashes (4.21%), 482 requests that never received a response at all (network-level timeout/drop), latency climbing to avg 8.06s / p95 13.31s / max 13.72s (essentially pinned at what looks like a ~14s timeout ceiling).</w:t>
            </w:r>
          </w:p>
        </w:tc>
      </w:tr>
    </w:tbl>
    <w:p>
      <w:pPr>
        <w:spacing w:after="200"/>
      </w:pPr>
    </w:p>
    <w:p>
      <w:pPr>
        <w:spacing w:after="160"/>
      </w:pPr>
      <w:r>
        <w:rPr>
          <w:b/>
        </w:rPr>
        <w:t xml:space="preserve">Finding: </w:t>
      </w:r>
      <w:r>
        <w:t xml:space="preserve">the breaking point sits between 150 and 500 concurrent VUs. Below it, the system is resilient — it slows down under pressure rather than erroring. Above it, it genuinely fails: a meaningful fraction of requests crash outright or time out with no response at all, and latency is high enough (8-14s) to functionally look unavailable to a caller with any reasonable timeout of its own.</w:t>
      </w:r>
    </w:p>
    <w:p>
      <w:pPr>
        <w:spacing w:after="160"/>
      </w:pPr>
      <w:r>
        <w:rPr>
          <w:b/>
        </w:rPr>
        <w:t xml:space="preserve">Read on capacity: </w:t>
      </w:r>
      <w:r>
        <w:t xml:space="preserve">throughput staying flat around ~35-40 req/s from 10 VUs all the way to 150 VUs (i.e. adding concurrency doesn't add completed work) points to a fixed-size bottleneck somewhere in the async ingestion path — most likely a queue or a database/connection-pool limit — rather than the endpoint itself being slow per-request. Worth investigating server-side rather than assuming more client concurrency would help.</w:t>
      </w:r>
    </w:p>
    <w:p>
      <w:pPr>
        <w:spacing w:before="320" w:after="160"/>
        <w:outlineLvl w:val="0"/>
      </w:pPr>
      <w:r>
        <w:rPr>
          <w:b/>
          <w:color w:val="1F4E78"/>
          <w:sz w:val="32"/>
        </w:rPr>
        <w:t xml:space="preserve">6. Proposed Non-Functional Test Plan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800"/>
        <w:gridCol w:w="2900"/>
        <w:gridCol w:w="2600"/>
      </w:tblGrid>
      <w:tr>
        <w:tc>
          <w:tcPr>
            <w:tcW w:w="1500" w:type="dxa"/>
            <w:shd w:val="clear" w:color="auto" w:fill="1F4E78"/>
            <w:tcMar>
              <w:top w:w="80" w:type="dxa"/>
              <w:bottom w:w="80" w:type="dxa"/>
              <w:left w:w="100" w:type="dxa"/>
              <w:right w:w="100" w:type="dxa"/>
            </w:tcMar>
          </w:tcPr>
          <w:p>
            <w:pPr>
              <w:spacing w:after="0"/>
            </w:pPr>
            <w:r>
              <w:rPr>
                <w:b/>
              </w:rPr>
              <w:t xml:space="preserve">Area</w:t>
            </w:r>
          </w:p>
        </w:tc>
        <w:tc>
          <w:tcPr>
            <w:tcW w:w="1800" w:type="dxa"/>
            <w:shd w:val="clear" w:color="auto" w:fill="1F4E78"/>
            <w:tcMar>
              <w:top w:w="80" w:type="dxa"/>
              <w:bottom w:w="80" w:type="dxa"/>
              <w:left w:w="100" w:type="dxa"/>
              <w:right w:w="100" w:type="dxa"/>
            </w:tcMar>
          </w:tcPr>
          <w:p>
            <w:pPr>
              <w:spacing w:after="0"/>
            </w:pPr>
            <w:r>
              <w:rPr>
                <w:b/>
              </w:rPr>
              <w:t xml:space="preserve">Validates</w:t>
            </w:r>
          </w:p>
        </w:tc>
        <w:tc>
          <w:tcPr>
            <w:tcW w:w="2900" w:type="dxa"/>
            <w:shd w:val="clear" w:color="auto" w:fill="1F4E78"/>
            <w:tcMar>
              <w:top w:w="80" w:type="dxa"/>
              <w:bottom w:w="80" w:type="dxa"/>
              <w:left w:w="100" w:type="dxa"/>
              <w:right w:w="100" w:type="dxa"/>
            </w:tcMar>
          </w:tcPr>
          <w:p>
            <w:pPr>
              <w:spacing w:after="0"/>
            </w:pPr>
            <w:r>
              <w:rPr>
                <w:b/>
              </w:rPr>
              <w:t xml:space="preserve">Key Scenario</w:t>
            </w:r>
          </w:p>
        </w:tc>
        <w:tc>
          <w:tcPr>
            <w:tcW w:w="2600" w:type="dxa"/>
            <w:shd w:val="clear" w:color="auto" w:fill="1F4E78"/>
            <w:tcMar>
              <w:top w:w="80" w:type="dxa"/>
              <w:bottom w:w="80" w:type="dxa"/>
              <w:left w:w="100" w:type="dxa"/>
              <w:right w:w="100" w:type="dxa"/>
            </w:tcMar>
          </w:tcPr>
          <w:p>
            <w:pPr>
              <w:spacing w:after="0"/>
            </w:pPr>
            <w:r>
              <w:rPr>
                <w:b/>
              </w:rPr>
              <w:t xml:space="preserve">Success Criteria</w:t>
            </w:r>
          </w:p>
        </w:tc>
      </w:tr>
      <w:tr>
        <w:tc>
          <w:tcPr>
            <w:tcW w:w="1500" w:type="dxa"/>
            <w:tcMar>
              <w:top w:w="80" w:type="dxa"/>
              <w:bottom w:w="80" w:type="dxa"/>
              <w:left w:w="100" w:type="dxa"/>
              <w:right w:w="100" w:type="dxa"/>
            </w:tcMar>
          </w:tcPr>
          <w:p>
            <w:pPr>
              <w:spacing w:after="0"/>
            </w:pPr>
            <w:r>
              <w:t xml:space="preserve">Load</w:t>
            </w:r>
          </w:p>
        </w:tc>
        <w:tc>
          <w:tcPr>
            <w:tcW w:w="1800" w:type="dxa"/>
            <w:tcMar>
              <w:top w:w="80" w:type="dxa"/>
              <w:bottom w:w="80" w:type="dxa"/>
              <w:left w:w="100" w:type="dxa"/>
              <w:right w:w="100" w:type="dxa"/>
            </w:tcMar>
          </w:tcPr>
          <w:p>
            <w:pPr>
              <w:spacing w:after="0"/>
            </w:pPr>
            <w:r>
              <w:t xml:space="preserve">Behavior at expected real-world volume</w:t>
            </w:r>
          </w:p>
        </w:tc>
        <w:tc>
          <w:tcPr>
            <w:tcW w:w="2900" w:type="dxa"/>
            <w:tcMar>
              <w:top w:w="80" w:type="dxa"/>
              <w:bottom w:w="80" w:type="dxa"/>
              <w:left w:w="100" w:type="dxa"/>
              <w:right w:w="100" w:type="dxa"/>
            </w:tcMar>
          </w:tcPr>
          <w:p>
            <w:pPr>
              <w:spacing w:after="0"/>
            </w:pPr>
            <w:r>
              <w:t xml:space="preserve">Concurrent manufacturers/distributors/facilities submitting commission/pack/ship events</w:t>
            </w:r>
          </w:p>
        </w:tc>
        <w:tc>
          <w:tcPr>
            <w:tcW w:w="2600" w:type="dxa"/>
            <w:tcMar>
              <w:top w:w="80" w:type="dxa"/>
              <w:bottom w:w="80" w:type="dxa"/>
              <w:left w:w="100" w:type="dxa"/>
              <w:right w:w="100" w:type="dxa"/>
            </w:tcMar>
          </w:tcPr>
          <w:p>
            <w:pPr>
              <w:spacing w:after="0"/>
            </w:pPr>
            <w:r>
              <w:t xml:space="preserve">p95/p99 latency within SLA; error rate ~0%</w:t>
            </w:r>
          </w:p>
        </w:tc>
      </w:tr>
      <w:tr>
        <w:tc>
          <w:tcPr>
            <w:tcW w:w="1500" w:type="dxa"/>
            <w:tcMar>
              <w:top w:w="80" w:type="dxa"/>
              <w:bottom w:w="80" w:type="dxa"/>
              <w:left w:w="100" w:type="dxa"/>
              <w:right w:w="100" w:type="dxa"/>
            </w:tcMar>
          </w:tcPr>
          <w:p>
            <w:pPr>
              <w:spacing w:after="0"/>
            </w:pPr>
            <w:r>
              <w:t xml:space="preserve">Stress</w:t>
            </w:r>
          </w:p>
        </w:tc>
        <w:tc>
          <w:tcPr>
            <w:tcW w:w="1800" w:type="dxa"/>
            <w:tcMar>
              <w:top w:w="80" w:type="dxa"/>
              <w:bottom w:w="80" w:type="dxa"/>
              <w:left w:w="100" w:type="dxa"/>
              <w:right w:w="100" w:type="dxa"/>
            </w:tcMar>
          </w:tcPr>
          <w:p>
            <w:pPr>
              <w:spacing w:after="0"/>
            </w:pPr>
            <w:r>
              <w:t xml:space="preserve">Where it breaks</w:t>
            </w:r>
          </w:p>
        </w:tc>
        <w:tc>
          <w:tcPr>
            <w:tcW w:w="2900" w:type="dxa"/>
            <w:tcMar>
              <w:top w:w="80" w:type="dxa"/>
              <w:bottom w:w="80" w:type="dxa"/>
              <w:left w:w="100" w:type="dxa"/>
              <w:right w:w="100" w:type="dxa"/>
            </w:tcMar>
          </w:tcPr>
          <w:p>
            <w:pPr>
              <w:spacing w:after="0"/>
            </w:pPr>
            <w:r>
              <w:t xml:space="preserve">Ramp VUs well past expected volume</w:t>
            </w:r>
          </w:p>
        </w:tc>
        <w:tc>
          <w:tcPr>
            <w:tcW w:w="2600" w:type="dxa"/>
            <w:tcMar>
              <w:top w:w="80" w:type="dxa"/>
              <w:bottom w:w="80" w:type="dxa"/>
              <w:left w:w="100" w:type="dxa"/>
              <w:right w:w="100" w:type="dxa"/>
            </w:tcMar>
          </w:tcPr>
          <w:p>
            <w:pPr>
              <w:spacing w:after="0"/>
            </w:pPr>
            <w:r>
              <w:t xml:space="preserve">Breaking point identified; degrades gracefully (429/503), not crashes (500)</w:t>
            </w:r>
          </w:p>
        </w:tc>
      </w:tr>
      <w:tr>
        <w:tc>
          <w:tcPr>
            <w:tcW w:w="1500" w:type="dxa"/>
            <w:tcMar>
              <w:top w:w="80" w:type="dxa"/>
              <w:bottom w:w="80" w:type="dxa"/>
              <w:left w:w="100" w:type="dxa"/>
              <w:right w:w="100" w:type="dxa"/>
            </w:tcMar>
          </w:tcPr>
          <w:p>
            <w:pPr>
              <w:spacing w:after="0"/>
            </w:pPr>
            <w:r>
              <w:t xml:space="preserve">Spike</w:t>
            </w:r>
          </w:p>
        </w:tc>
        <w:tc>
          <w:tcPr>
            <w:tcW w:w="1800" w:type="dxa"/>
            <w:tcMar>
              <w:top w:w="80" w:type="dxa"/>
              <w:bottom w:w="80" w:type="dxa"/>
              <w:left w:w="100" w:type="dxa"/>
              <w:right w:w="100" w:type="dxa"/>
            </w:tcMar>
          </w:tcPr>
          <w:p>
            <w:pPr>
              <w:spacing w:after="0"/>
            </w:pPr>
            <w:r>
              <w:t xml:space="preserve">Sudden burst handling</w:t>
            </w:r>
          </w:p>
        </w:tc>
        <w:tc>
          <w:tcPr>
            <w:tcW w:w="2900" w:type="dxa"/>
            <w:tcMar>
              <w:top w:w="80" w:type="dxa"/>
              <w:bottom w:w="80" w:type="dxa"/>
              <w:left w:w="100" w:type="dxa"/>
              <w:right w:w="100" w:type="dxa"/>
            </w:tcMar>
          </w:tcPr>
          <w:p>
            <w:pPr>
              <w:spacing w:after="0"/>
            </w:pPr>
            <w:r>
              <w:t xml:space="preserve">Large batch commission near the 50,000-serial/message limit; shipment flood</w:t>
            </w:r>
          </w:p>
        </w:tc>
        <w:tc>
          <w:tcPr>
            <w:tcW w:w="2600" w:type="dxa"/>
            <w:tcMar>
              <w:top w:w="80" w:type="dxa"/>
              <w:bottom w:w="80" w:type="dxa"/>
              <w:left w:w="100" w:type="dxa"/>
              <w:right w:w="100" w:type="dxa"/>
            </w:tcMar>
          </w:tcPr>
          <w:p>
            <w:pPr>
              <w:spacing w:after="0"/>
            </w:pPr>
            <w:r>
              <w:t xml:space="preserve">System absorbs or cleanly rejects; no cascading failure</w:t>
            </w:r>
          </w:p>
        </w:tc>
      </w:tr>
      <w:tr>
        <w:tc>
          <w:tcPr>
            <w:tcW w:w="1500" w:type="dxa"/>
            <w:tcMar>
              <w:top w:w="80" w:type="dxa"/>
              <w:bottom w:w="80" w:type="dxa"/>
              <w:left w:w="100" w:type="dxa"/>
              <w:right w:w="100" w:type="dxa"/>
            </w:tcMar>
          </w:tcPr>
          <w:p>
            <w:pPr>
              <w:spacing w:after="0"/>
            </w:pPr>
            <w:r>
              <w:t xml:space="preserve">Soak / endurance</w:t>
            </w:r>
          </w:p>
        </w:tc>
        <w:tc>
          <w:tcPr>
            <w:tcW w:w="1800" w:type="dxa"/>
            <w:tcMar>
              <w:top w:w="80" w:type="dxa"/>
              <w:bottom w:w="80" w:type="dxa"/>
              <w:left w:w="100" w:type="dxa"/>
              <w:right w:w="100" w:type="dxa"/>
            </w:tcMar>
          </w:tcPr>
          <w:p>
            <w:pPr>
              <w:spacing w:after="0"/>
            </w:pPr>
            <w:r>
              <w:t xml:space="preserve">Degradation over time</w:t>
            </w:r>
          </w:p>
        </w:tc>
        <w:tc>
          <w:tcPr>
            <w:tcW w:w="2900" w:type="dxa"/>
            <w:tcMar>
              <w:top w:w="80" w:type="dxa"/>
              <w:bottom w:w="80" w:type="dxa"/>
              <w:left w:w="100" w:type="dxa"/>
              <w:right w:w="100" w:type="dxa"/>
            </w:tcMar>
          </w:tcPr>
          <w:p>
            <w:pPr>
              <w:spacing w:after="0"/>
            </w:pPr>
            <w:r>
              <w:t xml:space="preserve">Moderate sustained load, 1hr+</w:t>
            </w:r>
          </w:p>
        </w:tc>
        <w:tc>
          <w:tcPr>
            <w:tcW w:w="2600" w:type="dxa"/>
            <w:tcMar>
              <w:top w:w="80" w:type="dxa"/>
              <w:bottom w:w="80" w:type="dxa"/>
              <w:left w:w="100" w:type="dxa"/>
              <w:right w:w="100" w:type="dxa"/>
            </w:tcMar>
          </w:tcPr>
          <w:p>
            <w:pPr>
              <w:spacing w:after="0"/>
            </w:pPr>
            <w:r>
              <w:t xml:space="preserve">Latency/error rate stay flat — no memory-leak-shaped drift</w:t>
            </w:r>
          </w:p>
        </w:tc>
      </w:tr>
      <w:tr>
        <w:tc>
          <w:tcPr>
            <w:tcW w:w="1500" w:type="dxa"/>
            <w:tcMar>
              <w:top w:w="80" w:type="dxa"/>
              <w:bottom w:w="80" w:type="dxa"/>
              <w:left w:w="100" w:type="dxa"/>
              <w:right w:w="100" w:type="dxa"/>
            </w:tcMar>
          </w:tcPr>
          <w:p>
            <w:pPr>
              <w:spacing w:after="0"/>
            </w:pPr>
            <w:r>
              <w:t xml:space="preserve">Concurrent users</w:t>
            </w:r>
          </w:p>
        </w:tc>
        <w:tc>
          <w:tcPr>
            <w:tcW w:w="1800" w:type="dxa"/>
            <w:tcMar>
              <w:top w:w="80" w:type="dxa"/>
              <w:bottom w:w="80" w:type="dxa"/>
              <w:left w:w="100" w:type="dxa"/>
              <w:right w:w="100" w:type="dxa"/>
            </w:tcMar>
          </w:tcPr>
          <w:p>
            <w:pPr>
              <w:spacing w:after="0"/>
            </w:pPr>
            <w:r>
              <w:t xml:space="preserve">Many simultaneous distinct partners</w:t>
            </w:r>
          </w:p>
        </w:tc>
        <w:tc>
          <w:tcPr>
            <w:tcW w:w="2900" w:type="dxa"/>
            <w:tcMar>
              <w:top w:w="80" w:type="dxa"/>
              <w:bottom w:w="80" w:type="dxa"/>
              <w:left w:w="100" w:type="dxa"/>
              <w:right w:w="100" w:type="dxa"/>
            </w:tcMar>
          </w:tcPr>
          <w:p>
            <w:pPr>
              <w:spacing w:after="0"/>
            </w:pPr>
            <w:r>
              <w:t xml:space="preserve">Parallel VUs per role, each with own token/GLN</w:t>
            </w:r>
          </w:p>
        </w:tc>
        <w:tc>
          <w:tcPr>
            <w:tcW w:w="2600" w:type="dxa"/>
            <w:tcMar>
              <w:top w:w="80" w:type="dxa"/>
              <w:bottom w:w="80" w:type="dxa"/>
              <w:left w:w="100" w:type="dxa"/>
              <w:right w:w="100" w:type="dxa"/>
            </w:tcMar>
          </w:tcPr>
          <w:p>
            <w:pPr>
              <w:spacing w:after="0"/>
            </w:pPr>
            <w:r>
              <w:t xml:space="preserve">No cross-partner interference; correct isolation</w:t>
            </w:r>
          </w:p>
        </w:tc>
      </w:tr>
      <w:tr>
        <w:tc>
          <w:tcPr>
            <w:tcW w:w="1500" w:type="dxa"/>
            <w:tcMar>
              <w:top w:w="80" w:type="dxa"/>
              <w:bottom w:w="80" w:type="dxa"/>
              <w:left w:w="100" w:type="dxa"/>
              <w:right w:w="100" w:type="dxa"/>
            </w:tcMar>
          </w:tcPr>
          <w:p>
            <w:pPr>
              <w:spacing w:after="0"/>
            </w:pPr>
            <w:r>
              <w:t xml:space="preserve">Concurrency / race conditions</w:t>
            </w:r>
          </w:p>
        </w:tc>
        <w:tc>
          <w:tcPr>
            <w:tcW w:w="1800" w:type="dxa"/>
            <w:tcMar>
              <w:top w:w="80" w:type="dxa"/>
              <w:bottom w:w="80" w:type="dxa"/>
              <w:left w:w="100" w:type="dxa"/>
              <w:right w:w="100" w:type="dxa"/>
            </w:tcMar>
          </w:tcPr>
          <w:p>
            <w:pPr>
              <w:spacing w:after="0"/>
            </w:pPr>
            <w:r>
              <w:t xml:space="preserve">Conflicting simultaneous writes</w:t>
            </w:r>
          </w:p>
        </w:tc>
        <w:tc>
          <w:tcPr>
            <w:tcW w:w="2900" w:type="dxa"/>
            <w:tcMar>
              <w:top w:w="80" w:type="dxa"/>
              <w:bottom w:w="80" w:type="dxa"/>
              <w:left w:w="100" w:type="dxa"/>
              <w:right w:w="100" w:type="dxa"/>
            </w:tcMar>
          </w:tcPr>
          <w:p>
            <w:pPr>
              <w:spacing w:after="0"/>
            </w:pPr>
            <w:r>
              <w:t xml:space="preserve">Two simultaneous “pack” events on the same child EPC/SSCC</w:t>
            </w:r>
          </w:p>
        </w:tc>
        <w:tc>
          <w:tcPr>
            <w:tcW w:w="2600" w:type="dxa"/>
            <w:tcMar>
              <w:top w:w="80" w:type="dxa"/>
              <w:bottom w:w="80" w:type="dxa"/>
              <w:left w:w="100" w:type="dxa"/>
              <w:right w:w="100" w:type="dxa"/>
            </w:tcMar>
          </w:tcPr>
          <w:p>
            <w:pPr>
              <w:spacing w:after="0"/>
            </w:pPr>
            <w:r>
              <w:t xml:space="preserve">Exactly one wins cleanly (409); no silent double-aggregation</w:t>
            </w:r>
          </w:p>
        </w:tc>
      </w:tr>
      <w:tr>
        <w:tc>
          <w:tcPr>
            <w:tcW w:w="1500" w:type="dxa"/>
            <w:tcMar>
              <w:top w:w="80" w:type="dxa"/>
              <w:bottom w:w="80" w:type="dxa"/>
              <w:left w:w="100" w:type="dxa"/>
              <w:right w:w="100" w:type="dxa"/>
            </w:tcMar>
          </w:tcPr>
          <w:p>
            <w:pPr>
              <w:spacing w:after="0"/>
            </w:pPr>
            <w:r>
              <w:t xml:space="preserve">Latency</w:t>
            </w:r>
          </w:p>
        </w:tc>
        <w:tc>
          <w:tcPr>
            <w:tcW w:w="1800" w:type="dxa"/>
            <w:tcMar>
              <w:top w:w="80" w:type="dxa"/>
              <w:bottom w:w="80" w:type="dxa"/>
              <w:left w:w="100" w:type="dxa"/>
              <w:right w:w="100" w:type="dxa"/>
            </w:tcMar>
          </w:tcPr>
          <w:p>
            <w:pPr>
              <w:spacing w:after="0"/>
            </w:pPr>
            <w:r>
              <w:t xml:space="preserve">Response-time SLA</w:t>
            </w:r>
          </w:p>
        </w:tc>
        <w:tc>
          <w:tcPr>
            <w:tcW w:w="2900" w:type="dxa"/>
            <w:tcMar>
              <w:top w:w="80" w:type="dxa"/>
              <w:bottom w:w="80" w:type="dxa"/>
              <w:left w:w="100" w:type="dxa"/>
              <w:right w:w="100" w:type="dxa"/>
            </w:tcMar>
          </w:tcPr>
          <w:p>
            <w:pPr>
              <w:spacing w:after="0"/>
            </w:pPr>
            <w:r>
              <w:t xml:space="preserve">Tracked per endpoint across all scenarios above</w:t>
            </w:r>
          </w:p>
        </w:tc>
        <w:tc>
          <w:tcPr>
            <w:tcW w:w="2600" w:type="dxa"/>
            <w:tcMar>
              <w:top w:w="80" w:type="dxa"/>
              <w:bottom w:w="80" w:type="dxa"/>
              <w:left w:w="100" w:type="dxa"/>
              <w:right w:w="100" w:type="dxa"/>
            </w:tcMar>
          </w:tcPr>
          <w:p>
            <w:pPr>
              <w:spacing w:after="0"/>
            </w:pPr>
            <w:r>
              <w:t xml:space="preserve">Defined p95/p99 thresholds hold under load</w:t>
            </w:r>
          </w:p>
        </w:tc>
      </w:tr>
      <w:tr>
        <w:tc>
          <w:tcPr>
            <w:tcW w:w="1500" w:type="dxa"/>
            <w:tcMar>
              <w:top w:w="80" w:type="dxa"/>
              <w:bottom w:w="80" w:type="dxa"/>
              <w:left w:w="100" w:type="dxa"/>
              <w:right w:w="100" w:type="dxa"/>
            </w:tcMar>
          </w:tcPr>
          <w:p>
            <w:pPr>
              <w:spacing w:after="0"/>
            </w:pPr>
            <w:r>
              <w:t xml:space="preserve">Scalability</w:t>
            </w:r>
          </w:p>
        </w:tc>
        <w:tc>
          <w:tcPr>
            <w:tcW w:w="1800" w:type="dxa"/>
            <w:tcMar>
              <w:top w:w="80" w:type="dxa"/>
              <w:bottom w:w="80" w:type="dxa"/>
              <w:left w:w="100" w:type="dxa"/>
              <w:right w:w="100" w:type="dxa"/>
            </w:tcMar>
          </w:tcPr>
          <w:p>
            <w:pPr>
              <w:spacing w:after="0"/>
            </w:pPr>
            <w:r>
              <w:t xml:space="preserve">Does throughput scale linearly</w:t>
            </w:r>
          </w:p>
        </w:tc>
        <w:tc>
          <w:tcPr>
            <w:tcW w:w="2900" w:type="dxa"/>
            <w:tcMar>
              <w:top w:w="80" w:type="dxa"/>
              <w:bottom w:w="80" w:type="dxa"/>
              <w:left w:w="100" w:type="dxa"/>
              <w:right w:w="100" w:type="dxa"/>
            </w:tcMar>
          </w:tcPr>
          <w:p>
            <w:pPr>
              <w:spacing w:after="0"/>
            </w:pPr>
            <w:r>
              <w:t xml:space="preserve">Staged VU ramp (10→50→200→500…)</w:t>
            </w:r>
          </w:p>
        </w:tc>
        <w:tc>
          <w:tcPr>
            <w:tcW w:w="2600" w:type="dxa"/>
            <w:tcMar>
              <w:top w:w="80" w:type="dxa"/>
              <w:bottom w:w="80" w:type="dxa"/>
              <w:left w:w="100" w:type="dxa"/>
              <w:right w:w="100" w:type="dxa"/>
            </w:tcMar>
          </w:tcPr>
          <w:p>
            <w:pPr>
              <w:spacing w:after="0"/>
            </w:pPr>
            <w:r>
              <w:t xml:space="preserve">Identify the stage where the latency/error curve bends</w:t>
            </w:r>
          </w:p>
        </w:tc>
      </w:tr>
      <w:tr>
        <w:tc>
          <w:tcPr>
            <w:tcW w:w="1500" w:type="dxa"/>
            <w:tcMar>
              <w:top w:w="80" w:type="dxa"/>
              <w:bottom w:w="80" w:type="dxa"/>
              <w:left w:w="100" w:type="dxa"/>
              <w:right w:w="100" w:type="dxa"/>
            </w:tcMar>
          </w:tcPr>
          <w:p>
            <w:pPr>
              <w:spacing w:after="0"/>
            </w:pPr>
            <w:r>
              <w:t xml:space="preserve">Resilience</w:t>
            </w:r>
          </w:p>
        </w:tc>
        <w:tc>
          <w:tcPr>
            <w:tcW w:w="1800" w:type="dxa"/>
            <w:tcMar>
              <w:top w:w="80" w:type="dxa"/>
              <w:bottom w:w="80" w:type="dxa"/>
              <w:left w:w="100" w:type="dxa"/>
              <w:right w:w="100" w:type="dxa"/>
            </w:tcMar>
          </w:tcPr>
          <w:p>
            <w:pPr>
              <w:spacing w:after="0"/>
            </w:pPr>
            <w:r>
              <w:t xml:space="preserve">Recovery after failure/load</w:t>
            </w:r>
          </w:p>
        </w:tc>
        <w:tc>
          <w:tcPr>
            <w:tcW w:w="2900" w:type="dxa"/>
            <w:tcMar>
              <w:top w:w="80" w:type="dxa"/>
              <w:bottom w:w="80" w:type="dxa"/>
              <w:left w:w="100" w:type="dxa"/>
              <w:right w:w="100" w:type="dxa"/>
            </w:tcMar>
          </w:tcPr>
          <w:p>
            <w:pPr>
              <w:spacing w:after="0"/>
            </w:pPr>
            <w:r>
              <w:t xml:space="preserve">Error rate/latency in the minutes after a stress/spike run ends</w:t>
            </w:r>
          </w:p>
        </w:tc>
        <w:tc>
          <w:tcPr>
            <w:tcW w:w="2600" w:type="dxa"/>
            <w:tcMar>
              <w:top w:w="80" w:type="dxa"/>
              <w:bottom w:w="80" w:type="dxa"/>
              <w:left w:w="100" w:type="dxa"/>
              <w:right w:w="100" w:type="dxa"/>
            </w:tcMar>
          </w:tcPr>
          <w:p>
            <w:pPr>
              <w:spacing w:after="0"/>
            </w:pPr>
            <w:r>
              <w:t xml:space="preserve">Returns to baseline; no lingering degradation</w:t>
            </w:r>
          </w:p>
        </w:tc>
      </w:tr>
      <w:tr>
        <w:tc>
          <w:tcPr>
            <w:tcW w:w="1500" w:type="dxa"/>
            <w:tcMar>
              <w:top w:w="80" w:type="dxa"/>
              <w:bottom w:w="80" w:type="dxa"/>
              <w:left w:w="100" w:type="dxa"/>
              <w:right w:w="100" w:type="dxa"/>
            </w:tcMar>
          </w:tcPr>
          <w:p>
            <w:pPr>
              <w:spacing w:after="0"/>
            </w:pPr>
            <w:r>
              <w:t xml:space="preserve">Data integrity</w:t>
            </w:r>
          </w:p>
        </w:tc>
        <w:tc>
          <w:tcPr>
            <w:tcW w:w="1800" w:type="dxa"/>
            <w:tcMar>
              <w:top w:w="80" w:type="dxa"/>
              <w:bottom w:w="80" w:type="dxa"/>
              <w:left w:w="100" w:type="dxa"/>
              <w:right w:w="100" w:type="dxa"/>
            </w:tcMar>
          </w:tcPr>
          <w:p>
            <w:pPr>
              <w:spacing w:after="0"/>
            </w:pPr>
            <w:r>
              <w:t xml:space="preserve">No lost/duplicated events under load</w:t>
            </w:r>
          </w:p>
        </w:tc>
        <w:tc>
          <w:tcPr>
            <w:tcW w:w="2900" w:type="dxa"/>
            <w:tcMar>
              <w:top w:w="80" w:type="dxa"/>
              <w:bottom w:w="80" w:type="dxa"/>
              <w:left w:w="100" w:type="dxa"/>
              <w:right w:w="100" w:type="dxa"/>
            </w:tcMar>
          </w:tcPr>
          <w:p>
            <w:pPr>
              <w:spacing w:after="0"/>
            </w:pPr>
            <w:r>
              <w:t xml:space="preserve">Read back via Events Explorer after a concurrent burst</w:t>
            </w:r>
          </w:p>
        </w:tc>
        <w:tc>
          <w:tcPr>
            <w:tcW w:w="2600" w:type="dxa"/>
            <w:tcMar>
              <w:top w:w="80" w:type="dxa"/>
              <w:bottom w:w="80" w:type="dxa"/>
              <w:left w:w="100" w:type="dxa"/>
              <w:right w:w="100" w:type="dxa"/>
            </w:tcMar>
          </w:tcPr>
          <w:p>
            <w:pPr>
              <w:spacing w:after="0"/>
            </w:pPr>
            <w:r>
              <w:t xml:space="preserve">Zero dropped, zero duplicated EPCIS events — compliance-critical, not optional</w:t>
            </w:r>
          </w:p>
        </w:tc>
      </w:tr>
      <w:tr>
        <w:tc>
          <w:tcPr>
            <w:tcW w:w="1500" w:type="dxa"/>
            <w:tcMar>
              <w:top w:w="80" w:type="dxa"/>
              <w:bottom w:w="80" w:type="dxa"/>
              <w:left w:w="100" w:type="dxa"/>
              <w:right w:w="100" w:type="dxa"/>
            </w:tcMar>
          </w:tcPr>
          <w:p>
            <w:pPr>
              <w:spacing w:after="0"/>
            </w:pPr>
            <w:r>
              <w:t xml:space="preserve">Rate limiting</w:t>
            </w:r>
          </w:p>
        </w:tc>
        <w:tc>
          <w:tcPr>
            <w:tcW w:w="1800" w:type="dxa"/>
            <w:tcMar>
              <w:top w:w="80" w:type="dxa"/>
              <w:bottom w:w="80" w:type="dxa"/>
              <w:left w:w="100" w:type="dxa"/>
              <w:right w:w="100" w:type="dxa"/>
            </w:tcMar>
          </w:tcPr>
          <w:p>
            <w:pPr>
              <w:spacing w:after="0"/>
            </w:pPr>
            <w:r>
              <w:t xml:space="preserve">429 enforcement</w:t>
            </w:r>
          </w:p>
        </w:tc>
        <w:tc>
          <w:tcPr>
            <w:tcW w:w="2900" w:type="dxa"/>
            <w:tcMar>
              <w:top w:w="80" w:type="dxa"/>
              <w:bottom w:w="80" w:type="dxa"/>
              <w:left w:w="100" w:type="dxa"/>
              <w:right w:w="100" w:type="dxa"/>
            </w:tcMar>
          </w:tcPr>
          <w:p>
            <w:pPr>
              <w:spacing w:after="0"/>
            </w:pPr>
            <w:r>
              <w:t xml:space="preserve">Exceed a partner's documented request-tier budget</w:t>
            </w:r>
          </w:p>
        </w:tc>
        <w:tc>
          <w:tcPr>
            <w:tcW w:w="2600" w:type="dxa"/>
            <w:tcMar>
              <w:top w:w="80" w:type="dxa"/>
              <w:bottom w:w="80" w:type="dxa"/>
              <w:left w:w="100" w:type="dxa"/>
              <w:right w:w="100" w:type="dxa"/>
            </w:tcMar>
          </w:tcPr>
          <w:p>
            <w:pPr>
              <w:spacing w:after="0"/>
            </w:pPr>
            <w:r>
              <w:t xml:space="preserve">429 returned at the documented threshold, not silently accepted or 500'd</w:t>
            </w:r>
          </w:p>
        </w:tc>
      </w:tr>
    </w:tbl>
    <w:p>
      <w:pPr>
        <w:spacing w:after="200"/>
      </w:pPr>
    </w:p>
    <w:p>
      <w:pPr>
        <w:spacing w:before="320" w:after="160"/>
        <w:outlineLvl w:val="0"/>
      </w:pPr>
      <w:r>
        <w:rPr>
          <w:b/>
          <w:color w:val="1F4E78"/>
          <w:sz w:val="32"/>
        </w:rPr>
        <w:t xml:space="preserve">7. Practical Constraints</w:t>
      </w:r>
    </w:p>
    <w:p>
      <w:pPr>
        <w:spacing w:after="160"/>
        <w:ind w:left="360"/>
      </w:pPr>
      <w:r>
        <w:t xml:space="preserve">•  </w:t>
      </w:r>
      <w:r>
        <w:t xml:space="preserve">Test data must be unique per iteration — EPCIS events are one-shot; a duplicate eventID is hard-rejected (API-MFG-COMM-EDGE-001), so payloads need dynamically generated SGTINs/SSCCs/eventIDs, not the static Postman examples.</w:t>
      </w:r>
    </w:p>
    <w:p>
      <w:pPr>
        <w:spacing w:after="160"/>
        <w:ind w:left="360"/>
      </w:pPr>
      <w:r>
        <w:t xml:space="preserve">•  </w:t>
      </w:r>
      <w:r>
        <w:t xml:space="preserve">Identifiers must also be GS1-structurally-valid, not just unique — see Section 3. The working pattern (0123456 company prefix, numeric serials) is shared by both delivered scripts via k6/lib/epcis.js.</w:t>
      </w:r>
    </w:p>
    <w:p>
      <w:pPr>
        <w:spacing w:after="160"/>
        <w:ind w:left="360"/>
      </w:pPr>
      <w:r>
        <w:t xml:space="preserve">•  </w:t>
      </w:r>
      <w:r>
        <w:t xml:space="preserve">Tokens are passed via environment variables at run time only — never hardcoded or committed, consistent with how this project already handles credentials.</w:t>
      </w:r>
    </w:p>
    <w:p>
      <w:pPr>
        <w:spacing w:after="160"/>
        <w:ind w:left="360"/>
      </w:pPr>
      <w:r>
        <w:t xml:space="preserve">•  </w:t>
      </w:r>
      <w:r>
        <w:t xml:space="preserve">This targets a live, shared partner sandbox environment (_sandbox: true in every response) — between the load and stress runs, roughly 17,000 real commissioning events have already been written to it today. Further high-volume runs should be coordinated with whoever owns it.</w:t>
      </w:r>
    </w:p>
    <w:p>
      <w:pPr>
        <w:spacing w:before="320" w:after="160"/>
        <w:outlineLvl w:val="0"/>
      </w:pPr>
      <w:r>
        <w:rPr>
          <w:b/>
          <w:color w:val="1F4E78"/>
          <w:sz w:val="32"/>
        </w:rPr>
        <w:t xml:space="preserve">8. Delivered Scripts</w:t>
      </w:r>
    </w:p>
    <w:p>
      <w:pPr>
        <w:spacing w:after="160"/>
      </w:pPr>
      <w:r>
        <w:rPr>
          <w:i/>
        </w:rPr>
        <w:t xml:space="preserve">k6/lib/epcis.js</w:t>
      </w:r>
      <w:r>
        <w:t xml:space="preserve"> — shared payload builder used by both scripts below, encapsulating the confirmed-working identifier shape from Section 3.</w:t>
      </w:r>
    </w:p>
    <w:p>
      <w:pPr>
        <w:spacing w:after="160"/>
      </w:pPr>
      <w:r>
        <w:rPr>
          <w:i/>
        </w:rPr>
        <w:t xml:space="preserve">k6/load-manufacturer-commission.js</w:t>
      </w:r>
      <w:r>
        <w:t xml:space="preserve"> — ramps to a configurable number of concurrent VUs, holds, ramps down. Asserts p95 &lt; 800ms, p99 &lt; 1500ms, error rate &lt; 1%, status 201/202, and success: true in the body.</w:t>
      </w:r>
    </w:p>
    <w:p>
      <w:pPr>
        <w:spacing w:after="160"/>
      </w:pPr>
      <w:r>
        <w:rPr>
          <w:b/>
        </w:rPr>
        <w:t xml:space="preserve">Run: </w:t>
      </w:r>
      <w:r>
        <w:rPr>
          <w:i/>
        </w:rPr>
        <w:t xml:space="preserve">k6 run -e MANUFACTURER_API_TOKEN=xxx k6/load-manufacturer-commission.js</w:t>
      </w:r>
    </w:p>
    <w:p>
      <w:pPr>
        <w:spacing w:after="160"/>
      </w:pPr>
      <w:r>
        <w:rPr>
          <w:i/>
        </w:rPr>
        <w:t xml:space="preserve">k6/stress-manufacturer-commission.js</w:t>
      </w:r>
      <w:r>
        <w:t xml:space="preserve"> — ramps through configurable escalating VU stages (default 25/75/150) to find the breaking point. Classifies every response as success, graceful degradation (429/503), unhandled crash (5xx), network error, or other — the pass/fail signal is zero unhandled crashes, not zero errors.</w:t>
      </w:r>
    </w:p>
    <w:p>
      <w:pPr>
        <w:spacing w:after="160"/>
      </w:pPr>
      <w:r>
        <w:rPr>
          <w:b/>
        </w:rPr>
        <w:t xml:space="preserve">Run: </w:t>
      </w:r>
      <w:r>
        <w:rPr>
          <w:i/>
        </w:rPr>
        <w:t xml:space="preserve">k6 run -e STAGE_VUS=200,350,500 -e MANUFACTURER_API_TOKEN=xxx k6/stress-manufacturer-commission.js</w:t>
      </w:r>
    </w:p>
    <w:p>
      <w:pPr>
        <w:spacing w:after="160"/>
      </w:pPr>
      <w:r>
        <w:rPr>
          <w:b/>
          <w:color w:val="1F7A1F"/>
        </w:rPr>
        <w:t xml:space="preserve">Status: </w:t>
      </w:r>
      <w:r>
        <w:rPr>
          <w:color w:val="1F7A1F"/>
        </w:rPr>
        <w:t xml:space="preserve">both executed against the live sandbox — see Sections 4 and 5 for real results.</w:t>
      </w:r>
    </w:p>
    <w:p>
      <w:pPr>
        <w:spacing w:before="320" w:after="160"/>
        <w:outlineLvl w:val="0"/>
      </w:pPr>
      <w:r>
        <w:rPr>
          <w:b/>
          <w:color w:val="1F4E78"/>
          <w:sz w:val="32"/>
        </w:rPr>
        <w:t xml:space="preserve">9. Next Steps</w:t>
      </w:r>
    </w:p>
    <w:p>
      <w:pPr>
        <w:spacing w:after="160"/>
        <w:ind w:left="360"/>
      </w:pPr>
      <w:r>
        <w:t xml:space="preserve">•  </w:t>
      </w:r>
      <w:r>
        <w:t xml:space="preserve">Flag two findings to the API team: (a) a malformed/unregistered identifier on the commissioning endpoint returns a bare 500 instead of a clean 4xx (Section 3); (b) throughput plateaus around 35-40 req/s regardless of concurrency, then degrades into timeouts and crashes above ~150-500 concurrent requests (Section 5) — worth investigating as a queue/connection-pool sizing issue.</w:t>
      </w:r>
    </w:p>
    <w:p>
      <w:pPr>
        <w:spacing w:after="160"/>
        <w:ind w:left="360"/>
      </w:pPr>
      <w:r>
        <w:t xml:space="preserve">•  </w:t>
      </w:r>
      <w:r>
        <w:t xml:space="preserve">Build out the remaining scripts (spike, soak, concurrency/race-condition, rate-limit, data-integrity read-back checks) reusing k6/lib/epcis.js and the same pattern.</w:t>
      </w:r>
    </w:p>
    <w:p>
      <w:pPr>
        <w:spacing w:after="160"/>
        <w:ind w:left="360"/>
      </w:pPr>
      <w:r>
        <w:t xml:space="preserve">•  </w:t>
      </w:r>
      <w:r>
        <w:t xml:space="preserve">Extend coverage to the distributor and facility roles and their event types, not just manufacturer commissioning.</w:t>
      </w:r>
    </w:p>
    <w:p>
      <w:pPr>
        <w:spacing w:after="160"/>
        <w:ind w:left="360"/>
      </w:pPr>
      <w:r>
        <w:t xml:space="preserve">•  </w:t>
      </w:r>
      <w:r>
        <w:t xml:space="preserve">Narrow the 150-500 VU breaking-point range with a bisecting run (e.g. 250, 300) if a precise capacity number is needed.</w:t>
      </w: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TnT Partner API Non-Functional Testing Findings</dc:title>
  <dc:creator>TnT QA</dc:creator>
  <dcterms:created xsi:type="dcterms:W3CDTF">2026-09-02T00:00:00Z</dcterms:created>
</cp:coreProperties>
</file>