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60"/>
      </w:pPr>
      <w:r>
        <w:rPr>
          <w:b/>
          <w:color w:val="1F4E78"/>
          <w:sz w:val="40"/>
        </w:rPr>
        <w:t xml:space="preserve">TrackIQ — Performance &amp; Security Test Report</w:t>
      </w:r>
    </w:p>
    <w:p>
      <w:pPr>
        <w:spacing w:after="40"/>
      </w:pPr>
      <w:r>
        <w:rPr>
          <w:color w:val="595959"/>
          <w:sz w:val="22"/>
        </w:rPr>
        <w:t xml:space="preserve">Target: https://trackiq.apeiro-digital.com</w:t>
      </w:r>
    </w:p>
    <w:p>
      <w:pPr>
        <w:spacing w:after="240"/>
      </w:pPr>
      <w:r>
        <w:rPr>
          <w:color w:val="595959"/>
          <w:sz w:val="20"/>
        </w:rPr>
        <w:t xml:space="preserve">Test date: 3 September 2026   |   Partner EPCIS API + public web routes</w:t>
      </w:r>
    </w:p>
    <w:p>
      <w:pPr>
        <w:spacing w:after="160"/>
      </w:pPr>
      <w:r>
        <w:rPr>
          <w:i/>
          <w:color w:val="595959"/>
          <w:sz w:val="20"/>
        </w:rPr>
        <w:t xml:space="preserve">Every result below was directly observed against the live environment. Where a conclusion is inference rather than observation it is labelled as a hypothesis and kept separate from the evidence.</w:t>
      </w:r>
    </w:p>
    <w:p>
      <w:pPr>
        <w:spacing w:before="320" w:after="160"/>
        <w:outlineLvl w:val="0"/>
      </w:pPr>
      <w:r>
        <w:rPr>
          <w:b/>
          <w:color w:val="1F4E78"/>
          <w:sz w:val="32"/>
        </w:rPr>
        <w:t xml:space="preserve">1. Environment and Endpoint Discovery</w:t>
      </w:r>
    </w:p>
    <w:p>
      <w:pPr>
        <w:spacing w:after="160"/>
      </w:pPr>
      <w:r>
        <w:t xml:space="preserve">Tests run before any other work, to establish what was actually being tested.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3400"/>
        <w:gridCol w:w="1900"/>
        <w:gridCol w:w="2200"/>
      </w:tblGrid>
      <w:tr>
        <w:tc>
          <w:tcPr>
            <w:tcW w:w="1500" w:type="dxa"/>
            <w:shd w:val="clear" w:color="auto" w:fill="1F4E78"/>
            <w:tcMar>
              <w:top w:w="80" w:type="dxa"/>
              <w:bottom w:w="80" w:type="dxa"/>
              <w:left w:w="100" w:type="dxa"/>
              <w:right w:w="100" w:type="dxa"/>
            </w:tcMar>
          </w:tcPr>
          <w:p>
            <w:pPr>
              <w:spacing w:after="0"/>
            </w:pPr>
            <w:r>
              <w:rPr>
                <w:b/>
                <w:color w:val="FFFFFF"/>
              </w:rPr>
              <w:t xml:space="preserve">Test</w:t>
            </w:r>
          </w:p>
        </w:tc>
        <w:tc>
          <w:tcPr>
            <w:tcW w:w="34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900" w:type="dxa"/>
            <w:shd w:val="clear" w:color="auto" w:fill="1F4E78"/>
            <w:tcMar>
              <w:top w:w="80" w:type="dxa"/>
              <w:bottom w:w="80" w:type="dxa"/>
              <w:left w:w="100" w:type="dxa"/>
              <w:right w:w="100" w:type="dxa"/>
            </w:tcMar>
          </w:tcPr>
          <w:p>
            <w:pPr>
              <w:spacing w:after="0"/>
            </w:pPr>
            <w:r>
              <w:rPr>
                <w:b/>
                <w:color w:val="FFFFFF"/>
              </w:rPr>
              <w:t xml:space="preserve">Result</w:t>
            </w:r>
          </w:p>
        </w:tc>
        <w:tc>
          <w:tcPr>
            <w:tcW w:w="22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500" w:type="dxa"/>
            <w:tcMar>
              <w:top w:w="80" w:type="dxa"/>
              <w:bottom w:w="80" w:type="dxa"/>
              <w:left w:w="100" w:type="dxa"/>
              <w:right w:w="100" w:type="dxa"/>
            </w:tcMar>
          </w:tcPr>
          <w:p>
            <w:pPr>
              <w:spacing w:after="0"/>
            </w:pPr>
            <w:r>
              <w:t xml:space="preserve">ENV-001</w:t>
            </w:r>
          </w:p>
        </w:tc>
        <w:tc>
          <w:tcPr>
            <w:tcW w:w="3400" w:type="dxa"/>
            <w:tcMar>
              <w:top w:w="80" w:type="dxa"/>
              <w:bottom w:w="80" w:type="dxa"/>
              <w:left w:w="100" w:type="dxa"/>
              <w:right w:w="100" w:type="dxa"/>
            </w:tcMar>
          </w:tcPr>
          <w:p>
            <w:pPr>
              <w:spacing w:after="0"/>
            </w:pPr>
            <w:r>
              <w:t xml:space="preserve">POST to /new/api/integration/... (the path used previously)</w:t>
            </w:r>
          </w:p>
        </w:tc>
        <w:tc>
          <w:tcPr>
            <w:tcW w:w="1900" w:type="dxa"/>
            <w:tcMar>
              <w:top w:w="80" w:type="dxa"/>
              <w:bottom w:w="80" w:type="dxa"/>
              <w:left w:w="100" w:type="dxa"/>
              <w:right w:w="100" w:type="dxa"/>
            </w:tcMar>
          </w:tcPr>
          <w:p>
            <w:pPr>
              <w:spacing w:after="0"/>
            </w:pPr>
            <w:r>
              <w:t xml:space="preserve">301 redirect to the host root</w:t>
            </w:r>
          </w:p>
        </w:tc>
        <w:tc>
          <w:tcPr>
            <w:tcW w:w="2200" w:type="dxa"/>
            <w:tcMar>
              <w:top w:w="80" w:type="dxa"/>
              <w:bottom w:w="80" w:type="dxa"/>
              <w:left w:w="100" w:type="dxa"/>
              <w:right w:w="100" w:type="dxa"/>
            </w:tcMar>
          </w:tcPr>
          <w:p>
            <w:pPr>
              <w:spacing w:after="0"/>
            </w:pPr>
            <w:r>
              <w:t xml:space="preserve">Informational</w:t>
            </w:r>
          </w:p>
        </w:tc>
      </w:tr>
      <w:tr>
        <w:tc>
          <w:tcPr>
            <w:tcW w:w="1500" w:type="dxa"/>
            <w:tcMar>
              <w:top w:w="80" w:type="dxa"/>
              <w:bottom w:w="80" w:type="dxa"/>
              <w:left w:w="100" w:type="dxa"/>
              <w:right w:w="100" w:type="dxa"/>
            </w:tcMar>
          </w:tcPr>
          <w:p>
            <w:pPr>
              <w:spacing w:after="0"/>
            </w:pPr>
            <w:r>
              <w:t xml:space="preserve">ENV-002</w:t>
            </w:r>
          </w:p>
        </w:tc>
        <w:tc>
          <w:tcPr>
            <w:tcW w:w="3400" w:type="dxa"/>
            <w:tcMar>
              <w:top w:w="80" w:type="dxa"/>
              <w:bottom w:w="80" w:type="dxa"/>
              <w:left w:w="100" w:type="dxa"/>
              <w:right w:w="100" w:type="dxa"/>
            </w:tcMar>
          </w:tcPr>
          <w:p>
            <w:pPr>
              <w:spacing w:after="0"/>
            </w:pPr>
            <w:r>
              <w:t xml:space="preserve">POST to /api/integration/... at the host root</w:t>
            </w:r>
          </w:p>
        </w:tc>
        <w:tc>
          <w:tcPr>
            <w:tcW w:w="1900" w:type="dxa"/>
            <w:tcMar>
              <w:top w:w="80" w:type="dxa"/>
              <w:bottom w:w="80" w:type="dxa"/>
              <w:left w:w="100" w:type="dxa"/>
              <w:right w:w="100" w:type="dxa"/>
            </w:tcMar>
          </w:tcPr>
          <w:p>
            <w:pPr>
              <w:spacing w:after="0"/>
            </w:pPr>
            <w:r>
              <w:t xml:space="preserve">Reached the API</w:t>
            </w:r>
          </w:p>
        </w:tc>
        <w:tc>
          <w:tcPr>
            <w:tcW w:w="2200" w:type="dxa"/>
            <w:tcMar>
              <w:top w:w="80" w:type="dxa"/>
              <w:bottom w:w="80" w:type="dxa"/>
              <w:left w:w="100" w:type="dxa"/>
              <w:right w:w="100" w:type="dxa"/>
            </w:tcMar>
          </w:tcPr>
          <w:p>
            <w:pPr>
              <w:spacing w:after="0"/>
            </w:pPr>
            <w:r>
              <w:t xml:space="preserve">Correct base</w:t>
            </w:r>
          </w:p>
        </w:tc>
      </w:tr>
      <w:tr>
        <w:tc>
          <w:tcPr>
            <w:tcW w:w="1500" w:type="dxa"/>
            <w:tcMar>
              <w:top w:w="80" w:type="dxa"/>
              <w:bottom w:w="80" w:type="dxa"/>
              <w:left w:w="100" w:type="dxa"/>
              <w:right w:w="100" w:type="dxa"/>
            </w:tcMar>
          </w:tcPr>
          <w:p>
            <w:pPr>
              <w:spacing w:after="0"/>
            </w:pPr>
            <w:r>
              <w:t xml:space="preserve">ENV-003</w:t>
            </w:r>
          </w:p>
        </w:tc>
        <w:tc>
          <w:tcPr>
            <w:tcW w:w="3400" w:type="dxa"/>
            <w:tcMar>
              <w:top w:w="80" w:type="dxa"/>
              <w:bottom w:w="80" w:type="dxa"/>
              <w:left w:w="100" w:type="dxa"/>
              <w:right w:w="100" w:type="dxa"/>
            </w:tcMar>
          </w:tcPr>
          <w:p>
            <w:pPr>
              <w:spacing w:after="0"/>
            </w:pPr>
            <w:r>
              <w:t xml:space="preserve">Each of the 3 supplied keys against each of the 3 routes</w:t>
            </w:r>
          </w:p>
        </w:tc>
        <w:tc>
          <w:tcPr>
            <w:tcW w:w="1900" w:type="dxa"/>
            <w:tcMar>
              <w:top w:w="80" w:type="dxa"/>
              <w:bottom w:w="80" w:type="dxa"/>
              <w:left w:w="100" w:type="dxa"/>
              <w:right w:w="100" w:type="dxa"/>
            </w:tcMar>
          </w:tcPr>
          <w:p>
            <w:pPr>
              <w:spacing w:after="0"/>
            </w:pPr>
            <w:r>
              <w:t xml:space="preserve">See section 3</w:t>
            </w:r>
          </w:p>
        </w:tc>
        <w:tc>
          <w:tcPr>
            <w:tcW w:w="2200" w:type="dxa"/>
            <w:tcMar>
              <w:top w:w="80" w:type="dxa"/>
              <w:bottom w:w="80" w:type="dxa"/>
              <w:left w:w="100" w:type="dxa"/>
              <w:right w:w="100" w:type="dxa"/>
            </w:tcMar>
          </w:tcPr>
          <w:p>
            <w:pPr>
              <w:spacing w:after="0"/>
            </w:pPr>
            <w:r>
              <w:t xml:space="preserve">Mapping corrected</w:t>
            </w:r>
          </w:p>
        </w:tc>
      </w:tr>
      <w:tr>
        <w:tc>
          <w:tcPr>
            <w:tcW w:w="1500" w:type="dxa"/>
            <w:tcMar>
              <w:top w:w="80" w:type="dxa"/>
              <w:bottom w:w="80" w:type="dxa"/>
              <w:left w:w="100" w:type="dxa"/>
              <w:right w:w="100" w:type="dxa"/>
            </w:tcMar>
          </w:tcPr>
          <w:p>
            <w:pPr>
              <w:spacing w:after="0"/>
            </w:pPr>
            <w:r>
              <w:t xml:space="preserve">ENV-004</w:t>
            </w:r>
          </w:p>
        </w:tc>
        <w:tc>
          <w:tcPr>
            <w:tcW w:w="3400" w:type="dxa"/>
            <w:tcMar>
              <w:top w:w="80" w:type="dxa"/>
              <w:bottom w:w="80" w:type="dxa"/>
              <w:left w:w="100" w:type="dxa"/>
              <w:right w:w="100" w:type="dxa"/>
            </w:tcMar>
          </w:tcPr>
          <w:p>
            <w:pPr>
              <w:spacing w:after="0"/>
            </w:pPr>
            <w:r>
              <w:t xml:space="preserve">GET /api/health</w:t>
            </w:r>
          </w:p>
        </w:tc>
        <w:tc>
          <w:tcPr>
            <w:tcW w:w="1900" w:type="dxa"/>
            <w:tcMar>
              <w:top w:w="80" w:type="dxa"/>
              <w:bottom w:w="80" w:type="dxa"/>
              <w:left w:w="100" w:type="dxa"/>
              <w:right w:w="100" w:type="dxa"/>
            </w:tcMar>
          </w:tcPr>
          <w:p>
            <w:pPr>
              <w:spacing w:after="0"/>
            </w:pPr>
            <w:r>
              <w:t xml:space="preserve">200 {"status":"ok"}</w:t>
            </w:r>
          </w:p>
        </w:tc>
        <w:tc>
          <w:tcPr>
            <w:tcW w:w="2200" w:type="dxa"/>
            <w:tcMar>
              <w:top w:w="80" w:type="dxa"/>
              <w:bottom w:w="80" w:type="dxa"/>
              <w:left w:w="100" w:type="dxa"/>
              <w:right w:w="100" w:type="dxa"/>
            </w:tcMar>
          </w:tcPr>
          <w:p>
            <w:pPr>
              <w:spacing w:after="0"/>
            </w:pPr>
            <w:r>
              <w:t xml:space="preserve">See section 12</w:t>
            </w:r>
          </w:p>
        </w:tc>
      </w:tr>
    </w:tbl>
    <w:p>
      <w:pPr>
        <w:spacing w:after="200"/>
      </w:pPr>
    </w:p>
    <w:p>
      <w:pPr>
        <w:spacing w:after="80"/>
      </w:pPr>
      <w:r>
        <w:rPr>
          <w:b/>
        </w:rPr>
        <w:t xml:space="preserve">Findings</w:t>
      </w:r>
    </w:p>
    <w:p>
      <w:pPr>
        <w:spacing w:after="160"/>
        <w:ind w:left="360"/>
      </w:pPr>
      <w:r>
        <w:t xml:space="preserve">•  </w:t>
      </w:r>
      <w:r>
        <w:t xml:space="preserve">The Partner API is served from the host root. On TrackIQ, /new issues a 301 to the root, so a client that follows redirects still works — but a POST following a 301 may be downgraded to GET by some HTTP clients, so the root should be used directly.</w:t>
      </w:r>
    </w:p>
    <w:p>
      <w:pPr>
        <w:spacing w:after="160"/>
        <w:ind w:left="360"/>
      </w:pPr>
      <w:r>
        <w:t xml:space="preserve">•  </w:t>
      </w:r>
      <w:r>
        <w:t xml:space="preserve">Keys on this environment are opaque strings of the form trk_test_… . They are not JWTs. The tnt-demo environment issues JWTs instead, and the two formats are not interchangeable.</w:t>
      </w:r>
    </w:p>
    <w:p>
      <w:pPr>
        <w:spacing w:after="160"/>
        <w:ind w:left="360"/>
      </w:pPr>
      <w:r>
        <w:t xml:space="preserve">•  </w:t>
      </w:r>
      <w:r>
        <w:t xml:space="preserve">Key permissions are set at issuance and cannot be inferred from how a key is labelled. Two keys supplied as "manufacturer" during testing in fact carried supplier permission only, and were rejected on the manufacturer route until a correctly-provisioned key was issued.</w:t>
      </w:r>
    </w:p>
    <w:p>
      <w:pPr>
        <w:spacing w:after="160"/>
        <w:ind w:left="360"/>
      </w:pPr>
      <w:r>
        <w:t xml:space="preserve">•  </w:t>
      </w:r>
      <w:r>
        <w:t xml:space="preserve">A working manufacturer key was issued mid-session and confirmed. All three roles are now covered and the authorization matrix in section 3 is complete.</w:t>
      </w:r>
    </w:p>
    <w:p>
      <w:pPr>
        <w:spacing w:after="160"/>
        <w:ind w:left="360"/>
      </w:pPr>
      <w:r>
        <w:t xml:space="preserve">•  </w:t>
      </w:r>
      <w:r>
        <w:t xml:space="preserve">Every accepted response carries "_sandbox": true and "processing_mode": "ASYNC". This environment self-identifies as a sandbox, and events are queued rather than committed synchronously.</w:t>
      </w:r>
    </w:p>
    <w:p>
      <w:pPr>
        <w:spacing w:after="80"/>
      </w:pPr>
      <w:r>
        <w:rPr>
          <w:b/>
        </w:rPr>
        <w:t xml:space="preserve">Why this matters</w:t>
      </w:r>
    </w:p>
    <w:p>
      <w:pPr>
        <w:spacing w:after="160"/>
      </w:pPr>
      <w:r>
        <w:t xml:space="preserve">Commissioning is the entry point of the entire track-and-trace chain — it is where a serial number first comes into existence. Until a manufacturer key existed, no commissioning event could be created and the checks in section 4 could not be run at all. Those are the checks that turned up the most significant findings in this report, which is worth noting as a process point: the single missing credential was hiding the highest-value results.</w:t>
      </w:r>
    </w:p>
    <w:p>
      <w:pPr>
        <w:spacing w:after="160"/>
      </w:pPr>
      <w:r>
        <w:t xml:space="preserve">The sandbox flag is a material caveat and is carried through the rest of this report. Several validations that this environment treats as warnings may well be enforced as errors in production. That distinction has not been verified and should be confirmed before any finding here is treated as a production defect.</w:t>
      </w:r>
    </w:p>
    <w:p>
      <w:pPr>
        <w:spacing w:before="320" w:after="160"/>
        <w:outlineLvl w:val="0"/>
      </w:pPr>
      <w:r>
        <w:rPr>
          <w:b/>
          <w:color w:val="1F4E78"/>
          <w:sz w:val="32"/>
        </w:rPr>
        <w:t xml:space="preserve">2. Partner API Authentication</w:t>
      </w:r>
    </w:p>
    <w:p>
      <w:pPr>
        <w:spacing w:after="160"/>
      </w:pPr>
      <w:r>
        <w:t xml:space="preserve">Whether an API key that should not work is correctly refused.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TNT-SEC-AUTH-001</w:t>
            </w:r>
          </w:p>
        </w:tc>
        <w:tc>
          <w:tcPr>
            <w:tcW w:w="3000" w:type="dxa"/>
            <w:tcMar>
              <w:top w:w="80" w:type="dxa"/>
              <w:bottom w:w="80" w:type="dxa"/>
              <w:left w:w="100" w:type="dxa"/>
              <w:right w:w="100" w:type="dxa"/>
            </w:tcMar>
          </w:tcPr>
          <w:p>
            <w:pPr>
              <w:spacing w:after="0"/>
            </w:pPr>
            <w:r>
              <w:t xml:space="preserve">No X-API-Key header</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TNT-SEC-AUTH-002</w:t>
            </w:r>
          </w:p>
        </w:tc>
        <w:tc>
          <w:tcPr>
            <w:tcW w:w="3000" w:type="dxa"/>
            <w:tcMar>
              <w:top w:w="80" w:type="dxa"/>
              <w:bottom w:w="80" w:type="dxa"/>
              <w:left w:w="100" w:type="dxa"/>
              <w:right w:w="100" w:type="dxa"/>
            </w:tcMar>
          </w:tcPr>
          <w:p>
            <w:pPr>
              <w:spacing w:after="0"/>
            </w:pPr>
            <w:r>
              <w:t xml:space="preserve">Garbage string as the key</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TNT-SEC-AUTH-011</w:t>
            </w:r>
          </w:p>
        </w:tc>
        <w:tc>
          <w:tcPr>
            <w:tcW w:w="3000" w:type="dxa"/>
            <w:tcMar>
              <w:top w:w="80" w:type="dxa"/>
              <w:bottom w:w="80" w:type="dxa"/>
              <w:left w:w="100" w:type="dxa"/>
              <w:right w:w="100" w:type="dxa"/>
            </w:tcMar>
          </w:tcPr>
          <w:p>
            <w:pPr>
              <w:spacing w:after="0"/>
            </w:pPr>
            <w:r>
              <w:t xml:space="preserve">A real key with its final character changed</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TNT-SEC-AUTH-005</w:t>
            </w:r>
          </w:p>
        </w:tc>
        <w:tc>
          <w:tcPr>
            <w:tcW w:w="3000" w:type="dxa"/>
            <w:tcMar>
              <w:top w:w="80" w:type="dxa"/>
              <w:bottom w:w="80" w:type="dxa"/>
              <w:left w:w="100" w:type="dxa"/>
              <w:right w:w="100" w:type="dxa"/>
            </w:tcMar>
          </w:tcPr>
          <w:p>
            <w:pPr>
              <w:spacing w:after="0"/>
            </w:pPr>
            <w:r>
              <w:t xml:space="preserve">A valid key issued for the tnt-demo environment</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TNT-SEC-AUTH-003/4/6</w:t>
            </w:r>
          </w:p>
        </w:tc>
        <w:tc>
          <w:tcPr>
            <w:tcW w:w="3000" w:type="dxa"/>
            <w:tcMar>
              <w:top w:w="80" w:type="dxa"/>
              <w:bottom w:w="80" w:type="dxa"/>
              <w:left w:w="100" w:type="dxa"/>
              <w:right w:w="100" w:type="dxa"/>
            </w:tcMar>
          </w:tcPr>
          <w:p>
            <w:pPr>
              <w:spacing w:after="0"/>
            </w:pPr>
            <w:r>
              <w:t xml:space="preserve">JWT forgery: alg-none, bad signature, tampered payload</w:t>
            </w:r>
          </w:p>
        </w:tc>
        <w:tc>
          <w:tcPr>
            <w:tcW w:w="1700" w:type="dxa"/>
            <w:tcMar>
              <w:top w:w="80" w:type="dxa"/>
              <w:bottom w:w="80" w:type="dxa"/>
              <w:left w:w="100" w:type="dxa"/>
              <w:right w:w="100" w:type="dxa"/>
            </w:tcMar>
          </w:tcPr>
          <w:p>
            <w:pPr>
              <w:spacing w:after="0"/>
            </w:pPr>
            <w:r>
              <w:t xml:space="preserve">n/a</w:t>
            </w:r>
          </w:p>
        </w:tc>
        <w:tc>
          <w:tcPr>
            <w:tcW w:w="1000" w:type="dxa"/>
            <w:tcMar>
              <w:top w:w="80" w:type="dxa"/>
              <w:bottom w:w="80" w:type="dxa"/>
              <w:left w:w="100" w:type="dxa"/>
              <w:right w:w="100" w:type="dxa"/>
            </w:tcMar>
          </w:tcPr>
          <w:p>
            <w:pPr>
              <w:spacing w:after="0"/>
            </w:pPr>
            <w:r>
              <w:t xml:space="preserve">Not applicable</w:t>
            </w:r>
          </w:p>
        </w:tc>
        <w:tc>
          <w:tcPr>
            <w:tcW w:w="1900" w:type="dxa"/>
            <w:tcMar>
              <w:top w:w="80" w:type="dxa"/>
              <w:bottom w:w="80" w:type="dxa"/>
              <w:left w:w="100" w:type="dxa"/>
              <w:right w:w="100" w:type="dxa"/>
            </w:tcMar>
          </w:tcPr>
          <w:p>
            <w:pPr>
              <w:spacing w:after="0"/>
            </w:pPr>
            <w:r>
              <w:t xml:space="preserve">SKIPPED</w:t>
            </w:r>
          </w:p>
        </w:tc>
      </w:tr>
    </w:tbl>
    <w:p>
      <w:pPr>
        <w:spacing w:after="200"/>
      </w:pPr>
    </w:p>
    <w:p>
      <w:pPr>
        <w:spacing w:after="80"/>
      </w:pPr>
      <w:r>
        <w:rPr>
          <w:b/>
        </w:rPr>
        <w:t xml:space="preserve">Findings</w:t>
      </w:r>
    </w:p>
    <w:p>
      <w:pPr>
        <w:spacing w:after="160"/>
        <w:ind w:left="360"/>
      </w:pPr>
      <w:r>
        <w:t xml:space="preserve">•  </w:t>
      </w:r>
      <w:r>
        <w:t xml:space="preserve">All four applicable authentication checks passed. Rejection is consistent and returns a clean 401 with no internal detail.</w:t>
      </w:r>
    </w:p>
    <w:p>
      <w:pPr>
        <w:spacing w:after="160"/>
        <w:ind w:left="360"/>
      </w:pPr>
      <w:r>
        <w:t xml:space="preserve">•  </w:t>
      </w:r>
      <w:r>
        <w:t xml:space="preserve">The three JWT forgery tests were skipped because they are meaningless here. An opaque key carries no client-readable claims and no signature to re-compute, so there is nothing to forge offline — the key either exists in the server's store or it does not.</w:t>
      </w:r>
    </w:p>
    <w:p>
      <w:pPr>
        <w:spacing w:after="160"/>
        <w:ind w:left="360"/>
      </w:pPr>
      <w:r>
        <w:t xml:space="preserve">•  </w:t>
      </w:r>
      <w:r>
        <w:t xml:space="preserve">A key differing from a real one by a single character is refused, which rules out prefix or partial matching in the key lookup.</w:t>
      </w:r>
    </w:p>
    <w:p>
      <w:pPr>
        <w:spacing w:after="80"/>
      </w:pPr>
      <w:r>
        <w:rPr>
          <w:b/>
        </w:rPr>
        <w:t xml:space="preserve">Why this matters</w:t>
      </w:r>
    </w:p>
    <w:p>
      <w:pPr>
        <w:spacing w:after="160"/>
      </w:pPr>
      <w:r>
        <w:t xml:space="preserve">Opaque random keys are, on this specific point, a stronger design than the signed JWTs used on tnt-demo: there is no algorithm-confusion or signature-stripping attack surface at all. The trade-off is that revocation and expiry now depend entirely on server-side state, so key rotation and revocation should be verified separately — neither was testable here without a second key for the same partner.</w:t>
      </w:r>
    </w:p>
    <w:p>
      <w:pPr>
        <w:spacing w:before="320" w:after="160"/>
        <w:outlineLvl w:val="0"/>
      </w:pPr>
      <w:r>
        <w:rPr>
          <w:b/>
          <w:color w:val="1F4E78"/>
          <w:sz w:val="32"/>
        </w:rPr>
        <w:t xml:space="preserve">3. Cross-Partner Authorization</w:t>
      </w:r>
    </w:p>
    <w:p>
      <w:pPr>
        <w:spacing w:after="160"/>
      </w:pPr>
      <w:r>
        <w:t xml:space="preserve">The most important control in a shared-ledger system. Every available key was posted to every partner endpoint; only a key's own route should accept it.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2266"/>
        <w:gridCol w:w="2266"/>
        <w:gridCol w:w="2266"/>
      </w:tblGrid>
      <w:tr>
        <w:tc>
          <w:tcPr>
            <w:tcW w:w="2200" w:type="dxa"/>
            <w:shd w:val="clear" w:color="auto" w:fill="1F4E78"/>
            <w:tcMar>
              <w:top w:w="80" w:type="dxa"/>
              <w:bottom w:w="80" w:type="dxa"/>
              <w:left w:w="100" w:type="dxa"/>
              <w:right w:w="100" w:type="dxa"/>
            </w:tcMar>
          </w:tcPr>
          <w:p>
            <w:pPr>
              <w:spacing w:after="0"/>
            </w:pPr>
            <w:r>
              <w:rPr>
                <w:b/>
                <w:color w:val="FFFFFF"/>
              </w:rPr>
              <w:t xml:space="preserve">Key holder</w:t>
            </w:r>
          </w:p>
        </w:tc>
        <w:tc>
          <w:tcPr>
            <w:tcW w:w="2266" w:type="dxa"/>
            <w:shd w:val="clear" w:color="auto" w:fill="1F4E78"/>
            <w:tcMar>
              <w:top w:w="80" w:type="dxa"/>
              <w:bottom w:w="80" w:type="dxa"/>
              <w:left w:w="100" w:type="dxa"/>
              <w:right w:w="100" w:type="dxa"/>
            </w:tcMar>
          </w:tcPr>
          <w:p>
            <w:pPr>
              <w:spacing w:after="0"/>
            </w:pPr>
            <w:r>
              <w:rPr>
                <w:b/>
                <w:color w:val="FFFFFF"/>
              </w:rPr>
              <w:t xml:space="preserve">/manufacturer</w:t>
            </w:r>
          </w:p>
        </w:tc>
        <w:tc>
          <w:tcPr>
            <w:tcW w:w="2266" w:type="dxa"/>
            <w:shd w:val="clear" w:color="auto" w:fill="1F4E78"/>
            <w:tcMar>
              <w:top w:w="80" w:type="dxa"/>
              <w:bottom w:w="80" w:type="dxa"/>
              <w:left w:w="100" w:type="dxa"/>
              <w:right w:w="100" w:type="dxa"/>
            </w:tcMar>
          </w:tcPr>
          <w:p>
            <w:pPr>
              <w:spacing w:after="0"/>
            </w:pPr>
            <w:r>
              <w:rPr>
                <w:b/>
                <w:color w:val="FFFFFF"/>
              </w:rPr>
              <w:t xml:space="preserve">/supplier</w:t>
            </w:r>
          </w:p>
        </w:tc>
        <w:tc>
          <w:tcPr>
            <w:tcW w:w="2266" w:type="dxa"/>
            <w:shd w:val="clear" w:color="auto" w:fill="1F4E78"/>
            <w:tcMar>
              <w:top w:w="80" w:type="dxa"/>
              <w:bottom w:w="80" w:type="dxa"/>
              <w:left w:w="100" w:type="dxa"/>
              <w:right w:w="100" w:type="dxa"/>
            </w:tcMar>
          </w:tcPr>
          <w:p>
            <w:pPr>
              <w:spacing w:after="0"/>
            </w:pPr>
            <w:r>
              <w:rPr>
                <w:b/>
                <w:color w:val="FFFFFF"/>
              </w:rPr>
              <w:t xml:space="preserve">/facility</w:t>
            </w:r>
          </w:p>
        </w:tc>
      </w:tr>
      <w:tr>
        <w:tc>
          <w:tcPr>
            <w:tcW w:w="2200" w:type="dxa"/>
            <w:tcMar>
              <w:top w:w="80" w:type="dxa"/>
              <w:bottom w:w="80" w:type="dxa"/>
              <w:left w:w="100" w:type="dxa"/>
              <w:right w:w="100" w:type="dxa"/>
            </w:tcMar>
          </w:tcPr>
          <w:p>
            <w:pPr>
              <w:spacing w:after="0"/>
            </w:pPr>
            <w:r>
              <w:t xml:space="preserve">manufacturer key</w:t>
            </w:r>
          </w:p>
        </w:tc>
        <w:tc>
          <w:tcPr>
            <w:tcW w:w="2266" w:type="dxa"/>
            <w:tcMar>
              <w:top w:w="80" w:type="dxa"/>
              <w:bottom w:w="80" w:type="dxa"/>
              <w:left w:w="100" w:type="dxa"/>
              <w:right w:w="100" w:type="dxa"/>
            </w:tcMar>
          </w:tcPr>
          <w:p>
            <w:pPr>
              <w:spacing w:after="0"/>
            </w:pPr>
            <w:r>
              <w:t xml:space="preserve">202 accepted</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403 refused</w:t>
            </w:r>
          </w:p>
        </w:tc>
      </w:tr>
      <w:tr>
        <w:tc>
          <w:tcPr>
            <w:tcW w:w="2200" w:type="dxa"/>
            <w:tcMar>
              <w:top w:w="80" w:type="dxa"/>
              <w:bottom w:w="80" w:type="dxa"/>
              <w:left w:w="100" w:type="dxa"/>
              <w:right w:w="100" w:type="dxa"/>
            </w:tcMar>
          </w:tcPr>
          <w:p>
            <w:pPr>
              <w:spacing w:after="0"/>
            </w:pPr>
            <w:r>
              <w:t xml:space="preserve">distributor key</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202 accepted</w:t>
            </w:r>
          </w:p>
        </w:tc>
        <w:tc>
          <w:tcPr>
            <w:tcW w:w="2266" w:type="dxa"/>
            <w:tcMar>
              <w:top w:w="80" w:type="dxa"/>
              <w:bottom w:w="80" w:type="dxa"/>
              <w:left w:w="100" w:type="dxa"/>
              <w:right w:w="100" w:type="dxa"/>
            </w:tcMar>
          </w:tcPr>
          <w:p>
            <w:pPr>
              <w:spacing w:after="0"/>
            </w:pPr>
            <w:r>
              <w:t xml:space="preserve">403 refused</w:t>
            </w:r>
          </w:p>
        </w:tc>
      </w:tr>
      <w:tr>
        <w:tc>
          <w:tcPr>
            <w:tcW w:w="2200" w:type="dxa"/>
            <w:tcMar>
              <w:top w:w="80" w:type="dxa"/>
              <w:bottom w:w="80" w:type="dxa"/>
              <w:left w:w="100" w:type="dxa"/>
              <w:right w:w="100" w:type="dxa"/>
            </w:tcMar>
          </w:tcPr>
          <w:p>
            <w:pPr>
              <w:spacing w:after="0"/>
            </w:pPr>
            <w:r>
              <w:t xml:space="preserve">facility key</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202 accepted</w:t>
            </w:r>
          </w:p>
        </w:tc>
      </w:tr>
    </w:tbl>
    <w:p>
      <w:pPr>
        <w:spacing w:after="20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TNT-SEC-AUTHZ-001</w:t>
            </w:r>
          </w:p>
        </w:tc>
        <w:tc>
          <w:tcPr>
            <w:tcW w:w="3000" w:type="dxa"/>
            <w:tcMar>
              <w:top w:w="80" w:type="dxa"/>
              <w:bottom w:w="80" w:type="dxa"/>
              <w:left w:w="100" w:type="dxa"/>
              <w:right w:w="100" w:type="dxa"/>
            </w:tcMar>
          </w:tcPr>
          <w:p>
            <w:pPr>
              <w:spacing w:after="0"/>
            </w:pPr>
            <w:r>
              <w:t xml:space="preserve">manufacturer key to /manufacturer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TNT-SEC-AUTHZ-002</w:t>
            </w:r>
          </w:p>
        </w:tc>
        <w:tc>
          <w:tcPr>
            <w:tcW w:w="3000" w:type="dxa"/>
            <w:tcMar>
              <w:top w:w="80" w:type="dxa"/>
              <w:bottom w:w="80" w:type="dxa"/>
              <w:left w:w="100" w:type="dxa"/>
              <w:right w:w="100" w:type="dxa"/>
            </w:tcMar>
          </w:tcPr>
          <w:p>
            <w:pPr>
              <w:spacing w:after="0"/>
            </w:pPr>
            <w:r>
              <w:t xml:space="preserve">manufacturer key to /supplier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TNT-SEC-AUTHZ-003</w:t>
            </w:r>
          </w:p>
        </w:tc>
        <w:tc>
          <w:tcPr>
            <w:tcW w:w="3000" w:type="dxa"/>
            <w:tcMar>
              <w:top w:w="80" w:type="dxa"/>
              <w:bottom w:w="80" w:type="dxa"/>
              <w:left w:w="100" w:type="dxa"/>
              <w:right w:w="100" w:type="dxa"/>
            </w:tcMar>
          </w:tcPr>
          <w:p>
            <w:pPr>
              <w:spacing w:after="0"/>
            </w:pPr>
            <w:r>
              <w:t xml:space="preserve">manufacturer key to /facility</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TNT-SEC-AUTHZ-004</w:t>
            </w:r>
          </w:p>
        </w:tc>
        <w:tc>
          <w:tcPr>
            <w:tcW w:w="3000" w:type="dxa"/>
            <w:tcMar>
              <w:top w:w="80" w:type="dxa"/>
              <w:bottom w:w="80" w:type="dxa"/>
              <w:left w:w="100" w:type="dxa"/>
              <w:right w:w="100" w:type="dxa"/>
            </w:tcMar>
          </w:tcPr>
          <w:p>
            <w:pPr>
              <w:spacing w:after="0"/>
            </w:pPr>
            <w:r>
              <w:t xml:space="preserve">distributor key to /manufacturer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TNT-SEC-AUTHZ-005</w:t>
            </w:r>
          </w:p>
        </w:tc>
        <w:tc>
          <w:tcPr>
            <w:tcW w:w="3000" w:type="dxa"/>
            <w:tcMar>
              <w:top w:w="80" w:type="dxa"/>
              <w:bottom w:w="80" w:type="dxa"/>
              <w:left w:w="100" w:type="dxa"/>
              <w:right w:w="100" w:type="dxa"/>
            </w:tcMar>
          </w:tcPr>
          <w:p>
            <w:pPr>
              <w:spacing w:after="0"/>
            </w:pPr>
            <w:r>
              <w:t xml:space="preserve">distributor key to /supplier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TNT-SEC-AUTHZ-006</w:t>
            </w:r>
          </w:p>
        </w:tc>
        <w:tc>
          <w:tcPr>
            <w:tcW w:w="3000" w:type="dxa"/>
            <w:tcMar>
              <w:top w:w="80" w:type="dxa"/>
              <w:bottom w:w="80" w:type="dxa"/>
              <w:left w:w="100" w:type="dxa"/>
              <w:right w:w="100" w:type="dxa"/>
            </w:tcMar>
          </w:tcPr>
          <w:p>
            <w:pPr>
              <w:spacing w:after="0"/>
            </w:pPr>
            <w:r>
              <w:t xml:space="preserve">distributor key to /facility</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TNT-SEC-AUTHZ-007</w:t>
            </w:r>
          </w:p>
        </w:tc>
        <w:tc>
          <w:tcPr>
            <w:tcW w:w="3000" w:type="dxa"/>
            <w:tcMar>
              <w:top w:w="80" w:type="dxa"/>
              <w:bottom w:w="80" w:type="dxa"/>
              <w:left w:w="100" w:type="dxa"/>
              <w:right w:w="100" w:type="dxa"/>
            </w:tcMar>
          </w:tcPr>
          <w:p>
            <w:pPr>
              <w:spacing w:after="0"/>
            </w:pPr>
            <w:r>
              <w:t xml:space="preserve">facility key to /manufacturer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TNT-SEC-AUTHZ-008</w:t>
            </w:r>
          </w:p>
        </w:tc>
        <w:tc>
          <w:tcPr>
            <w:tcW w:w="3000" w:type="dxa"/>
            <w:tcMar>
              <w:top w:w="80" w:type="dxa"/>
              <w:bottom w:w="80" w:type="dxa"/>
              <w:left w:w="100" w:type="dxa"/>
              <w:right w:w="100" w:type="dxa"/>
            </w:tcMar>
          </w:tcPr>
          <w:p>
            <w:pPr>
              <w:spacing w:after="0"/>
            </w:pPr>
            <w:r>
              <w:t xml:space="preserve">facility key to /supplier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TNT-SEC-AUTHZ-009</w:t>
            </w:r>
          </w:p>
        </w:tc>
        <w:tc>
          <w:tcPr>
            <w:tcW w:w="3000" w:type="dxa"/>
            <w:tcMar>
              <w:top w:w="80" w:type="dxa"/>
              <w:bottom w:w="80" w:type="dxa"/>
              <w:left w:w="100" w:type="dxa"/>
              <w:right w:w="100" w:type="dxa"/>
            </w:tcMar>
          </w:tcPr>
          <w:p>
            <w:pPr>
              <w:spacing w:after="0"/>
            </w:pPr>
            <w:r>
              <w:t xml:space="preserve">facility key to /facility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All nine cells of the matrix behave correctly — a clean diagonal. Each key is accepted on its own route and refused with 403 on both others. Refusals are correctly typed as Forbidden rather than conflated with authentication failures.</w:t>
      </w:r>
    </w:p>
    <w:p>
      <w:pPr>
        <w:spacing w:after="160"/>
        <w:ind w:left="360"/>
      </w:pPr>
      <w:r>
        <w:t xml:space="preserve">•  </w:t>
      </w:r>
      <w:r>
        <w:t xml:space="preserve">The refusal message names the exact missing permission, for example: "This API key is not authorized for the facility integration route. Request a token with the facility permission from the Partner Portal."</w:t>
      </w:r>
    </w:p>
    <w:p>
      <w:pPr>
        <w:spacing w:after="160"/>
        <w:ind w:left="360"/>
      </w:pPr>
      <w:r>
        <w:t xml:space="preserve">•  </w:t>
      </w:r>
      <w:r>
        <w:t xml:space="preserve">Permission is resolved server-side from the key. Because the keys are opaque, a partner cannot inspect or alter its own role claim.</w:t>
      </w:r>
    </w:p>
    <w:p>
      <w:pPr>
        <w:spacing w:after="80"/>
      </w:pPr>
      <w:r>
        <w:rPr>
          <w:b/>
        </w:rPr>
        <w:t xml:space="preserve">Why this matters</w:t>
      </w:r>
    </w:p>
    <w:p>
      <w:pPr>
        <w:spacing w:after="160"/>
      </w:pPr>
      <w:r>
        <w:t xml:space="preserve">In a pharmaceutical track-and-trace network the participants are commercial competitors sharing one ledger, and that ledger is the legal record of custody. If any partner could post to another tier's endpoint, it could forge another company's custody events — recording a shipment that never happened, or a receipt of stock it never held. This control holding is the single most significant positive result in this report.</w:t>
      </w:r>
    </w:p>
    <w:p>
      <w:pPr>
        <w:spacing w:after="160"/>
      </w:pPr>
      <w:r>
        <w:t xml:space="preserve">This control is doing its job. Note carefully what it does and does not cover: it establishes which endpoint a key may post to. It does not constrain what that key may assert once inside the endpoint — which is the subject of section 4, and where the picture is very different.</w:t>
      </w:r>
    </w:p>
    <w:p>
      <w:pPr>
        <w:spacing w:before="320" w:after="160"/>
        <w:outlineLvl w:val="0"/>
      </w:pPr>
      <w:r>
        <w:rPr>
          <w:b/>
          <w:color w:val="1F4E78"/>
          <w:sz w:val="32"/>
        </w:rPr>
        <w:t xml:space="preserve">4. Business-Rule Validation and Counterfeit Injection</w:t>
      </w:r>
    </w:p>
    <w:p>
      <w:pPr>
        <w:spacing w:after="160"/>
      </w:pPr>
      <w:r>
        <w:t xml:space="preserve">These checks require a manufacturer identity and could only be run once a correctly provisioned manufacturer key was issued. They ask a different question from section 3. Section 3 established which endpoint a key may reach; this section asks what a key may assert once it is inside that endpoint.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submitted</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TNT-SEC-AUTHZ-002</w:t>
            </w:r>
          </w:p>
        </w:tc>
        <w:tc>
          <w:tcPr>
            <w:tcW w:w="3000" w:type="dxa"/>
            <w:tcMar>
              <w:top w:w="80" w:type="dxa"/>
              <w:bottom w:w="80" w:type="dxa"/>
              <w:left w:w="100" w:type="dxa"/>
              <w:right w:w="100" w:type="dxa"/>
            </w:tcMar>
          </w:tcPr>
          <w:p>
            <w:pPr>
              <w:spacing w:after="0"/>
            </w:pPr>
            <w:r>
              <w:t xml:space="preserve">Commission serials under GS1 prefix 9999999</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TNT-SEC-AUTHZ-002b</w:t>
            </w:r>
          </w:p>
        </w:tc>
        <w:tc>
          <w:tcPr>
            <w:tcW w:w="3000" w:type="dxa"/>
            <w:tcMar>
              <w:top w:w="80" w:type="dxa"/>
              <w:bottom w:w="80" w:type="dxa"/>
              <w:left w:w="100" w:type="dxa"/>
              <w:right w:w="100" w:type="dxa"/>
            </w:tcMar>
          </w:tcPr>
          <w:p>
            <w:pPr>
              <w:spacing w:after="0"/>
            </w:pPr>
            <w:r>
              <w:t xml:space="preserve">Commission under Kenya prefix 6161102974997</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TNT-SEC-AUTHZ-003</w:t>
            </w:r>
          </w:p>
        </w:tc>
        <w:tc>
          <w:tcPr>
            <w:tcW w:w="3000" w:type="dxa"/>
            <w:tcMar>
              <w:top w:w="80" w:type="dxa"/>
              <w:bottom w:w="80" w:type="dxa"/>
              <w:left w:w="100" w:type="dxa"/>
              <w:right w:w="100" w:type="dxa"/>
            </w:tcMar>
          </w:tcPr>
          <w:p>
            <w:pPr>
              <w:spacing w:after="0"/>
            </w:pPr>
            <w:r>
              <w:t xml:space="preserve">Commission at a GLN the partner does not own</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TNT-SEC-INTEG-006</w:t>
            </w:r>
          </w:p>
        </w:tc>
        <w:tc>
          <w:tcPr>
            <w:tcW w:w="3000" w:type="dxa"/>
            <w:tcMar>
              <w:top w:w="80" w:type="dxa"/>
              <w:bottom w:w="80" w:type="dxa"/>
              <w:left w:w="100" w:type="dxa"/>
              <w:right w:w="100" w:type="dxa"/>
            </w:tcMar>
          </w:tcPr>
          <w:p>
            <w:pPr>
              <w:spacing w:after="0"/>
            </w:pPr>
            <w:r>
              <w:t xml:space="preserve">Ship an EPC that was never commissioned</w:t>
            </w:r>
          </w:p>
        </w:tc>
        <w:tc>
          <w:tcPr>
            <w:tcW w:w="1700" w:type="dxa"/>
            <w:tcMar>
              <w:top w:w="80" w:type="dxa"/>
              <w:bottom w:w="80" w:type="dxa"/>
              <w:left w:w="100" w:type="dxa"/>
              <w:right w:w="100" w:type="dxa"/>
            </w:tcMar>
          </w:tcPr>
          <w:p>
            <w:pPr>
              <w:spacing w:after="0"/>
            </w:pPr>
            <w:r>
              <w:t xml:space="preserve">400/409</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TNT-SEC-INTEG-007</w:t>
            </w:r>
          </w:p>
        </w:tc>
        <w:tc>
          <w:tcPr>
            <w:tcW w:w="3000" w:type="dxa"/>
            <w:tcMar>
              <w:top w:w="80" w:type="dxa"/>
              <w:bottom w:w="80" w:type="dxa"/>
              <w:left w:w="100" w:type="dxa"/>
              <w:right w:w="100" w:type="dxa"/>
            </w:tcMar>
          </w:tcPr>
          <w:p>
            <w:pPr>
              <w:spacing w:after="0"/>
            </w:pPr>
            <w:r>
              <w:t xml:space="preserve">Decommission an EPC that never existed</w:t>
            </w:r>
          </w:p>
        </w:tc>
        <w:tc>
          <w:tcPr>
            <w:tcW w:w="1700" w:type="dxa"/>
            <w:tcMar>
              <w:top w:w="80" w:type="dxa"/>
              <w:bottom w:w="80" w:type="dxa"/>
              <w:left w:w="100" w:type="dxa"/>
              <w:right w:w="100" w:type="dxa"/>
            </w:tcMar>
          </w:tcPr>
          <w:p>
            <w:pPr>
              <w:spacing w:after="0"/>
            </w:pPr>
            <w:r>
              <w:t xml:space="preserve">400/409</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bl>
    <w:p>
      <w:pPr>
        <w:spacing w:after="200"/>
      </w:pPr>
    </w:p>
    <w:p>
      <w:pPr>
        <w:spacing w:after="80"/>
      </w:pPr>
      <w:r>
        <w:rPr>
          <w:b/>
        </w:rPr>
        <w:t xml:space="preserve">Findings</w:t>
      </w:r>
    </w:p>
    <w:p>
      <w:pPr>
        <w:spacing w:after="160"/>
        <w:ind w:left="360"/>
      </w:pPr>
      <w:r>
        <w:t xml:space="preserve">•  </w:t>
      </w:r>
      <w:r>
        <w:t xml:space="preserve">A manufacturer key can commission serial numbers under any GS1 company prefix, including prefixes belonging to other companies. The response is 202 Accepted with only a soft UNKNOWN_SGTIN warning.</w:t>
      </w:r>
    </w:p>
    <w:p>
      <w:pPr>
        <w:spacing w:after="160"/>
        <w:ind w:left="360"/>
      </w:pPr>
      <w:r>
        <w:t xml:space="preserve">•  </w:t>
      </w:r>
      <w:r>
        <w:t xml:space="preserve">A partner can post events at any GLN, including locations it does not own and locations that do not exist. This yields a soft UNKNOWN_SGLN warning, not a rejection.</w:t>
      </w:r>
    </w:p>
    <w:p>
      <w:pPr>
        <w:spacing w:after="160"/>
        <w:ind w:left="360"/>
      </w:pPr>
      <w:r>
        <w:t xml:space="preserve">•  </w:t>
      </w:r>
      <w:r>
        <w:t xml:space="preserve">Custody sequencing is not enforced. An EPC can be shipped, or decommissioned, without ever having been commissioned. No prior-state check is applied.</w:t>
      </w:r>
    </w:p>
    <w:p>
      <w:pPr>
        <w:spacing w:after="160"/>
        <w:ind w:left="360"/>
      </w:pPr>
      <w:r>
        <w:t xml:space="preserve">•  </w:t>
      </w:r>
      <w:r>
        <w:t xml:space="preserve">An unregistered lot number produces a soft INVALID_LOT warning rather than a rejection.</w:t>
      </w:r>
    </w:p>
    <w:p>
      <w:pPr>
        <w:spacing w:after="160"/>
        <w:ind w:left="360"/>
      </w:pPr>
      <w:r>
        <w:t xml:space="preserve">•  </w:t>
      </w:r>
      <w:r>
        <w:t xml:space="preserve">Every one of these was accepted with HTTP 202 and "success": true. The warnings array is populated, but nothing in the response signals that the event was anything other than successfully ingested.</w:t>
      </w:r>
    </w:p>
    <w:p>
      <w:pPr>
        <w:spacing w:after="80"/>
      </w:pPr>
      <w:r>
        <w:rPr>
          <w:b/>
        </w:rPr>
        <w:t xml:space="preserve">Why this matters</w:t>
      </w:r>
    </w:p>
    <w:p>
      <w:pPr>
        <w:spacing w:after="160"/>
      </w:pPr>
      <w:r>
        <w:t xml:space="preserve">The ability to commission under another company's GS1 prefix is the most serious finding in this report. A track-and-trace system exists so that a scanned pack can be proved genuine. If any authenticated partner can mint serial numbers under a major manufacturer's prefix, those serials are issued by the system itself — so they will scan as authentic, because from the ledger's point of view they are. A compromised or dishonest minor participant would not need to defeat any cryptography or forge any document; it would simply ask the platform for legitimacy and be granted it.</w:t>
      </w:r>
    </w:p>
    <w:p>
      <w:pPr>
        <w:spacing w:after="160"/>
      </w:pPr>
      <w:r>
        <w:t xml:space="preserve">The absence of custody sequencing compounds this. Because an EPC can be shipped without having been commissioned, and received without having been shipped, the chain of custody is not actually a chain — it is an unordered set of assertions, each individually valid. The ledger records what partners claimed, not what can be shown to have happened, and the two are only the same thing if the ordering is enforced.</w:t>
      </w:r>
    </w:p>
    <w:p>
      <w:pPr>
        <w:spacing w:after="80"/>
      </w:pPr>
      <w:r>
        <w:rPr>
          <w:b/>
        </w:rPr>
        <w:t xml:space="preserve">The sandbox caveat, stated plainly</w:t>
      </w:r>
    </w:p>
    <w:p>
      <w:pPr>
        <w:spacing w:after="160"/>
      </w:pPr>
      <w:r>
        <w:t xml:space="preserve">Every response from this environment carries "_sandbox": true. It is entirely plausible that these validations are deliberately relaxed here so that partners can integrate against arbitrary test identifiers without first registering master data, and that production enforces them strictly. That would be a reasonable design.</w:t>
      </w:r>
    </w:p>
    <w:p>
      <w:pPr>
        <w:spacing w:after="160"/>
      </w:pPr>
      <w:r>
        <w:t xml:space="preserve">This has not been verified and cannot be verified from the client side, so the findings above are reported as observations of this environment rather than as confirmed production defects. Two things are worth doing regardless of the answer. First, confirm explicitly which of these five checks are enforced in production — if any are not, they are live counterfeit-injection routes. Second, note that partners certify their integrations against this sandbox: if it accepts events that production will reject, every partner will pass testing and then fail at go-live, and the sandbox will have given them false confidence about exactly the rules that matter most.</w:t>
      </w:r>
    </w:p>
    <w:p>
      <w:pPr>
        <w:spacing w:before="320" w:after="160"/>
        <w:outlineLvl w:val="0"/>
      </w:pPr>
      <w:r>
        <w:rPr>
          <w:b/>
          <w:color w:val="1F4E78"/>
          <w:sz w:val="32"/>
        </w:rPr>
        <w:t xml:space="preserve">5. Event Replay, Duplication and Dating</w:t>
      </w:r>
    </w:p>
    <w:p>
      <w:pPr>
        <w:spacing w:after="160"/>
      </w:pPr>
      <w:r>
        <w:t xml:space="preserve">Whether the ledger can be trusted as a record — replay, duplication and event dating.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TNT-SEC-INP-010</w:t>
            </w:r>
          </w:p>
        </w:tc>
        <w:tc>
          <w:tcPr>
            <w:tcW w:w="3000" w:type="dxa"/>
            <w:tcMar>
              <w:top w:w="80" w:type="dxa"/>
              <w:bottom w:w="80" w:type="dxa"/>
              <w:left w:w="100" w:type="dxa"/>
              <w:right w:w="100" w:type="dxa"/>
            </w:tcMar>
          </w:tcPr>
          <w:p>
            <w:pPr>
              <w:spacing w:after="0"/>
            </w:pPr>
            <w:r>
              <w:t xml:space="preserve">The same event document submitted twice</w:t>
            </w:r>
          </w:p>
        </w:tc>
        <w:tc>
          <w:tcPr>
            <w:tcW w:w="1700" w:type="dxa"/>
            <w:tcMar>
              <w:top w:w="80" w:type="dxa"/>
              <w:bottom w:w="80" w:type="dxa"/>
              <w:left w:w="100" w:type="dxa"/>
              <w:right w:w="100" w:type="dxa"/>
            </w:tcMar>
          </w:tcPr>
          <w:p>
            <w:pPr>
              <w:spacing w:after="0"/>
            </w:pPr>
            <w:r>
              <w:t xml:space="preserve">reject 2nd</w:t>
            </w:r>
          </w:p>
        </w:tc>
        <w:tc>
          <w:tcPr>
            <w:tcW w:w="1000" w:type="dxa"/>
            <w:tcMar>
              <w:top w:w="80" w:type="dxa"/>
              <w:bottom w:w="80" w:type="dxa"/>
              <w:left w:w="100" w:type="dxa"/>
              <w:right w:w="100" w:type="dxa"/>
            </w:tcMar>
          </w:tcPr>
          <w:p>
            <w:pPr>
              <w:spacing w:after="0"/>
            </w:pPr>
            <w:r>
              <w:t xml:space="preserve">409 duplicate</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TNT-SEC-INTEG-005</w:t>
            </w:r>
          </w:p>
        </w:tc>
        <w:tc>
          <w:tcPr>
            <w:tcW w:w="3000" w:type="dxa"/>
            <w:tcMar>
              <w:top w:w="80" w:type="dxa"/>
              <w:bottom w:w="80" w:type="dxa"/>
              <w:left w:w="100" w:type="dxa"/>
              <w:right w:w="100" w:type="dxa"/>
            </w:tcMar>
          </w:tcPr>
          <w:p>
            <w:pPr>
              <w:spacing w:after="0"/>
            </w:pPr>
            <w:r>
              <w:t xml:space="preserve">eventTime dated 2031 (5 years ahead)</w:t>
            </w:r>
          </w:p>
        </w:tc>
        <w:tc>
          <w:tcPr>
            <w:tcW w:w="1700" w:type="dxa"/>
            <w:tcMar>
              <w:top w:w="80" w:type="dxa"/>
              <w:bottom w:w="80" w:type="dxa"/>
              <w:left w:w="100" w:type="dxa"/>
              <w:right w:w="100" w:type="dxa"/>
            </w:tcMar>
          </w:tcPr>
          <w:p>
            <w:pPr>
              <w:spacing w:after="0"/>
            </w:pPr>
            <w:r>
              <w:t xml:space="preserve">400/422</w:t>
            </w:r>
          </w:p>
        </w:tc>
        <w:tc>
          <w:tcPr>
            <w:tcW w:w="1000" w:type="dxa"/>
            <w:tcMar>
              <w:top w:w="80" w:type="dxa"/>
              <w:bottom w:w="80" w:type="dxa"/>
              <w:left w:w="100" w:type="dxa"/>
              <w:right w:w="100" w:type="dxa"/>
            </w:tcMar>
          </w:tcPr>
          <w:p>
            <w:pPr>
              <w:spacing w:after="0"/>
            </w:pPr>
            <w:r>
              <w:t xml:space="preserve">400 rejected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TNT-SEC-INTEG-014</w:t>
            </w:r>
          </w:p>
        </w:tc>
        <w:tc>
          <w:tcPr>
            <w:tcW w:w="3000" w:type="dxa"/>
            <w:tcMar>
              <w:top w:w="80" w:type="dxa"/>
              <w:bottom w:w="80" w:type="dxa"/>
              <w:left w:w="100" w:type="dxa"/>
              <w:right w:w="100" w:type="dxa"/>
            </w:tcMar>
          </w:tcPr>
          <w:p>
            <w:pPr>
              <w:spacing w:after="0"/>
            </w:pPr>
            <w:r>
              <w:t xml:space="preserve">eventTime dated 1990 (36 years ago)</w:t>
            </w:r>
          </w:p>
        </w:tc>
        <w:tc>
          <w:tcPr>
            <w:tcW w:w="1700" w:type="dxa"/>
            <w:tcMar>
              <w:top w:w="80" w:type="dxa"/>
              <w:bottom w:w="80" w:type="dxa"/>
              <w:left w:w="100" w:type="dxa"/>
              <w:right w:w="100" w:type="dxa"/>
            </w:tcMar>
          </w:tcPr>
          <w:p>
            <w:pPr>
              <w:spacing w:after="0"/>
            </w:pPr>
            <w:r>
              <w:t xml:space="preserve">400/422</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bl>
    <w:p>
      <w:pPr>
        <w:spacing w:after="200"/>
      </w:pPr>
    </w:p>
    <w:p>
      <w:pPr>
        <w:spacing w:after="80"/>
      </w:pPr>
      <w:r>
        <w:rPr>
          <w:b/>
        </w:rPr>
        <w:t xml:space="preserve">Findings</w:t>
      </w:r>
    </w:p>
    <w:p>
      <w:pPr>
        <w:spacing w:after="160"/>
        <w:ind w:left="360"/>
      </w:pPr>
      <w:r>
        <w:t xml:space="preserve">•  </w:t>
      </w:r>
      <w:r>
        <w:t xml:space="preserve">Replay protection works. A resubmitted event is rejected with 409 DUPLICATE_EVENT_ID and the guidance "This event_id has already been ingested. This is idempotent — no action needed."</w:t>
      </w:r>
    </w:p>
    <w:p>
      <w:pPr>
        <w:spacing w:after="160"/>
        <w:ind w:left="360"/>
      </w:pPr>
      <w:r>
        <w:t xml:space="preserve">•  </w:t>
      </w:r>
      <w:r>
        <w:t xml:space="preserve">A second, content-based mechanism also exists: the same event content submitted under a different event ID is rejected as DUPLICATE_EVENT_PAYLOAD, keyed on EPC + bizStep + disposition + readPoint.</w:t>
      </w:r>
    </w:p>
    <w:p>
      <w:pPr>
        <w:spacing w:after="160"/>
        <w:ind w:left="360"/>
      </w:pPr>
      <w:r>
        <w:t xml:space="preserve">•  </w:t>
      </w:r>
      <w:r>
        <w:t xml:space="preserve">Clock validation is applied in one direction only. A future-dated event is rejected with a clear FUTURE_EVENT_TIME error and a stated 5-minute tolerance. An event backdated to 1990 is accepted without comment.</w:t>
      </w:r>
    </w:p>
    <w:p>
      <w:pPr>
        <w:spacing w:after="80"/>
      </w:pPr>
      <w:r>
        <w:rPr>
          <w:b/>
        </w:rPr>
        <w:t xml:space="preserve">Why this matters</w:t>
      </w:r>
    </w:p>
    <w:p>
      <w:pPr>
        <w:spacing w:after="160"/>
      </w:pPr>
      <w:r>
        <w:t xml:space="preserve">Content-based deduplication is a genuinely good design decision and deserves credit: it stops a partner from re-recording the same custody event simply by generating a fresh UUID, which naive eventID-only deduplication would allow.</w:t>
      </w:r>
    </w:p>
    <w:p>
      <w:pPr>
        <w:spacing w:after="160"/>
      </w:pPr>
      <w:r>
        <w:t xml:space="preserve">The one-directional clock check is the gap. Backdating is the direction that matters for a custody ledger. Future-dating an event achieves nothing useful for an attacker, whereas inserting a predated event is precisely how stock of unknown provenance is made to look as though it had been in legitimate custody all along. Two cheap server-side bounds would close this: no event may predate the partner's own onboarding date, and no event may predate the product's registration date.</w:t>
      </w:r>
    </w:p>
    <w:p>
      <w:pPr>
        <w:spacing w:before="320" w:after="160"/>
        <w:outlineLvl w:val="0"/>
      </w:pPr>
      <w:r>
        <w:rPr>
          <w:b/>
          <w:color w:val="1F4E78"/>
          <w:sz w:val="32"/>
        </w:rPr>
        <w:t xml:space="preserve">6. Input Validation and Injection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TNT-SEC-INP-001</w:t>
            </w:r>
          </w:p>
        </w:tc>
        <w:tc>
          <w:tcPr>
            <w:tcW w:w="3000" w:type="dxa"/>
            <w:tcMar>
              <w:top w:w="80" w:type="dxa"/>
              <w:bottom w:w="80" w:type="dxa"/>
              <w:left w:w="100" w:type="dxa"/>
              <w:right w:w="100" w:type="dxa"/>
            </w:tcMar>
          </w:tcPr>
          <w:p>
            <w:pPr>
              <w:spacing w:after="0"/>
            </w:pPr>
            <w:r>
              <w:t xml:space="preserve">Malformed JSON</w:t>
            </w:r>
          </w:p>
        </w:tc>
        <w:tc>
          <w:tcPr>
            <w:tcW w:w="1700" w:type="dxa"/>
            <w:tcMar>
              <w:top w:w="80" w:type="dxa"/>
              <w:bottom w:w="80" w:type="dxa"/>
              <w:left w:w="100" w:type="dxa"/>
              <w:right w:w="100" w:type="dxa"/>
            </w:tcMar>
          </w:tcPr>
          <w:p>
            <w:pPr>
              <w:spacing w:after="0"/>
            </w:pPr>
            <w:r>
              <w:t xml:space="preserve">4xx, no stack trace</w:t>
            </w:r>
          </w:p>
        </w:tc>
        <w:tc>
          <w:tcPr>
            <w:tcW w:w="1000" w:type="dxa"/>
            <w:tcMar>
              <w:top w:w="80" w:type="dxa"/>
              <w:bottom w:w="80" w:type="dxa"/>
              <w:left w:w="100" w:type="dxa"/>
              <w:right w:w="100" w:type="dxa"/>
            </w:tcMar>
          </w:tcPr>
          <w:p>
            <w:pPr>
              <w:spacing w:after="0"/>
            </w:pPr>
            <w:r>
              <w:t xml:space="preserve">400, clean</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TNT-SEC-INP-002</w:t>
            </w:r>
          </w:p>
        </w:tc>
        <w:tc>
          <w:tcPr>
            <w:tcW w:w="3000" w:type="dxa"/>
            <w:tcMar>
              <w:top w:w="80" w:type="dxa"/>
              <w:bottom w:w="80" w:type="dxa"/>
              <w:left w:w="100" w:type="dxa"/>
              <w:right w:w="100" w:type="dxa"/>
            </w:tcMar>
          </w:tcPr>
          <w:p>
            <w:pPr>
              <w:spacing w:after="0"/>
            </w:pPr>
            <w:r>
              <w:t xml:space="preserve">Document with no epcisBody</w:t>
            </w:r>
          </w:p>
        </w:tc>
        <w:tc>
          <w:tcPr>
            <w:tcW w:w="1700" w:type="dxa"/>
            <w:tcMar>
              <w:top w:w="80" w:type="dxa"/>
              <w:bottom w:w="80" w:type="dxa"/>
              <w:left w:w="100" w:type="dxa"/>
              <w:right w:w="100" w:type="dxa"/>
            </w:tcMar>
          </w:tcPr>
          <w:p>
            <w:pPr>
              <w:spacing w:after="0"/>
            </w:pPr>
            <w:r>
              <w:t xml:space="preserve">400</w:t>
            </w:r>
          </w:p>
        </w:tc>
        <w:tc>
          <w:tcPr>
            <w:tcW w:w="1000" w:type="dxa"/>
            <w:tcMar>
              <w:top w:w="80" w:type="dxa"/>
              <w:bottom w:w="80" w:type="dxa"/>
              <w:left w:w="100" w:type="dxa"/>
              <w:right w:w="100" w:type="dxa"/>
            </w:tcMar>
          </w:tcPr>
          <w:p>
            <w:pPr>
              <w:spacing w:after="0"/>
            </w:pPr>
            <w:r>
              <w:t xml:space="preserve">400</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TNT-SEC-INP-003</w:t>
            </w:r>
          </w:p>
        </w:tc>
        <w:tc>
          <w:tcPr>
            <w:tcW w:w="3000" w:type="dxa"/>
            <w:tcMar>
              <w:top w:w="80" w:type="dxa"/>
              <w:bottom w:w="80" w:type="dxa"/>
              <w:left w:w="100" w:type="dxa"/>
              <w:right w:w="100" w:type="dxa"/>
            </w:tcMar>
          </w:tcPr>
          <w:p>
            <w:pPr>
              <w:spacing w:after="0"/>
            </w:pPr>
            <w:r>
              <w:t xml:space="preserve">epcList entry "not-an-epc-at-all"</w:t>
            </w:r>
          </w:p>
        </w:tc>
        <w:tc>
          <w:tcPr>
            <w:tcW w:w="1700" w:type="dxa"/>
            <w:tcMar>
              <w:top w:w="80" w:type="dxa"/>
              <w:bottom w:w="80" w:type="dxa"/>
              <w:left w:w="100" w:type="dxa"/>
              <w:right w:w="100" w:type="dxa"/>
            </w:tcMar>
          </w:tcPr>
          <w:p>
            <w:pPr>
              <w:spacing w:after="0"/>
            </w:pPr>
            <w:r>
              <w:t xml:space="preserve">400/422</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TNT-SEC-INP-004</w:t>
            </w:r>
          </w:p>
        </w:tc>
        <w:tc>
          <w:tcPr>
            <w:tcW w:w="3000" w:type="dxa"/>
            <w:tcMar>
              <w:top w:w="80" w:type="dxa"/>
              <w:bottom w:w="80" w:type="dxa"/>
              <w:left w:w="100" w:type="dxa"/>
              <w:right w:w="100" w:type="dxa"/>
            </w:tcMar>
          </w:tcPr>
          <w:p>
            <w:pPr>
              <w:spacing w:after="0"/>
            </w:pPr>
            <w:r>
              <w:t xml:space="preserve">&lt;script&gt; tag in lotNumber</w:t>
            </w:r>
          </w:p>
        </w:tc>
        <w:tc>
          <w:tcPr>
            <w:tcW w:w="1700" w:type="dxa"/>
            <w:tcMar>
              <w:top w:w="80" w:type="dxa"/>
              <w:bottom w:w="80" w:type="dxa"/>
              <w:left w:w="100" w:type="dxa"/>
              <w:right w:w="100" w:type="dxa"/>
            </w:tcMar>
          </w:tcPr>
          <w:p>
            <w:pPr>
              <w:spacing w:after="0"/>
            </w:pPr>
            <w:r>
              <w:t xml:space="preserve">reject or escape</w:t>
            </w:r>
          </w:p>
        </w:tc>
        <w:tc>
          <w:tcPr>
            <w:tcW w:w="1000" w:type="dxa"/>
            <w:tcMar>
              <w:top w:w="80" w:type="dxa"/>
              <w:bottom w:w="80" w:type="dxa"/>
              <w:left w:w="100" w:type="dxa"/>
              <w:right w:w="100" w:type="dxa"/>
            </w:tcMar>
          </w:tcPr>
          <w:p>
            <w:pPr>
              <w:spacing w:after="0"/>
            </w:pPr>
            <w:r>
              <w:t xml:space="preserve">202, echoed raw</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TNT-SEC-INP-005</w:t>
            </w:r>
          </w:p>
        </w:tc>
        <w:tc>
          <w:tcPr>
            <w:tcW w:w="3000" w:type="dxa"/>
            <w:tcMar>
              <w:top w:w="80" w:type="dxa"/>
              <w:bottom w:w="80" w:type="dxa"/>
              <w:left w:w="100" w:type="dxa"/>
              <w:right w:w="100" w:type="dxa"/>
            </w:tcMar>
          </w:tcPr>
          <w:p>
            <w:pPr>
              <w:spacing w:after="0"/>
            </w:pPr>
            <w:r>
              <w:t xml:space="preserve">SQL metacharacters in lotNumber</w:t>
            </w:r>
          </w:p>
        </w:tc>
        <w:tc>
          <w:tcPr>
            <w:tcW w:w="1700" w:type="dxa"/>
            <w:tcMar>
              <w:top w:w="80" w:type="dxa"/>
              <w:bottom w:w="80" w:type="dxa"/>
              <w:left w:w="100" w:type="dxa"/>
              <w:right w:w="100" w:type="dxa"/>
            </w:tcMar>
          </w:tcPr>
          <w:p>
            <w:pPr>
              <w:spacing w:after="0"/>
            </w:pPr>
            <w:r>
              <w:t xml:space="preserve">no DB error</w:t>
            </w:r>
          </w:p>
        </w:tc>
        <w:tc>
          <w:tcPr>
            <w:tcW w:w="1000" w:type="dxa"/>
            <w:tcMar>
              <w:top w:w="80" w:type="dxa"/>
              <w:bottom w:w="80" w:type="dxa"/>
              <w:left w:w="100" w:type="dxa"/>
              <w:right w:w="100" w:type="dxa"/>
            </w:tcMar>
          </w:tcPr>
          <w:p>
            <w:pPr>
              <w:spacing w:after="0"/>
            </w:pPr>
            <w:r>
              <w:t xml:space="preserve">no DB error</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TNT-SEC-INP-006</w:t>
            </w:r>
          </w:p>
        </w:tc>
        <w:tc>
          <w:tcPr>
            <w:tcW w:w="3000" w:type="dxa"/>
            <w:tcMar>
              <w:top w:w="80" w:type="dxa"/>
              <w:bottom w:w="80" w:type="dxa"/>
              <w:left w:w="100" w:type="dxa"/>
              <w:right w:w="100" w:type="dxa"/>
            </w:tcMar>
          </w:tcPr>
          <w:p>
            <w:pPr>
              <w:spacing w:after="0"/>
            </w:pPr>
            <w:r>
              <w:t xml:space="preserve">100,000-character field value</w:t>
            </w:r>
          </w:p>
        </w:tc>
        <w:tc>
          <w:tcPr>
            <w:tcW w:w="1700" w:type="dxa"/>
            <w:tcMar>
              <w:top w:w="80" w:type="dxa"/>
              <w:bottom w:w="80" w:type="dxa"/>
              <w:left w:w="100" w:type="dxa"/>
              <w:right w:w="100" w:type="dxa"/>
            </w:tcMar>
          </w:tcPr>
          <w:p>
            <w:pPr>
              <w:spacing w:after="0"/>
            </w:pPr>
            <w:r>
              <w:t xml:space="preserve">non-5xx</w:t>
            </w:r>
          </w:p>
        </w:tc>
        <w:tc>
          <w:tcPr>
            <w:tcW w:w="1000" w:type="dxa"/>
            <w:tcMar>
              <w:top w:w="80" w:type="dxa"/>
              <w:bottom w:w="80" w:type="dxa"/>
              <w:left w:w="100" w:type="dxa"/>
              <w:right w:w="100" w:type="dxa"/>
            </w:tcMar>
          </w:tcPr>
          <w:p>
            <w:pPr>
              <w:spacing w:after="0"/>
            </w:pPr>
            <w:r>
              <w:t xml:space="preserve">handled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TNT-SEC-INP-007</w:t>
            </w:r>
          </w:p>
        </w:tc>
        <w:tc>
          <w:tcPr>
            <w:tcW w:w="3000" w:type="dxa"/>
            <w:tcMar>
              <w:top w:w="80" w:type="dxa"/>
              <w:bottom w:w="80" w:type="dxa"/>
              <w:left w:w="100" w:type="dxa"/>
              <w:right w:w="100" w:type="dxa"/>
            </w:tcMar>
          </w:tcPr>
          <w:p>
            <w:pPr>
              <w:spacing w:after="0"/>
            </w:pPr>
            <w:r>
              <w:t xml:space="preserve">Privileged extra fields (role, tenantId)</w:t>
            </w:r>
          </w:p>
        </w:tc>
        <w:tc>
          <w:tcPr>
            <w:tcW w:w="1700" w:type="dxa"/>
            <w:tcMar>
              <w:top w:w="80" w:type="dxa"/>
              <w:bottom w:w="80" w:type="dxa"/>
              <w:left w:w="100" w:type="dxa"/>
              <w:right w:w="100" w:type="dxa"/>
            </w:tcMar>
          </w:tcPr>
          <w:p>
            <w:pPr>
              <w:spacing w:after="0"/>
            </w:pPr>
            <w:r>
              <w:t xml:space="preserve">ignored</w:t>
            </w:r>
          </w:p>
        </w:tc>
        <w:tc>
          <w:tcPr>
            <w:tcW w:w="1000" w:type="dxa"/>
            <w:tcMar>
              <w:top w:w="80" w:type="dxa"/>
              <w:bottom w:w="80" w:type="dxa"/>
              <w:left w:w="100" w:type="dxa"/>
              <w:right w:w="100" w:type="dxa"/>
            </w:tcMar>
          </w:tcPr>
          <w:p>
            <w:pPr>
              <w:spacing w:after="0"/>
            </w:pPr>
            <w:r>
              <w:t xml:space="preserve">ignored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TNT-SEC-INP-009</w:t>
            </w:r>
          </w:p>
        </w:tc>
        <w:tc>
          <w:tcPr>
            <w:tcW w:w="3000" w:type="dxa"/>
            <w:tcMar>
              <w:top w:w="80" w:type="dxa"/>
              <w:bottom w:w="80" w:type="dxa"/>
              <w:left w:w="100" w:type="dxa"/>
              <w:right w:w="100" w:type="dxa"/>
            </w:tcMar>
          </w:tcPr>
          <w:p>
            <w:pPr>
              <w:spacing w:after="0"/>
            </w:pPr>
            <w:r>
              <w:t xml:space="preserve">Wrong Content-Type header</w:t>
            </w:r>
          </w:p>
        </w:tc>
        <w:tc>
          <w:tcPr>
            <w:tcW w:w="1700" w:type="dxa"/>
            <w:tcMar>
              <w:top w:w="80" w:type="dxa"/>
              <w:bottom w:w="80" w:type="dxa"/>
              <w:left w:w="100" w:type="dxa"/>
              <w:right w:w="100" w:type="dxa"/>
            </w:tcMar>
          </w:tcPr>
          <w:p>
            <w:pPr>
              <w:spacing w:after="0"/>
            </w:pPr>
            <w:r>
              <w:t xml:space="preserve">non-5xx</w:t>
            </w:r>
          </w:p>
        </w:tc>
        <w:tc>
          <w:tcPr>
            <w:tcW w:w="1000" w:type="dxa"/>
            <w:tcMar>
              <w:top w:w="80" w:type="dxa"/>
              <w:bottom w:w="80" w:type="dxa"/>
              <w:left w:w="100" w:type="dxa"/>
              <w:right w:w="100" w:type="dxa"/>
            </w:tcMar>
          </w:tcPr>
          <w:p>
            <w:pPr>
              <w:spacing w:after="0"/>
            </w:pPr>
            <w:r>
              <w:t xml:space="preserve">handled</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Six of eight passed. Schema validation is thorough and its error messages are well designed — they name the failing field, give a machine-readable code, and suggest a resolution.</w:t>
      </w:r>
    </w:p>
    <w:p>
      <w:pPr>
        <w:spacing w:after="160"/>
        <w:ind w:left="360"/>
      </w:pPr>
      <w:r>
        <w:t xml:space="preserve">•  </w:t>
      </w:r>
      <w:r>
        <w:t xml:space="preserve">A string that is not a GS1 identifier at all is accepted with only a soft warning (UNKNOWN_SGTIN / UNKNOWN_SGLN, severity "warning") rather than rejected.</w:t>
      </w:r>
    </w:p>
    <w:p>
      <w:pPr>
        <w:spacing w:after="160"/>
        <w:ind w:left="360"/>
      </w:pPr>
      <w:r>
        <w:t xml:space="preserve">•  </w:t>
      </w:r>
      <w:r>
        <w:t xml:space="preserve">A script tag placed in lotNumber is stored and returned in the response body unescaped.</w:t>
      </w:r>
    </w:p>
    <w:p>
      <w:pPr>
        <w:spacing w:after="160"/>
        <w:ind w:left="360"/>
      </w:pPr>
      <w:r>
        <w:t xml:space="preserve">•  </w:t>
      </w:r>
      <w:r>
        <w:t xml:space="preserve">No SQL error text, stack trace, file path or internal identifier was surfaced by any malformed input.</w:t>
      </w:r>
    </w:p>
    <w:p>
      <w:pPr>
        <w:spacing w:after="80"/>
      </w:pPr>
      <w:r>
        <w:rPr>
          <w:b/>
        </w:rPr>
        <w:t xml:space="preserve">Why this matters</w:t>
      </w:r>
    </w:p>
    <w:p>
      <w:pPr>
        <w:spacing w:after="160"/>
      </w:pPr>
      <w:r>
        <w:t xml:space="preserve">The invalid-EPC result conflates two different conditions. "This is not a parseable GS1 identifier" is malformed input and belongs as a 400. "This is a well-formed SGTIN that is not yet in master data" is legitimately a warning, because master data may lag ingestion. Treating both as warnings lets unparseable identifiers into the ledger, where they can never be matched back to a physical pack.</w:t>
      </w:r>
    </w:p>
    <w:p>
      <w:pPr>
        <w:spacing w:after="160"/>
      </w:pPr>
      <w:r>
        <w:t xml:space="preserve">The script-payload result is not yet a proven vulnerability and should not be reported as one. The API returns application/json, where a script tag is inert. The risk is entirely downstream: wherever that lot number is rendered in the Regulator, Manufacturer or Events Explorer interface. That rendering was not tested. If it is rendered without escaping, this becomes a stored cross-site scripting flaw in a privileged context. Validating lotNumber server-side would close it regardless of how the UI behaves — GS1 Application Identifier 10 permits at most 20 alphanumeric characters, so the constraint is already defined by the standard.</w:t>
      </w:r>
    </w:p>
    <w:p>
      <w:pPr>
        <w:spacing w:before="320" w:after="160"/>
        <w:outlineLvl w:val="0"/>
      </w:pPr>
      <w:r>
        <w:rPr>
          <w:b/>
          <w:color w:val="1F4E78"/>
          <w:sz w:val="32"/>
        </w:rPr>
        <w:t xml:space="preserve">7. Transport and Data Protection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checked</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TNT-SEC-DATA-011</w:t>
            </w:r>
          </w:p>
        </w:tc>
        <w:tc>
          <w:tcPr>
            <w:tcW w:w="3000" w:type="dxa"/>
            <w:tcMar>
              <w:top w:w="80" w:type="dxa"/>
              <w:bottom w:w="80" w:type="dxa"/>
              <w:left w:w="100" w:type="dxa"/>
              <w:right w:w="100" w:type="dxa"/>
            </w:tcMar>
          </w:tcPr>
          <w:p>
            <w:pPr>
              <w:spacing w:after="0"/>
            </w:pPr>
            <w:r>
              <w:t xml:space="preserve">Plain HTTP on port 80</w:t>
            </w:r>
          </w:p>
        </w:tc>
        <w:tc>
          <w:tcPr>
            <w:tcW w:w="1700" w:type="dxa"/>
            <w:tcMar>
              <w:top w:w="80" w:type="dxa"/>
              <w:bottom w:w="80" w:type="dxa"/>
              <w:left w:w="100" w:type="dxa"/>
              <w:right w:w="100" w:type="dxa"/>
            </w:tcMar>
          </w:tcPr>
          <w:p>
            <w:pPr>
              <w:spacing w:after="0"/>
            </w:pPr>
            <w:r>
              <w:t xml:space="preserve">redirect or refuse</w:t>
            </w:r>
          </w:p>
        </w:tc>
        <w:tc>
          <w:tcPr>
            <w:tcW w:w="1000" w:type="dxa"/>
            <w:tcMar>
              <w:top w:w="80" w:type="dxa"/>
              <w:bottom w:w="80" w:type="dxa"/>
              <w:left w:w="100" w:type="dxa"/>
              <w:right w:w="100" w:type="dxa"/>
            </w:tcMar>
          </w:tcPr>
          <w:p>
            <w:pPr>
              <w:spacing w:after="0"/>
            </w:pPr>
            <w:r>
              <w:t xml:space="preserve">not served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TNT-SEC-DATA-001</w:t>
            </w:r>
          </w:p>
        </w:tc>
        <w:tc>
          <w:tcPr>
            <w:tcW w:w="3000" w:type="dxa"/>
            <w:tcMar>
              <w:top w:w="80" w:type="dxa"/>
              <w:bottom w:w="80" w:type="dxa"/>
              <w:left w:w="100" w:type="dxa"/>
              <w:right w:w="100" w:type="dxa"/>
            </w:tcMar>
          </w:tcPr>
          <w:p>
            <w:pPr>
              <w:spacing w:after="0"/>
            </w:pPr>
            <w:r>
              <w:t xml:space="preserve">Security headers on /, /login, /scanner</w:t>
            </w:r>
          </w:p>
        </w:tc>
        <w:tc>
          <w:tcPr>
            <w:tcW w:w="1700" w:type="dxa"/>
            <w:tcMar>
              <w:top w:w="80" w:type="dxa"/>
              <w:bottom w:w="80" w:type="dxa"/>
              <w:left w:w="100" w:type="dxa"/>
              <w:right w:w="100" w:type="dxa"/>
            </w:tcMar>
          </w:tcPr>
          <w:p>
            <w:pPr>
              <w:spacing w:after="0"/>
            </w:pPr>
            <w:r>
              <w:t xml:space="preserve">CSP+XFO+nosniff+HSTS</w:t>
            </w:r>
          </w:p>
        </w:tc>
        <w:tc>
          <w:tcPr>
            <w:tcW w:w="1000" w:type="dxa"/>
            <w:tcMar>
              <w:top w:w="80" w:type="dxa"/>
              <w:bottom w:w="80" w:type="dxa"/>
              <w:left w:w="100" w:type="dxa"/>
              <w:right w:w="100" w:type="dxa"/>
            </w:tcMar>
          </w:tcPr>
          <w:p>
            <w:pPr>
              <w:spacing w:after="0"/>
            </w:pPr>
            <w:r>
              <w:t xml:space="preserve">HSTS missing</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TNT-SEC-DATA-003</w:t>
            </w:r>
          </w:p>
        </w:tc>
        <w:tc>
          <w:tcPr>
            <w:tcW w:w="3000" w:type="dxa"/>
            <w:tcMar>
              <w:top w:w="80" w:type="dxa"/>
              <w:bottom w:w="80" w:type="dxa"/>
              <w:left w:w="100" w:type="dxa"/>
              <w:right w:w="100" w:type="dxa"/>
            </w:tcMar>
          </w:tcPr>
          <w:p>
            <w:pPr>
              <w:spacing w:after="0"/>
            </w:pPr>
            <w:r>
              <w:t xml:space="preserve">API key passed in the URL query string</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TNT-SEC-DATA-004</w:t>
            </w:r>
          </w:p>
        </w:tc>
        <w:tc>
          <w:tcPr>
            <w:tcW w:w="3000" w:type="dxa"/>
            <w:tcMar>
              <w:top w:w="80" w:type="dxa"/>
              <w:bottom w:w="80" w:type="dxa"/>
              <w:left w:w="100" w:type="dxa"/>
              <w:right w:w="100" w:type="dxa"/>
            </w:tcMar>
          </w:tcPr>
          <w:p>
            <w:pPr>
              <w:spacing w:after="0"/>
            </w:pPr>
            <w:r>
              <w:t xml:space="preserve">GET on the ingestion endpoint</w:t>
            </w:r>
          </w:p>
        </w:tc>
        <w:tc>
          <w:tcPr>
            <w:tcW w:w="1700" w:type="dxa"/>
            <w:tcMar>
              <w:top w:w="80" w:type="dxa"/>
              <w:bottom w:w="80" w:type="dxa"/>
              <w:left w:w="100" w:type="dxa"/>
              <w:right w:w="100" w:type="dxa"/>
            </w:tcMar>
          </w:tcPr>
          <w:p>
            <w:pPr>
              <w:spacing w:after="0"/>
            </w:pPr>
            <w:r>
              <w:t xml:space="preserve">no event data</w:t>
            </w:r>
          </w:p>
        </w:tc>
        <w:tc>
          <w:tcPr>
            <w:tcW w:w="1000" w:type="dxa"/>
            <w:tcMar>
              <w:top w:w="80" w:type="dxa"/>
              <w:bottom w:w="80" w:type="dxa"/>
              <w:left w:w="100" w:type="dxa"/>
              <w:right w:w="100" w:type="dxa"/>
            </w:tcMar>
          </w:tcPr>
          <w:p>
            <w:pPr>
              <w:spacing w:after="0"/>
            </w:pPr>
            <w:r>
              <w:t xml:space="preserve">no event data</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TNT-SEC-DATA-005</w:t>
            </w:r>
          </w:p>
        </w:tc>
        <w:tc>
          <w:tcPr>
            <w:tcW w:w="3000" w:type="dxa"/>
            <w:tcMar>
              <w:top w:w="80" w:type="dxa"/>
              <w:bottom w:w="80" w:type="dxa"/>
              <w:left w:w="100" w:type="dxa"/>
              <w:right w:w="100" w:type="dxa"/>
            </w:tcMar>
          </w:tcPr>
          <w:p>
            <w:pPr>
              <w:spacing w:after="0"/>
            </w:pPr>
            <w:r>
              <w:t xml:space="preserve">CORS preflight from evil.example.com</w:t>
            </w:r>
          </w:p>
        </w:tc>
        <w:tc>
          <w:tcPr>
            <w:tcW w:w="1700" w:type="dxa"/>
            <w:tcMar>
              <w:top w:w="80" w:type="dxa"/>
              <w:bottom w:w="80" w:type="dxa"/>
              <w:left w:w="100" w:type="dxa"/>
              <w:right w:w="100" w:type="dxa"/>
            </w:tcMar>
          </w:tcPr>
          <w:p>
            <w:pPr>
              <w:spacing w:after="0"/>
            </w:pPr>
            <w:r>
              <w:t xml:space="preserve">not reflected</w:t>
            </w:r>
          </w:p>
        </w:tc>
        <w:tc>
          <w:tcPr>
            <w:tcW w:w="1000" w:type="dxa"/>
            <w:tcMar>
              <w:top w:w="80" w:type="dxa"/>
              <w:bottom w:w="80" w:type="dxa"/>
              <w:left w:w="100" w:type="dxa"/>
              <w:right w:w="100" w:type="dxa"/>
            </w:tcMar>
          </w:tcPr>
          <w:p>
            <w:pPr>
              <w:spacing w:after="0"/>
            </w:pPr>
            <w:r>
              <w:t xml:space="preserve">not reflected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TNT-SEC-DATA-002</w:t>
            </w:r>
          </w:p>
        </w:tc>
        <w:tc>
          <w:tcPr>
            <w:tcW w:w="3000" w:type="dxa"/>
            <w:tcMar>
              <w:top w:w="80" w:type="dxa"/>
              <w:bottom w:w="80" w:type="dxa"/>
              <w:left w:w="100" w:type="dxa"/>
              <w:right w:w="100" w:type="dxa"/>
            </w:tcMar>
          </w:tcPr>
          <w:p>
            <w:pPr>
              <w:spacing w:after="0"/>
            </w:pPr>
            <w:r>
              <w:t xml:space="preserve">Framework and version banners</w:t>
            </w:r>
          </w:p>
        </w:tc>
        <w:tc>
          <w:tcPr>
            <w:tcW w:w="1700" w:type="dxa"/>
            <w:tcMar>
              <w:top w:w="80" w:type="dxa"/>
              <w:bottom w:w="80" w:type="dxa"/>
              <w:left w:w="100" w:type="dxa"/>
              <w:right w:w="100" w:type="dxa"/>
            </w:tcMar>
          </w:tcPr>
          <w:p>
            <w:pPr>
              <w:spacing w:after="0"/>
            </w:pPr>
            <w:r>
              <w:t xml:space="preserve">absent</w:t>
            </w:r>
          </w:p>
        </w:tc>
        <w:tc>
          <w:tcPr>
            <w:tcW w:w="1000" w:type="dxa"/>
            <w:tcMar>
              <w:top w:w="80" w:type="dxa"/>
              <w:bottom w:w="80" w:type="dxa"/>
              <w:left w:w="100" w:type="dxa"/>
              <w:right w:w="100" w:type="dxa"/>
            </w:tcMar>
          </w:tcPr>
          <w:p>
            <w:pPr>
              <w:spacing w:after="0"/>
            </w:pPr>
            <w:r>
              <w:t xml:space="preserve">disclosed</w:t>
            </w:r>
          </w:p>
        </w:tc>
        <w:tc>
          <w:tcPr>
            <w:tcW w:w="1900" w:type="dxa"/>
            <w:tcMar>
              <w:top w:w="80" w:type="dxa"/>
              <w:bottom w:w="80" w:type="dxa"/>
              <w:left w:w="100" w:type="dxa"/>
              <w:right w:w="100" w:type="dxa"/>
            </w:tcMar>
          </w:tcPr>
          <w:p>
            <w:pPr>
              <w:spacing w:after="0"/>
            </w:pPr>
            <w:r>
              <w:t xml:space="preserve">FAIL</w:t>
            </w:r>
          </w:p>
        </w:tc>
      </w:tr>
    </w:tbl>
    <w:p>
      <w:pPr>
        <w:spacing w:after="200"/>
      </w:pPr>
    </w:p>
    <w:p>
      <w:pPr>
        <w:spacing w:after="80"/>
      </w:pPr>
      <w:r>
        <w:rPr>
          <w:b/>
        </w:rPr>
        <w:t xml:space="preserve">Findings</w:t>
      </w:r>
    </w:p>
    <w:p>
      <w:pPr>
        <w:spacing w:after="160"/>
        <w:ind w:left="360"/>
      </w:pPr>
      <w:r>
        <w:t xml:space="preserve">•  </w:t>
      </w:r>
      <w:r>
        <w:t xml:space="preserve">Content-Security-Policy, X-Frame-Options, X-Content-Type-Options, Referrer-Policy and Permissions-Policy are present on all public routes. Only Strict-Transport-Security is absent.</w:t>
      </w:r>
    </w:p>
    <w:p>
      <w:pPr>
        <w:spacing w:after="160"/>
        <w:ind w:left="360"/>
      </w:pPr>
      <w:r>
        <w:t xml:space="preserve">•  </w:t>
      </w:r>
      <w:r>
        <w:t xml:space="preserve">CORS is correctly restrictive — an arbitrary origin is not reflected back.</w:t>
      </w:r>
    </w:p>
    <w:p>
      <w:pPr>
        <w:spacing w:after="160"/>
        <w:ind w:left="360"/>
      </w:pPr>
      <w:r>
        <w:t xml:space="preserve">•  </w:t>
      </w:r>
      <w:r>
        <w:t xml:space="preserve">The API key is rejected when supplied as a URL query parameter, so it cannot leak into access logs or browser history.</w:t>
      </w:r>
    </w:p>
    <w:p>
      <w:pPr>
        <w:spacing w:after="160"/>
        <w:ind w:left="360"/>
      </w:pPr>
      <w:r>
        <w:t xml:space="preserve">•  </w:t>
      </w:r>
      <w:r>
        <w:t xml:space="preserve">Response headers disclose X-Powered-By: Express and Server: nginx/1.18.0 (Ubuntu). The gateway also identifies itself as Apache APISIX via openresty in error pages.</w:t>
      </w:r>
    </w:p>
    <w:p>
      <w:pPr>
        <w:spacing w:after="80"/>
      </w:pPr>
      <w:r>
        <w:rPr>
          <w:b/>
        </w:rPr>
        <w:t xml:space="preserve">Why this matters</w:t>
      </w:r>
    </w:p>
    <w:p>
      <w:pPr>
        <w:spacing w:after="160"/>
      </w:pPr>
      <w:r>
        <w:t xml:space="preserve">This is materially better than the tnt-demo environment, where the same headers were absent from the login page and the public scanner entirely. Here only HSTS is missing, and its practical risk is reduced by there being no cleartext listener on port 80 to downgrade to. It should still be added: without it, a first-time visitor typing the bare hostname has no protection against an active network attacker on that first request.</w:t>
      </w:r>
    </w:p>
    <w:p>
      <w:pPr>
        <w:spacing w:after="160"/>
      </w:pPr>
      <w:r>
        <w:t xml:space="preserve">Version banners are a low-severity issue on their own. The concern is nginx 1.18.0, a specific and now-dated version — publishing it lets an attacker match known vulnerabilities to the deployment without probing for them.</w:t>
      </w:r>
    </w:p>
    <w:p>
      <w:pPr>
        <w:spacing w:before="320" w:after="160"/>
        <w:outlineLvl w:val="0"/>
      </w:pPr>
      <w:r>
        <w:rPr>
          <w:b/>
          <w:color w:val="1F4E78"/>
          <w:sz w:val="32"/>
        </w:rPr>
        <w:t xml:space="preserve">8. Rate Limiting and Brute Force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TNT-SEC-RATE-001</w:t>
            </w:r>
          </w:p>
        </w:tc>
        <w:tc>
          <w:tcPr>
            <w:tcW w:w="3000" w:type="dxa"/>
            <w:tcMar>
              <w:top w:w="80" w:type="dxa"/>
              <w:bottom w:w="80" w:type="dxa"/>
              <w:left w:w="100" w:type="dxa"/>
              <w:right w:w="100" w:type="dxa"/>
            </w:tcMar>
          </w:tcPr>
          <w:p>
            <w:pPr>
              <w:spacing w:after="0"/>
            </w:pPr>
            <w:r>
              <w:t xml:space="preserve">60 concurrent valid writes</w:t>
            </w:r>
          </w:p>
        </w:tc>
        <w:tc>
          <w:tcPr>
            <w:tcW w:w="1700" w:type="dxa"/>
            <w:tcMar>
              <w:top w:w="80" w:type="dxa"/>
              <w:bottom w:w="80" w:type="dxa"/>
              <w:left w:w="100" w:type="dxa"/>
              <w:right w:w="100" w:type="dxa"/>
            </w:tcMar>
          </w:tcPr>
          <w:p>
            <w:pPr>
              <w:spacing w:after="0"/>
            </w:pPr>
            <w:r>
              <w:t xml:space="preserve">no 5xx</w:t>
            </w:r>
          </w:p>
        </w:tc>
        <w:tc>
          <w:tcPr>
            <w:tcW w:w="1000" w:type="dxa"/>
            <w:tcMar>
              <w:top w:w="80" w:type="dxa"/>
              <w:bottom w:w="80" w:type="dxa"/>
              <w:left w:w="100" w:type="dxa"/>
              <w:right w:w="100" w:type="dxa"/>
            </w:tcMar>
          </w:tcPr>
          <w:p>
            <w:pPr>
              <w:spacing w:after="0"/>
            </w:pPr>
            <w:r>
              <w:t xml:space="preserve">absorbed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TNT-SEC-RATE-002</w:t>
            </w:r>
          </w:p>
        </w:tc>
        <w:tc>
          <w:tcPr>
            <w:tcW w:w="3000" w:type="dxa"/>
            <w:tcMar>
              <w:top w:w="80" w:type="dxa"/>
              <w:bottom w:w="80" w:type="dxa"/>
              <w:left w:w="100" w:type="dxa"/>
              <w:right w:w="100" w:type="dxa"/>
            </w:tcMar>
          </w:tcPr>
          <w:p>
            <w:pPr>
              <w:spacing w:after="0"/>
            </w:pPr>
            <w:r>
              <w:t xml:space="preserve">30 concurrent invalid-key attempts</w:t>
            </w:r>
          </w:p>
        </w:tc>
        <w:tc>
          <w:tcPr>
            <w:tcW w:w="1700" w:type="dxa"/>
            <w:tcMar>
              <w:top w:w="80" w:type="dxa"/>
              <w:bottom w:w="80" w:type="dxa"/>
              <w:left w:w="100" w:type="dxa"/>
              <w:right w:w="100" w:type="dxa"/>
            </w:tcMar>
          </w:tcPr>
          <w:p>
            <w:pPr>
              <w:spacing w:after="0"/>
            </w:pPr>
            <w:r>
              <w:t xml:space="preserve">some 429</w:t>
            </w:r>
          </w:p>
        </w:tc>
        <w:tc>
          <w:tcPr>
            <w:tcW w:w="1000" w:type="dxa"/>
            <w:tcMar>
              <w:top w:w="80" w:type="dxa"/>
              <w:bottom w:w="80" w:type="dxa"/>
              <w:left w:w="100" w:type="dxa"/>
              <w:right w:w="100" w:type="dxa"/>
            </w:tcMar>
          </w:tcPr>
          <w:p>
            <w:pPr>
              <w:spacing w:after="0"/>
            </w:pPr>
            <w:r>
              <w:t xml:space="preserve">30 x 401, no backoff</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LOGIN-RATE-001</w:t>
            </w:r>
          </w:p>
        </w:tc>
        <w:tc>
          <w:tcPr>
            <w:tcW w:w="3000" w:type="dxa"/>
            <w:tcMar>
              <w:top w:w="80" w:type="dxa"/>
              <w:bottom w:w="80" w:type="dxa"/>
              <w:left w:w="100" w:type="dxa"/>
              <w:right w:w="100" w:type="dxa"/>
            </w:tcMar>
          </w:tcPr>
          <w:p>
            <w:pPr>
              <w:spacing w:after="0"/>
            </w:pPr>
            <w:r>
              <w:t xml:space="preserve">15 rapid failed logins on one account</w:t>
            </w:r>
          </w:p>
        </w:tc>
        <w:tc>
          <w:tcPr>
            <w:tcW w:w="1700" w:type="dxa"/>
            <w:tcMar>
              <w:top w:w="80" w:type="dxa"/>
              <w:bottom w:w="80" w:type="dxa"/>
              <w:left w:w="100" w:type="dxa"/>
              <w:right w:w="100" w:type="dxa"/>
            </w:tcMar>
          </w:tcPr>
          <w:p>
            <w:pPr>
              <w:spacing w:after="0"/>
            </w:pPr>
            <w:r>
              <w:t xml:space="preserve">throttle</w:t>
            </w:r>
          </w:p>
        </w:tc>
        <w:tc>
          <w:tcPr>
            <w:tcW w:w="1000" w:type="dxa"/>
            <w:tcMar>
              <w:top w:w="80" w:type="dxa"/>
              <w:bottom w:w="80" w:type="dxa"/>
              <w:left w:w="100" w:type="dxa"/>
              <w:right w:w="100" w:type="dxa"/>
            </w:tcMar>
          </w:tcPr>
          <w:p>
            <w:pPr>
              <w:spacing w:after="0"/>
            </w:pPr>
            <w:r>
              <w:t xml:space="preserve">429 after ~3</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The API advertises its budget on every accepted request: x-ratelimit-limit 5000, x-ratelimit-tier supplier, x-ratelimit-reset 60. That is 5,000 per minute, roughly 83 requests per second.</w:t>
      </w:r>
    </w:p>
    <w:p>
      <w:pPr>
        <w:spacing w:after="160"/>
        <w:ind w:left="360"/>
      </w:pPr>
      <w:r>
        <w:t xml:space="preserve">•  </w:t>
      </w:r>
      <w:r>
        <w:t xml:space="preserve">Measured sustained throughput is approximately 35 requests per second (section 8). The advertised budget is therefore about 2.4 times higher than the endpoint can actually serve.</w:t>
      </w:r>
    </w:p>
    <w:p>
      <w:pPr>
        <w:spacing w:after="160"/>
        <w:ind w:left="360"/>
      </w:pPr>
      <w:r>
        <w:t xml:space="preserve">•  </w:t>
      </w:r>
      <w:r>
        <w:t xml:space="preserve">Repeated invalid-key attempts are answered 401 every time with no backoff or lockout.</w:t>
      </w:r>
    </w:p>
    <w:p>
      <w:pPr>
        <w:spacing w:after="160"/>
        <w:ind w:left="360"/>
      </w:pPr>
      <w:r>
        <w:t xml:space="preserve">•  </w:t>
      </w:r>
      <w:r>
        <w:t xml:space="preserve">The web login endpoint does throttle, returning 429 after roughly three failed attempts.</w:t>
      </w:r>
    </w:p>
    <w:p>
      <w:pPr>
        <w:spacing w:after="80"/>
      </w:pPr>
      <w:r>
        <w:rPr>
          <w:b/>
        </w:rPr>
        <w:t xml:space="preserve">Why this matters</w:t>
      </w:r>
    </w:p>
    <w:p>
      <w:pPr>
        <w:spacing w:after="160"/>
      </w:pPr>
      <w:r>
        <w:t xml:space="preserve">A published quota that exceeds real capacity sets an expectation the platform cannot meet. A partner engineering its integration to stay within its stated 5,000 per minute will drive the endpoint into multi-second queuing and gateway timeouts long before it ever receives a 429. Either the advertised tier or the underlying capacity needs to change so the two agree.</w:t>
      </w:r>
    </w:p>
    <w:p>
      <w:pPr>
        <w:spacing w:after="160"/>
      </w:pPr>
      <w:r>
        <w:t xml:space="preserve">The absence of throttling on invalid keys is a smaller but real gap. Because the keys are long random strings, brute-forcing one is not a practical threat. The value of throttling here is detection: an unthrottled endpoint gives no signal that a key-guessing campaign is under way. The contrast with the login endpoint, which does throttle correctly, suggests this is an oversight rather than a deliberate decision.</w:t>
      </w:r>
    </w:p>
    <w:p>
      <w:pPr>
        <w:spacing w:before="320" w:after="160"/>
        <w:outlineLvl w:val="0"/>
      </w:pPr>
      <w:r>
        <w:rPr>
          <w:b/>
          <w:color w:val="1F4E78"/>
          <w:sz w:val="32"/>
        </w:rPr>
        <w:t xml:space="preserve">9. Performance — Single-Event Ingestion</w:t>
      </w:r>
    </w:p>
    <w:p>
      <w:pPr>
        <w:spacing w:after="160"/>
      </w:pPr>
      <w:r>
        <w:t xml:space="preserve">Three k6 runs, covering both the commissioning and the receiving write paths.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1500"/>
        <w:gridCol w:w="1700"/>
        <w:gridCol w:w="1300"/>
        <w:gridCol w:w="1600"/>
      </w:tblGrid>
      <w:tr>
        <w:tc>
          <w:tcPr>
            <w:tcW w:w="2900" w:type="dxa"/>
            <w:shd w:val="clear" w:color="auto" w:fill="1F4E78"/>
            <w:tcMar>
              <w:top w:w="80" w:type="dxa"/>
              <w:bottom w:w="80" w:type="dxa"/>
              <w:left w:w="100" w:type="dxa"/>
              <w:right w:w="100" w:type="dxa"/>
            </w:tcMar>
          </w:tcPr>
          <w:p>
            <w:pPr>
              <w:spacing w:after="0"/>
            </w:pPr>
            <w:r>
              <w:rPr>
                <w:b/>
                <w:color w:val="FFFFFF"/>
              </w:rPr>
              <w:t xml:space="preserve">Endpoint and load profile</w:t>
            </w:r>
          </w:p>
        </w:tc>
        <w:tc>
          <w:tcPr>
            <w:tcW w:w="1500" w:type="dxa"/>
            <w:shd w:val="clear" w:color="auto" w:fill="1F4E78"/>
            <w:tcMar>
              <w:top w:w="80" w:type="dxa"/>
              <w:bottom w:w="80" w:type="dxa"/>
              <w:left w:w="100" w:type="dxa"/>
              <w:right w:w="100" w:type="dxa"/>
            </w:tcMar>
          </w:tcPr>
          <w:p>
            <w:pPr>
              <w:spacing w:after="0"/>
            </w:pPr>
            <w:r>
              <w:rPr>
                <w:b/>
                <w:color w:val="FFFFFF"/>
              </w:rPr>
              <w:t xml:space="preserve">Requests</w:t>
            </w:r>
          </w:p>
        </w:tc>
        <w:tc>
          <w:tcPr>
            <w:tcW w:w="1700" w:type="dxa"/>
            <w:shd w:val="clear" w:color="auto" w:fill="1F4E78"/>
            <w:tcMar>
              <w:top w:w="80" w:type="dxa"/>
              <w:bottom w:w="80" w:type="dxa"/>
              <w:left w:w="100" w:type="dxa"/>
              <w:right w:w="100" w:type="dxa"/>
            </w:tcMar>
          </w:tcPr>
          <w:p>
            <w:pPr>
              <w:spacing w:after="0"/>
            </w:pPr>
            <w:r>
              <w:rPr>
                <w:b/>
                <w:color w:val="FFFFFF"/>
              </w:rPr>
              <w:t xml:space="preserve">Throughput</w:t>
            </w:r>
          </w:p>
        </w:tc>
        <w:tc>
          <w:tcPr>
            <w:tcW w:w="1300" w:type="dxa"/>
            <w:shd w:val="clear" w:color="auto" w:fill="1F4E78"/>
            <w:tcMar>
              <w:top w:w="80" w:type="dxa"/>
              <w:bottom w:w="80" w:type="dxa"/>
              <w:left w:w="100" w:type="dxa"/>
              <w:right w:w="100" w:type="dxa"/>
            </w:tcMar>
          </w:tcPr>
          <w:p>
            <w:pPr>
              <w:spacing w:after="0"/>
            </w:pPr>
            <w:r>
              <w:rPr>
                <w:b/>
                <w:color w:val="FFFFFF"/>
              </w:rPr>
              <w:t xml:space="preserve">p95</w:t>
            </w:r>
          </w:p>
        </w:tc>
        <w:tc>
          <w:tcPr>
            <w:tcW w:w="1600" w:type="dxa"/>
            <w:shd w:val="clear" w:color="auto" w:fill="1F4E78"/>
            <w:tcMar>
              <w:top w:w="80" w:type="dxa"/>
              <w:bottom w:w="80" w:type="dxa"/>
              <w:left w:w="100" w:type="dxa"/>
              <w:right w:w="100" w:type="dxa"/>
            </w:tcMar>
          </w:tcPr>
          <w:p>
            <w:pPr>
              <w:spacing w:after="0"/>
            </w:pPr>
            <w:r>
              <w:rPr>
                <w:b/>
                <w:color w:val="FFFFFF"/>
              </w:rPr>
              <w:t xml:space="preserve">Error rate</w:t>
            </w:r>
          </w:p>
        </w:tc>
      </w:tr>
      <w:tr>
        <w:tc>
          <w:tcPr>
            <w:tcW w:w="2900" w:type="dxa"/>
            <w:tcMar>
              <w:top w:w="80" w:type="dxa"/>
              <w:bottom w:w="80" w:type="dxa"/>
              <w:left w:w="100" w:type="dxa"/>
              <w:right w:w="100" w:type="dxa"/>
            </w:tcMar>
          </w:tcPr>
          <w:p>
            <w:pPr>
              <w:spacing w:after="0"/>
            </w:pPr>
            <w:r>
              <w:t xml:space="preserve">Commissioning, 10 virtual users</w:t>
            </w:r>
          </w:p>
        </w:tc>
        <w:tc>
          <w:tcPr>
            <w:tcW w:w="1500" w:type="dxa"/>
            <w:tcMar>
              <w:top w:w="80" w:type="dxa"/>
              <w:bottom w:w="80" w:type="dxa"/>
              <w:left w:w="100" w:type="dxa"/>
              <w:right w:w="100" w:type="dxa"/>
            </w:tcMar>
          </w:tcPr>
          <w:p>
            <w:pPr>
              <w:spacing w:after="0"/>
            </w:pPr>
            <w:r>
              <w:t xml:space="preserve">1,519</w:t>
            </w:r>
          </w:p>
        </w:tc>
        <w:tc>
          <w:tcPr>
            <w:tcW w:w="1700" w:type="dxa"/>
            <w:tcMar>
              <w:top w:w="80" w:type="dxa"/>
              <w:bottom w:w="80" w:type="dxa"/>
              <w:left w:w="100" w:type="dxa"/>
              <w:right w:w="100" w:type="dxa"/>
            </w:tcMar>
          </w:tcPr>
          <w:p>
            <w:pPr>
              <w:spacing w:after="0"/>
            </w:pPr>
            <w:r>
              <w:t xml:space="preserve">21.7 req/s</w:t>
            </w:r>
          </w:p>
        </w:tc>
        <w:tc>
          <w:tcPr>
            <w:tcW w:w="1300" w:type="dxa"/>
            <w:tcMar>
              <w:top w:w="80" w:type="dxa"/>
              <w:bottom w:w="80" w:type="dxa"/>
              <w:left w:w="100" w:type="dxa"/>
              <w:right w:w="100" w:type="dxa"/>
            </w:tcMar>
          </w:tcPr>
          <w:p>
            <w:pPr>
              <w:spacing w:after="0"/>
            </w:pPr>
            <w:r>
              <w:t xml:space="preserve">496 ms</w:t>
            </w:r>
          </w:p>
        </w:tc>
        <w:tc>
          <w:tcPr>
            <w:tcW w:w="1600" w:type="dxa"/>
            <w:tcMar>
              <w:top w:w="80" w:type="dxa"/>
              <w:bottom w:w="80" w:type="dxa"/>
              <w:left w:w="100" w:type="dxa"/>
              <w:right w:w="100" w:type="dxa"/>
            </w:tcMar>
          </w:tcPr>
          <w:p>
            <w:pPr>
              <w:spacing w:after="0"/>
            </w:pPr>
            <w:r>
              <w:t xml:space="preserve">0.00%</w:t>
            </w:r>
          </w:p>
        </w:tc>
      </w:tr>
      <w:tr>
        <w:tc>
          <w:tcPr>
            <w:tcW w:w="2900" w:type="dxa"/>
            <w:tcMar>
              <w:top w:w="80" w:type="dxa"/>
              <w:bottom w:w="80" w:type="dxa"/>
              <w:left w:w="100" w:type="dxa"/>
              <w:right w:w="100" w:type="dxa"/>
            </w:tcMar>
          </w:tcPr>
          <w:p>
            <w:pPr>
              <w:spacing w:after="0"/>
            </w:pPr>
            <w:r>
              <w:t xml:space="preserve">Receiving, 10 virtual users</w:t>
            </w:r>
          </w:p>
        </w:tc>
        <w:tc>
          <w:tcPr>
            <w:tcW w:w="1500" w:type="dxa"/>
            <w:tcMar>
              <w:top w:w="80" w:type="dxa"/>
              <w:bottom w:w="80" w:type="dxa"/>
              <w:left w:w="100" w:type="dxa"/>
              <w:right w:w="100" w:type="dxa"/>
            </w:tcMar>
          </w:tcPr>
          <w:p>
            <w:pPr>
              <w:spacing w:after="0"/>
            </w:pPr>
            <w:r>
              <w:t xml:space="preserve">1,872</w:t>
            </w:r>
          </w:p>
        </w:tc>
        <w:tc>
          <w:tcPr>
            <w:tcW w:w="1700" w:type="dxa"/>
            <w:tcMar>
              <w:top w:w="80" w:type="dxa"/>
              <w:bottom w:w="80" w:type="dxa"/>
              <w:left w:w="100" w:type="dxa"/>
              <w:right w:w="100" w:type="dxa"/>
            </w:tcMar>
          </w:tcPr>
          <w:p>
            <w:pPr>
              <w:spacing w:after="0"/>
            </w:pPr>
            <w:r>
              <w:t xml:space="preserve">26.7 req/s</w:t>
            </w:r>
          </w:p>
        </w:tc>
        <w:tc>
          <w:tcPr>
            <w:tcW w:w="1300" w:type="dxa"/>
            <w:tcMar>
              <w:top w:w="80" w:type="dxa"/>
              <w:bottom w:w="80" w:type="dxa"/>
              <w:left w:w="100" w:type="dxa"/>
              <w:right w:w="100" w:type="dxa"/>
            </w:tcMar>
          </w:tcPr>
          <w:p>
            <w:pPr>
              <w:spacing w:after="0"/>
            </w:pPr>
            <w:r>
              <w:t xml:space="preserve">461 ms</w:t>
            </w:r>
          </w:p>
        </w:tc>
        <w:tc>
          <w:tcPr>
            <w:tcW w:w="1600" w:type="dxa"/>
            <w:tcMar>
              <w:top w:w="80" w:type="dxa"/>
              <w:bottom w:w="80" w:type="dxa"/>
              <w:left w:w="100" w:type="dxa"/>
              <w:right w:w="100" w:type="dxa"/>
            </w:tcMar>
          </w:tcPr>
          <w:p>
            <w:pPr>
              <w:spacing w:after="0"/>
            </w:pPr>
            <w:r>
              <w:t xml:space="preserve">see section 12</w:t>
            </w:r>
          </w:p>
        </w:tc>
      </w:tr>
      <w:tr>
        <w:tc>
          <w:tcPr>
            <w:tcW w:w="2900" w:type="dxa"/>
            <w:tcMar>
              <w:top w:w="80" w:type="dxa"/>
              <w:bottom w:w="80" w:type="dxa"/>
              <w:left w:w="100" w:type="dxa"/>
              <w:right w:w="100" w:type="dxa"/>
            </w:tcMar>
          </w:tcPr>
          <w:p>
            <w:pPr>
              <w:spacing w:after="0"/>
            </w:pPr>
            <w:r>
              <w:t xml:space="preserve">Receiving, 50 virtual users</w:t>
            </w:r>
          </w:p>
        </w:tc>
        <w:tc>
          <w:tcPr>
            <w:tcW w:w="1500" w:type="dxa"/>
            <w:tcMar>
              <w:top w:w="80" w:type="dxa"/>
              <w:bottom w:w="80" w:type="dxa"/>
              <w:left w:w="100" w:type="dxa"/>
              <w:right w:w="100" w:type="dxa"/>
            </w:tcMar>
          </w:tcPr>
          <w:p>
            <w:pPr>
              <w:spacing w:after="0"/>
            </w:pPr>
            <w:r>
              <w:t xml:space="preserve">3,131</w:t>
            </w:r>
          </w:p>
        </w:tc>
        <w:tc>
          <w:tcPr>
            <w:tcW w:w="1700" w:type="dxa"/>
            <w:tcMar>
              <w:top w:w="80" w:type="dxa"/>
              <w:bottom w:w="80" w:type="dxa"/>
              <w:left w:w="100" w:type="dxa"/>
              <w:right w:w="100" w:type="dxa"/>
            </w:tcMar>
          </w:tcPr>
          <w:p>
            <w:pPr>
              <w:spacing w:after="0"/>
            </w:pPr>
            <w:r>
              <w:t xml:space="preserve">34.8 req/s</w:t>
            </w:r>
          </w:p>
        </w:tc>
        <w:tc>
          <w:tcPr>
            <w:tcW w:w="1300" w:type="dxa"/>
            <w:tcMar>
              <w:top w:w="80" w:type="dxa"/>
              <w:bottom w:w="80" w:type="dxa"/>
              <w:left w:w="100" w:type="dxa"/>
              <w:right w:w="100" w:type="dxa"/>
            </w:tcMar>
          </w:tcPr>
          <w:p>
            <w:pPr>
              <w:spacing w:after="0"/>
            </w:pPr>
            <w:r>
              <w:t xml:space="preserve">1.58 s</w:t>
            </w:r>
          </w:p>
        </w:tc>
        <w:tc>
          <w:tcPr>
            <w:tcW w:w="1600" w:type="dxa"/>
            <w:tcMar>
              <w:top w:w="80" w:type="dxa"/>
              <w:bottom w:w="80" w:type="dxa"/>
              <w:left w:w="100" w:type="dxa"/>
              <w:right w:w="100" w:type="dxa"/>
            </w:tcMar>
          </w:tcPr>
          <w:p>
            <w:pPr>
              <w:spacing w:after="0"/>
            </w:pPr>
            <w:r>
              <w:t xml:space="preserve">0.03%</w:t>
            </w:r>
          </w:p>
        </w:tc>
      </w:tr>
    </w:tbl>
    <w:p>
      <w:pPr>
        <w:spacing w:after="200"/>
      </w:pPr>
    </w:p>
    <w:p>
      <w:pPr>
        <w:spacing w:after="80"/>
      </w:pPr>
      <w:r>
        <w:rPr>
          <w:b/>
        </w:rPr>
        <w:t xml:space="preserve">Findings</w:t>
      </w:r>
    </w:p>
    <w:p>
      <w:pPr>
        <w:spacing w:after="160"/>
        <w:ind w:left="360"/>
      </w:pPr>
      <w:r>
        <w:t xml:space="preserve">•  </w:t>
      </w:r>
      <w:r>
        <w:t xml:space="preserve">Increasing concurrency five-fold, from 10 to 50 virtual users, increased throughput by only 30 percent (26.7 to 34.8 req/s) while p95 latency worsened by a factor of 3.4 (461 ms to 1.58 s).</w:t>
      </w:r>
    </w:p>
    <w:p>
      <w:pPr>
        <w:spacing w:after="160"/>
        <w:ind w:left="360"/>
      </w:pPr>
      <w:r>
        <w:t xml:space="preserve">•  </w:t>
      </w:r>
      <w:r>
        <w:t xml:space="preserve">That pattern is a queue, not additional capacity. The endpoint serialises work at roughly 35 requests per second and further concurrency simply waits.</w:t>
      </w:r>
    </w:p>
    <w:p>
      <w:pPr>
        <w:spacing w:after="160"/>
        <w:ind w:left="360"/>
      </w:pPr>
      <w:r>
        <w:t xml:space="preserve">•  </w:t>
      </w:r>
      <w:r>
        <w:t xml:space="preserve">Commissioning runs slightly slower than receiving at the same concurrency, 21.7 against 26.7 req/s, which is expected given it creates new identifiers rather than observing existing ones. It met both latency thresholds with a clean 0.00% error rate.</w:t>
      </w:r>
    </w:p>
    <w:p>
      <w:pPr>
        <w:spacing w:after="160"/>
        <w:ind w:left="360"/>
      </w:pPr>
      <w:r>
        <w:t xml:space="preserve">•  </w:t>
      </w:r>
      <w:r>
        <w:t xml:space="preserve">For comparison, the tnt-demo environment plateaued at about 15 req/s under the identical test. TrackIQ is approximately 2.3 times faster.</w:t>
      </w:r>
    </w:p>
    <w:p>
      <w:pPr>
        <w:spacing w:after="80"/>
      </w:pPr>
      <w:r>
        <w:rPr>
          <w:b/>
        </w:rPr>
        <w:t xml:space="preserve">Why this matters</w:t>
      </w:r>
    </w:p>
    <w:p>
      <w:pPr>
        <w:spacing w:after="160"/>
      </w:pPr>
      <w:r>
        <w:t xml:space="preserve">The plateau, not the peak, is the number that governs planning. Commissioning is the constraining path, and at roughly 22 events per second a 100,000-pack production run takes approximately 76 minutes of continuous ingestion. Whether that is acceptable is a product decision, but it needs to be made deliberately and communicated to partners, because it directly constrains how a manufacturer schedules a production line.</w:t>
      </w:r>
    </w:p>
    <w:p>
      <w:pPr>
        <w:spacing w:after="160"/>
      </w:pPr>
      <w:r>
        <w:t xml:space="preserve">Hypothesis, not confirmed: the ceiling is consistent with a per-event synchronous validation or master-data lookup executed in a loop rather than in bulk. Confirming this requires server-side profiling, which was outside the scope of this test.</w:t>
      </w:r>
    </w:p>
    <w:p>
      <w:pPr>
        <w:spacing w:before="320" w:after="160"/>
        <w:outlineLvl w:val="0"/>
      </w:pPr>
      <w:r>
        <w:rPr>
          <w:b/>
          <w:color w:val="1F4E78"/>
          <w:sz w:val="32"/>
        </w:rPr>
        <w:t xml:space="preserve">10. Performance — Batch Ingestion</w:t>
      </w:r>
    </w:p>
    <w:p>
      <w:pPr>
        <w:spacing w:after="160"/>
      </w:pPr>
      <w:r>
        <w:t xml:space="preserve">Single documents containing progressively more events, submitted sequentially.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2600"/>
        <w:gridCol w:w="1800"/>
        <w:gridCol w:w="2000"/>
      </w:tblGrid>
      <w:tr>
        <w:tc>
          <w:tcPr>
            <w:tcW w:w="2600" w:type="dxa"/>
            <w:shd w:val="clear" w:color="auto" w:fill="1F4E78"/>
            <w:tcMar>
              <w:top w:w="80" w:type="dxa"/>
              <w:bottom w:w="80" w:type="dxa"/>
              <w:left w:w="100" w:type="dxa"/>
              <w:right w:w="100" w:type="dxa"/>
            </w:tcMar>
          </w:tcPr>
          <w:p>
            <w:pPr>
              <w:spacing w:after="0"/>
            </w:pPr>
            <w:r>
              <w:rPr>
                <w:b/>
                <w:color w:val="FFFFFF"/>
              </w:rPr>
              <w:t xml:space="preserve">Events per document</w:t>
            </w:r>
          </w:p>
        </w:tc>
        <w:tc>
          <w:tcPr>
            <w:tcW w:w="2600" w:type="dxa"/>
            <w:shd w:val="clear" w:color="auto" w:fill="1F4E78"/>
            <w:tcMar>
              <w:top w:w="80" w:type="dxa"/>
              <w:bottom w:w="80" w:type="dxa"/>
              <w:left w:w="100" w:type="dxa"/>
              <w:right w:w="100" w:type="dxa"/>
            </w:tcMar>
          </w:tcPr>
          <w:p>
            <w:pPr>
              <w:spacing w:after="0"/>
            </w:pPr>
            <w:r>
              <w:rPr>
                <w:b/>
                <w:color w:val="FFFFFF"/>
              </w:rPr>
              <w:t xml:space="preserve">Status</w:t>
            </w:r>
          </w:p>
        </w:tc>
        <w:tc>
          <w:tcPr>
            <w:tcW w:w="1800" w:type="dxa"/>
            <w:shd w:val="clear" w:color="auto" w:fill="1F4E78"/>
            <w:tcMar>
              <w:top w:w="80" w:type="dxa"/>
              <w:bottom w:w="80" w:type="dxa"/>
              <w:left w:w="100" w:type="dxa"/>
              <w:right w:w="100" w:type="dxa"/>
            </w:tcMar>
          </w:tcPr>
          <w:p>
            <w:pPr>
              <w:spacing w:after="0"/>
            </w:pPr>
            <w:r>
              <w:rPr>
                <w:b/>
                <w:color w:val="FFFFFF"/>
              </w:rPr>
              <w:t xml:space="preserve">Elapsed</w:t>
            </w:r>
          </w:p>
        </w:tc>
        <w:tc>
          <w:tcPr>
            <w:tcW w:w="2000" w:type="dxa"/>
            <w:shd w:val="clear" w:color="auto" w:fill="1F4E78"/>
            <w:tcMar>
              <w:top w:w="80" w:type="dxa"/>
              <w:bottom w:w="80" w:type="dxa"/>
              <w:left w:w="100" w:type="dxa"/>
              <w:right w:w="100" w:type="dxa"/>
            </w:tcMar>
          </w:tcPr>
          <w:p>
            <w:pPr>
              <w:spacing w:after="0"/>
            </w:pPr>
            <w:r>
              <w:rPr>
                <w:b/>
                <w:color w:val="FFFFFF"/>
              </w:rPr>
              <w:t xml:space="preserve">Effective rate</w:t>
            </w:r>
          </w:p>
        </w:tc>
      </w:tr>
      <w:tr>
        <w:tc>
          <w:tcPr>
            <w:tcW w:w="2600" w:type="dxa"/>
            <w:tcMar>
              <w:top w:w="80" w:type="dxa"/>
              <w:bottom w:w="80" w:type="dxa"/>
              <w:left w:w="100" w:type="dxa"/>
              <w:right w:w="100" w:type="dxa"/>
            </w:tcMar>
          </w:tcPr>
          <w:p>
            <w:pPr>
              <w:spacing w:after="0"/>
            </w:pPr>
            <w:r>
              <w:t xml:space="preserve">1</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0.2 s</w:t>
            </w:r>
          </w:p>
        </w:tc>
        <w:tc>
          <w:tcPr>
            <w:tcW w:w="2000" w:type="dxa"/>
            <w:tcMar>
              <w:top w:w="80" w:type="dxa"/>
              <w:bottom w:w="80" w:type="dxa"/>
              <w:left w:w="100" w:type="dxa"/>
              <w:right w:w="100" w:type="dxa"/>
            </w:tcMar>
          </w:tcPr>
          <w:p>
            <w:pPr>
              <w:spacing w:after="0"/>
            </w:pPr>
            <w:r>
              <w:t xml:space="preserve">4.3 events/s</w:t>
            </w:r>
          </w:p>
        </w:tc>
      </w:tr>
      <w:tr>
        <w:tc>
          <w:tcPr>
            <w:tcW w:w="2600" w:type="dxa"/>
            <w:tcMar>
              <w:top w:w="80" w:type="dxa"/>
              <w:bottom w:w="80" w:type="dxa"/>
              <w:left w:w="100" w:type="dxa"/>
              <w:right w:w="100" w:type="dxa"/>
            </w:tcMar>
          </w:tcPr>
          <w:p>
            <w:pPr>
              <w:spacing w:after="0"/>
            </w:pPr>
            <w:r>
              <w:t xml:space="preserve">10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0.7 s</w:t>
            </w:r>
          </w:p>
        </w:tc>
        <w:tc>
          <w:tcPr>
            <w:tcW w:w="2000" w:type="dxa"/>
            <w:tcMar>
              <w:top w:w="80" w:type="dxa"/>
              <w:bottom w:w="80" w:type="dxa"/>
              <w:left w:w="100" w:type="dxa"/>
              <w:right w:w="100" w:type="dxa"/>
            </w:tcMar>
          </w:tcPr>
          <w:p>
            <w:pPr>
              <w:spacing w:after="0"/>
            </w:pPr>
            <w:r>
              <w:t xml:space="preserve">14.7 events/s</w:t>
            </w:r>
          </w:p>
        </w:tc>
      </w:tr>
      <w:tr>
        <w:tc>
          <w:tcPr>
            <w:tcW w:w="2600" w:type="dxa"/>
            <w:tcMar>
              <w:top w:w="80" w:type="dxa"/>
              <w:bottom w:w="80" w:type="dxa"/>
              <w:left w:w="100" w:type="dxa"/>
              <w:right w:w="100" w:type="dxa"/>
            </w:tcMar>
          </w:tcPr>
          <w:p>
            <w:pPr>
              <w:spacing w:after="0"/>
            </w:pPr>
            <w:r>
              <w:t xml:space="preserve">50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2.5 s</w:t>
            </w:r>
          </w:p>
        </w:tc>
        <w:tc>
          <w:tcPr>
            <w:tcW w:w="2000" w:type="dxa"/>
            <w:tcMar>
              <w:top w:w="80" w:type="dxa"/>
              <w:bottom w:w="80" w:type="dxa"/>
              <w:left w:w="100" w:type="dxa"/>
              <w:right w:w="100" w:type="dxa"/>
            </w:tcMar>
          </w:tcPr>
          <w:p>
            <w:pPr>
              <w:spacing w:after="0"/>
            </w:pPr>
            <w:r>
              <w:t xml:space="preserve">19.9 events/s</w:t>
            </w:r>
          </w:p>
        </w:tc>
      </w:tr>
      <w:tr>
        <w:tc>
          <w:tcPr>
            <w:tcW w:w="2600" w:type="dxa"/>
            <w:tcMar>
              <w:top w:w="80" w:type="dxa"/>
              <w:bottom w:w="80" w:type="dxa"/>
              <w:left w:w="100" w:type="dxa"/>
              <w:right w:w="100" w:type="dxa"/>
            </w:tcMar>
          </w:tcPr>
          <w:p>
            <w:pPr>
              <w:spacing w:after="0"/>
            </w:pPr>
            <w:r>
              <w:t xml:space="preserve">100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5.8 s</w:t>
            </w:r>
          </w:p>
        </w:tc>
        <w:tc>
          <w:tcPr>
            <w:tcW w:w="2000" w:type="dxa"/>
            <w:tcMar>
              <w:top w:w="80" w:type="dxa"/>
              <w:bottom w:w="80" w:type="dxa"/>
              <w:left w:w="100" w:type="dxa"/>
              <w:right w:w="100" w:type="dxa"/>
            </w:tcMar>
          </w:tcPr>
          <w:p>
            <w:pPr>
              <w:spacing w:after="0"/>
            </w:pPr>
            <w:r>
              <w:t xml:space="preserve">17.3 events/s</w:t>
            </w:r>
          </w:p>
        </w:tc>
      </w:tr>
      <w:tr>
        <w:tc>
          <w:tcPr>
            <w:tcW w:w="2600" w:type="dxa"/>
            <w:tcMar>
              <w:top w:w="80" w:type="dxa"/>
              <w:bottom w:w="80" w:type="dxa"/>
              <w:left w:w="100" w:type="dxa"/>
              <w:right w:w="100" w:type="dxa"/>
            </w:tcMar>
          </w:tcPr>
          <w:p>
            <w:pPr>
              <w:spacing w:after="0"/>
            </w:pPr>
            <w:r>
              <w:t xml:space="preserve">250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19.2 s</w:t>
            </w:r>
          </w:p>
        </w:tc>
        <w:tc>
          <w:tcPr>
            <w:tcW w:w="2000" w:type="dxa"/>
            <w:tcMar>
              <w:top w:w="80" w:type="dxa"/>
              <w:bottom w:w="80" w:type="dxa"/>
              <w:left w:w="100" w:type="dxa"/>
              <w:right w:w="100" w:type="dxa"/>
            </w:tcMar>
          </w:tcPr>
          <w:p>
            <w:pPr>
              <w:spacing w:after="0"/>
            </w:pPr>
            <w:r>
              <w:t xml:space="preserve">13.0 events/s</w:t>
            </w:r>
          </w:p>
        </w:tc>
      </w:tr>
      <w:tr>
        <w:tc>
          <w:tcPr>
            <w:tcW w:w="2600" w:type="dxa"/>
            <w:tcMar>
              <w:top w:w="80" w:type="dxa"/>
              <w:bottom w:w="80" w:type="dxa"/>
              <w:left w:w="100" w:type="dxa"/>
              <w:right w:w="100" w:type="dxa"/>
            </w:tcMar>
          </w:tcPr>
          <w:p>
            <w:pPr>
              <w:spacing w:after="0"/>
            </w:pPr>
            <w:r>
              <w:t xml:space="preserve">500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32.3 s</w:t>
            </w:r>
          </w:p>
        </w:tc>
        <w:tc>
          <w:tcPr>
            <w:tcW w:w="2000" w:type="dxa"/>
            <w:tcMar>
              <w:top w:w="80" w:type="dxa"/>
              <w:bottom w:w="80" w:type="dxa"/>
              <w:left w:w="100" w:type="dxa"/>
              <w:right w:w="100" w:type="dxa"/>
            </w:tcMar>
          </w:tcPr>
          <w:p>
            <w:pPr>
              <w:spacing w:after="0"/>
            </w:pPr>
            <w:r>
              <w:t xml:space="preserve">15.5 events/s</w:t>
            </w:r>
          </w:p>
        </w:tc>
      </w:tr>
      <w:tr>
        <w:tc>
          <w:tcPr>
            <w:tcW w:w="2600" w:type="dxa"/>
            <w:tcMar>
              <w:top w:w="80" w:type="dxa"/>
              <w:bottom w:w="80" w:type="dxa"/>
              <w:left w:w="100" w:type="dxa"/>
              <w:right w:w="100" w:type="dxa"/>
            </w:tcMar>
          </w:tcPr>
          <w:p>
            <w:pPr>
              <w:spacing w:after="0"/>
            </w:pPr>
            <w:r>
              <w:t xml:space="preserve">1,000</w:t>
            </w:r>
          </w:p>
        </w:tc>
        <w:tc>
          <w:tcPr>
            <w:tcW w:w="2600" w:type="dxa"/>
            <w:tcMar>
              <w:top w:w="80" w:type="dxa"/>
              <w:bottom w:w="80" w:type="dxa"/>
              <w:left w:w="100" w:type="dxa"/>
              <w:right w:w="100" w:type="dxa"/>
            </w:tcMar>
          </w:tcPr>
          <w:p>
            <w:pPr>
              <w:spacing w:after="0"/>
            </w:pPr>
            <w:r>
              <w:t xml:space="preserve">504 Gateway Time-out</w:t>
            </w:r>
          </w:p>
        </w:tc>
        <w:tc>
          <w:tcPr>
            <w:tcW w:w="1800" w:type="dxa"/>
            <w:tcMar>
              <w:top w:w="80" w:type="dxa"/>
              <w:bottom w:w="80" w:type="dxa"/>
              <w:left w:w="100" w:type="dxa"/>
              <w:right w:w="100" w:type="dxa"/>
            </w:tcMar>
          </w:tcPr>
          <w:p>
            <w:pPr>
              <w:spacing w:after="0"/>
            </w:pPr>
            <w:r>
              <w:t xml:space="preserve">60.4 s</w:t>
            </w:r>
          </w:p>
        </w:tc>
        <w:tc>
          <w:tcPr>
            <w:tcW w:w="2000" w:type="dxa"/>
            <w:tcMar>
              <w:top w:w="80" w:type="dxa"/>
              <w:bottom w:w="80" w:type="dxa"/>
              <w:left w:w="100" w:type="dxa"/>
              <w:right w:w="100" w:type="dxa"/>
            </w:tcMar>
          </w:tcPr>
          <w:p>
            <w:pPr>
              <w:spacing w:after="0"/>
            </w:pPr>
            <w:r>
              <w:t xml:space="preserve">—</w:t>
            </w:r>
          </w:p>
        </w:tc>
      </w:tr>
      <w:tr>
        <w:tc>
          <w:tcPr>
            <w:tcW w:w="2600" w:type="dxa"/>
            <w:tcMar>
              <w:top w:w="80" w:type="dxa"/>
              <w:bottom w:w="80" w:type="dxa"/>
              <w:left w:w="100" w:type="dxa"/>
              <w:right w:w="100" w:type="dxa"/>
            </w:tcMar>
          </w:tcPr>
          <w:p>
            <w:pPr>
              <w:spacing w:after="0"/>
            </w:pPr>
            <w:r>
              <w:t xml:space="preserve">5,000</w:t>
            </w:r>
          </w:p>
        </w:tc>
        <w:tc>
          <w:tcPr>
            <w:tcW w:w="2600" w:type="dxa"/>
            <w:tcMar>
              <w:top w:w="80" w:type="dxa"/>
              <w:bottom w:w="80" w:type="dxa"/>
              <w:left w:w="100" w:type="dxa"/>
              <w:right w:w="100" w:type="dxa"/>
            </w:tcMar>
          </w:tcPr>
          <w:p>
            <w:pPr>
              <w:spacing w:after="0"/>
            </w:pPr>
            <w:r>
              <w:t xml:space="preserve">504 Gateway Time-out</w:t>
            </w:r>
          </w:p>
        </w:tc>
        <w:tc>
          <w:tcPr>
            <w:tcW w:w="1800" w:type="dxa"/>
            <w:tcMar>
              <w:top w:w="80" w:type="dxa"/>
              <w:bottom w:w="80" w:type="dxa"/>
              <w:left w:w="100" w:type="dxa"/>
              <w:right w:w="100" w:type="dxa"/>
            </w:tcMar>
          </w:tcPr>
          <w:p>
            <w:pPr>
              <w:spacing w:after="0"/>
            </w:pPr>
            <w:r>
              <w:t xml:space="preserve">61.9 s</w:t>
            </w:r>
          </w:p>
        </w:tc>
        <w:tc>
          <w:tcPr>
            <w:tcW w:w="2000" w:type="dxa"/>
            <w:tcMar>
              <w:top w:w="80" w:type="dxa"/>
              <w:bottom w:w="80" w:type="dxa"/>
              <w:left w:w="100" w:type="dxa"/>
              <w:right w:w="100" w:type="dxa"/>
            </w:tcMar>
          </w:tcPr>
          <w:p>
            <w:pPr>
              <w:spacing w:after="0"/>
            </w:pPr>
            <w:r>
              <w:t xml:space="preserve">—</w:t>
            </w:r>
          </w:p>
        </w:tc>
      </w:tr>
    </w:tbl>
    <w:p>
      <w:pPr>
        <w:spacing w:after="200"/>
      </w:pPr>
    </w:p>
    <w:p>
      <w:pPr>
        <w:spacing w:after="80"/>
      </w:pPr>
      <w:r>
        <w:rPr>
          <w:b/>
        </w:rPr>
        <w:t xml:space="preserve">Findings</w:t>
      </w:r>
    </w:p>
    <w:p>
      <w:pPr>
        <w:spacing w:after="160"/>
        <w:ind w:left="360"/>
      </w:pPr>
      <w:r>
        <w:t xml:space="preserve">•  </w:t>
      </w:r>
      <w:r>
        <w:t xml:space="preserve">Batch throughput settles at roughly 13 to 20 events per second and does not improve with larger batches — the cost is linear in the number of events.</w:t>
      </w:r>
    </w:p>
    <w:p>
      <w:pPr>
        <w:spacing w:after="160"/>
        <w:ind w:left="360"/>
      </w:pPr>
      <w:r>
        <w:t xml:space="preserve">•  </w:t>
      </w:r>
      <w:r>
        <w:t xml:space="preserve">A hard 60-second gateway timeout, enforced by APISIX, caps a single document at somewhere between 500 and 1,000 events. The 500-event case completed in 32.3 seconds, comfortably inside the limit; 1,000 events did not.</w:t>
      </w:r>
    </w:p>
    <w:p>
      <w:pPr>
        <w:spacing w:after="160"/>
        <w:ind w:left="360"/>
      </w:pPr>
      <w:r>
        <w:t xml:space="preserve">•  </w:t>
      </w:r>
      <w:r>
        <w:t xml:space="preserve">Batching is slower per event than concurrent single-event requests (roughly 15 events/s batched against 35 req/s concurrent).</w:t>
      </w:r>
    </w:p>
    <w:p>
      <w:pPr>
        <w:spacing w:after="80"/>
      </w:pPr>
      <w:r>
        <w:rPr>
          <w:b/>
        </w:rPr>
        <w:t xml:space="preserve">Why this matters</w:t>
      </w:r>
    </w:p>
    <w:p>
      <w:pPr>
        <w:spacing w:after="160"/>
      </w:pPr>
      <w:r>
        <w:t xml:space="preserve">Batching is the natural thing for an integrator to reach for and, counter-intuitively, it is the slower option here. That should be stated explicitly in the partner documentation, along with the practical ceiling, because the current behaviour actively misleads: a partner that increases its batch size to go faster will get slower, and past roughly 500 events per document will start receiving gateway timeouts.</w:t>
      </w:r>
    </w:p>
    <w:p>
      <w:pPr>
        <w:spacing w:after="160"/>
      </w:pPr>
      <w:r>
        <w:t xml:space="preserve">The timeout itself is the more serious issue. A 504 tells the client the request failed, but the backend continues processing after the gateway has given up. On the tnt-demo environment this was confirmed directly: events from a timed-out 1,000-event batch were all present in the ledger when probed afterwards. The same behaviour is likely here but was not confirmed on TrackIQ. The result is a client that is told "failed" about work that in fact succeeded, with no completion signal and no status endpoint to ask.</w:t>
      </w:r>
    </w:p>
    <w:p>
      <w:pPr>
        <w:spacing w:after="160"/>
      </w:pPr>
      <w:r>
        <w:t xml:space="preserve">The recommended fix is to accept large batches asynchronously — return 202 with a job identifier the partner can poll — rather than holding a synchronous connection open past the gateway timeout.</w:t>
      </w:r>
    </w:p>
    <w:p>
      <w:pPr>
        <w:spacing w:before="320" w:after="160"/>
        <w:outlineLvl w:val="0"/>
      </w:pPr>
      <w:r>
        <w:rPr>
          <w:b/>
          <w:color w:val="1F4E78"/>
          <w:sz w:val="32"/>
        </w:rPr>
        <w:t xml:space="preserve">11. Performance — Web Tier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000"/>
        <w:gridCol w:w="1800"/>
        <w:gridCol w:w="1800"/>
      </w:tblGrid>
      <w:tr>
        <w:tc>
          <w:tcPr>
            <w:tcW w:w="2400" w:type="dxa"/>
            <w:shd w:val="clear" w:color="auto" w:fill="1F4E78"/>
            <w:tcMar>
              <w:top w:w="80" w:type="dxa"/>
              <w:bottom w:w="80" w:type="dxa"/>
              <w:left w:w="100" w:type="dxa"/>
              <w:right w:w="100" w:type="dxa"/>
            </w:tcMar>
          </w:tcPr>
          <w:p>
            <w:pPr>
              <w:spacing w:after="0"/>
            </w:pPr>
            <w:r>
              <w:rPr>
                <w:b/>
                <w:color w:val="FFFFFF"/>
              </w:rPr>
              <w:t xml:space="preserve">Route</w:t>
            </w:r>
          </w:p>
        </w:tc>
        <w:tc>
          <w:tcPr>
            <w:tcW w:w="3000" w:type="dxa"/>
            <w:shd w:val="clear" w:color="auto" w:fill="1F4E78"/>
            <w:tcMar>
              <w:top w:w="80" w:type="dxa"/>
              <w:bottom w:w="80" w:type="dxa"/>
              <w:left w:w="100" w:type="dxa"/>
              <w:right w:w="100" w:type="dxa"/>
            </w:tcMar>
          </w:tcPr>
          <w:p>
            <w:pPr>
              <w:spacing w:after="0"/>
            </w:pPr>
            <w:r>
              <w:rPr>
                <w:b/>
                <w:color w:val="FFFFFF"/>
              </w:rPr>
              <w:t xml:space="preserve">TTFB range (3 samples)</w:t>
            </w:r>
          </w:p>
        </w:tc>
        <w:tc>
          <w:tcPr>
            <w:tcW w:w="1800" w:type="dxa"/>
            <w:shd w:val="clear" w:color="auto" w:fill="1F4E78"/>
            <w:tcMar>
              <w:top w:w="80" w:type="dxa"/>
              <w:bottom w:w="80" w:type="dxa"/>
              <w:left w:w="100" w:type="dxa"/>
              <w:right w:w="100" w:type="dxa"/>
            </w:tcMar>
          </w:tcPr>
          <w:p>
            <w:pPr>
              <w:spacing w:after="0"/>
            </w:pPr>
            <w:r>
              <w:rPr>
                <w:b/>
                <w:color w:val="FFFFFF"/>
              </w:rPr>
              <w:t xml:space="preserve">Status</w:t>
            </w:r>
          </w:p>
        </w:tc>
        <w:tc>
          <w:tcPr>
            <w:tcW w:w="18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2400" w:type="dxa"/>
            <w:tcMar>
              <w:top w:w="80" w:type="dxa"/>
              <w:bottom w:w="80" w:type="dxa"/>
              <w:left w:w="100" w:type="dxa"/>
              <w:right w:w="100" w:type="dxa"/>
            </w:tcMar>
          </w:tcPr>
          <w:p>
            <w:pPr>
              <w:spacing w:after="0"/>
            </w:pPr>
            <w:r>
              <w:t xml:space="preserve">/</w:t>
            </w:r>
          </w:p>
        </w:tc>
        <w:tc>
          <w:tcPr>
            <w:tcW w:w="3000" w:type="dxa"/>
            <w:tcMar>
              <w:top w:w="80" w:type="dxa"/>
              <w:bottom w:w="80" w:type="dxa"/>
              <w:left w:w="100" w:type="dxa"/>
              <w:right w:w="100" w:type="dxa"/>
            </w:tcMar>
          </w:tcPr>
          <w:p>
            <w:pPr>
              <w:spacing w:after="0"/>
            </w:pPr>
            <w:r>
              <w:t xml:space="preserve">88–112 ms</w:t>
            </w:r>
          </w:p>
        </w:tc>
        <w:tc>
          <w:tcPr>
            <w:tcW w:w="1800" w:type="dxa"/>
            <w:tcMar>
              <w:top w:w="80" w:type="dxa"/>
              <w:bottom w:w="80" w:type="dxa"/>
              <w:left w:w="100" w:type="dxa"/>
              <w:right w:w="100" w:type="dxa"/>
            </w:tcMar>
          </w:tcPr>
          <w:p>
            <w:pPr>
              <w:spacing w:after="0"/>
            </w:pPr>
            <w:r>
              <w:t xml:space="preserve">200</w:t>
            </w:r>
          </w:p>
        </w:tc>
        <w:tc>
          <w:tcPr>
            <w:tcW w:w="1800" w:type="dxa"/>
            <w:tcMar>
              <w:top w:w="80" w:type="dxa"/>
              <w:bottom w:w="80" w:type="dxa"/>
              <w:left w:w="100" w:type="dxa"/>
              <w:right w:w="100" w:type="dxa"/>
            </w:tcMar>
          </w:tcPr>
          <w:p>
            <w:pPr>
              <w:spacing w:after="0"/>
            </w:pPr>
            <w:r>
              <w:t xml:space="preserve">PASS</w:t>
            </w:r>
          </w:p>
        </w:tc>
      </w:tr>
      <w:tr>
        <w:tc>
          <w:tcPr>
            <w:tcW w:w="2400" w:type="dxa"/>
            <w:tcMar>
              <w:top w:w="80" w:type="dxa"/>
              <w:bottom w:w="80" w:type="dxa"/>
              <w:left w:w="100" w:type="dxa"/>
              <w:right w:w="100" w:type="dxa"/>
            </w:tcMar>
          </w:tcPr>
          <w:p>
            <w:pPr>
              <w:spacing w:after="0"/>
            </w:pPr>
            <w:r>
              <w:t xml:space="preserve">/login</w:t>
            </w:r>
          </w:p>
        </w:tc>
        <w:tc>
          <w:tcPr>
            <w:tcW w:w="3000" w:type="dxa"/>
            <w:tcMar>
              <w:top w:w="80" w:type="dxa"/>
              <w:bottom w:w="80" w:type="dxa"/>
              <w:left w:w="100" w:type="dxa"/>
              <w:right w:w="100" w:type="dxa"/>
            </w:tcMar>
          </w:tcPr>
          <w:p>
            <w:pPr>
              <w:spacing w:after="0"/>
            </w:pPr>
            <w:r>
              <w:t xml:space="preserve">67–82 ms</w:t>
            </w:r>
          </w:p>
        </w:tc>
        <w:tc>
          <w:tcPr>
            <w:tcW w:w="1800" w:type="dxa"/>
            <w:tcMar>
              <w:top w:w="80" w:type="dxa"/>
              <w:bottom w:w="80" w:type="dxa"/>
              <w:left w:w="100" w:type="dxa"/>
              <w:right w:w="100" w:type="dxa"/>
            </w:tcMar>
          </w:tcPr>
          <w:p>
            <w:pPr>
              <w:spacing w:after="0"/>
            </w:pPr>
            <w:r>
              <w:t xml:space="preserve">200</w:t>
            </w:r>
          </w:p>
        </w:tc>
        <w:tc>
          <w:tcPr>
            <w:tcW w:w="1800" w:type="dxa"/>
            <w:tcMar>
              <w:top w:w="80" w:type="dxa"/>
              <w:bottom w:w="80" w:type="dxa"/>
              <w:left w:w="100" w:type="dxa"/>
              <w:right w:w="100" w:type="dxa"/>
            </w:tcMar>
          </w:tcPr>
          <w:p>
            <w:pPr>
              <w:spacing w:after="0"/>
            </w:pPr>
            <w:r>
              <w:t xml:space="preserve">PASS</w:t>
            </w:r>
          </w:p>
        </w:tc>
      </w:tr>
      <w:tr>
        <w:tc>
          <w:tcPr>
            <w:tcW w:w="2400" w:type="dxa"/>
            <w:tcMar>
              <w:top w:w="80" w:type="dxa"/>
              <w:bottom w:w="80" w:type="dxa"/>
              <w:left w:w="100" w:type="dxa"/>
              <w:right w:w="100" w:type="dxa"/>
            </w:tcMar>
          </w:tcPr>
          <w:p>
            <w:pPr>
              <w:spacing w:after="0"/>
            </w:pPr>
            <w:r>
              <w:t xml:space="preserve">/scanner</w:t>
            </w:r>
          </w:p>
        </w:tc>
        <w:tc>
          <w:tcPr>
            <w:tcW w:w="3000" w:type="dxa"/>
            <w:tcMar>
              <w:top w:w="80" w:type="dxa"/>
              <w:bottom w:w="80" w:type="dxa"/>
              <w:left w:w="100" w:type="dxa"/>
              <w:right w:w="100" w:type="dxa"/>
            </w:tcMar>
          </w:tcPr>
          <w:p>
            <w:pPr>
              <w:spacing w:after="0"/>
            </w:pPr>
            <w:r>
              <w:t xml:space="preserve">106–126 ms</w:t>
            </w:r>
          </w:p>
        </w:tc>
        <w:tc>
          <w:tcPr>
            <w:tcW w:w="1800" w:type="dxa"/>
            <w:tcMar>
              <w:top w:w="80" w:type="dxa"/>
              <w:bottom w:w="80" w:type="dxa"/>
              <w:left w:w="100" w:type="dxa"/>
              <w:right w:w="100" w:type="dxa"/>
            </w:tcMar>
          </w:tcPr>
          <w:p>
            <w:pPr>
              <w:spacing w:after="0"/>
            </w:pPr>
            <w:r>
              <w:t xml:space="preserve">307 redirect</w:t>
            </w:r>
          </w:p>
        </w:tc>
        <w:tc>
          <w:tcPr>
            <w:tcW w:w="1800" w:type="dxa"/>
            <w:tcMar>
              <w:top w:w="80" w:type="dxa"/>
              <w:bottom w:w="80" w:type="dxa"/>
              <w:left w:w="100" w:type="dxa"/>
              <w:right w:w="100" w:type="dxa"/>
            </w:tcMar>
          </w:tcPr>
          <w:p>
            <w:pPr>
              <w:spacing w:after="0"/>
            </w:pPr>
            <w:r>
              <w:t xml:space="preserve">See note</w:t>
            </w:r>
          </w:p>
        </w:tc>
      </w:tr>
    </w:tbl>
    <w:p>
      <w:pPr>
        <w:spacing w:after="200"/>
      </w:pPr>
    </w:p>
    <w:p>
      <w:pPr>
        <w:spacing w:after="80"/>
      </w:pPr>
      <w:r>
        <w:rPr>
          <w:b/>
        </w:rPr>
        <w:t xml:space="preserve">Findings</w:t>
      </w:r>
    </w:p>
    <w:p>
      <w:pPr>
        <w:spacing w:after="160"/>
        <w:ind w:left="360"/>
      </w:pPr>
      <w:r>
        <w:t xml:space="preserve">•  </w:t>
      </w:r>
      <w:r>
        <w:t xml:space="preserve">Server-side HTML delivery is fast and consistent, well within any reasonable budget. Pages are prerendered and edge-cached.</w:t>
      </w:r>
    </w:p>
    <w:p>
      <w:pPr>
        <w:spacing w:after="160"/>
        <w:ind w:left="360"/>
      </w:pPr>
      <w:r>
        <w:t xml:space="preserve">•  </w:t>
      </w:r>
      <w:r>
        <w:t xml:space="preserve">/scanner returns a 307 redirect on this environment rather than serving the scanner directly, unlike tnt-demo where it renders in place.</w:t>
      </w:r>
    </w:p>
    <w:p>
      <w:pPr>
        <w:spacing w:after="80"/>
      </w:pPr>
      <w:r>
        <w:rPr>
          <w:b/>
        </w:rPr>
        <w:t xml:space="preserve">Why this matters</w:t>
      </w:r>
    </w:p>
    <w:p>
      <w:pPr>
        <w:spacing w:after="160"/>
      </w:pPr>
      <w:r>
        <w:t xml:space="preserve">These figures measure HTML delivery only, not full page render. They confirm the web tier is not a bottleneck, but they are not a substitute for measuring time-to-interactive in a real browser on a representative device — which matters most for the public scanner, the one screen used by pharmacists and patients on mid-range mobile hardware. That measurement remains outstanding.</w:t>
      </w:r>
    </w:p>
    <w:p>
      <w:pPr>
        <w:spacing w:before="320" w:after="160"/>
        <w:outlineLvl w:val="0"/>
      </w:pPr>
      <w:r>
        <w:rPr>
          <w:b/>
          <w:color w:val="1F4E78"/>
          <w:sz w:val="32"/>
        </w:rPr>
        <w:t xml:space="preserve">12. Service Stability</w:t>
      </w:r>
    </w:p>
    <w:p>
      <w:pPr>
        <w:spacing w:after="160"/>
      </w:pPr>
      <w:r>
        <w:t xml:space="preserve">Observed across the full test session rather than by a single deliberate test.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1600"/>
        <w:gridCol w:w="4400"/>
      </w:tblGrid>
      <w:tr>
        <w:tc>
          <w:tcPr>
            <w:tcW w:w="3000" w:type="dxa"/>
            <w:shd w:val="clear" w:color="auto" w:fill="1F4E78"/>
            <w:tcMar>
              <w:top w:w="80" w:type="dxa"/>
              <w:bottom w:w="80" w:type="dxa"/>
              <w:left w:w="100" w:type="dxa"/>
              <w:right w:w="100" w:type="dxa"/>
            </w:tcMar>
          </w:tcPr>
          <w:p>
            <w:pPr>
              <w:spacing w:after="0"/>
            </w:pPr>
            <w:r>
              <w:rPr>
                <w:b/>
                <w:color w:val="FFFFFF"/>
              </w:rPr>
              <w:t xml:space="preserve">Observation window</w:t>
            </w:r>
          </w:p>
        </w:tc>
        <w:tc>
          <w:tcPr>
            <w:tcW w:w="1600" w:type="dxa"/>
            <w:shd w:val="clear" w:color="auto" w:fill="1F4E78"/>
            <w:tcMar>
              <w:top w:w="80" w:type="dxa"/>
              <w:bottom w:w="80" w:type="dxa"/>
              <w:left w:w="100" w:type="dxa"/>
              <w:right w:w="100" w:type="dxa"/>
            </w:tcMar>
          </w:tcPr>
          <w:p>
            <w:pPr>
              <w:spacing w:after="0"/>
            </w:pPr>
            <w:r>
              <w:rPr>
                <w:b/>
                <w:color w:val="FFFFFF"/>
              </w:rPr>
              <w:t xml:space="preserve">Requests</w:t>
            </w:r>
          </w:p>
        </w:tc>
        <w:tc>
          <w:tcPr>
            <w:tcW w:w="4400" w:type="dxa"/>
            <w:shd w:val="clear" w:color="auto" w:fill="1F4E78"/>
            <w:tcMar>
              <w:top w:w="80" w:type="dxa"/>
              <w:bottom w:w="80" w:type="dxa"/>
              <w:left w:w="100" w:type="dxa"/>
              <w:right w:w="100" w:type="dxa"/>
            </w:tcMar>
          </w:tcPr>
          <w:p>
            <w:pPr>
              <w:spacing w:after="0"/>
            </w:pPr>
            <w:r>
              <w:rPr>
                <w:b/>
                <w:color w:val="FFFFFF"/>
              </w:rPr>
              <w:t xml:space="preserve">Outcome</w:t>
            </w:r>
          </w:p>
        </w:tc>
      </w:tr>
      <w:tr>
        <w:tc>
          <w:tcPr>
            <w:tcW w:w="3000" w:type="dxa"/>
            <w:tcMar>
              <w:top w:w="80" w:type="dxa"/>
              <w:bottom w:w="80" w:type="dxa"/>
              <w:left w:w="100" w:type="dxa"/>
              <w:right w:w="100" w:type="dxa"/>
            </w:tcMar>
          </w:tcPr>
          <w:p>
            <w:pPr>
              <w:spacing w:after="0"/>
            </w:pPr>
            <w:r>
              <w:t xml:space="preserve">07:30–07:35, manual sequential</w:t>
            </w:r>
          </w:p>
        </w:tc>
        <w:tc>
          <w:tcPr>
            <w:tcW w:w="1600" w:type="dxa"/>
            <w:tcMar>
              <w:top w:w="80" w:type="dxa"/>
              <w:bottom w:w="80" w:type="dxa"/>
              <w:left w:w="100" w:type="dxa"/>
              <w:right w:w="100" w:type="dxa"/>
            </w:tcMar>
          </w:tcPr>
          <w:p>
            <w:pPr>
              <w:spacing w:after="0"/>
            </w:pPr>
            <w:r>
              <w:t xml:space="preserve">~25</w:t>
            </w:r>
          </w:p>
        </w:tc>
        <w:tc>
          <w:tcPr>
            <w:tcW w:w="4400" w:type="dxa"/>
            <w:tcMar>
              <w:top w:w="80" w:type="dxa"/>
              <w:bottom w:w="80" w:type="dxa"/>
              <w:left w:w="100" w:type="dxa"/>
              <w:right w:w="100" w:type="dxa"/>
            </w:tcMar>
          </w:tcPr>
          <w:p>
            <w:pPr>
              <w:spacing w:after="0"/>
            </w:pPr>
            <w:r>
              <w:t xml:space="preserve">100% HTTP 500</w:t>
            </w:r>
          </w:p>
        </w:tc>
      </w:tr>
      <w:tr>
        <w:tc>
          <w:tcPr>
            <w:tcW w:w="3000" w:type="dxa"/>
            <w:tcMar>
              <w:top w:w="80" w:type="dxa"/>
              <w:bottom w:w="80" w:type="dxa"/>
              <w:left w:w="100" w:type="dxa"/>
              <w:right w:w="100" w:type="dxa"/>
            </w:tcMar>
          </w:tcPr>
          <w:p>
            <w:pPr>
              <w:spacing w:after="0"/>
            </w:pPr>
            <w:r>
              <w:t xml:space="preserve">10:40, k6 at 10 virtual users</w:t>
            </w:r>
          </w:p>
        </w:tc>
        <w:tc>
          <w:tcPr>
            <w:tcW w:w="1600" w:type="dxa"/>
            <w:tcMar>
              <w:top w:w="80" w:type="dxa"/>
              <w:bottom w:w="80" w:type="dxa"/>
              <w:left w:w="100" w:type="dxa"/>
              <w:right w:w="100" w:type="dxa"/>
            </w:tcMar>
          </w:tcPr>
          <w:p>
            <w:pPr>
              <w:spacing w:after="0"/>
            </w:pPr>
            <w:r>
              <w:t xml:space="preserve">1,872</w:t>
            </w:r>
          </w:p>
        </w:tc>
        <w:tc>
          <w:tcPr>
            <w:tcW w:w="4400" w:type="dxa"/>
            <w:tcMar>
              <w:top w:w="80" w:type="dxa"/>
              <w:bottom w:w="80" w:type="dxa"/>
              <w:left w:w="100" w:type="dxa"/>
              <w:right w:w="100" w:type="dxa"/>
            </w:tcMar>
          </w:tcPr>
          <w:p>
            <w:pPr>
              <w:spacing w:after="0"/>
            </w:pPr>
            <w:r>
              <w:t xml:space="preserve">14% HTTP 500 (263 errors)</w:t>
            </w:r>
          </w:p>
        </w:tc>
      </w:tr>
      <w:tr>
        <w:tc>
          <w:tcPr>
            <w:tcW w:w="3000" w:type="dxa"/>
            <w:tcMar>
              <w:top w:w="80" w:type="dxa"/>
              <w:bottom w:w="80" w:type="dxa"/>
              <w:left w:w="100" w:type="dxa"/>
              <w:right w:w="100" w:type="dxa"/>
            </w:tcMar>
          </w:tcPr>
          <w:p>
            <w:pPr>
              <w:spacing w:after="0"/>
            </w:pPr>
            <w:r>
              <w:t xml:space="preserve">10:42, manual sequential</w:t>
            </w:r>
          </w:p>
        </w:tc>
        <w:tc>
          <w:tcPr>
            <w:tcW w:w="1600" w:type="dxa"/>
            <w:tcMar>
              <w:top w:w="80" w:type="dxa"/>
              <w:bottom w:w="80" w:type="dxa"/>
              <w:left w:w="100" w:type="dxa"/>
              <w:right w:w="100" w:type="dxa"/>
            </w:tcMar>
          </w:tcPr>
          <w:p>
            <w:pPr>
              <w:spacing w:after="0"/>
            </w:pPr>
            <w:r>
              <w:t xml:space="preserve">40</w:t>
            </w:r>
          </w:p>
        </w:tc>
        <w:tc>
          <w:tcPr>
            <w:tcW w:w="4400" w:type="dxa"/>
            <w:tcMar>
              <w:top w:w="80" w:type="dxa"/>
              <w:bottom w:w="80" w:type="dxa"/>
              <w:left w:w="100" w:type="dxa"/>
              <w:right w:w="100" w:type="dxa"/>
            </w:tcMar>
          </w:tcPr>
          <w:p>
            <w:pPr>
              <w:spacing w:after="0"/>
            </w:pPr>
            <w:r>
              <w:t xml:space="preserve">0% errors, all 202</w:t>
            </w:r>
          </w:p>
        </w:tc>
      </w:tr>
      <w:tr>
        <w:tc>
          <w:tcPr>
            <w:tcW w:w="3000" w:type="dxa"/>
            <w:tcMar>
              <w:top w:w="80" w:type="dxa"/>
              <w:bottom w:w="80" w:type="dxa"/>
              <w:left w:w="100" w:type="dxa"/>
              <w:right w:w="100" w:type="dxa"/>
            </w:tcMar>
          </w:tcPr>
          <w:p>
            <w:pPr>
              <w:spacing w:after="0"/>
            </w:pPr>
            <w:r>
              <w:t xml:space="preserve">10:44, k6 at 50 virtual users</w:t>
            </w:r>
          </w:p>
        </w:tc>
        <w:tc>
          <w:tcPr>
            <w:tcW w:w="1600" w:type="dxa"/>
            <w:tcMar>
              <w:top w:w="80" w:type="dxa"/>
              <w:bottom w:w="80" w:type="dxa"/>
              <w:left w:w="100" w:type="dxa"/>
              <w:right w:w="100" w:type="dxa"/>
            </w:tcMar>
          </w:tcPr>
          <w:p>
            <w:pPr>
              <w:spacing w:after="0"/>
            </w:pPr>
            <w:r>
              <w:t xml:space="preserve">3,131</w:t>
            </w:r>
          </w:p>
        </w:tc>
        <w:tc>
          <w:tcPr>
            <w:tcW w:w="4400" w:type="dxa"/>
            <w:tcMar>
              <w:top w:w="80" w:type="dxa"/>
              <w:bottom w:w="80" w:type="dxa"/>
              <w:left w:w="100" w:type="dxa"/>
              <w:right w:w="100" w:type="dxa"/>
            </w:tcMar>
          </w:tcPr>
          <w:p>
            <w:pPr>
              <w:spacing w:after="0"/>
            </w:pPr>
            <w:r>
              <w:t xml:space="preserve">0.03% (1 error)</w:t>
            </w:r>
          </w:p>
        </w:tc>
      </w:tr>
    </w:tbl>
    <w:p>
      <w:pPr>
        <w:spacing w:after="200"/>
      </w:pPr>
    </w:p>
    <w:p>
      <w:pPr>
        <w:spacing w:after="80"/>
      </w:pPr>
      <w:r>
        <w:rPr>
          <w:b/>
        </w:rPr>
        <w:t xml:space="preserve">Findings</w:t>
      </w:r>
    </w:p>
    <w:p>
      <w:pPr>
        <w:spacing w:after="160"/>
        <w:ind w:left="360"/>
      </w:pPr>
      <w:r>
        <w:t xml:space="preserve">•  </w:t>
      </w:r>
      <w:r>
        <w:t xml:space="preserve">The ingestion endpoint returned intermittent HTTP 500 responses that were not attributable to payload content. The same document shape that failed consistently in one window succeeded consistently in another.</w:t>
      </w:r>
    </w:p>
    <w:p>
      <w:pPr>
        <w:spacing w:after="160"/>
        <w:ind w:left="360"/>
      </w:pPr>
      <w:r>
        <w:t xml:space="preserve">•  </w:t>
      </w:r>
      <w:r>
        <w:t xml:space="preserve">Failures were fast, typically 130 to 260 milliseconds, indicating an error raised early rather than a resource or timeout exhaustion.</w:t>
      </w:r>
    </w:p>
    <w:p>
      <w:pPr>
        <w:spacing w:after="160"/>
        <w:ind w:left="360"/>
      </w:pPr>
      <w:r>
        <w:t xml:space="preserve">•  </w:t>
      </w:r>
      <w:r>
        <w:t xml:space="preserve">Payload shape was ruled out by bisection: schema-invalid documents returned a correct 400 throughout, and every document that passed schema validation returned 500 during the affected window regardless of identifier type, business step, JSON-LD context or the presence of optional fields.</w:t>
      </w:r>
    </w:p>
    <w:p>
      <w:pPr>
        <w:spacing w:after="160"/>
        <w:ind w:left="360"/>
      </w:pPr>
      <w:r>
        <w:t xml:space="preserve">•  </w:t>
      </w:r>
      <w:r>
        <w:t xml:space="preserve">Throughout the affected window, GET /api/health continued to report {"status":"ok"}.</w:t>
      </w:r>
    </w:p>
    <w:p>
      <w:pPr>
        <w:spacing w:after="80"/>
      </w:pPr>
      <w:r>
        <w:rPr>
          <w:b/>
        </w:rPr>
        <w:t xml:space="preserve">Why this matters</w:t>
      </w:r>
    </w:p>
    <w:p>
      <w:pPr>
        <w:spacing w:after="160"/>
      </w:pPr>
      <w:r>
        <w:t xml:space="preserve">This is the finding most likely to be missed by routine monitoring, and it is worth being candid about how it was found: an early draft of this report recorded the endpoint as completely broken, on the strength of roughly 25 consecutive failures. A later load run accepted 1,609 events and disproved that. Both observations were accurate; the conclusion drawn from the first was not.</w:t>
      </w:r>
    </w:p>
    <w:p>
      <w:pPr>
        <w:spacing w:after="160"/>
      </w:pPr>
      <w:r>
        <w:t xml:space="preserve">That is precisely the danger. An intermittent fault presents as a total outage to whoever happens to be testing during a bad window, and as a healthy system to whoever tests afterwards — and the health endpoint agrees with the optimist in both cases, because it checks only object-storage configuration and never exercises the ingestion path. The health check should cover a real dependency traversal, and the 500 rate should be alerted on directly.</w:t>
      </w:r>
    </w:p>
    <w:p>
      <w:pPr>
        <w:spacing w:after="160"/>
      </w:pPr>
      <w:r>
        <w:t xml:space="preserve">The underlying cause was not identified and cannot be from the client side. Server-side logs for the affected window, roughly 07:30 to 07:35 UTC on 3 September 2026, would establish it.</w:t>
      </w:r>
    </w:p>
    <w:p>
      <w:pPr>
        <w:spacing w:before="320" w:after="160"/>
        <w:outlineLvl w:val="0"/>
      </w:pPr>
      <w:r>
        <w:rPr>
          <w:b/>
          <w:color w:val="1F4E78"/>
          <w:sz w:val="32"/>
        </w:rPr>
        <w:t xml:space="preserve">13. Web Portal Authentication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3400"/>
        <w:gridCol w:w="1900"/>
        <w:gridCol w:w="2200"/>
      </w:tblGrid>
      <w:tr>
        <w:tc>
          <w:tcPr>
            <w:tcW w:w="1500" w:type="dxa"/>
            <w:shd w:val="clear" w:color="auto" w:fill="1F4E78"/>
            <w:tcMar>
              <w:top w:w="80" w:type="dxa"/>
              <w:bottom w:w="80" w:type="dxa"/>
              <w:left w:w="100" w:type="dxa"/>
              <w:right w:w="100" w:type="dxa"/>
            </w:tcMar>
          </w:tcPr>
          <w:p>
            <w:pPr>
              <w:spacing w:after="0"/>
            </w:pPr>
            <w:r>
              <w:rPr>
                <w:b/>
                <w:color w:val="FFFFFF"/>
              </w:rPr>
              <w:t xml:space="preserve">Test</w:t>
            </w:r>
          </w:p>
        </w:tc>
        <w:tc>
          <w:tcPr>
            <w:tcW w:w="34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900" w:type="dxa"/>
            <w:shd w:val="clear" w:color="auto" w:fill="1F4E78"/>
            <w:tcMar>
              <w:top w:w="80" w:type="dxa"/>
              <w:bottom w:w="80" w:type="dxa"/>
              <w:left w:w="100" w:type="dxa"/>
              <w:right w:w="100" w:type="dxa"/>
            </w:tcMar>
          </w:tcPr>
          <w:p>
            <w:pPr>
              <w:spacing w:after="0"/>
            </w:pPr>
            <w:r>
              <w:rPr>
                <w:b/>
                <w:color w:val="FFFFFF"/>
              </w:rPr>
              <w:t xml:space="preserve">Result</w:t>
            </w:r>
          </w:p>
        </w:tc>
        <w:tc>
          <w:tcPr>
            <w:tcW w:w="22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500" w:type="dxa"/>
            <w:tcMar>
              <w:top w:w="80" w:type="dxa"/>
              <w:bottom w:w="80" w:type="dxa"/>
              <w:left w:w="100" w:type="dxa"/>
              <w:right w:w="100" w:type="dxa"/>
            </w:tcMar>
          </w:tcPr>
          <w:p>
            <w:pPr>
              <w:spacing w:after="0"/>
            </w:pPr>
            <w:r>
              <w:t xml:space="preserve">PORTAL-001</w:t>
            </w:r>
          </w:p>
        </w:tc>
        <w:tc>
          <w:tcPr>
            <w:tcW w:w="3400" w:type="dxa"/>
            <w:tcMar>
              <w:top w:w="80" w:type="dxa"/>
              <w:bottom w:w="80" w:type="dxa"/>
              <w:left w:w="100" w:type="dxa"/>
              <w:right w:w="100" w:type="dxa"/>
            </w:tcMar>
          </w:tcPr>
          <w:p>
            <w:pPr>
              <w:spacing w:after="0"/>
            </w:pPr>
            <w:r>
              <w:t xml:space="preserve">POST to the legacy /api/auth/login</w:t>
            </w:r>
          </w:p>
        </w:tc>
        <w:tc>
          <w:tcPr>
            <w:tcW w:w="1900" w:type="dxa"/>
            <w:tcMar>
              <w:top w:w="80" w:type="dxa"/>
              <w:bottom w:w="80" w:type="dxa"/>
              <w:left w:w="100" w:type="dxa"/>
              <w:right w:w="100" w:type="dxa"/>
            </w:tcMar>
          </w:tcPr>
          <w:p>
            <w:pPr>
              <w:spacing w:after="0"/>
            </w:pPr>
            <w:r>
              <w:t xml:space="preserve">410 Gone — endpoint retired</w:t>
            </w:r>
          </w:p>
        </w:tc>
        <w:tc>
          <w:tcPr>
            <w:tcW w:w="2200" w:type="dxa"/>
            <w:tcMar>
              <w:top w:w="80" w:type="dxa"/>
              <w:bottom w:w="80" w:type="dxa"/>
              <w:left w:w="100" w:type="dxa"/>
              <w:right w:w="100" w:type="dxa"/>
            </w:tcMar>
          </w:tcPr>
          <w:p>
            <w:pPr>
              <w:spacing w:after="0"/>
            </w:pPr>
            <w:r>
              <w:t xml:space="preserve">Informational</w:t>
            </w:r>
          </w:p>
        </w:tc>
      </w:tr>
      <w:tr>
        <w:tc>
          <w:tcPr>
            <w:tcW w:w="1500" w:type="dxa"/>
            <w:tcMar>
              <w:top w:w="80" w:type="dxa"/>
              <w:bottom w:w="80" w:type="dxa"/>
              <w:left w:w="100" w:type="dxa"/>
              <w:right w:w="100" w:type="dxa"/>
            </w:tcMar>
          </w:tcPr>
          <w:p>
            <w:pPr>
              <w:spacing w:after="0"/>
            </w:pPr>
            <w:r>
              <w:t xml:space="preserve">PORTAL-002</w:t>
            </w:r>
          </w:p>
        </w:tc>
        <w:tc>
          <w:tcPr>
            <w:tcW w:w="3400" w:type="dxa"/>
            <w:tcMar>
              <w:top w:w="80" w:type="dxa"/>
              <w:bottom w:w="80" w:type="dxa"/>
              <w:left w:w="100" w:type="dxa"/>
              <w:right w:w="100" w:type="dxa"/>
            </w:tcMar>
          </w:tcPr>
          <w:p>
            <w:pPr>
              <w:spacing w:after="0"/>
            </w:pPr>
            <w:r>
              <w:t xml:space="preserve">POST to /api/auth/sign-in/email with no Origin</w:t>
            </w:r>
          </w:p>
        </w:tc>
        <w:tc>
          <w:tcPr>
            <w:tcW w:w="1900" w:type="dxa"/>
            <w:tcMar>
              <w:top w:w="80" w:type="dxa"/>
              <w:bottom w:w="80" w:type="dxa"/>
              <w:left w:w="100" w:type="dxa"/>
              <w:right w:w="100" w:type="dxa"/>
            </w:tcMar>
          </w:tcPr>
          <w:p>
            <w:pPr>
              <w:spacing w:after="0"/>
            </w:pPr>
            <w:r>
              <w:t xml:space="preserve">403 MISSING_OR_NULL_ORIGIN</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PORTAL-003</w:t>
            </w:r>
          </w:p>
        </w:tc>
        <w:tc>
          <w:tcPr>
            <w:tcW w:w="3400" w:type="dxa"/>
            <w:tcMar>
              <w:top w:w="80" w:type="dxa"/>
              <w:bottom w:w="80" w:type="dxa"/>
              <w:left w:w="100" w:type="dxa"/>
              <w:right w:w="100" w:type="dxa"/>
            </w:tcMar>
          </w:tcPr>
          <w:p>
            <w:pPr>
              <w:spacing w:after="0"/>
            </w:pPr>
            <w:r>
              <w:t xml:space="preserve">Valid credentials with a cross-site Origin</w:t>
            </w:r>
          </w:p>
        </w:tc>
        <w:tc>
          <w:tcPr>
            <w:tcW w:w="1900" w:type="dxa"/>
            <w:tcMar>
              <w:top w:w="80" w:type="dxa"/>
              <w:bottom w:w="80" w:type="dxa"/>
              <w:left w:w="100" w:type="dxa"/>
              <w:right w:w="100" w:type="dxa"/>
            </w:tcMar>
          </w:tcPr>
          <w:p>
            <w:pPr>
              <w:spacing w:after="0"/>
            </w:pPr>
            <w:r>
              <w:t xml:space="preserve">403 INVALID_ORIGIN</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PORTAL-004</w:t>
            </w:r>
          </w:p>
        </w:tc>
        <w:tc>
          <w:tcPr>
            <w:tcW w:w="3400" w:type="dxa"/>
            <w:tcMar>
              <w:top w:w="80" w:type="dxa"/>
              <w:bottom w:w="80" w:type="dxa"/>
              <w:left w:w="100" w:type="dxa"/>
              <w:right w:w="100" w:type="dxa"/>
            </w:tcMar>
          </w:tcPr>
          <w:p>
            <w:pPr>
              <w:spacing w:after="0"/>
            </w:pPr>
            <w:r>
              <w:t xml:space="preserve">15 rapid failed attempts on one account</w:t>
            </w:r>
          </w:p>
        </w:tc>
        <w:tc>
          <w:tcPr>
            <w:tcW w:w="1900" w:type="dxa"/>
            <w:tcMar>
              <w:top w:w="80" w:type="dxa"/>
              <w:bottom w:w="80" w:type="dxa"/>
              <w:left w:w="100" w:type="dxa"/>
              <w:right w:w="100" w:type="dxa"/>
            </w:tcMar>
          </w:tcPr>
          <w:p>
            <w:pPr>
              <w:spacing w:after="0"/>
            </w:pPr>
            <w:r>
              <w:t xml:space="preserve">429 after ~3</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PORTAL-005</w:t>
            </w:r>
          </w:p>
        </w:tc>
        <w:tc>
          <w:tcPr>
            <w:tcW w:w="3400" w:type="dxa"/>
            <w:tcMar>
              <w:top w:w="80" w:type="dxa"/>
              <w:bottom w:w="80" w:type="dxa"/>
              <w:left w:w="100" w:type="dxa"/>
              <w:right w:w="100" w:type="dxa"/>
            </w:tcMar>
          </w:tcPr>
          <w:p>
            <w:pPr>
              <w:spacing w:after="0"/>
            </w:pPr>
            <w:r>
              <w:t xml:space="preserve">Supplied credentials for all three roles</w:t>
            </w:r>
          </w:p>
        </w:tc>
        <w:tc>
          <w:tcPr>
            <w:tcW w:w="1900" w:type="dxa"/>
            <w:tcMar>
              <w:top w:w="80" w:type="dxa"/>
              <w:bottom w:w="80" w:type="dxa"/>
              <w:left w:w="100" w:type="dxa"/>
              <w:right w:w="100" w:type="dxa"/>
            </w:tcMar>
          </w:tcPr>
          <w:p>
            <w:pPr>
              <w:spacing w:after="0"/>
            </w:pPr>
            <w:r>
              <w:t xml:space="preserve">401 invalid</w:t>
            </w:r>
          </w:p>
        </w:tc>
        <w:tc>
          <w:tcPr>
            <w:tcW w:w="2200" w:type="dxa"/>
            <w:tcMar>
              <w:top w:w="80" w:type="dxa"/>
              <w:bottom w:w="80" w:type="dxa"/>
              <w:left w:w="100" w:type="dxa"/>
              <w:right w:w="100" w:type="dxa"/>
            </w:tcMar>
          </w:tcPr>
          <w:p>
            <w:pPr>
              <w:spacing w:after="0"/>
            </w:pPr>
            <w:r>
              <w:t xml:space="preserve">BLOCKED</w:t>
            </w:r>
          </w:p>
        </w:tc>
      </w:tr>
    </w:tbl>
    <w:p>
      <w:pPr>
        <w:spacing w:after="200"/>
      </w:pPr>
    </w:p>
    <w:p>
      <w:pPr>
        <w:spacing w:after="80"/>
      </w:pPr>
      <w:r>
        <w:rPr>
          <w:b/>
        </w:rPr>
        <w:t xml:space="preserve">Findings</w:t>
      </w:r>
    </w:p>
    <w:p>
      <w:pPr>
        <w:spacing w:after="160"/>
        <w:ind w:left="360"/>
      </w:pPr>
      <w:r>
        <w:t xml:space="preserve">•  </w:t>
      </w:r>
      <w:r>
        <w:t xml:space="preserve">Login has moved to Better Auth at /api/auth/sign-in/email. The legacy endpoint returns 410 Gone with a pointer to the replacement, which is good API hygiene.</w:t>
      </w:r>
    </w:p>
    <w:p>
      <w:pPr>
        <w:spacing w:after="160"/>
        <w:ind w:left="360"/>
      </w:pPr>
      <w:r>
        <w:t xml:space="preserve">•  </w:t>
      </w:r>
      <w:r>
        <w:t xml:space="preserve">Cross-site request forgery protection is enforced by origin checking, and it is enforced before credential evaluation.</w:t>
      </w:r>
    </w:p>
    <w:p>
      <w:pPr>
        <w:spacing w:after="160"/>
        <w:ind w:left="360"/>
      </w:pPr>
      <w:r>
        <w:t xml:space="preserve">•  </w:t>
      </w:r>
      <w:r>
        <w:t xml:space="preserve">Login is rate-limited, unlike the partner API key path.</w:t>
      </w:r>
    </w:p>
    <w:p>
      <w:pPr>
        <w:spacing w:after="160"/>
        <w:ind w:left="360"/>
      </w:pPr>
      <w:r>
        <w:t xml:space="preserve">•  </w:t>
      </w:r>
      <w:r>
        <w:t xml:space="preserve">None of the three supplied credential sets authenticated against /api/auth/sign-in/email. Each returned a genuine 401 INVALID_EMAIL_OR_PASSWORD rather than a throttling response, so these were real credential evaluations and not artefacts of the rate limiter.</w:t>
      </w:r>
    </w:p>
    <w:p>
      <w:pPr>
        <w:spacing w:after="160"/>
        <w:ind w:left="360"/>
      </w:pPr>
      <w:r>
        <w:t xml:space="preserve">•  </w:t>
      </w:r>
      <w:r>
        <w:t xml:space="preserve">Retested after the throttle window cleared, with a correct Origin header and a browser User-Agent, using the credentials exactly as configured. The result was unchanged.</w:t>
      </w:r>
    </w:p>
    <w:p>
      <w:pPr>
        <w:spacing w:after="160"/>
        <w:ind w:left="360"/>
      </w:pPr>
      <w:r>
        <w:t xml:space="preserve">•  </w:t>
      </w:r>
      <w:r>
        <w:t xml:space="preserve">The authentication service itself is healthy: GET /api/auth/ok returns {"ok":true} and GET /api/auth/get-session returns null for an anonymous caller, both of which are correct.</w:t>
      </w:r>
    </w:p>
    <w:p>
      <w:pPr>
        <w:spacing w:after="80"/>
      </w:pPr>
      <w:r>
        <w:rPr>
          <w:b/>
        </w:rPr>
        <w:t xml:space="preserve">Why this matters</w:t>
      </w:r>
    </w:p>
    <w:p>
      <w:pPr>
        <w:spacing w:after="160"/>
      </w:pPr>
      <w:r>
        <w:t xml:space="preserve">The three controls that could be tested all passed, and together they are stronger than the equivalent path on tnt-demo, which had neither origin checking nor login throttling.</w:t>
      </w:r>
    </w:p>
    <w:p>
      <w:pPr>
        <w:spacing w:after="160"/>
      </w:pPr>
      <w:r>
        <w:t xml:space="preserve">Everything behind the login remains untested: session handling, cookie flags, logout invalidation, session expiry, role separation in the user interface, and whether stored input such as the lot number in section 5 is escaped when rendered.</w:t>
      </w:r>
    </w:p>
    <w:p>
      <w:pPr>
        <w:spacing w:after="160"/>
      </w:pPr>
      <w:r>
        <w:t xml:space="preserve">The credentials have been confirmed as correct as supplied, and the unusual spelling in staging-manfcaturer@dev.com is intentional. There is therefore a discrepancy between credentials that are reported to work and a direct API call that rejects them. The most likely explanations are that the browser client posts a different payload or endpoint than the one probed here, or that these accounts exist in a different environment's auth store. The quickest way to settle it is to sign in through the browser with the developer tools network tab open and capture the actual request the page issues. Until then this section stays blocked.</w:t>
      </w:r>
    </w:p>
    <w:p>
      <w:pPr>
        <w:spacing w:before="320" w:after="160"/>
        <w:outlineLvl w:val="0"/>
      </w:pPr>
      <w:r>
        <w:rPr>
          <w:b/>
          <w:color w:val="1F4E78"/>
          <w:sz w:val="32"/>
        </w:rPr>
        <w:t xml:space="preserve">14. Not Covered</w:t>
      </w:r>
    </w:p>
    <w:p>
      <w:pPr>
        <w:spacing w:after="160"/>
      </w:pPr>
      <w:r>
        <w:t xml:space="preserve">Stated explicitly so the coverage gaps are not mistaken for passes.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00"/>
        <w:gridCol w:w="5600"/>
      </w:tblGrid>
      <w:tr>
        <w:tc>
          <w:tcPr>
            <w:tcW w:w="3800" w:type="dxa"/>
            <w:shd w:val="clear" w:color="auto" w:fill="1F4E78"/>
            <w:tcMar>
              <w:top w:w="80" w:type="dxa"/>
              <w:bottom w:w="80" w:type="dxa"/>
              <w:left w:w="100" w:type="dxa"/>
              <w:right w:w="100" w:type="dxa"/>
            </w:tcMar>
          </w:tcPr>
          <w:p>
            <w:pPr>
              <w:spacing w:after="0"/>
            </w:pPr>
            <w:r>
              <w:rPr>
                <w:b/>
                <w:color w:val="FFFFFF"/>
              </w:rPr>
              <w:t xml:space="preserve">Area</w:t>
            </w:r>
          </w:p>
        </w:tc>
        <w:tc>
          <w:tcPr>
            <w:tcW w:w="5600" w:type="dxa"/>
            <w:shd w:val="clear" w:color="auto" w:fill="1F4E78"/>
            <w:tcMar>
              <w:top w:w="80" w:type="dxa"/>
              <w:bottom w:w="80" w:type="dxa"/>
              <w:left w:w="100" w:type="dxa"/>
              <w:right w:w="100" w:type="dxa"/>
            </w:tcMar>
          </w:tcPr>
          <w:p>
            <w:pPr>
              <w:spacing w:after="0"/>
            </w:pPr>
            <w:r>
              <w:rPr>
                <w:b/>
                <w:color w:val="FFFFFF"/>
              </w:rPr>
              <w:t xml:space="preserve">Reason not covered</w:t>
            </w:r>
          </w:p>
        </w:tc>
      </w:tr>
      <w:tr>
        <w:tc>
          <w:tcPr>
            <w:tcW w:w="3800" w:type="dxa"/>
            <w:tcMar>
              <w:top w:w="80" w:type="dxa"/>
              <w:bottom w:w="80" w:type="dxa"/>
              <w:left w:w="100" w:type="dxa"/>
              <w:right w:w="100" w:type="dxa"/>
            </w:tcMar>
          </w:tcPr>
          <w:p>
            <w:pPr>
              <w:spacing w:after="0"/>
            </w:pPr>
            <w:r>
              <w:t xml:space="preserve">Multi-partner isolation of the same role</w:t>
            </w:r>
          </w:p>
        </w:tc>
        <w:tc>
          <w:tcPr>
            <w:tcW w:w="5600" w:type="dxa"/>
            <w:tcMar>
              <w:top w:w="80" w:type="dxa"/>
              <w:bottom w:w="80" w:type="dxa"/>
              <w:left w:w="100" w:type="dxa"/>
              <w:right w:w="100" w:type="dxa"/>
            </w:tcMar>
          </w:tcPr>
          <w:p>
            <w:pPr>
              <w:spacing w:after="0"/>
            </w:pPr>
            <w:r>
              <w:t xml:space="preserve">Only one manufacturer and one facility key were available; same-role cross-partner tests need two keys per role</w:t>
            </w:r>
          </w:p>
        </w:tc>
      </w:tr>
      <w:tr>
        <w:tc>
          <w:tcPr>
            <w:tcW w:w="3800" w:type="dxa"/>
            <w:tcMar>
              <w:top w:w="80" w:type="dxa"/>
              <w:bottom w:w="80" w:type="dxa"/>
              <w:left w:w="100" w:type="dxa"/>
              <w:right w:w="100" w:type="dxa"/>
            </w:tcMar>
          </w:tcPr>
          <w:p>
            <w:pPr>
              <w:spacing w:after="0"/>
            </w:pPr>
            <w:r>
              <w:t xml:space="preserve">End-to-end chain across all three partners</w:t>
            </w:r>
          </w:p>
        </w:tc>
        <w:tc>
          <w:tcPr>
            <w:tcW w:w="5600" w:type="dxa"/>
            <w:tcMar>
              <w:top w:w="80" w:type="dxa"/>
              <w:bottom w:w="80" w:type="dxa"/>
              <w:left w:w="100" w:type="dxa"/>
              <w:right w:w="100" w:type="dxa"/>
            </w:tcMar>
          </w:tcPr>
          <w:p>
            <w:pPr>
              <w:spacing w:after="0"/>
            </w:pPr>
            <w:r>
              <w:t xml:space="preserve">Individual events were tested; a single pack was not carried commission to dispense across all three keys</w:t>
            </w:r>
          </w:p>
        </w:tc>
      </w:tr>
      <w:tr>
        <w:tc>
          <w:tcPr>
            <w:tcW w:w="3800" w:type="dxa"/>
            <w:tcMar>
              <w:top w:w="80" w:type="dxa"/>
              <w:bottom w:w="80" w:type="dxa"/>
              <w:left w:w="100" w:type="dxa"/>
              <w:right w:w="100" w:type="dxa"/>
            </w:tcMar>
          </w:tcPr>
          <w:p>
            <w:pPr>
              <w:spacing w:after="0"/>
            </w:pPr>
            <w:r>
              <w:t xml:space="preserve">XML ingestion path, including XXE and XML-bomb</w:t>
            </w:r>
          </w:p>
        </w:tc>
        <w:tc>
          <w:tcPr>
            <w:tcW w:w="5600" w:type="dxa"/>
            <w:tcMar>
              <w:top w:w="80" w:type="dxa"/>
              <w:bottom w:w="80" w:type="dxa"/>
              <w:left w:w="100" w:type="dxa"/>
              <w:right w:w="100" w:type="dxa"/>
            </w:tcMar>
          </w:tcPr>
          <w:p>
            <w:pPr>
              <w:spacing w:after="0"/>
            </w:pPr>
            <w:r>
              <w:t xml:space="preserve">Not attempted — every endpoint has an XML variant, so this is half the ingestion surface</w:t>
            </w:r>
          </w:p>
        </w:tc>
      </w:tr>
      <w:tr>
        <w:tc>
          <w:tcPr>
            <w:tcW w:w="3800" w:type="dxa"/>
            <w:tcMar>
              <w:top w:w="80" w:type="dxa"/>
              <w:bottom w:w="80" w:type="dxa"/>
              <w:left w:w="100" w:type="dxa"/>
              <w:right w:w="100" w:type="dxa"/>
            </w:tcMar>
          </w:tcPr>
          <w:p>
            <w:pPr>
              <w:spacing w:after="0"/>
            </w:pPr>
            <w:r>
              <w:t xml:space="preserve">Portal session, cookies, logout, role separation in UI</w:t>
            </w:r>
          </w:p>
        </w:tc>
        <w:tc>
          <w:tcPr>
            <w:tcW w:w="5600" w:type="dxa"/>
            <w:tcMar>
              <w:top w:w="80" w:type="dxa"/>
              <w:bottom w:w="80" w:type="dxa"/>
              <w:left w:w="100" w:type="dxa"/>
              <w:right w:w="100" w:type="dxa"/>
            </w:tcMar>
          </w:tcPr>
          <w:p>
            <w:pPr>
              <w:spacing w:after="0"/>
            </w:pPr>
            <w:r>
              <w:t xml:space="preserve">Blocked on working credentials</w:t>
            </w:r>
          </w:p>
        </w:tc>
      </w:tr>
      <w:tr>
        <w:tc>
          <w:tcPr>
            <w:tcW w:w="3800" w:type="dxa"/>
            <w:tcMar>
              <w:top w:w="80" w:type="dxa"/>
              <w:bottom w:w="80" w:type="dxa"/>
              <w:left w:w="100" w:type="dxa"/>
              <w:right w:w="100" w:type="dxa"/>
            </w:tcMar>
          </w:tcPr>
          <w:p>
            <w:pPr>
              <w:spacing w:after="0"/>
            </w:pPr>
            <w:r>
              <w:t xml:space="preserve">Stored cross-site scripting in rendered views</w:t>
            </w:r>
          </w:p>
        </w:tc>
        <w:tc>
          <w:tcPr>
            <w:tcW w:w="5600" w:type="dxa"/>
            <w:tcMar>
              <w:top w:w="80" w:type="dxa"/>
              <w:bottom w:w="80" w:type="dxa"/>
              <w:left w:w="100" w:type="dxa"/>
              <w:right w:w="100" w:type="dxa"/>
            </w:tcMar>
          </w:tcPr>
          <w:p>
            <w:pPr>
              <w:spacing w:after="0"/>
            </w:pPr>
            <w:r>
              <w:t xml:space="preserve">Blocked on working credentials</w:t>
            </w:r>
          </w:p>
        </w:tc>
      </w:tr>
      <w:tr>
        <w:tc>
          <w:tcPr>
            <w:tcW w:w="3800" w:type="dxa"/>
            <w:tcMar>
              <w:top w:w="80" w:type="dxa"/>
              <w:bottom w:w="80" w:type="dxa"/>
              <w:left w:w="100" w:type="dxa"/>
              <w:right w:w="100" w:type="dxa"/>
            </w:tcMar>
          </w:tcPr>
          <w:p>
            <w:pPr>
              <w:spacing w:after="0"/>
            </w:pPr>
            <w:r>
              <w:t xml:space="preserve">Whether sandbox-relaxed validations are enforced in production</w:t>
            </w:r>
          </w:p>
        </w:tc>
        <w:tc>
          <w:tcPr>
            <w:tcW w:w="5600" w:type="dxa"/>
            <w:tcMar>
              <w:top w:w="80" w:type="dxa"/>
              <w:bottom w:w="80" w:type="dxa"/>
              <w:left w:w="100" w:type="dxa"/>
              <w:right w:w="100" w:type="dxa"/>
            </w:tcMar>
          </w:tcPr>
          <w:p>
            <w:pPr>
              <w:spacing w:after="0"/>
            </w:pPr>
            <w:r>
              <w:t xml:space="preserve">Cannot be determined from the client side; needs confirmation from the team</w:t>
            </w:r>
          </w:p>
        </w:tc>
      </w:tr>
      <w:tr>
        <w:tc>
          <w:tcPr>
            <w:tcW w:w="3800" w:type="dxa"/>
            <w:tcMar>
              <w:top w:w="80" w:type="dxa"/>
              <w:bottom w:w="80" w:type="dxa"/>
              <w:left w:w="100" w:type="dxa"/>
              <w:right w:w="100" w:type="dxa"/>
            </w:tcMar>
          </w:tcPr>
          <w:p>
            <w:pPr>
              <w:spacing w:after="0"/>
            </w:pPr>
            <w:r>
              <w:t xml:space="preserve">Public scanner: serial enumeration and timing oracle</w:t>
            </w:r>
          </w:p>
        </w:tc>
        <w:tc>
          <w:tcPr>
            <w:tcW w:w="5600" w:type="dxa"/>
            <w:tcMar>
              <w:top w:w="80" w:type="dxa"/>
              <w:bottom w:w="80" w:type="dxa"/>
              <w:left w:w="100" w:type="dxa"/>
              <w:right w:w="100" w:type="dxa"/>
            </w:tcMar>
          </w:tcPr>
          <w:p>
            <w:pPr>
              <w:spacing w:after="0"/>
            </w:pPr>
            <w:r>
              <w:t xml:space="preserve">Verification endpoint not identified; /scanner redirects on this environment</w:t>
            </w:r>
          </w:p>
        </w:tc>
      </w:tr>
      <w:tr>
        <w:tc>
          <w:tcPr>
            <w:tcW w:w="3800" w:type="dxa"/>
            <w:tcMar>
              <w:top w:w="80" w:type="dxa"/>
              <w:bottom w:w="80" w:type="dxa"/>
              <w:left w:w="100" w:type="dxa"/>
              <w:right w:w="100" w:type="dxa"/>
            </w:tcMar>
          </w:tcPr>
          <w:p>
            <w:pPr>
              <w:spacing w:after="0"/>
            </w:pPr>
            <w:r>
              <w:t xml:space="preserve">Soak and endurance testing</w:t>
            </w:r>
          </w:p>
        </w:tc>
        <w:tc>
          <w:tcPr>
            <w:tcW w:w="5600" w:type="dxa"/>
            <w:tcMar>
              <w:top w:w="80" w:type="dxa"/>
              <w:bottom w:w="80" w:type="dxa"/>
              <w:left w:w="100" w:type="dxa"/>
              <w:right w:w="100" w:type="dxa"/>
            </w:tcMar>
          </w:tcPr>
          <w:p>
            <w:pPr>
              <w:spacing w:after="0"/>
            </w:pPr>
            <w:r>
              <w:t xml:space="preserve">Requires a sustained multi-hour window</w:t>
            </w:r>
          </w:p>
        </w:tc>
      </w:tr>
      <w:tr>
        <w:tc>
          <w:tcPr>
            <w:tcW w:w="3800" w:type="dxa"/>
            <w:tcMar>
              <w:top w:w="80" w:type="dxa"/>
              <w:bottom w:w="80" w:type="dxa"/>
              <w:left w:w="100" w:type="dxa"/>
              <w:right w:w="100" w:type="dxa"/>
            </w:tcMar>
          </w:tcPr>
          <w:p>
            <w:pPr>
              <w:spacing w:after="0"/>
            </w:pPr>
            <w:r>
              <w:t xml:space="preserve">OWASP ZAP active scan</w:t>
            </w:r>
          </w:p>
        </w:tc>
        <w:tc>
          <w:tcPr>
            <w:tcW w:w="5600" w:type="dxa"/>
            <w:tcMar>
              <w:top w:w="80" w:type="dxa"/>
              <w:bottom w:w="80" w:type="dxa"/>
              <w:left w:w="100" w:type="dxa"/>
              <w:right w:w="100" w:type="dxa"/>
            </w:tcMar>
          </w:tcPr>
          <w:p>
            <w:pPr>
              <w:spacing w:after="0"/>
            </w:pPr>
            <w:r>
              <w:t xml:space="preserve">Requires written authorisation</w:t>
            </w:r>
          </w:p>
        </w:tc>
      </w:tr>
      <w:tr>
        <w:tc>
          <w:tcPr>
            <w:tcW w:w="3800" w:type="dxa"/>
            <w:tcMar>
              <w:top w:w="80" w:type="dxa"/>
              <w:bottom w:w="80" w:type="dxa"/>
              <w:left w:w="100" w:type="dxa"/>
              <w:right w:w="100" w:type="dxa"/>
            </w:tcMar>
          </w:tcPr>
          <w:p>
            <w:pPr>
              <w:spacing w:after="0"/>
            </w:pPr>
            <w:r>
              <w:t xml:space="preserve">Key revocation and rotation</w:t>
            </w:r>
          </w:p>
        </w:tc>
        <w:tc>
          <w:tcPr>
            <w:tcW w:w="5600" w:type="dxa"/>
            <w:tcMar>
              <w:top w:w="80" w:type="dxa"/>
              <w:bottom w:w="80" w:type="dxa"/>
              <w:left w:w="100" w:type="dxa"/>
              <w:right w:w="100" w:type="dxa"/>
            </w:tcMar>
          </w:tcPr>
          <w:p>
            <w:pPr>
              <w:spacing w:after="0"/>
            </w:pPr>
            <w:r>
              <w:t xml:space="preserve">Requires a second key for the same partner</w:t>
            </w:r>
          </w:p>
        </w:tc>
      </w:tr>
    </w:tbl>
    <w:p>
      <w:pPr>
        <w:spacing w:after="200"/>
      </w:pPr>
    </w:p>
    <w:p>
      <w:pPr>
        <w:spacing w:after="80"/>
      </w:pPr>
      <w:r>
        <w:rPr>
          <w:b/>
        </w:rPr>
        <w:t xml:space="preserve">Why this matters</w:t>
      </w:r>
    </w:p>
    <w:p>
      <w:pPr>
        <w:spacing w:after="160"/>
      </w:pPr>
      <w:r>
        <w:t xml:space="preserve">The XML gap is the one to close first. Every endpoint in the partner collection accepts XML as well as JSON-LD, so half the ingestion surface has not been exercised at all — and XML parsers carry a class of vulnerability, external entity expansion, that the JSON path does not have. A test suite that covers only JSON-LD gives a misleading impression of coverage.</w:t>
      </w:r>
    </w:p>
    <w:p>
      <w:pPr>
        <w:spacing w:before="320" w:after="160"/>
        <w:outlineLvl w:val="0"/>
      </w:pPr>
      <w:r>
        <w:rPr>
          <w:b/>
          <w:color w:val="1F4E78"/>
          <w:sz w:val="32"/>
        </w:rPr>
        <w:t xml:space="preserve">15. Recommended Actions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0"/>
        <w:gridCol w:w="6600"/>
        <w:gridCol w:w="1800"/>
      </w:tblGrid>
      <w:tr>
        <w:tc>
          <w:tcPr>
            <w:tcW w:w="1000" w:type="dxa"/>
            <w:shd w:val="clear" w:color="auto" w:fill="1F4E78"/>
            <w:tcMar>
              <w:top w:w="80" w:type="dxa"/>
              <w:bottom w:w="80" w:type="dxa"/>
              <w:left w:w="100" w:type="dxa"/>
              <w:right w:w="100" w:type="dxa"/>
            </w:tcMar>
          </w:tcPr>
          <w:p>
            <w:pPr>
              <w:spacing w:after="0"/>
            </w:pPr>
            <w:r>
              <w:rPr>
                <w:b/>
                <w:color w:val="FFFFFF"/>
              </w:rPr>
              <w:t xml:space="preserve">Priority</w:t>
            </w:r>
          </w:p>
        </w:tc>
        <w:tc>
          <w:tcPr>
            <w:tcW w:w="6600" w:type="dxa"/>
            <w:shd w:val="clear" w:color="auto" w:fill="1F4E78"/>
            <w:tcMar>
              <w:top w:w="80" w:type="dxa"/>
              <w:bottom w:w="80" w:type="dxa"/>
              <w:left w:w="100" w:type="dxa"/>
              <w:right w:w="100" w:type="dxa"/>
            </w:tcMar>
          </w:tcPr>
          <w:p>
            <w:pPr>
              <w:spacing w:after="0"/>
            </w:pPr>
            <w:r>
              <w:rPr>
                <w:b/>
                <w:color w:val="FFFFFF"/>
              </w:rPr>
              <w:t xml:space="preserve">Action</w:t>
            </w:r>
          </w:p>
        </w:tc>
        <w:tc>
          <w:tcPr>
            <w:tcW w:w="1800" w:type="dxa"/>
            <w:shd w:val="clear" w:color="auto" w:fill="1F4E78"/>
            <w:tcMar>
              <w:top w:w="80" w:type="dxa"/>
              <w:bottom w:w="80" w:type="dxa"/>
              <w:left w:w="100" w:type="dxa"/>
              <w:right w:w="100" w:type="dxa"/>
            </w:tcMar>
          </w:tcPr>
          <w:p>
            <w:pPr>
              <w:spacing w:after="0"/>
            </w:pPr>
            <w:r>
              <w:rPr>
                <w:b/>
                <w:color w:val="FFFFFF"/>
              </w:rPr>
              <w:t xml:space="preserve">Section</w:t>
            </w:r>
          </w:p>
        </w:tc>
      </w:tr>
      <w:tr>
        <w:tc>
          <w:tcPr>
            <w:tcW w:w="1000" w:type="dxa"/>
            <w:tcMar>
              <w:top w:w="80" w:type="dxa"/>
              <w:bottom w:w="80" w:type="dxa"/>
              <w:left w:w="100" w:type="dxa"/>
              <w:right w:w="100" w:type="dxa"/>
            </w:tcMar>
          </w:tcPr>
          <w:p>
            <w:pPr>
              <w:spacing w:after="0"/>
            </w:pPr>
            <w:r>
              <w:t xml:space="preserve">1</w:t>
            </w:r>
          </w:p>
        </w:tc>
        <w:tc>
          <w:tcPr>
            <w:tcW w:w="6600" w:type="dxa"/>
            <w:tcMar>
              <w:top w:w="80" w:type="dxa"/>
              <w:bottom w:w="80" w:type="dxa"/>
              <w:left w:w="100" w:type="dxa"/>
              <w:right w:w="100" w:type="dxa"/>
            </w:tcMar>
          </w:tcPr>
          <w:p>
            <w:pPr>
              <w:spacing w:after="0"/>
            </w:pPr>
            <w:r>
              <w:t xml:space="preserve">Confirm which of the five section 4 business rules are enforced in production. Any that are not are live counterfeit-injection routes</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2</w:t>
            </w:r>
          </w:p>
        </w:tc>
        <w:tc>
          <w:tcPr>
            <w:tcW w:w="6600" w:type="dxa"/>
            <w:tcMar>
              <w:top w:w="80" w:type="dxa"/>
              <w:bottom w:w="80" w:type="dxa"/>
              <w:left w:w="100" w:type="dxa"/>
              <w:right w:w="100" w:type="dxa"/>
            </w:tcMar>
          </w:tcPr>
          <w:p>
            <w:pPr>
              <w:spacing w:after="0"/>
            </w:pPr>
            <w:r>
              <w:t xml:space="preserve">Bind commissioning to the partner's own registered GS1 company prefix, and reject events at GLNs the partner does not own</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3</w:t>
            </w:r>
          </w:p>
        </w:tc>
        <w:tc>
          <w:tcPr>
            <w:tcW w:w="6600" w:type="dxa"/>
            <w:tcMar>
              <w:top w:w="80" w:type="dxa"/>
              <w:bottom w:w="80" w:type="dxa"/>
              <w:left w:w="100" w:type="dxa"/>
              <w:right w:w="100" w:type="dxa"/>
            </w:tcMar>
          </w:tcPr>
          <w:p>
            <w:pPr>
              <w:spacing w:after="0"/>
            </w:pPr>
            <w:r>
              <w:t xml:space="preserve">Enforce custody sequencing: an EPC must be commissioned before it can be shipped, and shipped before it can be received</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4</w:t>
            </w:r>
          </w:p>
        </w:tc>
        <w:tc>
          <w:tcPr>
            <w:tcW w:w="6600" w:type="dxa"/>
            <w:tcMar>
              <w:top w:w="80" w:type="dxa"/>
              <w:bottom w:w="80" w:type="dxa"/>
              <w:left w:w="100" w:type="dxa"/>
              <w:right w:w="100" w:type="dxa"/>
            </w:tcMar>
          </w:tcPr>
          <w:p>
            <w:pPr>
              <w:spacing w:after="0"/>
            </w:pPr>
            <w:r>
              <w:t xml:space="preserve">Investigate the intermittent 500s using server logs from 07:30–07:35 UTC; make /api/health exercise the ingestion dependency chain</w:t>
            </w:r>
          </w:p>
        </w:tc>
        <w:tc>
          <w:tcPr>
            <w:tcW w:w="1800" w:type="dxa"/>
            <w:tcMar>
              <w:top w:w="80" w:type="dxa"/>
              <w:bottom w:w="80" w:type="dxa"/>
              <w:left w:w="100" w:type="dxa"/>
              <w:right w:w="100" w:type="dxa"/>
            </w:tcMar>
          </w:tcPr>
          <w:p>
            <w:pPr>
              <w:spacing w:after="0"/>
            </w:pPr>
            <w:r>
              <w:t xml:space="preserve">12</w:t>
            </w:r>
          </w:p>
        </w:tc>
      </w:tr>
      <w:tr>
        <w:tc>
          <w:tcPr>
            <w:tcW w:w="1000" w:type="dxa"/>
            <w:tcMar>
              <w:top w:w="80" w:type="dxa"/>
              <w:bottom w:w="80" w:type="dxa"/>
              <w:left w:w="100" w:type="dxa"/>
              <w:right w:w="100" w:type="dxa"/>
            </w:tcMar>
          </w:tcPr>
          <w:p>
            <w:pPr>
              <w:spacing w:after="0"/>
            </w:pPr>
            <w:r>
              <w:t xml:space="preserve">5</w:t>
            </w:r>
          </w:p>
        </w:tc>
        <w:tc>
          <w:tcPr>
            <w:tcW w:w="6600" w:type="dxa"/>
            <w:tcMar>
              <w:top w:w="80" w:type="dxa"/>
              <w:bottom w:w="80" w:type="dxa"/>
              <w:left w:w="100" w:type="dxa"/>
              <w:right w:w="100" w:type="dxa"/>
            </w:tcMar>
          </w:tcPr>
          <w:p>
            <w:pPr>
              <w:spacing w:after="0"/>
            </w:pPr>
            <w:r>
              <w:t xml:space="preserve">Capture the browser login request to resolve the portal credential discrepancy and unblock section 13</w:t>
            </w:r>
          </w:p>
        </w:tc>
        <w:tc>
          <w:tcPr>
            <w:tcW w:w="1800" w:type="dxa"/>
            <w:tcMar>
              <w:top w:w="80" w:type="dxa"/>
              <w:bottom w:w="80" w:type="dxa"/>
              <w:left w:w="100" w:type="dxa"/>
              <w:right w:w="100" w:type="dxa"/>
            </w:tcMar>
          </w:tcPr>
          <w:p>
            <w:pPr>
              <w:spacing w:after="0"/>
            </w:pPr>
            <w:r>
              <w:t xml:space="preserve">13</w:t>
            </w:r>
          </w:p>
        </w:tc>
      </w:tr>
      <w:tr>
        <w:tc>
          <w:tcPr>
            <w:tcW w:w="1000" w:type="dxa"/>
            <w:tcMar>
              <w:top w:w="80" w:type="dxa"/>
              <w:bottom w:w="80" w:type="dxa"/>
              <w:left w:w="100" w:type="dxa"/>
              <w:right w:w="100" w:type="dxa"/>
            </w:tcMar>
          </w:tcPr>
          <w:p>
            <w:pPr>
              <w:spacing w:after="0"/>
            </w:pPr>
            <w:r>
              <w:t xml:space="preserve">6</w:t>
            </w:r>
          </w:p>
        </w:tc>
        <w:tc>
          <w:tcPr>
            <w:tcW w:w="6600" w:type="dxa"/>
            <w:tcMar>
              <w:top w:w="80" w:type="dxa"/>
              <w:bottom w:w="80" w:type="dxa"/>
              <w:left w:w="100" w:type="dxa"/>
              <w:right w:w="100" w:type="dxa"/>
            </w:tcMar>
          </w:tcPr>
          <w:p>
            <w:pPr>
              <w:spacing w:after="0"/>
            </w:pPr>
            <w:r>
              <w:t xml:space="preserve">Move large-batch ingestion to an asynchronous job with a pollable status, or publish the ~500-event practical ceiling</w:t>
            </w:r>
          </w:p>
        </w:tc>
        <w:tc>
          <w:tcPr>
            <w:tcW w:w="1800" w:type="dxa"/>
            <w:tcMar>
              <w:top w:w="80" w:type="dxa"/>
              <w:bottom w:w="80" w:type="dxa"/>
              <w:left w:w="100" w:type="dxa"/>
              <w:right w:w="100" w:type="dxa"/>
            </w:tcMar>
          </w:tcPr>
          <w:p>
            <w:pPr>
              <w:spacing w:after="0"/>
            </w:pPr>
            <w:r>
              <w:t xml:space="preserve">10</w:t>
            </w:r>
          </w:p>
        </w:tc>
      </w:tr>
      <w:tr>
        <w:tc>
          <w:tcPr>
            <w:tcW w:w="1000" w:type="dxa"/>
            <w:tcMar>
              <w:top w:w="80" w:type="dxa"/>
              <w:bottom w:w="80" w:type="dxa"/>
              <w:left w:w="100" w:type="dxa"/>
              <w:right w:w="100" w:type="dxa"/>
            </w:tcMar>
          </w:tcPr>
          <w:p>
            <w:pPr>
              <w:spacing w:after="0"/>
            </w:pPr>
            <w:r>
              <w:t xml:space="preserve">7</w:t>
            </w:r>
          </w:p>
        </w:tc>
        <w:tc>
          <w:tcPr>
            <w:tcW w:w="6600" w:type="dxa"/>
            <w:tcMar>
              <w:top w:w="80" w:type="dxa"/>
              <w:bottom w:w="80" w:type="dxa"/>
              <w:left w:w="100" w:type="dxa"/>
              <w:right w:w="100" w:type="dxa"/>
            </w:tcMar>
          </w:tcPr>
          <w:p>
            <w:pPr>
              <w:spacing w:after="0"/>
            </w:pPr>
            <w:r>
              <w:t xml:space="preserve">Reconcile the advertised 5,000/min tier with the measured 22-35 req/s capacity</w:t>
            </w:r>
          </w:p>
        </w:tc>
        <w:tc>
          <w:tcPr>
            <w:tcW w:w="1800" w:type="dxa"/>
            <w:tcMar>
              <w:top w:w="80" w:type="dxa"/>
              <w:bottom w:w="80" w:type="dxa"/>
              <w:left w:w="100" w:type="dxa"/>
              <w:right w:w="100" w:type="dxa"/>
            </w:tcMar>
          </w:tcPr>
          <w:p>
            <w:pPr>
              <w:spacing w:after="0"/>
            </w:pPr>
            <w:r>
              <w:t xml:space="preserve">8, 9</w:t>
            </w:r>
          </w:p>
        </w:tc>
      </w:tr>
      <w:tr>
        <w:tc>
          <w:tcPr>
            <w:tcW w:w="1000" w:type="dxa"/>
            <w:tcMar>
              <w:top w:w="80" w:type="dxa"/>
              <w:bottom w:w="80" w:type="dxa"/>
              <w:left w:w="100" w:type="dxa"/>
              <w:right w:w="100" w:type="dxa"/>
            </w:tcMar>
          </w:tcPr>
          <w:p>
            <w:pPr>
              <w:spacing w:after="0"/>
            </w:pPr>
            <w:r>
              <w:t xml:space="preserve">8</w:t>
            </w:r>
          </w:p>
        </w:tc>
        <w:tc>
          <w:tcPr>
            <w:tcW w:w="6600" w:type="dxa"/>
            <w:tcMar>
              <w:top w:w="80" w:type="dxa"/>
              <w:bottom w:w="80" w:type="dxa"/>
              <w:left w:w="100" w:type="dxa"/>
              <w:right w:w="100" w:type="dxa"/>
            </w:tcMar>
          </w:tcPr>
          <w:p>
            <w:pPr>
              <w:spacing w:after="0"/>
            </w:pPr>
            <w:r>
              <w:t xml:space="preserve">Add a lower bound to eventTime validation, matching the existing upper bound</w:t>
            </w:r>
          </w:p>
        </w:tc>
        <w:tc>
          <w:tcPr>
            <w:tcW w:w="1800" w:type="dxa"/>
            <w:tcMar>
              <w:top w:w="80" w:type="dxa"/>
              <w:bottom w:w="80" w:type="dxa"/>
              <w:left w:w="100" w:type="dxa"/>
              <w:right w:w="100" w:type="dxa"/>
            </w:tcMar>
          </w:tcPr>
          <w:p>
            <w:pPr>
              <w:spacing w:after="0"/>
            </w:pPr>
            <w:r>
              <w:t xml:space="preserve">5</w:t>
            </w:r>
          </w:p>
        </w:tc>
      </w:tr>
      <w:tr>
        <w:tc>
          <w:tcPr>
            <w:tcW w:w="1000" w:type="dxa"/>
            <w:tcMar>
              <w:top w:w="80" w:type="dxa"/>
              <w:bottom w:w="80" w:type="dxa"/>
              <w:left w:w="100" w:type="dxa"/>
              <w:right w:w="100" w:type="dxa"/>
            </w:tcMar>
          </w:tcPr>
          <w:p>
            <w:pPr>
              <w:spacing w:after="0"/>
            </w:pPr>
            <w:r>
              <w:t xml:space="preserve">9</w:t>
            </w:r>
          </w:p>
        </w:tc>
        <w:tc>
          <w:tcPr>
            <w:tcW w:w="6600" w:type="dxa"/>
            <w:tcMar>
              <w:top w:w="80" w:type="dxa"/>
              <w:bottom w:w="80" w:type="dxa"/>
              <w:left w:w="100" w:type="dxa"/>
              <w:right w:w="100" w:type="dxa"/>
            </w:tcMar>
          </w:tcPr>
          <w:p>
            <w:pPr>
              <w:spacing w:after="0"/>
            </w:pPr>
            <w:r>
              <w:t xml:space="preserve">Reject structurally invalid EPCs with 400 rather than accepting them with a warning; validate lotNumber against GS1 AI 10</w:t>
            </w:r>
          </w:p>
        </w:tc>
        <w:tc>
          <w:tcPr>
            <w:tcW w:w="1800" w:type="dxa"/>
            <w:tcMar>
              <w:top w:w="80" w:type="dxa"/>
              <w:bottom w:w="80" w:type="dxa"/>
              <w:left w:w="100" w:type="dxa"/>
              <w:right w:w="100" w:type="dxa"/>
            </w:tcMar>
          </w:tcPr>
          <w:p>
            <w:pPr>
              <w:spacing w:after="0"/>
            </w:pPr>
            <w:r>
              <w:t xml:space="preserve">6</w:t>
            </w:r>
          </w:p>
        </w:tc>
      </w:tr>
      <w:tr>
        <w:tc>
          <w:tcPr>
            <w:tcW w:w="1000" w:type="dxa"/>
            <w:tcMar>
              <w:top w:w="80" w:type="dxa"/>
              <w:bottom w:w="80" w:type="dxa"/>
              <w:left w:w="100" w:type="dxa"/>
              <w:right w:w="100" w:type="dxa"/>
            </w:tcMar>
          </w:tcPr>
          <w:p>
            <w:pPr>
              <w:spacing w:after="0"/>
            </w:pPr>
            <w:r>
              <w:t xml:space="preserve">10</w:t>
            </w:r>
          </w:p>
        </w:tc>
        <w:tc>
          <w:tcPr>
            <w:tcW w:w="6600" w:type="dxa"/>
            <w:tcMar>
              <w:top w:w="80" w:type="dxa"/>
              <w:bottom w:w="80" w:type="dxa"/>
              <w:left w:w="100" w:type="dxa"/>
              <w:right w:w="100" w:type="dxa"/>
            </w:tcMar>
          </w:tcPr>
          <w:p>
            <w:pPr>
              <w:spacing w:after="0"/>
            </w:pPr>
            <w:r>
              <w:t xml:space="preserve">Add Strict-Transport-Security; remove X-Powered-By and the nginx version banner</w:t>
            </w:r>
          </w:p>
        </w:tc>
        <w:tc>
          <w:tcPr>
            <w:tcW w:w="1800" w:type="dxa"/>
            <w:tcMar>
              <w:top w:w="80" w:type="dxa"/>
              <w:bottom w:w="80" w:type="dxa"/>
              <w:left w:w="100" w:type="dxa"/>
              <w:right w:w="100" w:type="dxa"/>
            </w:tcMar>
          </w:tcPr>
          <w:p>
            <w:pPr>
              <w:spacing w:after="0"/>
            </w:pPr>
            <w:r>
              <w:t xml:space="preserve">7</w:t>
            </w:r>
          </w:p>
        </w:tc>
      </w:tr>
      <w:tr>
        <w:tc>
          <w:tcPr>
            <w:tcW w:w="1000" w:type="dxa"/>
            <w:tcMar>
              <w:top w:w="80" w:type="dxa"/>
              <w:bottom w:w="80" w:type="dxa"/>
              <w:left w:w="100" w:type="dxa"/>
              <w:right w:w="100" w:type="dxa"/>
            </w:tcMar>
          </w:tcPr>
          <w:p>
            <w:pPr>
              <w:spacing w:after="0"/>
            </w:pPr>
            <w:r>
              <w:t xml:space="preserve">11</w:t>
            </w:r>
          </w:p>
        </w:tc>
        <w:tc>
          <w:tcPr>
            <w:tcW w:w="6600" w:type="dxa"/>
            <w:tcMar>
              <w:top w:w="80" w:type="dxa"/>
              <w:bottom w:w="80" w:type="dxa"/>
              <w:left w:w="100" w:type="dxa"/>
              <w:right w:w="100" w:type="dxa"/>
            </w:tcMar>
          </w:tcPr>
          <w:p>
            <w:pPr>
              <w:spacing w:after="0"/>
            </w:pPr>
            <w:r>
              <w:t xml:space="preserve">Add throttling to repeated invalid-key attempts, matching the login endpoint</w:t>
            </w:r>
          </w:p>
        </w:tc>
        <w:tc>
          <w:tcPr>
            <w:tcW w:w="1800" w:type="dxa"/>
            <w:tcMar>
              <w:top w:w="80" w:type="dxa"/>
              <w:bottom w:w="80" w:type="dxa"/>
              <w:left w:w="100" w:type="dxa"/>
              <w:right w:w="100" w:type="dxa"/>
            </w:tcMar>
          </w:tcPr>
          <w:p>
            <w:pPr>
              <w:spacing w:after="0"/>
            </w:pPr>
            <w:r>
              <w:t xml:space="preserve">8</w:t>
            </w:r>
          </w:p>
        </w:tc>
      </w:tr>
      <w:tr>
        <w:tc>
          <w:tcPr>
            <w:tcW w:w="1000" w:type="dxa"/>
            <w:tcMar>
              <w:top w:w="80" w:type="dxa"/>
              <w:bottom w:w="80" w:type="dxa"/>
              <w:left w:w="100" w:type="dxa"/>
              <w:right w:w="100" w:type="dxa"/>
            </w:tcMar>
          </w:tcPr>
          <w:p>
            <w:pPr>
              <w:spacing w:after="0"/>
            </w:pPr>
            <w:r>
              <w:t xml:space="preserve">12</w:t>
            </w:r>
          </w:p>
        </w:tc>
        <w:tc>
          <w:tcPr>
            <w:tcW w:w="6600" w:type="dxa"/>
            <w:tcMar>
              <w:top w:w="80" w:type="dxa"/>
              <w:bottom w:w="80" w:type="dxa"/>
              <w:left w:w="100" w:type="dxa"/>
              <w:right w:w="100" w:type="dxa"/>
            </w:tcMar>
          </w:tcPr>
          <w:p>
            <w:pPr>
              <w:spacing w:after="0"/>
            </w:pPr>
            <w:r>
              <w:t xml:space="preserve">Exercise the XML ingestion path, including XXE and entity-expansion cases</w:t>
            </w:r>
          </w:p>
        </w:tc>
        <w:tc>
          <w:tcPr>
            <w:tcW w:w="1800" w:type="dxa"/>
            <w:tcMar>
              <w:top w:w="80" w:type="dxa"/>
              <w:bottom w:w="80" w:type="dxa"/>
              <w:left w:w="100" w:type="dxa"/>
              <w:right w:w="100" w:type="dxa"/>
            </w:tcMar>
          </w:tcPr>
          <w:p>
            <w:pPr>
              <w:spacing w:after="0"/>
            </w:pPr>
            <w:r>
              <w:t xml:space="preserve">14</w:t>
            </w:r>
          </w:p>
        </w:tc>
      </w:tr>
    </w:tbl>
    <w:p>
      <w:pPr>
        <w:spacing w:after="200"/>
      </w:pP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TrackIQ — Performance &amp; Security Test Report</dc:title>
  <dc:creator>TnT QA</dc:creator>
  <dcterms:created xsi:type="dcterms:W3CDTF">2026-09-03T00:00:00Z</dcterms:created>
</cp:coreProperties>
</file>