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360" w:lineRule="auto"/>
        <w:jc w:val="left"/>
        <w:rPr>
          <w:bCs/>
        </w:rPr>
      </w:pPr>
      <w:bookmarkStart w:id="0" w:name="_Toc10669252"/>
      <w:bookmarkStart w:id="1" w:name="_Toc11682607"/>
      <w:r w:rsidRPr="00F2166A">
        <w:rPr>
          <w:rFonts w:ascii="Times New Roman" w:hAnsi="Times New Roman"/>
          <w:bCs/>
          <w:sz w:val="28"/>
        </w:rPr>
        <w:t>1. ВВЕДЕНИЕ</w:t>
      </w:r>
      <w:bookmarkEnd w:id="0"/>
      <w:bookmarkEnd w:id="1"/>
    </w:p>
    <w:p w14:paraId="5CD888B2" w14:textId="77777777" w:rsidR="00F2166A" w:rsidRPr="00F2166A" w:rsidRDefault="00F2166A" w:rsidP="00F2166A">
      <w:pPr>
        <w:spacing w:line="360" w:lineRule="auto"/>
        <w:jc w:val="left"/>
      </w:pPr>
    </w:p>
    <w:p w14:paraId="7A0105BA" w14:textId="77777777" w:rsidR="00F2166A" w:rsidRPr="00F2166A" w:rsidRDefault="00F2166A" w:rsidP="00F2166A">
      <w:pPr>
        <w:spacing w:line="360" w:lineRule="auto"/>
        <w:jc w:val="left"/>
      </w:pPr>
      <w:r w:rsidRPr="00F2166A">
        <w:rPr>
          <w:rFonts w:ascii="Times New Roman" w:hAnsi="Times New Roman"/>
          <w:sz w:val="28"/>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360" w:lineRule="auto"/>
        <w:jc w:val="left"/>
      </w:pPr>
      <w:r w:rsidRPr="00F2166A">
        <w:rPr>
          <w:rFonts w:ascii="Times New Roman" w:hAnsi="Times New Roman"/>
          <w:sz w:val="28"/>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360" w:lineRule="auto"/>
        <w:jc w:val="left"/>
      </w:pPr>
      <w:r w:rsidRPr="00F2166A">
        <w:rPr>
          <w:rFonts w:ascii="Times New Roman" w:hAnsi="Times New Roman"/>
          <w:sz w:val="28"/>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sz w:val="28"/>
        </w:rPr>
        <w:t>Руспромавто</w:t>
      </w:r>
      <w:proofErr w:type="spellEnd"/>
      <w:r w:rsidRPr="00F2166A">
        <w:rPr>
          <w:rFonts w:ascii="Times New Roman" w:hAnsi="Times New Roman"/>
          <w:sz w:val="28"/>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sz w:val="28"/>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sz w:val="28"/>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sz w:val="28"/>
        </w:rPr>
        <w:t>автопроизводств</w:t>
      </w:r>
      <w:proofErr w:type="spellEnd"/>
      <w:r w:rsidRPr="00F2166A">
        <w:rPr>
          <w:rFonts w:ascii="Times New Roman" w:hAnsi="Times New Roman"/>
          <w:sz w:val="28"/>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sz w:val="28"/>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360" w:lineRule="auto"/>
        <w:jc w:val="left"/>
      </w:pPr>
      <w:r w:rsidRPr="00F2166A">
        <w:rPr>
          <w:rFonts w:ascii="Times New Roman" w:hAnsi="Times New Roman"/>
          <w:sz w:val="28"/>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360" w:lineRule="auto"/>
        <w:jc w:val="left"/>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