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bookmarkStart w:id="0" w:name="__DdeLink__2427_4033017040"/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інститут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імені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Ігоря</w:t>
      </w:r>
      <w:r>
        <w:rPr>
          <w:rFonts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«Алгоритми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структури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Основи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«Дослідження лінійних алгоритмів»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  <w:tab/>
      </w:r>
      <w:r>
        <w:rPr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(шифр,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>
          <w:sz w:val="28"/>
          <w:szCs w:val="28"/>
        </w:rPr>
        <w:t>Перевірив</w:t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bookmarkStart w:id="1" w:name="ctl00_MainContent_lblHeader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single"/>
        </w:rPr>
        <w:t>Мартинова Оксана Петрівна</w:t>
      </w:r>
      <w:r>
        <w:rPr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прізвище,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ім'я,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робота 4</w:t>
      </w:r>
    </w:p>
    <w:p>
      <w:pPr>
        <w:pStyle w:val="Normal"/>
        <w:rPr>
          <w:rFonts w:ascii="Times New Roman" w:hAnsi="Times New Roman"/>
        </w:rPr>
      </w:pPr>
      <w:bookmarkStart w:id="2" w:name="_GoBack"/>
      <w:r>
        <w:rPr>
          <w:rFonts w:ascii="Times New Roman" w:hAnsi="Times New Roman"/>
          <w:b/>
          <w:sz w:val="28"/>
          <w:lang w:val="uk-UA"/>
        </w:rPr>
        <w:t>Мета:</w:t>
      </w:r>
      <w:bookmarkEnd w:id="2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досліди</w:t>
      </w:r>
      <w:r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</w:rPr>
        <w:t>и організацію циклічних процесів та арифметичні цикли</w:t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/>
          <w:lang w:val="uk-UA"/>
        </w:rPr>
        <w:t xml:space="preserve">: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52641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/>
          <w:b/>
          <w:sz w:val="28"/>
          <w:szCs w:val="28"/>
          <w:lang w:val="uk-UA"/>
        </w:rPr>
        <w:t>остановка задачі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Утворимо цикл, який буде працювати доти, допоки член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n_1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 не буде рівен 100. Для кожного кроку циклу обчислюємо член послідовності </w:t>
      </w:r>
      <w:r>
        <w:rPr>
          <w:rFonts w:cs="Consolas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sum_1 = (pow(-1, n_1 + 1) * 1 / n_1)</w:t>
      </w:r>
      <w:r>
        <w:rPr>
          <w:rFonts w:cs="Calibri" w:ascii="Times New Roman" w:hAnsi="Times New Roman" w:cstheme="minorHAnsi"/>
          <w:b/>
          <w:bCs w:val="false"/>
          <w:color w:val="000000"/>
          <w:sz w:val="28"/>
          <w:szCs w:val="28"/>
          <w:lang w:val="ru-RU"/>
        </w:rPr>
        <w:t xml:space="preserve">. 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Після чого</w:t>
      </w:r>
      <w:r>
        <w:rPr>
          <w:rFonts w:cs="Calibri" w:ascii="Times New Roman" w:hAnsi="Times New Roman" w:cstheme="minorHAnsi"/>
          <w:b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Утворимо цикл, який буде працювати доти, допоки член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en-US"/>
        </w:rPr>
        <w:t>n_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2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 не буде рівен 1. Для кожного кроку циклу обчислюємо член послідовності </w:t>
      </w:r>
      <w:r>
        <w:rPr>
          <w:rFonts w:cs="Consolas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sum_2 = (pow(-1, n_1 + 1) * 1 / n_2)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. Порівнюємо результати.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sz w:val="28"/>
          <w:szCs w:val="28"/>
        </w:rPr>
        <w:t>Математична модель</w:t>
      </w:r>
      <w:r>
        <w:rPr>
          <w:rFonts w:cs="Calibri" w:cstheme="minorHAnsi"/>
          <w:sz w:val="28"/>
          <w:szCs w:val="28"/>
        </w:rPr>
        <w:t>: Для порівняння двох результатів необхідно порахувати суми обох прогресій до сотого члена.</w:t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6"/>
        <w:gridCol w:w="2363"/>
        <w:gridCol w:w="2365"/>
        <w:gridCol w:w="2702"/>
      </w:tblGrid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Тип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Ім’я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Призначення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Номер в першому циклі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Номер в другому циклі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sum_1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Поточна сума в першому цмклі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Результат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sum_</w:t>
            </w:r>
            <w:r>
              <w:rPr>
                <w:lang w:val="uk-UA"/>
              </w:rPr>
              <w:t>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Поточна сума в другому циклі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</w:rPr>
            </w:pPr>
            <w:r>
              <w:rPr/>
              <w:t>Результат</w:t>
            </w:r>
          </w:p>
        </w:tc>
      </w:tr>
    </w:tbl>
    <w:p>
      <w:pPr>
        <w:pStyle w:val="Style14"/>
        <w:spacing w:before="3" w:after="0"/>
        <w:ind w:left="102" w:right="110" w:hanging="0"/>
        <w:jc w:val="both"/>
        <w:rPr>
          <w:rFonts w:cs="Calibri" w:cs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</w:rPr>
      </w:r>
    </w:p>
    <w:p>
      <w:pPr>
        <w:pStyle w:val="Style14"/>
        <w:spacing w:before="3" w:after="0"/>
        <w:ind w:left="102" w:right="110" w:hanging="0"/>
        <w:jc w:val="both"/>
        <w:rPr>
          <w:rFonts w:ascii="Times New Roman" w:hAnsi="Times New Roman" w:cs="Calibri" w:cstheme="minorHAnsi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основні дії циклу розрахунку суми першої послідовності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основні дії циклу розрахунку суми другої послідовності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4. Деталізуємо порівняння сум.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  <w:t xml:space="preserve">Обчислення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першої послідовності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другої послідовності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n_1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sum_1 += (pow(-1, n_1 + 1) * (1 / n_1));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Обчислення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суми другої послідовності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n_1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color w:val="000000"/>
          <w:sz w:val="28"/>
          <w:szCs w:val="28"/>
        </w:rPr>
        <w:tab/>
        <w:tab/>
        <w:t>sum_1 += (pow(-1, n_1 + 1) * (1 / n_1))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повторити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n_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sum_2 += (pow(-1, n_2 + 1) * (1 / n_2));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Порівняння сум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n_1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/>
      </w:pPr>
      <w:r>
        <w:rPr>
          <w:color w:val="000000"/>
          <w:sz w:val="28"/>
          <w:szCs w:val="28"/>
        </w:rPr>
        <w:tab/>
        <w:tab/>
        <w:t>sum_1 += (pow(-1, n_1 + 1) * (1 / n_1))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;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повторити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n_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sum_2 += (pow(-1, n_2 + 1) * (1 / n_2));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якщо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 &gt; sum_2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перша сума більша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 якщо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sum_1 &lt; sum_2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то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друга сума більша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суми рівні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49720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77665" cy="106787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01595" cy="106921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64790" cy="1069213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9"/>
        <w:gridCol w:w="5066"/>
      </w:tblGrid>
      <w:tr>
        <w:trPr>
          <w:trHeight w:val="580" w:hRule="atLeast"/>
        </w:trPr>
        <w:tc>
          <w:tcPr>
            <w:tcW w:w="4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bookmarkStart w:id="3" w:name="__DdeLink__2417_4033017040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Sum_1=1-1/2+1/3-...-1/100</w:t>
            </w:r>
            <w:bookmarkEnd w:id="3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=0.688172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Sum_2=-1/100+1/99-1/98-...+1=0.688172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Sum_1=Sum_2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Суми рівні</w:t>
            </w:r>
          </w:p>
        </w:tc>
      </w:tr>
      <w:tr>
        <w:trPr>
          <w:trHeight w:val="580" w:hRule="atLeast"/>
        </w:trPr>
        <w:tc>
          <w:tcPr>
            <w:tcW w:w="44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bookmarkStart w:id="4" w:name="__DdeLink__2427_4033017040"/>
      <w:r>
        <w:rPr>
          <w:sz w:val="28"/>
          <w:szCs w:val="28"/>
        </w:rPr>
        <w:t>Під час лабораторної роботи ми дослідили організацію циклічних процесів та арифметичні цикли</w:t>
      </w:r>
      <w:bookmarkEnd w:id="4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навчилися їх використовувати. </w:t>
      </w:r>
      <w:r>
        <w:rPr>
          <w:rFonts w:cs="TimesNewRomanPSMT"/>
          <w:sz w:val="28"/>
          <w:szCs w:val="28"/>
          <w:lang w:val="ru-RU"/>
        </w:rPr>
        <w:t>Виконана робота має цикл передумови.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Neat_Office/6.2.8.2$Windows_x86 LibreOffice_project/</Application>
  <Pages>8</Pages>
  <Words>430</Words>
  <Characters>2358</Characters>
  <CharactersWithSpaces>2722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2021-10-28T15:33:04Z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