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8780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en-US"/>
                                  </w:rPr>
                                  <w:t xml:space="preserve">11 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4pt" coordorigin="360,171" coordsize="8639,628">
                <v:rect id="shape_0" path="m0,0l-2147483645,0l-2147483645,-2147483646l0,-2147483646xe" fillcolor="white" stroked="f" o:allowincell="f" style="position:absolute;left:360;top:171;width:2877;height:537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89;height:628">
                  <v:rect id="shape_0" path="m0,0l-2147483645,0l-2147483645,-2147483646l0,-2147483646xe" fillcolor="white" stroked="f" o:allowincell="f" style="position:absolute;left:3600;top:483;width:3616;height:31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171;width:4188;height:34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shd w:fill="auto" w:val="clear"/>
                              <w:lang w:val="en-US"/>
                            </w:rPr>
                            <w:t xml:space="preserve">11 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8780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0" y="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35pt" coordorigin="360,-489" coordsize="8639,627">
                <v:rect id="shape_0" path="m0,0l-2147483645,0l-2147483645,-2147483646l0,-2147483646xe" fillcolor="white" stroked="f" o:allowincell="f" style="position:absolute;left:360;top:-489;width:2877;height:537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89;height:627">
                  <v:rect id="shape_0" path="m0,0l-2147483645,0l-2147483645,-2147483646l0,-2147483646xe" fillcolor="white" stroked="f" o:allowincell="f" style="position:absolute;left:3600;top:-177;width:3616;height:31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8;height:345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52291748">
            <w:r>
              <w:rPr>
                <w:webHidden/>
                <w:rStyle w:val="Style14"/>
                <w:vanish w:val="false"/>
              </w:rPr>
              <w:t>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rStyle w:val="Style14"/>
                <w:vanish w:val="false"/>
                <w:lang w:val="ru-RU"/>
              </w:rPr>
              <w:t>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rStyle w:val="Style14"/>
                <w:vanish w:val="false"/>
                <w:lang w:val="ru-RU"/>
              </w:rPr>
              <w:t>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rStyle w:val="Style14"/>
                <w:vanish w:val="false"/>
              </w:rPr>
              <w:t>3.1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rStyle w:val="Style14"/>
                <w:vanish w:val="false"/>
              </w:rPr>
              <w:t>3.2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rStyle w:val="Style14"/>
                <w:vanish w:val="false"/>
              </w:rPr>
              <w:t>3.2.1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rStyle w:val="Style14"/>
                <w:vanish w:val="false"/>
              </w:rPr>
              <w:t>3.2.2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rStyle w:val="Style14"/>
                <w:vanish w:val="false"/>
              </w:rPr>
              <w:t>3.3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_Copy_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/>
            </w:pPr>
            <w:r>
              <w:rPr/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b/>
                <w:b/>
              </w:rPr>
            </w:pPr>
            <w:r>
              <w:rPr/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2291751"/>
      <w:r>
        <w:rPr/>
        <w:t>Покроковий алгоритм</w:t>
      </w:r>
      <w:bookmarkEnd w:id="15"/>
    </w:p>
    <w:p>
      <w:pPr>
        <w:pStyle w:val="Normal"/>
        <w:rPr>
          <w:highlight w:val="yellow"/>
        </w:rPr>
      </w:pPr>
      <w:r>
        <w:rPr>
          <w:highlight w:val="yellow"/>
        </w:rPr>
        <w:t>…</w:t>
      </w:r>
    </w:p>
    <w:p>
      <w:pPr>
        <w:pStyle w:val="2"/>
        <w:ind w:left="0" w:firstLine="709"/>
        <w:rPr/>
      </w:pPr>
      <w:bookmarkStart w:id="16" w:name="_Toc52291752"/>
      <w:bookmarkStart w:id="17" w:name="_Toc509035768"/>
      <w:bookmarkStart w:id="18" w:name="_Toc509035904"/>
      <w:r>
        <w:rPr/>
        <w:t>Програмна реалізація алгоритм</w:t>
      </w:r>
      <w:bookmarkEnd w:id="17"/>
      <w:bookmarkEnd w:id="18"/>
      <w:r>
        <w:rPr/>
        <w:t>у</w:t>
      </w:r>
      <w:bookmarkEnd w:id="16"/>
    </w:p>
    <w:p>
      <w:pPr>
        <w:pStyle w:val="3"/>
        <w:ind w:left="0" w:firstLine="709"/>
        <w:rPr/>
      </w:pPr>
      <w:bookmarkStart w:id="19" w:name="_Toc509035769"/>
      <w:bookmarkStart w:id="20" w:name="_Toc509035905"/>
      <w:bookmarkStart w:id="21" w:name="_Toc52291753"/>
      <w:r>
        <w:rPr/>
        <w:t>Вихідний код</w:t>
      </w:r>
      <w:bookmarkEnd w:id="19"/>
      <w:bookmarkEnd w:id="20"/>
      <w:bookmarkEnd w:id="21"/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"stdafx.h"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&lt;iostream&gt;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&lt;ctime&gt;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#include &lt;iomanip&gt;</w:t>
      </w:r>
    </w:p>
    <w:p>
      <w:pPr>
        <w:pStyle w:val="Style23"/>
        <w:rPr>
          <w:sz w:val="24"/>
          <w:highlight w:val="yellow"/>
        </w:rPr>
      </w:pPr>
      <w:r>
        <w:rPr>
          <w:highlight w:val="yellow"/>
        </w:rPr>
        <w:t>using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namespace</w:t>
      </w:r>
      <w:r>
        <w:rPr>
          <w:sz w:val="24"/>
          <w:highlight w:val="yellow"/>
        </w:rPr>
        <w:t xml:space="preserve"> </w:t>
      </w:r>
      <w:r>
        <w:rPr>
          <w:highlight w:val="yellow"/>
        </w:rPr>
        <w:t>std;</w:t>
      </w:r>
    </w:p>
    <w:p>
      <w:pPr>
        <w:pStyle w:val="Style23"/>
        <w:rPr>
          <w:sz w:val="24"/>
          <w:highlight w:val="yellow"/>
        </w:rPr>
      </w:pPr>
      <w:r>
        <w:rPr>
          <w:sz w:val="24"/>
          <w:highlight w:val="yellow"/>
        </w:rPr>
        <w:t> </w:t>
      </w:r>
    </w:p>
    <w:p>
      <w:pPr>
        <w:pStyle w:val="Normal"/>
        <w:rPr>
          <w:lang w:val="ru-RU"/>
        </w:rPr>
      </w:pPr>
      <w:r>
        <w:rPr>
          <w:highlight w:val="yellow"/>
          <w:lang w:val="ru-RU"/>
        </w:rPr>
        <w:t>…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2" w:name="_Toc52291754"/>
      <w:r>
        <w:rPr/>
        <w:t>Приклади роботи</w:t>
      </w:r>
      <w:bookmarkEnd w:id="22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2095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3.1 –</w:t>
      </w:r>
      <w:r>
        <w:rPr>
          <w:lang w:val="uk-UA"/>
        </w:rPr>
        <w:t xml:space="preserve"> </w:t>
      </w:r>
      <w:r>
        <w:rPr>
          <w:lang w:val="uk-UA"/>
        </w:rPr>
        <w:t>Результат програми для перщої мурахи при стандартних параметрах</w:t>
      </w:r>
      <w:r>
        <w:rPr>
          <w:lang w:val="uk-UA"/>
        </w:rPr>
        <w:t xml:space="preserve"> 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01900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3.2 – </w:t>
      </w:r>
      <w:r>
        <w:rPr>
          <w:lang w:val="uk-UA"/>
        </w:rPr>
        <w:t>Результат програми для перщої мурахи при оптимальних параметрах</w:t>
      </w:r>
      <w:r>
        <w:rPr>
          <w:lang w:val="uk-UA"/>
        </w:rPr>
        <w:t xml:space="preserve"> </w:t>
      </w:r>
      <w:r>
        <w:br w:type="page"/>
      </w:r>
    </w:p>
    <w:p>
      <w:pPr>
        <w:pStyle w:val="2"/>
        <w:ind w:left="0" w:firstLine="709"/>
        <w:rPr/>
      </w:pPr>
      <w:bookmarkStart w:id="23" w:name="_Toc52291755"/>
      <w:r>
        <w:rPr/>
        <w:t>Тестування алгоритму</w:t>
      </w:r>
      <w:bookmarkEnd w:id="23"/>
    </w:p>
    <w:p>
      <w:pPr>
        <w:pStyle w:val="Normal"/>
        <w:ind w:hanging="0"/>
        <w:jc w:val="center"/>
        <w:rPr/>
      </w:pPr>
      <w:r>
        <w:rPr>
          <w:highlight w:val="yellow"/>
        </w:rPr>
        <w:t>Мають бути описи, таблиці і графіки.</w:t>
      </w:r>
      <w:r>
        <w:rPr/>
        <w:t xml:space="preserve"> </w:t>
      </w:r>
    </w:p>
    <w:p>
      <w:pPr>
        <w:pStyle w:val="TableofFigures"/>
        <w:rPr/>
      </w:pPr>
      <w:r>
        <w:rPr/>
        <w:t xml:space="preserve">Рисунок 3.3 – 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4" w:name="_Toc52291756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"/>
        <w:rPr/>
      </w:pPr>
      <w:r>
        <w:rPr/>
        <w:t>В рамках даної лабораторної роботи</w:t>
      </w:r>
      <w:r>
        <w:rPr>
          <w:highlight w:val="yellow"/>
        </w:rPr>
        <w:t>…</w:t>
      </w:r>
    </w:p>
    <w:p>
      <w:pPr>
        <w:pStyle w:val="Style25"/>
        <w:ind w:left="0" w:hanging="0"/>
        <w:rPr/>
      </w:pPr>
      <w:bookmarkStart w:id="26" w:name="_Toc509035911"/>
      <w:bookmarkStart w:id="27" w:name="_Toc510983948"/>
      <w:bookmarkStart w:id="28" w:name="_Toc52291757"/>
      <w:r>
        <w:rPr/>
        <w:t>Критерії оцінювання</w:t>
      </w:r>
      <w:bookmarkEnd w:id="26"/>
      <w:bookmarkEnd w:id="27"/>
      <w:bookmarkEnd w:id="28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9" w:name="_GoBack"/>
      <w:bookmarkEnd w:id="29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5"/>
      <w:footerReference w:type="default" r:id="rId6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4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fillcolor="whit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LibreOffice/7.4.4.2$Windows_X86_64 LibreOffice_project/85569322deea74ec9134968a29af2df5663baa21</Application>
  <AppVersion>15.0000</AppVersion>
  <Pages>15</Pages>
  <Words>1311</Words>
  <Characters>8075</Characters>
  <CharactersWithSpaces>9168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en-US</dc:language>
  <cp:lastModifiedBy/>
  <dcterms:modified xsi:type="dcterms:W3CDTF">2023-01-19T23:38:24Z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