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D1F3C"/>
          <w:sz w:val="28"/>
          <w:szCs w:val="28"/>
        </w:rPr>
        <w:t xml:space="preserve">Industrias Quisqueya SRL</w:t>
      </w:r>
    </w:p>
    <w:p>
      <w:pPr>
        <w:spacing w:after="200"/>
      </w:pPr>
      <w:r>
        <w:rPr>
          <w:b/>
          <w:bCs/>
          <w:color w:val="15A888"/>
          <w:sz w:val="22"/>
          <w:szCs w:val="22"/>
        </w:rPr>
        <w:t xml:space="preserve">SOP — Manufactura</w:t>
      </w:r>
    </w:p>
    <w:p>
      <w:pPr>
        <w:spacing w:after="160"/>
      </w:pPr>
      <w:r>
        <w:rPr>
          <w:b/>
          <w:bCs/>
          <w:color w:val="B3261E"/>
          <w:sz w:val="20"/>
          <w:szCs w:val="20"/>
        </w:rPr>
        <w:t xml:space="preserve">BORRADOR — no controlado</w:t>
      </w:r>
    </w:p>
    <w:p>
      <w:pPr>
        <w:pStyle w:val="Heading1"/>
        <w:spacing w:after="160"/>
      </w:pPr>
      <w:r>
        <w:rPr>
          <w:b/>
          <w:bCs/>
          <w:color w:val="0D1F3C"/>
          <w:sz w:val="32"/>
          <w:szCs w:val="32"/>
        </w:rPr>
        <w:t xml:space="preserve">Ensamble de tapa con riveteadora</w:t>
      </w:r>
    </w:p>
    <w:tbl>
      <w:tblPr>
        <w:tblW w:type="pct" w:w="100%"/>
        <w:tblBorders>
          <w:top w:val="single" w:color="E7EAEF" w:sz="2"/>
          <w:left w:val="single" w:color="E7EAEF" w:sz="2"/>
          <w:bottom w:val="single" w:color="E7EAEF" w:sz="2"/>
          <w:right w:val="single" w:color="E7EAEF" w:sz="2"/>
          <w:insideH w:val="single" w:color="E7EAEF" w:sz="2"/>
          <w:insideV w:val="single" w:color="E7EAEF" w:sz="2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B6573"/>
                <w:sz w:val="20"/>
                <w:szCs w:val="20"/>
              </w:rPr>
              <w:t xml:space="preserve">Empresa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Industrias Quisqueya SRL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B6573"/>
                <w:sz w:val="20"/>
                <w:szCs w:val="20"/>
              </w:rPr>
              <w:t xml:space="preserve">Documento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SOP — Manufactura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B6573"/>
                <w:sz w:val="20"/>
                <w:szCs w:val="20"/>
              </w:rPr>
              <w:t xml:space="preserve">Proceso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Ensamble de tapa con riveteadora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B6573"/>
                <w:sz w:val="20"/>
                <w:szCs w:val="20"/>
              </w:rPr>
              <w:t xml:space="preserve">Código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BORRADOR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B6573"/>
                <w:sz w:val="20"/>
                <w:szCs w:val="20"/>
              </w:rPr>
              <w:t xml:space="preserve">Revisión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REV00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B6573"/>
                <w:sz w:val="20"/>
                <w:szCs w:val="20"/>
              </w:rPr>
              <w:t xml:space="preserve">Fecha de vigencia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B6573"/>
                <w:sz w:val="20"/>
                <w:szCs w:val="20"/>
              </w:rPr>
              <w:t xml:space="preserve">Próxima revisión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2027-06-14</w:t>
            </w:r>
          </w:p>
        </w:tc>
      </w:tr>
    </w:tbl>
    <w:p>
      <w:pPr>
        <w:spacing w:after="120" w:before="280"/>
      </w:pPr>
      <w:r>
        <w:rPr>
          <w:b/>
          <w:bCs/>
          <w:color w:val="0D1F3C"/>
          <w:sz w:val="24"/>
          <w:szCs w:val="24"/>
        </w:rPr>
        <w:t xml:space="preserve">Procedimiento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2933"/>
          <w:sz w:val="20"/>
          <w:szCs w:val="20"/>
        </w:rPr>
        <w:t xml:space="preserve">Operación 1: </w:t>
      </w:r>
      <w:r>
        <w:rPr>
          <w:color w:val="1F2933"/>
          <w:sz w:val="20"/>
          <w:szCs w:val="20"/>
        </w:rPr>
        <w:t xml:space="preserve">Ensamble de tapa con riveteadora neumática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2933"/>
          <w:sz w:val="20"/>
          <w:szCs w:val="20"/>
        </w:rPr>
        <w:t xml:space="preserve">Paso 1: </w:t>
      </w:r>
      <w:r>
        <w:rPr>
          <w:color w:val="1F2933"/>
          <w:sz w:val="20"/>
          <w:szCs w:val="20"/>
        </w:rPr>
        <w:t xml:space="preserve">Colocar la tapa sobre la 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2933"/>
          <w:sz w:val="20"/>
          <w:szCs w:val="20"/>
        </w:rPr>
        <w:t xml:space="preserve">Paso 2: </w:t>
      </w:r>
      <w:r>
        <w:rPr>
          <w:color w:val="1F2933"/>
          <w:sz w:val="20"/>
          <w:szCs w:val="20"/>
        </w:rPr>
        <w:t xml:space="preserve">Alinear los dos agujeros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2933"/>
          <w:sz w:val="20"/>
          <w:szCs w:val="20"/>
        </w:rPr>
        <w:t xml:space="preserve">Paso 3: </w:t>
      </w:r>
      <w:r>
        <w:rPr>
          <w:color w:val="1F2933"/>
          <w:sz w:val="20"/>
          <w:szCs w:val="20"/>
        </w:rPr>
        <w:t xml:space="preserve">Aplicar el remache</w:t>
      </w:r>
    </w:p>
    <w:p>
      <w:pPr>
        <w:spacing w:after="120" w:before="280"/>
      </w:pPr>
      <w:r>
        <w:rPr>
          <w:b/>
          <w:bCs/>
          <w:color w:val="0D1F3C"/>
          <w:sz w:val="24"/>
          <w:szCs w:val="24"/>
        </w:rPr>
        <w:t xml:space="preserve">Materiales e insumos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2933"/>
          <w:sz w:val="20"/>
          <w:szCs w:val="20"/>
        </w:rPr>
        <w:t xml:space="preserve">Material: </w:t>
      </w:r>
      <w:r>
        <w:rPr>
          <w:color w:val="1F2933"/>
          <w:sz w:val="20"/>
          <w:szCs w:val="20"/>
        </w:rPr>
        <w:t xml:space="preserve">Remache de aluminio SKU RA-450</w:t>
      </w:r>
    </w:p>
    <w:p>
      <w:pPr>
        <w:spacing w:after="120" w:before="280"/>
      </w:pPr>
      <w:r>
        <w:rPr>
          <w:b/>
          <w:bCs/>
          <w:color w:val="0D1F3C"/>
          <w:sz w:val="24"/>
          <w:szCs w:val="24"/>
        </w:rPr>
        <w:t xml:space="preserve">Especificaciones y parámetros críticos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2933"/>
          <w:sz w:val="20"/>
          <w:szCs w:val="20"/>
        </w:rPr>
        <w:t xml:space="preserve">Parámetro crítico - fuerza: </w:t>
      </w:r>
      <w:r>
        <w:rPr>
          <w:color w:val="1F2933"/>
          <w:sz w:val="20"/>
          <w:szCs w:val="20"/>
        </w:rPr>
        <w:t xml:space="preserve">450 N ± 20</w:t>
      </w:r>
    </w:p>
    <w:p>
      <w:pPr>
        <w:spacing w:after="120" w:before="280"/>
      </w:pPr>
      <w:r>
        <w:rPr>
          <w:b/>
          <w:bCs/>
          <w:color w:val="0D1F3C"/>
          <w:sz w:val="24"/>
          <w:szCs w:val="24"/>
        </w:rPr>
        <w:t xml:space="preserve">Seguridad y equipo de protección (EPP)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2933"/>
          <w:sz w:val="20"/>
          <w:szCs w:val="20"/>
        </w:rPr>
        <w:t xml:space="preserve">EPP: </w:t>
      </w:r>
      <w:r>
        <w:rPr>
          <w:color w:val="1F2933"/>
          <w:sz w:val="20"/>
          <w:szCs w:val="20"/>
        </w:rPr>
        <w:t xml:space="preserve">Lentes de seguridad, guantes, protección auditiva</w:t>
      </w:r>
    </w:p>
    <w:p>
      <w:pPr>
        <w:spacing w:after="120" w:before="280"/>
      </w:pPr>
      <w:r>
        <w:rPr>
          <w:b/>
          <w:bCs/>
          <w:color w:val="0D1F3C"/>
          <w:sz w:val="24"/>
          <w:szCs w:val="24"/>
        </w:rPr>
        <w:t xml:space="preserve">Responsables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2933"/>
          <w:sz w:val="20"/>
          <w:szCs w:val="20"/>
        </w:rPr>
        <w:t xml:space="preserve">Responsable: </w:t>
      </w:r>
      <w:r>
        <w:rPr>
          <w:color w:val="1F2933"/>
          <w:sz w:val="20"/>
          <w:szCs w:val="20"/>
        </w:rPr>
        <w:t xml:space="preserve">Juan Pérez, línea 3</w:t>
      </w:r>
    </w:p>
    <w:p>
      <w:pPr>
        <w:spacing w:after="120" w:before="320"/>
      </w:pPr>
      <w:r>
        <w:rPr>
          <w:b/>
          <w:bCs/>
          <w:color w:val="0D1F3C"/>
          <w:sz w:val="24"/>
          <w:szCs w:val="24"/>
        </w:rPr>
        <w:t xml:space="preserve">Aprobación</w:t>
      </w:r>
    </w:p>
    <w:tbl>
      <w:tblPr>
        <w:tblW w:type="pct" w:w="100%"/>
        <w:tblBorders>
          <w:top w:val="single" w:color="E7EAEF" w:sz="2"/>
          <w:left w:val="single" w:color="E7EAEF" w:sz="2"/>
          <w:bottom w:val="single" w:color="E7EAEF" w:sz="2"/>
          <w:right w:val="single" w:color="E7EAEF" w:sz="2"/>
          <w:insideH w:val="single" w:color="E7EAEF" w:sz="2"/>
          <w:insideV w:val="single" w:color="E7EAEF" w:sz="2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B6573"/>
                <w:sz w:val="20"/>
                <w:szCs w:val="20"/>
              </w:rPr>
              <w:t xml:space="preserve">Elaboró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5B6573"/>
                <w:sz w:val="20"/>
                <w:szCs w:val="20"/>
              </w:rPr>
              <w:t xml:space="preserve">Aprobó</w:t>
            </w:r>
          </w:p>
        </w:tc>
      </w:tr>
      <w:t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Juan Pérez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María Díaz</w:t>
            </w:r>
          </w:p>
        </w:tc>
      </w:tr>
    </w:tbl>
    <w:p>
      <w:pPr>
        <w:spacing w:before="320"/>
        <w:jc w:val="center"/>
      </w:pPr>
      <w:r>
        <w:rPr>
          <w:color w:val="5B6573"/>
          <w:sz w:val="16"/>
          <w:szCs w:val="16"/>
        </w:rPr>
        <w:t xml:space="preserve">Industrias Quisqueya SRL · BORRADOR · REV00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— Manufactura — Ensamble de tapa con riveteadora</dc:title>
  <dc:creator>ManualCore</dc:creator>
  <cp:lastModifiedBy>Un-named</cp:lastModifiedBy>
  <cp:revision>1</cp:revision>
  <dcterms:created xsi:type="dcterms:W3CDTF">2026-06-14T22:58:49.856Z</dcterms:created>
  <dcterms:modified xsi:type="dcterms:W3CDTF">2026-06-14T22:58:49.857Z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