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"schema": "ai-wellknown",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"version": "1.0",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"site":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"name": "XyncAgent.ai",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"url": "https://www.xyncagent.ai/",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"description": "Official governed agentic surface for XSIP v17.3.1 — Information Gain Protocol for Agentic SEO, AIO, and GEO."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"protocol":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"name": "XSIP",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"version": "17.3.1",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"description": "Xync Semantic Information Protocol v17.3.1 enforces mandatory Information Gain scoring ≥ 0.72, 6-phase agentic workflow with reflection loops, and 40-80 word quotable AIO blocks."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"discovery":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"llms_txt": "https://T3k13AI.github.io/XSIP-Builder-v17.3/llms.txt",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"ai_txt": "https://T3k13AI.github.io/XSIP-Builder-v17.3/ai.txt",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"manifest": "https://T3k13AI.github.io/XSIP-Builder-v17.3/manifest.json"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"github_repository":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"name": "XSIP-Builder-v17.3",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"version": "v17.3.1",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"url": "https://github.com/T3k13AI/XSIP-Builder-v17.3"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"features":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"Mandatory Information Gain ≥ 0.72 before deployment",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"6-phase agentic workflow with mandatory reflection",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"40-80 word structured AIO blocks",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"Provenance tracking and entity authority",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"Autonomous citation monitoring",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"Multi-surface synchronization"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"results":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"average_information_gain": 0.89,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"ai_overview_citations_60_days": 19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"governance":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"model": "Closed-loop governed system with provenance and zero-hallucination rules",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"last_updated": "2026-06-02"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"contact":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"url": "https://www.xyncagent.ai/contact",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"purpose": "Protocol verification, governance questions, or Free Information Gain &amp; AI Visibility Audit"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