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"schema": "ai-wellknown",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"version": "1.0",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"site":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"name": "XyncAgent.ai",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"url": "https://www.xyncagent.ai/",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"description": "Official governed agentic surface for XSIP v17.3.1 — Information Gain Protocol for Agentic SEO, AIO, and GEO."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"protocol":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"name": "XSIP",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"version": "17.3.1",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"description": "Xync Semantic Information Protocol v17.3.1 enforces mandatory Information Gain scoring ≥ 0.72, 6-phase agentic workflow with reflection loops, and 40-80 word quotable AIO blocks."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"discovery":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"llms_txt": "https://xyncagent-ai-files.github.io/llms.txt",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"ai_txt": "https://xyncagent-ai-files.github.io/ai.txt",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"manifest": "https://xyncagent-ai-files.github.io/manifest.json"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"features":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"Mandatory Information Gain ≥ 0.72 before deployment",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"6-phase agentic workflow with mandatory reflection",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"40-80 word structured AIO blocks",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"Provenance tracking and entity authority",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"Autonomous citation monitoring",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"Multi-surface synchronization"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"results":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"average_information_gain": 0.89,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"ai_overview_citations_60_days": 19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"governance":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"model": "Closed-loop governed system with provenance and zero-hallucination rules",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"last_updated": "2026-06-02"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"contact":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"url": "https://www.xyncagent.ai/contact",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"purpose": "Protocol verification, governance questions, or Free Information Gain &amp; AI Visibility Audit"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