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/>
      </w:pPr>
      <w:r>
        <w:rPr>
          <w:rFonts w:ascii="Tahoma" w:cs="Tahoma" w:eastAsia="Tahoma" w:hAnsi="Tahoma"/>
          <w:b/>
          <w:bCs/>
          <w:i w:val="false"/>
          <w:color w:val="0F2D4A"/>
          <w:sz w:val="32"/>
          <w:szCs w:val="32"/>
        </w:rPr>
        <w:t xml:space="preserve">รายงานย่อบทความ OmniLedger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21"/>
                <w:szCs w:val="21"/>
              </w:rPr>
              <w:t xml:space="preserve">ชื่อบทความ:</w:t>
            </w: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21"/>
                <w:szCs w:val="21"/>
              </w:rPr>
              <w:t xml:space="preserve"> OmniLedger: A Secure, Scale-Out, Decentralized Ledger via Sharding</w:t>
            </w:r>
            <w:r>
              <w:br/>
            </w: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21"/>
                <w:szCs w:val="21"/>
              </w:rPr>
              <w:t xml:space="preserve">ผู้เขียน:</w:t>
            </w: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21"/>
                <w:szCs w:val="21"/>
              </w:rPr>
              <w:t xml:space="preserve"> Eleftherios Kokoris-Kogias, Philipp Jovanovic, Linus Gasser, Nicolas Gailly และ Bryan Ford (École Polytechnique Fédérale de Lausanne, Switzerland) และ Ewa Syta (Trinity College, USA)</w:t>
            </w:r>
            <w:r>
              <w:br/>
            </w: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21"/>
                <w:szCs w:val="21"/>
              </w:rPr>
              <w:t xml:space="preserve">งานประชุม:</w:t>
            </w: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21"/>
                <w:szCs w:val="21"/>
              </w:rPr>
              <w:t xml:space="preserve"> 2018 IEEE Symposium on Security and Privacy (SP), San Francisco, CA, USA, 20–24 พฤษภาคม 2018, หน้า 583–598</w:t>
            </w:r>
            <w:r>
              <w:br/>
            </w: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21"/>
                <w:szCs w:val="21"/>
              </w:rPr>
              <w:t xml:space="preserve">DOI:</w:t>
            </w: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21"/>
                <w:szCs w:val="21"/>
              </w:rPr>
              <w:t xml:space="preserve"> 10.1109/SP.2018.000-5 (IEEE Xplore 8418625)</w:t>
            </w:r>
            <w:r>
              <w:br/>
            </w: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21"/>
                <w:szCs w:val="21"/>
              </w:rPr>
              <w:t xml:space="preserve">ผู้จัดทำ:</w:t>
            </w: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21"/>
                <w:szCs w:val="21"/>
              </w:rPr>
              <w:t xml:space="preserve"> นายธีรภัทร ภู่ระย้า ลำดับที่ 10</w:t>
            </w:r>
            <w:r>
              <w:br/>
            </w: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21"/>
                <w:szCs w:val="21"/>
              </w:rPr>
              <w:t xml:space="preserve">รหัสนิสิต:</w:t>
            </w: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21"/>
                <w:szCs w:val="21"/>
              </w:rPr>
              <w:t xml:space="preserve"> 66362416</w:t>
            </w:r>
            <w:r>
              <w:br/>
            </w: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21"/>
                <w:szCs w:val="21"/>
              </w:rPr>
              <w:t xml:space="preserve">รายวิชา:</w:t>
            </w: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21"/>
                <w:szCs w:val="21"/>
              </w:rPr>
              <w:t xml:space="preserve"> 305432 เครือข่ายเซนเซอร์ (Assignment Paper 3: บทความที่เกี่ยวข้องกับโครงงานวิศวกรรมคอมพิวเตอร์)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  <w:pBdr>
          <w:bottom w:val="single" w:color="CBD5E1" w:sz="6" w:space="2"/>
        </w:pBdr>
        <w:spacing w:after="120" w:before="300"/>
      </w:pPr>
      <w:r>
        <w:rPr>
          <w:rFonts w:ascii="Tahoma" w:cs="Tahoma" w:eastAsia="Tahoma" w:hAnsi="Tahoma"/>
          <w:b/>
          <w:bCs/>
          <w:i w:val="false"/>
          <w:color w:val="0F2D4A"/>
          <w:sz w:val="26"/>
          <w:szCs w:val="26"/>
        </w:rPr>
        <w:t xml:space="preserve">1 บทคัดย่อฉบับแปลและสรุป (Abstract Translation and Executive Summary)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บัญชีแยกประเภทแบบกระจายศูนย์ (Distributed Ledger หรือ DL) ที่ใช้ใน blockchain แบบ permissionless ยังประมวลผลธุรกรรมได้น้อยกว่าระบบชำระเงินแบบรวมศูนย์อย่าง Visa มาก สาเหตุหลักคือระบบส่วนใหญ่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ขยายขนาดแบบ scale-out ไม่ได้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การเพิ่มจำนวน validator ไม่ได้ทำให้ความสามารถรวมเพิ่มขึ้น เพราะ validator ทุกตัวต้องตรวจทุกธุรกรรม ส่วนระบบที่ขยายได้ก็ต้องแลกกับความปลอดภัยหรือความเป็นกระจายศูนย์ ผู้เขียนสรุปข้อแลกเปลี่ยนนี้เป็นสามเหลี่ยมของ Decentralization, Scale-Out และ Security (Fig. 1 ของ [1]) ซึ่งระบบก่อนหน้าทำได้เพียงสองในสามด้าน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OmniLedger แบ่ง validator ออกเป็นกลุ่มย่อยเรียกว่า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shard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ให้แต่ละ shard ประมวลผลธุรกรรมในส่วนของตนแบบขนาน และรักษาความปลอดภัยด้วยกลไกสี่ส่วน ได้แก่ (1) สุ่มจัด validator เข้า shard ใหม่ทุก epoch ด้วยค่าสุ่มที่ผู้โจมตีบิดเบือนไม่ได้จากโปรโตคอล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RandHound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ร่วมกับการเลือกผู้นำด้วย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VRF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(2) ใช้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ByzCoinX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ซึ่งเป็น Byzantine consensus ภายใน shard ที่ทนต่อโหนดล้มเหลวและ commit บล็อกแบบขนานได้ (3) ใช้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Atomix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ให้ธุรกรรมที่เกี่ยวกับหลาย shard สำเร็จทั้งหมดหรือยกเลิกทั้งหมด และ (4) ใช้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state blocks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ตัดประวัติบัญชีเก่า ร่วมกับ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trust-but-verify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เพื่อยืนยันธุรกรรมมูลค่าต่ำได้เร็ว ผู้เขียนพัฒนาต้นแบบด้วยภาษา Go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ผลทดลองบน DeterLab ที่จำลองโหนดได้สูงสุด 1,800 โหนดแสดงว่า throughput เพิ่มจาก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439 เป็น 5,850 ธุรกรรมต่อวินาที (tps)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เมื่อเพิ่ม shard จาก 1 เป็น 16 การยืนยันชั้นแรกใช้เวลา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1.38 วินาที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และโอกาสที่ระบบล้มเหลวต่อ epoch เท่ากับ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4 × 10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  <w:vertAlign w:val="superscript"/>
        </w:rPr>
        <w:t xml:space="preserve">−5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หรือประมาณ 1 ครั้งใน 68.5 ปีเมื่อ epoch ยาว 1 วัน ผู้เขียนสรุปว่าระบบรองรับภาระระดับ Visa ได้ อย่างไรก็ดี ผู้จัดทำพบว่าตัวเลข throughput ที่ 1,800 โหนดในแต่ละส่วนของบทความไม่ตรงกัน และภาคผนวกของผู้เขียนเองประเมินว่าเมื่อธุรกรรมส่วนใหญ่ต้องข้าม shard ความเร็วที่เพิ่มขึ้นจะต่ำกว่าผลในตารางมาก รายละเอียดอยู่ในหัวข้อ 6</w:t>
      </w:r>
    </w:p>
    <w:p>
      <w:pPr>
        <w:pStyle w:val="Heading1"/>
        <w:keepNext/>
        <w:keepLines/>
        <w:pBdr>
          <w:bottom w:val="single" w:color="CBD5E1" w:sz="6" w:space="2"/>
        </w:pBdr>
        <w:spacing w:after="120" w:before="300"/>
      </w:pPr>
      <w:r>
        <w:rPr>
          <w:rFonts w:ascii="Tahoma" w:cs="Tahoma" w:eastAsia="Tahoma" w:hAnsi="Tahoma"/>
          <w:b/>
          <w:bCs/>
          <w:i w:val="false"/>
          <w:color w:val="0F2D4A"/>
          <w:sz w:val="26"/>
          <w:szCs w:val="26"/>
        </w:rPr>
        <w:t xml:space="preserve">2 ที่มาและปัญหาวิจัย (Motivation and Problem Statement)</w:t>
      </w: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ข้อแลกเปลี่ยนระหว่าง scale-out กับความปลอดภัยและความเป็นกระจายศูนย์: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ใน Nakamoto consensus ของ Bitcoin ทุกโหนดเก็บและตรวจทุกธุรกรรม ทำให้เพิ่มโหนดแล้วระบบไม่เร็วขึ้น ผู้เขียนยกตัวเลขว่า blockchain ของ Bitcoin โตวันละประมาณ 144 MB และมีขนาดรวมประมาณ 133 GB ขณะที่ระบบที่รับภาระระดับ Visa (ประมาณ 4,000 tx/s ที่ 500 ไบต์ต่อธุรกรรม) จะสร้างข้อมูลได้มากกว่า 150 GB ต่อวัน งานก่อนหน้าแก้ปัญหาได้เพียงบางด้าน เช่น RSCoin [5], Elastico [4] และ ByzCoin [2] ดังตารางซึ่งสรุปจาก Table IV ของบทความ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9"/>
        <w:gridCol w:w="2430"/>
        <w:gridCol w:w="1443"/>
        <w:gridCol w:w="972"/>
        <w:gridCol w:w="2432"/>
      </w:tblGrid>
      <w:tr>
        <w:trPr>
          <w:cantSplit/>
          <w:tblHeader/>
        </w:trPr>
        <w:tc>
          <w:tcPr>
            <w:tcW w:type="dxa" w:w="1749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ระบบ</w:t>
            </w:r>
          </w:p>
        </w:tc>
        <w:tc>
          <w:tcPr>
            <w:tcW w:type="dxa" w:w="243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Scale-Out</w:t>
            </w:r>
          </w:p>
        </w:tc>
        <w:tc>
          <w:tcPr>
            <w:tcW w:type="dxa" w:w="1443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เวลาก่อนล้มเหลว (ประมาณการ)</w:t>
            </w:r>
          </w:p>
        </w:tc>
        <w:tc>
          <w:tcPr>
            <w:tcW w:type="dxa" w:w="972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Latency ที่วัดได้</w:t>
            </w:r>
          </w:p>
        </w:tc>
        <w:tc>
          <w:tcPr>
            <w:tcW w:type="dxa" w:w="2432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ข้อจำกัดหลัก</w:t>
            </w:r>
          </w:p>
        </w:tc>
      </w:tr>
      <w:tr>
        <w:trPr>
          <w:cantSplit/>
          <w:tblHeader w:val="false"/>
        </w:trPr>
        <w:tc>
          <w:tcPr>
            <w:tcW w:type="dxa" w:w="1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RSCoin</w:t>
            </w:r>
          </w:p>
        </w:tc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ได้ เฉพาะแบบ permissioned</w:t>
            </w:r>
          </w:p>
        </w:tc>
        <w:tc>
          <w:tcPr>
            <w:tcW w:type="dxa" w:w="1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ไม่ระบุ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 วินาที</w:t>
            </w:r>
          </w:p>
        </w:tc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ต้องพึ่งหน่วยงานกลาง</w:t>
            </w:r>
          </w:p>
        </w:tc>
      </w:tr>
      <w:tr>
        <w:trPr>
          <w:cantSplit/>
          <w:tblHeader w:val="false"/>
        </w:trPr>
        <w:tc>
          <w:tcPr>
            <w:tcW w:type="dxa" w:w="1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Elastico</w:t>
            </w:r>
          </w:p>
        </w:tc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ได้ บน Proof-of-Work</w:t>
            </w:r>
          </w:p>
        </w:tc>
        <w:tc>
          <w:tcPr>
            <w:tcW w:type="dxa" w:w="1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 ชั่วโมง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800 วินาที</w:t>
            </w:r>
          </w:p>
        </w:tc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shard เล็ก ความปลอดภัยต่ำ</w:t>
            </w:r>
          </w:p>
        </w:tc>
      </w:tr>
      <w:tr>
        <w:trPr>
          <w:cantSplit/>
          <w:tblHeader w:val="false"/>
        </w:trPr>
        <w:tc>
          <w:tcPr>
            <w:tcW w:type="dxa" w:w="1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ByzCoin</w:t>
            </w:r>
          </w:p>
        </w:tc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ไม่ได้</w:t>
            </w:r>
          </w:p>
        </w:tc>
        <w:tc>
          <w:tcPr>
            <w:tcW w:type="dxa" w:w="1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19 ปี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40 วินาที</w:t>
            </w:r>
          </w:p>
        </w:tc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ทุกโหนดตรวจทุกธุรกรรม</w:t>
            </w:r>
          </w:p>
        </w:tc>
      </w:tr>
      <w:tr>
        <w:trPr>
          <w:cantSplit/>
          <w:tblHeader w:val="false"/>
        </w:trPr>
        <w:tc>
          <w:tcPr>
            <w:tcW w:type="dxa" w:w="1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Nakamoto (Bitcoin)</w:t>
            </w:r>
          </w:p>
        </w:tc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ไม่ได้</w:t>
            </w:r>
          </w:p>
        </w:tc>
        <w:tc>
          <w:tcPr>
            <w:tcW w:type="dxa" w:w="1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ไม่ระบุ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600 วินาที</w:t>
            </w:r>
          </w:p>
        </w:tc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ช้าและไม่ขยายตัว</w:t>
            </w:r>
          </w:p>
        </w:tc>
      </w:tr>
      <w:tr>
        <w:trPr>
          <w:cantSplit/>
          <w:tblHeader w:val="false"/>
        </w:trPr>
        <w:tc>
          <w:tcPr>
            <w:tcW w:type="dxa" w:w="17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OmniLedger</w:t>
            </w:r>
          </w:p>
        </w:tc>
        <w:tc>
          <w:tcPr>
            <w:tcW w:type="dxa" w:w="2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ได้</w:t>
            </w:r>
          </w:p>
        </w:tc>
        <w:tc>
          <w:tcPr>
            <w:tcW w:type="dxa" w:w="14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68.5 ปี</w:t>
            </w:r>
          </w:p>
        </w:tc>
        <w:tc>
          <w:tcPr>
            <w:tcW w:type="dxa" w:w="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1.5 วินาที</w:t>
            </w:r>
          </w:p>
        </w:tc>
        <w:tc>
          <w:tcPr>
            <w:tcW w:type="dxa" w:w="24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ตามที่ผู้เขียนรายงาน</w:t>
            </w:r>
          </w:p>
        </w:tc>
      </w:tr>
    </w:tbl>
    <w:p>
      <w:pPr>
        <w:spacing w:after="80"/>
      </w:pP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ความท้าทายหลัก 3 ประการตามที่ผู้เขียนระบุ (Section I):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การเลือก validator ที่เป็นตัวแทนทางสถิติ: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ต้องเลือกกลุ่ม validator โดยทนต่อ Sybil attack บนพื้นฐานแบบ permissionless เช่น Proof-of-Work หรือ Proof-of-Stake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การป้องกันไม่ให้ shard ใดถูกยึดตลอดอายุระบบ: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shard ต้องใหญ่พอ และต้องสุ่มสร้างใหม่เป็นระยะโดยผู้โจมตีบิดเบือนผลสุ่มไม่ได้ (bias-resistant)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ความถูกต้องของธุรกรรมข้าม shard: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ธุรกรรมที่ใช้เงินจากหลาย shard ต้องสำเร็จหรือยกเลิกแบบ atomic เพื่อไม่ให้เงินถูกใช้ซ้ำหรือถูกล็อกค้างถาวร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แบบจำลองผู้โจมตี (Threat Model, Section III):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validator ที่ไม่ซื่อสัตย์มีได้ไม่เกิน 25% (n = 4f) ผู้โจมตีปรับตัวได้ช้าในระดับ epoch (mildly adaptive) ช่องทางสื่อสารระหว่าง validator ที่ซื่อสัตย์เป็นแบบ synchronous และผู้โจมตีมีกำลังคำนวณจำกัดภายใต้สมมติฐานความยากของ computational Diffie-Hellman เป้าหมายของระบบคือไม่มีจุดล้มเหลวจุดเดียว, shard ทำงานถูกต้องต่อเนื่อง, ธุรกรรมเป็น atomic, throughput เพิ่มเชิงเส้นตามจำนวน validator, ใช้พื้นที่เก็บข้อมูลต่ำ และ latency ต่ำ</w:t>
      </w:r>
    </w:p>
    <w:p>
      <w:pPr>
        <w:pStyle w:val="Heading1"/>
        <w:keepNext/>
        <w:keepLines/>
        <w:pBdr>
          <w:bottom w:val="single" w:color="CBD5E1" w:sz="6" w:space="2"/>
        </w:pBdr>
        <w:spacing w:after="120" w:before="300"/>
      </w:pPr>
      <w:r>
        <w:rPr>
          <w:rFonts w:ascii="Tahoma" w:cs="Tahoma" w:eastAsia="Tahoma" w:hAnsi="Tahoma"/>
          <w:b/>
          <w:bCs/>
          <w:i w:val="false"/>
          <w:color w:val="0F2D4A"/>
          <w:sz w:val="26"/>
          <w:szCs w:val="26"/>
        </w:rPr>
        <w:t xml:space="preserve">3 วิธีดำเนินการวิจัย (Proposed Methodology and Architecture)</w:t>
      </w: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OmniLedger ทำงานเป็นรอบเรียกว่า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epoch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(ในการทดลองยาว 1 วัน) validator ต้องลงทะเบียนใน identity blockchain ก่อนเริ่ม epoch ด้วยกลไกที่ทนต่อ Sybil attack จากนั้นระบบทำงานเป็น 4 ขั้นตอน (Fig. 2 ของบทความ)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ขั้นที่ 1 การจัด validator เข้า shard ด้วยค่าสุ่มที่บิดเบือนไม่ได้ (Sharding via Bias-Resistant Randomness):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validator ทุกตัวคำนวณ ticket ด้วย Verifiable Random Function (VRF) เพื่อเลือกผู้นำ ผู้นำรัน RandHound [3] สร้างค่าสุ่มสาธารณะที่ตรวจสอบได้ แล้วใช้ค่าสุ่มนี้สร้าง permutation จัด validator เข้า shard ถ้าผู้นำไม่ซื่อสัตย์และไม่เผยค่าสุ่ม ระบบจะเลือกผู้นำใหม่ เพื่อไม่ให้ shard หยุดทำงานระหว่างเปลี่ยน epoch ระบบจะทยอยสลับ validator ครั้งละ k = log(n/m) ตัว ซึ่งน้อยกว่าหนึ่งในสามของขนาด shard (Section IV-B)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ขั้นที่ 2 ฉันทามติภายใน shard ด้วย ByzCoinX: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ByzCoinX ปรับปรุงจาก ByzCoin [2] ซึ่งใช้ collective signing ผ่านต้นไม้การสื่อสาร โดยเปลี่ยนเป็นโครงสร้างแบบกลุ่มที่มีความลึกคงที่ (ผู้นำ → ผู้นำกลุ่ม → สมาชิก) ทำให้ทนต่อโหนดล้มเหลวได้ดีกว่า และวิเคราะห์ dependency ของธุรกรรม UTXO เพื่อ commit ธุรกรรมที่ไม่ขัดแย้งกันในบล็อกที่ต่างกันแบบขนาน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ขั้นที่ 3 ธุรกรรมข้าม shard ด้วย Atomix: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เป็นโปรโตคอล atomic commit แบบ lock-then-unlock สามขั้น ได้แก่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Initialize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(client ส่งธุรกรรมไปยัง input shard ทุกตัว),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Lock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(แต่ละ input shard ตรวจและล็อก UTXO แล้วออก proof-of-acceptance หรือ proof-of-rejection ซึ่งเป็น Merkle proof ที่มีลายเซ็นของ shard) และ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Unlock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(ถ้าได้ proof-of-acceptance ครบ client นำไป commit ที่ output shard ถ้ามี proof-of-rejection แม้หนึ่งใบ client นำไปขอคืน UTXO ที่ล็อกไว้) client เป็นผู้ขับเคลื่อนโปรโตคอล โดย shard ไม่ต้องคุยกันโดยตรง และฝ่ายอื่นทำแทนได้เมื่อ time-out (Section IV-C, Fig. 3)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ขั้นที่ 4 ลดภาระการจัดเก็บและ latency: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state blocks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คือสรุปสถานะ UTXO ของ shard ที่ออกเป็นระยะและมีลายเซ็นรวมของ shard validator ใหม่จึงดาวน์โหลดเฉพาะ state block ล่าสุดแทนการ replay ประวัติทั้งหมด ส่วน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trust-but-verify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ให้กลุ่ม optimistic validator ขนาดเล็กยืนยันธุรกรรมมูลค่าต่ำก่อน แล้วให้ core validator ของ shard ตรวจซ้ำภายหลังด้วยบล็อกขนาดใหญ่ (Section V, Fig. 4)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แบบจำลองความปลอดภัยเชิงความน่าจะเป็น (Section VI):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ผู้เขียนระบุเองว่าการวิเคราะห์ในส่วนนี้เป็นแบบไม่เป็นทางการ (informal) โดยมีสมการหลักดังนี้</w:t>
      </w: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ความปลอดภัยของ shard หนึ่งตัว: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shard ขนาด n โหนดจะปลอดภัยเมื่อมีโหนดไม่ซื่อสัตย์ไม่เกิน ⌊n/3⌋ เพราะ Byzantine consensus ต้องการ n = 3f + 1 [6], [7] เมื่อสมมติว่ามี validator จำนวนมากไม่จำกัด การสุ่มเข้า shard เป็นการแจกแจงทวินาม ผู้จัดทำเขียนใหม่ในรูปที่ถูกต้องดังนี้ (รูปที่พิมพ์ในบทความมีข้อผิดพลาด ดูหัวข้อ 6)</w:t>
      </w:r>
    </w:p>
    <w:p>
      <w:pPr>
        <w:keepLines/>
        <w:shd w:fill="F8FAFC" w:color="auto" w:val="clear"/>
        <w:spacing w:after="140" w:before="80" w:line="300"/>
        <w:jc w:val="center"/>
      </w:pP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P[X ≤ ⌊n/3⌋] = Σ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bscript"/>
        </w:rPr>
        <w:t xml:space="preserve">k = 0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perscript"/>
        </w:rPr>
        <w:t xml:space="preserve">⌊n/3⌋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 C(n, k) · m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perscript"/>
        </w:rPr>
        <w:t xml:space="preserve">k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 · (1 − m)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perscript"/>
        </w:rPr>
        <w:t xml:space="preserve">n − k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   (1)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โดย X คือจำนวนโหนดไม่ซื่อสัตย์ใน shard, n คือขนาด shard, m คือสัดส่วนผู้โจมตี (สูงสุด 0.25) และ C(n, k) คือจำนวนวิธีเลือก k จาก n โอกาสที่ shard ล้มเหลว P[X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  <w:vertAlign w:val="subscript"/>
        </w:rPr>
        <w:t xml:space="preserve">S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] คือส่วนเติมเต็มของค่านี้</w:t>
      </w: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ความล้มเหลวทั้ง epoch: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ใช้ union bound รวมทุก shard และยอมให้ผู้โจมตีรัน RandHound ซ้ำได้ l ครั้ง</w:t>
      </w:r>
    </w:p>
    <w:p>
      <w:pPr>
        <w:keepLines/>
        <w:shd w:fill="F8FAFC" w:color="auto" w:val="clear"/>
        <w:spacing w:after="140" w:before="80" w:line="300"/>
        <w:jc w:val="center"/>
      </w:pP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P[X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bscript"/>
        </w:rPr>
        <w:t xml:space="preserve">E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] ≤ Σ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bscript"/>
        </w:rPr>
        <w:t xml:space="preserve">k = 0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perscript"/>
        </w:rPr>
        <w:t xml:space="preserve">l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 (1/4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perscript"/>
        </w:rPr>
        <w:t xml:space="preserve">k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) · n · P[X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bscript"/>
        </w:rPr>
        <w:t xml:space="preserve">S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]  ⇒  P[X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bscript"/>
        </w:rPr>
        <w:t xml:space="preserve">E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] ≤ (4/3) · n · P[X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  <w:vertAlign w:val="subscript"/>
        </w:rPr>
        <w:t xml:space="preserve">S</w:t>
      </w:r>
      <w:r>
        <w:rPr>
          <w:rFonts w:ascii="Cambria Math" w:cs="Cambria Math" w:eastAsia="Cambria Math" w:hAnsi="Cambria Math"/>
          <w:b w:val="false"/>
          <w:i w:val="false"/>
          <w:color w:val="0F172A"/>
          <w:sz w:val="23"/>
          <w:szCs w:val="23"/>
        </w:rPr>
        <w:t xml:space="preserve">] เมื่อ l → ∞   (2)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โดยในสมการนี้ n คือจำนวน shard (ไม่ใช่ขนาด shard) และ l คือจำนวนรอบที่ผู้โจมตีคุมผู้นำติดกัน ผลที่ผู้เขียนคำนวณคือ ผู้โจมตี 12.5% กับ 16 shard ได้ 4 × 10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  <w:vertAlign w:val="superscript"/>
        </w:rPr>
        <w:t xml:space="preserve">−5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ต่อ epoch หรือประมาณ 1 ครั้งใน 68.5 ปี ผู้จัดทำตรวจแล้วว่า 1 / (4 × 10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  <w:vertAlign w:val="superscript"/>
        </w:rPr>
        <w:t xml:space="preserve">−5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) = 25,000 วัน ≈ 68.5 ปี และเมื่อคำนวณซ้ำด้วยสมการ (1) ที่แก้ขอบบนแล้ว (shard 70 โหนด) ได้ 2.2 × 10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  <w:vertAlign w:val="superscript"/>
        </w:rPr>
        <w:t xml:space="preserve">−6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ต่อ shard และ 4.6 × 10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  <w:vertAlign w:val="superscript"/>
        </w:rPr>
        <w:t xml:space="preserve">−5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ต่อ epoch ใกล้กับค่าที่รายงาน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โอกาสที่ผู้โจมตีคุมผู้นำติดกันและการตรวจกลุ่มสื่อสาร: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P[X ≥ n] = 1/4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  <w:vertAlign w:val="superscript"/>
        </w:rPr>
        <w:t xml:space="preserve">n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ซึ่งต่ำกว่า 10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  <w:vertAlign w:val="superscript"/>
        </w:rPr>
        <w:t xml:space="preserve">−6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เมื่อ n = 10 ผู้โจมตีจึงคุม RandHound ได้ไม่เกิน 10 รอบติดกัน ส่วนการตรวจกลุ่มสื่อสารของ ByzCoinX ใช้ hypergeometric distribution กลุ่มขนาด 25 จาก 600 โหนด มีโอกาส 99.93% ที่มีโหนดไม่ซื่อสัตย์น้อยกว่า 15 และ union bound ของ 25 กลุ่มได้ 98.25%</w:t>
      </w:r>
    </w:p>
    <w:p>
      <w:pPr>
        <w:pStyle w:val="Heading1"/>
        <w:keepNext/>
        <w:keepLines/>
        <w:pBdr>
          <w:bottom w:val="single" w:color="CBD5E1" w:sz="6" w:space="2"/>
        </w:pBdr>
        <w:spacing w:after="120" w:before="300"/>
      </w:pPr>
      <w:r>
        <w:rPr>
          <w:rFonts w:ascii="Tahoma" w:cs="Tahoma" w:eastAsia="Tahoma" w:hAnsi="Tahoma"/>
          <w:b/>
          <w:bCs/>
          <w:i w:val="false"/>
          <w:color w:val="0F2D4A"/>
          <w:sz w:val="26"/>
          <w:szCs w:val="26"/>
        </w:rPr>
        <w:t xml:space="preserve">4 การทดลองและผลลัพธ์ (Experiments and Quantitative Evaluation)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สภาพแวดล้อมการทดสอบ (Section VII และ VIII-A):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ต้นแบบเขียนด้วยภาษา Go รันบน DeterLab ด้วยเครื่องจริง 60 เครื่อง (Intel E5-2420 v2, RAM 24 GB, เครือข่าย 10 Gbps) จำลองโหนดสูงสุด 1,800 โหนด จำกัดแบนด์วิดท์ทุกลิงก์ที่ 20 Mbps และหน่วงเวลา 100 ms เพื่อเลียนแบบเครือข่ายกระจายทั่วโลก ข้อมูลตั้งต้นคือ 10,000 บล็อกแรกของ Bitcoin</w:t>
      </w: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ตารางที่ 1 สรุปตัวชี้วัดหลักจากบทความ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9"/>
        <w:gridCol w:w="3139"/>
        <w:gridCol w:w="1334"/>
        <w:gridCol w:w="1414"/>
      </w:tblGrid>
      <w:tr>
        <w:trPr>
          <w:cantSplit/>
          <w:tblHeader/>
        </w:trPr>
        <w:tc>
          <w:tcPr>
            <w:tcW w:type="dxa" w:w="3139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ตัวชี้วัด (Metric)</w:t>
            </w:r>
          </w:p>
        </w:tc>
        <w:tc>
          <w:tcPr>
            <w:tcW w:type="dxa" w:w="3139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ค่าที่รายงาน</w:t>
            </w:r>
          </w:p>
        </w:tc>
        <w:tc>
          <w:tcPr>
            <w:tcW w:type="dxa" w:w="1334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แหล่งในบทความ</w:t>
            </w:r>
          </w:p>
        </w:tc>
        <w:tc>
          <w:tcPr>
            <w:tcW w:type="dxa" w:w="1414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ส่วนเบี่ยงเบนมาตรฐาน (SD)</w:t>
            </w:r>
          </w:p>
        </w:tc>
      </w:tr>
      <w:tr>
        <w:trPr>
          <w:cantSplit/>
          <w:tblHeader w:val="false"/>
        </w:trPr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Throughput เมื่อเพิ่ม shard จาก 1 เป็น 16 (shard ละ 70 โหนด, ผู้โจมตี 12.5%)</w:t>
            </w:r>
          </w:p>
        </w:tc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19"/>
                <w:szCs w:val="19"/>
              </w:rPr>
              <w:t xml:space="preserve">439 → 5,850 tps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Table II</w:t>
            </w:r>
          </w:p>
        </w:tc>
        <w:tc>
          <w:tcPr>
            <w:tcW w:type="dxa" w:w="1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ไม่รายงาน</w:t>
            </w:r>
          </w:p>
        </w:tc>
      </w:tr>
      <w:tr>
        <w:trPr>
          <w:cantSplit/>
          <w:tblHeader w:val="false"/>
        </w:trPr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เวลายืนยันชั้นแรก (trust-but-verify) ที่ผู้โจมตี 1% ถึง 12.5%</w:t>
            </w:r>
          </w:p>
        </w:tc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19"/>
                <w:szCs w:val="19"/>
              </w:rPr>
              <w:t xml:space="preserve">1.38 วินาที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Table I</w:t>
            </w:r>
          </w:p>
        </w:tc>
        <w:tc>
          <w:tcPr>
            <w:tcW w:type="dxa" w:w="1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ไม่รายงาน</w:t>
            </w:r>
          </w:p>
        </w:tc>
      </w:tr>
      <w:tr>
        <w:trPr>
          <w:cantSplit/>
          <w:tblHeader w:val="false"/>
        </w:trPr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เวลายืนยันขั้นสุดท้ายที่ผู้โจมตี 25% (shard 600 โหนด)</w:t>
            </w:r>
          </w:p>
        </w:tc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19"/>
                <w:szCs w:val="19"/>
              </w:rPr>
              <w:t xml:space="preserve">62.96 วินาที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Table I</w:t>
            </w:r>
          </w:p>
        </w:tc>
        <w:tc>
          <w:tcPr>
            <w:tcW w:type="dxa" w:w="1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ไม่รายงาน</w:t>
            </w:r>
          </w:p>
        </w:tc>
      </w:tr>
      <w:tr>
        <w:trPr>
          <w:cantSplit/>
          <w:tblHeader w:val="false"/>
        </w:trPr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โอกาสล้มเหลวต่อ epoch (ผู้โจมตี 12.5%, 16 shard)</w:t>
            </w:r>
          </w:p>
        </w:tc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19"/>
                <w:szCs w:val="19"/>
              </w:rPr>
              <w:t xml:space="preserve">4 × 10</w:t>
            </w: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19"/>
                <w:szCs w:val="19"/>
                <w:vertAlign w:val="superscript"/>
              </w:rPr>
              <w:t xml:space="preserve">−5</w:t>
            </w: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 (≈ 1 ครั้งใน 68.5 ปี)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Section VI-C</w:t>
            </w:r>
          </w:p>
        </w:tc>
        <w:tc>
          <w:tcPr>
            <w:tcW w:type="dxa" w:w="1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วิเคราะห์เชิงทฤษฎี</w:t>
            </w:r>
          </w:p>
        </w:tc>
      </w:tr>
      <w:tr>
        <w:trPr>
          <w:cantSplit/>
          <w:tblHeader w:val="false"/>
        </w:trPr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ประสิทธิภาพของ ByzCoinX เทียบ ByzCoin (4 บล็อกขนาน)</w:t>
            </w:r>
          </w:p>
        </w:tc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19"/>
                <w:szCs w:val="19"/>
              </w:rPr>
              <w:t xml:space="preserve">throughput +20%, latency −35%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Fig. 9, Table III</w:t>
            </w:r>
          </w:p>
        </w:tc>
        <w:tc>
          <w:tcPr>
            <w:tcW w:type="dxa" w:w="1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ไม่รายงาน</w:t>
            </w:r>
          </w:p>
        </w:tc>
      </w:tr>
      <w:tr>
        <w:trPr>
          <w:cantSplit/>
          <w:tblHeader w:val="false"/>
        </w:trPr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สัดส่วนเวลาของ RandHound ในการเปลี่ยน epoch</w:t>
            </w:r>
          </w:p>
        </w:tc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19"/>
                <w:szCs w:val="19"/>
              </w:rPr>
              <w:t xml:space="preserve">มากกว่า 70%</w:t>
            </w: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 (กรณีแย่สุดประมาณ 3 ชั่วโมง)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Fig. 7</w:t>
            </w:r>
          </w:p>
        </w:tc>
        <w:tc>
          <w:tcPr>
            <w:tcW w:type="dxa" w:w="1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ไม่รายงาน</w:t>
            </w:r>
          </w:p>
        </w:tc>
      </w:tr>
      <w:tr>
        <w:trPr>
          <w:cantSplit/>
          <w:tblHeader w:val="false"/>
        </w:trPr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จุดคุ้มทุนของ state blocks</w:t>
            </w:r>
          </w:p>
        </w:tc>
        <w:tc>
          <w:tcPr>
            <w:tcW w:type="dxa" w:w="31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0F172A"/>
                <w:sz w:val="19"/>
                <w:szCs w:val="19"/>
              </w:rPr>
              <w:t xml:space="preserve">validator ตามไม่ทันเกิน 19 วัน</w:t>
            </w: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 (2,736 บล็อก Bitcoin)</w:t>
            </w:r>
          </w:p>
        </w:tc>
        <w:tc>
          <w:tcPr>
            <w:tcW w:type="dxa" w:w="13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Fig. 11</w:t>
            </w:r>
          </w:p>
        </w:tc>
        <w:tc>
          <w:tcPr>
            <w:tcW w:type="dxa" w:w="1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ไม่รายงาน</w:t>
            </w:r>
          </w:p>
        </w:tc>
      </w:tr>
    </w:tbl>
    <w:p>
      <w:pPr>
        <w:spacing w:after="80"/>
      </w:pP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ตารางที่ 2 การขยายแบบ scale-out ตาม Table II ของบทความ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(สองคอลัมน์ขวาผู้จัดทำคำนวณเพิ่ม)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9"/>
        <w:gridCol w:w="957"/>
        <w:gridCol w:w="957"/>
        <w:gridCol w:w="957"/>
        <w:gridCol w:w="957"/>
        <w:gridCol w:w="959"/>
      </w:tblGrid>
      <w:tr>
        <w:trPr>
          <w:cantSplit/>
          <w:tblHeader/>
        </w:trPr>
        <w:tc>
          <w:tcPr>
            <w:tcW w:type="dxa" w:w="4239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จำนวน shard (m)</w:t>
            </w:r>
          </w:p>
        </w:tc>
        <w:tc>
          <w:tcPr>
            <w:tcW w:type="dxa" w:w="957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957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957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957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959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Throughput (tps)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439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869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1,674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3,240</w:t>
            </w:r>
          </w:p>
        </w:tc>
        <w:tc>
          <w:tcPr>
            <w:tcW w:type="dxa" w:w="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5,850</w:t>
            </w:r>
          </w:p>
        </w:tc>
      </w:tr>
      <w:tr>
        <w:trPr>
          <w:cantSplit/>
          <w:tblHeader w:val="false"/>
        </w:trPr>
        <w:tc>
          <w:tcPr>
            <w:tcW w:type="dxa" w:w="4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อัตราเร่งเทียบ 1 shard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1.00×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1.98×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3.81×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7.38×</w:t>
            </w:r>
          </w:p>
        </w:tc>
        <w:tc>
          <w:tcPr>
            <w:tcW w:type="dxa" w:w="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13.33×</w:t>
            </w:r>
          </w:p>
        </w:tc>
      </w:tr>
      <w:tr>
        <w:trPr>
          <w:cantSplit/>
          <w:tblHeader w:val="false"/>
        </w:trPr>
        <w:tc>
          <w:tcPr>
            <w:tcW w:type="dxa" w:w="42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ประสิทธิภาพเทียบเชิงเส้นอุดมคติ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100%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99.0%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95.3%</w:t>
            </w:r>
          </w:p>
        </w:tc>
        <w:tc>
          <w:tcPr>
            <w:tcW w:type="dxa" w:w="9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92.3%</w:t>
            </w:r>
          </w:p>
        </w:tc>
        <w:tc>
          <w:tcPr>
            <w:tcW w:type="dxa" w:w="95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83.3%</w:t>
            </w:r>
          </w:p>
        </w:tc>
      </w:tr>
    </w:tbl>
    <w:p>
      <w:pPr>
        <w:spacing w:after="80"/>
      </w:pP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ตารางที่ 3 เวลายืนยันธุรกรรมตาม Table I ของบทความ (วินาที)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128"/>
        <w:gridCol w:w="1128"/>
        <w:gridCol w:w="1128"/>
        <w:gridCol w:w="1129"/>
      </w:tblGrid>
      <w:tr>
        <w:trPr>
          <w:cantSplit/>
          <w:tblHeader/>
        </w:trPr>
        <w:tc>
          <w:tcPr>
            <w:tcW w:type="dxa" w:w="4513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การตั้งค่า [ขนาด shard, สัดส่วนผู้โจมตี]</w:t>
            </w:r>
          </w:p>
        </w:tc>
        <w:tc>
          <w:tcPr>
            <w:tcW w:type="dxa" w:w="1128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[4, 1%]</w:t>
            </w:r>
          </w:p>
        </w:tc>
        <w:tc>
          <w:tcPr>
            <w:tcW w:type="dxa" w:w="1128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[25, 5%]</w:t>
            </w:r>
          </w:p>
        </w:tc>
        <w:tc>
          <w:tcPr>
            <w:tcW w:type="dxa" w:w="1128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[70, 12.5%]</w:t>
            </w:r>
          </w:p>
        </w:tc>
        <w:tc>
          <w:tcPr>
            <w:tcW w:type="dxa" w:w="1129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[600, 25%]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Regular validation</w:t>
            </w:r>
          </w:p>
        </w:tc>
        <w:tc>
          <w:tcPr>
            <w:tcW w:type="dxa" w:w="1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1.38</w:t>
            </w:r>
          </w:p>
        </w:tc>
        <w:tc>
          <w:tcPr>
            <w:tcW w:type="dxa" w:w="1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5.99</w:t>
            </w:r>
          </w:p>
        </w:tc>
        <w:tc>
          <w:tcPr>
            <w:tcW w:type="dxa" w:w="1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8.04</w:t>
            </w:r>
          </w:p>
        </w:tc>
        <w:tc>
          <w:tcPr>
            <w:tcW w:type="dxa" w:w="1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14.52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ยืนยันชั้นแรก (1st level)</w:t>
            </w:r>
          </w:p>
        </w:tc>
        <w:tc>
          <w:tcPr>
            <w:tcW w:type="dxa" w:w="1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1.38</w:t>
            </w:r>
          </w:p>
        </w:tc>
        <w:tc>
          <w:tcPr>
            <w:tcW w:type="dxa" w:w="1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1.38</w:t>
            </w:r>
          </w:p>
        </w:tc>
        <w:tc>
          <w:tcPr>
            <w:tcW w:type="dxa" w:w="1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1.38</w:t>
            </w:r>
          </w:p>
        </w:tc>
        <w:tc>
          <w:tcPr>
            <w:tcW w:type="dxa" w:w="1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4.48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ยืนยันชั้นที่สอง (2nd level)</w:t>
            </w:r>
          </w:p>
        </w:tc>
        <w:tc>
          <w:tcPr>
            <w:tcW w:type="dxa" w:w="1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1.38</w:t>
            </w:r>
          </w:p>
        </w:tc>
        <w:tc>
          <w:tcPr>
            <w:tcW w:type="dxa" w:w="1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55.89</w:t>
            </w:r>
          </w:p>
        </w:tc>
        <w:tc>
          <w:tcPr>
            <w:tcW w:type="dxa" w:w="11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41.84</w:t>
            </w:r>
          </w:p>
        </w:tc>
        <w:tc>
          <w:tcPr>
            <w:tcW w:type="dxa" w:w="11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62.96</w:t>
            </w:r>
          </w:p>
        </w:tc>
      </w:tr>
    </w:tbl>
    <w:p>
      <w:pPr>
        <w:spacing w:after="80"/>
      </w:pP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การอ่านผล: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throughput เพิ่มเกือบเชิงเส้น โดยที่ 16 shard ยังได้ประสิทธิภาพ 83.3% ของค่าอุดมคติ โหมด trust-but-verify ให้การยืนยันชั้นแรกเร็วมาก แต่ยอมรับโอกาสน้อยกว่า 10% ที่การยืนยันนั้นจะเสี่ยงต่อ double-spending จึงเหมาะกับธุรกรรมมูลค่าต่ำ ส่วนธุรกรรมมูลค่าสูงต้องรอชั้นที่สองซึ่งใช้เวลา 41.84 ถึง 62.96 วินาที บทความระบุว่า latency ที่ client เห็นเมื่อใช้ Atomix สูงกว่า consensus latency เกือบสองเท่า และไม่เพิ่มมากเมื่อจำนวน shard เพิ่ม ข้อนี้เห็นชัดใน Fig. 8 ที่ shard ขนาด 70 โหนด (ราว 9 ถึง 12 วินาทีตั้งแต่ 1 ถึง 7 shard) แต่ที่ shard ขนาด 600 โหนด ค่านี้เพิ่มจากราว 15 เป็น 26 วินาทีเมื่อเพิ่มจาก 1 เป็น 3 shard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ตัวเลขที่ 1,800 โหนด: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บทนำรายงาน 6,000 tps ที่ latency ประมาณ 10 วินาที (ผู้โจมตี 12.5%) และ 2,250 tps ในโหมด trust-but-verify ที่ผู้โจมตี 25% ส่วน Section VIII-B รายงาน 13,000 tps เมื่อแบ่ง 1,800 โหนดเป็น 25 shard ที่ผู้โจมตี 12.5% และเรียกว่าประมาณ 3 เท่าของ Visa ผู้จัดทำอ่านค่าจากกราฟ Fig. 6 โดยคำนวณจากพิกัดเวกเตอร์ในไฟล์ PDF ได้ประมาณ 6,800 tps (regular) และ 19,900 tps (trust-but-verify) สำหรับการตั้งค่าเดียวกัน จึงไม่มีแท่งใดตรงกับ 13,000 tps</w:t>
      </w:r>
    </w:p>
    <w:p>
      <w:pPr>
        <w:pStyle w:val="Heading1"/>
        <w:keepNext/>
        <w:keepLines/>
        <w:pBdr>
          <w:bottom w:val="single" w:color="CBD5E1" w:sz="6" w:space="2"/>
        </w:pBdr>
        <w:spacing w:after="120" w:before="300"/>
      </w:pPr>
      <w:r>
        <w:rPr>
          <w:rFonts w:ascii="Tahoma" w:cs="Tahoma" w:eastAsia="Tahoma" w:hAnsi="Tahoma"/>
          <w:b/>
          <w:bCs/>
          <w:i w:val="false"/>
          <w:color w:val="0F2D4A"/>
          <w:sz w:val="26"/>
          <w:szCs w:val="26"/>
        </w:rPr>
        <w:t xml:space="preserve">5 การมีส่วนร่วมทางวิชาการ (Academic Contributions)</w:t>
      </w:r>
    </w:p>
    <w:p>
      <w:pPr>
        <w:pStyle w:val="ListParagraph"/>
        <w:keepNext/>
        <w:keepLines/>
        <w:numPr>
          <w:ilvl w:val="0"/>
          <w:numId w:val="4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การแบ่ง shard แบบ scale-out ที่วิเคราะห์ความปลอดภัยได้เชิงปริมาณ: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บทความนำการสุ่มแบบบิดเบือนไม่ได้ (RandHound ร่วมกับ VRF) มาเป็นฐานของการจัด validator เข้า shard และผูกขนาด shard กับโอกาสล้มเหลวด้วย Eq. (1) และ Eq. (2) ทำให้ผู้ออกแบบเลือกขนาด shard จากระดับความเสี่ยงที่ยอมรับได้ (เช่น 10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  <w:vertAlign w:val="superscript"/>
        </w:rPr>
        <w:t xml:space="preserve">−6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) แทนการกำหนดตามความรู้สึก เป็นการแก้จุดอ่อนของ Elastico ที่ใช้ shard เล็กจนเวลาเฉลี่ยก่อนล้มเหลวเหลือเพียง 1 ชั่วโมง</w:t>
      </w:r>
    </w:p>
    <w:p>
      <w:pPr>
        <w:pStyle w:val="ListParagraph"/>
        <w:keepNext/>
        <w:keepLines/>
        <w:numPr>
          <w:ilvl w:val="0"/>
          <w:numId w:val="4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Atomix: atomic commit ข้าม shard ภายใต้สมมติฐาน Byzantine: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บทความปรับแนวคิด atomic commit แบบดั้งเดิมให้ใช้กับ shard ที่ทำงานด้วย BFT consensus โดยไม่ต้องมี coordinator กลางและไม่ต้องให้ shard คุยกันเอง แต่ใช้ proof ที่มีลายเซ็นของ shard เป็นหลักฐานในการ commit หรือ abort ธุรกรรมจึงสำเร็จทั้งหมดหรือคืนเงินที่ล็อกได้เสมอ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การออกแบบเชิงระบบที่ทำให้ใช้งานได้จริงและวัดผลบนต้นแบบ: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ByzCoinX เพิ่มทั้งความทนทานและการทำงานขนาน, state blocks ลดภาระ bootstrap ของ validator ใหม่ และ trust-but-verify แยกเส้นทางธุรกรรมตามระดับความเสี่ยง ทั้งหมดถูกพัฒนาเป็นต้นแบบภาษา Go และวัดผลที่ 1,800 โหนด ซึ่งมากกว่าการทดลองของ Elastico (1,600) และ ByzCoin (1,008) ตามที่ Table IV ของบทความสรุปไว้</w:t>
      </w:r>
    </w:p>
    <w:p>
      <w:pPr>
        <w:pStyle w:val="Heading1"/>
        <w:keepNext/>
        <w:keepLines/>
        <w:pBdr>
          <w:bottom w:val="single" w:color="CBD5E1" w:sz="6" w:space="2"/>
        </w:pBdr>
        <w:spacing w:after="120" w:before="300"/>
      </w:pPr>
      <w:r>
        <w:rPr>
          <w:rFonts w:ascii="Tahoma" w:cs="Tahoma" w:eastAsia="Tahoma" w:hAnsi="Tahoma"/>
          <w:b/>
          <w:bCs/>
          <w:i w:val="false"/>
          <w:color w:val="0F2D4A"/>
          <w:sz w:val="26"/>
          <w:szCs w:val="26"/>
        </w:rPr>
        <w:t xml:space="preserve">6 การคิดเชิงวิพากษ์: จุดเด่น และจุดด้อย/ข้อจำกัด (Critical Evaluation)</w:t>
      </w: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จุดเด่น 5 ประการ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ออกแบบครบทั้งระบบ: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แก้ครบทั้งการจัด shard, consensus, ธุรกรรมข้าม shard, การจัดเก็บ และ latency ในสถาปัตยกรรมเดียว ไม่ได้แก้เพียงส่วนเดียว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ความปลอดภัยวัดได้เป็นตัวเลข: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การผูกขนาด shard กับโอกาสล้มเหลวทำให้ตรวจสอบและปรับค่าพารามิเตอร์ได้อย่างมีเหตุผล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มีต้นแบบจริงและทดลองขนาดใหญ่: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ต้นแบบภาษา Go ทดสอบที่ 1,800 โหนดด้วยข้อมูลธุรกรรมจริงจาก Bitcoin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ผู้เขียนเปิดเผยข้อจำกัดของตนเอง: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Section X และ Appendix C ยอมรับว่า throughput ขึ้นกับรูปแบบธุรกรรม และการเปลี่ยน epoch มีต้นทุนสูง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ผลกระทบต่อวงการสูง: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IEEE Xplore แสดงว่าบทความถูกอ้างอิง 1,078 ครั้ง (ณ 26 กันยายน 2026) สูงที่สุดในกลุ่มบทความที่ผู้จัดทำคัดเลือก</w:t>
      </w: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จุดด้อยและข้อจำกัด 6 ประการ</w:t>
      </w:r>
    </w:p>
    <w:p>
      <w:pPr>
        <w:pStyle w:val="ListParagraph"/>
        <w:keepNext w:val="false"/>
        <w:keepLines/>
        <w:numPr>
          <w:ilvl w:val="0"/>
          <w:numId w:val="6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ผล scale-out ไม่ได้แยกผลของธุรกรรมข้าม shard: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Table II ให้อัตราเร่ง 3.81 เท่าที่ 4 shard แต่ Appendix C (หน้า 597) ของผู้เขียนประเมินเองว่าเมื่อกระจาย UTXO แบบสุ่มตาม hash ธุรกรรมส่วนใหญ่จะข้าม shard และอัตราเร่งจาก 1 ไป 4 shard จะเหลือประมาณ </w:t>
      </w: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1.56 เท่า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ผู้จัดทำคำนวณซ้ำแบบนับงานรวมต่อธุรกรรม (m / E[k]) ได้เพียง 1.46 ถึง 1.73 เท่า เพราะสูตรของผู้เขียนเฉลี่ยค่า 1/k ซึ่งให้ค่าสูงกว่าเสมอตามอสมการของ Jensen บทความไม่ระบุสัดส่วนธุรกรรมข้าม shard ในการทดลอง throughput และไม่มีการทดลองที่ปรับสัดส่วนนี้</w:t>
      </w:r>
    </w:p>
    <w:p>
      <w:pPr>
        <w:pStyle w:val="ListParagraph"/>
        <w:keepNext w:val="false"/>
        <w:keepLines/>
        <w:numPr>
          <w:ilvl w:val="0"/>
          <w:numId w:val="6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สมการและตัวเลขในส่วนคณิตศาสตร์มีข้อผิดพลาด: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Eq. (1) ที่พิมพ์ (หน้า 591) ใช้ขอบบนของผลรวมเป็น n ซึ่งทำให้ผลรวมเท่ากับ 1 เสมอตามทฤษฎีบททวินาม ขอบบนที่ถูกต้องคือ ⌊n/3⌋ สูตรเวียนเกิด Eq. (3) ใน Appendix C ใช้สัมประสิทธิ์ (m − k)/m ซึ่งทำให้ผลรวมความน่าจะเป็นไม่เท่ากับ 1 (ค่าที่ถูกคือ (m − k + 1)/m) ค่า 3.7% ที่อ้างควรเป็นประมาณ 11.1% และค่า 1.56 เท่าตรงกับกรณี 4 UTXO ไม่ใช่ 3 UTXO ตามที่ข้อความระบุ นอกจากนี้สัญลักษณ์ n และ m ถูกใช้ต่างความหมายในแต่ละส่วน (ขนาด shard, จำนวน shard และสัดส่วนผู้โจมตี) และข้อความในหัวข้อ VI-B เรียกด้านซ้ายขวาของ Fig. 5 สลับกับคำบรรยายใต้รูป</w:t>
      </w:r>
    </w:p>
    <w:p>
      <w:pPr>
        <w:pStyle w:val="ListParagraph"/>
        <w:keepNext w:val="false"/>
        <w:keepLines/>
        <w:numPr>
          <w:ilvl w:val="0"/>
          <w:numId w:val="6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ตัวเลขพาดหัวไม่สอดคล้องกัน: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throughput ที่ 1,800 โหนดมีทั้ง 6,000 tps (บทนำ) และ 13,000 tps (Section VIII-B) ซึ่งไม่ตรงกับกราฟ Fig. 6 ที่อ่านได้ประมาณ 6,800 และ 19,900 tps ข้อความใน Section VIII-B ระบุว่าการยืนยันขั้นสุดท้ายยังไม่ถึงหนึ่งนาที แต่ Table I แสดง 62.96 วินาทีที่ผู้โจมตี 25% และ Table IV ระบุว่าวัดการขยายตัวได้ 2,400 validator ทั้งที่การทดลองที่รายงานมีสูงสุด 1,800 โหนด</w:t>
      </w:r>
    </w:p>
    <w:p>
      <w:pPr>
        <w:pStyle w:val="ListParagraph"/>
        <w:keepNext w:val="false"/>
        <w:keepLines/>
        <w:numPr>
          <w:ilvl w:val="0"/>
          <w:numId w:val="6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การทดลองยังไม่ครอบคลุมเงื่อนไขหลัก: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threat model หลักคือผู้โจมตี 25% แต่กรณีที่ต้องใช้ประมาณ 4,200 โหนดใน 7 shard เพื่อให้ได้ 4,000 tps เป็นเพียงค่าประมาณ เพราะแพลตฟอร์มรับภาระไม่ไหว เครือข่ายเป็นการจำลองที่แบนด์วิดท์และความหน่วงคงที่ทุกลิงก์ ไม่มีความแปรปรวนของเครือข่ายจริง ต่างจากงานรุ่นหลังอย่าง Red Belly [8] ที่ทดลองบนเครื่องเสมือนราว 1,000 เครื่องซึ่งกระจายอยู่หลายประเทศ และทุกตารางไม่รายงานค่าส่วนเบี่ยงเบนหรือจำนวนรอบที่ทำซ้ำ นอกจากนี้เมื่อคำนวณด้วยสมการ (1) การตั้งค่า [4, 1%] ที่ให้ throughput สูงสุดใน Fig. 6 มีโอกาสล้มเหลวราว 5.9 × 10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  <w:vertAlign w:val="superscript"/>
        </w:rPr>
        <w:t xml:space="preserve">−4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ต่อ shard ขณะที่อีกสามการตั้งค่าอยู่ราว 2 × 10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  <w:vertAlign w:val="superscript"/>
        </w:rPr>
        <w:t xml:space="preserve">−6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แท่งนั้นจึงไม่ได้อยู่ที่ระดับความปลอดภัยเดียวกัน</w:t>
      </w:r>
    </w:p>
    <w:p>
      <w:pPr>
        <w:pStyle w:val="ListParagraph"/>
        <w:keepNext w:val="false"/>
        <w:keepLines/>
        <w:numPr>
          <w:ilvl w:val="0"/>
          <w:numId w:val="6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ต้นทุนการเปลี่ยน epoch สูง: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RandHound ใช้เวลามากกว่า 70% ของการ bootstrap และกรณีแย่สุดประมาณ 3 ชั่วโมง ระบบจึงต้องใช้ epoch ยาวระดับวัน และผู้เขียนยอมรับว่าไม่เหมาะกับผู้โจมตีที่ปรับตัวเร็ว</w:t>
      </w:r>
    </w:p>
    <w:p>
      <w:pPr>
        <w:pStyle w:val="ListParagraph"/>
        <w:keepNext w:val="false"/>
        <w:keepLines/>
        <w:numPr>
          <w:ilvl w:val="0"/>
          <w:numId w:val="6"/>
        </w:numPr>
        <w:spacing w:after="8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ข้อแลกเปลี่ยนด้านความปลอดภัยของการยืนยันเร็วและ liveness: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trust-but-verify ยอมรับโอกาสน้อยกว่า 10% ที่การยืนยันชั้นแรกจะเสี่ยงต่อ double-spending, Atomix พึ่ง client หรือฝ่ายอื่นในการปลดล็อก และการวิเคราะห์ความปลอดภัยเป็นแบบ informal โดยไม่วิเคราะห์แรงจูงใจทางเศรษฐศาสตร์ของผู้เข้าร่วม (Section X)</w:t>
      </w:r>
    </w:p>
    <w:p>
      <w:pPr>
        <w:pStyle w:val="Heading1"/>
        <w:keepNext/>
        <w:keepLines/>
        <w:pBdr>
          <w:bottom w:val="single" w:color="CBD5E1" w:sz="6" w:space="2"/>
        </w:pBdr>
        <w:spacing w:after="120" w:before="300"/>
      </w:pPr>
      <w:r>
        <w:rPr>
          <w:rFonts w:ascii="Tahoma" w:cs="Tahoma" w:eastAsia="Tahoma" w:hAnsi="Tahoma"/>
          <w:b/>
          <w:bCs/>
          <w:i w:val="false"/>
          <w:color w:val="0F2D4A"/>
          <w:sz w:val="26"/>
          <w:szCs w:val="26"/>
        </w:rPr>
        <w:t xml:space="preserve">7 ความเห็นและการนำไปประยุกต์ใช้ (Senior Project and Sensor Networks Application)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ความเห็นโดยรวมของผู้จัดทำ: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OmniLedger [1] เป็นงานที่ตอบโจทย์ระบบกระจายตัวขนาดใหญ่ได้ครบทั้งทฤษฎีและการสร้างระบบจริง แต่ผลที่ควรนำไปอ้างอิงคือแนวคิดเชิงสถาปัตยกรรมและแบบจำลองความเสี่ยง มากกว่าตัวเลข throughput ซึ่งขึ้นกับรูปแบบธุรกรรมและมีความไม่สอดคล้องกันภายในบทความ</w:t>
      </w:r>
    </w:p>
    <w:p>
      <w:pPr>
        <w:keepNext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การเชื่อมโยงกับงานวิศวกรรมซอฟต์แวร์ของผู้จัดทำ: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การเทียบต่อไปนี้เป็นความเห็นของผู้จัดทำเพื่อใช้อธิบายแนวคิด ไม่ได้อยู่ในบทความ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cantSplit/>
          <w:tblHeader/>
        </w:trPr>
        <w:tc>
          <w:tcPr>
            <w:tcW w:type="dxa" w:w="3008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แนวคิดใน OmniLedger</w:t>
            </w:r>
          </w:p>
        </w:tc>
        <w:tc>
          <w:tcPr>
            <w:tcW w:type="dxa" w:w="3008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สิ่งที่คล้ายกันในงานระบบแบ็กเอนด์</w:t>
            </w:r>
          </w:p>
        </w:tc>
        <w:tc>
          <w:tcPr>
            <w:tcW w:type="dxa" w:w="3010"/>
            <w:tcBorders>
              <w:top w:val="single" w:color="0F2D4A" w:sz="4"/>
              <w:left w:val="single" w:color="0F2D4A" w:sz="4"/>
              <w:bottom w:val="single" w:color="0F2D4A" w:sz="4"/>
              <w:right w:val="single" w:color="0F2D4A" w:sz="4"/>
            </w:tcBorders>
            <w:shd w:fill="0F2D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color w:val="FFFFFF"/>
                <w:sz w:val="19"/>
                <w:szCs w:val="19"/>
              </w:rPr>
              <w:t xml:space="preserve">ความต่างที่ต้องระวัง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shard และการกระจาย UTXO ตาม hash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partition ของ Kafka ที่กระจายข้อความตาม key</w:t>
            </w:r>
          </w:p>
        </w:tc>
        <w:tc>
          <w:tcPr>
            <w:tcW w:type="dxa" w:w="3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Kafka ไม่ได้ออกแบบให้ทนต่อโหนดที่ตั้งใจโกง OmniLedger จึงต้องสุ่มสมาชิก shard ใหม่ทุก epoch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Atomix (Lock แล้ว Unlock to Commit หรือ Abort)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two-phase commit และ Saga pattern ใน microservices</w:t>
            </w:r>
          </w:p>
        </w:tc>
        <w:tc>
          <w:tcPr>
            <w:tcW w:type="dxa" w:w="3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Atomix ให้ client ขับเคลื่อนด้วย proof ที่มีลายเซ็น แทน coordinator กลาง ส่วน Saga ใช้ compensating transaction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state blocks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snapshot, checkpoint และ log compaction</w:t>
            </w:r>
          </w:p>
        </w:tc>
        <w:tc>
          <w:tcPr>
            <w:tcW w:type="dxa" w:w="3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state block ต้องมีลายเซ็นรวมของ shard เพื่อให้โหนดใหม่เชื่อได้โดยไม่ replay</w:t>
            </w:r>
          </w:p>
        </w:tc>
      </w:tr>
      <w:tr>
        <w:trPr>
          <w:cantSplit/>
          <w:tblHeader w:val="false"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ByzCoinX commit ธุรกรรมที่ไม่ขัดแย้งแบบขนาน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concurrency ด้วย goroutine และการจัดการ conflict ในฐานข้อมูล</w:t>
            </w:r>
          </w:p>
        </w:tc>
        <w:tc>
          <w:tcPr>
            <w:tcW w:type="dxa" w:w="30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before="0" w:line="264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color w:val="0F172A"/>
                <w:sz w:val="19"/>
                <w:szCs w:val="19"/>
              </w:rPr>
              <w:t xml:space="preserve">ผลทดลองชี้ว่าการขนานมากเกินไปทำให้ประสิทธิภาพลดลง</w:t>
            </w:r>
          </w:p>
        </w:tc>
      </w:tr>
    </w:tbl>
    <w:p>
      <w:pPr>
        <w:spacing w:after="80"/>
      </w:pP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การประยุกต์กับเครือข่ายเซนเซอร์ (ข้อเสนอของผู้จัดทำ ไม่ใช่ข้อค้นพบของบทความ):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OmniLedger ไม่ได้กล่าวถึงเซนเซอร์หรือ IoT แนวคิดที่นำมาใช้ได้อยู่ในระดับ gateway หรือ fog ซึ่งอยู่ระหว่างโหนดเซนเซอร์กับ cloud ในสถาปัตยกรรมเครือข่ายเซนเซอร์แบบหลายชั้น [9] เช่น แบ่ง gateway ตามพื้นที่เป็นกลุ่มคล้าย shard ให้แต่ละกลุ่มยืนยันบันทึกข้อมูลเซนเซอร์ของตน สุ่มสลับสมาชิกกลุ่มเป็นระยะเพื่อลดความเสี่ยงจาก gateway ที่ถูกยึด และใช้แนวคิดแบบ Atomix กับเหตุการณ์ที่ต้องบันทึกพร้อมกันหลายพื้นที่ ข้อจำกัดสำคัญคือโหนดเซนเซอร์มีพลังงาน แบนด์วิดท์ และหน่วยประมวลผลจำกัด ขณะที่ BFT consensus และลายเซ็นดิจิทัลมีต้นทุนการสื่อสารสูง จึงไม่เหมาะจะรันบนโหนดเซนเซอร์โดยตรง</w:t>
      </w:r>
    </w:p>
    <w:p>
      <w:pPr>
        <w:keepNext w:val="false"/>
        <w:keepLines/>
        <w:spacing w:after="110" w:line="288"/>
        <w:jc w:val="thaiDistribute"/>
      </w:pPr>
      <w:r>
        <w:rPr>
          <w:rFonts w:ascii="Tahoma" w:cs="Tahoma" w:eastAsia="Tahoma" w:hAnsi="Tahoma"/>
          <w:b/>
          <w:bCs/>
          <w:i w:val="false"/>
          <w:color w:val="0F172A"/>
          <w:sz w:val="21"/>
          <w:szCs w:val="21"/>
        </w:rPr>
        <w:t xml:space="preserve">การใช้ในเล่มโครงงาน:</w:t>
      </w:r>
      <w:r>
        <w:rPr>
          <w:rFonts w:ascii="Tahoma" w:cs="Tahoma" w:eastAsia="Tahoma" w:hAnsi="Tahoma"/>
          <w:b w:val="false"/>
          <w:i w:val="false"/>
          <w:color w:val="0F172A"/>
          <w:sz w:val="21"/>
          <w:szCs w:val="21"/>
        </w:rPr>
        <w:t xml:space="preserve"> บทความนี้ใช้ได้ในบทที่ 2 (ทฤษฎีและงานวิจัยที่เกี่ยวข้อง) หัวข้อการขยายขนาดของระบบกระจายตัวและ Byzantine fault tolerance โดยควรอ้างทั้งแนวคิดหลักและข้อจำกัดในหัวข้อ 6 ควบคู่กัน</w:t>
      </w:r>
    </w:p>
    <w:p>
      <w:pPr>
        <w:pStyle w:val="Heading1"/>
        <w:keepNext/>
        <w:keepLines/>
        <w:pBdr>
          <w:bottom w:val="single" w:color="CBD5E1" w:sz="6" w:space="2"/>
        </w:pBdr>
        <w:spacing w:after="120" w:before="300"/>
      </w:pPr>
      <w:r>
        <w:rPr>
          <w:rFonts w:ascii="Tahoma" w:cs="Tahoma" w:eastAsia="Tahoma" w:hAnsi="Tahoma"/>
          <w:b/>
          <w:bCs/>
          <w:i w:val="false"/>
          <w:color w:val="0F2D4A"/>
          <w:sz w:val="26"/>
          <w:szCs w:val="26"/>
        </w:rPr>
        <w:t xml:space="preserve">เอกสารอ้างอิง (References)</w:t>
      </w:r>
    </w:p>
    <w:p>
      <w:pPr>
        <w:keepNext w:val="false"/>
        <w:keepLines/>
        <w:spacing w:after="110" w:line="288"/>
        <w:ind w:left="440" w:hanging="440"/>
        <w:jc w:val="left"/>
      </w:pP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[1] E. Kokoris-Kogias, P. Jovanovic, L. Gasser, N. Gailly, E. Syta, and B. Ford, "OmniLedger: A Secure, Scale-Out, Decentralized Ledger via Sharding," in </w:t>
      </w:r>
      <w:r>
        <w:rPr>
          <w:rFonts w:ascii="Tahoma" w:cs="Tahoma" w:eastAsia="Tahoma" w:hAnsi="Tahoma"/>
          <w:b w:val="false"/>
          <w:i/>
          <w:iCs/>
          <w:color w:val="0F172A"/>
          <w:sz w:val="20"/>
          <w:szCs w:val="20"/>
        </w:rPr>
        <w:t xml:space="preserve">Proc. 2018 IEEE Symposium on Security and Privacy (SP)</w:t>
      </w: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, San Francisco, CA, USA, 2018, pp. 583–598, doi: 10.1109/SP.2018.000-5.</w:t>
      </w:r>
    </w:p>
    <w:p>
      <w:pPr>
        <w:keepNext w:val="false"/>
        <w:keepLines/>
        <w:spacing w:after="110" w:line="288"/>
        <w:ind w:left="440" w:hanging="440"/>
        <w:jc w:val="left"/>
      </w:pP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[2] E. Kokoris-Kogias, P. Jovanovic, N. Gailly, I. Khoffi, L. Gasser, and B. Ford, "Enhancing Bitcoin Security and Performance with Strong Consistency via Collective Signing," in </w:t>
      </w:r>
      <w:r>
        <w:rPr>
          <w:rFonts w:ascii="Tahoma" w:cs="Tahoma" w:eastAsia="Tahoma" w:hAnsi="Tahoma"/>
          <w:b w:val="false"/>
          <w:i/>
          <w:iCs/>
          <w:color w:val="0F172A"/>
          <w:sz w:val="20"/>
          <w:szCs w:val="20"/>
        </w:rPr>
        <w:t xml:space="preserve">Proc. 25th USENIX Security Symposium</w:t>
      </w: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, 2016.</w:t>
      </w:r>
    </w:p>
    <w:p>
      <w:pPr>
        <w:keepNext w:val="false"/>
        <w:keepLines/>
        <w:spacing w:after="110" w:line="288"/>
        <w:ind w:left="440" w:hanging="440"/>
        <w:jc w:val="left"/>
      </w:pP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[3] E. Syta, P. Jovanovic, E. Kokoris-Kogias, N. Gailly, L. Gasser, I. Khoffi, M. J. Fischer, and B. Ford, "Scalable Bias-Resistant Distributed Randomness," in </w:t>
      </w:r>
      <w:r>
        <w:rPr>
          <w:rFonts w:ascii="Tahoma" w:cs="Tahoma" w:eastAsia="Tahoma" w:hAnsi="Tahoma"/>
          <w:b w:val="false"/>
          <w:i/>
          <w:iCs/>
          <w:color w:val="0F172A"/>
          <w:sz w:val="20"/>
          <w:szCs w:val="20"/>
        </w:rPr>
        <w:t xml:space="preserve">Proc. 38th IEEE Symposium on Security and Privacy</w:t>
      </w: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, 2017.</w:t>
      </w:r>
    </w:p>
    <w:p>
      <w:pPr>
        <w:keepNext w:val="false"/>
        <w:keepLines/>
        <w:spacing w:after="110" w:line="288"/>
        <w:ind w:left="440" w:hanging="440"/>
        <w:jc w:val="left"/>
      </w:pP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[4] L. Luu, V. Narayanan, C. Zheng, K. Baweja, S. Gilbert, and P. Saxena, "A Secure Sharding Protocol for Open Blockchains," in </w:t>
      </w:r>
      <w:r>
        <w:rPr>
          <w:rFonts w:ascii="Tahoma" w:cs="Tahoma" w:eastAsia="Tahoma" w:hAnsi="Tahoma"/>
          <w:b w:val="false"/>
          <w:i/>
          <w:iCs/>
          <w:color w:val="0F172A"/>
          <w:sz w:val="20"/>
          <w:szCs w:val="20"/>
        </w:rPr>
        <w:t xml:space="preserve">Proc. 2016 ACM SIGSAC Conference on Computer and Communications Security (CCS)</w:t>
      </w: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, 2016, pp. 17–30.</w:t>
      </w:r>
    </w:p>
    <w:p>
      <w:pPr>
        <w:keepNext w:val="false"/>
        <w:keepLines/>
        <w:spacing w:after="110" w:line="288"/>
        <w:ind w:left="440" w:hanging="440"/>
        <w:jc w:val="left"/>
      </w:pP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[5] G. Danezis and S. Meiklejohn, "Centrally Banked Cryptocurrencies," in </w:t>
      </w:r>
      <w:r>
        <w:rPr>
          <w:rFonts w:ascii="Tahoma" w:cs="Tahoma" w:eastAsia="Tahoma" w:hAnsi="Tahoma"/>
          <w:b w:val="false"/>
          <w:i/>
          <w:iCs/>
          <w:color w:val="0F172A"/>
          <w:sz w:val="20"/>
          <w:szCs w:val="20"/>
        </w:rPr>
        <w:t xml:space="preserve">Proc. 23rd Network and Distributed System Security Symposium (NDSS)</w:t>
      </w: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, 2016.</w:t>
      </w:r>
    </w:p>
    <w:p>
      <w:pPr>
        <w:keepNext w:val="false"/>
        <w:keepLines/>
        <w:spacing w:after="110" w:line="288"/>
        <w:ind w:left="440" w:hanging="440"/>
        <w:jc w:val="left"/>
      </w:pP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[6] L. Lamport, R. Shostak, and M. Pease, "The Byzantine Generals Problem," </w:t>
      </w:r>
      <w:r>
        <w:rPr>
          <w:rFonts w:ascii="Tahoma" w:cs="Tahoma" w:eastAsia="Tahoma" w:hAnsi="Tahoma"/>
          <w:b w:val="false"/>
          <w:i/>
          <w:iCs/>
          <w:color w:val="0F172A"/>
          <w:sz w:val="20"/>
          <w:szCs w:val="20"/>
        </w:rPr>
        <w:t xml:space="preserve">ACM Transactions on Programming Languages and Systems</w:t>
      </w: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, vol. 4, no. 3, pp. 382–401, 1982.</w:t>
      </w:r>
    </w:p>
    <w:p>
      <w:pPr>
        <w:keepNext w:val="false"/>
        <w:keepLines/>
        <w:spacing w:after="110" w:line="288"/>
        <w:ind w:left="440" w:hanging="440"/>
        <w:jc w:val="left"/>
      </w:pP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[7] M. Castro and B. Liskov, "Practical Byzantine Fault Tolerance," in </w:t>
      </w:r>
      <w:r>
        <w:rPr>
          <w:rFonts w:ascii="Tahoma" w:cs="Tahoma" w:eastAsia="Tahoma" w:hAnsi="Tahoma"/>
          <w:b w:val="false"/>
          <w:i/>
          <w:iCs/>
          <w:color w:val="0F172A"/>
          <w:sz w:val="20"/>
          <w:szCs w:val="20"/>
        </w:rPr>
        <w:t xml:space="preserve">Proc. 3rd Symposium on Operating Systems Design and Implementation (OSDI)</w:t>
      </w: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, 1999, pp. 173–186.</w:t>
      </w:r>
    </w:p>
    <w:p>
      <w:pPr>
        <w:keepNext w:val="false"/>
        <w:keepLines/>
        <w:spacing w:after="110" w:line="288"/>
        <w:ind w:left="440" w:hanging="440"/>
        <w:jc w:val="left"/>
      </w:pP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[8] T. Crain, C. Natoli, and V. Gramoli, "Red Belly: A Secure, Fair and Scalable Open Blockchain," in </w:t>
      </w:r>
      <w:r>
        <w:rPr>
          <w:rFonts w:ascii="Tahoma" w:cs="Tahoma" w:eastAsia="Tahoma" w:hAnsi="Tahoma"/>
          <w:b w:val="false"/>
          <w:i/>
          <w:iCs/>
          <w:color w:val="0F172A"/>
          <w:sz w:val="20"/>
          <w:szCs w:val="20"/>
        </w:rPr>
        <w:t xml:space="preserve">Proc. 2021 IEEE Symposium on Security and Privacy (SP)</w:t>
      </w: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, 2021, pp. 466–483, doi: 10.1109/SP40001.2021.00087.</w:t>
      </w:r>
    </w:p>
    <w:p>
      <w:pPr>
        <w:keepNext w:val="false"/>
        <w:keepLines/>
        <w:spacing w:after="110" w:line="288"/>
        <w:ind w:left="440" w:hanging="440"/>
        <w:jc w:val="left"/>
      </w:pP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[9] H. Karl and A. Willig, </w:t>
      </w:r>
      <w:r>
        <w:rPr>
          <w:rFonts w:ascii="Tahoma" w:cs="Tahoma" w:eastAsia="Tahoma" w:hAnsi="Tahoma"/>
          <w:b w:val="false"/>
          <w:i/>
          <w:iCs/>
          <w:color w:val="0F172A"/>
          <w:sz w:val="20"/>
          <w:szCs w:val="20"/>
        </w:rPr>
        <w:t xml:space="preserve">Protocols and Architectures for Wireless Sensor Networks</w:t>
      </w:r>
      <w:r>
        <w:rPr>
          <w:rFonts w:ascii="Tahoma" w:cs="Tahoma" w:eastAsia="Tahoma" w:hAnsi="Tahoma"/>
          <w:b w:val="false"/>
          <w:i w:val="false"/>
          <w:color w:val="0F172A"/>
          <w:sz w:val="20"/>
          <w:szCs w:val="20"/>
        </w:rPr>
        <w:t xml:space="preserve">. Chichester, U.K.: Wiley, 2005.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Tahoma" w:cs="Tahoma" w:eastAsia="Tahoma" w:hAnsi="Tahoma"/>
        <w:b w:val="false"/>
        <w:i w:val="false"/>
        <w:color w:val="64748B"/>
        <w:sz w:val="17"/>
        <w:szCs w:val="17"/>
      </w:rPr>
      <w:t xml:space="preserve">Assignment Paper 3: OmniLedger (IEEE SP 2018) · 305432 เครือข่ายเซนเซอร์</w:t>
    </w:r>
    <w:r>
      <w:rPr>
        <w:rFonts w:ascii="Tahoma" w:cs="Tahoma" w:eastAsia="Tahoma" w:hAnsi="Tahoma"/>
        <w:color w:val="64748B"/>
        <w:sz w:val="17"/>
        <w:szCs w:val="17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rFonts w:ascii="Tahoma" w:cs="Tahoma" w:eastAsia="Tahoma" w:hAnsi="Tahoma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ahoma" w:cs="Tahoma" w:eastAsia="Tahoma" w:hAnsi="Tahoma"/>
      <w:b/>
      <w:bCs/>
      <w:color w:val="0F2D4A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ahoma" w:cs="Tahoma" w:eastAsia="Tahoma" w:hAnsi="Tahoma"/>
      <w:b/>
      <w:bCs/>
      <w:color w:val="0F2D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รายงานย่อบทความ OmniLedger (Assignment Paper 3)</dc:title>
  <dc:creator>นายธีรภัทร ภู่ระย้า (66362416)</dc:creator>
  <dc:description>305432 เครือข่ายเซนเซอร์: Assignment Paper 3</dc:description>
  <cp:lastModifiedBy>Un-named</cp:lastModifiedBy>
  <cp:revision>1</cp:revision>
  <dcterms:created xsi:type="dcterms:W3CDTF">2026-09-27T05:36:04.336Z</dcterms:created>
  <dcterms:modified xsi:type="dcterms:W3CDTF">2026-09-27T05:36:04.338Z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