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  <w:jc w:val="center"/>
      </w:pPr>
      <w:r>
        <w:rPr>
          <w:rFonts w:ascii="TH SarabunPSK" w:hAnsi="TH SarabunPSK" w:cs="TH SarabunPSK" w:eastAsia="TH SarabunPSK"/>
          <w:b/>
          <w:color w:val="0F2D4A"/>
          <w:sz w:val="44"/>
          <w:szCs w:val="44"/>
          <w:bCs/>
          <w:lang w:val="th-TH"/>
        </w:rPr>
        <w:t>รายงานย่อบทความ Publish Time Optimizations</w:t>
      </w:r>
    </w:p>
    <w:p>
      <w:pPr>
        <w:spacing w:after="100" w:line="320" w:lineRule="exact"/>
      </w:pPr>
      <w:r>
        <w:rPr>
          <w:rFonts w:ascii="TH SarabunPSK" w:hAnsi="TH SarabunPSK" w:cs="TH SarabunPSK" w:eastAsia="TH SarabunPSK"/>
          <w:b/>
          <w:color w:val="0F172A"/>
          <w:sz w:val="28"/>
          <w:szCs w:val="28"/>
          <w:bCs/>
          <w:lang w:val="th-TH"/>
        </w:rPr>
        <w:t>ชื่อบทความ:</w:t>
      </w:r>
      <w:r>
        <w:rPr>
          <w:rFonts w:ascii="TH SarabunPSK" w:hAnsi="TH SarabunPSK" w:cs="TH SarabunPSK" w:eastAsia="TH SarabunPSK"/>
          <w:b w:val="0"/>
          <w:color w:val="0F172A"/>
          <w:sz w:val="28"/>
          <w:szCs w:val="28"/>
          <w:lang w:val="th-TH"/>
        </w:rPr>
        <w:t xml:space="preserve"> Publish-Time Optimizations for Web-Based Visualizations</w:t>
      </w:r>
      <w:r>
        <w:br/>
      </w:r>
      <w:r>
        <w:rPr>
          <w:rFonts w:ascii="TH SarabunPSK" w:hAnsi="TH SarabunPSK" w:cs="TH SarabunPSK" w:eastAsia="TH SarabunPSK"/>
          <w:b/>
          <w:color w:val="0F172A"/>
          <w:sz w:val="28"/>
          <w:szCs w:val="28"/>
          <w:bCs/>
          <w:lang w:val="th-TH"/>
        </w:rPr>
        <w:t>ผู้เขียน:</w:t>
      </w:r>
      <w:r>
        <w:rPr>
          <w:rFonts w:ascii="TH SarabunPSK" w:hAnsi="TH SarabunPSK" w:cs="TH SarabunPSK" w:eastAsia="TH SarabunPSK"/>
          <w:b w:val="0"/>
          <w:color w:val="0F172A"/>
          <w:sz w:val="28"/>
          <w:szCs w:val="28"/>
          <w:lang w:val="th-TH"/>
        </w:rPr>
        <w:t xml:space="preserve"> Ron Pechuk และ Jeffrey Heer, University of Washington</w:t>
      </w:r>
      <w:r>
        <w:br/>
      </w:r>
      <w:r>
        <w:rPr>
          <w:rFonts w:ascii="TH SarabunPSK" w:hAnsi="TH SarabunPSK" w:cs="TH SarabunPSK" w:eastAsia="TH SarabunPSK"/>
          <w:b/>
          <w:color w:val="0F172A"/>
          <w:sz w:val="28"/>
          <w:szCs w:val="28"/>
          <w:bCs/>
          <w:lang w:val="th-TH"/>
        </w:rPr>
        <w:t>งานประชุม:</w:t>
      </w:r>
      <w:r>
        <w:rPr>
          <w:rFonts w:ascii="TH SarabunPSK" w:hAnsi="TH SarabunPSK" w:cs="TH SarabunPSK" w:eastAsia="TH SarabunPSK"/>
          <w:b w:val="0"/>
          <w:color w:val="0F172A"/>
          <w:sz w:val="28"/>
          <w:szCs w:val="28"/>
          <w:lang w:val="th-TH"/>
        </w:rPr>
        <w:t xml:space="preserve"> 2025 IEEE Visualization and Visual Analytics (VIS), pp. 226–230</w:t>
      </w:r>
      <w:r>
        <w:br/>
      </w:r>
      <w:r>
        <w:rPr>
          <w:rFonts w:ascii="TH SarabunPSK" w:hAnsi="TH SarabunPSK" w:cs="TH SarabunPSK" w:eastAsia="TH SarabunPSK"/>
          <w:b/>
          <w:color w:val="0F172A"/>
          <w:sz w:val="28"/>
          <w:szCs w:val="28"/>
          <w:bCs/>
          <w:lang w:val="th-TH"/>
        </w:rPr>
        <w:t>DOI:</w:t>
      </w:r>
      <w:r>
        <w:rPr>
          <w:rFonts w:ascii="TH SarabunPSK" w:hAnsi="TH SarabunPSK" w:cs="TH SarabunPSK" w:eastAsia="TH SarabunPSK"/>
          <w:b w:val="0"/>
          <w:color w:val="0F172A"/>
          <w:sz w:val="28"/>
          <w:szCs w:val="28"/>
          <w:lang w:val="th-TH"/>
        </w:rPr>
        <w:t xml:space="preserve"> 10.1109/VIS60296.2025.00051 | </w:t>
      </w:r>
      <w:r>
        <w:rPr>
          <w:rFonts w:ascii="TH SarabunPSK" w:hAnsi="TH SarabunPSK" w:cs="TH SarabunPSK" w:eastAsia="TH SarabunPSK"/>
          <w:b/>
          <w:color w:val="0F172A"/>
          <w:sz w:val="28"/>
          <w:szCs w:val="28"/>
          <w:bCs/>
          <w:lang w:val="th-TH"/>
        </w:rPr>
        <w:t>IEEE Doc ID:</w:t>
      </w:r>
      <w:r>
        <w:rPr>
          <w:rFonts w:ascii="TH SarabunPSK" w:hAnsi="TH SarabunPSK" w:cs="TH SarabunPSK" w:eastAsia="TH SarabunPSK"/>
          <w:b w:val="0"/>
          <w:color w:val="0F172A"/>
          <w:sz w:val="28"/>
          <w:szCs w:val="28"/>
          <w:lang w:val="th-TH"/>
        </w:rPr>
        <w:t xml:space="preserve"> 11298742</w:t>
      </w:r>
      <w:r>
        <w:br/>
      </w:r>
      <w:r>
        <w:rPr>
          <w:rFonts w:ascii="TH SarabunPSK" w:hAnsi="TH SarabunPSK" w:cs="TH SarabunPSK" w:eastAsia="TH SarabunPSK"/>
          <w:b/>
          <w:color w:val="0F172A"/>
          <w:sz w:val="28"/>
          <w:szCs w:val="28"/>
          <w:bCs/>
          <w:lang w:val="th-TH"/>
        </w:rPr>
        <w:t>ผู้จัดทำ:</w:t>
      </w:r>
      <w:r>
        <w:rPr>
          <w:rFonts w:ascii="TH SarabunPSK" w:hAnsi="TH SarabunPSK" w:cs="TH SarabunPSK" w:eastAsia="TH SarabunPSK"/>
          <w:b w:val="0"/>
          <w:color w:val="0F172A"/>
          <w:sz w:val="28"/>
          <w:szCs w:val="28"/>
          <w:lang w:val="th-TH"/>
        </w:rPr>
        <w:t xml:space="preserve"> นายธีรภัทร ภู่ระย้า | </w:t>
      </w:r>
      <w:r>
        <w:rPr>
          <w:rFonts w:ascii="TH SarabunPSK" w:hAnsi="TH SarabunPSK" w:cs="TH SarabunPSK" w:eastAsia="TH SarabunPSK"/>
          <w:b/>
          <w:color w:val="0F172A"/>
          <w:sz w:val="28"/>
          <w:szCs w:val="28"/>
          <w:bCs/>
          <w:lang w:val="th-TH"/>
        </w:rPr>
        <w:t>รหัสนิสิต:</w:t>
      </w:r>
      <w:r>
        <w:rPr>
          <w:rFonts w:ascii="TH SarabunPSK" w:hAnsi="TH SarabunPSK" w:cs="TH SarabunPSK" w:eastAsia="TH SarabunPSK"/>
          <w:b w:val="0"/>
          <w:color w:val="0F172A"/>
          <w:sz w:val="28"/>
          <w:szCs w:val="28"/>
          <w:lang w:val="th-TH"/>
        </w:rPr>
        <w:t xml:space="preserve"> 66362416</w:t>
      </w:r>
      <w:r>
        <w:br/>
      </w:r>
      <w:r>
        <w:rPr>
          <w:rFonts w:ascii="TH SarabunPSK" w:hAnsi="TH SarabunPSK" w:cs="TH SarabunPSK" w:eastAsia="TH SarabunPSK"/>
          <w:b/>
          <w:color w:val="0F172A"/>
          <w:sz w:val="28"/>
          <w:szCs w:val="28"/>
          <w:bCs/>
          <w:lang w:val="th-TH"/>
        </w:rPr>
        <w:t>รายวิชา:</w:t>
      </w:r>
      <w:r>
        <w:rPr>
          <w:rFonts w:ascii="TH SarabunPSK" w:hAnsi="TH SarabunPSK" w:cs="TH SarabunPSK" w:eastAsia="TH SarabunPSK"/>
          <w:b w:val="0"/>
          <w:color w:val="0F172A"/>
          <w:sz w:val="28"/>
          <w:szCs w:val="28"/>
          <w:lang w:val="th-TH"/>
        </w:rPr>
        <w:t xml:space="preserve"> 305432 เครือข่ายเซนเซอร์ (Assignment Paper IV)</w:t>
      </w:r>
    </w:p>
    <w:p>
      <w:pPr>
        <w:pStyle w:val="Heading1"/>
      </w:pPr>
      <w:r>
        <w:rPr>
          <w:rFonts w:ascii="TH SarabunPSK" w:hAnsi="TH SarabunPSK" w:cs="TH SarabunPSK" w:eastAsia="TH SarabunPSK"/>
          <w:b/>
          <w:color w:val="0F2D4A"/>
          <w:sz w:val="34"/>
          <w:szCs w:val="34"/>
          <w:bCs/>
          <w:lang w:val="th-TH"/>
        </w:rPr>
        <w:t>บทสรุปบทความ</w:t>
      </w:r>
    </w:p>
    <w:p>
      <w:pPr>
        <w:keepNext w:val="0"/>
        <w:widowControl/>
        <w:spacing w:after="60" w:line="368" w:lineRule="exact"/>
        <w:ind w:firstLine="432"/>
        <w:jc w:val="both"/>
      </w:pPr>
      <w:r>
        <w:rPr>
          <w:rFonts w:ascii="TH SarabunPSK" w:hAnsi="TH SarabunPSK" w:cs="TH SarabunPSK" w:eastAsia="TH SarabunPSK"/>
          <w:b w:val="0"/>
          <w:color w:val="0F172A"/>
          <w:sz w:val="32"/>
          <w:szCs w:val="32"/>
          <w:lang w:val="th-TH"/>
        </w:rPr>
        <w:t>เว็บแสดงภาพข้อมูลแบบโต้ตอบต้องประมวลผลก่อนแสดงภาพและรับอินพุต ผู้วิจัยเสนอให้ย้ายงานที่ทำซ้ำข้ามผู้ใช้ไปยังช่วงเผยแพร่ผ่าน Mosaic Publisher ซึ่งเตรียมข้อมูล ผลคิวรี และภาพเริ่มต้นล่วงหน้า การทดลองกับภาพข้อมูล 5 รูปแบบพบว่าชุดกลยุทธ์รวมลดเวลาเห็นภาพเฉลี่ย 83.7% และเวลาพร้อมโต้ตอบ 33.3% แลกกับพื้นที่ทรัพยากรเพิ่ม 21.2% งานนี้แสดงประโยชน์ของการเตรียมงานก่อนเปิดหน้า แต่ยังเหลือต้นทุน Hydration ฝั่งไคลเอนต์ [1]</w:t>
      </w:r>
    </w:p>
    <w:p>
      <w:pPr>
        <w:pStyle w:val="Heading1"/>
      </w:pPr>
      <w:r>
        <w:rPr>
          <w:rFonts w:ascii="TH SarabunPSK" w:hAnsi="TH SarabunPSK" w:cs="TH SarabunPSK" w:eastAsia="TH SarabunPSK"/>
          <w:b/>
          <w:color w:val="0F2D4A"/>
          <w:sz w:val="34"/>
          <w:szCs w:val="34"/>
          <w:bCs/>
          <w:lang w:val="th-TH"/>
        </w:rPr>
        <w:t>ที่มาและปัญหาวิจัย</w:t>
      </w:r>
    </w:p>
    <w:p>
      <w:pPr>
        <w:keepNext w:val="0"/>
        <w:widowControl/>
        <w:spacing w:after="60" w:line="368" w:lineRule="exact"/>
        <w:ind w:firstLine="432"/>
        <w:jc w:val="both"/>
      </w:pPr>
      <w:r>
        <w:rPr>
          <w:rFonts w:ascii="TH SarabunPSK" w:hAnsi="TH SarabunPSK" w:cs="TH SarabunPSK" w:eastAsia="TH SarabunPSK"/>
          <w:b w:val="0"/>
          <w:color w:val="0F172A"/>
          <w:sz w:val="32"/>
          <w:szCs w:val="32"/>
          <w:lang w:val="th-TH"/>
        </w:rPr>
        <w:t>การสร้างแคชตอนใช้งานช่วยคิวรีครั้งต่อไป แต่ผู้ใช้ครั้งแรกยังต้องรอโหลดข้อมูล คำนวณคิวรี และวาดภาพ ผู้วิจัยจึงแยก Time-to-Render (TTR) ซึ่งนับจากร้องขอหน้าจนเห็น visualization ครบ ออกจาก Time-to-Activation (TTA) ซึ่งนับจนระบบพร้อมรับการกรองหรือเลือกข้อมูล พร้อมวัด Storage Cost (SC) ของทรัพยากรเผยแพร่ การแยกสองเวลานี้ทำให้ตรวจได้ว่าภาพที่มาเร็วขึ้นพร้อมใช้งานจริงหรือยัง ต่างจากการนับเพียงเนื้อหาใด ๆ ปรากฏบนหน้า (Section 3.1)</w:t>
      </w:r>
    </w:p>
    <w:p>
      <w:pPr>
        <w:pStyle w:val="Heading1"/>
      </w:pPr>
      <w:r>
        <w:rPr>
          <w:rFonts w:ascii="TH SarabunPSK" w:hAnsi="TH SarabunPSK" w:cs="TH SarabunPSK" w:eastAsia="TH SarabunPSK"/>
          <w:b/>
          <w:color w:val="0F2D4A"/>
          <w:sz w:val="34"/>
          <w:szCs w:val="34"/>
          <w:bCs/>
          <w:lang w:val="th-TH"/>
        </w:rPr>
        <w:t>วิธีดำเนินการและสถาปัตยกรรม</w:t>
      </w:r>
    </w:p>
    <w:p>
      <w:pPr>
        <w:keepNext w:val="0"/>
        <w:widowControl/>
        <w:spacing w:after="60" w:line="368" w:lineRule="exact"/>
        <w:ind w:firstLine="432"/>
        <w:jc w:val="both"/>
      </w:pPr>
      <w:r>
        <w:rPr>
          <w:rFonts w:ascii="TH SarabunPSK" w:hAnsi="TH SarabunPSK" w:cs="TH SarabunPSK" w:eastAsia="TH SarabunPSK"/>
          <w:b w:val="0"/>
          <w:color w:val="0F172A"/>
          <w:sz w:val="32"/>
          <w:szCs w:val="32"/>
          <w:lang w:val="th-TH"/>
        </w:rPr>
        <w:t>Mosaic ใช้ coordinator กลางจัดการคิวรีของ views และเชื่อมการโต้ตอบ Publisher อ่านข้อกำหนด YAML เป็น Abstract Syntax Tree (AST) แล้วเลือกเตรียมงานตามระดับการปรับปรุง DuckDB แบบ in-process ใช้คำนวณตอนเผยแพร่ ส่วน runtime รองรับฐานข้อมูลในเบราว์เซอร์หรือบนเซิร์ฟเวอร์ กระบวนการหลักมีดังนี้ (Sections 4.1–4.3)</w:t>
      </w:r>
    </w:p>
    <w:p>
      <w:pPr>
        <w:keepNext w:val="0"/>
        <w:widowControl/>
        <w:spacing w:after="60" w:line="368" w:lineRule="exact"/>
        <w:ind w:firstLine="432"/>
        <w:jc w:val="both"/>
      </w:pPr>
      <w:r>
        <w:rPr>
          <w:rFonts w:ascii="TH SarabunPSK" w:hAnsi="TH SarabunPSK" w:cs="TH SarabunPSK" w:eastAsia="TH SarabunPSK"/>
          <w:b w:val="0"/>
          <w:color w:val="0F172A"/>
          <w:sz w:val="32"/>
          <w:szCs w:val="32"/>
          <w:lang w:val="th-TH"/>
        </w:rPr>
        <w:t>จำลองการโต้ตอบ: กระตุ้นตัวรับอินพุตบน virtual DOM เพื่อค้นคิวรีที่เกิดจากการกรองและการเลือกข้อมูล</w:t>
      </w:r>
    </w:p>
    <w:p>
      <w:pPr>
        <w:keepNext w:val="0"/>
        <w:widowControl/>
        <w:spacing w:after="60" w:line="368" w:lineRule="exact"/>
        <w:ind w:firstLine="432"/>
        <w:jc w:val="both"/>
      </w:pPr>
      <w:r>
        <w:rPr>
          <w:rFonts w:ascii="TH SarabunPSK" w:hAnsi="TH SarabunPSK" w:cs="TH SarabunPSK" w:eastAsia="TH SarabunPSK"/>
          <w:b w:val="0"/>
          <w:color w:val="0F172A"/>
          <w:sz w:val="32"/>
          <w:szCs w:val="32"/>
          <w:lang w:val="th-TH"/>
        </w:rPr>
        <w:t>เก็บผลคำนวณ: รันงานเตรียมข้อมูล คิวรีเริ่มต้น และ pre-aggregations แล้วบันทึกเป็นทรัพยากรที่นำไปเผยแพร่ได้</w:t>
      </w:r>
    </w:p>
    <w:p>
      <w:pPr>
        <w:keepNext w:val="0"/>
        <w:widowControl/>
        <w:spacing w:after="60" w:line="368" w:lineRule="exact"/>
        <w:ind w:firstLine="432"/>
        <w:jc w:val="both"/>
      </w:pPr>
      <w:r>
        <w:rPr>
          <w:rFonts w:ascii="TH SarabunPSK" w:hAnsi="TH SarabunPSK" w:cs="TH SarabunPSK" w:eastAsia="TH SarabunPSK"/>
          <w:b w:val="0"/>
          <w:color w:val="0F172A"/>
          <w:sz w:val="32"/>
          <w:szCs w:val="32"/>
          <w:lang w:val="th-TH"/>
        </w:rPr>
        <w:t>ปรับข้อกำหนด: rewrite AST ให้ส่วนเตรียมข้อมูลชี้ผลที่คำนวณไว้ ส่วน query cache และ materialized views โหลดเข้าตัวกลางและฐานข้อมูลได้โดยตรง</w:t>
      </w:r>
    </w:p>
    <w:p>
      <w:pPr>
        <w:keepNext w:val="0"/>
        <w:widowControl/>
        <w:spacing w:after="60" w:line="368" w:lineRule="exact"/>
        <w:ind w:firstLine="432"/>
        <w:jc w:val="both"/>
      </w:pPr>
      <w:r>
        <w:rPr>
          <w:rFonts w:ascii="TH SarabunPSK" w:hAnsi="TH SarabunPSK" w:cs="TH SarabunPSK" w:eastAsia="TH SarabunPSK"/>
          <w:b w:val="0"/>
          <w:color w:val="0F172A"/>
          <w:sz w:val="32"/>
          <w:szCs w:val="32"/>
          <w:lang w:val="th-TH"/>
        </w:rPr>
        <w:t>เตรียมภาพและเริ่มระบบ: view ที่ไม่โต้ตอบส่งเฉพาะภาพที่เรนเดอร์ไว้ ส่วน interactive view ส่งภาพเริ่มต้นพร้อม JavaScript สำหรับเติมแคชและเริ่มคอมโพเนนต์โต้ตอบ</w:t>
      </w:r>
    </w:p>
    <w:p>
      <w:pPr>
        <w:keepNext w:val="0"/>
        <w:widowControl/>
        <w:spacing w:after="60" w:line="368" w:lineRule="exact"/>
        <w:ind w:firstLine="432"/>
        <w:jc w:val="both"/>
      </w:pPr>
      <w:r>
        <w:rPr>
          <w:rFonts w:ascii="TH SarabunPSK" w:hAnsi="TH SarabunPSK" w:cs="TH SarabunPSK" w:eastAsia="TH SarabunPSK"/>
          <w:b w:val="0"/>
          <w:color w:val="0F172A"/>
          <w:sz w:val="32"/>
          <w:szCs w:val="32"/>
          <w:lang w:val="th-TH"/>
        </w:rPr>
        <w:t>Hydration ปัจจุบันยังสร้างคอมโพเนนต์ผ่าน client-side rendering ตามปกติ ผู้วิจัยยังไม่ได้ทดลอง progressive hydration และเสนอการทำ Hydration ที่ละเอียดขึ้นเป็นงานอนาคต การมีภาพล่วงหน้าจึงไม่ได้ทำให้งานเปิดระบบโต้ตอบหายไป</w:t>
      </w:r>
    </w:p>
    <w:p>
      <w:r>
        <w:br w:type="page"/>
      </w:r>
    </w:p>
    <w:p>
      <w:pPr>
        <w:pStyle w:val="Heading1"/>
      </w:pPr>
      <w:r>
        <w:rPr>
          <w:rFonts w:ascii="TH SarabunPSK" w:hAnsi="TH SarabunPSK" w:cs="TH SarabunPSK" w:eastAsia="TH SarabunPSK"/>
          <w:b/>
          <w:color w:val="0F2D4A"/>
          <w:sz w:val="34"/>
          <w:szCs w:val="34"/>
          <w:bCs/>
          <w:lang w:val="th-TH"/>
        </w:rPr>
        <w:t>การทดลองและผลลัพธ์</w:t>
      </w:r>
    </w:p>
    <w:p>
      <w:pPr>
        <w:keepNext w:val="0"/>
        <w:widowControl/>
        <w:spacing w:after="60" w:line="368" w:lineRule="exact"/>
        <w:ind w:firstLine="432"/>
        <w:jc w:val="both"/>
      </w:pPr>
      <w:r>
        <w:rPr>
          <w:rFonts w:ascii="TH SarabunPSK" w:hAnsi="TH SarabunPSK" w:cs="TH SarabunPSK" w:eastAsia="TH SarabunPSK"/>
          <w:b w:val="0"/>
          <w:color w:val="0F172A"/>
          <w:sz w:val="32"/>
          <w:szCs w:val="32"/>
          <w:lang w:val="th-TH"/>
        </w:rPr>
        <w:t>ผู้วิจัยทดสอบ airlines, property, flights, gaia และ taxis ที่ข้อมูล 10k–10M แถว บน MacBook Pro ปี 2021, M1 Pro, RAM 16 GB, macOS 15.2 และ Node.js 22.9.0 ใช้ local server กับ DuckDB-WASM เปรียบเทียบ none ที่คำนวณตอน runtime กับระดับปรับปรุงที่เพิ่มสะสมจากเตรียมข้อมูล เพิ่มแคช แล้วเพิ่มภาพเริ่มต้น (Section 5)</w:t>
      </w:r>
    </w:p>
    <w:p>
      <w:pPr>
        <w:keepNext/>
        <w:widowControl/>
        <w:spacing w:after="60" w:line="310" w:lineRule="exact"/>
        <w:ind w:firstLine="0"/>
        <w:jc w:val="left"/>
      </w:pPr>
      <w:r>
        <w:rPr>
          <w:rFonts w:ascii="TH SarabunPSK" w:hAnsi="TH SarabunPSK" w:cs="TH SarabunPSK" w:eastAsia="TH SarabunPSK"/>
          <w:b/>
          <w:color w:val="0F172A"/>
          <w:sz w:val="27"/>
          <w:szCs w:val="27"/>
          <w:bCs/>
          <w:lang w:val="th-TH"/>
        </w:rPr>
        <w:t>ตารางที่ 1</w:t>
      </w:r>
      <w:r>
        <w:rPr>
          <w:rFonts w:ascii="TH SarabunPSK" w:hAnsi="TH SarabunPSK" w:cs="TH SarabunPSK" w:eastAsia="TH SarabunPSK"/>
          <w:b w:val="0"/>
          <w:color w:val="0F172A"/>
          <w:sz w:val="27"/>
          <w:szCs w:val="27"/>
          <w:lang w:val="th-TH"/>
        </w:rPr>
        <w:t xml:space="preserve"> ค่าเฉลี่ยการเปลี่ยนแปลงเทียบ none ข้ามรูปแบบภาพและขนาดข้อมูล พร้อมส่วนเบี่ยงเบนมาตรฐาน σ (ต้นฉบับ Table 1, หน้า PDF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736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0F2D4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330" w:lineRule="exact"/>
              <w:jc w:val="left"/>
            </w:pPr>
            <w:r>
              <w:rPr>
                <w:rFonts w:ascii="TH SarabunPSK" w:hAnsi="TH SarabunPSK" w:cs="TH SarabunPSK" w:eastAsia="TH SarabunPSK"/>
                <w:b/>
                <w:color w:val="FFFFFF"/>
                <w:sz w:val="29"/>
                <w:szCs w:val="29"/>
                <w:bCs/>
                <w:lang w:val="th-TH"/>
              </w:rPr>
              <w:t>ระดับปรับปรุง</w:t>
            </w:r>
          </w:p>
        </w:tc>
        <w:tc>
          <w:tcPr>
            <w:tcW w:type="dxa" w:w="210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0F2D4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330" w:lineRule="exact"/>
              <w:jc w:val="center"/>
            </w:pPr>
            <w:r>
              <w:rPr>
                <w:rFonts w:ascii="TH SarabunPSK" w:hAnsi="TH SarabunPSK" w:cs="TH SarabunPSK" w:eastAsia="TH SarabunPSK"/>
                <w:b/>
                <w:color w:val="FFFFFF"/>
                <w:sz w:val="29"/>
                <w:szCs w:val="29"/>
                <w:bCs/>
                <w:lang w:val="th-TH"/>
              </w:rPr>
              <w:t>ΔSC (%)</w:t>
            </w:r>
          </w:p>
        </w:tc>
        <w:tc>
          <w:tcPr>
            <w:tcW w:type="dxa" w:w="210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0F2D4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330" w:lineRule="exact"/>
              <w:jc w:val="center"/>
            </w:pPr>
            <w:r>
              <w:rPr>
                <w:rFonts w:ascii="TH SarabunPSK" w:hAnsi="TH SarabunPSK" w:cs="TH SarabunPSK" w:eastAsia="TH SarabunPSK"/>
                <w:b/>
                <w:color w:val="FFFFFF"/>
                <w:sz w:val="29"/>
                <w:szCs w:val="29"/>
                <w:bCs/>
                <w:lang w:val="th-TH"/>
              </w:rPr>
              <w:t>ΔTTR (%)</w:t>
            </w:r>
          </w:p>
        </w:tc>
        <w:tc>
          <w:tcPr>
            <w:tcW w:type="dxa" w:w="208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0F2D4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330" w:lineRule="exact"/>
              <w:jc w:val="center"/>
            </w:pPr>
            <w:r>
              <w:rPr>
                <w:rFonts w:ascii="TH SarabunPSK" w:hAnsi="TH SarabunPSK" w:cs="TH SarabunPSK" w:eastAsia="TH SarabunPSK"/>
                <w:b/>
                <w:color w:val="FFFFFF"/>
                <w:sz w:val="29"/>
                <w:szCs w:val="29"/>
                <w:bCs/>
                <w:lang w:val="th-TH"/>
              </w:rPr>
              <w:t>ΔTTA (%)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330" w:lineRule="exact"/>
              <w:jc w:val="left"/>
            </w:pPr>
            <w:r>
              <w:rPr>
                <w:rFonts w:ascii="TH SarabunPSK" w:hAnsi="TH SarabunPSK" w:cs="TH SarabunPSK" w:eastAsia="TH SarabunPSK"/>
                <w:b w:val="0"/>
                <w:color w:val="0F172A"/>
                <w:sz w:val="29"/>
                <w:szCs w:val="29"/>
                <w:lang w:val="th-TH"/>
              </w:rPr>
              <w:t>+prep</w:t>
            </w:r>
          </w:p>
        </w:tc>
        <w:tc>
          <w:tcPr>
            <w:tcW w:type="dxa" w:w="210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330" w:lineRule="exact"/>
              <w:jc w:val="center"/>
            </w:pPr>
            <w:r>
              <w:rPr>
                <w:rFonts w:ascii="TH SarabunPSK" w:hAnsi="TH SarabunPSK" w:cs="TH SarabunPSK" w:eastAsia="TH SarabunPSK"/>
                <w:b w:val="0"/>
                <w:color w:val="0F172A"/>
                <w:sz w:val="29"/>
                <w:szCs w:val="29"/>
                <w:lang w:val="th-TH"/>
              </w:rPr>
              <w:t>0.0 ± 0.0</w:t>
            </w:r>
          </w:p>
        </w:tc>
        <w:tc>
          <w:tcPr>
            <w:tcW w:type="dxa" w:w="210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330" w:lineRule="exact"/>
              <w:jc w:val="center"/>
            </w:pPr>
            <w:r>
              <w:rPr>
                <w:rFonts w:ascii="TH SarabunPSK" w:hAnsi="TH SarabunPSK" w:cs="TH SarabunPSK" w:eastAsia="TH SarabunPSK"/>
                <w:b w:val="0"/>
                <w:color w:val="0F172A"/>
                <w:sz w:val="29"/>
                <w:szCs w:val="29"/>
                <w:lang w:val="th-TH"/>
              </w:rPr>
              <w:t>−0.6 ± 4.0</w:t>
            </w:r>
          </w:p>
        </w:tc>
        <w:tc>
          <w:tcPr>
            <w:tcW w:type="dxa" w:w="208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330" w:lineRule="exact"/>
              <w:jc w:val="center"/>
            </w:pPr>
            <w:r>
              <w:rPr>
                <w:rFonts w:ascii="TH SarabunPSK" w:hAnsi="TH SarabunPSK" w:cs="TH SarabunPSK" w:eastAsia="TH SarabunPSK"/>
                <w:b w:val="0"/>
                <w:color w:val="0F172A"/>
                <w:sz w:val="29"/>
                <w:szCs w:val="29"/>
                <w:lang w:val="th-TH"/>
              </w:rPr>
              <w:t>−1.0 ± 2.5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330" w:lineRule="exact"/>
              <w:jc w:val="left"/>
            </w:pPr>
            <w:r>
              <w:rPr>
                <w:rFonts w:ascii="TH SarabunPSK" w:hAnsi="TH SarabunPSK" w:cs="TH SarabunPSK" w:eastAsia="TH SarabunPSK"/>
                <w:b w:val="0"/>
                <w:color w:val="0F172A"/>
                <w:sz w:val="29"/>
                <w:szCs w:val="29"/>
                <w:lang w:val="th-TH"/>
              </w:rPr>
              <w:t>+cache</w:t>
            </w:r>
          </w:p>
        </w:tc>
        <w:tc>
          <w:tcPr>
            <w:tcW w:type="dxa" w:w="210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330" w:lineRule="exact"/>
              <w:jc w:val="center"/>
            </w:pPr>
            <w:r>
              <w:rPr>
                <w:rFonts w:ascii="TH SarabunPSK" w:hAnsi="TH SarabunPSK" w:cs="TH SarabunPSK" w:eastAsia="TH SarabunPSK"/>
                <w:b w:val="0"/>
                <w:color w:val="0F172A"/>
                <w:sz w:val="29"/>
                <w:szCs w:val="29"/>
                <w:lang w:val="th-TH"/>
              </w:rPr>
              <w:t>+21.1 ± 29.8</w:t>
            </w:r>
          </w:p>
        </w:tc>
        <w:tc>
          <w:tcPr>
            <w:tcW w:type="dxa" w:w="210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330" w:lineRule="exact"/>
              <w:jc w:val="center"/>
            </w:pPr>
            <w:r>
              <w:rPr>
                <w:rFonts w:ascii="TH SarabunPSK" w:hAnsi="TH SarabunPSK" w:cs="TH SarabunPSK" w:eastAsia="TH SarabunPSK"/>
                <w:b w:val="0"/>
                <w:color w:val="0F172A"/>
                <w:sz w:val="29"/>
                <w:szCs w:val="29"/>
                <w:lang w:val="th-TH"/>
              </w:rPr>
              <w:t>−16.6 ± 1.3</w:t>
            </w:r>
          </w:p>
        </w:tc>
        <w:tc>
          <w:tcPr>
            <w:tcW w:type="dxa" w:w="208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330" w:lineRule="exact"/>
              <w:jc w:val="center"/>
            </w:pPr>
            <w:r>
              <w:rPr>
                <w:rFonts w:ascii="TH SarabunPSK" w:hAnsi="TH SarabunPSK" w:cs="TH SarabunPSK" w:eastAsia="TH SarabunPSK"/>
                <w:b w:val="0"/>
                <w:color w:val="0F172A"/>
                <w:sz w:val="29"/>
                <w:szCs w:val="29"/>
                <w:lang w:val="th-TH"/>
              </w:rPr>
              <w:t>−32.3 ± 8.9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330" w:lineRule="exact"/>
              <w:jc w:val="left"/>
            </w:pPr>
            <w:r>
              <w:rPr>
                <w:rFonts w:ascii="TH SarabunPSK" w:hAnsi="TH SarabunPSK" w:cs="TH SarabunPSK" w:eastAsia="TH SarabunPSK"/>
                <w:b w:val="0"/>
                <w:color w:val="0F172A"/>
                <w:sz w:val="29"/>
                <w:szCs w:val="29"/>
                <w:lang w:val="th-TH"/>
              </w:rPr>
              <w:t>+most (ชุดรวม)</w:t>
            </w:r>
          </w:p>
        </w:tc>
        <w:tc>
          <w:tcPr>
            <w:tcW w:type="dxa" w:w="210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330" w:lineRule="exact"/>
              <w:jc w:val="center"/>
            </w:pPr>
            <w:r>
              <w:rPr>
                <w:rFonts w:ascii="TH SarabunPSK" w:hAnsi="TH SarabunPSK" w:cs="TH SarabunPSK" w:eastAsia="TH SarabunPSK"/>
                <w:b w:val="0"/>
                <w:color w:val="0F172A"/>
                <w:sz w:val="29"/>
                <w:szCs w:val="29"/>
                <w:lang w:val="th-TH"/>
              </w:rPr>
              <w:t>+21.2 ± 29.9</w:t>
            </w:r>
          </w:p>
        </w:tc>
        <w:tc>
          <w:tcPr>
            <w:tcW w:type="dxa" w:w="210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330" w:lineRule="exact"/>
              <w:jc w:val="center"/>
            </w:pPr>
            <w:r>
              <w:rPr>
                <w:rFonts w:ascii="TH SarabunPSK" w:hAnsi="TH SarabunPSK" w:cs="TH SarabunPSK" w:eastAsia="TH SarabunPSK"/>
                <w:b w:val="0"/>
                <w:color w:val="0F172A"/>
                <w:sz w:val="29"/>
                <w:szCs w:val="29"/>
                <w:lang w:val="th-TH"/>
              </w:rPr>
              <w:t>−83.7 ± 2.1</w:t>
            </w:r>
          </w:p>
        </w:tc>
        <w:tc>
          <w:tcPr>
            <w:tcW w:type="dxa" w:w="208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330" w:lineRule="exact"/>
              <w:jc w:val="center"/>
            </w:pPr>
            <w:r>
              <w:rPr>
                <w:rFonts w:ascii="TH SarabunPSK" w:hAnsi="TH SarabunPSK" w:cs="TH SarabunPSK" w:eastAsia="TH SarabunPSK"/>
                <w:b w:val="0"/>
                <w:color w:val="0F172A"/>
                <w:sz w:val="29"/>
                <w:szCs w:val="29"/>
                <w:lang w:val="th-TH"/>
              </w:rPr>
              <w:t>−33.3 ± 9.6</w:t>
            </w:r>
          </w:p>
        </w:tc>
      </w:tr>
    </w:tbl>
    <w:p>
      <w:pPr>
        <w:keepNext w:val="0"/>
        <w:widowControl/>
        <w:spacing w:after="60" w:line="368" w:lineRule="exact"/>
        <w:ind w:firstLine="432"/>
        <w:jc w:val="both"/>
      </w:pPr>
      <w:r>
        <w:rPr>
          <w:rFonts w:ascii="TH SarabunPSK" w:hAnsi="TH SarabunPSK" w:cs="TH SarabunPSK" w:eastAsia="TH SarabunPSK"/>
          <w:b w:val="0"/>
          <w:color w:val="0F172A"/>
          <w:sz w:val="32"/>
          <w:szCs w:val="32"/>
          <w:lang w:val="th-TH"/>
        </w:rPr>
        <w:t>+prep ช่วยน้อยเพราะชุดข้อมูลไม่มีงานแปลงหรือคอลัมน์ส่วนเกิน +cache ลด TTA ได้มาก โดยเฉพาะข้อมูลตั้งแต่ 1M แถว ส่วนการเพิ่มภาพเริ่มต้นทำให้ TTR ลดชัด แต่ลด TTA เพิ่มเพียง 1.0 จุดเปอร์เซ็นต์ เมื่อเทียบค่าเฉลี่ยการลดจาก baseline เดียวกัน (คำนวณจาก 33.3 − 32.3) Figure 4 อธิบายว่าต้นทุน Hydration ยังเกือบเท่าการเรนเดอร์ฝั่งไคลเอนต์เต็มชุด ทั้งนี้ Table 1 เรียกชุดรวมว่า +most ส่วนกราฟและข้อความใช้ +prerender</w:t>
      </w:r>
    </w:p>
    <w:p>
      <w:pPr>
        <w:pStyle w:val="Heading1"/>
      </w:pPr>
      <w:r>
        <w:rPr>
          <w:rFonts w:ascii="TH SarabunPSK" w:hAnsi="TH SarabunPSK" w:cs="TH SarabunPSK" w:eastAsia="TH SarabunPSK"/>
          <w:b/>
          <w:color w:val="0F2D4A"/>
          <w:sz w:val="34"/>
          <w:szCs w:val="34"/>
          <w:bCs/>
          <w:lang w:val="th-TH"/>
        </w:rPr>
        <w:t>คุณูปการของงานวิจัย</w:t>
      </w:r>
    </w:p>
    <w:p>
      <w:pPr>
        <w:keepNext w:val="0"/>
        <w:widowControl/>
        <w:spacing w:after="60" w:line="368" w:lineRule="exact"/>
        <w:ind w:firstLine="432"/>
        <w:jc w:val="both"/>
      </w:pPr>
      <w:r>
        <w:rPr>
          <w:rFonts w:ascii="TH SarabunPSK" w:hAnsi="TH SarabunPSK" w:cs="TH SarabunPSK" w:eastAsia="TH SarabunPSK"/>
          <w:b w:val="0"/>
          <w:color w:val="0F172A"/>
          <w:sz w:val="32"/>
          <w:szCs w:val="32"/>
          <w:lang w:val="th-TH"/>
        </w:rPr>
        <w:t>บทความผสานกรอบการประเมินที่วัด TTR, TTA และ SC ร่วมกัน เข้ากับเครื่องมือเผยแพร่ที่จำลองอินพุต เก็บผลคิวรี และ rewrite AST หลักฐานเชิงระบบแสดงว่าแคชกับภาพล่วงหน้าช่วยคนละช่วง พร้อมแสดงต้นทุน Hydration ที่ยังเหลือ แม้ว่าภาพเริ่มต้นจะปรากฏเร็วขึ้นแล้ว</w:t>
      </w:r>
    </w:p>
    <w:p>
      <w:pPr>
        <w:pStyle w:val="Heading1"/>
      </w:pPr>
      <w:r>
        <w:rPr>
          <w:rFonts w:ascii="TH SarabunPSK" w:hAnsi="TH SarabunPSK" w:cs="TH SarabunPSK" w:eastAsia="TH SarabunPSK"/>
          <w:b/>
          <w:color w:val="0F2D4A"/>
          <w:sz w:val="34"/>
          <w:szCs w:val="34"/>
          <w:bCs/>
          <w:lang w:val="th-TH"/>
        </w:rPr>
        <w:t>จุดเด่นและข้อจำกัด</w:t>
      </w:r>
    </w:p>
    <w:p>
      <w:pPr>
        <w:keepNext w:val="0"/>
        <w:widowControl/>
        <w:spacing w:after="60" w:line="368" w:lineRule="exact"/>
        <w:ind w:firstLine="432"/>
        <w:jc w:val="both"/>
      </w:pPr>
      <w:r>
        <w:rPr>
          <w:rFonts w:ascii="TH SarabunPSK" w:hAnsi="TH SarabunPSK" w:cs="TH SarabunPSK" w:eastAsia="TH SarabunPSK"/>
          <w:b w:val="0"/>
          <w:color w:val="0F172A"/>
          <w:sz w:val="32"/>
          <w:szCs w:val="32"/>
          <w:lang w:val="th-TH"/>
        </w:rPr>
        <w:t>จุดเด่นคือมี baseline และทดสอบหลายรูปแบบภาพ ทำให้เห็นผลของการเพิ่มกลยุทธ์เป็นขั้น อย่างไรก็ตาม SC เพิ่ม 21.2% ± 29.9 จึงแตกต่างมากระหว่างเงื่อนไข ทรัพยากรต้องสร้างใหม่เมื่อข้อมูลเปลี่ยน และการเก็บหลายสถานะอาจกินพื้นที่สูง การทดลองบน laptop เครื่องเดียวและ local server ยังไม่ครอบคลุมมือถือหรือเน็ตช้า อีกทั้งบทความไม่แจกแจงจำนวนรอบทำซ้ำ จึงยังตรวจความแปรปรวนระดับการรันไม่ได้</w:t>
      </w:r>
    </w:p>
    <w:p>
      <w:pPr>
        <w:pStyle w:val="Heading1"/>
      </w:pPr>
      <w:r>
        <w:rPr>
          <w:rFonts w:ascii="TH SarabunPSK" w:hAnsi="TH SarabunPSK" w:cs="TH SarabunPSK" w:eastAsia="TH SarabunPSK"/>
          <w:b/>
          <w:color w:val="0F2D4A"/>
          <w:sz w:val="34"/>
          <w:szCs w:val="34"/>
          <w:bCs/>
          <w:lang w:val="th-TH"/>
        </w:rPr>
        <w:t>ข้อสรุปและแนวทางที่ผู้วิจัยเสนอ</w:t>
      </w:r>
    </w:p>
    <w:p>
      <w:pPr>
        <w:keepNext w:val="0"/>
        <w:widowControl/>
        <w:spacing w:after="60" w:line="368" w:lineRule="exact"/>
        <w:ind w:firstLine="432"/>
        <w:jc w:val="both"/>
      </w:pPr>
      <w:r>
        <w:rPr>
          <w:rFonts w:ascii="TH SarabunPSK" w:hAnsi="TH SarabunPSK" w:cs="TH SarabunPSK" w:eastAsia="TH SarabunPSK"/>
          <w:b w:val="0"/>
          <w:color w:val="0F172A"/>
          <w:sz w:val="32"/>
          <w:szCs w:val="32"/>
          <w:lang w:val="th-TH"/>
        </w:rPr>
        <w:t>จากผลทดลอง แคชลดงานก่อนเปิดการโต้ตอบ ส่วนภาพล่วงหน้าลดเวลารอเห็น visualization แต่ยังเหลือต้นทุน Hydration เวลาเห็นภาพกับเวลาพร้อมโต้ตอบจึงลดลงไม่เท่ากัน ผลด้านความเร็วเกิดพร้อมพื้นที่ที่เพิ่มขึ้นและอยู่ในขอบเขตสภาพทดลอง ผู้วิจัยเสนอให้ศึกษาวิธี hydration ที่ละเอียดขึ้น กลยุทธ์ผสม publish/runtime และ incremental regeneration รวมถึงการเลือกชุดปรับปรุงโดยอัตโนมัติจากข้อมูลและข้อกำหนดภาพ แนวทางเหล่านี้ยังเป็นงานอนาคต (Sections 5–6)</w:t>
      </w:r>
    </w:p>
    <w:p>
      <w:pPr>
        <w:pStyle w:val="Heading1"/>
      </w:pPr>
      <w:r>
        <w:rPr>
          <w:rFonts w:ascii="TH SarabunPSK" w:hAnsi="TH SarabunPSK" w:cs="TH SarabunPSK" w:eastAsia="TH SarabunPSK"/>
          <w:b/>
          <w:color w:val="0F2D4A"/>
          <w:sz w:val="34"/>
          <w:szCs w:val="34"/>
          <w:bCs/>
          <w:lang w:val="th-TH"/>
        </w:rPr>
        <w:t>เอกสารอ้างอิง</w:t>
      </w:r>
    </w:p>
    <w:p>
      <w:pPr>
        <w:keepNext w:val="0"/>
        <w:widowControl/>
        <w:spacing w:after="60" w:line="310" w:lineRule="exact"/>
        <w:ind w:firstLine="0"/>
        <w:jc w:val="left"/>
      </w:pPr>
      <w:r>
        <w:rPr>
          <w:rFonts w:ascii="TH SarabunPSK" w:hAnsi="TH SarabunPSK" w:cs="TH SarabunPSK" w:eastAsia="TH SarabunPSK"/>
          <w:b w:val="0"/>
          <w:color w:val="0F172A"/>
          <w:sz w:val="27"/>
          <w:szCs w:val="27"/>
          <w:lang w:val="th-TH"/>
        </w:rPr>
        <w:t>[1] R. Pechuk and J. Heer, “Publish-Time Optimizations for Web-Based Visualizations,” in 2025 IEEE VIS, 2025, pp. 226–230, doi: 10.1109/VIS60296.2025.00051.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PSK" w:cs="TH SarabunPSK" w:eastAsia="TH SarabunPSK" w:hAnsi="TH SarabunPSK"/>
        <w:color w:val="6B7280"/>
        <w:sz w:val="24"/>
        <w:szCs w:val="24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8" w:hanging="324"/>
      </w:pPr>
      <w:rPr>
        <w:rFonts w:ascii="TH SarabunPSK" w:cs="TH SarabunPSK" w:eastAsia="TH SarabunPSK" w:hAnsi="TH SarabunPSK"/>
        <w:sz w:val="32"/>
        <w:szCs w:val="3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8" w:hanging="324"/>
      </w:pPr>
      <w:rPr>
        <w:rFonts w:ascii="TH SarabunPSK" w:cs="TH SarabunPSK" w:eastAsia="TH SarabunPSK" w:hAnsi="TH SarabunPSK"/>
        <w:sz w:val="32"/>
        <w:szCs w:val="3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pPr>
      <w:keepNext/>
      <w:widowControl/>
      <w:spacing w:line="506" w:lineRule="exact" w:after="60" w:before="0"/>
    </w:pPr>
    <w:rPr>
      <w:rFonts w:ascii="TH SarabunPSK" w:hAnsi="TH SarabunPSK"/>
      <w:b/>
      <w:color w:val="0F2D4A"/>
      <w:sz w:val="44"/>
      <w:szCs w:val="56"/>
    </w:rPr>
  </w:style>
  <w:style w:type="paragraph" w:styleId="Heading1">
    <w:name w:val="Heading 1"/>
    <w:basedOn w:val="Normal"/>
    <w:next w:val="Normal"/>
    <w:qFormat/>
    <w:pPr>
      <w:keepNext/>
      <w:widowControl/>
      <w:spacing w:line="391" w:lineRule="exact" w:after="60" w:before="140"/>
    </w:pPr>
    <w:rPr>
      <w:rFonts w:ascii="TH SarabunPSK" w:hAnsi="TH SarabunPSK"/>
      <w:b/>
      <w:color w:val="0F2D4A"/>
      <w:sz w:val="34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H SarabunPSK" w:cs="TH SarabunPSK" w:eastAsia="TH SarabunPSK" w:hAnsi="TH SarabunPSK"/>
      <w:b/>
      <w:bCs/>
      <w:color w:val="0F2D4A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PSK" w:cs="TH SarabunPSK" w:eastAsia="TH SarabunPSK" w:hAnsi="TH SarabunPSK"/>
      <w:b/>
      <w:bCs/>
      <w:color w:val="0F2D4A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PSK" w:cs="TH SarabunPSK" w:eastAsia="TH SarabunPSK" w:hAnsi="TH SarabunPSK"/>
      <w:b/>
      <w:bCs/>
      <w:color w:val="0F2D4A"/>
      <w:sz w:val="32"/>
      <w:szCs w:val="32"/>
    </w:rPr>
  </w:style>
  <w:style w:type="paragraph" w:customStyle="1" w:styleId="Normal">
    <w:name w:val="Normal"/>
    <w:pPr>
      <w:keepNext w:val="0"/>
      <w:widowControl/>
      <w:spacing w:line="368" w:lineRule="exact" w:after="60" w:before="0"/>
    </w:pPr>
    <w:rPr>
      <w:rFonts w:ascii="TH SarabunPSK" w:hAnsi="TH SarabunPSK"/>
      <w:color w:val="0F172A"/>
      <w:sz w:val="3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48902ac553ec0a8fc6da39a00a40b0d86e5a9a8.png"/><Relationship Id="rId9" Type="http://schemas.openxmlformats.org/officeDocument/2006/relationships/image" Target="media/f4a45e46389c21c0b08342968f58f432df2831fb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รายงานย่อบทความ Publish Time Optimizations</dc:title>
  <dc:creator>นายธีรภัทร ภู่ระย้า</dc:creator>
  <dc:description>305432 เครือข่ายเซนเซอร์: Assignment Paper 3 Version 3</dc:description>
  <cp:lastModifiedBy>Un-named</cp:lastModifiedBy>
  <cp:revision>1</cp:revision>
  <dcterms:created xsi:type="dcterms:W3CDTF">2026-09-28T01:39:08.094Z</dcterms:created>
  <dcterms:modified xsi:type="dcterms:W3CDTF">2026-09-28T01:39:08.095Z</dcterms:modified>
  <dc:subject>Assignment Paper IV, IEEE VIS 2025, DOI 10.1109/VIS60296.2025.00051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