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memoria-del-proyecto"/>
    <w:p>
      <w:pPr>
        <w:pStyle w:val="Heading1"/>
      </w:pPr>
      <w:r>
        <w:t xml:space="preserve">Memoria del Proyecto</w:t>
      </w:r>
    </w:p>
    <w:bookmarkStart w:id="32" w:name="datos-esenciales"/>
    <w:p>
      <w:pPr>
        <w:pStyle w:val="Heading2"/>
      </w:pPr>
      <w:r>
        <w:t xml:space="preserve">1 Datos esenciales</w:t>
      </w:r>
    </w:p>
    <w:bookmarkStart w:id="20" w:name="título-del-proyecto"/>
    <w:p>
      <w:pPr>
        <w:pStyle w:val="Heading3"/>
      </w:pPr>
      <w:r>
        <w:t xml:space="preserve">1.1 Título del proyecto</w:t>
      </w:r>
    </w:p>
    <w:p>
      <w:pPr>
        <w:pStyle w:val="FirstParagraph"/>
      </w:pPr>
      <w:r>
        <w:t xml:space="preserve">OpenTrackBank (OTB) por Taulyd : Gestor de cuentas bancarias de codigo abierto</w:t>
      </w:r>
    </w:p>
    <w:bookmarkEnd w:id="20"/>
    <w:bookmarkStart w:id="21" w:name="alumno-grupo-y-centro"/>
    <w:p>
      <w:pPr>
        <w:pStyle w:val="Heading3"/>
      </w:pPr>
      <w:r>
        <w:t xml:space="preserve">1.2 Alumno, grupo y centro</w:t>
      </w:r>
    </w:p>
    <w:p>
      <w:pPr>
        <w:pStyle w:val="Compact"/>
        <w:numPr>
          <w:ilvl w:val="0"/>
          <w:numId w:val="1001"/>
        </w:numPr>
      </w:pPr>
      <w:r>
        <w:t xml:space="preserve">Alumno: Santiago Sánchez Delgado</w:t>
      </w:r>
    </w:p>
    <w:p>
      <w:pPr>
        <w:pStyle w:val="Compact"/>
        <w:numPr>
          <w:ilvl w:val="0"/>
          <w:numId w:val="1001"/>
        </w:numPr>
      </w:pPr>
      <w:r>
        <w:t xml:space="preserve">Grupo: B</w:t>
      </w:r>
    </w:p>
    <w:p>
      <w:pPr>
        <w:pStyle w:val="Compact"/>
        <w:numPr>
          <w:ilvl w:val="0"/>
          <w:numId w:val="1001"/>
        </w:numPr>
      </w:pPr>
      <w:r>
        <w:t xml:space="preserve">Centro: I.E.S Albarregas</w:t>
      </w:r>
    </w:p>
    <w:bookmarkEnd w:id="21"/>
    <w:bookmarkStart w:id="22" w:name="módulo-y-curso-académico"/>
    <w:p>
      <w:pPr>
        <w:pStyle w:val="Heading3"/>
      </w:pPr>
      <w:r>
        <w:t xml:space="preserve">1.3 Módulo y curso académico</w:t>
      </w:r>
    </w:p>
    <w:p>
      <w:pPr>
        <w:pStyle w:val="Compact"/>
        <w:numPr>
          <w:ilvl w:val="0"/>
          <w:numId w:val="1002"/>
        </w:numPr>
      </w:pPr>
      <w:r>
        <w:t xml:space="preserve">Código del modulo: 0492</w:t>
      </w:r>
    </w:p>
    <w:p>
      <w:pPr>
        <w:pStyle w:val="Compact"/>
        <w:numPr>
          <w:ilvl w:val="0"/>
          <w:numId w:val="1002"/>
        </w:numPr>
      </w:pPr>
      <w:r>
        <w:t xml:space="preserve">Módulo: DAM</w:t>
      </w:r>
    </w:p>
    <w:p>
      <w:pPr>
        <w:pStyle w:val="Compact"/>
        <w:numPr>
          <w:ilvl w:val="0"/>
          <w:numId w:val="1002"/>
        </w:numPr>
      </w:pPr>
      <w:r>
        <w:t xml:space="preserve">Curso Académico: 2025-2026</w:t>
      </w:r>
    </w:p>
    <w:bookmarkEnd w:id="22"/>
    <w:bookmarkStart w:id="23" w:name="docente-tutor"/>
    <w:p>
      <w:pPr>
        <w:pStyle w:val="Heading3"/>
      </w:pPr>
      <w:r>
        <w:t xml:space="preserve">1.4 Docente tutor</w:t>
      </w:r>
    </w:p>
    <w:p>
      <w:pPr>
        <w:pStyle w:val="FirstParagraph"/>
      </w:pPr>
      <w:r>
        <w:t xml:space="preserve">Mercedes</w:t>
      </w:r>
    </w:p>
    <w:bookmarkEnd w:id="23"/>
    <w:bookmarkStart w:id="24" w:name="fecha-y-versión-del-documento"/>
    <w:p>
      <w:pPr>
        <w:pStyle w:val="Heading3"/>
      </w:pPr>
      <w:r>
        <w:t xml:space="preserve">1.5 Fecha y versión del documento</w:t>
      </w:r>
    </w:p>
    <w:p>
      <w:pPr>
        <w:pStyle w:val="FirstParagraph"/>
      </w:pPr>
      <w:r>
        <w:t xml:space="preserve">V0.0.0.0</w:t>
      </w:r>
    </w:p>
    <w:bookmarkEnd w:id="24"/>
    <w:bookmarkStart w:id="29" w:name="X58d52c1b2d883bf91f5624d2bc4c3e4ad5c10dc"/>
    <w:p>
      <w:pPr>
        <w:pStyle w:val="Heading3"/>
      </w:pPr>
      <w:r>
        <w:t xml:space="preserve">1.6 Enlaces (QR/URL): Repositorio, Tablero, Figma, Documentación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Repositorio Github</w:t>
        </w:r>
      </w:hyperlink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Tablero</w:t>
        </w:r>
      </w:hyperlink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Figma</w:t>
        </w:r>
      </w:hyperlink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Documentacion</w:t>
        </w:r>
      </w:hyperlink>
    </w:p>
    <w:bookmarkEnd w:id="29"/>
    <w:bookmarkStart w:id="31" w:name="licencia-y-avisos-legales"/>
    <w:p>
      <w:pPr>
        <w:pStyle w:val="Heading3"/>
      </w:pPr>
      <w:r>
        <w:t xml:space="preserve">1.7 Licencia y avisos legales</w:t>
      </w:r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Licencia Apache 2.0</w:t>
        </w:r>
      </w:hyperlink>
    </w:p>
    <w:bookmarkEnd w:id="31"/>
    <w:bookmarkEnd w:id="32"/>
    <w:bookmarkStart w:id="37" w:name="resumen-ejecutivo"/>
    <w:p>
      <w:pPr>
        <w:pStyle w:val="Heading2"/>
      </w:pPr>
      <w:r>
        <w:t xml:space="preserve">2. Resumen ejecutivo</w:t>
      </w:r>
    </w:p>
    <w:bookmarkStart w:id="33" w:name="problemaoportunidad"/>
    <w:p>
      <w:pPr>
        <w:pStyle w:val="Heading3"/>
      </w:pPr>
      <w:r>
        <w:t xml:space="preserve">2.1 Problema/oportunidad</w:t>
      </w:r>
    </w:p>
    <w:p>
      <w:pPr>
        <w:pStyle w:val="FirstParagraph"/>
      </w:pPr>
      <w:r>
        <w:t xml:space="preserve">Las persona comunmente suelen tener contratado una o varias cuentas bancarias, o tenerlas asociadas por algun familiar. En el contexto actual, las pequeñas y medianas empresas (PYMEs) enfrentan dificultades para gestionar sus recursos de forma eficiente, especialmente en tareas como el gestion de saldos, costes, u cuentas bancarias. Muchas de ellas aún usan hojas de cálculo o sistemas manuales, lo que genera errores, falta de escalabilidad y pérdida de tiempo.</w:t>
      </w:r>
    </w:p>
    <w:bookmarkEnd w:id="33"/>
    <w:bookmarkStart w:id="34" w:name="propuesta-de-solución"/>
    <w:p>
      <w:pPr>
        <w:pStyle w:val="Heading3"/>
      </w:pPr>
      <w:r>
        <w:t xml:space="preserve">2.2 Propuesta de solución</w:t>
      </w:r>
    </w:p>
    <w:p>
      <w:pPr>
        <w:pStyle w:val="FirstParagraph"/>
      </w:pPr>
      <w:r>
        <w:t xml:space="preserve">Una aplicacion multiplataforma que permita la conexion y gestion de cuentas bancarias personales o familiares. Destinado a toda aquellas personas con cuentas bancarias personales, entrando a mayores de edad segun el país (18 en españa); y familiares, como padres con cuentas bancarias de hijos y por hijos o allegados que gestionen cuentas con personas con dificultades para manejar dispositivos digitales o tecnologías. Proponiendo una aplicación de gestión de recursos , desarrollada en Java, que permita a las PYMEs centralizar la gestión de saldos, costes, u cuentas bancarias, con una interfaz intuitiva y funcionalidades adaptadas a su tamaño y necesidades.</w:t>
      </w:r>
    </w:p>
    <w:bookmarkEnd w:id="34"/>
    <w:bookmarkStart w:id="35" w:name="objetivo-de-producto-y-objetivo-de-e1"/>
    <w:p>
      <w:pPr>
        <w:pStyle w:val="Heading3"/>
      </w:pPr>
      <w:r>
        <w:t xml:space="preserve">2.3 Objetivo de producto y objetivo de E1</w:t>
      </w:r>
    </w:p>
    <w:p>
      <w:pPr>
        <w:pStyle w:val="Compact"/>
        <w:numPr>
          <w:ilvl w:val="0"/>
          <w:numId w:val="1005"/>
        </w:numPr>
      </w:pPr>
      <w:r>
        <w:t xml:space="preserve">Objetivo/valor del producto: Comodidad simplificando el manejo de la cuenta/s. Crear una plataforma sencilla, escalable y segura para gestionar los recursos en PYMEs.</w:t>
      </w:r>
    </w:p>
    <w:p>
      <w:pPr>
        <w:pStyle w:val="Compact"/>
        <w:numPr>
          <w:ilvl w:val="0"/>
          <w:numId w:val="1005"/>
        </w:numPr>
      </w:pPr>
      <w:r>
        <w:t xml:space="preserve">Objetivo de E1: Diseño, prototipado, prototipo y demo de la aplicación. Entregar una demo funcional que permita registrar cuentas, asignar etiquetas, gestionar presupuestos y generar informes básicos en CSV, DOCX y EXCEL, con interfaz de usuario intuitiva y estructura de base de datos.</w:t>
      </w:r>
    </w:p>
    <w:bookmarkEnd w:id="35"/>
    <w:bookmarkStart w:id="36" w:name="X958fa477200dfa63015f8fc36f1d6054a18be67"/>
    <w:p>
      <w:pPr>
        <w:pStyle w:val="Heading3"/>
      </w:pPr>
      <w:r>
        <w:t xml:space="preserve">2.4 Alcance de la demo de E1 (qué se muestra y qué no)</w:t>
      </w:r>
    </w:p>
    <w:p>
      <w:pPr>
        <w:pStyle w:val="FirstParagraph"/>
      </w:pPr>
      <w:r>
        <w:t xml:space="preserve">Se mostrara(Incluye):</w:t>
      </w:r>
    </w:p>
    <w:p>
      <w:pPr>
        <w:pStyle w:val="Compact"/>
        <w:numPr>
          <w:ilvl w:val="0"/>
          <w:numId w:val="1006"/>
        </w:numPr>
      </w:pPr>
      <w:r>
        <w:t xml:space="preserve">Una interfaz de inicio de sesión</w:t>
      </w:r>
    </w:p>
    <w:p>
      <w:pPr>
        <w:pStyle w:val="Compact"/>
        <w:numPr>
          <w:ilvl w:val="0"/>
          <w:numId w:val="1006"/>
        </w:numPr>
      </w:pPr>
      <w:r>
        <w:t xml:space="preserve">Una vista de las cuentas</w:t>
      </w:r>
    </w:p>
    <w:p>
      <w:pPr>
        <w:pStyle w:val="Compact"/>
        <w:numPr>
          <w:ilvl w:val="0"/>
          <w:numId w:val="1006"/>
        </w:numPr>
      </w:pPr>
      <w:r>
        <w:t xml:space="preserve">Menú de ajustes</w:t>
      </w:r>
    </w:p>
    <w:p>
      <w:pPr>
        <w:pStyle w:val="FirstParagraph"/>
      </w:pPr>
      <w:r>
        <w:t xml:space="preserve">No se mostrara(Excluye):</w:t>
      </w:r>
    </w:p>
    <w:p>
      <w:pPr>
        <w:pStyle w:val="Compact"/>
        <w:numPr>
          <w:ilvl w:val="0"/>
          <w:numId w:val="1007"/>
        </w:numPr>
      </w:pPr>
      <w:r>
        <w:t xml:space="preserve">La gestion de fichero JSON que simulara la API</w:t>
      </w:r>
    </w:p>
    <w:p>
      <w:pPr>
        <w:pStyle w:val="Compact"/>
        <w:numPr>
          <w:ilvl w:val="0"/>
          <w:numId w:val="1007"/>
        </w:numPr>
      </w:pPr>
      <w:r>
        <w:t xml:space="preserve">El guardado de hashes en bases de datos no relacional, relacional o fichero</w:t>
      </w:r>
    </w:p>
    <w:p>
      <w:pPr>
        <w:pStyle w:val="Compact"/>
        <w:numPr>
          <w:ilvl w:val="0"/>
          <w:numId w:val="1007"/>
        </w:numPr>
      </w:pPr>
      <w:r>
        <w:t xml:space="preserve">Pantalla de transacciones</w:t>
      </w:r>
    </w:p>
    <w:bookmarkEnd w:id="36"/>
    <w:bookmarkEnd w:id="37"/>
    <w:bookmarkStart w:id="48" w:name="justificación"/>
    <w:p>
      <w:pPr>
        <w:pStyle w:val="Heading2"/>
      </w:pPr>
      <w:r>
        <w:t xml:space="preserve">3. Justificación</w:t>
      </w:r>
    </w:p>
    <w:bookmarkStart w:id="38" w:name="X2f53e9c7ad486b90070ab41edb203c339229e57"/>
    <w:p>
      <w:pPr>
        <w:pStyle w:val="Heading3"/>
      </w:pPr>
      <w:r>
        <w:t xml:space="preserve">3.1 Beneficios esperados (técnicos, educativos y de uso)</w:t>
      </w:r>
    </w:p>
    <w:p>
      <w:pPr>
        <w:pStyle w:val="FirstParagraph"/>
      </w:pPr>
      <w:r>
        <w:t xml:space="preserve">Es un proyecto noble que busca facilitar una accion cotidiana generando un nuevo estandar e indepencia bancaria y que abarcando a un gran publico aporte un gran beneficio para nuestra sociedad.</w:t>
      </w:r>
    </w:p>
    <w:p>
      <w:pPr>
        <w:pStyle w:val="BodyText"/>
      </w:pPr>
      <w:r>
        <w:t xml:space="preserve">La falta de herramientas accesibles y personalizadas para el seguimiento de gastos y presupuestos en entornos domésticos y pequeñas empresas ha generado una brecha significativa en la gestión financiera cotidiana. Muchas personas, especialmente en contextos de baja renta o con necesidades específicas (como estudiantes, jubilados o familias en situación de vulnerabilidad), no cuentan con sistemas intuitivos, fáciles de usar y adaptados a sus necesidades reales.</w:t>
      </w:r>
    </w:p>
    <w:p>
      <w:pPr>
        <w:pStyle w:val="BodyText"/>
      </w:pPr>
      <w:r>
        <w:t xml:space="preserve">Este proyecto nace como respuesta a esa necesidad, ofreciendo una aplicación multiplataforma que permite a los usuarios registrar gastos, establecer presupuestos, recibir alertas automáticas y generar informes visuales en tiempo real. La solución se enfoca en la simplicidad, la accesibilidad y la personalización, con un diseño centrado en el usuario y funcionalidades que promueven la conciencia financiera y el control del gasto.</w:t>
      </w:r>
    </w:p>
    <w:p>
      <w:pPr>
        <w:pStyle w:val="BodyText"/>
      </w:pPr>
      <w:r>
        <w:t xml:space="preserve">Además, al incorporar funcionalidades como la detección de patrones de gasto, la recomendación de ajustes y la integración con servicios de pago, la aplicación no solo ayuda a gestionar el dinero, sino que también fomenta hábitos financieros saludables y sostenibles, contribuyendo así a la reducción de desigualdades (ODS 10) y al fomento de la economía local (ODS 8).</w:t>
      </w:r>
    </w:p>
    <w:bookmarkEnd w:id="38"/>
    <w:bookmarkStart w:id="39" w:name="X8b384f3f690c04b2b9c1d3134265d420ccf60ae"/>
    <w:p>
      <w:pPr>
        <w:pStyle w:val="Heading3"/>
      </w:pPr>
      <w:r>
        <w:t xml:space="preserve">3.2 Integración con la industria extremeña (sectores, clústeres, casos de uso)</w:t>
      </w:r>
    </w:p>
    <w:p>
      <w:pPr>
        <w:pStyle w:val="FirstParagraph"/>
      </w:pPr>
      <w:r>
        <w:t xml:space="preserve">Pequeñas pymes que necesiten gestionar gastos e ingresos mensuales y anuales</w:t>
      </w:r>
    </w:p>
    <w:bookmarkEnd w:id="39"/>
    <w:bookmarkStart w:id="44" w:name="X333cbbc6769882dfbdb810314c58646595eb233"/>
    <w:p>
      <w:pPr>
        <w:pStyle w:val="Heading3"/>
      </w:pPr>
      <w:r>
        <w:t xml:space="preserve">3.3 Análisis de productos similares (benchmark breve: 3–5 referencias)</w:t>
      </w:r>
    </w:p>
    <w:p>
      <w:pPr>
        <w:pStyle w:val="Compact"/>
        <w:numPr>
          <w:ilvl w:val="0"/>
          <w:numId w:val="1008"/>
        </w:numPr>
      </w:pPr>
      <w:hyperlink r:id="rId40">
        <w:r>
          <w:rPr>
            <w:rStyle w:val="Hyperlink"/>
          </w:rPr>
          <w:t xml:space="preserve">BankTrack</w:t>
        </w:r>
      </w:hyperlink>
    </w:p>
    <w:p>
      <w:pPr>
        <w:pStyle w:val="Compact"/>
        <w:numPr>
          <w:ilvl w:val="0"/>
          <w:numId w:val="1008"/>
        </w:numPr>
      </w:pPr>
      <w:hyperlink r:id="rId41">
        <w:r>
          <w:rPr>
            <w:rStyle w:val="Hyperlink"/>
          </w:rPr>
          <w:t xml:space="preserve">Holded</w:t>
        </w:r>
      </w:hyperlink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Agicap</w:t>
        </w:r>
      </w:hyperlink>
    </w:p>
    <w:p>
      <w:pPr>
        <w:pStyle w:val="Compact"/>
        <w:numPr>
          <w:ilvl w:val="0"/>
          <w:numId w:val="1008"/>
        </w:numPr>
      </w:pPr>
      <w:hyperlink r:id="rId43">
        <w:r>
          <w:rPr>
            <w:rStyle w:val="Hyperlink"/>
          </w:rPr>
          <w:t xml:space="preserve">Iziago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Puntos fuertes</w:t>
            </w:r>
          </w:p>
        </w:tc>
        <w:tc>
          <w:tcPr/>
          <w:p>
            <w:pPr>
              <w:pStyle w:val="Compact"/>
            </w:pPr>
            <w:r>
              <w:t xml:space="preserve">A considerar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Banktrack</w:t>
            </w:r>
          </w:p>
        </w:tc>
        <w:tc>
          <w:tcPr/>
          <w:p>
            <w:pPr>
              <w:pStyle w:val="Compact"/>
            </w:pPr>
            <w:r>
              <w:t xml:space="preserve">Plataforma SaaS española para PYMEs (y holdings) que conecta cuentas bancarias, gestiona facturas con IA, crea previsiones de tesorería en tiempo real. (banktrack.com)</w:t>
            </w:r>
          </w:p>
        </w:tc>
        <w:tc>
          <w:tcPr/>
          <w:p>
            <w:pPr>
              <w:pStyle w:val="Compact"/>
            </w:pPr>
            <w:r>
              <w:t xml:space="preserve">Muy adaptada al contexto español (cumplimiento facturación, Verifactu, etc) ; buena visibilidad de caja; integración multibanco. (banktrack.com)</w:t>
            </w:r>
          </w:p>
        </w:tc>
        <w:tc>
          <w:tcPr/>
          <w:p>
            <w:pPr>
              <w:pStyle w:val="Compact"/>
            </w:pPr>
            <w:r>
              <w:t xml:space="preserve">Puede requerir cierto</w:t>
            </w:r>
            <w:r>
              <w:t xml:space="preserve"> </w:t>
            </w:r>
            <w:r>
              <w:t xml:space="preserve">“on-boarding”</w:t>
            </w:r>
            <w:r>
              <w:t xml:space="preserve"> </w:t>
            </w:r>
            <w:r>
              <w:t xml:space="preserve">para activarse bien; si tu empresa trabaja mucho fuera de España o con monedas múltiples quizá haya que ver bien alcance internacional.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Holded</w:t>
            </w:r>
          </w:p>
        </w:tc>
        <w:tc>
          <w:tcPr/>
          <w:p>
            <w:pPr>
              <w:pStyle w:val="Compact"/>
            </w:pPr>
            <w:r>
              <w:t xml:space="preserve">Software de gestión para PYMEs que incluye módulo de tesorería: conecta bancos, gestiona facturas, pagos/cobros, previsión de liquidez. (holded.com)</w:t>
            </w:r>
          </w:p>
        </w:tc>
        <w:tc>
          <w:tcPr/>
          <w:p>
            <w:pPr>
              <w:pStyle w:val="Compact"/>
            </w:pPr>
            <w:r>
              <w:t xml:space="preserve">Muy buena opción para empresas que quieren una plataforma</w:t>
            </w:r>
            <w:r>
              <w:t xml:space="preserve"> </w:t>
            </w:r>
            <w:r>
              <w:t xml:space="preserve">“todo en uno”</w:t>
            </w:r>
            <w:r>
              <w:t xml:space="preserve"> </w:t>
            </w:r>
            <w:r>
              <w:t xml:space="preserve">(facturación + tesorería + contabilidad) ; interfaz adaptada a usuarios no financieros.</w:t>
            </w:r>
          </w:p>
        </w:tc>
        <w:tc>
          <w:tcPr/>
          <w:p>
            <w:pPr>
              <w:pStyle w:val="Compact"/>
            </w:pPr>
            <w:r>
              <w:t xml:space="preserve">Siendo más generalista quizá las funcionalidades de tesorería estén menos profundas que un software especializado; ver que la parte bancaria/balance esté bien.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Agicap</w:t>
            </w:r>
          </w:p>
        </w:tc>
        <w:tc>
          <w:tcPr/>
          <w:p>
            <w:pPr>
              <w:pStyle w:val="Compact"/>
            </w:pPr>
            <w:r>
              <w:t xml:space="preserve">Plataforma de tesorería para PYMEs (</w:t>
            </w:r>
            <w:r>
              <w:t xml:space="preserve">“cash-flow management”</w:t>
            </w:r>
            <w:r>
              <w:t xml:space="preserve">): seguimiento de caja real, previsión, automatización bancaria. (agicap.com)</w:t>
            </w:r>
          </w:p>
        </w:tc>
        <w:tc>
          <w:tcPr/>
          <w:p>
            <w:pPr>
              <w:pStyle w:val="Compact"/>
            </w:pPr>
            <w:r>
              <w:t xml:space="preserve">Muy enfocada en la tesorería pura, lo que la hace buena para empresas que tienen ese foco (liquidez, previsión) ; interfaz ágil.</w:t>
            </w:r>
          </w:p>
        </w:tc>
        <w:tc>
          <w:tcPr/>
          <w:p>
            <w:pPr>
              <w:pStyle w:val="Compact"/>
            </w:pPr>
            <w:r>
              <w:t xml:space="preserve">Quizás menor grado de integración con otros módulos de empresa (facturación, contabilidad) que plataformas más amplias; revisar si cumple normas españolas específicas.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Cegid Iziago (módulo tesorería)</w:t>
            </w:r>
          </w:p>
        </w:tc>
        <w:tc>
          <w:tcPr/>
          <w:p>
            <w:pPr>
              <w:pStyle w:val="Compact"/>
            </w:pPr>
            <w:r>
              <w:t xml:space="preserve">Solución para PYMEs que incluye módulo de previsión de tesorería, recuperación automática de extractos bancarios, pagos. (Iziago)</w:t>
            </w:r>
          </w:p>
        </w:tc>
        <w:tc>
          <w:tcPr/>
          <w:p>
            <w:pPr>
              <w:pStyle w:val="Compact"/>
            </w:pPr>
            <w:r>
              <w:t xml:space="preserve">Buena opción si ya tienes otras piezas del ecosistema</w:t>
            </w:r>
            <w:r>
              <w:t xml:space="preserve"> </w:t>
            </w:r>
            <w:r>
              <w:t xml:space="preserve">“Cegid”</w:t>
            </w:r>
            <w:r>
              <w:t xml:space="preserve"> </w:t>
            </w:r>
            <w:r>
              <w:t xml:space="preserve">o quieres software más</w:t>
            </w:r>
            <w:r>
              <w:t xml:space="preserve"> </w:t>
            </w:r>
            <w:r>
              <w:t xml:space="preserve">“maduro”</w:t>
            </w:r>
            <w:r>
              <w:t xml:space="preserve">; permite gestionar pagos, adeudos, etc.</w:t>
            </w:r>
          </w:p>
        </w:tc>
        <w:tc>
          <w:tcPr/>
          <w:p>
            <w:pPr>
              <w:pStyle w:val="Compact"/>
            </w:pPr>
            <w:r>
              <w:t xml:space="preserve">Posiblemente más rigidez, costes más altos, quizá más pensado para empresas maduras; interfaz y agilidad pueden ser menores que soluciones</w:t>
            </w:r>
            <w:r>
              <w:t xml:space="preserve"> </w:t>
            </w:r>
            <w:r>
              <w:t xml:space="preserve">“nativas fintech”</w:t>
            </w:r>
            <w:r>
              <w:t xml:space="preserve">.</w:t>
            </w:r>
          </w:p>
        </w:tc>
      </w:tr>
    </w:tbl>
    <w:bookmarkEnd w:id="44"/>
    <w:bookmarkStart w:id="47" w:name="Xc5dfeb4a23b8fd9c2ed3ec86500282ea81af602"/>
    <w:p>
      <w:pPr>
        <w:pStyle w:val="Heading3"/>
      </w:pPr>
      <w:r>
        <w:t xml:space="preserve">3.4 Participación en ODS (mapa ODS ↔ funcionalidad/impacto)</w:t>
      </w:r>
    </w:p>
    <w:p>
      <w:pPr>
        <w:pStyle w:val="Compact"/>
        <w:numPr>
          <w:ilvl w:val="0"/>
          <w:numId w:val="1009"/>
        </w:numPr>
      </w:pPr>
      <w:hyperlink r:id="rId45">
        <w:r>
          <w:rPr>
            <w:rStyle w:val="Hyperlink"/>
          </w:rPr>
          <w:t xml:space="preserve">ODS-8</w:t>
        </w:r>
      </w:hyperlink>
      <w:r>
        <w:t xml:space="preserve"> </w:t>
      </w:r>
      <w:r>
        <w:t xml:space="preserve">-&gt; La aplicación fomenta el autoempleo, la gestión financiera y el control de gastos, lo que impulsa la independencia económica de los usuarios.</w:t>
      </w:r>
    </w:p>
    <w:p>
      <w:pPr>
        <w:pStyle w:val="Compact"/>
        <w:numPr>
          <w:ilvl w:val="0"/>
          <w:numId w:val="1009"/>
        </w:numPr>
      </w:pPr>
      <w:hyperlink r:id="rId46">
        <w:r>
          <w:rPr>
            <w:rStyle w:val="Hyperlink"/>
          </w:rPr>
          <w:t xml:space="preserve">ODS-10</w:t>
        </w:r>
      </w:hyperlink>
      <w:r>
        <w:t xml:space="preserve"> </w:t>
      </w:r>
      <w:r>
        <w:t xml:space="preserve">-&gt; Accesibilidad universal, diseño inclusivo, y herramientas para grupos vulnerables (estudiantes, jubilados, familias en situación de riesgo).</w:t>
      </w:r>
    </w:p>
    <w:bookmarkEnd w:id="47"/>
    <w:bookmarkEnd w:id="48"/>
    <w:bookmarkStart w:id="53" w:name="historias-de-usuario"/>
    <w:p>
      <w:pPr>
        <w:pStyle w:val="Heading2"/>
      </w:pPr>
      <w:r>
        <w:t xml:space="preserve">4. Historias de usuario</w:t>
      </w:r>
    </w:p>
    <w:bookmarkStart w:id="49" w:name="X07405af8ebe828469c16ca2ae1dd24a2efa8caf"/>
    <w:p>
      <w:pPr>
        <w:pStyle w:val="Heading3"/>
      </w:pPr>
      <w:r>
        <w:t xml:space="preserve">4.1 Convenciones de numeración y formato (p. ej., HU-001, HU-002…)</w:t>
      </w:r>
    </w:p>
    <w:p>
      <w:pPr>
        <w:pStyle w:val="FirstParagraph"/>
      </w:pPr>
      <w:r>
        <w:t xml:space="preserve">(Formato: HU-001, HU-002… | Given/When/Then)</w:t>
      </w:r>
    </w:p>
    <w:bookmarkEnd w:id="49"/>
    <w:bookmarkStart w:id="50" w:name="Xffbcc25bf8d3eed2d9428dbfcc861ea5f7a5b64"/>
    <w:p>
      <w:pPr>
        <w:pStyle w:val="Heading3"/>
      </w:pPr>
      <w:r>
        <w:t xml:space="preserve">4.2 Ejemplos de historias (3–5) con Criterios de Aceptación (Given/When/Then)</w:t>
      </w:r>
    </w:p>
    <w:p>
      <w:pPr>
        <w:pStyle w:val="FirstParagraph"/>
      </w:pPr>
      <w:r>
        <w:rPr>
          <w:b/>
          <w:bCs/>
        </w:rPr>
        <w:t xml:space="preserve">HU-001: Modificación de tema visual del hub</w:t>
      </w:r>
      <w:r>
        <w:br/>
      </w:r>
      <w:r>
        <w:t xml:space="preserve">Given que el usuario está en el menú de ajustes,</w:t>
      </w:r>
      <w:r>
        <w:br/>
      </w:r>
      <w:r>
        <w:t xml:space="preserve">When selecciona</w:t>
      </w:r>
      <w:r>
        <w:t xml:space="preserve"> </w:t>
      </w:r>
      <w:r>
        <w:t xml:space="preserve">“Tema”</w:t>
      </w:r>
      <w:r>
        <w:t xml:space="preserve"> </w:t>
      </w:r>
      <w:r>
        <w:t xml:space="preserve">y elige</w:t>
      </w:r>
      <w:r>
        <w:t xml:space="preserve"> </w:t>
      </w:r>
      <w:r>
        <w:t xml:space="preserve">“Modo oscuro”</w:t>
      </w:r>
      <w:r>
        <w:t xml:space="preserve">,</w:t>
      </w:r>
      <w:r>
        <w:br/>
      </w:r>
      <w:r>
        <w:t xml:space="preserve">Then debe aplicarse inmediatamente el cambio en toda la interfaz.</w:t>
      </w:r>
    </w:p>
    <w:p>
      <w:pPr>
        <w:pStyle w:val="BodyText"/>
      </w:pPr>
      <w:r>
        <w:t xml:space="preserve">Given que el usuario vuelve a</w:t>
      </w:r>
      <w:r>
        <w:t xml:space="preserve"> </w:t>
      </w:r>
      <w:r>
        <w:t xml:space="preserve">“Tema”</w:t>
      </w:r>
      <w:r>
        <w:t xml:space="preserve"> </w:t>
      </w:r>
      <w:r>
        <w:t xml:space="preserve">y elige</w:t>
      </w:r>
      <w:r>
        <w:t xml:space="preserve"> </w:t>
      </w:r>
      <w:r>
        <w:t xml:space="preserve">“Modo claro”</w:t>
      </w:r>
      <w:r>
        <w:t xml:space="preserve">,</w:t>
      </w:r>
      <w:r>
        <w:br/>
      </w:r>
      <w:r>
        <w:t xml:space="preserve">When guarda los cambios,</w:t>
      </w:r>
      <w:r>
        <w:br/>
      </w:r>
      <w:r>
        <w:t xml:space="preserve">Then debe mostrarse un mensaje confirmado de actualización del tema.</w:t>
      </w:r>
    </w:p>
    <w:p>
      <w:pPr>
        <w:pStyle w:val="BodyText"/>
      </w:pPr>
      <w:r>
        <w:t xml:space="preserve">Given que el usuario selecciona un tema no disponible,</w:t>
      </w:r>
      <w:r>
        <w:br/>
      </w:r>
      <w:r>
        <w:t xml:space="preserve">When intenta aplicarlo,</w:t>
      </w:r>
      <w:r>
        <w:br/>
      </w:r>
      <w:r>
        <w:t xml:space="preserve">Then debe mostrarse un error indicando que el tema elegido no es válido.</w:t>
      </w:r>
    </w:p>
    <w:p>
      <w:pPr>
        <w:pStyle w:val="BodyText"/>
      </w:pPr>
      <w:r>
        <w:rPr>
          <w:b/>
          <w:bCs/>
        </w:rPr>
        <w:t xml:space="preserve">HU-002: Verificación de estado de conexión con el banco (API)</w:t>
      </w:r>
      <w:r>
        <w:br/>
      </w:r>
      <w:r>
        <w:t xml:space="preserve">Given que el usuario está en el menú de ajustes,</w:t>
      </w:r>
      <w:r>
        <w:br/>
      </w:r>
      <w:r>
        <w:t xml:space="preserve">When selecciona</w:t>
      </w:r>
      <w:r>
        <w:t xml:space="preserve"> </w:t>
      </w:r>
      <w:r>
        <w:t xml:space="preserve">“Estado de la conexión”</w:t>
      </w:r>
      <w:r>
        <w:t xml:space="preserve">,</w:t>
      </w:r>
      <w:r>
        <w:br/>
      </w:r>
      <w:r>
        <w:t xml:space="preserve">Then debe mostrar un mensaje indicando si la API está conectada o desconectada.</w:t>
      </w:r>
    </w:p>
    <w:p>
      <w:pPr>
        <w:pStyle w:val="BodyText"/>
      </w:pPr>
      <w:r>
        <w:t xml:space="preserve">Given que el usuario intenta realizar una transacción mientras la API está desconectada,</w:t>
      </w:r>
      <w:r>
        <w:br/>
      </w:r>
      <w:r>
        <w:t xml:space="preserve">When ingresa a la pantalla de transacciones,</w:t>
      </w:r>
      <w:r>
        <w:br/>
      </w:r>
      <w:r>
        <w:t xml:space="preserve">Then debe bloquear las operaciones y mostrar un aviso de conexión perdida.</w:t>
      </w:r>
    </w:p>
    <w:p>
      <w:pPr>
        <w:pStyle w:val="BodyText"/>
      </w:pPr>
      <w:r>
        <w:t xml:space="preserve">Given que el usuario recibe una notificación de error en la conexión,</w:t>
      </w:r>
      <w:r>
        <w:br/>
      </w:r>
      <w:r>
        <w:t xml:space="preserve">When selecciona</w:t>
      </w:r>
      <w:r>
        <w:t xml:space="preserve"> </w:t>
      </w:r>
      <w:r>
        <w:t xml:space="preserve">“Reintentar”</w:t>
      </w:r>
      <w:r>
        <w:t xml:space="preserve">,</w:t>
      </w:r>
      <w:r>
        <w:br/>
      </w:r>
      <w:r>
        <w:t xml:space="preserve">Then debe intentar reconectar con la API automáticamente.</w:t>
      </w:r>
    </w:p>
    <w:p>
      <w:pPr>
        <w:pStyle w:val="BodyText"/>
      </w:pPr>
      <w:r>
        <w:rPr>
          <w:b/>
          <w:bCs/>
        </w:rPr>
        <w:t xml:space="preserve">HU-003: Visualización del presupuesto mensual con gráficos</w:t>
      </w:r>
      <w:r>
        <w:br/>
      </w:r>
      <w:r>
        <w:t xml:space="preserve">Given que el usuario ha ingresado sus gastos y recibos,</w:t>
      </w:r>
      <w:r>
        <w:br/>
      </w:r>
      <w:r>
        <w:t xml:space="preserve">When accede a la pantalla de presupuesto,</w:t>
      </w:r>
      <w:r>
        <w:br/>
      </w:r>
      <w:r>
        <w:t xml:space="preserve">Then debe mostrarse un gráfico resumen (ej.: barras o torta) de los gastos por categoría.</w:t>
      </w:r>
    </w:p>
    <w:p>
      <w:pPr>
        <w:pStyle w:val="BodyText"/>
      </w:pPr>
      <w:r>
        <w:t xml:space="preserve">Given que el usuario filtra el presupuesto por mes,</w:t>
      </w:r>
      <w:r>
        <w:br/>
      </w:r>
      <w:r>
        <w:t xml:space="preserve">When selecciona</w:t>
      </w:r>
      <w:r>
        <w:t xml:space="preserve"> </w:t>
      </w:r>
      <w:r>
        <w:t xml:space="preserve">“Abril 2025”</w:t>
      </w:r>
      <w:r>
        <w:t xml:space="preserve">,</w:t>
      </w:r>
      <w:r>
        <w:br/>
      </w:r>
      <w:r>
        <w:t xml:space="preserve">Then debe mostrar solo los datos correspondientes a ese período en el gráfico.</w:t>
      </w:r>
    </w:p>
    <w:p>
      <w:pPr>
        <w:pStyle w:val="BodyText"/>
      </w:pPr>
      <w:r>
        <w:t xml:space="preserve">Given que el usuario no ha ingresado ningún dato de gasto,</w:t>
      </w:r>
      <w:r>
        <w:br/>
      </w:r>
      <w:r>
        <w:t xml:space="preserve">When accede a la pantalla de presupuesto,</w:t>
      </w:r>
      <w:r>
        <w:br/>
      </w:r>
      <w:r>
        <w:t xml:space="preserve">Then debe mostrarse un mensaje indicando que aún no hay información para generar el gráfico.</w:t>
      </w:r>
    </w:p>
    <w:bookmarkEnd w:id="50"/>
    <w:bookmarkStart w:id="51" w:name="backlog-priorizado-moscowkano-o-similar"/>
    <w:p>
      <w:pPr>
        <w:pStyle w:val="Heading3"/>
      </w:pPr>
      <w:r>
        <w:t xml:space="preserve">4.3 Backlog priorizado (MoSCoW/Kano o similar)</w:t>
      </w:r>
    </w:p>
    <w:p>
      <w:pPr>
        <w:pStyle w:val="FirstParagraph"/>
      </w:pPr>
      <w:r>
        <w:t xml:space="preserve">-​ Must/Should/Could → Imprescindible/Importante/Conveniente</w:t>
      </w:r>
    </w:p>
    <w:p>
      <w:pPr>
        <w:pStyle w:val="BodyText"/>
      </w:pPr>
      <w:r>
        <w:rPr>
          <w:b/>
          <w:bCs/>
        </w:rPr>
        <w:t xml:space="preserve">HU-001: Modificación de tema visual del hub</w:t>
      </w:r>
      <w:r>
        <w:t xml:space="preserve"> </w:t>
      </w:r>
      <w:r>
        <w:t xml:space="preserve">-&gt; Conveniente</w:t>
      </w:r>
      <w:r>
        <w:t xml:space="preserve"> </w:t>
      </w:r>
      <w:r>
        <w:rPr>
          <w:b/>
          <w:bCs/>
        </w:rPr>
        <w:t xml:space="preserve">HU-002: Verificación de estado de conexión con el banco (API)</w:t>
      </w:r>
      <w:r>
        <w:t xml:space="preserve"> </w:t>
      </w:r>
      <w:r>
        <w:t xml:space="preserve">-&gt; Imprescindible</w:t>
      </w:r>
      <w:r>
        <w:t xml:space="preserve"> </w:t>
      </w:r>
      <w:r>
        <w:rPr>
          <w:b/>
          <w:bCs/>
        </w:rPr>
        <w:t xml:space="preserve">HU-003: Visualización del presupuesto mensual con gráficos</w:t>
      </w:r>
      <w:r>
        <w:t xml:space="preserve"> </w:t>
      </w:r>
      <w:r>
        <w:t xml:space="preserve">-&gt; Importante</w:t>
      </w:r>
    </w:p>
    <w:bookmarkEnd w:id="51"/>
    <w:bookmarkStart w:id="52" w:name="trazabilidad-hu-ca-pruebas-figma"/>
    <w:p>
      <w:pPr>
        <w:pStyle w:val="Heading3"/>
      </w:pPr>
      <w:r>
        <w:t xml:space="preserve">4.4 Trazabilidad HU ↔ CA ↔ Pruebas ↔ Figma​</w:t>
      </w:r>
    </w:p>
    <w:bookmarkEnd w:id="52"/>
    <w:bookmarkEnd w:id="53"/>
    <w:bookmarkStart w:id="58" w:name="arquitectura"/>
    <w:p>
      <w:pPr>
        <w:pStyle w:val="Heading2"/>
      </w:pPr>
      <w:r>
        <w:t xml:space="preserve">5. Arquitectura</w:t>
      </w:r>
    </w:p>
    <w:bookmarkStart w:id="54" w:name="diagrama-c1c2-contexto-y-contenedores"/>
    <w:p>
      <w:pPr>
        <w:pStyle w:val="Heading3"/>
      </w:pPr>
      <w:r>
        <w:t xml:space="preserve">5.1. Diagrama (C1/C2: contexto y contenedores)</w:t>
      </w:r>
    </w:p>
    <w:bookmarkEnd w:id="54"/>
    <w:bookmarkStart w:id="55" w:name="X5ecf73b6c9c4afc7f124a4c69f3df9ebc8474c8"/>
    <w:p>
      <w:pPr>
        <w:pStyle w:val="Heading3"/>
      </w:pPr>
      <w:r>
        <w:t xml:space="preserve">5.2 Decisiones de arquitectura (ADR) y numeración (p. ej., ADR-001, ADR-002)​</w:t>
      </w:r>
    </w:p>
    <w:p>
      <w:pPr>
        <w:pStyle w:val="Compact"/>
        <w:numPr>
          <w:ilvl w:val="0"/>
          <w:numId w:val="1010"/>
        </w:numPr>
      </w:pPr>
      <w:r>
        <w:t xml:space="preserve">ADR-001: Selección del protocolo de autenticación</w:t>
      </w:r>
    </w:p>
    <w:p>
      <w:pPr>
        <w:pStyle w:val="Compact"/>
        <w:numPr>
          <w:ilvl w:val="1"/>
          <w:numId w:val="1011"/>
        </w:numPr>
      </w:pPr>
      <w:r>
        <w:t xml:space="preserve">Contexto: Necesidad de seguridad en la gestión de cuentas bancarias.</w:t>
      </w:r>
    </w:p>
    <w:p>
      <w:pPr>
        <w:pStyle w:val="Compact"/>
        <w:numPr>
          <w:ilvl w:val="1"/>
          <w:numId w:val="1011"/>
        </w:numPr>
      </w:pPr>
      <w:r>
        <w:t xml:space="preserve">Decisión: Implementar OAuth 2.0 con PKCE para autenticación segura.</w:t>
      </w:r>
    </w:p>
    <w:p>
      <w:pPr>
        <w:pStyle w:val="Compact"/>
        <w:numPr>
          <w:ilvl w:val="1"/>
          <w:numId w:val="1011"/>
        </w:numPr>
      </w:pPr>
      <w:r>
        <w:t xml:space="preserve">Alternativas descartadas:</w:t>
      </w:r>
    </w:p>
    <w:p>
      <w:pPr>
        <w:pStyle w:val="Compact"/>
        <w:numPr>
          <w:ilvl w:val="2"/>
          <w:numId w:val="1012"/>
        </w:numPr>
      </w:pPr>
      <w:r>
        <w:t xml:space="preserve">Autenticación por contraseña tradicional (riesgo de phishing).</w:t>
      </w:r>
    </w:p>
    <w:p>
      <w:pPr>
        <w:pStyle w:val="Compact"/>
        <w:numPr>
          <w:ilvl w:val="2"/>
          <w:numId w:val="1012"/>
        </w:numPr>
      </w:pPr>
      <w:r>
        <w:t xml:space="preserve">SMS-based 2FA (dependencia de redes móviles y latencia).</w:t>
      </w:r>
    </w:p>
    <w:p>
      <w:pPr>
        <w:pStyle w:val="Compact"/>
        <w:numPr>
          <w:ilvl w:val="1"/>
          <w:numId w:val="1011"/>
        </w:numPr>
      </w:pPr>
      <w:r>
        <w:t xml:space="preserve">Consecuencias: Mejora en la seguridad, pero requerimiento de integración con proveedores de OAuth (ej.: Google, Apple).</w:t>
      </w:r>
    </w:p>
    <w:p>
      <w:pPr>
        <w:pStyle w:val="Compact"/>
        <w:numPr>
          <w:ilvl w:val="0"/>
          <w:numId w:val="1010"/>
        </w:numPr>
      </w:pPr>
      <w:r>
        <w:t xml:space="preserve">ADR-002: Selección de API para conexión bancaria</w:t>
      </w:r>
    </w:p>
    <w:p>
      <w:pPr>
        <w:pStyle w:val="Compact"/>
        <w:numPr>
          <w:ilvl w:val="1"/>
          <w:numId w:val="1013"/>
        </w:numPr>
      </w:pPr>
      <w:r>
        <w:t xml:space="preserve">Contexto: Necesidad de conectar con múltiples entidades bancarias.</w:t>
      </w:r>
    </w:p>
    <w:p>
      <w:pPr>
        <w:pStyle w:val="Compact"/>
        <w:numPr>
          <w:ilvl w:val="1"/>
          <w:numId w:val="1013"/>
        </w:numPr>
      </w:pPr>
      <w:r>
        <w:t xml:space="preserve">Decisión: Usar una API estándar RESTful con soporte para Open Banking (PSD2).</w:t>
      </w:r>
    </w:p>
    <w:p>
      <w:pPr>
        <w:pStyle w:val="Compact"/>
        <w:numPr>
          <w:ilvl w:val="1"/>
          <w:numId w:val="1013"/>
        </w:numPr>
      </w:pPr>
      <w:r>
        <w:t xml:space="preserve">Alternativas descartadas:</w:t>
      </w:r>
    </w:p>
    <w:p>
      <w:pPr>
        <w:pStyle w:val="Compact"/>
        <w:numPr>
          <w:ilvl w:val="2"/>
          <w:numId w:val="1014"/>
        </w:numPr>
      </w:pPr>
      <w:r>
        <w:t xml:space="preserve">Integración directa por FTP/SFTP (menos escalable y seguro).</w:t>
      </w:r>
    </w:p>
    <w:p>
      <w:pPr>
        <w:pStyle w:val="Compact"/>
        <w:numPr>
          <w:ilvl w:val="2"/>
          <w:numId w:val="1014"/>
        </w:numPr>
      </w:pPr>
      <w:r>
        <w:t xml:space="preserve">Uso de Webhooks personalizados (complejidad en gestión de eventos).</w:t>
      </w:r>
    </w:p>
    <w:p>
      <w:pPr>
        <w:pStyle w:val="Compact"/>
        <w:numPr>
          <w:ilvl w:val="1"/>
          <w:numId w:val="1013"/>
        </w:numPr>
      </w:pPr>
      <w:r>
        <w:t xml:space="preserve">Consecuencias: Mayor compatibilidad con bancos europeos, pero dependencia de cumplimiento normativo.</w:t>
      </w:r>
    </w:p>
    <w:bookmarkEnd w:id="55"/>
    <w:bookmarkStart w:id="56" w:name="integraciones-datos-y-dependencias"/>
    <w:p>
      <w:pPr>
        <w:pStyle w:val="Heading3"/>
      </w:pPr>
      <w:r>
        <w:t xml:space="preserve">5.3. Integraciones, datos y dependencias</w:t>
      </w:r>
    </w:p>
    <w:p>
      <w:pPr>
        <w:pStyle w:val="Compact"/>
        <w:numPr>
          <w:ilvl w:val="0"/>
          <w:numId w:val="1015"/>
        </w:numPr>
      </w:pPr>
      <w:r>
        <w:t xml:space="preserve">Integraciones externas</w:t>
      </w:r>
    </w:p>
    <w:p>
      <w:pPr>
        <w:pStyle w:val="Compact"/>
        <w:numPr>
          <w:ilvl w:val="1"/>
          <w:numId w:val="1016"/>
        </w:numPr>
      </w:pPr>
      <w:r>
        <w:t xml:space="preserve">API de banca abierta (Open Banking):</w:t>
      </w:r>
    </w:p>
    <w:p>
      <w:pPr>
        <w:pStyle w:val="Compact"/>
        <w:numPr>
          <w:ilvl w:val="2"/>
          <w:numId w:val="1017"/>
        </w:numPr>
      </w:pPr>
      <w:r>
        <w:t xml:space="preserve">Conexión a entidades bancarias mediante protocolos estándar como PSD2 (Reglamento Europeo).</w:t>
      </w:r>
    </w:p>
    <w:p>
      <w:pPr>
        <w:pStyle w:val="Compact"/>
        <w:numPr>
          <w:ilvl w:val="2"/>
          <w:numId w:val="1017"/>
        </w:numPr>
      </w:pPr>
      <w:r>
        <w:t xml:space="preserve">Ejemplo: API RESTful para obtener saldos, transacciones y estados de cuenta.</w:t>
      </w:r>
    </w:p>
    <w:p>
      <w:pPr>
        <w:pStyle w:val="Compact"/>
        <w:numPr>
          <w:ilvl w:val="1"/>
          <w:numId w:val="1016"/>
        </w:numPr>
      </w:pPr>
      <w:r>
        <w:t xml:space="preserve">Servicios de autenticación:</w:t>
      </w:r>
    </w:p>
    <w:p>
      <w:pPr>
        <w:pStyle w:val="Compact"/>
        <w:numPr>
          <w:ilvl w:val="2"/>
          <w:numId w:val="1018"/>
        </w:numPr>
      </w:pPr>
      <w:r>
        <w:t xml:space="preserve">OAuth 2.0 con PKCE para integración con proveedores como Google, Apple o Microsoft.</w:t>
      </w:r>
    </w:p>
    <w:p>
      <w:pPr>
        <w:pStyle w:val="Compact"/>
        <w:numPr>
          <w:ilvl w:val="2"/>
          <w:numId w:val="1018"/>
        </w:numPr>
      </w:pPr>
      <w:r>
        <w:t xml:space="preserve">Soporte para passkey/autenticación biométrica (FIDO2).</w:t>
      </w:r>
    </w:p>
    <w:p>
      <w:pPr>
        <w:pStyle w:val="Compact"/>
        <w:numPr>
          <w:ilvl w:val="1"/>
          <w:numId w:val="1016"/>
        </w:numPr>
      </w:pPr>
      <w:r>
        <w:t xml:space="preserve">Exportación de datos a formatos estándar:</w:t>
      </w:r>
    </w:p>
    <w:p>
      <w:pPr>
        <w:pStyle w:val="Compact"/>
        <w:numPr>
          <w:ilvl w:val="2"/>
          <w:numId w:val="1019"/>
        </w:numPr>
      </w:pPr>
      <w:r>
        <w:t xml:space="preserve">Librerías para generar archivos PDF, Excel (.xlsx), CSV y DOCX.</w:t>
      </w:r>
    </w:p>
    <w:p>
      <w:pPr>
        <w:pStyle w:val="Compact"/>
        <w:numPr>
          <w:ilvl w:val="1"/>
          <w:numId w:val="1016"/>
        </w:numPr>
      </w:pPr>
      <w:r>
        <w:t xml:space="preserve">Servicios de almacenamiento en la nube (opcional):</w:t>
      </w:r>
    </w:p>
    <w:p>
      <w:pPr>
        <w:pStyle w:val="Compact"/>
        <w:numPr>
          <w:ilvl w:val="2"/>
          <w:numId w:val="1020"/>
        </w:numPr>
      </w:pPr>
      <w:r>
        <w:t xml:space="preserve">Integración con AWS S3, Azure Blob Storage o Google Cloud Storage para respaldos de datos críticos.</w:t>
      </w:r>
    </w:p>
    <w:p>
      <w:pPr>
        <w:pStyle w:val="Compact"/>
        <w:numPr>
          <w:ilvl w:val="1"/>
          <w:numId w:val="1016"/>
        </w:numPr>
      </w:pPr>
      <w:r>
        <w:t xml:space="preserve">Dependencias de terceros:</w:t>
      </w:r>
    </w:p>
    <w:p>
      <w:pPr>
        <w:pStyle w:val="Compact"/>
        <w:numPr>
          <w:ilvl w:val="2"/>
          <w:numId w:val="1021"/>
        </w:numPr>
      </w:pPr>
      <w:r>
        <w:t xml:space="preserve">Frameworks de UI.</w:t>
      </w:r>
    </w:p>
    <w:p>
      <w:pPr>
        <w:pStyle w:val="Compact"/>
        <w:numPr>
          <w:ilvl w:val="2"/>
          <w:numId w:val="1021"/>
        </w:numPr>
      </w:pPr>
      <w:r>
        <w:t xml:space="preserve">Servicios de análisis de transacciones.</w:t>
      </w:r>
    </w:p>
    <w:p>
      <w:pPr>
        <w:pStyle w:val="Compact"/>
        <w:numPr>
          <w:ilvl w:val="0"/>
          <w:numId w:val="1015"/>
        </w:numPr>
      </w:pPr>
      <w:r>
        <w:t xml:space="preserve">Datos y dependencias internas</w:t>
      </w:r>
    </w:p>
    <w:p>
      <w:pPr>
        <w:pStyle w:val="Compact"/>
        <w:numPr>
          <w:ilvl w:val="1"/>
          <w:numId w:val="1022"/>
        </w:numPr>
      </w:pPr>
      <w:r>
        <w:t xml:space="preserve">Almacenamiento local:</w:t>
      </w:r>
    </w:p>
    <w:p>
      <w:pPr>
        <w:pStyle w:val="Compact"/>
        <w:numPr>
          <w:ilvl w:val="2"/>
          <w:numId w:val="1023"/>
        </w:numPr>
      </w:pPr>
      <w:r>
        <w:t xml:space="preserve">Base de datos relacional (ej.: PostgreSQL) para usuarios, configuraciones (tema, idioma), y metadatos de cuentas o local mediante SQLite para dispositivos móviles.</w:t>
      </w:r>
    </w:p>
    <w:p>
      <w:pPr>
        <w:pStyle w:val="Compact"/>
        <w:numPr>
          <w:ilvl w:val="2"/>
          <w:numId w:val="1023"/>
        </w:numPr>
      </w:pPr>
      <w:r>
        <w:t xml:space="preserve">Uso de JSON simulado en la demo (como se menciona en el alcance de E1).</w:t>
      </w:r>
    </w:p>
    <w:p>
      <w:pPr>
        <w:pStyle w:val="Compact"/>
        <w:numPr>
          <w:ilvl w:val="1"/>
          <w:numId w:val="1022"/>
        </w:numPr>
      </w:pPr>
      <w:r>
        <w:t xml:space="preserve">Datos de transacciones:</w:t>
      </w:r>
    </w:p>
    <w:p>
      <w:pPr>
        <w:pStyle w:val="Compact"/>
        <w:numPr>
          <w:ilvl w:val="2"/>
          <w:numId w:val="1024"/>
        </w:numPr>
      </w:pPr>
      <w:r>
        <w:t xml:space="preserve">Recuperados desde APIs bancarias y almacenados temporalmente para visualización y análisis local.</w:t>
      </w:r>
    </w:p>
    <w:p>
      <w:pPr>
        <w:pStyle w:val="Compact"/>
        <w:numPr>
          <w:ilvl w:val="1"/>
          <w:numId w:val="1022"/>
        </w:numPr>
      </w:pPr>
      <w:r>
        <w:t xml:space="preserve">Dependencias tecnológicas clave:</w:t>
      </w:r>
    </w:p>
    <w:p>
      <w:pPr>
        <w:pStyle w:val="Compact"/>
        <w:numPr>
          <w:ilvl w:val="2"/>
          <w:numId w:val="1025"/>
        </w:numPr>
      </w:pPr>
      <w:r>
        <w:t xml:space="preserve">Lenguajes: Java.</w:t>
      </w:r>
    </w:p>
    <w:p>
      <w:pPr>
        <w:pStyle w:val="Compact"/>
        <w:numPr>
          <w:ilvl w:val="2"/>
          <w:numId w:val="1025"/>
        </w:numPr>
      </w:pPr>
      <w:r>
        <w:t xml:space="preserve">Herramientas: Figma (diseño), GitHub/GitLab (control de versiones), Docker (contenedores).​</w:t>
      </w:r>
    </w:p>
    <w:bookmarkEnd w:id="56"/>
    <w:bookmarkStart w:id="57" w:name="riesgos-técnicos-y-mitigación"/>
    <w:p>
      <w:pPr>
        <w:pStyle w:val="Heading3"/>
      </w:pPr>
      <w:r>
        <w:t xml:space="preserve">5.4. Riesgos técnicos y mitigación​</w:t>
      </w:r>
    </w:p>
    <w:p>
      <w:pPr>
        <w:pStyle w:val="FirstParagraph"/>
      </w:pPr>
      <w:r>
        <w:t xml:space="preserve">Riesgo 1: Cambios en las APIs bancarias o normativas legales</w:t>
      </w:r>
    </w:p>
    <w:p>
      <w:pPr>
        <w:pStyle w:val="Compact"/>
        <w:numPr>
          <w:ilvl w:val="0"/>
          <w:numId w:val="1026"/>
        </w:numPr>
      </w:pPr>
      <w:r>
        <w:t xml:space="preserve">Impacto: Incompatibilidad con el sistema al actualizar protocolos de Open Banking.</w:t>
      </w:r>
    </w:p>
    <w:p>
      <w:pPr>
        <w:pStyle w:val="Compact"/>
        <w:numPr>
          <w:ilvl w:val="0"/>
          <w:numId w:val="1026"/>
        </w:numPr>
      </w:pPr>
      <w:r>
        <w:t xml:space="preserve">Mitigación:</w:t>
      </w:r>
    </w:p>
    <w:p>
      <w:pPr>
        <w:pStyle w:val="Compact"/>
        <w:numPr>
          <w:ilvl w:val="1"/>
          <w:numId w:val="1027"/>
        </w:numPr>
      </w:pPr>
      <w:r>
        <w:t xml:space="preserve">Usar versiones compatibles de las APIs y mantener actualizaciones regulares.</w:t>
      </w:r>
    </w:p>
    <w:p>
      <w:pPr>
        <w:pStyle w:val="Compact"/>
        <w:numPr>
          <w:ilvl w:val="1"/>
          <w:numId w:val="1027"/>
        </w:numPr>
      </w:pPr>
      <w:r>
        <w:t xml:space="preserve">Implementar mecanismos de fallback (ej.: notificación al usuario si una API falla).</w:t>
      </w:r>
    </w:p>
    <w:p>
      <w:pPr>
        <w:pStyle w:val="FirstParagraph"/>
      </w:pPr>
      <w:r>
        <w:t xml:space="preserve">Riesgo 2: Seguridad en la gestión de datos sensibles</w:t>
      </w:r>
    </w:p>
    <w:p>
      <w:pPr>
        <w:pStyle w:val="Compact"/>
        <w:numPr>
          <w:ilvl w:val="0"/>
          <w:numId w:val="1028"/>
        </w:numPr>
      </w:pPr>
      <w:r>
        <w:t xml:space="preserve">Impacto: Exposición de credenciales o transacciones por fallos de autenticación/criptografía.</w:t>
      </w:r>
    </w:p>
    <w:p>
      <w:pPr>
        <w:pStyle w:val="Compact"/>
        <w:numPr>
          <w:ilvl w:val="0"/>
          <w:numId w:val="1028"/>
        </w:numPr>
      </w:pPr>
      <w:r>
        <w:t xml:space="preserve">Mitigación:</w:t>
      </w:r>
    </w:p>
    <w:p>
      <w:pPr>
        <w:pStyle w:val="Compact"/>
        <w:numPr>
          <w:ilvl w:val="1"/>
          <w:numId w:val="1029"/>
        </w:numPr>
      </w:pPr>
      <w:r>
        <w:t xml:space="preserve">Encriptar datos en tránsito (TLS 1.3) y en reposo (AES-256).</w:t>
      </w:r>
    </w:p>
    <w:p>
      <w:pPr>
        <w:pStyle w:val="Compact"/>
        <w:numPr>
          <w:ilvl w:val="1"/>
          <w:numId w:val="1029"/>
        </w:numPr>
      </w:pPr>
      <w:r>
        <w:t xml:space="preserve">Validar estrictamente las autorizaciones (RBAC) y realizar auditorías de seguridad periódicas.</w:t>
      </w:r>
    </w:p>
    <w:p>
      <w:pPr>
        <w:pStyle w:val="FirstParagraph"/>
      </w:pPr>
      <w:r>
        <w:t xml:space="preserve">Riesgo 3: Rendimiento bajo carga alta</w:t>
      </w:r>
    </w:p>
    <w:p>
      <w:pPr>
        <w:pStyle w:val="Compact"/>
        <w:numPr>
          <w:ilvl w:val="0"/>
          <w:numId w:val="1030"/>
        </w:numPr>
      </w:pPr>
      <w:r>
        <w:t xml:space="preserve">Impacto: Latencia excesiva al cargar transacciones o generar reportes.</w:t>
      </w:r>
    </w:p>
    <w:p>
      <w:pPr>
        <w:pStyle w:val="Compact"/>
        <w:numPr>
          <w:ilvl w:val="0"/>
          <w:numId w:val="1030"/>
        </w:numPr>
      </w:pPr>
      <w:r>
        <w:t xml:space="preserve">Mitigación:</w:t>
      </w:r>
    </w:p>
    <w:p>
      <w:pPr>
        <w:pStyle w:val="Compact"/>
        <w:numPr>
          <w:ilvl w:val="1"/>
          <w:numId w:val="1031"/>
        </w:numPr>
      </w:pPr>
      <w:r>
        <w:t xml:space="preserve">Implementar caché en memoria (Redis) para datos frecuentes (ej.: saldos).</w:t>
      </w:r>
    </w:p>
    <w:p>
      <w:pPr>
        <w:pStyle w:val="Compact"/>
        <w:numPr>
          <w:ilvl w:val="1"/>
          <w:numId w:val="1031"/>
        </w:numPr>
      </w:pPr>
      <w:r>
        <w:t xml:space="preserve">Usar escalabilidad horizontal en el backend (microservicios + Kubernetes).</w:t>
      </w:r>
    </w:p>
    <w:p>
      <w:pPr>
        <w:pStyle w:val="FirstParagraph"/>
      </w:pPr>
      <w:r>
        <w:t xml:space="preserve">Riesgo 4: Dependencia de terceros obsoletas</w:t>
      </w:r>
    </w:p>
    <w:p>
      <w:pPr>
        <w:pStyle w:val="Compact"/>
        <w:numPr>
          <w:ilvl w:val="0"/>
          <w:numId w:val="1032"/>
        </w:numPr>
      </w:pPr>
      <w:r>
        <w:t xml:space="preserve">Impacto: Fallo en librerías críticas (ej.: OAuth, exportación a Excel).</w:t>
      </w:r>
    </w:p>
    <w:p>
      <w:pPr>
        <w:pStyle w:val="Compact"/>
        <w:numPr>
          <w:ilvl w:val="0"/>
          <w:numId w:val="1032"/>
        </w:numPr>
      </w:pPr>
      <w:r>
        <w:t xml:space="preserve">Mitigación:</w:t>
      </w:r>
    </w:p>
    <w:p>
      <w:pPr>
        <w:pStyle w:val="Compact"/>
        <w:numPr>
          <w:ilvl w:val="1"/>
          <w:numId w:val="1033"/>
        </w:numPr>
      </w:pPr>
      <w:r>
        <w:t xml:space="preserve">Monitorear actualizaciones de dependencias (ej.: Dependabot en GitHub).</w:t>
      </w:r>
    </w:p>
    <w:p>
      <w:pPr>
        <w:pStyle w:val="Compact"/>
        <w:numPr>
          <w:ilvl w:val="1"/>
          <w:numId w:val="1033"/>
        </w:numPr>
      </w:pPr>
      <w:r>
        <w:t xml:space="preserve">Mantener código compatible con múltiples versiones de bibliotecas.</w:t>
      </w:r>
    </w:p>
    <w:p>
      <w:pPr>
        <w:pStyle w:val="FirstParagraph"/>
      </w:pPr>
      <w:r>
        <w:t xml:space="preserve">Riesgo 5: Diferencias de rendimiento entre JavaFX (escritorio) y Android SDK (móvil).</w:t>
      </w:r>
    </w:p>
    <w:p>
      <w:pPr>
        <w:pStyle w:val="Compact"/>
        <w:numPr>
          <w:ilvl w:val="0"/>
          <w:numId w:val="1034"/>
        </w:numPr>
      </w:pPr>
      <w:r>
        <w:t xml:space="preserve">Impacto: La app no funciona enficienteme en las versiones de escritorio y móvil.</w:t>
      </w:r>
    </w:p>
    <w:p>
      <w:pPr>
        <w:pStyle w:val="Compact"/>
        <w:numPr>
          <w:ilvl w:val="0"/>
          <w:numId w:val="1034"/>
        </w:numPr>
      </w:pPr>
      <w:r>
        <w:t xml:space="preserve">Mitigación:</w:t>
      </w:r>
    </w:p>
    <w:p>
      <w:pPr>
        <w:pStyle w:val="Compact"/>
        <w:numPr>
          <w:ilvl w:val="1"/>
          <w:numId w:val="1035"/>
        </w:numPr>
      </w:pPr>
      <w:r>
        <w:t xml:space="preserve">Optimización del código para cada plataforma y pruebas en dispositivos reales.</w:t>
      </w:r>
    </w:p>
    <w:p>
      <w:pPr>
        <w:pStyle w:val="FirstParagraph"/>
      </w:pPr>
      <w:r>
        <w:t xml:space="preserve">Riesgo 6: Complejidad al compartir lógica de negocio entre desktop y móvil debido a diferencias en APIs nativas.</w:t>
      </w:r>
    </w:p>
    <w:p>
      <w:pPr>
        <w:pStyle w:val="Compact"/>
        <w:numPr>
          <w:ilvl w:val="0"/>
          <w:numId w:val="1036"/>
        </w:numPr>
      </w:pPr>
      <w:r>
        <w:t xml:space="preserve">Impacto: Lógica compleja o spaguetti.</w:t>
      </w:r>
    </w:p>
    <w:p>
      <w:pPr>
        <w:pStyle w:val="Compact"/>
        <w:numPr>
          <w:ilvl w:val="0"/>
          <w:numId w:val="1036"/>
        </w:numPr>
      </w:pPr>
      <w:r>
        <w:t xml:space="preserve">Mitigación:</w:t>
      </w:r>
    </w:p>
    <w:p>
      <w:pPr>
        <w:pStyle w:val="Compact"/>
        <w:numPr>
          <w:ilvl w:val="1"/>
          <w:numId w:val="1037"/>
        </w:numPr>
      </w:pPr>
      <w:r>
        <w:t xml:space="preserve">Modularización del código con capas compartidas (ej.: JavaBeans) y adaptadores específicos por plataforma.</w:t>
      </w:r>
    </w:p>
    <w:p>
      <w:pPr>
        <w:pStyle w:val="FirstParagraph"/>
      </w:pPr>
      <w:r>
        <w:t xml:space="preserve">Riesgo 7: Vulnerabilidades de seguridad en bibliotecas Java.</w:t>
      </w:r>
    </w:p>
    <w:p>
      <w:pPr>
        <w:pStyle w:val="Compact"/>
        <w:numPr>
          <w:ilvl w:val="0"/>
          <w:numId w:val="1038"/>
        </w:numPr>
      </w:pPr>
      <w:r>
        <w:t xml:space="preserve">Impacto: Datos sensibles expuestos a atacantes.</w:t>
      </w:r>
    </w:p>
    <w:p>
      <w:pPr>
        <w:pStyle w:val="Compact"/>
        <w:numPr>
          <w:ilvl w:val="0"/>
          <w:numId w:val="1038"/>
        </w:numPr>
      </w:pPr>
      <w:r>
        <w:t xml:space="preserve">Mitigación:</w:t>
      </w:r>
    </w:p>
    <w:p>
      <w:pPr>
        <w:pStyle w:val="Compact"/>
        <w:numPr>
          <w:ilvl w:val="1"/>
          <w:numId w:val="1039"/>
        </w:numPr>
      </w:pPr>
      <w:r>
        <w:t xml:space="preserve">Actualizaciones periódicas de dependencias y uso de herramientas como OWASP Dependency-Check para auditorías.</w:t>
      </w:r>
    </w:p>
    <w:bookmarkEnd w:id="57"/>
    <w:bookmarkEnd w:id="58"/>
    <w:bookmarkStart w:id="66" w:name="requisitos-no-funcionales-nfr"/>
    <w:p>
      <w:pPr>
        <w:pStyle w:val="Heading2"/>
      </w:pPr>
      <w:r>
        <w:t xml:space="preserve">6.​ Requisitos no funcionales (NFR)​</w:t>
      </w:r>
    </w:p>
    <w:bookmarkStart w:id="59" w:name="X97d31f1daaab06d8c6f47070ab716668e6dfd3d"/>
    <w:p>
      <w:pPr>
        <w:pStyle w:val="Heading3"/>
      </w:pPr>
      <w:r>
        <w:t xml:space="preserve">6.1 Convención de numeración (p. ej., NFR-001, NFR-002…)​</w:t>
      </w:r>
    </w:p>
    <w:p>
      <w:pPr>
        <w:pStyle w:val="FirstParagraph"/>
      </w:pPr>
      <w:r>
        <w:t xml:space="preserve">NFR-00X</w:t>
      </w:r>
    </w:p>
    <w:bookmarkEnd w:id="59"/>
    <w:bookmarkStart w:id="60" w:name="Xfbf97e5b4e096061f855b1e457f5b7a3e5b75a3"/>
    <w:p>
      <w:pPr>
        <w:pStyle w:val="Heading3"/>
      </w:pPr>
      <w:r>
        <w:t xml:space="preserve">6.2 Rendimiento y capacidad (latencia, throughput)​ (NFR-001)</w:t>
      </w:r>
    </w:p>
    <w:p>
      <w:pPr>
        <w:numPr>
          <w:ilvl w:val="0"/>
          <w:numId w:val="1040"/>
        </w:numPr>
      </w:pPr>
      <w:r>
        <w:t xml:space="preserve">Métrica: Tiempo máximo de respuesta para operaciones críticas (ej.: inicio de sesión, carga de transacciones).</w:t>
      </w:r>
    </w:p>
    <w:p>
      <w:pPr>
        <w:numPr>
          <w:ilvl w:val="0"/>
          <w:numId w:val="1040"/>
        </w:numPr>
      </w:pPr>
      <w:r>
        <w:t xml:space="preserve">Umbral: ≤ 2 segundos en el 95% de los casos.</w:t>
      </w:r>
    </w:p>
    <w:p>
      <w:pPr>
        <w:numPr>
          <w:ilvl w:val="0"/>
          <w:numId w:val="1040"/>
        </w:numPr>
      </w:pPr>
      <w:r>
        <w:t xml:space="preserve">Método de verificación: Pruebas de carga con herramientas como JMeter o LoadRunner, simulando 100 usuarios concurrentes.</w:t>
      </w:r>
    </w:p>
    <w:p>
      <w:pPr>
        <w:numPr>
          <w:ilvl w:val="0"/>
          <w:numId w:val="1040"/>
        </w:numPr>
      </w:pPr>
      <w:r>
        <w:t xml:space="preserve">Vinculado a: HU-001 (Inicio de sesión), ADR-002 (Selección de API para conexión bancaria).</w:t>
      </w:r>
    </w:p>
    <w:bookmarkEnd w:id="60"/>
    <w:bookmarkStart w:id="61" w:name="Xb9c44e6576b9bdd18b6177c2363cb8ae85f4072"/>
    <w:p>
      <w:pPr>
        <w:pStyle w:val="Heading3"/>
      </w:pPr>
      <w:r>
        <w:t xml:space="preserve">6.3 Seguridad (authZ/authN, cifrado, logs)​ (NFR-002)</w:t>
      </w:r>
    </w:p>
    <w:p>
      <w:pPr>
        <w:numPr>
          <w:ilvl w:val="0"/>
          <w:numId w:val="1041"/>
        </w:numPr>
      </w:pPr>
      <w:r>
        <w:t xml:space="preserve">Verificación: Pruebas de autenticación OAuth2 en entorno de prueba.</w:t>
      </w:r>
    </w:p>
    <w:p>
      <w:pPr>
        <w:numPr>
          <w:ilvl w:val="0"/>
          <w:numId w:val="1041"/>
        </w:numPr>
      </w:pPr>
      <w:r>
        <w:t xml:space="preserve">Ubral: 100% de éxito en pruebas de acceso autorizado.</w:t>
      </w:r>
    </w:p>
    <w:p>
      <w:pPr>
        <w:numPr>
          <w:ilvl w:val="0"/>
          <w:numId w:val="1041"/>
        </w:numPr>
      </w:pPr>
      <w:r>
        <w:t xml:space="preserve">Método de verificación: Uso de herramientas estándar de Java (javax.security) y logging con SLF4J.</w:t>
      </w:r>
    </w:p>
    <w:p>
      <w:pPr>
        <w:numPr>
          <w:ilvl w:val="0"/>
          <w:numId w:val="1041"/>
        </w:numPr>
      </w:pPr>
      <w:r>
        <w:t xml:space="preserve">Vinculado a: HU-002 (Gestión de cuentas), ADR-001 (Implementación de OAuth 2.0).</w:t>
      </w:r>
    </w:p>
    <w:bookmarkEnd w:id="61"/>
    <w:bookmarkStart w:id="62" w:name="X08632bac91a26943c7bddffe3884bda961ffe0a"/>
    <w:p>
      <w:pPr>
        <w:pStyle w:val="Heading3"/>
      </w:pPr>
      <w:r>
        <w:t xml:space="preserve">6.4 Accesibilidad y UX (pautas mínimas)​ (NFR-003)</w:t>
      </w:r>
    </w:p>
    <w:p>
      <w:pPr>
        <w:numPr>
          <w:ilvl w:val="0"/>
          <w:numId w:val="1042"/>
        </w:numPr>
      </w:pPr>
      <w:r>
        <w:t xml:space="preserve">Verificación: Pruebas de contrastes cromáticos y navegación táctil en dispositivos móviles (Java ME).</w:t>
      </w:r>
    </w:p>
    <w:p>
      <w:pPr>
        <w:numPr>
          <w:ilvl w:val="0"/>
          <w:numId w:val="1042"/>
        </w:numPr>
      </w:pPr>
      <w:r>
        <w:t xml:space="preserve">Umbral: 95% de cumplimiento con WCAG 2.1.</w:t>
      </w:r>
    </w:p>
    <w:p>
      <w:pPr>
        <w:numPr>
          <w:ilvl w:val="0"/>
          <w:numId w:val="1042"/>
        </w:numPr>
      </w:pPr>
      <w:r>
        <w:t xml:space="preserve">Método de verificación: Herramientas de validación como AXE para JavaFX y Android Accessibility Suite.</w:t>
      </w:r>
    </w:p>
    <w:bookmarkEnd w:id="62"/>
    <w:bookmarkStart w:id="63" w:name="Xf3508131c4a4972817d3d9aa7592349eae742bb"/>
    <w:p>
      <w:pPr>
        <w:pStyle w:val="Heading3"/>
      </w:pPr>
      <w:r>
        <w:t xml:space="preserve">6.5 Calidad del código y mantenibilidad (estándares, lint, pruebas)​ (NFR-004)</w:t>
      </w:r>
    </w:p>
    <w:p>
      <w:pPr>
        <w:numPr>
          <w:ilvl w:val="0"/>
          <w:numId w:val="1043"/>
        </w:numPr>
      </w:pPr>
      <w:r>
        <w:t xml:space="preserve">Métrica: Cobertura de pruebas unitarias y de integración.</w:t>
      </w:r>
    </w:p>
    <w:p>
      <w:pPr>
        <w:numPr>
          <w:ilvl w:val="0"/>
          <w:numId w:val="1043"/>
        </w:numPr>
      </w:pPr>
      <w:r>
        <w:t xml:space="preserve">Umbral: ≥ 80% cobertura de código crítico.</w:t>
      </w:r>
    </w:p>
    <w:p>
      <w:pPr>
        <w:numPr>
          <w:ilvl w:val="0"/>
          <w:numId w:val="1043"/>
        </w:numPr>
      </w:pPr>
      <w:r>
        <w:t xml:space="preserve">Método de verificación: Informes de SonarQube o similar, revisados por el equipo técnico.</w:t>
      </w:r>
    </w:p>
    <w:bookmarkEnd w:id="63"/>
    <w:bookmarkStart w:id="64" w:name="observabilidad-logs-métricas-nfr-004"/>
    <w:p>
      <w:pPr>
        <w:pStyle w:val="Heading3"/>
      </w:pPr>
      <w:r>
        <w:t xml:space="preserve">6.6 Observabilidad (logs, métricas)​ (NFR-004)</w:t>
      </w:r>
    </w:p>
    <w:p>
      <w:pPr>
        <w:numPr>
          <w:ilvl w:val="0"/>
          <w:numId w:val="1044"/>
        </w:numPr>
      </w:pPr>
      <w:r>
        <w:t xml:space="preserve">Métrica: Tiempo máximo para detectar errores críticos en logs.</w:t>
      </w:r>
    </w:p>
    <w:p>
      <w:pPr>
        <w:numPr>
          <w:ilvl w:val="0"/>
          <w:numId w:val="1044"/>
        </w:numPr>
      </w:pPr>
      <w:r>
        <w:t xml:space="preserve">Umbral: ≤ 5 minutos desde la ocurrencia del error.</w:t>
      </w:r>
    </w:p>
    <w:p>
      <w:pPr>
        <w:numPr>
          <w:ilvl w:val="0"/>
          <w:numId w:val="1044"/>
        </w:numPr>
      </w:pPr>
      <w:r>
        <w:t xml:space="preserve">Método de verificación: Monitoreo en tiempo real con herramientas como Prometheus/Grafana.</w:t>
      </w:r>
    </w:p>
    <w:p>
      <w:pPr>
        <w:numPr>
          <w:ilvl w:val="0"/>
          <w:numId w:val="1044"/>
        </w:numPr>
      </w:pPr>
      <w:r>
        <w:t xml:space="preserve">Vinculado a: ADR-002 (Selección de API para conexión bancaria).</w:t>
      </w:r>
    </w:p>
    <w:bookmarkEnd w:id="64"/>
    <w:bookmarkStart w:id="65" w:name="X9d47d8968a4f79c7eb5cee0992be362b1fa1505"/>
    <w:p>
      <w:pPr>
        <w:pStyle w:val="Heading3"/>
      </w:pPr>
      <w:r>
        <w:t xml:space="preserve">6.7 Verificación de NFR (métricas y cómo medirlas)​</w:t>
      </w:r>
    </w:p>
    <w:p>
      <w:pPr>
        <w:pStyle w:val="FirstParagraph"/>
      </w:pPr>
      <w:r>
        <w:t xml:space="preserve">Declaradas en cada NFR</w:t>
      </w:r>
    </w:p>
    <w:bookmarkEnd w:id="65"/>
    <w:bookmarkEnd w:id="66"/>
    <w:bookmarkStart w:id="69" w:name="prototipo-figma-y-anexos"/>
    <w:p>
      <w:pPr>
        <w:pStyle w:val="Heading2"/>
      </w:pPr>
      <w:r>
        <w:t xml:space="preserve">7.​ Prototipo Figma y Anexos​</w:t>
      </w:r>
    </w:p>
    <w:bookmarkStart w:id="67" w:name="Xddf8131d4ca17e6fa47cf3d0f3d112898b1de66"/>
    <w:p>
      <w:pPr>
        <w:pStyle w:val="Heading3"/>
      </w:pPr>
      <w:r>
        <w:t xml:space="preserve">7.1 Prototipo navegable (lista de pantallas/flows y estados)​</w:t>
      </w:r>
    </w:p>
    <w:bookmarkEnd w:id="67"/>
    <w:bookmarkStart w:id="68" w:name="X0bc47ec47c96800ec63b58758dd49af13dfc303"/>
    <w:p>
      <w:pPr>
        <w:pStyle w:val="Heading3"/>
      </w:pPr>
      <w:r>
        <w:t xml:space="preserve">7.2 Guía de diseño (tokens: color, tipografía, espaciado; componentes y variantes)</w:t>
      </w:r>
    </w:p>
    <w:bookmarkEnd w:id="68"/>
    <w:bookmarkEnd w:id="69"/>
    <w:bookmarkStart w:id="75" w:name="anexos"/>
    <w:p>
      <w:pPr>
        <w:pStyle w:val="Heading2"/>
      </w:pPr>
      <w:r>
        <w:t xml:space="preserve">8.​ Anexos​</w:t>
      </w:r>
    </w:p>
    <w:bookmarkStart w:id="71" w:name="Xbdd9513453e09babb2a8938a8dc8e21fc942067"/>
    <w:p>
      <w:pPr>
        <w:pStyle w:val="Heading3"/>
      </w:pPr>
      <w:r>
        <w:t xml:space="preserve">8.3.1 Plan de pruebas, trazabilidad y evidencias (capturas, vídeos, enlaces)​</w:t>
      </w:r>
    </w:p>
    <w:p>
      <w:pPr>
        <w:numPr>
          <w:ilvl w:val="0"/>
          <w:numId w:val="1045"/>
        </w:numPr>
      </w:pPr>
      <w:r>
        <w:t xml:space="preserve">Historia de usario objetivo: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HU-015</w:t>
      </w:r>
    </w:p>
    <w:p>
      <w:pPr>
        <w:numPr>
          <w:ilvl w:val="0"/>
          <w:numId w:val="1045"/>
        </w:numPr>
      </w:pPr>
      <w:r>
        <w:t xml:space="preserve">Criterios de aceptación:</w:t>
      </w:r>
    </w:p>
    <w:p>
      <w:pPr>
        <w:numPr>
          <w:ilvl w:val="0"/>
          <w:numId w:val="1000"/>
        </w:numPr>
      </w:pPr>
      <w:r>
        <w:t xml:space="preserve">Recorrer hasta el menu y recibir el feedback a partir de la señal de la API y su respuesta.</w:t>
      </w:r>
    </w:p>
    <w:p>
      <w:pPr>
        <w:numPr>
          <w:ilvl w:val="0"/>
          <w:numId w:val="1045"/>
        </w:numPr>
      </w:pPr>
      <w:r>
        <w:t xml:space="preserve">Videos/Imagenes:</w:t>
      </w:r>
    </w:p>
    <w:p>
      <w:pPr>
        <w:pStyle w:val="Compact"/>
        <w:numPr>
          <w:ilvl w:val="1"/>
          <w:numId w:val="1046"/>
        </w:numPr>
      </w:pPr>
      <w:hyperlink r:id="rId70">
        <w:r>
          <w:rPr>
            <w:rStyle w:val="Hyperlink"/>
          </w:rPr>
          <w:t xml:space="preserve">Videos</w:t>
        </w:r>
      </w:hyperlink>
    </w:p>
    <w:p>
      <w:pPr>
        <w:pStyle w:val="Compact"/>
        <w:numPr>
          <w:ilvl w:val="1"/>
          <w:numId w:val="1046"/>
        </w:numPr>
      </w:pPr>
      <w:hyperlink r:id="rId70">
        <w:r>
          <w:rPr>
            <w:rStyle w:val="Hyperlink"/>
          </w:rPr>
          <w:t xml:space="preserve">Imagenes</w:t>
        </w:r>
      </w:hyperlink>
    </w:p>
    <w:bookmarkEnd w:id="71"/>
    <w:bookmarkStart w:id="72" w:name="Xefbc335f091d0579ce66dbb2d5a8f931080fc8a"/>
    <w:p>
      <w:pPr>
        <w:pStyle w:val="Heading3"/>
      </w:pPr>
      <w:r>
        <w:t xml:space="preserve">8.3.2 KPIs iniciales (aceptación HU, defectos, lead time)​</w:t>
      </w:r>
    </w:p>
    <w:bookmarkEnd w:id="72"/>
    <w:bookmarkStart w:id="73" w:name="X1575b725a55193f4d397f729d259805e1f3811b"/>
    <w:p>
      <w:pPr>
        <w:pStyle w:val="Heading3"/>
      </w:pPr>
      <w:r>
        <w:t xml:space="preserve">8.3.3 Enlaces y referencia de artefactos (repo, tablero, ADR, NFR)​</w:t>
      </w:r>
    </w:p>
    <w:bookmarkEnd w:id="73"/>
    <w:bookmarkStart w:id="74" w:name="X611a87e170bc82a85e80ede06a5a9ea08aaa34c"/>
    <w:p>
      <w:pPr>
        <w:pStyle w:val="Heading3"/>
      </w:pPr>
      <w:r>
        <w:t xml:space="preserve">8.3.4 Changelog de E1 (tabla de cambios relevantes)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0" Target="google.es" TargetMode="External" /><Relationship Type="http://schemas.openxmlformats.org/officeDocument/2006/relationships/hyperlink" Id="rId42" Target="https://agicap.com/es/" TargetMode="External" /><Relationship Type="http://schemas.openxmlformats.org/officeDocument/2006/relationships/hyperlink" Id="rId40" Target="https://banktrack.com/" TargetMode="External" /><Relationship Type="http://schemas.openxmlformats.org/officeDocument/2006/relationships/hyperlink" Id="rId25" Target="https://github.com/T4C30/OpenTrackBank" TargetMode="External" /><Relationship Type="http://schemas.openxmlformats.org/officeDocument/2006/relationships/hyperlink" Id="rId30" Target="https://github.com/T4C30/OpenTrackBank/blob/main/LICENSE" TargetMode="External" /><Relationship Type="http://schemas.openxmlformats.org/officeDocument/2006/relationships/hyperlink" Id="rId28" Target="https://github.com/T4C30/OpenTrackBank/wiki/Memoria-del-Proyecto" TargetMode="External" /><Relationship Type="http://schemas.openxmlformats.org/officeDocument/2006/relationships/hyperlink" Id="rId26" Target="https://trello.com/b/RRA34lGF/pidam2b-taulyd-opentrackbank" TargetMode="External" /><Relationship Type="http://schemas.openxmlformats.org/officeDocument/2006/relationships/hyperlink" Id="rId27" Target="https://www.figma.com/design/LYAoVvQvVOEP92leMbJsXv/OTB?m=auto&amp;t=74lL3rcz2BsTHYhN-1" TargetMode="External" /><Relationship Type="http://schemas.openxmlformats.org/officeDocument/2006/relationships/hyperlink" Id="rId41" Target="https://www.holded.com/es" TargetMode="External" /><Relationship Type="http://schemas.openxmlformats.org/officeDocument/2006/relationships/hyperlink" Id="rId43" Target="https://www.iziago.com/es/" TargetMode="External" /><Relationship Type="http://schemas.openxmlformats.org/officeDocument/2006/relationships/hyperlink" Id="rId46" Target="https://www.pactomundial.org/ods/10-reduccion-de-las-desigualdades/" TargetMode="External" /><Relationship Type="http://schemas.openxmlformats.org/officeDocument/2006/relationships/hyperlink" Id="rId45" Target="https://www.pactomundial.org/ods/8-trabajo-decente-y-crecimiento-economic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google.es" TargetMode="External" /><Relationship Type="http://schemas.openxmlformats.org/officeDocument/2006/relationships/hyperlink" Id="rId42" Target="https://agicap.com/es/" TargetMode="External" /><Relationship Type="http://schemas.openxmlformats.org/officeDocument/2006/relationships/hyperlink" Id="rId40" Target="https://banktrack.com/" TargetMode="External" /><Relationship Type="http://schemas.openxmlformats.org/officeDocument/2006/relationships/hyperlink" Id="rId25" Target="https://github.com/T4C30/OpenTrackBank" TargetMode="External" /><Relationship Type="http://schemas.openxmlformats.org/officeDocument/2006/relationships/hyperlink" Id="rId30" Target="https://github.com/T4C30/OpenTrackBank/blob/main/LICENSE" TargetMode="External" /><Relationship Type="http://schemas.openxmlformats.org/officeDocument/2006/relationships/hyperlink" Id="rId28" Target="https://github.com/T4C30/OpenTrackBank/wiki/Memoria-del-Proyecto" TargetMode="External" /><Relationship Type="http://schemas.openxmlformats.org/officeDocument/2006/relationships/hyperlink" Id="rId26" Target="https://trello.com/b/RRA34lGF/pidam2b-taulyd-opentrackbank" TargetMode="External" /><Relationship Type="http://schemas.openxmlformats.org/officeDocument/2006/relationships/hyperlink" Id="rId27" Target="https://www.figma.com/design/LYAoVvQvVOEP92leMbJsXv/OTB?m=auto&amp;t=74lL3rcz2BsTHYhN-1" TargetMode="External" /><Relationship Type="http://schemas.openxmlformats.org/officeDocument/2006/relationships/hyperlink" Id="rId41" Target="https://www.holded.com/es" TargetMode="External" /><Relationship Type="http://schemas.openxmlformats.org/officeDocument/2006/relationships/hyperlink" Id="rId43" Target="https://www.iziago.com/es/" TargetMode="External" /><Relationship Type="http://schemas.openxmlformats.org/officeDocument/2006/relationships/hyperlink" Id="rId46" Target="https://www.pactomundial.org/ods/10-reduccion-de-las-desigualdades/" TargetMode="External" /><Relationship Type="http://schemas.openxmlformats.org/officeDocument/2006/relationships/hyperlink" Id="rId45" Target="https://www.pactomundial.org/ods/8-trabajo-decente-y-crecimiento-economic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2025-11-25T17:39:10Z</dcterms:created>
  <dcterms:modified xsi:type="dcterms:W3CDTF">2025-11-25T17:39:10Z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