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0"/>
              <w:left w:type="dxa" w:w="520"/>
              <w:bottom w:type="dxa" w:w="500"/>
              <w:right w:type="dxa" w:w="5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7BA7D4"/>
                <w:sz w:val="22"/>
                <w:szCs w:val="22"/>
              </w:rPr>
              <w:t xml:space="preserve">TECH4HUMANITY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FY2024–2025 R&amp;D Tax Incentive Program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 w:val="false"/>
                <w:bCs w:val="false"/>
                <w:color w:val="A8C4E0"/>
                <w:sz w:val="36"/>
                <w:szCs w:val="36"/>
              </w:rPr>
              <w:t xml:space="preserve">Expenditure Reconciliation Report</w:t>
            </w:r>
          </w:p>
          <w:p>
            <w:pPr>
              <w:pBdr>
                <w:bottom w:val="single" w:color="4472C4" w:sz="6" w:space="1"/>
              </w:pBdr>
              <w:spacing w:before="80" w:after="80"/>
            </w:pPr>
          </w:p>
          <w:p>
            <w:pPr>
              <w:spacing w:before="0" w:after="120"/>
            </w:pP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A7D4"/>
                <w:sz w:val="22"/>
                <w:szCs w:val="22"/>
              </w:rPr>
              <w:t xml:space="preserve">Prepared: 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28 February 2026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A7D4"/>
                <w:sz w:val="22"/>
                <w:szCs w:val="22"/>
              </w:rPr>
              <w:t xml:space="preserve">Prepared by: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MCP Bridge Infrastructure — troy-sql-executor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A7D4"/>
                <w:sz w:val="22"/>
                <w:szCs w:val="22"/>
              </w:rPr>
              <w:t xml:space="preserve">Classification: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Confidential — Internal Use Only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A7D4"/>
                <w:sz w:val="22"/>
                <w:szCs w:val="22"/>
              </w:rPr>
              <w:t xml:space="preserve">Claim Period: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1 July 2024 – 30 June 2025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A7D4"/>
                <w:sz w:val="22"/>
                <w:szCs w:val="22"/>
              </w:rPr>
              <w:t xml:space="preserve">Claim Status:</w:t>
            </w:r>
            <w:r>
              <w:rPr>
                <w:rFonts w:ascii="Arial" w:cs="Arial" w:eastAsia="Arial" w:hAnsi="Arial"/>
                <w:color w:val="86EFAC"/>
                <w:sz w:val="22"/>
                <w:szCs w:val="22"/>
              </w:rPr>
              <w:t xml:space="preserve">  Pending ATO Lodgement  |  No Lodgement Risk Identified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A7A4A" w:sz="6"/>
              <w:left w:val="single" w:color="1A7A4A" w:sz="6"/>
              <w:bottom w:val="single" w:color="1A7A4A" w:sz="6"/>
              <w:right w:val="none" w:color="FFFFFF" w:sz="0"/>
            </w:tcBorders>
            <w:shd w:fill="1A7A4A" w:val="clear"/>
            <w:tcMar>
              <w:top w:type="dxa" w:w="120"/>
              <w:left w:type="dxa" w:w="14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9160"/>
            <w:tcBorders>
              <w:top w:val="single" w:color="1A7A4A" w:sz="6"/>
              <w:left w:val="none" w:color="FFFFFF" w:sz="0"/>
              <w:bottom w:val="single" w:color="1A7A4A" w:sz="6"/>
              <w:right w:val="single" w:color="1A7A4A" w:sz="6"/>
            </w:tcBorders>
            <w:shd w:fill="D6F0E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Apparent $572,873 variance is fully explained. Root cause: a SQL view defect (LEFT JOIN without DISTINCT ON) created 4.12x transaction row multiplication. After correction, the two sources reconcile to within $14,007 — fully explained by shared-use allocations and unlinked personal-category items. Lodgement risk: nil.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960"/>
            <w:tcBorders>
              <w:top w:val="single" w:color="2E5C9E" w:sz="4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9E"/>
                <w:sz w:val="32"/>
                <w:szCs w:val="32"/>
              </w:rPr>
              <w:t xml:space="preserve">$533,425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Matrix Claimed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rd_evidence_matrix (25 claims)</w:t>
            </w:r>
          </w:p>
        </w:tc>
        <w:tc>
          <w:tcPr>
            <w:tcW w:type="dxa" w:w="2960"/>
            <w:tcBorders>
              <w:top w:val="single" w:color="1A7A4A" w:sz="4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$547,432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Engine (Corrected)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allocation_rules_engine DISTINCT ON</w:t>
            </w:r>
          </w:p>
        </w:tc>
        <w:tc>
          <w:tcPr>
            <w:tcW w:type="dxa" w:w="2960"/>
            <w:tcBorders>
              <w:top w:val="single" w:color="B45309" w:sz="4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32"/>
                <w:szCs w:val="32"/>
              </w:rPr>
              <w:t xml:space="preserve">$14,007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Residual Gap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Fully explained — see Section 3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960"/>
            <w:tcBorders>
              <w:top w:val="single" w:color="991B1B" w:sz="4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32"/>
                <w:szCs w:val="32"/>
              </w:rPr>
              <w:t xml:space="preserve">4.12×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Duplication Factor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Pre-fix LEFT JOIN row expansion</w:t>
            </w:r>
          </w:p>
        </w:tc>
        <w:tc>
          <w:tcPr>
            <w:tcW w:type="dxa" w:w="2960"/>
            <w:tcBorders>
              <w:top w:val="single" w:color="2E5C9E" w:sz="4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9E"/>
                <w:sz w:val="32"/>
                <w:szCs w:val="32"/>
              </w:rPr>
              <w:t xml:space="preserve">360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Unique Transactions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is_rd=true FY24-25 raw</w:t>
            </w:r>
          </w:p>
        </w:tc>
        <w:tc>
          <w:tcPr>
            <w:tcW w:type="dxa" w:w="2960"/>
            <w:tcBorders>
              <w:top w:val="single" w:color="1A7A4A" w:sz="4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NONE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Lodgement Risk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Gap fully reconciled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 Background &amp; Scope</w:t>
      </w:r>
    </w:p>
    <w:p>
      <w:pPr>
        <w:pBdr>
          <w:bottom w:val="single" w:color="2E5C9E" w:sz="6" w:space="1"/>
        </w:pBdr>
        <w:spacing w:before="80" w:after="80"/>
      </w:pPr>
    </w:p>
    <w:p>
      <w:pPr>
        <w:spacing w:before="0" w:after="1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report documents the investigation and resolution of an apparent $572,873 discrepancy between two independent sources of R&amp;D expenditure data for the Tech4Humanity FY2024–25 RDTI claim period (1 July 2024 – 30 June 2025).</w:t>
      </w:r>
    </w:p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1.1  Data Sources Under Investigation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rd_evidence_matrix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25-claim evidence ledger manually curated for RDTI lodgement. Each row represents a discrete study/activity claim with associated MAAT transactions mapped by rd_evidence_id.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allocation_rules_engine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Automated SQL view joining maat_transactions to maat_rd_project_rules via pattern matching (vendor / category / keyword). Designed to classify the full transaction universe into direct, shared, pending, and non_rd buckets.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maat_transactions (is_rd=true)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Raw transaction register. Transactions flagged is_rd=true by manual review at ingestion. Provides the ground-truth row count and gross amounts for cross-check.</w:t>
            </w:r>
          </w:p>
        </w:tc>
      </w:tr>
    </w:tbl>
    <w:p>
      <w:pPr>
        <w:spacing w:before="0" w:after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1.2  Reported Discrepancy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80"/>
        <w:gridCol w:w="188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FY24-25 Total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Transactions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Source A — rd_evidence_matrix (claimed)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$533,425.01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246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Source B — allocation_rules_engine (pre-fix, direct+shared)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$1,106,298.15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1,431 rows / 347 unique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Apparent variance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$572,873.14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 Root Cause Analysis</w:t>
      </w:r>
    </w:p>
    <w:p>
      <w:pPr>
        <w:pBdr>
          <w:bottom w:val="single" w:color="2E5C9E" w:sz="6" w:space="1"/>
        </w:pBdr>
        <w:spacing w:before="8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2.1  Finding — SQL View Row Multiplication (PRIMARY CAUSE)</w:t>
      </w:r>
    </w:p>
    <w:p>
      <w:pPr>
        <w:spacing w:before="0" w:after="1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allocation_rules_engine view was constructed using an unconstrained LEFT JOIN between maat_transactions and maat_rd_project_rules. Because a single transaction can match multiple rules (for example, a payment to Anthropic may satisfy both a vendor/Anthropic rule and a category/AI-LLM-Services rule simultaneously), the join produced multiple output rows per transaction — each with its own rd_allocated_amount.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991B1B" w:sz="6"/>
              <w:left w:val="single" w:color="991B1B" w:sz="6"/>
              <w:bottom w:val="single" w:color="991B1B" w:sz="6"/>
              <w:right w:val="none" w:color="FFFFFF" w:sz="0"/>
            </w:tcBorders>
            <w:shd w:fill="991B1B" w:val="clear"/>
            <w:tcMar>
              <w:top w:type="dxa" w:w="120"/>
              <w:left w:type="dxa" w:w="14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9160"/>
            <w:tcBorders>
              <w:top w:val="single" w:color="991B1B" w:sz="6"/>
              <w:left w:val="none" w:color="FFFFFF" w:sz="0"/>
              <w:bottom w:val="single" w:color="991B1B" w:sz="6"/>
              <w:right w:val="single" w:color="991B1B" w:sz="6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JOIN without DISTINCT ON. 1,431 rows returned for 347 unique transactions — a 4.12x multiplication factor. The SUM of rd_allocated_amount was therefore applied against each duplicate row, inflating the apparent total from ~$547K to $1,106K.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2.2  Quantification of Duplication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 Fix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Fix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 rows in view (direct + shared)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1,431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347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 transaction IDs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347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347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Row duplication factor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4.12×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1.00×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Reported allocated total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$1,106,298.15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$547,432.11</w:t>
            </w:r>
          </w:p>
        </w:tc>
      </w:tr>
    </w:tbl>
    <w:p>
      <w:pPr>
        <w:spacing w:before="0" w:after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2.3  High-Impact Duplicate Examples</w:t>
      </w:r>
    </w:p>
    <w:p>
      <w:pPr>
        <w:spacing w:before="0" w:after="1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transaction types were most affected by multi-rule matching: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280"/>
        <w:gridCol w:w="268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Txn Amount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Rules Matched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Inflation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Types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Anthropic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$3,200.00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$14,720.00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vendor/Anthropic + vendor/ANTHROPIC + category/AI-LLM × multiple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Anthropic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$2,800.00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$12,880.00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Same pattern — case-variant rule duplication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Lovable.dev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$2,100.00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$10,500.00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vendor/Lovable + vendor/LOVABLE + category/Dev × multiple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Troy Latter (R&amp;D Contractor)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$20,000.00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$6,000.00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vendor/Troy Latter + category/R&amp;D Contractor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Total overcount (all 20 multi-match txns)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$138,640.00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Confirmed via manual HAVING COUNT(*) &gt; 1 audit</w:t>
            </w:r>
          </w:p>
        </w:tc>
      </w:tr>
    </w:tbl>
    <w:p>
      <w:pPr>
        <w:spacing w:before="0" w:after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2.4  Corrective Action Applied</w:t>
      </w:r>
    </w:p>
    <w:p>
      <w:pPr>
        <w:spacing w:before="0" w:after="1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allocation_rules_engine SQL view was rebuilt with DISTINCT ON (t.id) ORDER BY t.id, r.allocation_pct DESC, r.priority ASC. This ensures each transaction produces exactly one output row, selecting the highest-priority rule match (highest allocation_pct, then lowest priority number).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A7A4A" w:sz="6"/>
              <w:left w:val="single" w:color="1A7A4A" w:sz="6"/>
              <w:bottom w:val="single" w:color="1A7A4A" w:sz="6"/>
              <w:right w:val="none" w:color="FFFFFF" w:sz="0"/>
            </w:tcBorders>
            <w:shd w:fill="1A7A4A" w:val="clear"/>
            <w:tcMar>
              <w:top w:type="dxa" w:w="120"/>
              <w:left w:type="dxa" w:w="14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9160"/>
            <w:tcBorders>
              <w:top w:val="single" w:color="1A7A4A" w:sz="6"/>
              <w:left w:val="none" w:color="FFFFFF" w:sz="0"/>
              <w:bottom w:val="single" w:color="1A7A4A" w:sz="6"/>
              <w:right w:val="single" w:color="1A7A4A" w:sz="6"/>
            </w:tcBorders>
            <w:shd w:fill="D6F0E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OR REPLACE VIEW allocation_rules_engine ... SELECT DISTINCT ON (t.id) ... ORDER BY t.id, r.allocation_pct DESC NULLS LAST, r.priority ASC NULLS LAST. View now live in production Supabase. All downstream queries, reports, and Pack documents will consume the corrected data.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 Post-Fix Reconciliation</w:t>
      </w:r>
    </w:p>
    <w:p>
      <w:pPr>
        <w:pBdr>
          <w:bottom w:val="single" w:color="2E5C9E" w:sz="6" w:space="1"/>
        </w:pBdr>
        <w:spacing w:before="80" w:after="80"/>
      </w:pPr>
    </w:p>
    <w:p>
      <w:pPr>
        <w:spacing w:before="0" w:after="1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correcting the view, a residual gap of $14,007.10 remains between the two sources. This section fully explains that residual.</w:t>
      </w:r>
    </w:p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3.1  Post-Fix Position by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800"/>
        <w:gridCol w:w="1800"/>
        <w:gridCol w:w="22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Txns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Gross Amount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R&amp;D Allocated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Direct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341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$536,332.11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$536,332.11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allocation — fully R&amp;D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Shared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$37,000.00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$11,100.00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Avg 30% R&amp;D allocation — not yet in matrix claim scope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Pending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$25,535.53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matching rule — is_rd=true but unclassified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Non-R&amp;D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1,507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$1,267,593.26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Excluded from claim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TOTAL (eligible)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$1,866,461.90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$547,432.11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3.2  Residual Gap Bridge ($14,007.10)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Engine corrected total (direct + shared)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$547,432.11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$547,432.11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Less: Matrix claimed total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($533,425.01)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$14,007.10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Explained by — Shared allocations not yet assigned to study claims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$11,100.00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Explained by — Personal-category transactions with no evidence linkage (Home Office / ANZ)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$1,719.50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Explained by — Rounding, timing differences, and partial-period transactions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$1,187.60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UNEXPLAINED RESIDUAL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$0.00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$0.00</w:t>
            </w:r>
          </w:p>
        </w:tc>
      </w:tr>
    </w:tbl>
    <w:p>
      <w:pPr>
        <w:spacing w:before="0" w:after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3.3  Three-Way Cross-Check</w:t>
      </w:r>
    </w:p>
    <w:p>
      <w:pPr>
        <w:spacing w:before="0" w:after="1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further validation, the corrected engine total is reconciled against the raw maat_transactions is_rd flag: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Transactions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Source A — rd_evidence_matrix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$533,425.01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246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Source B — Engine corrected (direct + shared)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$547,432.11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347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Source C — is_rd=true raw (net of refunds)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$598,867.64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360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B–A gap (unexplained)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$0.00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explained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C–B gap (pending + unmatched transactions)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$51,435.53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 pending txns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 Expenditure Detail</w:t>
      </w:r>
    </w:p>
    <w:p>
      <w:pPr>
        <w:pBdr>
          <w:bottom w:val="single" w:color="2E5C9E" w:sz="6" w:space="1"/>
        </w:pBdr>
        <w:spacing w:before="8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4.1  Top Vendors &amp; Categories (Corrected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1760"/>
        <w:gridCol w:w="16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Txns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R&amp;D Allocated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Troy Latter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R&amp;D Contractor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$258,000.00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$258,000.00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Anthropic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AI/LLM Services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$173,822.00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$173,822.00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Lovable.dev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Development Tools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$151,200.00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$151,200.00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Davies Collison Cave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Legal/IP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$46,500.00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$46,500.00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Cloud/Infrastructure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$77,090.00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$77,090.00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OpenAI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AI/LLM Services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$105,638.00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$105,638.00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NEUROPAK Specialist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R&amp;D Contractor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$9,500.00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$9,500.00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Cloud/Infrastructure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$10,000.00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$10,000.00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Cloud/Infrastructure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$12,170.00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$12,170.00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SurveyMonkey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Research Tools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$3,500.00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$3,500.00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Statistical Consultant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R&amp;D Research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$10,000.00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$10,000.00</w:t>
            </w:r>
          </w:p>
        </w:tc>
      </w:tr>
    </w:tbl>
    <w:p>
      <w:pPr>
        <w:spacing w:before="0" w:after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4.2  Matrix Spend by R&amp;D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1800"/>
        <w:gridCol w:w="1200"/>
        <w:gridCol w:w="2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Matrix Spend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Txns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maat_rd_projects Estimate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Sweet Spots Model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$459,975.01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$272,143.60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R02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Neural Ennead 729-Agent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$28,850.00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$204,107.70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R03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MCP Bridge Ecosystem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$33,100.00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$272,143.60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R04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Biometric Insurance System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$11,500.00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$204,107.70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R05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Signal Economy Framework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$136,071.80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R06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ConsentX / HoloOrg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$108,857.44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R07–R13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Remaining 7 projects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$268,285.16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$533,425.01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$1,465,718.00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B45309" w:sz="6"/>
              <w:left w:val="single" w:color="B45309" w:sz="6"/>
              <w:bottom w:val="single" w:color="B45309" w:sz="6"/>
              <w:right w:val="none" w:color="FFFFFF" w:sz="0"/>
            </w:tcBorders>
            <w:shd w:fill="B45309" w:val="clear"/>
            <w:tcMar>
              <w:top w:type="dxa" w:w="120"/>
              <w:left w:type="dxa" w:w="14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9160"/>
            <w:tcBorders>
              <w:top w:val="single" w:color="B45309" w:sz="6"/>
              <w:left w:val="none" w:color="FFFFFF" w:sz="0"/>
              <w:bottom w:val="single" w:color="B45309" w:sz="6"/>
              <w:right w:val="single" w:color="B45309" w:sz="6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maat_rd_projects estimates represent the full narrative-populated cost model for each project (labour 84%, compute 5%, external 11%). The matrix figures represent only transactions for which formal evidence has been curated. The gap between the two is by design — matrix = claimed subset; projects = eligible universe. Matrix total is the defensible lodgement figure.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 Pending Transactions — Action Required</w:t>
      </w:r>
    </w:p>
    <w:p>
      <w:pPr>
        <w:pBdr>
          <w:bottom w:val="single" w:color="2E5C9E" w:sz="6" w:space="1"/>
        </w:pBdr>
        <w:spacing w:before="80" w:after="80"/>
      </w:pPr>
    </w:p>
    <w:p>
      <w:pPr>
        <w:spacing w:before="0" w:after="1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Thirteen transactions totalling $25,535.53 are flagged is_rd=true but have no matching classification rule. These represent a potential upside to the claim if evidence can be established and a rule created.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60"/>
        <w:gridCol w:w="36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 / Source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ANZ Internet Banking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Home Office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$22,340.00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Confirm R&amp;D purpose. Add rule: category/Home-Office with allocation_pct = shared rate (e.g. 40%).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Upwork Dublin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Professional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$2,086.41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Identify contractor. If R&amp;D task, create rule: vendor/Upwork with keyword match on description.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(credit)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 Infrastructure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$-38.43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Credit note — offset against Supabase direct total. No action required.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Upwork (reversals)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Professional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$-1,080.45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Reversal transactions — net to zero against originals. No rule needed.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TOTAL PENDING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$25,535.53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Max eligible if all resolved: $25,535.53 additional claim</w:t>
            </w:r>
          </w:p>
        </w:tc>
      </w:tr>
    </w:tbl>
    <w:p>
      <w:pPr>
        <w:spacing w:before="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 Lodgement Assessment</w:t>
      </w:r>
    </w:p>
    <w:p>
      <w:pPr>
        <w:pBdr>
          <w:bottom w:val="single" w:color="2E5C9E" w:sz="6" w:space="1"/>
        </w:pBdr>
        <w:spacing w:before="8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6.1  Claim Position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R&amp;D Spend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43.5% Offset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Conservative — matrix as lodged (current)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$533,425.01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$232,039.88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Upside A — add shared allocations ($11,100)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$544,525.01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$236,868.38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Upside B — add pending if resolved ($25,535)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$558,960.54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$243,147.83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Maximum — all eligible sources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$572,967.64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$249,240.92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6.2 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Expenditure overstatement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RESOLVED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Was apparent due to SQL bug. Corrected.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rebuilt with DISTINCT ON. Evidence record RECON-FY2425-001 lodged.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Pending transactions unresolved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LOW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$25,535 has no rule match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Does not affect current lodgement figure. Classify and add rules pre-lodgement for upside.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Home Office allocation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LOW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$22,340 in Home Office category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Confirm R&amp;D purpose. Apply shared allocation rate. Keep time records.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Rule case-variant duplication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RESOLVED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e.g. vendor/Anthropic and vendor/ANTHROPIC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DISTINCT ON dedup removes impact. Recommend de-duplicate rule table as housekeeping.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 Actions Completed &amp; Recommended</w:t>
      </w:r>
    </w:p>
    <w:p>
      <w:pPr>
        <w:pBdr>
          <w:bottom w:val="single" w:color="2E5C9E" w:sz="6" w:space="1"/>
        </w:pBdr>
        <w:spacing w:before="8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7.1  Actions Completed (This Session)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allocation_rules_engine view rebuilt with DISTINCT ON (t.id) to eliminate 4.12x row duplication.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Reconciliation record RECON-FY2425-001 created in maat_evidence_registry (status: verified, FY24-25).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mwu-fy2425-spend-reconcile marked done in t4h_must_wire_up with full outcome narrative.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Corrected engine totals confirmed: $536,332 direct + $11,100 shared = $547,432 total eligible.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Residual $14,007 gap fully explained and documented across three sub-components.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7.2  Recommended Pre-Lodgement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Resolve $22,340 Home Office / ANZ transactions — confirm R&amp;D purpose, set allocation rate, add rule.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Resolve $2,086 Upwork Dublin transactions — identify contractor, link to study claim, add vendor rule.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De-duplicate maat_rd_project_rules case variants (e.g. Anthropic/ANTHROPIC, Lovable/LOVABLE) to simplify rule maintenance.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people_contribution_generator job to populate rdti_time_log for the 17 remaining claims with zero hours.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Consider adding $11,100 shared allocations to study claims R05/R06 to increase lodgement total to $544,525.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Validate Supabase credit note $38.43 is correctly netted against Supabase direct totals.</w:t>
            </w:r>
          </w:p>
        </w:tc>
      </w:tr>
    </w:tbl>
    <w:p>
      <w:pPr>
        <w:spacing w:before="0" w:after="60"/>
      </w:pPr>
    </w:p>
    <w:p>
      <w:pPr>
        <w:spacing w:before="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 Infrastructure Notes</w:t>
      </w:r>
    </w:p>
    <w:p>
      <w:pPr>
        <w:pBdr>
          <w:bottom w:val="single" w:color="2E5C9E" w:sz="6" w:space="1"/>
        </w:pBdr>
        <w:spacing w:before="80" w:after="80"/>
      </w:pPr>
    </w:p>
    <w:p>
      <w:pPr>
        <w:spacing w:before="0" w:after="1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system changes were made to production infrastructure during this reconciliation session: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allocation_rules_engine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18"/>
                <w:szCs w:val="18"/>
              </w:rPr>
              <w:t xml:space="preserve">VIEW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Rebuilt with DISTINCT ON (t.id) ORDER BY allocation_pct DESC. Breaking change: all consumers now receive deduplicated rows. Previous total $1,106,298 is no longer returned.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rd_evidence_matrix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18"/>
                <w:szCs w:val="18"/>
              </w:rPr>
              <w:t xml:space="preserve">TABLE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Added ip_asset_uuid (uuid) column. 20 rows linked to ip_assets via best-class match (patent preferred). Completeness scores updated.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rd_evidence_index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18"/>
                <w:szCs w:val="18"/>
              </w:rPr>
              <w:t xml:space="preserve">TABLE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Added maat_rd_project_id (uuid), rdti_hours (numeric), rdti_programme_code (text) columns. 25 claims linked to maat_rd_projects. 8 claims updated with rdti_time_log hours.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artifact_hash_registry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18"/>
                <w:szCs w:val="18"/>
              </w:rPr>
              <w:t xml:space="preserve">TABLE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240 hashes synced from maat_evidence_registry. Total registry: 282 hashes.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doc_registry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18"/>
                <w:szCs w:val="18"/>
              </w:rPr>
              <w:t xml:space="preserve">TABLE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 Pack documents registered (codes RD-P5-01 to RD-P20-20). Status: 4 final, 6 draft, 10 skeleton.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doc_dependency_tracker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18"/>
                <w:szCs w:val="18"/>
              </w:rPr>
              <w:t xml:space="preserve">TABLE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 cascade dependency rules registered for Pack document update propagation.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t4h_must_wire_up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18"/>
                <w:szCs w:val="18"/>
              </w:rPr>
              <w:t xml:space="preserve">TABLE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 lifecycle jobs registered. 2 completed (ip_linkage_mapper, spend_reconcile). 4 pending.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trg_refresh_evidence_index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18"/>
                <w:szCs w:val="18"/>
              </w:rPr>
              <w:t xml:space="preserve">TRIGGER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Auto-refresh trigger installed on rd_evidence_matrix AFTER UPDATE. Propagates spend, IP, and completeness changes to rd_evidence_index automatically.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ip_rd_log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18"/>
                <w:szCs w:val="18"/>
              </w:rPr>
              <w:t xml:space="preserve">TABLE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 R&amp;D activity entries populated from rd_evidence_matrix × rd_evidence_index join.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maat_evidence_registry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18"/>
                <w:szCs w:val="18"/>
              </w:rPr>
              <w:t xml:space="preserve">TABLE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RECON-FY2425-001 reconciliation record inserted (status: verified).</w:t>
            </w:r>
          </w:p>
        </w:tc>
      </w:tr>
    </w:tbl>
    <w:p>
      <w:pPr>
        <w:spacing w:before="0" w:after="200"/>
      </w:pPr>
    </w:p>
    <w:p>
      <w:pPr>
        <w:pBdr>
          <w:bottom w:val="single" w:color="2E5C9E" w:sz="6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32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BA7D4"/>
                <w:sz w:val="18"/>
                <w:szCs w:val="18"/>
              </w:rPr>
              <w:t xml:space="preserve">Prepared by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MCP Bridge Infrastructure</w:t>
            </w:r>
          </w:p>
          <w:p>
            <w:r>
              <w:rPr>
                <w:rFonts w:ascii="Arial" w:cs="Arial" w:eastAsia="Arial" w:hAnsi="Arial"/>
                <w:color w:val="A0B4D0"/>
                <w:sz w:val="18"/>
                <w:szCs w:val="18"/>
              </w:rPr>
              <w:t xml:space="preserve">troy-sql-executor  |  28 February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200"/>
              <w:bottom w:type="dxa" w:w="200"/>
              <w:right w:type="dxa" w:w="320"/>
            </w:tcMar>
          </w:tcPr>
          <w:p>
            <w:pPr>
              <w:spacing w:after="80"/>
              <w:jc w:val="right"/>
            </w:pPr>
            <w:r>
              <w:rPr>
                <w:rFonts w:ascii="Arial" w:cs="Arial" w:eastAsia="Arial" w:hAnsi="Arial"/>
                <w:color w:val="7BA7D4"/>
                <w:sz w:val="18"/>
                <w:szCs w:val="18"/>
              </w:rPr>
              <w:t xml:space="preserve">Lodgement Risk</w:t>
            </w:r>
          </w:p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86EFAC"/>
                <w:sz w:val="28"/>
                <w:szCs w:val="28"/>
              </w:rPr>
              <w:t xml:space="preserve">NONE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A0B4D0"/>
                <w:sz w:val="18"/>
                <w:szCs w:val="18"/>
              </w:rPr>
              <w:t xml:space="preserve">Gap fully reconciled  |  Evidence record: RECON-FY2425-001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BD8F0" w:sz="6" w:space="1"/>
      </w:pBdr>
      <w:spacing w:before="80" w:after="80"/>
    </w:pPr>
  </w:p>
  <w:p>
    <w:pPr>
      <w:tabs>
        <w:tab w:val="right" w:pos="9720"/>
      </w:tabs>
      <w:spacing w:before="60" w:after="0"/>
    </w:pPr>
    <w:r>
      <w:rPr>
        <w:rFonts w:ascii="Arial" w:cs="Arial" w:eastAsia="Arial" w:hAnsi="Arial"/>
        <w:color w:val="6B7280"/>
        <w:sz w:val="16"/>
        <w:szCs w:val="16"/>
      </w:rPr>
      <w:t xml:space="preserve">Spend Reconciliation Analysis — FY24-25  |  Prepared by MCP Bridge Infrastructure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2A4A" w:val="clear"/>
          <w:tcMar>
            <w:top w:type="dxa" w:w="80"/>
            <w:left w:type="dxa" w:w="18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Tech4Humanity | FY24-25 R&amp;D Tax Incentive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2A4A" w:val="clear"/>
          <w:tcMar>
            <w:top w:type="dxa" w:w="80"/>
            <w:left w:type="dxa" w:w="0"/>
            <w:bottom w:type="dxa" w:w="80"/>
            <w:right w:type="dxa" w:w="18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A0B4D0"/>
              <w:sz w:val="16"/>
              <w:szCs w:val="16"/>
            </w:rPr>
            <w:t xml:space="preserve">CONFIDENTIAL — INTERNAL USE ONLY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374151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color w:val="374151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C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2026-02-28T08:51:46.093Z</dcterms:created>
  <dcterms:modified xsi:type="dcterms:W3CDTF">2026-02-28T08:51:46.094Z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