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ARGOS V1: Sistema Integral de Reconocimiento y Seguridad en Entornos Espeleológicos</w:t>
      </w:r>
    </w:p>
    <w:p/>
    <w:p>
      <w:r>
        <w:t xml:space="preserve">Documento técnico (versión V1)  </w:t>
      </w:r>
    </w:p>
    <w:p>
      <w:r>
        <w:t xml:space="preserve">Equipo: CALIBOTS KAIROS (Colegio Comfandi El Prado, Cali)  </w:t>
      </w:r>
    </w:p>
    <w:p>
      <w:r>
        <w:t xml:space="preserve">Fecha: 2026-03-04  </w:t>
      </w:r>
    </w:p>
    <w:p>
      <w:r>
        <w:t>Propósito: Documento de ingeniería para sustentar ante jueces FLL (rigor + claridad).</w:t>
      </w:r>
    </w:p>
    <w:p/>
    <w:p/>
    <w:p/>
    <w:p>
      <w:pPr>
        <w:pStyle w:val="Heading1"/>
      </w:pPr>
      <w:r>
        <w:t>1. RESUMEN EJECUTIVO</w:t>
      </w:r>
    </w:p>
    <w:p/>
    <w:p>
      <w:pPr>
        <w:pStyle w:val="Heading2"/>
      </w:pPr>
      <w:r>
        <w:t>1.1. Descripción breve del problema</w:t>
      </w:r>
    </w:p>
    <w:p>
      <w:r>
        <w:t>La exploración de cuevas y espacios subterráneos presenta riesgos operacionales críticos: atmósferas peligrosas (deficiencia de oxígeno y acumulación de gases), baja visibilidad, pérdida de comunicación, y posibilidad de atrapamientos. En seguridad industrial, estos escenarios se relacionan con “espacios confinados” y requieren medición previa/continua y protocolos de entrada/rescate. ([osha.gov](https://www.osha.gov/laws-regs/regulations/standardnumber/1910/1910.146))</w:t>
      </w:r>
    </w:p>
    <w:p/>
    <w:p>
      <w:pPr>
        <w:pStyle w:val="Heading2"/>
      </w:pPr>
      <w:r>
        <w:t>1.2. Solución ARGOS en una frase</w:t>
      </w:r>
    </w:p>
    <w:p>
      <w:r>
        <w:t>ARGOS V1 propone un sistema portátil/robótico basado en Raspberry Pi 5, sensores ambientales (O₂/CO₂, temperatura/humedad), detección de obstáculos y telemetría LoRa 433 MHz, complementado con visión computacional para apoyar decisiones de seguridad “antes, durante y después” de la exploración.</w:t>
      </w:r>
    </w:p>
    <w:p/>
    <w:p>
      <w:pPr>
        <w:pStyle w:val="Heading2"/>
      </w:pPr>
      <w:r>
        <w:t>1.3. Impacto esperado en la seguridad del explorador</w:t>
      </w:r>
    </w:p>
    <w:p>
      <w:r>
        <w:t>ARGOS busca reducir la exposición al riesgo mediante: alertas tempranas (umbrales), registro trazable de evidencias (logs), y un canal de comunicación robusto para monitoreo remoto. La motivación es consistente con hallazgos de NIOSH: una gran proporción de fatalidades en espacios confinados involucra intentos de rescate sin condiciones seguras. ([beta.cdc.gov](https://beta.cdc.gov/niosh/docs/86-110))</w:t>
      </w:r>
    </w:p>
    <w:p/>
    <w:p/>
    <w:p/>
    <w:p>
      <w:pPr>
        <w:pStyle w:val="Heading1"/>
      </w:pPr>
      <w:r>
        <w:t>2. PLANTEAMIENTO DEL PROBLEMA Y CONTEXTO</w:t>
      </w:r>
    </w:p>
    <w:p/>
    <w:p>
      <w:pPr>
        <w:pStyle w:val="Heading2"/>
      </w:pPr>
      <w:r>
        <w:t>2.1. Riesgos en la espeleología</w:t>
      </w:r>
    </w:p>
    <w:p>
      <w:r>
        <w:t>Riesgos principales (en lenguaje de ingeniería):</w:t>
      </w:r>
    </w:p>
    <w:p>
      <w:pPr>
        <w:pStyle w:val="ListBullet"/>
      </w:pPr>
      <w:r>
        <w:t>**Atmósferas peligrosas:** deficiencia de O₂, acumulación de CO₂ u otros contaminantes; esto puede incapacitar y dificultar el auto-rescate. OSHA define “atmósfera deficiente” como &lt;19.5% O₂ (y enriquecida &gt;23.5%). ([osha.gov](https://www.osha.gov/laws-regs/regulations/standardnumber/1910/1910.146))</w:t>
      </w:r>
    </w:p>
    <w:p>
      <w:pPr>
        <w:pStyle w:val="ListBullet"/>
      </w:pPr>
      <w:r>
        <w:t>**Atrapamientos/colapso local:** geometría irregular, pasajes estrechos, suelos resbaladizos.</w:t>
      </w:r>
    </w:p>
    <w:p>
      <w:pPr>
        <w:pStyle w:val="ListBullet"/>
      </w:pPr>
      <w:r>
        <w:t>**Visibilidad limitada:** iluminación insuficiente y polvo/niebla; reduce navegación segura y capacidad de inspección.</w:t>
      </w:r>
    </w:p>
    <w:p>
      <w:pPr>
        <w:pStyle w:val="ListBullet"/>
      </w:pPr>
      <w:r>
        <w:t>**Pérdida de comunicación:** el entorno subterráneo atenúa señales, dificultando coordinación y monitoreo.</w:t>
      </w:r>
    </w:p>
    <w:p/>
    <w:p>
      <w:pPr>
        <w:pStyle w:val="Heading2"/>
      </w:pPr>
      <w:r>
        <w:t>2.2. Estadísticas de accidentes (espacios confinados y rescate)</w:t>
      </w:r>
    </w:p>
    <w:p>
      <w:r>
        <w:t>Aunque “cuevas” no son siempre “sitio laboral”, la evidencia de seguridad en espacios confinados sirve como referencia de riesgo:</w:t>
      </w:r>
    </w:p>
    <w:p>
      <w:pPr>
        <w:pStyle w:val="ListBullet"/>
      </w:pPr>
      <w:r>
        <w:t>NIOSH reporta que, en un periodo de referencia (CFOI), las fatalidades en espacios confinados **promediaron ~92 por año** en EE. UU. (variando entre 81 y 100 en un periodo de 5 años citado por NIOSH). ([archive.cdc.gov](https://archive.cdc.gov/www_cdc_gov/niosh/topics/confinedspace/default.html))</w:t>
      </w:r>
    </w:p>
    <w:p>
      <w:pPr>
        <w:pStyle w:val="ListBullet"/>
      </w:pPr>
      <w:r>
        <w:t>BLS reportó **1,030 muertes** por lesiones ocupacionales que involucraron un espacio confinado entre **2011–2018** (con variación anual). ([bls.gov](https://www.bls.gov/iif/factsheets/fatal-occupational-injuries-confined-spaces-2011-19.htm))</w:t>
      </w:r>
    </w:p>
    <w:p>
      <w:pPr>
        <w:pStyle w:val="ListBullet"/>
      </w:pPr>
      <w:r>
        <w:t>NIOSH advierte que **&gt;60%** de fatalidades en espacios confinados involucran “would-be rescuers” (personas que entran a rescatar sin control de riesgos). ([beta.cdc.gov](https://beta.cdc.gov/niosh/docs/86-110))</w:t>
      </w:r>
    </w:p>
    <w:p>
      <w:pPr>
        <w:pStyle w:val="ListBullet"/>
      </w:pPr>
      <w:r>
        <w:t>En espeleología, organizaciones de rescate publican reportes anuales de incidentes (ej. British Cave Rescue Council), útiles para análisis cualitativo de tipos de incidentes y factores contribuyentes. ([caverescue.org.uk](https://www.caverescue.org.uk/about-cave-rescue/incident-reports/))</w:t>
      </w:r>
    </w:p>
    <w:p/>
    <w:p>
      <w:pPr>
        <w:pStyle w:val="Heading2"/>
      </w:pPr>
      <w:r>
        <w:t>2.3. Limitaciones de soluciones actuales</w:t>
      </w:r>
    </w:p>
    <w:p>
      <w:pPr>
        <w:pStyle w:val="ListBullet"/>
      </w:pPr>
      <w:r>
        <w:t>**Monitores industriales** (multi-gas, intrínsecamente seguros) suelen ser costosos para equipos escolares.</w:t>
      </w:r>
    </w:p>
    <w:p>
      <w:pPr>
        <w:pStyle w:val="ListBullet"/>
      </w:pPr>
      <w:r>
        <w:t>La mayoría de soluciones se enfocan en **medir** o **comunicar**, pero no integran bien: **(sensado + lógica de riesgo + evidencia + visualización + telemetría)**.</w:t>
      </w:r>
    </w:p>
    <w:p>
      <w:pPr>
        <w:pStyle w:val="ListBullet"/>
      </w:pPr>
      <w:r>
        <w:t>En entornos subterráneos, la conectividad (Wi-Fi/4G) puede ser inexistente; se requiere un canal alterno y arquitectura tolerante a desconexiones.</w:t>
      </w:r>
    </w:p>
    <w:p/>
    <w:p/>
    <w:p/>
    <w:p>
      <w:pPr>
        <w:pStyle w:val="Heading1"/>
      </w:pPr>
      <w:r>
        <w:t>3. INVESTIGACIÓN DEL ESTADO DEL ARTE (State of the Art)</w:t>
      </w:r>
    </w:p>
    <w:p/>
    <w:p>
      <w:pPr>
        <w:pStyle w:val="Heading2"/>
      </w:pPr>
      <w:r>
        <w:t>3.1. Monitoreo ambiental subterráneo (minería/especialidad)</w:t>
      </w:r>
    </w:p>
    <w:p>
      <w:r>
        <w:t>La literatura de minería subterránea destaca la necesidad de comunicaciones confiables y monitoreo para operaciones y seguridad; se reconoce que el comportamiento de propagación bajo tierra es un factor crítico y que los datos de propagación son relativamente escasos, por lo que se realizan mediciones específicas en túneles/minas. ([mdpi.com](https://www.mdpi.com/1424-8220/22/22/8653))</w:t>
      </w:r>
    </w:p>
    <w:p/>
    <w:p>
      <w:pPr>
        <w:pStyle w:val="Heading2"/>
      </w:pPr>
      <w:r>
        <w:t>3.2. Uso de LoRa en entornos subterráneos</w:t>
      </w:r>
    </w:p>
    <w:p>
      <w:pPr>
        <w:pStyle w:val="ListBullet"/>
      </w:pPr>
      <w:r>
        <w:t>En minas subterráneas (túneles), se han realizado **mediciones y modelos** de propagación LoRa (p.ej. 915 MHz) mostrando comportamiento influenciado por geometría del túnel (efecto “guía de onda” en algunos casos). ([mdpi.com](https://www.mdpi.com/1424-8220/22/22/8653))</w:t>
      </w:r>
    </w:p>
    <w:p>
      <w:pPr>
        <w:pStyle w:val="ListBullet"/>
      </w:pPr>
      <w:r>
        <w:t>Estudios más recientes analizan cobertura/propagación LoRa en minas tipo “room-and-pillar”. ([mdpi.com](https://www.mdpi.com/1424-8220/25/12/3594))</w:t>
      </w:r>
    </w:p>
    <w:p>
      <w:pPr>
        <w:pStyle w:val="ListBullet"/>
      </w:pPr>
      <w:r>
        <w:t>Para bandas sub-GHz como **433 MHz**, existe evidencia en escenarios “underground-to-aboveground” y “underground-to-underground” (aunque en suelo agrícola, no roca), útil para entender limitaciones y rol de antenas, potencia y tasa de datos. ([mdpi.com](https://www.mdpi.com/1424-8220/19/19/4232))</w:t>
      </w:r>
    </w:p>
    <w:p>
      <w:pPr>
        <w:pStyle w:val="ListBullet"/>
      </w:pPr>
      <w:r>
        <w:t>En cuevas específicamente, se han estudiado bandas desde LF hasta UHF y se observa que frecuencias más bajas penetran mejor paredes, mientras frecuencias altas funcionan mejor en línea de vista corta con mayor atenuación en geometrías complejas. ([geomatejournal.com](https://geomatejournal.com/geomate/article/view/4394))</w:t>
      </w:r>
    </w:p>
    <w:p/>
    <w:p>
      <w:r>
        <w:t>Implicación para ARGOS: LoRa es viable para telemetría, pero debe diseñarse como red tolerante a pérdidas (mensajes cortos, confirmación, repetición, y/o multi-hop opcional).</w:t>
      </w:r>
    </w:p>
    <w:p/>
    <w:p>
      <w:pPr>
        <w:pStyle w:val="Heading2"/>
      </w:pPr>
      <w:r>
        <w:t>3.3. Visión computacional en baja luminosidad</w:t>
      </w:r>
    </w:p>
    <w:p>
      <w:r>
        <w:t xml:space="preserve">La detección en baja luz es un problema activo: se proponen variantes tipo YOLO optimizadas para escenas oscuras sin depender de módulos pesados de “enhancement”. ([mdpi.com](https://www.mdpi.com/2076-3417/15/1/90))  </w:t>
      </w:r>
    </w:p>
    <w:p>
      <w:r>
        <w:t>Implicación para ARGOS: (1) usar iluminación propia + (2) pipeline robusto (denoise/CLAHE opcional) + (3) modelo liviano entrenado con condiciones reales.</w:t>
      </w:r>
    </w:p>
    <w:p/>
    <w:p/>
    <w:p/>
    <w:p>
      <w:pPr>
        <w:pStyle w:val="Heading1"/>
      </w:pPr>
      <w:r>
        <w:t>4. ARQUITECTURA TÉCNICA (Núcleo del proyecto)</w:t>
      </w:r>
    </w:p>
    <w:p/>
    <w:p>
      <w:pPr>
        <w:pStyle w:val="Heading2"/>
      </w:pPr>
      <w:r>
        <w:t>4.1. Hardware y Electrónica</w:t>
      </w:r>
    </w:p>
    <w:p/>
    <w:p>
      <w:pPr>
        <w:pStyle w:val="Heading3"/>
      </w:pPr>
      <w:r>
        <w:t>4.1.1 Núcleo de procesamiento: Raspberry Pi 5</w:t>
      </w:r>
    </w:p>
    <w:p>
      <w:r>
        <w:t>Justificación técnica:</w:t>
      </w:r>
    </w:p>
    <w:p>
      <w:pPr>
        <w:pStyle w:val="ListBullet"/>
      </w:pPr>
      <w:r>
        <w:t>CPU Cortex-A76 @ 2.4 GHz, buena relación rendimiento/consumo para visión + comunicaciones. ([raspberrypi.com](https://www.raspberrypi.com/products/raspberry-pi-5/))</w:t>
      </w:r>
    </w:p>
    <w:p>
      <w:pPr>
        <w:pStyle w:val="ListBullet"/>
      </w:pPr>
      <w:r>
        <w:t>Recomendación de alimentación: **5V/5A (USB-C PD)**. ([raspberrypi.com](https://www.raspberrypi.com/products/raspberry-pi-5/))</w:t>
      </w:r>
    </w:p>
    <w:p>
      <w:pPr>
        <w:pStyle w:val="ListBullet"/>
      </w:pPr>
      <w:r>
        <w:t>En cargas pico intensivas, se reportan consumos máximos del orden de ~12W (según comunicación técnica de Raspberry Pi). ([raspberrypi.com](https://www.raspberrypi.com/news/introducing-raspberry-pi-5/))</w:t>
      </w:r>
    </w:p>
    <w:p/>
    <w:p>
      <w:pPr>
        <w:pStyle w:val="Heading3"/>
      </w:pPr>
      <w:r>
        <w:t>4.1.2 Sensores ambientales (V1 propuesto)</w:t>
      </w:r>
    </w:p>
    <w:p>
      <w:r>
        <w:rPr>
          <w:i/>
        </w:rPr>
        <w:t>**Nota crítica:** el sensor MQ-135 **no mide O₂** y su respuesta es amplia a múltiples gases; en ARGOS se usa como **indicador de “aire degradado”**, no como medición certificada para decisiones de vida o muerte.</w:t>
      </w:r>
    </w:p>
    <w:p/>
    <w:p>
      <w:pPr>
        <w:pStyle w:val="ListBullet"/>
      </w:pPr>
      <w:r>
        <w:t>**Temperatura/Humedad/Presión: BME280 (I²C/SPI)**</w:t>
      </w:r>
    </w:p>
    <w:p>
      <w:pPr>
        <w:pStyle w:val="ListBullet"/>
      </w:pPr>
      <w:r>
        <w:t>Rango temp aprox. -40 a 85°C, humedad 0–100%RH (no condensación), consumo muy bajo, y tolerancia típica de humedad alrededor de ±3%RH (según datasheet). ([bosch-sensortec.com](https://www.bosch-sensortec.com/products/environmental-sensors/humidity-sensors-bme280/))</w:t>
      </w:r>
    </w:p>
    <w:p>
      <w:pPr>
        <w:pStyle w:val="ListBullet"/>
      </w:pPr>
      <w:r>
        <w:t>**“Calidad de aire” (proxy): MQ-135**</w:t>
      </w:r>
    </w:p>
    <w:p>
      <w:pPr>
        <w:pStyle w:val="ListBullet"/>
      </w:pPr>
      <w:r>
        <w:t>Detecta un rango amplio (NH₃, NOx, alcohol, benceno, humo, CO₂, etc.) con circuito simple, pero **sin selectividad**. (Uso: señal cualitativa/relativa). ([datasheetq.com](https://www.datasheetq.com/en/preview/MQ-135-HANWEI))</w:t>
      </w:r>
    </w:p>
    <w:p>
      <w:pPr>
        <w:pStyle w:val="ListBullet"/>
      </w:pPr>
      <w:r>
        <w:t>**CO₂ recomendado (para umbrales): Sensirion SCD41 / SCD43 (I²C)**</w:t>
      </w:r>
    </w:p>
    <w:p>
      <w:pPr>
        <w:pStyle w:val="ListBullet"/>
      </w:pPr>
      <w:r>
        <w:t>Rango de salida hasta 40,000 ppm y precisión especificada (por rangos) en el datasheet; incluye T/H integradas. ([sensirion.com](https://sensirion.com/media/documents/48C4B7FB/67FE0194/CD_DS_SCD4x_Datasheet_D1.pdf))</w:t>
      </w:r>
    </w:p>
    <w:p>
      <w:pPr>
        <w:pStyle w:val="ListBullet"/>
      </w:pPr>
      <w:r>
        <w:t>Alternativa: **SCD30** (CO₂ + T/H, NDIR). ([sensirion.com](https://sensirion.com/media/documents/4EAF6AF8/61652C3C/Sensirion_CO2_Sensors_SCD30_Datasheet.pdf))</w:t>
      </w:r>
    </w:p>
    <w:p>
      <w:pPr>
        <w:pStyle w:val="ListBullet"/>
      </w:pPr>
      <w:r>
        <w:t>**O₂ recomendado: DFRobot Gravity I²C Oxygen Sensor (0–25%Vol)**</w:t>
      </w:r>
    </w:p>
    <w:p>
      <w:pPr>
        <w:pStyle w:val="ListBullet"/>
      </w:pPr>
      <w:r>
        <w:t>Rango 0–25%Vol, resolución reportada 0.15%Vol, tiempo de respuesta ≤15s (datos de especificación). ([wiki.dfrobot.com](https://wiki.dfrobot.com/Gravity_I2C_Oxygen_Sensor_SKU_SEN0322))</w:t>
      </w:r>
    </w:p>
    <w:p>
      <w:pPr>
        <w:pStyle w:val="ListBullet"/>
      </w:pPr>
      <w:r>
        <w:t>Alternativa industrial: Winsen ME2-O2 (celda electroquímica) para integrar con etapa analógica adecuada. ([winsen-sensor.com](https://www.winsen-sensor.com/sensors/o2-sensor/me2-o2.html))</w:t>
      </w:r>
    </w:p>
    <w:p/>
    <w:p>
      <w:pPr>
        <w:pStyle w:val="Heading3"/>
      </w:pPr>
      <w:r>
        <w:t>4.1.3 Sensores de distancia / anti-colisión</w:t>
      </w:r>
    </w:p>
    <w:p>
      <w:pPr>
        <w:pStyle w:val="ListBullet"/>
      </w:pPr>
      <w:r>
        <w:t>**ToF VL53L0X**</w:t>
      </w:r>
    </w:p>
    <w:p>
      <w:pPr>
        <w:pStyle w:val="ListBullet"/>
      </w:pPr>
      <w:r>
        <w:t>Sensor ToF con alcance de medición absoluta “hasta ~2 m” (dependiendo de reflectancia/entorno). Útil para anti-colisión y “perfilado” local, no reemplaza un LiDAR 3D. ([st.com](https://www.st.com/content/st_com/en/products/imaging-and-photonics-solutions/time-of-flight-sensors/vl53l0x.html))</w:t>
      </w:r>
    </w:p>
    <w:p/>
    <w:p>
      <w:pPr>
        <w:pStyle w:val="Heading3"/>
      </w:pPr>
      <w:r>
        <w:t>4.1.4 Comunicación: LoRa + Wi‑Fi (dual)</w:t>
      </w:r>
    </w:p>
    <w:p>
      <w:pPr>
        <w:pStyle w:val="ListBullet"/>
      </w:pPr>
      <w:r>
        <w:t>**Canal crítico (telemetría): LoRa 433 MHz**</w:t>
      </w:r>
    </w:p>
    <w:p>
      <w:pPr>
        <w:pStyle w:val="ListBullet"/>
      </w:pPr>
      <w:r>
        <w:t>Módulos tipo Ebyte E22 (familia 433/470 MHz) basados en Semtech SX126x/SX1268 según ficha de producto del fabricante. ([ebyte.com](https://www.ebyte.com/product/2806.html))</w:t>
      </w:r>
    </w:p>
    <w:p>
      <w:pPr>
        <w:pStyle w:val="ListBullet"/>
      </w:pPr>
      <w:r>
        <w:t>Justificación: sub‑GHz suele comportarse mejor que 2.4 GHz en obstáculos, y hay evidencia de investigación en transmisión subterránea con LoRa 433 MHz (aunque depende fuertemente del medio). ([mdpi.com](https://www.mdpi.com/1424-8220/19/19/4232))</w:t>
      </w:r>
    </w:p>
    <w:p>
      <w:pPr>
        <w:pStyle w:val="ListBullet"/>
      </w:pPr>
      <w:r>
        <w:t>**Canal opcional (alto ancho de banda): Wi‑Fi**</w:t>
      </w:r>
    </w:p>
    <w:p>
      <w:pPr>
        <w:pStyle w:val="ListBullet"/>
      </w:pPr>
      <w:r>
        <w:t>Para setup, debug, descarga de logs, y demo en superficie.</w:t>
      </w:r>
    </w:p>
    <w:p/>
    <w:p>
      <w:r>
        <w:t>Marco regulatorio (Colombia, a verificar con ANE/MinTIC):</w:t>
      </w:r>
    </w:p>
    <w:p>
      <w:pPr>
        <w:pStyle w:val="ListBullet"/>
      </w:pPr>
      <w:r>
        <w:t>Colombia ha listado el segmento **433.05–434.79 MHz** dentro de bandas ICM (Industrial, Científica y Médica) en normativa compilada (referencia histórica). ([normograma.mintic.gov.co](https://normograma.mintic.gov.co/mintic/compilacion/docs/resolucion_mintic_0473_2010.htm))</w:t>
      </w:r>
    </w:p>
    <w:p>
      <w:pPr>
        <w:pStyle w:val="ListBullet"/>
      </w:pPr>
      <w:r>
        <w:t>ANE indica que existen segmentos de “uso libre” con **condiciones técnicas y operativas** y que “uso libre” no significa sin restricciones. ([ane.gov.co](https://www.ane.gov.co/Atencion/SitePages/faq.aspx))</w:t>
      </w:r>
    </w:p>
    <w:p/>
    <w:p>
      <w:pPr>
        <w:pStyle w:val="Heading3"/>
      </w:pPr>
      <w:r>
        <w:t>4.1.5 Actuación y energía (V1)</w:t>
      </w:r>
    </w:p>
    <w:p>
      <w:pPr>
        <w:pStyle w:val="ListBullet"/>
      </w:pPr>
      <w:r>
        <w:t>**4 motores (tracción)** + driver (ej. puente H) + control PWM.</w:t>
      </w:r>
    </w:p>
    <w:p>
      <w:pPr>
        <w:pStyle w:val="ListBullet"/>
      </w:pPr>
      <w:r>
        <w:t>**Linterna/LED** frontal para asegurar iluminación controlada (mejora visión y reduce error).</w:t>
      </w:r>
    </w:p>
    <w:p>
      <w:pPr>
        <w:pStyle w:val="ListBullet"/>
      </w:pPr>
      <w:r>
        <w:t>**Batería**: LiPo/Li‑ion con BMS y fusible (dimensionar por corriente pico de motores + Pi + radio).</w:t>
      </w:r>
    </w:p>
    <w:p/>
    <w:p/>
    <w:p/>
    <w:p>
      <w:pPr>
        <w:pStyle w:val="Heading2"/>
      </w:pPr>
      <w:r>
        <w:t>4.2. Software e Inteligencia Artificial</w:t>
      </w:r>
    </w:p>
    <w:p/>
    <w:p>
      <w:pPr>
        <w:pStyle w:val="Heading3"/>
      </w:pPr>
      <w:r>
        <w:t>4.2.1 Sistema operativo</w:t>
      </w:r>
    </w:p>
    <w:p>
      <w:pPr>
        <w:pStyle w:val="ListBullet"/>
      </w:pPr>
      <w:r>
        <w:t>**Raspberry Pi OS (Debian-based)** recomendado por Raspberry Pi para la mayoría de casos. ([raspberrypi.com](https://www.raspberrypi.com/documentation/raspbian/))</w:t>
      </w:r>
    </w:p>
    <w:p/>
    <w:p>
      <w:pPr>
        <w:pStyle w:val="Heading3"/>
      </w:pPr>
      <w:r>
        <w:t>4.2.2 Captura de cámara</w:t>
      </w:r>
    </w:p>
    <w:p>
      <w:pPr>
        <w:pStyle w:val="ListBullet"/>
      </w:pPr>
      <w:r>
        <w:t>Uso de **libcamera** vía **Picamera2** como API Python recomendada. ([raspberrypi.com](https://www.raspberrypi.com/documentation/computers/camera_software.html))</w:t>
      </w:r>
    </w:p>
    <w:p>
      <w:pPr>
        <w:pStyle w:val="ListBullet"/>
      </w:pPr>
      <w:r>
        <w:t>Si se usa iPhone como cámara (opcional), se plantea como fuente remota (stream) solo para demos; el prototipo funcional prioriza cámara directa al Pi.</w:t>
      </w:r>
    </w:p>
    <w:p/>
    <w:p>
      <w:pPr>
        <w:pStyle w:val="Heading3"/>
      </w:pPr>
      <w:r>
        <w:t>4.2.3 Visión computacional (detección)</w:t>
      </w:r>
    </w:p>
    <w:p>
      <w:pPr>
        <w:pStyle w:val="ListBullet"/>
      </w:pPr>
      <w:r>
        <w:t>**OpenCV (Python)** para pipeline de imagen (preprocesado, geometría básica, detección clásica complementaria). ([github.com](https://github.com/opencv/opencv-python))</w:t>
      </w:r>
    </w:p>
    <w:p>
      <w:pPr>
        <w:pStyle w:val="ListBullet"/>
      </w:pPr>
      <w:r>
        <w:t>**YOLO (Ultralytics)** como base de detección de objetos entrenada para “artefactos” definidos por el equipo. ([docs.ultralytics.com](https://docs.ultralytics.com/))</w:t>
      </w:r>
    </w:p>
    <w:p>
      <w:pPr>
        <w:pStyle w:val="ListBullet"/>
      </w:pPr>
      <w:r>
        <w:t>Para baja luminosidad, existen propuestas tipo “3L‑YOLO” y otras variantes enfocadas a escenas oscuras (referencia académica). ([mdpi.com](https://www.mdpi.com/2076-3417/15/1/90))</w:t>
      </w:r>
    </w:p>
    <w:p/>
    <w:p>
      <w:pPr>
        <w:pStyle w:val="Heading3"/>
      </w:pPr>
      <w:r>
        <w:t>4.2.4 Mapeo / navegación con cámaras (sin RealSense)</w:t>
      </w:r>
    </w:p>
    <w:p>
      <w:r>
        <w:t>En V1, el objetivo realista es:</w:t>
      </w:r>
    </w:p>
    <w:p>
      <w:pPr>
        <w:pStyle w:val="ListBullet"/>
      </w:pPr>
      <w:r>
        <w:t>**(A) Localización relativa + registro de recorrido** (trayectoria) usando Visual SLAM liviano o “visual odometry”, más que un mapa 3D perfecto.</w:t>
      </w:r>
    </w:p>
    <w:p>
      <w:pPr>
        <w:pStyle w:val="ListBullet"/>
      </w:pPr>
      <w:r>
        <w:t>**(B) Anti‑colisión** con ToF y reglas simples.</w:t>
      </w:r>
    </w:p>
    <w:p/>
    <w:p>
      <w:r>
        <w:t>Opciones de referencia (para argumentación técnica):</w:t>
      </w:r>
    </w:p>
    <w:p>
      <w:pPr>
        <w:pStyle w:val="ListBullet"/>
      </w:pPr>
      <w:r>
        <w:t>**ORB‑SLAM3**: biblioteca open-source para SLAM visual/visual‑inercial (paper referenciado). ([emergentmind.com](https://www.emergentmind.com/articles/2007.11898))</w:t>
      </w:r>
    </w:p>
    <w:p>
      <w:pPr>
        <w:pStyle w:val="ListBullet"/>
      </w:pPr>
      <w:r>
        <w:t>**RTAB‑Map**: SLAM grafos para RGB‑D/estéreo/LiDAR con loop closure y operación en tiempo real (documentación + papers listados por el proyecto). ([introlab.github.io](https://introlab.github.io/rtabmap/))</w:t>
      </w:r>
    </w:p>
    <w:p/>
    <w:p>
      <w:pPr>
        <w:pStyle w:val="Heading3"/>
      </w:pPr>
      <w:r>
        <w:t>4.2.5 Lógica de mitigación de riesgos (diagrama de decisiones)</w:t>
      </w:r>
    </w:p>
    <w:p>
      <w:r>
        <w:t>Concepto: el sistema no “autoriza entrar”, sino que clasifica riesgo y produce alertas.</w:t>
      </w:r>
    </w:p>
    <w:p/>
    <w:p>
      <w:r>
        <w:t>Ejemplo de estados:</w:t>
      </w:r>
    </w:p>
    <w:p>
      <w:pPr>
        <w:pStyle w:val="ListBullet"/>
      </w:pPr>
      <w:r>
        <w:t>**VERDE:** O₂ normal + CO₂ bajo + sensores OK</w:t>
      </w:r>
    </w:p>
    <w:p>
      <w:pPr>
        <w:pStyle w:val="ListBullet"/>
      </w:pPr>
      <w:r>
        <w:t>**AMARILLO:** tendencia a degradación o sensor proxy alto (MQ‑135)</w:t>
      </w:r>
    </w:p>
    <w:p>
      <w:pPr>
        <w:pStyle w:val="ListBullet"/>
      </w:pPr>
      <w:r>
        <w:t>**ROJO:** umbral crítico (O₂ bajo, CO₂ alto) o pérdida de telemetría prolongada</w:t>
      </w:r>
    </w:p>
    <w:p/>
    <w:p>
      <w:r>
        <w:t>Diagrama simplificado:</w:t>
      </w:r>
    </w:p>
    <w:p/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[Start] 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-&gt; Self-check sensores (I2C/SPI) 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-&gt; Captura ambiente (O2/CO2/T/H + MQ135 + ToF)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-&gt; Clasificar riesgo (umbral + tendencia)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   -&gt; (VERDE) log + telemetría normal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   -&gt; (AMARILLO) log + telemetría prioritaria + alerta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   -&gt; (ROJO) log + alerta crítica + recomendación "NO AVANZAR / RETROCEDER"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 xml:space="preserve">  -&gt; Loop cada N segundos</w:t>
      </w:r>
    </w:p>
    <w:p/>
    <w:p/>
    <w:p/>
    <w:p/>
    <w:p>
      <w:pPr>
        <w:pStyle w:val="Heading2"/>
      </w:pPr>
      <w:r>
        <w:t>4.3. Mecatrónica y Diseño Industrial</w:t>
      </w:r>
    </w:p>
    <w:p/>
    <w:p>
      <w:pPr>
        <w:pStyle w:val="Heading3"/>
      </w:pPr>
      <w:r>
        <w:t>4.3.1 Chasis y protección</w:t>
      </w:r>
    </w:p>
    <w:p>
      <w:pPr>
        <w:pStyle w:val="ListBullet"/>
      </w:pPr>
      <w:r>
        <w:t>Objetivo: resistencia a salpicaduras, polvo, golpes. IP67/IP68 es deseable, pero difícil en prototipos escolares; se puede apuntar a **sellado por compartimentos** (electrónica separada de motores) y empaques.</w:t>
      </w:r>
    </w:p>
    <w:p>
      <w:pPr>
        <w:pStyle w:val="ListBullet"/>
      </w:pPr>
      <w:r>
        <w:t>Referencia de interpretación de IP (IEC 60529): IP6X (polvo) e IPX7/IPX8 (inmersión). ([iec-equipment.com](https://www.iec-equipment.com/new/IP-Testing-to-IEC-60529-EN-60529-and-BS-EN-60529.html))</w:t>
      </w:r>
    </w:p>
    <w:p/>
    <w:p>
      <w:pPr>
        <w:pStyle w:val="Heading3"/>
      </w:pPr>
      <w:r>
        <w:t>4.3.2 Ergonomía y fijación</w:t>
      </w:r>
    </w:p>
    <w:p>
      <w:r>
        <w:t>Tres formatos posibles:</w:t>
      </w:r>
    </w:p>
    <w:p>
      <w:r>
        <w:t xml:space="preserve">1) Robot autónomo (preferido para V1 por seguridad: evita entrada humana directa).  </w:t>
      </w:r>
    </w:p>
    <w:p>
      <w:r>
        <w:t xml:space="preserve">2) Mochila/casco (V2, mayor riesgo/ética/validación).  </w:t>
      </w:r>
    </w:p>
    <w:p>
      <w:r>
        <w:t>3) Estación fija + sonda (V1 alternativo).</w:t>
      </w:r>
    </w:p>
    <w:p/>
    <w:p>
      <w:pPr>
        <w:pStyle w:val="Heading3"/>
      </w:pPr>
      <w:r>
        <w:t>4.3.3 Gestión térmica y energía</w:t>
      </w:r>
    </w:p>
    <w:p>
      <w:pPr>
        <w:pStyle w:val="ListBullet"/>
      </w:pPr>
      <w:r>
        <w:t>Pi 5 puede requerir disipación/ventilación en cargas altas (visión). Se recomienda carcasa ventilada o cooler.</w:t>
      </w:r>
    </w:p>
    <w:p>
      <w:pPr>
        <w:pStyle w:val="ListBullet"/>
      </w:pPr>
      <w:r>
        <w:t>Autonomía se estima con un presupuesto de potencia:</w:t>
      </w:r>
    </w:p>
    <w:p>
      <w:pPr>
        <w:pStyle w:val="ListBullet"/>
      </w:pPr>
      <w:r>
        <w:t>Pi (pico ~12W) + LoRa + sensores + motores (dominante). ([raspberrypi.com](https://www.raspberrypi.com/news/introducing-raspberry-pi-5/))</w:t>
      </w:r>
    </w:p>
    <w:p>
      <w:r>
        <w:t>La autonomía final debe validarse midiendo corriente real en prototipo.</w:t>
      </w:r>
    </w:p>
    <w:p/>
    <w:p/>
    <w:p/>
    <w:p>
      <w:pPr>
        <w:pStyle w:val="Heading1"/>
      </w:pPr>
      <w:r>
        <w:t>5. PROTOCOLO DE SEGURIDAD Y NORMATIVA</w:t>
      </w:r>
    </w:p>
    <w:p/>
    <w:p>
      <w:pPr>
        <w:pStyle w:val="Heading2"/>
      </w:pPr>
      <w:r>
        <w:t>5.1. Umbrales críticos (referencias OSHA/NIOSH)</w:t>
      </w:r>
    </w:p>
    <w:p>
      <w:pPr>
        <w:pStyle w:val="ListBullet"/>
      </w:pPr>
      <w:r>
        <w:t>**Oxígeno (O₂):**</w:t>
      </w:r>
    </w:p>
    <w:p>
      <w:pPr>
        <w:pStyle w:val="ListBullet"/>
      </w:pPr>
      <w:r>
        <w:t>Deficiente: **&lt;19.5%** por volumen (OSHA). ([osha.gov](https://www.osha.gov/laws-regs/regulations/standardnumber/1910/1910.146))</w:t>
      </w:r>
    </w:p>
    <w:p>
      <w:pPr>
        <w:pStyle w:val="ListBullet"/>
      </w:pPr>
      <w:r>
        <w:t>Enriquecida: **&gt;23.5%** por volumen (OSHA). ([osha.gov](https://www.osha.gov/laws-regs/regulations/standardnumber/1910/1910.146))</w:t>
      </w:r>
    </w:p>
    <w:p>
      <w:pPr>
        <w:pStyle w:val="ListBullet"/>
      </w:pPr>
      <w:r>
        <w:t>**CO₂:**</w:t>
      </w:r>
    </w:p>
    <w:p>
      <w:pPr>
        <w:pStyle w:val="ListBullet"/>
      </w:pPr>
      <w:r>
        <w:t>Límite ocupacional típico OSHA PEL‑TWA: **5000 ppm**; NIOSH REL‑TWA: **5000 ppm**; NIOSH REL‑STEL: **30,000 ppm** (tabla de límites). ([osha.gov](https://www.osha.gov/chemicaldata/183))</w:t>
      </w:r>
    </w:p>
    <w:p>
      <w:pPr>
        <w:pStyle w:val="ListBullet"/>
      </w:pPr>
      <w:r>
        <w:t>NIOSH Pocket Guide incluye recomendaciones de respiradores hasta 40,000 ppm en contexto de protección respiratoria, útil como referencia de severidad. ([cdc.gov](https://www.cdc.gov/niosh/npg/npgd0103.html))</w:t>
      </w:r>
    </w:p>
    <w:p/>
    <w:p>
      <w:r>
        <w:rPr>
          <w:i/>
        </w:rPr>
        <w:t>**Regla de ingeniería para FLL:** ARGOS usa estos umbrales como **referencia técnica**, pero **no reemplaza** instrumentación certificada ni procedimientos profesionales.</w:t>
      </w:r>
    </w:p>
    <w:p/>
    <w:p>
      <w:pPr>
        <w:pStyle w:val="Heading2"/>
      </w:pPr>
      <w:r>
        <w:t>5.2. Trazabilidad de evidencias (logs)</w:t>
      </w:r>
    </w:p>
    <w:p>
      <w:pPr>
        <w:pStyle w:val="ListBullet"/>
      </w:pPr>
      <w:r>
        <w:t>Cada medición y decisión debe guardarse con:</w:t>
      </w:r>
    </w:p>
    <w:p>
      <w:pPr>
        <w:pStyle w:val="ListBullet"/>
      </w:pPr>
      <w:r>
        <w:t>`timestamp` (hora), `estado_riesgo`, `O2`, `CO2`, `T`, `RH`, `MQ135_raw`, `ToF_mm`, `RSSI/SNR LoRa`, `frame_id` (si aplica).</w:t>
      </w:r>
    </w:p>
    <w:p>
      <w:pPr>
        <w:pStyle w:val="ListBullet"/>
      </w:pPr>
      <w:r>
        <w:t>“Geolocalización relativa”: coordenadas del SLAM/odometría (x,y,θ) + marcador de eventos (ej. “alerta roja en punto 12”).</w:t>
      </w:r>
    </w:p>
    <w:p>
      <w:pPr>
        <w:pStyle w:val="ListBullet"/>
      </w:pPr>
      <w:r>
        <w:t>Objetivo: que un juez pueda ver **qué pasó, cuándo y por qué** (auditable).</w:t>
      </w:r>
    </w:p>
    <w:p/>
    <w:p>
      <w:pPr>
        <w:pStyle w:val="Heading2"/>
      </w:pPr>
      <w:r>
        <w:t>5.3. Cumplimiento normativo (referencias)</w:t>
      </w:r>
    </w:p>
    <w:p>
      <w:pPr>
        <w:pStyle w:val="ListBullet"/>
      </w:pPr>
      <w:r>
        <w:t>**OSHA 29 CFR 1910.146**: define condiciones de atmósfera peligrosa (incluye O₂ &lt;19.5%) y es el marco clásico de espacios confinados. ([osha.gov](https://www.osha.gov/laws-regs/regulations/standardnumber/1910/1910.146))</w:t>
      </w:r>
    </w:p>
    <w:p>
      <w:pPr>
        <w:pStyle w:val="ListBullet"/>
      </w:pPr>
      <w:r>
        <w:t>**NIOSH Alert 86‑110**: enfatiza monitoreo y que una gran parte de fatalidades ocurre en intentos de rescate. ([beta.cdc.gov](https://beta.cdc.gov/niosh/docs/86-110))</w:t>
      </w:r>
    </w:p>
    <w:p>
      <w:pPr>
        <w:pStyle w:val="ListBullet"/>
      </w:pPr>
      <w:r>
        <w:t>Estándares de buenas prácticas:</w:t>
      </w:r>
    </w:p>
    <w:p>
      <w:pPr>
        <w:pStyle w:val="ListBullet"/>
      </w:pPr>
      <w:r>
        <w:t>**ANSI/ASSP Z117.1**: estándar de seguridad para ingreso/trabajo en espacios confinados (referencia de mejores prácticas). ([assp.org](https://www.assp.org/standards/standards-topics/confined-spaces-z117-1))</w:t>
      </w:r>
    </w:p>
    <w:p>
      <w:pPr>
        <w:pStyle w:val="ListBullet"/>
      </w:pPr>
      <w:r>
        <w:t>**NFPA 350**: guía para ingreso/trabajo seguro en espacios confinados (referencia, acceso comercial). ([webstore.ansi.org](https://webstore.ansi.org/standards/nfpa/nfpa3502022))</w:t>
      </w:r>
    </w:p>
    <w:p/>
    <w:p/>
    <w:p/>
    <w:p>
      <w:pPr>
        <w:pStyle w:val="Heading1"/>
      </w:pPr>
      <w:r>
        <w:t>6. VIABILIDAD Y DESARROLLO</w:t>
      </w:r>
    </w:p>
    <w:p/>
    <w:p>
      <w:pPr>
        <w:pStyle w:val="Heading2"/>
      </w:pPr>
      <w:r>
        <w:t>6.1. Presupuesto estimado (BOM) — *rango y prioridad*</w:t>
      </w:r>
    </w:p>
    <w:p>
      <w:r>
        <w:rPr>
          <w:i/>
        </w:rPr>
        <w:t>Los costos cambian por país/tienda. Esta BOM se plantea por “prioridad de compra”.</w:t>
      </w:r>
    </w:p>
    <w:p/>
    <w:p>
      <w:r>
        <w:t>Prioridad A (core demo + seguridad básica):</w:t>
      </w:r>
    </w:p>
    <w:p>
      <w:pPr>
        <w:pStyle w:val="ListBullet"/>
      </w:pPr>
      <w:r>
        <w:t>Raspberry Pi 5 + fuente 5V/5A ([raspberrypi.com](https://www.raspberrypi.com/products/raspberry-pi-5/))</w:t>
      </w:r>
    </w:p>
    <w:p>
      <w:pPr>
        <w:pStyle w:val="ListBullet"/>
      </w:pPr>
      <w:r>
        <w:t>Cámara (USB) + iluminación LED</w:t>
      </w:r>
    </w:p>
    <w:p>
      <w:pPr>
        <w:pStyle w:val="ListBullet"/>
      </w:pPr>
      <w:r>
        <w:t>BME280 ([bosch-sensortec.com](https://www.bosch-sensortec.com/media/boschsensortec/downloads/datasheets/bst-bme280-ds002.pdf))</w:t>
      </w:r>
    </w:p>
    <w:p>
      <w:pPr>
        <w:pStyle w:val="ListBullet"/>
      </w:pPr>
      <w:r>
        <w:t>Sensor O₂ (DFRobot I²C) ([wiki.dfrobot.com](https://wiki.dfrobot.com/Gravity_I2C_Oxygen_Sensor_SKU_SEN0322))</w:t>
      </w:r>
    </w:p>
    <w:p>
      <w:pPr>
        <w:pStyle w:val="ListBullet"/>
      </w:pPr>
      <w:r>
        <w:t>Módulo CO₂ (SCD41/SCD30) ([sensirion.com](https://sensirion.com/media/documents/48C4B7FB/67FE0194/CD_DS_SCD4x_Datasheet_D1.pdf))</w:t>
      </w:r>
    </w:p>
    <w:p>
      <w:pPr>
        <w:pStyle w:val="ListBullet"/>
      </w:pPr>
      <w:r>
        <w:t>LoRa 433 (E22/SX126x) ([ebyte.com](https://www.ebyte.com/product/2806.html))</w:t>
      </w:r>
    </w:p>
    <w:p/>
    <w:p>
      <w:r>
        <w:t>Prioridad B (robótica + navegación):</w:t>
      </w:r>
    </w:p>
    <w:p>
      <w:pPr>
        <w:pStyle w:val="ListBullet"/>
      </w:pPr>
      <w:r>
        <w:t>4 motores + driver + ruedas/chasis</w:t>
      </w:r>
    </w:p>
    <w:p>
      <w:pPr>
        <w:pStyle w:val="ListBullet"/>
      </w:pPr>
      <w:r>
        <w:t>VL53L0X ToF ([st.com](https://www.st.com/content/st_com/en/products/imaging-and-photonics-solutions/time-of-flight-sensors/vl53l0x.html))</w:t>
      </w:r>
    </w:p>
    <w:p>
      <w:pPr>
        <w:pStyle w:val="ListBullet"/>
      </w:pPr>
      <w:r>
        <w:t>Batería + BMS + fusible + reguladores</w:t>
      </w:r>
    </w:p>
    <w:p/>
    <w:p>
      <w:pPr>
        <w:pStyle w:val="Heading2"/>
      </w:pPr>
      <w:r>
        <w:t>6.2. Cronograma de desarrollo (fases)</w:t>
      </w:r>
    </w:p>
    <w:p>
      <w:pPr>
        <w:pStyle w:val="ListBullet"/>
      </w:pPr>
      <w:r>
        <w:t>**Fase 0 (1 semana):** definición final de “objetos a reconocer” + dataset + rúbrica de seguridad (umbrales y estados).</w:t>
      </w:r>
    </w:p>
    <w:p>
      <w:pPr>
        <w:pStyle w:val="ListBullet"/>
      </w:pPr>
      <w:r>
        <w:t>**Fase 1 (1–2 semanas):** sensado + telemetría LoRa + logs + dashboard mínimo.</w:t>
      </w:r>
    </w:p>
    <w:p>
      <w:pPr>
        <w:pStyle w:val="ListBullet"/>
      </w:pPr>
      <w:r>
        <w:t>**Fase 2 (2–3 semanas):** visión computacional (detección) en condiciones de baja luz con iluminación propia.</w:t>
      </w:r>
    </w:p>
    <w:p>
      <w:pPr>
        <w:pStyle w:val="ListBullet"/>
      </w:pPr>
      <w:r>
        <w:t>**Fase 3 (2 semanas):** movilidad + anti‑colisión + pruebas en entorno simulado (pasillos oscuros/maqueta).</w:t>
      </w:r>
    </w:p>
    <w:p>
      <w:pPr>
        <w:pStyle w:val="ListBullet"/>
      </w:pPr>
      <w:r>
        <w:t>**Fase 4 (iteración):** robustez, empaquetado, narrativa para jueces, evidencias.</w:t>
      </w:r>
    </w:p>
    <w:p/>
    <w:p>
      <w:pPr>
        <w:pStyle w:val="Heading2"/>
      </w:pPr>
      <w:r>
        <w:t>6.3. Desafíos técnicos y soluciones propuestas</w:t>
      </w:r>
    </w:p>
    <w:p>
      <w:pPr>
        <w:pStyle w:val="ListBullet"/>
      </w:pPr>
      <w:r>
        <w:t>**Baja luz:** iluminación integrada + entrenamiento con escenas reales; considerar modelos livianos. ([mdpi.com](https://www.mdpi.com/2076-3417/15/1/90))</w:t>
      </w:r>
    </w:p>
    <w:p>
      <w:pPr>
        <w:pStyle w:val="ListBullet"/>
      </w:pPr>
      <w:r>
        <w:t>**Propagación subterránea:** mensajes cortos, repetición, watchdog de enlace; multi-hop opcional. ([mdpi.com](https://www.mdpi.com/1424-8220/22/22/8653))</w:t>
      </w:r>
    </w:p>
    <w:p>
      <w:pPr>
        <w:pStyle w:val="ListBullet"/>
      </w:pPr>
      <w:r>
        <w:t>**Sensores “no industriales”:** declarar límites y validar con calibración simple; no basar decisiones críticas en MQ‑135. ([datasheetq.com](https://www.datasheetq.com/en/preview/MQ-135-HANWEI))</w:t>
      </w:r>
    </w:p>
    <w:p/>
    <w:p/>
    <w:p/>
    <w:p>
      <w:pPr>
        <w:pStyle w:val="Heading1"/>
      </w:pPr>
      <w:r>
        <w:t>7. IMPACTO Y COMPARTICIÓN (Requisito FLL)</w:t>
      </w:r>
    </w:p>
    <w:p/>
    <w:p>
      <w:pPr>
        <w:pStyle w:val="Heading2"/>
      </w:pPr>
      <w:r>
        <w:t>7.1. Beneficiarios directos e indirectos</w:t>
      </w:r>
    </w:p>
    <w:p>
      <w:pPr>
        <w:pStyle w:val="ListBullet"/>
      </w:pPr>
      <w:r>
        <w:t>Directos: equipos de exploración, grupos académicos, rescate (como herramienta de apoyo).</w:t>
      </w:r>
    </w:p>
    <w:p>
      <w:pPr>
        <w:pStyle w:val="ListBullet"/>
      </w:pPr>
      <w:r>
        <w:t>Indirectos: instituciones educativas, divulgación científica, cultura de prevención.</w:t>
      </w:r>
    </w:p>
    <w:p/>
    <w:p>
      <w:pPr>
        <w:pStyle w:val="Heading2"/>
      </w:pPr>
      <w:r>
        <w:t>7.2. Plan para compartir la solución</w:t>
      </w:r>
    </w:p>
    <w:p>
      <w:pPr>
        <w:pStyle w:val="ListBullet"/>
      </w:pPr>
      <w:r>
        <w:t>**Open Source parcial:** código de telemetría/logs y guía de construcción (sin exponer detalles peligrosos de operación).</w:t>
      </w:r>
    </w:p>
    <w:p>
      <w:pPr>
        <w:pStyle w:val="ListBullet"/>
      </w:pPr>
      <w:r>
        <w:t>**Colaboración:** contacto con grupos de rescate/espeleología para entrevistas y validación conceptual.</w:t>
      </w:r>
    </w:p>
    <w:p>
      <w:pPr>
        <w:pStyle w:val="ListBullet"/>
      </w:pPr>
      <w:r>
        <w:t>**Material educativo:** video corto “cómo leer niveles de CO₂/O₂ y por qué importa”, con evidencia de sensores y logs.</w:t>
      </w:r>
    </w:p>
    <w:p/>
    <w:p/>
    <w:p/>
    <w:p>
      <w:pPr>
        <w:pStyle w:val="Heading1"/>
      </w:pPr>
      <w:r>
        <w:t>8. BIBLIOGRAFÍA Y REFERENCIAS (enlaces reales)</w:t>
      </w:r>
    </w:p>
    <w:p/>
    <w:p>
      <w:r>
        <w:rPr>
          <w:i/>
        </w:rPr>
        <w:t>Nota: por formato de esta plataforma, dejo los enlaces en una lista “copiable”. También están citados en el texto.</w:t>
      </w:r>
    </w:p>
    <w:p/>
    <w:p/>
    <w:p>
      <w:pPr>
        <w:spacing w:before="0" w:after="0"/>
      </w:pPr>
      <w:r>
        <w:rPr>
          <w:rFonts w:ascii="Courier New" w:hAnsi="Courier New" w:eastAsia="Courier New"/>
          <w:sz w:val="19"/>
        </w:rPr>
        <w:t>OSHA 29 CFR 1910.146 Permit-required confined spaces: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https://www.osha.gov/laws-regs/regulations/standardnumber/1910/1910.146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NIOSH Alert 86-110 Preventing Occupational Fatalities in Confined Spaces: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https://beta.cdc.gov/niosh/docs/86-110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NIOSH Confined Spaces topic (estadísticas CFOI promedio anual):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https://archive.cdc.gov/www_cdc_gov/niosh/topics/confinedspace/default.html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BLS Fact Sheet (Fatal occupational injuries involving confined spaces, 2011–2018):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https://www.bls.gov/iif/factsheets/fatal-occupational-injuries-confined-spaces-2011-19.htm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OSHA Chemical Data – Carbon Dioxide (PEL/REL/STEL):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https://www.osha.gov/chemicaldata/183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NIOSH Pocket Guide – Carbon dioxide: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https://www.cdc.gov/niosh/npg/npgd0103.html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Raspberry Pi 5 product page (specs, power):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https://www.raspberrypi.com/products/raspberry-pi-5/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Raspberry Pi blog (Pi 5 peak power ~12W, explicación PSU):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https://www.raspberrypi.com/news/introducing-raspberry-pi-5/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Raspberry Pi OS documentation: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https://www.raspberrypi.com/documentation/raspbian/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Raspberry Pi camera software (Picamera2):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https://www.raspberrypi.com/documentation/computers/camera_software.html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Picamera2 GitHub: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https://github.com/raspberrypi/picamera2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OpenCV Python packaging (opencv-python):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https://github.com/opencv/opencv-python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Ultralytics YOLO Docs: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https://docs.ultralytics.com/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RTAB-Map (SLAM) home: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https://introlab.github.io/rtabmap/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RTAB-Map GitHub: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https://github.com/introlab/rtabmap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ORB-SLAM3 (referencia del paper 2007.11898):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https://www.emergentmind.com/articles/2007.11898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LoRa propagation in underground gold mine (Sensors, 2022):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https://www.mdpi.com/1424-8220/22/22/8653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LoRa propagation in underground potash mines (Sensors, 2025):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https://www.mdpi.com/1424-8220/25/12/3594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Underground wireless data transmission using 433-MHz LoRa (Sensors, 2019):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https://www.mdpi.com/1424-8220/19/19/4232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Radio wave propagation in cave (GEOMATE Journal, 2024):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https://geomatejournal.com/geomate/article/view/4394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Low-light object detection (3L-YOLO, Appl. Sci. 2025):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https://www.mdpi.com/2076-3417/15/1/90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Bosch BME280 datasheet: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https://www.bosch-sensortec.com/media/boschsensortec/downloads/datasheets/bst-bme280-ds002.pdf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Sensirion SCD4x datasheet (SCD40/SCD41/SCD43):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https://sensirion.com/media/documents/48C4B7FB/67FE0194/CD_DS_SCD4x_Datasheet_D1.pdf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Sensirion SCD30 datasheet: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https://sensirion.com/media/documents/4EAF6AF8/61652C3C/Sensirion_CO2_Sensors_SCD30_Datasheet.pdf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ST VL53L0X product page: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https://www.st.com/content/st_com/en/products/imaging-and-photonics-solutions/time-of-flight-sensors/vl53l0x.html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DFRobot O2 sensor wiki (SEN0322):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https://wiki.dfrobot.com/Gravity_I2C_Oxygen_Sensor_SKU_SEN0322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Semtech SX1262 (LoRa transceiver):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https://www.semtech.com/products/wireless-rf/lora-transceivers/sx1262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LoRaRF Python library (SX126x/SX127x):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https://pypi.org/project/lorarf/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BCRC incident reports (cave rescue):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https://www.caverescue.org.uk/about-cave-rescue/incident-reports/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Colombia: Resolución MinTIC 473 de 2010 (banda 433.05–434.79 MHz listada como ICM):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https://normograma.mintic.gov.co/mintic/compilacion/docs/resolucion_mintic_0473_2010.htm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ANE FAQ (uso libre con condiciones técnicas):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https://www.ane.gov.co/Atencion/SitePages/faq.aspx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ANSI/ASSP Z117.1 overview: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https://www.assp.org/standards/standards-topics/confined-spaces-z117-1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NFPA 350 (referencia del estándar):</w:t>
      </w:r>
    </w:p>
    <w:p>
      <w:pPr>
        <w:spacing w:before="0" w:after="0"/>
      </w:pPr>
      <w:r>
        <w:rPr>
          <w:rFonts w:ascii="Courier New" w:hAnsi="Courier New" w:eastAsia="Courier New"/>
          <w:sz w:val="19"/>
        </w:rPr>
        <w:t>https://webstore.ansi.org/standards/nfpa/nfpa3502022</w:t>
      </w:r>
    </w:p>
    <w:p/>
    <w:p/>
    <w:p/>
    <w:p/>
    <w:p>
      <w:pPr>
        <w:pStyle w:val="Heading1"/>
      </w:pPr>
      <w:r>
        <w:t>Advertencia (para el equipo)</w:t>
      </w:r>
    </w:p>
    <w:p>
      <w:r>
        <w:t xml:space="preserve">1) No usar MQ‑135 para “decidir si se puede entrar” (no es sensor selectivo ni certificado). ([datasheetq.com](https://www.datasheetq.com/en/preview/MQ-135-HANWEI))  </w:t>
      </w:r>
    </w:p>
    <w:p>
      <w:r>
        <w:t xml:space="preserve">2) Todo umbral (O₂/CO₂) debe validarse con calibración y pruebas en ambiente controlado; los valores aquí son referencias OSHA/NIOSH para justificar ingeniería, no una autorización de operación real. ([osha.gov](https://www.osha.gov/laws-regs/regulations/standardnumber/1910/1910.146))  </w:t>
      </w:r>
    </w:p>
    <w:p>
      <w:r>
        <w:t xml:space="preserve">3) Las condiciones de radio en cuevas varían; probar LoRa en escenarios reales y registrar RSSI/SNR para evidenciar limitaciones. ([mdpi.com](https://www.mdpi.com/1424-8220/22/22/8653))  </w:t>
      </w:r>
    </w:p>
    <w:p>
      <w:r>
        <w:t>4) Para cualquier demostración física, priorizar simulación/maquetas y protocolos de seguridad supervisados por adultos responsables.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