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Ondoren, erronkaren garapen egokiari begira, funtsezko parametroak jasoko ditugu; hots:  Zer jakin beharko genuke erronka aurrera eramateko? Zer ikasi beharko genuke? Zer informazio bilatu beharko genuke?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HTMLko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CSSko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Apacheko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oinarrizko ezagutza euki behar dugu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erronkarekin ondo hasi ahal izateko.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Zerbait ez ulertzekotan, interneten bilatu beharko dugu.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Bootstrap nola erabiltzen den eta ze ezaugarri dituen bilatu beharko dugu, gero gure Wikian erabiltzeko.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Wordpress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OwnCloud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PrestaShop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zerbitzarian nola instalatzen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den bilatu beharko dugu.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Instalazioen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erabilpenaren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informazioa bilatu beharko dugu.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Informazioa bilatu: Nola den wiki bat, zelan funtzionatzen duen eta  gure ikasketen arabera ze lengoai erabiliko dugun.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Webgune 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mota bat da. Bertan, edozein gaiko 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informazioa dago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Erabiltzaileak wiki batera doaz</w:t>
      </w: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informazioa aurkitu nahian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erabiltzen sortuko dugu eta hainbat gauza aldatuko ditugu Html eta CSS lengoiak erabiliz.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8"/>
              <w:szCs w:val="28"/>
              <w:rtl w:val="0"/>
            </w:rPr>
            <w:t xml:space="preserve">WEB APLIKAZIOEN GARAPENA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Funtsezko parametroak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