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A91" w:rsidRPr="008A6A91" w:rsidRDefault="008A6A91" w:rsidP="008A6A91">
      <w:pPr>
        <w:shd w:val="clear" w:color="auto" w:fill="FFFFFF"/>
        <w:spacing w:after="120" w:line="600" w:lineRule="atLeast"/>
        <w:outlineLvl w:val="0"/>
        <w:rPr>
          <w:rFonts w:ascii="Helvetica" w:eastAsia="Times New Roman" w:hAnsi="Helvetica" w:cs="Helvetica"/>
          <w:color w:val="212121"/>
          <w:kern w:val="36"/>
          <w:sz w:val="51"/>
          <w:szCs w:val="51"/>
        </w:rPr>
      </w:pPr>
      <w:r w:rsidRPr="008A6A91">
        <w:rPr>
          <w:rFonts w:ascii="Helvetica" w:eastAsia="Times New Roman" w:hAnsi="Helvetica" w:cs="Helvetica"/>
          <w:color w:val="212121"/>
          <w:kern w:val="36"/>
          <w:sz w:val="51"/>
          <w:szCs w:val="51"/>
        </w:rPr>
        <w:t>Navigating full reports: Part 1</w:t>
      </w:r>
    </w:p>
    <w:p w:rsidR="008A6A91" w:rsidRDefault="008A6A91" w:rsidP="008A6A91">
      <w:pPr>
        <w:shd w:val="clear" w:color="auto" w:fill="FFFFFF"/>
        <w:spacing w:before="60" w:after="180" w:line="240" w:lineRule="auto"/>
        <w:rPr>
          <w:rFonts w:ascii="Helvetica" w:eastAsia="Times New Roman" w:hAnsi="Helvetica" w:cs="Helvetica"/>
          <w:b/>
          <w:bCs/>
          <w:color w:val="212121"/>
          <w:sz w:val="24"/>
          <w:szCs w:val="24"/>
        </w:rPr>
      </w:pPr>
    </w:p>
    <w:p w:rsidR="008A6A91" w:rsidRPr="008A6A91" w:rsidRDefault="008A6A91" w:rsidP="008A6A91">
      <w:pPr>
        <w:shd w:val="clear" w:color="auto" w:fill="FFFFFF"/>
        <w:spacing w:before="60" w:after="180" w:line="240" w:lineRule="auto"/>
        <w:rPr>
          <w:rFonts w:ascii="Helvetica" w:eastAsia="Times New Roman" w:hAnsi="Helvetica" w:cs="Helvetica"/>
          <w:color w:val="212121"/>
          <w:sz w:val="20"/>
          <w:szCs w:val="20"/>
        </w:rPr>
      </w:pPr>
      <w:bookmarkStart w:id="0" w:name="_GoBack"/>
      <w:bookmarkEnd w:id="0"/>
      <w:r w:rsidRPr="008A6A91">
        <w:rPr>
          <w:rFonts w:ascii="Helvetica" w:eastAsia="Times New Roman" w:hAnsi="Helvetica" w:cs="Helvetica"/>
          <w:color w:val="212121"/>
          <w:sz w:val="20"/>
          <w:szCs w:val="20"/>
        </w:rPr>
        <w:t>When you open up the full report, you’ll see links underneath the segment picker that control the different types of data in the report. The “Summary” view is a summary of the dimension categorized by Acquisition, Behavior, and Conversion metrics. This makes it easier to interpret these metrics in the context of the marketing funnel we discussed in Unit 1.</w:t>
      </w:r>
    </w:p>
    <w:p w:rsidR="008A6A91" w:rsidRPr="008A6A91" w:rsidRDefault="008A6A91" w:rsidP="008A6A91">
      <w:pPr>
        <w:shd w:val="clear" w:color="auto" w:fill="FFFFFF"/>
        <w:spacing w:line="240" w:lineRule="auto"/>
        <w:rPr>
          <w:rFonts w:ascii="Helvetica" w:eastAsia="Times New Roman" w:hAnsi="Helvetica" w:cs="Helvetica"/>
          <w:color w:val="212121"/>
          <w:sz w:val="20"/>
          <w:szCs w:val="20"/>
        </w:rPr>
      </w:pPr>
      <w:r w:rsidRPr="008A6A91">
        <w:rPr>
          <w:rFonts w:ascii="Helvetica" w:eastAsia="Times New Roman" w:hAnsi="Helvetica" w:cs="Helvetica"/>
          <w:noProof/>
          <w:color w:val="212121"/>
          <w:sz w:val="20"/>
          <w:szCs w:val="20"/>
        </w:rPr>
        <w:drawing>
          <wp:inline distT="0" distB="0" distL="0" distR="0">
            <wp:extent cx="5420746" cy="2834640"/>
            <wp:effectExtent l="0" t="0" r="8890" b="3810"/>
            <wp:docPr id="2" name="Picture 2" descr="https://lh3.googleusercontent.com/TL1URdPAdlFo4Vewc1ehH2p0vLWsLCiGRX9GDjvbBfVRWjj94SDNyjqlCHHtageG6j0=w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L1URdPAdlFo4Vewc1ehH2p0vLWsLCiGRX9GDjvbBfVRWjj94SDNyjqlCHHtageG6j0=w8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0746" cy="2834640"/>
                    </a:xfrm>
                    <a:prstGeom prst="rect">
                      <a:avLst/>
                    </a:prstGeom>
                    <a:noFill/>
                    <a:ln>
                      <a:noFill/>
                    </a:ln>
                  </pic:spPr>
                </pic:pic>
              </a:graphicData>
            </a:graphic>
          </wp:inline>
        </w:drawing>
      </w:r>
    </w:p>
    <w:p w:rsidR="008A6A91" w:rsidRPr="008A6A91" w:rsidRDefault="008A6A91" w:rsidP="008A6A91">
      <w:pPr>
        <w:shd w:val="clear" w:color="auto" w:fill="FFFFFF"/>
        <w:spacing w:before="60" w:after="180" w:line="240" w:lineRule="auto"/>
        <w:rPr>
          <w:rFonts w:ascii="Helvetica" w:eastAsia="Times New Roman" w:hAnsi="Helvetica" w:cs="Helvetica"/>
          <w:color w:val="212121"/>
          <w:sz w:val="20"/>
          <w:szCs w:val="20"/>
        </w:rPr>
      </w:pPr>
      <w:r w:rsidRPr="008A6A91">
        <w:rPr>
          <w:rFonts w:ascii="Helvetica" w:eastAsia="Times New Roman" w:hAnsi="Helvetica" w:cs="Helvetica"/>
          <w:color w:val="212121"/>
          <w:sz w:val="20"/>
          <w:szCs w:val="20"/>
        </w:rPr>
        <w:t>“Site Usage” shows behavior metrics like users, sessions per user, new users, sessions, pages per session, and average session duration. “Goals” will show metrics based on the number of goals you’ve configured and will only show up if you’ve set up goals in Google Analytics, which we’ll discuss later. And “Ecommerce” will show you transaction metrics if you’ve set up ecommerce tracking in Analytics. Now let’s switch back to the Summary view.</w:t>
      </w:r>
    </w:p>
    <w:p w:rsidR="008A6A91" w:rsidRPr="008A6A91" w:rsidRDefault="008A6A91" w:rsidP="008A6A91">
      <w:pPr>
        <w:shd w:val="clear" w:color="auto" w:fill="FFFFFF"/>
        <w:spacing w:before="60" w:after="180" w:line="240" w:lineRule="auto"/>
        <w:rPr>
          <w:rFonts w:ascii="Helvetica" w:eastAsia="Times New Roman" w:hAnsi="Helvetica" w:cs="Helvetica"/>
          <w:color w:val="212121"/>
          <w:sz w:val="20"/>
          <w:szCs w:val="20"/>
        </w:rPr>
      </w:pPr>
      <w:r w:rsidRPr="008A6A91">
        <w:rPr>
          <w:rFonts w:ascii="Helvetica" w:eastAsia="Times New Roman" w:hAnsi="Helvetica" w:cs="Helvetica"/>
          <w:color w:val="212121"/>
          <w:sz w:val="20"/>
          <w:szCs w:val="20"/>
        </w:rPr>
        <w:t>Below the graph is the main data table. You can see that the first column shows the current dimension “Country,” which was the last demographic category we selected in the Overview report. You can switch between other dimensions like city, continent, and subcontinent by clicking the links above the data table. It’s important to know you can also add another dimension to the table for even more specific analysis. We call this a secondary dimension, which is a common technique when analyzing data. For example, you could add a secondary dimension of “device category” to the Location report to see what kinds of devices were used by people in different countries while visiting your website.</w:t>
      </w:r>
    </w:p>
    <w:p w:rsidR="008A6A91" w:rsidRPr="008A6A91" w:rsidRDefault="008A6A91" w:rsidP="008A6A91">
      <w:pPr>
        <w:shd w:val="clear" w:color="auto" w:fill="FFFFFF"/>
        <w:spacing w:line="240" w:lineRule="auto"/>
        <w:rPr>
          <w:rFonts w:ascii="Helvetica" w:eastAsia="Times New Roman" w:hAnsi="Helvetica" w:cs="Helvetica"/>
          <w:color w:val="212121"/>
          <w:sz w:val="20"/>
          <w:szCs w:val="20"/>
        </w:rPr>
      </w:pPr>
      <w:r w:rsidRPr="008A6A91">
        <w:rPr>
          <w:rFonts w:ascii="Helvetica" w:eastAsia="Times New Roman" w:hAnsi="Helvetica" w:cs="Helvetica"/>
          <w:noProof/>
          <w:color w:val="212121"/>
          <w:sz w:val="20"/>
          <w:szCs w:val="20"/>
        </w:rPr>
        <w:lastRenderedPageBreak/>
        <w:drawing>
          <wp:inline distT="0" distB="0" distL="0" distR="0">
            <wp:extent cx="5469849" cy="3017520"/>
            <wp:effectExtent l="0" t="0" r="0" b="0"/>
            <wp:docPr id="1" name="Picture 1" descr="https://lh3.googleusercontent.com/uRAdYJ5F2x11poqvaX0iiGPR8ZoJ7TGtvLYUperA-aVYRj4VxqVAXYmbaNo0OnKnusk=w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RAdYJ5F2x11poqvaX0iiGPR8ZoJ7TGtvLYUperA-aVYRj4VxqVAXYmbaNo0OnKnusk=w8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9849" cy="3017520"/>
                    </a:xfrm>
                    <a:prstGeom prst="rect">
                      <a:avLst/>
                    </a:prstGeom>
                    <a:noFill/>
                    <a:ln>
                      <a:noFill/>
                    </a:ln>
                  </pic:spPr>
                </pic:pic>
              </a:graphicData>
            </a:graphic>
          </wp:inline>
        </w:drawing>
      </w:r>
    </w:p>
    <w:p w:rsidR="008A6A91" w:rsidRPr="008A6A91" w:rsidRDefault="008A6A91" w:rsidP="008A6A91">
      <w:pPr>
        <w:shd w:val="clear" w:color="auto" w:fill="FFFFFF"/>
        <w:spacing w:before="60" w:after="180" w:line="240" w:lineRule="auto"/>
        <w:rPr>
          <w:rFonts w:ascii="Helvetica" w:eastAsia="Times New Roman" w:hAnsi="Helvetica" w:cs="Helvetica"/>
          <w:color w:val="212121"/>
          <w:sz w:val="20"/>
          <w:szCs w:val="20"/>
        </w:rPr>
      </w:pPr>
      <w:r w:rsidRPr="008A6A91">
        <w:rPr>
          <w:rFonts w:ascii="Helvetica" w:eastAsia="Times New Roman" w:hAnsi="Helvetica" w:cs="Helvetica"/>
          <w:color w:val="212121"/>
          <w:sz w:val="20"/>
          <w:szCs w:val="20"/>
        </w:rPr>
        <w:t xml:space="preserve">Here you can see that each row of the table represents a different segment of traffic in the “Country” dimension. Note that Analytics is only showing you the first 10 rows of data and only as many columns as will fit on the screen. To view additional rows, use the “Show rows” pulldown menu on the bottom-right side of the table to select how many rows you want to see, or use the left and right arrows to scroll through 10 rows at a time. If you wish to view </w:t>
      </w:r>
      <w:proofErr w:type="gramStart"/>
      <w:r w:rsidRPr="008A6A91">
        <w:rPr>
          <w:rFonts w:ascii="Helvetica" w:eastAsia="Times New Roman" w:hAnsi="Helvetica" w:cs="Helvetica"/>
          <w:color w:val="212121"/>
          <w:sz w:val="20"/>
          <w:szCs w:val="20"/>
        </w:rPr>
        <w:t>all of</w:t>
      </w:r>
      <w:proofErr w:type="gramEnd"/>
      <w:r w:rsidRPr="008A6A91">
        <w:rPr>
          <w:rFonts w:ascii="Helvetica" w:eastAsia="Times New Roman" w:hAnsi="Helvetica" w:cs="Helvetica"/>
          <w:color w:val="212121"/>
          <w:sz w:val="20"/>
          <w:szCs w:val="20"/>
        </w:rPr>
        <w:t xml:space="preserve"> the columns, you may need to use the horizontal scroll bar at the bottom of the report.</w:t>
      </w:r>
    </w:p>
    <w:p w:rsidR="008A6A91" w:rsidRPr="008A6A91" w:rsidRDefault="008A6A91" w:rsidP="008A6A91">
      <w:pPr>
        <w:shd w:val="clear" w:color="auto" w:fill="FFFFFF"/>
        <w:spacing w:before="60" w:after="180" w:line="240" w:lineRule="auto"/>
        <w:rPr>
          <w:rFonts w:ascii="Helvetica" w:eastAsia="Times New Roman" w:hAnsi="Helvetica" w:cs="Helvetica"/>
          <w:color w:val="212121"/>
          <w:sz w:val="20"/>
          <w:szCs w:val="20"/>
        </w:rPr>
      </w:pPr>
      <w:r w:rsidRPr="008A6A91">
        <w:rPr>
          <w:rFonts w:ascii="Helvetica" w:eastAsia="Times New Roman" w:hAnsi="Helvetica" w:cs="Helvetica"/>
          <w:color w:val="212121"/>
          <w:sz w:val="20"/>
          <w:szCs w:val="20"/>
        </w:rPr>
        <w:t>You can analyze the data table in different ways. Clicking on each column in the table toggles the data sort between ascending and descending. The arrow in the column header shows which column you’re currently sorting by. Note that by default, Analytics sorts this report by users.</w:t>
      </w:r>
    </w:p>
    <w:p w:rsidR="008A6A91" w:rsidRPr="008A6A91" w:rsidRDefault="008A6A91" w:rsidP="008A6A91">
      <w:pPr>
        <w:shd w:val="clear" w:color="auto" w:fill="FFFFFF"/>
        <w:spacing w:before="60" w:after="180" w:line="240" w:lineRule="auto"/>
        <w:rPr>
          <w:rFonts w:ascii="Helvetica" w:eastAsia="Times New Roman" w:hAnsi="Helvetica" w:cs="Helvetica"/>
          <w:color w:val="212121"/>
          <w:sz w:val="20"/>
          <w:szCs w:val="20"/>
        </w:rPr>
      </w:pPr>
      <w:r w:rsidRPr="008A6A91">
        <w:rPr>
          <w:rFonts w:ascii="Helvetica" w:eastAsia="Times New Roman" w:hAnsi="Helvetica" w:cs="Helvetica"/>
          <w:color w:val="212121"/>
          <w:sz w:val="20"/>
          <w:szCs w:val="20"/>
        </w:rPr>
        <w:t>It can also be useful to filter the data table to focus only on the segments of traffic that are significant. Use the filter field at the top of the table to include only rows where the primary dimension contains your filter term. For example, you may want to look at data for a specific country like India, so rather than scroll through the table, you could simply type “India” into the filter field and Analytics will show you only data for segments that include the term “India.” “Advanced,” next to the search box, lets you apply even more sophisticated rules for filtering. We’ll cover techniques for advanced filtering in an advanced course.</w:t>
      </w:r>
    </w:p>
    <w:p w:rsidR="008A6A91" w:rsidRPr="008A6A91" w:rsidRDefault="008A6A91" w:rsidP="008A6A91">
      <w:pPr>
        <w:shd w:val="clear" w:color="auto" w:fill="FFFFFF"/>
        <w:spacing w:before="300" w:after="60" w:line="360" w:lineRule="atLeast"/>
        <w:outlineLvl w:val="3"/>
        <w:rPr>
          <w:rFonts w:ascii="Helvetica" w:eastAsia="Times New Roman" w:hAnsi="Helvetica" w:cs="Helvetica"/>
          <w:b/>
          <w:bCs/>
          <w:color w:val="212121"/>
          <w:sz w:val="24"/>
          <w:szCs w:val="24"/>
        </w:rPr>
      </w:pPr>
      <w:r w:rsidRPr="008A6A91">
        <w:rPr>
          <w:rFonts w:ascii="Helvetica" w:eastAsia="Times New Roman" w:hAnsi="Helvetica" w:cs="Helvetica"/>
          <w:b/>
          <w:bCs/>
          <w:color w:val="212121"/>
          <w:sz w:val="24"/>
          <w:szCs w:val="24"/>
        </w:rPr>
        <w:t>Report Visualization</w:t>
      </w:r>
    </w:p>
    <w:p w:rsidR="008A6A91" w:rsidRPr="008A6A91" w:rsidRDefault="008A6A91" w:rsidP="008A6A91">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8A6A91">
        <w:rPr>
          <w:rFonts w:ascii="Helvetica" w:eastAsia="Times New Roman" w:hAnsi="Helvetica" w:cs="Helvetica"/>
          <w:color w:val="212121"/>
          <w:sz w:val="20"/>
          <w:szCs w:val="20"/>
        </w:rPr>
        <w:t>Next to the “advanced” link, there are several different visualization options:</w:t>
      </w:r>
    </w:p>
    <w:p w:rsidR="008A6A91" w:rsidRPr="008A6A91" w:rsidRDefault="008A6A91" w:rsidP="008A6A91">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8A6A91">
        <w:rPr>
          <w:rFonts w:ascii="Helvetica" w:eastAsia="Times New Roman" w:hAnsi="Helvetica" w:cs="Helvetica"/>
          <w:color w:val="212121"/>
          <w:sz w:val="20"/>
          <w:szCs w:val="20"/>
        </w:rPr>
        <w:t>The “data table” view is the default visualization for most reports. This organizes your data in a table broken out by acquisition, behavior, and conversion metrics for the audience and acquisition reports.</w:t>
      </w:r>
    </w:p>
    <w:p w:rsidR="008A6A91" w:rsidRPr="008A6A91" w:rsidRDefault="008A6A91" w:rsidP="008A6A91">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8A6A91">
        <w:rPr>
          <w:rFonts w:ascii="Helvetica" w:eastAsia="Times New Roman" w:hAnsi="Helvetica" w:cs="Helvetica"/>
          <w:color w:val="212121"/>
          <w:sz w:val="20"/>
          <w:szCs w:val="20"/>
        </w:rPr>
        <w:t>The “pie chart” icon creates a pie chart based on your data. This helps you compare the percentages of a whole such as how many users are on desktops, tablets, and mobile phones. You can choose which metric from your report should display in the pie chart using the pulldown menu.</w:t>
      </w:r>
    </w:p>
    <w:p w:rsidR="008A6A91" w:rsidRPr="008A6A91" w:rsidRDefault="008A6A91" w:rsidP="008A6A91">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8A6A91">
        <w:rPr>
          <w:rFonts w:ascii="Helvetica" w:eastAsia="Times New Roman" w:hAnsi="Helvetica" w:cs="Helvetica"/>
          <w:color w:val="212121"/>
          <w:sz w:val="20"/>
          <w:szCs w:val="20"/>
        </w:rPr>
        <w:t>The “performance” view shows a bar graph of your data. This helps you compare individual segments side by side like which countries bring in the highest traffic. You can also use the pull-down menu to select various metrics to be represented as bars.</w:t>
      </w:r>
    </w:p>
    <w:p w:rsidR="008A6A91" w:rsidRPr="008A6A91" w:rsidRDefault="008A6A91" w:rsidP="008A6A91">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8A6A91">
        <w:rPr>
          <w:rFonts w:ascii="Helvetica" w:eastAsia="Times New Roman" w:hAnsi="Helvetica" w:cs="Helvetica"/>
          <w:color w:val="212121"/>
          <w:sz w:val="20"/>
          <w:szCs w:val="20"/>
        </w:rPr>
        <w:t>The “comparison view” shows you a bar graph to quickly see whether each entry in the table is performing above or below the site average for the selected metric. If the value for a given row is better than average, it appears green. If it’s below average, it appears red. Again, you can use the drop-down menu to select which metric should be displayed.</w:t>
      </w:r>
    </w:p>
    <w:p w:rsidR="008A6A91" w:rsidRPr="008A6A91" w:rsidRDefault="008A6A91" w:rsidP="008A6A91">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8A6A91">
        <w:rPr>
          <w:rFonts w:ascii="Helvetica" w:eastAsia="Times New Roman" w:hAnsi="Helvetica" w:cs="Helvetica"/>
          <w:color w:val="212121"/>
          <w:sz w:val="20"/>
          <w:szCs w:val="20"/>
        </w:rPr>
        <w:lastRenderedPageBreak/>
        <w:t>Finally, the “Pivot” view creates a pivot table in which both rows and columns can show different dimension values for comparison. For example, a pivot table could show The Google Store the bounce rate and number of sessions for each landing page and device type.</w:t>
      </w:r>
    </w:p>
    <w:p w:rsidR="00F1090F" w:rsidRDefault="00F1090F"/>
    <w:sectPr w:rsidR="00F1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82BB6"/>
    <w:multiLevelType w:val="multilevel"/>
    <w:tmpl w:val="3F30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A91"/>
    <w:rsid w:val="008A6A91"/>
    <w:rsid w:val="00F1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70A6"/>
  <w15:chartTrackingRefBased/>
  <w15:docId w15:val="{5E09A959-A2DB-4E1D-9F4E-01917FB1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6A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A6A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A9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A6A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A6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703304">
      <w:bodyDiv w:val="1"/>
      <w:marLeft w:val="0"/>
      <w:marRight w:val="0"/>
      <w:marTop w:val="0"/>
      <w:marBottom w:val="0"/>
      <w:divBdr>
        <w:top w:val="none" w:sz="0" w:space="0" w:color="auto"/>
        <w:left w:val="none" w:sz="0" w:space="0" w:color="auto"/>
        <w:bottom w:val="none" w:sz="0" w:space="0" w:color="auto"/>
        <w:right w:val="none" w:sz="0" w:space="0" w:color="auto"/>
      </w:divBdr>
      <w:divsChild>
        <w:div w:id="722369061">
          <w:marLeft w:val="0"/>
          <w:marRight w:val="0"/>
          <w:marTop w:val="540"/>
          <w:marBottom w:val="660"/>
          <w:divBdr>
            <w:top w:val="none" w:sz="0" w:space="0" w:color="auto"/>
            <w:left w:val="none" w:sz="0" w:space="0" w:color="auto"/>
            <w:bottom w:val="none" w:sz="0" w:space="0" w:color="auto"/>
            <w:right w:val="none" w:sz="0" w:space="0" w:color="auto"/>
          </w:divBdr>
        </w:div>
        <w:div w:id="313225504">
          <w:marLeft w:val="0"/>
          <w:marRight w:val="0"/>
          <w:marTop w:val="540"/>
          <w:marBottom w:val="6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sambiggs@thomasarts2013.onmicrosoft.com</dc:creator>
  <cp:keywords/>
  <dc:description/>
  <cp:lastModifiedBy>sambiggs@thomasarts2013.onmicrosoft.com</cp:lastModifiedBy>
  <cp:revision>1</cp:revision>
  <dcterms:created xsi:type="dcterms:W3CDTF">2017-11-02T19:27:00Z</dcterms:created>
  <dcterms:modified xsi:type="dcterms:W3CDTF">2017-11-02T19:29:00Z</dcterms:modified>
</cp:coreProperties>
</file>