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D87" w:rsidRDefault="00914645">
      <w:pPr>
        <w:spacing w:after="40"/>
        <w:jc w:val="center"/>
      </w:pPr>
      <w:r>
        <w:rPr>
          <w:b/>
          <w:bCs/>
          <w:color w:val="888888"/>
          <w:sz w:val="26"/>
          <w:szCs w:val="26"/>
        </w:rPr>
        <w:t>AMATÖR TELSİZCİLİK</w:t>
      </w:r>
    </w:p>
    <w:p w:rsidR="005C0D87" w:rsidRDefault="00914645">
      <w:pPr>
        <w:spacing w:after="60"/>
        <w:jc w:val="center"/>
      </w:pPr>
      <w:r>
        <w:rPr>
          <w:b/>
          <w:bCs/>
          <w:color w:val="1F3864"/>
          <w:sz w:val="40"/>
          <w:szCs w:val="40"/>
        </w:rPr>
        <w:t>TABLO B — KURUMLARA TALEP YAZILARI</w:t>
      </w:r>
    </w:p>
    <w:p w:rsidR="005C0D87" w:rsidRDefault="00914645">
      <w:pPr>
        <w:spacing w:after="200"/>
        <w:jc w:val="center"/>
      </w:pPr>
      <w:r>
        <w:rPr>
          <w:color w:val="2E75B6"/>
          <w:sz w:val="20"/>
          <w:szCs w:val="20"/>
        </w:rPr>
        <w:t>Talep Matrisi · Gerekçe · Dayanak · Kuruma Göre Örnek Başvuru Taslakları</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6626"/>
      </w:tblGrid>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Hazırlayan</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telsiz camiası — gönüllü hukuk/mevzuat çalışma grubu</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Tarih</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185773">
            <w:r>
              <w:rPr>
                <w:color w:val="000000"/>
                <w:sz w:val="18"/>
                <w:szCs w:val="18"/>
              </w:rPr>
              <w:t>24 Eylül 2026</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Sürüm</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185773">
            <w:r>
              <w:rPr>
                <w:color w:val="000000"/>
                <w:sz w:val="18"/>
                <w:szCs w:val="18"/>
              </w:rPr>
              <w:t xml:space="preserve">v1.5 (25.09.2026): GA-BAND-3'ün gerekçe ve talebi Milli Frekans Planı'nın (2023) Milli Plan sütununa göre yeniden ifade edildi: MFP'nin amatör servise tahsis ettiği 5650-5850 MHz, 10-10,5 GHz ve 24-24,25 GHz aralıklarının TAD ve FTM'de yalnızca bir bölümü tanımlıdır; 2,4 GHz'de ulusal amatör tahsisi yoktur (aynı satırda Milli Plan sütununda HAVA MOBİL). · v1.4 (24.09.2026): GA-BAND-1'in (ii) talebi, CEPT T/R 61-01'in yürürlükteki baskısında bulunmayan "Tier 1/Tier 2" yapısı yerine Tavsiyenin gerçek yapısına göre yeniden ifade edildi; talebin özü (Yönetmeliğin CEPT T/R 61-01 ile uyumlu kapsamlı güncellenmesi) korundu. GA-AREDN talebi (5,8 GHz'de güç ve emisyon tipleri TAD08-01-06'da zaten tanımlı, eksik olan geniş bantlı sayısal emisyonlar; 2,4 GHz'de tahsis yok) ve GA-DIG gerekçesindeki emisyon tablosu cümlesi TAD ve FTM metinlerine göre düzeltildi. TAD tarihi, ECA dipnotu, FTM emisyon tablosu numarası ve FTM 2022'nin statüsü Tablo A v1.2 ile eşitlendi. · v1.3 — olgusal düzeltmeler (24.09.2026): 6112'de yayın tanımının maddesi ve metni, 2918 sayılı KTK'nın araca ilişkin maddeleri, Amatör Telsizcilik Yönetmeliği'nin yürürlükten kaldırılma tarihi, KEGM Yönetmeliği Md.4 atfı ve 2,4 GHz için Milli Frekans Planı öncülü birincil metinlere göre düzeltildi. · v1.2 (11.09.2026): uzlaşı oylamasının sonuçlarına göre revize — GA-3 ve GA-RX/Kanal talepleri Ek'e alındı, GA-SK açıklama talebine dönüştürüldü, GA-ARAC ve GA-LORA düzenleme talebine yükseltildi</w:t>
            </w:r>
            <w:r>
              <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Eşlik eden dosyalar</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Tablo A Mevzuat Analizi (v1.4), Mevzuat Envanteri (v1.4), Uzlaşı Oy Pusulası (v1.3), Uzlaşı Oylaması Sayım Raporu (v1.0)</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Kapsam</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Kuruma giden C (yazılı görüş) ve D (mevzuat değişikliği) nitelikli 20 talep; 2 talep topluluk tercihi ile Ek'e alındı</w:t>
            </w:r>
          </w:p>
        </w:tc>
      </w:tr>
    </w:tbl>
    <w:p w:rsidR="005C0D87" w:rsidRDefault="005C0D87">
      <w:pPr>
        <w:spacing w:before="200"/>
      </w:pPr>
    </w:p>
    <w:p w:rsidR="005C0D87" w:rsidRDefault="00914645">
      <w:pPr>
        <w:pStyle w:val="Heading10"/>
      </w:pPr>
      <w:r>
        <w:t>1. Bu Belge Nasıl Kullanılır</w:t>
      </w:r>
    </w:p>
    <w:p w:rsidR="005C0D87" w:rsidRDefault="00914645">
      <w:pPr>
        <w:spacing w:after="120"/>
        <w:jc w:val="both"/>
      </w:pPr>
      <w:r>
        <w:t>Bu belge, amatör telsizcilik (amatör radyoculuk) alanında Tablo A'da tespit edilen gri alanların kurumlar nezdinde çözümü için hazırlanmış talep setidir. Aşağıdaki matris, her talebin hedef kurumunu, dayanağını ve türünü (C: yazılı görüş talebi, D: mevzuat değişikliği talebi) özetler. Ardından her kurum için, dernek/kulüp adına doğrudan gönderilebilecek örnek başvuru taslakları verilmiştir. Taslaklardaki köşeli parantezli alanlar (ad-soyad, çağrı işareti, kulüp adı, tarih) gönderim öncesi doldurulmalıdır.</w:t>
      </w:r>
    </w:p>
    <w:p w:rsidR="005C0D87" w:rsidRDefault="00914645">
      <w:pPr>
        <w:spacing w:after="200"/>
        <w:jc w:val="both"/>
      </w:pPr>
      <w:r>
        <w:t>Not: Talepler, kolektif hukuki izlemenin bireysel girişimden daha etkili olduğu ilkesiyle ve mevcut iyi uygulamayı yasal çerçeveye kavuşturma çerçevesinde kurgulanmıştır. Belgedeki tüm dayanaklar Tablo A'nın birincil kaynaklarına dayanır.</w:t>
      </w:r>
    </w:p>
    <w:p>
      <w:pPr>
        <w:spacing w:before="60" w:after="60"/>
        <w:jc w:val="both"/>
      </w:pPr>
      <w:r>
        <w:t xml:space="preserve">Bu sürümdeki talepler, 9 Ağustos – 8 Eylül 2026 arasında yürütülen uzlaşı oylamasının sonuçlarına göre düzenlenmiştir. Oylamaya 50 pusula katılmış, 22 gri alanın tamamı oylanmıştır. Oylama bağlayıcı değildir ve kimlik toplanmadığı için sonuçlar "kaç kişi" değil "kaç oy" olarak okunmalıdır; ham veri ve sayım usulü Uzlaşı Oylaması Sayım Raporu v1.0 ile birlikte yayımlanmıştır. Topluluğun mevcut durumun korunmasını tercih ettiği gri alanlar başvuru metninden çıkarılmış, gerekçeleri ve oy sonuçlarıyla birlikte belgenin sonundaki Ek bölümüne alınmıştır.</w:t>
      </w:r>
    </w:p>
    <w:p w:rsidR="005C0D87" w:rsidRDefault="00914645">
      <w:pPr>
        <w:pStyle w:val="Heading10"/>
      </w:pPr>
      <w:r>
        <w:t>2. Talep Matrisi</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40"/>
        <w:gridCol w:w="2886"/>
        <w:gridCol w:w="1652"/>
        <w:gridCol w:w="1860"/>
        <w:gridCol w:w="827"/>
        <w:gridCol w:w="761"/>
      </w:tblGrid>
      <w:tr w:rsidR="005C0D87" w:rsidTr="0051352E">
        <w:trPr>
          <w:tblHeader/>
        </w:trPr>
        <w:tc>
          <w:tcPr>
            <w:tcW w:w="999"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GA</w:t>
            </w:r>
          </w:p>
        </w:tc>
        <w:tc>
          <w:tcPr>
            <w:tcW w:w="2909"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Talep Konusu</w:t>
            </w:r>
          </w:p>
        </w:tc>
        <w:tc>
          <w:tcPr>
            <w:tcW w:w="166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Hedef Kurum</w:t>
            </w:r>
          </w:p>
        </w:tc>
        <w:tc>
          <w:tcPr>
            <w:tcW w:w="187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Dayanak</w:t>
            </w:r>
          </w:p>
        </w:tc>
        <w:tc>
          <w:tcPr>
            <w:tcW w:w="83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Tür</w:t>
            </w:r>
          </w:p>
        </w:tc>
        <w:tc>
          <w:tcPr>
            <w:tcW w:w="7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İlgili Taslak No</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GA-1</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Kapsamlı tek amatör telsizcilik yönetmeliği (“Part 97 TR”)</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Ulaştırma ve Altyapı Bak. / 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5809 Md.37/3; 2813; CEPT T/R 61-01/61-02</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1</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GA-BAND-1</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Sınıf (A/B/C) × bant × güç resmi yetki tablosu</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FTM Tablo 25; KEGM Sınav Yön.; TAD (2018)</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GA-3</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CEPT T/R 61-01 ve 61-02'nin yönetmeliğe yansıtılması; B/C HAREC yolu</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Ulaştırma ve Altyapı Bak.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CEPT T/R 61-01; T/R 61-02</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Ek</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GA-4</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cihazların geçici yurt dışı çıkışı için standart prosedür</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Ticaret Bak. (Gümrükler 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Gümrük Yön. Ek-71; CEPT T/R 61-01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4</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GA-5 / GA-DIG</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TAD (2018) güncellemesi: dijital mod + SDR emisyon tipleri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ITU-RR Md.25 §25.2A; TAD (2018); FTM Tablo 26-1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GA-6</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anten kurulumu ve KMK Md.19 çatışmasını gideren düzenleme/genelge</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ÇŞİB / BTK-KEGM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634 KMK Md.19; 5809 Md.37/3</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7</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GA-RX</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RX (dinleme) serbestisinin kodifikasyonu; satıcı RX kısıtlaması zorunlu değil</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2813 Md.36; TCK Md.132-133; 5809 Md.37/3</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sidP="00105C83">
            <w:pPr>
              <w:jc w:val="center"/>
            </w:pPr>
            <w:r>
              <w:rPr>
                <w:b/>
                <w:bCs/>
                <w:color w:val="000000"/>
                <w:sz w:val="18"/>
                <w:szCs w:val="18"/>
              </w:rPr>
              <w:t>GA-</w:t>
              <w:lastRenderedPageBreak/>
              <w:t>RX/Kanal</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
              <w:rPr>
                <w:color w:val="000000"/>
                <w:sz w:val="18"/>
                <w:szCs w:val="18"/>
              </w:rPr>
              <w:lastRenderedPageBreak/>
              <w:t xml:space="preserve">Kanal/tarama hafızasındaki </w:t>
              <w:lastRenderedPageBreak/>
              <w:t>frekans kaydının delil takdirinde teknik gerçeğe göre değerlendirilmesi; teknik açıklama</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
              <w:lastRenderedPageBreak/>
              <w:t xml:space="preserve">BTK + Adalet </w:t>
              <w:lastRenderedPageBreak/>
              <w:t>Bak.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
              <w:rPr>
                <w:color w:val="000000"/>
                <w:sz w:val="18"/>
                <w:szCs w:val="18"/>
              </w:rPr>
              <w:lastRenderedPageBreak/>
              <w:t xml:space="preserve">2813 Md.36; CMK </w:t>
              <w:lastRenderedPageBreak/>
              <w:t>Md.134; TCK Md.132-133</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sidP="00DD4A20">
            <w:pPr>
              <w:jc w:val="center"/>
            </w:pPr>
            <w:r>
              <w:rPr>
                <w:color w:val="000000"/>
                <w:sz w:val="18"/>
                <w:szCs w:val="18"/>
              </w:rPr>
              <w:lastRenderedPageBreak/>
              <w:t>—</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sidP="00DD4A20">
            <w:pPr>
              <w:jc w:val="center"/>
            </w:pPr>
            <w:r>
              <w:rPr>
                <w:color w:val="000000"/>
                <w:sz w:val="18"/>
                <w:szCs w:val="18"/>
              </w:rPr>
              <w:t>Ek</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lastRenderedPageBreak/>
              <w:t>GA-NODE</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İnternet-RF köprüsünün (EchoLink/WebSDR) 6112'de yayın sayılmadığı ortak görüş</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RTÜK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6112 Md.3/1-ff; 5809</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6</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GA-CROSS</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Acil/EMCOMM cross-band ve bireysel röle erişimi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KEGM Sınav Yön. Md.4/1-a; ITU-RR Md.25</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GA-POC</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telsiz” ibaresinin RF sistemlerine özgülenmesi; yanıltıcı pazarlama</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Ticaret Bak. (Reklam Kurulu)/BTK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ITU-RR Md.1 §1.56; 6502 TKHK</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5</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GA-ENFORC</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Röle erişim hakkı ve etik işletim için tavsiye kararı/genelge</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ITU-RR Md.15</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GA-BAND-2</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70,0-70,5 MHz (4m) ikincil amatör tahsisi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BTK MFP; ECA/ERC Rep.25 (ECA9)</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GA-BAND-3</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Mikrodalga: MFP'de tahsisli olup TAD/FTM'de yer almayan 5,7/10/24 GHz aralıkları; 2,4 GHz için önce tahsis</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MFP; TAD (2018) TAD08-01-06; IARU R1 SHF</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GA-ARAC</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Mobil amatör istasyon anten montajı ve trafikte kullanım (Md.72/73) çerçevesi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FTM Tablo 25; 2918 KTK Md.32, 72, 73/1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GA-POTA</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POTA arazi izinleri için “hangi kurum” tablosu/tebliğ</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Tarım ve Orman Bak. / ÇŞİB / 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2873; 6831 Md.17; 5393; 3621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8</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GA-AREDN</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5,8 GHz TAD emisyon listesi; “kendi imalı cihaz” tanımı</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MFP; TAD08-01-06; IARU R1 SHF</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GA-LORA</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433 MHz SRD-amatör sınırı; 915 MHz ithal cihaz tüketici uyarısı</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FTM Teknik Ölçütler (2022); MFP 900-960 (hücresel)</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Pr>
                <w:b/>
                <w:bCs/>
                <w:color w:val="000000"/>
                <w:sz w:val="18"/>
                <w:szCs w:val="18"/>
              </w:rPr>
              <w:t>GA-SK</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Silent Key / çağrı işareti yaşam döngüsü ve vesayet (in-memoriam)</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 Sınav Yön. (RG 27482); 10 yıl pasif</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9</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Pr>
                <w:b/>
                <w:bCs/>
                <w:color w:val="000000"/>
                <w:sz w:val="18"/>
                <w:szCs w:val="18"/>
              </w:rPr>
              <w:t>GA-CALL</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Bölge değişiminde çağrı işareti; ülke geneli taşınabilirlik</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 Sınav Yön. (RG 27482)</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9</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Pr>
                <w:b/>
                <w:bCs/>
                <w:color w:val="000000"/>
                <w:sz w:val="18"/>
                <w:szCs w:val="18"/>
              </w:rPr>
              <w:t>GA-CIHAZ</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Piyasa gözetimi; satışta belge kontrolü; cihaz devri kaydı; SDR/dual-use rehberi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BTK + Ticaret Bak.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TTTE Yön. (RED 2014/53/AB); BTK 2019 güvensiz cihaz kararı</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11</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Pr>
                <w:b/>
                <w:bCs/>
                <w:color w:val="000000"/>
                <w:sz w:val="18"/>
                <w:szCs w:val="18"/>
              </w:rPr>
              <w:t>GA-EMCOMM</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Ulusal amatör afet haberleşme protokolü (MOU) ve tatbikat usulü</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AFAD + KEGM/BTK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 Sınav Yön. Md.4/1-a ve 4/1-e; IARU ETG</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10</w:t>
            </w:r>
          </w:p>
        </w:tc>
      </w:tr>
    </w:tbl>
    <w:p w:rsidR="005C0D87" w:rsidRDefault="00914645">
      <w:pPr>
        <w:spacing w:before="60"/>
      </w:pPr>
      <w:r>
        <w:rPr>
          <w:i/>
          <w:iCs/>
          <w:color w:val="888888"/>
          <w:sz w:val="16"/>
          <w:szCs w:val="16"/>
        </w:rPr>
        <w:t>C = yazılı görüş/açıklama talebi · D = mevzuat/prosedür değişikliği talebi</w:t>
      </w:r>
    </w:p>
    <w:p>
      <w:pPr>
        <w:spacing w:before="60" w:after="60"/>
        <w:jc w:val="both"/>
      </w:pPr>
      <w:r>
        <w:rPr>
          <w:i/>
        </w:rPr>
        <w:t xml:space="preserve">Tür sütunu, uzlaşı oylamasının sonucuna göre güncellenmiştir. "—" işaretli iki satır (GA-3, GA-RX/Kanal) toplulukça mevcut durumun korunması yönünde oylandığı için kuruma başvuruya dönüştürülmemiş, Ek bölümünde tutulmuştur.</w:t>
      </w:r>
    </w:p>
    <w:p w:rsidR="005C0D87" w:rsidRDefault="00914645">
      <w:r>
        <w:br w:type="page"/>
      </w:r>
    </w:p>
    <w:p w:rsidR="005C0D87" w:rsidRDefault="00914645">
      <w:pPr>
        <w:pStyle w:val="Heading10"/>
      </w:pPr>
      <w:r>
        <w:lastRenderedPageBreak/>
        <w:t>3. Kuruma Göre Örnek Başvuru Taslakları</w:t>
      </w:r>
    </w:p>
    <w:p w:rsidR="005C0D87" w:rsidRDefault="00914645">
      <w:pPr>
        <w:pStyle w:val="Heading20"/>
      </w:pPr>
      <w:r>
        <w:t>Taslak 1 — T.C. Ulaştırma ve Altyapı Bakanlığı — Haberleşme Genel Müdürlüğü</w:t>
      </w:r>
    </w:p>
    <w:p w:rsidR="005C0D87" w:rsidRDefault="00914645">
      <w:pPr>
        <w:spacing w:after="120"/>
      </w:pPr>
      <w:r>
        <w:rPr>
          <w:b/>
          <w:bCs/>
        </w:rPr>
        <w:t>T.C. Ulaştırma ve Altyapı Bakanlığı — Haberleşme Genel Müdürlüğü</w:t>
      </w:r>
    </w:p>
    <w:p w:rsidR="005C0D87" w:rsidRDefault="00914645">
      <w:pPr>
        <w:spacing w:after="60"/>
      </w:pPr>
      <w:r>
        <w:rPr>
          <w:b/>
          <w:bCs/>
          <w:color w:val="1F3864"/>
        </w:rPr>
        <w:t xml:space="preserve">Konu: </w:t>
      </w:r>
      <w:r>
        <w:t>Amatör telsizcilikte kapsamlı ulusal düzenleme</w:t>
      </w:r>
    </w:p>
    <w:p w:rsidR="005C0D87" w:rsidRDefault="00914645">
      <w:pPr>
        <w:spacing w:after="60"/>
      </w:pPr>
      <w:r>
        <w:rPr>
          <w:b/>
          <w:bCs/>
          <w:color w:val="1F3864"/>
        </w:rPr>
        <w:t xml:space="preserve">İlgili gri alan(lar): </w:t>
      </w:r>
      <w:r>
        <w:t>GA-1</w:t>
      </w:r>
    </w:p>
    <w:p w:rsidR="005C0D87" w:rsidRDefault="00914645">
      <w:pPr>
        <w:spacing w:before="80" w:after="100"/>
      </w:pPr>
      <w:r>
        <w:t>Sayın Yetkili,</w:t>
      </w:r>
    </w:p>
    <w:p w:rsidR="005C0D87" w:rsidRDefault="00914645">
      <w:pPr>
        <w:spacing w:after="120"/>
        <w:jc w:val="both"/>
      </w:pPr>
      <w:r>
        <w:t>18/3/2004 tarihli ve 25406 sayılı Resmî Gazete'de yayımlanan Amatör Telsizcilik Yönetmeliği, 18/7/2009 tarihli ve 27292 sayılı Resmî Gazete'de yayımlanan Özel Telsiz Sistemleri Yönetmeliği'nin 6 ncı maddesiyle yürürlükten kaldırılmış; yerine kapsamlı ve tek parça bir düzenleme çıkarılmamıştır. Amatörlerin hak ve yükümlülükleri; Anayasa Md.22, 5809 sayılı Kanun Md.37/3, Spektrum Yönetimi Yönetmeliği Md.7-8, Telsiz Yönetmeliği Md.2/4, FTM Yönetmeliği ve Tablo 25 ile KEGM Sınav Yönetmeliği Md.4/1-e gibi yedi ayrı mevzuattan derlenmek zorundadır. Bu dağınıklık, saha uygulamasında belirsizlik ve uyuşmazlık doğurmaktadır.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2"/>
        </w:numPr>
        <w:spacing w:after="60"/>
        <w:jc w:val="both"/>
      </w:pPr>
      <w:r>
        <w:t>Amatör telsizciliğe özgü, güncel ve tek parça bir yönetmeliğin (bütüncül bir çerçeve) hazırlanması.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lastRenderedPageBreak/>
        <w:t>Taslak 2 — T.C. Bilgi Teknolojileri ve İletişim Kurumu (BTK)</w:t>
      </w:r>
    </w:p>
    <w:p w:rsidR="005C0D87" w:rsidRDefault="00914645">
      <w:pPr>
        <w:spacing w:after="120"/>
      </w:pPr>
      <w:r>
        <w:rPr>
          <w:b/>
          <w:bCs/>
        </w:rPr>
        <w:t>T.C. Bilgi Teknolojileri ve İletişim Kurumu (BTK)</w:t>
      </w:r>
    </w:p>
    <w:p w:rsidR="005C0D87" w:rsidRDefault="00914645">
      <w:pPr>
        <w:spacing w:after="60"/>
      </w:pPr>
      <w:r>
        <w:rPr>
          <w:b/>
          <w:bCs/>
          <w:color w:val="1F3864"/>
        </w:rPr>
        <w:t xml:space="preserve">Konu: </w:t>
      </w:r>
      <w:r>
        <w:t xml:space="preserve">TAD (2018), FTM teknik ölçütler ve Milli Frekans Planı güncelleme talepleri</w:t>
      </w:r>
    </w:p>
    <w:p w:rsidR="005C0D87" w:rsidRDefault="00914645">
      <w:pPr>
        <w:spacing w:after="60"/>
      </w:pPr>
      <w:r>
        <w:rPr>
          <w:b/>
          <w:bCs/>
          <w:color w:val="1F3864"/>
        </w:rPr>
        <w:t xml:space="preserve">İlgili gri alan(lar): </w:t>
      </w:r>
      <w:r>
        <w:t>GA-5/GA-DIG, GA-RX, GA-BAND-2, GA-BAND-3, GA-ARAC, GA-LORA</w:t>
      </w:r>
    </w:p>
    <w:p w:rsidR="005C0D87" w:rsidRDefault="00914645">
      <w:pPr>
        <w:spacing w:before="80" w:after="100"/>
      </w:pPr>
      <w:r>
        <w:t>Sayın Yetkili,</w:t>
      </w:r>
    </w:p>
    <w:p w:rsidR="005C0D87" w:rsidRDefault="00914645">
      <w:pPr>
        <w:spacing w:after="120"/>
        <w:jc w:val="both"/>
      </w:pPr>
      <w:r>
        <w:t xml:space="preserve">TAD (2018) ve FTM Teknik Ölçütler emisyonları ITU sınıflandırmasıyla sayar. FTM Tablo 26-1, ses ve telgraf tiplerinin yanında A1D, F1D ve J2D gibi veri emisyonları dahil 24 tip içerir ve Tablo 25 HF bantlarında J2D'ye izin verir; TAD'ın HF listesi (TAD08-01-03) ise bu veri emisyonlarını içermez, iki belge bu noktada birbirinden ayrılır. FT8, FT4, JS8Call, WSPR, Winlink/VARA, APRS, D-STAR, DMR, C4FM ve DATV gibi kamuya açık ve belgeli dijital modlar ile SDR sistemleri ise adıyla anılmamakta, hangi emisyon sınıfına girdikleri açıklanmamaktadır. Bu modlar, ITU-RR Md.25 §25.2A'daki “anlam gizleme amacı” testini karşılamadığından şifreleme yasağı kapsamında değildir; ancak listelenmemeleri kullanımda gri alan yaratmaktadır.</w:t>
      </w:r>
    </w:p>
    <w:p w:rsidR="005C0D87" w:rsidRDefault="00914645">
      <w:pPr>
        <w:spacing w:after="120"/>
        <w:jc w:val="both"/>
      </w:pPr>
      <w:r>
        <w:t xml:space="preserve">Milli Frekans Planı'nın Milli Plan sütununda amatör servise 5650-5850 MHz, 10-10,5 GHz ve 24-24,25 GHz tahsis edilmişken TAD (2018) TAD08-01-06 ve FTM Teknik Ölçütler Tablo 25 bu aralıkların yalnızca bir bölümünü (5650-5670, 5820-5850, 10450-10452 ve 24000-24050 MHz) tanımlamaktadır; 5670-5820 MHz, 10000-10450 ve 10452-10500 MHz, 24050-24250 MHz için teknik şart bulunmamaktadır; 70,0-70,5 MHz (4m) ise hiç tahsisli değildir. 2,4 GHz bandında durum farklıdır: Planın 2400 MHz satırında “Amateur” yalnızca ITU Bölge-1 sütununda görünmekte, Milli Plan sütununda amatör tahsisi yer almamaktadır (aynı satırda Milli Plan sütununda HAVA MOBİL yer almaktadır) — burada eksik olan teknik şart değil tahsisin kendisidir. Ayrıca salt dinleme (RX) serbestisi kodifiye edilmemiş, yetkili satıcılar dayanaksız RX kısıtlaması uygulamaktadır. LoRa/Meshtastic cihazlarında 433/868 MHz SRD ile amatör bant sınırı belirsizdir; 915 MHz ise Türkiye'de 900-960 MHz hücresel spektruma denk geldiğinden yasa dışı olmasına rağmen ithal cihazlarla piyasadadır.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3"/>
        </w:numPr>
        <w:spacing w:after="60"/>
        <w:jc w:val="both"/>
      </w:pPr>
      <w:r>
        <w:t xml:space="preserve">TAD (2018)'in güncellenerek FT8, FT4, JS8Call, WSPR, Winlink/VARA, APRS, D-STAR, DMR, C4FM ve DATV emisyon tiplerinin ve SDR sistemlerinin kapsama alınması; “anlam gizleme amacı” testinin ulusal düzenlemede açıklanması.</w:t>
      </w:r>
    </w:p>
    <w:p w:rsidR="005C0D87" w:rsidRDefault="00914645">
      <w:pPr>
        <w:pStyle w:val="ListeParagraf"/>
        <w:numPr>
          <w:ilvl w:val="0"/>
          <w:numId w:val="3"/>
        </w:numPr>
        <w:spacing w:after="60"/>
        <w:jc w:val="both"/>
      </w:pPr>
      <w:r>
        <w:t>“RX (dinleme) eylemi serbesttir; suçu ifşa ve hukuka aykırı kullanım oluşturur” ilkesinin 5809 EHK veya alt düzenlemede kodifiye edilmesi; yetkili satıcıların RX kısıtlama zorunluluğu bulunmadığının rehberle açıklanması.</w:t>
      </w:r>
    </w:p>
    <w:p w:rsidR="005C0D87" w:rsidRDefault="00914645">
      <w:pPr>
        <w:pStyle w:val="ListeParagraf"/>
        <w:numPr>
          <w:ilvl w:val="0"/>
          <w:numId w:val="3"/>
        </w:numPr>
        <w:spacing w:after="60"/>
        <w:jc w:val="both"/>
      </w:pPr>
      <w:r>
        <w:t xml:space="preserve">70,0-70,5 MHz bandının MFP'ye ikincil amatör tahsis olarak eklenmesi (ECA Tablosu / ERC Report 25 dipnotu ECA9 referansıyla) ve TAD'e işlenmesi.</w:t>
      </w:r>
    </w:p>
    <w:p w:rsidR="005C0D87" w:rsidRDefault="00914645">
      <w:pPr>
        <w:pStyle w:val="ListeParagraf"/>
        <w:numPr>
          <w:ilvl w:val="0"/>
          <w:numId w:val="3"/>
        </w:numPr>
        <w:spacing w:after="60"/>
        <w:jc w:val="both"/>
      </w:pPr>
      <w:r>
        <w:t xml:space="preserve">Milli Frekans Planı'nda amatör servise tahsisli olduğu hâlde TAD (2018) TAD08-01-06 ve FTM Tablo 25'te yer almayan aralıkların (5670-5820 MHz, 10000-10450 ve 10452-10500 MHz, 24050-24250 MHz) teknik şartlarıyla (azami güç, emisyon tipi, bant segmenti) TAD'a ve FTM Tablo 25'e eklenmesi; 2,4 GHz bandı için ise önce Milli Frekans Planı'na ikincil amatör tahsisin işlenmesi, ardından teknik şartların tanımlanması.</w:t>
      </w:r>
    </w:p>
    <w:p w:rsidR="005C0D87" w:rsidRDefault="00914645">
      <w:pPr>
        <w:pStyle w:val="ListeParagraf"/>
        <w:numPr>
          <w:ilvl w:val="0"/>
          <w:numId w:val="3"/>
        </w:numPr>
        <w:spacing w:after="60"/>
        <w:jc w:val="both"/>
      </w:pPr>
      <w:r>
        <w:t>2918 sayılı Karayolları Trafik Kanununun 32 nci maddesi (araç üzerindeki teknik değişiklikler ve bildirim zorunluluğu) ile 72 nci maddesi (araçlarda ses, müzik, görüntü ve haberleşme cihazlarının kullanılması) kapsamında, araca amatör telsiz istasyonu ve anteni montajı için net bir çerçeve oluşturulması; sürüş sırasında kullanım yasağının 73 üncü maddenin birinci fıkrasında düzenlendiği ve idari para cezasının 12/2/2026 tarihli ve 7574 sayılı Kanunla ikinci fıkrada yeniden belirlendiği dikkate alınarak, sabit montajlı amatör istasyonun bu yasak karşısındaki durumunun açıklığa kavuşturulması.</w:t>
      </w:r>
    </w:p>
    <w:p w:rsidR="005C0D87" w:rsidRDefault="00914645">
      <w:pPr>
        <w:pStyle w:val="ListeParagraf"/>
        <w:numPr>
          <w:ilvl w:val="0"/>
          <w:numId w:val="3"/>
        </w:numPr>
        <w:spacing w:after="60"/>
        <w:jc w:val="both"/>
      </w:pPr>
      <w:r>
        <w:t>433 MHz SRD ile amatör bant kullanımı arasındaki sınırın netleştirilmesi; 915 MHz ithal LoRa/Meshtastic cihazları için tüketici uyarısı; çağrı işareti içeren LoRa-APRS iletimlerinin SRD muafiyeti kapsamında kaldığının FTM düzenlemesine eklenecek bir madde ile açıklığa kavuşturulması.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3 — BTK ve Kıyı Emniyeti Genel Müdürlüğü (KEGM)</w:t>
      </w:r>
    </w:p>
    <w:p w:rsidR="005C0D87" w:rsidRDefault="00914645">
      <w:pPr>
        <w:spacing w:after="120"/>
      </w:pPr>
      <w:r>
        <w:rPr>
          <w:b/>
          <w:bCs/>
        </w:rPr>
        <w:t>BTK ve Kıyı Emniyeti Genel Müdürlüğü (KEGM)</w:t>
      </w:r>
    </w:p>
    <w:p w:rsidR="005C0D87" w:rsidRDefault="00914645">
      <w:pPr>
        <w:spacing w:after="60"/>
      </w:pPr>
      <w:r>
        <w:rPr>
          <w:b/>
          <w:bCs/>
          <w:color w:val="1F3864"/>
        </w:rPr>
        <w:t xml:space="preserve">Konu: </w:t>
      </w:r>
      <w:r>
        <w:t>Belge sınıfı yetki tablosu, röle/cross-band işletimi ve amatör mesh ağ parametreleri</w:t>
      </w:r>
    </w:p>
    <w:p w:rsidR="005C0D87" w:rsidRDefault="00914645">
      <w:pPr>
        <w:spacing w:after="60"/>
      </w:pPr>
      <w:r>
        <w:rPr>
          <w:b/>
          <w:bCs/>
          <w:color w:val="1F3864"/>
        </w:rPr>
        <w:t xml:space="preserve">İlgili gri alan(lar): </w:t>
      </w:r>
      <w:r>
        <w:t>GA-BAND-1, GA-CROSS, GA-ENFORC, GA-AREDN</w:t>
      </w:r>
    </w:p>
    <w:p w:rsidR="005C0D87" w:rsidRDefault="00914645">
      <w:pPr>
        <w:spacing w:before="80" w:after="100"/>
      </w:pPr>
      <w:r>
        <w:t>Sayın Yetkili,</w:t>
      </w:r>
    </w:p>
    <w:p w:rsidR="005C0D87" w:rsidRDefault="00914645">
      <w:pPr>
        <w:spacing w:after="120"/>
        <w:jc w:val="both"/>
      </w:pPr>
      <w:r>
        <w:t xml:space="preserve">A, B ve C sınıflarının yetkili bantları ile azami güç değerleri, yürürlükteki FTM Teknik Ölçütler (BTK Kurul Kararı 23.09.2022, 2022/İK-SYD/245) Madde 22 ve Tablo 25'te yayımlanmış olmakla birlikte; KEGM Sınav Yönetmeliği Md.18 hâlâ 27/11/2018'de mülga edilen Özel Telsiz Sistemleri Yönetmeliği EK-4 Tablo-1'e atıf yapmakta, böylece mevzuat içi atıf zinciri kırık kalmaktadır. Ayrıca kritik farklar (50-52 MHz'in C sınıfına kapalı olması; B sınıfının 40m ve 10m'de kendi imalı cihazla 5W ile çalışabilmesi; Md.22 §10 uyarınca B ve C sınıfının sorumlu operatör gözetiminde tüm bantlara erişebilmesi) yeterince duyurulmamaktadır. CEPT T/R 61-01'in yürürlükteki baskısı (18 Ekim 2024) tek bir "CEPT lisansı" düzeyi tanımlar ve her ülkenin bu düzeye denk ulusal sınıflarını Ek 2'de listeler; Türkiye için listelenen sınıf A'dır. KEGM Sınav Yönetmeliği ise belge sınıflarını bu çerçeveyle ilişkilendiren bir hüküm içermemekte, Md.25'te yalnızca CEPT kararlarının KEGM'ce uygun görülmesi hâlinde uygulanacağını belirtmektedir.</w:t>
      </w:r>
    </w:p>
    <w:p w:rsidR="005C0D87" w:rsidRDefault="00914645">
      <w:pPr>
        <w:spacing w:after="120"/>
        <w:jc w:val="both"/>
      </w:pPr>
      <w:r>
        <w:t xml:space="preserve">Röle (tekrarlayıcı) işletimi uygulamada dernek tüzel kişiliğine bağlıdır; bireysel cross-band ve acil durum (EMCOMM) geçici işletimi tanımsızdır. Ayrıca yaptırımın yalnızca lisanslı ve kimliği belirlenebilen operatöre uygulanabilmesi ile röle mandalcılığı, topluluk düzenini olumsuz etkilemektedir. AREDN mesh ağları için 5,8 GHz amatör segmentleri (5650-5670 ve 5820-5850 MHz) TAD08-01-06'da azami güç ve emisyon tipleriyle tanımlıdır; ancak listelenen emisyon tipleri AREDN'in kullandığı geniş bantlı sayısal (802.11) emisyonları kapsamamaktadır. 2,4 GHz'de ise Milli Frekans Planı'nda amatör tahsisi yoktur. Ayrıca “kendi imalı cihaz” tanımı belirsizdir.</w:t>
      </w:r>
    </w:p>
    <w:p w:rsidR="005C0D87" w:rsidRDefault="00914645">
      <w:pPr>
        <w:spacing w:before="40" w:after="80"/>
      </w:pPr>
      <w:r>
        <w:rPr>
          <w:b/>
          <w:bCs/>
          <w:color w:val="1F3864"/>
        </w:rPr>
        <w:t>Bu çerçevede Kurumunuzdan talebimiz:</w:t>
      </w:r>
    </w:p>
    <w:p w:rsidR="005C0D87" w:rsidRDefault="00914645">
      <w:pPr>
        <w:pStyle w:val="ListeParagraf"/>
        <w:numPr>
          <w:ilvl w:val="0"/>
          <w:numId w:val="4"/>
        </w:numPr>
        <w:spacing w:after="60"/>
        <w:jc w:val="both"/>
      </w:pPr>
      <w:r>
        <w:t xml:space="preserve">KEGM Sınav Yönetmeliği Md.18'deki mülga Özel Telsiz Sistemleri Yönetmeliği atfının yürürlükteki FTM Teknik Ölçütler Madde 22 / Tablo 25 ile değiştirilmesi; sınıf yetki tablosunun amatör telsizciliğe özgü bir düzenlemede konsolide edilerek Resmî Gazete düzeyinde erişilebilir kılınması; B sınıfı 40m/10m homebrew provizyonu ile Md.22 §10 gözetimli erişim hakkının duyurulması. Bu maddede topluluk ikiye bölündüğü için iki talep birlikte iletilmektedir: (i) KEGM'den tüm sınıfların yetkili bantlarını ve azami güç değerlerini gösteren resmî bir tablonun yayımlanması, (ii) Yönetmeliğin CEPT T/R 61-01 ile uyumlu biçimde kapsamlı olarak güncellenmesi.</w:t>
      </w:r>
    </w:p>
    <w:p w:rsidR="005C0D87" w:rsidRDefault="00914645">
      <w:pPr>
        <w:pStyle w:val="ListeParagraf"/>
        <w:numPr>
          <w:ilvl w:val="0"/>
          <w:numId w:val="4"/>
        </w:numPr>
        <w:spacing w:after="60"/>
        <w:jc w:val="both"/>
      </w:pPr>
      <w:r>
        <w:t>Acil durum/EMCOMM kapsamında bireysel geçici cross-band yardımının serbest sayılması veya basit bildirime bağlanması; röle işletiminin bireysel A sınıfı belge sahiplerine de tanınması ve IARU R1 koordinasyon modelinin benimsenmesi.</w:t>
      </w:r>
    </w:p>
    <w:p w:rsidR="005C0D87" w:rsidRDefault="00914645">
      <w:pPr>
        <w:pStyle w:val="ListeParagraf"/>
        <w:numPr>
          <w:ilvl w:val="0"/>
          <w:numId w:val="4"/>
        </w:numPr>
        <w:spacing w:after="60"/>
        <w:jc w:val="both"/>
      </w:pPr>
      <w:r>
        <w:t>Röle erişim hakkı ve etik işletim için sektör rehberi/tavsiye kararı yayımlanması; KEGM Yönetmeliği'ne röle erişim hakkı ve ihlal prosedürü maddesi eklenmesi.</w:t>
      </w:r>
    </w:p>
    <w:p w:rsidR="005C0D87" w:rsidRDefault="00914645">
      <w:pPr>
        <w:pStyle w:val="ListeParagraf"/>
        <w:numPr>
          <w:ilvl w:val="0"/>
          <w:numId w:val="4"/>
        </w:numPr>
        <w:spacing w:after="60"/>
        <w:jc w:val="both"/>
      </w:pPr>
      <w:r>
        <w:t xml:space="preserve">5,8 GHz amatör segmentinde AREDN'in kullandığı geniş bantlı sayısal emisyonların TAD08-01-06 emisyon listesine eklenmesi (2,4 GHz'de önce tahsis gerektiğinden bu banda ilişkin talep Taslak 2'de GA-BAND-3 kapsamında iletilmektedir); firmware'i değiştirilen ticari donanımın “kendi imalı cihaz” sayılıp sayılmayacağının ve amatör çağrı işareti yayım zorunluluğunun netleştirilmesi.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4 — T.C. Ticaret Bakanlığı — Gümrükler Genel Müdürlüğü</w:t>
      </w:r>
    </w:p>
    <w:p w:rsidR="005C0D87" w:rsidRDefault="00914645">
      <w:pPr>
        <w:spacing w:after="120"/>
      </w:pPr>
      <w:r>
        <w:rPr>
          <w:b/>
          <w:bCs/>
        </w:rPr>
        <w:t>T.C. Ticaret Bakanlığı — Gümrükler Genel Müdürlüğü</w:t>
      </w:r>
    </w:p>
    <w:p w:rsidR="005C0D87" w:rsidRDefault="00914645">
      <w:pPr>
        <w:spacing w:after="60"/>
      </w:pPr>
      <w:r>
        <w:rPr>
          <w:b/>
          <w:bCs/>
          <w:color w:val="1F3864"/>
        </w:rPr>
        <w:t xml:space="preserve">Konu: </w:t>
      </w:r>
      <w:r>
        <w:t>Amatör telsiz cihazlarının geçici yurt dışı çıkışı için standart prosedür</w:t>
      </w:r>
    </w:p>
    <w:p w:rsidR="005C0D87" w:rsidRDefault="00914645">
      <w:pPr>
        <w:spacing w:after="60"/>
      </w:pPr>
      <w:r>
        <w:rPr>
          <w:b/>
          <w:bCs/>
          <w:color w:val="1F3864"/>
        </w:rPr>
        <w:t xml:space="preserve">İlgili gri alan(lar): </w:t>
      </w:r>
      <w:r>
        <w:t>GA-4</w:t>
      </w:r>
    </w:p>
    <w:p w:rsidR="005C0D87" w:rsidRDefault="00914645">
      <w:pPr>
        <w:spacing w:before="80" w:after="100"/>
      </w:pPr>
      <w:r>
        <w:t>Sayın Yetkili,</w:t>
      </w:r>
    </w:p>
    <w:p w:rsidR="005C0D87" w:rsidRDefault="00914645">
      <w:pPr>
        <w:spacing w:after="120"/>
        <w:jc w:val="both"/>
      </w:pPr>
      <w:r>
        <w:t>Amatör telsizcilerin seyahat amacıyla cihazlarını yurt dışına geçici çıkarması standart bir prosedürden yoksundur. Gümrük Yönetmeliği Ek-71 (ticari nitelikte olmayan eşya geçici ihracat beyannamesi) kullanılmakla birlikte uygulama gümrük müdürlükleri arasında farklılık göstermektedir. CEPT T/R 61-01 kapsamındaki karşılıklı tanıma da gümrük uygulamasına yansımamıştır.</w:t>
      </w:r>
    </w:p>
    <w:p w:rsidR="005C0D87" w:rsidRDefault="00914645">
      <w:pPr>
        <w:spacing w:before="40" w:after="80"/>
      </w:pPr>
      <w:r>
        <w:rPr>
          <w:b/>
          <w:bCs/>
          <w:color w:val="1F3864"/>
        </w:rPr>
        <w:t>Bu çerçevede Kurumunuzdan talebimiz:</w:t>
      </w:r>
    </w:p>
    <w:p w:rsidR="005C0D87" w:rsidRDefault="00914645">
      <w:pPr>
        <w:pStyle w:val="ListeParagraf"/>
        <w:numPr>
          <w:ilvl w:val="0"/>
          <w:numId w:val="5"/>
        </w:numPr>
        <w:spacing w:after="60"/>
        <w:jc w:val="both"/>
      </w:pPr>
      <w:r>
        <w:t>Amatör telsiz cihazlarının geçici çıkışı için il uygulamasından bağımsız, standart bir prosedür belgesi/rehberi yayımlanması.</w:t>
      </w:r>
    </w:p>
    <w:p w:rsidR="005C0D87" w:rsidRDefault="00914645">
      <w:pPr>
        <w:pStyle w:val="ListeParagraf"/>
        <w:numPr>
          <w:ilvl w:val="0"/>
          <w:numId w:val="5"/>
        </w:numPr>
        <w:spacing w:after="60"/>
        <w:jc w:val="both"/>
      </w:pPr>
      <w:r>
        <w:t>Ek-71 formu ve ATA Karnesi kullanımının amatör cihazlar bakımından netleştirilmesi.</w:t>
      </w:r>
    </w:p>
    <w:p w:rsidR="005C0D87" w:rsidRDefault="00914645">
      <w:pPr>
        <w:pStyle w:val="ListeParagraf"/>
        <w:numPr>
          <w:ilvl w:val="0"/>
          <w:numId w:val="5"/>
        </w:numPr>
        <w:spacing w:after="60"/>
        <w:jc w:val="both"/>
      </w:pPr>
      <w:r>
        <w:t>CEPT T/R 61-01 kapsamındaki karşılıklı tanımanın gümrük uygulamasına yansıtılması.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5 — T.C. Ticaret Bakanlığı — Reklam Kurulu / Tüketicinin Korunması Genel Müdürlüğü</w:t>
      </w:r>
    </w:p>
    <w:p w:rsidR="005C0D87" w:rsidRDefault="00914645">
      <w:pPr>
        <w:spacing w:after="120"/>
      </w:pPr>
      <w:r>
        <w:rPr>
          <w:b/>
          <w:bCs/>
        </w:rPr>
        <w:t>T.C. Ticaret Bakanlığı — Reklam Kurulu / Tüketicinin Korunması Genel Müdürlüğü</w:t>
      </w:r>
    </w:p>
    <w:p w:rsidR="005C0D87" w:rsidRDefault="00914645">
      <w:pPr>
        <w:spacing w:after="60"/>
      </w:pPr>
      <w:r>
        <w:rPr>
          <w:b/>
          <w:bCs/>
          <w:color w:val="1F3864"/>
        </w:rPr>
        <w:t xml:space="preserve">Konu: </w:t>
      </w:r>
      <w:r>
        <w:t>“Amatör telsiz” ibaresinin yanıltıcı kullanımı (POC/Zello türü cihazlar)</w:t>
      </w:r>
    </w:p>
    <w:p w:rsidR="005C0D87" w:rsidRDefault="00914645">
      <w:pPr>
        <w:spacing w:after="60"/>
      </w:pPr>
      <w:r>
        <w:rPr>
          <w:b/>
          <w:bCs/>
          <w:color w:val="1F3864"/>
        </w:rPr>
        <w:t xml:space="preserve">İlgili gri alan(lar): </w:t>
      </w:r>
      <w:r>
        <w:t>GA-POC</w:t>
      </w:r>
    </w:p>
    <w:p w:rsidR="005C0D87" w:rsidRDefault="00914645">
      <w:pPr>
        <w:spacing w:before="80" w:after="100"/>
      </w:pPr>
      <w:r>
        <w:t>Sayın Yetkili,</w:t>
      </w:r>
    </w:p>
    <w:p w:rsidR="005C0D87" w:rsidRDefault="00914645">
      <w:pPr>
        <w:spacing w:after="120"/>
        <w:jc w:val="both"/>
      </w:pPr>
      <w:r>
        <w:t>Push-to-Talk over Cellular (POC/Zello) cihazları hücresel altyapıda çalışır ve hiçbir noktada amatör frekans spektrumu kullanmaz; ITU-RR Md.1 §1.56'daki amatör servis tanımını karşılamaz. Buna karşın bazı satıcılar bu cihazları “amatör telsiz” ve “afet haberleşme aracı” olarak pazarlamakta, şehir röleleriyle yetkisiz bağlantı vaadinde bulunmaktadır. Bu durum, 6502 sayılı Tüketicinin Korunması Hakkında Kanun kapsamında yanıltıcı ticari uygulama niteliği taşıyabilir ve tüketici mağduriyetine yol açmaktadır.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6"/>
        </w:numPr>
        <w:spacing w:after="60"/>
        <w:jc w:val="both"/>
      </w:pPr>
      <w:r>
        <w:t>“Amatör telsiz” ibaresinin yalnızca RF tabanlı sistemlere uygulanabileceğinin satıcıya yönelik rehberde açıklanması.</w:t>
      </w:r>
    </w:p>
    <w:p w:rsidR="005C0D87" w:rsidRDefault="00914645">
      <w:pPr>
        <w:pStyle w:val="ListeParagraf"/>
        <w:numPr>
          <w:ilvl w:val="0"/>
          <w:numId w:val="6"/>
        </w:numPr>
        <w:spacing w:after="60"/>
        <w:jc w:val="both"/>
      </w:pPr>
      <w:r>
        <w:t>Yanıltıcı pazarlamaya karşı tüketici şikâyet mekanizmasının işletilmesi ve e-ticaret platformlarına uyarı yönlendirilmesi.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6 — BTK ve Radyo ve Televizyon Üst Kurulu (RTÜK)</w:t>
      </w:r>
    </w:p>
    <w:p w:rsidR="005C0D87" w:rsidRDefault="00914645">
      <w:pPr>
        <w:spacing w:after="120"/>
      </w:pPr>
      <w:r>
        <w:rPr>
          <w:b/>
          <w:bCs/>
        </w:rPr>
        <w:t>BTK ve Radyo ve Televizyon Üst Kurulu (RTÜK)</w:t>
      </w:r>
    </w:p>
    <w:p w:rsidR="005C0D87" w:rsidRDefault="00914645">
      <w:pPr>
        <w:spacing w:after="60"/>
      </w:pPr>
      <w:r>
        <w:rPr>
          <w:b/>
          <w:bCs/>
          <w:color w:val="1F3864"/>
        </w:rPr>
        <w:t xml:space="preserve">Konu: </w:t>
      </w:r>
      <w:r>
        <w:t>İnternet-RF köprülerinin (EchoLink, AllStar, WebSDR, KiwiSDR) yayın statüsü</w:t>
      </w:r>
    </w:p>
    <w:p w:rsidR="005C0D87" w:rsidRDefault="00914645">
      <w:pPr>
        <w:spacing w:after="60"/>
      </w:pPr>
      <w:r>
        <w:rPr>
          <w:b/>
          <w:bCs/>
          <w:color w:val="1F3864"/>
        </w:rPr>
        <w:t xml:space="preserve">İlgili gri alan(lar): </w:t>
      </w:r>
      <w:r>
        <w:t>GA-NODE</w:t>
      </w:r>
    </w:p>
    <w:p w:rsidR="005C0D87" w:rsidRDefault="00914645">
      <w:pPr>
        <w:spacing w:before="80" w:after="100"/>
      </w:pPr>
      <w:r>
        <w:t>Sayın Yetkili,</w:t>
      </w:r>
    </w:p>
    <w:p w:rsidR="005C0D87" w:rsidRDefault="00914645">
      <w:pPr>
        <w:spacing w:after="120"/>
        <w:jc w:val="both"/>
      </w:pPr>
      <w:r>
        <w:t>EchoLink, AllStar, WebSDR ve KiwiSDR gibi sistemlerde RF'ten alınan sinyal internete yönlendirilmektedir. 6112 sayılı Kanunun 3 üncü maddesinin birinci fıkrasının (ff) bendi yayın hizmetini, “medya hizmet sağlayıcının editoryal sorumluluğu altında ve temel amacı kamuoyunu bilgilendirmek, eğlendirmek veya eğitmek üzere elektronik iletişim şebekeleri yoluyla program sunmak olan, bireysel iletişim hariç olmak üzere” televizyon, isteğe bağlı ve radyo yayın hizmetleri olarak tanımlamaktadır. Amatör telsiz trafiğinde editoryal sorumluluk taşıyan bir medya hizmet sağlayıcı ve yayın akışına dayalı bir program bulunmadığı gibi, tanımdaki “bireysel iletişim hariç” istisnası da bu trafiği kapsam dışında bırakmaktadır. Buna karşın uygulamada RTÜK lisansı gerekliliği konusunda belirsizlik dile getirilmektedir. Uluslararası uygulamada bu sistemler, RF bağının varlığı esas alınarak amatör servis kapsamında değerlendirilmekte ve fiilen tolere edilmektedir. Mevcut iyi uygulamanın yasal çerçeveye kavuşturulması yerinde olacaktır.</w:t>
      </w:r>
    </w:p>
    <w:p w:rsidR="005C0D87" w:rsidRDefault="00914645">
      <w:pPr>
        <w:spacing w:before="40" w:after="80"/>
      </w:pPr>
      <w:r>
        <w:rPr>
          <w:b/>
          <w:bCs/>
          <w:color w:val="1F3864"/>
        </w:rPr>
        <w:t>Bu çerçevede Kurumunuzdan talebimiz:</w:t>
      </w:r>
    </w:p>
    <w:p w:rsidR="005C0D87" w:rsidRDefault="00914645">
      <w:pPr>
        <w:pStyle w:val="ListeParagraf"/>
        <w:numPr>
          <w:ilvl w:val="0"/>
          <w:numId w:val="7"/>
        </w:numPr>
        <w:spacing w:after="60"/>
        <w:jc w:val="both"/>
      </w:pPr>
      <w:r>
        <w:t>RF köprülü internet trafiğinin (EchoLink, AllStar, WebSDR, KiwiSDR) 6112 sayılı Kanun kapsamında “yayın” sayılmadığının ortak görüş yazısıyla teyit edilmesi.</w:t>
      </w:r>
    </w:p>
    <w:p w:rsidR="005C0D87" w:rsidRDefault="00914645">
      <w:pPr>
        <w:pStyle w:val="ListeParagraf"/>
        <w:numPr>
          <w:ilvl w:val="0"/>
          <w:numId w:val="7"/>
        </w:numPr>
        <w:spacing w:after="60"/>
        <w:jc w:val="both"/>
      </w:pPr>
      <w:r>
        <w:t>Amatör internet-RF arayüzlerine ilişkin FTM/TAD düzenlemelerine açıklayıcı bir hüküm eklenmesi.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7 — T.C. Çevre, Şehircilik ve İklim Değişikliği Bakanlığı</w:t>
      </w:r>
    </w:p>
    <w:p w:rsidR="005C0D87" w:rsidRDefault="00914645">
      <w:pPr>
        <w:spacing w:after="120"/>
      </w:pPr>
      <w:r>
        <w:rPr>
          <w:b/>
          <w:bCs/>
        </w:rPr>
        <w:t>T.C. Çevre, Şehircilik ve İklim Değişikliği Bakanlığı</w:t>
      </w:r>
    </w:p>
    <w:p w:rsidR="005C0D87" w:rsidRDefault="00914645">
      <w:pPr>
        <w:spacing w:after="60"/>
      </w:pPr>
      <w:r>
        <w:rPr>
          <w:b/>
          <w:bCs/>
          <w:color w:val="1F3864"/>
        </w:rPr>
        <w:t xml:space="preserve">Konu: </w:t>
      </w:r>
      <w:r>
        <w:t>Amatör telsiz anteni kurulumu ile Kat Mülkiyeti Kanunu Md.19 çatışması</w:t>
      </w:r>
    </w:p>
    <w:p w:rsidR="005C0D87" w:rsidRDefault="00914645">
      <w:pPr>
        <w:spacing w:after="60"/>
      </w:pPr>
      <w:r>
        <w:rPr>
          <w:b/>
          <w:bCs/>
          <w:color w:val="1F3864"/>
        </w:rPr>
        <w:t xml:space="preserve">İlgili gri alan(lar): </w:t>
      </w:r>
      <w:r>
        <w:t>GA-6</w:t>
      </w:r>
    </w:p>
    <w:p w:rsidR="005C0D87" w:rsidRDefault="00914645">
      <w:pPr>
        <w:spacing w:before="80" w:after="100"/>
      </w:pPr>
      <w:r>
        <w:t>Sayın Yetkili,</w:t>
      </w:r>
    </w:p>
    <w:p w:rsidR="005C0D87" w:rsidRDefault="00914645">
      <w:pPr>
        <w:spacing w:after="120"/>
        <w:jc w:val="both"/>
      </w:pPr>
      <w:r>
        <w:t>Amatör telsiz anteni kurmak isteyen operatörler, 634 sayılı Kat Mülkiyeti Kanunu Md.19 kapsamında ortak alanlardaki değişikliği kat maliklerinin nitelikli çoğunluğunun onayına bağlayan hükümle karşılaşmaktadır. Mevzuatta amatör antene özgü bir muafiyet veya güvence bulunmamakta; emsal mahkeme kararları dağınıktır. 5809 sayılı Kanun Md.37/3 ile güvence altına alınan haberleşme hakkı ile Md.19 arasındaki çatışma çözümsüz kalmaktadır.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8"/>
        </w:numPr>
        <w:spacing w:after="60"/>
        <w:jc w:val="both"/>
      </w:pPr>
      <w:r>
        <w:t>634 sayılı KMK Md.19 ile çatışmayı gideren bir yasal düzenleme veya açıklayıcı genelge çıkarılması.</w:t>
      </w:r>
    </w:p>
    <w:p w:rsidR="005C0D87" w:rsidRDefault="00914645">
      <w:pPr>
        <w:pStyle w:val="ListeParagraf"/>
        <w:numPr>
          <w:ilvl w:val="0"/>
          <w:numId w:val="8"/>
        </w:numPr>
        <w:spacing w:after="60"/>
        <w:jc w:val="both"/>
      </w:pPr>
      <w:r>
        <w:t>Amatör telsiz antenlerine özgü asgari hak/güvence çerçevesinin (yükseklik, ortak alan kullanım usulü) tanımlanması.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8 — T.C. Tarım ve Orman Bakanlığı — Orman Genel Müdürlüğü ve Doğa Koruma ve Milli Parklar Genel Müdürlüğü</w:t>
      </w:r>
    </w:p>
    <w:p w:rsidR="005C0D87" w:rsidRDefault="00914645">
      <w:pPr>
        <w:spacing w:after="120"/>
      </w:pPr>
      <w:r>
        <w:rPr>
          <w:b/>
          <w:bCs/>
        </w:rPr>
        <w:t>T.C. Tarım ve Orman Bakanlığı — Orman Genel Müdürlüğü ve Doğa Koruma ve Milli Parklar Genel Müdürlüğü</w:t>
      </w:r>
    </w:p>
    <w:p w:rsidR="005C0D87" w:rsidRDefault="00914645">
      <w:pPr>
        <w:spacing w:after="60"/>
      </w:pPr>
      <w:r>
        <w:rPr>
          <w:b/>
          <w:bCs/>
          <w:color w:val="1F3864"/>
        </w:rPr>
        <w:t xml:space="preserve">Konu: </w:t>
      </w:r>
      <w:r>
        <w:t>Park ve koru aktivasyonlarında (POTA) arazi kullanım izinleri</w:t>
      </w:r>
    </w:p>
    <w:p w:rsidR="005C0D87" w:rsidRDefault="00914645">
      <w:pPr>
        <w:spacing w:after="60"/>
      </w:pPr>
      <w:r>
        <w:rPr>
          <w:b/>
          <w:bCs/>
          <w:color w:val="1F3864"/>
        </w:rPr>
        <w:t xml:space="preserve">İlgili gri alan(lar): </w:t>
      </w:r>
      <w:r>
        <w:t>GA-POTA</w:t>
      </w:r>
    </w:p>
    <w:p w:rsidR="005C0D87" w:rsidRDefault="00914645">
      <w:pPr>
        <w:spacing w:before="80" w:after="100"/>
      </w:pPr>
      <w:r>
        <w:t>Sayın Yetkili,</w:t>
      </w:r>
    </w:p>
    <w:p w:rsidR="005C0D87" w:rsidRDefault="00914645">
      <w:pPr>
        <w:spacing w:after="120"/>
        <w:jc w:val="both"/>
      </w:pPr>
      <w:r>
        <w:t>Parks on the Air (POTA) aktivasyonları giderek yaygınlaşmaktadır. FTM muafiyeti yalnızca frekans spektrumu kullanımını kapsar; araziye erişim, konaklama ve anten kurulumu için arazi sahibi kurumun izni ayrı bir hukuki meseledir. Milli park (2873 sayılı Kanun), devlet ormanı (6831 sayılı Kanun Md.17), belediye parkı (5393 sayılı Kanun) ve kıyı (3621 sayılı Kanun) gibi farklı arazi türlerinde hangi kuruma başvurulacağı belirsizdir.</w:t>
      </w:r>
    </w:p>
    <w:p w:rsidR="005C0D87" w:rsidRDefault="00914645">
      <w:pPr>
        <w:spacing w:before="40" w:after="80"/>
      </w:pPr>
      <w:r>
        <w:rPr>
          <w:b/>
          <w:bCs/>
          <w:color w:val="1F3864"/>
        </w:rPr>
        <w:t>Bu çerçevede Kurumunuzdan talebimiz:</w:t>
      </w:r>
    </w:p>
    <w:p w:rsidR="005C0D87" w:rsidRDefault="00914645">
      <w:pPr>
        <w:pStyle w:val="ListeParagraf"/>
        <w:numPr>
          <w:ilvl w:val="0"/>
          <w:numId w:val="9"/>
        </w:numPr>
        <w:spacing w:after="60"/>
        <w:jc w:val="both"/>
      </w:pPr>
      <w:r>
        <w:t>POTA aktivasyonu için arazi türüne göre “hangi kuruma başvurulur” birleşik kılavuzu/tablosunun yayımlanması.</w:t>
      </w:r>
    </w:p>
    <w:p w:rsidR="005C0D87" w:rsidRDefault="00914645">
      <w:pPr>
        <w:pStyle w:val="ListeParagraf"/>
        <w:numPr>
          <w:ilvl w:val="0"/>
          <w:numId w:val="9"/>
        </w:numPr>
        <w:spacing w:after="60"/>
        <w:jc w:val="both"/>
      </w:pPr>
      <w:r>
        <w:t>Kısa süreli, düşük etkili bireysel aktivasyonlar için basitleştirilmiş bildirim/muafiyet çerçevesi tanımlanması.</w:t>
      </w:r>
    </w:p>
    <w:p w:rsidR="005C0D87" w:rsidRDefault="00914645">
      <w:pPr>
        <w:pStyle w:val="ListeParagraf"/>
        <w:numPr>
          <w:ilvl w:val="0"/>
          <w:numId w:val="9"/>
        </w:numPr>
        <w:spacing w:after="60"/>
        <w:jc w:val="both"/>
      </w:pPr>
      <w:r>
        <w:t>(BTK ile) FTM muafiyetinin arazi iznini kapsamadığını açıklayan bir tebliğ yayımlanması.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t>Taslak 9 — Kıyı Emniyeti Genel Müdürlüğü (KEGM)</w:t>
      </w:r>
    </w:p>
    <w:p w:rsidR="009F6020" w:rsidRDefault="0020047E">
      <w:r>
        <w:rPr>
          <w:b/>
        </w:rPr>
        <w:t>Kıyı Emniyeti Genel Müdürlüğü — Telsiz İşletme Müdürlüğü</w:t>
      </w:r>
    </w:p>
    <w:p w:rsidR="009F6020" w:rsidRDefault="0020047E">
      <w:r>
        <w:rPr>
          <w:b/>
        </w:rPr>
        <w:t xml:space="preserve">Konu: </w:t>
      </w:r>
      <w:r>
        <w:t>Silent Key / çağrı işareti yaşam döngüsü ve bölge değişiminde çağrı işareti taşınabilirliği</w:t>
      </w:r>
    </w:p>
    <w:p w:rsidR="009F6020" w:rsidRDefault="0020047E">
      <w:r>
        <w:rPr>
          <w:b/>
        </w:rPr>
        <w:t xml:space="preserve">İlgili gri alan(lar): </w:t>
      </w:r>
      <w:r>
        <w:t>GA-SK, GA-CALL</w:t>
      </w:r>
    </w:p>
    <w:p w:rsidR="009F6020" w:rsidRDefault="0020047E">
      <w:r>
        <w:t>Sayın Yetkili,</w:t>
      </w:r>
    </w:p>
    <w:p w:rsidR="009F6020" w:rsidRDefault="0020047E">
      <w:r>
        <w:t>Amatör Telsizcilik Sınav ve Belgelendirme Yönetmeliği Md.7/2, vefat veya vesayet hâlinde çağrı işaretinin — belgenin geçerlilik süresi içinde olmak, aynı bölgede ikamet etmek ve eşdeğer belgeye sahip olmak kaydıyla — hak sahipliğini belgeleyen varis/vasiye tahsis edilebileceğini düzenlemektedir. Ancak bu mekanizmanın (a) belgenin 10 yıllık süresi sona erdikten sonraki akıbeti mevzuatta açık değildir; (b) varis/vasinin zaten eşdeğer sınıfta belgeye sahip olması şartı, henüz belgesiz aile üyelerini kapsam dışı bırakmaktadır; (c) camiada yeterince bilinmemektedir. Bu durum, bekleyen çağrı işaretini almak isteyenler ile anısını korumak isteyenler arasında gerginlik doğurabilmektedir.</w:t>
      </w:r>
    </w:p>
    <w:p w:rsidR="009F6020" w:rsidRDefault="0020047E">
      <w:r>
        <w:t>Ayrıca ikamet farklı bir bölgeye taşındığında üç ay içinde başvuru zorunluluğu bulunmakta; operatör ya yeni bölgeye göre yeni çağrı işareti almakta ya da mevcut işaretini '/(bölge rakamı)' ekleyerek korumaktadır. Kalıcı ikamette bu korumanın süresiz kabulü belirsizdir ve afet kaynaklı zorunlu göçlerin artmasıyla kural uygulamada işlevini yitirmektedir.</w:t>
      </w:r>
    </w:p>
    <w:p w:rsidR="009F6020" w:rsidRDefault="0020047E">
      <w:r>
        <w:rPr>
          <w:b/>
        </w:rPr>
        <w:t>Bu çerçevede Kurumunuzdan talebimiz:</w:t>
      </w:r>
    </w:p>
    <w:p w:rsidR="009F6020" w:rsidRDefault="0020047E">
      <w:r>
        <w:t>1. Md.7/2 kapsamındaki vesayet tahsisinin, belgenin 10 yıllık geçerlilik süresi sona erdikten sonra hangi usule tabi olduğunun yazılı olarak açıklanması ve mekanizmanın topluluğa rehberle duyurulması. Bu maddede uzlaşı oylaması başa baş sonuçlanmıştır: katılımcıların bir bölümü mevcut şartlı vesayet mekanizmasının olduğu gibi korunmasını, bir bölümü ise süre sonrası akıbetin yeniden düzenlenmesini savunmuştur. Bu nedenle bu aşamada mevzuat değişikliği değil, yürürlükteki düzenlemenin açıklanması talep edilmektedir.</w:t>
      </w:r>
    </w:p>
    <w:p w:rsidR="009F6020" w:rsidRDefault="0020047E">
      <w:r>
        <w:t>2. Bölge değişiminde '/(bölge)' ile korumanın kalıcı ikamette süresiz kabulü ve üç aylık başvuru yükünün hafifletilmesi.</w:t>
      </w:r>
    </w:p>
    <w:p w:rsidR="009F6020" w:rsidRDefault="0020047E">
      <w:r>
        <w:t>3. Afet kaynaklı zorunlu göçlerde çağrı işareti ve başvuru yükümlülüğü bakımından muafiyet tanınması.</w:t>
      </w:r>
    </w:p>
    <w:p w:rsidR="009F6020" w:rsidRDefault="0020047E">
      <w:r>
        <w:t>4. Çağrı işaretinin ülke genelinde taşınabilir kılınmasının değerlendirilmesi.</w:t>
      </w:r>
    </w:p>
    <w:p w:rsidR="009F6020" w:rsidRDefault="0020047E">
      <w:r>
        <w:t>Gereğinin değerlendirilmesini bilgilerinize saygıyla arz ederiz.</w:t>
      </w:r>
    </w:p>
    <w:p w:rsidR="009F6020" w:rsidRDefault="0020047E">
      <w:r>
        <w:rPr>
          <w:i/>
        </w:rPr>
        <w:t>Saygılarımızla,</w:t>
      </w:r>
    </w:p>
    <w:p w:rsidR="009F6020" w:rsidRDefault="0020047E">
      <w:r>
        <w:rPr>
          <w:b/>
        </w:rPr>
        <w:t>[Dernek / Kulüp adı] adına</w:t>
      </w:r>
    </w:p>
    <w:p w:rsidR="009F6020" w:rsidRDefault="0020047E">
      <w:r>
        <w:t>Ad-Soyad: __________________________     Çağrı İşareti: ______________</w:t>
      </w:r>
    </w:p>
    <w:p w:rsidR="009F6020" w:rsidRDefault="0020047E">
      <w:r>
        <w:t>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t>Taslak 10 — T.C. İçişleri Bakanlığı (AFAD) ve T.C. Ulaştırma ve Altyapı Bakanlığı</w:t>
      </w:r>
    </w:p>
    <w:p w:rsidR="009F6020" w:rsidRPr="00105C83" w:rsidRDefault="0020047E">
      <w:pPr>
        <w:rPr>
          <w:b/>
        </w:rPr>
      </w:pPr>
      <w:r>
        <w:rPr>
          <w:b/>
        </w:rPr>
        <w:t>T.C. İçişleri Bakanlığı — Afet ve Acil Durum Yönetimi Başkanlığı (AFAD)</w:t>
        <w:br/>
        <w:t>T.C. Ulaştırma ve Altyapı Bakanlığı — Haberleşme Genel Müdürlüğü</w:t>
      </w:r>
    </w:p>
    <w:p w:rsidR="009F6020" w:rsidRDefault="0020047E">
      <w:r>
        <w:rPr>
          <w:b/>
        </w:rPr>
        <w:t>Konu: Ulusal Düzey Afet Haberleşme Grubu Planı'nda amatör telsizcilere ilişkin görev tanımının açıklanması ve netleştirilmesi</w:t>
      </w:r>
    </w:p>
    <w:p w:rsidR="009F6020" w:rsidRDefault="0020047E">
      <w:r>
        <w:rPr>
          <w:b/>
        </w:rPr>
        <w:t>İlgili gri alan(lar):</w:t>
      </w:r>
      <w:r>
        <w:t xml:space="preserve"> GA-EMCOMM</w:t>
      </w:r>
    </w:p>
    <w:p w:rsidR="009F6020" w:rsidRDefault="0020047E">
      <w:r>
        <w:t>Sayın Yetkili,</w:t>
      </w:r>
    </w:p>
    <w:p w:rsidR="009F6020" w:rsidRDefault="0020047E">
      <w:r>
        <w:t>Amatör Telsizcilik Sınav ve Belgelendirme Yönetmeliğinin 4 üncü maddesinin birinci fıkrasının (a) bendi amatör telsizciler bakımından acil durum ve afet haberleşmesini tanımlamakta, (e) bendi acil ve olağanüstü durum haberleşmesinde görev alan kuruluşları amatör telsiz istasyonu kullanabilecekler arasında saymakta; BTK FTM Teknik Ölçütler (Kurul Kararı 23.09.2022, 2022/İK-SYD/245) Md.22'nin 3 ve 4'üncü fıkraları ise amatör telsizcilerin afette koordinasyon kuruluşlarına yardım edebileceğini ve ilgili kamu kurumunun izniyle o kuruma tahsisli frekansları kullanabileceğini düzenlemektedir. Türkiye Afet Müdahale Planı'nın (RG 31954) ana metninde amatör telsiz dernekleri ismen anılmamakta, Afet Haberleşme Grubu'nun destek çözüm ortakları arasında genel “STK” kategorisi yer almaktadır. Buna karşılık Bakanlığınızca hazırlanan Ulusal Düzey Afet Haberleşme Grubu Planı'na ilişkin 2012, 2015 ve 2024 tarihli resmî yazışmalarda amatör telsiz camiası ismen “çözüm ortağı” olarak muhatap alınmıştır. Ancak söz konusu planın amatör telsizcilere ilişkin bölümü kamuya açık olmadığından, amatörlere hangi somut görevin verildiği (teknik destek, malzeme desteği, koordinasyon veya doğrudan telsiz operatörlüğü) camia tarafından bilinmemekte; dernek üyesi olmayan bireysel amatörlerin bu yapıya nasıl dâhil olacağı ise hiçbir belgede tanımlanmamaktadır.</w:t>
      </w:r>
    </w:p>
    <w:p w:rsidR="009F6020" w:rsidRDefault="0020047E">
      <w:r>
        <w:rPr>
          <w:b/>
        </w:rPr>
        <w:t>Bu çerçevede Kurumunuzdan talebimiz:</w:t>
      </w:r>
    </w:p>
    <w:p w:rsidR="009F6020" w:rsidRDefault="0020047E">
      <w:r>
        <w:t>1. Ulusal Düzey Afet Haberleşme Grubu Planı'nın amatör telsizcilere ilişkin bölümünün ve verilen somut görev tanımının kamuya açıklanması.</w:t>
      </w:r>
    </w:p>
    <w:p w:rsidR="009F6020" w:rsidRDefault="0020047E">
      <w:r>
        <w:t>2. Amatörlerin afetteki yetki ve sorumluluk sınırlarının (teknik destek / malzeme desteği / koordinasyon / doğrudan operatörlük) yazılı olarak netleştirilmesi ve dernek üyesi olmayan bireysel amatörlerin dâhil olma usulünün tanımlanması.</w:t>
      </w:r>
    </w:p>
    <w:p w:rsidR="009F6020" w:rsidRDefault="0020047E">
      <w:r>
        <w:t>3. İl AFAD müdürlükleri ile yerel kulüpler arasında eşleşme ve düzenli ortak tatbikat usulünün esasa bağlanması; afet planlarında amatör frekans ve rollerinin yer alması. Ayrıca 2000 tarihli protokolün güncel geçerliliğinin teyidi veya yerine güncel bir protokol yapılması.</w:t>
      </w:r>
    </w:p>
    <w:p w:rsidR="009F6020" w:rsidRDefault="0020047E">
      <w:r>
        <w:t>Gereğinin değerlendirilmesini bilgilerinize saygıyla arz ederiz.</w:t>
      </w:r>
    </w:p>
    <w:p w:rsidR="009F6020" w:rsidRDefault="0020047E">
      <w:r>
        <w:rPr>
          <w:i/>
        </w:rPr>
        <w:t>Saygılarımızla,</w:t>
      </w:r>
    </w:p>
    <w:p w:rsidR="009F6020" w:rsidRDefault="0020047E">
      <w:r>
        <w:rPr>
          <w:b/>
        </w:rPr>
        <w:t>[Dernek / Kulüp adı] adına</w:t>
      </w:r>
    </w:p>
    <w:p w:rsidR="009F6020" w:rsidRDefault="0020047E">
      <w:r>
        <w:t>Ad-Soyad: __________________________ Çağrı İşareti: ______________  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t>Taslak 11 — BTK (Piyasa Gözetimi) ve T.C. Ticaret Bakanlığı</w:t>
      </w:r>
    </w:p>
    <w:p w:rsidR="009F6020" w:rsidRPr="00105C83" w:rsidRDefault="0020047E">
      <w:pPr>
        <w:rPr>
          <w:b/>
        </w:rPr>
      </w:pPr>
      <w:r>
        <w:rPr>
          <w:b/>
        </w:rPr>
        <w:t>T.C. Bilgi Teknolojileri ve İletişim Kurumu (BTK) — Piyasa Gözetimi ve Denetimi / T.C. Ticaret Bakanlığı</w:t>
      </w:r>
    </w:p>
    <w:p w:rsidR="009F6020" w:rsidRPr="00105C83" w:rsidRDefault="0020047E">
      <w:r>
        <w:rPr>
          <w:b/>
        </w:rPr>
        <w:t xml:space="preserve">Konu: </w:t>
      </w:r>
      <w:r>
        <w:t>Amatör bant verici cihazlarında piyasa gözetimi, satışta belge kontrolü ve devir kaydı</w:t>
      </w:r>
    </w:p>
    <w:p w:rsidR="009F6020" w:rsidRDefault="0020047E">
      <w:r>
        <w:rPr>
          <w:b/>
        </w:rPr>
        <w:t>İlgili gri alan(lar): GA-CIHAZ</w:t>
      </w:r>
    </w:p>
    <w:p w:rsidR="009F6020" w:rsidRDefault="0020047E">
      <w:r>
        <w:t>Sayın Yetkili,</w:t>
      </w:r>
    </w:p>
    <w:p w:rsidR="009F6020" w:rsidRDefault="0020047E">
      <w:r>
        <w:t>TTTE Yönetmeliği (2014/53/AB RED uyumu) uyarınca telsiz cihazlarının piyasaya arzı uygunluk beyanına dayanmaktadır. Bu rejimde, istenmeyen (spurious) emisyon limitlerini karşılamayan düşük maliyetli verici cihazlar, e-ticaret platformlarında amatör telsizcilik belgesi sorulmaksızın satılabilmektedir. Nitekim Kurumunuz Aralık 2019'da, aralarında Baofeng UV-5R'ın da bulunduğu cihazları güvensiz ilan ederek satış yasağı ve toplatma kararı almıştır; benzer cihazların satışı ise sürmektedir. Ayrıca ikinci el cihaz devrine ilişkin basit bir bildirim usulü bulunmadığından, el değiştiren cihazların izlenebilirliği zayıftır. Belgeli amatör telsiz camiası bu denetimin karşısında değil, tarafındadır.</w:t>
      </w:r>
    </w:p>
    <w:p w:rsidR="009F6020" w:rsidRDefault="0020047E">
      <w:r>
        <w:rPr>
          <w:b/>
        </w:rPr>
        <w:t>Bu çerçevede Kurumlarınızdan talebimiz:</w:t>
      </w:r>
    </w:p>
    <w:p w:rsidR="009F6020" w:rsidRDefault="0020047E">
      <w:r>
        <w:t>1. Amatör bantlarda çalışan verici cihazların e-ticaret satışında amatör telsizcilik belgesi kontrolünün getirilmesi.</w:t>
      </w:r>
    </w:p>
    <w:p w:rsidR="009F6020" w:rsidRDefault="0020047E">
      <w:r>
        <w:t>2. İstenmeyen emisyon denetimlerinin sıklaştırılması ve güvensiz ürün listelerinin güncel tutulması.</w:t>
      </w:r>
    </w:p>
    <w:p w:rsidR="009F6020" w:rsidRDefault="0020047E">
      <w:r>
        <w:t>3. İkinci el cihaz devri için basit bir bildirim usulü tanımlanması.</w:t>
      </w:r>
    </w:p>
    <w:p w:rsidR="009F6020" w:rsidRDefault="0020047E">
      <w:r>
        <w:t>4. SDR kartlarının (ör. ADALM-Pluto) eğitim/hobi statüsü ile çift kullanım (dual-use) koşullarının rehberle açıklanması.</w:t>
      </w:r>
    </w:p>
    <w:p w:rsidR="009F6020" w:rsidRDefault="0020047E">
      <w:r>
        <w:t>Gereğinin değerlendirilmesini bilgilerinize saygıyla arz ederiz.</w:t>
      </w:r>
    </w:p>
    <w:p w:rsidR="009F6020" w:rsidRDefault="0020047E">
      <w:r>
        <w:rPr>
          <w:i/>
        </w:rPr>
        <w:t>Saygılarımızla,</w:t>
      </w:r>
    </w:p>
    <w:p w:rsidR="009F6020" w:rsidRDefault="0020047E">
      <w:r>
        <w:rPr>
          <w:b/>
        </w:rPr>
        <w:t>[Dernek / Kulüp adı] adına</w:t>
      </w:r>
    </w:p>
    <w:p w:rsidR="009F6020" w:rsidRDefault="0020047E">
      <w:r>
        <w:t>Ad-Soyad: __________________________ Çağrı İşareti: ______________  Ünvan: ____________________ Tarih: ____________ İmza: ____________</w:t>
      </w:r>
    </w:p>
    <w:p w:rsidR="0051352E" w:rsidRDefault="0051352E">
      <w:pPr>
        <w:rPr>
          <w:b/>
          <w:bCs/>
          <w:color w:val="2E75B6"/>
          <w:sz w:val="23"/>
          <w:szCs w:val="23"/>
        </w:rPr>
      </w:pPr>
      <w:r>
        <w:br w:type="page"/>
      </w:r>
    </w:p>
    <w:p>
      <w:pPr>
        <w:pStyle w:val="Heading10"/>
      </w:pPr>
      <w:r>
        <w:t>Ek — Topluluk Tercihi Nedeniyle Başvuruya Dönüştürülmeyen Talepler</w:t>
      </w:r>
    </w:p>
    <w:p>
      <w:pPr>
        <w:spacing w:before="60" w:after="60"/>
        <w:jc w:val="both"/>
      </w:pPr>
      <w:r>
        <w:t xml:space="preserve">Aşağıdaki iki gri alan, Tablo A analizinde tespit edilmiş ve v1.1 sürümünde kurumlara talep olarak hazırlanmıştı. Uzlaşı oylamasında topluluk bu iki maddede mevcut durumun korunmasını tercih ettiği için talepler başvuru metninden çıkarılmıştır. Sorun tespiti ortadan kalkmadığından, hazırlanan metinler ileride tercih değişirse kullanılmak üzere burada saklanmaktadır. Bu bölümdeki hiçbir talep kuruma iletilmemektedir.</w:t>
      </w:r>
    </w:p>
    <w:p>
      <w:pPr>
        <w:pStyle w:val="Heading20"/>
      </w:pPr>
      <w:r>
        <w:t>GA-3 — CEPT T/R 61-01/61-02: Yurt Dışı Operasyon ve B/C Sınıfı Boşluğu</w:t>
      </w:r>
    </w:p>
    <w:p>
      <w:pPr>
        <w:spacing w:before="60" w:after="60"/>
        <w:jc w:val="both"/>
      </w:pPr>
      <w:r>
        <w:rPr>
          <w:i/>
        </w:rPr>
        <w:t xml:space="preserve">Oylama sonucu: A (Mevcut Durumu Koru) 35 oy; D 4, C 4, B 1, E 1 — 45 pusula. Seçeneğin gerekçesi: "A sınıfına geçiş (sınav) zaten açık bir yol; ek düzenleme gerekmez."</w:t>
      </w:r>
    </w:p>
    <w:p>
      <w:pPr>
        <w:spacing w:before="60" w:after="60"/>
        <w:jc w:val="both"/>
      </w:pPr>
      <w:r>
        <w:t xml:space="preserve">Kaldırılan gerekçe: Türkiye CEPT üyesidir ve CEPT T/R 61-01 (kısa süreli ziyarette karşılıklı tanıma) ile T/R 61-02 (HAREC) tavsiyelerine taraftır. C sınıfı belge sahiplerinin HAREC muadili bulunmadığı ve yabancı CEPT amatörlerinin Türkiye'de geçici çalışma usulünün mevzuatta net tanımlanmadığı ileri sürülmüştü. Not: v1.1'de yer alan “KEGM yalnızca A sınıfına dört dilde HAREC belgesi düzenler” ve “B sınıfının HAREC muadili yoktur” ifadeleri birincil kaynakla doğrulanamamıştır; T/R 61-02'nin 2 numaralı ekinde Türkiye'nin HAREC karşılığı ulusal belgesi B olarak listelenmektedir. Bu iddialar, talep yeniden ele alınırsa örnek belgeyle desteklenmeden kullanılmamalıdır.</w:t>
      </w:r>
    </w:p>
    <w:p>
      <w:pPr>
        <w:spacing w:before="60" w:after="60"/>
        <w:jc w:val="both"/>
      </w:pPr>
      <w:r>
        <w:t xml:space="preserve">Kaldırılan talepler (Taslak 1'den):</w:t>
      </w:r>
    </w:p>
    <w:p>
      <w:pPr>
        <w:spacing w:before="60" w:after="60"/>
        <w:jc w:val="both"/>
      </w:pPr>
      <w:r>
        <w:t xml:space="preserve">1. CEPT T/R 61-01 ve T/R 61-02 tavsiyelerinin ulusal mevzuata açıkça yansıtılması; KEGM belgelerinin HAREC muadili olarak resmen tescili.</w:t>
      </w:r>
    </w:p>
    <w:p>
      <w:pPr>
        <w:spacing w:before="60" w:after="60"/>
        <w:jc w:val="both"/>
      </w:pPr>
      <w:r>
        <w:t xml:space="preserve">2. B ve C sınıfı belge sahipleri için HAREC eşdeğerliği veya kademeli sınav yolunun tanımlanması.</w:t>
      </w:r>
    </w:p>
    <w:p>
      <w:pPr>
        <w:spacing w:before="60" w:after="60"/>
        <w:jc w:val="both"/>
      </w:pPr>
      <w:r>
        <w:t xml:space="preserve">3. Yabancı CEPT amatörlerinin Türkiye'de T/R 61-01 kapsamında geçici çalışma usulünün (KEGM'e bildirim esası) düzenlenmesi.</w:t>
      </w:r>
    </w:p>
    <w:p>
      <w:pPr>
        <w:pStyle w:val="Heading20"/>
      </w:pPr>
      <w:r>
        <w:t>GA-RX/Kanal — Kanal Hafızasına Yetkisiz Frekans Kaydetme</w:t>
      </w:r>
    </w:p>
    <w:p>
      <w:pPr>
        <w:spacing w:before="60" w:after="60"/>
        <w:jc w:val="both"/>
      </w:pPr>
      <w:r>
        <w:rPr>
          <w:i/>
        </w:rPr>
        <w:t xml:space="preserve">Oylama sonucu: A (Kişisel Sorumluluk) 21 oy; D 15, C 6, B 5, E 5 — 45 pusula. Seçeneğin gerekçesi: "Mevcut durumu koru; bilinçlendirme bireysel seviyede kalır."</w:t>
      </w:r>
    </w:p>
    <w:p>
      <w:pPr>
        <w:spacing w:before="60" w:after="60"/>
        <w:jc w:val="both"/>
      </w:pPr>
      <w:r>
        <w:t xml:space="preserve">Kaldırılan gerekçe: Frekans çevik amatör telsiz cihazları, tarama ve kanal hafızası özellikleriyle çok sayıda frekansı kayıtlı tutabilir; bu, cihazların olağan ve meşru bir teknik özelliğidir. Ancak el konulan bir cihazın hafızasında güvenlik veya askerî frekansların bulunması, kimi durumlarda hukuka aykırı izleme hazırlığı biçiminde yorumlanabilmektedir. Salt bir frekansın kayıtlı olması başlı başına dinleme kastını göstermez; meşru teknik yapılandırma ile suç kastını ayırmaya yönelik yayımlanmış bir açıklama bulunmamaktadır.</w:t>
      </w:r>
    </w:p>
    <w:p>
      <w:pPr>
        <w:spacing w:before="60" w:after="60"/>
        <w:jc w:val="both"/>
      </w:pPr>
      <w:r>
        <w:t xml:space="preserve">Kaldırılan talepler (v1.1'deki Taslak 12 — BTK ve Adalet Bakanlığı):</w:t>
      </w:r>
    </w:p>
    <w:p>
      <w:pPr>
        <w:spacing w:before="60" w:after="60"/>
        <w:jc w:val="both"/>
      </w:pPr>
      <w:r>
        <w:t xml:space="preserve">1. (BTK) Kanal ve tarama hafızasının amatör/profesyonel telsiz cihazlarının olağan teknik özelliği olduğunu; salt frekans kaydının başlı başına hukuka aykırı izleme kastı oluşturmadığını açıklayan teknik bir görüş/rehber yayımlanması.</w:t>
      </w:r>
    </w:p>
    <w:p>
      <w:pPr>
        <w:spacing w:before="60" w:after="60"/>
        <w:jc w:val="both"/>
      </w:pPr>
      <w:r>
        <w:t xml:space="preserve">2. (Adalet Bakanlığı) Cihaz hafızasındaki frekans kayıtlarının, tek başına suç kastı delili olarak değil teknik yapılandırma olarak değerlendirilmesi gerektiğine ilişkin bilgilendirme.</w:t>
      </w:r>
    </w:p>
    <w:p>
      <w:pPr>
        <w:spacing w:before="60" w:after="60"/>
        <w:jc w:val="both"/>
      </w:pPr>
      <w:r>
        <w:t xml:space="preserve">3. Amatör telsizcilere yönelik "frekans hijyeni" iyi uygulama çerçevesinin resmî bir teknik kaynakla desteklenmesi.</w:t>
      </w:r>
    </w:p>
    <w:p w:rsidR="009F6020" w:rsidRDefault="0020047E">
      <w:r>
        <w:rPr>
          <w:i/>
        </w:rPr>
        <w:t>Not: IARU Bölge 1 Türkiye üyesi kuruluş TRAC'tır (bilgi amaçlı; bu belge herhangi bir derneğe rol atfetmez).</w:t>
      </w:r>
    </w:p>
    <w:sectPr w:rsidR="009F6020" w:rsidSect="005C0D8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047E" w:rsidRDefault="0020047E" w:rsidP="005C0D87">
      <w:r>
        <w:separator/>
      </w:r>
    </w:p>
  </w:endnote>
  <w:endnote w:type="continuationSeparator" w:id="1">
    <w:p w:rsidR="0020047E" w:rsidRDefault="0020047E" w:rsidP="005C0D87">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D87" w:rsidRDefault="00914645">
    <w:pPr>
      <w:jc w:val="center"/>
    </w:pPr>
    <w:r>
      <w:rPr>
        <w:color w:val="888888"/>
        <w:sz w:val="16"/>
        <w:szCs w:val="16"/>
      </w:rPr>
      <w:t xml:space="preserve">Amatör Telsizcilik — Tablo B · Kurumlara Talep Yazıları · Sayfa </w:t>
    </w:r>
    <w:r w:rsidR="00F94D78">
      <w:rPr>
        <w:color w:val="888888"/>
        <w:sz w:val="16"/>
        <w:szCs w:val="16"/>
      </w:rPr>
      <w:fldChar w:fldCharType="begin"/>
    </w:r>
    <w:r>
      <w:rPr>
        <w:color w:val="888888"/>
        <w:sz w:val="16"/>
        <w:szCs w:val="16"/>
      </w:rPr>
      <w:instrText>PAGE</w:instrText>
    </w:r>
    <w:r w:rsidR="00F94D78">
      <w:rPr>
        <w:color w:val="888888"/>
        <w:sz w:val="16"/>
        <w:szCs w:val="16"/>
      </w:rPr>
      <w:fldChar w:fldCharType="separate"/>
    </w:r>
    <w:r w:rsidR="00185773">
      <w:rPr>
        <w:noProof/>
        <w:color w:val="888888"/>
        <w:sz w:val="16"/>
        <w:szCs w:val="16"/>
      </w:rPr>
      <w:t>1</w:t>
    </w:r>
    <w:r w:rsidR="00F94D78">
      <w:rPr>
        <w:color w:val="888888"/>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047E" w:rsidRDefault="0020047E" w:rsidP="005C0D87">
      <w:r>
        <w:separator/>
      </w:r>
    </w:p>
  </w:footnote>
  <w:footnote w:type="continuationSeparator" w:id="1">
    <w:p w:rsidR="0020047E" w:rsidRDefault="0020047E" w:rsidP="005C0D8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020" w:rsidRDefault="009F6020"/>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10539"/>
    <w:multiLevelType w:val="hybridMultilevel"/>
    <w:tmpl w:val="F2483A8C"/>
    <w:lvl w:ilvl="0" w:tplc="6F08211C">
      <w:start w:val="1"/>
      <w:numFmt w:val="decimal"/>
      <w:lvlText w:val="%1."/>
      <w:lvlJc w:val="left"/>
      <w:pPr>
        <w:ind w:left="620" w:hanging="320"/>
      </w:pPr>
    </w:lvl>
    <w:lvl w:ilvl="1" w:tplc="785E2D5A">
      <w:numFmt w:val="decimal"/>
      <w:lvlText w:val=""/>
      <w:lvlJc w:val="left"/>
    </w:lvl>
    <w:lvl w:ilvl="2" w:tplc="3C92300C">
      <w:numFmt w:val="decimal"/>
      <w:lvlText w:val=""/>
      <w:lvlJc w:val="left"/>
    </w:lvl>
    <w:lvl w:ilvl="3" w:tplc="852EAE76">
      <w:numFmt w:val="decimal"/>
      <w:lvlText w:val=""/>
      <w:lvlJc w:val="left"/>
    </w:lvl>
    <w:lvl w:ilvl="4" w:tplc="718EF040">
      <w:numFmt w:val="decimal"/>
      <w:lvlText w:val=""/>
      <w:lvlJc w:val="left"/>
    </w:lvl>
    <w:lvl w:ilvl="5" w:tplc="669AB2A6">
      <w:numFmt w:val="decimal"/>
      <w:lvlText w:val=""/>
      <w:lvlJc w:val="left"/>
    </w:lvl>
    <w:lvl w:ilvl="6" w:tplc="0A86F2C0">
      <w:numFmt w:val="decimal"/>
      <w:lvlText w:val=""/>
      <w:lvlJc w:val="left"/>
    </w:lvl>
    <w:lvl w:ilvl="7" w:tplc="392A4F8A">
      <w:numFmt w:val="decimal"/>
      <w:lvlText w:val=""/>
      <w:lvlJc w:val="left"/>
    </w:lvl>
    <w:lvl w:ilvl="8" w:tplc="DCD68D26">
      <w:numFmt w:val="decimal"/>
      <w:lvlText w:val=""/>
      <w:lvlJc w:val="left"/>
    </w:lvl>
  </w:abstractNum>
  <w:abstractNum w:abstractNumId="1">
    <w:nsid w:val="1C633851"/>
    <w:multiLevelType w:val="hybridMultilevel"/>
    <w:tmpl w:val="9B34B55A"/>
    <w:lvl w:ilvl="0" w:tplc="F2540954">
      <w:start w:val="1"/>
      <w:numFmt w:val="decimal"/>
      <w:lvlText w:val="%1."/>
      <w:lvlJc w:val="left"/>
      <w:pPr>
        <w:ind w:left="620" w:hanging="320"/>
      </w:pPr>
    </w:lvl>
    <w:lvl w:ilvl="1" w:tplc="60CA9C4E">
      <w:numFmt w:val="decimal"/>
      <w:lvlText w:val=""/>
      <w:lvlJc w:val="left"/>
    </w:lvl>
    <w:lvl w:ilvl="2" w:tplc="D8DE44DC">
      <w:numFmt w:val="decimal"/>
      <w:lvlText w:val=""/>
      <w:lvlJc w:val="left"/>
    </w:lvl>
    <w:lvl w:ilvl="3" w:tplc="154437B4">
      <w:numFmt w:val="decimal"/>
      <w:lvlText w:val=""/>
      <w:lvlJc w:val="left"/>
    </w:lvl>
    <w:lvl w:ilvl="4" w:tplc="3C4C79A8">
      <w:numFmt w:val="decimal"/>
      <w:lvlText w:val=""/>
      <w:lvlJc w:val="left"/>
    </w:lvl>
    <w:lvl w:ilvl="5" w:tplc="9AEE471A">
      <w:numFmt w:val="decimal"/>
      <w:lvlText w:val=""/>
      <w:lvlJc w:val="left"/>
    </w:lvl>
    <w:lvl w:ilvl="6" w:tplc="1EA613B4">
      <w:numFmt w:val="decimal"/>
      <w:lvlText w:val=""/>
      <w:lvlJc w:val="left"/>
    </w:lvl>
    <w:lvl w:ilvl="7" w:tplc="3A46D9D8">
      <w:numFmt w:val="decimal"/>
      <w:lvlText w:val=""/>
      <w:lvlJc w:val="left"/>
    </w:lvl>
    <w:lvl w:ilvl="8" w:tplc="E41A5A74">
      <w:numFmt w:val="decimal"/>
      <w:lvlText w:val=""/>
      <w:lvlJc w:val="left"/>
    </w:lvl>
  </w:abstractNum>
  <w:abstractNum w:abstractNumId="2">
    <w:nsid w:val="235354CD"/>
    <w:multiLevelType w:val="hybridMultilevel"/>
    <w:tmpl w:val="379A673C"/>
    <w:lvl w:ilvl="0" w:tplc="F0C6A6E4">
      <w:start w:val="1"/>
      <w:numFmt w:val="bullet"/>
      <w:lvlText w:val="●"/>
      <w:lvlJc w:val="left"/>
      <w:pPr>
        <w:ind w:left="720" w:hanging="360"/>
      </w:pPr>
    </w:lvl>
    <w:lvl w:ilvl="1" w:tplc="020849A6">
      <w:start w:val="1"/>
      <w:numFmt w:val="bullet"/>
      <w:lvlText w:val="○"/>
      <w:lvlJc w:val="left"/>
      <w:pPr>
        <w:ind w:left="1440" w:hanging="360"/>
      </w:pPr>
    </w:lvl>
    <w:lvl w:ilvl="2" w:tplc="B4D4A3A0">
      <w:start w:val="1"/>
      <w:numFmt w:val="bullet"/>
      <w:lvlText w:val="■"/>
      <w:lvlJc w:val="left"/>
      <w:pPr>
        <w:ind w:left="2160" w:hanging="360"/>
      </w:pPr>
    </w:lvl>
    <w:lvl w:ilvl="3" w:tplc="D898E828">
      <w:start w:val="1"/>
      <w:numFmt w:val="bullet"/>
      <w:lvlText w:val="●"/>
      <w:lvlJc w:val="left"/>
      <w:pPr>
        <w:ind w:left="2880" w:hanging="360"/>
      </w:pPr>
    </w:lvl>
    <w:lvl w:ilvl="4" w:tplc="DB7CBFBC">
      <w:start w:val="1"/>
      <w:numFmt w:val="bullet"/>
      <w:lvlText w:val="○"/>
      <w:lvlJc w:val="left"/>
      <w:pPr>
        <w:ind w:left="3600" w:hanging="360"/>
      </w:pPr>
    </w:lvl>
    <w:lvl w:ilvl="5" w:tplc="0060B924">
      <w:start w:val="1"/>
      <w:numFmt w:val="bullet"/>
      <w:lvlText w:val="■"/>
      <w:lvlJc w:val="left"/>
      <w:pPr>
        <w:ind w:left="4320" w:hanging="360"/>
      </w:pPr>
    </w:lvl>
    <w:lvl w:ilvl="6" w:tplc="249E0436">
      <w:start w:val="1"/>
      <w:numFmt w:val="bullet"/>
      <w:lvlText w:val="●"/>
      <w:lvlJc w:val="left"/>
      <w:pPr>
        <w:ind w:left="5040" w:hanging="360"/>
      </w:pPr>
    </w:lvl>
    <w:lvl w:ilvl="7" w:tplc="DAB4ACC6">
      <w:start w:val="1"/>
      <w:numFmt w:val="bullet"/>
      <w:lvlText w:val="●"/>
      <w:lvlJc w:val="left"/>
      <w:pPr>
        <w:ind w:left="5760" w:hanging="360"/>
      </w:pPr>
    </w:lvl>
    <w:lvl w:ilvl="8" w:tplc="CC36D5C6">
      <w:start w:val="1"/>
      <w:numFmt w:val="bullet"/>
      <w:lvlText w:val="●"/>
      <w:lvlJc w:val="left"/>
      <w:pPr>
        <w:ind w:left="6480" w:hanging="360"/>
      </w:pPr>
    </w:lvl>
  </w:abstractNum>
  <w:abstractNum w:abstractNumId="3">
    <w:nsid w:val="2D1E224F"/>
    <w:multiLevelType w:val="hybridMultilevel"/>
    <w:tmpl w:val="F4423F42"/>
    <w:lvl w:ilvl="0" w:tplc="5A3E83E6">
      <w:start w:val="1"/>
      <w:numFmt w:val="decimal"/>
      <w:lvlText w:val="%1."/>
      <w:lvlJc w:val="left"/>
      <w:pPr>
        <w:ind w:left="620" w:hanging="320"/>
      </w:pPr>
    </w:lvl>
    <w:lvl w:ilvl="1" w:tplc="A7A4E65A">
      <w:numFmt w:val="decimal"/>
      <w:lvlText w:val=""/>
      <w:lvlJc w:val="left"/>
    </w:lvl>
    <w:lvl w:ilvl="2" w:tplc="AFA60A3E">
      <w:numFmt w:val="decimal"/>
      <w:lvlText w:val=""/>
      <w:lvlJc w:val="left"/>
    </w:lvl>
    <w:lvl w:ilvl="3" w:tplc="5F047C28">
      <w:numFmt w:val="decimal"/>
      <w:lvlText w:val=""/>
      <w:lvlJc w:val="left"/>
    </w:lvl>
    <w:lvl w:ilvl="4" w:tplc="A8D20A52">
      <w:numFmt w:val="decimal"/>
      <w:lvlText w:val=""/>
      <w:lvlJc w:val="left"/>
    </w:lvl>
    <w:lvl w:ilvl="5" w:tplc="33406F8E">
      <w:numFmt w:val="decimal"/>
      <w:lvlText w:val=""/>
      <w:lvlJc w:val="left"/>
    </w:lvl>
    <w:lvl w:ilvl="6" w:tplc="1AAA3792">
      <w:numFmt w:val="decimal"/>
      <w:lvlText w:val=""/>
      <w:lvlJc w:val="left"/>
    </w:lvl>
    <w:lvl w:ilvl="7" w:tplc="3C505554">
      <w:numFmt w:val="decimal"/>
      <w:lvlText w:val=""/>
      <w:lvlJc w:val="left"/>
    </w:lvl>
    <w:lvl w:ilvl="8" w:tplc="CA84E342">
      <w:numFmt w:val="decimal"/>
      <w:lvlText w:val=""/>
      <w:lvlJc w:val="left"/>
    </w:lvl>
  </w:abstractNum>
  <w:abstractNum w:abstractNumId="4">
    <w:nsid w:val="2DC11174"/>
    <w:multiLevelType w:val="hybridMultilevel"/>
    <w:tmpl w:val="7A2EC550"/>
    <w:lvl w:ilvl="0" w:tplc="07CC8E02">
      <w:start w:val="1"/>
      <w:numFmt w:val="decimal"/>
      <w:lvlText w:val="%1."/>
      <w:lvlJc w:val="left"/>
      <w:pPr>
        <w:ind w:left="620" w:hanging="320"/>
      </w:pPr>
    </w:lvl>
    <w:lvl w:ilvl="1" w:tplc="5058C490">
      <w:numFmt w:val="decimal"/>
      <w:lvlText w:val=""/>
      <w:lvlJc w:val="left"/>
    </w:lvl>
    <w:lvl w:ilvl="2" w:tplc="4EEAE80E">
      <w:numFmt w:val="decimal"/>
      <w:lvlText w:val=""/>
      <w:lvlJc w:val="left"/>
    </w:lvl>
    <w:lvl w:ilvl="3" w:tplc="EF1C9468">
      <w:numFmt w:val="decimal"/>
      <w:lvlText w:val=""/>
      <w:lvlJc w:val="left"/>
    </w:lvl>
    <w:lvl w:ilvl="4" w:tplc="D38A0E76">
      <w:numFmt w:val="decimal"/>
      <w:lvlText w:val=""/>
      <w:lvlJc w:val="left"/>
    </w:lvl>
    <w:lvl w:ilvl="5" w:tplc="2480B2EA">
      <w:numFmt w:val="decimal"/>
      <w:lvlText w:val=""/>
      <w:lvlJc w:val="left"/>
    </w:lvl>
    <w:lvl w:ilvl="6" w:tplc="70725ECE">
      <w:numFmt w:val="decimal"/>
      <w:lvlText w:val=""/>
      <w:lvlJc w:val="left"/>
    </w:lvl>
    <w:lvl w:ilvl="7" w:tplc="7E9206B6">
      <w:numFmt w:val="decimal"/>
      <w:lvlText w:val=""/>
      <w:lvlJc w:val="left"/>
    </w:lvl>
    <w:lvl w:ilvl="8" w:tplc="F5DE0326">
      <w:numFmt w:val="decimal"/>
      <w:lvlText w:val=""/>
      <w:lvlJc w:val="left"/>
    </w:lvl>
  </w:abstractNum>
  <w:abstractNum w:abstractNumId="5">
    <w:nsid w:val="43B83315"/>
    <w:multiLevelType w:val="hybridMultilevel"/>
    <w:tmpl w:val="CE7019DA"/>
    <w:lvl w:ilvl="0" w:tplc="12EA0E22">
      <w:start w:val="1"/>
      <w:numFmt w:val="decimal"/>
      <w:lvlText w:val="%1."/>
      <w:lvlJc w:val="left"/>
      <w:pPr>
        <w:ind w:left="620" w:hanging="320"/>
      </w:pPr>
    </w:lvl>
    <w:lvl w:ilvl="1" w:tplc="97CAA99C">
      <w:numFmt w:val="decimal"/>
      <w:lvlText w:val=""/>
      <w:lvlJc w:val="left"/>
    </w:lvl>
    <w:lvl w:ilvl="2" w:tplc="3398C8BE">
      <w:numFmt w:val="decimal"/>
      <w:lvlText w:val=""/>
      <w:lvlJc w:val="left"/>
    </w:lvl>
    <w:lvl w:ilvl="3" w:tplc="AA84273A">
      <w:numFmt w:val="decimal"/>
      <w:lvlText w:val=""/>
      <w:lvlJc w:val="left"/>
    </w:lvl>
    <w:lvl w:ilvl="4" w:tplc="604245CE">
      <w:numFmt w:val="decimal"/>
      <w:lvlText w:val=""/>
      <w:lvlJc w:val="left"/>
    </w:lvl>
    <w:lvl w:ilvl="5" w:tplc="3FBA1260">
      <w:numFmt w:val="decimal"/>
      <w:lvlText w:val=""/>
      <w:lvlJc w:val="left"/>
    </w:lvl>
    <w:lvl w:ilvl="6" w:tplc="718A1372">
      <w:numFmt w:val="decimal"/>
      <w:lvlText w:val=""/>
      <w:lvlJc w:val="left"/>
    </w:lvl>
    <w:lvl w:ilvl="7" w:tplc="57ACBF5C">
      <w:numFmt w:val="decimal"/>
      <w:lvlText w:val=""/>
      <w:lvlJc w:val="left"/>
    </w:lvl>
    <w:lvl w:ilvl="8" w:tplc="A65ECD9A">
      <w:numFmt w:val="decimal"/>
      <w:lvlText w:val=""/>
      <w:lvlJc w:val="left"/>
    </w:lvl>
  </w:abstractNum>
  <w:abstractNum w:abstractNumId="6">
    <w:nsid w:val="46BA082B"/>
    <w:multiLevelType w:val="hybridMultilevel"/>
    <w:tmpl w:val="1854917A"/>
    <w:lvl w:ilvl="0" w:tplc="A34C3E40">
      <w:start w:val="1"/>
      <w:numFmt w:val="decimal"/>
      <w:lvlText w:val="%1."/>
      <w:lvlJc w:val="left"/>
      <w:pPr>
        <w:ind w:left="620" w:hanging="320"/>
      </w:pPr>
    </w:lvl>
    <w:lvl w:ilvl="1" w:tplc="81807308">
      <w:numFmt w:val="decimal"/>
      <w:lvlText w:val=""/>
      <w:lvlJc w:val="left"/>
    </w:lvl>
    <w:lvl w:ilvl="2" w:tplc="76B43F5E">
      <w:numFmt w:val="decimal"/>
      <w:lvlText w:val=""/>
      <w:lvlJc w:val="left"/>
    </w:lvl>
    <w:lvl w:ilvl="3" w:tplc="5C1282B4">
      <w:numFmt w:val="decimal"/>
      <w:lvlText w:val=""/>
      <w:lvlJc w:val="left"/>
    </w:lvl>
    <w:lvl w:ilvl="4" w:tplc="AFCCACBE">
      <w:numFmt w:val="decimal"/>
      <w:lvlText w:val=""/>
      <w:lvlJc w:val="left"/>
    </w:lvl>
    <w:lvl w:ilvl="5" w:tplc="AB602A54">
      <w:numFmt w:val="decimal"/>
      <w:lvlText w:val=""/>
      <w:lvlJc w:val="left"/>
    </w:lvl>
    <w:lvl w:ilvl="6" w:tplc="59847C0E">
      <w:numFmt w:val="decimal"/>
      <w:lvlText w:val=""/>
      <w:lvlJc w:val="left"/>
    </w:lvl>
    <w:lvl w:ilvl="7" w:tplc="B71E9188">
      <w:numFmt w:val="decimal"/>
      <w:lvlText w:val=""/>
      <w:lvlJc w:val="left"/>
    </w:lvl>
    <w:lvl w:ilvl="8" w:tplc="91C0F960">
      <w:numFmt w:val="decimal"/>
      <w:lvlText w:val=""/>
      <w:lvlJc w:val="left"/>
    </w:lvl>
  </w:abstractNum>
  <w:abstractNum w:abstractNumId="7">
    <w:nsid w:val="497849F9"/>
    <w:multiLevelType w:val="hybridMultilevel"/>
    <w:tmpl w:val="4BCE8FDC"/>
    <w:lvl w:ilvl="0" w:tplc="51BABCD4">
      <w:start w:val="1"/>
      <w:numFmt w:val="decimal"/>
      <w:lvlText w:val="%1."/>
      <w:lvlJc w:val="left"/>
      <w:pPr>
        <w:ind w:left="620" w:hanging="320"/>
      </w:pPr>
    </w:lvl>
    <w:lvl w:ilvl="1" w:tplc="A3269A4A">
      <w:numFmt w:val="decimal"/>
      <w:lvlText w:val=""/>
      <w:lvlJc w:val="left"/>
    </w:lvl>
    <w:lvl w:ilvl="2" w:tplc="94529DF6">
      <w:numFmt w:val="decimal"/>
      <w:lvlText w:val=""/>
      <w:lvlJc w:val="left"/>
    </w:lvl>
    <w:lvl w:ilvl="3" w:tplc="590EFA7A">
      <w:numFmt w:val="decimal"/>
      <w:lvlText w:val=""/>
      <w:lvlJc w:val="left"/>
    </w:lvl>
    <w:lvl w:ilvl="4" w:tplc="C97AC82E">
      <w:numFmt w:val="decimal"/>
      <w:lvlText w:val=""/>
      <w:lvlJc w:val="left"/>
    </w:lvl>
    <w:lvl w:ilvl="5" w:tplc="37564E66">
      <w:numFmt w:val="decimal"/>
      <w:lvlText w:val=""/>
      <w:lvlJc w:val="left"/>
    </w:lvl>
    <w:lvl w:ilvl="6" w:tplc="1EEE1992">
      <w:numFmt w:val="decimal"/>
      <w:lvlText w:val=""/>
      <w:lvlJc w:val="left"/>
    </w:lvl>
    <w:lvl w:ilvl="7" w:tplc="6942A1DC">
      <w:numFmt w:val="decimal"/>
      <w:lvlText w:val=""/>
      <w:lvlJc w:val="left"/>
    </w:lvl>
    <w:lvl w:ilvl="8" w:tplc="0F161206">
      <w:numFmt w:val="decimal"/>
      <w:lvlText w:val=""/>
      <w:lvlJc w:val="left"/>
    </w:lvl>
  </w:abstractNum>
  <w:abstractNum w:abstractNumId="8">
    <w:nsid w:val="67D06DE9"/>
    <w:multiLevelType w:val="hybridMultilevel"/>
    <w:tmpl w:val="C812DF9C"/>
    <w:lvl w:ilvl="0" w:tplc="FEF6CAB0">
      <w:start w:val="1"/>
      <w:numFmt w:val="decimal"/>
      <w:lvlText w:val="%1."/>
      <w:lvlJc w:val="left"/>
      <w:pPr>
        <w:ind w:left="620" w:hanging="320"/>
      </w:pPr>
    </w:lvl>
    <w:lvl w:ilvl="1" w:tplc="4C70C814">
      <w:numFmt w:val="decimal"/>
      <w:lvlText w:val=""/>
      <w:lvlJc w:val="left"/>
    </w:lvl>
    <w:lvl w:ilvl="2" w:tplc="36DC22B2">
      <w:numFmt w:val="decimal"/>
      <w:lvlText w:val=""/>
      <w:lvlJc w:val="left"/>
    </w:lvl>
    <w:lvl w:ilvl="3" w:tplc="6D9C8B9A">
      <w:numFmt w:val="decimal"/>
      <w:lvlText w:val=""/>
      <w:lvlJc w:val="left"/>
    </w:lvl>
    <w:lvl w:ilvl="4" w:tplc="F8F0D042">
      <w:numFmt w:val="decimal"/>
      <w:lvlText w:val=""/>
      <w:lvlJc w:val="left"/>
    </w:lvl>
    <w:lvl w:ilvl="5" w:tplc="EDFECF04">
      <w:numFmt w:val="decimal"/>
      <w:lvlText w:val=""/>
      <w:lvlJc w:val="left"/>
    </w:lvl>
    <w:lvl w:ilvl="6" w:tplc="777AEA24">
      <w:numFmt w:val="decimal"/>
      <w:lvlText w:val=""/>
      <w:lvlJc w:val="left"/>
    </w:lvl>
    <w:lvl w:ilvl="7" w:tplc="FEACC7E6">
      <w:numFmt w:val="decimal"/>
      <w:lvlText w:val=""/>
      <w:lvlJc w:val="left"/>
    </w:lvl>
    <w:lvl w:ilvl="8" w:tplc="78AA75D8">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4"/>
    <w:lvlOverride w:ilvl="0">
      <w:startOverride w:val="1"/>
    </w:lvlOverride>
  </w:num>
  <w:num w:numId="4">
    <w:abstractNumId w:val="1"/>
    <w:lvlOverride w:ilvl="0">
      <w:startOverride w:val="1"/>
    </w:lvlOverride>
  </w:num>
  <w:num w:numId="5">
    <w:abstractNumId w:val="7"/>
    <w:lvlOverride w:ilvl="0">
      <w:startOverride w:val="1"/>
    </w:lvlOverride>
  </w:num>
  <w:num w:numId="6">
    <w:abstractNumId w:val="8"/>
    <w:lvlOverride w:ilvl="0">
      <w:startOverride w:val="1"/>
    </w:lvlOverride>
  </w:num>
  <w:num w:numId="7">
    <w:abstractNumId w:val="3"/>
    <w:lvlOverride w:ilvl="0">
      <w:startOverride w:val="1"/>
    </w:lvlOverride>
  </w:num>
  <w:num w:numId="8">
    <w:abstractNumId w:val="0"/>
    <w:lvlOverride w:ilvl="0">
      <w:startOverride w:val="1"/>
    </w:lvlOverride>
  </w:num>
  <w:num w:numId="9">
    <w:abstractNumId w:val="5"/>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08"/>
  <w:hyphenationZone w:val="425"/>
  <w:characterSpacingControl w:val="doNotCompress"/>
  <w:footnotePr>
    <w:footnote w:id="0"/>
    <w:footnote w:id="1"/>
  </w:footnotePr>
  <w:endnotePr>
    <w:endnote w:id="0"/>
    <w:endnote w:id="1"/>
  </w:endnotePr>
  <w:compat/>
  <w:rsids>
    <w:rsidRoot w:val="005C0D87"/>
    <w:rsid w:val="00105C83"/>
    <w:rsid w:val="00185773"/>
    <w:rsid w:val="0020047E"/>
    <w:rsid w:val="002733D9"/>
    <w:rsid w:val="00331EA2"/>
    <w:rsid w:val="0051352E"/>
    <w:rsid w:val="005C0D87"/>
    <w:rsid w:val="00914645"/>
    <w:rsid w:val="009F6020"/>
    <w:rsid w:val="00DD4A20"/>
    <w:rsid w:val="00F94D7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1"/>
        <w:szCs w:val="21"/>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020"/>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sid w:val="005C0D87"/>
    <w:rPr>
      <w:sz w:val="56"/>
      <w:szCs w:val="56"/>
    </w:rPr>
  </w:style>
  <w:style w:type="paragraph" w:customStyle="1" w:styleId="Heading1">
    <w:name w:val="Heading 1"/>
    <w:qFormat/>
    <w:rsid w:val="005C0D87"/>
    <w:rPr>
      <w:color w:val="2E74B5"/>
      <w:sz w:val="32"/>
      <w:szCs w:val="32"/>
    </w:rPr>
  </w:style>
  <w:style w:type="paragraph" w:customStyle="1" w:styleId="Heading2">
    <w:name w:val="Heading 2"/>
    <w:qFormat/>
    <w:rsid w:val="005C0D87"/>
    <w:rPr>
      <w:color w:val="2E74B5"/>
      <w:sz w:val="26"/>
      <w:szCs w:val="26"/>
    </w:rPr>
  </w:style>
  <w:style w:type="paragraph" w:customStyle="1" w:styleId="Heading3">
    <w:name w:val="Heading 3"/>
    <w:qFormat/>
    <w:rsid w:val="005C0D87"/>
    <w:rPr>
      <w:color w:val="1F4D78"/>
      <w:sz w:val="24"/>
      <w:szCs w:val="24"/>
    </w:rPr>
  </w:style>
  <w:style w:type="paragraph" w:customStyle="1" w:styleId="Heading4">
    <w:name w:val="Heading 4"/>
    <w:qFormat/>
    <w:rsid w:val="005C0D87"/>
    <w:rPr>
      <w:i/>
      <w:iCs/>
      <w:color w:val="2E74B5"/>
    </w:rPr>
  </w:style>
  <w:style w:type="paragraph" w:customStyle="1" w:styleId="Heading5">
    <w:name w:val="Heading 5"/>
    <w:qFormat/>
    <w:rsid w:val="005C0D87"/>
    <w:rPr>
      <w:color w:val="2E74B5"/>
    </w:rPr>
  </w:style>
  <w:style w:type="paragraph" w:customStyle="1" w:styleId="Heading6">
    <w:name w:val="Heading 6"/>
    <w:qFormat/>
    <w:rsid w:val="005C0D87"/>
    <w:rPr>
      <w:color w:val="1F4D78"/>
    </w:rPr>
  </w:style>
  <w:style w:type="paragraph" w:customStyle="1" w:styleId="Gl1">
    <w:name w:val="Güçlü1"/>
    <w:qFormat/>
    <w:rsid w:val="005C0D87"/>
    <w:rPr>
      <w:b/>
      <w:bCs/>
    </w:rPr>
  </w:style>
  <w:style w:type="paragraph" w:styleId="ListeParagraf">
    <w:name w:val="List Paragraph"/>
    <w:qFormat/>
    <w:rsid w:val="005C0D87"/>
  </w:style>
  <w:style w:type="character" w:styleId="Kpr">
    <w:name w:val="Hyperlink"/>
    <w:uiPriority w:val="99"/>
    <w:unhideWhenUsed/>
    <w:rsid w:val="005C0D87"/>
    <w:rPr>
      <w:color w:val="0563C1"/>
      <w:u w:val="single"/>
    </w:rPr>
  </w:style>
  <w:style w:type="character" w:styleId="DipnotBavurusu">
    <w:name w:val="footnote reference"/>
    <w:uiPriority w:val="99"/>
    <w:semiHidden/>
    <w:unhideWhenUsed/>
    <w:rsid w:val="005C0D87"/>
    <w:rPr>
      <w:vertAlign w:val="superscript"/>
    </w:rPr>
  </w:style>
  <w:style w:type="paragraph" w:styleId="DipnotMetni">
    <w:name w:val="footnote text"/>
    <w:link w:val="DipnotMetniChar"/>
    <w:uiPriority w:val="99"/>
    <w:semiHidden/>
    <w:unhideWhenUsed/>
    <w:rsid w:val="005C0D87"/>
    <w:rPr>
      <w:sz w:val="20"/>
      <w:szCs w:val="20"/>
    </w:rPr>
  </w:style>
  <w:style w:type="character" w:customStyle="1" w:styleId="DipnotMetniChar">
    <w:name w:val="Dipnot Metni Char"/>
    <w:link w:val="DipnotMetni"/>
    <w:uiPriority w:val="99"/>
    <w:semiHidden/>
    <w:unhideWhenUsed/>
    <w:rsid w:val="005C0D87"/>
    <w:rPr>
      <w:sz w:val="20"/>
      <w:szCs w:val="20"/>
    </w:rPr>
  </w:style>
  <w:style w:type="character" w:styleId="SonnotBavurusu">
    <w:name w:val="endnote reference"/>
    <w:uiPriority w:val="99"/>
    <w:semiHidden/>
    <w:unhideWhenUsed/>
    <w:rsid w:val="005C0D87"/>
    <w:rPr>
      <w:vertAlign w:val="superscript"/>
    </w:rPr>
  </w:style>
  <w:style w:type="paragraph" w:styleId="SonnotMetni">
    <w:name w:val="endnote text"/>
    <w:link w:val="SonnotMetniChar"/>
    <w:uiPriority w:val="99"/>
    <w:semiHidden/>
    <w:unhideWhenUsed/>
    <w:rsid w:val="005C0D87"/>
    <w:rPr>
      <w:sz w:val="20"/>
      <w:szCs w:val="20"/>
    </w:rPr>
  </w:style>
  <w:style w:type="character" w:customStyle="1" w:styleId="SonnotMetniChar">
    <w:name w:val="Sonnot Metni Char"/>
    <w:link w:val="SonnotMetni"/>
    <w:uiPriority w:val="99"/>
    <w:semiHidden/>
    <w:unhideWhenUsed/>
    <w:rsid w:val="005C0D87"/>
    <w:rPr>
      <w:sz w:val="20"/>
      <w:szCs w:val="20"/>
    </w:rPr>
  </w:style>
  <w:style w:type="paragraph" w:customStyle="1" w:styleId="Heading10">
    <w:name w:val="Heading 1"/>
    <w:qFormat/>
    <w:rsid w:val="005C0D87"/>
    <w:pPr>
      <w:pBdr>
        <w:bottom w:val="single" w:sz="6" w:space="2" w:color="2E75B6"/>
      </w:pBdr>
      <w:spacing w:before="240" w:after="160"/>
      <w:outlineLvl w:val="0"/>
    </w:pPr>
    <w:rPr>
      <w:b/>
      <w:bCs/>
      <w:color w:val="1F3864"/>
      <w:sz w:val="30"/>
      <w:szCs w:val="30"/>
    </w:rPr>
  </w:style>
  <w:style w:type="paragraph" w:customStyle="1" w:styleId="Heading20">
    <w:name w:val="Heading 2"/>
    <w:qFormat/>
    <w:rsid w:val="005C0D87"/>
    <w:pPr>
      <w:spacing w:before="200" w:after="120"/>
      <w:outlineLvl w:val="1"/>
    </w:pPr>
    <w:rPr>
      <w:b/>
      <w:bCs/>
      <w:color w:val="2E75B6"/>
      <w:sz w:val="23"/>
      <w:szCs w:val="23"/>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7</TotalTime>
  <Pages>4</Pages>
  <Words>3966</Words>
  <Characters>22609</Characters>
  <Application>Microsoft Office Word</Application>
  <DocSecurity>0</DocSecurity>
  <Lines>188</Lines>
  <Paragraphs>53</Paragraphs>
  <ScaleCrop>false</ScaleCrop>
  <Company/>
  <LinksUpToDate>false</LinksUpToDate>
  <CharactersWithSpaces>26522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
  <dcterms:created xsi:type="dcterms:W3CDTF">2026-07-01T19:00:00Z</dcterms:created>
  <dcterms:modified xsi:type="dcterms:W3CDTF">2026-08-07T11:25:00Z</dcterms:modified>
</cp:coreProperties>
</file>