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7662" w14:textId="77777777" w:rsidR="005C56E1" w:rsidRPr="005C56E1" w:rsidRDefault="00771E2C" w:rsidP="005C56E1">
      <w:pPr>
        <w:spacing w:after="0" w:line="240" w:lineRule="auto"/>
        <w:rPr>
          <w:rFonts w:ascii="Times New Roman" w:eastAsia="Times New Roman" w:hAnsi="Times New Roman" w:cs="Times New Roman"/>
          <w:kern w:val="0"/>
          <w14:ligatures w14:val="none"/>
        </w:rPr>
      </w:pPr>
      <w:r w:rsidRPr="00771E2C">
        <w:rPr>
          <w:rFonts w:ascii="Times New Roman" w:eastAsia="Times New Roman" w:hAnsi="Times New Roman" w:cs="Times New Roman"/>
          <w:noProof/>
          <w:kern w:val="0"/>
        </w:rPr>
        <w:pict w14:anchorId="72A449E2">
          <v:rect id="_x0000_i1029" alt="" style="width:468pt;height:.05pt;mso-width-percent:0;mso-height-percent:0;mso-width-percent:0;mso-height-percent:0" o:hralign="center" o:hrstd="t" o:hr="t" fillcolor="#a0a0a0" stroked="f"/>
        </w:pict>
      </w:r>
    </w:p>
    <w:p w14:paraId="78EA96CB" w14:textId="77777777" w:rsidR="005C56E1" w:rsidRPr="005C56E1" w:rsidRDefault="005C56E1" w:rsidP="005C5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6E1">
        <w:rPr>
          <w:rFonts w:ascii="Times New Roman" w:eastAsia="Times New Roman" w:hAnsi="Times New Roman" w:cs="Times New Roman"/>
          <w:b/>
          <w:bCs/>
          <w:kern w:val="0"/>
          <w:sz w:val="36"/>
          <w:szCs w:val="36"/>
          <w14:ligatures w14:val="none"/>
        </w:rPr>
        <w:t>Section 1 &amp; 2 — Asterion / NVIDIA ACE (your core motivation)</w:t>
      </w:r>
    </w:p>
    <w:p w14:paraId="5AA7DA10"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Primary source — official Wemade press release (CES 2025 announcement)</w:t>
      </w:r>
    </w:p>
    <w:p w14:paraId="74657C70"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4" w:history="1">
        <w:r w:rsidRPr="005C56E1">
          <w:rPr>
            <w:rFonts w:ascii="Times New Roman" w:eastAsia="Times New Roman" w:hAnsi="Times New Roman" w:cs="Times New Roman"/>
            <w:color w:val="0000FF"/>
            <w:kern w:val="0"/>
            <w:u w:val="single"/>
            <w14:ligatures w14:val="none"/>
          </w:rPr>
          <w:t>https://www.businesswire.com/news/home/20250106300797/en/Wemade-Next-to-Develop-an-AI-Boss-in-MIR5-in-Collaboration-with-NVIDIA</w:t>
        </w:r>
      </w:hyperlink>
    </w:p>
    <w:p w14:paraId="7463D2B7"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Wemade Next confirmed MIR5 is the first game to use NVIDIA ACE to power boss battles, with Asterion using SLMs to perceive the game environment, record past battles, and learn from them — dynamically adapting strategies based on player composition and positioning. </w:t>
      </w:r>
      <w:hyperlink r:id="rId5" w:tgtFrame="_blank" w:history="1">
        <w:r w:rsidRPr="005C56E1">
          <w:rPr>
            <w:rFonts w:ascii="Times New Roman" w:eastAsia="Times New Roman" w:hAnsi="Times New Roman" w:cs="Times New Roman"/>
            <w:color w:val="0000FF"/>
            <w:kern w:val="0"/>
            <w:u w:val="single"/>
            <w14:ligatures w14:val="none"/>
          </w:rPr>
          <w:t>WEMADE</w:t>
        </w:r>
      </w:hyperlink>
      <w:r w:rsidRPr="005C56E1">
        <w:rPr>
          <w:rFonts w:ascii="Times New Roman" w:eastAsia="Times New Roman" w:hAnsi="Times New Roman" w:cs="Times New Roman"/>
          <w:kern w:val="0"/>
          <w14:ligatures w14:val="none"/>
        </w:rPr>
        <w:t xml:space="preserve"> This is your most citable source for the Asterion claim.</w:t>
      </w:r>
    </w:p>
    <w:p w14:paraId="3497A440"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Wemade full story post (technical detail)</w:t>
      </w:r>
    </w:p>
    <w:p w14:paraId="38850923"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5C56E1">
          <w:rPr>
            <w:rFonts w:ascii="Times New Roman" w:eastAsia="Times New Roman" w:hAnsi="Times New Roman" w:cs="Times New Roman"/>
            <w:color w:val="0000FF"/>
            <w:kern w:val="0"/>
            <w:u w:val="single"/>
            <w14:ligatures w14:val="none"/>
          </w:rPr>
          <w:t>https://wemade.com/stories/news-20250331</w:t>
        </w:r>
      </w:hyperlink>
    </w:p>
    <w:p w14:paraId="62BC4E0B"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The system runs on three infrastructure pillars: NVIDIA ACE for character adaptivity, NIM microservices for real-time inference, and Blackwell architecture (RTX 5090) for smooth AI decision-making inside the game. </w:t>
      </w:r>
      <w:hyperlink r:id="rId7" w:tgtFrame="_blank" w:history="1">
        <w:r w:rsidRPr="005C56E1">
          <w:rPr>
            <w:rFonts w:ascii="Times New Roman" w:eastAsia="Times New Roman" w:hAnsi="Times New Roman" w:cs="Times New Roman"/>
            <w:color w:val="0000FF"/>
            <w:kern w:val="0"/>
            <w:u w:val="single"/>
            <w14:ligatures w14:val="none"/>
          </w:rPr>
          <w:t>WEMADE</w:t>
        </w:r>
      </w:hyperlink>
      <w:r w:rsidRPr="005C56E1">
        <w:rPr>
          <w:rFonts w:ascii="Times New Roman" w:eastAsia="Times New Roman" w:hAnsi="Times New Roman" w:cs="Times New Roman"/>
          <w:kern w:val="0"/>
          <w14:ligatures w14:val="none"/>
        </w:rPr>
        <w:t xml:space="preserve"> Use this to establish the infra requirements God's Eye explicitly avoids needing.</w:t>
      </w:r>
    </w:p>
    <w:p w14:paraId="6D0ADD07"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NVIDIA official ACE developer page</w:t>
      </w:r>
    </w:p>
    <w:p w14:paraId="54CE37FF"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5C56E1">
          <w:rPr>
            <w:rFonts w:ascii="Times New Roman" w:eastAsia="Times New Roman" w:hAnsi="Times New Roman" w:cs="Times New Roman"/>
            <w:color w:val="0000FF"/>
            <w:kern w:val="0"/>
            <w:u w:val="single"/>
            <w14:ligatures w14:val="none"/>
          </w:rPr>
          <w:t>https://developer.nvidia.com/ace</w:t>
        </w:r>
      </w:hyperlink>
    </w:p>
    <w:p w14:paraId="06472568"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NVIDIA positions ACE as a suite of digital human technologies powering agentic workflows for autonomous game characters and digital assistants. </w:t>
      </w:r>
      <w:hyperlink r:id="rId9" w:tgtFrame="_blank" w:history="1">
        <w:r w:rsidRPr="005C56E1">
          <w:rPr>
            <w:rFonts w:ascii="Times New Roman" w:eastAsia="Times New Roman" w:hAnsi="Times New Roman" w:cs="Times New Roman"/>
            <w:color w:val="0000FF"/>
            <w:kern w:val="0"/>
            <w:u w:val="single"/>
            <w14:ligatures w14:val="none"/>
          </w:rPr>
          <w:t>NVIDIA Developer</w:t>
        </w:r>
      </w:hyperlink>
      <w:r w:rsidRPr="005C56E1">
        <w:rPr>
          <w:rFonts w:ascii="Times New Roman" w:eastAsia="Times New Roman" w:hAnsi="Times New Roman" w:cs="Times New Roman"/>
          <w:kern w:val="0"/>
          <w14:ligatures w14:val="none"/>
        </w:rPr>
        <w:t xml:space="preserve"> Good for a one-line definition of ACE in your background section.</w:t>
      </w:r>
    </w:p>
    <w:p w14:paraId="7272AC3E"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NVIDIA GDC 2024 coverage</w:t>
      </w:r>
    </w:p>
    <w:p w14:paraId="3446BFD5"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5C56E1">
          <w:rPr>
            <w:rFonts w:ascii="Times New Roman" w:eastAsia="Times New Roman" w:hAnsi="Times New Roman" w:cs="Times New Roman"/>
            <w:color w:val="0000FF"/>
            <w:kern w:val="0"/>
            <w:u w:val="single"/>
            <w14:ligatures w14:val="none"/>
          </w:rPr>
          <w:t>https://www.nvidia.com/en-us/geforce/news/nvidia-ace-gdc-gtc-2024-ai-character-game-and-app-demo-videos/</w:t>
        </w:r>
      </w:hyperlink>
    </w:p>
    <w:p w14:paraId="193A2B38"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At GDC 2024, NVIDIA announced that developers across industries are using its digital human suite — including ACE for speech and animation, NeMo for language, and RTX for rendering — to build NPCs capable of AI-powered natural language interactions. </w:t>
      </w:r>
      <w:hyperlink r:id="rId11" w:tgtFrame="_blank" w:history="1">
        <w:r w:rsidRPr="005C56E1">
          <w:rPr>
            <w:rFonts w:ascii="Times New Roman" w:eastAsia="Times New Roman" w:hAnsi="Times New Roman" w:cs="Times New Roman"/>
            <w:color w:val="0000FF"/>
            <w:kern w:val="0"/>
            <w:u w:val="single"/>
            <w14:ligatures w14:val="none"/>
          </w:rPr>
          <w:t>NVIDIA</w:t>
        </w:r>
      </w:hyperlink>
    </w:p>
    <w:p w14:paraId="6798B8D7"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NVIDIA ACE launch announcement (CES 2024)</w:t>
      </w:r>
    </w:p>
    <w:p w14:paraId="68F80478"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5C56E1">
          <w:rPr>
            <w:rFonts w:ascii="Times New Roman" w:eastAsia="Times New Roman" w:hAnsi="Times New Roman" w:cs="Times New Roman"/>
            <w:color w:val="0000FF"/>
            <w:kern w:val="0"/>
            <w:u w:val="single"/>
            <w14:ligatures w14:val="none"/>
          </w:rPr>
          <w:t>https://www.nvidia.com/en-us/geforce/news/nvidia-ace-architecture-ai-npc-personalities/</w:t>
        </w:r>
      </w:hyperlink>
    </w:p>
    <w:p w14:paraId="0DD04CCF"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lastRenderedPageBreak/>
        <w:t>Good for citing when ACE first went into production.</w:t>
      </w:r>
    </w:p>
    <w:p w14:paraId="0B1F532E" w14:textId="77777777" w:rsidR="005C56E1" w:rsidRPr="005C56E1" w:rsidRDefault="00771E2C" w:rsidP="005C56E1">
      <w:pPr>
        <w:spacing w:after="0" w:line="240" w:lineRule="auto"/>
        <w:rPr>
          <w:rFonts w:ascii="Times New Roman" w:eastAsia="Times New Roman" w:hAnsi="Times New Roman" w:cs="Times New Roman"/>
          <w:kern w:val="0"/>
          <w14:ligatures w14:val="none"/>
        </w:rPr>
      </w:pPr>
      <w:r w:rsidRPr="00771E2C">
        <w:rPr>
          <w:rFonts w:ascii="Times New Roman" w:eastAsia="Times New Roman" w:hAnsi="Times New Roman" w:cs="Times New Roman"/>
          <w:noProof/>
          <w:kern w:val="0"/>
        </w:rPr>
        <w:pict w14:anchorId="11BBC80C">
          <v:rect id="_x0000_i1028" alt="" style="width:468pt;height:.05pt;mso-width-percent:0;mso-height-percent:0;mso-width-percent:0;mso-height-percent:0" o:hralign="center" o:hrstd="t" o:hr="t" fillcolor="#a0a0a0" stroked="f"/>
        </w:pict>
      </w:r>
    </w:p>
    <w:p w14:paraId="4BC6C51B" w14:textId="77777777" w:rsidR="005C56E1" w:rsidRPr="005C56E1" w:rsidRDefault="005C56E1" w:rsidP="005C5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6E1">
        <w:rPr>
          <w:rFonts w:ascii="Times New Roman" w:eastAsia="Times New Roman" w:hAnsi="Times New Roman" w:cs="Times New Roman"/>
          <w:b/>
          <w:bCs/>
          <w:kern w:val="0"/>
          <w:sz w:val="36"/>
          <w:szCs w:val="36"/>
          <w14:ligatures w14:val="none"/>
        </w:rPr>
        <w:t>Section 2 — Behavior Trees (your technical baseline)</w:t>
      </w:r>
    </w:p>
    <w:p w14:paraId="23847BE5"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The canonical academic reference — Colledanchise &amp; Ögren (arXiv)</w:t>
      </w:r>
    </w:p>
    <w:p w14:paraId="2C91C6ED"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5C56E1">
          <w:rPr>
            <w:rFonts w:ascii="Times New Roman" w:eastAsia="Times New Roman" w:hAnsi="Times New Roman" w:cs="Times New Roman"/>
            <w:color w:val="0000FF"/>
            <w:kern w:val="0"/>
            <w:u w:val="single"/>
            <w14:ligatures w14:val="none"/>
          </w:rPr>
          <w:t>https://arxiv.org/abs/1709.00084</w:t>
        </w:r>
      </w:hyperlink>
    </w:p>
    <w:p w14:paraId="6F89378E"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This book-length treatment defines behavior trees as a way to structure task switching in autonomous agents — praised for being both modular and reactive, properties that have driven adoption from game AI into robotics broadly. </w:t>
      </w:r>
      <w:hyperlink r:id="rId14" w:tgtFrame="_blank" w:history="1">
        <w:r w:rsidRPr="005C56E1">
          <w:rPr>
            <w:rFonts w:ascii="Times New Roman" w:eastAsia="Times New Roman" w:hAnsi="Times New Roman" w:cs="Times New Roman"/>
            <w:color w:val="0000FF"/>
            <w:kern w:val="0"/>
            <w:u w:val="single"/>
            <w14:ligatures w14:val="none"/>
          </w:rPr>
          <w:t>arXiv</w:t>
        </w:r>
      </w:hyperlink>
      <w:r w:rsidRPr="005C56E1">
        <w:rPr>
          <w:rFonts w:ascii="Times New Roman" w:eastAsia="Times New Roman" w:hAnsi="Times New Roman" w:cs="Times New Roman"/>
          <w:kern w:val="0"/>
          <w14:ligatures w14:val="none"/>
        </w:rPr>
        <w:t xml:space="preserve"> This is your must-cite for BTs.</w:t>
      </w:r>
    </w:p>
    <w:p w14:paraId="7E252B08"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Iovino et al. survey, 2022 (Robotics &amp; AI)</w:t>
      </w:r>
    </w:p>
    <w:p w14:paraId="72F0DA0C"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5C56E1">
          <w:rPr>
            <w:rFonts w:ascii="Times New Roman" w:eastAsia="Times New Roman" w:hAnsi="Times New Roman" w:cs="Times New Roman"/>
            <w:color w:val="0000FF"/>
            <w:kern w:val="0"/>
            <w:u w:val="single"/>
            <w14:ligatures w14:val="none"/>
          </w:rPr>
          <w:t>https://www.sciencedirect.com/science/article/pii/S0921889022000513</w:t>
        </w:r>
      </w:hyperlink>
    </w:p>
    <w:p w14:paraId="1CEA0036"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Behavior trees were originally invented for modular AI in computer games before gaining traction in robotics research. </w:t>
      </w:r>
      <w:hyperlink r:id="rId16" w:tgtFrame="_blank" w:history="1">
        <w:r w:rsidRPr="005C56E1">
          <w:rPr>
            <w:rFonts w:ascii="Times New Roman" w:eastAsia="Times New Roman" w:hAnsi="Times New Roman" w:cs="Times New Roman"/>
            <w:color w:val="0000FF"/>
            <w:kern w:val="0"/>
            <w:u w:val="single"/>
            <w14:ligatures w14:val="none"/>
          </w:rPr>
          <w:t>ScienceDirect</w:t>
        </w:r>
      </w:hyperlink>
      <w:r w:rsidRPr="005C56E1">
        <w:rPr>
          <w:rFonts w:ascii="Times New Roman" w:eastAsia="Times New Roman" w:hAnsi="Times New Roman" w:cs="Times New Roman"/>
          <w:kern w:val="0"/>
          <w14:ligatures w14:val="none"/>
        </w:rPr>
        <w:t xml:space="preserve"> Solid peer-reviewed survey, great for your related work.</w:t>
      </w:r>
    </w:p>
    <w:p w14:paraId="5816E937"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EvolvingBehavior — FDG 2022 paper (directly your target venue)</w:t>
      </w:r>
    </w:p>
    <w:p w14:paraId="01FDB568"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5C56E1">
          <w:rPr>
            <w:rFonts w:ascii="Times New Roman" w:eastAsia="Times New Roman" w:hAnsi="Times New Roman" w:cs="Times New Roman"/>
            <w:color w:val="0000FF"/>
            <w:kern w:val="0"/>
            <w:u w:val="single"/>
            <w14:ligatures w14:val="none"/>
          </w:rPr>
          <w:t>https://arxiv.org/pdf/2209.01020</w:t>
        </w:r>
      </w:hyperlink>
    </w:p>
    <w:p w14:paraId="7D2502C3"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This FDG 2022 paper explores co-creative evolution of behavior trees for game NPCs, noting that indie developers with small teams often lack expertise to build robust game AI — exactly the accessibility gap God's Eye addresses. </w:t>
      </w:r>
      <w:hyperlink r:id="rId18" w:tgtFrame="_blank" w:history="1">
        <w:r w:rsidRPr="005C56E1">
          <w:rPr>
            <w:rFonts w:ascii="Times New Roman" w:eastAsia="Times New Roman" w:hAnsi="Times New Roman" w:cs="Times New Roman"/>
            <w:color w:val="0000FF"/>
            <w:kern w:val="0"/>
            <w:u w:val="single"/>
            <w14:ligatures w14:val="none"/>
          </w:rPr>
          <w:t>arXiv</w:t>
        </w:r>
      </w:hyperlink>
      <w:r w:rsidRPr="005C56E1">
        <w:rPr>
          <w:rFonts w:ascii="Times New Roman" w:eastAsia="Times New Roman" w:hAnsi="Times New Roman" w:cs="Times New Roman"/>
          <w:kern w:val="0"/>
          <w14:ligatures w14:val="none"/>
        </w:rPr>
        <w:t xml:space="preserve"> This one is gold — it's published at your exact target venue and frames the same problem.</w:t>
      </w:r>
    </w:p>
    <w:p w14:paraId="0FE7E496"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Sekhavat 2017 — "Behavior Trees for Computer Games"</w:t>
      </w:r>
    </w:p>
    <w:p w14:paraId="4E390E8E"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5C56E1">
          <w:rPr>
            <w:rFonts w:ascii="Times New Roman" w:eastAsia="Times New Roman" w:hAnsi="Times New Roman" w:cs="Times New Roman"/>
            <w:color w:val="0000FF"/>
            <w:kern w:val="0"/>
            <w:u w:val="single"/>
            <w14:ligatures w14:val="none"/>
          </w:rPr>
          <w:t>https://www.researchgate.net/publication/312869797_Behavior_Trees_for_Computer_Games</w:t>
        </w:r>
      </w:hyperlink>
    </w:p>
    <w:p w14:paraId="7DF04309"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Foundational paper specifically on BTs in games. Widely cited, easy to reference.</w:t>
      </w:r>
    </w:p>
    <w:p w14:paraId="0548AE3A" w14:textId="77777777" w:rsidR="005C56E1" w:rsidRPr="005C56E1" w:rsidRDefault="00771E2C" w:rsidP="005C56E1">
      <w:pPr>
        <w:spacing w:after="0" w:line="240" w:lineRule="auto"/>
        <w:rPr>
          <w:rFonts w:ascii="Times New Roman" w:eastAsia="Times New Roman" w:hAnsi="Times New Roman" w:cs="Times New Roman"/>
          <w:kern w:val="0"/>
          <w14:ligatures w14:val="none"/>
        </w:rPr>
      </w:pPr>
      <w:r w:rsidRPr="00771E2C">
        <w:rPr>
          <w:rFonts w:ascii="Times New Roman" w:eastAsia="Times New Roman" w:hAnsi="Times New Roman" w:cs="Times New Roman"/>
          <w:noProof/>
          <w:kern w:val="0"/>
        </w:rPr>
        <w:pict w14:anchorId="078053E8">
          <v:rect id="_x0000_i1027" alt="" style="width:468pt;height:.05pt;mso-width-percent:0;mso-height-percent:0;mso-width-percent:0;mso-height-percent:0" o:hralign="center" o:hrstd="t" o:hr="t" fillcolor="#a0a0a0" stroked="f"/>
        </w:pict>
      </w:r>
    </w:p>
    <w:p w14:paraId="5050A795" w14:textId="77777777" w:rsidR="005C56E1" w:rsidRPr="005C56E1" w:rsidRDefault="005C56E1" w:rsidP="005C5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6E1">
        <w:rPr>
          <w:rFonts w:ascii="Times New Roman" w:eastAsia="Times New Roman" w:hAnsi="Times New Roman" w:cs="Times New Roman"/>
          <w:b/>
          <w:bCs/>
          <w:kern w:val="0"/>
          <w:sz w:val="36"/>
          <w:szCs w:val="36"/>
          <w14:ligatures w14:val="none"/>
        </w:rPr>
        <w:t>Section 2 — VLMs in game/agent contexts (your technical novelty)</w:t>
      </w:r>
    </w:p>
    <w:p w14:paraId="4139E807"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VLMs interacting with games via screenshots (ACL 2025)</w:t>
      </w:r>
    </w:p>
    <w:p w14:paraId="658739C5"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5C56E1">
          <w:rPr>
            <w:rFonts w:ascii="Times New Roman" w:eastAsia="Times New Roman" w:hAnsi="Times New Roman" w:cs="Times New Roman"/>
            <w:color w:val="0000FF"/>
            <w:kern w:val="0"/>
            <w:u w:val="single"/>
            <w14:ligatures w14:val="none"/>
          </w:rPr>
          <w:t>https://aclanthology.org/2025.acl-long.643.pdf</w:t>
        </w:r>
      </w:hyperlink>
    </w:p>
    <w:p w14:paraId="0FC0239E"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lastRenderedPageBreak/>
        <w:t xml:space="preserve">Recent work shows VLMs interacting with games purely through visual understanding of game screens — operating on a pause-and-plan paradigm where the agent periodically pauses gameplay, uses VLM and vision tools together, and then resumes. </w:t>
      </w:r>
      <w:hyperlink r:id="rId21" w:tgtFrame="_blank" w:history="1">
        <w:r w:rsidRPr="005C56E1">
          <w:rPr>
            <w:rFonts w:ascii="Times New Roman" w:eastAsia="Times New Roman" w:hAnsi="Times New Roman" w:cs="Times New Roman"/>
            <w:color w:val="0000FF"/>
            <w:kern w:val="0"/>
            <w:u w:val="single"/>
            <w14:ligatures w14:val="none"/>
          </w:rPr>
          <w:t>ACL Anthology</w:t>
        </w:r>
      </w:hyperlink>
      <w:r w:rsidRPr="005C56E1">
        <w:rPr>
          <w:rFonts w:ascii="Times New Roman" w:eastAsia="Times New Roman" w:hAnsi="Times New Roman" w:cs="Times New Roman"/>
          <w:kern w:val="0"/>
          <w14:ligatures w14:val="none"/>
        </w:rPr>
        <w:t xml:space="preserve"> This is almost exactly what God's Eye does — cite this as prior art and differentiate (you feed output into a BT rather than using VLM as a direct game controller).</w:t>
      </w:r>
    </w:p>
    <w:p w14:paraId="59233133"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PORTAL framework — LLMs generating behavior trees for 3D games (arXiv 2025)</w:t>
      </w:r>
    </w:p>
    <w:p w14:paraId="36235256"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5C56E1">
          <w:rPr>
            <w:rFonts w:ascii="Times New Roman" w:eastAsia="Times New Roman" w:hAnsi="Times New Roman" w:cs="Times New Roman"/>
            <w:color w:val="0000FF"/>
            <w:kern w:val="0"/>
            <w:u w:val="single"/>
            <w14:ligatures w14:val="none"/>
          </w:rPr>
          <w:t>https://arxiv.org/html/2503.13356v1</w:t>
        </w:r>
      </w:hyperlink>
    </w:p>
    <w:p w14:paraId="041A7ACC"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PORTAL combines LLM-generated behavior trees with a dual-feedback mechanism that incorporates VLM analysis of gameplay footage — positioning VLMs as a tactical planning layer that sits above a BT execution layer. </w:t>
      </w:r>
      <w:hyperlink r:id="rId23" w:tgtFrame="_blank" w:history="1">
        <w:r w:rsidRPr="005C56E1">
          <w:rPr>
            <w:rFonts w:ascii="Times New Roman" w:eastAsia="Times New Roman" w:hAnsi="Times New Roman" w:cs="Times New Roman"/>
            <w:color w:val="0000FF"/>
            <w:kern w:val="0"/>
            <w:u w:val="single"/>
            <w14:ligatures w14:val="none"/>
          </w:rPr>
          <w:t>arXiv</w:t>
        </w:r>
      </w:hyperlink>
      <w:r w:rsidRPr="005C56E1">
        <w:rPr>
          <w:rFonts w:ascii="Times New Roman" w:eastAsia="Times New Roman" w:hAnsi="Times New Roman" w:cs="Times New Roman"/>
          <w:kern w:val="0"/>
          <w14:ligatures w14:val="none"/>
        </w:rPr>
        <w:t xml:space="preserve"> Very closely related to your architecture. Cite and distinguish: God's Eye uses vision input in real-time per-frame rather than post-hoc analysis.</w:t>
      </w:r>
    </w:p>
    <w:p w14:paraId="06E59784"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b/>
          <w:bCs/>
          <w:kern w:val="0"/>
          <w14:ligatures w14:val="none"/>
        </w:rPr>
        <w:t>VideoGameQA-Bench — VLMs reading game screenshots (arXiv 2025)</w:t>
      </w:r>
    </w:p>
    <w:p w14:paraId="30F2474B"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5C56E1">
          <w:rPr>
            <w:rFonts w:ascii="Times New Roman" w:eastAsia="Times New Roman" w:hAnsi="Times New Roman" w:cs="Times New Roman"/>
            <w:color w:val="0000FF"/>
            <w:kern w:val="0"/>
            <w:u w:val="single"/>
            <w14:ligatures w14:val="none"/>
          </w:rPr>
          <w:t>https://arxiv.org/html/2505.15952v2</w:t>
        </w:r>
      </w:hyperlink>
    </w:p>
    <w:p w14:paraId="59A5E5C1"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Shows VLMs analyzing game screenshots for QA purposes — useful as evidence that vision models can extract meaningful semantic info from game visuals.</w:t>
      </w:r>
    </w:p>
    <w:p w14:paraId="4C6C1154" w14:textId="77777777" w:rsidR="005C56E1" w:rsidRPr="005C56E1" w:rsidRDefault="00771E2C" w:rsidP="005C56E1">
      <w:pPr>
        <w:spacing w:after="0" w:line="240" w:lineRule="auto"/>
        <w:rPr>
          <w:rFonts w:ascii="Times New Roman" w:eastAsia="Times New Roman" w:hAnsi="Times New Roman" w:cs="Times New Roman"/>
          <w:kern w:val="0"/>
          <w14:ligatures w14:val="none"/>
        </w:rPr>
      </w:pPr>
      <w:r w:rsidRPr="00771E2C">
        <w:rPr>
          <w:rFonts w:ascii="Times New Roman" w:eastAsia="Times New Roman" w:hAnsi="Times New Roman" w:cs="Times New Roman"/>
          <w:noProof/>
          <w:kern w:val="0"/>
        </w:rPr>
        <w:pict w14:anchorId="7A541EE3">
          <v:rect id="_x0000_i1026" alt="" style="width:468pt;height:.05pt;mso-width-percent:0;mso-height-percent:0;mso-width-percent:0;mso-height-percent:0" o:hralign="center" o:hrstd="t" o:hr="t" fillcolor="#a0a0a0" stroked="f"/>
        </w:pict>
      </w:r>
    </w:p>
    <w:p w14:paraId="68E192CA" w14:textId="77777777" w:rsidR="005C56E1" w:rsidRPr="005C56E1" w:rsidRDefault="005C56E1" w:rsidP="005C5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6E1">
        <w:rPr>
          <w:rFonts w:ascii="Times New Roman" w:eastAsia="Times New Roman" w:hAnsi="Times New Roman" w:cs="Times New Roman"/>
          <w:b/>
          <w:bCs/>
          <w:kern w:val="0"/>
          <w:sz w:val="36"/>
          <w:szCs w:val="36"/>
          <w14:ligatures w14:val="none"/>
        </w:rPr>
        <w:t>Quick reference table for your bibliography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67"/>
        <w:gridCol w:w="1570"/>
        <w:gridCol w:w="2381"/>
      </w:tblGrid>
      <w:tr w:rsidR="005C56E1" w:rsidRPr="005C56E1" w14:paraId="54509C71" w14:textId="77777777">
        <w:trPr>
          <w:tblHeader/>
          <w:tblCellSpacing w:w="15" w:type="dxa"/>
        </w:trPr>
        <w:tc>
          <w:tcPr>
            <w:tcW w:w="0" w:type="auto"/>
            <w:vAlign w:val="center"/>
            <w:hideMark/>
          </w:tcPr>
          <w:p w14:paraId="30C92FF7" w14:textId="77777777" w:rsidR="005C56E1" w:rsidRPr="005C56E1" w:rsidRDefault="005C56E1" w:rsidP="005C56E1">
            <w:pPr>
              <w:spacing w:after="0" w:line="240" w:lineRule="auto"/>
              <w:jc w:val="center"/>
              <w:rPr>
                <w:rFonts w:ascii="Times New Roman" w:eastAsia="Times New Roman" w:hAnsi="Times New Roman" w:cs="Times New Roman"/>
                <w:b/>
                <w:bCs/>
                <w:kern w:val="0"/>
                <w14:ligatures w14:val="none"/>
              </w:rPr>
            </w:pPr>
            <w:r w:rsidRPr="005C56E1">
              <w:rPr>
                <w:rFonts w:ascii="Times New Roman" w:eastAsia="Times New Roman" w:hAnsi="Times New Roman" w:cs="Times New Roman"/>
                <w:b/>
                <w:bCs/>
                <w:kern w:val="0"/>
                <w14:ligatures w14:val="none"/>
              </w:rPr>
              <w:t>#</w:t>
            </w:r>
          </w:p>
        </w:tc>
        <w:tc>
          <w:tcPr>
            <w:tcW w:w="0" w:type="auto"/>
            <w:vAlign w:val="center"/>
            <w:hideMark/>
          </w:tcPr>
          <w:p w14:paraId="3141F5BE" w14:textId="77777777" w:rsidR="005C56E1" w:rsidRPr="005C56E1" w:rsidRDefault="005C56E1" w:rsidP="005C56E1">
            <w:pPr>
              <w:spacing w:after="0" w:line="240" w:lineRule="auto"/>
              <w:jc w:val="center"/>
              <w:rPr>
                <w:rFonts w:ascii="Times New Roman" w:eastAsia="Times New Roman" w:hAnsi="Times New Roman" w:cs="Times New Roman"/>
                <w:b/>
                <w:bCs/>
                <w:kern w:val="0"/>
                <w14:ligatures w14:val="none"/>
              </w:rPr>
            </w:pPr>
            <w:r w:rsidRPr="005C56E1">
              <w:rPr>
                <w:rFonts w:ascii="Times New Roman" w:eastAsia="Times New Roman" w:hAnsi="Times New Roman" w:cs="Times New Roman"/>
                <w:b/>
                <w:bCs/>
                <w:kern w:val="0"/>
                <w14:ligatures w14:val="none"/>
              </w:rPr>
              <w:t>Citation</w:t>
            </w:r>
          </w:p>
        </w:tc>
        <w:tc>
          <w:tcPr>
            <w:tcW w:w="0" w:type="auto"/>
            <w:vAlign w:val="center"/>
            <w:hideMark/>
          </w:tcPr>
          <w:p w14:paraId="4A7D39C9" w14:textId="77777777" w:rsidR="005C56E1" w:rsidRPr="005C56E1" w:rsidRDefault="005C56E1" w:rsidP="005C56E1">
            <w:pPr>
              <w:spacing w:after="0" w:line="240" w:lineRule="auto"/>
              <w:jc w:val="center"/>
              <w:rPr>
                <w:rFonts w:ascii="Times New Roman" w:eastAsia="Times New Roman" w:hAnsi="Times New Roman" w:cs="Times New Roman"/>
                <w:b/>
                <w:bCs/>
                <w:kern w:val="0"/>
                <w14:ligatures w14:val="none"/>
              </w:rPr>
            </w:pPr>
            <w:r w:rsidRPr="005C56E1">
              <w:rPr>
                <w:rFonts w:ascii="Times New Roman" w:eastAsia="Times New Roman" w:hAnsi="Times New Roman" w:cs="Times New Roman"/>
                <w:b/>
                <w:bCs/>
                <w:kern w:val="0"/>
                <w14:ligatures w14:val="none"/>
              </w:rPr>
              <w:t>Venue</w:t>
            </w:r>
          </w:p>
        </w:tc>
        <w:tc>
          <w:tcPr>
            <w:tcW w:w="0" w:type="auto"/>
            <w:vAlign w:val="center"/>
            <w:hideMark/>
          </w:tcPr>
          <w:p w14:paraId="411EC3F6" w14:textId="77777777" w:rsidR="005C56E1" w:rsidRPr="005C56E1" w:rsidRDefault="005C56E1" w:rsidP="005C56E1">
            <w:pPr>
              <w:spacing w:after="0" w:line="240" w:lineRule="auto"/>
              <w:jc w:val="center"/>
              <w:rPr>
                <w:rFonts w:ascii="Times New Roman" w:eastAsia="Times New Roman" w:hAnsi="Times New Roman" w:cs="Times New Roman"/>
                <w:b/>
                <w:bCs/>
                <w:kern w:val="0"/>
                <w14:ligatures w14:val="none"/>
              </w:rPr>
            </w:pPr>
            <w:r w:rsidRPr="005C56E1">
              <w:rPr>
                <w:rFonts w:ascii="Times New Roman" w:eastAsia="Times New Roman" w:hAnsi="Times New Roman" w:cs="Times New Roman"/>
                <w:b/>
                <w:bCs/>
                <w:kern w:val="0"/>
                <w14:ligatures w14:val="none"/>
              </w:rPr>
              <w:t>Use for</w:t>
            </w:r>
          </w:p>
        </w:tc>
      </w:tr>
      <w:tr w:rsidR="005C56E1" w:rsidRPr="005C56E1" w14:paraId="6D4A304B" w14:textId="77777777">
        <w:trPr>
          <w:tblCellSpacing w:w="15" w:type="dxa"/>
        </w:trPr>
        <w:tc>
          <w:tcPr>
            <w:tcW w:w="0" w:type="auto"/>
            <w:vAlign w:val="center"/>
            <w:hideMark/>
          </w:tcPr>
          <w:p w14:paraId="338E805B"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1</w:t>
            </w:r>
          </w:p>
        </w:tc>
        <w:tc>
          <w:tcPr>
            <w:tcW w:w="0" w:type="auto"/>
            <w:vAlign w:val="center"/>
            <w:hideMark/>
          </w:tcPr>
          <w:p w14:paraId="7CDEECB6"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Wemade/NVIDIA press release, Jan 2025</w:t>
            </w:r>
          </w:p>
        </w:tc>
        <w:tc>
          <w:tcPr>
            <w:tcW w:w="0" w:type="auto"/>
            <w:vAlign w:val="center"/>
            <w:hideMark/>
          </w:tcPr>
          <w:p w14:paraId="0F2BF12A"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BusinessWire</w:t>
            </w:r>
          </w:p>
        </w:tc>
        <w:tc>
          <w:tcPr>
            <w:tcW w:w="0" w:type="auto"/>
            <w:vAlign w:val="center"/>
            <w:hideMark/>
          </w:tcPr>
          <w:p w14:paraId="23CF9314"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Asterion intro</w:t>
            </w:r>
          </w:p>
        </w:tc>
      </w:tr>
      <w:tr w:rsidR="005C56E1" w:rsidRPr="005C56E1" w14:paraId="568A4CF2" w14:textId="77777777">
        <w:trPr>
          <w:tblCellSpacing w:w="15" w:type="dxa"/>
        </w:trPr>
        <w:tc>
          <w:tcPr>
            <w:tcW w:w="0" w:type="auto"/>
            <w:vAlign w:val="center"/>
            <w:hideMark/>
          </w:tcPr>
          <w:p w14:paraId="522B98C4"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2</w:t>
            </w:r>
          </w:p>
        </w:tc>
        <w:tc>
          <w:tcPr>
            <w:tcW w:w="0" w:type="auto"/>
            <w:vAlign w:val="center"/>
            <w:hideMark/>
          </w:tcPr>
          <w:p w14:paraId="6D908A37"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Wemade full story post, 2025</w:t>
            </w:r>
          </w:p>
        </w:tc>
        <w:tc>
          <w:tcPr>
            <w:tcW w:w="0" w:type="auto"/>
            <w:vAlign w:val="center"/>
            <w:hideMark/>
          </w:tcPr>
          <w:p w14:paraId="5D135937"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wemade.com</w:t>
            </w:r>
          </w:p>
        </w:tc>
        <w:tc>
          <w:tcPr>
            <w:tcW w:w="0" w:type="auto"/>
            <w:vAlign w:val="center"/>
            <w:hideMark/>
          </w:tcPr>
          <w:p w14:paraId="4A5268C6"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ACE infra requirements</w:t>
            </w:r>
          </w:p>
        </w:tc>
      </w:tr>
      <w:tr w:rsidR="005C56E1" w:rsidRPr="005C56E1" w14:paraId="5103C069" w14:textId="77777777">
        <w:trPr>
          <w:tblCellSpacing w:w="15" w:type="dxa"/>
        </w:trPr>
        <w:tc>
          <w:tcPr>
            <w:tcW w:w="0" w:type="auto"/>
            <w:vAlign w:val="center"/>
            <w:hideMark/>
          </w:tcPr>
          <w:p w14:paraId="12B6B1AA"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3</w:t>
            </w:r>
          </w:p>
        </w:tc>
        <w:tc>
          <w:tcPr>
            <w:tcW w:w="0" w:type="auto"/>
            <w:vAlign w:val="center"/>
            <w:hideMark/>
          </w:tcPr>
          <w:p w14:paraId="05CA80C2"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NVIDIA ACE developer page</w:t>
            </w:r>
          </w:p>
        </w:tc>
        <w:tc>
          <w:tcPr>
            <w:tcW w:w="0" w:type="auto"/>
            <w:vAlign w:val="center"/>
            <w:hideMark/>
          </w:tcPr>
          <w:p w14:paraId="44BA3638"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nvidia.com</w:t>
            </w:r>
          </w:p>
        </w:tc>
        <w:tc>
          <w:tcPr>
            <w:tcW w:w="0" w:type="auto"/>
            <w:vAlign w:val="center"/>
            <w:hideMark/>
          </w:tcPr>
          <w:p w14:paraId="36BECE79"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ACE definition</w:t>
            </w:r>
          </w:p>
        </w:tc>
      </w:tr>
      <w:tr w:rsidR="005C56E1" w:rsidRPr="005C56E1" w14:paraId="73F25C91" w14:textId="77777777">
        <w:trPr>
          <w:tblCellSpacing w:w="15" w:type="dxa"/>
        </w:trPr>
        <w:tc>
          <w:tcPr>
            <w:tcW w:w="0" w:type="auto"/>
            <w:vAlign w:val="center"/>
            <w:hideMark/>
          </w:tcPr>
          <w:p w14:paraId="17F96ECA"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4</w:t>
            </w:r>
          </w:p>
        </w:tc>
        <w:tc>
          <w:tcPr>
            <w:tcW w:w="0" w:type="auto"/>
            <w:vAlign w:val="center"/>
            <w:hideMark/>
          </w:tcPr>
          <w:p w14:paraId="571BEB69"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NVIDIA GDC 2024 coverage</w:t>
            </w:r>
          </w:p>
        </w:tc>
        <w:tc>
          <w:tcPr>
            <w:tcW w:w="0" w:type="auto"/>
            <w:vAlign w:val="center"/>
            <w:hideMark/>
          </w:tcPr>
          <w:p w14:paraId="6523058A"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nvidia.com</w:t>
            </w:r>
          </w:p>
        </w:tc>
        <w:tc>
          <w:tcPr>
            <w:tcW w:w="0" w:type="auto"/>
            <w:vAlign w:val="center"/>
            <w:hideMark/>
          </w:tcPr>
          <w:p w14:paraId="0B987CA4"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ACE timeline</w:t>
            </w:r>
          </w:p>
        </w:tc>
      </w:tr>
      <w:tr w:rsidR="005C56E1" w:rsidRPr="005C56E1" w14:paraId="193CA24A" w14:textId="77777777">
        <w:trPr>
          <w:tblCellSpacing w:w="15" w:type="dxa"/>
        </w:trPr>
        <w:tc>
          <w:tcPr>
            <w:tcW w:w="0" w:type="auto"/>
            <w:vAlign w:val="center"/>
            <w:hideMark/>
          </w:tcPr>
          <w:p w14:paraId="33D62156"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5</w:t>
            </w:r>
          </w:p>
        </w:tc>
        <w:tc>
          <w:tcPr>
            <w:tcW w:w="0" w:type="auto"/>
            <w:vAlign w:val="center"/>
            <w:hideMark/>
          </w:tcPr>
          <w:p w14:paraId="38C9A10E"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Colledanchise &amp; Ögren, 2017/2022</w:t>
            </w:r>
          </w:p>
        </w:tc>
        <w:tc>
          <w:tcPr>
            <w:tcW w:w="0" w:type="auto"/>
            <w:vAlign w:val="center"/>
            <w:hideMark/>
          </w:tcPr>
          <w:p w14:paraId="2A34747F"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arXiv</w:t>
            </w:r>
          </w:p>
        </w:tc>
        <w:tc>
          <w:tcPr>
            <w:tcW w:w="0" w:type="auto"/>
            <w:vAlign w:val="center"/>
            <w:hideMark/>
          </w:tcPr>
          <w:p w14:paraId="396600E2"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BT definition</w:t>
            </w:r>
          </w:p>
        </w:tc>
      </w:tr>
      <w:tr w:rsidR="005C56E1" w:rsidRPr="005C56E1" w14:paraId="4D06931A" w14:textId="77777777">
        <w:trPr>
          <w:tblCellSpacing w:w="15" w:type="dxa"/>
        </w:trPr>
        <w:tc>
          <w:tcPr>
            <w:tcW w:w="0" w:type="auto"/>
            <w:vAlign w:val="center"/>
            <w:hideMark/>
          </w:tcPr>
          <w:p w14:paraId="462AAF99"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6</w:t>
            </w:r>
          </w:p>
        </w:tc>
        <w:tc>
          <w:tcPr>
            <w:tcW w:w="0" w:type="auto"/>
            <w:vAlign w:val="center"/>
            <w:hideMark/>
          </w:tcPr>
          <w:p w14:paraId="6E9F5BB1"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Iovino et al., 2022</w:t>
            </w:r>
          </w:p>
        </w:tc>
        <w:tc>
          <w:tcPr>
            <w:tcW w:w="0" w:type="auto"/>
            <w:vAlign w:val="center"/>
            <w:hideMark/>
          </w:tcPr>
          <w:p w14:paraId="728D90B4"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ScienceDirect</w:t>
            </w:r>
          </w:p>
        </w:tc>
        <w:tc>
          <w:tcPr>
            <w:tcW w:w="0" w:type="auto"/>
            <w:vAlign w:val="center"/>
            <w:hideMark/>
          </w:tcPr>
          <w:p w14:paraId="3BF54FE3"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BT survey</w:t>
            </w:r>
          </w:p>
        </w:tc>
      </w:tr>
      <w:tr w:rsidR="005C56E1" w:rsidRPr="005C56E1" w14:paraId="59C007F8" w14:textId="77777777">
        <w:trPr>
          <w:tblCellSpacing w:w="15" w:type="dxa"/>
        </w:trPr>
        <w:tc>
          <w:tcPr>
            <w:tcW w:w="0" w:type="auto"/>
            <w:vAlign w:val="center"/>
            <w:hideMark/>
          </w:tcPr>
          <w:p w14:paraId="10462BE8"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7</w:t>
            </w:r>
          </w:p>
        </w:tc>
        <w:tc>
          <w:tcPr>
            <w:tcW w:w="0" w:type="auto"/>
            <w:vAlign w:val="center"/>
            <w:hideMark/>
          </w:tcPr>
          <w:p w14:paraId="6F0F267D"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EvolvingBehavior, FDG 2022</w:t>
            </w:r>
          </w:p>
        </w:tc>
        <w:tc>
          <w:tcPr>
            <w:tcW w:w="0" w:type="auto"/>
            <w:vAlign w:val="center"/>
            <w:hideMark/>
          </w:tcPr>
          <w:p w14:paraId="334486FE"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ACM/arXiv</w:t>
            </w:r>
          </w:p>
        </w:tc>
        <w:tc>
          <w:tcPr>
            <w:tcW w:w="0" w:type="auto"/>
            <w:vAlign w:val="center"/>
            <w:hideMark/>
          </w:tcPr>
          <w:p w14:paraId="66FB823B"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BT + NPC, your venue</w:t>
            </w:r>
          </w:p>
        </w:tc>
      </w:tr>
      <w:tr w:rsidR="005C56E1" w:rsidRPr="005C56E1" w14:paraId="656245F9" w14:textId="77777777">
        <w:trPr>
          <w:tblCellSpacing w:w="15" w:type="dxa"/>
        </w:trPr>
        <w:tc>
          <w:tcPr>
            <w:tcW w:w="0" w:type="auto"/>
            <w:vAlign w:val="center"/>
            <w:hideMark/>
          </w:tcPr>
          <w:p w14:paraId="36FE9C92"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8</w:t>
            </w:r>
          </w:p>
        </w:tc>
        <w:tc>
          <w:tcPr>
            <w:tcW w:w="0" w:type="auto"/>
            <w:vAlign w:val="center"/>
            <w:hideMark/>
          </w:tcPr>
          <w:p w14:paraId="60C960F5"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Sekhavat, 2017</w:t>
            </w:r>
          </w:p>
        </w:tc>
        <w:tc>
          <w:tcPr>
            <w:tcW w:w="0" w:type="auto"/>
            <w:vAlign w:val="center"/>
            <w:hideMark/>
          </w:tcPr>
          <w:p w14:paraId="289981A1"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Int'l J. AI Tools</w:t>
            </w:r>
          </w:p>
        </w:tc>
        <w:tc>
          <w:tcPr>
            <w:tcW w:w="0" w:type="auto"/>
            <w:vAlign w:val="center"/>
            <w:hideMark/>
          </w:tcPr>
          <w:p w14:paraId="240EC32C"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BTs in games</w:t>
            </w:r>
          </w:p>
        </w:tc>
      </w:tr>
      <w:tr w:rsidR="005C56E1" w:rsidRPr="005C56E1" w14:paraId="3A1065E7" w14:textId="77777777">
        <w:trPr>
          <w:tblCellSpacing w:w="15" w:type="dxa"/>
        </w:trPr>
        <w:tc>
          <w:tcPr>
            <w:tcW w:w="0" w:type="auto"/>
            <w:vAlign w:val="center"/>
            <w:hideMark/>
          </w:tcPr>
          <w:p w14:paraId="06235D3E"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9</w:t>
            </w:r>
          </w:p>
        </w:tc>
        <w:tc>
          <w:tcPr>
            <w:tcW w:w="0" w:type="auto"/>
            <w:vAlign w:val="center"/>
            <w:hideMark/>
          </w:tcPr>
          <w:p w14:paraId="15BCC9B3"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VLMs in games via screenshots, ACL 2025</w:t>
            </w:r>
          </w:p>
        </w:tc>
        <w:tc>
          <w:tcPr>
            <w:tcW w:w="0" w:type="auto"/>
            <w:vAlign w:val="center"/>
            <w:hideMark/>
          </w:tcPr>
          <w:p w14:paraId="06929805"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ACL</w:t>
            </w:r>
          </w:p>
        </w:tc>
        <w:tc>
          <w:tcPr>
            <w:tcW w:w="0" w:type="auto"/>
            <w:vAlign w:val="center"/>
            <w:hideMark/>
          </w:tcPr>
          <w:p w14:paraId="40DEAFF0"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VLM prior art</w:t>
            </w:r>
          </w:p>
        </w:tc>
      </w:tr>
      <w:tr w:rsidR="005C56E1" w:rsidRPr="005C56E1" w14:paraId="7DBC3C25" w14:textId="77777777">
        <w:trPr>
          <w:tblCellSpacing w:w="15" w:type="dxa"/>
        </w:trPr>
        <w:tc>
          <w:tcPr>
            <w:tcW w:w="0" w:type="auto"/>
            <w:vAlign w:val="center"/>
            <w:hideMark/>
          </w:tcPr>
          <w:p w14:paraId="22220EFC"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10</w:t>
            </w:r>
          </w:p>
        </w:tc>
        <w:tc>
          <w:tcPr>
            <w:tcW w:w="0" w:type="auto"/>
            <w:vAlign w:val="center"/>
            <w:hideMark/>
          </w:tcPr>
          <w:p w14:paraId="0FA598A4"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PORTAL framework, arXiv 2025</w:t>
            </w:r>
          </w:p>
        </w:tc>
        <w:tc>
          <w:tcPr>
            <w:tcW w:w="0" w:type="auto"/>
            <w:vAlign w:val="center"/>
            <w:hideMark/>
          </w:tcPr>
          <w:p w14:paraId="5EDD7CCE"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arXiv</w:t>
            </w:r>
          </w:p>
        </w:tc>
        <w:tc>
          <w:tcPr>
            <w:tcW w:w="0" w:type="auto"/>
            <w:vAlign w:val="center"/>
            <w:hideMark/>
          </w:tcPr>
          <w:p w14:paraId="7209D1A3" w14:textId="77777777" w:rsidR="005C56E1" w:rsidRPr="005C56E1" w:rsidRDefault="005C56E1" w:rsidP="005C56E1">
            <w:pPr>
              <w:spacing w:after="0"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LLM+BT architecture</w:t>
            </w:r>
          </w:p>
        </w:tc>
      </w:tr>
    </w:tbl>
    <w:p w14:paraId="395C40DE" w14:textId="77777777" w:rsidR="005C56E1" w:rsidRPr="005C56E1" w:rsidRDefault="00771E2C" w:rsidP="005C56E1">
      <w:pPr>
        <w:spacing w:after="0" w:line="240" w:lineRule="auto"/>
        <w:rPr>
          <w:rFonts w:ascii="Times New Roman" w:eastAsia="Times New Roman" w:hAnsi="Times New Roman" w:cs="Times New Roman"/>
          <w:kern w:val="0"/>
          <w14:ligatures w14:val="none"/>
        </w:rPr>
      </w:pPr>
      <w:r w:rsidRPr="00771E2C">
        <w:rPr>
          <w:rFonts w:ascii="Times New Roman" w:eastAsia="Times New Roman" w:hAnsi="Times New Roman" w:cs="Times New Roman"/>
          <w:noProof/>
          <w:kern w:val="0"/>
        </w:rPr>
        <w:pict w14:anchorId="33886B44">
          <v:rect id="_x0000_i1025" alt="" style="width:468pt;height:.05pt;mso-width-percent:0;mso-height-percent:0;mso-width-percent:0;mso-height-percent:0" o:hralign="center" o:hrstd="t" o:hr="t" fillcolor="#a0a0a0" stroked="f"/>
        </w:pict>
      </w:r>
    </w:p>
    <w:p w14:paraId="23314E01" w14:textId="77777777" w:rsidR="005C56E1" w:rsidRPr="005C56E1" w:rsidRDefault="005C56E1" w:rsidP="005C56E1">
      <w:pPr>
        <w:spacing w:before="100" w:beforeAutospacing="1" w:after="100" w:afterAutospacing="1" w:line="240" w:lineRule="auto"/>
        <w:rPr>
          <w:rFonts w:ascii="Times New Roman" w:eastAsia="Times New Roman" w:hAnsi="Times New Roman" w:cs="Times New Roman"/>
          <w:kern w:val="0"/>
          <w14:ligatures w14:val="none"/>
        </w:rPr>
      </w:pPr>
      <w:r w:rsidRPr="005C56E1">
        <w:rPr>
          <w:rFonts w:ascii="Times New Roman" w:eastAsia="Times New Roman" w:hAnsi="Times New Roman" w:cs="Times New Roman"/>
          <w:kern w:val="0"/>
          <w14:ligatures w14:val="none"/>
        </w:rPr>
        <w:t xml:space="preserve">The three most important ones to read fully before writing Section 2: </w:t>
      </w:r>
      <w:r w:rsidRPr="005C56E1">
        <w:rPr>
          <w:rFonts w:ascii="Times New Roman" w:eastAsia="Times New Roman" w:hAnsi="Times New Roman" w:cs="Times New Roman"/>
          <w:b/>
          <w:bCs/>
          <w:kern w:val="0"/>
          <w14:ligatures w14:val="none"/>
        </w:rPr>
        <w:t>EvolvingBehavior (FDG 2022)</w:t>
      </w:r>
      <w:r w:rsidRPr="005C56E1">
        <w:rPr>
          <w:rFonts w:ascii="Times New Roman" w:eastAsia="Times New Roman" w:hAnsi="Times New Roman" w:cs="Times New Roman"/>
          <w:kern w:val="0"/>
          <w14:ligatures w14:val="none"/>
        </w:rPr>
        <w:t xml:space="preserve">, </w:t>
      </w:r>
      <w:r w:rsidRPr="005C56E1">
        <w:rPr>
          <w:rFonts w:ascii="Times New Roman" w:eastAsia="Times New Roman" w:hAnsi="Times New Roman" w:cs="Times New Roman"/>
          <w:b/>
          <w:bCs/>
          <w:kern w:val="0"/>
          <w14:ligatures w14:val="none"/>
        </w:rPr>
        <w:t>Colledanchise &amp; Ögren</w:t>
      </w:r>
      <w:r w:rsidRPr="005C56E1">
        <w:rPr>
          <w:rFonts w:ascii="Times New Roman" w:eastAsia="Times New Roman" w:hAnsi="Times New Roman" w:cs="Times New Roman"/>
          <w:kern w:val="0"/>
          <w14:ligatures w14:val="none"/>
        </w:rPr>
        <w:t xml:space="preserve">, and the </w:t>
      </w:r>
      <w:r w:rsidRPr="005C56E1">
        <w:rPr>
          <w:rFonts w:ascii="Times New Roman" w:eastAsia="Times New Roman" w:hAnsi="Times New Roman" w:cs="Times New Roman"/>
          <w:b/>
          <w:bCs/>
          <w:kern w:val="0"/>
          <w14:ligatures w14:val="none"/>
        </w:rPr>
        <w:t>ACL 2025 VLM-games paper</w:t>
      </w:r>
      <w:r w:rsidRPr="005C56E1">
        <w:rPr>
          <w:rFonts w:ascii="Times New Roman" w:eastAsia="Times New Roman" w:hAnsi="Times New Roman" w:cs="Times New Roman"/>
          <w:kern w:val="0"/>
          <w14:ligatures w14:val="none"/>
        </w:rPr>
        <w:t xml:space="preserve"> — those three together basically frame the entire gap your paper fills.</w:t>
      </w:r>
    </w:p>
    <w:p w14:paraId="686564BF" w14:textId="77777777" w:rsidR="00054693" w:rsidRDefault="00054693"/>
    <w:sectPr w:rsidR="00054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E1"/>
    <w:rsid w:val="00045235"/>
    <w:rsid w:val="00054693"/>
    <w:rsid w:val="005C56E1"/>
    <w:rsid w:val="006D2AF2"/>
    <w:rsid w:val="007613E3"/>
    <w:rsid w:val="0077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6AF3"/>
  <w15:chartTrackingRefBased/>
  <w15:docId w15:val="{3E6B967B-A4A6-6848-BC9F-E7921769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E1"/>
    <w:rPr>
      <w:rFonts w:eastAsiaTheme="majorEastAsia" w:cstheme="majorBidi"/>
      <w:color w:val="272727" w:themeColor="text1" w:themeTint="D8"/>
    </w:rPr>
  </w:style>
  <w:style w:type="paragraph" w:styleId="Title">
    <w:name w:val="Title"/>
    <w:basedOn w:val="Normal"/>
    <w:next w:val="Normal"/>
    <w:link w:val="TitleChar"/>
    <w:uiPriority w:val="10"/>
    <w:qFormat/>
    <w:rsid w:val="005C5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E1"/>
    <w:pPr>
      <w:spacing w:before="160"/>
      <w:jc w:val="center"/>
    </w:pPr>
    <w:rPr>
      <w:i/>
      <w:iCs/>
      <w:color w:val="404040" w:themeColor="text1" w:themeTint="BF"/>
    </w:rPr>
  </w:style>
  <w:style w:type="character" w:customStyle="1" w:styleId="QuoteChar">
    <w:name w:val="Quote Char"/>
    <w:basedOn w:val="DefaultParagraphFont"/>
    <w:link w:val="Quote"/>
    <w:uiPriority w:val="29"/>
    <w:rsid w:val="005C56E1"/>
    <w:rPr>
      <w:i/>
      <w:iCs/>
      <w:color w:val="404040" w:themeColor="text1" w:themeTint="BF"/>
    </w:rPr>
  </w:style>
  <w:style w:type="paragraph" w:styleId="ListParagraph">
    <w:name w:val="List Paragraph"/>
    <w:basedOn w:val="Normal"/>
    <w:uiPriority w:val="34"/>
    <w:qFormat/>
    <w:rsid w:val="005C56E1"/>
    <w:pPr>
      <w:ind w:left="720"/>
      <w:contextualSpacing/>
    </w:pPr>
  </w:style>
  <w:style w:type="character" w:styleId="IntenseEmphasis">
    <w:name w:val="Intense Emphasis"/>
    <w:basedOn w:val="DefaultParagraphFont"/>
    <w:uiPriority w:val="21"/>
    <w:qFormat/>
    <w:rsid w:val="005C56E1"/>
    <w:rPr>
      <w:i/>
      <w:iCs/>
      <w:color w:val="0F4761" w:themeColor="accent1" w:themeShade="BF"/>
    </w:rPr>
  </w:style>
  <w:style w:type="paragraph" w:styleId="IntenseQuote">
    <w:name w:val="Intense Quote"/>
    <w:basedOn w:val="Normal"/>
    <w:next w:val="Normal"/>
    <w:link w:val="IntenseQuoteChar"/>
    <w:uiPriority w:val="30"/>
    <w:qFormat/>
    <w:rsid w:val="005C5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E1"/>
    <w:rPr>
      <w:i/>
      <w:iCs/>
      <w:color w:val="0F4761" w:themeColor="accent1" w:themeShade="BF"/>
    </w:rPr>
  </w:style>
  <w:style w:type="character" w:styleId="IntenseReference">
    <w:name w:val="Intense Reference"/>
    <w:basedOn w:val="DefaultParagraphFont"/>
    <w:uiPriority w:val="32"/>
    <w:qFormat/>
    <w:rsid w:val="005C56E1"/>
    <w:rPr>
      <w:b/>
      <w:bCs/>
      <w:smallCaps/>
      <w:color w:val="0F4761" w:themeColor="accent1" w:themeShade="BF"/>
      <w:spacing w:val="5"/>
    </w:rPr>
  </w:style>
  <w:style w:type="paragraph" w:customStyle="1" w:styleId="font-claude-response-body">
    <w:name w:val="font-claude-response-body"/>
    <w:basedOn w:val="Normal"/>
    <w:rsid w:val="005C56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56E1"/>
    <w:rPr>
      <w:b/>
      <w:bCs/>
    </w:rPr>
  </w:style>
  <w:style w:type="character" w:styleId="Hyperlink">
    <w:name w:val="Hyperlink"/>
    <w:basedOn w:val="DefaultParagraphFont"/>
    <w:uiPriority w:val="99"/>
    <w:semiHidden/>
    <w:unhideWhenUsed/>
    <w:rsid w:val="005C56E1"/>
    <w:rPr>
      <w:color w:val="0000FF"/>
      <w:u w:val="single"/>
    </w:rPr>
  </w:style>
  <w:style w:type="character" w:customStyle="1" w:styleId="inline-flex">
    <w:name w:val="inline-flex"/>
    <w:basedOn w:val="DefaultParagraphFont"/>
    <w:rsid w:val="005C56E1"/>
  </w:style>
  <w:style w:type="character" w:customStyle="1" w:styleId="text-nowrap">
    <w:name w:val="text-nowrap"/>
    <w:basedOn w:val="DefaultParagraphFont"/>
    <w:rsid w:val="005C5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ace" TargetMode="External"/><Relationship Id="rId13" Type="http://schemas.openxmlformats.org/officeDocument/2006/relationships/hyperlink" Target="https://arxiv.org/abs/1709.00084" TargetMode="External"/><Relationship Id="rId18" Type="http://schemas.openxmlformats.org/officeDocument/2006/relationships/hyperlink" Target="https://arxiv.org/pdf/2209.01020"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aclanthology.org/2025.acl-long.643.pdf" TargetMode="External"/><Relationship Id="rId7" Type="http://schemas.openxmlformats.org/officeDocument/2006/relationships/hyperlink" Target="https://wemade.com/stories/news-20250331" TargetMode="External"/><Relationship Id="rId12" Type="http://schemas.openxmlformats.org/officeDocument/2006/relationships/hyperlink" Target="https://www.nvidia.com/en-us/geforce/news/nvidia-ace-architecture-ai-npc-personalities/" TargetMode="External"/><Relationship Id="rId17" Type="http://schemas.openxmlformats.org/officeDocument/2006/relationships/hyperlink" Target="https://arxiv.org/pdf/2209.01020"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sciencedirect.com/science/article/pii/S0921889022000513" TargetMode="External"/><Relationship Id="rId20" Type="http://schemas.openxmlformats.org/officeDocument/2006/relationships/hyperlink" Target="https://aclanthology.org/2025.acl-long.643.pdf" TargetMode="External"/><Relationship Id="rId1" Type="http://schemas.openxmlformats.org/officeDocument/2006/relationships/styles" Target="styles.xml"/><Relationship Id="rId6" Type="http://schemas.openxmlformats.org/officeDocument/2006/relationships/hyperlink" Target="https://wemade.com/stories/news-20250331" TargetMode="External"/><Relationship Id="rId11" Type="http://schemas.openxmlformats.org/officeDocument/2006/relationships/hyperlink" Target="https://www.nvidia.com/en-us/geforce/news/nvidia-ace-gdc-gtc-2024-ai-character-game-and-app-demo-videos/" TargetMode="External"/><Relationship Id="rId24" Type="http://schemas.openxmlformats.org/officeDocument/2006/relationships/hyperlink" Target="https://arxiv.org/html/2505.15952v2" TargetMode="External"/><Relationship Id="rId5" Type="http://schemas.openxmlformats.org/officeDocument/2006/relationships/hyperlink" Target="https://wemade.com/news/en108" TargetMode="External"/><Relationship Id="rId15" Type="http://schemas.openxmlformats.org/officeDocument/2006/relationships/hyperlink" Target="https://www.sciencedirect.com/science/article/pii/S0921889022000513" TargetMode="External"/><Relationship Id="rId23" Type="http://schemas.openxmlformats.org/officeDocument/2006/relationships/hyperlink" Target="https://arxiv.org/html/2503.13356v1" TargetMode="External"/><Relationship Id="rId10" Type="http://schemas.openxmlformats.org/officeDocument/2006/relationships/hyperlink" Target="https://www.nvidia.com/en-us/geforce/news/nvidia-ace-gdc-gtc-2024-ai-character-game-and-app-demo-videos/" TargetMode="External"/><Relationship Id="rId19" Type="http://schemas.openxmlformats.org/officeDocument/2006/relationships/hyperlink" Target="https://www.researchgate.net/publication/312869797_Behavior_Trees_for_Computer_Games" TargetMode="External"/><Relationship Id="rId4" Type="http://schemas.openxmlformats.org/officeDocument/2006/relationships/hyperlink" Target="https://www.businesswire.com/news/home/20250106300797/en/Wemade-Next-to-Develop-an-AI-Boss-in-MIR5-in-Collaboration-with-NVIDIA" TargetMode="External"/><Relationship Id="rId9" Type="http://schemas.openxmlformats.org/officeDocument/2006/relationships/hyperlink" Target="https://developer.nvidia.com/ace" TargetMode="External"/><Relationship Id="rId14" Type="http://schemas.openxmlformats.org/officeDocument/2006/relationships/hyperlink" Target="https://arxiv.org/abs/1709.00084" TargetMode="External"/><Relationship Id="rId22" Type="http://schemas.openxmlformats.org/officeDocument/2006/relationships/hyperlink" Target="https://arxiv.org/html/2503.1335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923</Words>
  <Characters>6051</Characters>
  <Application>Microsoft Office Word</Application>
  <DocSecurity>0</DocSecurity>
  <Lines>159</Lines>
  <Paragraphs>126</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Bhaskar Desai</dc:creator>
  <cp:keywords/>
  <dc:description/>
  <cp:lastModifiedBy>Tanmay Bhaskar Desai</cp:lastModifiedBy>
  <cp:revision>1</cp:revision>
  <dcterms:created xsi:type="dcterms:W3CDTF">2026-03-30T22:58:00Z</dcterms:created>
  <dcterms:modified xsi:type="dcterms:W3CDTF">2026-03-30T22:59:00Z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9CB2FEC7-98D5-4362-A7D9-E210191D5B7F</vt:lpwstr>
  </property>
</Properties>
</file>