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창원포럼 정관 (개정안)</w:t>
      </w:r>
    </w:p>
    <w:p>
      <w:pPr>
        <w:pStyle w:val="Subtitle"/>
      </w:pPr>
      <w:r>
        <w:t>2026년 10월 검토용 | 총회 의결 전 초안</w:t>
      </w:r>
    </w:p>
    <w:p>
      <w:r>
        <w:t>이 문서는 기존 「포럼 정관」과 회원모집 안내문 2종을 통합·정비한 초안입니다. 실제 설립·등록 현황, 총회 의결 절차 및 관할기관 요구사항을 확인한 후 확정하십시오.</w:t>
      </w:r>
    </w:p>
    <w:p>
      <w:pPr>
        <w:pStyle w:val="Heading1"/>
      </w:pPr>
      <w:r>
        <w:t>제1장 총칙</w:t>
      </w:r>
    </w:p>
    <w:p>
      <w:pPr>
        <w:pStyle w:val="Heading2"/>
      </w:pPr>
      <w:r>
        <w:t>제1조 (명칭)</w:t>
      </w:r>
    </w:p>
    <w:p>
      <w:r>
        <w:t>본 단체는 창원포럼(영문명: Changwon Forum, 이하 “포럼”)이라 한다.</w:t>
      </w:r>
    </w:p>
    <w:p>
      <w:pPr>
        <w:pStyle w:val="Heading2"/>
      </w:pPr>
      <w:r>
        <w:t>제2조 (소재지)</w:t>
      </w:r>
    </w:p>
    <w:p>
      <w:r>
        <w:t>포럼의 주사무소는 경상남도 창원시에 둔다. 상세 주소 및 변경은 운영위원회가 정하고 회원에게 공지한다.</w:t>
      </w:r>
    </w:p>
    <w:p>
      <w:pPr>
        <w:pStyle w:val="Heading2"/>
      </w:pPr>
      <w:r>
        <w:t>제3조 (목적)</w:t>
      </w:r>
    </w:p>
    <w:p>
      <w:r>
        <w:t>포럼은 시민의 자발적인 참여와 공익적 학습·토론을 통해 지역문제를 발굴하고, 합리적인 정책대안과 평생학습 기회를 제공하여 사람 중심의 지속가능한 지역공동체 발전에 기여함을 목적으로 한다.</w:t>
      </w:r>
    </w:p>
    <w:p>
      <w:r>
        <w:t>포럼은 특정 정당·선출직 후보에 대한 지지 또는 반대를 주된 목적으로 운영하지 아니하며, 특정 종교의 교리 전파를 주된 목적으로 하지 아니한다.</w:t>
      </w:r>
    </w:p>
    <w:p>
      <w:pPr>
        <w:pStyle w:val="Heading2"/>
      </w:pPr>
      <w:r>
        <w:t>제4조 (사업)</w:t>
      </w:r>
    </w:p>
    <w:p>
      <w:r>
        <w:t>포럼은 다음 각 호의 공익 목적사업을 수행한다.</w:t>
      </w:r>
    </w:p>
    <w:p>
      <w:r>
        <w:t>1. 지역정책 조사·연구, 시민정책 제안 및 공개토론회</w:t>
      </w:r>
    </w:p>
    <w:p>
      <w:r>
        <w:t>2. 지역관광·역사문화 자원 조사, 환주산 등 지역자원 활용 정책 연구</w:t>
      </w:r>
    </w:p>
    <w:p>
      <w:r>
        <w:t>3. 도시재생·마을공동체·주민협치 관련 연구 및 주민역량 강화</w:t>
      </w:r>
    </w:p>
    <w:p>
      <w:r>
        <w:t>4. 시민교육·민주시민교육·평생교육 프로그램의 기획·개발·운영·평가</w:t>
      </w:r>
    </w:p>
    <w:p>
      <w:r>
        <w:t>5. 시민관광 스토리텔러, 지역문화해설, 주민협력학교 등 지역 특화 학습과정</w:t>
      </w:r>
    </w:p>
    <w:p>
      <w:r>
        <w:t>6. 강연·세미나·워크숍·현장학습·연수 및 교육자료 개발</w:t>
      </w:r>
    </w:p>
    <w:p>
      <w:r>
        <w:t>7. 연구보고서·소식지·도서·온라인 콘텐츠 제작과 보급</w:t>
      </w:r>
    </w:p>
    <w:p>
      <w:r>
        <w:t>8. 홈페이지 운영, 회원 교류, 자원봉사 및 시민참여 활동</w:t>
      </w:r>
    </w:p>
    <w:p>
      <w:r>
        <w:t>9. 지방자치단체·교육기관·공공기관·다른 시민단체와의 공익 협력사업</w:t>
      </w:r>
    </w:p>
    <w:p>
      <w:r>
        <w:t>10. 위 사업에 부수되는 기타 공익사업</w:t>
      </w:r>
    </w:p>
    <w:p>
      <w:r>
        <w:t>법령상 인가·등록·신고가 필요한 시설·사업은 해당 절차를 거친 후 실시한다.</w:t>
      </w:r>
    </w:p>
    <w:p>
      <w:pPr>
        <w:pStyle w:val="Heading1"/>
      </w:pPr>
      <w:r>
        <w:t>제2장 회원</w:t>
      </w:r>
    </w:p>
    <w:p>
      <w:pPr>
        <w:pStyle w:val="Heading2"/>
      </w:pPr>
      <w:r>
        <w:t>제5조 (회원의 종류)</w:t>
      </w:r>
    </w:p>
    <w:p>
      <w:r>
        <w:t>① 개인 정회원: 목적에 동의하고 가입 승인 및 회비 납부 의무를 이행하는 개인.</w:t>
      </w:r>
    </w:p>
    <w:p>
      <w:r>
        <w:t>② 단체 정회원: 목적에 동의하고 가입 승인 및 단체 회비 납부 의무를 이행하는 법인·단체. 총회 의결권은 단체별 지정 대표자 1인에게 부여한다.</w:t>
      </w:r>
    </w:p>
    <w:p>
      <w:r>
        <w:t>③ 준회원: 활동과 소식 수신에 참여하되 회비 의무 및 의결권이 없는 개인.</w:t>
      </w:r>
    </w:p>
    <w:p>
      <w:r>
        <w:t>④ 후원회원: 자율적으로 재정을 후원하는 개인 또는 단체로, 후원만으로 의결권이 발생하지 않는다.</w:t>
      </w:r>
    </w:p>
    <w:p>
      <w:r>
        <w:t>동일인이 복수 유형에 해당하면 의결권은 1인 1표를 원칙으로 한다.</w:t>
      </w:r>
    </w:p>
    <w:p>
      <w:pPr>
        <w:pStyle w:val="Heading2"/>
      </w:pPr>
      <w:r>
        <w:t>제6조 (가입 및 회원명부)</w:t>
      </w:r>
    </w:p>
    <w:p>
      <w:r>
        <w:t>회원은 소정의 가입신청서를 제출하고 운영위원회 또는 위임받은 담당자의 승인을 받아 가입한다. 포럼은 회원명부를 작성·관리하며 개인정보를 가입·회비·활동 안내 목적에 필요한 범위에서만 처리한다.</w:t>
      </w:r>
    </w:p>
    <w:p>
      <w:pPr>
        <w:pStyle w:val="Heading2"/>
      </w:pPr>
      <w:r>
        <w:t>제7조 (회원의 권리와 의무)</w:t>
      </w:r>
    </w:p>
    <w:p>
      <w:r>
        <w:t>정회원은 총회 참석·발언·의결 및 임원 선거권·피선거권을 가진다. 준회원과 후원회원은 행사 참여와 의견 제안이 가능하다. 회원은 정관과 적법한 의결사항을 준수하고, 정회원은 회비를 납부한다. 단체는 회비 미납 회원의 권리 제한에 앞서 안내 및 소명 기회를 부여한다.</w:t>
      </w:r>
    </w:p>
    <w:p>
      <w:pPr>
        <w:pStyle w:val="Heading2"/>
      </w:pPr>
      <w:r>
        <w:t>제8조 (탈퇴·자격정지·제명)</w:t>
      </w:r>
    </w:p>
    <w:p>
      <w:r>
        <w:t>회원은 서면 또는 전자적 방법으로 언제든 탈퇴할 수 있다. 회원이 정관을 중대하게 위반하거나 단체의 명예를 심각하게 훼손한 경우 운영위원회는 사전 통지 및 소명 기회를 거쳐 자격정지 또는 제명을 의결할 수 있다. 1년 이상 회비를 미납한 정회원은 사전 최고 후 자격을 정지할 수 있다. 이미 납부한 회비는 원칙적으로 반환하지 않되, 법령상 반환 사유가 있거나 별도 의결이 있는 경우는 예외로 한다.</w:t>
      </w:r>
    </w:p>
    <w:p>
      <w:pPr>
        <w:pStyle w:val="Heading1"/>
      </w:pPr>
      <w:r>
        <w:t>제3장 임원 및 조직</w:t>
      </w:r>
    </w:p>
    <w:p>
      <w:pPr>
        <w:pStyle w:val="Heading2"/>
      </w:pPr>
      <w:r>
        <w:t>제9조 (임원의 구성)</w:t>
      </w:r>
    </w:p>
    <w:p>
      <w:r>
        <w:t>포럼에는 상임대표 1인, 공동대표 약간 명, 운영위원 10인 이내, 감사 1인을 둔다. 필요하면 사무국장과 분야별 분과위원장을 둘 수 있다.</w:t>
      </w:r>
    </w:p>
    <w:p>
      <w:pPr>
        <w:pStyle w:val="Heading2"/>
      </w:pPr>
      <w:r>
        <w:t>제10조 (선출·임기)</w:t>
      </w:r>
    </w:p>
    <w:p>
      <w:r>
        <w:t>상임대표·공동대표·운영위원·감사는 총회에서 선출한다. 임기는 2년으로 하며 연임할 수 있다. 결원은 운영위원회에서 임시 보선하되 다음 총회에서 추인받는다. 감사는 회계 집행을 담당하는 직무를 겸할 수 없다.</w:t>
      </w:r>
    </w:p>
    <w:p>
      <w:pPr>
        <w:pStyle w:val="Heading2"/>
      </w:pPr>
      <w:r>
        <w:t>제11조 (직무)</w:t>
      </w:r>
    </w:p>
    <w:p>
      <w:r>
        <w:t>상임대표는 포럼을 대표하고 업무를 총괄한다. 공동대표는 대표를 보좌하고 분야별 활동을 분담한다. 운영위원회는 사업·예산·회원관리·규정 및 일상 운영을 심의·의결한다. 감사는 연 1회 이상 업무 및 회계를 감사하여 총회에 보고한다.</w:t>
      </w:r>
    </w:p>
    <w:p>
      <w:pPr>
        <w:pStyle w:val="Heading2"/>
      </w:pPr>
      <w:r>
        <w:t>제12조 (분과 및 교육사업 운영)</w:t>
      </w:r>
    </w:p>
    <w:p>
      <w:r>
        <w:t>운영위원회는 정책연구, 지역관광, 도시재생, 평생교육, 홍보·출판 등 분과를 둘 수 있다. 평생교육사업은 교육목표·대상·예산·강사·안전·평가계획을 수립하고 관련 법령 및 보조금 조건을 준수한다.</w:t>
      </w:r>
    </w:p>
    <w:p>
      <w:pPr>
        <w:pStyle w:val="Heading1"/>
      </w:pPr>
      <w:r>
        <w:t>제4장 회의</w:t>
      </w:r>
    </w:p>
    <w:p>
      <w:pPr>
        <w:pStyle w:val="Heading2"/>
      </w:pPr>
      <w:r>
        <w:t>제13조 (총회)</w:t>
      </w:r>
    </w:p>
    <w:p>
      <w:r>
        <w:t>총회는 정회원으로 구성하는 최고 의결기관이다. 정관 개정, 임원 선출·해임, 사업계획·예산·결산, 해산 및 주요 재산 처분을 의결한다.</w:t>
      </w:r>
    </w:p>
    <w:p>
      <w:pPr>
        <w:pStyle w:val="Heading2"/>
      </w:pPr>
      <w:r>
        <w:t>제14조 (총회 소집과 의결)</w:t>
      </w:r>
    </w:p>
    <w:p>
      <w:r>
        <w:t>정기총회는 매년 1회 개최한다. 임시총회는 상임대표, 운영위원 3분의 1 이상 또는 정회원 5분의 1 이상의 요구로 소집한다. 회의 7일 전 안건·일시·장소를 통지한다. 별도 규정이 없으면 재적 정회원 과반수 출석으로 개회하고 출석 정회원 과반수 찬성으로 의결한다. 온라인 참석 및 전자적 의결은 본인 확인과 기록 보존이 가능한 경우 허용할 수 있다.</w:t>
      </w:r>
    </w:p>
    <w:p>
      <w:pPr>
        <w:pStyle w:val="Heading2"/>
      </w:pPr>
      <w:r>
        <w:t>제15조 (운영위원회)</w:t>
      </w:r>
    </w:p>
    <w:p>
      <w:r>
        <w:t>운영위원회는 상임대표·공동대표·운영위원으로 구성하며, 재적 과반수 출석 및 출석 과반수 찬성으로 의결한다. 회의록을 작성·보관한다.</w:t>
      </w:r>
    </w:p>
    <w:p>
      <w:pPr>
        <w:pStyle w:val="Heading1"/>
      </w:pPr>
      <w:r>
        <w:t>제5장 재정 및 회계</w:t>
      </w:r>
    </w:p>
    <w:p>
      <w:pPr>
        <w:pStyle w:val="Heading2"/>
      </w:pPr>
      <w:r>
        <w:t>제16조 (재원 및 비분배 원칙)</w:t>
      </w:r>
    </w:p>
    <w:p>
      <w:r>
        <w:t>포럼의 재원은 회원 회비, 자발적 후원금, 적법한 보조금·지원금, 목적사업 관련 교육·출판 등 사업수입, 기타 적법한 수입으로 한다. 모든 수입과 재산은 정관상 목적사업에 사용하고 회원·임원에게 잉여금 또는 잔여재산을 배분하지 않는다. 업무 수행에 대한 정당한 인건비·강사료·실비 지급은 증빙과 내부 기준에 따른다.</w:t>
      </w:r>
    </w:p>
    <w:p>
      <w:pPr>
        <w:pStyle w:val="Heading2"/>
      </w:pPr>
      <w:r>
        <w:t>제17조 (회비)</w:t>
      </w:r>
    </w:p>
    <w:p>
      <w:r>
        <w:t>① 개인 정회원: 월 10,000원 또는 연 100,000원 중 선택한다.</w:t>
      </w:r>
    </w:p>
    <w:p>
      <w:r>
        <w:t>② 단체 정회원: 연 300,000원.</w:t>
      </w:r>
    </w:p>
    <w:p>
      <w:r>
        <w:t>③ 준회원: 의무 회비 없음.</w:t>
      </w:r>
    </w:p>
    <w:p>
      <w:r>
        <w:t>④ 후원회원: 자율후원(개인 연 50,000원 이상 권장하되 의무 아님).</w:t>
      </w:r>
    </w:p>
    <w:p>
      <w:r>
        <w:t>회비 기준의 변경은 총회의 의결을 거쳐 시행하며, 납부 시기·방법·감면·체납 관리는 운영위원회 세칙으로 정한다. 회비는 단체 명의 계좌로 수납한다.</w:t>
      </w:r>
    </w:p>
    <w:p>
      <w:pPr>
        <w:pStyle w:val="Heading2"/>
      </w:pPr>
      <w:r>
        <w:t>제18조 (후원금 및 수익사업 관리)</w:t>
      </w:r>
    </w:p>
    <w:p>
      <w:r>
        <w:t>후원금은 회원 회비와 구분하여 회계 처리한다. 대외 기부금품 모집, 교육시설 설치·운영, 유료 교육·출판 및 기타 수익사업은 관련 법령에 따른 신고·등록·세무 의무를 확인하고 이행한다. 세액공제용 기부금영수증은 법령상 발급 자격을 갖춘 경우에만 발급한다.</w:t>
      </w:r>
    </w:p>
    <w:p>
      <w:pPr>
        <w:pStyle w:val="Heading2"/>
      </w:pPr>
      <w:r>
        <w:t>제19조 (회계연도와 공개)</w:t>
      </w:r>
    </w:p>
    <w:p>
      <w:r>
        <w:t>회계연도는 매년 1월 1일부터 12월 31일까지로 한다. 회계 담당자는 수입·지출 증빙 및 장부를 관리하고, 분기별로 회원에게 수입·지출 요약을 공개한다. 연간 결산은 감사 후 총회에 보고·승인받는다. 법령·보조금 조건에 따른 별도 공개 의무는 우선 준수한다.</w:t>
      </w:r>
    </w:p>
    <w:p>
      <w:pPr>
        <w:pStyle w:val="Heading2"/>
      </w:pPr>
      <w:r>
        <w:t>제20조 (이해충돌 방지)</w:t>
      </w:r>
    </w:p>
    <w:p>
      <w:r>
        <w:t>임원·회원과 이해관계가 있는 거래는 사전에 운영위원회에 알리고 이해관계자는 해당 의결에서 제척한다. 사업비·회비의 사적 유용을 금지한다.</w:t>
      </w:r>
    </w:p>
    <w:p>
      <w:pPr>
        <w:pStyle w:val="Heading1"/>
      </w:pPr>
      <w:r>
        <w:t>제6장 보칙 및 해산</w:t>
      </w:r>
    </w:p>
    <w:p>
      <w:pPr>
        <w:pStyle w:val="Heading2"/>
      </w:pPr>
      <w:r>
        <w:t>제21조 (정관 개정)</w:t>
      </w:r>
    </w:p>
    <w:p>
      <w:r>
        <w:t>정관 개정은 총회에서 재적 정회원 3분의 2 이상의 찬성으로 의결한다. 법령 또는 등록기관이 별도 절차를 요구하면 이를 따른다.</w:t>
      </w:r>
    </w:p>
    <w:p>
      <w:pPr>
        <w:pStyle w:val="Heading2"/>
      </w:pPr>
      <w:r>
        <w:t>제22조 (해산 및 잔여재산)</w:t>
      </w:r>
    </w:p>
    <w:p>
      <w:r>
        <w:t>포럼의 해산은 재적 정회원 3분의 2 이상의 찬성으로 의결한다. 채무를 변제한 뒤 잔여재산은 총회 의결에 따라 유사한 공익목적의 비영리단체 등에 귀속시키며, 법령·보조금 조건이 있으면 그에 따른다.</w:t>
      </w:r>
    </w:p>
    <w:p>
      <w:pPr>
        <w:pStyle w:val="Heading2"/>
      </w:pPr>
      <w:r>
        <w:t>제23조 (운영세칙)</w:t>
      </w:r>
    </w:p>
    <w:p>
      <w:r>
        <w:t>정관 시행에 필요한 회원가입, 회비, 회계, 평생교육사업, 개인정보 보호 등의 세부사항은 운영위원회 의결로 정한다.</w:t>
      </w:r>
    </w:p>
    <w:p>
      <w:pPr>
        <w:pStyle w:val="Heading1"/>
      </w:pPr>
      <w:r>
        <w:t>부칙</w:t>
      </w:r>
    </w:p>
    <w:p>
      <w:r>
        <w:t>제1조(시행일) 본 개정 정관은 2026년 ○월 ○일 총회에서 의결한 날부터 시행한다.</w:t>
      </w:r>
    </w:p>
    <w:p>
      <w:r>
        <w:t>제2조(종전 정관과의 관계) 시행일 이전의 적법한 회원·임원·사업 및 회계는 이 정관에 따른 것으로 본다.</w:t>
      </w:r>
    </w:p>
    <w:p>
      <w:r>
        <w:t>제3조(확인 사항) 기존 문서의 “2025년 창립 원년” 표기는 실제 창립·단체명 변경 및 고유번호증 발급 이력 확인 후 확정한다.</w:t>
      </w:r>
    </w:p>
    <w:p>
      <w:r>
        <w:t>총회 의결일: 2026년     월     일       상임대표: __________________       감사: __________________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 w:eastAsia="Malgun Gothic"/>
      <w:color w:val="283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0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05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405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