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B37D2" w14:textId="7778E147" w:rsidR="00E831E5" w:rsidRDefault="00D77E3C" w:rsidP="00D77E3C">
      <w:pPr>
        <w:pStyle w:val="Heading1"/>
      </w:pPr>
      <w:bookmarkStart w:id="0" w:name="_Toc185513093"/>
      <w:r>
        <w:t>System Architecture</w:t>
      </w:r>
      <w:bookmarkEnd w:id="0"/>
    </w:p>
    <w:sdt>
      <w:sdtPr>
        <w:id w:val="-4589458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5B87AED" w14:textId="272FDD8F" w:rsidR="005E4D76" w:rsidRDefault="005E4D76">
          <w:pPr>
            <w:pStyle w:val="TOCHeading"/>
          </w:pPr>
          <w:r>
            <w:t>Contents</w:t>
          </w:r>
        </w:p>
        <w:p w14:paraId="4B11B907" w14:textId="65DC30E1" w:rsidR="005E4D76" w:rsidRDefault="005E4D7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13093" w:history="1">
            <w:r w:rsidRPr="00BA1CDA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18EA" w14:textId="69DF4968" w:rsidR="005E4D76" w:rsidRDefault="005E4D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513094" w:history="1">
            <w:r w:rsidRPr="00BA1CD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748B" w14:textId="4AD80C50" w:rsidR="005E4D76" w:rsidRDefault="005E4D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513095" w:history="1">
            <w:r w:rsidRPr="00BA1CDA">
              <w:rPr>
                <w:rStyle w:val="Hyperlink"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C06E" w14:textId="30C3642C" w:rsidR="005E4D76" w:rsidRDefault="005E4D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513096" w:history="1">
            <w:r w:rsidRPr="00BA1CDA">
              <w:rPr>
                <w:rStyle w:val="Hyperlink"/>
                <w:noProof/>
              </w:rPr>
              <w:t>User Types and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14D1" w14:textId="772F6A17" w:rsidR="005E4D76" w:rsidRDefault="005E4D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513097" w:history="1">
            <w:r w:rsidRPr="00BA1CDA">
              <w:rPr>
                <w:rStyle w:val="Hyperlink"/>
                <w:noProof/>
                <w:lang w:bidi="en-US"/>
              </w:rPr>
              <w:t>Interaction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70D0" w14:textId="48517AC2" w:rsidR="005E4D76" w:rsidRDefault="005E4D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513098" w:history="1">
            <w:r w:rsidRPr="00BA1CD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8AB3" w14:textId="78DF3CE4" w:rsidR="005E4D76" w:rsidRDefault="005E4D76">
          <w:r>
            <w:rPr>
              <w:b/>
              <w:bCs/>
              <w:noProof/>
            </w:rPr>
            <w:fldChar w:fldCharType="end"/>
          </w:r>
        </w:p>
      </w:sdtContent>
    </w:sdt>
    <w:p w14:paraId="5AA08D79" w14:textId="6331481D" w:rsidR="00D77E3C" w:rsidRDefault="008E4D58" w:rsidP="00D77E3C">
      <w:pPr>
        <w:pStyle w:val="Heading2"/>
      </w:pPr>
      <w:bookmarkStart w:id="1" w:name="_Toc185513094"/>
      <w:r>
        <w:t>Introduction</w:t>
      </w:r>
      <w:bookmarkEnd w:id="1"/>
    </w:p>
    <w:p w14:paraId="27E473D9" w14:textId="317F46D6" w:rsidR="005B559B" w:rsidRPr="005B559B" w:rsidRDefault="006F14C5" w:rsidP="005B559B">
      <w:r w:rsidRPr="008E4D58">
        <w:t xml:space="preserve">This document </w:t>
      </w:r>
      <w:r w:rsidR="008E4D58">
        <w:t xml:space="preserve">describes </w:t>
      </w:r>
      <w:r w:rsidRPr="008E4D58">
        <w:t>the architecture of a multi-tenant system designed to provide a set of configurable services to partner users.</w:t>
      </w:r>
      <w:r w:rsidR="00097DAF">
        <w:t xml:space="preserve"> </w:t>
      </w:r>
      <w:r w:rsidR="00097DAF" w:rsidRPr="00097DAF">
        <w:t>The services are tailored for each partner, allowing them to customize</w:t>
      </w:r>
      <w:r w:rsidR="00097DAF">
        <w:t xml:space="preserve"> s</w:t>
      </w:r>
      <w:r w:rsidR="00D474E6">
        <w:t>ystem</w:t>
      </w:r>
      <w:r w:rsidR="00097DAF" w:rsidRPr="00097DAF">
        <w:t xml:space="preserve"> functionalities and permissions</w:t>
      </w:r>
      <w:r w:rsidR="005B559B" w:rsidRPr="005B559B">
        <w:t>. The system supports several user types with specific</w:t>
      </w:r>
      <w:r w:rsidR="005B559B">
        <w:t xml:space="preserve"> </w:t>
      </w:r>
      <w:r w:rsidR="005B559B" w:rsidRPr="008E4D58">
        <w:t>limitations and capabilities</w:t>
      </w:r>
      <w:r w:rsidR="005B559B">
        <w:t>.</w:t>
      </w:r>
    </w:p>
    <w:p w14:paraId="35D8E024" w14:textId="77777777" w:rsidR="00255785" w:rsidRPr="00255785" w:rsidRDefault="00255785" w:rsidP="00876239">
      <w:pPr>
        <w:pStyle w:val="Heading2"/>
      </w:pPr>
      <w:bookmarkStart w:id="2" w:name="_Toc185513095"/>
      <w:r w:rsidRPr="00255785">
        <w:t>Key Components</w:t>
      </w:r>
      <w:bookmarkEnd w:id="2"/>
    </w:p>
    <w:p w14:paraId="7C161600" w14:textId="2DB7E822" w:rsidR="00097DAF" w:rsidRDefault="00582E42" w:rsidP="008E4D58">
      <w:r w:rsidRPr="00582E42">
        <w:t>The architecture consists of several key components</w:t>
      </w:r>
      <w:r w:rsidR="0070587C">
        <w:t>.</w:t>
      </w:r>
    </w:p>
    <w:p w14:paraId="1BB92738" w14:textId="7581720D" w:rsidR="00876239" w:rsidRPr="00876239" w:rsidRDefault="00876239" w:rsidP="00876239">
      <w:r w:rsidRPr="00876239">
        <w:t>1</w:t>
      </w:r>
      <w:r w:rsidRPr="00A276DA">
        <w:rPr>
          <w:b/>
          <w:bCs/>
        </w:rPr>
        <w:t>. Partner Management Module</w:t>
      </w:r>
      <w:r w:rsidR="00045F8E">
        <w:t>:</w:t>
      </w:r>
      <w:r w:rsidR="00045F8E">
        <w:t xml:space="preserve"> </w:t>
      </w:r>
      <w:r w:rsidR="0047163D" w:rsidRPr="0047163D">
        <w:t>Allows partners to configure functionalities and permissions for their users</w:t>
      </w:r>
      <w:r w:rsidR="0047163D">
        <w:t>.</w:t>
      </w:r>
    </w:p>
    <w:p w14:paraId="7E83A4ED" w14:textId="51E3E2D6" w:rsidR="00876239" w:rsidRPr="00876239" w:rsidRDefault="00876239" w:rsidP="00876239">
      <w:r w:rsidRPr="00876239">
        <w:t xml:space="preserve">2. </w:t>
      </w:r>
      <w:r w:rsidRPr="00876239">
        <w:rPr>
          <w:b/>
          <w:bCs/>
        </w:rPr>
        <w:t>User Management Module</w:t>
      </w:r>
      <w:r w:rsidR="0047163D">
        <w:t xml:space="preserve">: </w:t>
      </w:r>
      <w:r w:rsidR="000C3F78" w:rsidRPr="000C3F78">
        <w:t>Handles user registration, authentication, and transitions between user types</w:t>
      </w:r>
      <w:r w:rsidR="000C3F78">
        <w:t>.</w:t>
      </w:r>
    </w:p>
    <w:p w14:paraId="4BAEF0CD" w14:textId="333FD5C3" w:rsidR="00876239" w:rsidRPr="00876239" w:rsidRDefault="00876239" w:rsidP="00876239">
      <w:r w:rsidRPr="00876239">
        <w:t xml:space="preserve">3. </w:t>
      </w:r>
      <w:r w:rsidR="000C3F78" w:rsidRPr="00A276DA">
        <w:rPr>
          <w:b/>
          <w:bCs/>
        </w:rPr>
        <w:t>S</w:t>
      </w:r>
      <w:r w:rsidRPr="00876239">
        <w:rPr>
          <w:b/>
          <w:bCs/>
        </w:rPr>
        <w:t>ession Management Service</w:t>
      </w:r>
      <w:r w:rsidR="000C3F78">
        <w:t>:</w:t>
      </w:r>
      <w:r w:rsidR="001037C3">
        <w:t xml:space="preserve"> </w:t>
      </w:r>
      <w:r w:rsidR="001037C3" w:rsidRPr="001037C3">
        <w:t>Manages user sessions, including time tracking and operation counting for guest and basic users</w:t>
      </w:r>
      <w:r w:rsidR="001037C3">
        <w:t>.</w:t>
      </w:r>
    </w:p>
    <w:p w14:paraId="7003B257" w14:textId="6D6D6CB9" w:rsidR="00876239" w:rsidRPr="00876239" w:rsidRDefault="00876239" w:rsidP="00876239">
      <w:r w:rsidRPr="00876239">
        <w:t xml:space="preserve">4. </w:t>
      </w:r>
      <w:r w:rsidR="00D31D73" w:rsidRPr="00A276DA">
        <w:rPr>
          <w:b/>
          <w:bCs/>
        </w:rPr>
        <w:t>Operation Tracking Service</w:t>
      </w:r>
      <w:r w:rsidR="001037C3">
        <w:t>:</w:t>
      </w:r>
      <w:r w:rsidR="00D31D73" w:rsidRPr="00D31D73">
        <w:t xml:space="preserve"> </w:t>
      </w:r>
      <w:r w:rsidR="00D31D73">
        <w:t>Allows to con</w:t>
      </w:r>
      <w:r w:rsidR="00E37A29">
        <w:t xml:space="preserve">figure </w:t>
      </w:r>
      <w:r w:rsidR="00E37A29" w:rsidRPr="00876239">
        <w:t>permissions for different user types</w:t>
      </w:r>
      <w:r w:rsidR="00E37A29">
        <w:t xml:space="preserve"> (</w:t>
      </w:r>
      <w:r w:rsidR="00E37A29" w:rsidRPr="00876239">
        <w:t>"basic", "guest", "company", "advanced"</w:t>
      </w:r>
      <w:r w:rsidR="00E37A29">
        <w:t xml:space="preserve">) and </w:t>
      </w:r>
      <w:r w:rsidR="00492C8E" w:rsidRPr="00492C8E">
        <w:t>monitors</w:t>
      </w:r>
      <w:r w:rsidR="00492C8E" w:rsidRPr="00492C8E">
        <w:t xml:space="preserve"> the number of operations performed by users based on their type</w:t>
      </w:r>
      <w:r w:rsidR="00492C8E">
        <w:t>.</w:t>
      </w:r>
    </w:p>
    <w:p w14:paraId="28FF54EA" w14:textId="2DD5EC37" w:rsidR="00876239" w:rsidRPr="00876239" w:rsidRDefault="00876239" w:rsidP="00876239">
      <w:r w:rsidRPr="00876239">
        <w:t xml:space="preserve">5. </w:t>
      </w:r>
      <w:r w:rsidRPr="00876239">
        <w:rPr>
          <w:b/>
          <w:bCs/>
        </w:rPr>
        <w:t>KYC Service</w:t>
      </w:r>
      <w:r w:rsidR="00492C8E">
        <w:t xml:space="preserve">: </w:t>
      </w:r>
      <w:r w:rsidRPr="00876239">
        <w:t>Facilitates the Know Your Customer</w:t>
      </w:r>
      <w:r w:rsidR="00185088">
        <w:t xml:space="preserve"> (</w:t>
      </w:r>
      <w:r w:rsidR="00AB2633">
        <w:t>KYC</w:t>
      </w:r>
      <w:r w:rsidR="00185088">
        <w:t>)</w:t>
      </w:r>
      <w:r w:rsidRPr="00876239">
        <w:t xml:space="preserve"> process, which allows "guest" users to upgrade to "basic" status.</w:t>
      </w:r>
    </w:p>
    <w:p w14:paraId="28D2FBC7" w14:textId="564FE0FF" w:rsidR="00D77E3C" w:rsidRDefault="00AB2633" w:rsidP="00AB2633">
      <w:pPr>
        <w:pStyle w:val="Heading2"/>
      </w:pPr>
      <w:bookmarkStart w:id="3" w:name="_Toc185513096"/>
      <w:r>
        <w:lastRenderedPageBreak/>
        <w:t>User Types and Transitions</w:t>
      </w:r>
      <w:bookmarkEnd w:id="3"/>
    </w:p>
    <w:p w14:paraId="177CF621" w14:textId="0E466F30" w:rsidR="00D77E3C" w:rsidRDefault="0070587C" w:rsidP="00D77E3C">
      <w:r w:rsidRPr="005B3F72">
        <w:t>The system supports four types of end-users</w:t>
      </w:r>
      <w:r w:rsidR="00D97305" w:rsidRPr="005B3F72">
        <w:t xml:space="preserve">, </w:t>
      </w:r>
      <w:r w:rsidR="0063759B" w:rsidRPr="0063759B">
        <w:t>each with specific allowed transitions.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60B96" w14:paraId="7982E932" w14:textId="77777777" w:rsidTr="00160B96">
        <w:tc>
          <w:tcPr>
            <w:tcW w:w="1870" w:type="dxa"/>
          </w:tcPr>
          <w:p w14:paraId="21E1D1A7" w14:textId="187B5CA9" w:rsidR="00160B96" w:rsidRDefault="00160B96" w:rsidP="00D77E3C">
            <w:r>
              <w:t>User Type</w:t>
            </w:r>
          </w:p>
        </w:tc>
        <w:tc>
          <w:tcPr>
            <w:tcW w:w="1870" w:type="dxa"/>
          </w:tcPr>
          <w:p w14:paraId="6F34BF91" w14:textId="3BDA3D96" w:rsidR="00160B96" w:rsidRDefault="00160B96" w:rsidP="00D77E3C">
            <w:r>
              <w:t>Daily Operations Limit</w:t>
            </w:r>
          </w:p>
        </w:tc>
        <w:tc>
          <w:tcPr>
            <w:tcW w:w="1870" w:type="dxa"/>
          </w:tcPr>
          <w:p w14:paraId="55A61DF4" w14:textId="4CBAEBE2" w:rsidR="00160B96" w:rsidRDefault="009F597E" w:rsidP="00D77E3C">
            <w:r>
              <w:t>Weekly Operations Limit</w:t>
            </w:r>
          </w:p>
        </w:tc>
        <w:tc>
          <w:tcPr>
            <w:tcW w:w="1870" w:type="dxa"/>
          </w:tcPr>
          <w:p w14:paraId="60D7F247" w14:textId="6D1F271D" w:rsidR="00160B96" w:rsidRDefault="009F597E" w:rsidP="00D77E3C">
            <w:r>
              <w:t>Session Time Limit</w:t>
            </w:r>
          </w:p>
        </w:tc>
        <w:tc>
          <w:tcPr>
            <w:tcW w:w="1870" w:type="dxa"/>
          </w:tcPr>
          <w:p w14:paraId="5776896C" w14:textId="64493615" w:rsidR="00160B96" w:rsidRDefault="000B7AE8" w:rsidP="00D77E3C">
            <w:r>
              <w:t xml:space="preserve">Possible </w:t>
            </w:r>
            <w:r w:rsidR="009F597E">
              <w:t>Transition</w:t>
            </w:r>
            <w:r>
              <w:t>s</w:t>
            </w:r>
          </w:p>
        </w:tc>
      </w:tr>
      <w:tr w:rsidR="00160B96" w14:paraId="103F5005" w14:textId="77777777" w:rsidTr="00160B96">
        <w:tc>
          <w:tcPr>
            <w:tcW w:w="1870" w:type="dxa"/>
          </w:tcPr>
          <w:p w14:paraId="2E3911C2" w14:textId="249C9965" w:rsidR="00160B96" w:rsidRDefault="001C3752" w:rsidP="00D77E3C">
            <w:r>
              <w:t>Guest</w:t>
            </w:r>
          </w:p>
        </w:tc>
        <w:tc>
          <w:tcPr>
            <w:tcW w:w="1870" w:type="dxa"/>
          </w:tcPr>
          <w:p w14:paraId="5E6B1D36" w14:textId="26B58AA4" w:rsidR="00160B96" w:rsidRDefault="001C3752" w:rsidP="00D77E3C">
            <w:r>
              <w:t>5</w:t>
            </w:r>
          </w:p>
        </w:tc>
        <w:tc>
          <w:tcPr>
            <w:tcW w:w="1870" w:type="dxa"/>
          </w:tcPr>
          <w:p w14:paraId="4E4C835F" w14:textId="61FF2AB6" w:rsidR="00160B96" w:rsidRDefault="001C3752" w:rsidP="00D77E3C">
            <w:r>
              <w:t>20</w:t>
            </w:r>
          </w:p>
        </w:tc>
        <w:tc>
          <w:tcPr>
            <w:tcW w:w="1870" w:type="dxa"/>
          </w:tcPr>
          <w:p w14:paraId="6858BCC9" w14:textId="110C92A8" w:rsidR="00160B96" w:rsidRDefault="001C3752" w:rsidP="00D77E3C">
            <w:r>
              <w:t>20 minutes</w:t>
            </w:r>
          </w:p>
        </w:tc>
        <w:tc>
          <w:tcPr>
            <w:tcW w:w="1870" w:type="dxa"/>
          </w:tcPr>
          <w:p w14:paraId="2F4F4CBA" w14:textId="08941732" w:rsidR="00160B96" w:rsidRDefault="000B7AE8" w:rsidP="00D77E3C">
            <w:r w:rsidRPr="000B7AE8">
              <w:t>guest → basic → advanced</w:t>
            </w:r>
          </w:p>
        </w:tc>
      </w:tr>
      <w:tr w:rsidR="00160B96" w14:paraId="251EA461" w14:textId="77777777" w:rsidTr="00160B96">
        <w:tc>
          <w:tcPr>
            <w:tcW w:w="1870" w:type="dxa"/>
          </w:tcPr>
          <w:p w14:paraId="67ED7820" w14:textId="64127CE4" w:rsidR="00160B96" w:rsidRDefault="000B7AE8" w:rsidP="00D77E3C">
            <w:r>
              <w:t>Basic</w:t>
            </w:r>
          </w:p>
        </w:tc>
        <w:tc>
          <w:tcPr>
            <w:tcW w:w="1870" w:type="dxa"/>
          </w:tcPr>
          <w:p w14:paraId="1C265931" w14:textId="331E7391" w:rsidR="00160B96" w:rsidRDefault="000B7AE8" w:rsidP="00D77E3C">
            <w:r>
              <w:t>20</w:t>
            </w:r>
          </w:p>
        </w:tc>
        <w:tc>
          <w:tcPr>
            <w:tcW w:w="1870" w:type="dxa"/>
          </w:tcPr>
          <w:p w14:paraId="0638600E" w14:textId="04BF29F0" w:rsidR="00160B96" w:rsidRDefault="000B7AE8" w:rsidP="00D77E3C">
            <w:r>
              <w:t xml:space="preserve">50 </w:t>
            </w:r>
          </w:p>
        </w:tc>
        <w:tc>
          <w:tcPr>
            <w:tcW w:w="1870" w:type="dxa"/>
          </w:tcPr>
          <w:p w14:paraId="3BC9B5DA" w14:textId="04916642" w:rsidR="00160B96" w:rsidRDefault="00A56C2E" w:rsidP="00D77E3C">
            <w:r>
              <w:t>U</w:t>
            </w:r>
            <w:r w:rsidR="000B7AE8">
              <w:t>nlimited</w:t>
            </w:r>
          </w:p>
        </w:tc>
        <w:tc>
          <w:tcPr>
            <w:tcW w:w="1870" w:type="dxa"/>
          </w:tcPr>
          <w:p w14:paraId="445251F3" w14:textId="53EF0FF7" w:rsidR="00160B96" w:rsidRDefault="00A56C2E" w:rsidP="00D77E3C">
            <w:r w:rsidRPr="00A56C2E">
              <w:t>advanced → basic → guest</w:t>
            </w:r>
          </w:p>
        </w:tc>
      </w:tr>
      <w:tr w:rsidR="00160B96" w14:paraId="6C8919EA" w14:textId="77777777" w:rsidTr="00160B96">
        <w:tc>
          <w:tcPr>
            <w:tcW w:w="1870" w:type="dxa"/>
          </w:tcPr>
          <w:p w14:paraId="2394F38F" w14:textId="65BAEF36" w:rsidR="00160B96" w:rsidRDefault="00A56C2E" w:rsidP="00D77E3C">
            <w:r>
              <w:t>Advanced</w:t>
            </w:r>
          </w:p>
        </w:tc>
        <w:tc>
          <w:tcPr>
            <w:tcW w:w="1870" w:type="dxa"/>
          </w:tcPr>
          <w:p w14:paraId="24507205" w14:textId="25F35E73" w:rsidR="00160B96" w:rsidRDefault="00A56C2E" w:rsidP="00D77E3C">
            <w:r>
              <w:t>Unlimited</w:t>
            </w:r>
          </w:p>
        </w:tc>
        <w:tc>
          <w:tcPr>
            <w:tcW w:w="1870" w:type="dxa"/>
          </w:tcPr>
          <w:p w14:paraId="3D32DEB7" w14:textId="0592D2A8" w:rsidR="00160B96" w:rsidRDefault="00A56C2E" w:rsidP="00D77E3C">
            <w:r>
              <w:t>Unlimited</w:t>
            </w:r>
          </w:p>
        </w:tc>
        <w:tc>
          <w:tcPr>
            <w:tcW w:w="1870" w:type="dxa"/>
          </w:tcPr>
          <w:p w14:paraId="6396F575" w14:textId="075FCEB6" w:rsidR="00160B96" w:rsidRDefault="00A56C2E" w:rsidP="00D77E3C">
            <w:r>
              <w:t>Unlimited</w:t>
            </w:r>
          </w:p>
        </w:tc>
        <w:tc>
          <w:tcPr>
            <w:tcW w:w="1870" w:type="dxa"/>
          </w:tcPr>
          <w:p w14:paraId="315387AF" w14:textId="4EB23158" w:rsidR="00160B96" w:rsidRDefault="006B34D3" w:rsidP="00D77E3C">
            <w:r w:rsidRPr="006B34D3">
              <w:t>advanced ↔ company</w:t>
            </w:r>
          </w:p>
        </w:tc>
      </w:tr>
      <w:tr w:rsidR="00160B96" w14:paraId="2763C612" w14:textId="77777777" w:rsidTr="00160B96">
        <w:tc>
          <w:tcPr>
            <w:tcW w:w="1870" w:type="dxa"/>
          </w:tcPr>
          <w:p w14:paraId="62B421F0" w14:textId="1B420499" w:rsidR="00160B96" w:rsidRDefault="006B34D3" w:rsidP="00D77E3C">
            <w:r>
              <w:t>Company</w:t>
            </w:r>
          </w:p>
        </w:tc>
        <w:tc>
          <w:tcPr>
            <w:tcW w:w="1870" w:type="dxa"/>
          </w:tcPr>
          <w:p w14:paraId="3386DED0" w14:textId="7859E3F4" w:rsidR="00160B96" w:rsidRDefault="006B34D3" w:rsidP="00D77E3C">
            <w:r>
              <w:t>Unlimited</w:t>
            </w:r>
          </w:p>
        </w:tc>
        <w:tc>
          <w:tcPr>
            <w:tcW w:w="1870" w:type="dxa"/>
          </w:tcPr>
          <w:p w14:paraId="581E973F" w14:textId="2B8AEF91" w:rsidR="00160B96" w:rsidRDefault="006B34D3" w:rsidP="00D77E3C">
            <w:r>
              <w:t>Unlimited</w:t>
            </w:r>
          </w:p>
        </w:tc>
        <w:tc>
          <w:tcPr>
            <w:tcW w:w="1870" w:type="dxa"/>
          </w:tcPr>
          <w:p w14:paraId="289D22E1" w14:textId="0C15651F" w:rsidR="00160B96" w:rsidRPr="00D81821" w:rsidRDefault="006B34D3" w:rsidP="00D77E3C">
            <w:pPr>
              <w:rPr>
                <w:lang w:val="ru-RU"/>
              </w:rPr>
            </w:pPr>
            <w:r>
              <w:t>Unlimited</w:t>
            </w:r>
          </w:p>
        </w:tc>
        <w:tc>
          <w:tcPr>
            <w:tcW w:w="1870" w:type="dxa"/>
          </w:tcPr>
          <w:p w14:paraId="2F4FE728" w14:textId="4D635C68" w:rsidR="00160B96" w:rsidRDefault="006B34D3" w:rsidP="00D77E3C">
            <w:r>
              <w:t>c</w:t>
            </w:r>
            <w:r w:rsidRPr="006B34D3">
              <w:t>ompany</w:t>
            </w:r>
            <w:r>
              <w:t xml:space="preserve"> </w:t>
            </w:r>
            <w:r w:rsidRPr="006B34D3">
              <w:t>↔ advanced</w:t>
            </w:r>
          </w:p>
        </w:tc>
      </w:tr>
    </w:tbl>
    <w:p w14:paraId="162A0BDC" w14:textId="77777777" w:rsidR="00583667" w:rsidRDefault="00583667" w:rsidP="00D77E3C">
      <w:pPr>
        <w:rPr>
          <w:lang w:val="ru-RU"/>
        </w:rPr>
      </w:pPr>
    </w:p>
    <w:p w14:paraId="041F84EA" w14:textId="5797A41B" w:rsidR="00D81821" w:rsidRPr="00372085" w:rsidRDefault="00833F5D" w:rsidP="00D77E3C">
      <w:r>
        <w:t>The</w:t>
      </w:r>
      <w:r w:rsidR="00723904" w:rsidRPr="00833F5D">
        <w:t xml:space="preserve"> diagram below</w:t>
      </w:r>
      <w:r w:rsidR="005B3F72">
        <w:t xml:space="preserve"> </w:t>
      </w:r>
      <w:r w:rsidR="005B3F72" w:rsidRPr="005B3F72">
        <w:t>illustrates the state transitions</w:t>
      </w:r>
      <w:r w:rsidR="00723904" w:rsidRPr="00833F5D">
        <w:t>.</w:t>
      </w:r>
    </w:p>
    <w:p w14:paraId="2DEEFCCB" w14:textId="038C4DE7" w:rsidR="00D93A92" w:rsidRDefault="00D93A92" w:rsidP="00D93A92">
      <w:pPr>
        <w:pStyle w:val="Figure"/>
      </w:pPr>
      <w:r w:rsidRPr="00D81821">
        <w:rPr>
          <w:lang w:val="ru-RU"/>
        </w:rPr>
        <w:drawing>
          <wp:inline distT="0" distB="0" distL="0" distR="0" wp14:anchorId="38954766" wp14:editId="01F03DC0">
            <wp:extent cx="5943600" cy="3447415"/>
            <wp:effectExtent l="19050" t="19050" r="19050" b="19685"/>
            <wp:docPr id="306456222" name="Picture 1" descr="State Tran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36001" name="Picture 1" descr="State Transition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64B5C9" w14:textId="69877DA2" w:rsidR="00D93A92" w:rsidRDefault="00D93A92" w:rsidP="00D93A92">
      <w:pPr>
        <w:pStyle w:val="FigureCaption"/>
      </w:pPr>
      <w:r w:rsidRPr="007C470A">
        <w:t xml:space="preserve">Figure </w:t>
      </w:r>
      <w:r w:rsidRPr="007C470A">
        <w:fldChar w:fldCharType="begin"/>
      </w:r>
      <w:r w:rsidRPr="007C470A">
        <w:instrText xml:space="preserve"> SEQ Figure \* ARABIC </w:instrText>
      </w:r>
      <w:r w:rsidRPr="007C470A">
        <w:fldChar w:fldCharType="separate"/>
      </w:r>
      <w:r>
        <w:rPr>
          <w:noProof/>
        </w:rPr>
        <w:t>1</w:t>
      </w:r>
      <w:r w:rsidRPr="007C470A">
        <w:fldChar w:fldCharType="end"/>
      </w:r>
      <w:r>
        <w:t>:</w:t>
      </w:r>
      <w:r w:rsidRPr="007C470A">
        <w:t xml:space="preserve"> </w:t>
      </w:r>
      <w:r>
        <w:t>State transitions</w:t>
      </w:r>
    </w:p>
    <w:p w14:paraId="4567F0A1" w14:textId="77777777" w:rsidR="00864C73" w:rsidRDefault="00864C73" w:rsidP="00864C73">
      <w:pPr>
        <w:pStyle w:val="Heading2"/>
        <w:rPr>
          <w:lang w:bidi="en-US"/>
        </w:rPr>
      </w:pPr>
      <w:bookmarkStart w:id="4" w:name="_Toc185513097"/>
      <w:r w:rsidRPr="00864C73">
        <w:rPr>
          <w:lang w:bidi="en-US"/>
        </w:rPr>
        <w:t>Interaction Flow</w:t>
      </w:r>
      <w:bookmarkEnd w:id="4"/>
    </w:p>
    <w:p w14:paraId="3B5261ED" w14:textId="12E71D11" w:rsidR="007A689D" w:rsidRPr="007A689D" w:rsidRDefault="00F87FC4" w:rsidP="007A689D">
      <w:pPr>
        <w:rPr>
          <w:lang w:bidi="en-US"/>
        </w:rPr>
      </w:pPr>
      <w:r>
        <w:rPr>
          <w:lang w:bidi="en-US"/>
        </w:rPr>
        <w:t>The system supports the following scenarios.</w:t>
      </w:r>
    </w:p>
    <w:p w14:paraId="3F87356B" w14:textId="6DAC5FB3" w:rsidR="00864C73" w:rsidRPr="00864C73" w:rsidRDefault="00864C73" w:rsidP="00864C73">
      <w:pPr>
        <w:pStyle w:val="BodyText"/>
        <w:rPr>
          <w:lang w:bidi="en-US"/>
        </w:rPr>
      </w:pPr>
      <w:r w:rsidRPr="00864C73">
        <w:rPr>
          <w:lang w:bidi="en-US"/>
        </w:rPr>
        <w:t>1. User Registration and Login</w:t>
      </w:r>
    </w:p>
    <w:p w14:paraId="4119170C" w14:textId="77777777" w:rsidR="00864C73" w:rsidRPr="00864C73" w:rsidRDefault="00864C73" w:rsidP="00864C73">
      <w:pPr>
        <w:pStyle w:val="BodyText"/>
        <w:rPr>
          <w:lang w:bidi="en-US"/>
        </w:rPr>
      </w:pPr>
      <w:r w:rsidRPr="00864C73">
        <w:rPr>
          <w:lang w:bidi="en-US"/>
        </w:rPr>
        <w:lastRenderedPageBreak/>
        <w:t>- New users register through the User Management Module. Guest sessions are initiated with limited functionality.</w:t>
      </w:r>
    </w:p>
    <w:p w14:paraId="7A9604A4" w14:textId="69D94A9D" w:rsidR="00864C73" w:rsidRPr="00864C73" w:rsidRDefault="00864C73" w:rsidP="00864C73">
      <w:pPr>
        <w:pStyle w:val="BodyText"/>
        <w:rPr>
          <w:lang w:bidi="en-US"/>
        </w:rPr>
      </w:pPr>
      <w:r w:rsidRPr="00864C73">
        <w:rPr>
          <w:lang w:bidi="en-US"/>
        </w:rPr>
        <w:t>2. Session Monitoring</w:t>
      </w:r>
    </w:p>
    <w:p w14:paraId="683D0D40" w14:textId="77777777" w:rsidR="00864C73" w:rsidRPr="00864C73" w:rsidRDefault="00864C73" w:rsidP="00864C73">
      <w:pPr>
        <w:pStyle w:val="BodyText"/>
        <w:rPr>
          <w:lang w:bidi="en-US"/>
        </w:rPr>
      </w:pPr>
      <w:r w:rsidRPr="00864C73">
        <w:rPr>
          <w:lang w:bidi="en-US"/>
        </w:rPr>
        <w:t>- The Session Management Service monitors active sessions, enforcing time and operation limits for guest and basic users.</w:t>
      </w:r>
    </w:p>
    <w:p w14:paraId="09322BE4" w14:textId="6BEB742B" w:rsidR="00864C73" w:rsidRPr="00864C73" w:rsidRDefault="00864C73" w:rsidP="00864C73">
      <w:pPr>
        <w:pStyle w:val="BodyText"/>
        <w:rPr>
          <w:lang w:bidi="en-US"/>
        </w:rPr>
      </w:pPr>
      <w:r w:rsidRPr="00864C73">
        <w:rPr>
          <w:lang w:bidi="en-US"/>
        </w:rPr>
        <w:t>3. User Status Transition</w:t>
      </w:r>
    </w:p>
    <w:p w14:paraId="64CA82EC" w14:textId="1AEBC015" w:rsidR="00864C73" w:rsidRPr="00864C73" w:rsidRDefault="00864C73" w:rsidP="00864C73">
      <w:pPr>
        <w:pStyle w:val="BodyText"/>
        <w:rPr>
          <w:lang w:bidi="en-US"/>
        </w:rPr>
      </w:pPr>
      <w:r w:rsidRPr="00864C73">
        <w:rPr>
          <w:lang w:bidi="en-US"/>
        </w:rPr>
        <w:t xml:space="preserve">- Users undergo transitions based on their activity and completed KYC processes, handled by the </w:t>
      </w:r>
      <w:r w:rsidR="007A689D">
        <w:rPr>
          <w:lang w:bidi="en-US"/>
        </w:rPr>
        <w:t>Operation Tracking Service</w:t>
      </w:r>
      <w:r w:rsidRPr="00864C73">
        <w:rPr>
          <w:lang w:bidi="en-US"/>
        </w:rPr>
        <w:t>.</w:t>
      </w:r>
    </w:p>
    <w:p w14:paraId="480D814F" w14:textId="43087AA5" w:rsidR="00864C73" w:rsidRPr="00864C73" w:rsidRDefault="00864C73" w:rsidP="00864C73">
      <w:pPr>
        <w:pStyle w:val="BodyText"/>
        <w:rPr>
          <w:lang w:bidi="en-US"/>
        </w:rPr>
      </w:pPr>
      <w:r w:rsidRPr="00864C73">
        <w:rPr>
          <w:lang w:bidi="en-US"/>
        </w:rPr>
        <w:t>4. Partner-Specific Configuration</w:t>
      </w:r>
    </w:p>
    <w:p w14:paraId="49268AEA" w14:textId="77777777" w:rsidR="00864C73" w:rsidRPr="00864C73" w:rsidRDefault="00864C73" w:rsidP="00864C73">
      <w:pPr>
        <w:pStyle w:val="BodyText"/>
        <w:rPr>
          <w:lang w:bidi="en-US"/>
        </w:rPr>
      </w:pPr>
      <w:r w:rsidRPr="00864C73">
        <w:rPr>
          <w:lang w:bidi="en-US"/>
        </w:rPr>
        <w:t>- Each partner is configured through the Partner Management Module to enable specific functionalities and set permissions.</w:t>
      </w:r>
    </w:p>
    <w:p w14:paraId="221F82F0" w14:textId="2378EBC5" w:rsidR="00D93A92" w:rsidRDefault="005057D8" w:rsidP="005057D8">
      <w:pPr>
        <w:pStyle w:val="Heading2"/>
      </w:pPr>
      <w:bookmarkStart w:id="5" w:name="_Toc185513098"/>
      <w:r>
        <w:t>Conclusion</w:t>
      </w:r>
      <w:bookmarkEnd w:id="5"/>
    </w:p>
    <w:p w14:paraId="2DECF741" w14:textId="6FDC91D6" w:rsidR="005057D8" w:rsidRPr="005057D8" w:rsidRDefault="005057D8" w:rsidP="005057D8">
      <w:r w:rsidRPr="005057D8">
        <w:t>This system is designed to provide a flexible and scalable solution for managing multiple partners and user types. It ensures each partner can customize service offerings while maintaining control over user activities and transitions.</w:t>
      </w:r>
    </w:p>
    <w:p w14:paraId="322DF0F6" w14:textId="77777777" w:rsidR="005057D8" w:rsidRPr="00864C73" w:rsidRDefault="005057D8" w:rsidP="00D93A92"/>
    <w:sectPr w:rsidR="005057D8" w:rsidRPr="0086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4F"/>
    <w:rsid w:val="00027044"/>
    <w:rsid w:val="00045F8E"/>
    <w:rsid w:val="00097DAF"/>
    <w:rsid w:val="000B7AE8"/>
    <w:rsid w:val="000C3F78"/>
    <w:rsid w:val="001037C3"/>
    <w:rsid w:val="00160B96"/>
    <w:rsid w:val="00185088"/>
    <w:rsid w:val="001C3752"/>
    <w:rsid w:val="00255785"/>
    <w:rsid w:val="00372085"/>
    <w:rsid w:val="0047163D"/>
    <w:rsid w:val="00492C8E"/>
    <w:rsid w:val="005057D8"/>
    <w:rsid w:val="00582E42"/>
    <w:rsid w:val="00583667"/>
    <w:rsid w:val="005B3F72"/>
    <w:rsid w:val="005B559B"/>
    <w:rsid w:val="005E4D76"/>
    <w:rsid w:val="00610686"/>
    <w:rsid w:val="00627A8B"/>
    <w:rsid w:val="0063759B"/>
    <w:rsid w:val="0069234C"/>
    <w:rsid w:val="006B34D3"/>
    <w:rsid w:val="006F14C5"/>
    <w:rsid w:val="0070587C"/>
    <w:rsid w:val="00723904"/>
    <w:rsid w:val="007A689D"/>
    <w:rsid w:val="00833F5D"/>
    <w:rsid w:val="00864C73"/>
    <w:rsid w:val="00876239"/>
    <w:rsid w:val="008E4D58"/>
    <w:rsid w:val="009F597E"/>
    <w:rsid w:val="00A276DA"/>
    <w:rsid w:val="00A56C2E"/>
    <w:rsid w:val="00AB2633"/>
    <w:rsid w:val="00B51D68"/>
    <w:rsid w:val="00B8214F"/>
    <w:rsid w:val="00BA1531"/>
    <w:rsid w:val="00C53DC5"/>
    <w:rsid w:val="00D0019F"/>
    <w:rsid w:val="00D144D5"/>
    <w:rsid w:val="00D31D73"/>
    <w:rsid w:val="00D474E6"/>
    <w:rsid w:val="00D77E3C"/>
    <w:rsid w:val="00D81821"/>
    <w:rsid w:val="00D93A92"/>
    <w:rsid w:val="00D97305"/>
    <w:rsid w:val="00E37A29"/>
    <w:rsid w:val="00E54611"/>
    <w:rsid w:val="00E831E5"/>
    <w:rsid w:val="00F87FC4"/>
    <w:rsid w:val="00F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254F"/>
  <w15:chartTrackingRefBased/>
  <w15:docId w15:val="{11EBCE59-9BF7-416B-B094-6CCDF14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1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7DA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16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qFormat/>
    <w:rsid w:val="00D93A92"/>
    <w:pPr>
      <w:keepNext/>
      <w:spacing w:before="240" w:after="120" w:line="240" w:lineRule="auto"/>
      <w:jc w:val="center"/>
    </w:pPr>
    <w:rPr>
      <w:rFonts w:eastAsiaTheme="minorEastAsia"/>
      <w:kern w:val="0"/>
      <w:sz w:val="20"/>
      <w:szCs w:val="22"/>
      <w:lang w:bidi="en-US"/>
      <w14:ligatures w14:val="none"/>
    </w:rPr>
  </w:style>
  <w:style w:type="paragraph" w:customStyle="1" w:styleId="FigureCaption">
    <w:name w:val="Figure Caption"/>
    <w:basedOn w:val="Caption"/>
    <w:next w:val="BodyText"/>
    <w:qFormat/>
    <w:rsid w:val="00D93A92"/>
    <w:pPr>
      <w:spacing w:after="240"/>
      <w:jc w:val="center"/>
    </w:pPr>
    <w:rPr>
      <w:rFonts w:eastAsiaTheme="minorEastAsia"/>
      <w:b/>
      <w:bCs/>
      <w:i w:val="0"/>
      <w:iCs w:val="0"/>
      <w:color w:val="156082" w:themeColor="accent1"/>
      <w:kern w:val="0"/>
      <w:lang w:bidi="en-US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3A9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D93A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3A92"/>
  </w:style>
  <w:style w:type="paragraph" w:styleId="TOCHeading">
    <w:name w:val="TOC Heading"/>
    <w:basedOn w:val="Heading1"/>
    <w:next w:val="Normal"/>
    <w:uiPriority w:val="39"/>
    <w:unhideWhenUsed/>
    <w:qFormat/>
    <w:rsid w:val="005E4D7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4D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4D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E4D7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F2AF6-8A8F-4F5F-889C-8F8381071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Федотова</dc:creator>
  <cp:keywords/>
  <dc:description/>
  <cp:lastModifiedBy>Татьяна Федотова</cp:lastModifiedBy>
  <cp:revision>9</cp:revision>
  <dcterms:created xsi:type="dcterms:W3CDTF">2024-12-19T11:00:00Z</dcterms:created>
  <dcterms:modified xsi:type="dcterms:W3CDTF">2024-12-19T11:04:00Z</dcterms:modified>
</cp:coreProperties>
</file>