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8.34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7.95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6.52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8.40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9.40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7.95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6.52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7.95）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品質スコア7.95（URGENT判定）、稼働率78.1%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1ヶ月後に清掃クレーム率1100%→5%以下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6.52）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品質スコア6.52（URGENT判定）、稼働率67.8%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1ヶ月後に清掃クレーム率790%→5%以下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品質スコア7.38（URGENT判定）、稼働率74.5%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1ヶ月後に清掃クレーム率1170%→5%以下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7.95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6.52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7.0以上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ハートンホテル東品川（月間売上: ¥11,211,550, スコア: 8.4）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HIGH判定、稼働率79.7%、利益率28.3%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川崎日航ホテル（月間売上: ¥7,168,120, スコア: 8.56）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HIGH判定、稼働率79.4%、利益率21.9%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高売上（¥7.2M）だがスコア8.60 → 清掃品質の微調整でSTANDARDへ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ゲストフィードバックの即日共有体制、アメニティグレードの見直し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ダイワロイネットホテル東京大崎（月間売上: ¥5,203,037, スコア: 8.63）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HIGH判定、稼働率70.3%、利益率21.9%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7.57）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8.26）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スコア8.06（品質良好）だが売上¥2,698,420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スコア8.26（品質良好）だが売上¥2,842,630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スコア8.66（品質良好）だが売上¥2,655,760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スコア8.93（品質良好）だが売上¥4,047,280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スコア8.97（品質良好）だが売上¥4,425,395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スコア9.4（品質良好）だが売上¥4,310,610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7.95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91件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6.52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ハートンホテル東品川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¥11,211,550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¥3,168,191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448室 / 34名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川崎日航ホテル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8.56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¥7,168,120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84件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¥1,568,741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184室 / 26名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ダイワロイネットホテル東京大崎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¥5,203,037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¥1,139,921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194室 / 18名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7.57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8.26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9.40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2026-04-07T00:35:06.066Z</dcterms:created>
  <dcterms:modified xsi:type="dcterms:W3CDTF">2026-04-07T00:35:06.066Z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