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5C"/>
          <w:sz w:val="40"/>
          <w:szCs w:val="40"/>
        </w:rPr>
        <w:t xml:space="preserve">口コミ分析改善レポート</w:t>
      </w:r>
    </w:p>
    <w:p>
      <w:pPr>
        <w:spacing w:after="200"/>
        <w:jc w:val="center"/>
      </w:pPr>
      <w:r>
        <w:rPr>
          <w:rFonts w:ascii="Arial" w:cs="Arial" w:eastAsia="Arial" w:hAnsi="Arial"/>
          <w:b/>
          <w:bCs/>
          <w:color w:val="2E75B6"/>
          <w:sz w:val="30"/>
          <w:szCs w:val="30"/>
        </w:rPr>
        <w:t xml:space="preserve">ダイワロイネットホテル東京大崎</w:t>
      </w:r>
    </w:p>
    <w:p>
      <w:pPr>
        <w:jc w:val="center"/>
      </w:pPr>
      <w:r>
        <w:rPr>
          <w:rFonts w:ascii="Arial" w:cs="Arial" w:eastAsia="Arial" w:hAnsi="Arial"/>
          <w:color w:val="666666"/>
          <w:sz w:val="18"/>
          <w:szCs w:val="18"/>
        </w:rPr>
        <w:t xml:space="preserve">作成日: 2026年3月29日</w:t>
      </w:r>
    </w:p>
    <w:p/>
    <w:p>
      <w:pPr>
        <w:pStyle w:val="Heading1"/>
        <w:spacing w:after="120" w:before="240"/>
      </w:pPr>
      <w:r>
        <w:rPr>
          <w:rFonts w:ascii="Arial" w:cs="Arial" w:eastAsia="Arial" w:hAnsi="Arial"/>
          <w:b/>
          <w:bCs/>
          <w:color w:val="1B3A5C"/>
          <w:sz w:val="28"/>
          <w:szCs w:val="28"/>
        </w:rPr>
        <w:t xml:space="preserve">第1章 エグゼクティブサマリー</w:t>
      </w:r>
    </w:p>
    <w:p>
      <w:pPr>
        <w:spacing w:after="120"/>
        <w:jc w:val="left"/>
      </w:pPr>
      <w:r>
        <w:rPr>
          <w:rFonts w:ascii="Arial" w:cs="Arial" w:eastAsia="Arial" w:hAnsi="Arial"/>
          <w:color w:val="333333"/>
          <w:sz w:val="20"/>
          <w:szCs w:val="20"/>
        </w:rPr>
        <w:t xml:space="preserve">ダイワロイネットホテル東京大崎の口コミ分析レポートです。分析対象レビュー数は60件で、全体平均評価は10点換算で8.87点です。</w:t>
      </w:r>
    </w:p>
    <w:p>
      <w:pPr>
        <w:spacing w:after="120"/>
        <w:jc w:val="left"/>
      </w:pPr>
      <w:r>
        <w:rPr>
          <w:rFonts w:ascii="Arial" w:cs="Arial" w:eastAsia="Arial" w:hAnsi="Arial"/>
          <w:color w:val="333333"/>
          <w:sz w:val="20"/>
          <w:szCs w:val="20"/>
        </w:rPr>
        <w:t xml:space="preserve">高評価率（8〜10点）: 81.7%、低評価率（1〜4点）: 0.0%</w:t>
      </w:r>
    </w:p>
    <w:p/>
    <w:p>
      <w:pPr>
        <w:pStyle w:val="Heading1"/>
        <w:spacing w:after="120" w:before="240"/>
      </w:pPr>
      <w:r>
        <w:rPr>
          <w:rFonts w:ascii="Arial" w:cs="Arial" w:eastAsia="Arial" w:hAnsi="Arial"/>
          <w:b/>
          <w:bCs/>
          <w:color w:val="1B3A5C"/>
          <w:sz w:val="28"/>
          <w:szCs w:val="28"/>
        </w:rPr>
        <w:t xml:space="preserve">第2章 基本KPI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指標</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値</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レビュー総数</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60件</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全体平均（10pt換算）</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8.87点</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高評価率（8〜10点）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81.7%</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低評価率（1〜4点）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0.0%</w:t>
            </w:r>
          </w:p>
        </w:tc>
      </w:tr>
    </w:tbl>
    <w:p/>
    <w:p>
      <w:pPr>
        <w:pStyle w:val="Heading1"/>
        <w:spacing w:after="120" w:before="240"/>
      </w:pPr>
      <w:r>
        <w:rPr>
          <w:rFonts w:ascii="Arial" w:cs="Arial" w:eastAsia="Arial" w:hAnsi="Arial"/>
          <w:b/>
          <w:bCs/>
          <w:color w:val="1B3A5C"/>
          <w:sz w:val="28"/>
          <w:szCs w:val="28"/>
        </w:rPr>
        <w:t xml:space="preserve">第3章 サイト別評価</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サイト名</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件数</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評価（原点）</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評価（10pt）</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判定</w:t>
            </w:r>
          </w:p>
        </w:tc>
      </w:tr>
      <w:tr>
        <w:tc>
          <w:tcPr>
            <w:tcW w:type="dxa" w:w="2500"/>
          </w:tcPr>
          <w:p>
            <w:pPr>
              <w:spacing w:after="120"/>
              <w:jc w:val="left"/>
            </w:pPr>
            <w:r>
              <w:rPr>
                <w:rFonts w:ascii="Arial" w:cs="Arial" w:eastAsia="Arial" w:hAnsi="Arial"/>
                <w:color w:val="333333"/>
                <w:sz w:val="20"/>
                <w:szCs w:val="20"/>
              </w:rPr>
              <w:t xml:space="preserve">Trip.com</w:t>
            </w:r>
          </w:p>
        </w:tc>
        <w:tc>
          <w:tcPr>
            <w:tcW w:type="dxa" w:w="1200"/>
          </w:tcPr>
          <w:p>
            <w:pPr>
              <w:spacing w:after="120"/>
              <w:jc w:val="left"/>
            </w:pPr>
            <w:r>
              <w:rPr>
                <w:rFonts w:ascii="Arial" w:cs="Arial" w:eastAsia="Arial" w:hAnsi="Arial"/>
                <w:color w:val="333333"/>
                <w:sz w:val="20"/>
                <w:szCs w:val="20"/>
              </w:rPr>
              <w:t xml:space="preserve">12</w:t>
            </w:r>
          </w:p>
        </w:tc>
        <w:tc>
          <w:tcPr>
            <w:tcW w:type="dxa" w:w="2000"/>
          </w:tcPr>
          <w:p>
            <w:pPr>
              <w:spacing w:after="120"/>
              <w:jc w:val="left"/>
            </w:pPr>
            <w:r>
              <w:rPr>
                <w:rFonts w:ascii="Arial" w:cs="Arial" w:eastAsia="Arial" w:hAnsi="Arial"/>
                <w:color w:val="333333"/>
                <w:sz w:val="20"/>
                <w:szCs w:val="20"/>
              </w:rPr>
              <w:t xml:space="preserve">9.67 /10</w:t>
            </w:r>
          </w:p>
        </w:tc>
        <w:tc>
          <w:tcPr>
            <w:tcW w:type="dxa" w:w="2000"/>
          </w:tcPr>
          <w:p>
            <w:pPr>
              <w:spacing w:after="120"/>
              <w:jc w:val="left"/>
            </w:pPr>
            <w:r>
              <w:rPr>
                <w:rFonts w:ascii="Arial" w:cs="Arial" w:eastAsia="Arial" w:hAnsi="Arial"/>
                <w:color w:val="333333"/>
                <w:sz w:val="20"/>
                <w:szCs w:val="20"/>
              </w:rPr>
              <w:t xml:space="preserve">9.67/10</w:t>
            </w:r>
          </w:p>
        </w:tc>
        <w:tc>
          <w:tcPr>
            <w:tcW w:type="dxa" w:w="1500"/>
          </w:tcPr>
          <w:p>
            <w:pPr>
              <w:spacing w:after="120"/>
              <w:jc w:val="left"/>
            </w:pPr>
            <w:r>
              <w:rPr>
                <w:rFonts w:ascii="Arial" w:cs="Arial" w:eastAsia="Arial" w:hAnsi="Arial"/>
                <w:color w:val="333333"/>
                <w:sz w:val="20"/>
                <w:szCs w:val="20"/>
              </w:rPr>
              <w:t xml:space="preserve">優秀</w:t>
            </w:r>
          </w:p>
        </w:tc>
      </w:tr>
      <w:tr>
        <w:tc>
          <w:tcPr>
            <w:tcW w:type="dxa" w:w="2500"/>
          </w:tcPr>
          <w:p>
            <w:pPr>
              <w:spacing w:after="120"/>
              <w:jc w:val="left"/>
            </w:pPr>
            <w:r>
              <w:rPr>
                <w:rFonts w:ascii="Arial" w:cs="Arial" w:eastAsia="Arial" w:hAnsi="Arial"/>
                <w:color w:val="333333"/>
                <w:sz w:val="20"/>
                <w:szCs w:val="20"/>
              </w:rPr>
              <w:t xml:space="preserve">Agoda</w:t>
            </w:r>
          </w:p>
        </w:tc>
        <w:tc>
          <w:tcPr>
            <w:tcW w:type="dxa" w:w="1200"/>
          </w:tcPr>
          <w:p>
            <w:pPr>
              <w:spacing w:after="120"/>
              <w:jc w:val="left"/>
            </w:pPr>
            <w:r>
              <w:rPr>
                <w:rFonts w:ascii="Arial" w:cs="Arial" w:eastAsia="Arial" w:hAnsi="Arial"/>
                <w:color w:val="333333"/>
                <w:sz w:val="20"/>
                <w:szCs w:val="20"/>
              </w:rPr>
              <w:t xml:space="preserve">5</w:t>
            </w:r>
          </w:p>
        </w:tc>
        <w:tc>
          <w:tcPr>
            <w:tcW w:type="dxa" w:w="2000"/>
          </w:tcPr>
          <w:p>
            <w:pPr>
              <w:spacing w:after="120"/>
              <w:jc w:val="left"/>
            </w:pPr>
            <w:r>
              <w:rPr>
                <w:rFonts w:ascii="Arial" w:cs="Arial" w:eastAsia="Arial" w:hAnsi="Arial"/>
                <w:color w:val="333333"/>
                <w:sz w:val="20"/>
                <w:szCs w:val="20"/>
              </w:rPr>
              <w:t xml:space="preserve">9.00 /10</w:t>
            </w:r>
          </w:p>
        </w:tc>
        <w:tc>
          <w:tcPr>
            <w:tcW w:type="dxa" w:w="2000"/>
          </w:tcPr>
          <w:p>
            <w:pPr>
              <w:spacing w:after="120"/>
              <w:jc w:val="left"/>
            </w:pPr>
            <w:r>
              <w:rPr>
                <w:rFonts w:ascii="Arial" w:cs="Arial" w:eastAsia="Arial" w:hAnsi="Arial"/>
                <w:color w:val="333333"/>
                <w:sz w:val="20"/>
                <w:szCs w:val="20"/>
              </w:rPr>
              <w:t xml:space="preserve">9.00/10</w:t>
            </w:r>
          </w:p>
        </w:tc>
        <w:tc>
          <w:tcPr>
            <w:tcW w:type="dxa" w:w="1500"/>
          </w:tcPr>
          <w:p>
            <w:pPr>
              <w:spacing w:after="120"/>
              <w:jc w:val="left"/>
            </w:pPr>
            <w:r>
              <w:rPr>
                <w:rFonts w:ascii="Arial" w:cs="Arial" w:eastAsia="Arial" w:hAnsi="Arial"/>
                <w:color w:val="333333"/>
                <w:sz w:val="20"/>
                <w:szCs w:val="20"/>
              </w:rPr>
              <w:t xml:space="preserve">優秀</w:t>
            </w:r>
          </w:p>
        </w:tc>
      </w:tr>
      <w:tr>
        <w:tc>
          <w:tcPr>
            <w:tcW w:type="dxa" w:w="2500"/>
          </w:tcPr>
          <w:p>
            <w:pPr>
              <w:spacing w:after="120"/>
              <w:jc w:val="left"/>
            </w:pPr>
            <w:r>
              <w:rPr>
                <w:rFonts w:ascii="Arial" w:cs="Arial" w:eastAsia="Arial" w:hAnsi="Arial"/>
                <w:color w:val="333333"/>
                <w:sz w:val="20"/>
                <w:szCs w:val="20"/>
              </w:rPr>
              <w:t xml:space="preserve">Booking.com</w:t>
            </w:r>
          </w:p>
        </w:tc>
        <w:tc>
          <w:tcPr>
            <w:tcW w:type="dxa" w:w="1200"/>
          </w:tcPr>
          <w:p>
            <w:pPr>
              <w:spacing w:after="120"/>
              <w:jc w:val="left"/>
            </w:pPr>
            <w:r>
              <w:rPr>
                <w:rFonts w:ascii="Arial" w:cs="Arial" w:eastAsia="Arial" w:hAnsi="Arial"/>
                <w:color w:val="333333"/>
                <w:sz w:val="20"/>
                <w:szCs w:val="20"/>
              </w:rPr>
              <w:t xml:space="preserve">26</w:t>
            </w:r>
          </w:p>
        </w:tc>
        <w:tc>
          <w:tcPr>
            <w:tcW w:type="dxa" w:w="2000"/>
          </w:tcPr>
          <w:p>
            <w:pPr>
              <w:spacing w:after="120"/>
              <w:jc w:val="left"/>
            </w:pPr>
            <w:r>
              <w:rPr>
                <w:rFonts w:ascii="Arial" w:cs="Arial" w:eastAsia="Arial" w:hAnsi="Arial"/>
                <w:color w:val="333333"/>
                <w:sz w:val="20"/>
                <w:szCs w:val="20"/>
              </w:rPr>
              <w:t xml:space="preserve">8.96 /10</w:t>
            </w:r>
          </w:p>
        </w:tc>
        <w:tc>
          <w:tcPr>
            <w:tcW w:type="dxa" w:w="2000"/>
          </w:tcPr>
          <w:p>
            <w:pPr>
              <w:spacing w:after="120"/>
              <w:jc w:val="left"/>
            </w:pPr>
            <w:r>
              <w:rPr>
                <w:rFonts w:ascii="Arial" w:cs="Arial" w:eastAsia="Arial" w:hAnsi="Arial"/>
                <w:color w:val="333333"/>
                <w:sz w:val="20"/>
                <w:szCs w:val="20"/>
              </w:rPr>
              <w:t xml:space="preserve">8.96/10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楽天トラベル</w:t>
            </w:r>
          </w:p>
        </w:tc>
        <w:tc>
          <w:tcPr>
            <w:tcW w:type="dxa" w:w="1200"/>
          </w:tcPr>
          <w:p>
            <w:pPr>
              <w:spacing w:after="120"/>
              <w:jc w:val="left"/>
            </w:pPr>
            <w:r>
              <w:rPr>
                <w:rFonts w:ascii="Arial" w:cs="Arial" w:eastAsia="Arial" w:hAnsi="Arial"/>
                <w:color w:val="333333"/>
                <w:sz w:val="20"/>
                <w:szCs w:val="20"/>
              </w:rPr>
              <w:t xml:space="preserve">3</w:t>
            </w:r>
          </w:p>
        </w:tc>
        <w:tc>
          <w:tcPr>
            <w:tcW w:type="dxa" w:w="2000"/>
          </w:tcPr>
          <w:p>
            <w:pPr>
              <w:spacing w:after="120"/>
              <w:jc w:val="left"/>
            </w:pPr>
            <w:r>
              <w:rPr>
                <w:rFonts w:ascii="Arial" w:cs="Arial" w:eastAsia="Arial" w:hAnsi="Arial"/>
                <w:color w:val="333333"/>
                <w:sz w:val="20"/>
                <w:szCs w:val="20"/>
              </w:rPr>
              <w:t xml:space="preserve">4.33 /5</w:t>
            </w:r>
          </w:p>
        </w:tc>
        <w:tc>
          <w:tcPr>
            <w:tcW w:type="dxa" w:w="2000"/>
          </w:tcPr>
          <w:p>
            <w:pPr>
              <w:spacing w:after="120"/>
              <w:jc w:val="left"/>
            </w:pPr>
            <w:r>
              <w:rPr>
                <w:rFonts w:ascii="Arial" w:cs="Arial" w:eastAsia="Arial" w:hAnsi="Arial"/>
                <w:color w:val="333333"/>
                <w:sz w:val="20"/>
                <w:szCs w:val="20"/>
              </w:rPr>
              <w:t xml:space="preserve">8.67/10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Google</w:t>
            </w:r>
          </w:p>
        </w:tc>
        <w:tc>
          <w:tcPr>
            <w:tcW w:type="dxa" w:w="1200"/>
          </w:tcPr>
          <w:p>
            <w:pPr>
              <w:spacing w:after="120"/>
              <w:jc w:val="left"/>
            </w:pPr>
            <w:r>
              <w:rPr>
                <w:rFonts w:ascii="Arial" w:cs="Arial" w:eastAsia="Arial" w:hAnsi="Arial"/>
                <w:color w:val="333333"/>
                <w:sz w:val="20"/>
                <w:szCs w:val="20"/>
              </w:rPr>
              <w:t xml:space="preserve">6</w:t>
            </w:r>
          </w:p>
        </w:tc>
        <w:tc>
          <w:tcPr>
            <w:tcW w:type="dxa" w:w="2000"/>
          </w:tcPr>
          <w:p>
            <w:pPr>
              <w:spacing w:after="120"/>
              <w:jc w:val="left"/>
            </w:pPr>
            <w:r>
              <w:rPr>
                <w:rFonts w:ascii="Arial" w:cs="Arial" w:eastAsia="Arial" w:hAnsi="Arial"/>
                <w:color w:val="333333"/>
                <w:sz w:val="20"/>
                <w:szCs w:val="20"/>
              </w:rPr>
              <w:t xml:space="preserve">4.00 /5</w:t>
            </w:r>
          </w:p>
        </w:tc>
        <w:tc>
          <w:tcPr>
            <w:tcW w:type="dxa" w:w="2000"/>
          </w:tcPr>
          <w:p>
            <w:pPr>
              <w:spacing w:after="120"/>
              <w:jc w:val="left"/>
            </w:pPr>
            <w:r>
              <w:rPr>
                <w:rFonts w:ascii="Arial" w:cs="Arial" w:eastAsia="Arial" w:hAnsi="Arial"/>
                <w:color w:val="333333"/>
                <w:sz w:val="20"/>
                <w:szCs w:val="20"/>
              </w:rPr>
              <w:t xml:space="preserve">8.00/10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じゃらん</w:t>
            </w:r>
          </w:p>
        </w:tc>
        <w:tc>
          <w:tcPr>
            <w:tcW w:type="dxa" w:w="1200"/>
          </w:tcPr>
          <w:p>
            <w:pPr>
              <w:spacing w:after="120"/>
              <w:jc w:val="left"/>
            </w:pPr>
            <w:r>
              <w:rPr>
                <w:rFonts w:ascii="Arial" w:cs="Arial" w:eastAsia="Arial" w:hAnsi="Arial"/>
                <w:color w:val="333333"/>
                <w:sz w:val="20"/>
                <w:szCs w:val="20"/>
              </w:rPr>
              <w:t xml:space="preserve">8</w:t>
            </w:r>
          </w:p>
        </w:tc>
        <w:tc>
          <w:tcPr>
            <w:tcW w:type="dxa" w:w="2000"/>
          </w:tcPr>
          <w:p>
            <w:pPr>
              <w:spacing w:after="120"/>
              <w:jc w:val="left"/>
            </w:pPr>
            <w:r>
              <w:rPr>
                <w:rFonts w:ascii="Arial" w:cs="Arial" w:eastAsia="Arial" w:hAnsi="Arial"/>
                <w:color w:val="333333"/>
                <w:sz w:val="20"/>
                <w:szCs w:val="20"/>
              </w:rPr>
              <w:t xml:space="preserve">4.00 /5</w:t>
            </w:r>
          </w:p>
        </w:tc>
        <w:tc>
          <w:tcPr>
            <w:tcW w:type="dxa" w:w="2000"/>
          </w:tcPr>
          <w:p>
            <w:pPr>
              <w:spacing w:after="120"/>
              <w:jc w:val="left"/>
            </w:pPr>
            <w:r>
              <w:rPr>
                <w:rFonts w:ascii="Arial" w:cs="Arial" w:eastAsia="Arial" w:hAnsi="Arial"/>
                <w:color w:val="333333"/>
                <w:sz w:val="20"/>
                <w:szCs w:val="20"/>
              </w:rPr>
              <w:t xml:space="preserve">8.00/10</w:t>
            </w:r>
          </w:p>
        </w:tc>
        <w:tc>
          <w:tcPr>
            <w:tcW w:type="dxa" w:w="1500"/>
          </w:tcPr>
          <w:p>
            <w:pPr>
              <w:spacing w:after="120"/>
              <w:jc w:val="left"/>
            </w:pPr>
            <w:r>
              <w:rPr>
                <w:rFonts w:ascii="Arial" w:cs="Arial" w:eastAsia="Arial" w:hAnsi="Arial"/>
                <w:color w:val="333333"/>
                <w:sz w:val="20"/>
                <w:szCs w:val="20"/>
              </w:rPr>
              <w:t xml:space="preserve">良好</w:t>
            </w:r>
          </w:p>
        </w:tc>
      </w:tr>
    </w:tbl>
    <w:p/>
    <w:p>
      <w:pPr>
        <w:pStyle w:val="Heading1"/>
        <w:spacing w:after="120" w:before="240"/>
      </w:pPr>
      <w:r>
        <w:rPr>
          <w:rFonts w:ascii="Arial" w:cs="Arial" w:eastAsia="Arial" w:hAnsi="Arial"/>
          <w:b/>
          <w:bCs/>
          <w:color w:val="1B3A5C"/>
          <w:sz w:val="28"/>
          <w:szCs w:val="28"/>
        </w:rPr>
        <w:t xml:space="preserve">第4章 評価分布</w:t>
      </w:r>
    </w:p>
    <w:p>
      <w:pPr>
        <w:spacing w:after="120"/>
        <w:jc w:val="left"/>
      </w:pPr>
      <w:r>
        <w:rPr>
          <w:rFonts w:ascii="Arial" w:cs="Arial" w:eastAsia="Arial" w:hAnsi="Arial"/>
          <w:color w:val="333333"/>
          <w:sz w:val="20"/>
          <w:szCs w:val="20"/>
        </w:rPr>
        <w:t xml:space="preserve">10点: 30件 (50.0%)</w:t>
      </w:r>
    </w:p>
    <w:p>
      <w:pPr>
        <w:spacing w:after="120"/>
        <w:jc w:val="left"/>
      </w:pPr>
      <w:r>
        <w:rPr>
          <w:rFonts w:ascii="Arial" w:cs="Arial" w:eastAsia="Arial" w:hAnsi="Arial"/>
          <w:color w:val="333333"/>
          <w:sz w:val="20"/>
          <w:szCs w:val="20"/>
        </w:rPr>
        <w:t xml:space="preserve">9点: 8件 (13.3%)</w:t>
      </w:r>
    </w:p>
    <w:p>
      <w:pPr>
        <w:spacing w:after="120"/>
        <w:jc w:val="left"/>
      </w:pPr>
      <w:r>
        <w:rPr>
          <w:rFonts w:ascii="Arial" w:cs="Arial" w:eastAsia="Arial" w:hAnsi="Arial"/>
          <w:color w:val="333333"/>
          <w:sz w:val="20"/>
          <w:szCs w:val="20"/>
        </w:rPr>
        <w:t xml:space="preserve">8点: 11件 (18.3%)</w:t>
      </w:r>
    </w:p>
    <w:p>
      <w:pPr>
        <w:spacing w:after="120"/>
        <w:jc w:val="left"/>
      </w:pPr>
      <w:r>
        <w:rPr>
          <w:rFonts w:ascii="Arial" w:cs="Arial" w:eastAsia="Arial" w:hAnsi="Arial"/>
          <w:color w:val="333333"/>
          <w:sz w:val="20"/>
          <w:szCs w:val="20"/>
        </w:rPr>
        <w:t xml:space="preserve">7点: 6件 (10.0%)</w:t>
      </w:r>
    </w:p>
    <w:p>
      <w:pPr>
        <w:spacing w:after="120"/>
        <w:jc w:val="left"/>
      </w:pPr>
      <w:r>
        <w:rPr>
          <w:rFonts w:ascii="Arial" w:cs="Arial" w:eastAsia="Arial" w:hAnsi="Arial"/>
          <w:color w:val="333333"/>
          <w:sz w:val="20"/>
          <w:szCs w:val="20"/>
        </w:rPr>
        <w:t xml:space="preserve">6点: 5件 (8.3%)</w:t>
      </w:r>
    </w:p>
    <w:p/>
    <w:p>
      <w:pPr>
        <w:pStyle w:val="Heading1"/>
        <w:spacing w:after="120" w:before="240"/>
      </w:pPr>
      <w:r>
        <w:rPr>
          <w:rFonts w:ascii="Arial" w:cs="Arial" w:eastAsia="Arial" w:hAnsi="Arial"/>
          <w:b/>
          <w:bCs/>
          <w:color w:val="1B3A5C"/>
          <w:sz w:val="28"/>
          <w:szCs w:val="28"/>
        </w:rPr>
        <w:t xml:space="preserve">第5章 口コミコメント（抜粋）</w:t>
      </w:r>
    </w:p>
    <w:p>
      <w:pPr>
        <w:spacing w:after="80"/>
      </w:pPr>
      <w:r>
        <w:rPr>
          <w:rFonts w:ascii="Arial" w:cs="Arial" w:eastAsia="Arial" w:hAnsi="Arial"/>
          <w:b/>
          <w:bCs/>
          <w:sz w:val="18"/>
          <w:szCs w:val="18"/>
        </w:rPr>
        <w:t xml:space="preserve">[Trip.com 2026-03-25] 10.0点 </w:t>
      </w:r>
      <w:r>
        <w:rPr>
          <w:rFonts w:ascii="Arial" w:cs="Arial" w:eastAsia="Arial" w:hAnsi="Arial"/>
          <w:sz w:val="18"/>
          <w:szCs w:val="18"/>
        </w:rPr>
        <w:t xml:space="preserve">とても清潔</w:t>
      </w:r>
    </w:p>
    <w:p>
      <w:pPr>
        <w:spacing w:after="80"/>
      </w:pPr>
      <w:r>
        <w:rPr>
          <w:rFonts w:ascii="Arial" w:cs="Arial" w:eastAsia="Arial" w:hAnsi="Arial"/>
          <w:b/>
          <w:bCs/>
          <w:sz w:val="18"/>
          <w:szCs w:val="18"/>
        </w:rPr>
        <w:t xml:space="preserve">[Booking.com 2026-03-25] 10.0点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[Booking.com 2026-03-23] 7.0点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[Booking.com 2026-03-22] 10.0点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[Booking.com 2026-03-21] 10.0点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[じゃらん 2026-03-19] 6.0点 </w:t>
      </w:r>
      <w:r>
        <w:rPr>
          <w:rFonts w:ascii="Arial" w:cs="Arial" w:eastAsia="Arial" w:hAnsi="Arial"/>
          <w:sz w:val="18"/>
          <w:szCs w:val="18"/>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にしています。</w:t>
      </w:r>
    </w:p>
    <w:p>
      <w:pPr>
        <w:spacing w:after="80"/>
      </w:pPr>
      <w:r>
        <w:rPr>
          <w:rFonts w:ascii="Arial" w:cs="Arial" w:eastAsia="Arial" w:hAnsi="Arial"/>
          <w:b/>
          <w:bCs/>
          <w:sz w:val="18"/>
          <w:szCs w:val="18"/>
        </w:rPr>
        <w:t xml:space="preserve">[Booking.com 2026-03-18] 7.0点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[Booking.com 2026-03-18] 10.0点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[Agoda 2026-03-17] 8.0点 </w:t>
      </w:r>
      <w:r>
        <w:rPr>
          <w:rFonts w:ascii="Arial" w:cs="Arial" w:eastAsia="Arial" w:hAnsi="Arial"/>
          <w:sz w:val="18"/>
          <w:szCs w:val="18"/>
        </w:rPr>
        <w:t xml:space="preserve">清潔感のある過ごしやすい環境を提供しているホテルでした。 大崎駅直ぐという立地やアクセスしやすいのが便利です。</w:t>
      </w:r>
    </w:p>
    <w:p>
      <w:pPr>
        <w:spacing w:after="80"/>
      </w:pPr>
      <w:r>
        <w:rPr>
          <w:rFonts w:ascii="Arial" w:cs="Arial" w:eastAsia="Arial" w:hAnsi="Arial"/>
          <w:b/>
          <w:bCs/>
          <w:sz w:val="18"/>
          <w:szCs w:val="18"/>
        </w:rPr>
        <w:t xml:space="preserve">[Trip.com 2026-03-15] 10.0点 </w:t>
      </w:r>
      <w:r>
        <w:rPr>
          <w:rFonts w:ascii="Arial" w:cs="Arial" w:eastAsia="Arial" w:hAnsi="Arial"/>
          <w:sz w:val="18"/>
          <w:szCs w:val="18"/>
        </w:rPr>
        <w:t xml:space="preserve">このホテル、すごく気に入りました！値段も手頃だし、立地も便利。絶対にまた泊まりたいです！</w:t>
      </w:r>
    </w:p>
    <w:p/>
    <w:p>
      <w:pPr>
        <w:pStyle w:val="Heading1"/>
        <w:spacing w:after="120" w:before="240"/>
      </w:pPr>
      <w:r>
        <w:rPr>
          <w:rFonts w:ascii="Arial" w:cs="Arial" w:eastAsia="Arial" w:hAnsi="Arial"/>
          <w:b/>
          <w:bCs/>
          <w:color w:val="1B3A5C"/>
          <w:sz w:val="28"/>
          <w:szCs w:val="28"/>
        </w:rPr>
        <w:t xml:space="preserve">第6章 改善提案</w:t>
      </w:r>
    </w:p>
    <w:p>
      <w:pPr>
        <w:spacing w:after="120"/>
        <w:jc w:val="left"/>
      </w:pPr>
      <w:r>
        <w:rPr>
          <w:rFonts w:ascii="Arial" w:cs="Arial" w:eastAsia="Arial" w:hAnsi="Arial"/>
          <w:color w:val="333333"/>
          <w:sz w:val="20"/>
          <w:szCs w:val="20"/>
        </w:rPr>
        <w:t xml:space="preserve">以下の改善施策を推奨します。</w:t>
      </w:r>
    </w:p>
    <w:p>
      <w:pPr>
        <w:spacing w:after="120"/>
        <w:jc w:val="left"/>
      </w:pPr>
      <w:r>
        <w:rPr>
          <w:rFonts w:ascii="Arial" w:cs="Arial" w:eastAsia="Arial" w:hAnsi="Arial"/>
          <w:color w:val="333333"/>
          <w:sz w:val="20"/>
          <w:szCs w:val="20"/>
        </w:rPr>
        <w:t xml:space="preserve">1. 高評価を獲得している強みをさらに磨き、差別化要素として対外発信を強化する。</w:t>
      </w:r>
    </w:p>
    <w:p>
      <w:pPr>
        <w:spacing w:after="120"/>
        <w:jc w:val="left"/>
      </w:pPr>
      <w:r>
        <w:rPr>
          <w:rFonts w:ascii="Arial" w:cs="Arial" w:eastAsia="Arial" w:hAnsi="Arial"/>
          <w:color w:val="333333"/>
          <w:sz w:val="20"/>
          <w:szCs w:val="20"/>
        </w:rPr>
        <w:t xml:space="preserve">2. 低評価・改善コメントに対し迅速に対応し、リピート率向上を目指す。</w:t>
      </w:r>
    </w:p>
    <w:p>
      <w:pPr>
        <w:spacing w:after="120"/>
        <w:jc w:val="left"/>
      </w:pPr>
      <w:r>
        <w:rPr>
          <w:rFonts w:ascii="Arial" w:cs="Arial" w:eastAsia="Arial" w:hAnsi="Arial"/>
          <w:color w:val="333333"/>
          <w:sz w:val="20"/>
          <w:szCs w:val="20"/>
        </w:rPr>
        <w:t xml:space="preserve">3. 口コミ投稿促進施策を実施し、レビュー数の増加を図る。</w:t>
      </w:r>
    </w:p>
    <w:p/>
    <w:p>
      <w:pPr>
        <w:pStyle w:val="Heading1"/>
        <w:spacing w:after="120" w:before="240"/>
      </w:pPr>
      <w:r>
        <w:rPr>
          <w:rFonts w:ascii="Arial" w:cs="Arial" w:eastAsia="Arial" w:hAnsi="Arial"/>
          <w:b/>
          <w:bCs/>
          <w:color w:val="1B3A5C"/>
          <w:sz w:val="28"/>
          <w:szCs w:val="28"/>
        </w:rPr>
        <w:t xml:space="preserve">第7章 まとめ</w:t>
      </w:r>
    </w:p>
    <w:p>
      <w:pPr>
        <w:spacing w:after="120"/>
        <w:jc w:val="left"/>
      </w:pPr>
      <w:r>
        <w:rPr>
          <w:rFonts w:ascii="Arial" w:cs="Arial" w:eastAsia="Arial" w:hAnsi="Arial"/>
          <w:color w:val="333333"/>
          <w:sz w:val="20"/>
          <w:szCs w:val="20"/>
        </w:rPr>
        <w:t xml:space="preserve">ダイワロイネットホテル東京大崎は平均8.87点と高水準を維持しています。継続的な口コミモニタリングと改善活動を通じて、さらなる顧客満足度向上を目指してください。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2026-03-29T07:29:15.044Z</dcterms:created>
  <dcterms:modified xsi:type="dcterms:W3CDTF">2026-03-29T07:29:15.044Z</dcterms:modified>
</cp:coreProperties>
</file>

<file path=docProps/custom.xml><?xml version="1.0" encoding="utf-8"?>
<Properties xmlns="http://schemas.openxmlformats.org/officeDocument/2006/custom-properties" xmlns:vt="http://schemas.openxmlformats.org/officeDocument/2006/docPropsVTypes"/>
</file>