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46.3%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6.52点（10pt換算）、高評価率46.3%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2026-04-04T23:30:15.271Z</dcterms:created>
  <dcterms:modified xsi:type="dcterms:W3CDTF">2026-04-04T23:30:15.271Z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