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8.00点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66.7%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66.7%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8.00点（10pt換算）、高評価率66.7%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2026-04-06T23:33:23.488Z</dcterms:created>
  <dcterms:modified xsi:type="dcterms:W3CDTF">2026-04-06T23:33:23.488Z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