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581F" w14:textId="77777777" w:rsidR="00B227B1" w:rsidRDefault="00F813E7">
      <w:pPr>
        <w:spacing w:before="560"/>
      </w:pPr>
      <w:r>
        <w:rPr>
          <w:b/>
          <w:color w:val="2E75B6"/>
          <w:sz w:val="22"/>
        </w:rPr>
        <w:t>TRAVAUX PRATIQUES</w:t>
      </w:r>
    </w:p>
    <w:p w14:paraId="73D56377" w14:textId="013F1AE4" w:rsidR="00B227B1" w:rsidRDefault="00F813E7">
      <w:pPr>
        <w:pStyle w:val="Titre"/>
      </w:pPr>
      <w:r>
        <w:t>ETL et aide à la décision</w:t>
      </w:r>
    </w:p>
    <w:p w14:paraId="5C55D400" w14:textId="77777777" w:rsidR="00B227B1" w:rsidRDefault="00F813E7">
      <w:pPr>
        <w:pStyle w:val="Sous-titre"/>
      </w:pPr>
      <w:r>
        <w:t>Fil rouge : transition énergétique de Novaria dans Power BI</w:t>
      </w:r>
    </w:p>
    <w:p w14:paraId="63B2E2EF" w14:textId="77777777" w:rsidR="00B227B1" w:rsidRDefault="00F813E7">
      <w:pPr>
        <w:spacing w:after="80"/>
      </w:pPr>
      <w:r>
        <w:rPr>
          <w:b/>
          <w:color w:val="17365D"/>
        </w:rPr>
        <w:t xml:space="preserve">But final </w:t>
      </w:r>
      <w:r>
        <w:t>Partir de quatre sources hétérogènes, construire un modèle fiable puis montrer comment quatre rapports successifs font évoluer une décision de rénovation.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C654ED" w14:paraId="48B9D097" w14:textId="77777777" w:rsidTr="002C2C8E">
        <w:trPr>
          <w:jc w:val="center"/>
        </w:trPr>
        <w:tc>
          <w:tcPr>
            <w:tcW w:w="1584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2610CE" w14:textId="77777777" w:rsidR="00C654ED" w:rsidRDefault="00C654ED" w:rsidP="002C2C8E">
            <w:pPr>
              <w:spacing w:after="0"/>
            </w:pPr>
            <w:r>
              <w:rPr>
                <w:b/>
                <w:color w:val="FFFFFF"/>
                <w:sz w:val="17"/>
              </w:rPr>
              <w:t>TP</w:t>
            </w:r>
          </w:p>
        </w:tc>
        <w:tc>
          <w:tcPr>
            <w:tcW w:w="7776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5FA7EC" w14:textId="77777777" w:rsidR="00C654ED" w:rsidRDefault="00C654ED" w:rsidP="002C2C8E">
            <w:pPr>
              <w:spacing w:after="0"/>
            </w:pPr>
            <w:r>
              <w:rPr>
                <w:b/>
                <w:color w:val="FFFFFF"/>
                <w:sz w:val="17"/>
              </w:rPr>
              <w:t>Production</w:t>
            </w:r>
          </w:p>
        </w:tc>
      </w:tr>
      <w:tr w:rsidR="00C654ED" w14:paraId="066F4FD0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84121D" w14:textId="77777777" w:rsidR="00C654ED" w:rsidRDefault="00C654ED" w:rsidP="002C2C8E">
            <w:pPr>
              <w:spacing w:after="0"/>
            </w:pPr>
            <w:r w:rsidRPr="00A63A25">
              <w:t>1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B7B389" w14:textId="77777777" w:rsidR="00C654ED" w:rsidRDefault="00C654ED" w:rsidP="002C2C8E">
            <w:pPr>
              <w:spacing w:after="0"/>
            </w:pPr>
            <w:r w:rsidRPr="00A63A25">
              <w:t>Connexion des quatre sources</w:t>
            </w:r>
          </w:p>
        </w:tc>
      </w:tr>
      <w:tr w:rsidR="00C654ED" w14:paraId="44FC73AE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558526" w14:textId="77777777" w:rsidR="00C654ED" w:rsidRDefault="00C654ED" w:rsidP="002C2C8E">
            <w:pPr>
              <w:spacing w:after="0"/>
            </w:pPr>
            <w:r w:rsidRPr="00A63A25">
              <w:t>2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E1F18D" w14:textId="77777777" w:rsidR="00C654ED" w:rsidRDefault="00C654ED" w:rsidP="002C2C8E">
            <w:pPr>
              <w:spacing w:after="0"/>
            </w:pPr>
            <w:r w:rsidRPr="00A63A25">
              <w:t>Contrôle, nettoyage, transformation et combinaison</w:t>
            </w:r>
          </w:p>
        </w:tc>
      </w:tr>
      <w:tr w:rsidR="00C654ED" w14:paraId="5D832CC2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EEC2AA" w14:textId="77777777" w:rsidR="00C654ED" w:rsidRDefault="00C654ED" w:rsidP="002C2C8E">
            <w:pPr>
              <w:spacing w:after="0"/>
            </w:pPr>
            <w:r>
              <w:t>3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AEAF2E" w14:textId="77777777" w:rsidR="00C654ED" w:rsidRDefault="00C654ED" w:rsidP="002C2C8E">
            <w:pPr>
              <w:spacing w:after="0"/>
            </w:pPr>
            <w:r w:rsidRPr="00A63A25">
              <w:t>Modèle en étoile et mesures</w:t>
            </w:r>
          </w:p>
        </w:tc>
      </w:tr>
      <w:tr w:rsidR="00C654ED" w14:paraId="414D27CC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58FF66" w14:textId="77777777" w:rsidR="00C654ED" w:rsidRDefault="00C654ED" w:rsidP="002C2C8E">
            <w:pPr>
              <w:spacing w:after="0"/>
            </w:pPr>
            <w:r>
              <w:t>4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4A9544" w14:textId="77777777" w:rsidR="00C654ED" w:rsidRDefault="00C654ED" w:rsidP="002C2C8E">
            <w:r>
              <w:t>Modèle en étoile, colonne calculée et mesures</w:t>
            </w:r>
          </w:p>
        </w:tc>
      </w:tr>
      <w:tr w:rsidR="00C654ED" w14:paraId="295D032E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FC8BA2" w14:textId="77777777" w:rsidR="00C654ED" w:rsidRDefault="00C654ED" w:rsidP="002C2C8E">
            <w:pPr>
              <w:spacing w:after="0"/>
            </w:pPr>
            <w:r>
              <w:t>5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85AD7A" w14:textId="77777777" w:rsidR="00C654ED" w:rsidRDefault="00C654ED" w:rsidP="002C2C8E">
            <w:pPr>
              <w:spacing w:after="0"/>
            </w:pPr>
            <w:r w:rsidRPr="00A63A25">
              <w:t>Climat et consommation — décision révisée</w:t>
            </w:r>
          </w:p>
        </w:tc>
      </w:tr>
      <w:tr w:rsidR="00C654ED" w14:paraId="18E6B11A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4FB7BA" w14:textId="77777777" w:rsidR="00C654ED" w:rsidRDefault="00C654ED" w:rsidP="002C2C8E">
            <w:pPr>
              <w:spacing w:after="0"/>
            </w:pPr>
            <w:r>
              <w:t>6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48475E" w14:textId="77777777" w:rsidR="00C654ED" w:rsidRDefault="00C654ED" w:rsidP="002C2C8E">
            <w:pPr>
              <w:spacing w:after="0"/>
            </w:pPr>
            <w:r w:rsidRPr="00A63A25">
              <w:t>Coûts et tarifs — arbitrage budgétaire</w:t>
            </w:r>
          </w:p>
        </w:tc>
      </w:tr>
      <w:tr w:rsidR="00C654ED" w14:paraId="5BF22FC6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24DEA7" w14:textId="77777777" w:rsidR="00C654ED" w:rsidRDefault="00C654ED" w:rsidP="002C2C8E">
            <w:pPr>
              <w:spacing w:after="0"/>
            </w:pPr>
            <w:r>
              <w:t>7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7E8CF3" w14:textId="77777777" w:rsidR="00C654ED" w:rsidRDefault="00C654ED" w:rsidP="002C2C8E">
            <w:pPr>
              <w:spacing w:after="0"/>
            </w:pPr>
            <w:r w:rsidRPr="00A63A25">
              <w:t>Priorités de rénovation — décision finale</w:t>
            </w:r>
          </w:p>
        </w:tc>
      </w:tr>
    </w:tbl>
    <w:p w14:paraId="00A4C217" w14:textId="77777777" w:rsidR="00B227B1" w:rsidRDefault="00F813E7">
      <w:r>
        <w:br w:type="page"/>
      </w:r>
    </w:p>
    <w:p w14:paraId="2749FEA7" w14:textId="77777777" w:rsidR="00B227B1" w:rsidRDefault="00F813E7">
      <w:pPr>
        <w:pStyle w:val="Titre1"/>
      </w:pPr>
      <w:r>
        <w:lastRenderedPageBreak/>
        <w:t>TP 10 — Rapport 3 — Coûts et exposition tarifaire</w:t>
      </w:r>
    </w:p>
    <w:p w14:paraId="5CBB1439" w14:textId="77777777" w:rsidR="00B227B1" w:rsidRDefault="00F813E7">
      <w:pPr>
        <w:spacing w:after="80"/>
      </w:pPr>
      <w:r>
        <w:rPr>
          <w:b/>
          <w:color w:val="17365D"/>
        </w:rPr>
        <w:t xml:space="preserve">Cadre </w:t>
      </w:r>
      <w:r>
        <w:t>Une priorité énergétique n’est pas nécessairement la meilleure priorité budgétaire : les énergies et tarifs n’ont pas le même impact.</w:t>
      </w:r>
    </w:p>
    <w:p w14:paraId="1003BA75" w14:textId="77777777" w:rsidR="00B227B1" w:rsidRDefault="00F813E7">
      <w:pPr>
        <w:spacing w:after="80"/>
      </w:pPr>
      <w:r>
        <w:rPr>
          <w:b/>
          <w:color w:val="C55A11"/>
        </w:rPr>
        <w:t xml:space="preserve">Objectif en 1 h 30 </w:t>
      </w:r>
      <w:r>
        <w:t>Créer la page Coûts, puis faire évoluer la décision selon l’enjeu financier.</w:t>
      </w:r>
    </w:p>
    <w:p w14:paraId="7A14D59E" w14:textId="77777777" w:rsidR="00B227B1" w:rsidRDefault="00F813E7">
      <w:pPr>
        <w:spacing w:after="80"/>
      </w:pPr>
      <w:r>
        <w:rPr>
          <w:b/>
          <w:color w:val="548235"/>
        </w:rPr>
        <w:t xml:space="preserve">Données </w:t>
      </w:r>
      <w:r>
        <w:t>FactEnergie, DimEnergie, Int_Tarifs et mesures de coût</w:t>
      </w:r>
    </w:p>
    <w:p w14:paraId="0C541AAB" w14:textId="77777777" w:rsidR="00B227B1" w:rsidRDefault="00F813E7">
      <w:pPr>
        <w:pStyle w:val="Titre2"/>
      </w:pPr>
      <w:r>
        <w:t>Répartition des 90 minutes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7920"/>
      </w:tblGrid>
      <w:tr w:rsidR="00B227B1" w14:paraId="13264542" w14:textId="77777777">
        <w:trPr>
          <w:jc w:val="center"/>
        </w:trPr>
        <w:tc>
          <w:tcPr>
            <w:tcW w:w="1440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8FC6CD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Temps</w:t>
            </w:r>
          </w:p>
        </w:tc>
        <w:tc>
          <w:tcPr>
            <w:tcW w:w="7920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CA4E2F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B227B1" w14:paraId="61F46E27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BA2D5" w14:textId="77777777" w:rsidR="00B227B1" w:rsidRDefault="00F813E7">
            <w:pPr>
              <w:spacing w:after="0"/>
            </w:pPr>
            <w:r>
              <w:rPr>
                <w:sz w:val="17"/>
              </w:rPr>
              <w:t>10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E2A584" w14:textId="77777777" w:rsidR="00B227B1" w:rsidRDefault="00F813E7">
            <w:pPr>
              <w:spacing w:after="0"/>
            </w:pPr>
            <w:r>
              <w:rPr>
                <w:sz w:val="17"/>
              </w:rPr>
              <w:t>Créer les mesures de coût.</w:t>
            </w:r>
          </w:p>
        </w:tc>
      </w:tr>
      <w:tr w:rsidR="00B227B1" w14:paraId="072E7E6A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32A6A8" w14:textId="77777777" w:rsidR="00B227B1" w:rsidRDefault="00F813E7">
            <w:pPr>
              <w:spacing w:after="0"/>
            </w:pPr>
            <w:r>
              <w:rPr>
                <w:sz w:val="17"/>
              </w:rPr>
              <w:t>20 min</w:t>
            </w:r>
          </w:p>
        </w:tc>
        <w:tc>
          <w:tcPr>
            <w:tcW w:w="792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3068BA" w14:textId="77777777" w:rsidR="00B227B1" w:rsidRDefault="00F813E7">
            <w:pPr>
              <w:spacing w:after="0"/>
            </w:pPr>
            <w:r>
              <w:rPr>
                <w:sz w:val="17"/>
              </w:rPr>
              <w:t>Tracer l’évolution tarifaire.</w:t>
            </w:r>
          </w:p>
        </w:tc>
      </w:tr>
      <w:tr w:rsidR="00B227B1" w14:paraId="60CE428A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B46FFE" w14:textId="77777777" w:rsidR="00B227B1" w:rsidRDefault="00F813E7">
            <w:pPr>
              <w:spacing w:after="0"/>
            </w:pPr>
            <w:r>
              <w:rPr>
                <w:sz w:val="17"/>
              </w:rPr>
              <w:t>25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3921B1" w14:textId="77777777" w:rsidR="00B227B1" w:rsidRDefault="00F813E7">
            <w:pPr>
              <w:spacing w:after="0"/>
            </w:pPr>
            <w:r>
              <w:rPr>
                <w:sz w:val="17"/>
              </w:rPr>
              <w:t>Analyser les contributions.</w:t>
            </w:r>
          </w:p>
        </w:tc>
      </w:tr>
      <w:tr w:rsidR="00B227B1" w14:paraId="54D1F552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DB8DA9" w14:textId="77777777" w:rsidR="00B227B1" w:rsidRDefault="00F813E7">
            <w:pPr>
              <w:spacing w:after="0"/>
            </w:pPr>
            <w:r>
              <w:rPr>
                <w:sz w:val="17"/>
              </w:rPr>
              <w:t>20 min</w:t>
            </w:r>
          </w:p>
        </w:tc>
        <w:tc>
          <w:tcPr>
            <w:tcW w:w="792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D66AF3" w14:textId="77777777" w:rsidR="00B227B1" w:rsidRDefault="00F813E7">
            <w:pPr>
              <w:spacing w:after="0"/>
            </w:pPr>
            <w:r>
              <w:rPr>
                <w:sz w:val="17"/>
              </w:rPr>
              <w:t>Classer les bâtiments.</w:t>
            </w:r>
          </w:p>
        </w:tc>
      </w:tr>
      <w:tr w:rsidR="00B227B1" w14:paraId="1FDB53D2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BD2D2C" w14:textId="77777777" w:rsidR="00B227B1" w:rsidRDefault="00F813E7">
            <w:pPr>
              <w:spacing w:after="0"/>
            </w:pPr>
            <w:r>
              <w:rPr>
                <w:sz w:val="17"/>
              </w:rPr>
              <w:t>15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7AB76B" w14:textId="77777777" w:rsidR="00B227B1" w:rsidRDefault="00F813E7">
            <w:pPr>
              <w:spacing w:after="0"/>
            </w:pPr>
            <w:r>
              <w:rPr>
                <w:sz w:val="17"/>
              </w:rPr>
              <w:t>Réviser la décision.</w:t>
            </w:r>
          </w:p>
        </w:tc>
      </w:tr>
    </w:tbl>
    <w:p w14:paraId="3C2B71DC" w14:textId="77777777" w:rsidR="00B227B1" w:rsidRDefault="00F813E7">
      <w:pPr>
        <w:pStyle w:val="Titre2"/>
      </w:pPr>
      <w:r>
        <w:t>Étapes</w:t>
      </w:r>
    </w:p>
    <w:p w14:paraId="69BBE534" w14:textId="77777777" w:rsidR="00B227B1" w:rsidRDefault="00F813E7">
      <w:pPr>
        <w:pStyle w:val="Listenumros"/>
        <w:spacing w:after="80"/>
      </w:pPr>
      <w:r>
        <w:rPr>
          <w:b/>
        </w:rPr>
        <w:t xml:space="preserve">Créer les mesures — </w:t>
      </w:r>
      <w:r>
        <w:t>Créer coût recalculé, coût moyen par kWh, écart coût source/recalculé et variation de coût N-1.</w:t>
      </w:r>
    </w:p>
    <w:p w14:paraId="6854E563" w14:textId="77777777" w:rsidR="00B227B1" w:rsidRDefault="00F813E7">
      <w:pPr>
        <w:pStyle w:val="Listenumros"/>
        <w:spacing w:after="80"/>
      </w:pPr>
      <w:r>
        <w:rPr>
          <w:b/>
        </w:rPr>
        <w:t xml:space="preserve">Créer la page — </w:t>
      </w:r>
      <w:r>
        <w:t>Nommer 3 - Coûts et tarifs et reprendre Année, Quartier et Énergie.</w:t>
      </w:r>
    </w:p>
    <w:p w14:paraId="1BF0FD94" w14:textId="77777777" w:rsidR="00B227B1" w:rsidRDefault="00F813E7">
      <w:pPr>
        <w:pStyle w:val="Listenumros"/>
        <w:spacing w:after="80"/>
      </w:pPr>
      <w:r>
        <w:rPr>
          <w:b/>
        </w:rPr>
        <w:t xml:space="preserve">Tracer les tarifs — </w:t>
      </w:r>
      <w:r>
        <w:t>Créer une courbe DateEffet / prix du kWh par énergie. Utiliser une valeur non sommée ou une mesure appropriée ; ne jamais sommer un tarif.</w:t>
      </w:r>
    </w:p>
    <w:p w14:paraId="073CDEDA" w14:textId="77777777" w:rsidR="00B227B1" w:rsidRDefault="00F813E7">
      <w:pPr>
        <w:pStyle w:val="Listenumros"/>
        <w:spacing w:after="80"/>
      </w:pPr>
      <w:r>
        <w:rPr>
          <w:b/>
        </w:rPr>
        <w:t xml:space="preserve">Montrer la contribution — </w:t>
      </w:r>
      <w:r>
        <w:t>Créer un histogramme empilé du coût total par énergie et année.</w:t>
      </w:r>
    </w:p>
    <w:p w14:paraId="453DFAA1" w14:textId="77777777" w:rsidR="00B227B1" w:rsidRDefault="00F813E7">
      <w:pPr>
        <w:pStyle w:val="Listenumros"/>
        <w:spacing w:after="80"/>
      </w:pPr>
      <w:r>
        <w:rPr>
          <w:b/>
        </w:rPr>
        <w:t xml:space="preserve">Créer le Top 10 coûts — </w:t>
      </w:r>
      <w:r>
        <w:t>Classer les bâtiments par coût total. Ajouter consommation, coût moyen/kWh, énergie dominante et variation en info-bulle.</w:t>
      </w:r>
    </w:p>
    <w:p w14:paraId="75C4DD7C" w14:textId="77777777" w:rsidR="00B227B1" w:rsidRDefault="00F813E7">
      <w:pPr>
        <w:pStyle w:val="Listenumros"/>
        <w:spacing w:after="80"/>
      </w:pPr>
      <w:r>
        <w:rPr>
          <w:b/>
        </w:rPr>
        <w:t xml:space="preserve">Comparer les classements — </w:t>
      </w:r>
      <w:r>
        <w:t>Mettre côte à côte les priorités du TP 9 et le Top 10 coûts. Repérer les bâtiments qui montent ou descendent.</w:t>
      </w:r>
    </w:p>
    <w:p w14:paraId="1C71C693" w14:textId="77777777" w:rsidR="00B227B1" w:rsidRDefault="00F813E7">
      <w:pPr>
        <w:pStyle w:val="Listenumros"/>
        <w:spacing w:after="80"/>
      </w:pPr>
      <w:r>
        <w:rPr>
          <w:b/>
        </w:rPr>
        <w:t xml:space="preserve">Tester un scénario — </w:t>
      </w:r>
      <w:r>
        <w:t>Filtrer une énergie dont le tarif augmente et observer les bâtiments les plus exposés.</w:t>
      </w:r>
    </w:p>
    <w:p w14:paraId="53DBB7DD" w14:textId="77777777" w:rsidR="00B227B1" w:rsidRDefault="00F813E7">
      <w:pPr>
        <w:pStyle w:val="Listenumros"/>
        <w:spacing w:after="80"/>
      </w:pPr>
      <w:r>
        <w:rPr>
          <w:b/>
        </w:rPr>
        <w:t xml:space="preserve">Décider à ce stade — </w:t>
      </w:r>
      <w:r>
        <w:t>Écrire : « Avec la contrainte budgétaire, nous concentrerions l’analyse sur… » puis expliquer au moins un changement par rapport au TP 9.</w:t>
      </w:r>
    </w:p>
    <w:p w14:paraId="2F29778C" w14:textId="77777777" w:rsidR="00B227B1" w:rsidRDefault="00F813E7">
      <w:pPr>
        <w:pStyle w:val="Titre2"/>
      </w:pPr>
      <w:r>
        <w:t>Décision révisée 3</w:t>
      </w:r>
    </w:p>
    <w:p w14:paraId="64DBFCAA" w14:textId="77777777" w:rsidR="00B227B1" w:rsidRDefault="00F813E7">
      <w:pPr>
        <w:spacing w:after="80"/>
      </w:pPr>
      <w:r>
        <w:rPr>
          <w:b/>
          <w:color w:val="C55A11"/>
        </w:rPr>
        <w:t xml:space="preserve">À ce stade </w:t>
      </w:r>
      <w:r>
        <w:t>Prioriser les bâtiments combinant mauvaise performance et coût évitable élevé ; surveiller séparément ceux exposés à une hausse tarifaire.</w:t>
      </w:r>
    </w:p>
    <w:p w14:paraId="6678F88C" w14:textId="77777777" w:rsidR="00B227B1" w:rsidRDefault="00F813E7">
      <w:pPr>
        <w:pStyle w:val="Titre2"/>
      </w:pPr>
      <w:r>
        <w:t>Résultat attendu</w:t>
      </w:r>
    </w:p>
    <w:p w14:paraId="49E3F730" w14:textId="77777777" w:rsidR="00B227B1" w:rsidRDefault="00F813E7">
      <w:pPr>
        <w:spacing w:after="80"/>
      </w:pPr>
      <w:r>
        <w:rPr>
          <w:b/>
          <w:color w:val="548235"/>
        </w:rPr>
        <w:t xml:space="preserve"> </w:t>
      </w:r>
      <w:r>
        <w:t>Une page Coûts et tarifs et une troisième décision intégrant l’exposition financière.</w:t>
      </w:r>
    </w:p>
    <w:p w14:paraId="498ECE98" w14:textId="77777777" w:rsidR="00B227B1" w:rsidRDefault="00F813E7">
      <w:pPr>
        <w:pStyle w:val="Listepuces"/>
        <w:spacing w:after="40"/>
      </w:pPr>
      <w:r>
        <w:t>Le prix du kWh n’est pas additionné.</w:t>
      </w:r>
    </w:p>
    <w:p w14:paraId="0698751D" w14:textId="77777777" w:rsidR="00B227B1" w:rsidRDefault="00F813E7">
      <w:pPr>
        <w:pStyle w:val="Listepuces"/>
        <w:spacing w:after="40"/>
      </w:pPr>
      <w:r>
        <w:t>Coût et consommation ne sont pas confondus.</w:t>
      </w:r>
    </w:p>
    <w:p w14:paraId="21D18F7C" w14:textId="77777777" w:rsidR="00B227B1" w:rsidRDefault="00F813E7">
      <w:pPr>
        <w:pStyle w:val="Listepuces"/>
        <w:spacing w:after="40"/>
      </w:pPr>
      <w:r>
        <w:t>Les écarts de calcul sont visibles.</w:t>
      </w:r>
    </w:p>
    <w:p w14:paraId="7F7A597E" w14:textId="77777777" w:rsidR="00B227B1" w:rsidRDefault="00F813E7">
      <w:pPr>
        <w:pStyle w:val="Listepuces"/>
        <w:spacing w:after="40"/>
      </w:pPr>
      <w:r>
        <w:t>La décision relie énergie, tarif et bâtiment.</w:t>
      </w:r>
    </w:p>
    <w:p w14:paraId="13C821A0" w14:textId="241A2503" w:rsidR="00B227B1" w:rsidRDefault="00B227B1"/>
    <w:sectPr w:rsidR="00B227B1" w:rsidSect="00034616">
      <w:headerReference w:type="default" r:id="rId8"/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9DE86" w14:textId="77777777" w:rsidR="00B51C98" w:rsidRDefault="00B51C98">
      <w:pPr>
        <w:spacing w:after="0" w:line="240" w:lineRule="auto"/>
      </w:pPr>
      <w:r>
        <w:separator/>
      </w:r>
    </w:p>
  </w:endnote>
  <w:endnote w:type="continuationSeparator" w:id="0">
    <w:p w14:paraId="7170B9E6" w14:textId="77777777" w:rsidR="00B51C98" w:rsidRDefault="00B51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048BE" w14:textId="77777777" w:rsidR="00B227B1" w:rsidRDefault="00F813E7">
    <w:pPr>
      <w:pStyle w:val="Pieddepage"/>
      <w:jc w:val="center"/>
    </w:pPr>
    <w:r>
      <w:rPr>
        <w:color w:val="666666"/>
        <w:sz w:val="16"/>
      </w:rPr>
      <w:t>Novaria DataLab — Travaux pratiques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07E98" w14:textId="77777777" w:rsidR="00B51C98" w:rsidRDefault="00B51C98">
      <w:pPr>
        <w:spacing w:after="0" w:line="240" w:lineRule="auto"/>
      </w:pPr>
      <w:r>
        <w:separator/>
      </w:r>
    </w:p>
  </w:footnote>
  <w:footnote w:type="continuationSeparator" w:id="0">
    <w:p w14:paraId="1E706013" w14:textId="77777777" w:rsidR="00B51C98" w:rsidRDefault="00B51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31BF7" w14:textId="77777777" w:rsidR="00B227B1" w:rsidRDefault="00F813E7">
    <w:pPr>
      <w:pStyle w:val="En-tte"/>
      <w:jc w:val="right"/>
    </w:pPr>
    <w:r>
      <w:rPr>
        <w:color w:val="666666"/>
        <w:sz w:val="16"/>
      </w:rPr>
      <w:t>RNCP39765BC05FM02  |  Processus ETL et intégration de données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D943CD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47CA3"/>
    <w:multiLevelType w:val="multilevel"/>
    <w:tmpl w:val="8352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143725"/>
    <w:multiLevelType w:val="multilevel"/>
    <w:tmpl w:val="A2B0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F439E8"/>
    <w:multiLevelType w:val="multilevel"/>
    <w:tmpl w:val="4C8E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F744D"/>
    <w:multiLevelType w:val="hybridMultilevel"/>
    <w:tmpl w:val="F416A5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DF672A"/>
    <w:multiLevelType w:val="multilevel"/>
    <w:tmpl w:val="F19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178DC"/>
    <w:multiLevelType w:val="multilevel"/>
    <w:tmpl w:val="E1E252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CB638F"/>
    <w:multiLevelType w:val="hybridMultilevel"/>
    <w:tmpl w:val="419666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8145C1"/>
    <w:multiLevelType w:val="multilevel"/>
    <w:tmpl w:val="898080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BC39AA"/>
    <w:multiLevelType w:val="multilevel"/>
    <w:tmpl w:val="EA3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961D16"/>
    <w:multiLevelType w:val="multilevel"/>
    <w:tmpl w:val="07E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94F56"/>
    <w:multiLevelType w:val="multilevel"/>
    <w:tmpl w:val="B074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8A3100"/>
    <w:multiLevelType w:val="multilevel"/>
    <w:tmpl w:val="285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520C5"/>
    <w:multiLevelType w:val="multilevel"/>
    <w:tmpl w:val="D1E016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777231"/>
    <w:multiLevelType w:val="hybridMultilevel"/>
    <w:tmpl w:val="0A801EA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7E7C59"/>
    <w:multiLevelType w:val="multilevel"/>
    <w:tmpl w:val="82D6E6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B462FB"/>
    <w:multiLevelType w:val="multilevel"/>
    <w:tmpl w:val="FB28E5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7D5C34"/>
    <w:multiLevelType w:val="multilevel"/>
    <w:tmpl w:val="21BEC9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718C0"/>
    <w:multiLevelType w:val="multilevel"/>
    <w:tmpl w:val="7270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35732C"/>
    <w:multiLevelType w:val="hybridMultilevel"/>
    <w:tmpl w:val="619C3CE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9B58FC"/>
    <w:multiLevelType w:val="hybridMultilevel"/>
    <w:tmpl w:val="26EA4E0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4701C86"/>
    <w:multiLevelType w:val="hybridMultilevel"/>
    <w:tmpl w:val="F4BA3D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6298C"/>
    <w:multiLevelType w:val="hybridMultilevel"/>
    <w:tmpl w:val="3F02B9C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5207CD"/>
    <w:multiLevelType w:val="multilevel"/>
    <w:tmpl w:val="DD8CF6D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47918"/>
    <w:multiLevelType w:val="hybridMultilevel"/>
    <w:tmpl w:val="C6A88E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006146"/>
    <w:multiLevelType w:val="multilevel"/>
    <w:tmpl w:val="25DE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E6492"/>
    <w:multiLevelType w:val="multilevel"/>
    <w:tmpl w:val="0D5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C5E26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A45CF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77006"/>
    <w:multiLevelType w:val="multilevel"/>
    <w:tmpl w:val="D186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D9072F"/>
    <w:multiLevelType w:val="multilevel"/>
    <w:tmpl w:val="9C9C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0A68DA"/>
    <w:multiLevelType w:val="multilevel"/>
    <w:tmpl w:val="89E6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C54E10"/>
    <w:multiLevelType w:val="hybridMultilevel"/>
    <w:tmpl w:val="F08006A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9C83EB3"/>
    <w:multiLevelType w:val="hybridMultilevel"/>
    <w:tmpl w:val="CBFC31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2F1E5A"/>
    <w:multiLevelType w:val="multilevel"/>
    <w:tmpl w:val="584A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F14C9F"/>
    <w:multiLevelType w:val="multilevel"/>
    <w:tmpl w:val="862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62975"/>
    <w:multiLevelType w:val="multilevel"/>
    <w:tmpl w:val="2A1AAB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47313A"/>
    <w:multiLevelType w:val="multilevel"/>
    <w:tmpl w:val="6658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486407">
    <w:abstractNumId w:val="8"/>
  </w:num>
  <w:num w:numId="2" w16cid:durableId="762529658">
    <w:abstractNumId w:val="6"/>
  </w:num>
  <w:num w:numId="3" w16cid:durableId="621765717">
    <w:abstractNumId w:val="5"/>
  </w:num>
  <w:num w:numId="4" w16cid:durableId="453183691">
    <w:abstractNumId w:val="4"/>
  </w:num>
  <w:num w:numId="5" w16cid:durableId="316761143">
    <w:abstractNumId w:val="7"/>
  </w:num>
  <w:num w:numId="6" w16cid:durableId="821236928">
    <w:abstractNumId w:val="3"/>
  </w:num>
  <w:num w:numId="7" w16cid:durableId="1600405696">
    <w:abstractNumId w:val="2"/>
  </w:num>
  <w:num w:numId="8" w16cid:durableId="1490825385">
    <w:abstractNumId w:val="1"/>
  </w:num>
  <w:num w:numId="9" w16cid:durableId="1501504347">
    <w:abstractNumId w:val="0"/>
  </w:num>
  <w:num w:numId="10" w16cid:durableId="711345587">
    <w:abstractNumId w:val="37"/>
  </w:num>
  <w:num w:numId="11" w16cid:durableId="1443377003">
    <w:abstractNumId w:val="32"/>
  </w:num>
  <w:num w:numId="12" w16cid:durableId="1166632212">
    <w:abstractNumId w:val="34"/>
  </w:num>
  <w:num w:numId="13" w16cid:durableId="555242354">
    <w:abstractNumId w:val="11"/>
  </w:num>
  <w:num w:numId="14" w16cid:durableId="1025907121">
    <w:abstractNumId w:val="27"/>
  </w:num>
  <w:num w:numId="15" w16cid:durableId="1040741463">
    <w:abstractNumId w:val="38"/>
  </w:num>
  <w:num w:numId="16" w16cid:durableId="992682284">
    <w:abstractNumId w:val="28"/>
  </w:num>
  <w:num w:numId="17" w16cid:durableId="2126924735">
    <w:abstractNumId w:val="17"/>
  </w:num>
  <w:num w:numId="18" w16cid:durableId="146829589">
    <w:abstractNumId w:val="20"/>
  </w:num>
  <w:num w:numId="19" w16cid:durableId="661933051">
    <w:abstractNumId w:val="44"/>
  </w:num>
  <w:num w:numId="20" w16cid:durableId="287394630">
    <w:abstractNumId w:val="40"/>
  </w:num>
  <w:num w:numId="21" w16cid:durableId="2076120900">
    <w:abstractNumId w:val="22"/>
  </w:num>
  <w:num w:numId="22" w16cid:durableId="1607154750">
    <w:abstractNumId w:val="30"/>
  </w:num>
  <w:num w:numId="23" w16cid:durableId="910577258">
    <w:abstractNumId w:val="45"/>
  </w:num>
  <w:num w:numId="24" w16cid:durableId="1356076463">
    <w:abstractNumId w:val="42"/>
  </w:num>
  <w:num w:numId="25" w16cid:durableId="1067266271">
    <w:abstractNumId w:val="15"/>
  </w:num>
  <w:num w:numId="26" w16cid:durableId="1774090056">
    <w:abstractNumId w:val="9"/>
  </w:num>
  <w:num w:numId="27" w16cid:durableId="611399385">
    <w:abstractNumId w:val="31"/>
  </w:num>
  <w:num w:numId="28" w16cid:durableId="213347157">
    <w:abstractNumId w:val="10"/>
  </w:num>
  <w:num w:numId="29" w16cid:durableId="693845327">
    <w:abstractNumId w:val="23"/>
  </w:num>
  <w:num w:numId="30" w16cid:durableId="1658025550">
    <w:abstractNumId w:val="36"/>
  </w:num>
  <w:num w:numId="31" w16cid:durableId="1083524110">
    <w:abstractNumId w:val="19"/>
  </w:num>
  <w:num w:numId="32" w16cid:durableId="491458564">
    <w:abstractNumId w:val="16"/>
  </w:num>
  <w:num w:numId="33" w16cid:durableId="58331723">
    <w:abstractNumId w:val="14"/>
  </w:num>
  <w:num w:numId="34" w16cid:durableId="1067529720">
    <w:abstractNumId w:val="21"/>
  </w:num>
  <w:num w:numId="35" w16cid:durableId="824316707">
    <w:abstractNumId w:val="26"/>
  </w:num>
  <w:num w:numId="36" w16cid:durableId="1833909282">
    <w:abstractNumId w:val="24"/>
  </w:num>
  <w:num w:numId="37" w16cid:durableId="1012992776">
    <w:abstractNumId w:val="25"/>
  </w:num>
  <w:num w:numId="38" w16cid:durableId="921523137">
    <w:abstractNumId w:val="35"/>
  </w:num>
  <w:num w:numId="39" w16cid:durableId="1908759350">
    <w:abstractNumId w:val="7"/>
  </w:num>
  <w:num w:numId="40" w16cid:durableId="214659307">
    <w:abstractNumId w:val="7"/>
    <w:lvlOverride w:ilvl="0">
      <w:startOverride w:val="1"/>
    </w:lvlOverride>
  </w:num>
  <w:num w:numId="41" w16cid:durableId="1109855224">
    <w:abstractNumId w:val="39"/>
  </w:num>
  <w:num w:numId="42" w16cid:durableId="147136695">
    <w:abstractNumId w:val="33"/>
  </w:num>
  <w:num w:numId="43" w16cid:durableId="1183468754">
    <w:abstractNumId w:val="43"/>
  </w:num>
  <w:num w:numId="44" w16cid:durableId="1765881092">
    <w:abstractNumId w:val="12"/>
  </w:num>
  <w:num w:numId="45" w16cid:durableId="287664000">
    <w:abstractNumId w:val="18"/>
  </w:num>
  <w:num w:numId="46" w16cid:durableId="1872569241">
    <w:abstractNumId w:val="29"/>
  </w:num>
  <w:num w:numId="47" w16cid:durableId="16853503">
    <w:abstractNumId w:val="13"/>
  </w:num>
  <w:num w:numId="48" w16cid:durableId="34826133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E66"/>
    <w:rsid w:val="0006063C"/>
    <w:rsid w:val="00081634"/>
    <w:rsid w:val="00085A59"/>
    <w:rsid w:val="00135071"/>
    <w:rsid w:val="0015074B"/>
    <w:rsid w:val="00173481"/>
    <w:rsid w:val="001E0E57"/>
    <w:rsid w:val="001E7C1D"/>
    <w:rsid w:val="00231DF1"/>
    <w:rsid w:val="0026117B"/>
    <w:rsid w:val="00290E43"/>
    <w:rsid w:val="0029639D"/>
    <w:rsid w:val="00326F90"/>
    <w:rsid w:val="003322D4"/>
    <w:rsid w:val="003D123C"/>
    <w:rsid w:val="004007E4"/>
    <w:rsid w:val="004C3E4B"/>
    <w:rsid w:val="00530303"/>
    <w:rsid w:val="00692C3E"/>
    <w:rsid w:val="006A55B9"/>
    <w:rsid w:val="006C2052"/>
    <w:rsid w:val="0071146D"/>
    <w:rsid w:val="00714A93"/>
    <w:rsid w:val="008650DC"/>
    <w:rsid w:val="008B5F2B"/>
    <w:rsid w:val="008D11BF"/>
    <w:rsid w:val="008E3306"/>
    <w:rsid w:val="008E6E8F"/>
    <w:rsid w:val="00987297"/>
    <w:rsid w:val="009C1E44"/>
    <w:rsid w:val="00A63A25"/>
    <w:rsid w:val="00AA1D8D"/>
    <w:rsid w:val="00B227B1"/>
    <w:rsid w:val="00B47730"/>
    <w:rsid w:val="00B51C98"/>
    <w:rsid w:val="00B7113A"/>
    <w:rsid w:val="00B92836"/>
    <w:rsid w:val="00BC4601"/>
    <w:rsid w:val="00C52C36"/>
    <w:rsid w:val="00C61516"/>
    <w:rsid w:val="00C63F6B"/>
    <w:rsid w:val="00C654ED"/>
    <w:rsid w:val="00CB0664"/>
    <w:rsid w:val="00E16D84"/>
    <w:rsid w:val="00EC5615"/>
    <w:rsid w:val="00F03674"/>
    <w:rsid w:val="00F66495"/>
    <w:rsid w:val="00F81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1F2856"/>
  <w14:defaultImageDpi w14:val="300"/>
  <w15:docId w15:val="{A146D9E3-4574-43DF-9E60-00E6A8B2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E75B6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deHTML">
    <w:name w:val="HTML Code"/>
    <w:basedOn w:val="Policepardfaut"/>
    <w:uiPriority w:val="99"/>
    <w:semiHidden/>
    <w:unhideWhenUsed/>
    <w:rsid w:val="001734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3481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table" w:styleId="TableauGrille4-Accentuation3">
    <w:name w:val="Grid Table 4 Accent 3"/>
    <w:basedOn w:val="TableauNormal"/>
    <w:uiPriority w:val="49"/>
    <w:rsid w:val="0071146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5Fonc-Accentuation3">
    <w:name w:val="List Table 5 Dark Accent 3"/>
    <w:basedOn w:val="TableauNormal"/>
    <w:uiPriority w:val="50"/>
    <w:rsid w:val="0071146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E7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E7C1D"/>
    <w:rPr>
      <w:rFonts w:ascii="Courier New" w:eastAsia="Times New Roman" w:hAnsi="Courier New" w:cs="Courier New"/>
      <w:sz w:val="20"/>
      <w:szCs w:val="20"/>
      <w:lang w:val="fr-FR" w:eastAsia="fr-FR"/>
    </w:rPr>
  </w:style>
  <w:style w:type="paragraph" w:customStyle="1" w:styleId="pdq2pgselectionanchorcontainer">
    <w:name w:val="pdq2pg_selectionanchorcontainer"/>
    <w:basedOn w:val="Normal"/>
    <w:rsid w:val="00E16D84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4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5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96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3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93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1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9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8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6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4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17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3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7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5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9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8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8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61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3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4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25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77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2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815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79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211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84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417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9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0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4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44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82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991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323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487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375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4545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0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9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6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8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33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5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68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643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949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343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454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92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215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53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6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5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85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2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9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1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74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000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405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266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883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723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9637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6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6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9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8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4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0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20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6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5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3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97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3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5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1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0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8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9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13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8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4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19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4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8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2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3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7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7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28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9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1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9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87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3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7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0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2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3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5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4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4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1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8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2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72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44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006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7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0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5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1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6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7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9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8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0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7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2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2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8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5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3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5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8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1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9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3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23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0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1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8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1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4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87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75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260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6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3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3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4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4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5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3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6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5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35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84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7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6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95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4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0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0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7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0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6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28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57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78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552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45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8695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7182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7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7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8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5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02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7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1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37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64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86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93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941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3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3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5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6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397</Words>
  <Characters>2189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Yannick LEBORGNE</cp:lastModifiedBy>
  <cp:revision>24</cp:revision>
  <dcterms:created xsi:type="dcterms:W3CDTF">2013-12-23T23:15:00Z</dcterms:created>
  <dcterms:modified xsi:type="dcterms:W3CDTF">2026-10-09T07:46:00Z</dcterms:modified>
  <cp:category/>
</cp:coreProperties>
</file>