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31525839"/>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780" cy="323850"/>
                    <wp:effectExtent l="0" t="0" r="0" b="6985"/>
                    <wp:wrapNone/>
                    <wp:docPr id="1" name="Text Box 69"/>
                    <a:graphic xmlns:a="http://schemas.openxmlformats.org/drawingml/2006/main">
                      <a:graphicData uri="http://schemas.microsoft.com/office/word/2010/wordprocessingShape">
                        <wps:wsp>
                          <wps:cNvSpPr/>
                          <wps:spPr>
                            <a:xfrm>
                              <a:off x="0" y="0"/>
                              <a:ext cx="611388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272362128"/>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15718930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5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925604963"/>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740535257"/>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8415" distL="114300" distR="112395" simplePos="0" locked="0" layoutInCell="0" allowOverlap="1" relativeHeight="4">
                    <wp:simplePos x="0" y="0"/>
                    <wp:positionH relativeFrom="column">
                      <wp:posOffset>47625</wp:posOffset>
                    </wp:positionH>
                    <wp:positionV relativeFrom="paragraph">
                      <wp:posOffset>1270</wp:posOffset>
                    </wp:positionV>
                    <wp:extent cx="6066790" cy="151066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51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.1</w:t>
                                </w:r>
                                <w:r>
                                  <w:rPr>
                                    <w:rFonts w:ascii="DejaVu Sans Mono" w:hAnsi="DejaVu Sans Mono"/>
                                    <w:b/>
                                    <w:bCs/>
                                    <w:i w:val="false"/>
                                    <w:iCs w:val="false"/>
                                    <w:color w:val="000000"/>
                                    <w:sz w:val="24"/>
                                    <w:szCs w:val="24"/>
                                  </w:rPr>
                                  <w:t xml:space="preserve">, </w:t>
                                </w:r>
                                <w:r>
                                  <w:rPr>
                                    <w:rFonts w:ascii="DejaVu Sans Mono" w:hAnsi="DejaVu Sans Mono"/>
                                    <w:b/>
                                    <w:bCs/>
                                    <w:i w:val="false"/>
                                    <w:iCs w:val="false"/>
                                    <w:color w:val="000000"/>
                                    <w:sz w:val="24"/>
                                    <w:szCs w:val="24"/>
                                  </w:rPr>
                                  <w:t>2</w:t>
                                </w:r>
                                <w:r>
                                  <w:rPr>
                                    <w:rFonts w:ascii="DejaVu Sans Mono" w:hAnsi="DejaVu Sans Mono"/>
                                    <w:b/>
                                    <w:bCs/>
                                    <w:i w:val="false"/>
                                    <w:iCs w:val="false"/>
                                    <w:color w:val="000000"/>
                                    <w:sz w:val="24"/>
                                    <w:szCs w:val="24"/>
                                    <w:vertAlign w:val="superscript"/>
                                  </w:rPr>
                                  <w:t>nd</w:t>
                                </w:r>
                                <w:r>
                                  <w:rPr>
                                    <w:rFonts w:ascii="DejaVu Sans Mono" w:hAnsi="DejaVu Sans Mono"/>
                                    <w:b/>
                                    <w:bCs/>
                                    <w:i w:val="false"/>
                                    <w:iCs w:val="false"/>
                                    <w:color w:val="000000"/>
                                    <w:sz w:val="24"/>
                                    <w:szCs w:val="24"/>
                                  </w:rPr>
                                  <w:t xml:space="preserve"> </w:t>
                                </w:r>
                                <w:r>
                                  <w:rPr>
                                    <w:rFonts w:ascii="DejaVu Sans Mono" w:hAnsi="DejaVu Sans Mono"/>
                                    <w:b/>
                                    <w:bCs/>
                                    <w:i w:val="false"/>
                                    <w:iCs w:val="false"/>
                                    <w:color w:val="000000"/>
                                    <w:sz w:val="24"/>
                                    <w:szCs w:val="24"/>
                                  </w:rPr>
                                  <w:t>September</w:t>
                                </w:r>
                                <w:r>
                                  <w:rPr>
                                    <w:rFonts w:ascii="DejaVu Sans Mono" w:hAnsi="DejaVu Sans Mono"/>
                                    <w:b/>
                                    <w:bCs/>
                                    <w:i w:val="false"/>
                                    <w:iCs w:val="false"/>
                                    <w:color w:val="000000"/>
                                    <w:sz w:val="24"/>
                                    <w:szCs w:val="24"/>
                                  </w:rPr>
                                  <w:t xml:space="preserve">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118.9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color w:val="000000"/>
                            </w:rPr>
                          </w:pPr>
                          <w:r>
                            <w:rPr>
                              <w:rFonts w:eastAsia="Arial" w:cs="Times New Roman" w:ascii="DejaVu Sans Mono" w:hAnsi="DejaVu Sans Mono"/>
                              <w:b/>
                              <w:color w:val="000000" w:themeShade="bf"/>
                              <w:sz w:val="52"/>
                              <w:szCs w:val="52"/>
                              <w:shd w:fill="auto" w:val="clear"/>
                            </w:rPr>
                            <w:t>International Money Transfer</w:t>
                          </w:r>
                          <w:r>
                            <w:rPr>
                              <w:rFonts w:eastAsia="Arial" w:cs="Times New Roman" w:ascii="DejaVu Sans Mono" w:hAnsi="DejaVu Sans Mono"/>
                              <w:b/>
                              <w:color w:val="000000" w:themeShade="bf"/>
                              <w:sz w:val="48"/>
                              <w:szCs w:val="48"/>
                              <w:shd w:fill="auto" w:val="clear"/>
                            </w:rPr>
                            <w:t xml:space="preserve"> : Externals</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.1</w:t>
                          </w:r>
                          <w:r>
                            <w:rPr>
                              <w:rFonts w:ascii="DejaVu Sans Mono" w:hAnsi="DejaVu Sans Mono"/>
                              <w:b/>
                              <w:bCs/>
                              <w:i w:val="false"/>
                              <w:iCs w:val="false"/>
                              <w:color w:val="000000"/>
                              <w:sz w:val="24"/>
                              <w:szCs w:val="24"/>
                            </w:rPr>
                            <w:t xml:space="preserve">, </w:t>
                          </w:r>
                          <w:r>
                            <w:rPr>
                              <w:rFonts w:ascii="DejaVu Sans Mono" w:hAnsi="DejaVu Sans Mono"/>
                              <w:b/>
                              <w:bCs/>
                              <w:i w:val="false"/>
                              <w:iCs w:val="false"/>
                              <w:color w:val="000000"/>
                              <w:sz w:val="24"/>
                              <w:szCs w:val="24"/>
                            </w:rPr>
                            <w:t>2</w:t>
                          </w:r>
                          <w:r>
                            <w:rPr>
                              <w:rFonts w:ascii="DejaVu Sans Mono" w:hAnsi="DejaVu Sans Mono"/>
                              <w:b/>
                              <w:bCs/>
                              <w:i w:val="false"/>
                              <w:iCs w:val="false"/>
                              <w:color w:val="000000"/>
                              <w:sz w:val="24"/>
                              <w:szCs w:val="24"/>
                              <w:vertAlign w:val="superscript"/>
                            </w:rPr>
                            <w:t>nd</w:t>
                          </w:r>
                          <w:r>
                            <w:rPr>
                              <w:rFonts w:ascii="DejaVu Sans Mono" w:hAnsi="DejaVu Sans Mono"/>
                              <w:b/>
                              <w:bCs/>
                              <w:i w:val="false"/>
                              <w:iCs w:val="false"/>
                              <w:color w:val="000000"/>
                              <w:sz w:val="24"/>
                              <w:szCs w:val="24"/>
                            </w:rPr>
                            <w:t xml:space="preserve"> </w:t>
                          </w:r>
                          <w:r>
                            <w:rPr>
                              <w:rFonts w:ascii="DejaVu Sans Mono" w:hAnsi="DejaVu Sans Mono"/>
                              <w:b/>
                              <w:bCs/>
                              <w:i w:val="false"/>
                              <w:iCs w:val="false"/>
                              <w:color w:val="000000"/>
                              <w:sz w:val="24"/>
                              <w:szCs w:val="24"/>
                            </w:rPr>
                            <w:t>September</w:t>
                          </w:r>
                          <w:r>
                            <w:rPr>
                              <w:rFonts w:ascii="DejaVu Sans Mono" w:hAnsi="DejaVu Sans Mono"/>
                              <w:b/>
                              <w:bCs/>
                              <w:i w:val="false"/>
                              <w:iCs w:val="false"/>
                              <w:color w:val="000000"/>
                              <w:sz w:val="24"/>
                              <w:szCs w:val="24"/>
                            </w:rPr>
                            <w:t xml:space="preserve">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29</w:t>
            </w:r>
            <w:r>
              <w:rPr>
                <w:kern w:val="2"/>
                <w:vertAlign w:val="superscript"/>
              </w:rPr>
              <w:t>th</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r>
        <w:trPr/>
        <w:tc>
          <w:tcPr>
            <w:tcW w:w="1335" w:type="dxa"/>
            <w:tcBorders>
              <w:left w:val="single" w:sz="12" w:space="0" w:color="000000"/>
              <w:bottom w:val="single" w:sz="6" w:space="0" w:color="000000"/>
              <w:right w:val="single" w:sz="6" w:space="0" w:color="000000"/>
            </w:tcBorders>
          </w:tcPr>
          <w:p>
            <w:pPr>
              <w:pStyle w:val="PreformattedText"/>
              <w:widowControl w:val="false"/>
              <w:rPr/>
            </w:pPr>
            <w:r>
              <w:rPr/>
              <w:t>1.0.1</w:t>
            </w:r>
          </w:p>
        </w:tc>
        <w:tc>
          <w:tcPr>
            <w:tcW w:w="2789" w:type="dxa"/>
            <w:tcBorders>
              <w:left w:val="single" w:sz="6" w:space="0" w:color="000000"/>
              <w:bottom w:val="single" w:sz="6" w:space="0" w:color="000000"/>
              <w:right w:val="single" w:sz="6" w:space="0" w:color="000000"/>
            </w:tcBorders>
          </w:tcPr>
          <w:p>
            <w:pPr>
              <w:pStyle w:val="PreformattedText"/>
              <w:widowControl w:val="false"/>
              <w:rPr/>
            </w:pPr>
            <w:r>
              <w:rPr/>
              <w:t>2</w:t>
            </w:r>
            <w:r>
              <w:rPr>
                <w:vertAlign w:val="superscript"/>
              </w:rPr>
              <w:t>nd</w:t>
            </w:r>
            <w:r>
              <w:rPr/>
              <w:t xml:space="preserve"> Auguest, 2024</w:t>
            </w:r>
          </w:p>
        </w:tc>
        <w:tc>
          <w:tcPr>
            <w:tcW w:w="4231" w:type="dxa"/>
            <w:tcBorders>
              <w:left w:val="single" w:sz="6" w:space="0" w:color="000000"/>
              <w:bottom w:val="single" w:sz="6" w:space="0" w:color="000000"/>
              <w:right w:val="single" w:sz="12" w:space="0" w:color="000000"/>
            </w:tcBorders>
          </w:tcPr>
          <w:p>
            <w:pPr>
              <w:pStyle w:val="PreformattedText"/>
              <w:widowControl w:val="false"/>
              <w:rPr/>
            </w:pPr>
            <w:r>
              <w:rPr/>
              <w:t>Updates</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000000"/>
            </w:rPr>
          </w:pPr>
          <w:r>
            <w:rPr>
              <w:color w:val="000000"/>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8620_6544198041">
            <w:r>
              <w:rPr>
                <w:webHidden/>
                <w:rStyle w:val="IndexLink"/>
              </w:rPr>
              <w:t>Amendments</w:t>
              <w:tab/>
              <w:t>1</w:t>
            </w:r>
          </w:hyperlink>
        </w:p>
        <w:p>
          <w:pPr>
            <w:pStyle w:val="Contents1"/>
            <w:tabs>
              <w:tab w:val="clear" w:pos="720"/>
              <w:tab w:val="right" w:pos="9360" w:leader="dot"/>
            </w:tabs>
            <w:rPr/>
          </w:pPr>
          <w:hyperlink w:anchor="__RefHeading___Toc8622_654419804">
            <w:r>
              <w:rPr>
                <w:webHidden/>
                <w:rStyle w:val="IndexLink"/>
              </w:rPr>
              <w:t>Integration: Narratives</w:t>
              <w:tab/>
              <w:t>2</w:t>
            </w:r>
          </w:hyperlink>
        </w:p>
        <w:p>
          <w:pPr>
            <w:pStyle w:val="Contents1"/>
            <w:tabs>
              <w:tab w:val="clear" w:pos="720"/>
              <w:tab w:val="right" w:pos="9360" w:leader="dot"/>
            </w:tabs>
            <w:rPr/>
          </w:pPr>
          <w:hyperlink w:anchor="__RefHeading___Toc8624_654419804">
            <w:r>
              <w:rPr>
                <w:webHidden/>
                <w:rStyle w:val="IndexLink"/>
              </w:rPr>
              <w:t>Methods</w:t>
              <w:tab/>
              <w:t>4</w:t>
            </w:r>
          </w:hyperlink>
        </w:p>
        <w:p>
          <w:pPr>
            <w:pStyle w:val="Contents1"/>
            <w:tabs>
              <w:tab w:val="clear" w:pos="720"/>
              <w:tab w:val="right" w:pos="9360" w:leader="dot"/>
            </w:tabs>
            <w:rPr/>
          </w:pPr>
          <w:hyperlink w:anchor="__RefHeading___Toc8626_654419804111">
            <w:r>
              <w:rPr>
                <w:webHidden/>
                <w:rStyle w:val="IndexLink"/>
              </w:rPr>
              <w:t>1. Webhook</w:t>
              <w:tab/>
              <w:t>4</w:t>
            </w:r>
          </w:hyperlink>
        </w:p>
        <w:p>
          <w:pPr>
            <w:pStyle w:val="Contents3"/>
            <w:tabs>
              <w:tab w:val="clear" w:pos="720"/>
              <w:tab w:val="right" w:pos="9360" w:leader="dot"/>
            </w:tabs>
            <w:rPr/>
          </w:pPr>
          <w:hyperlink w:anchor="__RefHeading___Toc8992_654419804">
            <w:r>
              <w:rPr>
                <w:webHidden/>
                <w:rStyle w:val="IndexLink"/>
              </w:rPr>
              <w:t>Overview</w:t>
              <w:tab/>
              <w:t>4</w:t>
            </w:r>
          </w:hyperlink>
        </w:p>
        <w:p>
          <w:pPr>
            <w:pStyle w:val="Contents3"/>
            <w:tabs>
              <w:tab w:val="clear" w:pos="720"/>
              <w:tab w:val="right" w:pos="9360" w:leader="dot"/>
            </w:tabs>
            <w:rPr/>
          </w:pPr>
          <w:hyperlink w:anchor="__RefHeading___Toc8994_654419804">
            <w:r>
              <w:rPr>
                <w:webHidden/>
                <w:rStyle w:val="IndexLink"/>
              </w:rPr>
              <w:t>Endpoint</w:t>
              <w:tab/>
              <w:t>4</w:t>
            </w:r>
          </w:hyperlink>
        </w:p>
        <w:p>
          <w:pPr>
            <w:pStyle w:val="Contents3"/>
            <w:tabs>
              <w:tab w:val="clear" w:pos="720"/>
              <w:tab w:val="right" w:pos="9360" w:leader="dot"/>
            </w:tabs>
            <w:rPr/>
          </w:pPr>
          <w:hyperlink w:anchor="__RefHeading___Toc8996_654419804">
            <w:r>
              <w:rPr>
                <w:webHidden/>
                <w:rStyle w:val="IndexLink"/>
              </w:rPr>
              <w:t>Request</w:t>
              <w:tab/>
              <w:t>4</w:t>
            </w:r>
          </w:hyperlink>
        </w:p>
        <w:p>
          <w:pPr>
            <w:pStyle w:val="Contents3"/>
            <w:tabs>
              <w:tab w:val="clear" w:pos="720"/>
              <w:tab w:val="right" w:pos="9360" w:leader="dot"/>
            </w:tabs>
            <w:rPr/>
          </w:pPr>
          <w:hyperlink w:anchor="__RefHeading___Toc8998_654419804">
            <w:r>
              <w:rPr>
                <w:webHidden/>
                <w:rStyle w:val="IndexLink"/>
              </w:rPr>
              <w:t>Request Body</w:t>
              <w:tab/>
              <w:t>4</w:t>
            </w:r>
          </w:hyperlink>
        </w:p>
        <w:p>
          <w:pPr>
            <w:pStyle w:val="Contents3"/>
            <w:tabs>
              <w:tab w:val="clear" w:pos="720"/>
              <w:tab w:val="right" w:pos="9360" w:leader="dot"/>
            </w:tabs>
            <w:rPr/>
          </w:pPr>
          <w:hyperlink w:anchor="__RefHeading___Toc9000_654419804">
            <w:r>
              <w:rPr>
                <w:webHidden/>
                <w:rStyle w:val="IndexLink"/>
              </w:rPr>
              <w:t>Example</w:t>
              <w:tab/>
              <w:t>4</w:t>
            </w:r>
          </w:hyperlink>
          <w:r>
            <w:rPr>
              <w:rStyle w:val="IndexLink"/>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shd w:fill="EEEEEE" w:val="clear"/>
        </w:rPr>
        <w:t>app_id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app_secret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Example:</w:t>
      </w:r>
      <w:r>
        <w:rPr>
          <w:rFonts w:ascii="DejaVu Sans Mono" w:hAnsi="DejaVu Sans Mono"/>
          <w:i w:val="false"/>
          <w:iCs w:val="false"/>
        </w:rPr>
        <w:t xml:space="preserve"> </w:t>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"kid": "</w:t>
      </w:r>
      <w:r>
        <w:rPr>
          <w:rFonts w:eastAsia="Cambria" w:cs="Calibri Light" w:ascii="DejaVu Sans Mono" w:hAnsi="DejaVu Sans Mono" w:cstheme="majorHAnsi"/>
          <w:bCs/>
          <w:i w:val="false"/>
          <w:iCs w:val="false"/>
          <w:spacing w:val="15"/>
          <w:sz w:val="16"/>
          <w:szCs w:val="16"/>
          <w:shd w:fill="EEEEEE" w:val="clear"/>
          <w:lang w:val="en-US"/>
        </w:rPr>
        <w:t>70755d8d470e9ce98bdf7729420e36b4</w:t>
      </w: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pPr>
      <w:r>
        <w:rPr>
          <w:rFonts w:ascii="DejaVu Sans Mono" w:hAnsi="DejaVu Sans Mono"/>
          <w:sz w:val="16"/>
          <w:szCs w:val="16"/>
        </w:rPr>
        <w:t xml:space="preserve"> </w:t>
      </w:r>
      <w:r>
        <w:rPr>
          <w:rFonts w:ascii="DejaVu Sans Mono" w:hAnsi="DejaVu Sans Mono"/>
          <w:sz w:val="20"/>
          <w:szCs w:val="20"/>
        </w:rPr>
        <w:t xml:space="preserve"> </w:t>
      </w:r>
      <w:r>
        <w:rPr>
          <w:rFonts w:ascii="DejaVu Sans Mono" w:hAnsi="DejaVu Sans Mono"/>
          <w:sz w:val="20"/>
          <w:szCs w:val="20"/>
        </w:rPr>
        <w:t>"nameid": “13”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 xml:space="preserve">"iat": 1648538661  </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Normal1"/>
        <w:rPr>
          <w:rFonts w:ascii="Liberation Mono" w:hAnsi="Liberation Mono"/>
        </w:rPr>
      </w:pPr>
      <w:r>
        <w:rPr>
          <w:rFonts w:ascii="Liberation Mono" w:hAnsi="Liberation Mono"/>
        </w:rPr>
      </w:r>
    </w:p>
    <w:p>
      <w:pPr>
        <w:pStyle w:val="Heading1"/>
        <w:rPr>
          <w:b/>
          <w:b/>
          <w:bCs/>
          <w:color w:val="000000"/>
          <w:u w:val="single"/>
        </w:rPr>
      </w:pPr>
      <w:bookmarkStart w:id="14" w:name="__RefHeading___Toc8624_654419804"/>
      <w:bookmarkStart w:id="15" w:name="_Toc121310482"/>
      <w:bookmarkStart w:id="16" w:name="h.bit7idv2ancx"/>
      <w:bookmarkEnd w:id="14"/>
      <w:bookmarkEnd w:id="16"/>
      <w:r>
        <w:rPr>
          <w:rFonts w:ascii="Calibri" w:hAnsi="Calibri" w:asciiTheme="minorHAnsi" w:hAnsiTheme="minorHAnsi"/>
          <w:b/>
          <w:bCs/>
          <w:color w:val="000000"/>
          <w:sz w:val="48"/>
          <w:szCs w:val="48"/>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7" w:name="__RefHeading___Toc8626_654419804111"/>
      <w:bookmarkStart w:id="18" w:name="_Toc121310483111"/>
      <w:bookmarkStart w:id="19" w:name="_Toc84114457111"/>
      <w:bookmarkEnd w:id="17"/>
      <w:r>
        <w:rPr>
          <w:rFonts w:ascii="DejaVu Sans Mono" w:hAnsi="DejaVu Sans Mono"/>
          <w:b/>
          <w:bCs/>
          <w:color w:val="000000"/>
          <w:u w:val="single"/>
        </w:rPr>
        <w:t>W</w:t>
      </w:r>
      <w:bookmarkEnd w:id="18"/>
      <w:bookmarkEnd w:id="19"/>
      <w:r>
        <w:rPr>
          <w:rFonts w:ascii="DejaVu Sans Mono" w:hAnsi="DejaVu Sans Mono"/>
          <w:b/>
          <w:bCs/>
          <w:color w:val="000000"/>
          <w:u w:val="single"/>
        </w:rPr>
        <w:t>ebhook</w:t>
      </w:r>
    </w:p>
    <w:p>
      <w:pPr>
        <w:pStyle w:val="Heading3"/>
        <w:rPr>
          <w:color w:val="000000"/>
        </w:rPr>
      </w:pPr>
      <w:bookmarkStart w:id="20" w:name="__RefHeading___Toc8992_654419804"/>
      <w:bookmarkEnd w:id="20"/>
      <w:r>
        <w:rPr>
          <w:rFonts w:ascii="DejaVu Sans Mono" w:hAnsi="DejaVu Sans Mono"/>
          <w:b/>
          <w:bCs/>
          <w:color w:val="000000"/>
          <w:u w:val="single"/>
        </w:rPr>
        <w:t>Overview</w:t>
      </w:r>
    </w:p>
    <w:p>
      <w:pPr>
        <w:pStyle w:val="Normal"/>
        <w:rPr>
          <w:rFonts w:ascii="DejaVu Sans Mono" w:hAnsi="DejaVu Sans Mono"/>
          <w:b/>
          <w:b/>
          <w:bCs/>
        </w:rPr>
      </w:pPr>
      <w:r>
        <w:rPr>
          <w:rFonts w:ascii="Liberation Mono" w:hAnsi="Liberation Mono"/>
        </w:rPr>
        <w:t>This webhook should be implemented by the institutions</w:t>
      </w:r>
    </w:p>
    <w:p>
      <w:pPr>
        <w:pStyle w:val="TextBody"/>
        <w:rPr>
          <w:rFonts w:ascii="Liberation Mono" w:hAnsi="Liberation Mono"/>
        </w:rPr>
      </w:pPr>
      <w:r>
        <w:rPr>
          <w:rStyle w:val="StrongEmphasis"/>
          <w:rFonts w:ascii="Liberation Mono" w:hAnsi="Liberation Mono"/>
          <w:sz w:val="20"/>
          <w:szCs w:val="20"/>
        </w:rPr>
        <w:t xml:space="preserve">Important Note :  For any change in static </w:t>
      </w:r>
    </w:p>
    <w:p>
      <w:pPr>
        <w:pStyle w:val="Heading3"/>
        <w:rPr>
          <w:color w:val="000000"/>
        </w:rPr>
      </w:pPr>
      <w:bookmarkStart w:id="21" w:name="__RefHeading___Toc899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POST</w:t>
      </w:r>
      <w:r>
        <w:rPr>
          <w:rFonts w:ascii="DejaVu Sans Mono" w:hAnsi="DejaVu Sans Mono"/>
        </w:rPr>
        <w:t xml:space="preserve"> </w:t>
      </w:r>
      <w:r>
        <w:rPr>
          <w:rStyle w:val="SourceText"/>
          <w:rFonts w:ascii="Liberation Mono" w:hAnsi="Liberation Mono"/>
        </w:rPr>
        <w:t>“</w:t>
      </w:r>
      <w:r>
        <w:rPr>
          <w:rStyle w:val="SourceText"/>
          <w:rFonts w:ascii="Liberation Mono" w:hAnsi="Liberation Mono"/>
          <w:b w:val="false"/>
          <w:bCs w:val="false"/>
          <w:u w:val="single"/>
        </w:rPr>
        <w:t>https://&lt;institution-domain&gt;/api-path/receive-static-change-info</w:t>
      </w:r>
      <w:r>
        <w:rPr>
          <w:rStyle w:val="SourceText"/>
          <w:rFonts w:ascii="Liberation Mono" w:hAnsi="Liberation Mono"/>
        </w:rPr>
        <w:t>”</w:t>
      </w:r>
    </w:p>
    <w:p>
      <w:pPr>
        <w:pStyle w:val="Heading3"/>
        <w:rPr>
          <w:color w:val="000000"/>
        </w:rPr>
      </w:pPr>
      <w:bookmarkStart w:id="22" w:name="__RefHeading___Toc8996_654419804"/>
      <w:bookmarkEnd w:id="22"/>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23" w:name="__RefHeading___Toc899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p>
      <w:pPr>
        <w:pStyle w:val="TextBody"/>
        <w:rPr>
          <w:rFonts w:ascii="DejaVu Sans Mono" w:hAnsi="DejaVu Sans Mono"/>
        </w:rPr>
      </w:pPr>
      <w:r>
        <w:rPr>
          <w:rFonts w:ascii="DejaVu Sans Mono" w:hAnsi="DejaVu Sans Mono"/>
        </w:rPr>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r>
        <w:trPr/>
        <w:tc>
          <w:tcPr>
            <w:tcW w:w="2369" w:type="dxa"/>
            <w:tcBorders/>
            <w:vAlign w:val="center"/>
          </w:tcPr>
          <w:p>
            <w:pPr>
              <w:pStyle w:val="PreformattedText"/>
              <w:widowControl w:val="false"/>
              <w:rPr>
                <w:highlight w:val="none"/>
                <w:shd w:fill="EEEEEE" w:val="clear"/>
              </w:rPr>
            </w:pPr>
            <w:r>
              <w:rPr>
                <w:shd w:fill="EEEEEE" w:val="clear"/>
              </w:rPr>
              <w:t>entity_name</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Name of the Static entity Example: </w:t>
            </w:r>
            <w:r>
              <w:rPr>
                <w:rStyle w:val="SourceText"/>
                <w:rFonts w:ascii="DejaVu Sans Mono" w:hAnsi="DejaVu Sans Mono"/>
              </w:rPr>
              <w:t>"country"</w:t>
            </w:r>
          </w:p>
        </w:tc>
      </w:tr>
      <w:tr>
        <w:trPr/>
        <w:tc>
          <w:tcPr>
            <w:tcW w:w="2369" w:type="dxa"/>
            <w:tcBorders/>
            <w:vAlign w:val="center"/>
          </w:tcPr>
          <w:p>
            <w:pPr>
              <w:pStyle w:val="PreformattedText"/>
              <w:widowControl w:val="false"/>
              <w:rPr>
                <w:highlight w:val="none"/>
                <w:shd w:fill="EEEEEE" w:val="clear"/>
              </w:rPr>
            </w:pPr>
            <w:r>
              <w:rPr>
                <w:shd w:fill="EEEEEE" w:val="clear"/>
              </w:rPr>
              <w:t>api_end_point</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rFonts w:ascii="DejaVu Sans Mono" w:hAnsi="DejaVu Sans Mono"/>
              </w:rPr>
              <w:t xml:space="preserve">Endpoint of the effected API Example: </w:t>
            </w:r>
            <w:r>
              <w:rPr>
                <w:rStyle w:val="SourceText"/>
                <w:rFonts w:ascii="DejaVu Sans Mono" w:hAnsi="DejaVu Sans Mono"/>
              </w:rPr>
              <w:t>"</w:t>
            </w:r>
            <w:r>
              <w:rPr>
                <w:rStyle w:val="SourceText"/>
              </w:rPr>
              <w:t>/v1/</w:t>
            </w:r>
            <w:r>
              <w:rPr>
                <w:rStyle w:val="SourceText"/>
              </w:rPr>
              <w:t>money-transfer</w:t>
            </w:r>
            <w:r>
              <w:rPr>
                <w:rStyle w:val="SourceText"/>
              </w:rPr>
              <w:t>/banks/{country_code}</w:t>
            </w:r>
            <w:r>
              <w:rPr>
                <w:rStyle w:val="SourceText"/>
                <w:rFonts w:ascii="DejaVu Sans Mono" w:hAnsi="DejaVu Sans Mono"/>
              </w:rPr>
              <w:t>"</w:t>
            </w:r>
          </w:p>
        </w:tc>
      </w:tr>
      <w:tr>
        <w:trPr/>
        <w:tc>
          <w:tcPr>
            <w:tcW w:w="2369" w:type="dxa"/>
            <w:tcBorders/>
            <w:vAlign w:val="center"/>
          </w:tcPr>
          <w:p>
            <w:pPr>
              <w:pStyle w:val="PreformattedText"/>
              <w:widowControl w:val="false"/>
              <w:rPr>
                <w:highlight w:val="none"/>
                <w:shd w:fill="EEEEEE" w:val="clear"/>
              </w:rPr>
            </w:pPr>
            <w:r>
              <w:rPr>
                <w:shd w:fill="EEEEEE" w:val="clear"/>
              </w:rPr>
              <w:t>api_method</w:t>
            </w:r>
          </w:p>
        </w:tc>
        <w:tc>
          <w:tcPr>
            <w:tcW w:w="957" w:type="dxa"/>
            <w:tcBorders/>
            <w:vAlign w:val="center"/>
          </w:tcPr>
          <w:p>
            <w:pPr>
              <w:pStyle w:val="PreformattedText"/>
              <w:widowControl w:val="false"/>
              <w:rPr/>
            </w:pPr>
            <w:r>
              <w:rPr/>
              <w:t>string</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HTTP Method. Example : “GET”</w:t>
            </w:r>
          </w:p>
        </w:tc>
      </w:tr>
      <w:tr>
        <w:trPr/>
        <w:tc>
          <w:tcPr>
            <w:tcW w:w="2369" w:type="dxa"/>
            <w:tcBorders/>
            <w:vAlign w:val="center"/>
          </w:tcPr>
          <w:p>
            <w:pPr>
              <w:pStyle w:val="PreformattedText"/>
              <w:widowControl w:val="false"/>
              <w:rPr>
                <w:highlight w:val="none"/>
                <w:shd w:fill="EEEEEE" w:val="clear"/>
              </w:rPr>
            </w:pPr>
            <w:r>
              <w:rPr>
                <w:shd w:fill="EEEEEE" w:val="clear"/>
              </w:rPr>
              <w:t>request_params</w:t>
            </w:r>
          </w:p>
        </w:tc>
        <w:tc>
          <w:tcPr>
            <w:tcW w:w="957" w:type="dxa"/>
            <w:tcBorders/>
            <w:vAlign w:val="center"/>
          </w:tcPr>
          <w:p>
            <w:pPr>
              <w:pStyle w:val="PreformattedText"/>
              <w:widowControl w:val="false"/>
              <w:rPr/>
            </w:pPr>
            <w:r>
              <w:rPr/>
              <w:t>object</w:t>
            </w:r>
          </w:p>
        </w:tc>
        <w:tc>
          <w:tcPr>
            <w:tcW w:w="1084" w:type="dxa"/>
            <w:tcBorders/>
            <w:vAlign w:val="center"/>
          </w:tcPr>
          <w:p>
            <w:pPr>
              <w:pStyle w:val="PreformattedText"/>
              <w:widowControl w:val="false"/>
              <w:rPr>
                <w:rFonts w:ascii="DejaVu Sans Mono" w:hAnsi="DejaVu Sans Mono"/>
              </w:rPr>
            </w:pPr>
            <w:r>
              <w:rPr>
                <w:rFonts w:ascii="DejaVu Sans Mono" w:hAnsi="DejaVu Sans Mono"/>
              </w:rPr>
              <w:t>N/A</w:t>
            </w:r>
          </w:p>
        </w:tc>
        <w:tc>
          <w:tcPr>
            <w:tcW w:w="1154" w:type="dxa"/>
            <w:tcBorders/>
            <w:vAlign w:val="center"/>
          </w:tcPr>
          <w:p>
            <w:pPr>
              <w:pStyle w:val="PreformattedText"/>
              <w:widowControl w:val="false"/>
              <w:rPr/>
            </w:pPr>
            <w:r>
              <w:rPr/>
            </w:r>
          </w:p>
        </w:tc>
        <w:tc>
          <w:tcPr>
            <w:tcW w:w="4074" w:type="dxa"/>
            <w:tcBorders/>
            <w:vAlign w:val="center"/>
          </w:tcPr>
          <w:p>
            <w:pPr>
              <w:pStyle w:val="PreformattedText"/>
              <w:widowControl w:val="false"/>
              <w:rPr/>
            </w:pPr>
            <w:r>
              <w:rPr/>
              <w:t>[{ "code": "TUR" }, { "id": "10" }]</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color w:val="000000"/>
        </w:rPr>
      </w:pPr>
      <w:bookmarkStart w:id="24" w:name="__RefHeading___Toc9000_654419804"/>
      <w:bookmarkEnd w:id="2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"entity_name": "country",</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"api_end_point": "/v1/money-transfer/banks/{country_code}",</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"api_method": "GET"</w:t>
            </w:r>
          </w:p>
          <w:p>
            <w:pPr>
              <w:pStyle w:val="PreformattedText"/>
              <w:widowControl w:val="false"/>
              <w:rPr/>
            </w:pPr>
            <w:r>
              <w:rPr>
                <w:rStyle w:val="SourceText"/>
                <w:rFonts w:ascii="DejaVu Sans Mono" w:hAnsi="DejaVu Sans Mono"/>
              </w:rPr>
              <w:t>}</w:t>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11"/>
      <w:bookmarkStart w:id="26" w:name="_Toc84114459111"/>
      <w:bookmarkStart w:id="27" w:name="_Toc121310485111"/>
      <w:bookmarkStart w:id="28" w:name="__RefHeading___Toc8630_654419804111"/>
      <w:bookmarkStart w:id="29" w:name="_Toc84114459111"/>
      <w:bookmarkStart w:id="30" w:name="_Toc12131048511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rFonts w:ascii="DejaVu Sans Mono" w:hAnsi="DejaVu Sans Mono"/>
              </w:rPr>
            </w:pPr>
            <w:r>
              <w:rPr>
                <w:rFonts w:ascii="DejaVu Sans Mono" w:hAnsi="DejaVu Sans Mono"/>
              </w:rPr>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Pr>
              <w:t>N/A</w:t>
            </w:r>
          </w:p>
        </w:tc>
      </w:tr>
    </w:tbl>
    <w:p>
      <w:pPr>
        <w:pStyle w:val="Normal1"/>
        <w:spacing w:before="0" w:after="0"/>
        <w:contextualSpacing w:val="false"/>
        <w:rPr>
          <w:rFonts w:ascii="DejaVu Sans Mono" w:hAnsi="DejaVu Sans Mono"/>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Application>LibreOffice/7.3.7.2$Linux_X86_64 LibreOffice_project/30$Build-2</Application>
  <AppVersion>15.0000</AppVersion>
  <Pages>6</Pages>
  <Words>382</Words>
  <Characters>2938</Characters>
  <CharactersWithSpaces>3266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2024-09-02T17:01:03Z</dcterms:modified>
  <cp:revision>205</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