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2A44"/>
          <w:sz w:val="40"/>
        </w:rPr>
        <w:t>Mehdi TALIL</w:t>
      </w:r>
    </w:p>
    <w:p>
      <w:pPr>
        <w:spacing w:after="20"/>
      </w:pPr>
      <w:r>
        <w:rPr>
          <w:b/>
          <w:sz w:val="22"/>
          <w:highlight w:val="yellow"/>
        </w:rPr>
        <w:t>[TITRE EXACT DE L'OFFRE — ex. Stage Consumer Insights / Stage E-Merchandising / Stage Marketing Digital]</w:t>
      </w:r>
      <w:r>
        <w:rPr>
          <w:b/>
          <w:sz w:val="22"/>
        </w:rPr>
        <w:t xml:space="preserve"> — 6 mois, dès janvier 2027</w:t>
      </w:r>
    </w:p>
    <w:p>
      <w:pPr>
        <w:spacing w:after="40"/>
      </w:pPr>
      <w:r>
        <w:rPr>
          <w:b w:val="0"/>
          <w:sz w:val="19"/>
        </w:rPr>
        <w:t>Paris · Mobile en France  |  +33 7 76 48 75 98  |  mehdi.talil26@gmail.com  |  Anglais courant</w:t>
      </w:r>
    </w:p>
    <w:p>
      <w:pPr>
        <w:spacing w:before="140" w:after="40"/>
        <w:pBdr>
          <w:bottom w:val="single" w:sz="6" w:space="1" w:color="1F2A44"/>
        </w:pBdr>
      </w:pPr>
      <w:r>
        <w:rPr>
          <w:b/>
          <w:color w:val="1F2A44"/>
          <w:sz w:val="21"/>
        </w:rPr>
        <w:t>PROFIL</w:t>
      </w:r>
    </w:p>
    <w:p>
      <w:pPr>
        <w:spacing w:after="0"/>
      </w:pPr>
      <w:r>
        <w:rPr>
          <w:b w:val="0"/>
          <w:sz w:val="20"/>
        </w:rPr>
        <w:t xml:space="preserve">Étudiant en </w:t>
      </w:r>
      <w:r>
        <w:rPr>
          <w:b/>
          <w:sz w:val="20"/>
        </w:rPr>
        <w:t>M2 Marketing Digital</w:t>
      </w:r>
      <w:r>
        <w:rPr>
          <w:b w:val="0"/>
          <w:sz w:val="20"/>
        </w:rPr>
        <w:t xml:space="preserve"> (double diplomation </w:t>
      </w:r>
      <w:r>
        <w:rPr>
          <w:b/>
          <w:sz w:val="20"/>
        </w:rPr>
        <w:t>ENCG Settat / Brest Business School</w:t>
      </w:r>
      <w:r>
        <w:rPr>
          <w:b w:val="0"/>
          <w:sz w:val="20"/>
        </w:rPr>
        <w:t xml:space="preserve">, Grande École). </w:t>
      </w:r>
      <w:r>
        <w:rPr>
          <w:b/>
          <w:sz w:val="20"/>
        </w:rPr>
        <w:t>Études de marché terrain</w:t>
      </w:r>
      <w:r>
        <w:rPr>
          <w:b w:val="0"/>
          <w:sz w:val="20"/>
        </w:rPr>
        <w:t xml:space="preserve"> (Sunergia) et </w:t>
      </w:r>
      <w:r>
        <w:rPr>
          <w:b/>
          <w:sz w:val="20"/>
        </w:rPr>
        <w:t>catalogue e-commerce</w:t>
      </w:r>
      <w:r>
        <w:rPr>
          <w:b w:val="0"/>
          <w:sz w:val="20"/>
        </w:rPr>
        <w:t xml:space="preserve"> de produits de grande consommation (Bladna) : je transforme des données consommateurs en actions business concrètes.</w:t>
      </w:r>
    </w:p>
    <w:p>
      <w:pPr>
        <w:spacing w:before="140" w:after="40"/>
        <w:pBdr>
          <w:bottom w:val="single" w:sz="6" w:space="1" w:color="1F2A44"/>
        </w:pBdr>
      </w:pPr>
      <w:r>
        <w:rPr>
          <w:b/>
          <w:color w:val="1F2A44"/>
          <w:sz w:val="21"/>
        </w:rPr>
        <w:t>COMPÉTENCES CLÉS</w:t>
      </w:r>
    </w:p>
    <w:p>
      <w:pPr>
        <w:spacing w:after="0"/>
      </w:pPr>
      <w:r>
        <w:rPr>
          <w:b/>
          <w:sz w:val="20"/>
        </w:rPr>
        <w:t>Études &amp; Insights :</w:t>
      </w:r>
      <w:r>
        <w:rPr>
          <w:b w:val="0"/>
          <w:sz w:val="20"/>
        </w:rPr>
        <w:t xml:space="preserve"> études quantitatives et qualitatives, enquêtes terrain, benchmark concurrentiel, tendances de consommation, NielsenIQ, SPSS, Power BI, Excel (tableaux croisés, Power Query)</w:t>
      </w:r>
    </w:p>
    <w:p>
      <w:pPr>
        <w:spacing w:after="0"/>
      </w:pPr>
      <w:r>
        <w:rPr>
          <w:b/>
          <w:sz w:val="20"/>
        </w:rPr>
        <w:t>E-commerce &amp; Digital :</w:t>
      </w:r>
      <w:r>
        <w:rPr>
          <w:b w:val="0"/>
          <w:sz w:val="20"/>
        </w:rPr>
        <w:t xml:space="preserve"> gestion de catalogue produit, fiches produits, WordPress, Shopify, SEO / GEO, Meta Ads, CRM &amp; fidélisation, KPIs, automation (n8n)</w:t>
      </w:r>
    </w:p>
    <w:p>
      <w:pPr>
        <w:spacing w:after="0"/>
      </w:pPr>
      <w:r>
        <w:rPr>
          <w:b/>
          <w:sz w:val="20"/>
        </w:rPr>
        <w:t>Outils :</w:t>
      </w:r>
      <w:r>
        <w:rPr>
          <w:b w:val="0"/>
          <w:sz w:val="20"/>
        </w:rPr>
        <w:t xml:space="preserve"> Pack Office 365 (Excel, PowerPoint, Word), Photoshop, Illustrator, Canva, CapCut</w:t>
      </w:r>
    </w:p>
    <w:p>
      <w:pPr>
        <w:spacing w:before="140" w:after="40"/>
        <w:pBdr>
          <w:bottom w:val="single" w:sz="6" w:space="1" w:color="1F2A44"/>
        </w:pBdr>
      </w:pPr>
      <w:r>
        <w:rPr>
          <w:b/>
          <w:color w:val="1F2A44"/>
          <w:sz w:val="21"/>
        </w:rPr>
        <w:t>EXPÉRIENCES PROFESSIONNELLES</w:t>
      </w:r>
    </w:p>
    <w:p>
      <w:pPr>
        <w:tabs>
          <w:tab w:pos="9978" w:val="right"/>
        </w:tabs>
        <w:spacing w:before="80"/>
      </w:pPr>
      <w:r>
        <w:rPr>
          <w:b/>
        </w:rPr>
        <w:t>Enquêteur terrain</w:t>
      </w:r>
      <w:r>
        <w:t xml:space="preserve"> | Sunergia</w:t>
      </w:r>
      <w:r>
        <w:rPr>
          <w:b/>
        </w:rPr>
        <w:tab/>
        <w:t>Juin – Août 2026</w:t>
      </w:r>
    </w:p>
    <w:p>
      <w:pPr>
        <w:pStyle w:val="ListBullet"/>
        <w:ind w:left="312" w:hanging="227"/>
      </w:pPr>
      <w:r>
        <w:rPr>
          <w:b w:val="0"/>
        </w:rPr>
        <w:t xml:space="preserve">Garanti la fiabilité des </w:t>
      </w:r>
      <w:r>
        <w:rPr>
          <w:b/>
        </w:rPr>
        <w:t>données consommateurs</w:t>
      </w:r>
      <w:r>
        <w:rPr>
          <w:b w:val="0"/>
        </w:rPr>
        <w:t xml:space="preserve"> collectées, mesuré par le respect des objectifs quantitatifs et des délais de collecte (</w:t>
      </w:r>
      <w:r>
        <w:rPr>
          <w:b w:val="0"/>
          <w:highlight w:val="yellow"/>
        </w:rPr>
        <w:t>[N]</w:t>
      </w:r>
      <w:r>
        <w:rPr>
          <w:b w:val="0"/>
        </w:rPr>
        <w:t xml:space="preserve"> questionnaires, </w:t>
      </w:r>
      <w:r>
        <w:rPr>
          <w:b w:val="0"/>
          <w:highlight w:val="yellow"/>
        </w:rPr>
        <w:t>[N]</w:t>
      </w:r>
      <w:r>
        <w:rPr>
          <w:b w:val="0"/>
        </w:rPr>
        <w:t xml:space="preserve"> % de l'objectif), en administrant questionnaires et guides d'entretien en face-à-face.</w:t>
      </w:r>
    </w:p>
    <w:p>
      <w:pPr>
        <w:pStyle w:val="ListBullet"/>
        <w:ind w:left="312" w:hanging="227"/>
      </w:pPr>
      <w:r>
        <w:rPr>
          <w:b w:val="0"/>
        </w:rPr>
        <w:t xml:space="preserve">Maintenu un haut niveau de qualité de donnée en autonomie, mesuré par la conduite d'enquêtes sur </w:t>
      </w:r>
      <w:r>
        <w:rPr>
          <w:b w:val="0"/>
          <w:highlight w:val="yellow"/>
        </w:rPr>
        <w:t>[N]</w:t>
      </w:r>
      <w:r>
        <w:rPr>
          <w:b w:val="0"/>
        </w:rPr>
        <w:t xml:space="preserve"> zones variées, en organisant seul mes déplacements et ma collecte.</w:t>
      </w:r>
    </w:p>
    <w:p>
      <w:pPr>
        <w:tabs>
          <w:tab w:pos="9978" w:val="right"/>
        </w:tabs>
        <w:spacing w:before="80"/>
      </w:pPr>
      <w:r>
        <w:rPr>
          <w:b/>
        </w:rPr>
        <w:t>Assistant Marketing &amp; Développement</w:t>
      </w:r>
      <w:r>
        <w:t xml:space="preserve"> | Bladna (Eurobrands), Paris</w:t>
      </w:r>
      <w:r>
        <w:rPr>
          <w:b/>
        </w:rPr>
        <w:tab/>
        <w:t>Janv. – Avr. 2026</w:t>
      </w:r>
    </w:p>
    <w:p>
      <w:pPr>
        <w:pStyle w:val="ListBullet"/>
        <w:ind w:left="312" w:hanging="227"/>
      </w:pPr>
      <w:r>
        <w:rPr>
          <w:b w:val="0"/>
        </w:rPr>
        <w:t xml:space="preserve">Amélioré le </w:t>
      </w:r>
      <w:r>
        <w:rPr>
          <w:b/>
        </w:rPr>
        <w:t>référencement SEO / GEO</w:t>
      </w:r>
      <w:r>
        <w:rPr>
          <w:b w:val="0"/>
        </w:rPr>
        <w:t xml:space="preserve"> et les KPIs du site e-commerce Bladna.fr, mesuré par </w:t>
      </w:r>
      <w:r>
        <w:rPr>
          <w:b w:val="0"/>
          <w:highlight w:val="yellow"/>
        </w:rPr>
        <w:t>[+N % de trafic / N pages indexées]</w:t>
      </w:r>
      <w:r>
        <w:rPr>
          <w:b w:val="0"/>
        </w:rPr>
        <w:t xml:space="preserve">, en refondant l'architecture </w:t>
      </w:r>
      <w:r>
        <w:rPr>
          <w:b/>
        </w:rPr>
        <w:t>WordPress</w:t>
      </w:r>
      <w:r>
        <w:rPr>
          <w:b w:val="0"/>
        </w:rPr>
        <w:t xml:space="preserve"> et en rédigeant </w:t>
      </w:r>
      <w:r>
        <w:rPr>
          <w:b w:val="0"/>
          <w:highlight w:val="yellow"/>
        </w:rPr>
        <w:t>[N]</w:t>
      </w:r>
      <w:r>
        <w:rPr>
          <w:b w:val="0"/>
        </w:rPr>
        <w:t xml:space="preserve"> fiches produits et articles optimisés.</w:t>
      </w:r>
    </w:p>
    <w:p>
      <w:pPr>
        <w:pStyle w:val="ListBullet"/>
        <w:ind w:left="312" w:hanging="227"/>
      </w:pPr>
      <w:r>
        <w:rPr>
          <w:b w:val="0"/>
        </w:rPr>
        <w:t xml:space="preserve">Visé </w:t>
      </w:r>
      <w:r>
        <w:rPr>
          <w:b/>
        </w:rPr>
        <w:t>+25 % de rétention client</w:t>
      </w:r>
      <w:r>
        <w:rPr>
          <w:b w:val="0"/>
        </w:rPr>
        <w:t>, mesuré par le taux de réachat et les avis collectés, en concevant une stratégie de fidélisation (cartes de remerciement, incentives avis).</w:t>
      </w:r>
    </w:p>
    <w:p>
      <w:pPr>
        <w:pStyle w:val="ListBullet"/>
        <w:ind w:left="312" w:hanging="227"/>
      </w:pPr>
      <w:r>
        <w:rPr>
          <w:b w:val="0"/>
        </w:rPr>
        <w:t>Identifié les attentes de 2 segments (diaspora marocaine, consommateurs européens), mesuré par les insights tirés des retours clients, en analysant les tendances d'un marché de grande consommation (FMCG).</w:t>
      </w:r>
    </w:p>
    <w:p>
      <w:pPr>
        <w:pStyle w:val="ListBullet"/>
        <w:ind w:left="312" w:hanging="227"/>
      </w:pPr>
      <w:r>
        <w:rPr>
          <w:b w:val="0"/>
        </w:rPr>
        <w:t xml:space="preserve">Sourcé et négocié avec </w:t>
      </w:r>
      <w:r>
        <w:rPr>
          <w:b/>
        </w:rPr>
        <w:t>10+ fournisseurs européens</w:t>
      </w:r>
      <w:r>
        <w:rPr>
          <w:b w:val="0"/>
        </w:rPr>
        <w:t xml:space="preserve"> de cosmétiques, mesuré par </w:t>
      </w:r>
      <w:r>
        <w:rPr>
          <w:b w:val="0"/>
          <w:highlight w:val="yellow"/>
        </w:rPr>
        <w:t>[N fournisseurs retenus]</w:t>
      </w:r>
      <w:r>
        <w:rPr>
          <w:b w:val="0"/>
        </w:rPr>
        <w:t>, en menant benchmark et négociation.</w:t>
      </w:r>
    </w:p>
    <w:p>
      <w:pPr>
        <w:tabs>
          <w:tab w:pos="9978" w:val="right"/>
        </w:tabs>
        <w:spacing w:before="80"/>
      </w:pPr>
      <w:r>
        <w:rPr>
          <w:b/>
        </w:rPr>
        <w:t>Chef de cellule Communication &amp; infographie</w:t>
      </w:r>
      <w:r>
        <w:t xml:space="preserve"> | Club 6Days, ENCG Settat</w:t>
      </w:r>
      <w:r>
        <w:rPr>
          <w:b/>
        </w:rPr>
        <w:tab/>
        <w:t>2023 – 2024</w:t>
      </w:r>
    </w:p>
    <w:p>
      <w:pPr>
        <w:pStyle w:val="ListBullet"/>
        <w:ind w:left="312" w:hanging="227"/>
      </w:pPr>
      <w:r>
        <w:rPr>
          <w:b w:val="0"/>
        </w:rPr>
        <w:t xml:space="preserve">Renforcé la visibilité des activités associatives, mesuré par </w:t>
      </w:r>
      <w:r>
        <w:rPr>
          <w:b w:val="0"/>
          <w:highlight w:val="yellow"/>
        </w:rPr>
        <w:t>[N abonnés / N vues]</w:t>
      </w:r>
      <w:r>
        <w:rPr>
          <w:b w:val="0"/>
        </w:rPr>
        <w:t>, en pilotant la communication interne et digitale (publications, reels, stories, affiches sur Instagram et TikTok).</w:t>
      </w:r>
    </w:p>
    <w:p>
      <w:pPr>
        <w:tabs>
          <w:tab w:pos="9978" w:val="right"/>
        </w:tabs>
        <w:spacing w:before="80"/>
      </w:pPr>
      <w:r>
        <w:rPr>
          <w:b/>
        </w:rPr>
        <w:t>Assistant Chargé de Clientèle</w:t>
      </w:r>
      <w:r>
        <w:t xml:space="preserve"> | CIH Bank, Casablanca</w:t>
      </w:r>
      <w:r>
        <w:rPr>
          <w:b/>
        </w:rPr>
        <w:tab/>
        <w:t>Juil. 2024</w:t>
      </w:r>
    </w:p>
    <w:p>
      <w:pPr>
        <w:pStyle w:val="ListBullet"/>
        <w:ind w:left="312" w:hanging="227"/>
      </w:pPr>
      <w:r>
        <w:rPr>
          <w:b w:val="0"/>
        </w:rPr>
        <w:t>Fiabilisé les dossiers clients, mesuré par la qualité des données saisies et vérifiées, en participant à l'instruction de dossiers de crédit (~30 clients/jour).</w:t>
      </w:r>
    </w:p>
    <w:p>
      <w:pPr>
        <w:spacing w:before="140" w:after="40"/>
        <w:pBdr>
          <w:bottom w:val="single" w:sz="6" w:space="1" w:color="1F2A44"/>
        </w:pBdr>
      </w:pPr>
      <w:r>
        <w:rPr>
          <w:b/>
          <w:color w:val="1F2A44"/>
          <w:sz w:val="21"/>
        </w:rPr>
        <w:t>FORMATION</w:t>
      </w:r>
    </w:p>
    <w:p>
      <w:pPr>
        <w:tabs>
          <w:tab w:pos="9978" w:val="right"/>
        </w:tabs>
        <w:spacing w:before="80"/>
      </w:pPr>
      <w:r>
        <w:rPr>
          <w:b/>
        </w:rPr>
        <w:t>Master Marketing Digital – double diplomation (Grande École)</w:t>
      </w:r>
      <w:r>
        <w:t xml:space="preserve"> | Brest Business School</w:t>
      </w:r>
      <w:r>
        <w:rPr>
          <w:b/>
        </w:rPr>
        <w:tab/>
        <w:t>2026 – 2027</w:t>
      </w:r>
    </w:p>
    <w:p>
      <w:pPr>
        <w:spacing w:after="0"/>
      </w:pPr>
      <w:r>
        <w:rPr>
          <w:b w:val="0"/>
          <w:sz w:val="19"/>
        </w:rPr>
        <w:t>Distribution omnicanale · Relation client · Stratégie de communication</w:t>
      </w:r>
    </w:p>
    <w:p>
      <w:pPr>
        <w:tabs>
          <w:tab w:pos="9978" w:val="right"/>
        </w:tabs>
        <w:spacing w:before="80"/>
      </w:pPr>
      <w:r>
        <w:rPr>
          <w:b/>
        </w:rPr>
        <w:t>Master 1 Marketing &amp; Actions Commerciales</w:t>
      </w:r>
      <w:r>
        <w:t xml:space="preserve"> | ENCG Settat</w:t>
      </w:r>
      <w:r>
        <w:rPr>
          <w:b/>
        </w:rPr>
        <w:tab/>
        <w:t>2022 – 2027</w:t>
      </w:r>
    </w:p>
    <w:p>
      <w:pPr>
        <w:spacing w:after="0"/>
      </w:pPr>
      <w:r>
        <w:rPr>
          <w:b w:val="0"/>
          <w:sz w:val="19"/>
        </w:rPr>
        <w:t>Études de marché · Analyse de données · Marketing stratégique</w:t>
      </w:r>
    </w:p>
    <w:p>
      <w:pPr>
        <w:tabs>
          <w:tab w:pos="9978" w:val="right"/>
        </w:tabs>
        <w:spacing w:before="80"/>
      </w:pPr>
      <w:r>
        <w:rPr>
          <w:b/>
        </w:rPr>
        <w:t>Neuroscience du consommateur &amp; Neuromarketing</w:t>
      </w:r>
      <w:r>
        <w:t xml:space="preserve"> | Copenhagen Business School (en ligne)</w:t>
      </w:r>
      <w:r>
        <w:rPr>
          <w:b/>
        </w:rPr>
        <w:tab/>
        <w:t>Avr. 2025</w:t>
      </w:r>
    </w:p>
    <w:p>
      <w:pPr>
        <w:spacing w:before="140" w:after="40"/>
        <w:pBdr>
          <w:bottom w:val="single" w:sz="6" w:space="1" w:color="1F2A44"/>
        </w:pBdr>
      </w:pPr>
      <w:r>
        <w:rPr>
          <w:b/>
          <w:color w:val="1F2A44"/>
          <w:sz w:val="21"/>
        </w:rPr>
        <w:t>ENGAGEMENTS &amp; LANGUES</w:t>
      </w:r>
    </w:p>
    <w:p>
      <w:pPr>
        <w:pStyle w:val="ListBullet"/>
        <w:ind w:left="312" w:hanging="227"/>
      </w:pPr>
      <w:r>
        <w:rPr>
          <w:b/>
        </w:rPr>
        <w:t>Bureau exécutif, Club 6Days (2024 – 2025)</w:t>
      </w:r>
      <w:r>
        <w:rPr>
          <w:b w:val="0"/>
        </w:rPr>
        <w:t xml:space="preserve"> : coordonné </w:t>
      </w:r>
      <w:r>
        <w:rPr>
          <w:b/>
        </w:rPr>
        <w:t>22+ actions</w:t>
      </w:r>
      <w:r>
        <w:rPr>
          <w:b w:val="0"/>
        </w:rPr>
        <w:t xml:space="preserve"> événementielles et humanitaires, mesuré par la mobilisation de </w:t>
      </w:r>
      <w:r>
        <w:rPr>
          <w:b/>
        </w:rPr>
        <w:t>200+ membres</w:t>
      </w:r>
      <w:r>
        <w:rPr>
          <w:b w:val="0"/>
        </w:rPr>
        <w:t xml:space="preserve"> ; </w:t>
      </w:r>
      <w:r>
        <w:rPr>
          <w:b/>
        </w:rPr>
        <w:t>Prix du Meilleur Trésorier 2025</w:t>
      </w:r>
      <w:r>
        <w:rPr>
          <w:b w:val="0"/>
        </w:rPr>
        <w:t xml:space="preserve"> pour une gestion budgétaire rigoureuse.</w:t>
      </w:r>
    </w:p>
    <w:p>
      <w:pPr>
        <w:pStyle w:val="ListBullet"/>
        <w:ind w:left="312" w:hanging="227"/>
      </w:pPr>
      <w:r>
        <w:rPr>
          <w:b/>
        </w:rPr>
        <w:t>Langues :</w:t>
      </w:r>
      <w:r>
        <w:rPr>
          <w:b w:val="0"/>
        </w:rPr>
        <w:t xml:space="preserve"> Français (bilingue) · Anglais (courant) · Arabe (langue maternelle) · Espagnol (A2)</w:t>
      </w:r>
    </w:p>
    <w:sectPr w:rsidR="00FC693F" w:rsidRPr="0006063C" w:rsidSect="00034616">
      <w:pgSz w:w="11906" w:h="16838"/>
      <w:pgMar w:top="680" w:right="964" w:bottom="62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