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0"/>
        <w:jc w:val="center"/>
      </w:pPr>
      <w:r>
        <w:rPr>
          <w:rFonts w:ascii="Aptos Display" w:hAnsi="Aptos Display"/>
          <w:b/>
          <w:color w:val="17365D"/>
          <w:sz w:val="50"/>
        </w:rPr>
        <w:t>HEATED PCB BEAM</w:t>
      </w:r>
    </w:p>
    <w:p>
      <w:pPr>
        <w:spacing w:before="0" w:after="100"/>
        <w:jc w:val="center"/>
      </w:pPr>
      <w:r>
        <w:rPr>
          <w:b/>
          <w:color w:val="2F75B5"/>
          <w:sz w:val="30"/>
        </w:rPr>
        <w:t>Dual- and Single-Heater Experimental Setups</w:t>
      </w:r>
    </w:p>
    <w:p>
      <w:pPr>
        <w:pStyle w:val="DocumentSubtitle"/>
        <w:spacing w:after="280"/>
        <w:jc w:val="center"/>
      </w:pPr>
      <w:r>
        <w:t>Technical description of the PCB geometry, heater configurations, temperature-sensor array, and Arduino-based control system</w:t>
      </w:r>
    </w:p>
    <w:tbl>
      <w:tblPr>
        <w:tblW w:type="auto" w:w="0"/>
        <w:jc w:val="center"/>
        <w:tblLayout w:type="fixed"/>
        <w:tblLook w:firstColumn="1" w:firstRow="1" w:lastColumn="0" w:lastRow="0" w:noHBand="0" w:noVBand="1" w:val="04A0"/>
      </w:tblPr>
      <w:tblGrid>
        <w:gridCol w:w="9994"/>
      </w:tblGrid>
      <w:tr>
        <w:tc>
          <w:tcPr>
            <w:tcW w:type="dxa" w:w="9720"/>
            <w:shd w:fill="D9EAF7"/>
            <w:tcMar>
              <w:top w:w="130" w:type="dxa"/>
              <w:start w:w="150" w:type="dxa"/>
              <w:bottom w:w="130" w:type="dxa"/>
              <w:end w:w="150" w:type="dxa"/>
            </w:tcMar>
            <w:tcBorders>
              <w:top w:val="nil"/>
              <w:start w:val="single" w:sz="18" w:color="17365D"/>
              <w:bottom w:val="nil"/>
              <w:end w:val="nil"/>
            </w:tcBorders>
          </w:tcPr>
          <w:p>
            <w:pPr>
              <w:spacing w:after="40"/>
            </w:pPr>
            <w:r>
              <w:rPr>
                <w:b/>
                <w:color w:val="17365D"/>
                <w:sz w:val="21"/>
              </w:rPr>
              <w:t>Document scope</w:t>
            </w:r>
          </w:p>
          <w:p>
            <w:pPr>
              <w:spacing w:after="0" w:line="252" w:lineRule="auto"/>
            </w:pPr>
            <w:r>
              <w:rPr>
                <w:color w:val="27313A"/>
                <w:sz w:val="19"/>
              </w:rPr>
              <w:t>Setup 1 is the dual-heater beam with one 30 ohm heater at each end of the sensing beam. Setup 2 is the single-heater beam with one 15 ohm heater at one end. Both setups use the same general PCB beam construction and five-sensor temperature array.</w:t>
            </w:r>
          </w:p>
        </w:tc>
      </w:tr>
    </w:tbl>
    <w:p>
      <w:pPr>
        <w:spacing w:after="0"/>
      </w:pPr>
    </w:p>
    <w:p>
      <w:pPr>
        <w:pStyle w:val="Heading1"/>
        <w:pageBreakBefore w:val="0"/>
      </w:pPr>
      <w:r>
        <w:t>1. System Overview</w:t>
      </w:r>
    </w:p>
    <w:p>
      <w:pPr>
        <w:pStyle w:val="BodyText"/>
        <w:keepNext w:val="0"/>
      </w:pPr>
      <w:r>
        <w:t>The experimental platform consists of a narrow, thermally isolated PCB beam instrumented with five temperature sensors. The beam is integrated into a larger holding PCB, but mechanical cutouts and the absence of broad copper pours in the surrounding frame reduce unwanted heat conduction away from the active structure.</w:t>
      </w:r>
    </w:p>
    <w:p>
      <w:pPr>
        <w:pStyle w:val="BodyText"/>
        <w:keepNext w:val="0"/>
      </w:pPr>
      <w:r>
        <w:t>Two heater configurations are used. Setup 1 includes heater regions at both ends of the beam and can be driven from either end or from both ends simultaneously. Setup 2 includes a single heater region at one end of the beam. Both assemblies connect to an Arduino-based controller through a custom interface PCB that measures the sensor temperatures, commands the heater PWM outputs, records telemetry, and enforces an over-temperature shutdown.</w:t>
      </w:r>
    </w:p>
    <w:p>
      <w:pPr>
        <w:pStyle w:val="Heading1"/>
        <w:pageBreakBefore w:val="0"/>
      </w:pPr>
      <w:r>
        <w:t>2. Configuration Summary</w:t>
      </w:r>
    </w:p>
    <w:tbl>
      <w:tblPr>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2232"/>
            <w:tcBorders>
              <w:top w:val="single" w:sz="5" w:color="B7C3CE"/>
              <w:start w:val="single" w:sz="5" w:color="B7C3CE"/>
              <w:bottom w:val="single" w:sz="5" w:color="B7C3CE"/>
              <w:end w:val="single" w:sz="5" w:color="B7C3CE"/>
            </w:tcBorders>
            <w:shd w:fill="17365D"/>
            <w:vAlign w:val="center"/>
            <w:tcMar>
              <w:top w:w="90" w:type="dxa"/>
              <w:start w:w="110" w:type="dxa"/>
              <w:bottom w:w="90" w:type="dxa"/>
              <w:end w:w="110" w:type="dxa"/>
            </w:tcMar>
          </w:tcPr>
          <w:p>
            <w:pPr>
              <w:spacing w:before="0" w:after="0" w:line="245" w:lineRule="auto"/>
              <w:jc w:val="left"/>
            </w:pPr>
            <w:r>
              <w:rPr>
                <w:rFonts w:ascii="Aptos" w:hAnsi="Aptos"/>
                <w:b/>
                <w:color w:val="FFFFFF"/>
                <w:sz w:val="18"/>
              </w:rPr>
              <w:t>Parameter</w:t>
            </w:r>
          </w:p>
        </w:tc>
        <w:tc>
          <w:tcPr>
            <w:tcW w:type="dxa" w:w="3671"/>
            <w:tcBorders>
              <w:top w:val="single" w:sz="5" w:color="B7C3CE"/>
              <w:start w:val="single" w:sz="5" w:color="B7C3CE"/>
              <w:bottom w:val="single" w:sz="5" w:color="B7C3CE"/>
              <w:end w:val="single" w:sz="5" w:color="B7C3CE"/>
            </w:tcBorders>
            <w:shd w:fill="17365D"/>
            <w:vAlign w:val="center"/>
            <w:tcMar>
              <w:top w:w="90" w:type="dxa"/>
              <w:start w:w="110" w:type="dxa"/>
              <w:bottom w:w="90" w:type="dxa"/>
              <w:end w:w="110" w:type="dxa"/>
            </w:tcMar>
          </w:tcPr>
          <w:p>
            <w:pPr>
              <w:spacing w:before="0" w:after="0" w:line="245" w:lineRule="auto"/>
              <w:jc w:val="left"/>
            </w:pPr>
            <w:r>
              <w:rPr>
                <w:rFonts w:ascii="Aptos" w:hAnsi="Aptos"/>
                <w:b/>
                <w:color w:val="FFFFFF"/>
                <w:sz w:val="18"/>
              </w:rPr>
              <w:t>Setup 1 - Dual heater</w:t>
            </w:r>
          </w:p>
        </w:tc>
        <w:tc>
          <w:tcPr>
            <w:tcW w:type="dxa" w:w="3671"/>
            <w:tcBorders>
              <w:top w:val="single" w:sz="5" w:color="B7C3CE"/>
              <w:start w:val="single" w:sz="5" w:color="B7C3CE"/>
              <w:bottom w:val="single" w:sz="5" w:color="B7C3CE"/>
              <w:end w:val="single" w:sz="5" w:color="B7C3CE"/>
            </w:tcBorders>
            <w:shd w:fill="17365D"/>
            <w:vAlign w:val="center"/>
            <w:tcMar>
              <w:top w:w="90" w:type="dxa"/>
              <w:start w:w="110" w:type="dxa"/>
              <w:bottom w:w="90" w:type="dxa"/>
              <w:end w:w="110" w:type="dxa"/>
            </w:tcMar>
          </w:tcPr>
          <w:p>
            <w:pPr>
              <w:spacing w:before="0" w:after="0" w:line="245" w:lineRule="auto"/>
              <w:jc w:val="left"/>
            </w:pPr>
            <w:r>
              <w:rPr>
                <w:rFonts w:ascii="Aptos" w:hAnsi="Aptos"/>
                <w:b/>
                <w:color w:val="FFFFFF"/>
                <w:sz w:val="18"/>
              </w:rPr>
              <w:t>Setup 2 - Single heater</w:t>
            </w:r>
          </w:p>
        </w:tc>
      </w:tr>
      <w:tr>
        <w:trPr>
          <w:cantSplit/>
        </w:trPr>
        <w:tc>
          <w:tcPr>
            <w:tcW w:type="dxa" w:w="2232"/>
            <w:tcBorders>
              <w:top w:val="single" w:sz="5" w:color="B7C3CE"/>
              <w:start w:val="single" w:sz="5" w:color="B7C3CE"/>
              <w:bottom w:val="single" w:sz="5" w:color="B7C3CE"/>
              <w:end w:val="single" w:sz="5" w:color="B7C3CE"/>
            </w:tcBorders>
            <w:vAlign w:val="center"/>
            <w:tcMar>
              <w:top w:w="90" w:type="dxa"/>
              <w:start w:w="110" w:type="dxa"/>
              <w:bottom w:w="90" w:type="dxa"/>
              <w:end w:w="110" w:type="dxa"/>
            </w:tcMar>
          </w:tcPr>
          <w:p>
            <w:pPr>
              <w:spacing w:before="0" w:after="0" w:line="245" w:lineRule="auto"/>
              <w:jc w:val="left"/>
            </w:pPr>
            <w:r>
              <w:rPr>
                <w:rFonts w:ascii="Aptos" w:hAnsi="Aptos"/>
                <w:b w:val="0"/>
                <w:color w:val="27313A"/>
                <w:sz w:val="17"/>
              </w:rPr>
              <w:t>Heater locations</w:t>
            </w:r>
          </w:p>
        </w:tc>
        <w:tc>
          <w:tcPr>
            <w:tcW w:type="dxa" w:w="3671"/>
            <w:tcBorders>
              <w:top w:val="single" w:sz="5" w:color="B7C3CE"/>
              <w:start w:val="single" w:sz="5" w:color="B7C3CE"/>
              <w:bottom w:val="single" w:sz="5" w:color="B7C3CE"/>
              <w:end w:val="single" w:sz="5" w:color="B7C3CE"/>
            </w:tcBorders>
            <w:vAlign w:val="center"/>
            <w:tcMar>
              <w:top w:w="90" w:type="dxa"/>
              <w:start w:w="110" w:type="dxa"/>
              <w:bottom w:w="90" w:type="dxa"/>
              <w:end w:w="110" w:type="dxa"/>
            </w:tcMar>
          </w:tcPr>
          <w:p>
            <w:pPr>
              <w:spacing w:before="0" w:after="0" w:line="245" w:lineRule="auto"/>
              <w:jc w:val="left"/>
            </w:pPr>
            <w:r>
              <w:rPr>
                <w:rFonts w:ascii="Aptos" w:hAnsi="Aptos"/>
                <w:b w:val="0"/>
                <w:color w:val="27313A"/>
                <w:sz w:val="17"/>
              </w:rPr>
              <w:t>One heater region at each end of the beam</w:t>
            </w:r>
          </w:p>
        </w:tc>
        <w:tc>
          <w:tcPr>
            <w:tcW w:type="dxa" w:w="3671"/>
            <w:tcBorders>
              <w:top w:val="single" w:sz="5" w:color="B7C3CE"/>
              <w:start w:val="single" w:sz="5" w:color="B7C3CE"/>
              <w:bottom w:val="single" w:sz="5" w:color="B7C3CE"/>
              <w:end w:val="single" w:sz="5" w:color="B7C3CE"/>
            </w:tcBorders>
            <w:vAlign w:val="center"/>
            <w:tcMar>
              <w:top w:w="90" w:type="dxa"/>
              <w:start w:w="110" w:type="dxa"/>
              <w:bottom w:w="90" w:type="dxa"/>
              <w:end w:w="110" w:type="dxa"/>
            </w:tcMar>
          </w:tcPr>
          <w:p>
            <w:pPr>
              <w:spacing w:before="0" w:after="0" w:line="245" w:lineRule="auto"/>
              <w:jc w:val="left"/>
            </w:pPr>
            <w:r>
              <w:rPr>
                <w:rFonts w:ascii="Aptos" w:hAnsi="Aptos"/>
                <w:b w:val="0"/>
                <w:color w:val="27313A"/>
                <w:sz w:val="17"/>
              </w:rPr>
              <w:t>One heater region at one end of the beam</w:t>
            </w:r>
          </w:p>
        </w:tc>
      </w:tr>
      <w:tr>
        <w:trPr>
          <w:cantSplit/>
        </w:trPr>
        <w:tc>
          <w:tcPr>
            <w:tcW w:type="dxa" w:w="2232"/>
            <w:tcBorders>
              <w:top w:val="single" w:sz="5" w:color="B7C3CE"/>
              <w:start w:val="single" w:sz="5" w:color="B7C3CE"/>
              <w:bottom w:val="single" w:sz="5" w:color="B7C3CE"/>
              <w:end w:val="single" w:sz="5" w:color="B7C3CE"/>
            </w:tcBorders>
            <w:vAlign w:val="center"/>
            <w:tcMar>
              <w:top w:w="90" w:type="dxa"/>
              <w:start w:w="110" w:type="dxa"/>
              <w:bottom w:w="90" w:type="dxa"/>
              <w:end w:w="110" w:type="dxa"/>
            </w:tcMar>
          </w:tcPr>
          <w:p>
            <w:pPr>
              <w:spacing w:before="0" w:after="0" w:line="245" w:lineRule="auto"/>
              <w:jc w:val="left"/>
            </w:pPr>
            <w:r>
              <w:rPr>
                <w:rFonts w:ascii="Aptos" w:hAnsi="Aptos"/>
                <w:b w:val="0"/>
                <w:color w:val="27313A"/>
                <w:sz w:val="17"/>
              </w:rPr>
              <w:t>Resistors per heater</w:t>
            </w:r>
          </w:p>
        </w:tc>
        <w:tc>
          <w:tcPr>
            <w:tcW w:type="dxa" w:w="3671"/>
            <w:tcBorders>
              <w:top w:val="single" w:sz="5" w:color="B7C3CE"/>
              <w:start w:val="single" w:sz="5" w:color="B7C3CE"/>
              <w:bottom w:val="single" w:sz="5" w:color="B7C3CE"/>
              <w:end w:val="single" w:sz="5" w:color="B7C3CE"/>
            </w:tcBorders>
            <w:vAlign w:val="center"/>
            <w:tcMar>
              <w:top w:w="90" w:type="dxa"/>
              <w:start w:w="110" w:type="dxa"/>
              <w:bottom w:w="90" w:type="dxa"/>
              <w:end w:w="110" w:type="dxa"/>
            </w:tcMar>
          </w:tcPr>
          <w:p>
            <w:pPr>
              <w:spacing w:before="0" w:after="0" w:line="245" w:lineRule="auto"/>
              <w:jc w:val="left"/>
            </w:pPr>
            <w:r>
              <w:rPr>
                <w:rFonts w:ascii="Aptos" w:hAnsi="Aptos"/>
                <w:b w:val="0"/>
                <w:color w:val="27313A"/>
                <w:sz w:val="17"/>
              </w:rPr>
              <w:t>Two 15 ohm resistors in series</w:t>
            </w:r>
          </w:p>
        </w:tc>
        <w:tc>
          <w:tcPr>
            <w:tcW w:type="dxa" w:w="3671"/>
            <w:tcBorders>
              <w:top w:val="single" w:sz="5" w:color="B7C3CE"/>
              <w:start w:val="single" w:sz="5" w:color="B7C3CE"/>
              <w:bottom w:val="single" w:sz="5" w:color="B7C3CE"/>
              <w:end w:val="single" w:sz="5" w:color="B7C3CE"/>
            </w:tcBorders>
            <w:vAlign w:val="center"/>
            <w:tcMar>
              <w:top w:w="90" w:type="dxa"/>
              <w:start w:w="110" w:type="dxa"/>
              <w:bottom w:w="90" w:type="dxa"/>
              <w:end w:w="110" w:type="dxa"/>
            </w:tcMar>
          </w:tcPr>
          <w:p>
            <w:pPr>
              <w:spacing w:before="0" w:after="0" w:line="245" w:lineRule="auto"/>
              <w:jc w:val="left"/>
            </w:pPr>
            <w:r>
              <w:rPr>
                <w:rFonts w:ascii="Aptos" w:hAnsi="Aptos"/>
                <w:b w:val="0"/>
                <w:color w:val="27313A"/>
                <w:sz w:val="17"/>
              </w:rPr>
              <w:t>Two 7.5 ohm resistors in series</w:t>
            </w:r>
          </w:p>
        </w:tc>
      </w:tr>
      <w:tr>
        <w:trPr>
          <w:cantSplit/>
        </w:trPr>
        <w:tc>
          <w:tcPr>
            <w:tcW w:type="dxa" w:w="2232"/>
            <w:tcBorders>
              <w:top w:val="single" w:sz="5" w:color="B7C3CE"/>
              <w:start w:val="single" w:sz="5" w:color="B7C3CE"/>
              <w:bottom w:val="single" w:sz="5" w:color="B7C3CE"/>
              <w:end w:val="single" w:sz="5" w:color="B7C3CE"/>
            </w:tcBorders>
            <w:vAlign w:val="center"/>
            <w:tcMar>
              <w:top w:w="90" w:type="dxa"/>
              <w:start w:w="110" w:type="dxa"/>
              <w:bottom w:w="90" w:type="dxa"/>
              <w:end w:w="110" w:type="dxa"/>
            </w:tcMar>
          </w:tcPr>
          <w:p>
            <w:pPr>
              <w:spacing w:before="0" w:after="0" w:line="245" w:lineRule="auto"/>
              <w:jc w:val="left"/>
            </w:pPr>
            <w:r>
              <w:rPr>
                <w:rFonts w:ascii="Aptos" w:hAnsi="Aptos"/>
                <w:b w:val="0"/>
                <w:color w:val="27313A"/>
                <w:sz w:val="17"/>
              </w:rPr>
              <w:t>Resistance per heater</w:t>
            </w:r>
          </w:p>
        </w:tc>
        <w:tc>
          <w:tcPr>
            <w:tcW w:type="dxa" w:w="3671"/>
            <w:tcBorders>
              <w:top w:val="single" w:sz="5" w:color="B7C3CE"/>
              <w:start w:val="single" w:sz="5" w:color="B7C3CE"/>
              <w:bottom w:val="single" w:sz="5" w:color="B7C3CE"/>
              <w:end w:val="single" w:sz="5" w:color="B7C3CE"/>
            </w:tcBorders>
            <w:vAlign w:val="center"/>
            <w:tcMar>
              <w:top w:w="90" w:type="dxa"/>
              <w:start w:w="110" w:type="dxa"/>
              <w:bottom w:w="90" w:type="dxa"/>
              <w:end w:w="110" w:type="dxa"/>
            </w:tcMar>
          </w:tcPr>
          <w:p>
            <w:pPr>
              <w:spacing w:before="0" w:after="0" w:line="245" w:lineRule="auto"/>
              <w:jc w:val="left"/>
            </w:pPr>
            <w:r>
              <w:rPr>
                <w:rFonts w:ascii="Aptos" w:hAnsi="Aptos"/>
                <w:b w:val="0"/>
                <w:color w:val="27313A"/>
                <w:sz w:val="17"/>
              </w:rPr>
              <w:t>30 ohm</w:t>
            </w:r>
          </w:p>
        </w:tc>
        <w:tc>
          <w:tcPr>
            <w:tcW w:type="dxa" w:w="3671"/>
            <w:tcBorders>
              <w:top w:val="single" w:sz="5" w:color="B7C3CE"/>
              <w:start w:val="single" w:sz="5" w:color="B7C3CE"/>
              <w:bottom w:val="single" w:sz="5" w:color="B7C3CE"/>
              <w:end w:val="single" w:sz="5" w:color="B7C3CE"/>
            </w:tcBorders>
            <w:vAlign w:val="center"/>
            <w:tcMar>
              <w:top w:w="90" w:type="dxa"/>
              <w:start w:w="110" w:type="dxa"/>
              <w:bottom w:w="90" w:type="dxa"/>
              <w:end w:w="110" w:type="dxa"/>
            </w:tcMar>
          </w:tcPr>
          <w:p>
            <w:pPr>
              <w:spacing w:before="0" w:after="0" w:line="245" w:lineRule="auto"/>
              <w:jc w:val="left"/>
            </w:pPr>
            <w:r>
              <w:rPr>
                <w:rFonts w:ascii="Aptos" w:hAnsi="Aptos"/>
                <w:b w:val="0"/>
                <w:color w:val="27313A"/>
                <w:sz w:val="17"/>
              </w:rPr>
              <w:t>15 ohm</w:t>
            </w:r>
          </w:p>
        </w:tc>
      </w:tr>
      <w:tr>
        <w:trPr>
          <w:cantSplit/>
        </w:trPr>
        <w:tc>
          <w:tcPr>
            <w:tcW w:type="dxa" w:w="2232"/>
            <w:tcBorders>
              <w:top w:val="single" w:sz="5" w:color="B7C3CE"/>
              <w:start w:val="single" w:sz="5" w:color="B7C3CE"/>
              <w:bottom w:val="single" w:sz="5" w:color="B7C3CE"/>
              <w:end w:val="single" w:sz="5" w:color="B7C3CE"/>
            </w:tcBorders>
            <w:vAlign w:val="center"/>
            <w:tcMar>
              <w:top w:w="90" w:type="dxa"/>
              <w:start w:w="110" w:type="dxa"/>
              <w:bottom w:w="90" w:type="dxa"/>
              <w:end w:w="110" w:type="dxa"/>
            </w:tcMar>
          </w:tcPr>
          <w:p>
            <w:pPr>
              <w:spacing w:before="0" w:after="0" w:line="245" w:lineRule="auto"/>
              <w:jc w:val="left"/>
            </w:pPr>
            <w:r>
              <w:rPr>
                <w:rFonts w:ascii="Aptos" w:hAnsi="Aptos"/>
                <w:b w:val="0"/>
                <w:color w:val="27313A"/>
                <w:sz w:val="17"/>
              </w:rPr>
              <w:t>Number of independent heaters</w:t>
            </w:r>
          </w:p>
        </w:tc>
        <w:tc>
          <w:tcPr>
            <w:tcW w:type="dxa" w:w="3671"/>
            <w:tcBorders>
              <w:top w:val="single" w:sz="5" w:color="B7C3CE"/>
              <w:start w:val="single" w:sz="5" w:color="B7C3CE"/>
              <w:bottom w:val="single" w:sz="5" w:color="B7C3CE"/>
              <w:end w:val="single" w:sz="5" w:color="B7C3CE"/>
            </w:tcBorders>
            <w:vAlign w:val="center"/>
            <w:tcMar>
              <w:top w:w="90" w:type="dxa"/>
              <w:start w:w="110" w:type="dxa"/>
              <w:bottom w:w="90" w:type="dxa"/>
              <w:end w:w="110" w:type="dxa"/>
            </w:tcMar>
          </w:tcPr>
          <w:p>
            <w:pPr>
              <w:spacing w:before="0" w:after="0" w:line="245" w:lineRule="auto"/>
              <w:jc w:val="left"/>
            </w:pPr>
            <w:r>
              <w:rPr>
                <w:rFonts w:ascii="Aptos" w:hAnsi="Aptos"/>
                <w:b w:val="0"/>
                <w:color w:val="27313A"/>
                <w:sz w:val="17"/>
              </w:rPr>
              <w:t>2</w:t>
            </w:r>
          </w:p>
        </w:tc>
        <w:tc>
          <w:tcPr>
            <w:tcW w:type="dxa" w:w="3671"/>
            <w:tcBorders>
              <w:top w:val="single" w:sz="5" w:color="B7C3CE"/>
              <w:start w:val="single" w:sz="5" w:color="B7C3CE"/>
              <w:bottom w:val="single" w:sz="5" w:color="B7C3CE"/>
              <w:end w:val="single" w:sz="5" w:color="B7C3CE"/>
            </w:tcBorders>
            <w:vAlign w:val="center"/>
            <w:tcMar>
              <w:top w:w="90" w:type="dxa"/>
              <w:start w:w="110" w:type="dxa"/>
              <w:bottom w:w="90" w:type="dxa"/>
              <w:end w:w="110" w:type="dxa"/>
            </w:tcMar>
          </w:tcPr>
          <w:p>
            <w:pPr>
              <w:spacing w:before="0" w:after="0" w:line="245" w:lineRule="auto"/>
              <w:jc w:val="left"/>
            </w:pPr>
            <w:r>
              <w:rPr>
                <w:rFonts w:ascii="Aptos" w:hAnsi="Aptos"/>
                <w:b w:val="0"/>
                <w:color w:val="27313A"/>
                <w:sz w:val="17"/>
              </w:rPr>
              <w:t>1</w:t>
            </w:r>
          </w:p>
        </w:tc>
      </w:tr>
      <w:tr>
        <w:trPr>
          <w:cantSplit/>
        </w:trPr>
        <w:tc>
          <w:tcPr>
            <w:tcW w:type="dxa" w:w="2232"/>
            <w:tcBorders>
              <w:top w:val="single" w:sz="5" w:color="B7C3CE"/>
              <w:start w:val="single" w:sz="5" w:color="B7C3CE"/>
              <w:bottom w:val="single" w:sz="5" w:color="B7C3CE"/>
              <w:end w:val="single" w:sz="5" w:color="B7C3CE"/>
            </w:tcBorders>
            <w:vAlign w:val="center"/>
            <w:tcMar>
              <w:top w:w="90" w:type="dxa"/>
              <w:start w:w="110" w:type="dxa"/>
              <w:bottom w:w="90" w:type="dxa"/>
              <w:end w:w="110" w:type="dxa"/>
            </w:tcMar>
          </w:tcPr>
          <w:p>
            <w:pPr>
              <w:spacing w:before="0" w:after="0" w:line="245" w:lineRule="auto"/>
              <w:jc w:val="left"/>
            </w:pPr>
            <w:r>
              <w:rPr>
                <w:rFonts w:ascii="Aptos" w:hAnsi="Aptos"/>
                <w:b w:val="0"/>
                <w:color w:val="27313A"/>
                <w:sz w:val="17"/>
              </w:rPr>
              <w:t>Power per heater at 5 V</w:t>
            </w:r>
          </w:p>
        </w:tc>
        <w:tc>
          <w:tcPr>
            <w:tcW w:type="dxa" w:w="3671"/>
            <w:tcBorders>
              <w:top w:val="single" w:sz="5" w:color="B7C3CE"/>
              <w:start w:val="single" w:sz="5" w:color="B7C3CE"/>
              <w:bottom w:val="single" w:sz="5" w:color="B7C3CE"/>
              <w:end w:val="single" w:sz="5" w:color="B7C3CE"/>
            </w:tcBorders>
            <w:vAlign w:val="center"/>
            <w:tcMar>
              <w:top w:w="90" w:type="dxa"/>
              <w:start w:w="110" w:type="dxa"/>
              <w:bottom w:w="90" w:type="dxa"/>
              <w:end w:w="110" w:type="dxa"/>
            </w:tcMar>
          </w:tcPr>
          <w:p>
            <w:pPr>
              <w:spacing w:before="0" w:after="0" w:line="245" w:lineRule="auto"/>
              <w:jc w:val="left"/>
            </w:pPr>
            <w:r>
              <w:rPr>
                <w:rFonts w:ascii="Aptos" w:hAnsi="Aptos"/>
                <w:b w:val="0"/>
                <w:color w:val="27313A"/>
                <w:sz w:val="17"/>
              </w:rPr>
              <w:t>0.83 W</w:t>
            </w:r>
          </w:p>
        </w:tc>
        <w:tc>
          <w:tcPr>
            <w:tcW w:type="dxa" w:w="3671"/>
            <w:tcBorders>
              <w:top w:val="single" w:sz="5" w:color="B7C3CE"/>
              <w:start w:val="single" w:sz="5" w:color="B7C3CE"/>
              <w:bottom w:val="single" w:sz="5" w:color="B7C3CE"/>
              <w:end w:val="single" w:sz="5" w:color="B7C3CE"/>
            </w:tcBorders>
            <w:vAlign w:val="center"/>
            <w:tcMar>
              <w:top w:w="90" w:type="dxa"/>
              <w:start w:w="110" w:type="dxa"/>
              <w:bottom w:w="90" w:type="dxa"/>
              <w:end w:w="110" w:type="dxa"/>
            </w:tcMar>
          </w:tcPr>
          <w:p>
            <w:pPr>
              <w:spacing w:before="0" w:after="0" w:line="245" w:lineRule="auto"/>
              <w:jc w:val="left"/>
            </w:pPr>
            <w:r>
              <w:rPr>
                <w:rFonts w:ascii="Aptos" w:hAnsi="Aptos"/>
                <w:b w:val="0"/>
                <w:color w:val="27313A"/>
                <w:sz w:val="17"/>
              </w:rPr>
              <w:t>1.67 W</w:t>
            </w:r>
          </w:p>
        </w:tc>
      </w:tr>
      <w:tr>
        <w:trPr>
          <w:cantSplit/>
        </w:trPr>
        <w:tc>
          <w:tcPr>
            <w:tcW w:type="dxa" w:w="2232"/>
            <w:tcBorders>
              <w:top w:val="single" w:sz="5" w:color="B7C3CE"/>
              <w:start w:val="single" w:sz="5" w:color="B7C3CE"/>
              <w:bottom w:val="single" w:sz="5" w:color="B7C3CE"/>
              <w:end w:val="single" w:sz="5" w:color="B7C3CE"/>
            </w:tcBorders>
            <w:vAlign w:val="center"/>
            <w:tcMar>
              <w:top w:w="90" w:type="dxa"/>
              <w:start w:w="110" w:type="dxa"/>
              <w:bottom w:w="90" w:type="dxa"/>
              <w:end w:w="110" w:type="dxa"/>
            </w:tcMar>
          </w:tcPr>
          <w:p>
            <w:pPr>
              <w:spacing w:before="0" w:after="0" w:line="245" w:lineRule="auto"/>
              <w:jc w:val="left"/>
            </w:pPr>
            <w:r>
              <w:rPr>
                <w:rFonts w:ascii="Aptos" w:hAnsi="Aptos"/>
                <w:b w:val="0"/>
                <w:color w:val="27313A"/>
                <w:sz w:val="17"/>
              </w:rPr>
              <w:t>Maximum total heater power</w:t>
            </w:r>
          </w:p>
        </w:tc>
        <w:tc>
          <w:tcPr>
            <w:tcW w:type="dxa" w:w="3671"/>
            <w:tcBorders>
              <w:top w:val="single" w:sz="5" w:color="B7C3CE"/>
              <w:start w:val="single" w:sz="5" w:color="B7C3CE"/>
              <w:bottom w:val="single" w:sz="5" w:color="B7C3CE"/>
              <w:end w:val="single" w:sz="5" w:color="B7C3CE"/>
            </w:tcBorders>
            <w:vAlign w:val="center"/>
            <w:tcMar>
              <w:top w:w="90" w:type="dxa"/>
              <w:start w:w="110" w:type="dxa"/>
              <w:bottom w:w="90" w:type="dxa"/>
              <w:end w:w="110" w:type="dxa"/>
            </w:tcMar>
          </w:tcPr>
          <w:p>
            <w:pPr>
              <w:spacing w:before="0" w:after="0" w:line="245" w:lineRule="auto"/>
              <w:jc w:val="left"/>
            </w:pPr>
            <w:r>
              <w:rPr>
                <w:rFonts w:ascii="Aptos" w:hAnsi="Aptos"/>
                <w:b w:val="0"/>
                <w:color w:val="27313A"/>
                <w:sz w:val="17"/>
              </w:rPr>
              <w:t>1.67 W with both heaters active</w:t>
            </w:r>
          </w:p>
        </w:tc>
        <w:tc>
          <w:tcPr>
            <w:tcW w:type="dxa" w:w="3671"/>
            <w:tcBorders>
              <w:top w:val="single" w:sz="5" w:color="B7C3CE"/>
              <w:start w:val="single" w:sz="5" w:color="B7C3CE"/>
              <w:bottom w:val="single" w:sz="5" w:color="B7C3CE"/>
              <w:end w:val="single" w:sz="5" w:color="B7C3CE"/>
            </w:tcBorders>
            <w:vAlign w:val="center"/>
            <w:tcMar>
              <w:top w:w="90" w:type="dxa"/>
              <w:start w:w="110" w:type="dxa"/>
              <w:bottom w:w="90" w:type="dxa"/>
              <w:end w:w="110" w:type="dxa"/>
            </w:tcMar>
          </w:tcPr>
          <w:p>
            <w:pPr>
              <w:spacing w:before="0" w:after="0" w:line="245" w:lineRule="auto"/>
              <w:jc w:val="left"/>
            </w:pPr>
            <w:r>
              <w:rPr>
                <w:rFonts w:ascii="Aptos" w:hAnsi="Aptos"/>
                <w:b w:val="0"/>
                <w:color w:val="27313A"/>
                <w:sz w:val="17"/>
              </w:rPr>
              <w:t>1.67 W</w:t>
            </w:r>
          </w:p>
        </w:tc>
      </w:tr>
      <w:tr>
        <w:trPr>
          <w:cantSplit/>
        </w:trPr>
        <w:tc>
          <w:tcPr>
            <w:tcW w:type="dxa" w:w="2232"/>
            <w:tcBorders>
              <w:top w:val="single" w:sz="5" w:color="B7C3CE"/>
              <w:start w:val="single" w:sz="5" w:color="B7C3CE"/>
              <w:bottom w:val="single" w:sz="5" w:color="B7C3CE"/>
              <w:end w:val="single" w:sz="5" w:color="B7C3CE"/>
            </w:tcBorders>
            <w:vAlign w:val="center"/>
            <w:tcMar>
              <w:top w:w="90" w:type="dxa"/>
              <w:start w:w="110" w:type="dxa"/>
              <w:bottom w:w="90" w:type="dxa"/>
              <w:end w:w="110" w:type="dxa"/>
            </w:tcMar>
          </w:tcPr>
          <w:p>
            <w:pPr>
              <w:spacing w:before="0" w:after="0" w:line="245" w:lineRule="auto"/>
              <w:jc w:val="left"/>
            </w:pPr>
            <w:r>
              <w:rPr>
                <w:rFonts w:ascii="Aptos" w:hAnsi="Aptos"/>
                <w:b w:val="0"/>
                <w:color w:val="27313A"/>
                <w:sz w:val="17"/>
              </w:rPr>
              <w:t>Heating direction</w:t>
            </w:r>
          </w:p>
        </w:tc>
        <w:tc>
          <w:tcPr>
            <w:tcW w:type="dxa" w:w="3671"/>
            <w:tcBorders>
              <w:top w:val="single" w:sz="5" w:color="B7C3CE"/>
              <w:start w:val="single" w:sz="5" w:color="B7C3CE"/>
              <w:bottom w:val="single" w:sz="5" w:color="B7C3CE"/>
              <w:end w:val="single" w:sz="5" w:color="B7C3CE"/>
            </w:tcBorders>
            <w:vAlign w:val="center"/>
            <w:tcMar>
              <w:top w:w="90" w:type="dxa"/>
              <w:start w:w="110" w:type="dxa"/>
              <w:bottom w:w="90" w:type="dxa"/>
              <w:end w:w="110" w:type="dxa"/>
            </w:tcMar>
          </w:tcPr>
          <w:p>
            <w:pPr>
              <w:spacing w:before="0" w:after="0" w:line="245" w:lineRule="auto"/>
              <w:jc w:val="left"/>
            </w:pPr>
            <w:r>
              <w:rPr>
                <w:rFonts w:ascii="Aptos" w:hAnsi="Aptos"/>
                <w:b w:val="0"/>
                <w:color w:val="27313A"/>
                <w:sz w:val="17"/>
              </w:rPr>
              <w:t>From either end or from both ends</w:t>
            </w:r>
          </w:p>
        </w:tc>
        <w:tc>
          <w:tcPr>
            <w:tcW w:type="dxa" w:w="3671"/>
            <w:tcBorders>
              <w:top w:val="single" w:sz="5" w:color="B7C3CE"/>
              <w:start w:val="single" w:sz="5" w:color="B7C3CE"/>
              <w:bottom w:val="single" w:sz="5" w:color="B7C3CE"/>
              <w:end w:val="single" w:sz="5" w:color="B7C3CE"/>
            </w:tcBorders>
            <w:vAlign w:val="center"/>
            <w:tcMar>
              <w:top w:w="90" w:type="dxa"/>
              <w:start w:w="110" w:type="dxa"/>
              <w:bottom w:w="90" w:type="dxa"/>
              <w:end w:w="110" w:type="dxa"/>
            </w:tcMar>
          </w:tcPr>
          <w:p>
            <w:pPr>
              <w:spacing w:before="0" w:after="0" w:line="245" w:lineRule="auto"/>
              <w:jc w:val="left"/>
            </w:pPr>
            <w:r>
              <w:rPr>
                <w:rFonts w:ascii="Aptos" w:hAnsi="Aptos"/>
                <w:b w:val="0"/>
                <w:color w:val="27313A"/>
                <w:sz w:val="17"/>
              </w:rPr>
              <w:t>From the single heater toward the free end</w:t>
            </w:r>
          </w:p>
        </w:tc>
      </w:tr>
    </w:tbl>
    <w:p>
      <w:pPr>
        <w:pStyle w:val="Caption"/>
        <w:jc w:val="center"/>
      </w:pPr>
      <w:r>
        <w:t>Table 1. Comparison of the two heated PCB beam configurations.</w:t>
      </w:r>
    </w:p>
    <w:p>
      <w:pPr>
        <w:pStyle w:val="Heading1"/>
        <w:pageBreakBefore w:val="0"/>
      </w:pPr>
      <w:r>
        <w:t>3. Common PCB Beam Construction</w:t>
      </w:r>
    </w:p>
    <w:p>
      <w:pPr>
        <w:pStyle w:val="BodyText"/>
        <w:keepNext w:val="0"/>
      </w:pPr>
      <w:r>
        <w:t>Both setups use approximately the same PCB beam geometry. The PCB is 0.8 mm thick and uses 1 oz copper on both sides. A narrow copper-covered beam approximately 5 mm wide extends between the heater region and the sensor-side end. In the single-heater assembly, the stated beam extension is approximately 37.5 mm from the edge of the 9.5 mm x 9.5 mm heater copper area.</w:t>
      </w:r>
    </w:p>
    <w:p>
      <w:pPr>
        <w:pStyle w:val="BodyText"/>
        <w:keepNext w:val="0"/>
      </w:pPr>
      <w:r>
        <w:t>Copper on the upper and lower surfaces forms the primary axial heat-conduction path. Multiple vias connect the two copper layers between the heater and temperature-sensor positions. These vias improve through-thickness thermal coupling and help the top and bottom copper layers behave as a combined thermal path.</w:t>
      </w:r>
    </w:p>
    <w:p>
      <w:pPr>
        <w:pStyle w:val="BodyText"/>
        <w:keepNext w:val="0"/>
      </w:pPr>
      <w:r>
        <w:t>The active beam and heater regions are surrounded by a larger holding PCB. Cutouts separate the beam from the frame, and no broad copper pour is used outside the beam and heater areas. Only thin sensor interconnection traces, approximately 6 mil wide, bridge the isolated regions. This limits parasitic conduction into the support PCB and concentrates heat flow along the intended beam path.</w:t>
      </w:r>
    </w:p>
    <w:p>
      <w:pPr>
        <w:pStyle w:val="Heading1"/>
        <w:pageBreakBefore w:val="0"/>
      </w:pPr>
      <w:r>
        <w:t>4. Common Temperature-Sensor Array</w:t>
      </w:r>
    </w:p>
    <w:p>
      <w:pPr>
        <w:pStyle w:val="BodyText"/>
        <w:keepNext w:val="0"/>
      </w:pPr>
      <w:r>
        <w:t>Five temperature sensors are mounted on the top side of the beam. The heater resistors are mounted on the opposite PCB side beneath their respective copper heating regions. The nominal sensor positions, measured from the primary heater reference used in the original geometry, are listed below.</w:t>
      </w:r>
    </w:p>
    <w:tbl>
      <w:tblPr>
        <w:tblW w:type="auto" w:w="0"/>
        <w:jc w:val="center"/>
        <w:tblLayout w:type="fixed"/>
        <w:tblLook w:firstColumn="1" w:firstRow="1" w:lastColumn="0" w:lastRow="0" w:noHBand="0" w:noVBand="1" w:val="04A0"/>
      </w:tblPr>
      <w:tblGrid>
        <w:gridCol w:w="1999"/>
        <w:gridCol w:w="1999"/>
        <w:gridCol w:w="1999"/>
        <w:gridCol w:w="1999"/>
        <w:gridCol w:w="1999"/>
      </w:tblGrid>
      <w:tr>
        <w:trPr>
          <w:cantSplit/>
          <w:tblHeader w:val="true"/>
        </w:trPr>
        <w:tc>
          <w:tcPr>
            <w:tcW w:type="dxa" w:w="1080"/>
            <w:tcBorders>
              <w:top w:val="single" w:sz="5" w:color="B7C3CE"/>
              <w:start w:val="single" w:sz="5" w:color="B7C3CE"/>
              <w:bottom w:val="single" w:sz="5" w:color="B7C3CE"/>
              <w:end w:val="single" w:sz="5" w:color="B7C3CE"/>
            </w:tcBorders>
            <w:shd w:fill="2F75B5"/>
            <w:vAlign w:val="center"/>
            <w:tcMar>
              <w:top w:w="90" w:type="dxa"/>
              <w:start w:w="110" w:type="dxa"/>
              <w:bottom w:w="90" w:type="dxa"/>
              <w:end w:w="110" w:type="dxa"/>
            </w:tcMar>
          </w:tcPr>
          <w:p>
            <w:pPr>
              <w:spacing w:before="0" w:after="0" w:line="245" w:lineRule="auto"/>
              <w:jc w:val="center"/>
            </w:pPr>
            <w:r>
              <w:rPr>
                <w:rFonts w:ascii="Aptos" w:hAnsi="Aptos"/>
                <w:b/>
                <w:color w:val="FFFFFF"/>
                <w:sz w:val="18"/>
              </w:rPr>
              <w:t>Sensor</w:t>
            </w:r>
          </w:p>
        </w:tc>
        <w:tc>
          <w:tcPr>
            <w:tcW w:type="dxa" w:w="1036"/>
            <w:tcBorders>
              <w:top w:val="single" w:sz="5" w:color="B7C3CE"/>
              <w:start w:val="single" w:sz="5" w:color="B7C3CE"/>
              <w:bottom w:val="single" w:sz="5" w:color="B7C3CE"/>
              <w:end w:val="single" w:sz="5" w:color="B7C3CE"/>
            </w:tcBorders>
            <w:shd w:fill="2F75B5"/>
            <w:vAlign w:val="center"/>
            <w:tcMar>
              <w:top w:w="90" w:type="dxa"/>
              <w:start w:w="110" w:type="dxa"/>
              <w:bottom w:w="90" w:type="dxa"/>
              <w:end w:w="110" w:type="dxa"/>
            </w:tcMar>
          </w:tcPr>
          <w:p>
            <w:pPr>
              <w:spacing w:before="0" w:after="0" w:line="245" w:lineRule="auto"/>
              <w:jc w:val="center"/>
            </w:pPr>
            <w:r>
              <w:rPr>
                <w:rFonts w:ascii="Aptos" w:hAnsi="Aptos"/>
                <w:b/>
                <w:color w:val="FFFFFF"/>
                <w:sz w:val="18"/>
              </w:rPr>
              <w:t>Arduino input</w:t>
            </w:r>
          </w:p>
        </w:tc>
        <w:tc>
          <w:tcPr>
            <w:tcW w:type="dxa" w:w="1368"/>
            <w:tcBorders>
              <w:top w:val="single" w:sz="5" w:color="B7C3CE"/>
              <w:start w:val="single" w:sz="5" w:color="B7C3CE"/>
              <w:bottom w:val="single" w:sz="5" w:color="B7C3CE"/>
              <w:end w:val="single" w:sz="5" w:color="B7C3CE"/>
            </w:tcBorders>
            <w:shd w:fill="2F75B5"/>
            <w:vAlign w:val="center"/>
            <w:tcMar>
              <w:top w:w="90" w:type="dxa"/>
              <w:start w:w="110" w:type="dxa"/>
              <w:bottom w:w="90" w:type="dxa"/>
              <w:end w:w="110" w:type="dxa"/>
            </w:tcMar>
          </w:tcPr>
          <w:p>
            <w:pPr>
              <w:spacing w:before="0" w:after="0" w:line="245" w:lineRule="auto"/>
              <w:jc w:val="center"/>
            </w:pPr>
            <w:r>
              <w:rPr>
                <w:rFonts w:ascii="Aptos" w:hAnsi="Aptos"/>
                <w:b/>
                <w:color w:val="FFFFFF"/>
                <w:sz w:val="18"/>
              </w:rPr>
              <w:t>Nominal position</w:t>
            </w:r>
          </w:p>
        </w:tc>
        <w:tc>
          <w:tcPr>
            <w:tcW w:type="dxa" w:w="3024"/>
            <w:tcBorders>
              <w:top w:val="single" w:sz="5" w:color="B7C3CE"/>
              <w:start w:val="single" w:sz="5" w:color="B7C3CE"/>
              <w:bottom w:val="single" w:sz="5" w:color="B7C3CE"/>
              <w:end w:val="single" w:sz="5" w:color="B7C3CE"/>
            </w:tcBorders>
            <w:shd w:fill="2F75B5"/>
            <w:vAlign w:val="center"/>
            <w:tcMar>
              <w:top w:w="90" w:type="dxa"/>
              <w:start w:w="110" w:type="dxa"/>
              <w:bottom w:w="90" w:type="dxa"/>
              <w:end w:w="110" w:type="dxa"/>
            </w:tcMar>
          </w:tcPr>
          <w:p>
            <w:pPr>
              <w:spacing w:before="0" w:after="0" w:line="245" w:lineRule="auto"/>
              <w:jc w:val="left"/>
            </w:pPr>
            <w:r>
              <w:rPr>
                <w:rFonts w:ascii="Aptos" w:hAnsi="Aptos"/>
                <w:b/>
                <w:color w:val="FFFFFF"/>
                <w:sz w:val="18"/>
              </w:rPr>
              <w:t>Role in Setup 1</w:t>
            </w:r>
          </w:p>
        </w:tc>
        <w:tc>
          <w:tcPr>
            <w:tcW w:type="dxa" w:w="3024"/>
            <w:tcBorders>
              <w:top w:val="single" w:sz="5" w:color="B7C3CE"/>
              <w:start w:val="single" w:sz="5" w:color="B7C3CE"/>
              <w:bottom w:val="single" w:sz="5" w:color="B7C3CE"/>
              <w:end w:val="single" w:sz="5" w:color="B7C3CE"/>
            </w:tcBorders>
            <w:shd w:fill="2F75B5"/>
            <w:vAlign w:val="center"/>
            <w:tcMar>
              <w:top w:w="90" w:type="dxa"/>
              <w:start w:w="110" w:type="dxa"/>
              <w:bottom w:w="90" w:type="dxa"/>
              <w:end w:w="110" w:type="dxa"/>
            </w:tcMar>
          </w:tcPr>
          <w:p>
            <w:pPr>
              <w:spacing w:before="0" w:after="0" w:line="245" w:lineRule="auto"/>
              <w:jc w:val="left"/>
            </w:pPr>
            <w:r>
              <w:rPr>
                <w:rFonts w:ascii="Aptos" w:hAnsi="Aptos"/>
                <w:b/>
                <w:color w:val="FFFFFF"/>
                <w:sz w:val="18"/>
              </w:rPr>
              <w:t>Role in Setup 2</w:t>
            </w:r>
          </w:p>
        </w:tc>
      </w:tr>
      <w:tr>
        <w:trPr>
          <w:cantSplit/>
        </w:trPr>
        <w:tc>
          <w:tcPr>
            <w:tcW w:type="dxa" w:w="1080"/>
            <w:tcBorders>
              <w:top w:val="single" w:sz="5" w:color="B7C3CE"/>
              <w:start w:val="single" w:sz="5" w:color="B7C3CE"/>
              <w:bottom w:val="single" w:sz="5" w:color="B7C3CE"/>
              <w:end w:val="single" w:sz="5" w:color="B7C3CE"/>
            </w:tcBorders>
            <w:vAlign w:val="center"/>
            <w:tcMar>
              <w:top w:w="90" w:type="dxa"/>
              <w:start w:w="110" w:type="dxa"/>
              <w:bottom w:w="90" w:type="dxa"/>
              <w:end w:w="110" w:type="dxa"/>
            </w:tcMar>
          </w:tcPr>
          <w:p>
            <w:pPr>
              <w:spacing w:before="0" w:after="0" w:line="245" w:lineRule="auto"/>
              <w:jc w:val="center"/>
            </w:pPr>
            <w:r>
              <w:rPr>
                <w:rFonts w:ascii="Aptos" w:hAnsi="Aptos"/>
                <w:b w:val="0"/>
                <w:color w:val="27313A"/>
                <w:sz w:val="16"/>
              </w:rPr>
              <w:t>Beam 1</w:t>
            </w:r>
          </w:p>
        </w:tc>
        <w:tc>
          <w:tcPr>
            <w:tcW w:type="dxa" w:w="1036"/>
            <w:tcBorders>
              <w:top w:val="single" w:sz="5" w:color="B7C3CE"/>
              <w:start w:val="single" w:sz="5" w:color="B7C3CE"/>
              <w:bottom w:val="single" w:sz="5" w:color="B7C3CE"/>
              <w:end w:val="single" w:sz="5" w:color="B7C3CE"/>
            </w:tcBorders>
            <w:vAlign w:val="center"/>
            <w:tcMar>
              <w:top w:w="90" w:type="dxa"/>
              <w:start w:w="110" w:type="dxa"/>
              <w:bottom w:w="90" w:type="dxa"/>
              <w:end w:w="110" w:type="dxa"/>
            </w:tcMar>
          </w:tcPr>
          <w:p>
            <w:pPr>
              <w:spacing w:before="0" w:after="0" w:line="245" w:lineRule="auto"/>
              <w:jc w:val="center"/>
            </w:pPr>
            <w:r>
              <w:rPr>
                <w:rFonts w:ascii="Aptos" w:hAnsi="Aptos"/>
                <w:b w:val="0"/>
                <w:color w:val="27313A"/>
                <w:sz w:val="16"/>
              </w:rPr>
              <w:t>A1</w:t>
            </w:r>
          </w:p>
        </w:tc>
        <w:tc>
          <w:tcPr>
            <w:tcW w:type="dxa" w:w="1368"/>
            <w:tcBorders>
              <w:top w:val="single" w:sz="5" w:color="B7C3CE"/>
              <w:start w:val="single" w:sz="5" w:color="B7C3CE"/>
              <w:bottom w:val="single" w:sz="5" w:color="B7C3CE"/>
              <w:end w:val="single" w:sz="5" w:color="B7C3CE"/>
            </w:tcBorders>
            <w:vAlign w:val="center"/>
            <w:tcMar>
              <w:top w:w="90" w:type="dxa"/>
              <w:start w:w="110" w:type="dxa"/>
              <w:bottom w:w="90" w:type="dxa"/>
              <w:end w:w="110" w:type="dxa"/>
            </w:tcMar>
          </w:tcPr>
          <w:p>
            <w:pPr>
              <w:spacing w:before="0" w:after="0" w:line="245" w:lineRule="auto"/>
              <w:jc w:val="center"/>
            </w:pPr>
            <w:r>
              <w:rPr>
                <w:rFonts w:ascii="Aptos" w:hAnsi="Aptos"/>
                <w:b w:val="0"/>
                <w:color w:val="27313A"/>
                <w:sz w:val="16"/>
              </w:rPr>
              <w:t>0 mm</w:t>
            </w:r>
          </w:p>
        </w:tc>
        <w:tc>
          <w:tcPr>
            <w:tcW w:type="dxa" w:w="3024"/>
            <w:tcBorders>
              <w:top w:val="single" w:sz="5" w:color="B7C3CE"/>
              <w:start w:val="single" w:sz="5" w:color="B7C3CE"/>
              <w:bottom w:val="single" w:sz="5" w:color="B7C3CE"/>
              <w:end w:val="single" w:sz="5" w:color="B7C3CE"/>
            </w:tcBorders>
            <w:vAlign w:val="center"/>
            <w:tcMar>
              <w:top w:w="90" w:type="dxa"/>
              <w:start w:w="110" w:type="dxa"/>
              <w:bottom w:w="90" w:type="dxa"/>
              <w:end w:w="110" w:type="dxa"/>
            </w:tcMar>
          </w:tcPr>
          <w:p>
            <w:pPr>
              <w:spacing w:before="0" w:after="0" w:line="245" w:lineRule="auto"/>
              <w:jc w:val="left"/>
            </w:pPr>
            <w:r>
              <w:rPr>
                <w:rFonts w:ascii="Aptos" w:hAnsi="Aptos"/>
                <w:b w:val="0"/>
                <w:color w:val="27313A"/>
                <w:sz w:val="16"/>
              </w:rPr>
              <w:t>Nearest Heater 1</w:t>
            </w:r>
          </w:p>
        </w:tc>
        <w:tc>
          <w:tcPr>
            <w:tcW w:type="dxa" w:w="3024"/>
            <w:tcBorders>
              <w:top w:val="single" w:sz="5" w:color="B7C3CE"/>
              <w:start w:val="single" w:sz="5" w:color="B7C3CE"/>
              <w:bottom w:val="single" w:sz="5" w:color="B7C3CE"/>
              <w:end w:val="single" w:sz="5" w:color="B7C3CE"/>
            </w:tcBorders>
            <w:vAlign w:val="center"/>
            <w:tcMar>
              <w:top w:w="90" w:type="dxa"/>
              <w:start w:w="110" w:type="dxa"/>
              <w:bottom w:w="90" w:type="dxa"/>
              <w:end w:w="110" w:type="dxa"/>
            </w:tcMar>
          </w:tcPr>
          <w:p>
            <w:pPr>
              <w:spacing w:before="0" w:after="0" w:line="245" w:lineRule="auto"/>
              <w:jc w:val="left"/>
            </w:pPr>
            <w:r>
              <w:rPr>
                <w:rFonts w:ascii="Aptos" w:hAnsi="Aptos"/>
                <w:b w:val="0"/>
                <w:color w:val="27313A"/>
                <w:sz w:val="16"/>
              </w:rPr>
              <w:t>Nearest the single heater</w:t>
            </w:r>
          </w:p>
        </w:tc>
      </w:tr>
      <w:tr>
        <w:trPr>
          <w:cantSplit/>
        </w:trPr>
        <w:tc>
          <w:tcPr>
            <w:tcW w:type="dxa" w:w="1080"/>
            <w:tcBorders>
              <w:top w:val="single" w:sz="5" w:color="B7C3CE"/>
              <w:start w:val="single" w:sz="5" w:color="B7C3CE"/>
              <w:bottom w:val="single" w:sz="5" w:color="B7C3CE"/>
              <w:end w:val="single" w:sz="5" w:color="B7C3CE"/>
            </w:tcBorders>
            <w:vAlign w:val="center"/>
            <w:tcMar>
              <w:top w:w="90" w:type="dxa"/>
              <w:start w:w="110" w:type="dxa"/>
              <w:bottom w:w="90" w:type="dxa"/>
              <w:end w:w="110" w:type="dxa"/>
            </w:tcMar>
          </w:tcPr>
          <w:p>
            <w:pPr>
              <w:spacing w:before="0" w:after="0" w:line="245" w:lineRule="auto"/>
              <w:jc w:val="center"/>
            </w:pPr>
            <w:r>
              <w:rPr>
                <w:rFonts w:ascii="Aptos" w:hAnsi="Aptos"/>
                <w:b w:val="0"/>
                <w:color w:val="27313A"/>
                <w:sz w:val="16"/>
              </w:rPr>
              <w:t>Beam 2</w:t>
            </w:r>
          </w:p>
        </w:tc>
        <w:tc>
          <w:tcPr>
            <w:tcW w:type="dxa" w:w="1036"/>
            <w:tcBorders>
              <w:top w:val="single" w:sz="5" w:color="B7C3CE"/>
              <w:start w:val="single" w:sz="5" w:color="B7C3CE"/>
              <w:bottom w:val="single" w:sz="5" w:color="B7C3CE"/>
              <w:end w:val="single" w:sz="5" w:color="B7C3CE"/>
            </w:tcBorders>
            <w:vAlign w:val="center"/>
            <w:tcMar>
              <w:top w:w="90" w:type="dxa"/>
              <w:start w:w="110" w:type="dxa"/>
              <w:bottom w:w="90" w:type="dxa"/>
              <w:end w:w="110" w:type="dxa"/>
            </w:tcMar>
          </w:tcPr>
          <w:p>
            <w:pPr>
              <w:spacing w:before="0" w:after="0" w:line="245" w:lineRule="auto"/>
              <w:jc w:val="center"/>
            </w:pPr>
            <w:r>
              <w:rPr>
                <w:rFonts w:ascii="Aptos" w:hAnsi="Aptos"/>
                <w:b w:val="0"/>
                <w:color w:val="27313A"/>
                <w:sz w:val="16"/>
              </w:rPr>
              <w:t>A2</w:t>
            </w:r>
          </w:p>
        </w:tc>
        <w:tc>
          <w:tcPr>
            <w:tcW w:type="dxa" w:w="1368"/>
            <w:tcBorders>
              <w:top w:val="single" w:sz="5" w:color="B7C3CE"/>
              <w:start w:val="single" w:sz="5" w:color="B7C3CE"/>
              <w:bottom w:val="single" w:sz="5" w:color="B7C3CE"/>
              <w:end w:val="single" w:sz="5" w:color="B7C3CE"/>
            </w:tcBorders>
            <w:vAlign w:val="center"/>
            <w:tcMar>
              <w:top w:w="90" w:type="dxa"/>
              <w:start w:w="110" w:type="dxa"/>
              <w:bottom w:w="90" w:type="dxa"/>
              <w:end w:w="110" w:type="dxa"/>
            </w:tcMar>
          </w:tcPr>
          <w:p>
            <w:pPr>
              <w:spacing w:before="0" w:after="0" w:line="245" w:lineRule="auto"/>
              <w:jc w:val="center"/>
            </w:pPr>
            <w:r>
              <w:rPr>
                <w:rFonts w:ascii="Aptos" w:hAnsi="Aptos"/>
                <w:b w:val="0"/>
                <w:color w:val="27313A"/>
                <w:sz w:val="16"/>
              </w:rPr>
              <w:t>8.89 mm</w:t>
            </w:r>
          </w:p>
        </w:tc>
        <w:tc>
          <w:tcPr>
            <w:tcW w:type="dxa" w:w="3024"/>
            <w:tcBorders>
              <w:top w:val="single" w:sz="5" w:color="B7C3CE"/>
              <w:start w:val="single" w:sz="5" w:color="B7C3CE"/>
              <w:bottom w:val="single" w:sz="5" w:color="B7C3CE"/>
              <w:end w:val="single" w:sz="5" w:color="B7C3CE"/>
            </w:tcBorders>
            <w:vAlign w:val="center"/>
            <w:tcMar>
              <w:top w:w="90" w:type="dxa"/>
              <w:start w:w="110" w:type="dxa"/>
              <w:bottom w:w="90" w:type="dxa"/>
              <w:end w:w="110" w:type="dxa"/>
            </w:tcMar>
          </w:tcPr>
          <w:p>
            <w:pPr>
              <w:spacing w:before="0" w:after="0" w:line="245" w:lineRule="auto"/>
              <w:jc w:val="left"/>
            </w:pPr>
            <w:r>
              <w:rPr>
                <w:rFonts w:ascii="Aptos" w:hAnsi="Aptos"/>
                <w:b w:val="0"/>
                <w:color w:val="27313A"/>
                <w:sz w:val="16"/>
              </w:rPr>
              <w:t>Near Heater 1 side</w:t>
            </w:r>
          </w:p>
        </w:tc>
        <w:tc>
          <w:tcPr>
            <w:tcW w:type="dxa" w:w="3024"/>
            <w:tcBorders>
              <w:top w:val="single" w:sz="5" w:color="B7C3CE"/>
              <w:start w:val="single" w:sz="5" w:color="B7C3CE"/>
              <w:bottom w:val="single" w:sz="5" w:color="B7C3CE"/>
              <w:end w:val="single" w:sz="5" w:color="B7C3CE"/>
            </w:tcBorders>
            <w:vAlign w:val="center"/>
            <w:tcMar>
              <w:top w:w="90" w:type="dxa"/>
              <w:start w:w="110" w:type="dxa"/>
              <w:bottom w:w="90" w:type="dxa"/>
              <w:end w:w="110" w:type="dxa"/>
            </w:tcMar>
          </w:tcPr>
          <w:p>
            <w:pPr>
              <w:spacing w:before="0" w:after="0" w:line="245" w:lineRule="auto"/>
              <w:jc w:val="left"/>
            </w:pPr>
            <w:r>
              <w:rPr>
                <w:rFonts w:ascii="Aptos" w:hAnsi="Aptos"/>
                <w:b w:val="0"/>
                <w:color w:val="27313A"/>
                <w:sz w:val="16"/>
              </w:rPr>
              <w:t>Near-field beam temperature</w:t>
            </w:r>
          </w:p>
        </w:tc>
      </w:tr>
      <w:tr>
        <w:trPr>
          <w:cantSplit/>
        </w:trPr>
        <w:tc>
          <w:tcPr>
            <w:tcW w:type="dxa" w:w="1080"/>
            <w:tcBorders>
              <w:top w:val="single" w:sz="5" w:color="B7C3CE"/>
              <w:start w:val="single" w:sz="5" w:color="B7C3CE"/>
              <w:bottom w:val="single" w:sz="5" w:color="B7C3CE"/>
              <w:end w:val="single" w:sz="5" w:color="B7C3CE"/>
            </w:tcBorders>
            <w:vAlign w:val="center"/>
            <w:tcMar>
              <w:top w:w="90" w:type="dxa"/>
              <w:start w:w="110" w:type="dxa"/>
              <w:bottom w:w="90" w:type="dxa"/>
              <w:end w:w="110" w:type="dxa"/>
            </w:tcMar>
          </w:tcPr>
          <w:p>
            <w:pPr>
              <w:spacing w:before="0" w:after="0" w:line="245" w:lineRule="auto"/>
              <w:jc w:val="center"/>
            </w:pPr>
            <w:r>
              <w:rPr>
                <w:rFonts w:ascii="Aptos" w:hAnsi="Aptos"/>
                <w:b w:val="0"/>
                <w:color w:val="27313A"/>
                <w:sz w:val="16"/>
              </w:rPr>
              <w:t>Beam 3</w:t>
            </w:r>
          </w:p>
        </w:tc>
        <w:tc>
          <w:tcPr>
            <w:tcW w:type="dxa" w:w="1036"/>
            <w:tcBorders>
              <w:top w:val="single" w:sz="5" w:color="B7C3CE"/>
              <w:start w:val="single" w:sz="5" w:color="B7C3CE"/>
              <w:bottom w:val="single" w:sz="5" w:color="B7C3CE"/>
              <w:end w:val="single" w:sz="5" w:color="B7C3CE"/>
            </w:tcBorders>
            <w:vAlign w:val="center"/>
            <w:tcMar>
              <w:top w:w="90" w:type="dxa"/>
              <w:start w:w="110" w:type="dxa"/>
              <w:bottom w:w="90" w:type="dxa"/>
              <w:end w:w="110" w:type="dxa"/>
            </w:tcMar>
          </w:tcPr>
          <w:p>
            <w:pPr>
              <w:spacing w:before="0" w:after="0" w:line="245" w:lineRule="auto"/>
              <w:jc w:val="center"/>
            </w:pPr>
            <w:r>
              <w:rPr>
                <w:rFonts w:ascii="Aptos" w:hAnsi="Aptos"/>
                <w:b w:val="0"/>
                <w:color w:val="27313A"/>
                <w:sz w:val="16"/>
              </w:rPr>
              <w:t>A3</w:t>
            </w:r>
          </w:p>
        </w:tc>
        <w:tc>
          <w:tcPr>
            <w:tcW w:type="dxa" w:w="1368"/>
            <w:tcBorders>
              <w:top w:val="single" w:sz="5" w:color="B7C3CE"/>
              <w:start w:val="single" w:sz="5" w:color="B7C3CE"/>
              <w:bottom w:val="single" w:sz="5" w:color="B7C3CE"/>
              <w:end w:val="single" w:sz="5" w:color="B7C3CE"/>
            </w:tcBorders>
            <w:vAlign w:val="center"/>
            <w:tcMar>
              <w:top w:w="90" w:type="dxa"/>
              <w:start w:w="110" w:type="dxa"/>
              <w:bottom w:w="90" w:type="dxa"/>
              <w:end w:w="110" w:type="dxa"/>
            </w:tcMar>
          </w:tcPr>
          <w:p>
            <w:pPr>
              <w:spacing w:before="0" w:after="0" w:line="245" w:lineRule="auto"/>
              <w:jc w:val="center"/>
            </w:pPr>
            <w:r>
              <w:rPr>
                <w:rFonts w:ascii="Aptos" w:hAnsi="Aptos"/>
                <w:b w:val="0"/>
                <w:color w:val="27313A"/>
                <w:sz w:val="16"/>
              </w:rPr>
              <w:t>19.05 mm</w:t>
            </w:r>
          </w:p>
        </w:tc>
        <w:tc>
          <w:tcPr>
            <w:tcW w:type="dxa" w:w="3024"/>
            <w:tcBorders>
              <w:top w:val="single" w:sz="5" w:color="B7C3CE"/>
              <w:start w:val="single" w:sz="5" w:color="B7C3CE"/>
              <w:bottom w:val="single" w:sz="5" w:color="B7C3CE"/>
              <w:end w:val="single" w:sz="5" w:color="B7C3CE"/>
            </w:tcBorders>
            <w:vAlign w:val="center"/>
            <w:tcMar>
              <w:top w:w="90" w:type="dxa"/>
              <w:start w:w="110" w:type="dxa"/>
              <w:bottom w:w="90" w:type="dxa"/>
              <w:end w:w="110" w:type="dxa"/>
            </w:tcMar>
          </w:tcPr>
          <w:p>
            <w:pPr>
              <w:spacing w:before="0" w:after="0" w:line="245" w:lineRule="auto"/>
              <w:jc w:val="left"/>
            </w:pPr>
            <w:r>
              <w:rPr>
                <w:rFonts w:ascii="Aptos" w:hAnsi="Aptos"/>
                <w:b w:val="0"/>
                <w:color w:val="27313A"/>
                <w:sz w:val="16"/>
              </w:rPr>
              <w:t>Central beam region</w:t>
            </w:r>
          </w:p>
        </w:tc>
        <w:tc>
          <w:tcPr>
            <w:tcW w:type="dxa" w:w="3024"/>
            <w:tcBorders>
              <w:top w:val="single" w:sz="5" w:color="B7C3CE"/>
              <w:start w:val="single" w:sz="5" w:color="B7C3CE"/>
              <w:bottom w:val="single" w:sz="5" w:color="B7C3CE"/>
              <w:end w:val="single" w:sz="5" w:color="B7C3CE"/>
            </w:tcBorders>
            <w:vAlign w:val="center"/>
            <w:tcMar>
              <w:top w:w="90" w:type="dxa"/>
              <w:start w:w="110" w:type="dxa"/>
              <w:bottom w:w="90" w:type="dxa"/>
              <w:end w:w="110" w:type="dxa"/>
            </w:tcMar>
          </w:tcPr>
          <w:p>
            <w:pPr>
              <w:spacing w:before="0" w:after="0" w:line="245" w:lineRule="auto"/>
              <w:jc w:val="left"/>
            </w:pPr>
            <w:r>
              <w:rPr>
                <w:rFonts w:ascii="Aptos" w:hAnsi="Aptos"/>
                <w:b w:val="0"/>
                <w:color w:val="27313A"/>
                <w:sz w:val="16"/>
              </w:rPr>
              <w:t>Intermediate beam temperature</w:t>
            </w:r>
          </w:p>
        </w:tc>
      </w:tr>
      <w:tr>
        <w:trPr>
          <w:cantSplit/>
        </w:trPr>
        <w:tc>
          <w:tcPr>
            <w:tcW w:type="dxa" w:w="1080"/>
            <w:tcBorders>
              <w:top w:val="single" w:sz="5" w:color="B7C3CE"/>
              <w:start w:val="single" w:sz="5" w:color="B7C3CE"/>
              <w:bottom w:val="single" w:sz="5" w:color="B7C3CE"/>
              <w:end w:val="single" w:sz="5" w:color="B7C3CE"/>
            </w:tcBorders>
            <w:vAlign w:val="center"/>
            <w:tcMar>
              <w:top w:w="90" w:type="dxa"/>
              <w:start w:w="110" w:type="dxa"/>
              <w:bottom w:w="90" w:type="dxa"/>
              <w:end w:w="110" w:type="dxa"/>
            </w:tcMar>
          </w:tcPr>
          <w:p>
            <w:pPr>
              <w:spacing w:before="0" w:after="0" w:line="245" w:lineRule="auto"/>
              <w:jc w:val="center"/>
            </w:pPr>
            <w:r>
              <w:rPr>
                <w:rFonts w:ascii="Aptos" w:hAnsi="Aptos"/>
                <w:b w:val="0"/>
                <w:color w:val="27313A"/>
                <w:sz w:val="16"/>
              </w:rPr>
              <w:t>Beam 4</w:t>
            </w:r>
          </w:p>
        </w:tc>
        <w:tc>
          <w:tcPr>
            <w:tcW w:type="dxa" w:w="1036"/>
            <w:tcBorders>
              <w:top w:val="single" w:sz="5" w:color="B7C3CE"/>
              <w:start w:val="single" w:sz="5" w:color="B7C3CE"/>
              <w:bottom w:val="single" w:sz="5" w:color="B7C3CE"/>
              <w:end w:val="single" w:sz="5" w:color="B7C3CE"/>
            </w:tcBorders>
            <w:vAlign w:val="center"/>
            <w:tcMar>
              <w:top w:w="90" w:type="dxa"/>
              <w:start w:w="110" w:type="dxa"/>
              <w:bottom w:w="90" w:type="dxa"/>
              <w:end w:w="110" w:type="dxa"/>
            </w:tcMar>
          </w:tcPr>
          <w:p>
            <w:pPr>
              <w:spacing w:before="0" w:after="0" w:line="245" w:lineRule="auto"/>
              <w:jc w:val="center"/>
            </w:pPr>
            <w:r>
              <w:rPr>
                <w:rFonts w:ascii="Aptos" w:hAnsi="Aptos"/>
                <w:b w:val="0"/>
                <w:color w:val="27313A"/>
                <w:sz w:val="16"/>
              </w:rPr>
              <w:t>A4</w:t>
            </w:r>
          </w:p>
        </w:tc>
        <w:tc>
          <w:tcPr>
            <w:tcW w:type="dxa" w:w="1368"/>
            <w:tcBorders>
              <w:top w:val="single" w:sz="5" w:color="B7C3CE"/>
              <w:start w:val="single" w:sz="5" w:color="B7C3CE"/>
              <w:bottom w:val="single" w:sz="5" w:color="B7C3CE"/>
              <w:end w:val="single" w:sz="5" w:color="B7C3CE"/>
            </w:tcBorders>
            <w:vAlign w:val="center"/>
            <w:tcMar>
              <w:top w:w="90" w:type="dxa"/>
              <w:start w:w="110" w:type="dxa"/>
              <w:bottom w:w="90" w:type="dxa"/>
              <w:end w:w="110" w:type="dxa"/>
            </w:tcMar>
          </w:tcPr>
          <w:p>
            <w:pPr>
              <w:spacing w:before="0" w:after="0" w:line="245" w:lineRule="auto"/>
              <w:jc w:val="center"/>
            </w:pPr>
            <w:r>
              <w:rPr>
                <w:rFonts w:ascii="Aptos" w:hAnsi="Aptos"/>
                <w:b w:val="0"/>
                <w:color w:val="27313A"/>
                <w:sz w:val="16"/>
              </w:rPr>
              <w:t>29.2 mm</w:t>
            </w:r>
          </w:p>
        </w:tc>
        <w:tc>
          <w:tcPr>
            <w:tcW w:type="dxa" w:w="3024"/>
            <w:tcBorders>
              <w:top w:val="single" w:sz="5" w:color="B7C3CE"/>
              <w:start w:val="single" w:sz="5" w:color="B7C3CE"/>
              <w:bottom w:val="single" w:sz="5" w:color="B7C3CE"/>
              <w:end w:val="single" w:sz="5" w:color="B7C3CE"/>
            </w:tcBorders>
            <w:vAlign w:val="center"/>
            <w:tcMar>
              <w:top w:w="90" w:type="dxa"/>
              <w:start w:w="110" w:type="dxa"/>
              <w:bottom w:w="90" w:type="dxa"/>
              <w:end w:w="110" w:type="dxa"/>
            </w:tcMar>
          </w:tcPr>
          <w:p>
            <w:pPr>
              <w:spacing w:before="0" w:after="0" w:line="245" w:lineRule="auto"/>
              <w:jc w:val="left"/>
            </w:pPr>
            <w:r>
              <w:rPr>
                <w:rFonts w:ascii="Aptos" w:hAnsi="Aptos"/>
                <w:b w:val="0"/>
                <w:color w:val="27313A"/>
                <w:sz w:val="16"/>
              </w:rPr>
              <w:t>Near Heater 2 side</w:t>
            </w:r>
          </w:p>
        </w:tc>
        <w:tc>
          <w:tcPr>
            <w:tcW w:type="dxa" w:w="3024"/>
            <w:tcBorders>
              <w:top w:val="single" w:sz="5" w:color="B7C3CE"/>
              <w:start w:val="single" w:sz="5" w:color="B7C3CE"/>
              <w:bottom w:val="single" w:sz="5" w:color="B7C3CE"/>
              <w:end w:val="single" w:sz="5" w:color="B7C3CE"/>
            </w:tcBorders>
            <w:vAlign w:val="center"/>
            <w:tcMar>
              <w:top w:w="90" w:type="dxa"/>
              <w:start w:w="110" w:type="dxa"/>
              <w:bottom w:w="90" w:type="dxa"/>
              <w:end w:w="110" w:type="dxa"/>
            </w:tcMar>
          </w:tcPr>
          <w:p>
            <w:pPr>
              <w:spacing w:before="0" w:after="0" w:line="245" w:lineRule="auto"/>
              <w:jc w:val="left"/>
            </w:pPr>
            <w:r>
              <w:rPr>
                <w:rFonts w:ascii="Aptos" w:hAnsi="Aptos"/>
                <w:b w:val="0"/>
                <w:color w:val="27313A"/>
                <w:sz w:val="16"/>
              </w:rPr>
              <w:t>Far-field beam temperature</w:t>
            </w:r>
          </w:p>
        </w:tc>
      </w:tr>
      <w:tr>
        <w:trPr>
          <w:cantSplit/>
        </w:trPr>
        <w:tc>
          <w:tcPr>
            <w:tcW w:type="dxa" w:w="1080"/>
            <w:tcBorders>
              <w:top w:val="single" w:sz="5" w:color="B7C3CE"/>
              <w:start w:val="single" w:sz="5" w:color="B7C3CE"/>
              <w:bottom w:val="single" w:sz="5" w:color="B7C3CE"/>
              <w:end w:val="single" w:sz="5" w:color="B7C3CE"/>
            </w:tcBorders>
            <w:vAlign w:val="center"/>
            <w:tcMar>
              <w:top w:w="90" w:type="dxa"/>
              <w:start w:w="110" w:type="dxa"/>
              <w:bottom w:w="90" w:type="dxa"/>
              <w:end w:w="110" w:type="dxa"/>
            </w:tcMar>
          </w:tcPr>
          <w:p>
            <w:pPr>
              <w:spacing w:before="0" w:after="0" w:line="245" w:lineRule="auto"/>
              <w:jc w:val="center"/>
            </w:pPr>
            <w:r>
              <w:rPr>
                <w:rFonts w:ascii="Aptos" w:hAnsi="Aptos"/>
                <w:b w:val="0"/>
                <w:color w:val="27313A"/>
                <w:sz w:val="16"/>
              </w:rPr>
              <w:t>Beam 5</w:t>
            </w:r>
          </w:p>
        </w:tc>
        <w:tc>
          <w:tcPr>
            <w:tcW w:type="dxa" w:w="1036"/>
            <w:tcBorders>
              <w:top w:val="single" w:sz="5" w:color="B7C3CE"/>
              <w:start w:val="single" w:sz="5" w:color="B7C3CE"/>
              <w:bottom w:val="single" w:sz="5" w:color="B7C3CE"/>
              <w:end w:val="single" w:sz="5" w:color="B7C3CE"/>
            </w:tcBorders>
            <w:vAlign w:val="center"/>
            <w:tcMar>
              <w:top w:w="90" w:type="dxa"/>
              <w:start w:w="110" w:type="dxa"/>
              <w:bottom w:w="90" w:type="dxa"/>
              <w:end w:w="110" w:type="dxa"/>
            </w:tcMar>
          </w:tcPr>
          <w:p>
            <w:pPr>
              <w:spacing w:before="0" w:after="0" w:line="245" w:lineRule="auto"/>
              <w:jc w:val="center"/>
            </w:pPr>
            <w:r>
              <w:rPr>
                <w:rFonts w:ascii="Aptos" w:hAnsi="Aptos"/>
                <w:b w:val="0"/>
                <w:color w:val="27313A"/>
                <w:sz w:val="16"/>
              </w:rPr>
              <w:t>A5</w:t>
            </w:r>
          </w:p>
        </w:tc>
        <w:tc>
          <w:tcPr>
            <w:tcW w:type="dxa" w:w="1368"/>
            <w:tcBorders>
              <w:top w:val="single" w:sz="5" w:color="B7C3CE"/>
              <w:start w:val="single" w:sz="5" w:color="B7C3CE"/>
              <w:bottom w:val="single" w:sz="5" w:color="B7C3CE"/>
              <w:end w:val="single" w:sz="5" w:color="B7C3CE"/>
            </w:tcBorders>
            <w:vAlign w:val="center"/>
            <w:tcMar>
              <w:top w:w="90" w:type="dxa"/>
              <w:start w:w="110" w:type="dxa"/>
              <w:bottom w:w="90" w:type="dxa"/>
              <w:end w:w="110" w:type="dxa"/>
            </w:tcMar>
          </w:tcPr>
          <w:p>
            <w:pPr>
              <w:spacing w:before="0" w:after="0" w:line="245" w:lineRule="auto"/>
              <w:jc w:val="center"/>
            </w:pPr>
            <w:r>
              <w:rPr>
                <w:rFonts w:ascii="Aptos" w:hAnsi="Aptos"/>
                <w:b w:val="0"/>
                <w:color w:val="27313A"/>
                <w:sz w:val="16"/>
              </w:rPr>
              <w:t>39.3 mm</w:t>
            </w:r>
          </w:p>
        </w:tc>
        <w:tc>
          <w:tcPr>
            <w:tcW w:type="dxa" w:w="3024"/>
            <w:tcBorders>
              <w:top w:val="single" w:sz="5" w:color="B7C3CE"/>
              <w:start w:val="single" w:sz="5" w:color="B7C3CE"/>
              <w:bottom w:val="single" w:sz="5" w:color="B7C3CE"/>
              <w:end w:val="single" w:sz="5" w:color="B7C3CE"/>
            </w:tcBorders>
            <w:vAlign w:val="center"/>
            <w:tcMar>
              <w:top w:w="90" w:type="dxa"/>
              <w:start w:w="110" w:type="dxa"/>
              <w:bottom w:w="90" w:type="dxa"/>
              <w:end w:w="110" w:type="dxa"/>
            </w:tcMar>
          </w:tcPr>
          <w:p>
            <w:pPr>
              <w:spacing w:before="0" w:after="0" w:line="245" w:lineRule="auto"/>
              <w:jc w:val="left"/>
            </w:pPr>
            <w:r>
              <w:rPr>
                <w:rFonts w:ascii="Aptos" w:hAnsi="Aptos"/>
                <w:b w:val="0"/>
                <w:color w:val="27313A"/>
                <w:sz w:val="16"/>
              </w:rPr>
              <w:t>Nearest Heater 2 / opposite end</w:t>
            </w:r>
          </w:p>
        </w:tc>
        <w:tc>
          <w:tcPr>
            <w:tcW w:type="dxa" w:w="3024"/>
            <w:tcBorders>
              <w:top w:val="single" w:sz="5" w:color="B7C3CE"/>
              <w:start w:val="single" w:sz="5" w:color="B7C3CE"/>
              <w:bottom w:val="single" w:sz="5" w:color="B7C3CE"/>
              <w:end w:val="single" w:sz="5" w:color="B7C3CE"/>
            </w:tcBorders>
            <w:vAlign w:val="center"/>
            <w:tcMar>
              <w:top w:w="90" w:type="dxa"/>
              <w:start w:w="110" w:type="dxa"/>
              <w:bottom w:w="90" w:type="dxa"/>
              <w:end w:w="110" w:type="dxa"/>
            </w:tcMar>
          </w:tcPr>
          <w:p>
            <w:pPr>
              <w:spacing w:before="0" w:after="0" w:line="245" w:lineRule="auto"/>
              <w:jc w:val="left"/>
            </w:pPr>
            <w:r>
              <w:rPr>
                <w:rFonts w:ascii="Aptos" w:hAnsi="Aptos"/>
                <w:b w:val="0"/>
                <w:color w:val="27313A"/>
                <w:sz w:val="16"/>
              </w:rPr>
              <w:t>Temperature near the free end</w:t>
            </w:r>
          </w:p>
        </w:tc>
      </w:tr>
    </w:tbl>
    <w:p>
      <w:pPr>
        <w:pStyle w:val="Caption"/>
        <w:jc w:val="center"/>
      </w:pPr>
      <w:r>
        <w:t>Table 2. Beam temperature channels and nominal measurement locations.</w:t>
      </w:r>
    </w:p>
    <w:tbl>
      <w:tblPr>
        <w:tblW w:type="auto" w:w="0"/>
        <w:jc w:val="center"/>
        <w:tblLayout w:type="fixed"/>
        <w:tblLook w:firstColumn="1" w:firstRow="1" w:lastColumn="0" w:lastRow="0" w:noHBand="0" w:noVBand="1" w:val="04A0"/>
      </w:tblPr>
      <w:tblGrid>
        <w:gridCol w:w="9994"/>
      </w:tblGrid>
      <w:tr>
        <w:tc>
          <w:tcPr>
            <w:tcW w:type="dxa" w:w="9720"/>
            <w:shd w:fill="F2F4F6"/>
            <w:tcMar>
              <w:top w:w="130" w:type="dxa"/>
              <w:start w:w="150" w:type="dxa"/>
              <w:bottom w:w="130" w:type="dxa"/>
              <w:end w:w="150" w:type="dxa"/>
            </w:tcMar>
            <w:tcBorders>
              <w:top w:val="nil"/>
              <w:start w:val="single" w:sz="18" w:color="7F8C97"/>
              <w:bottom w:val="nil"/>
              <w:end w:val="nil"/>
            </w:tcBorders>
          </w:tcPr>
          <w:p>
            <w:pPr>
              <w:spacing w:after="40"/>
            </w:pPr>
            <w:r>
              <w:rPr>
                <w:b/>
                <w:color w:val="17365D"/>
                <w:sz w:val="21"/>
              </w:rPr>
              <w:t>Geometry datum note</w:t>
            </w:r>
          </w:p>
          <w:p>
            <w:pPr>
              <w:spacing w:after="0" w:line="252" w:lineRule="auto"/>
            </w:pPr>
            <w:r>
              <w:rPr>
                <w:color w:val="27313A"/>
                <w:sz w:val="19"/>
              </w:rPr>
              <w:t>The sensor coordinates are referenced to the heater location as originally specified, while the 37.5 mm beam dimension is referenced to the edge of the rectangular heater copper area. These datums should remain distinct in drawings and thermal models.</w:t>
            </w:r>
          </w:p>
        </w:tc>
      </w:tr>
    </w:tbl>
    <w:p>
      <w:pPr>
        <w:spacing w:after="0"/>
      </w:pPr>
    </w:p>
    <w:p>
      <w:pPr>
        <w:pStyle w:val="Heading1"/>
        <w:pageBreakBefore/>
      </w:pPr>
      <w:r>
        <w:t>5. Setup 1 - Dual-Heater Beam</w:t>
      </w:r>
    </w:p>
    <w:p>
      <w:pPr>
        <w:pStyle w:val="BodyText"/>
        <w:keepNext w:val="0"/>
      </w:pPr>
      <w:r>
        <w:t>Setup 1 is the two-sided or dual-ended heater configuration. A 9.5 mm x 9.5 mm copper heating area is located at the first end of the beam. A second copper heating area of the same dimensions is located at the opposite, sensor-side end near Beam Sensor 5. Each copper area carries an independent resistive heater and is connected to the beam copper through the local copper pour and via field.</w:t>
      </w:r>
    </w:p>
    <w:tbl>
      <w:tblPr>
        <w:tblW w:type="auto" w:w="0"/>
        <w:jc w:val="center"/>
        <w:tblLayout w:type="fixed"/>
        <w:tblLook w:firstColumn="1" w:firstRow="1" w:lastColumn="0" w:lastRow="0" w:noHBand="0" w:noVBand="1" w:val="04A0"/>
      </w:tblPr>
      <w:tblGrid>
        <w:gridCol w:w="1666"/>
        <w:gridCol w:w="1666"/>
        <w:gridCol w:w="1666"/>
        <w:gridCol w:w="1666"/>
        <w:gridCol w:w="1666"/>
        <w:gridCol w:w="1666"/>
      </w:tblGrid>
      <w:tr>
        <w:trPr>
          <w:cantSplit/>
          <w:tblHeader w:val="true"/>
        </w:trPr>
        <w:tc>
          <w:tcPr>
            <w:tcW w:type="dxa" w:w="1655"/>
            <w:tcBorders>
              <w:top w:val="single" w:sz="5" w:color="B7C3CE"/>
              <w:start w:val="single" w:sz="5" w:color="B7C3CE"/>
              <w:bottom w:val="single" w:sz="5" w:color="B7C3CE"/>
              <w:end w:val="single" w:sz="5" w:color="B7C3CE"/>
            </w:tcBorders>
            <w:shd w:fill="17365D"/>
            <w:vAlign w:val="center"/>
            <w:tcMar>
              <w:top w:w="90" w:type="dxa"/>
              <w:start w:w="110" w:type="dxa"/>
              <w:bottom w:w="90" w:type="dxa"/>
              <w:end w:w="110" w:type="dxa"/>
            </w:tcMar>
          </w:tcPr>
          <w:p>
            <w:pPr>
              <w:spacing w:before="0" w:after="0" w:line="245" w:lineRule="auto"/>
              <w:jc w:val="center"/>
            </w:pPr>
            <w:r>
              <w:rPr>
                <w:rFonts w:ascii="Aptos" w:hAnsi="Aptos"/>
                <w:b/>
                <w:color w:val="FFFFFF"/>
                <w:sz w:val="18"/>
              </w:rPr>
              <w:t>Heater 1 region</w:t>
            </w:r>
          </w:p>
        </w:tc>
        <w:tc>
          <w:tcPr>
            <w:tcW w:type="dxa" w:w="1152"/>
            <w:tcBorders>
              <w:top w:val="single" w:sz="5" w:color="B7C3CE"/>
              <w:start w:val="single" w:sz="5" w:color="B7C3CE"/>
              <w:bottom w:val="single" w:sz="5" w:color="B7C3CE"/>
              <w:end w:val="single" w:sz="5" w:color="B7C3CE"/>
            </w:tcBorders>
            <w:shd w:fill="17365D"/>
            <w:vAlign w:val="center"/>
            <w:tcMar>
              <w:top w:w="90" w:type="dxa"/>
              <w:start w:w="110" w:type="dxa"/>
              <w:bottom w:w="90" w:type="dxa"/>
              <w:end w:w="110" w:type="dxa"/>
            </w:tcMar>
          </w:tcPr>
          <w:p>
            <w:pPr>
              <w:spacing w:before="0" w:after="0" w:line="245" w:lineRule="auto"/>
              <w:jc w:val="center"/>
            </w:pPr>
            <w:r>
              <w:rPr>
                <w:rFonts w:ascii="Aptos" w:hAnsi="Aptos"/>
                <w:b/>
                <w:color w:val="FFFFFF"/>
                <w:sz w:val="18"/>
              </w:rPr>
              <w:t>Beam 1</w:t>
            </w:r>
          </w:p>
        </w:tc>
        <w:tc>
          <w:tcPr>
            <w:tcW w:type="dxa" w:w="1152"/>
            <w:tcBorders>
              <w:top w:val="single" w:sz="5" w:color="B7C3CE"/>
              <w:start w:val="single" w:sz="5" w:color="B7C3CE"/>
              <w:bottom w:val="single" w:sz="5" w:color="B7C3CE"/>
              <w:end w:val="single" w:sz="5" w:color="B7C3CE"/>
            </w:tcBorders>
            <w:shd w:fill="17365D"/>
            <w:vAlign w:val="center"/>
            <w:tcMar>
              <w:top w:w="90" w:type="dxa"/>
              <w:start w:w="110" w:type="dxa"/>
              <w:bottom w:w="90" w:type="dxa"/>
              <w:end w:w="110" w:type="dxa"/>
            </w:tcMar>
          </w:tcPr>
          <w:p>
            <w:pPr>
              <w:spacing w:before="0" w:after="0" w:line="245" w:lineRule="auto"/>
              <w:jc w:val="center"/>
            </w:pPr>
            <w:r>
              <w:rPr>
                <w:rFonts w:ascii="Aptos" w:hAnsi="Aptos"/>
                <w:b/>
                <w:color w:val="FFFFFF"/>
                <w:sz w:val="18"/>
              </w:rPr>
              <w:t>Beam 2</w:t>
            </w:r>
          </w:p>
        </w:tc>
        <w:tc>
          <w:tcPr>
            <w:tcW w:type="dxa" w:w="1296"/>
            <w:tcBorders>
              <w:top w:val="single" w:sz="5" w:color="B7C3CE"/>
              <w:start w:val="single" w:sz="5" w:color="B7C3CE"/>
              <w:bottom w:val="single" w:sz="5" w:color="B7C3CE"/>
              <w:end w:val="single" w:sz="5" w:color="B7C3CE"/>
            </w:tcBorders>
            <w:shd w:fill="17365D"/>
            <w:vAlign w:val="center"/>
            <w:tcMar>
              <w:top w:w="90" w:type="dxa"/>
              <w:start w:w="110" w:type="dxa"/>
              <w:bottom w:w="90" w:type="dxa"/>
              <w:end w:w="110" w:type="dxa"/>
            </w:tcMar>
          </w:tcPr>
          <w:p>
            <w:pPr>
              <w:spacing w:before="0" w:after="0" w:line="245" w:lineRule="auto"/>
              <w:jc w:val="center"/>
            </w:pPr>
            <w:r>
              <w:rPr>
                <w:rFonts w:ascii="Aptos" w:hAnsi="Aptos"/>
                <w:b/>
                <w:color w:val="FFFFFF"/>
                <w:sz w:val="18"/>
              </w:rPr>
              <w:t>Beam 3</w:t>
            </w:r>
          </w:p>
        </w:tc>
        <w:tc>
          <w:tcPr>
            <w:tcW w:type="dxa" w:w="1296"/>
            <w:tcBorders>
              <w:top w:val="single" w:sz="5" w:color="B7C3CE"/>
              <w:start w:val="single" w:sz="5" w:color="B7C3CE"/>
              <w:bottom w:val="single" w:sz="5" w:color="B7C3CE"/>
              <w:end w:val="single" w:sz="5" w:color="B7C3CE"/>
            </w:tcBorders>
            <w:shd w:fill="17365D"/>
            <w:vAlign w:val="center"/>
            <w:tcMar>
              <w:top w:w="90" w:type="dxa"/>
              <w:start w:w="110" w:type="dxa"/>
              <w:bottom w:w="90" w:type="dxa"/>
              <w:end w:w="110" w:type="dxa"/>
            </w:tcMar>
          </w:tcPr>
          <w:p>
            <w:pPr>
              <w:spacing w:before="0" w:after="0" w:line="245" w:lineRule="auto"/>
              <w:jc w:val="center"/>
            </w:pPr>
            <w:r>
              <w:rPr>
                <w:rFonts w:ascii="Aptos" w:hAnsi="Aptos"/>
                <w:b/>
                <w:color w:val="FFFFFF"/>
                <w:sz w:val="18"/>
              </w:rPr>
              <w:t>Beam 4</w:t>
            </w:r>
          </w:p>
        </w:tc>
        <w:tc>
          <w:tcPr>
            <w:tcW w:type="dxa" w:w="3024"/>
            <w:tcBorders>
              <w:top w:val="single" w:sz="5" w:color="B7C3CE"/>
              <w:start w:val="single" w:sz="5" w:color="B7C3CE"/>
              <w:bottom w:val="single" w:sz="5" w:color="B7C3CE"/>
              <w:end w:val="single" w:sz="5" w:color="B7C3CE"/>
            </w:tcBorders>
            <w:shd w:fill="17365D"/>
            <w:vAlign w:val="center"/>
            <w:tcMar>
              <w:top w:w="90" w:type="dxa"/>
              <w:start w:w="110" w:type="dxa"/>
              <w:bottom w:w="90" w:type="dxa"/>
              <w:end w:w="110" w:type="dxa"/>
            </w:tcMar>
          </w:tcPr>
          <w:p>
            <w:pPr>
              <w:spacing w:before="0" w:after="0" w:line="245" w:lineRule="auto"/>
              <w:jc w:val="center"/>
            </w:pPr>
            <w:r>
              <w:rPr>
                <w:rFonts w:ascii="Aptos" w:hAnsi="Aptos"/>
                <w:b/>
                <w:color w:val="FFFFFF"/>
                <w:sz w:val="18"/>
              </w:rPr>
              <w:t>Beam 5 / Heater 2 region</w:t>
            </w:r>
          </w:p>
        </w:tc>
      </w:tr>
      <w:tr>
        <w:trPr>
          <w:cantSplit/>
        </w:trPr>
        <w:tc>
          <w:tcPr>
            <w:tcW w:type="dxa" w:w="1655"/>
            <w:tcBorders>
              <w:top w:val="single" w:sz="5" w:color="B7C3CE"/>
              <w:start w:val="single" w:sz="5" w:color="B7C3CE"/>
              <w:bottom w:val="single" w:sz="5" w:color="B7C3CE"/>
              <w:end w:val="single" w:sz="5" w:color="B7C3CE"/>
            </w:tcBorders>
            <w:vAlign w:val="center"/>
            <w:tcMar>
              <w:top w:w="90" w:type="dxa"/>
              <w:start w:w="110" w:type="dxa"/>
              <w:bottom w:w="90" w:type="dxa"/>
              <w:end w:w="110" w:type="dxa"/>
            </w:tcMar>
          </w:tcPr>
          <w:p>
            <w:pPr>
              <w:spacing w:before="0" w:after="0" w:line="245" w:lineRule="auto"/>
              <w:jc w:val="center"/>
            </w:pPr>
            <w:r>
              <w:rPr>
                <w:rFonts w:ascii="Aptos" w:hAnsi="Aptos"/>
                <w:b w:val="0"/>
                <w:color w:val="27313A"/>
                <w:sz w:val="17"/>
              </w:rPr>
              <w:t>30 ohm heater</w:t>
            </w:r>
          </w:p>
        </w:tc>
        <w:tc>
          <w:tcPr>
            <w:tcW w:type="dxa" w:w="1152"/>
            <w:tcBorders>
              <w:top w:val="single" w:sz="5" w:color="B7C3CE"/>
              <w:start w:val="single" w:sz="5" w:color="B7C3CE"/>
              <w:bottom w:val="single" w:sz="5" w:color="B7C3CE"/>
              <w:end w:val="single" w:sz="5" w:color="B7C3CE"/>
            </w:tcBorders>
            <w:vAlign w:val="center"/>
            <w:tcMar>
              <w:top w:w="90" w:type="dxa"/>
              <w:start w:w="110" w:type="dxa"/>
              <w:bottom w:w="90" w:type="dxa"/>
              <w:end w:w="110" w:type="dxa"/>
            </w:tcMar>
          </w:tcPr>
          <w:p>
            <w:pPr>
              <w:spacing w:before="0" w:after="0" w:line="245" w:lineRule="auto"/>
              <w:jc w:val="center"/>
            </w:pPr>
            <w:r>
              <w:rPr>
                <w:rFonts w:ascii="Aptos" w:hAnsi="Aptos"/>
                <w:b w:val="0"/>
                <w:color w:val="27313A"/>
                <w:sz w:val="17"/>
              </w:rPr>
              <w:t>0 mm</w:t>
            </w:r>
          </w:p>
        </w:tc>
        <w:tc>
          <w:tcPr>
            <w:tcW w:type="dxa" w:w="1152"/>
            <w:tcBorders>
              <w:top w:val="single" w:sz="5" w:color="B7C3CE"/>
              <w:start w:val="single" w:sz="5" w:color="B7C3CE"/>
              <w:bottom w:val="single" w:sz="5" w:color="B7C3CE"/>
              <w:end w:val="single" w:sz="5" w:color="B7C3CE"/>
            </w:tcBorders>
            <w:vAlign w:val="center"/>
            <w:tcMar>
              <w:top w:w="90" w:type="dxa"/>
              <w:start w:w="110" w:type="dxa"/>
              <w:bottom w:w="90" w:type="dxa"/>
              <w:end w:w="110" w:type="dxa"/>
            </w:tcMar>
          </w:tcPr>
          <w:p>
            <w:pPr>
              <w:spacing w:before="0" w:after="0" w:line="245" w:lineRule="auto"/>
              <w:jc w:val="center"/>
            </w:pPr>
            <w:r>
              <w:rPr>
                <w:rFonts w:ascii="Aptos" w:hAnsi="Aptos"/>
                <w:b w:val="0"/>
                <w:color w:val="27313A"/>
                <w:sz w:val="17"/>
              </w:rPr>
              <w:t>8.89 mm</w:t>
            </w:r>
          </w:p>
        </w:tc>
        <w:tc>
          <w:tcPr>
            <w:tcW w:type="dxa" w:w="1296"/>
            <w:tcBorders>
              <w:top w:val="single" w:sz="5" w:color="B7C3CE"/>
              <w:start w:val="single" w:sz="5" w:color="B7C3CE"/>
              <w:bottom w:val="single" w:sz="5" w:color="B7C3CE"/>
              <w:end w:val="single" w:sz="5" w:color="B7C3CE"/>
            </w:tcBorders>
            <w:vAlign w:val="center"/>
            <w:tcMar>
              <w:top w:w="90" w:type="dxa"/>
              <w:start w:w="110" w:type="dxa"/>
              <w:bottom w:w="90" w:type="dxa"/>
              <w:end w:w="110" w:type="dxa"/>
            </w:tcMar>
          </w:tcPr>
          <w:p>
            <w:pPr>
              <w:spacing w:before="0" w:after="0" w:line="245" w:lineRule="auto"/>
              <w:jc w:val="center"/>
            </w:pPr>
            <w:r>
              <w:rPr>
                <w:rFonts w:ascii="Aptos" w:hAnsi="Aptos"/>
                <w:b w:val="0"/>
                <w:color w:val="27313A"/>
                <w:sz w:val="17"/>
              </w:rPr>
              <w:t>19.05 mm</w:t>
            </w:r>
          </w:p>
        </w:tc>
        <w:tc>
          <w:tcPr>
            <w:tcW w:type="dxa" w:w="1296"/>
            <w:tcBorders>
              <w:top w:val="single" w:sz="5" w:color="B7C3CE"/>
              <w:start w:val="single" w:sz="5" w:color="B7C3CE"/>
              <w:bottom w:val="single" w:sz="5" w:color="B7C3CE"/>
              <w:end w:val="single" w:sz="5" w:color="B7C3CE"/>
            </w:tcBorders>
            <w:vAlign w:val="center"/>
            <w:tcMar>
              <w:top w:w="90" w:type="dxa"/>
              <w:start w:w="110" w:type="dxa"/>
              <w:bottom w:w="90" w:type="dxa"/>
              <w:end w:w="110" w:type="dxa"/>
            </w:tcMar>
          </w:tcPr>
          <w:p>
            <w:pPr>
              <w:spacing w:before="0" w:after="0" w:line="245" w:lineRule="auto"/>
              <w:jc w:val="center"/>
            </w:pPr>
            <w:r>
              <w:rPr>
                <w:rFonts w:ascii="Aptos" w:hAnsi="Aptos"/>
                <w:b w:val="0"/>
                <w:color w:val="27313A"/>
                <w:sz w:val="17"/>
              </w:rPr>
              <w:t>29.2 mm</w:t>
            </w:r>
          </w:p>
        </w:tc>
        <w:tc>
          <w:tcPr>
            <w:tcW w:type="dxa" w:w="3024"/>
            <w:tcBorders>
              <w:top w:val="single" w:sz="5" w:color="B7C3CE"/>
              <w:start w:val="single" w:sz="5" w:color="B7C3CE"/>
              <w:bottom w:val="single" w:sz="5" w:color="B7C3CE"/>
              <w:end w:val="single" w:sz="5" w:color="B7C3CE"/>
            </w:tcBorders>
            <w:vAlign w:val="center"/>
            <w:tcMar>
              <w:top w:w="90" w:type="dxa"/>
              <w:start w:w="110" w:type="dxa"/>
              <w:bottom w:w="90" w:type="dxa"/>
              <w:end w:w="110" w:type="dxa"/>
            </w:tcMar>
          </w:tcPr>
          <w:p>
            <w:pPr>
              <w:spacing w:before="0" w:after="0" w:line="245" w:lineRule="auto"/>
              <w:jc w:val="center"/>
            </w:pPr>
            <w:r>
              <w:rPr>
                <w:rFonts w:ascii="Aptos" w:hAnsi="Aptos"/>
                <w:b w:val="0"/>
                <w:color w:val="27313A"/>
                <w:sz w:val="17"/>
              </w:rPr>
              <w:t>39.3 mm / 30 ohm heater</w:t>
            </w:r>
          </w:p>
        </w:tc>
      </w:tr>
    </w:tbl>
    <w:p>
      <w:pPr>
        <w:pStyle w:val="Caption"/>
        <w:jc w:val="center"/>
      </w:pPr>
      <w:r>
        <w:t>Figure 1. Simplified axial arrangement of Setup 1. The exact mechanical reference of the second heater should follow the PCB drawing.</w:t>
      </w:r>
    </w:p>
    <w:p>
      <w:pPr>
        <w:pStyle w:val="Heading2"/>
        <w:pageBreakBefore w:val="0"/>
      </w:pPr>
      <w:r>
        <w:t>5.1 Heater Electrical Characteristics</w:t>
      </w:r>
    </w:p>
    <w:p>
      <w:pPr>
        <w:pStyle w:val="BodyText"/>
        <w:keepNext w:val="0"/>
      </w:pPr>
      <w:r>
        <w:t>Each heater consists of two 15 ohm resistors connected in series. The nominal resistance of each heater section is:</w:t>
      </w:r>
    </w:p>
    <w:p>
      <w:pPr>
        <w:pStyle w:val="Equation"/>
        <w:keepLines/>
        <w:spacing w:before="40" w:after="120"/>
        <w:jc w:val="center"/>
      </w:pPr>
      <w:r>
        <w:rPr>
          <w:b w:val="0"/>
        </w:rPr>
        <w:t>Rheater = 15 + 15 = 30 ohm</w:t>
      </w:r>
    </w:p>
    <w:p>
      <w:pPr>
        <w:pStyle w:val="BodyText"/>
        <w:keepNext w:val="0"/>
      </w:pPr>
      <w:r>
        <w:t>With a 5 V supply, one active heater draws approximately:</w:t>
      </w:r>
    </w:p>
    <w:p>
      <w:pPr>
        <w:pStyle w:val="Equation"/>
        <w:keepLines/>
        <w:spacing w:before="40" w:after="120"/>
        <w:jc w:val="center"/>
      </w:pPr>
      <w:r>
        <w:rPr>
          <w:b w:val="0"/>
        </w:rPr>
        <w:t>Iheater = V / R = 5 / 30 = 0.167 A</w:t>
      </w:r>
    </w:p>
    <w:p>
      <w:pPr>
        <w:pStyle w:val="BodyText"/>
        <w:keepNext w:val="0"/>
      </w:pPr>
      <w:r>
        <w:t>The nominal power generated by one heater at 100% PWM duty is:</w:t>
      </w:r>
    </w:p>
    <w:p>
      <w:pPr>
        <w:pStyle w:val="Equation"/>
        <w:keepLines/>
        <w:spacing w:before="40" w:after="120"/>
        <w:jc w:val="center"/>
      </w:pPr>
      <w:r>
        <w:rPr>
          <w:b w:val="0"/>
        </w:rPr>
        <w:t>Pheater = V^2 / R = 5^2 / 30 = 0.83 W</w:t>
      </w:r>
    </w:p>
    <w:p>
      <w:pPr>
        <w:pStyle w:val="BodyText"/>
        <w:keepNext w:val="0"/>
      </w:pPr>
      <w:r>
        <w:t>Each resistor in an active heater dissipates approximately 0.42 W. When both independent heaters operate at full power, the total nominal current is approximately 0.333 A and the total heater power is approximately 1.67 W.</w:t>
      </w:r>
    </w:p>
    <w:p>
      <w:pPr>
        <w:pStyle w:val="Heading2"/>
        <w:pageBreakBefore w:val="0"/>
      </w:pPr>
      <w:r>
        <w:t>5.2 Operating Modes</w:t>
      </w:r>
    </w:p>
    <w:p>
      <w:pPr>
        <w:pStyle w:val="BodyText"/>
        <w:spacing w:after="60"/>
        <w:ind w:left="317" w:hanging="230"/>
      </w:pPr>
      <w:r>
        <w:rPr>
          <w:sz w:val="20"/>
        </w:rPr>
        <w:t>• Heater 1 only: heat propagates from the Beam 1 end toward Beam 5.</w:t>
      </w:r>
    </w:p>
    <w:p>
      <w:pPr>
        <w:pStyle w:val="BodyText"/>
        <w:spacing w:after="60"/>
        <w:ind w:left="317" w:hanging="230"/>
      </w:pPr>
      <w:r>
        <w:rPr>
          <w:sz w:val="20"/>
        </w:rPr>
        <w:t>• Heater 2 only: the primary heat-flow direction is reversed and heat propagates from the Beam 5 end toward Beam 1.</w:t>
      </w:r>
    </w:p>
    <w:p>
      <w:pPr>
        <w:pStyle w:val="BodyText"/>
        <w:spacing w:after="60"/>
        <w:ind w:left="317" w:hanging="230"/>
      </w:pPr>
      <w:r>
        <w:rPr>
          <w:sz w:val="20"/>
        </w:rPr>
        <w:t>• Both heaters at equal duty: heat is introduced from both ends, producing a more symmetric temperature field and a central thermal-balance region.</w:t>
      </w:r>
    </w:p>
    <w:p>
      <w:pPr>
        <w:pStyle w:val="BodyText"/>
        <w:spacing w:after="60"/>
        <w:ind w:left="317" w:hanging="230"/>
      </w:pPr>
      <w:r>
        <w:rPr>
          <w:sz w:val="20"/>
        </w:rPr>
        <w:t>• Both heaters at unequal duty: an intentionally asymmetric temperature profile can be generated and controlled.</w:t>
      </w:r>
    </w:p>
    <w:p>
      <w:pPr>
        <w:pStyle w:val="BodyText"/>
        <w:keepNext w:val="0"/>
      </w:pPr>
      <w:r>
        <w:t>For independent PWM duty fractions D1 and D2, the approximate average heater powers are 0.83D1 W and 0.83D2 W. The maximum combined power is therefore the same nominal 1.67 W as the single-heater configuration, but it is distributed between two ends of the beam.</w:t>
      </w:r>
    </w:p>
    <w:p>
      <w:pPr>
        <w:pStyle w:val="Heading1"/>
        <w:pageBreakBefore/>
      </w:pPr>
      <w:r>
        <w:t>6. Setup 2 - Single-Heater Beam</w:t>
      </w:r>
    </w:p>
    <w:p>
      <w:pPr>
        <w:pStyle w:val="BodyText"/>
        <w:keepNext w:val="0"/>
      </w:pPr>
      <w:r>
        <w:t>Setup 2 is the original single-sided heater configuration. The heat source is located on one 9.5 mm x 9.5 mm copper area at the Beam 1 end. The two heater resistors are installed on the bottom side of the PCB, while the five temperature sensors are installed on the top side. Heat spreads through the via-stitched copper region and then conducts along the narrow beam toward Beam Sensor 5 and the free end.</w:t>
      </w:r>
    </w:p>
    <w:tbl>
      <w:tblPr>
        <w:tblW w:type="auto" w:w="0"/>
        <w:jc w:val="center"/>
        <w:tblLayout w:type="fixed"/>
        <w:tblLook w:firstColumn="1" w:firstRow="1" w:lastColumn="0" w:lastRow="0" w:noHBand="0" w:noVBand="1" w:val="04A0"/>
      </w:tblPr>
      <w:tblGrid>
        <w:gridCol w:w="1666"/>
        <w:gridCol w:w="1666"/>
        <w:gridCol w:w="1666"/>
        <w:gridCol w:w="1666"/>
        <w:gridCol w:w="1666"/>
        <w:gridCol w:w="1666"/>
      </w:tblGrid>
      <w:tr>
        <w:trPr>
          <w:cantSplit/>
          <w:tblHeader w:val="true"/>
        </w:trPr>
        <w:tc>
          <w:tcPr>
            <w:tcW w:type="dxa" w:w="1728"/>
            <w:tcBorders>
              <w:top w:val="single" w:sz="5" w:color="B7C3CE"/>
              <w:start w:val="single" w:sz="5" w:color="B7C3CE"/>
              <w:bottom w:val="single" w:sz="5" w:color="B7C3CE"/>
              <w:end w:val="single" w:sz="5" w:color="B7C3CE"/>
            </w:tcBorders>
            <w:shd w:fill="2F75B5"/>
            <w:vAlign w:val="center"/>
            <w:tcMar>
              <w:top w:w="90" w:type="dxa"/>
              <w:start w:w="110" w:type="dxa"/>
              <w:bottom w:w="90" w:type="dxa"/>
              <w:end w:w="110" w:type="dxa"/>
            </w:tcMar>
          </w:tcPr>
          <w:p>
            <w:pPr>
              <w:spacing w:before="0" w:after="0" w:line="245" w:lineRule="auto"/>
              <w:jc w:val="center"/>
            </w:pPr>
            <w:r>
              <w:rPr>
                <w:rFonts w:ascii="Aptos" w:hAnsi="Aptos"/>
                <w:b/>
                <w:color w:val="FFFFFF"/>
                <w:sz w:val="18"/>
              </w:rPr>
              <w:t>Heater region</w:t>
            </w:r>
          </w:p>
        </w:tc>
        <w:tc>
          <w:tcPr>
            <w:tcW w:type="dxa" w:w="1224"/>
            <w:tcBorders>
              <w:top w:val="single" w:sz="5" w:color="B7C3CE"/>
              <w:start w:val="single" w:sz="5" w:color="B7C3CE"/>
              <w:bottom w:val="single" w:sz="5" w:color="B7C3CE"/>
              <w:end w:val="single" w:sz="5" w:color="B7C3CE"/>
            </w:tcBorders>
            <w:shd w:fill="2F75B5"/>
            <w:vAlign w:val="center"/>
            <w:tcMar>
              <w:top w:w="90" w:type="dxa"/>
              <w:start w:w="110" w:type="dxa"/>
              <w:bottom w:w="90" w:type="dxa"/>
              <w:end w:w="110" w:type="dxa"/>
            </w:tcMar>
          </w:tcPr>
          <w:p>
            <w:pPr>
              <w:spacing w:before="0" w:after="0" w:line="245" w:lineRule="auto"/>
              <w:jc w:val="center"/>
            </w:pPr>
            <w:r>
              <w:rPr>
                <w:rFonts w:ascii="Aptos" w:hAnsi="Aptos"/>
                <w:b/>
                <w:color w:val="FFFFFF"/>
                <w:sz w:val="18"/>
              </w:rPr>
              <w:t>Beam 1</w:t>
            </w:r>
          </w:p>
        </w:tc>
        <w:tc>
          <w:tcPr>
            <w:tcW w:type="dxa" w:w="1224"/>
            <w:tcBorders>
              <w:top w:val="single" w:sz="5" w:color="B7C3CE"/>
              <w:start w:val="single" w:sz="5" w:color="B7C3CE"/>
              <w:bottom w:val="single" w:sz="5" w:color="B7C3CE"/>
              <w:end w:val="single" w:sz="5" w:color="B7C3CE"/>
            </w:tcBorders>
            <w:shd w:fill="2F75B5"/>
            <w:vAlign w:val="center"/>
            <w:tcMar>
              <w:top w:w="90" w:type="dxa"/>
              <w:start w:w="110" w:type="dxa"/>
              <w:bottom w:w="90" w:type="dxa"/>
              <w:end w:w="110" w:type="dxa"/>
            </w:tcMar>
          </w:tcPr>
          <w:p>
            <w:pPr>
              <w:spacing w:before="0" w:after="0" w:line="245" w:lineRule="auto"/>
              <w:jc w:val="center"/>
            </w:pPr>
            <w:r>
              <w:rPr>
                <w:rFonts w:ascii="Aptos" w:hAnsi="Aptos"/>
                <w:b/>
                <w:color w:val="FFFFFF"/>
                <w:sz w:val="18"/>
              </w:rPr>
              <w:t>Beam 2</w:t>
            </w:r>
          </w:p>
        </w:tc>
        <w:tc>
          <w:tcPr>
            <w:tcW w:type="dxa" w:w="1368"/>
            <w:tcBorders>
              <w:top w:val="single" w:sz="5" w:color="B7C3CE"/>
              <w:start w:val="single" w:sz="5" w:color="B7C3CE"/>
              <w:bottom w:val="single" w:sz="5" w:color="B7C3CE"/>
              <w:end w:val="single" w:sz="5" w:color="B7C3CE"/>
            </w:tcBorders>
            <w:shd w:fill="2F75B5"/>
            <w:vAlign w:val="center"/>
            <w:tcMar>
              <w:top w:w="90" w:type="dxa"/>
              <w:start w:w="110" w:type="dxa"/>
              <w:bottom w:w="90" w:type="dxa"/>
              <w:end w:w="110" w:type="dxa"/>
            </w:tcMar>
          </w:tcPr>
          <w:p>
            <w:pPr>
              <w:spacing w:before="0" w:after="0" w:line="245" w:lineRule="auto"/>
              <w:jc w:val="center"/>
            </w:pPr>
            <w:r>
              <w:rPr>
                <w:rFonts w:ascii="Aptos" w:hAnsi="Aptos"/>
                <w:b/>
                <w:color w:val="FFFFFF"/>
                <w:sz w:val="18"/>
              </w:rPr>
              <w:t>Beam 3</w:t>
            </w:r>
          </w:p>
        </w:tc>
        <w:tc>
          <w:tcPr>
            <w:tcW w:type="dxa" w:w="1368"/>
            <w:tcBorders>
              <w:top w:val="single" w:sz="5" w:color="B7C3CE"/>
              <w:start w:val="single" w:sz="5" w:color="B7C3CE"/>
              <w:bottom w:val="single" w:sz="5" w:color="B7C3CE"/>
              <w:end w:val="single" w:sz="5" w:color="B7C3CE"/>
            </w:tcBorders>
            <w:shd w:fill="2F75B5"/>
            <w:vAlign w:val="center"/>
            <w:tcMar>
              <w:top w:w="90" w:type="dxa"/>
              <w:start w:w="110" w:type="dxa"/>
              <w:bottom w:w="90" w:type="dxa"/>
              <w:end w:w="110" w:type="dxa"/>
            </w:tcMar>
          </w:tcPr>
          <w:p>
            <w:pPr>
              <w:spacing w:before="0" w:after="0" w:line="245" w:lineRule="auto"/>
              <w:jc w:val="center"/>
            </w:pPr>
            <w:r>
              <w:rPr>
                <w:rFonts w:ascii="Aptos" w:hAnsi="Aptos"/>
                <w:b/>
                <w:color w:val="FFFFFF"/>
                <w:sz w:val="18"/>
              </w:rPr>
              <w:t>Beam 4</w:t>
            </w:r>
          </w:p>
        </w:tc>
        <w:tc>
          <w:tcPr>
            <w:tcW w:type="dxa" w:w="2736"/>
            <w:tcBorders>
              <w:top w:val="single" w:sz="5" w:color="B7C3CE"/>
              <w:start w:val="single" w:sz="5" w:color="B7C3CE"/>
              <w:bottom w:val="single" w:sz="5" w:color="B7C3CE"/>
              <w:end w:val="single" w:sz="5" w:color="B7C3CE"/>
            </w:tcBorders>
            <w:shd w:fill="2F75B5"/>
            <w:vAlign w:val="center"/>
            <w:tcMar>
              <w:top w:w="90" w:type="dxa"/>
              <w:start w:w="110" w:type="dxa"/>
              <w:bottom w:w="90" w:type="dxa"/>
              <w:end w:w="110" w:type="dxa"/>
            </w:tcMar>
          </w:tcPr>
          <w:p>
            <w:pPr>
              <w:spacing w:before="0" w:after="0" w:line="245" w:lineRule="auto"/>
              <w:jc w:val="center"/>
            </w:pPr>
            <w:r>
              <w:rPr>
                <w:rFonts w:ascii="Aptos" w:hAnsi="Aptos"/>
                <w:b/>
                <w:color w:val="FFFFFF"/>
                <w:sz w:val="18"/>
              </w:rPr>
              <w:t>Beam 5 / free end</w:t>
            </w:r>
          </w:p>
        </w:tc>
      </w:tr>
      <w:tr>
        <w:trPr>
          <w:cantSplit/>
        </w:trPr>
        <w:tc>
          <w:tcPr>
            <w:tcW w:type="dxa" w:w="1728"/>
            <w:tcBorders>
              <w:top w:val="single" w:sz="5" w:color="B7C3CE"/>
              <w:start w:val="single" w:sz="5" w:color="B7C3CE"/>
              <w:bottom w:val="single" w:sz="5" w:color="B7C3CE"/>
              <w:end w:val="single" w:sz="5" w:color="B7C3CE"/>
            </w:tcBorders>
            <w:vAlign w:val="center"/>
            <w:tcMar>
              <w:top w:w="90" w:type="dxa"/>
              <w:start w:w="110" w:type="dxa"/>
              <w:bottom w:w="90" w:type="dxa"/>
              <w:end w:w="110" w:type="dxa"/>
            </w:tcMar>
          </w:tcPr>
          <w:p>
            <w:pPr>
              <w:spacing w:before="0" w:after="0" w:line="245" w:lineRule="auto"/>
              <w:jc w:val="center"/>
            </w:pPr>
            <w:r>
              <w:rPr>
                <w:rFonts w:ascii="Aptos" w:hAnsi="Aptos"/>
                <w:b w:val="0"/>
                <w:color w:val="27313A"/>
                <w:sz w:val="17"/>
              </w:rPr>
              <w:t>15 ohm heater</w:t>
            </w:r>
          </w:p>
        </w:tc>
        <w:tc>
          <w:tcPr>
            <w:tcW w:type="dxa" w:w="1224"/>
            <w:tcBorders>
              <w:top w:val="single" w:sz="5" w:color="B7C3CE"/>
              <w:start w:val="single" w:sz="5" w:color="B7C3CE"/>
              <w:bottom w:val="single" w:sz="5" w:color="B7C3CE"/>
              <w:end w:val="single" w:sz="5" w:color="B7C3CE"/>
            </w:tcBorders>
            <w:vAlign w:val="center"/>
            <w:tcMar>
              <w:top w:w="90" w:type="dxa"/>
              <w:start w:w="110" w:type="dxa"/>
              <w:bottom w:w="90" w:type="dxa"/>
              <w:end w:w="110" w:type="dxa"/>
            </w:tcMar>
          </w:tcPr>
          <w:p>
            <w:pPr>
              <w:spacing w:before="0" w:after="0" w:line="245" w:lineRule="auto"/>
              <w:jc w:val="center"/>
            </w:pPr>
            <w:r>
              <w:rPr>
                <w:rFonts w:ascii="Aptos" w:hAnsi="Aptos"/>
                <w:b w:val="0"/>
                <w:color w:val="27313A"/>
                <w:sz w:val="17"/>
              </w:rPr>
              <w:t>0 mm</w:t>
            </w:r>
          </w:p>
        </w:tc>
        <w:tc>
          <w:tcPr>
            <w:tcW w:type="dxa" w:w="1224"/>
            <w:tcBorders>
              <w:top w:val="single" w:sz="5" w:color="B7C3CE"/>
              <w:start w:val="single" w:sz="5" w:color="B7C3CE"/>
              <w:bottom w:val="single" w:sz="5" w:color="B7C3CE"/>
              <w:end w:val="single" w:sz="5" w:color="B7C3CE"/>
            </w:tcBorders>
            <w:vAlign w:val="center"/>
            <w:tcMar>
              <w:top w:w="90" w:type="dxa"/>
              <w:start w:w="110" w:type="dxa"/>
              <w:bottom w:w="90" w:type="dxa"/>
              <w:end w:w="110" w:type="dxa"/>
            </w:tcMar>
          </w:tcPr>
          <w:p>
            <w:pPr>
              <w:spacing w:before="0" w:after="0" w:line="245" w:lineRule="auto"/>
              <w:jc w:val="center"/>
            </w:pPr>
            <w:r>
              <w:rPr>
                <w:rFonts w:ascii="Aptos" w:hAnsi="Aptos"/>
                <w:b w:val="0"/>
                <w:color w:val="27313A"/>
                <w:sz w:val="17"/>
              </w:rPr>
              <w:t>8.89 mm</w:t>
            </w:r>
          </w:p>
        </w:tc>
        <w:tc>
          <w:tcPr>
            <w:tcW w:type="dxa" w:w="1368"/>
            <w:tcBorders>
              <w:top w:val="single" w:sz="5" w:color="B7C3CE"/>
              <w:start w:val="single" w:sz="5" w:color="B7C3CE"/>
              <w:bottom w:val="single" w:sz="5" w:color="B7C3CE"/>
              <w:end w:val="single" w:sz="5" w:color="B7C3CE"/>
            </w:tcBorders>
            <w:vAlign w:val="center"/>
            <w:tcMar>
              <w:top w:w="90" w:type="dxa"/>
              <w:start w:w="110" w:type="dxa"/>
              <w:bottom w:w="90" w:type="dxa"/>
              <w:end w:w="110" w:type="dxa"/>
            </w:tcMar>
          </w:tcPr>
          <w:p>
            <w:pPr>
              <w:spacing w:before="0" w:after="0" w:line="245" w:lineRule="auto"/>
              <w:jc w:val="center"/>
            </w:pPr>
            <w:r>
              <w:rPr>
                <w:rFonts w:ascii="Aptos" w:hAnsi="Aptos"/>
                <w:b w:val="0"/>
                <w:color w:val="27313A"/>
                <w:sz w:val="17"/>
              </w:rPr>
              <w:t>19.05 mm</w:t>
            </w:r>
          </w:p>
        </w:tc>
        <w:tc>
          <w:tcPr>
            <w:tcW w:type="dxa" w:w="1368"/>
            <w:tcBorders>
              <w:top w:val="single" w:sz="5" w:color="B7C3CE"/>
              <w:start w:val="single" w:sz="5" w:color="B7C3CE"/>
              <w:bottom w:val="single" w:sz="5" w:color="B7C3CE"/>
              <w:end w:val="single" w:sz="5" w:color="B7C3CE"/>
            </w:tcBorders>
            <w:vAlign w:val="center"/>
            <w:tcMar>
              <w:top w:w="90" w:type="dxa"/>
              <w:start w:w="110" w:type="dxa"/>
              <w:bottom w:w="90" w:type="dxa"/>
              <w:end w:w="110" w:type="dxa"/>
            </w:tcMar>
          </w:tcPr>
          <w:p>
            <w:pPr>
              <w:spacing w:before="0" w:after="0" w:line="245" w:lineRule="auto"/>
              <w:jc w:val="center"/>
            </w:pPr>
            <w:r>
              <w:rPr>
                <w:rFonts w:ascii="Aptos" w:hAnsi="Aptos"/>
                <w:b w:val="0"/>
                <w:color w:val="27313A"/>
                <w:sz w:val="17"/>
              </w:rPr>
              <w:t>29.2 mm</w:t>
            </w:r>
          </w:p>
        </w:tc>
        <w:tc>
          <w:tcPr>
            <w:tcW w:type="dxa" w:w="2736"/>
            <w:tcBorders>
              <w:top w:val="single" w:sz="5" w:color="B7C3CE"/>
              <w:start w:val="single" w:sz="5" w:color="B7C3CE"/>
              <w:bottom w:val="single" w:sz="5" w:color="B7C3CE"/>
              <w:end w:val="single" w:sz="5" w:color="B7C3CE"/>
            </w:tcBorders>
            <w:vAlign w:val="center"/>
            <w:tcMar>
              <w:top w:w="90" w:type="dxa"/>
              <w:start w:w="110" w:type="dxa"/>
              <w:bottom w:w="90" w:type="dxa"/>
              <w:end w:w="110" w:type="dxa"/>
            </w:tcMar>
          </w:tcPr>
          <w:p>
            <w:pPr>
              <w:spacing w:before="0" w:after="0" w:line="245" w:lineRule="auto"/>
              <w:jc w:val="center"/>
            </w:pPr>
            <w:r>
              <w:rPr>
                <w:rFonts w:ascii="Aptos" w:hAnsi="Aptos"/>
                <w:b w:val="0"/>
                <w:color w:val="27313A"/>
                <w:sz w:val="17"/>
              </w:rPr>
              <w:t>39.3 mm</w:t>
            </w:r>
          </w:p>
        </w:tc>
      </w:tr>
    </w:tbl>
    <w:p>
      <w:pPr>
        <w:pStyle w:val="Caption"/>
        <w:jc w:val="center"/>
      </w:pPr>
      <w:r>
        <w:t>Figure 2. Simplified axial arrangement of Setup 2.</w:t>
      </w:r>
    </w:p>
    <w:p>
      <w:pPr>
        <w:pStyle w:val="Heading2"/>
        <w:pageBreakBefore w:val="0"/>
      </w:pPr>
      <w:r>
        <w:t>6.1 Heater Electrical Characteristics</w:t>
      </w:r>
    </w:p>
    <w:p>
      <w:pPr>
        <w:pStyle w:val="BodyText"/>
        <w:keepNext w:val="0"/>
      </w:pPr>
      <w:r>
        <w:t>The single heater consists of two 7.5 ohm resistors connected in series, giving a nominal total resistance of:</w:t>
      </w:r>
    </w:p>
    <w:p>
      <w:pPr>
        <w:pStyle w:val="Equation"/>
        <w:keepLines/>
        <w:spacing w:before="40" w:after="120"/>
        <w:jc w:val="center"/>
      </w:pPr>
      <w:r>
        <w:rPr>
          <w:b w:val="0"/>
        </w:rPr>
        <w:t>Rheater = 7.5 + 7.5 = 15 ohm</w:t>
      </w:r>
    </w:p>
    <w:p>
      <w:pPr>
        <w:pStyle w:val="BodyText"/>
        <w:keepNext w:val="0"/>
      </w:pPr>
      <w:r>
        <w:t>With a 5 V supply, the nominal full-power current is:</w:t>
      </w:r>
    </w:p>
    <w:p>
      <w:pPr>
        <w:pStyle w:val="Equation"/>
        <w:keepLines/>
        <w:spacing w:before="40" w:after="120"/>
        <w:jc w:val="center"/>
      </w:pPr>
      <w:r>
        <w:rPr>
          <w:b w:val="0"/>
        </w:rPr>
        <w:t>I = V / R = 5 / 15 = 0.333 A</w:t>
      </w:r>
    </w:p>
    <w:p>
      <w:pPr>
        <w:pStyle w:val="BodyText"/>
        <w:keepNext w:val="0"/>
      </w:pPr>
      <w:r>
        <w:t>The nominal total heater power at 100% PWM duty is:</w:t>
      </w:r>
    </w:p>
    <w:p>
      <w:pPr>
        <w:pStyle w:val="Equation"/>
        <w:keepLines/>
        <w:spacing w:before="40" w:after="120"/>
        <w:jc w:val="center"/>
      </w:pPr>
      <w:r>
        <w:rPr>
          <w:b w:val="0"/>
        </w:rPr>
        <w:t>P = V^2 / R = 5^2 / 15 = 1.67 W</w:t>
      </w:r>
    </w:p>
    <w:p>
      <w:pPr>
        <w:pStyle w:val="BodyText"/>
        <w:keepNext w:val="0"/>
      </w:pPr>
      <w:r>
        <w:t>For two equal series resistors, each resistor dissipates approximately 0.83 W at full power. Actual power in either setup may differ because of supply-voltage tolerance, wiring and transistor losses, resistor tolerance, and resistance variation with temperature.</w:t>
      </w:r>
    </w:p>
    <w:p>
      <w:pPr>
        <w:pStyle w:val="Heading1"/>
        <w:pageBreakBefore w:val="0"/>
      </w:pPr>
      <w:r>
        <w:t>7. Temperature Measurement Electronics</w:t>
      </w:r>
    </w:p>
    <w:p>
      <w:pPr>
        <w:pStyle w:val="BodyText"/>
        <w:keepNext w:val="0"/>
      </w:pPr>
      <w:r>
        <w:t>The Arduino firmware is configured for one ambient-temperature sensor and five beam-temperature sensors. The ambient sensor is connected to A0, and Beam Sensors 1 through 5 are connected to A1 through A5. The ambient sensor is located on or near the custom controller PCB and therefore represents the local controller-area temperature rather than necessarily the exact air temperature adjacent to the complete beam.</w:t>
      </w:r>
    </w:p>
    <w:p>
      <w:pPr>
        <w:pStyle w:val="BodyText"/>
        <w:keepNext w:val="0"/>
      </w:pPr>
      <w:r>
        <w:t>The firmware is configured for MCP9701A analog temperature sensors and uses a 3.3 V external analog reference. It requests 14-bit ADC conversion and averages 16 ADC readings for each reported temperature value. The implemented nominal transfer relationship is:</w:t>
      </w:r>
    </w:p>
    <w:p>
      <w:pPr>
        <w:pStyle w:val="Equation"/>
        <w:keepLines/>
        <w:spacing w:before="40" w:after="120"/>
        <w:jc w:val="center"/>
      </w:pPr>
      <w:r>
        <w:rPr>
          <w:b w:val="0"/>
        </w:rPr>
        <w:t>Vout = 0.400 V + (0.0195 V/deg C) x T</w:t>
      </w:r>
    </w:p>
    <w:p>
      <w:pPr>
        <w:pStyle w:val="BodyText"/>
        <w:keepNext w:val="0"/>
      </w:pPr>
      <w:r>
        <w:t>The corresponding temperature conversion is:</w:t>
      </w:r>
    </w:p>
    <w:p>
      <w:pPr>
        <w:pStyle w:val="Equation"/>
        <w:keepLines/>
        <w:spacing w:before="40" w:after="120"/>
        <w:jc w:val="center"/>
      </w:pPr>
      <w:r>
        <w:rPr>
          <w:b w:val="0"/>
        </w:rPr>
        <w:t>T = (Vout - 0.400) / 0.0195</w:t>
      </w:r>
    </w:p>
    <w:p>
      <w:pPr>
        <w:pStyle w:val="Heading1"/>
        <w:pageBreakBefore/>
      </w:pPr>
      <w:r>
        <w:t>8. Heater, Fan, and Controller I/O</w:t>
      </w:r>
    </w:p>
    <w:tbl>
      <w:tblPr>
        <w:tblW w:type="auto" w:w="0"/>
        <w:jc w:val="center"/>
        <w:tblLayout w:type="fixed"/>
        <w:tblLook w:firstColumn="1" w:firstRow="1" w:lastColumn="0" w:lastRow="0" w:noHBand="0" w:noVBand="1" w:val="04A0"/>
      </w:tblPr>
      <w:tblGrid>
        <w:gridCol w:w="1999"/>
        <w:gridCol w:w="1999"/>
        <w:gridCol w:w="1999"/>
        <w:gridCol w:w="1999"/>
        <w:gridCol w:w="1999"/>
      </w:tblGrid>
      <w:tr>
        <w:trPr>
          <w:cantSplit/>
          <w:tblHeader w:val="true"/>
        </w:trPr>
        <w:tc>
          <w:tcPr>
            <w:tcW w:type="dxa" w:w="1655"/>
            <w:tcBorders>
              <w:top w:val="single" w:sz="5" w:color="B7C3CE"/>
              <w:start w:val="single" w:sz="5" w:color="B7C3CE"/>
              <w:bottom w:val="single" w:sz="5" w:color="B7C3CE"/>
              <w:end w:val="single" w:sz="5" w:color="B7C3CE"/>
            </w:tcBorders>
            <w:shd w:fill="17365D"/>
            <w:vAlign w:val="center"/>
            <w:tcMar>
              <w:top w:w="90" w:type="dxa"/>
              <w:start w:w="110" w:type="dxa"/>
              <w:bottom w:w="90" w:type="dxa"/>
              <w:end w:w="110" w:type="dxa"/>
            </w:tcMar>
          </w:tcPr>
          <w:p>
            <w:pPr>
              <w:spacing w:before="0" w:after="0" w:line="245" w:lineRule="auto"/>
              <w:jc w:val="left"/>
            </w:pPr>
            <w:r>
              <w:rPr>
                <w:rFonts w:ascii="Aptos" w:hAnsi="Aptos"/>
                <w:b/>
                <w:color w:val="FFFFFF"/>
                <w:sz w:val="18"/>
              </w:rPr>
              <w:t>Function</w:t>
            </w:r>
          </w:p>
        </w:tc>
        <w:tc>
          <w:tcPr>
            <w:tcW w:type="dxa" w:w="792"/>
            <w:tcBorders>
              <w:top w:val="single" w:sz="5" w:color="B7C3CE"/>
              <w:start w:val="single" w:sz="5" w:color="B7C3CE"/>
              <w:bottom w:val="single" w:sz="5" w:color="B7C3CE"/>
              <w:end w:val="single" w:sz="5" w:color="B7C3CE"/>
            </w:tcBorders>
            <w:shd w:fill="17365D"/>
            <w:vAlign w:val="center"/>
            <w:tcMar>
              <w:top w:w="90" w:type="dxa"/>
              <w:start w:w="110" w:type="dxa"/>
              <w:bottom w:w="90" w:type="dxa"/>
              <w:end w:w="110" w:type="dxa"/>
            </w:tcMar>
          </w:tcPr>
          <w:p>
            <w:pPr>
              <w:spacing w:before="0" w:after="0" w:line="245" w:lineRule="auto"/>
              <w:jc w:val="center"/>
            </w:pPr>
            <w:r>
              <w:rPr>
                <w:rFonts w:ascii="Aptos" w:hAnsi="Aptos"/>
                <w:b/>
                <w:color w:val="FFFFFF"/>
                <w:sz w:val="18"/>
              </w:rPr>
              <w:t>Pin</w:t>
            </w:r>
          </w:p>
        </w:tc>
        <w:tc>
          <w:tcPr>
            <w:tcW w:type="dxa" w:w="2664"/>
            <w:tcBorders>
              <w:top w:val="single" w:sz="5" w:color="B7C3CE"/>
              <w:start w:val="single" w:sz="5" w:color="B7C3CE"/>
              <w:bottom w:val="single" w:sz="5" w:color="B7C3CE"/>
              <w:end w:val="single" w:sz="5" w:color="B7C3CE"/>
            </w:tcBorders>
            <w:shd w:fill="17365D"/>
            <w:vAlign w:val="center"/>
            <w:tcMar>
              <w:top w:w="90" w:type="dxa"/>
              <w:start w:w="110" w:type="dxa"/>
              <w:bottom w:w="90" w:type="dxa"/>
              <w:end w:w="110" w:type="dxa"/>
            </w:tcMar>
          </w:tcPr>
          <w:p>
            <w:pPr>
              <w:spacing w:before="0" w:after="0" w:line="245" w:lineRule="auto"/>
              <w:jc w:val="left"/>
            </w:pPr>
            <w:r>
              <w:rPr>
                <w:rFonts w:ascii="Aptos" w:hAnsi="Aptos"/>
                <w:b/>
                <w:color w:val="FFFFFF"/>
                <w:sz w:val="18"/>
              </w:rPr>
              <w:t>Firmware behavior</w:t>
            </w:r>
          </w:p>
        </w:tc>
        <w:tc>
          <w:tcPr>
            <w:tcW w:type="dxa" w:w="2304"/>
            <w:tcBorders>
              <w:top w:val="single" w:sz="5" w:color="B7C3CE"/>
              <w:start w:val="single" w:sz="5" w:color="B7C3CE"/>
              <w:bottom w:val="single" w:sz="5" w:color="B7C3CE"/>
              <w:end w:val="single" w:sz="5" w:color="B7C3CE"/>
            </w:tcBorders>
            <w:shd w:fill="17365D"/>
            <w:vAlign w:val="center"/>
            <w:tcMar>
              <w:top w:w="90" w:type="dxa"/>
              <w:start w:w="110" w:type="dxa"/>
              <w:bottom w:w="90" w:type="dxa"/>
              <w:end w:w="110" w:type="dxa"/>
            </w:tcMar>
          </w:tcPr>
          <w:p>
            <w:pPr>
              <w:spacing w:before="0" w:after="0" w:line="245" w:lineRule="auto"/>
              <w:jc w:val="left"/>
            </w:pPr>
            <w:r>
              <w:rPr>
                <w:rFonts w:ascii="Aptos" w:hAnsi="Aptos"/>
                <w:b/>
                <w:color w:val="FFFFFF"/>
                <w:sz w:val="18"/>
              </w:rPr>
              <w:t>Use in Setup 1</w:t>
            </w:r>
          </w:p>
        </w:tc>
        <w:tc>
          <w:tcPr>
            <w:tcW w:type="dxa" w:w="2304"/>
            <w:tcBorders>
              <w:top w:val="single" w:sz="5" w:color="B7C3CE"/>
              <w:start w:val="single" w:sz="5" w:color="B7C3CE"/>
              <w:bottom w:val="single" w:sz="5" w:color="B7C3CE"/>
              <w:end w:val="single" w:sz="5" w:color="B7C3CE"/>
            </w:tcBorders>
            <w:shd w:fill="17365D"/>
            <w:vAlign w:val="center"/>
            <w:tcMar>
              <w:top w:w="90" w:type="dxa"/>
              <w:start w:w="110" w:type="dxa"/>
              <w:bottom w:w="90" w:type="dxa"/>
              <w:end w:w="110" w:type="dxa"/>
            </w:tcMar>
          </w:tcPr>
          <w:p>
            <w:pPr>
              <w:spacing w:before="0" w:after="0" w:line="245" w:lineRule="auto"/>
              <w:jc w:val="left"/>
            </w:pPr>
            <w:r>
              <w:rPr>
                <w:rFonts w:ascii="Aptos" w:hAnsi="Aptos"/>
                <w:b/>
                <w:color w:val="FFFFFF"/>
                <w:sz w:val="18"/>
              </w:rPr>
              <w:t>Use in Setup 2</w:t>
            </w:r>
          </w:p>
        </w:tc>
      </w:tr>
      <w:tr>
        <w:trPr>
          <w:cantSplit/>
        </w:trPr>
        <w:tc>
          <w:tcPr>
            <w:tcW w:type="dxa" w:w="1655"/>
            <w:tcBorders>
              <w:top w:val="single" w:sz="5" w:color="B7C3CE"/>
              <w:start w:val="single" w:sz="5" w:color="B7C3CE"/>
              <w:bottom w:val="single" w:sz="5" w:color="B7C3CE"/>
              <w:end w:val="single" w:sz="5" w:color="B7C3CE"/>
            </w:tcBorders>
            <w:vAlign w:val="center"/>
            <w:tcMar>
              <w:top w:w="90" w:type="dxa"/>
              <w:start w:w="110" w:type="dxa"/>
              <w:bottom w:w="90" w:type="dxa"/>
              <w:end w:w="110" w:type="dxa"/>
            </w:tcMar>
          </w:tcPr>
          <w:p>
            <w:pPr>
              <w:spacing w:before="0" w:after="0" w:line="245" w:lineRule="auto"/>
              <w:jc w:val="left"/>
            </w:pPr>
            <w:r>
              <w:rPr>
                <w:rFonts w:ascii="Aptos" w:hAnsi="Aptos"/>
                <w:b w:val="0"/>
                <w:color w:val="27313A"/>
                <w:sz w:val="16"/>
              </w:rPr>
              <w:t>Heater 1 PWM</w:t>
            </w:r>
          </w:p>
        </w:tc>
        <w:tc>
          <w:tcPr>
            <w:tcW w:type="dxa" w:w="792"/>
            <w:tcBorders>
              <w:top w:val="single" w:sz="5" w:color="B7C3CE"/>
              <w:start w:val="single" w:sz="5" w:color="B7C3CE"/>
              <w:bottom w:val="single" w:sz="5" w:color="B7C3CE"/>
              <w:end w:val="single" w:sz="5" w:color="B7C3CE"/>
            </w:tcBorders>
            <w:vAlign w:val="center"/>
            <w:tcMar>
              <w:top w:w="90" w:type="dxa"/>
              <w:start w:w="110" w:type="dxa"/>
              <w:bottom w:w="90" w:type="dxa"/>
              <w:end w:w="110" w:type="dxa"/>
            </w:tcMar>
          </w:tcPr>
          <w:p>
            <w:pPr>
              <w:spacing w:before="0" w:after="0" w:line="245" w:lineRule="auto"/>
              <w:jc w:val="center"/>
            </w:pPr>
            <w:r>
              <w:rPr>
                <w:rFonts w:ascii="Aptos" w:hAnsi="Aptos"/>
                <w:b w:val="0"/>
                <w:color w:val="27313A"/>
                <w:sz w:val="16"/>
              </w:rPr>
              <w:t>D9</w:t>
            </w:r>
          </w:p>
        </w:tc>
        <w:tc>
          <w:tcPr>
            <w:tcW w:type="dxa" w:w="2664"/>
            <w:tcBorders>
              <w:top w:val="single" w:sz="5" w:color="B7C3CE"/>
              <w:start w:val="single" w:sz="5" w:color="B7C3CE"/>
              <w:bottom w:val="single" w:sz="5" w:color="B7C3CE"/>
              <w:end w:val="single" w:sz="5" w:color="B7C3CE"/>
            </w:tcBorders>
            <w:vAlign w:val="center"/>
            <w:tcMar>
              <w:top w:w="90" w:type="dxa"/>
              <w:start w:w="110" w:type="dxa"/>
              <w:bottom w:w="90" w:type="dxa"/>
              <w:end w:w="110" w:type="dxa"/>
            </w:tcMar>
          </w:tcPr>
          <w:p>
            <w:pPr>
              <w:spacing w:before="0" w:after="0" w:line="245" w:lineRule="auto"/>
              <w:jc w:val="left"/>
            </w:pPr>
            <w:r>
              <w:rPr>
                <w:rFonts w:ascii="Aptos" w:hAnsi="Aptos"/>
                <w:b w:val="0"/>
                <w:color w:val="27313A"/>
                <w:sz w:val="16"/>
              </w:rPr>
              <w:t>10 kHz, 0-100% duty</w:t>
            </w:r>
          </w:p>
        </w:tc>
        <w:tc>
          <w:tcPr>
            <w:tcW w:type="dxa" w:w="2304"/>
            <w:tcBorders>
              <w:top w:val="single" w:sz="5" w:color="B7C3CE"/>
              <w:start w:val="single" w:sz="5" w:color="B7C3CE"/>
              <w:bottom w:val="single" w:sz="5" w:color="B7C3CE"/>
              <w:end w:val="single" w:sz="5" w:color="B7C3CE"/>
            </w:tcBorders>
            <w:vAlign w:val="center"/>
            <w:tcMar>
              <w:top w:w="90" w:type="dxa"/>
              <w:start w:w="110" w:type="dxa"/>
              <w:bottom w:w="90" w:type="dxa"/>
              <w:end w:w="110" w:type="dxa"/>
            </w:tcMar>
          </w:tcPr>
          <w:p>
            <w:pPr>
              <w:spacing w:before="0" w:after="0" w:line="245" w:lineRule="auto"/>
              <w:jc w:val="left"/>
            </w:pPr>
            <w:r>
              <w:rPr>
                <w:rFonts w:ascii="Aptos" w:hAnsi="Aptos"/>
                <w:b w:val="0"/>
                <w:color w:val="27313A"/>
                <w:sz w:val="16"/>
              </w:rPr>
              <w:t>Drives first 30 ohm heater</w:t>
            </w:r>
          </w:p>
        </w:tc>
        <w:tc>
          <w:tcPr>
            <w:tcW w:type="dxa" w:w="2304"/>
            <w:tcBorders>
              <w:top w:val="single" w:sz="5" w:color="B7C3CE"/>
              <w:start w:val="single" w:sz="5" w:color="B7C3CE"/>
              <w:bottom w:val="single" w:sz="5" w:color="B7C3CE"/>
              <w:end w:val="single" w:sz="5" w:color="B7C3CE"/>
            </w:tcBorders>
            <w:vAlign w:val="center"/>
            <w:tcMar>
              <w:top w:w="90" w:type="dxa"/>
              <w:start w:w="110" w:type="dxa"/>
              <w:bottom w:w="90" w:type="dxa"/>
              <w:end w:w="110" w:type="dxa"/>
            </w:tcMar>
          </w:tcPr>
          <w:p>
            <w:pPr>
              <w:spacing w:before="0" w:after="0" w:line="245" w:lineRule="auto"/>
              <w:jc w:val="left"/>
            </w:pPr>
            <w:r>
              <w:rPr>
                <w:rFonts w:ascii="Aptos" w:hAnsi="Aptos"/>
                <w:b w:val="0"/>
                <w:color w:val="27313A"/>
                <w:sz w:val="16"/>
              </w:rPr>
              <w:t>Drives the 15 ohm heater</w:t>
            </w:r>
          </w:p>
        </w:tc>
      </w:tr>
      <w:tr>
        <w:trPr>
          <w:cantSplit/>
        </w:trPr>
        <w:tc>
          <w:tcPr>
            <w:tcW w:type="dxa" w:w="1655"/>
            <w:tcBorders>
              <w:top w:val="single" w:sz="5" w:color="B7C3CE"/>
              <w:start w:val="single" w:sz="5" w:color="B7C3CE"/>
              <w:bottom w:val="single" w:sz="5" w:color="B7C3CE"/>
              <w:end w:val="single" w:sz="5" w:color="B7C3CE"/>
            </w:tcBorders>
            <w:vAlign w:val="center"/>
            <w:tcMar>
              <w:top w:w="90" w:type="dxa"/>
              <w:start w:w="110" w:type="dxa"/>
              <w:bottom w:w="90" w:type="dxa"/>
              <w:end w:w="110" w:type="dxa"/>
            </w:tcMar>
          </w:tcPr>
          <w:p>
            <w:pPr>
              <w:spacing w:before="0" w:after="0" w:line="245" w:lineRule="auto"/>
              <w:jc w:val="left"/>
            </w:pPr>
            <w:r>
              <w:rPr>
                <w:rFonts w:ascii="Aptos" w:hAnsi="Aptos"/>
                <w:b w:val="0"/>
                <w:color w:val="27313A"/>
                <w:sz w:val="16"/>
              </w:rPr>
              <w:t>Heater 2 PWM</w:t>
            </w:r>
          </w:p>
        </w:tc>
        <w:tc>
          <w:tcPr>
            <w:tcW w:type="dxa" w:w="792"/>
            <w:tcBorders>
              <w:top w:val="single" w:sz="5" w:color="B7C3CE"/>
              <w:start w:val="single" w:sz="5" w:color="B7C3CE"/>
              <w:bottom w:val="single" w:sz="5" w:color="B7C3CE"/>
              <w:end w:val="single" w:sz="5" w:color="B7C3CE"/>
            </w:tcBorders>
            <w:vAlign w:val="center"/>
            <w:tcMar>
              <w:top w:w="90" w:type="dxa"/>
              <w:start w:w="110" w:type="dxa"/>
              <w:bottom w:w="90" w:type="dxa"/>
              <w:end w:w="110" w:type="dxa"/>
            </w:tcMar>
          </w:tcPr>
          <w:p>
            <w:pPr>
              <w:spacing w:before="0" w:after="0" w:line="245" w:lineRule="auto"/>
              <w:jc w:val="center"/>
            </w:pPr>
            <w:r>
              <w:rPr>
                <w:rFonts w:ascii="Aptos" w:hAnsi="Aptos"/>
                <w:b w:val="0"/>
                <w:color w:val="27313A"/>
                <w:sz w:val="16"/>
              </w:rPr>
              <w:t>D10</w:t>
            </w:r>
          </w:p>
        </w:tc>
        <w:tc>
          <w:tcPr>
            <w:tcW w:type="dxa" w:w="2664"/>
            <w:tcBorders>
              <w:top w:val="single" w:sz="5" w:color="B7C3CE"/>
              <w:start w:val="single" w:sz="5" w:color="B7C3CE"/>
              <w:bottom w:val="single" w:sz="5" w:color="B7C3CE"/>
              <w:end w:val="single" w:sz="5" w:color="B7C3CE"/>
            </w:tcBorders>
            <w:vAlign w:val="center"/>
            <w:tcMar>
              <w:top w:w="90" w:type="dxa"/>
              <w:start w:w="110" w:type="dxa"/>
              <w:bottom w:w="90" w:type="dxa"/>
              <w:end w:w="110" w:type="dxa"/>
            </w:tcMar>
          </w:tcPr>
          <w:p>
            <w:pPr>
              <w:spacing w:before="0" w:after="0" w:line="245" w:lineRule="auto"/>
              <w:jc w:val="left"/>
            </w:pPr>
            <w:r>
              <w:rPr>
                <w:rFonts w:ascii="Aptos" w:hAnsi="Aptos"/>
                <w:b w:val="0"/>
                <w:color w:val="27313A"/>
                <w:sz w:val="16"/>
              </w:rPr>
              <w:t>10 kHz, 0-100% duty</w:t>
            </w:r>
          </w:p>
        </w:tc>
        <w:tc>
          <w:tcPr>
            <w:tcW w:type="dxa" w:w="2304"/>
            <w:tcBorders>
              <w:top w:val="single" w:sz="5" w:color="B7C3CE"/>
              <w:start w:val="single" w:sz="5" w:color="B7C3CE"/>
              <w:bottom w:val="single" w:sz="5" w:color="B7C3CE"/>
              <w:end w:val="single" w:sz="5" w:color="B7C3CE"/>
            </w:tcBorders>
            <w:vAlign w:val="center"/>
            <w:tcMar>
              <w:top w:w="90" w:type="dxa"/>
              <w:start w:w="110" w:type="dxa"/>
              <w:bottom w:w="90" w:type="dxa"/>
              <w:end w:w="110" w:type="dxa"/>
            </w:tcMar>
          </w:tcPr>
          <w:p>
            <w:pPr>
              <w:spacing w:before="0" w:after="0" w:line="245" w:lineRule="auto"/>
              <w:jc w:val="left"/>
            </w:pPr>
            <w:r>
              <w:rPr>
                <w:rFonts w:ascii="Aptos" w:hAnsi="Aptos"/>
                <w:b w:val="0"/>
                <w:color w:val="27313A"/>
                <w:sz w:val="16"/>
              </w:rPr>
              <w:t>Drives second 30 ohm heater</w:t>
            </w:r>
          </w:p>
        </w:tc>
        <w:tc>
          <w:tcPr>
            <w:tcW w:type="dxa" w:w="2304"/>
            <w:tcBorders>
              <w:top w:val="single" w:sz="5" w:color="B7C3CE"/>
              <w:start w:val="single" w:sz="5" w:color="B7C3CE"/>
              <w:bottom w:val="single" w:sz="5" w:color="B7C3CE"/>
              <w:end w:val="single" w:sz="5" w:color="B7C3CE"/>
            </w:tcBorders>
            <w:vAlign w:val="center"/>
            <w:tcMar>
              <w:top w:w="90" w:type="dxa"/>
              <w:start w:w="110" w:type="dxa"/>
              <w:bottom w:w="90" w:type="dxa"/>
              <w:end w:w="110" w:type="dxa"/>
            </w:tcMar>
          </w:tcPr>
          <w:p>
            <w:pPr>
              <w:spacing w:before="0" w:after="0" w:line="245" w:lineRule="auto"/>
              <w:jc w:val="left"/>
            </w:pPr>
            <w:r>
              <w:rPr>
                <w:rFonts w:ascii="Aptos" w:hAnsi="Aptos"/>
                <w:b w:val="0"/>
                <w:color w:val="27313A"/>
                <w:sz w:val="16"/>
              </w:rPr>
              <w:t>Unused or available</w:t>
            </w:r>
          </w:p>
        </w:tc>
      </w:tr>
      <w:tr>
        <w:trPr>
          <w:cantSplit/>
        </w:trPr>
        <w:tc>
          <w:tcPr>
            <w:tcW w:type="dxa" w:w="1655"/>
            <w:tcBorders>
              <w:top w:val="single" w:sz="5" w:color="B7C3CE"/>
              <w:start w:val="single" w:sz="5" w:color="B7C3CE"/>
              <w:bottom w:val="single" w:sz="5" w:color="B7C3CE"/>
              <w:end w:val="single" w:sz="5" w:color="B7C3CE"/>
            </w:tcBorders>
            <w:vAlign w:val="center"/>
            <w:tcMar>
              <w:top w:w="90" w:type="dxa"/>
              <w:start w:w="110" w:type="dxa"/>
              <w:bottom w:w="90" w:type="dxa"/>
              <w:end w:w="110" w:type="dxa"/>
            </w:tcMar>
          </w:tcPr>
          <w:p>
            <w:pPr>
              <w:spacing w:before="0" w:after="0" w:line="245" w:lineRule="auto"/>
              <w:jc w:val="left"/>
            </w:pPr>
            <w:r>
              <w:rPr>
                <w:rFonts w:ascii="Aptos" w:hAnsi="Aptos"/>
                <w:b w:val="0"/>
                <w:color w:val="27313A"/>
                <w:sz w:val="16"/>
              </w:rPr>
              <w:t>Fan PWM</w:t>
            </w:r>
          </w:p>
        </w:tc>
        <w:tc>
          <w:tcPr>
            <w:tcW w:type="dxa" w:w="792"/>
            <w:tcBorders>
              <w:top w:val="single" w:sz="5" w:color="B7C3CE"/>
              <w:start w:val="single" w:sz="5" w:color="B7C3CE"/>
              <w:bottom w:val="single" w:sz="5" w:color="B7C3CE"/>
              <w:end w:val="single" w:sz="5" w:color="B7C3CE"/>
            </w:tcBorders>
            <w:vAlign w:val="center"/>
            <w:tcMar>
              <w:top w:w="90" w:type="dxa"/>
              <w:start w:w="110" w:type="dxa"/>
              <w:bottom w:w="90" w:type="dxa"/>
              <w:end w:w="110" w:type="dxa"/>
            </w:tcMar>
          </w:tcPr>
          <w:p>
            <w:pPr>
              <w:spacing w:before="0" w:after="0" w:line="245" w:lineRule="auto"/>
              <w:jc w:val="center"/>
            </w:pPr>
            <w:r>
              <w:rPr>
                <w:rFonts w:ascii="Aptos" w:hAnsi="Aptos"/>
                <w:b w:val="0"/>
                <w:color w:val="27313A"/>
                <w:sz w:val="16"/>
              </w:rPr>
              <w:t>D11</w:t>
            </w:r>
          </w:p>
        </w:tc>
        <w:tc>
          <w:tcPr>
            <w:tcW w:type="dxa" w:w="2664"/>
            <w:tcBorders>
              <w:top w:val="single" w:sz="5" w:color="B7C3CE"/>
              <w:start w:val="single" w:sz="5" w:color="B7C3CE"/>
              <w:bottom w:val="single" w:sz="5" w:color="B7C3CE"/>
              <w:end w:val="single" w:sz="5" w:color="B7C3CE"/>
            </w:tcBorders>
            <w:vAlign w:val="center"/>
            <w:tcMar>
              <w:top w:w="90" w:type="dxa"/>
              <w:start w:w="110" w:type="dxa"/>
              <w:bottom w:w="90" w:type="dxa"/>
              <w:end w:w="110" w:type="dxa"/>
            </w:tcMar>
          </w:tcPr>
          <w:p>
            <w:pPr>
              <w:spacing w:before="0" w:after="0" w:line="245" w:lineRule="auto"/>
              <w:jc w:val="left"/>
            </w:pPr>
            <w:r>
              <w:rPr>
                <w:rFonts w:ascii="Aptos" w:hAnsi="Aptos"/>
                <w:b w:val="0"/>
                <w:color w:val="27313A"/>
                <w:sz w:val="16"/>
              </w:rPr>
              <w:t>10 kHz, 0-100% duty</w:t>
            </w:r>
          </w:p>
        </w:tc>
        <w:tc>
          <w:tcPr>
            <w:tcW w:type="dxa" w:w="2304"/>
            <w:tcBorders>
              <w:top w:val="single" w:sz="5" w:color="B7C3CE"/>
              <w:start w:val="single" w:sz="5" w:color="B7C3CE"/>
              <w:bottom w:val="single" w:sz="5" w:color="B7C3CE"/>
              <w:end w:val="single" w:sz="5" w:color="B7C3CE"/>
            </w:tcBorders>
            <w:vAlign w:val="center"/>
            <w:tcMar>
              <w:top w:w="90" w:type="dxa"/>
              <w:start w:w="110" w:type="dxa"/>
              <w:bottom w:w="90" w:type="dxa"/>
              <w:end w:w="110" w:type="dxa"/>
            </w:tcMar>
          </w:tcPr>
          <w:p>
            <w:pPr>
              <w:spacing w:before="0" w:after="0" w:line="245" w:lineRule="auto"/>
              <w:jc w:val="left"/>
            </w:pPr>
            <w:r>
              <w:rPr>
                <w:rFonts w:ascii="Aptos" w:hAnsi="Aptos"/>
                <w:b w:val="0"/>
                <w:color w:val="27313A"/>
                <w:sz w:val="16"/>
              </w:rPr>
              <w:t>Optional forced cooling</w:t>
            </w:r>
          </w:p>
        </w:tc>
        <w:tc>
          <w:tcPr>
            <w:tcW w:type="dxa" w:w="2304"/>
            <w:tcBorders>
              <w:top w:val="single" w:sz="5" w:color="B7C3CE"/>
              <w:start w:val="single" w:sz="5" w:color="B7C3CE"/>
              <w:bottom w:val="single" w:sz="5" w:color="B7C3CE"/>
              <w:end w:val="single" w:sz="5" w:color="B7C3CE"/>
            </w:tcBorders>
            <w:vAlign w:val="center"/>
            <w:tcMar>
              <w:top w:w="90" w:type="dxa"/>
              <w:start w:w="110" w:type="dxa"/>
              <w:bottom w:w="90" w:type="dxa"/>
              <w:end w:w="110" w:type="dxa"/>
            </w:tcMar>
          </w:tcPr>
          <w:p>
            <w:pPr>
              <w:spacing w:before="0" w:after="0" w:line="245" w:lineRule="auto"/>
              <w:jc w:val="left"/>
            </w:pPr>
            <w:r>
              <w:rPr>
                <w:rFonts w:ascii="Aptos" w:hAnsi="Aptos"/>
                <w:b w:val="0"/>
                <w:color w:val="27313A"/>
                <w:sz w:val="16"/>
              </w:rPr>
              <w:t>Optional forced cooling</w:t>
            </w:r>
          </w:p>
        </w:tc>
      </w:tr>
      <w:tr>
        <w:trPr>
          <w:cantSplit/>
        </w:trPr>
        <w:tc>
          <w:tcPr>
            <w:tcW w:type="dxa" w:w="1655"/>
            <w:tcBorders>
              <w:top w:val="single" w:sz="5" w:color="B7C3CE"/>
              <w:start w:val="single" w:sz="5" w:color="B7C3CE"/>
              <w:bottom w:val="single" w:sz="5" w:color="B7C3CE"/>
              <w:end w:val="single" w:sz="5" w:color="B7C3CE"/>
            </w:tcBorders>
            <w:vAlign w:val="center"/>
            <w:tcMar>
              <w:top w:w="90" w:type="dxa"/>
              <w:start w:w="110" w:type="dxa"/>
              <w:bottom w:w="90" w:type="dxa"/>
              <w:end w:w="110" w:type="dxa"/>
            </w:tcMar>
          </w:tcPr>
          <w:p>
            <w:pPr>
              <w:spacing w:before="0" w:after="0" w:line="245" w:lineRule="auto"/>
              <w:jc w:val="left"/>
            </w:pPr>
            <w:r>
              <w:rPr>
                <w:rFonts w:ascii="Aptos" w:hAnsi="Aptos"/>
                <w:b w:val="0"/>
                <w:color w:val="27313A"/>
                <w:sz w:val="16"/>
              </w:rPr>
              <w:t>Fan tachometer</w:t>
            </w:r>
          </w:p>
        </w:tc>
        <w:tc>
          <w:tcPr>
            <w:tcW w:type="dxa" w:w="792"/>
            <w:tcBorders>
              <w:top w:val="single" w:sz="5" w:color="B7C3CE"/>
              <w:start w:val="single" w:sz="5" w:color="B7C3CE"/>
              <w:bottom w:val="single" w:sz="5" w:color="B7C3CE"/>
              <w:end w:val="single" w:sz="5" w:color="B7C3CE"/>
            </w:tcBorders>
            <w:vAlign w:val="center"/>
            <w:tcMar>
              <w:top w:w="90" w:type="dxa"/>
              <w:start w:w="110" w:type="dxa"/>
              <w:bottom w:w="90" w:type="dxa"/>
              <w:end w:w="110" w:type="dxa"/>
            </w:tcMar>
          </w:tcPr>
          <w:p>
            <w:pPr>
              <w:spacing w:before="0" w:after="0" w:line="245" w:lineRule="auto"/>
              <w:jc w:val="center"/>
            </w:pPr>
            <w:r>
              <w:rPr>
                <w:rFonts w:ascii="Aptos" w:hAnsi="Aptos"/>
                <w:b w:val="0"/>
                <w:color w:val="27313A"/>
                <w:sz w:val="16"/>
              </w:rPr>
              <w:t>D2</w:t>
            </w:r>
          </w:p>
        </w:tc>
        <w:tc>
          <w:tcPr>
            <w:tcW w:type="dxa" w:w="2664"/>
            <w:tcBorders>
              <w:top w:val="single" w:sz="5" w:color="B7C3CE"/>
              <w:start w:val="single" w:sz="5" w:color="B7C3CE"/>
              <w:bottom w:val="single" w:sz="5" w:color="B7C3CE"/>
              <w:end w:val="single" w:sz="5" w:color="B7C3CE"/>
            </w:tcBorders>
            <w:vAlign w:val="center"/>
            <w:tcMar>
              <w:top w:w="90" w:type="dxa"/>
              <w:start w:w="110" w:type="dxa"/>
              <w:bottom w:w="90" w:type="dxa"/>
              <w:end w:w="110" w:type="dxa"/>
            </w:tcMar>
          </w:tcPr>
          <w:p>
            <w:pPr>
              <w:spacing w:before="0" w:after="0" w:line="245" w:lineRule="auto"/>
              <w:jc w:val="left"/>
            </w:pPr>
            <w:r>
              <w:rPr>
                <w:rFonts w:ascii="Aptos" w:hAnsi="Aptos"/>
                <w:b w:val="0"/>
                <w:color w:val="27313A"/>
                <w:sz w:val="16"/>
              </w:rPr>
              <w:t>Falling-edge interrupt; 2 pulses/revolution</w:t>
            </w:r>
          </w:p>
        </w:tc>
        <w:tc>
          <w:tcPr>
            <w:tcW w:type="dxa" w:w="2304"/>
            <w:tcBorders>
              <w:top w:val="single" w:sz="5" w:color="B7C3CE"/>
              <w:start w:val="single" w:sz="5" w:color="B7C3CE"/>
              <w:bottom w:val="single" w:sz="5" w:color="B7C3CE"/>
              <w:end w:val="single" w:sz="5" w:color="B7C3CE"/>
            </w:tcBorders>
            <w:vAlign w:val="center"/>
            <w:tcMar>
              <w:top w:w="90" w:type="dxa"/>
              <w:start w:w="110" w:type="dxa"/>
              <w:bottom w:w="90" w:type="dxa"/>
              <w:end w:w="110" w:type="dxa"/>
            </w:tcMar>
          </w:tcPr>
          <w:p>
            <w:pPr>
              <w:spacing w:before="0" w:after="0" w:line="245" w:lineRule="auto"/>
              <w:jc w:val="left"/>
            </w:pPr>
            <w:r>
              <w:rPr>
                <w:rFonts w:ascii="Aptos" w:hAnsi="Aptos"/>
                <w:b w:val="0"/>
                <w:color w:val="27313A"/>
                <w:sz w:val="16"/>
              </w:rPr>
              <w:t>Fan-speed feedback</w:t>
            </w:r>
          </w:p>
        </w:tc>
        <w:tc>
          <w:tcPr>
            <w:tcW w:type="dxa" w:w="2304"/>
            <w:tcBorders>
              <w:top w:val="single" w:sz="5" w:color="B7C3CE"/>
              <w:start w:val="single" w:sz="5" w:color="B7C3CE"/>
              <w:bottom w:val="single" w:sz="5" w:color="B7C3CE"/>
              <w:end w:val="single" w:sz="5" w:color="B7C3CE"/>
            </w:tcBorders>
            <w:vAlign w:val="center"/>
            <w:tcMar>
              <w:top w:w="90" w:type="dxa"/>
              <w:start w:w="110" w:type="dxa"/>
              <w:bottom w:w="90" w:type="dxa"/>
              <w:end w:w="110" w:type="dxa"/>
            </w:tcMar>
          </w:tcPr>
          <w:p>
            <w:pPr>
              <w:spacing w:before="0" w:after="0" w:line="245" w:lineRule="auto"/>
              <w:jc w:val="left"/>
            </w:pPr>
            <w:r>
              <w:rPr>
                <w:rFonts w:ascii="Aptos" w:hAnsi="Aptos"/>
                <w:b w:val="0"/>
                <w:color w:val="27313A"/>
                <w:sz w:val="16"/>
              </w:rPr>
              <w:t>Fan-speed feedback</w:t>
            </w:r>
          </w:p>
        </w:tc>
      </w:tr>
    </w:tbl>
    <w:p>
      <w:pPr>
        <w:pStyle w:val="Caption"/>
        <w:jc w:val="center"/>
      </w:pPr>
      <w:r>
        <w:t>Table 3. Controller outputs and tachometer input for both setups.</w:t>
      </w:r>
    </w:p>
    <w:p>
      <w:pPr>
        <w:pStyle w:val="Heading2"/>
        <w:pageBreakBefore w:val="0"/>
      </w:pPr>
      <w:r>
        <w:t>8.1 PWM Power Interpretation</w:t>
      </w:r>
    </w:p>
    <w:p>
      <w:pPr>
        <w:pStyle w:val="BodyText"/>
        <w:keepNext w:val="0"/>
      </w:pPr>
      <w:r>
        <w:t>For an ideal fixed-voltage resistive heater, the time-averaged power is approximately proportional to PWM duty fraction:</w:t>
      </w:r>
    </w:p>
    <w:p>
      <w:pPr>
        <w:pStyle w:val="Equation"/>
        <w:keepLines/>
        <w:spacing w:before="40" w:after="120"/>
        <w:jc w:val="center"/>
      </w:pPr>
      <w:r>
        <w:rPr>
          <w:b w:val="0"/>
        </w:rPr>
        <w:t>Pavg = D x V^2 / R</w:t>
      </w:r>
    </w:p>
    <w:p>
      <w:pPr>
        <w:pStyle w:val="BodyText"/>
        <w:keepNext w:val="0"/>
      </w:pPr>
      <w:r>
        <w:t>For Setup 1, each 30 ohm heater produces approximately 0.83D W. For Setup 2, the 15 ohm heater produces approximately 1.67D W. Here, D is expressed as a fraction from 0 to 1. The calculation assumes that the heater receives the full 5 V during every PWM on-period.</w:t>
      </w:r>
    </w:p>
    <w:p>
      <w:pPr>
        <w:pStyle w:val="Heading1"/>
        <w:pageBreakBefore w:val="0"/>
      </w:pPr>
      <w:r>
        <w:t>9. Data Acquisition and Safety</w:t>
      </w:r>
    </w:p>
    <w:p>
      <w:pPr>
        <w:pStyle w:val="BodyText"/>
        <w:keepNext w:val="0"/>
      </w:pPr>
      <w:r>
        <w:t>The controller evaluates the sensors continuously and generates telemetry at a nominal interval of approximately 250 ms, corresponding to about four records per second. The logged signals include elapsed time, ambient temperature, Beam 1 through Beam 5 temperatures, fan speed, Heater 1 PWM, Heater 2 PWM, and fan PWM. The two heater command fields allow Setup 1 to be analyzed under independent or simultaneous heating.</w:t>
      </w:r>
    </w:p>
    <w:p>
      <w:pPr>
        <w:pStyle w:val="BodyText"/>
        <w:keepNext w:val="0"/>
      </w:pPr>
      <w:r>
        <w:t>The controller compares the five beam temperatures and identifies the maximum measured value. If any beam sensor reaches 125 deg C, the firmware enters a fault state, forces both heater outputs to 0%, and commands the fan to 100%. Heater restart remains inhibited until the fault is explicitly cleared through the control interface.</w:t>
      </w:r>
    </w:p>
    <w:tbl>
      <w:tblPr>
        <w:tblW w:type="auto" w:w="0"/>
        <w:jc w:val="center"/>
        <w:tblLayout w:type="fixed"/>
        <w:tblLook w:firstColumn="1" w:firstRow="1" w:lastColumn="0" w:lastRow="0" w:noHBand="0" w:noVBand="1" w:val="04A0"/>
      </w:tblPr>
      <w:tblGrid>
        <w:gridCol w:w="9994"/>
      </w:tblGrid>
      <w:tr>
        <w:tc>
          <w:tcPr>
            <w:tcW w:type="dxa" w:w="9720"/>
            <w:shd w:fill="FFF2CC"/>
            <w:tcMar>
              <w:top w:w="130" w:type="dxa"/>
              <w:start w:w="150" w:type="dxa"/>
              <w:bottom w:w="130" w:type="dxa"/>
              <w:end w:w="150" w:type="dxa"/>
            </w:tcMar>
            <w:tcBorders>
              <w:top w:val="nil"/>
              <w:start w:val="single" w:sz="18" w:color="BF9000"/>
              <w:bottom w:val="nil"/>
              <w:end w:val="nil"/>
            </w:tcBorders>
          </w:tcPr>
          <w:p>
            <w:pPr>
              <w:spacing w:after="40"/>
            </w:pPr>
            <w:r>
              <w:rPr>
                <w:b/>
                <w:color w:val="17365D"/>
                <w:sz w:val="21"/>
              </w:rPr>
              <w:t>Over-temperature response</w:t>
            </w:r>
          </w:p>
          <w:p>
            <w:pPr>
              <w:spacing w:after="0" w:line="252" w:lineRule="auto"/>
            </w:pPr>
            <w:r>
              <w:rPr>
                <w:color w:val="27313A"/>
                <w:sz w:val="19"/>
              </w:rPr>
              <w:t>Threshold: 125 deg C  |  Heater 1: OFF  |  Heater 2: OFF  |  Fan: 100%  |  Restart: inhibited until fault clear</w:t>
            </w:r>
          </w:p>
        </w:tc>
      </w:tr>
    </w:tbl>
    <w:p>
      <w:pPr>
        <w:spacing w:after="0"/>
      </w:pPr>
    </w:p>
    <w:p>
      <w:pPr>
        <w:pStyle w:val="Heading1"/>
        <w:pageBreakBefore/>
      </w:pPr>
      <w:r>
        <w:t>10. Thermal Measurement Principle</w:t>
      </w:r>
    </w:p>
    <w:p>
      <w:pPr>
        <w:pStyle w:val="BodyText"/>
        <w:keepNext w:val="0"/>
      </w:pPr>
      <w:r>
        <w:t>In Setup 1, energizing only Heater 1 or only Heater 2 permits heat propagation to be measured in opposite directions using the same sensor array. Driving both heaters permits symmetric and asymmetric dual-source temperature fields to be studied. The central sensors can be used to observe the interaction between the two thermal fronts and the position of the thermal-balance region.</w:t>
      </w:r>
    </w:p>
    <w:p>
      <w:pPr>
        <w:pStyle w:val="BodyText"/>
        <w:keepNext w:val="0"/>
      </w:pPr>
      <w:r>
        <w:t>In Setup 2, Beam Sensor 1 responds first because it is nearest the single heater. Sensors farther along the beam respond later and generally reach lower temperatures as heat propagates through the finite-conductance PCB structure while energy is lost to the surrounding air and support structure.</w:t>
      </w:r>
    </w:p>
    <w:p>
      <w:pPr>
        <w:pStyle w:val="BodyText"/>
        <w:keepNext w:val="0"/>
      </w:pPr>
      <w:r>
        <w:t>Together, the two configurations support measurements of transient heating response, spatial temperature gradients, thermal time constants, directional heat propagation, dual-source interaction, and the effect of heater PWM power on the beam temperature profile.</w:t>
      </w:r>
    </w:p>
    <w:sectPr w:rsidR="00FC693F" w:rsidRPr="0006063C" w:rsidSect="00034616">
      <w:footerReference w:type="default" r:id="rId9"/>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color w:val="6B7780"/>
        <w:sz w:val="16"/>
      </w:rPr>
      <w:t>Heated PCB Beam Setups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color w:val="2731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w:hAnsi="Aptos" w:eastAsia="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w:hAnsi="Aptos" w:eastAsia="Aptos Display"/>
      <w:b/>
      <w:bCs/>
      <w:color w:val="2F75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20" w:line="259" w:lineRule="auto"/>
    </w:pPr>
    <w:rPr>
      <w:rFonts w:ascii="Aptos" w:hAnsi="Aptos" w:eastAsia="Aptos"/>
      <w:color w:val="27313A"/>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00"/>
    </w:pPr>
    <w:rPr>
      <w:rFonts w:ascii="Aptos" w:hAnsi="Aptos"/>
      <w:b/>
      <w:bCs/>
      <w:i/>
      <w:color w:val="5A657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umentSubtitle">
    <w:name w:val="Document Subtitle"/>
    <w:pPr>
      <w:spacing w:after="360"/>
    </w:pPr>
    <w:rPr>
      <w:rFonts w:ascii="Aptos" w:hAnsi="Aptos" w:eastAsia="Aptos"/>
      <w:color w:val="536878"/>
      <w:sz w:val="21"/>
    </w:rPr>
  </w:style>
  <w:style w:type="paragraph" w:customStyle="1" w:styleId="Equation">
    <w:name w:val="Equation"/>
    <w:pPr>
      <w:keepLines/>
      <w:spacing w:before="60" w:after="140"/>
    </w:pPr>
    <w:rPr>
      <w:rFonts w:ascii="Aptos" w:hAnsi="Aptos"/>
      <w:color w:val="17365D"/>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Heated PCB Beam Dual- and Single-Heater Experimental Setups</dc:title>
  <dc:subject>Technical description of two PCB beam heater configurations</dc:subject>
  <dc:creator>OpenAI</dc:creator>
  <cp:keywords>PCB heater, thermal beam, temperature sensors, Arduino, dual heater, single heater</cp:keywords>
  <dc:description>generated by python-docx</dc:description>
  <cp:lastModifiedBy/>
  <cp:revision>1</cp:revision>
  <dcterms:created xsi:type="dcterms:W3CDTF">2013-12-23T23:15:00Z</dcterms:created>
  <dcterms:modified xsi:type="dcterms:W3CDTF">2013-12-23T23:15:00Z</dcterms:modified>
  <cp:category/>
</cp:coreProperties>
</file>