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89E" w:rsidRDefault="00853FB2">
      <w:pPr>
        <w:spacing w:before="480"/>
        <w:jc w:val="center"/>
        <w:rPr>
          <w:rFonts w:hint="eastAsia"/>
        </w:rPr>
      </w:pPr>
      <w:r>
        <w:rPr>
          <w:b/>
          <w:color w:val="2F75B5"/>
          <w:sz w:val="24"/>
        </w:rPr>
        <w:t>SETUP 1</w:t>
      </w:r>
    </w:p>
    <w:p w:rsidR="00D9789E" w:rsidRDefault="00853FB2">
      <w:pPr>
        <w:pStyle w:val="Title"/>
        <w:jc w:val="center"/>
      </w:pPr>
      <w:r>
        <w:t>Dual-Heater PCB Beam</w:t>
      </w:r>
      <w:r>
        <w:br/>
        <w:t>MISO System Identification</w:t>
      </w:r>
    </w:p>
    <w:p w:rsidR="00D9789E" w:rsidRDefault="00853FB2">
      <w:pPr>
        <w:spacing w:after="360"/>
        <w:jc w:val="center"/>
        <w:rPr>
          <w:rFonts w:hint="eastAsia"/>
        </w:rPr>
      </w:pPr>
      <w:r>
        <w:rPr>
          <w:color w:val="5B6573"/>
          <w:sz w:val="28"/>
        </w:rPr>
        <w:t>Revised experiment: Heater 1 → Heater 2 → both heaters</w:t>
      </w:r>
    </w:p>
    <w:p w:rsidR="00D9789E" w:rsidRDefault="00853FB2">
      <w:pPr>
        <w:spacing w:before="80" w:after="40"/>
        <w:jc w:val="center"/>
        <w:rPr>
          <w:rFonts w:hint="eastAsia"/>
        </w:rPr>
      </w:pPr>
      <w:r>
        <w:rPr>
          <w:noProof/>
          <w:lang w:bidi="he-IL"/>
        </w:rPr>
        <w:drawing>
          <wp:inline distT="0" distB="0" distL="0" distR="0">
            <wp:extent cx="6080760" cy="4054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ed_experiment_timeline.png"/>
                    <pic:cNvPicPr/>
                  </pic:nvPicPr>
                  <pic:blipFill>
                    <a:blip r:embed="rId8"/>
                    <a:stretch>
                      <a:fillRect/>
                    </a:stretch>
                  </pic:blipFill>
                  <pic:spPr>
                    <a:xfrm>
                      <a:off x="0" y="0"/>
                      <a:ext cx="6080760" cy="4054859"/>
                    </a:xfrm>
                    <a:prstGeom prst="rect">
                      <a:avLst/>
                    </a:prstGeom>
                  </pic:spPr>
                </pic:pic>
              </a:graphicData>
            </a:graphic>
          </wp:inline>
        </w:drawing>
      </w:r>
    </w:p>
    <w:p w:rsidR="00D9789E" w:rsidRDefault="00853FB2">
      <w:pPr>
        <w:spacing w:before="60" w:after="160"/>
        <w:jc w:val="center"/>
        <w:rPr>
          <w:rFonts w:hint="eastAsia"/>
        </w:rPr>
      </w:pPr>
      <w:r>
        <w:rPr>
          <w:i/>
          <w:color w:val="5B6573"/>
          <w:sz w:val="18"/>
        </w:rPr>
        <w:t>Figure 1. Complete revised experiment, including all three excitation blocks.</w:t>
      </w:r>
    </w:p>
    <w:tbl>
      <w:tblPr>
        <w:tblStyle w:val="TableGrid"/>
        <w:tblW w:w="0" w:type="auto"/>
        <w:jc w:val="center"/>
        <w:tblLayout w:type="fixed"/>
        <w:tblLook w:val="04A0" w:firstRow="1" w:lastRow="0" w:firstColumn="1" w:lastColumn="0" w:noHBand="0" w:noVBand="1"/>
      </w:tblPr>
      <w:tblGrid>
        <w:gridCol w:w="2376"/>
        <w:gridCol w:w="7200"/>
      </w:tblGrid>
      <w:tr w:rsidR="00D9789E">
        <w:trPr>
          <w:tblHeader/>
          <w:jc w:val="center"/>
        </w:trPr>
        <w:tc>
          <w:tcPr>
            <w:tcW w:w="2376" w:type="dxa"/>
            <w:shd w:val="clear" w:color="auto" w:fill="FFFFFF"/>
            <w:tcMar>
              <w:top w:w="90" w:type="dxa"/>
              <w:left w:w="100" w:type="dxa"/>
              <w:bottom w:w="90" w:type="dxa"/>
              <w:right w:w="100" w:type="dxa"/>
            </w:tcMar>
            <w:vAlign w:val="center"/>
          </w:tcPr>
          <w:p w:rsidR="00D9789E" w:rsidRDefault="00853FB2">
            <w:pPr>
              <w:spacing w:after="0"/>
              <w:rPr>
                <w:rFonts w:hint="eastAsia"/>
              </w:rPr>
            </w:pPr>
            <w:r>
              <w:rPr>
                <w:color w:val="243447"/>
                <w:sz w:val="18"/>
              </w:rPr>
              <w:t>Source data</w:t>
            </w:r>
          </w:p>
        </w:tc>
        <w:tc>
          <w:tcPr>
            <w:tcW w:w="7200" w:type="dxa"/>
            <w:shd w:val="clear" w:color="auto" w:fill="FFFFFF"/>
            <w:tcMar>
              <w:top w:w="90" w:type="dxa"/>
              <w:left w:w="100" w:type="dxa"/>
              <w:bottom w:w="90" w:type="dxa"/>
              <w:right w:w="100" w:type="dxa"/>
            </w:tcMar>
            <w:vAlign w:val="center"/>
          </w:tcPr>
          <w:p w:rsidR="00D9789E" w:rsidRDefault="007964EF" w:rsidP="007964EF">
            <w:pPr>
              <w:spacing w:after="0"/>
              <w:jc w:val="center"/>
              <w:rPr>
                <w:rFonts w:hint="eastAsia"/>
              </w:rPr>
            </w:pPr>
            <w:r>
              <w:rPr>
                <w:color w:val="243447"/>
                <w:sz w:val="18"/>
              </w:rPr>
              <w:t>Setup1</w:t>
            </w:r>
            <w:bookmarkStart w:id="0" w:name="_GoBack"/>
            <w:bookmarkEnd w:id="0"/>
            <w:r w:rsidR="00853FB2">
              <w:rPr>
                <w:color w:val="243447"/>
                <w:sz w:val="18"/>
              </w:rPr>
              <w:t>.txt</w:t>
            </w:r>
          </w:p>
        </w:tc>
      </w:tr>
      <w:tr w:rsidR="00D9789E">
        <w:trPr>
          <w:jc w:val="center"/>
        </w:trPr>
        <w:tc>
          <w:tcPr>
            <w:tcW w:w="2376" w:type="dxa"/>
            <w:shd w:val="clear" w:color="auto" w:fill="EEF5FB"/>
            <w:tcMar>
              <w:top w:w="90" w:type="dxa"/>
              <w:left w:w="100" w:type="dxa"/>
              <w:bottom w:w="90" w:type="dxa"/>
              <w:right w:w="100" w:type="dxa"/>
            </w:tcMar>
            <w:vAlign w:val="center"/>
          </w:tcPr>
          <w:p w:rsidR="00D9789E" w:rsidRDefault="00853FB2">
            <w:pPr>
              <w:spacing w:after="0"/>
              <w:rPr>
                <w:rFonts w:hint="eastAsia"/>
              </w:rPr>
            </w:pPr>
            <w:r>
              <w:rPr>
                <w:b/>
                <w:sz w:val="19"/>
              </w:rPr>
              <w:t>System structure</w:t>
            </w:r>
          </w:p>
        </w:tc>
        <w:tc>
          <w:tcPr>
            <w:tcW w:w="7200" w:type="dxa"/>
            <w:tcMar>
              <w:top w:w="90" w:type="dxa"/>
              <w:left w:w="100" w:type="dxa"/>
              <w:bottom w:w="90" w:type="dxa"/>
              <w:right w:w="100" w:type="dxa"/>
            </w:tcMar>
            <w:vAlign w:val="center"/>
          </w:tcPr>
          <w:p w:rsidR="00D9789E" w:rsidRDefault="00853FB2">
            <w:pPr>
              <w:spacing w:after="0"/>
              <w:jc w:val="center"/>
              <w:rPr>
                <w:rFonts w:hint="eastAsia"/>
              </w:rPr>
            </w:pPr>
            <w:r>
              <w:rPr>
                <w:sz w:val="19"/>
              </w:rPr>
              <w:t xml:space="preserve">Two heater inputs </w:t>
            </w:r>
            <w:r>
              <w:rPr>
                <w:sz w:val="19"/>
              </w:rPr>
              <w:t>and five temperature outputs</w:t>
            </w:r>
          </w:p>
        </w:tc>
      </w:tr>
      <w:tr w:rsidR="00D9789E">
        <w:trPr>
          <w:jc w:val="center"/>
        </w:trPr>
        <w:tc>
          <w:tcPr>
            <w:tcW w:w="2376" w:type="dxa"/>
            <w:shd w:val="clear" w:color="auto" w:fill="EEF5FB"/>
            <w:tcMar>
              <w:top w:w="90" w:type="dxa"/>
              <w:left w:w="100" w:type="dxa"/>
              <w:bottom w:w="90" w:type="dxa"/>
              <w:right w:w="100" w:type="dxa"/>
            </w:tcMar>
            <w:vAlign w:val="center"/>
          </w:tcPr>
          <w:p w:rsidR="00D9789E" w:rsidRDefault="00853FB2">
            <w:pPr>
              <w:spacing w:after="0"/>
              <w:rPr>
                <w:rFonts w:hint="eastAsia"/>
              </w:rPr>
            </w:pPr>
            <w:r>
              <w:rPr>
                <w:b/>
                <w:sz w:val="19"/>
              </w:rPr>
              <w:t>Model family</w:t>
            </w:r>
          </w:p>
        </w:tc>
        <w:tc>
          <w:tcPr>
            <w:tcW w:w="7200" w:type="dxa"/>
            <w:tcMar>
              <w:top w:w="90" w:type="dxa"/>
              <w:left w:w="100" w:type="dxa"/>
              <w:bottom w:w="90" w:type="dxa"/>
              <w:right w:w="100" w:type="dxa"/>
            </w:tcMar>
            <w:vAlign w:val="center"/>
          </w:tcPr>
          <w:p w:rsidR="00D9789E" w:rsidRDefault="00853FB2">
            <w:pPr>
              <w:spacing w:after="0"/>
              <w:jc w:val="center"/>
              <w:rPr>
                <w:rFonts w:hint="eastAsia"/>
              </w:rPr>
            </w:pPr>
            <w:r>
              <w:rPr>
                <w:sz w:val="19"/>
              </w:rPr>
              <w:t>First-order plus dead time (FOPDT)</w:t>
            </w:r>
          </w:p>
        </w:tc>
      </w:tr>
      <w:tr w:rsidR="00D9789E">
        <w:trPr>
          <w:jc w:val="center"/>
        </w:trPr>
        <w:tc>
          <w:tcPr>
            <w:tcW w:w="2376" w:type="dxa"/>
            <w:shd w:val="clear" w:color="auto" w:fill="EEF5FB"/>
            <w:tcMar>
              <w:top w:w="90" w:type="dxa"/>
              <w:left w:w="100" w:type="dxa"/>
              <w:bottom w:w="90" w:type="dxa"/>
              <w:right w:w="100" w:type="dxa"/>
            </w:tcMar>
            <w:vAlign w:val="center"/>
          </w:tcPr>
          <w:p w:rsidR="00D9789E" w:rsidRDefault="00853FB2">
            <w:pPr>
              <w:spacing w:after="0"/>
              <w:rPr>
                <w:rFonts w:hint="eastAsia"/>
              </w:rPr>
            </w:pPr>
            <w:r>
              <w:rPr>
                <w:b/>
                <w:sz w:val="19"/>
              </w:rPr>
              <w:t>Primary conclusion</w:t>
            </w:r>
          </w:p>
        </w:tc>
        <w:tc>
          <w:tcPr>
            <w:tcW w:w="7200" w:type="dxa"/>
            <w:tcMar>
              <w:top w:w="90" w:type="dxa"/>
              <w:left w:w="100" w:type="dxa"/>
              <w:bottom w:w="90" w:type="dxa"/>
              <w:right w:w="100" w:type="dxa"/>
            </w:tcMar>
            <w:vAlign w:val="center"/>
          </w:tcPr>
          <w:p w:rsidR="00D9789E" w:rsidRDefault="00853FB2">
            <w:pPr>
              <w:spacing w:after="0"/>
              <w:jc w:val="center"/>
              <w:rPr>
                <w:rFonts w:hint="eastAsia"/>
              </w:rPr>
            </w:pPr>
            <w:r>
              <w:rPr>
                <w:sz w:val="19"/>
              </w:rPr>
              <w:t>Independent paths are nearly symmetric; dual operation requires power/gain correction</w:t>
            </w:r>
          </w:p>
        </w:tc>
      </w:tr>
    </w:tbl>
    <w:p w:rsidR="00D9789E" w:rsidRDefault="00853FB2">
      <w:pPr>
        <w:rPr>
          <w:rFonts w:hint="eastAsia"/>
        </w:rPr>
      </w:pPr>
      <w:r>
        <w:br w:type="page"/>
      </w:r>
    </w:p>
    <w:p w:rsidR="00D9789E" w:rsidRDefault="00853FB2">
      <w:pPr>
        <w:pStyle w:val="Heading1"/>
      </w:pPr>
      <w:r>
        <w:lastRenderedPageBreak/>
        <w:t>1. Executive summary</w:t>
      </w:r>
    </w:p>
    <w:p w:rsidR="00D9789E" w:rsidRDefault="00853FB2">
      <w:pPr>
        <w:pStyle w:val="ListBullet"/>
        <w:spacing w:after="80"/>
        <w:rPr>
          <w:rFonts w:hint="eastAsia"/>
        </w:rPr>
      </w:pPr>
      <w:r>
        <w:t xml:space="preserve">The revised recording independently excites </w:t>
      </w:r>
      <w:r>
        <w:t>Heater 1, Heater 2, and then both heaters, so all ten heater-to-sensor paths can be identified without assuming perfect geometric symmetry.</w:t>
      </w:r>
    </w:p>
    <w:p w:rsidR="00D9789E" w:rsidRDefault="00853FB2">
      <w:pPr>
        <w:pStyle w:val="ListBullet"/>
        <w:spacing w:after="80"/>
        <w:rPr>
          <w:rFonts w:hint="eastAsia"/>
        </w:rPr>
      </w:pPr>
      <w:r>
        <w:t xml:space="preserve">The two independently identified heater paths are close to mirror images. Heater 2 produces approximately 2–7% more </w:t>
      </w:r>
      <w:r>
        <w:t>temperature rise than the corresponding mirrored Heater 1 path.</w:t>
      </w:r>
    </w:p>
    <w:p w:rsidR="00D9789E" w:rsidRDefault="00853FB2">
      <w:pPr>
        <w:pStyle w:val="ListBullet"/>
        <w:spacing w:after="80"/>
        <w:rPr>
          <w:rFonts w:hint="eastAsia"/>
        </w:rPr>
      </w:pPr>
      <w:r>
        <w:t>Direct linear superposition overpredicts the dual-heater response. The best common dual-operation factor is approximately α = 0.717, with output-specific values from 0.692 to 0.769.</w:t>
      </w:r>
    </w:p>
    <w:p w:rsidR="00D9789E" w:rsidRDefault="00853FB2">
      <w:pPr>
        <w:pStyle w:val="ListBullet"/>
        <w:spacing w:after="80"/>
        <w:rPr>
          <w:rFonts w:hint="eastAsia"/>
        </w:rPr>
      </w:pPr>
      <w:r>
        <w:t>If the ful</w:t>
      </w:r>
      <w:r>
        <w:t>l reduction were caused only by voltage sag, the effective heater voltage would need to fall from 5.00 V to approximately 4.23 V. A genuinely small sag therefore explains only part of the difference.</w:t>
      </w:r>
    </w:p>
    <w:p w:rsidR="00D9789E" w:rsidRDefault="00853FB2">
      <w:pPr>
        <w:pStyle w:val="ListBullet"/>
        <w:spacing w:after="80"/>
        <w:rPr>
          <w:rFonts w:hint="eastAsia"/>
        </w:rPr>
      </w:pPr>
      <w:r>
        <w:t>The recommended model uses independently identified MISO</w:t>
      </w:r>
      <w:r>
        <w:t xml:space="preserve"> paths, voltage-squared input normalization, and an additional temperature-dependent or dual-operation correction factor.</w:t>
      </w:r>
    </w:p>
    <w:tbl>
      <w:tblPr>
        <w:tblW w:w="0" w:type="auto"/>
        <w:jc w:val="center"/>
        <w:tblLayout w:type="fixed"/>
        <w:tblLook w:val="04A0" w:firstRow="1" w:lastRow="0" w:firstColumn="1" w:lastColumn="0" w:noHBand="0" w:noVBand="1"/>
      </w:tblPr>
      <w:tblGrid>
        <w:gridCol w:w="9648"/>
      </w:tblGrid>
      <w:tr w:rsidR="00D9789E">
        <w:trPr>
          <w:jc w:val="center"/>
        </w:trPr>
        <w:tc>
          <w:tcPr>
            <w:tcW w:w="9648" w:type="dxa"/>
            <w:shd w:val="clear" w:color="auto" w:fill="E2F0D9"/>
            <w:tcMar>
              <w:top w:w="130" w:type="dxa"/>
              <w:left w:w="170" w:type="dxa"/>
              <w:bottom w:w="130" w:type="dxa"/>
              <w:right w:w="170" w:type="dxa"/>
            </w:tcMar>
          </w:tcPr>
          <w:p w:rsidR="00D9789E" w:rsidRDefault="00853FB2">
            <w:pPr>
              <w:spacing w:after="80"/>
              <w:rPr>
                <w:rFonts w:hint="eastAsia"/>
              </w:rPr>
            </w:pPr>
            <w:r>
              <w:rPr>
                <w:b/>
                <w:color w:val="17365D"/>
              </w:rPr>
              <w:t>Key engineering conclusion</w:t>
            </w:r>
          </w:p>
          <w:p w:rsidR="00D9789E" w:rsidRDefault="00853FB2">
            <w:pPr>
              <w:spacing w:after="0"/>
              <w:rPr>
                <w:rFonts w:hint="eastAsia"/>
              </w:rPr>
            </w:pPr>
            <w:r>
              <w:rPr>
                <w:sz w:val="20"/>
              </w:rPr>
              <w:t>The revised experiment validates the symmetric two-input structure, but it does not support one globally li</w:t>
            </w:r>
            <w:r>
              <w:rPr>
                <w:sz w:val="20"/>
              </w:rPr>
              <w:t>near model across single-heater and dual-heater operating regions. Voltage sag is physically plausible and should be measured directly, while the remaining reduction should be treated as temperature-dependent thermal loss.</w:t>
            </w:r>
          </w:p>
        </w:tc>
      </w:tr>
    </w:tbl>
    <w:p w:rsidR="00D9789E" w:rsidRDefault="00853FB2">
      <w:pPr>
        <w:pStyle w:val="Heading1"/>
      </w:pPr>
      <w:r>
        <w:t xml:space="preserve">2. Experiment sequence and data </w:t>
      </w:r>
      <w:r>
        <w:t>preparation</w:t>
      </w:r>
    </w:p>
    <w:p w:rsidR="00D9789E" w:rsidRDefault="00853FB2">
      <w:pPr>
        <w:rPr>
          <w:rFonts w:hint="eastAsia"/>
        </w:rPr>
      </w:pPr>
      <w:r>
        <w:t>The log contains synchronized ambient temperature, five beam temperatures, and two independent heater commands. The three excitation blocks are separated by cooling periods, allowing the two heater paths to be estimated independently before val</w:t>
      </w:r>
      <w:r>
        <w:t>idating their combined response.</w:t>
      </w:r>
    </w:p>
    <w:tbl>
      <w:tblPr>
        <w:tblStyle w:val="TableGrid"/>
        <w:tblW w:w="0" w:type="auto"/>
        <w:jc w:val="center"/>
        <w:tblLayout w:type="fixed"/>
        <w:tblLook w:val="04A0" w:firstRow="1" w:lastRow="0" w:firstColumn="1" w:lastColumn="0" w:noHBand="0" w:noVBand="1"/>
      </w:tblPr>
      <w:tblGrid>
        <w:gridCol w:w="936"/>
        <w:gridCol w:w="3240"/>
        <w:gridCol w:w="1655"/>
        <w:gridCol w:w="1655"/>
        <w:gridCol w:w="1655"/>
      </w:tblGrid>
      <w:tr w:rsidR="00D9789E">
        <w:trPr>
          <w:tblHeader/>
          <w:jc w:val="center"/>
        </w:trPr>
        <w:tc>
          <w:tcPr>
            <w:tcW w:w="936" w:type="dxa"/>
            <w:shd w:val="clear" w:color="auto" w:fill="17365D"/>
            <w:tcMar>
              <w:top w:w="90" w:type="dxa"/>
              <w:left w:w="100" w:type="dxa"/>
              <w:bottom w:w="90" w:type="dxa"/>
              <w:right w:w="100" w:type="dxa"/>
            </w:tcMar>
            <w:vAlign w:val="center"/>
          </w:tcPr>
          <w:p w:rsidR="00D9789E" w:rsidRDefault="00853FB2">
            <w:pPr>
              <w:spacing w:after="0"/>
              <w:rPr>
                <w:rFonts w:hint="eastAsia"/>
              </w:rPr>
            </w:pPr>
            <w:r>
              <w:rPr>
                <w:b/>
                <w:color w:val="FFFFFF"/>
                <w:sz w:val="18"/>
              </w:rPr>
              <w:t>Experiment</w:t>
            </w:r>
          </w:p>
        </w:tc>
        <w:tc>
          <w:tcPr>
            <w:tcW w:w="3240"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Input state</w:t>
            </w:r>
          </w:p>
        </w:tc>
        <w:tc>
          <w:tcPr>
            <w:tcW w:w="1655"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Start (s)</w:t>
            </w:r>
          </w:p>
        </w:tc>
        <w:tc>
          <w:tcPr>
            <w:tcW w:w="1655"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Stop (s)</w:t>
            </w:r>
          </w:p>
        </w:tc>
        <w:tc>
          <w:tcPr>
            <w:tcW w:w="1655"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Duration (s)</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1</w:t>
            </w:r>
          </w:p>
        </w:tc>
        <w:tc>
          <w:tcPr>
            <w:tcW w:w="3240" w:type="dxa"/>
            <w:tcMar>
              <w:top w:w="90" w:type="dxa"/>
              <w:left w:w="100" w:type="dxa"/>
              <w:bottom w:w="90" w:type="dxa"/>
              <w:right w:w="100" w:type="dxa"/>
            </w:tcMar>
            <w:vAlign w:val="center"/>
          </w:tcPr>
          <w:p w:rsidR="00D9789E" w:rsidRDefault="00853FB2">
            <w:pPr>
              <w:spacing w:after="0"/>
              <w:jc w:val="center"/>
              <w:rPr>
                <w:rFonts w:hint="eastAsia"/>
              </w:rPr>
            </w:pPr>
            <w:r>
              <w:rPr>
                <w:sz w:val="18"/>
              </w:rPr>
              <w:t>Heater 1 only</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14.889</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147.097</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132.208</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2</w:t>
            </w:r>
          </w:p>
        </w:tc>
        <w:tc>
          <w:tcPr>
            <w:tcW w:w="3240" w:type="dxa"/>
            <w:tcMar>
              <w:top w:w="90" w:type="dxa"/>
              <w:left w:w="100" w:type="dxa"/>
              <w:bottom w:w="90" w:type="dxa"/>
              <w:right w:w="100" w:type="dxa"/>
            </w:tcMar>
            <w:vAlign w:val="center"/>
          </w:tcPr>
          <w:p w:rsidR="00D9789E" w:rsidRDefault="00853FB2">
            <w:pPr>
              <w:spacing w:after="0"/>
              <w:jc w:val="center"/>
              <w:rPr>
                <w:rFonts w:hint="eastAsia"/>
              </w:rPr>
            </w:pPr>
            <w:r>
              <w:rPr>
                <w:sz w:val="18"/>
              </w:rPr>
              <w:t>Heater 2 only</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267.380</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369.340</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101.960</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3a</w:t>
            </w:r>
          </w:p>
        </w:tc>
        <w:tc>
          <w:tcPr>
            <w:tcW w:w="3240" w:type="dxa"/>
            <w:tcMar>
              <w:top w:w="90" w:type="dxa"/>
              <w:left w:w="100" w:type="dxa"/>
              <w:bottom w:w="90" w:type="dxa"/>
              <w:right w:w="100" w:type="dxa"/>
            </w:tcMar>
            <w:vAlign w:val="center"/>
          </w:tcPr>
          <w:p w:rsidR="00D9789E" w:rsidRDefault="00853FB2">
            <w:pPr>
              <w:spacing w:after="0"/>
              <w:jc w:val="center"/>
              <w:rPr>
                <w:rFonts w:hint="eastAsia"/>
              </w:rPr>
            </w:pPr>
            <w:r>
              <w:rPr>
                <w:sz w:val="18"/>
              </w:rPr>
              <w:t>Both: H1 command</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514.198</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732.125</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217.927</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3b</w:t>
            </w:r>
          </w:p>
        </w:tc>
        <w:tc>
          <w:tcPr>
            <w:tcW w:w="3240" w:type="dxa"/>
            <w:tcMar>
              <w:top w:w="90" w:type="dxa"/>
              <w:left w:w="100" w:type="dxa"/>
              <w:bottom w:w="90" w:type="dxa"/>
              <w:right w:w="100" w:type="dxa"/>
            </w:tcMar>
            <w:vAlign w:val="center"/>
          </w:tcPr>
          <w:p w:rsidR="00D9789E" w:rsidRDefault="00853FB2">
            <w:pPr>
              <w:spacing w:after="0"/>
              <w:jc w:val="center"/>
              <w:rPr>
                <w:rFonts w:hint="eastAsia"/>
              </w:rPr>
            </w:pPr>
            <w:r>
              <w:rPr>
                <w:sz w:val="18"/>
              </w:rPr>
              <w:t>Both: H2 command</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516.002</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730.316</w:t>
            </w:r>
          </w:p>
        </w:tc>
        <w:tc>
          <w:tcPr>
            <w:tcW w:w="1655" w:type="dxa"/>
            <w:tcMar>
              <w:top w:w="90" w:type="dxa"/>
              <w:left w:w="100" w:type="dxa"/>
              <w:bottom w:w="90" w:type="dxa"/>
              <w:right w:w="100" w:type="dxa"/>
            </w:tcMar>
            <w:vAlign w:val="center"/>
          </w:tcPr>
          <w:p w:rsidR="00D9789E" w:rsidRDefault="00853FB2">
            <w:pPr>
              <w:spacing w:after="0"/>
              <w:jc w:val="center"/>
              <w:rPr>
                <w:rFonts w:hint="eastAsia"/>
              </w:rPr>
            </w:pPr>
            <w:r>
              <w:rPr>
                <w:sz w:val="18"/>
              </w:rPr>
              <w:t>214.314</w:t>
            </w:r>
          </w:p>
        </w:tc>
      </w:tr>
    </w:tbl>
    <w:p w:rsidR="00D9789E" w:rsidRDefault="00853FB2">
      <w:pPr>
        <w:spacing w:before="60" w:after="160"/>
        <w:jc w:val="center"/>
        <w:rPr>
          <w:rFonts w:hint="eastAsia"/>
        </w:rPr>
      </w:pPr>
      <w:r>
        <w:rPr>
          <w:i/>
          <w:color w:val="5B6573"/>
          <w:sz w:val="18"/>
        </w:rPr>
        <w:t>Table 1. Heater command sequence in the revised experiment.</w:t>
      </w:r>
    </w:p>
    <w:p w:rsidR="00D9789E" w:rsidRDefault="00853FB2">
      <w:pPr>
        <w:rPr>
          <w:rFonts w:hint="eastAsia"/>
        </w:rPr>
      </w:pPr>
      <w:r>
        <w:t>The modeled output is the temperature rise relative to ambient:</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ambient</m:t>
              </m:r>
            </m:sub>
          </m:sSub>
          <m:r>
            <w:rPr>
              <w:rFonts w:ascii="Cambria Math" w:hAnsi="Cambria Math"/>
            </w:rPr>
            <m:t>(</m:t>
          </m:r>
          <m:r>
            <w:rPr>
              <w:rFonts w:ascii="Cambria Math" w:hAnsi="Cambria Math"/>
            </w:rPr>
            <m:t>t</m:t>
          </m:r>
          <m:r>
            <w:rPr>
              <w:rFonts w:ascii="Cambria Math" w:hAnsi="Cambria Math"/>
            </w:rPr>
            <m:t>)</m:t>
          </m:r>
        </m:oMath>
      </m:oMathPara>
    </w:p>
    <w:p w:rsidR="00D9789E" w:rsidRDefault="00853FB2">
      <w:pPr>
        <w:pStyle w:val="Heading1"/>
      </w:pPr>
      <w:r>
        <w:t>3. MISO model structure</w:t>
      </w:r>
    </w:p>
    <w:p w:rsidR="00D9789E" w:rsidRDefault="00853FB2">
      <w:pPr>
        <w:rPr>
          <w:rFonts w:hint="eastAsia"/>
        </w:rPr>
      </w:pPr>
      <w:r>
        <w:t>Each sensor is treated as one single-output subsystem dr</w:t>
      </w:r>
      <w:r>
        <w:t>iven by the two heater inputs. Together, the five subsystems form a two-input/five-output plant.</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1</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 xml:space="preserve">),  </m:t>
          </m:r>
          <m:r>
            <w:rPr>
              <w:rFonts w:ascii="Cambria Math" w:hAnsi="Cambria Math"/>
            </w:rPr>
            <m:t>i</m:t>
          </m:r>
          <m:r>
            <w:rPr>
              <w:rFonts w:ascii="Cambria Math" w:hAnsi="Cambria Math"/>
            </w:rPr>
            <m:t xml:space="preserve"> = 1,…,5</m:t>
          </m:r>
        </m:oMath>
      </m:oMathPara>
    </w:p>
    <w:p w:rsidR="00D9789E" w:rsidRDefault="00853FB2">
      <w:pPr>
        <w:rPr>
          <w:rFonts w:hint="eastAsia"/>
        </w:rPr>
      </w:pPr>
      <w:r>
        <w:t>Each input-to-output path is represented by a first-order-plus-dead-time transfer function:</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ij</m:t>
                  </m:r>
                </m:sub>
              </m:sSub>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L</m:t>
                  </m:r>
                  <m:r>
                    <w:rPr>
                      <w:rFonts w:ascii="Cambria Math" w:hAnsi="Cambria Math"/>
                    </w:rPr>
                    <m:t>ᵢⱼ</m:t>
                  </m:r>
                  <m:r>
                    <w:rPr>
                      <w:rFonts w:ascii="Cambria Math" w:hAnsi="Cambria Math"/>
                    </w:rPr>
                    <m:t>s</m:t>
                  </m:r>
                </m:sup>
              </m:sSup>
            </m:num>
            <m:den>
              <m:sSub>
                <m:sSubPr>
                  <m:ctrlPr>
                    <w:rPr>
                      <w:rFonts w:ascii="Cambria Math" w:hAnsi="Cambria Math"/>
                    </w:rPr>
                  </m:ctrlPr>
                </m:sSubPr>
                <m:e>
                  <m:r>
                    <w:rPr>
                      <w:rFonts w:ascii="Cambria Math" w:hAnsi="Cambria Math"/>
                    </w:rPr>
                    <m:t>τ</m:t>
                  </m:r>
                </m:e>
                <m:sub>
                  <m:r>
                    <w:rPr>
                      <w:rFonts w:ascii="Cambria Math" w:hAnsi="Cambria Math"/>
                    </w:rPr>
                    <m:t>ij</m:t>
                  </m:r>
                </m:sub>
              </m:sSub>
              <m:r>
                <w:rPr>
                  <w:rFonts w:ascii="Cambria Math" w:hAnsi="Cambria Math"/>
                </w:rPr>
                <m:t>s</m:t>
              </m:r>
              <m:r>
                <w:rPr>
                  <w:rFonts w:ascii="Cambria Math" w:hAnsi="Cambria Math"/>
                </w:rPr>
                <m:t xml:space="preserve"> + 1</m:t>
              </m:r>
            </m:den>
          </m:f>
        </m:oMath>
      </m:oMathPara>
    </w:p>
    <w:p w:rsidR="00D9789E" w:rsidRDefault="00853FB2">
      <w:pPr>
        <w:rPr>
          <w:rFonts w:hint="eastAsia"/>
        </w:rPr>
      </w:pPr>
      <w:r>
        <w:t>The gain K is the nominal steady-state ambient-corrected temperature rise for a unit heater command, L is the apparent transport delay, and τ is the dominant thermal time constant.</w:t>
      </w:r>
    </w:p>
    <w:p w:rsidR="00D9789E" w:rsidRDefault="00853FB2">
      <w:pPr>
        <w:pStyle w:val="Heading1"/>
      </w:pPr>
      <w:r>
        <w:lastRenderedPageBreak/>
        <w:t>4. Independently identified heater paths</w:t>
      </w:r>
    </w:p>
    <w:tbl>
      <w:tblPr>
        <w:tblStyle w:val="TableGrid"/>
        <w:tblW w:w="0" w:type="auto"/>
        <w:jc w:val="center"/>
        <w:tblLayout w:type="fixed"/>
        <w:tblLook w:val="04A0" w:firstRow="1" w:lastRow="0" w:firstColumn="1" w:lastColumn="0" w:noHBand="0" w:noVBand="1"/>
      </w:tblPr>
      <w:tblGrid>
        <w:gridCol w:w="936"/>
        <w:gridCol w:w="1555"/>
        <w:gridCol w:w="1324"/>
        <w:gridCol w:w="1267"/>
        <w:gridCol w:w="1555"/>
        <w:gridCol w:w="1324"/>
        <w:gridCol w:w="1267"/>
      </w:tblGrid>
      <w:tr w:rsidR="00D9789E">
        <w:trPr>
          <w:tblHeader/>
          <w:jc w:val="center"/>
        </w:trPr>
        <w:tc>
          <w:tcPr>
            <w:tcW w:w="936" w:type="dxa"/>
            <w:shd w:val="clear" w:color="auto" w:fill="17365D"/>
            <w:tcMar>
              <w:top w:w="90" w:type="dxa"/>
              <w:left w:w="100" w:type="dxa"/>
              <w:bottom w:w="90" w:type="dxa"/>
              <w:right w:w="100" w:type="dxa"/>
            </w:tcMar>
            <w:vAlign w:val="center"/>
          </w:tcPr>
          <w:p w:rsidR="00D9789E" w:rsidRDefault="00853FB2">
            <w:pPr>
              <w:spacing w:after="0"/>
              <w:rPr>
                <w:rFonts w:hint="eastAsia"/>
              </w:rPr>
            </w:pPr>
            <w:r>
              <w:rPr>
                <w:b/>
                <w:color w:val="FFFFFF"/>
                <w:sz w:val="18"/>
              </w:rPr>
              <w:t>Sensor</w:t>
            </w:r>
          </w:p>
        </w:tc>
        <w:tc>
          <w:tcPr>
            <w:tcW w:w="1555"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H1 gain K₁</w:t>
            </w:r>
          </w:p>
        </w:tc>
        <w:tc>
          <w:tcPr>
            <w:tcW w:w="1324"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H1 delay L₁</w:t>
            </w:r>
          </w:p>
        </w:tc>
        <w:tc>
          <w:tcPr>
            <w:tcW w:w="1267"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H1 τ₁</w:t>
            </w:r>
          </w:p>
        </w:tc>
        <w:tc>
          <w:tcPr>
            <w:tcW w:w="1555"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H2 gain K₂</w:t>
            </w:r>
          </w:p>
        </w:tc>
        <w:tc>
          <w:tcPr>
            <w:tcW w:w="1324"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H2 delay L₂</w:t>
            </w:r>
          </w:p>
        </w:tc>
        <w:tc>
          <w:tcPr>
            <w:tcW w:w="1267"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H2 τ₂</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7"/>
              </w:rPr>
              <w:t>S1</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54.82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1.02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35.69 s</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21.70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1.48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64.76 s</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7"/>
              </w:rPr>
              <w:t>S2</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40.49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4.04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43.49 s</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22.83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7.85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60.62 s</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7"/>
              </w:rPr>
              <w:t>S3</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27.12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9.23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52.84 s</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28.95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8.21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52.85 s</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7"/>
              </w:rPr>
              <w:t>S4</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21.90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8.93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57.59 s</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 xml:space="preserve">41.12 </w:t>
            </w:r>
            <w:r>
              <w:rPr>
                <w:sz w:val="17"/>
              </w:rPr>
              <w:t>°C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3.46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43.65 s</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7"/>
              </w:rPr>
              <w:t>S5</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20.57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1.59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60.08 s</w:t>
            </w:r>
          </w:p>
        </w:tc>
        <w:tc>
          <w:tcPr>
            <w:tcW w:w="1555" w:type="dxa"/>
            <w:tcMar>
              <w:top w:w="90" w:type="dxa"/>
              <w:left w:w="100" w:type="dxa"/>
              <w:bottom w:w="90" w:type="dxa"/>
              <w:right w:w="100" w:type="dxa"/>
            </w:tcMar>
            <w:vAlign w:val="center"/>
          </w:tcPr>
          <w:p w:rsidR="00D9789E" w:rsidRDefault="00853FB2">
            <w:pPr>
              <w:spacing w:after="0"/>
              <w:jc w:val="center"/>
              <w:rPr>
                <w:rFonts w:hint="eastAsia"/>
              </w:rPr>
            </w:pPr>
            <w:r>
              <w:rPr>
                <w:sz w:val="17"/>
              </w:rPr>
              <w:t>56.21 °C</w:t>
            </w:r>
          </w:p>
        </w:tc>
        <w:tc>
          <w:tcPr>
            <w:tcW w:w="1324" w:type="dxa"/>
            <w:tcMar>
              <w:top w:w="90" w:type="dxa"/>
              <w:left w:w="100" w:type="dxa"/>
              <w:bottom w:w="90" w:type="dxa"/>
              <w:right w:w="100" w:type="dxa"/>
            </w:tcMar>
            <w:vAlign w:val="center"/>
          </w:tcPr>
          <w:p w:rsidR="00D9789E" w:rsidRDefault="00853FB2">
            <w:pPr>
              <w:spacing w:after="0"/>
              <w:jc w:val="center"/>
              <w:rPr>
                <w:rFonts w:hint="eastAsia"/>
              </w:rPr>
            </w:pPr>
            <w:r>
              <w:rPr>
                <w:sz w:val="17"/>
              </w:rPr>
              <w:t>0.00 s</w:t>
            </w:r>
          </w:p>
        </w:tc>
        <w:tc>
          <w:tcPr>
            <w:tcW w:w="1267" w:type="dxa"/>
            <w:tcMar>
              <w:top w:w="90" w:type="dxa"/>
              <w:left w:w="100" w:type="dxa"/>
              <w:bottom w:w="90" w:type="dxa"/>
              <w:right w:w="100" w:type="dxa"/>
            </w:tcMar>
            <w:vAlign w:val="center"/>
          </w:tcPr>
          <w:p w:rsidR="00D9789E" w:rsidRDefault="00853FB2">
            <w:pPr>
              <w:spacing w:after="0"/>
              <w:jc w:val="center"/>
              <w:rPr>
                <w:rFonts w:hint="eastAsia"/>
              </w:rPr>
            </w:pPr>
            <w:r>
              <w:rPr>
                <w:sz w:val="17"/>
              </w:rPr>
              <w:t>34.54 s</w:t>
            </w:r>
          </w:p>
        </w:tc>
      </w:tr>
    </w:tbl>
    <w:p w:rsidR="00D9789E" w:rsidRDefault="00853FB2">
      <w:pPr>
        <w:spacing w:before="60" w:after="160"/>
        <w:jc w:val="center"/>
        <w:rPr>
          <w:rFonts w:hint="eastAsia"/>
        </w:rPr>
      </w:pPr>
      <w:r>
        <w:rPr>
          <w:i/>
          <w:color w:val="5B6573"/>
          <w:sz w:val="18"/>
        </w:rPr>
        <w:t>Table 2. Identified FOPDT parameters for all ten heater-to-sensor paths.</w:t>
      </w:r>
    </w:p>
    <w:tbl>
      <w:tblPr>
        <w:tblW w:w="0" w:type="auto"/>
        <w:jc w:val="center"/>
        <w:tblLayout w:type="fixed"/>
        <w:tblLook w:val="04A0" w:firstRow="1" w:lastRow="0" w:firstColumn="1" w:lastColumn="0" w:noHBand="0" w:noVBand="1"/>
      </w:tblPr>
      <w:tblGrid>
        <w:gridCol w:w="9648"/>
      </w:tblGrid>
      <w:tr w:rsidR="00D9789E">
        <w:trPr>
          <w:jc w:val="center"/>
        </w:trPr>
        <w:tc>
          <w:tcPr>
            <w:tcW w:w="9648" w:type="dxa"/>
            <w:shd w:val="clear" w:color="auto" w:fill="EEF5FB"/>
            <w:tcMar>
              <w:top w:w="130" w:type="dxa"/>
              <w:left w:w="170" w:type="dxa"/>
              <w:bottom w:w="130" w:type="dxa"/>
              <w:right w:w="170" w:type="dxa"/>
            </w:tcMar>
          </w:tcPr>
          <w:p w:rsidR="00D9789E" w:rsidRDefault="00853FB2">
            <w:pPr>
              <w:spacing w:after="80"/>
              <w:rPr>
                <w:rFonts w:hint="eastAsia"/>
              </w:rPr>
            </w:pPr>
            <w:r>
              <w:rPr>
                <w:b/>
                <w:color w:val="17365D"/>
              </w:rPr>
              <w:t>Identification quality</w:t>
            </w:r>
          </w:p>
          <w:p w:rsidR="00D9789E" w:rsidRDefault="00853FB2">
            <w:pPr>
              <w:spacing w:after="0"/>
              <w:rPr>
                <w:rFonts w:hint="eastAsia"/>
              </w:rPr>
            </w:pPr>
            <w:r>
              <w:rPr>
                <w:sz w:val="20"/>
              </w:rPr>
              <w:t xml:space="preserve">The isolated-pulse fits produced R² values of approximately 0.9985–0.9992, with RMSE </w:t>
            </w:r>
            <w:r>
              <w:rPr>
                <w:sz w:val="20"/>
              </w:rPr>
              <w:t>values of approximately 0.26–0.70 °C. These results support the FOPDT representation as a control-oriented model of each path.</w:t>
            </w:r>
          </w:p>
        </w:tc>
      </w:tr>
    </w:tbl>
    <w:p w:rsidR="00D9789E" w:rsidRDefault="00853FB2">
      <w:pPr>
        <w:rPr>
          <w:rFonts w:hint="eastAsia"/>
        </w:rPr>
      </w:pPr>
      <w:r>
        <w:br w:type="page"/>
      </w:r>
    </w:p>
    <w:p w:rsidR="00D9789E" w:rsidRDefault="00853FB2">
      <w:pPr>
        <w:pStyle w:val="Heading2"/>
      </w:pPr>
      <w:r>
        <w:lastRenderedPageBreak/>
        <w:t>4.1 Heater 1 identification</w:t>
      </w:r>
    </w:p>
    <w:p w:rsidR="00D9789E" w:rsidRDefault="00853FB2">
      <w:pPr>
        <w:spacing w:before="80" w:after="40"/>
        <w:jc w:val="center"/>
        <w:rPr>
          <w:rFonts w:hint="eastAsia"/>
        </w:rPr>
      </w:pPr>
      <w:r>
        <w:rPr>
          <w:noProof/>
          <w:lang w:bidi="he-IL"/>
        </w:rPr>
        <w:drawing>
          <wp:inline distT="0" distB="0" distL="0" distR="0">
            <wp:extent cx="5989320" cy="701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er1_isolated_identification.png"/>
                    <pic:cNvPicPr/>
                  </pic:nvPicPr>
                  <pic:blipFill>
                    <a:blip r:embed="rId9"/>
                    <a:stretch>
                      <a:fillRect/>
                    </a:stretch>
                  </pic:blipFill>
                  <pic:spPr>
                    <a:xfrm>
                      <a:off x="0" y="0"/>
                      <a:ext cx="5989320" cy="7019950"/>
                    </a:xfrm>
                    <a:prstGeom prst="rect">
                      <a:avLst/>
                    </a:prstGeom>
                  </pic:spPr>
                </pic:pic>
              </a:graphicData>
            </a:graphic>
          </wp:inline>
        </w:drawing>
      </w:r>
    </w:p>
    <w:p w:rsidR="00D9789E" w:rsidRDefault="00853FB2">
      <w:pPr>
        <w:spacing w:before="60" w:after="160"/>
        <w:jc w:val="center"/>
        <w:rPr>
          <w:rFonts w:hint="eastAsia"/>
        </w:rPr>
      </w:pPr>
      <w:r>
        <w:rPr>
          <w:i/>
          <w:color w:val="5B6573"/>
          <w:sz w:val="18"/>
        </w:rPr>
        <w:t>Figure 2. Ambient-corrected samples and FOPDT estimates for the isolated Heater 1 pulse.</w:t>
      </w:r>
    </w:p>
    <w:p w:rsidR="00D9789E" w:rsidRDefault="00853FB2">
      <w:pPr>
        <w:rPr>
          <w:rFonts w:hint="eastAsia"/>
        </w:rPr>
      </w:pPr>
      <w:r>
        <w:br w:type="page"/>
      </w:r>
    </w:p>
    <w:p w:rsidR="00D9789E" w:rsidRDefault="00853FB2">
      <w:pPr>
        <w:pStyle w:val="Heading2"/>
      </w:pPr>
      <w:r>
        <w:lastRenderedPageBreak/>
        <w:t>4.2 H</w:t>
      </w:r>
      <w:r>
        <w:t>eater 2 identification</w:t>
      </w:r>
    </w:p>
    <w:p w:rsidR="00D9789E" w:rsidRDefault="00853FB2">
      <w:pPr>
        <w:spacing w:before="80" w:after="40"/>
        <w:jc w:val="center"/>
        <w:rPr>
          <w:rFonts w:hint="eastAsia"/>
        </w:rPr>
      </w:pPr>
      <w:r>
        <w:rPr>
          <w:noProof/>
          <w:lang w:bidi="he-IL"/>
        </w:rPr>
        <w:drawing>
          <wp:inline distT="0" distB="0" distL="0" distR="0">
            <wp:extent cx="5989320" cy="7019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er2_isolated_identification.png"/>
                    <pic:cNvPicPr/>
                  </pic:nvPicPr>
                  <pic:blipFill>
                    <a:blip r:embed="rId10"/>
                    <a:stretch>
                      <a:fillRect/>
                    </a:stretch>
                  </pic:blipFill>
                  <pic:spPr>
                    <a:xfrm>
                      <a:off x="0" y="0"/>
                      <a:ext cx="5989320" cy="7019950"/>
                    </a:xfrm>
                    <a:prstGeom prst="rect">
                      <a:avLst/>
                    </a:prstGeom>
                  </pic:spPr>
                </pic:pic>
              </a:graphicData>
            </a:graphic>
          </wp:inline>
        </w:drawing>
      </w:r>
    </w:p>
    <w:p w:rsidR="00D9789E" w:rsidRDefault="00853FB2">
      <w:pPr>
        <w:spacing w:before="60" w:after="160"/>
        <w:jc w:val="center"/>
        <w:rPr>
          <w:rFonts w:hint="eastAsia"/>
        </w:rPr>
      </w:pPr>
      <w:r>
        <w:rPr>
          <w:i/>
          <w:color w:val="5B6573"/>
          <w:sz w:val="18"/>
        </w:rPr>
        <w:t>Figure 3. Ambient-corrected samples and FOPDT estimates for the isolated Heater 2 pulse.</w:t>
      </w:r>
    </w:p>
    <w:p w:rsidR="00D9789E" w:rsidRDefault="00853FB2">
      <w:pPr>
        <w:rPr>
          <w:rFonts w:hint="eastAsia"/>
        </w:rPr>
      </w:pPr>
      <w:r>
        <w:br w:type="page"/>
      </w:r>
    </w:p>
    <w:p w:rsidR="00D9789E" w:rsidRDefault="00853FB2">
      <w:pPr>
        <w:pStyle w:val="Heading1"/>
      </w:pPr>
      <w:r>
        <w:lastRenderedPageBreak/>
        <w:t>5. Identified transfer-function matrix</w:t>
      </w:r>
    </w:p>
    <w:p w:rsidR="00D9789E" w:rsidRDefault="00853FB2">
      <w:pPr>
        <w:rPr>
          <w:rFonts w:hint="eastAsia"/>
        </w:rPr>
      </w:pPr>
      <w:r>
        <w:t>The transfer-function matrix is</w:t>
      </w:r>
    </w:p>
    <w:p w:rsidR="00D9789E" w:rsidRDefault="00853FB2">
      <w:pPr>
        <w:spacing w:before="80" w:after="140"/>
        <w:jc w:val="center"/>
        <w:rPr>
          <w:rFonts w:hint="eastAsia"/>
        </w:rPr>
      </w:pPr>
      <m:oMathPara>
        <m:oMathParaPr>
          <m:jc m:val="center"/>
        </m:oMathParaPr>
        <m:oMath>
          <m:r>
            <w:rPr>
              <w:rFonts w:ascii="Cambria Math" w:hAnsi="Cambria Math"/>
            </w:rPr>
            <m:t>G</m:t>
          </m:r>
          <m:r>
            <w:rPr>
              <w:rFonts w:ascii="Cambria Math" w:hAnsi="Cambria Math"/>
            </w:rPr>
            <m:t>(</m:t>
          </m:r>
          <m:r>
            <w:rPr>
              <w:rFonts w:ascii="Cambria Math" w:hAnsi="Cambria Math"/>
            </w:rPr>
            <m:t>s</m:t>
          </m:r>
          <m:r>
            <w:rPr>
              <w:rFonts w:ascii="Cambria Math" w:hAnsi="Cambria Math"/>
            </w:rPr>
            <m:t>) = [</m:t>
          </m:r>
          <m:sSub>
            <m:sSubPr>
              <m:ctrlPr>
                <w:rPr>
                  <w:rFonts w:ascii="Cambria Math" w:hAnsi="Cambria Math"/>
                </w:rPr>
              </m:ctrlPr>
            </m:sSubPr>
            <m:e>
              <m:r>
                <w:rPr>
                  <w:rFonts w:ascii="Cambria Math" w:hAnsi="Cambria Math"/>
                </w:rPr>
                <m:t>G</m:t>
              </m:r>
            </m:e>
            <m:sub>
              <m:r>
                <w:rPr>
                  <w:rFonts w:ascii="Cambria Math" w:hAnsi="Cambria Math"/>
                </w:rPr>
                <m:t>11</m:t>
              </m:r>
            </m:sub>
          </m:sSub>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12</m:t>
              </m:r>
            </m:sub>
          </m:sSub>
          <m:r>
            <w:rPr>
              <w:rFonts w:ascii="Cambria Math" w:hAnsi="Cambria Math"/>
            </w:rPr>
            <m:t xml:space="preserve">;  …  ;  </m:t>
          </m:r>
          <m:sSub>
            <m:sSubPr>
              <m:ctrlPr>
                <w:rPr>
                  <w:rFonts w:ascii="Cambria Math" w:hAnsi="Cambria Math"/>
                </w:rPr>
              </m:ctrlPr>
            </m:sSubPr>
            <m:e>
              <m:r>
                <w:rPr>
                  <w:rFonts w:ascii="Cambria Math" w:hAnsi="Cambria Math"/>
                </w:rPr>
                <m:t>G</m:t>
              </m:r>
            </m:e>
            <m:sub>
              <m:r>
                <w:rPr>
                  <w:rFonts w:ascii="Cambria Math" w:hAnsi="Cambria Math"/>
                </w:rPr>
                <m:t>51</m:t>
              </m:r>
            </m:sub>
          </m:sSub>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52</m:t>
              </m:r>
            </m:sub>
          </m:sSub>
          <m:r>
            <w:rPr>
              <w:rFonts w:ascii="Cambria Math" w:hAnsi="Cambria Math"/>
            </w:rPr>
            <m:t>]</m:t>
          </m:r>
        </m:oMath>
      </m:oMathPara>
    </w:p>
    <w:p w:rsidR="00D9789E" w:rsidRDefault="00853FB2">
      <w:pPr>
        <w:rPr>
          <w:rFonts w:hint="eastAsia"/>
        </w:rPr>
      </w:pPr>
      <w:r>
        <w:t xml:space="preserve">The five output equations </w:t>
      </w:r>
      <w:r>
        <w:t>are:</w:t>
      </w:r>
    </w:p>
    <w:p w:rsidR="00D9789E" w:rsidRDefault="00853FB2">
      <w:pPr>
        <w:spacing w:before="40" w:after="10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54.82</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1.02</m:t>
                  </m:r>
                  <m:r>
                    <w:rPr>
                      <w:rFonts w:ascii="Cambria Math" w:hAnsi="Cambria Math"/>
                    </w:rPr>
                    <m:t>s</m:t>
                  </m:r>
                </m:sup>
              </m:sSup>
            </m:num>
            <m:den>
              <m:r>
                <w:rPr>
                  <w:rFonts w:ascii="Cambria Math" w:hAnsi="Cambria Math"/>
                </w:rPr>
                <m:t>35.69</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21.70</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1.48</m:t>
                  </m:r>
                  <m:r>
                    <w:rPr>
                      <w:rFonts w:ascii="Cambria Math" w:hAnsi="Cambria Math"/>
                    </w:rPr>
                    <m:t>s</m:t>
                  </m:r>
                </m:sup>
              </m:sSup>
            </m:num>
            <m:den>
              <m:r>
                <w:rPr>
                  <w:rFonts w:ascii="Cambria Math" w:hAnsi="Cambria Math"/>
                </w:rPr>
                <m:t>64.76</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spacing w:before="40" w:after="10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40.49</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4.04</m:t>
                  </m:r>
                  <m:r>
                    <w:rPr>
                      <w:rFonts w:ascii="Cambria Math" w:hAnsi="Cambria Math"/>
                    </w:rPr>
                    <m:t>s</m:t>
                  </m:r>
                </m:sup>
              </m:sSup>
            </m:num>
            <m:den>
              <m:r>
                <w:rPr>
                  <w:rFonts w:ascii="Cambria Math" w:hAnsi="Cambria Math"/>
                </w:rPr>
                <m:t>43.49</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22.83</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7.85</m:t>
                  </m:r>
                  <m:r>
                    <w:rPr>
                      <w:rFonts w:ascii="Cambria Math" w:hAnsi="Cambria Math"/>
                    </w:rPr>
                    <m:t>s</m:t>
                  </m:r>
                </m:sup>
              </m:sSup>
            </m:num>
            <m:den>
              <m:r>
                <w:rPr>
                  <w:rFonts w:ascii="Cambria Math" w:hAnsi="Cambria Math"/>
                </w:rPr>
                <m:t>60.62</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spacing w:before="40" w:after="10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3</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27.12</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9.23</m:t>
                  </m:r>
                  <m:r>
                    <w:rPr>
                      <w:rFonts w:ascii="Cambria Math" w:hAnsi="Cambria Math"/>
                    </w:rPr>
                    <m:t>s</m:t>
                  </m:r>
                </m:sup>
              </m:sSup>
            </m:num>
            <m:den>
              <m:r>
                <w:rPr>
                  <w:rFonts w:ascii="Cambria Math" w:hAnsi="Cambria Math"/>
                </w:rPr>
                <m:t>52.84</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28.95</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8.21</m:t>
                  </m:r>
                  <m:r>
                    <w:rPr>
                      <w:rFonts w:ascii="Cambria Math" w:hAnsi="Cambria Math"/>
                    </w:rPr>
                    <m:t>s</m:t>
                  </m:r>
                </m:sup>
              </m:sSup>
            </m:num>
            <m:den>
              <m:r>
                <w:rPr>
                  <w:rFonts w:ascii="Cambria Math" w:hAnsi="Cambria Math"/>
                </w:rPr>
                <m:t>52.85</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spacing w:before="40" w:after="10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4</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21.90</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8.93</m:t>
                  </m:r>
                  <m:r>
                    <w:rPr>
                      <w:rFonts w:ascii="Cambria Math" w:hAnsi="Cambria Math"/>
                    </w:rPr>
                    <m:t>s</m:t>
                  </m:r>
                </m:sup>
              </m:sSup>
            </m:num>
            <m:den>
              <m:r>
                <w:rPr>
                  <w:rFonts w:ascii="Cambria Math" w:hAnsi="Cambria Math"/>
                </w:rPr>
                <m:t>57.59</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41.12</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3.46</m:t>
                  </m:r>
                  <m:r>
                    <w:rPr>
                      <w:rFonts w:ascii="Cambria Math" w:hAnsi="Cambria Math"/>
                    </w:rPr>
                    <m:t>s</m:t>
                  </m:r>
                </m:sup>
              </m:sSup>
            </m:num>
            <m:den>
              <m:r>
                <w:rPr>
                  <w:rFonts w:ascii="Cambria Math" w:hAnsi="Cambria Math"/>
                </w:rPr>
                <m:t>43.65</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spacing w:before="40" w:after="10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5</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20.57</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1.59</m:t>
                  </m:r>
                  <m:r>
                    <w:rPr>
                      <w:rFonts w:ascii="Cambria Math" w:hAnsi="Cambria Math"/>
                    </w:rPr>
                    <m:t>s</m:t>
                  </m:r>
                </m:sup>
              </m:sSup>
            </m:num>
            <m:den>
              <m:r>
                <w:rPr>
                  <w:rFonts w:ascii="Cambria Math" w:hAnsi="Cambria Math"/>
                </w:rPr>
                <m:t>60.08</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f>
            <m:fPr>
              <m:ctrlPr>
                <w:rPr>
                  <w:rFonts w:ascii="Cambria Math" w:hAnsi="Cambria Math"/>
                </w:rPr>
              </m:ctrlPr>
            </m:fPr>
            <m:num>
              <m:r>
                <w:rPr>
                  <w:rFonts w:ascii="Cambria Math" w:hAnsi="Cambria Math"/>
                </w:rPr>
                <m:t>56.21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0.00</m:t>
                  </m:r>
                  <m:r>
                    <w:rPr>
                      <w:rFonts w:ascii="Cambria Math" w:hAnsi="Cambria Math"/>
                    </w:rPr>
                    <m:t>s</m:t>
                  </m:r>
                </m:sup>
              </m:sSup>
            </m:num>
            <m:den>
              <m:r>
                <w:rPr>
                  <w:rFonts w:ascii="Cambria Math" w:hAnsi="Cambria Math"/>
                </w:rPr>
                <m:t>34.54</m:t>
              </m:r>
              <m:r>
                <w:rPr>
                  <w:rFonts w:ascii="Cambria Math" w:hAnsi="Cambria Math"/>
                </w:rPr>
                <m:t>s</m:t>
              </m:r>
              <m:r>
                <w:rPr>
                  <w:rFonts w:ascii="Cambria Math" w:hAnsi="Cambria Math"/>
                </w:rPr>
                <m:t xml:space="preserve"> + 1</m:t>
              </m:r>
            </m:den>
          </m:f>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rPr>
          <w:rFonts w:hint="eastAsia"/>
        </w:rPr>
      </w:pPr>
      <w:r>
        <w:t>The static gain matrix is:</w:t>
      </w:r>
    </w:p>
    <w:p w:rsidR="00D9789E" w:rsidRDefault="00853FB2">
      <w:pPr>
        <w:spacing w:before="80" w:after="140"/>
        <w:jc w:val="center"/>
        <w:rPr>
          <w:rFonts w:hint="eastAsia"/>
        </w:rPr>
      </w:pPr>
      <m:oMathPara>
        <m:oMathParaPr>
          <m:jc m:val="center"/>
        </m:oMathParaPr>
        <m:oMath>
          <m:r>
            <w:rPr>
              <w:rFonts w:ascii="Cambria Math" w:hAnsi="Cambria Math"/>
            </w:rPr>
            <m:t>K</m:t>
          </m:r>
          <m:r>
            <w:rPr>
              <w:rFonts w:ascii="Cambria Math" w:hAnsi="Cambria Math"/>
            </w:rPr>
            <m:t xml:space="preserve"> = [54.82  21.70;  40.49  22.83;  27.12  28.95;  21.90  41.12;  20.57  56.21] °</m:t>
          </m:r>
          <m:r>
            <w:rPr>
              <w:rFonts w:ascii="Cambria Math" w:hAnsi="Cambria Math"/>
            </w:rPr>
            <m:t>C</m:t>
          </m:r>
        </m:oMath>
      </m:oMathPara>
    </w:p>
    <w:p w:rsidR="00D9789E" w:rsidRDefault="00853FB2">
      <w:pPr>
        <w:pStyle w:val="Heading1"/>
      </w:pPr>
      <w:r>
        <w:t>6. Sym</w:t>
      </w:r>
      <w:r>
        <w:t>metry assessment</w:t>
      </w:r>
    </w:p>
    <w:tbl>
      <w:tblPr>
        <w:tblStyle w:val="TableGrid"/>
        <w:tblW w:w="0" w:type="auto"/>
        <w:jc w:val="center"/>
        <w:tblLayout w:type="fixed"/>
        <w:tblLook w:val="04A0" w:firstRow="1" w:lastRow="0" w:firstColumn="1" w:lastColumn="0" w:noHBand="0" w:noVBand="1"/>
      </w:tblPr>
      <w:tblGrid>
        <w:gridCol w:w="4248"/>
        <w:gridCol w:w="1728"/>
        <w:gridCol w:w="1728"/>
        <w:gridCol w:w="1440"/>
      </w:tblGrid>
      <w:tr w:rsidR="00D9789E">
        <w:trPr>
          <w:tblHeader/>
          <w:jc w:val="center"/>
        </w:trPr>
        <w:tc>
          <w:tcPr>
            <w:tcW w:w="4248" w:type="dxa"/>
            <w:shd w:val="clear" w:color="auto" w:fill="17365D"/>
            <w:tcMar>
              <w:top w:w="90" w:type="dxa"/>
              <w:left w:w="100" w:type="dxa"/>
              <w:bottom w:w="90" w:type="dxa"/>
              <w:right w:w="100" w:type="dxa"/>
            </w:tcMar>
            <w:vAlign w:val="center"/>
          </w:tcPr>
          <w:p w:rsidR="00D9789E" w:rsidRDefault="00853FB2">
            <w:pPr>
              <w:spacing w:after="0"/>
              <w:rPr>
                <w:rFonts w:hint="eastAsia"/>
              </w:rPr>
            </w:pPr>
            <w:r>
              <w:rPr>
                <w:b/>
                <w:color w:val="FFFFFF"/>
                <w:sz w:val="18"/>
              </w:rPr>
              <w:t>Path comparison</w:t>
            </w:r>
          </w:p>
        </w:tc>
        <w:tc>
          <w:tcPr>
            <w:tcW w:w="1728"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Mirrored H1 gain</w:t>
            </w:r>
          </w:p>
        </w:tc>
        <w:tc>
          <w:tcPr>
            <w:tcW w:w="1728"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H2 gain</w:t>
            </w:r>
          </w:p>
        </w:tc>
        <w:tc>
          <w:tcPr>
            <w:tcW w:w="1440"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Difference</w:t>
            </w:r>
          </w:p>
        </w:tc>
      </w:tr>
      <w:tr w:rsidR="00D9789E">
        <w:trPr>
          <w:jc w:val="center"/>
        </w:trPr>
        <w:tc>
          <w:tcPr>
            <w:tcW w:w="4248" w:type="dxa"/>
            <w:tcMar>
              <w:top w:w="90" w:type="dxa"/>
              <w:left w:w="100" w:type="dxa"/>
              <w:bottom w:w="90" w:type="dxa"/>
              <w:right w:w="100" w:type="dxa"/>
            </w:tcMar>
            <w:vAlign w:val="center"/>
          </w:tcPr>
          <w:p w:rsidR="00D9789E" w:rsidRDefault="00853FB2">
            <w:pPr>
              <w:spacing w:after="0"/>
              <w:rPr>
                <w:rFonts w:hint="eastAsia"/>
              </w:rPr>
            </w:pPr>
            <w:r>
              <w:rPr>
                <w:sz w:val="17"/>
              </w:rPr>
              <w:t>S1 from H2 vs S5 from H1</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20.57 °C</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21.70 °C</w:t>
            </w:r>
          </w:p>
        </w:tc>
        <w:tc>
          <w:tcPr>
            <w:tcW w:w="1440" w:type="dxa"/>
            <w:tcMar>
              <w:top w:w="90" w:type="dxa"/>
              <w:left w:w="100" w:type="dxa"/>
              <w:bottom w:w="90" w:type="dxa"/>
              <w:right w:w="100" w:type="dxa"/>
            </w:tcMar>
            <w:vAlign w:val="center"/>
          </w:tcPr>
          <w:p w:rsidR="00D9789E" w:rsidRDefault="00853FB2">
            <w:pPr>
              <w:spacing w:after="0"/>
              <w:jc w:val="center"/>
              <w:rPr>
                <w:rFonts w:hint="eastAsia"/>
              </w:rPr>
            </w:pPr>
            <w:r>
              <w:rPr>
                <w:sz w:val="17"/>
              </w:rPr>
              <w:t>+5.5%</w:t>
            </w:r>
          </w:p>
        </w:tc>
      </w:tr>
      <w:tr w:rsidR="00D9789E">
        <w:trPr>
          <w:jc w:val="center"/>
        </w:trPr>
        <w:tc>
          <w:tcPr>
            <w:tcW w:w="4248" w:type="dxa"/>
            <w:tcMar>
              <w:top w:w="90" w:type="dxa"/>
              <w:left w:w="100" w:type="dxa"/>
              <w:bottom w:w="90" w:type="dxa"/>
              <w:right w:w="100" w:type="dxa"/>
            </w:tcMar>
            <w:vAlign w:val="center"/>
          </w:tcPr>
          <w:p w:rsidR="00D9789E" w:rsidRDefault="00853FB2">
            <w:pPr>
              <w:spacing w:after="0"/>
              <w:rPr>
                <w:rFonts w:hint="eastAsia"/>
              </w:rPr>
            </w:pPr>
            <w:r>
              <w:rPr>
                <w:sz w:val="17"/>
              </w:rPr>
              <w:t>S2 from H2 vs S4 from H1</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21.90 °C</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22.83 °C</w:t>
            </w:r>
          </w:p>
        </w:tc>
        <w:tc>
          <w:tcPr>
            <w:tcW w:w="1440" w:type="dxa"/>
            <w:tcMar>
              <w:top w:w="90" w:type="dxa"/>
              <w:left w:w="100" w:type="dxa"/>
              <w:bottom w:w="90" w:type="dxa"/>
              <w:right w:w="100" w:type="dxa"/>
            </w:tcMar>
            <w:vAlign w:val="center"/>
          </w:tcPr>
          <w:p w:rsidR="00D9789E" w:rsidRDefault="00853FB2">
            <w:pPr>
              <w:spacing w:after="0"/>
              <w:jc w:val="center"/>
              <w:rPr>
                <w:rFonts w:hint="eastAsia"/>
              </w:rPr>
            </w:pPr>
            <w:r>
              <w:rPr>
                <w:sz w:val="17"/>
              </w:rPr>
              <w:t>+4.2%</w:t>
            </w:r>
          </w:p>
        </w:tc>
      </w:tr>
      <w:tr w:rsidR="00D9789E">
        <w:trPr>
          <w:jc w:val="center"/>
        </w:trPr>
        <w:tc>
          <w:tcPr>
            <w:tcW w:w="4248" w:type="dxa"/>
            <w:tcMar>
              <w:top w:w="90" w:type="dxa"/>
              <w:left w:w="100" w:type="dxa"/>
              <w:bottom w:w="90" w:type="dxa"/>
              <w:right w:w="100" w:type="dxa"/>
            </w:tcMar>
            <w:vAlign w:val="center"/>
          </w:tcPr>
          <w:p w:rsidR="00D9789E" w:rsidRDefault="00853FB2">
            <w:pPr>
              <w:spacing w:after="0"/>
              <w:rPr>
                <w:rFonts w:hint="eastAsia"/>
              </w:rPr>
            </w:pPr>
            <w:r>
              <w:rPr>
                <w:sz w:val="17"/>
              </w:rPr>
              <w:t>S3 from H2 vs S3 from H1</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27.12 °C</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28.95 °C</w:t>
            </w:r>
          </w:p>
        </w:tc>
        <w:tc>
          <w:tcPr>
            <w:tcW w:w="1440" w:type="dxa"/>
            <w:tcMar>
              <w:top w:w="90" w:type="dxa"/>
              <w:left w:w="100" w:type="dxa"/>
              <w:bottom w:w="90" w:type="dxa"/>
              <w:right w:w="100" w:type="dxa"/>
            </w:tcMar>
            <w:vAlign w:val="center"/>
          </w:tcPr>
          <w:p w:rsidR="00D9789E" w:rsidRDefault="00853FB2">
            <w:pPr>
              <w:spacing w:after="0"/>
              <w:jc w:val="center"/>
              <w:rPr>
                <w:rFonts w:hint="eastAsia"/>
              </w:rPr>
            </w:pPr>
            <w:r>
              <w:rPr>
                <w:sz w:val="17"/>
              </w:rPr>
              <w:t>+6.7%</w:t>
            </w:r>
          </w:p>
        </w:tc>
      </w:tr>
      <w:tr w:rsidR="00D9789E">
        <w:trPr>
          <w:jc w:val="center"/>
        </w:trPr>
        <w:tc>
          <w:tcPr>
            <w:tcW w:w="4248" w:type="dxa"/>
            <w:tcMar>
              <w:top w:w="90" w:type="dxa"/>
              <w:left w:w="100" w:type="dxa"/>
              <w:bottom w:w="90" w:type="dxa"/>
              <w:right w:w="100" w:type="dxa"/>
            </w:tcMar>
            <w:vAlign w:val="center"/>
          </w:tcPr>
          <w:p w:rsidR="00D9789E" w:rsidRDefault="00853FB2">
            <w:pPr>
              <w:spacing w:after="0"/>
              <w:rPr>
                <w:rFonts w:hint="eastAsia"/>
              </w:rPr>
            </w:pPr>
            <w:r>
              <w:rPr>
                <w:sz w:val="17"/>
              </w:rPr>
              <w:t>S4 from H2 vs S2 from H1</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40.49 °C</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41.12 °C</w:t>
            </w:r>
          </w:p>
        </w:tc>
        <w:tc>
          <w:tcPr>
            <w:tcW w:w="1440" w:type="dxa"/>
            <w:tcMar>
              <w:top w:w="90" w:type="dxa"/>
              <w:left w:w="100" w:type="dxa"/>
              <w:bottom w:w="90" w:type="dxa"/>
              <w:right w:w="100" w:type="dxa"/>
            </w:tcMar>
            <w:vAlign w:val="center"/>
          </w:tcPr>
          <w:p w:rsidR="00D9789E" w:rsidRDefault="00853FB2">
            <w:pPr>
              <w:spacing w:after="0"/>
              <w:jc w:val="center"/>
              <w:rPr>
                <w:rFonts w:hint="eastAsia"/>
              </w:rPr>
            </w:pPr>
            <w:r>
              <w:rPr>
                <w:sz w:val="17"/>
              </w:rPr>
              <w:t>+1.6%</w:t>
            </w:r>
          </w:p>
        </w:tc>
      </w:tr>
      <w:tr w:rsidR="00D9789E">
        <w:trPr>
          <w:jc w:val="center"/>
        </w:trPr>
        <w:tc>
          <w:tcPr>
            <w:tcW w:w="4248" w:type="dxa"/>
            <w:tcMar>
              <w:top w:w="90" w:type="dxa"/>
              <w:left w:w="100" w:type="dxa"/>
              <w:bottom w:w="90" w:type="dxa"/>
              <w:right w:w="100" w:type="dxa"/>
            </w:tcMar>
            <w:vAlign w:val="center"/>
          </w:tcPr>
          <w:p w:rsidR="00D9789E" w:rsidRDefault="00853FB2">
            <w:pPr>
              <w:spacing w:after="0"/>
              <w:rPr>
                <w:rFonts w:hint="eastAsia"/>
              </w:rPr>
            </w:pPr>
            <w:r>
              <w:rPr>
                <w:sz w:val="17"/>
              </w:rPr>
              <w:t>S5 from H2 vs S1 from H1</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54.82 °C</w:t>
            </w:r>
          </w:p>
        </w:tc>
        <w:tc>
          <w:tcPr>
            <w:tcW w:w="1728" w:type="dxa"/>
            <w:tcMar>
              <w:top w:w="90" w:type="dxa"/>
              <w:left w:w="100" w:type="dxa"/>
              <w:bottom w:w="90" w:type="dxa"/>
              <w:right w:w="100" w:type="dxa"/>
            </w:tcMar>
            <w:vAlign w:val="center"/>
          </w:tcPr>
          <w:p w:rsidR="00D9789E" w:rsidRDefault="00853FB2">
            <w:pPr>
              <w:spacing w:after="0"/>
              <w:jc w:val="center"/>
              <w:rPr>
                <w:rFonts w:hint="eastAsia"/>
              </w:rPr>
            </w:pPr>
            <w:r>
              <w:rPr>
                <w:sz w:val="17"/>
              </w:rPr>
              <w:t>56.21 °C</w:t>
            </w:r>
          </w:p>
        </w:tc>
        <w:tc>
          <w:tcPr>
            <w:tcW w:w="1440" w:type="dxa"/>
            <w:tcMar>
              <w:top w:w="90" w:type="dxa"/>
              <w:left w:w="100" w:type="dxa"/>
              <w:bottom w:w="90" w:type="dxa"/>
              <w:right w:w="100" w:type="dxa"/>
            </w:tcMar>
            <w:vAlign w:val="center"/>
          </w:tcPr>
          <w:p w:rsidR="00D9789E" w:rsidRDefault="00853FB2">
            <w:pPr>
              <w:spacing w:after="0"/>
              <w:jc w:val="center"/>
              <w:rPr>
                <w:rFonts w:hint="eastAsia"/>
              </w:rPr>
            </w:pPr>
            <w:r>
              <w:rPr>
                <w:sz w:val="17"/>
              </w:rPr>
              <w:t>+2.5%</w:t>
            </w:r>
          </w:p>
        </w:tc>
      </w:tr>
    </w:tbl>
    <w:p w:rsidR="00D9789E" w:rsidRDefault="00853FB2">
      <w:pPr>
        <w:spacing w:before="60" w:after="160"/>
        <w:jc w:val="center"/>
        <w:rPr>
          <w:rFonts w:hint="eastAsia"/>
        </w:rPr>
      </w:pPr>
      <w:r>
        <w:rPr>
          <w:i/>
          <w:color w:val="5B6573"/>
          <w:sz w:val="18"/>
        </w:rPr>
        <w:t>Table 3. Heater 2 gain compared with the mirrored Heater 1 gain.</w:t>
      </w:r>
    </w:p>
    <w:p w:rsidR="00D9789E" w:rsidRDefault="00853FB2">
      <w:pPr>
        <w:spacing w:before="80" w:after="40"/>
        <w:jc w:val="center"/>
        <w:rPr>
          <w:rFonts w:hint="eastAsia"/>
        </w:rPr>
      </w:pPr>
      <w:r>
        <w:rPr>
          <w:noProof/>
          <w:lang w:bidi="he-IL"/>
        </w:rPr>
        <w:drawing>
          <wp:inline distT="0" distB="0" distL="0" distR="0">
            <wp:extent cx="5897880" cy="2916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n_symmetry_comparison.png"/>
                    <pic:cNvPicPr/>
                  </pic:nvPicPr>
                  <pic:blipFill>
                    <a:blip r:embed="rId11"/>
                    <a:stretch>
                      <a:fillRect/>
                    </a:stretch>
                  </pic:blipFill>
                  <pic:spPr>
                    <a:xfrm>
                      <a:off x="0" y="0"/>
                      <a:ext cx="5897880" cy="2916398"/>
                    </a:xfrm>
                    <a:prstGeom prst="rect">
                      <a:avLst/>
                    </a:prstGeom>
                  </pic:spPr>
                </pic:pic>
              </a:graphicData>
            </a:graphic>
          </wp:inline>
        </w:drawing>
      </w:r>
    </w:p>
    <w:p w:rsidR="00D9789E" w:rsidRDefault="00853FB2">
      <w:pPr>
        <w:spacing w:before="60" w:after="160"/>
        <w:jc w:val="center"/>
        <w:rPr>
          <w:rFonts w:hint="eastAsia"/>
        </w:rPr>
      </w:pPr>
      <w:r>
        <w:rPr>
          <w:i/>
          <w:color w:val="5B6573"/>
          <w:sz w:val="18"/>
        </w:rPr>
        <w:lastRenderedPageBreak/>
        <w:t>Figure 4. Identified gains demonstrate close, but not perfect, mirror symmetry.</w:t>
      </w:r>
    </w:p>
    <w:p w:rsidR="00D9789E" w:rsidRDefault="00853FB2">
      <w:pPr>
        <w:rPr>
          <w:rFonts w:hint="eastAsia"/>
        </w:rPr>
      </w:pPr>
      <w:r>
        <w:br w:type="page"/>
      </w:r>
    </w:p>
    <w:p w:rsidR="00D9789E" w:rsidRDefault="00853FB2">
      <w:pPr>
        <w:pStyle w:val="Heading1"/>
      </w:pPr>
      <w:r>
        <w:lastRenderedPageBreak/>
        <w:t>7. Dual-heater superposition test</w:t>
      </w:r>
    </w:p>
    <w:p w:rsidR="00D9789E" w:rsidRDefault="00853FB2">
      <w:pPr>
        <w:rPr>
          <w:rFonts w:hint="eastAsia"/>
        </w:rPr>
      </w:pPr>
      <w:r>
        <w:t xml:space="preserve">The </w:t>
      </w:r>
      <w:r>
        <w:t>strictly linear prediction is the sum of the two independently identified path responses:</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r>
                <w:rPr>
                  <w:rFonts w:ascii="Cambria Math" w:hAnsi="Cambria Math"/>
                </w:rPr>
                <m:t>,</m:t>
              </m:r>
              <m:r>
                <w:rPr>
                  <w:rFonts w:ascii="Cambria Math" w:hAnsi="Cambria Math"/>
                </w:rPr>
                <m:t>linear</m:t>
              </m:r>
            </m:sub>
          </m:sSub>
          <m:r>
            <w:rPr>
              <w:rFonts w:ascii="Cambria Math" w:hAnsi="Cambria Math"/>
            </w:rPr>
            <m:t>(</m:t>
          </m:r>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1</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rPr>
          <w:rFonts w:hint="eastAsia"/>
        </w:rPr>
      </w:pPr>
      <w:r>
        <w:t>This direct sum overpredicts the measured dual-heater response. The following output-specific factors mini</w:t>
      </w:r>
      <w:r>
        <w:t>mize the dual-operation mismatch:</w:t>
      </w:r>
    </w:p>
    <w:tbl>
      <w:tblPr>
        <w:tblStyle w:val="TableGrid"/>
        <w:tblW w:w="0" w:type="auto"/>
        <w:jc w:val="center"/>
        <w:tblLayout w:type="fixed"/>
        <w:tblLook w:val="04A0" w:firstRow="1" w:lastRow="0" w:firstColumn="1" w:lastColumn="0" w:noHBand="0" w:noVBand="1"/>
      </w:tblPr>
      <w:tblGrid>
        <w:gridCol w:w="1296"/>
        <w:gridCol w:w="2592"/>
        <w:gridCol w:w="5544"/>
      </w:tblGrid>
      <w:tr w:rsidR="00D9789E">
        <w:trPr>
          <w:tblHeader/>
          <w:jc w:val="center"/>
        </w:trPr>
        <w:tc>
          <w:tcPr>
            <w:tcW w:w="1296" w:type="dxa"/>
            <w:shd w:val="clear" w:color="auto" w:fill="17365D"/>
            <w:tcMar>
              <w:top w:w="90" w:type="dxa"/>
              <w:left w:w="100" w:type="dxa"/>
              <w:bottom w:w="90" w:type="dxa"/>
              <w:right w:w="100" w:type="dxa"/>
            </w:tcMar>
            <w:vAlign w:val="center"/>
          </w:tcPr>
          <w:p w:rsidR="00D9789E" w:rsidRDefault="00853FB2">
            <w:pPr>
              <w:spacing w:after="0"/>
              <w:rPr>
                <w:rFonts w:hint="eastAsia"/>
              </w:rPr>
            </w:pPr>
            <w:r>
              <w:rPr>
                <w:b/>
                <w:color w:val="FFFFFF"/>
                <w:sz w:val="18"/>
              </w:rPr>
              <w:t>Sensor</w:t>
            </w:r>
          </w:p>
        </w:tc>
        <w:tc>
          <w:tcPr>
            <w:tcW w:w="2592"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Dual-operation factor α</w:t>
            </w:r>
            <w:r>
              <w:rPr>
                <w:b/>
                <w:color w:val="FFFFFF"/>
                <w:sz w:val="18"/>
              </w:rPr>
              <w:t>ᵢ</w:t>
            </w:r>
          </w:p>
        </w:tc>
        <w:tc>
          <w:tcPr>
            <w:tcW w:w="5544"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Interpretation</w:t>
            </w:r>
          </w:p>
        </w:tc>
      </w:tr>
      <w:tr w:rsidR="00D9789E">
        <w:trPr>
          <w:jc w:val="center"/>
        </w:trPr>
        <w:tc>
          <w:tcPr>
            <w:tcW w:w="1296" w:type="dxa"/>
            <w:tcMar>
              <w:top w:w="90" w:type="dxa"/>
              <w:left w:w="100" w:type="dxa"/>
              <w:bottom w:w="90" w:type="dxa"/>
              <w:right w:w="100" w:type="dxa"/>
            </w:tcMar>
            <w:vAlign w:val="center"/>
          </w:tcPr>
          <w:p w:rsidR="00D9789E" w:rsidRDefault="00853FB2">
            <w:pPr>
              <w:spacing w:after="0"/>
              <w:rPr>
                <w:rFonts w:hint="eastAsia"/>
              </w:rPr>
            </w:pPr>
            <w:r>
              <w:rPr>
                <w:sz w:val="18"/>
              </w:rPr>
              <w:t>S1</w:t>
            </w:r>
          </w:p>
        </w:tc>
        <w:tc>
          <w:tcPr>
            <w:tcW w:w="2592" w:type="dxa"/>
            <w:tcMar>
              <w:top w:w="90" w:type="dxa"/>
              <w:left w:w="100" w:type="dxa"/>
              <w:bottom w:w="90" w:type="dxa"/>
              <w:right w:w="100" w:type="dxa"/>
            </w:tcMar>
            <w:vAlign w:val="center"/>
          </w:tcPr>
          <w:p w:rsidR="00D9789E" w:rsidRDefault="00853FB2">
            <w:pPr>
              <w:spacing w:after="0"/>
              <w:jc w:val="center"/>
              <w:rPr>
                <w:rFonts w:hint="eastAsia"/>
              </w:rPr>
            </w:pPr>
            <w:r>
              <w:rPr>
                <w:sz w:val="18"/>
              </w:rPr>
              <w:t>0.769</w:t>
            </w:r>
          </w:p>
        </w:tc>
        <w:tc>
          <w:tcPr>
            <w:tcW w:w="5544" w:type="dxa"/>
            <w:tcMar>
              <w:top w:w="90" w:type="dxa"/>
              <w:left w:w="100" w:type="dxa"/>
              <w:bottom w:w="90" w:type="dxa"/>
              <w:right w:w="100" w:type="dxa"/>
            </w:tcMar>
            <w:vAlign w:val="center"/>
          </w:tcPr>
          <w:p w:rsidR="00D9789E" w:rsidRDefault="00853FB2">
            <w:pPr>
              <w:spacing w:after="0"/>
              <w:jc w:val="center"/>
              <w:rPr>
                <w:rFonts w:hint="eastAsia"/>
              </w:rPr>
            </w:pPr>
            <w:r>
              <w:rPr>
                <w:sz w:val="18"/>
              </w:rPr>
              <w:t>23.1% below direct superposition</w:t>
            </w:r>
          </w:p>
        </w:tc>
      </w:tr>
      <w:tr w:rsidR="00D9789E">
        <w:trPr>
          <w:jc w:val="center"/>
        </w:trPr>
        <w:tc>
          <w:tcPr>
            <w:tcW w:w="1296" w:type="dxa"/>
            <w:tcMar>
              <w:top w:w="90" w:type="dxa"/>
              <w:left w:w="100" w:type="dxa"/>
              <w:bottom w:w="90" w:type="dxa"/>
              <w:right w:w="100" w:type="dxa"/>
            </w:tcMar>
            <w:vAlign w:val="center"/>
          </w:tcPr>
          <w:p w:rsidR="00D9789E" w:rsidRDefault="00853FB2">
            <w:pPr>
              <w:spacing w:after="0"/>
              <w:rPr>
                <w:rFonts w:hint="eastAsia"/>
              </w:rPr>
            </w:pPr>
            <w:r>
              <w:rPr>
                <w:sz w:val="18"/>
              </w:rPr>
              <w:t>S2</w:t>
            </w:r>
          </w:p>
        </w:tc>
        <w:tc>
          <w:tcPr>
            <w:tcW w:w="2592" w:type="dxa"/>
            <w:tcMar>
              <w:top w:w="90" w:type="dxa"/>
              <w:left w:w="100" w:type="dxa"/>
              <w:bottom w:w="90" w:type="dxa"/>
              <w:right w:w="100" w:type="dxa"/>
            </w:tcMar>
            <w:vAlign w:val="center"/>
          </w:tcPr>
          <w:p w:rsidR="00D9789E" w:rsidRDefault="00853FB2">
            <w:pPr>
              <w:spacing w:after="0"/>
              <w:jc w:val="center"/>
              <w:rPr>
                <w:rFonts w:hint="eastAsia"/>
              </w:rPr>
            </w:pPr>
            <w:r>
              <w:rPr>
                <w:sz w:val="18"/>
              </w:rPr>
              <w:t>0.729</w:t>
            </w:r>
          </w:p>
        </w:tc>
        <w:tc>
          <w:tcPr>
            <w:tcW w:w="5544" w:type="dxa"/>
            <w:tcMar>
              <w:top w:w="90" w:type="dxa"/>
              <w:left w:w="100" w:type="dxa"/>
              <w:bottom w:w="90" w:type="dxa"/>
              <w:right w:w="100" w:type="dxa"/>
            </w:tcMar>
            <w:vAlign w:val="center"/>
          </w:tcPr>
          <w:p w:rsidR="00D9789E" w:rsidRDefault="00853FB2">
            <w:pPr>
              <w:spacing w:after="0"/>
              <w:jc w:val="center"/>
              <w:rPr>
                <w:rFonts w:hint="eastAsia"/>
              </w:rPr>
            </w:pPr>
            <w:r>
              <w:rPr>
                <w:sz w:val="18"/>
              </w:rPr>
              <w:t>27.1% below direct superposition</w:t>
            </w:r>
          </w:p>
        </w:tc>
      </w:tr>
      <w:tr w:rsidR="00D9789E">
        <w:trPr>
          <w:jc w:val="center"/>
        </w:trPr>
        <w:tc>
          <w:tcPr>
            <w:tcW w:w="1296" w:type="dxa"/>
            <w:tcMar>
              <w:top w:w="90" w:type="dxa"/>
              <w:left w:w="100" w:type="dxa"/>
              <w:bottom w:w="90" w:type="dxa"/>
              <w:right w:w="100" w:type="dxa"/>
            </w:tcMar>
            <w:vAlign w:val="center"/>
          </w:tcPr>
          <w:p w:rsidR="00D9789E" w:rsidRDefault="00853FB2">
            <w:pPr>
              <w:spacing w:after="0"/>
              <w:rPr>
                <w:rFonts w:hint="eastAsia"/>
              </w:rPr>
            </w:pPr>
            <w:r>
              <w:rPr>
                <w:sz w:val="18"/>
              </w:rPr>
              <w:t>S3</w:t>
            </w:r>
          </w:p>
        </w:tc>
        <w:tc>
          <w:tcPr>
            <w:tcW w:w="2592" w:type="dxa"/>
            <w:tcMar>
              <w:top w:w="90" w:type="dxa"/>
              <w:left w:w="100" w:type="dxa"/>
              <w:bottom w:w="90" w:type="dxa"/>
              <w:right w:w="100" w:type="dxa"/>
            </w:tcMar>
            <w:vAlign w:val="center"/>
          </w:tcPr>
          <w:p w:rsidR="00D9789E" w:rsidRDefault="00853FB2">
            <w:pPr>
              <w:spacing w:after="0"/>
              <w:jc w:val="center"/>
              <w:rPr>
                <w:rFonts w:hint="eastAsia"/>
              </w:rPr>
            </w:pPr>
            <w:r>
              <w:rPr>
                <w:sz w:val="18"/>
              </w:rPr>
              <w:t>0.694</w:t>
            </w:r>
          </w:p>
        </w:tc>
        <w:tc>
          <w:tcPr>
            <w:tcW w:w="5544" w:type="dxa"/>
            <w:tcMar>
              <w:top w:w="90" w:type="dxa"/>
              <w:left w:w="100" w:type="dxa"/>
              <w:bottom w:w="90" w:type="dxa"/>
              <w:right w:w="100" w:type="dxa"/>
            </w:tcMar>
            <w:vAlign w:val="center"/>
          </w:tcPr>
          <w:p w:rsidR="00D9789E" w:rsidRDefault="00853FB2">
            <w:pPr>
              <w:spacing w:after="0"/>
              <w:jc w:val="center"/>
              <w:rPr>
                <w:rFonts w:hint="eastAsia"/>
              </w:rPr>
            </w:pPr>
            <w:r>
              <w:rPr>
                <w:sz w:val="18"/>
              </w:rPr>
              <w:t>30.6% below direct superposition</w:t>
            </w:r>
          </w:p>
        </w:tc>
      </w:tr>
      <w:tr w:rsidR="00D9789E">
        <w:trPr>
          <w:jc w:val="center"/>
        </w:trPr>
        <w:tc>
          <w:tcPr>
            <w:tcW w:w="1296" w:type="dxa"/>
            <w:tcMar>
              <w:top w:w="90" w:type="dxa"/>
              <w:left w:w="100" w:type="dxa"/>
              <w:bottom w:w="90" w:type="dxa"/>
              <w:right w:w="100" w:type="dxa"/>
            </w:tcMar>
            <w:vAlign w:val="center"/>
          </w:tcPr>
          <w:p w:rsidR="00D9789E" w:rsidRDefault="00853FB2">
            <w:pPr>
              <w:spacing w:after="0"/>
              <w:rPr>
                <w:rFonts w:hint="eastAsia"/>
              </w:rPr>
            </w:pPr>
            <w:r>
              <w:rPr>
                <w:sz w:val="18"/>
              </w:rPr>
              <w:t>S4</w:t>
            </w:r>
          </w:p>
        </w:tc>
        <w:tc>
          <w:tcPr>
            <w:tcW w:w="2592" w:type="dxa"/>
            <w:tcMar>
              <w:top w:w="90" w:type="dxa"/>
              <w:left w:w="100" w:type="dxa"/>
              <w:bottom w:w="90" w:type="dxa"/>
              <w:right w:w="100" w:type="dxa"/>
            </w:tcMar>
            <w:vAlign w:val="center"/>
          </w:tcPr>
          <w:p w:rsidR="00D9789E" w:rsidRDefault="00853FB2">
            <w:pPr>
              <w:spacing w:after="0"/>
              <w:jc w:val="center"/>
              <w:rPr>
                <w:rFonts w:hint="eastAsia"/>
              </w:rPr>
            </w:pPr>
            <w:r>
              <w:rPr>
                <w:sz w:val="18"/>
              </w:rPr>
              <w:t>0.692</w:t>
            </w:r>
          </w:p>
        </w:tc>
        <w:tc>
          <w:tcPr>
            <w:tcW w:w="5544" w:type="dxa"/>
            <w:tcMar>
              <w:top w:w="90" w:type="dxa"/>
              <w:left w:w="100" w:type="dxa"/>
              <w:bottom w:w="90" w:type="dxa"/>
              <w:right w:w="100" w:type="dxa"/>
            </w:tcMar>
            <w:vAlign w:val="center"/>
          </w:tcPr>
          <w:p w:rsidR="00D9789E" w:rsidRDefault="00853FB2">
            <w:pPr>
              <w:spacing w:after="0"/>
              <w:jc w:val="center"/>
              <w:rPr>
                <w:rFonts w:hint="eastAsia"/>
              </w:rPr>
            </w:pPr>
            <w:r>
              <w:rPr>
                <w:sz w:val="18"/>
              </w:rPr>
              <w:t>30.8% below direct superposition</w:t>
            </w:r>
          </w:p>
        </w:tc>
      </w:tr>
      <w:tr w:rsidR="00D9789E">
        <w:trPr>
          <w:jc w:val="center"/>
        </w:trPr>
        <w:tc>
          <w:tcPr>
            <w:tcW w:w="1296" w:type="dxa"/>
            <w:tcMar>
              <w:top w:w="90" w:type="dxa"/>
              <w:left w:w="100" w:type="dxa"/>
              <w:bottom w:w="90" w:type="dxa"/>
              <w:right w:w="100" w:type="dxa"/>
            </w:tcMar>
            <w:vAlign w:val="center"/>
          </w:tcPr>
          <w:p w:rsidR="00D9789E" w:rsidRDefault="00853FB2">
            <w:pPr>
              <w:spacing w:after="0"/>
              <w:rPr>
                <w:rFonts w:hint="eastAsia"/>
              </w:rPr>
            </w:pPr>
            <w:r>
              <w:rPr>
                <w:sz w:val="18"/>
              </w:rPr>
              <w:t>S5</w:t>
            </w:r>
          </w:p>
        </w:tc>
        <w:tc>
          <w:tcPr>
            <w:tcW w:w="2592" w:type="dxa"/>
            <w:tcMar>
              <w:top w:w="90" w:type="dxa"/>
              <w:left w:w="100" w:type="dxa"/>
              <w:bottom w:w="90" w:type="dxa"/>
              <w:right w:w="100" w:type="dxa"/>
            </w:tcMar>
            <w:vAlign w:val="center"/>
          </w:tcPr>
          <w:p w:rsidR="00D9789E" w:rsidRDefault="00853FB2">
            <w:pPr>
              <w:spacing w:after="0"/>
              <w:jc w:val="center"/>
              <w:rPr>
                <w:rFonts w:hint="eastAsia"/>
              </w:rPr>
            </w:pPr>
            <w:r>
              <w:rPr>
                <w:sz w:val="18"/>
              </w:rPr>
              <w:t>0.697</w:t>
            </w:r>
          </w:p>
        </w:tc>
        <w:tc>
          <w:tcPr>
            <w:tcW w:w="5544" w:type="dxa"/>
            <w:tcMar>
              <w:top w:w="90" w:type="dxa"/>
              <w:left w:w="100" w:type="dxa"/>
              <w:bottom w:w="90" w:type="dxa"/>
              <w:right w:w="100" w:type="dxa"/>
            </w:tcMar>
            <w:vAlign w:val="center"/>
          </w:tcPr>
          <w:p w:rsidR="00D9789E" w:rsidRDefault="00853FB2">
            <w:pPr>
              <w:spacing w:after="0"/>
              <w:jc w:val="center"/>
              <w:rPr>
                <w:rFonts w:hint="eastAsia"/>
              </w:rPr>
            </w:pPr>
            <w:r>
              <w:rPr>
                <w:sz w:val="18"/>
              </w:rPr>
              <w:t>30.3% below direct superposition</w:t>
            </w:r>
          </w:p>
        </w:tc>
      </w:tr>
    </w:tbl>
    <w:p w:rsidR="00D9789E" w:rsidRDefault="00853FB2">
      <w:pPr>
        <w:spacing w:before="60" w:after="160"/>
        <w:jc w:val="center"/>
        <w:rPr>
          <w:rFonts w:hint="eastAsia"/>
        </w:rPr>
      </w:pPr>
      <w:r>
        <w:rPr>
          <w:i/>
          <w:color w:val="5B6573"/>
          <w:sz w:val="18"/>
        </w:rPr>
        <w:t>Table 4. Output-specific gain corrections for the dual-heater interval.</w:t>
      </w:r>
    </w:p>
    <w:p w:rsidR="00D9789E" w:rsidRDefault="00853FB2">
      <w:pPr>
        <w:rPr>
          <w:rFonts w:hint="eastAsia"/>
        </w:rPr>
      </w:pPr>
      <w:r>
        <w:t>A common control-oriented correction is</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 = 0.717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1</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spacing w:before="80" w:after="40"/>
        <w:jc w:val="center"/>
        <w:rPr>
          <w:rFonts w:hint="eastAsia"/>
        </w:rPr>
      </w:pPr>
      <w:r>
        <w:rPr>
          <w:noProof/>
          <w:lang w:bidi="he-IL"/>
        </w:rPr>
        <w:drawing>
          <wp:inline distT="0" distB="0" distL="0" distR="0">
            <wp:extent cx="5989320" cy="4433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_heater_superposition_validation.png"/>
                    <pic:cNvPicPr/>
                  </pic:nvPicPr>
                  <pic:blipFill>
                    <a:blip r:embed="rId12"/>
                    <a:stretch>
                      <a:fillRect/>
                    </a:stretch>
                  </pic:blipFill>
                  <pic:spPr>
                    <a:xfrm>
                      <a:off x="0" y="0"/>
                      <a:ext cx="5989320" cy="4433240"/>
                    </a:xfrm>
                    <a:prstGeom prst="rect">
                      <a:avLst/>
                    </a:prstGeom>
                  </pic:spPr>
                </pic:pic>
              </a:graphicData>
            </a:graphic>
          </wp:inline>
        </w:drawing>
      </w:r>
    </w:p>
    <w:p w:rsidR="00D9789E" w:rsidRDefault="00853FB2">
      <w:pPr>
        <w:spacing w:before="60" w:after="160"/>
        <w:jc w:val="center"/>
        <w:rPr>
          <w:rFonts w:hint="eastAsia"/>
        </w:rPr>
      </w:pPr>
      <w:r>
        <w:rPr>
          <w:i/>
          <w:color w:val="5B6573"/>
          <w:sz w:val="18"/>
        </w:rPr>
        <w:t xml:space="preserve">Figure 5. Actual dual-heater samples compared </w:t>
      </w:r>
      <w:r>
        <w:rPr>
          <w:i/>
          <w:color w:val="5B6573"/>
          <w:sz w:val="18"/>
        </w:rPr>
        <w:t>with direct and gain-scheduled superposition.</w:t>
      </w:r>
    </w:p>
    <w:p w:rsidR="00D9789E" w:rsidRDefault="00853FB2">
      <w:pPr>
        <w:rPr>
          <w:rFonts w:hint="eastAsia"/>
        </w:rPr>
      </w:pPr>
      <w:r>
        <w:br w:type="page"/>
      </w:r>
    </w:p>
    <w:p w:rsidR="00D9789E" w:rsidRDefault="00853FB2">
      <w:pPr>
        <w:pStyle w:val="Heading1"/>
      </w:pPr>
      <w:r>
        <w:lastRenderedPageBreak/>
        <w:t>8. Voltage-sag interpretation</w:t>
      </w:r>
    </w:p>
    <w:p w:rsidR="00D9789E" w:rsidRDefault="00853FB2">
      <w:pPr>
        <w:rPr>
          <w:rFonts w:hint="eastAsia"/>
        </w:rPr>
      </w:pPr>
      <w:r>
        <w:t>For a resistive heater, electrical power varies with the square of the applied voltage:</w:t>
      </w:r>
    </w:p>
    <w:p w:rsidR="00D9789E" w:rsidRDefault="00853FB2">
      <w:pPr>
        <w:spacing w:before="80" w:after="140"/>
        <w:jc w:val="center"/>
        <w:rPr>
          <w:rFonts w:hint="eastAsia"/>
        </w:rPr>
      </w:pPr>
      <m:oMathPara>
        <m:oMathParaPr>
          <m:jc m:val="center"/>
        </m:oMathParaPr>
        <m:oMath>
          <m:r>
            <w:rPr>
              <w:rFonts w:ascii="Cambria Math" w:hAnsi="Cambria Math"/>
            </w:rPr>
            <m:t>P</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oMath>
      </m:oMathPara>
    </w:p>
    <w:p w:rsidR="00D9789E" w:rsidRDefault="00853FB2">
      <w:pPr>
        <w:rPr>
          <w:rFonts w:hint="eastAsia"/>
        </w:rPr>
      </w:pPr>
      <w:r>
        <w:t>If the complete common factor α = 0.717 were caused only by voltage sag, then</w:t>
      </w:r>
    </w:p>
    <w:p w:rsidR="00D9789E" w:rsidRDefault="00853FB2">
      <w:pPr>
        <w:spacing w:before="80" w:after="140"/>
        <w:jc w:val="center"/>
        <w:rPr>
          <w:rFonts w:hint="eastAsia"/>
        </w:rP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bot</m:t>
                  </m:r>
                  <m:r>
                    <w:rPr>
                      <w:rFonts w:ascii="Cambria Math" w:hAnsi="Cambria Math"/>
                    </w:rPr>
                    <m:t>h</m:t>
                  </m:r>
                </m:sub>
              </m:sSub>
            </m:num>
            <m:den>
              <m:sSub>
                <m:sSubPr>
                  <m:ctrlPr>
                    <w:rPr>
                      <w:rFonts w:ascii="Cambria Math" w:hAnsi="Cambria Math"/>
                    </w:rPr>
                  </m:ctrlPr>
                </m:sSubPr>
                <m:e>
                  <m:r>
                    <w:rPr>
                      <w:rFonts w:ascii="Cambria Math" w:hAnsi="Cambria Math"/>
                    </w:rPr>
                    <m:t>V</m:t>
                  </m:r>
                </m:e>
                <m:sub>
                  <m:r>
                    <w:rPr>
                      <w:rFonts w:ascii="Cambria Math" w:hAnsi="Cambria Math"/>
                    </w:rPr>
                    <m:t>single</m:t>
                  </m:r>
                </m:sub>
              </m:sSub>
            </m:den>
          </m:f>
          <m:r>
            <w:rPr>
              <w:rFonts w:ascii="Cambria Math" w:hAnsi="Cambria Math"/>
            </w:rPr>
            <m:t xml:space="preserve"> = √0.717 = 0.847</m:t>
          </m:r>
        </m:oMath>
      </m:oMathPara>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bot</m:t>
              </m:r>
              <m:r>
                <w:rPr>
                  <w:rFonts w:ascii="Cambria Math" w:hAnsi="Cambria Math"/>
                </w:rPr>
                <m:t>h</m:t>
              </m:r>
            </m:sub>
          </m:sSub>
          <m:r>
            <w:rPr>
              <w:rFonts w:ascii="Cambria Math" w:hAnsi="Cambria Math"/>
            </w:rPr>
            <m:t xml:space="preserve"> = 5.00 × 0.847 ≈ 4.23 </m:t>
          </m:r>
          <m:r>
            <w:rPr>
              <w:rFonts w:ascii="Cambria Math" w:hAnsi="Cambria Math"/>
            </w:rPr>
            <m:t>V</m:t>
          </m:r>
        </m:oMath>
      </m:oMathPara>
    </w:p>
    <w:tbl>
      <w:tblPr>
        <w:tblStyle w:val="TableGrid"/>
        <w:tblW w:w="0" w:type="auto"/>
        <w:jc w:val="center"/>
        <w:tblLayout w:type="fixed"/>
        <w:tblLook w:val="04A0" w:firstRow="1" w:lastRow="0" w:firstColumn="1" w:lastColumn="0" w:noHBand="0" w:noVBand="1"/>
      </w:tblPr>
      <w:tblGrid>
        <w:gridCol w:w="1944"/>
        <w:gridCol w:w="1944"/>
        <w:gridCol w:w="2232"/>
        <w:gridCol w:w="2880"/>
      </w:tblGrid>
      <w:tr w:rsidR="00D9789E">
        <w:trPr>
          <w:tblHeader/>
          <w:jc w:val="center"/>
        </w:trPr>
        <w:tc>
          <w:tcPr>
            <w:tcW w:w="1944" w:type="dxa"/>
            <w:shd w:val="clear" w:color="auto" w:fill="17365D"/>
            <w:tcMar>
              <w:top w:w="90" w:type="dxa"/>
              <w:left w:w="100" w:type="dxa"/>
              <w:bottom w:w="90" w:type="dxa"/>
              <w:right w:w="100" w:type="dxa"/>
            </w:tcMar>
            <w:vAlign w:val="center"/>
          </w:tcPr>
          <w:p w:rsidR="00D9789E" w:rsidRDefault="00853FB2">
            <w:pPr>
              <w:spacing w:after="0"/>
              <w:rPr>
                <w:rFonts w:hint="eastAsia"/>
              </w:rPr>
            </w:pPr>
            <w:r>
              <w:rPr>
                <w:b/>
                <w:color w:val="FFFFFF"/>
                <w:sz w:val="18"/>
              </w:rPr>
              <w:t>Dual voltage</w:t>
            </w:r>
          </w:p>
        </w:tc>
        <w:tc>
          <w:tcPr>
            <w:tcW w:w="1944"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Voltage sag</w:t>
            </w:r>
          </w:p>
        </w:tc>
        <w:tc>
          <w:tcPr>
            <w:tcW w:w="2232"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Power factor α</w:t>
            </w:r>
            <w:r>
              <w:rPr>
                <w:b/>
                <w:color w:val="FFFFFF"/>
                <w:sz w:val="18"/>
              </w:rPr>
              <w:t>ᵥ</w:t>
            </w:r>
          </w:p>
        </w:tc>
        <w:tc>
          <w:tcPr>
            <w:tcW w:w="2880"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Remaining thermal factor αₜ</w:t>
            </w:r>
          </w:p>
        </w:tc>
      </w:tr>
      <w:tr w:rsidR="00D9789E">
        <w:trPr>
          <w:jc w:val="center"/>
        </w:trPr>
        <w:tc>
          <w:tcPr>
            <w:tcW w:w="1944" w:type="dxa"/>
            <w:tcMar>
              <w:top w:w="90" w:type="dxa"/>
              <w:left w:w="100" w:type="dxa"/>
              <w:bottom w:w="90" w:type="dxa"/>
              <w:right w:w="100" w:type="dxa"/>
            </w:tcMar>
            <w:vAlign w:val="center"/>
          </w:tcPr>
          <w:p w:rsidR="00D9789E" w:rsidRDefault="00853FB2">
            <w:pPr>
              <w:spacing w:after="0"/>
              <w:rPr>
                <w:rFonts w:hint="eastAsia"/>
              </w:rPr>
            </w:pPr>
            <w:r>
              <w:rPr>
                <w:sz w:val="18"/>
              </w:rPr>
              <w:t>5.00 V</w:t>
            </w:r>
          </w:p>
        </w:tc>
        <w:tc>
          <w:tcPr>
            <w:tcW w:w="1944" w:type="dxa"/>
            <w:tcMar>
              <w:top w:w="90" w:type="dxa"/>
              <w:left w:w="100" w:type="dxa"/>
              <w:bottom w:w="90" w:type="dxa"/>
              <w:right w:w="100" w:type="dxa"/>
            </w:tcMar>
            <w:vAlign w:val="center"/>
          </w:tcPr>
          <w:p w:rsidR="00D9789E" w:rsidRDefault="00853FB2">
            <w:pPr>
              <w:spacing w:after="0"/>
              <w:jc w:val="center"/>
              <w:rPr>
                <w:rFonts w:hint="eastAsia"/>
              </w:rPr>
            </w:pPr>
            <w:r>
              <w:rPr>
                <w:sz w:val="18"/>
              </w:rPr>
              <w:t>0.00 V</w:t>
            </w:r>
          </w:p>
        </w:tc>
        <w:tc>
          <w:tcPr>
            <w:tcW w:w="2232" w:type="dxa"/>
            <w:tcMar>
              <w:top w:w="90" w:type="dxa"/>
              <w:left w:w="100" w:type="dxa"/>
              <w:bottom w:w="90" w:type="dxa"/>
              <w:right w:w="100" w:type="dxa"/>
            </w:tcMar>
            <w:vAlign w:val="center"/>
          </w:tcPr>
          <w:p w:rsidR="00D9789E" w:rsidRDefault="00853FB2">
            <w:pPr>
              <w:spacing w:after="0"/>
              <w:jc w:val="center"/>
              <w:rPr>
                <w:rFonts w:hint="eastAsia"/>
              </w:rPr>
            </w:pPr>
            <w:r>
              <w:rPr>
                <w:sz w:val="18"/>
              </w:rPr>
              <w:t>1.000</w:t>
            </w:r>
          </w:p>
        </w:tc>
        <w:tc>
          <w:tcPr>
            <w:tcW w:w="2880" w:type="dxa"/>
            <w:tcMar>
              <w:top w:w="90" w:type="dxa"/>
              <w:left w:w="100" w:type="dxa"/>
              <w:bottom w:w="90" w:type="dxa"/>
              <w:right w:w="100" w:type="dxa"/>
            </w:tcMar>
            <w:vAlign w:val="center"/>
          </w:tcPr>
          <w:p w:rsidR="00D9789E" w:rsidRDefault="00853FB2">
            <w:pPr>
              <w:spacing w:after="0"/>
              <w:jc w:val="center"/>
              <w:rPr>
                <w:rFonts w:hint="eastAsia"/>
              </w:rPr>
            </w:pPr>
            <w:r>
              <w:rPr>
                <w:sz w:val="18"/>
              </w:rPr>
              <w:t>0.717</w:t>
            </w:r>
          </w:p>
        </w:tc>
      </w:tr>
      <w:tr w:rsidR="00D9789E">
        <w:trPr>
          <w:jc w:val="center"/>
        </w:trPr>
        <w:tc>
          <w:tcPr>
            <w:tcW w:w="1944" w:type="dxa"/>
            <w:tcMar>
              <w:top w:w="90" w:type="dxa"/>
              <w:left w:w="100" w:type="dxa"/>
              <w:bottom w:w="90" w:type="dxa"/>
              <w:right w:w="100" w:type="dxa"/>
            </w:tcMar>
            <w:vAlign w:val="center"/>
          </w:tcPr>
          <w:p w:rsidR="00D9789E" w:rsidRDefault="00853FB2">
            <w:pPr>
              <w:spacing w:after="0"/>
              <w:rPr>
                <w:rFonts w:hint="eastAsia"/>
              </w:rPr>
            </w:pPr>
            <w:r>
              <w:rPr>
                <w:sz w:val="18"/>
              </w:rPr>
              <w:t>4.95 V</w:t>
            </w:r>
          </w:p>
        </w:tc>
        <w:tc>
          <w:tcPr>
            <w:tcW w:w="1944" w:type="dxa"/>
            <w:tcMar>
              <w:top w:w="90" w:type="dxa"/>
              <w:left w:w="100" w:type="dxa"/>
              <w:bottom w:w="90" w:type="dxa"/>
              <w:right w:w="100" w:type="dxa"/>
            </w:tcMar>
            <w:vAlign w:val="center"/>
          </w:tcPr>
          <w:p w:rsidR="00D9789E" w:rsidRDefault="00853FB2">
            <w:pPr>
              <w:spacing w:after="0"/>
              <w:jc w:val="center"/>
              <w:rPr>
                <w:rFonts w:hint="eastAsia"/>
              </w:rPr>
            </w:pPr>
            <w:r>
              <w:rPr>
                <w:sz w:val="18"/>
              </w:rPr>
              <w:t>0.05 V</w:t>
            </w:r>
          </w:p>
        </w:tc>
        <w:tc>
          <w:tcPr>
            <w:tcW w:w="2232" w:type="dxa"/>
            <w:tcMar>
              <w:top w:w="90" w:type="dxa"/>
              <w:left w:w="100" w:type="dxa"/>
              <w:bottom w:w="90" w:type="dxa"/>
              <w:right w:w="100" w:type="dxa"/>
            </w:tcMar>
            <w:vAlign w:val="center"/>
          </w:tcPr>
          <w:p w:rsidR="00D9789E" w:rsidRDefault="00853FB2">
            <w:pPr>
              <w:spacing w:after="0"/>
              <w:jc w:val="center"/>
              <w:rPr>
                <w:rFonts w:hint="eastAsia"/>
              </w:rPr>
            </w:pPr>
            <w:r>
              <w:rPr>
                <w:sz w:val="18"/>
              </w:rPr>
              <w:t>0.980</w:t>
            </w:r>
          </w:p>
        </w:tc>
        <w:tc>
          <w:tcPr>
            <w:tcW w:w="2880" w:type="dxa"/>
            <w:tcMar>
              <w:top w:w="90" w:type="dxa"/>
              <w:left w:w="100" w:type="dxa"/>
              <w:bottom w:w="90" w:type="dxa"/>
              <w:right w:w="100" w:type="dxa"/>
            </w:tcMar>
            <w:vAlign w:val="center"/>
          </w:tcPr>
          <w:p w:rsidR="00D9789E" w:rsidRDefault="00853FB2">
            <w:pPr>
              <w:spacing w:after="0"/>
              <w:jc w:val="center"/>
              <w:rPr>
                <w:rFonts w:hint="eastAsia"/>
              </w:rPr>
            </w:pPr>
            <w:r>
              <w:rPr>
                <w:sz w:val="18"/>
              </w:rPr>
              <w:t>0.732</w:t>
            </w:r>
          </w:p>
        </w:tc>
      </w:tr>
      <w:tr w:rsidR="00D9789E">
        <w:trPr>
          <w:jc w:val="center"/>
        </w:trPr>
        <w:tc>
          <w:tcPr>
            <w:tcW w:w="1944" w:type="dxa"/>
            <w:tcMar>
              <w:top w:w="90" w:type="dxa"/>
              <w:left w:w="100" w:type="dxa"/>
              <w:bottom w:w="90" w:type="dxa"/>
              <w:right w:w="100" w:type="dxa"/>
            </w:tcMar>
            <w:vAlign w:val="center"/>
          </w:tcPr>
          <w:p w:rsidR="00D9789E" w:rsidRDefault="00853FB2">
            <w:pPr>
              <w:spacing w:after="0"/>
              <w:rPr>
                <w:rFonts w:hint="eastAsia"/>
              </w:rPr>
            </w:pPr>
            <w:r>
              <w:rPr>
                <w:sz w:val="18"/>
              </w:rPr>
              <w:t>4.90 V</w:t>
            </w:r>
          </w:p>
        </w:tc>
        <w:tc>
          <w:tcPr>
            <w:tcW w:w="1944" w:type="dxa"/>
            <w:tcMar>
              <w:top w:w="90" w:type="dxa"/>
              <w:left w:w="100" w:type="dxa"/>
              <w:bottom w:w="90" w:type="dxa"/>
              <w:right w:w="100" w:type="dxa"/>
            </w:tcMar>
            <w:vAlign w:val="center"/>
          </w:tcPr>
          <w:p w:rsidR="00D9789E" w:rsidRDefault="00853FB2">
            <w:pPr>
              <w:spacing w:after="0"/>
              <w:jc w:val="center"/>
              <w:rPr>
                <w:rFonts w:hint="eastAsia"/>
              </w:rPr>
            </w:pPr>
            <w:r>
              <w:rPr>
                <w:sz w:val="18"/>
              </w:rPr>
              <w:t>0.10 V</w:t>
            </w:r>
          </w:p>
        </w:tc>
        <w:tc>
          <w:tcPr>
            <w:tcW w:w="2232" w:type="dxa"/>
            <w:tcMar>
              <w:top w:w="90" w:type="dxa"/>
              <w:left w:w="100" w:type="dxa"/>
              <w:bottom w:w="90" w:type="dxa"/>
              <w:right w:w="100" w:type="dxa"/>
            </w:tcMar>
            <w:vAlign w:val="center"/>
          </w:tcPr>
          <w:p w:rsidR="00D9789E" w:rsidRDefault="00853FB2">
            <w:pPr>
              <w:spacing w:after="0"/>
              <w:jc w:val="center"/>
              <w:rPr>
                <w:rFonts w:hint="eastAsia"/>
              </w:rPr>
            </w:pPr>
            <w:r>
              <w:rPr>
                <w:sz w:val="18"/>
              </w:rPr>
              <w:t>0.960</w:t>
            </w:r>
          </w:p>
        </w:tc>
        <w:tc>
          <w:tcPr>
            <w:tcW w:w="2880" w:type="dxa"/>
            <w:tcMar>
              <w:top w:w="90" w:type="dxa"/>
              <w:left w:w="100" w:type="dxa"/>
              <w:bottom w:w="90" w:type="dxa"/>
              <w:right w:w="100" w:type="dxa"/>
            </w:tcMar>
            <w:vAlign w:val="center"/>
          </w:tcPr>
          <w:p w:rsidR="00D9789E" w:rsidRDefault="00853FB2">
            <w:pPr>
              <w:spacing w:after="0"/>
              <w:jc w:val="center"/>
              <w:rPr>
                <w:rFonts w:hint="eastAsia"/>
              </w:rPr>
            </w:pPr>
            <w:r>
              <w:rPr>
                <w:sz w:val="18"/>
              </w:rPr>
              <w:t>0.747</w:t>
            </w:r>
          </w:p>
        </w:tc>
      </w:tr>
      <w:tr w:rsidR="00D9789E">
        <w:trPr>
          <w:jc w:val="center"/>
        </w:trPr>
        <w:tc>
          <w:tcPr>
            <w:tcW w:w="1944" w:type="dxa"/>
            <w:tcMar>
              <w:top w:w="90" w:type="dxa"/>
              <w:left w:w="100" w:type="dxa"/>
              <w:bottom w:w="90" w:type="dxa"/>
              <w:right w:w="100" w:type="dxa"/>
            </w:tcMar>
            <w:vAlign w:val="center"/>
          </w:tcPr>
          <w:p w:rsidR="00D9789E" w:rsidRDefault="00853FB2">
            <w:pPr>
              <w:spacing w:after="0"/>
              <w:rPr>
                <w:rFonts w:hint="eastAsia"/>
              </w:rPr>
            </w:pPr>
            <w:r>
              <w:rPr>
                <w:sz w:val="18"/>
              </w:rPr>
              <w:t>4.80 V</w:t>
            </w:r>
          </w:p>
        </w:tc>
        <w:tc>
          <w:tcPr>
            <w:tcW w:w="1944" w:type="dxa"/>
            <w:tcMar>
              <w:top w:w="90" w:type="dxa"/>
              <w:left w:w="100" w:type="dxa"/>
              <w:bottom w:w="90" w:type="dxa"/>
              <w:right w:w="100" w:type="dxa"/>
            </w:tcMar>
            <w:vAlign w:val="center"/>
          </w:tcPr>
          <w:p w:rsidR="00D9789E" w:rsidRDefault="00853FB2">
            <w:pPr>
              <w:spacing w:after="0"/>
              <w:jc w:val="center"/>
              <w:rPr>
                <w:rFonts w:hint="eastAsia"/>
              </w:rPr>
            </w:pPr>
            <w:r>
              <w:rPr>
                <w:sz w:val="18"/>
              </w:rPr>
              <w:t>0.20 V</w:t>
            </w:r>
          </w:p>
        </w:tc>
        <w:tc>
          <w:tcPr>
            <w:tcW w:w="2232" w:type="dxa"/>
            <w:tcMar>
              <w:top w:w="90" w:type="dxa"/>
              <w:left w:w="100" w:type="dxa"/>
              <w:bottom w:w="90" w:type="dxa"/>
              <w:right w:w="100" w:type="dxa"/>
            </w:tcMar>
            <w:vAlign w:val="center"/>
          </w:tcPr>
          <w:p w:rsidR="00D9789E" w:rsidRDefault="00853FB2">
            <w:pPr>
              <w:spacing w:after="0"/>
              <w:jc w:val="center"/>
              <w:rPr>
                <w:rFonts w:hint="eastAsia"/>
              </w:rPr>
            </w:pPr>
            <w:r>
              <w:rPr>
                <w:sz w:val="18"/>
              </w:rPr>
              <w:t>0.922</w:t>
            </w:r>
          </w:p>
        </w:tc>
        <w:tc>
          <w:tcPr>
            <w:tcW w:w="2880" w:type="dxa"/>
            <w:tcMar>
              <w:top w:w="90" w:type="dxa"/>
              <w:left w:w="100" w:type="dxa"/>
              <w:bottom w:w="90" w:type="dxa"/>
              <w:right w:w="100" w:type="dxa"/>
            </w:tcMar>
            <w:vAlign w:val="center"/>
          </w:tcPr>
          <w:p w:rsidR="00D9789E" w:rsidRDefault="00853FB2">
            <w:pPr>
              <w:spacing w:after="0"/>
              <w:jc w:val="center"/>
              <w:rPr>
                <w:rFonts w:hint="eastAsia"/>
              </w:rPr>
            </w:pPr>
            <w:r>
              <w:rPr>
                <w:sz w:val="18"/>
              </w:rPr>
              <w:t>0.778</w:t>
            </w:r>
          </w:p>
        </w:tc>
      </w:tr>
      <w:tr w:rsidR="00D9789E">
        <w:trPr>
          <w:jc w:val="center"/>
        </w:trPr>
        <w:tc>
          <w:tcPr>
            <w:tcW w:w="1944" w:type="dxa"/>
            <w:tcMar>
              <w:top w:w="90" w:type="dxa"/>
              <w:left w:w="100" w:type="dxa"/>
              <w:bottom w:w="90" w:type="dxa"/>
              <w:right w:w="100" w:type="dxa"/>
            </w:tcMar>
            <w:vAlign w:val="center"/>
          </w:tcPr>
          <w:p w:rsidR="00D9789E" w:rsidRDefault="00853FB2">
            <w:pPr>
              <w:spacing w:after="0"/>
              <w:rPr>
                <w:rFonts w:hint="eastAsia"/>
              </w:rPr>
            </w:pPr>
            <w:r>
              <w:rPr>
                <w:sz w:val="18"/>
              </w:rPr>
              <w:t>4.70 V</w:t>
            </w:r>
          </w:p>
        </w:tc>
        <w:tc>
          <w:tcPr>
            <w:tcW w:w="1944" w:type="dxa"/>
            <w:tcMar>
              <w:top w:w="90" w:type="dxa"/>
              <w:left w:w="100" w:type="dxa"/>
              <w:bottom w:w="90" w:type="dxa"/>
              <w:right w:w="100" w:type="dxa"/>
            </w:tcMar>
            <w:vAlign w:val="center"/>
          </w:tcPr>
          <w:p w:rsidR="00D9789E" w:rsidRDefault="00853FB2">
            <w:pPr>
              <w:spacing w:after="0"/>
              <w:jc w:val="center"/>
              <w:rPr>
                <w:rFonts w:hint="eastAsia"/>
              </w:rPr>
            </w:pPr>
            <w:r>
              <w:rPr>
                <w:sz w:val="18"/>
              </w:rPr>
              <w:t>0.30 V</w:t>
            </w:r>
          </w:p>
        </w:tc>
        <w:tc>
          <w:tcPr>
            <w:tcW w:w="2232" w:type="dxa"/>
            <w:tcMar>
              <w:top w:w="90" w:type="dxa"/>
              <w:left w:w="100" w:type="dxa"/>
              <w:bottom w:w="90" w:type="dxa"/>
              <w:right w:w="100" w:type="dxa"/>
            </w:tcMar>
            <w:vAlign w:val="center"/>
          </w:tcPr>
          <w:p w:rsidR="00D9789E" w:rsidRDefault="00853FB2">
            <w:pPr>
              <w:spacing w:after="0"/>
              <w:jc w:val="center"/>
              <w:rPr>
                <w:rFonts w:hint="eastAsia"/>
              </w:rPr>
            </w:pPr>
            <w:r>
              <w:rPr>
                <w:sz w:val="18"/>
              </w:rPr>
              <w:t>0.884</w:t>
            </w:r>
          </w:p>
        </w:tc>
        <w:tc>
          <w:tcPr>
            <w:tcW w:w="2880" w:type="dxa"/>
            <w:tcMar>
              <w:top w:w="90" w:type="dxa"/>
              <w:left w:w="100" w:type="dxa"/>
              <w:bottom w:w="90" w:type="dxa"/>
              <w:right w:w="100" w:type="dxa"/>
            </w:tcMar>
            <w:vAlign w:val="center"/>
          </w:tcPr>
          <w:p w:rsidR="00D9789E" w:rsidRDefault="00853FB2">
            <w:pPr>
              <w:spacing w:after="0"/>
              <w:jc w:val="center"/>
              <w:rPr>
                <w:rFonts w:hint="eastAsia"/>
              </w:rPr>
            </w:pPr>
            <w:r>
              <w:rPr>
                <w:sz w:val="18"/>
              </w:rPr>
              <w:t>0.811</w:t>
            </w:r>
          </w:p>
        </w:tc>
      </w:tr>
      <w:tr w:rsidR="00D9789E">
        <w:trPr>
          <w:jc w:val="center"/>
        </w:trPr>
        <w:tc>
          <w:tcPr>
            <w:tcW w:w="1944" w:type="dxa"/>
            <w:tcMar>
              <w:top w:w="90" w:type="dxa"/>
              <w:left w:w="100" w:type="dxa"/>
              <w:bottom w:w="90" w:type="dxa"/>
              <w:right w:w="100" w:type="dxa"/>
            </w:tcMar>
            <w:vAlign w:val="center"/>
          </w:tcPr>
          <w:p w:rsidR="00D9789E" w:rsidRDefault="00853FB2">
            <w:pPr>
              <w:spacing w:after="0"/>
              <w:rPr>
                <w:rFonts w:hint="eastAsia"/>
              </w:rPr>
            </w:pPr>
            <w:r>
              <w:rPr>
                <w:sz w:val="18"/>
              </w:rPr>
              <w:t>4.50 V</w:t>
            </w:r>
          </w:p>
        </w:tc>
        <w:tc>
          <w:tcPr>
            <w:tcW w:w="1944" w:type="dxa"/>
            <w:tcMar>
              <w:top w:w="90" w:type="dxa"/>
              <w:left w:w="100" w:type="dxa"/>
              <w:bottom w:w="90" w:type="dxa"/>
              <w:right w:w="100" w:type="dxa"/>
            </w:tcMar>
            <w:vAlign w:val="center"/>
          </w:tcPr>
          <w:p w:rsidR="00D9789E" w:rsidRDefault="00853FB2">
            <w:pPr>
              <w:spacing w:after="0"/>
              <w:jc w:val="center"/>
              <w:rPr>
                <w:rFonts w:hint="eastAsia"/>
              </w:rPr>
            </w:pPr>
            <w:r>
              <w:rPr>
                <w:sz w:val="18"/>
              </w:rPr>
              <w:t>0.50 V</w:t>
            </w:r>
          </w:p>
        </w:tc>
        <w:tc>
          <w:tcPr>
            <w:tcW w:w="2232" w:type="dxa"/>
            <w:tcMar>
              <w:top w:w="90" w:type="dxa"/>
              <w:left w:w="100" w:type="dxa"/>
              <w:bottom w:w="90" w:type="dxa"/>
              <w:right w:w="100" w:type="dxa"/>
            </w:tcMar>
            <w:vAlign w:val="center"/>
          </w:tcPr>
          <w:p w:rsidR="00D9789E" w:rsidRDefault="00853FB2">
            <w:pPr>
              <w:spacing w:after="0"/>
              <w:jc w:val="center"/>
              <w:rPr>
                <w:rFonts w:hint="eastAsia"/>
              </w:rPr>
            </w:pPr>
            <w:r>
              <w:rPr>
                <w:sz w:val="18"/>
              </w:rPr>
              <w:t>0.810</w:t>
            </w:r>
          </w:p>
        </w:tc>
        <w:tc>
          <w:tcPr>
            <w:tcW w:w="2880" w:type="dxa"/>
            <w:tcMar>
              <w:top w:w="90" w:type="dxa"/>
              <w:left w:w="100" w:type="dxa"/>
              <w:bottom w:w="90" w:type="dxa"/>
              <w:right w:w="100" w:type="dxa"/>
            </w:tcMar>
            <w:vAlign w:val="center"/>
          </w:tcPr>
          <w:p w:rsidR="00D9789E" w:rsidRDefault="00853FB2">
            <w:pPr>
              <w:spacing w:after="0"/>
              <w:jc w:val="center"/>
              <w:rPr>
                <w:rFonts w:hint="eastAsia"/>
              </w:rPr>
            </w:pPr>
            <w:r>
              <w:rPr>
                <w:sz w:val="18"/>
              </w:rPr>
              <w:t>0.885</w:t>
            </w:r>
          </w:p>
        </w:tc>
      </w:tr>
      <w:tr w:rsidR="00D9789E">
        <w:trPr>
          <w:jc w:val="center"/>
        </w:trPr>
        <w:tc>
          <w:tcPr>
            <w:tcW w:w="1944" w:type="dxa"/>
            <w:tcMar>
              <w:top w:w="90" w:type="dxa"/>
              <w:left w:w="100" w:type="dxa"/>
              <w:bottom w:w="90" w:type="dxa"/>
              <w:right w:w="100" w:type="dxa"/>
            </w:tcMar>
            <w:vAlign w:val="center"/>
          </w:tcPr>
          <w:p w:rsidR="00D9789E" w:rsidRDefault="00853FB2">
            <w:pPr>
              <w:spacing w:after="0"/>
              <w:rPr>
                <w:rFonts w:hint="eastAsia"/>
              </w:rPr>
            </w:pPr>
            <w:r>
              <w:rPr>
                <w:sz w:val="18"/>
              </w:rPr>
              <w:t>4.23 V</w:t>
            </w:r>
          </w:p>
        </w:tc>
        <w:tc>
          <w:tcPr>
            <w:tcW w:w="1944" w:type="dxa"/>
            <w:tcMar>
              <w:top w:w="90" w:type="dxa"/>
              <w:left w:w="100" w:type="dxa"/>
              <w:bottom w:w="90" w:type="dxa"/>
              <w:right w:w="100" w:type="dxa"/>
            </w:tcMar>
            <w:vAlign w:val="center"/>
          </w:tcPr>
          <w:p w:rsidR="00D9789E" w:rsidRDefault="00853FB2">
            <w:pPr>
              <w:spacing w:after="0"/>
              <w:jc w:val="center"/>
              <w:rPr>
                <w:rFonts w:hint="eastAsia"/>
              </w:rPr>
            </w:pPr>
            <w:r>
              <w:rPr>
                <w:sz w:val="18"/>
              </w:rPr>
              <w:t>0.77 V</w:t>
            </w:r>
          </w:p>
        </w:tc>
        <w:tc>
          <w:tcPr>
            <w:tcW w:w="2232" w:type="dxa"/>
            <w:tcMar>
              <w:top w:w="90" w:type="dxa"/>
              <w:left w:w="100" w:type="dxa"/>
              <w:bottom w:w="90" w:type="dxa"/>
              <w:right w:w="100" w:type="dxa"/>
            </w:tcMar>
            <w:vAlign w:val="center"/>
          </w:tcPr>
          <w:p w:rsidR="00D9789E" w:rsidRDefault="00853FB2">
            <w:pPr>
              <w:spacing w:after="0"/>
              <w:jc w:val="center"/>
              <w:rPr>
                <w:rFonts w:hint="eastAsia"/>
              </w:rPr>
            </w:pPr>
            <w:r>
              <w:rPr>
                <w:sz w:val="18"/>
              </w:rPr>
              <w:t>0.716</w:t>
            </w:r>
          </w:p>
        </w:tc>
        <w:tc>
          <w:tcPr>
            <w:tcW w:w="2880" w:type="dxa"/>
            <w:tcMar>
              <w:top w:w="90" w:type="dxa"/>
              <w:left w:w="100" w:type="dxa"/>
              <w:bottom w:w="90" w:type="dxa"/>
              <w:right w:w="100" w:type="dxa"/>
            </w:tcMar>
            <w:vAlign w:val="center"/>
          </w:tcPr>
          <w:p w:rsidR="00D9789E" w:rsidRDefault="00853FB2">
            <w:pPr>
              <w:spacing w:after="0"/>
              <w:jc w:val="center"/>
              <w:rPr>
                <w:rFonts w:hint="eastAsia"/>
              </w:rPr>
            </w:pPr>
            <w:r>
              <w:rPr>
                <w:sz w:val="18"/>
              </w:rPr>
              <w:t>1.002</w:t>
            </w:r>
          </w:p>
        </w:tc>
      </w:tr>
    </w:tbl>
    <w:p w:rsidR="00D9789E" w:rsidRDefault="00853FB2">
      <w:pPr>
        <w:spacing w:before="60" w:after="160"/>
        <w:jc w:val="center"/>
        <w:rPr>
          <w:rFonts w:hint="eastAsia"/>
        </w:rPr>
      </w:pPr>
      <w:r>
        <w:rPr>
          <w:i/>
          <w:color w:val="5B6573"/>
          <w:sz w:val="18"/>
        </w:rPr>
        <w:t>Table 5. Electrical power factor and remaining thermal correction for representative voltage sag values.</w:t>
      </w:r>
    </w:p>
    <w:p w:rsidR="00D9789E" w:rsidRDefault="00853FB2">
      <w:pPr>
        <w:spacing w:before="80" w:after="40"/>
        <w:jc w:val="center"/>
        <w:rPr>
          <w:rFonts w:hint="eastAsia"/>
        </w:rPr>
      </w:pPr>
      <w:r>
        <w:rPr>
          <w:noProof/>
          <w:lang w:bidi="he-IL"/>
        </w:rPr>
        <w:drawing>
          <wp:inline distT="0" distB="0" distL="0" distR="0">
            <wp:extent cx="5897880" cy="2979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tage_sag_factor_analysis.png"/>
                    <pic:cNvPicPr/>
                  </pic:nvPicPr>
                  <pic:blipFill>
                    <a:blip r:embed="rId13"/>
                    <a:stretch>
                      <a:fillRect/>
                    </a:stretch>
                  </pic:blipFill>
                  <pic:spPr>
                    <a:xfrm>
                      <a:off x="0" y="0"/>
                      <a:ext cx="5897880" cy="2979015"/>
                    </a:xfrm>
                    <a:prstGeom prst="rect">
                      <a:avLst/>
                    </a:prstGeom>
                  </pic:spPr>
                </pic:pic>
              </a:graphicData>
            </a:graphic>
          </wp:inline>
        </w:drawing>
      </w:r>
    </w:p>
    <w:p w:rsidR="00D9789E" w:rsidRDefault="00853FB2">
      <w:pPr>
        <w:spacing w:before="60" w:after="160"/>
        <w:jc w:val="center"/>
        <w:rPr>
          <w:rFonts w:hint="eastAsia"/>
        </w:rPr>
      </w:pPr>
      <w:r>
        <w:rPr>
          <w:i/>
          <w:color w:val="5B6573"/>
          <w:sz w:val="18"/>
        </w:rPr>
        <w:t xml:space="preserve">Figure 6. A small voltage sag explains only part of the observed </w:t>
      </w:r>
      <w:r>
        <w:rPr>
          <w:i/>
          <w:color w:val="5B6573"/>
          <w:sz w:val="18"/>
        </w:rPr>
        <w:t>dual-heater reduction.</w:t>
      </w:r>
    </w:p>
    <w:p w:rsidR="00D9789E" w:rsidRDefault="00853FB2">
      <w:pPr>
        <w:rPr>
          <w:rFonts w:hint="eastAsia"/>
        </w:rPr>
      </w:pPr>
      <w:r>
        <w:br w:type="page"/>
      </w:r>
    </w:p>
    <w:tbl>
      <w:tblPr>
        <w:tblW w:w="0" w:type="auto"/>
        <w:jc w:val="center"/>
        <w:tblLayout w:type="fixed"/>
        <w:tblLook w:val="04A0" w:firstRow="1" w:lastRow="0" w:firstColumn="1" w:lastColumn="0" w:noHBand="0" w:noVBand="1"/>
      </w:tblPr>
      <w:tblGrid>
        <w:gridCol w:w="9648"/>
      </w:tblGrid>
      <w:tr w:rsidR="00D9789E">
        <w:trPr>
          <w:jc w:val="center"/>
        </w:trPr>
        <w:tc>
          <w:tcPr>
            <w:tcW w:w="9648" w:type="dxa"/>
            <w:shd w:val="clear" w:color="auto" w:fill="FCE4D6"/>
            <w:tcMar>
              <w:top w:w="130" w:type="dxa"/>
              <w:left w:w="170" w:type="dxa"/>
              <w:bottom w:w="130" w:type="dxa"/>
              <w:right w:w="170" w:type="dxa"/>
            </w:tcMar>
          </w:tcPr>
          <w:p w:rsidR="00D9789E" w:rsidRDefault="00853FB2">
            <w:pPr>
              <w:spacing w:after="80"/>
              <w:rPr>
                <w:rFonts w:hint="eastAsia"/>
              </w:rPr>
            </w:pPr>
            <w:r>
              <w:rPr>
                <w:b/>
                <w:color w:val="17365D"/>
              </w:rPr>
              <w:lastRenderedPageBreak/>
              <w:t>Interpretation</w:t>
            </w:r>
          </w:p>
          <w:p w:rsidR="00D9789E" w:rsidRDefault="00853FB2">
            <w:pPr>
              <w:spacing w:after="0"/>
              <w:rPr>
                <w:rFonts w:hint="eastAsia"/>
              </w:rPr>
            </w:pPr>
            <w:r>
              <w:rPr>
                <w:sz w:val="20"/>
              </w:rPr>
              <w:t xml:space="preserve">The data file does not include a voltage channel, so the sag cannot be estimated directly from the temperature record. A 0.20 V reduction from 5.00 V to 4.80 V gives an electrical power factor of 0.922, leaving a </w:t>
            </w:r>
            <w:r>
              <w:rPr>
                <w:sz w:val="20"/>
              </w:rPr>
              <w:t>thermal factor of approximately 0.778. The remaining reduction is consistent with increasing convection, radiation, and other temperature-dependent losses.</w:t>
            </w:r>
          </w:p>
        </w:tc>
      </w:tr>
    </w:tbl>
    <w:p w:rsidR="00D9789E" w:rsidRDefault="00853FB2">
      <w:pPr>
        <w:pStyle w:val="Heading1"/>
      </w:pPr>
      <w:r>
        <w:t>9. Recommended voltage-normalized model</w:t>
      </w:r>
    </w:p>
    <w:p w:rsidR="00D9789E" w:rsidRDefault="00853FB2">
      <w:pPr>
        <w:rPr>
          <w:rFonts w:hint="eastAsia"/>
        </w:rPr>
      </w:pPr>
      <w:r>
        <w:t xml:space="preserve">The preferred model preserves the independently identified </w:t>
      </w:r>
      <w:r>
        <w:t>MISO paths and expresses each input in terms of delivered electrical power:</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r>
                <w:rPr>
                  <w:rFonts w:ascii="Cambria Math" w:hAnsi="Cambria Math"/>
                </w:rPr>
                <m:t>,</m:t>
              </m:r>
              <m:r>
                <w:rPr>
                  <w:rFonts w:ascii="Cambria Math" w:hAnsi="Cambria Math"/>
                </w:rPr>
                <m:t>eff</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r>
            <w:rPr>
              <w:rFonts w:ascii="Cambria Math" w:hAnsi="Cambria Math"/>
            </w:rPr>
            <m:t>t</m:t>
          </m:r>
          <m:r>
            <w:rPr>
              <w:rFonts w:ascii="Cambria Math" w:hAnsi="Cambria Math"/>
            </w:rPr>
            <m:t>) [</m:t>
          </m:r>
          <m:sSup>
            <m:sSupPr>
              <m:ctrlPr>
                <w:rPr>
                  <w:rFonts w:ascii="Cambria Math" w:hAnsi="Cambria Math"/>
                </w:rPr>
              </m:ctrlPr>
            </m:sSupPr>
            <m:e>
              <m:f>
                <m:fPr>
                  <m:ctrlPr>
                    <w:rPr>
                      <w:rFonts w:ascii="Cambria Math" w:hAnsi="Cambria Math"/>
                    </w:rPr>
                  </m:ctrlPr>
                </m:fPr>
                <m:num>
                  <m:r>
                    <w:rPr>
                      <w:rFonts w:ascii="Cambria Math" w:hAnsi="Cambria Math"/>
                    </w:rPr>
                    <m:t>V</m:t>
                  </m:r>
                  <m:r>
                    <w:rPr>
                      <w:rFonts w:ascii="Cambria Math" w:hAnsi="Cambria Math"/>
                    </w:rPr>
                    <m:t>(</m:t>
                  </m:r>
                  <m:r>
                    <w:rPr>
                      <w:rFonts w:ascii="Cambria Math" w:hAnsi="Cambria Math"/>
                    </w:rPr>
                    <m:t>t</m:t>
                  </m:r>
                  <m:r>
                    <w:rPr>
                      <w:rFonts w:ascii="Cambria Math" w:hAnsi="Cambria Math"/>
                    </w:rPr>
                    <m:t>)</m:t>
                  </m:r>
                </m:num>
                <m:den>
                  <m:sSub>
                    <m:sSubPr>
                      <m:ctrlPr>
                        <w:rPr>
                          <w:rFonts w:ascii="Cambria Math" w:hAnsi="Cambria Math"/>
                        </w:rPr>
                      </m:ctrlPr>
                    </m:sSubPr>
                    <m:e>
                      <m:r>
                        <w:rPr>
                          <w:rFonts w:ascii="Cambria Math" w:hAnsi="Cambria Math"/>
                        </w:rPr>
                        <m:t>V</m:t>
                      </m:r>
                    </m:e>
                    <m:sub>
                      <m:r>
                        <w:rPr>
                          <w:rFonts w:ascii="Cambria Math" w:hAnsi="Cambria Math"/>
                        </w:rPr>
                        <m:t>reference</m:t>
                      </m:r>
                    </m:sub>
                  </m:sSub>
                </m:den>
              </m:f>
            </m:e>
            <m:sup>
              <m:r>
                <w:rPr>
                  <w:rFonts w:ascii="Cambria Math" w:hAnsi="Cambria Math"/>
                </w:rPr>
                <m:t>2</m:t>
              </m:r>
            </m:sup>
          </m:sSup>
          <m:r>
            <w:rPr>
              <w:rFonts w:ascii="Cambria Math" w:hAnsi="Cambria Math"/>
            </w:rPr>
            <m:t>]</m:t>
          </m:r>
        </m:oMath>
      </m:oMathPara>
    </w:p>
    <w:p w:rsidR="00D9789E" w:rsidRDefault="00853FB2">
      <w:pPr>
        <w:rPr>
          <w:rFonts w:hint="eastAsia"/>
        </w:rPr>
      </w:pPr>
      <w:r>
        <w:t>Because Word math nesting is clearer when written explicitly, the intended relationship is duty cycle multiplied by the squ</w:t>
      </w:r>
      <w:r>
        <w:t>ared voltage ratio. The corrected temperature model is</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1</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eff</m:t>
              </m:r>
            </m:sub>
          </m:sSub>
          <m:r>
            <w:rPr>
              <w:rFonts w:ascii="Cambria Math" w:hAnsi="Cambria Math"/>
            </w:rPr>
            <m:t>(</m:t>
          </m:r>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r>
                <w:rPr>
                  <w:rFonts w:ascii="Cambria Math" w:hAnsi="Cambria Math"/>
                </w:rPr>
                <m:t>2</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r>
                <w:rPr>
                  <w:rFonts w:ascii="Cambria Math" w:hAnsi="Cambria Math"/>
                </w:rPr>
                <m:t>eff</m:t>
              </m:r>
            </m:sub>
          </m:sSub>
          <m:r>
            <w:rPr>
              <w:rFonts w:ascii="Cambria Math" w:hAnsi="Cambria Math"/>
            </w:rPr>
            <m:t>(</m:t>
          </m:r>
          <m:r>
            <w:rPr>
              <w:rFonts w:ascii="Cambria Math" w:hAnsi="Cambria Math"/>
            </w:rPr>
            <m:t>s</m:t>
          </m:r>
          <m:r>
            <w:rPr>
              <w:rFonts w:ascii="Cambria Math" w:hAnsi="Cambria Math"/>
            </w:rPr>
            <m:t>)</m:t>
          </m:r>
        </m:oMath>
      </m:oMathPara>
    </w:p>
    <w:p w:rsidR="00D9789E" w:rsidRDefault="00853FB2">
      <w:pPr>
        <w:rPr>
          <w:rFonts w:hint="eastAsia"/>
        </w:rPr>
      </w:pPr>
      <w:r>
        <w:t>When both heaters are active, an additional temperature-dependent factor may be applied:</w:t>
      </w:r>
    </w:p>
    <w:p w:rsidR="00D9789E" w:rsidRDefault="00853FB2">
      <w:pPr>
        <w:spacing w:before="80" w:after="140"/>
        <w:jc w:val="center"/>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r>
                <w:rPr>
                  <w:rFonts w:ascii="Cambria Math" w:hAnsi="Cambria Math"/>
                </w:rPr>
                <m:t>,</m:t>
              </m:r>
              <m:r>
                <w:rPr>
                  <w:rFonts w:ascii="Cambria Math" w:hAnsi="Cambria Math"/>
                </w:rPr>
                <m:t>corr</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r>
            <w:rPr>
              <w:rFonts w:ascii="Cambria Math" w:hAnsi="Cambria Math"/>
            </w:rPr>
            <m:t>ΔT̄</m:t>
          </m:r>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j</m:t>
              </m:r>
              <m:r>
                <w:rPr>
                  <w:rFonts w:ascii="Cambria Math" w:hAnsi="Cambria Math"/>
                </w:rPr>
                <m:t>,</m:t>
              </m:r>
              <m:r>
                <w:rPr>
                  <w:rFonts w:ascii="Cambria Math" w:hAnsi="Cambria Math"/>
                </w:rPr>
                <m:t>eff</m:t>
              </m:r>
            </m:sub>
          </m:sSub>
          <m:r>
            <w:rPr>
              <w:rFonts w:ascii="Cambria Math" w:hAnsi="Cambria Math"/>
            </w:rPr>
            <m:t>(</m:t>
          </m:r>
          <m:r>
            <w:rPr>
              <w:rFonts w:ascii="Cambria Math" w:hAnsi="Cambria Math"/>
            </w:rPr>
            <m:t>t</m:t>
          </m:r>
          <m:r>
            <w:rPr>
              <w:rFonts w:ascii="Cambria Math" w:hAnsi="Cambria Math"/>
            </w:rPr>
            <m:t>)</m:t>
          </m:r>
        </m:oMath>
      </m:oMathPara>
    </w:p>
    <w:p w:rsidR="00D9789E" w:rsidRDefault="00853FB2">
      <w:pPr>
        <w:pStyle w:val="Heading1"/>
      </w:pPr>
      <w:r>
        <w:t>10.</w:t>
      </w:r>
      <w:r>
        <w:t xml:space="preserve"> Conclusions and next measurements</w:t>
      </w:r>
    </w:p>
    <w:p w:rsidR="00D9789E" w:rsidRDefault="00853FB2">
      <w:pPr>
        <w:pStyle w:val="ListNumber"/>
        <w:spacing w:after="80"/>
        <w:rPr>
          <w:rFonts w:hint="eastAsia"/>
        </w:rPr>
      </w:pPr>
      <w:r>
        <w:t>Record the actual voltage at each heater during single- and dual-heater operation. A single supply measurement may not reveal unequal wiring or MOSFET drops at the two heater branches.</w:t>
      </w:r>
    </w:p>
    <w:p w:rsidR="00D9789E" w:rsidRDefault="00853FB2">
      <w:pPr>
        <w:pStyle w:val="ListNumber"/>
        <w:spacing w:after="80"/>
        <w:rPr>
          <w:rFonts w:hint="eastAsia"/>
        </w:rPr>
      </w:pPr>
      <w:r>
        <w:t xml:space="preserve">Log heater current, or calculate it </w:t>
      </w:r>
      <w:r>
        <w:t>from a calibrated shunt, so the model input can be expressed directly in watts rather than PWM percent.</w:t>
      </w:r>
    </w:p>
    <w:p w:rsidR="00D9789E" w:rsidRDefault="00853FB2">
      <w:pPr>
        <w:pStyle w:val="ListNumber"/>
        <w:spacing w:after="80"/>
        <w:rPr>
          <w:rFonts w:hint="eastAsia"/>
        </w:rPr>
      </w:pPr>
      <w:r>
        <w:t>Repeat the three-pulse experiment at two or three duty levels. This will show whether α depends mainly on voltage, mean beam temperature, or total heate</w:t>
      </w:r>
      <w:r>
        <w:t>r power.</w:t>
      </w:r>
    </w:p>
    <w:p w:rsidR="00D9789E" w:rsidRDefault="00853FB2">
      <w:pPr>
        <w:pStyle w:val="ListNumber"/>
        <w:spacing w:after="80"/>
        <w:rPr>
          <w:rFonts w:hint="eastAsia"/>
        </w:rPr>
      </w:pPr>
      <w:r>
        <w:t>For control design, use the independently identified FOPDT matrix and a common dual-mode factor near 0.72. For simulation, use the output-specific α</w:t>
      </w:r>
      <w:r>
        <w:t>ᵢ</w:t>
      </w:r>
      <w:r>
        <w:t xml:space="preserve"> values and make the correction temperature dependent.</w:t>
      </w:r>
    </w:p>
    <w:p w:rsidR="00D9789E" w:rsidRDefault="00853FB2">
      <w:pPr>
        <w:pStyle w:val="ListNumber"/>
        <w:spacing w:after="80"/>
        <w:rPr>
          <w:rFonts w:hint="eastAsia"/>
        </w:rPr>
      </w:pPr>
      <w:r>
        <w:t>Treat the identified gains and time constan</w:t>
      </w:r>
      <w:r>
        <w:t>ts as local models around the tested ambient conditions and temperature range.</w:t>
      </w:r>
    </w:p>
    <w:p w:rsidR="00D9789E" w:rsidRDefault="00853FB2">
      <w:pPr>
        <w:rPr>
          <w:rFonts w:hint="eastAsia"/>
        </w:rPr>
      </w:pPr>
      <w:r>
        <w:br w:type="page"/>
      </w:r>
    </w:p>
    <w:p w:rsidR="00D9789E" w:rsidRDefault="00853FB2">
      <w:pPr>
        <w:pStyle w:val="Heading1"/>
      </w:pPr>
      <w:r>
        <w:lastRenderedPageBreak/>
        <w:t>Appendix A. Parameter summary</w:t>
      </w:r>
    </w:p>
    <w:tbl>
      <w:tblPr>
        <w:tblStyle w:val="TableGrid"/>
        <w:tblW w:w="0" w:type="auto"/>
        <w:jc w:val="center"/>
        <w:tblLayout w:type="fixed"/>
        <w:tblLook w:val="04A0" w:firstRow="1" w:lastRow="0" w:firstColumn="1" w:lastColumn="0" w:noHBand="0" w:noVBand="1"/>
      </w:tblPr>
      <w:tblGrid>
        <w:gridCol w:w="936"/>
        <w:gridCol w:w="1152"/>
        <w:gridCol w:w="1080"/>
        <w:gridCol w:w="1152"/>
        <w:gridCol w:w="1152"/>
        <w:gridCol w:w="1080"/>
        <w:gridCol w:w="1152"/>
        <w:gridCol w:w="1080"/>
      </w:tblGrid>
      <w:tr w:rsidR="00D9789E">
        <w:trPr>
          <w:tblHeader/>
          <w:jc w:val="center"/>
        </w:trPr>
        <w:tc>
          <w:tcPr>
            <w:tcW w:w="936" w:type="dxa"/>
            <w:shd w:val="clear" w:color="auto" w:fill="17365D"/>
            <w:tcMar>
              <w:top w:w="90" w:type="dxa"/>
              <w:left w:w="100" w:type="dxa"/>
              <w:bottom w:w="90" w:type="dxa"/>
              <w:right w:w="100" w:type="dxa"/>
            </w:tcMar>
            <w:vAlign w:val="center"/>
          </w:tcPr>
          <w:p w:rsidR="00D9789E" w:rsidRDefault="00853FB2">
            <w:pPr>
              <w:spacing w:after="0"/>
              <w:rPr>
                <w:rFonts w:hint="eastAsia"/>
              </w:rPr>
            </w:pPr>
            <w:r>
              <w:rPr>
                <w:b/>
                <w:color w:val="FFFFFF"/>
                <w:sz w:val="18"/>
              </w:rPr>
              <w:t>Sensor</w:t>
            </w:r>
          </w:p>
        </w:tc>
        <w:tc>
          <w:tcPr>
            <w:tcW w:w="1152"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K₁</w:t>
            </w:r>
          </w:p>
        </w:tc>
        <w:tc>
          <w:tcPr>
            <w:tcW w:w="1080"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L₁</w:t>
            </w:r>
          </w:p>
        </w:tc>
        <w:tc>
          <w:tcPr>
            <w:tcW w:w="1152"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τ₁</w:t>
            </w:r>
          </w:p>
        </w:tc>
        <w:tc>
          <w:tcPr>
            <w:tcW w:w="1152"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K₂</w:t>
            </w:r>
          </w:p>
        </w:tc>
        <w:tc>
          <w:tcPr>
            <w:tcW w:w="1080"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L₂</w:t>
            </w:r>
          </w:p>
        </w:tc>
        <w:tc>
          <w:tcPr>
            <w:tcW w:w="1152"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τ₂</w:t>
            </w:r>
          </w:p>
        </w:tc>
        <w:tc>
          <w:tcPr>
            <w:tcW w:w="1080" w:type="dxa"/>
            <w:shd w:val="clear" w:color="auto" w:fill="17365D"/>
            <w:tcMar>
              <w:top w:w="90" w:type="dxa"/>
              <w:left w:w="100" w:type="dxa"/>
              <w:bottom w:w="90" w:type="dxa"/>
              <w:right w:w="100" w:type="dxa"/>
            </w:tcMar>
            <w:vAlign w:val="center"/>
          </w:tcPr>
          <w:p w:rsidR="00D9789E" w:rsidRDefault="00853FB2">
            <w:pPr>
              <w:spacing w:after="0"/>
              <w:jc w:val="center"/>
              <w:rPr>
                <w:rFonts w:hint="eastAsia"/>
              </w:rPr>
            </w:pPr>
            <w:r>
              <w:rPr>
                <w:b/>
                <w:color w:val="FFFFFF"/>
                <w:sz w:val="18"/>
              </w:rPr>
              <w:t>α</w:t>
            </w:r>
            <w:r>
              <w:rPr>
                <w:b/>
                <w:color w:val="FFFFFF"/>
                <w:sz w:val="18"/>
              </w:rPr>
              <w:t>ᵢ</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S1</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54.82</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1.02</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35.69</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21.70</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1.48</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64.76</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0.769</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S2</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40.49</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4.04</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43.49</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22.83</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7.85</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60.62</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0.729</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S3</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27.12</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9.23</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52.84</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28.95</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8.21</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52.85</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0.694</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S4</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21.90</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8.93</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57.59</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41.12</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3.46</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43.65</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0.692</w:t>
            </w:r>
          </w:p>
        </w:tc>
      </w:tr>
      <w:tr w:rsidR="00D9789E">
        <w:trPr>
          <w:jc w:val="center"/>
        </w:trPr>
        <w:tc>
          <w:tcPr>
            <w:tcW w:w="936" w:type="dxa"/>
            <w:tcMar>
              <w:top w:w="90" w:type="dxa"/>
              <w:left w:w="100" w:type="dxa"/>
              <w:bottom w:w="90" w:type="dxa"/>
              <w:right w:w="100" w:type="dxa"/>
            </w:tcMar>
            <w:vAlign w:val="center"/>
          </w:tcPr>
          <w:p w:rsidR="00D9789E" w:rsidRDefault="00853FB2">
            <w:pPr>
              <w:spacing w:after="0"/>
              <w:rPr>
                <w:rFonts w:hint="eastAsia"/>
              </w:rPr>
            </w:pPr>
            <w:r>
              <w:rPr>
                <w:sz w:val="18"/>
              </w:rPr>
              <w:t>S5</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20.57</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1.59</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60.08</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56.21</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0.00</w:t>
            </w:r>
          </w:p>
        </w:tc>
        <w:tc>
          <w:tcPr>
            <w:tcW w:w="1152" w:type="dxa"/>
            <w:tcMar>
              <w:top w:w="90" w:type="dxa"/>
              <w:left w:w="100" w:type="dxa"/>
              <w:bottom w:w="90" w:type="dxa"/>
              <w:right w:w="100" w:type="dxa"/>
            </w:tcMar>
            <w:vAlign w:val="center"/>
          </w:tcPr>
          <w:p w:rsidR="00D9789E" w:rsidRDefault="00853FB2">
            <w:pPr>
              <w:spacing w:after="0"/>
              <w:jc w:val="center"/>
              <w:rPr>
                <w:rFonts w:hint="eastAsia"/>
              </w:rPr>
            </w:pPr>
            <w:r>
              <w:rPr>
                <w:sz w:val="18"/>
              </w:rPr>
              <w:t>34.54</w:t>
            </w:r>
          </w:p>
        </w:tc>
        <w:tc>
          <w:tcPr>
            <w:tcW w:w="1080" w:type="dxa"/>
            <w:tcMar>
              <w:top w:w="90" w:type="dxa"/>
              <w:left w:w="100" w:type="dxa"/>
              <w:bottom w:w="90" w:type="dxa"/>
              <w:right w:w="100" w:type="dxa"/>
            </w:tcMar>
            <w:vAlign w:val="center"/>
          </w:tcPr>
          <w:p w:rsidR="00D9789E" w:rsidRDefault="00853FB2">
            <w:pPr>
              <w:spacing w:after="0"/>
              <w:jc w:val="center"/>
              <w:rPr>
                <w:rFonts w:hint="eastAsia"/>
              </w:rPr>
            </w:pPr>
            <w:r>
              <w:rPr>
                <w:sz w:val="18"/>
              </w:rPr>
              <w:t>0.697</w:t>
            </w:r>
          </w:p>
        </w:tc>
      </w:tr>
    </w:tbl>
    <w:p w:rsidR="00D9789E" w:rsidRDefault="00853FB2">
      <w:pPr>
        <w:spacing w:before="60" w:after="160"/>
        <w:jc w:val="center"/>
        <w:rPr>
          <w:rFonts w:hint="eastAsia"/>
        </w:rPr>
      </w:pPr>
      <w:r>
        <w:rPr>
          <w:i/>
          <w:color w:val="5B6573"/>
          <w:sz w:val="18"/>
        </w:rPr>
        <w:t>Table A1. Complete FOPDT and dual-operation correction parameters.</w:t>
      </w:r>
    </w:p>
    <w:p w:rsidR="00D9789E" w:rsidRDefault="00853FB2">
      <w:pPr>
        <w:spacing w:before="280"/>
        <w:rPr>
          <w:rFonts w:hint="eastAsia"/>
        </w:rPr>
      </w:pPr>
      <w:r>
        <w:rPr>
          <w:b/>
          <w:color w:val="17365D"/>
        </w:rPr>
        <w:t>Data source and reproducibility files</w:t>
      </w:r>
    </w:p>
    <w:p w:rsidR="00D9789E" w:rsidRDefault="00853FB2">
      <w:pPr>
        <w:pStyle w:val="ListBullet"/>
        <w:rPr>
          <w:rFonts w:hint="eastAsia"/>
        </w:rPr>
      </w:pPr>
      <w:r>
        <w:t>Setup1(1).txt — revised raw experiment</w:t>
      </w:r>
    </w:p>
    <w:p w:rsidR="00D9789E" w:rsidRDefault="00853FB2">
      <w:pPr>
        <w:pStyle w:val="ListBullet"/>
        <w:rPr>
          <w:rFonts w:hint="eastAsia"/>
        </w:rPr>
      </w:pPr>
      <w:r>
        <w:t>setup1_revised_miso_parameters.csv — identified path parameters</w:t>
      </w:r>
    </w:p>
    <w:p w:rsidR="00D9789E" w:rsidRDefault="00853FB2">
      <w:pPr>
        <w:pStyle w:val="ListBullet"/>
        <w:rPr>
          <w:rFonts w:hint="eastAsia"/>
        </w:rPr>
      </w:pPr>
      <w:r>
        <w:t>setup1_revised_miso_model_overlay.csv — actual and modeled full record</w:t>
      </w:r>
    </w:p>
    <w:sectPr w:rsidR="00D9789E" w:rsidSect="00034616">
      <w:headerReference w:type="default" r:id="rId14"/>
      <w:footerReference w:type="default" r:id="rId15"/>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3FB2" w:rsidRDefault="00853FB2">
      <w:pPr>
        <w:spacing w:after="0" w:line="240" w:lineRule="auto"/>
        <w:rPr>
          <w:rFonts w:hint="eastAsia"/>
        </w:rPr>
      </w:pPr>
      <w:r>
        <w:separator/>
      </w:r>
    </w:p>
  </w:endnote>
  <w:endnote w:type="continuationSeparator" w:id="0">
    <w:p w:rsidR="00853FB2" w:rsidRDefault="00853F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89E" w:rsidRDefault="00853FB2">
    <w:pPr>
      <w:pStyle w:val="Footer"/>
      <w:jc w:val="center"/>
      <w:rPr>
        <w:rFonts w:hint="eastAsia"/>
      </w:rPr>
    </w:pPr>
    <w:r>
      <w:rPr>
        <w:color w:val="5B6573"/>
        <w:sz w:val="16"/>
      </w:rPr>
      <w:fldChar w:fldCharType="begin"/>
    </w:r>
    <w:r>
      <w:rPr>
        <w:color w:val="5B6573"/>
        <w:sz w:val="16"/>
      </w:rPr>
      <w:instrText xml:space="preserve"> PAGE </w:instrText>
    </w:r>
    <w:r w:rsidR="007964EF">
      <w:rPr>
        <w:rFonts w:hint="eastAsia"/>
        <w:color w:val="5B6573"/>
        <w:sz w:val="16"/>
      </w:rPr>
      <w:fldChar w:fldCharType="separate"/>
    </w:r>
    <w:r w:rsidR="007964EF">
      <w:rPr>
        <w:rFonts w:hint="eastAsia"/>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3FB2" w:rsidRDefault="00853FB2">
      <w:pPr>
        <w:spacing w:after="0" w:line="240" w:lineRule="auto"/>
        <w:rPr>
          <w:rFonts w:hint="eastAsia"/>
        </w:rPr>
      </w:pPr>
      <w:r>
        <w:separator/>
      </w:r>
    </w:p>
  </w:footnote>
  <w:footnote w:type="continuationSeparator" w:id="0">
    <w:p w:rsidR="00853FB2" w:rsidRDefault="00853FB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89E" w:rsidRDefault="00853FB2">
    <w:pPr>
      <w:pStyle w:val="Header"/>
      <w:jc w:val="right"/>
      <w:rPr>
        <w:rFonts w:hint="eastAsia"/>
      </w:rPr>
    </w:pPr>
    <w:r>
      <w:rPr>
        <w:b/>
        <w:color w:val="5B6573"/>
        <w:sz w:val="16"/>
      </w:rPr>
      <w:t>SETUP 1 • MISO SYSTEM IDENTIFICATION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964EF"/>
    <w:rsid w:val="00853FB2"/>
    <w:rsid w:val="00AA1D8D"/>
    <w:rsid w:val="00B47730"/>
    <w:rsid w:val="00CB0664"/>
    <w:rsid w:val="00D978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23B9F"/>
  <w14:defaultImageDpi w14:val="300"/>
  <w15:docId w15:val="{C5C607FC-8641-4327-8390-43B703D1C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91FB6-AADA-4CCA-84A2-B088E5B2C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1 Dual-Heater PCB Beam MISO System Identification</dc:title>
  <dc:subject>Independent heater path identification, symmetry analysis, dual-heater validation, and voltage sag interpretation</dc:subject>
  <dc:creator>OpenAI</dc:creator>
  <cp:keywords>PCB heater, MISO, FOPDT, thermal system, voltage sag, system identification</cp:keywords>
  <dc:description>generated by python-docx</dc:description>
  <cp:lastModifiedBy>arkadi raf</cp:lastModifiedBy>
  <cp:revision>2</cp:revision>
  <dcterms:created xsi:type="dcterms:W3CDTF">2013-12-23T23:15:00Z</dcterms:created>
  <dcterms:modified xsi:type="dcterms:W3CDTF">2026-08-06T13:05:00Z</dcterms:modified>
  <cp:category/>
</cp:coreProperties>
</file>