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300" w:before="2000"/>
        <w:jc w:val="center"/>
      </w:pPr>
      <w:r>
        <w:rPr>
          <w:rFonts w:ascii="Arial" w:cs="Arial" w:eastAsia="Arial" w:hAnsi="Arial"/>
          <w:b/>
          <w:bCs/>
          <w:color w:val="1565A7"/>
          <w:sz w:val="72"/>
          <w:szCs w:val="72"/>
        </w:rPr>
        <w:t xml:space="preserve">FLOWSHARE</w:t>
      </w:r>
    </w:p>
    <w:p>
      <w:pPr>
        <w:spacing w:after="200" w:before="0"/>
        <w:jc w:val="center"/>
      </w:pPr>
      <w:r>
        <w:rPr>
          <w:rFonts w:ascii="Arial" w:cs="Arial" w:eastAsia="Arial" w:hAnsi="Arial"/>
          <w:color w:val="555555"/>
          <w:sz w:val="28"/>
          <w:szCs w:val="28"/>
        </w:rPr>
        <w:t xml:space="preserve">Specifications Techniques et Fonctionnelles</w:t>
      </w:r>
    </w:p>
    <w:p>
      <w:pPr>
        <w:spacing w:after="600" w:before="0"/>
        <w:jc w:val="center"/>
      </w:pPr>
      <w:r>
        <w:rPr>
          <w:rFonts w:ascii="Arial" w:cs="Arial" w:eastAsia="Arial" w:hAnsi="Arial"/>
          <w:i/>
          <w:iCs/>
          <w:color w:val="888888"/>
          <w:sz w:val="24"/>
          <w:szCs w:val="24"/>
        </w:rPr>
        <w:t xml:space="preserve">Version 1.0 — BNB Chain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000"/>
        <w:gridCol w:w="6360"/>
      </w:tblGrid>
      <w:tr>
        <w:tc>
          <w:tcPr>
            <w:tcW w:type="dxa" w:w="3000"/>
            <w:tcBorders>
              <w:top w:val="single" w:color="CCCCCC" w:sz="1"/>
              <w:left w:val="single" w:color="CCCCCC" w:sz="1"/>
              <w:bottom w:val="single" w:color="CCCCCC" w:sz="1"/>
              <w:right w:val="single" w:color="CCCCCC" w:sz="1"/>
            </w:tcBorders>
            <w:shd w:fill="1565A7" w:val="clear"/>
            <w:tcMar>
              <w:top w:type="dxa" w:w="80"/>
              <w:left w:type="dxa" w:w="120"/>
              <w:bottom w:type="dxa" w:w="80"/>
              <w:right w:type="dxa" w:w="120"/>
            </w:tcMar>
          </w:tcPr>
          <w:p>
            <w:r>
              <w:rPr>
                <w:rFonts w:ascii="Arial" w:cs="Arial" w:eastAsia="Arial" w:hAnsi="Arial"/>
                <w:b/>
                <w:bCs/>
                <w:color w:val="FFFFFF"/>
                <w:sz w:val="20"/>
                <w:szCs w:val="20"/>
              </w:rPr>
              <w:t xml:space="preserve"/>
            </w:r>
          </w:p>
        </w:tc>
        <w:tc>
          <w:tcPr>
            <w:tcW w:type="dxa" w:w="6360"/>
            <w:tcBorders>
              <w:top w:val="single" w:color="CCCCCC" w:sz="1"/>
              <w:left w:val="single" w:color="CCCCCC" w:sz="1"/>
              <w:bottom w:val="single" w:color="CCCCCC" w:sz="1"/>
              <w:right w:val="single" w:color="CCCCCC" w:sz="1"/>
            </w:tcBorders>
            <w:shd w:fill="1565A7" w:val="clear"/>
            <w:tcMar>
              <w:top w:type="dxa" w:w="80"/>
              <w:left w:type="dxa" w:w="120"/>
              <w:bottom w:type="dxa" w:w="80"/>
              <w:right w:type="dxa" w:w="120"/>
            </w:tcMar>
          </w:tcPr>
          <w:p>
            <w:r>
              <w:rPr>
                <w:rFonts w:ascii="Arial" w:cs="Arial" w:eastAsia="Arial" w:hAnsi="Arial"/>
                <w:b/>
                <w:bCs/>
                <w:color w:val="FFFFFF"/>
                <w:sz w:val="20"/>
                <w:szCs w:val="20"/>
              </w:rPr>
              <w:t xml:space="preserve"/>
            </w:r>
          </w:p>
        </w:tc>
      </w:tr>
      <w:tr>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2E"/>
                <w:sz w:val="20"/>
                <w:szCs w:val="20"/>
              </w:rPr>
              <w:t xml:space="preserve"> Version</w:t>
            </w:r>
          </w:p>
        </w:tc>
        <w:tc>
          <w:tcPr>
            <w:tcW w:type="dxa" w:w="6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2E"/>
                <w:sz w:val="20"/>
                <w:szCs w:val="20"/>
              </w:rPr>
              <w:t xml:space="preserve">1.0 — Final</w:t>
            </w:r>
          </w:p>
        </w:tc>
      </w:tr>
      <w:tr>
        <w:tc>
          <w:tcPr>
            <w:tcW w:type="dxa" w:w="30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color w:val="1A1A2E"/>
                <w:sz w:val="20"/>
                <w:szCs w:val="20"/>
              </w:rPr>
              <w:t xml:space="preserve"> Date</w:t>
            </w:r>
          </w:p>
        </w:tc>
        <w:tc>
          <w:tcPr>
            <w:tcW w:type="dxa" w:w="636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color w:val="1A1A2E"/>
                <w:sz w:val="20"/>
                <w:szCs w:val="20"/>
              </w:rPr>
              <w:t xml:space="preserve">Juin 2025</w:t>
            </w:r>
          </w:p>
        </w:tc>
      </w:tr>
      <w:tr>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2E"/>
                <w:sz w:val="20"/>
                <w:szCs w:val="20"/>
              </w:rPr>
              <w:t xml:space="preserve"> Chain</w:t>
            </w:r>
          </w:p>
        </w:tc>
        <w:tc>
          <w:tcPr>
            <w:tcW w:type="dxa" w:w="6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2E"/>
                <w:sz w:val="20"/>
                <w:szCs w:val="20"/>
              </w:rPr>
              <w:t xml:space="preserve">BNB Chain (BSC)</w:t>
            </w:r>
          </w:p>
        </w:tc>
      </w:tr>
      <w:tr>
        <w:tc>
          <w:tcPr>
            <w:tcW w:type="dxa" w:w="30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color w:val="1A1A2E"/>
                <w:sz w:val="20"/>
                <w:szCs w:val="20"/>
              </w:rPr>
              <w:t xml:space="preserve"> Stablecoin</w:t>
            </w:r>
          </w:p>
        </w:tc>
        <w:tc>
          <w:tcPr>
            <w:tcW w:type="dxa" w:w="636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color w:val="1A1A2E"/>
                <w:sz w:val="20"/>
                <w:szCs w:val="20"/>
              </w:rPr>
              <w:t xml:space="preserve">USDT / USDC (BEP-20)</w:t>
            </w:r>
          </w:p>
        </w:tc>
      </w:tr>
      <w:tr>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2E"/>
                <w:sz w:val="20"/>
                <w:szCs w:val="20"/>
              </w:rPr>
              <w:t xml:space="preserve"> Statut</w:t>
            </w:r>
          </w:p>
        </w:tc>
        <w:tc>
          <w:tcPr>
            <w:tcW w:type="dxa" w:w="6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2E"/>
                <w:sz w:val="20"/>
                <w:szCs w:val="20"/>
              </w:rPr>
              <w:t xml:space="preserve">Pre-audit — Pret pour testnet</w:t>
            </w:r>
          </w:p>
        </w:tc>
      </w:tr>
    </w:tbl>
    <w:p>
      <w:pPr>
        <w:spacing w:after="0" w:before="600"/>
        <w:jc w:val="center"/>
      </w:pPr>
      <w:r>
        <w:rPr>
          <w:rFonts w:ascii="Arial" w:cs="Arial" w:eastAsia="Arial" w:hAnsi="Arial"/>
          <w:i/>
          <w:iCs/>
          <w:color w:val="888888"/>
          <w:sz w:val="22"/>
          <w:szCs w:val="22"/>
        </w:rPr>
        <w:t xml:space="preserve">Infrastructure de pool et paiement collectif onchain</w:t>
      </w:r>
    </w:p>
    <w:p>
      <w:r>
        <w:br w:type="page"/>
      </w:r>
    </w:p>
    <w:p>
      <w:pPr>
        <w:pStyle w:val="Heading1"/>
        <w:pBdr>
          <w:bottom w:val="single" w:color="1565A7" w:sz="4" w:space="4"/>
        </w:pBdr>
        <w:spacing w:after="200" w:before="400"/>
      </w:pPr>
      <w:r>
        <w:rPr>
          <w:rFonts w:ascii="Arial" w:cs="Arial" w:eastAsia="Arial" w:hAnsi="Arial"/>
          <w:b/>
          <w:bCs/>
          <w:color w:val="1A1A2E"/>
          <w:sz w:val="32"/>
          <w:szCs w:val="32"/>
        </w:rPr>
        <w:t xml:space="preserve">1. Vision et positionnement</w:t>
      </w:r>
    </w:p>
    <w:p>
      <w:pPr>
        <w:spacing w:after="80" w:before="80"/>
      </w:pPr>
      <w:r>
        <w:t xml:space="preserve"/>
      </w:r>
    </w:p>
    <w:p>
      <w:pPr>
        <w:pStyle w:val="Heading2"/>
        <w:spacing w:after="150" w:before="300"/>
      </w:pPr>
      <w:r>
        <w:rPr>
          <w:rFonts w:ascii="Arial" w:cs="Arial" w:eastAsia="Arial" w:hAnsi="Arial"/>
          <w:b/>
          <w:bCs/>
          <w:color w:val="1565A7"/>
          <w:sz w:val="26"/>
          <w:szCs w:val="26"/>
        </w:rPr>
        <w:t xml:space="preserve">1.1 Le probleme</w:t>
      </w:r>
    </w:p>
    <w:p>
      <w:pPr>
        <w:spacing w:after="80" w:before="80"/>
      </w:pPr>
      <w:r>
        <w:rPr>
          <w:rFonts w:ascii="Arial" w:cs="Arial" w:eastAsia="Arial" w:hAnsi="Arial"/>
          <w:color w:val="1A1A2E"/>
          <w:sz w:val="22"/>
          <w:szCs w:val="22"/>
        </w:rPr>
        <w:t xml:space="preserve">Envoyer de l'argent a plusieurs personnes ou contribuer collectivement a un projet necessite aujourd'hui soit une confiance aveugle dans un tiers, soit des outils complexes (Gnosis Safe, Juicebox) inaccessibles au grand public. Les presales avec tickets minimum eleves excluent les petits porteurs qui ne peuvent pas souscrire seuls.</w:t>
      </w:r>
    </w:p>
    <w:p>
      <w:pPr>
        <w:spacing w:after="80" w:before="80"/>
      </w:pPr>
      <w:r>
        <w:t xml:space="preserve"/>
      </w:r>
    </w:p>
    <w:p>
      <w:pPr>
        <w:pStyle w:val="Heading2"/>
        <w:spacing w:after="150" w:before="300"/>
      </w:pPr>
      <w:r>
        <w:rPr>
          <w:rFonts w:ascii="Arial" w:cs="Arial" w:eastAsia="Arial" w:hAnsi="Arial"/>
          <w:b/>
          <w:bCs/>
          <w:color w:val="1565A7"/>
          <w:sz w:val="26"/>
          <w:szCs w:val="26"/>
        </w:rPr>
        <w:t xml:space="preserve">1.2 La solution</w:t>
      </w:r>
    </w:p>
    <w:p>
      <w:pPr>
        <w:spacing w:after="80" w:before="80"/>
      </w:pPr>
      <w:r>
        <w:rPr>
          <w:rFonts w:ascii="Arial" w:cs="Arial" w:eastAsia="Arial" w:hAnsi="Arial"/>
          <w:color w:val="1A1A2E"/>
          <w:sz w:val="22"/>
          <w:szCs w:val="22"/>
        </w:rPr>
        <w:t xml:space="preserve">FlowShare est un contrat intelligent universel sur BNB Chain. Il permet a n'importe quel groupe de creer une pool en 30 secondes, de contribuer en USDT ou USDC, et d'executer une action collective validee par tous — sans intermediaire, sans avocat, sans Safe.</w:t>
      </w:r>
    </w:p>
    <w:p>
      <w:pPr>
        <w:spacing w:after="80" w:before="80"/>
      </w:pPr>
      <w:r>
        <w:t xml:space="preserve"/>
      </w:r>
    </w:p>
    <w:p>
      <w:pPr>
        <w:pStyle w:val="Heading2"/>
        <w:spacing w:after="150" w:before="300"/>
      </w:pPr>
      <w:r>
        <w:rPr>
          <w:rFonts w:ascii="Arial" w:cs="Arial" w:eastAsia="Arial" w:hAnsi="Arial"/>
          <w:b/>
          <w:bCs/>
          <w:color w:val="1565A7"/>
          <w:sz w:val="26"/>
          <w:szCs w:val="26"/>
        </w:rPr>
        <w:t xml:space="preserve">1.3 Les trois produits en un seul contrat</w:t>
      </w:r>
    </w:p>
    <w:p>
      <w:pPr>
        <w:spacing w:after="80" w:before="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2800"/>
        <w:gridCol w:w="3760"/>
      </w:tblGrid>
      <w:tr>
        <w:tc>
          <w:tcPr>
            <w:tcW w:type="dxa" w:w="2800"/>
            <w:tcBorders>
              <w:top w:val="single" w:color="CCCCCC" w:sz="1"/>
              <w:left w:val="single" w:color="CCCCCC" w:sz="1"/>
              <w:bottom w:val="single" w:color="CCCCCC" w:sz="1"/>
              <w:right w:val="single" w:color="CCCCCC" w:sz="1"/>
            </w:tcBorders>
            <w:shd w:fill="1565A7" w:val="clear"/>
            <w:tcMar>
              <w:top w:type="dxa" w:w="80"/>
              <w:left w:type="dxa" w:w="120"/>
              <w:bottom w:type="dxa" w:w="80"/>
              <w:right w:type="dxa" w:w="120"/>
            </w:tcMar>
          </w:tcPr>
          <w:p>
            <w:r>
              <w:rPr>
                <w:rFonts w:ascii="Arial" w:cs="Arial" w:eastAsia="Arial" w:hAnsi="Arial"/>
                <w:b/>
                <w:bCs/>
                <w:color w:val="FFFFFF"/>
                <w:sz w:val="20"/>
                <w:szCs w:val="20"/>
              </w:rPr>
              <w:t xml:space="preserve">Produit</w:t>
            </w:r>
          </w:p>
        </w:tc>
        <w:tc>
          <w:tcPr>
            <w:tcW w:type="dxa" w:w="2800"/>
            <w:tcBorders>
              <w:top w:val="single" w:color="CCCCCC" w:sz="1"/>
              <w:left w:val="single" w:color="CCCCCC" w:sz="1"/>
              <w:bottom w:val="single" w:color="CCCCCC" w:sz="1"/>
              <w:right w:val="single" w:color="CCCCCC" w:sz="1"/>
            </w:tcBorders>
            <w:shd w:fill="1565A7" w:val="clear"/>
            <w:tcMar>
              <w:top w:type="dxa" w:w="80"/>
              <w:left w:type="dxa" w:w="120"/>
              <w:bottom w:type="dxa" w:w="80"/>
              <w:right w:type="dxa" w:w="120"/>
            </w:tcMar>
          </w:tcPr>
          <w:p>
            <w:r>
              <w:rPr>
                <w:rFonts w:ascii="Arial" w:cs="Arial" w:eastAsia="Arial" w:hAnsi="Arial"/>
                <w:b/>
                <w:bCs/>
                <w:color w:val="FFFFFF"/>
                <w:sz w:val="20"/>
                <w:szCs w:val="20"/>
              </w:rPr>
              <w:t xml:space="preserve">Configuration</w:t>
            </w:r>
          </w:p>
        </w:tc>
        <w:tc>
          <w:tcPr>
            <w:tcW w:type="dxa" w:w="3760"/>
            <w:tcBorders>
              <w:top w:val="single" w:color="CCCCCC" w:sz="1"/>
              <w:left w:val="single" w:color="CCCCCC" w:sz="1"/>
              <w:bottom w:val="single" w:color="CCCCCC" w:sz="1"/>
              <w:right w:val="single" w:color="CCCCCC" w:sz="1"/>
            </w:tcBorders>
            <w:shd w:fill="1565A7" w:val="clear"/>
            <w:tcMar>
              <w:top w:type="dxa" w:w="80"/>
              <w:left w:type="dxa" w:w="120"/>
              <w:bottom w:type="dxa" w:w="80"/>
              <w:right w:type="dxa" w:w="120"/>
            </w:tcMar>
          </w:tcPr>
          <w:p>
            <w:r>
              <w:rPr>
                <w:rFonts w:ascii="Arial" w:cs="Arial" w:eastAsia="Arial" w:hAnsi="Arial"/>
                <w:b/>
                <w:bCs/>
                <w:color w:val="FFFFFF"/>
                <w:sz w:val="20"/>
                <w:szCs w:val="20"/>
              </w:rPr>
              <w:t xml:space="preserve">Cas d'usage</w:t>
            </w:r>
          </w:p>
        </w:tc>
      </w:tr>
      <w:tr>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2E"/>
                <w:sz w:val="20"/>
                <w:szCs w:val="20"/>
              </w:rPr>
              <w:t xml:space="preserve">Transfert conditionnel</w:t>
            </w:r>
          </w:p>
        </w:tc>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2E"/>
                <w:sz w:val="20"/>
                <w:szCs w:val="20"/>
              </w:rPr>
              <w:t xml:space="preserve">2 membres / threshold 1</w:t>
            </w:r>
          </w:p>
        </w:tc>
        <w:tc>
          <w:tcPr>
            <w:tcW w:type="dxa" w:w="37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2E"/>
                <w:sz w:val="20"/>
                <w:szCs w:val="20"/>
              </w:rPr>
              <w:t xml:space="preserve">Alice envoie a Bob — les deux valident — remboursement si pas d'accord</w:t>
            </w:r>
          </w:p>
        </w:tc>
      </w:tr>
      <w:tr>
        <w:tc>
          <w:tcPr>
            <w:tcW w:type="dxa" w:w="28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color w:val="1A1A2E"/>
                <w:sz w:val="20"/>
                <w:szCs w:val="20"/>
              </w:rPr>
              <w:t xml:space="preserve">Pool collective</w:t>
            </w:r>
          </w:p>
        </w:tc>
        <w:tc>
          <w:tcPr>
            <w:tcW w:type="dxa" w:w="28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color w:val="1A1A2E"/>
                <w:sz w:val="20"/>
                <w:szCs w:val="20"/>
              </w:rPr>
              <w:t xml:space="preserve">N membres / threshold X</w:t>
            </w:r>
          </w:p>
        </w:tc>
        <w:tc>
          <w:tcPr>
            <w:tcW w:type="dxa" w:w="376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color w:val="1A1A2E"/>
                <w:sz w:val="20"/>
                <w:szCs w:val="20"/>
              </w:rPr>
              <w:t xml:space="preserve">Voyage, cadeau collectif, achat groupe, paiement fournisseur commun</w:t>
            </w:r>
          </w:p>
        </w:tc>
      </w:tr>
      <w:tr>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2E"/>
                <w:sz w:val="20"/>
                <w:szCs w:val="20"/>
              </w:rPr>
              <w:t xml:space="preserve">Group buy presale</w:t>
            </w:r>
          </w:p>
        </w:tc>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2E"/>
                <w:sz w:val="20"/>
                <w:szCs w:val="20"/>
              </w:rPr>
              <w:t xml:space="preserve">N membres / destination presale</w:t>
            </w:r>
          </w:p>
        </w:tc>
        <w:tc>
          <w:tcPr>
            <w:tcW w:type="dxa" w:w="37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2E"/>
                <w:sz w:val="20"/>
                <w:szCs w:val="20"/>
              </w:rPr>
              <w:t xml:space="preserve">Souscription collective — tokens redistribues automatiquement selon les parts</w:t>
            </w:r>
          </w:p>
        </w:tc>
      </w:tr>
    </w:tbl>
    <w:p>
      <w:pPr>
        <w:spacing w:after="80" w:before="80"/>
      </w:pPr>
      <w:r>
        <w:t xml:space="preserve"/>
      </w:r>
    </w:p>
    <w:p>
      <w:pPr>
        <w:pStyle w:val="Heading2"/>
        <w:spacing w:after="150" w:before="300"/>
      </w:pPr>
      <w:r>
        <w:rPr>
          <w:rFonts w:ascii="Arial" w:cs="Arial" w:eastAsia="Arial" w:hAnsi="Arial"/>
          <w:b/>
          <w:bCs/>
          <w:color w:val="1565A7"/>
          <w:sz w:val="26"/>
          <w:szCs w:val="26"/>
        </w:rPr>
        <w:t xml:space="preserve">1.4 Ce que V1 ne fait PAS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none" w:color="FFFFFF" w:sz="0"/>
              <w:left w:val="none" w:color="FFFFFF" w:sz="0"/>
              <w:bottom w:val="none" w:color="FFFFFF" w:sz="0"/>
              <w:right w:val="none" w:color="FFFFFF" w:sz="0"/>
            </w:tcBorders>
            <w:shd w:fill="D6E8F5" w:val="clear"/>
            <w:tcMar>
              <w:top w:type="dxa" w:w="120"/>
              <w:left w:type="dxa" w:w="200"/>
              <w:bottom w:type="dxa" w:w="120"/>
              <w:right w:type="dxa" w:w="200"/>
            </w:tcMar>
          </w:tcPr>
          <w:p>
            <w:r>
              <w:rPr>
                <w:rFonts w:ascii="Arial" w:cs="Arial" w:eastAsia="Arial" w:hAnsi="Arial"/>
                <w:b/>
                <w:bCs/>
                <w:color w:val="0C447C"/>
                <w:sz w:val="20"/>
                <w:szCs w:val="20"/>
              </w:rPr>
              <w:t xml:space="preserve">Scope: </w:t>
            </w:r>
            <w:r>
              <w:rPr>
                <w:rFonts w:ascii="Arial" w:cs="Arial" w:eastAsia="Arial" w:hAnsi="Arial"/>
                <w:color w:val="0C447C"/>
                <w:sz w:val="20"/>
                <w:szCs w:val="20"/>
              </w:rPr>
              <w:t xml:space="preserve">Ces fonctionnalites sont volontairement exclues pour garantir simplicite, securite et rapidite de mise sur le marche.</w:t>
            </w:r>
          </w:p>
        </w:tc>
      </w:tr>
    </w:tbl>
    <w:p>
      <w:pPr>
        <w:spacing w:after="80" w:before="80"/>
      </w:pPr>
      <w:r>
        <w:t xml:space="preserve"/>
      </w:r>
    </w:p>
    <w:p>
      <w:pPr>
        <w:pStyle w:val="ListParagraph"/>
        <w:numPr>
          <w:ilvl w:val="0"/>
          <w:numId w:val="2"/>
        </w:numPr>
        <w:spacing w:after="60" w:before="60"/>
      </w:pPr>
      <w:r>
        <w:rPr>
          <w:rFonts w:ascii="Arial" w:cs="Arial" w:eastAsia="Arial" w:hAnsi="Arial"/>
          <w:color w:val="1A1A2E"/>
          <w:sz w:val="22"/>
          <w:szCs w:val="22"/>
        </w:rPr>
        <w:t xml:space="preserve">Distribution interne de USDT aux membres — V2</w:t>
      </w:r>
    </w:p>
    <w:p>
      <w:pPr>
        <w:pStyle w:val="ListParagraph"/>
        <w:numPr>
          <w:ilvl w:val="0"/>
          <w:numId w:val="2"/>
        </w:numPr>
        <w:spacing w:after="60" w:before="60"/>
      </w:pPr>
      <w:r>
        <w:rPr>
          <w:rFonts w:ascii="Arial" w:cs="Arial" w:eastAsia="Arial" w:hAnsi="Arial"/>
          <w:color w:val="1A1A2E"/>
          <w:sz w:val="22"/>
          <w:szCs w:val="22"/>
        </w:rPr>
        <w:t xml:space="preserve">Cancel et pause d'un accord — V2</w:t>
      </w:r>
    </w:p>
    <w:p>
      <w:pPr>
        <w:pStyle w:val="ListParagraph"/>
        <w:numPr>
          <w:ilvl w:val="0"/>
          <w:numId w:val="2"/>
        </w:numPr>
        <w:spacing w:after="60" w:before="60"/>
      </w:pPr>
      <w:r>
        <w:rPr>
          <w:rFonts w:ascii="Arial" w:cs="Arial" w:eastAsia="Arial" w:hAnsi="Arial"/>
          <w:color w:val="1A1A2E"/>
          <w:sz w:val="22"/>
          <w:szCs w:val="22"/>
        </w:rPr>
        <w:t xml:space="preserve">Vesting et unlock progressif — V2</w:t>
      </w:r>
    </w:p>
    <w:p>
      <w:pPr>
        <w:pStyle w:val="ListParagraph"/>
        <w:numPr>
          <w:ilvl w:val="0"/>
          <w:numId w:val="2"/>
        </w:numPr>
        <w:spacing w:after="60" w:before="60"/>
      </w:pPr>
      <w:r>
        <w:rPr>
          <w:rFonts w:ascii="Arial" w:cs="Arial" w:eastAsia="Arial" w:hAnsi="Arial"/>
          <w:color w:val="1A1A2E"/>
          <w:sz w:val="22"/>
          <w:szCs w:val="22"/>
        </w:rPr>
        <w:t xml:space="preserve">Integration DeFi (Venus, PancakeSwap) — exclue definitivement de la roadmap V1</w:t>
      </w:r>
    </w:p>
    <w:p>
      <w:pPr>
        <w:pStyle w:val="ListParagraph"/>
        <w:numPr>
          <w:ilvl w:val="0"/>
          <w:numId w:val="2"/>
        </w:numPr>
        <w:spacing w:after="60" w:before="60"/>
      </w:pPr>
      <w:r>
        <w:rPr>
          <w:rFonts w:ascii="Arial" w:cs="Arial" w:eastAsia="Arial" w:hAnsi="Arial"/>
          <w:color w:val="1A1A2E"/>
          <w:sz w:val="22"/>
          <w:szCs w:val="22"/>
        </w:rPr>
        <w:t xml:space="preserve">Tokens non ERC-20 : Solana, SUI, TON, Bitcoin — hors perimetre</w:t>
      </w:r>
    </w:p>
    <w:p>
      <w:pPr>
        <w:pStyle w:val="ListParagraph"/>
        <w:numPr>
          <w:ilvl w:val="0"/>
          <w:numId w:val="2"/>
        </w:numPr>
        <w:spacing w:after="60" w:before="60"/>
      </w:pPr>
      <w:r>
        <w:rPr>
          <w:rFonts w:ascii="Arial" w:cs="Arial" w:eastAsia="Arial" w:hAnsi="Arial"/>
          <w:color w:val="1A1A2E"/>
          <w:sz w:val="22"/>
          <w:szCs w:val="22"/>
        </w:rPr>
        <w:t xml:space="preserve">NFT d'allocation (ERC-721) — V1.5 si demande marche</w:t>
      </w:r>
    </w:p>
    <w:p>
      <w:r>
        <w:br w:type="page"/>
      </w:r>
    </w:p>
    <w:p>
      <w:pPr>
        <w:pStyle w:val="Heading1"/>
        <w:pBdr>
          <w:bottom w:val="single" w:color="1565A7" w:sz="4" w:space="4"/>
        </w:pBdr>
        <w:spacing w:after="200" w:before="400"/>
      </w:pPr>
      <w:r>
        <w:rPr>
          <w:rFonts w:ascii="Arial" w:cs="Arial" w:eastAsia="Arial" w:hAnsi="Arial"/>
          <w:b/>
          <w:bCs/>
          <w:color w:val="1A1A2E"/>
          <w:sz w:val="32"/>
          <w:szCs w:val="32"/>
        </w:rPr>
        <w:t xml:space="preserve">2. Architecture technique</w:t>
      </w:r>
    </w:p>
    <w:p>
      <w:pPr>
        <w:spacing w:after="80" w:before="80"/>
      </w:pPr>
      <w:r>
        <w:t xml:space="preserve"/>
      </w:r>
    </w:p>
    <w:p>
      <w:pPr>
        <w:pStyle w:val="Heading2"/>
        <w:spacing w:after="150" w:before="300"/>
      </w:pPr>
      <w:r>
        <w:rPr>
          <w:rFonts w:ascii="Arial" w:cs="Arial" w:eastAsia="Arial" w:hAnsi="Arial"/>
          <w:b/>
          <w:bCs/>
          <w:color w:val="1565A7"/>
          <w:sz w:val="26"/>
          <w:szCs w:val="26"/>
        </w:rPr>
        <w:t xml:space="preserve">2.1 Stack complete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500"/>
        <w:gridCol w:w="2800"/>
        <w:gridCol w:w="4060"/>
      </w:tblGrid>
      <w:tr>
        <w:tc>
          <w:tcPr>
            <w:tcW w:type="dxa" w:w="2500"/>
            <w:tcBorders>
              <w:top w:val="single" w:color="CCCCCC" w:sz="1"/>
              <w:left w:val="single" w:color="CCCCCC" w:sz="1"/>
              <w:bottom w:val="single" w:color="CCCCCC" w:sz="1"/>
              <w:right w:val="single" w:color="CCCCCC" w:sz="1"/>
            </w:tcBorders>
            <w:shd w:fill="1565A7" w:val="clear"/>
            <w:tcMar>
              <w:top w:type="dxa" w:w="80"/>
              <w:left w:type="dxa" w:w="120"/>
              <w:bottom w:type="dxa" w:w="80"/>
              <w:right w:type="dxa" w:w="120"/>
            </w:tcMar>
          </w:tcPr>
          <w:p>
            <w:r>
              <w:rPr>
                <w:rFonts w:ascii="Arial" w:cs="Arial" w:eastAsia="Arial" w:hAnsi="Arial"/>
                <w:b/>
                <w:bCs/>
                <w:color w:val="FFFFFF"/>
                <w:sz w:val="20"/>
                <w:szCs w:val="20"/>
              </w:rPr>
              <w:t xml:space="preserve">Composant</w:t>
            </w:r>
          </w:p>
        </w:tc>
        <w:tc>
          <w:tcPr>
            <w:tcW w:type="dxa" w:w="2800"/>
            <w:tcBorders>
              <w:top w:val="single" w:color="CCCCCC" w:sz="1"/>
              <w:left w:val="single" w:color="CCCCCC" w:sz="1"/>
              <w:bottom w:val="single" w:color="CCCCCC" w:sz="1"/>
              <w:right w:val="single" w:color="CCCCCC" w:sz="1"/>
            </w:tcBorders>
            <w:shd w:fill="1565A7" w:val="clear"/>
            <w:tcMar>
              <w:top w:type="dxa" w:w="80"/>
              <w:left w:type="dxa" w:w="120"/>
              <w:bottom w:type="dxa" w:w="80"/>
              <w:right w:type="dxa" w:w="120"/>
            </w:tcMar>
          </w:tcPr>
          <w:p>
            <w:r>
              <w:rPr>
                <w:rFonts w:ascii="Arial" w:cs="Arial" w:eastAsia="Arial" w:hAnsi="Arial"/>
                <w:b/>
                <w:bCs/>
                <w:color w:val="FFFFFF"/>
                <w:sz w:val="20"/>
                <w:szCs w:val="20"/>
              </w:rPr>
              <w:t xml:space="preserve">Technologie</w:t>
            </w:r>
          </w:p>
        </w:tc>
        <w:tc>
          <w:tcPr>
            <w:tcW w:type="dxa" w:w="4060"/>
            <w:tcBorders>
              <w:top w:val="single" w:color="CCCCCC" w:sz="1"/>
              <w:left w:val="single" w:color="CCCCCC" w:sz="1"/>
              <w:bottom w:val="single" w:color="CCCCCC" w:sz="1"/>
              <w:right w:val="single" w:color="CCCCCC" w:sz="1"/>
            </w:tcBorders>
            <w:shd w:fill="1565A7" w:val="clear"/>
            <w:tcMar>
              <w:top w:type="dxa" w:w="80"/>
              <w:left w:type="dxa" w:w="120"/>
              <w:bottom w:type="dxa" w:w="80"/>
              <w:right w:type="dxa" w:w="120"/>
            </w:tcMar>
          </w:tcPr>
          <w:p>
            <w:r>
              <w:rPr>
                <w:rFonts w:ascii="Arial" w:cs="Arial" w:eastAsia="Arial" w:hAnsi="Arial"/>
                <w:b/>
                <w:bCs/>
                <w:color w:val="FFFFFF"/>
                <w:sz w:val="20"/>
                <w:szCs w:val="20"/>
              </w:rPr>
              <w:t xml:space="preserve">Role</w:t>
            </w:r>
          </w:p>
        </w:tc>
      </w:tr>
      <w:tr>
        <w:tc>
          <w:tcPr>
            <w:tcW w:type="dxa" w:w="2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2E"/>
                <w:sz w:val="20"/>
                <w:szCs w:val="20"/>
              </w:rPr>
              <w:t xml:space="preserve">Smart contract</w:t>
            </w:r>
          </w:p>
        </w:tc>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2E"/>
                <w:sz w:val="20"/>
                <w:szCs w:val="20"/>
              </w:rPr>
              <w:t xml:space="preserve">Solidity 0.8.20</w:t>
            </w:r>
          </w:p>
        </w:tc>
        <w:tc>
          <w:tcPr>
            <w:tcW w:type="dxa" w:w="40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2E"/>
                <w:sz w:val="20"/>
                <w:szCs w:val="20"/>
              </w:rPr>
              <w:t xml:space="preserve">Logique core — pool, collecte, validation, envoi, redistribution tokens</w:t>
            </w:r>
          </w:p>
        </w:tc>
      </w:tr>
      <w:tr>
        <w:tc>
          <w:tcPr>
            <w:tcW w:type="dxa" w:w="25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color w:val="1A1A2E"/>
                <w:sz w:val="20"/>
                <w:szCs w:val="20"/>
              </w:rPr>
              <w:t xml:space="preserve">Chain</w:t>
            </w:r>
          </w:p>
        </w:tc>
        <w:tc>
          <w:tcPr>
            <w:tcW w:type="dxa" w:w="28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color w:val="1A1A2E"/>
                <w:sz w:val="20"/>
                <w:szCs w:val="20"/>
              </w:rPr>
              <w:t xml:space="preserve">BNB Chain (BSC)</w:t>
            </w:r>
          </w:p>
        </w:tc>
        <w:tc>
          <w:tcPr>
            <w:tcW w:type="dxa" w:w="406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color w:val="1A1A2E"/>
                <w:sz w:val="20"/>
                <w:szCs w:val="20"/>
              </w:rPr>
              <w:t xml:space="preserve">Fees micro, ecosysteme presale actif, PinkSale/DxSale natifs</w:t>
            </w:r>
          </w:p>
        </w:tc>
      </w:tr>
      <w:tr>
        <w:tc>
          <w:tcPr>
            <w:tcW w:type="dxa" w:w="2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2E"/>
                <w:sz w:val="20"/>
                <w:szCs w:val="20"/>
              </w:rPr>
              <w:t xml:space="preserve">Standard token</w:t>
            </w:r>
          </w:p>
        </w:tc>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2E"/>
                <w:sz w:val="20"/>
                <w:szCs w:val="20"/>
              </w:rPr>
              <w:t xml:space="preserve">BEP-20 (= ERC-20)</w:t>
            </w:r>
          </w:p>
        </w:tc>
        <w:tc>
          <w:tcPr>
            <w:tcW w:type="dxa" w:w="40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2E"/>
                <w:sz w:val="20"/>
                <w:szCs w:val="20"/>
              </w:rPr>
              <w:t xml:space="preserve">USDT + USDC en entree / tout token BEP-20 en sortie</w:t>
            </w:r>
          </w:p>
        </w:tc>
      </w:tr>
      <w:tr>
        <w:tc>
          <w:tcPr>
            <w:tcW w:type="dxa" w:w="25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color w:val="1A1A2E"/>
                <w:sz w:val="20"/>
                <w:szCs w:val="20"/>
              </w:rPr>
              <w:t xml:space="preserve">Securite</w:t>
            </w:r>
          </w:p>
        </w:tc>
        <w:tc>
          <w:tcPr>
            <w:tcW w:type="dxa" w:w="28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color w:val="1A1A2E"/>
                <w:sz w:val="20"/>
                <w:szCs w:val="20"/>
              </w:rPr>
              <w:t xml:space="preserve">OpenZeppelin</w:t>
            </w:r>
          </w:p>
        </w:tc>
        <w:tc>
          <w:tcPr>
            <w:tcW w:type="dxa" w:w="406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color w:val="1A1A2E"/>
                <w:sz w:val="20"/>
                <w:szCs w:val="20"/>
              </w:rPr>
              <w:t xml:space="preserve">ReentrancyGuard, IERC20, Ownable</w:t>
            </w:r>
          </w:p>
        </w:tc>
      </w:tr>
      <w:tr>
        <w:tc>
          <w:tcPr>
            <w:tcW w:type="dxa" w:w="2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2E"/>
                <w:sz w:val="20"/>
                <w:szCs w:val="20"/>
              </w:rPr>
              <w:t xml:space="preserve">Testnet</w:t>
            </w:r>
          </w:p>
        </w:tc>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2E"/>
                <w:sz w:val="20"/>
                <w:szCs w:val="20"/>
              </w:rPr>
              <w:t xml:space="preserve">BNB Testnet</w:t>
            </w:r>
          </w:p>
        </w:tc>
        <w:tc>
          <w:tcPr>
            <w:tcW w:type="dxa" w:w="40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2E"/>
                <w:sz w:val="20"/>
                <w:szCs w:val="20"/>
              </w:rPr>
              <w:t xml:space="preserve">Tests avant deploiement mainnet</w:t>
            </w:r>
          </w:p>
        </w:tc>
      </w:tr>
      <w:tr>
        <w:tc>
          <w:tcPr>
            <w:tcW w:type="dxa" w:w="25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color w:val="1A1A2E"/>
                <w:sz w:val="20"/>
                <w:szCs w:val="20"/>
              </w:rPr>
              <w:t xml:space="preserve">Explorer</w:t>
            </w:r>
          </w:p>
        </w:tc>
        <w:tc>
          <w:tcPr>
            <w:tcW w:type="dxa" w:w="28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color w:val="1A1A2E"/>
                <w:sz w:val="20"/>
                <w:szCs w:val="20"/>
              </w:rPr>
              <w:t xml:space="preserve">BscScan</w:t>
            </w:r>
          </w:p>
        </w:tc>
        <w:tc>
          <w:tcPr>
            <w:tcW w:type="dxa" w:w="406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color w:val="1A1A2E"/>
                <w:sz w:val="20"/>
                <w:szCs w:val="20"/>
              </w:rPr>
              <w:t xml:space="preserve">Verification des transactions onchain</w:t>
            </w:r>
          </w:p>
        </w:tc>
      </w:tr>
      <w:tr>
        <w:tc>
          <w:tcPr>
            <w:tcW w:type="dxa" w:w="2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2E"/>
                <w:sz w:val="20"/>
                <w:szCs w:val="20"/>
              </w:rPr>
              <w:t xml:space="preserve">Frontend</w:t>
            </w:r>
          </w:p>
        </w:tc>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2E"/>
                <w:sz w:val="20"/>
                <w:szCs w:val="20"/>
              </w:rPr>
              <w:t xml:space="preserve">Next.js</w:t>
            </w:r>
          </w:p>
        </w:tc>
        <w:tc>
          <w:tcPr>
            <w:tcW w:type="dxa" w:w="40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2E"/>
                <w:sz w:val="20"/>
                <w:szCs w:val="20"/>
              </w:rPr>
              <w:t xml:space="preserve">Interface utilisateur web</w:t>
            </w:r>
          </w:p>
        </w:tc>
      </w:tr>
      <w:tr>
        <w:tc>
          <w:tcPr>
            <w:tcW w:type="dxa" w:w="25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color w:val="1A1A2E"/>
                <w:sz w:val="20"/>
                <w:szCs w:val="20"/>
              </w:rPr>
              <w:t xml:space="preserve">Wallet</w:t>
            </w:r>
          </w:p>
        </w:tc>
        <w:tc>
          <w:tcPr>
            <w:tcW w:type="dxa" w:w="28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color w:val="1A1A2E"/>
                <w:sz w:val="20"/>
                <w:szCs w:val="20"/>
              </w:rPr>
              <w:t xml:space="preserve">MetaMask / Trust Wallet / Binance Wallet</w:t>
            </w:r>
          </w:p>
        </w:tc>
        <w:tc>
          <w:tcPr>
            <w:tcW w:type="dxa" w:w="406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color w:val="1A1A2E"/>
                <w:sz w:val="20"/>
                <w:szCs w:val="20"/>
              </w:rPr>
              <w:t xml:space="preserve">Connexion et signature des membres</w:t>
            </w:r>
          </w:p>
        </w:tc>
      </w:tr>
      <w:tr>
        <w:tc>
          <w:tcPr>
            <w:tcW w:type="dxa" w:w="2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2E"/>
                <w:sz w:val="20"/>
                <w:szCs w:val="20"/>
              </w:rPr>
              <w:t xml:space="preserve">Wallet connect</w:t>
            </w:r>
          </w:p>
        </w:tc>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2E"/>
                <w:sz w:val="20"/>
                <w:szCs w:val="20"/>
              </w:rPr>
              <w:t xml:space="preserve">RainbowKit ou WalletConnect</w:t>
            </w:r>
          </w:p>
        </w:tc>
        <w:tc>
          <w:tcPr>
            <w:tcW w:type="dxa" w:w="40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2E"/>
                <w:sz w:val="20"/>
                <w:szCs w:val="20"/>
              </w:rPr>
              <w:t xml:space="preserve">Integration wallet dans le frontend</w:t>
            </w:r>
          </w:p>
        </w:tc>
      </w:tr>
      <w:tr>
        <w:tc>
          <w:tcPr>
            <w:tcW w:type="dxa" w:w="25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color w:val="1A1A2E"/>
                <w:sz w:val="20"/>
                <w:szCs w:val="20"/>
              </w:rPr>
              <w:t xml:space="preserve">Notifications</w:t>
            </w:r>
          </w:p>
        </w:tc>
        <w:tc>
          <w:tcPr>
            <w:tcW w:type="dxa" w:w="28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color w:val="1A1A2E"/>
                <w:sz w:val="20"/>
                <w:szCs w:val="20"/>
              </w:rPr>
              <w:t xml:space="preserve">Push Protocol</w:t>
            </w:r>
          </w:p>
        </w:tc>
        <w:tc>
          <w:tcPr>
            <w:tcW w:type="dxa" w:w="406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color w:val="1A1A2E"/>
                <w:sz w:val="20"/>
                <w:szCs w:val="20"/>
              </w:rPr>
              <w:t xml:space="preserve">Alertes aux membres</w:t>
            </w:r>
          </w:p>
        </w:tc>
      </w:tr>
      <w:tr>
        <w:tc>
          <w:tcPr>
            <w:tcW w:type="dxa" w:w="2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2E"/>
                <w:sz w:val="20"/>
                <w:szCs w:val="20"/>
              </w:rPr>
              <w:t xml:space="preserve">Metadata</w:t>
            </w:r>
          </w:p>
        </w:tc>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2E"/>
                <w:sz w:val="20"/>
                <w:szCs w:val="20"/>
              </w:rPr>
              <w:t xml:space="preserve">IPFS</w:t>
            </w:r>
          </w:p>
        </w:tc>
        <w:tc>
          <w:tcPr>
            <w:tcW w:type="dxa" w:w="40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2E"/>
                <w:sz w:val="20"/>
                <w:szCs w:val="20"/>
              </w:rPr>
              <w:t xml:space="preserve">Nom et description de la pool</w:t>
            </w:r>
          </w:p>
        </w:tc>
      </w:tr>
    </w:tbl>
    <w:p>
      <w:pPr>
        <w:spacing w:after="80" w:before="80"/>
      </w:pPr>
      <w:r>
        <w:t xml:space="preserve"/>
      </w:r>
    </w:p>
    <w:p>
      <w:pPr>
        <w:pStyle w:val="Heading2"/>
        <w:spacing w:after="150" w:before="300"/>
      </w:pPr>
      <w:r>
        <w:rPr>
          <w:rFonts w:ascii="Arial" w:cs="Arial" w:eastAsia="Arial" w:hAnsi="Arial"/>
          <w:b/>
          <w:bCs/>
          <w:color w:val="1565A7"/>
          <w:sz w:val="26"/>
          <w:szCs w:val="26"/>
        </w:rPr>
        <w:t xml:space="preserve">2.2 Flux principal — deux phases</w:t>
      </w:r>
    </w:p>
    <w:p>
      <w:pPr>
        <w:pStyle w:val="Heading3"/>
        <w:spacing w:after="100" w:before="200"/>
      </w:pPr>
      <w:r>
        <w:rPr>
          <w:rFonts w:ascii="Arial" w:cs="Arial" w:eastAsia="Arial" w:hAnsi="Arial"/>
          <w:b/>
          <w:bCs/>
          <w:color w:val="1A1A2E"/>
          <w:sz w:val="22"/>
          <w:szCs w:val="22"/>
        </w:rPr>
        <w:t xml:space="preserve">Phase 1 — Collecte et envoi</w:t>
      </w:r>
    </w:p>
    <w:p>
      <w:pPr>
        <w:pStyle w:val="ListParagraph"/>
        <w:numPr>
          <w:ilvl w:val="0"/>
          <w:numId w:val="3"/>
        </w:numPr>
        <w:spacing w:after="60" w:before="60"/>
      </w:pPr>
      <w:r>
        <w:rPr>
          <w:rFonts w:ascii="Arial" w:cs="Arial" w:eastAsia="Arial" w:hAnsi="Arial"/>
          <w:color w:val="1A1A2E"/>
          <w:sz w:val="22"/>
          <w:szCs w:val="22"/>
        </w:rPr>
        <w:t xml:space="preserve">Creation de la pool — parametres definis et immuables</w:t>
      </w:r>
    </w:p>
    <w:p>
      <w:pPr>
        <w:pStyle w:val="ListParagraph"/>
        <w:numPr>
          <w:ilvl w:val="0"/>
          <w:numId w:val="3"/>
        </w:numPr>
        <w:spacing w:after="60" w:before="60"/>
      </w:pPr>
      <w:r>
        <w:rPr>
          <w:rFonts w:ascii="Arial" w:cs="Arial" w:eastAsia="Arial" w:hAnsi="Arial"/>
          <w:color w:val="1A1A2E"/>
          <w:sz w:val="22"/>
          <w:szCs w:val="22"/>
        </w:rPr>
        <w:t xml:space="preserve">Contributions USDT de chaque membre</w:t>
      </w:r>
    </w:p>
    <w:p>
      <w:pPr>
        <w:pStyle w:val="ListParagraph"/>
        <w:numPr>
          <w:ilvl w:val="0"/>
          <w:numId w:val="3"/>
        </w:numPr>
        <w:spacing w:after="60" w:before="60"/>
      </w:pPr>
      <w:r>
        <w:rPr>
          <w:rFonts w:ascii="Arial" w:cs="Arial" w:eastAsia="Arial" w:hAnsi="Arial"/>
          <w:color w:val="1A1A2E"/>
          <w:sz w:val="22"/>
          <w:szCs w:val="22"/>
        </w:rPr>
        <w:t xml:space="preserve">Objectif atteint — validation collective</w:t>
      </w:r>
    </w:p>
    <w:p>
      <w:pPr>
        <w:pStyle w:val="ListParagraph"/>
        <w:numPr>
          <w:ilvl w:val="0"/>
          <w:numId w:val="3"/>
        </w:numPr>
        <w:spacing w:after="60" w:before="60"/>
      </w:pPr>
      <w:r>
        <w:rPr>
          <w:rFonts w:ascii="Arial" w:cs="Arial" w:eastAsia="Arial" w:hAnsi="Arial"/>
          <w:color w:val="1A1A2E"/>
          <w:sz w:val="22"/>
          <w:szCs w:val="22"/>
        </w:rPr>
        <w:t xml:space="preserve">Threshold atteint — envoi automatique vers destination externe</w:t>
      </w:r>
    </w:p>
    <w:p>
      <w:pPr>
        <w:spacing w:after="80" w:before="80"/>
      </w:pPr>
      <w:r>
        <w:t xml:space="preserve"/>
      </w:r>
    </w:p>
    <w:p>
      <w:pPr>
        <w:pStyle w:val="Heading3"/>
        <w:spacing w:after="100" w:before="200"/>
      </w:pPr>
      <w:r>
        <w:rPr>
          <w:rFonts w:ascii="Arial" w:cs="Arial" w:eastAsia="Arial" w:hAnsi="Arial"/>
          <w:b/>
          <w:bCs/>
          <w:color w:val="1A1A2E"/>
          <w:sz w:val="22"/>
          <w:szCs w:val="22"/>
        </w:rPr>
        <w:t xml:space="preserve">Phase 2 — Reception et redistribution tokens (group buy)</w:t>
      </w:r>
    </w:p>
    <w:p>
      <w:pPr>
        <w:pStyle w:val="ListParagraph"/>
        <w:numPr>
          <w:ilvl w:val="0"/>
          <w:numId w:val="3"/>
        </w:numPr>
        <w:spacing w:after="60" w:before="60"/>
      </w:pPr>
      <w:r>
        <w:rPr>
          <w:rFonts w:ascii="Arial" w:cs="Arial" w:eastAsia="Arial" w:hAnsi="Arial"/>
          <w:color w:val="1A1A2E"/>
          <w:sz w:val="22"/>
          <w:szCs w:val="22"/>
        </w:rPr>
        <w:t xml:space="preserve">Le contrat presale envoie des tokens BEP-20 vers l'adresse du contrat FlowShare</w:t>
      </w:r>
    </w:p>
    <w:p>
      <w:pPr>
        <w:pStyle w:val="ListParagraph"/>
        <w:numPr>
          <w:ilvl w:val="0"/>
          <w:numId w:val="3"/>
        </w:numPr>
        <w:spacing w:after="60" w:before="60"/>
      </w:pPr>
      <w:r>
        <w:rPr>
          <w:rFonts w:ascii="Arial" w:cs="Arial" w:eastAsia="Arial" w:hAnsi="Arial"/>
          <w:color w:val="1A1A2E"/>
          <w:sz w:val="22"/>
          <w:szCs w:val="22"/>
        </w:rPr>
        <w:t xml:space="preserve">Un membre propose la redistribution</w:t>
      </w:r>
    </w:p>
    <w:p>
      <w:pPr>
        <w:pStyle w:val="ListParagraph"/>
        <w:numPr>
          <w:ilvl w:val="0"/>
          <w:numId w:val="3"/>
        </w:numPr>
        <w:spacing w:after="60" w:before="60"/>
      </w:pPr>
      <w:r>
        <w:rPr>
          <w:rFonts w:ascii="Arial" w:cs="Arial" w:eastAsia="Arial" w:hAnsi="Arial"/>
          <w:color w:val="1A1A2E"/>
          <w:sz w:val="22"/>
          <w:szCs w:val="22"/>
        </w:rPr>
        <w:t xml:space="preserve">Validation collective — meme threshold que phase 1</w:t>
      </w:r>
    </w:p>
    <w:p>
      <w:pPr>
        <w:pStyle w:val="ListParagraph"/>
        <w:numPr>
          <w:ilvl w:val="0"/>
          <w:numId w:val="3"/>
        </w:numPr>
        <w:spacing w:after="60" w:before="60"/>
      </w:pPr>
      <w:r>
        <w:rPr>
          <w:rFonts w:ascii="Arial" w:cs="Arial" w:eastAsia="Arial" w:hAnsi="Arial"/>
          <w:color w:val="1A1A2E"/>
          <w:sz w:val="22"/>
          <w:szCs w:val="22"/>
        </w:rPr>
        <w:t xml:space="preserve">Redistribution automatique — chaque membre recoit sa part proportionnelle a sa contribution USDT</w:t>
      </w:r>
    </w:p>
    <w:p>
      <w:pPr>
        <w:spacing w:after="80" w:before="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none" w:color="FFFFFF" w:sz="0"/>
              <w:left w:val="none" w:color="FFFFFF" w:sz="0"/>
              <w:bottom w:val="none" w:color="FFFFFF" w:sz="0"/>
              <w:right w:val="none" w:color="FFFFFF" w:sz="0"/>
            </w:tcBorders>
            <w:shd w:fill="E1F5EE" w:val="clear"/>
            <w:tcMar>
              <w:top w:type="dxa" w:w="120"/>
              <w:left w:type="dxa" w:w="200"/>
              <w:bottom w:type="dxa" w:w="120"/>
              <w:right w:type="dxa" w:w="200"/>
            </w:tcMar>
          </w:tcPr>
          <w:p>
            <w:r>
              <w:rPr>
                <w:rFonts w:ascii="Arial" w:cs="Arial" w:eastAsia="Arial" w:hAnsi="Arial"/>
                <w:b/>
                <w:bCs/>
                <w:color w:val="085041"/>
                <w:sz w:val="20"/>
                <w:szCs w:val="20"/>
              </w:rPr>
              <w:t xml:space="preserve">Principe cle: </w:t>
            </w:r>
            <w:r>
              <w:rPr>
                <w:rFonts w:ascii="Arial" w:cs="Arial" w:eastAsia="Arial" w:hAnsi="Arial"/>
                <w:color w:val="085041"/>
                <w:sz w:val="20"/>
                <w:szCs w:val="20"/>
              </w:rPr>
              <w:t xml:space="preserve">Le contrat FlowShare est une adresse wallet intelligente. Il peut recevoir n'importe quel token BEP-20 et le redistribuer selon les parts de contribution. Le presale ne sait pas que c'est un groupe — il voit juste un wallet.</w:t>
            </w:r>
          </w:p>
        </w:tc>
      </w:tr>
    </w:tbl>
    <w:p>
      <w:r>
        <w:br w:type="page"/>
      </w:r>
    </w:p>
    <w:p>
      <w:pPr>
        <w:pStyle w:val="Heading1"/>
        <w:pBdr>
          <w:bottom w:val="single" w:color="1565A7" w:sz="4" w:space="4"/>
        </w:pBdr>
        <w:spacing w:after="200" w:before="400"/>
      </w:pPr>
      <w:r>
        <w:rPr>
          <w:rFonts w:ascii="Arial" w:cs="Arial" w:eastAsia="Arial" w:hAnsi="Arial"/>
          <w:b/>
          <w:bCs/>
          <w:color w:val="1A1A2E"/>
          <w:sz w:val="32"/>
          <w:szCs w:val="32"/>
        </w:rPr>
        <w:t xml:space="preserve">3. Smart contract — FlowShareV1.sol</w:t>
      </w:r>
    </w:p>
    <w:p>
      <w:pPr>
        <w:spacing w:after="80" w:before="80"/>
      </w:pPr>
      <w:r>
        <w:t xml:space="preserve"/>
      </w:r>
    </w:p>
    <w:p>
      <w:pPr>
        <w:pStyle w:val="Heading2"/>
        <w:spacing w:after="150" w:before="300"/>
      </w:pPr>
      <w:r>
        <w:rPr>
          <w:rFonts w:ascii="Arial" w:cs="Arial" w:eastAsia="Arial" w:hAnsi="Arial"/>
          <w:b/>
          <w:bCs/>
          <w:color w:val="1565A7"/>
          <w:sz w:val="26"/>
          <w:szCs w:val="26"/>
        </w:rPr>
        <w:t xml:space="preserve">3.1 Structure Agreement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1800"/>
        <w:gridCol w:w="5360"/>
      </w:tblGrid>
      <w:tr>
        <w:tc>
          <w:tcPr>
            <w:tcW w:type="dxa" w:w="2200"/>
            <w:tcBorders>
              <w:top w:val="single" w:color="CCCCCC" w:sz="1"/>
              <w:left w:val="single" w:color="CCCCCC" w:sz="1"/>
              <w:bottom w:val="single" w:color="CCCCCC" w:sz="1"/>
              <w:right w:val="single" w:color="CCCCCC" w:sz="1"/>
            </w:tcBorders>
            <w:shd w:fill="1565A7" w:val="clear"/>
            <w:tcMar>
              <w:top w:type="dxa" w:w="80"/>
              <w:left w:type="dxa" w:w="120"/>
              <w:bottom w:type="dxa" w:w="80"/>
              <w:right w:type="dxa" w:w="120"/>
            </w:tcMar>
          </w:tcPr>
          <w:p>
            <w:r>
              <w:rPr>
                <w:rFonts w:ascii="Arial" w:cs="Arial" w:eastAsia="Arial" w:hAnsi="Arial"/>
                <w:b/>
                <w:bCs/>
                <w:color w:val="FFFFFF"/>
                <w:sz w:val="20"/>
                <w:szCs w:val="20"/>
              </w:rPr>
              <w:t xml:space="preserve">Champ</w:t>
            </w:r>
          </w:p>
        </w:tc>
        <w:tc>
          <w:tcPr>
            <w:tcW w:type="dxa" w:w="1800"/>
            <w:tcBorders>
              <w:top w:val="single" w:color="CCCCCC" w:sz="1"/>
              <w:left w:val="single" w:color="CCCCCC" w:sz="1"/>
              <w:bottom w:val="single" w:color="CCCCCC" w:sz="1"/>
              <w:right w:val="single" w:color="CCCCCC" w:sz="1"/>
            </w:tcBorders>
            <w:shd w:fill="1565A7" w:val="clear"/>
            <w:tcMar>
              <w:top w:type="dxa" w:w="80"/>
              <w:left w:type="dxa" w:w="120"/>
              <w:bottom w:type="dxa" w:w="80"/>
              <w:right w:type="dxa" w:w="120"/>
            </w:tcMar>
          </w:tcPr>
          <w:p>
            <w:r>
              <w:rPr>
                <w:rFonts w:ascii="Arial" w:cs="Arial" w:eastAsia="Arial" w:hAnsi="Arial"/>
                <w:b/>
                <w:bCs/>
                <w:color w:val="FFFFFF"/>
                <w:sz w:val="20"/>
                <w:szCs w:val="20"/>
              </w:rPr>
              <w:t xml:space="preserve">Type Solidity</w:t>
            </w:r>
          </w:p>
        </w:tc>
        <w:tc>
          <w:tcPr>
            <w:tcW w:type="dxa" w:w="5360"/>
            <w:tcBorders>
              <w:top w:val="single" w:color="CCCCCC" w:sz="1"/>
              <w:left w:val="single" w:color="CCCCCC" w:sz="1"/>
              <w:bottom w:val="single" w:color="CCCCCC" w:sz="1"/>
              <w:right w:val="single" w:color="CCCCCC" w:sz="1"/>
            </w:tcBorders>
            <w:shd w:fill="1565A7" w:val="clear"/>
            <w:tcMar>
              <w:top w:type="dxa" w:w="80"/>
              <w:left w:type="dxa" w:w="120"/>
              <w:bottom w:type="dxa" w:w="80"/>
              <w:right w:type="dxa" w:w="120"/>
            </w:tcMar>
          </w:tcPr>
          <w:p>
            <w:r>
              <w:rPr>
                <w:rFonts w:ascii="Arial" w:cs="Arial" w:eastAsia="Arial" w:hAnsi="Arial"/>
                <w:b/>
                <w:bCs/>
                <w:color w:val="FFFFFF"/>
                <w:sz w:val="20"/>
                <w:szCs w:val="20"/>
              </w:rPr>
              <w:t xml:space="preserve">Description</w:t>
            </w:r>
          </w:p>
        </w:tc>
      </w:tr>
      <w:tr>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2E"/>
                <w:sz w:val="20"/>
                <w:szCs w:val="20"/>
              </w:rPr>
              <w:t xml:space="preserve">name</w:t>
            </w:r>
          </w:p>
        </w:tc>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2E"/>
                <w:sz w:val="20"/>
                <w:szCs w:val="20"/>
              </w:rPr>
              <w:t xml:space="preserve">string</w:t>
            </w:r>
          </w:p>
        </w:tc>
        <w:tc>
          <w:tcPr>
            <w:tcW w:type="dxa" w:w="5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2E"/>
                <w:sz w:val="20"/>
                <w:szCs w:val="20"/>
              </w:rPr>
              <w:t xml:space="preserve">Nom lisible de la pool — ex: Voyage Lisbonne, Presale XYZ</w:t>
            </w:r>
          </w:p>
        </w:tc>
      </w:tr>
      <w:tr>
        <w:tc>
          <w:tcPr>
            <w:tcW w:type="dxa" w:w="22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color w:val="1A1A2E"/>
                <w:sz w:val="20"/>
                <w:szCs w:val="20"/>
              </w:rPr>
              <w:t xml:space="preserve">creator</w:t>
            </w:r>
          </w:p>
        </w:tc>
        <w:tc>
          <w:tcPr>
            <w:tcW w:type="dxa" w:w="18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color w:val="1A1A2E"/>
                <w:sz w:val="20"/>
                <w:szCs w:val="20"/>
              </w:rPr>
              <w:t xml:space="preserve">address</w:t>
            </w:r>
          </w:p>
        </w:tc>
        <w:tc>
          <w:tcPr>
            <w:tcW w:type="dxa" w:w="536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color w:val="1A1A2E"/>
                <w:sz w:val="20"/>
                <w:szCs w:val="20"/>
              </w:rPr>
              <w:t xml:space="preserve">Wallet qui a cree la pool</w:t>
            </w:r>
          </w:p>
        </w:tc>
      </w:tr>
      <w:tr>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2E"/>
                <w:sz w:val="20"/>
                <w:szCs w:val="20"/>
              </w:rPr>
              <w:t xml:space="preserve">members</w:t>
            </w:r>
          </w:p>
        </w:tc>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2E"/>
                <w:sz w:val="20"/>
                <w:szCs w:val="20"/>
              </w:rPr>
              <w:t xml:space="preserve">address[]</w:t>
            </w:r>
          </w:p>
        </w:tc>
        <w:tc>
          <w:tcPr>
            <w:tcW w:type="dxa" w:w="5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2E"/>
                <w:sz w:val="20"/>
                <w:szCs w:val="20"/>
              </w:rPr>
              <w:t xml:space="preserve">Liste des wallets participants — 2 a 50</w:t>
            </w:r>
          </w:p>
        </w:tc>
      </w:tr>
      <w:tr>
        <w:tc>
          <w:tcPr>
            <w:tcW w:type="dxa" w:w="22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color w:val="1A1A2E"/>
                <w:sz w:val="20"/>
                <w:szCs w:val="20"/>
              </w:rPr>
              <w:t xml:space="preserve">destination</w:t>
            </w:r>
          </w:p>
        </w:tc>
        <w:tc>
          <w:tcPr>
            <w:tcW w:type="dxa" w:w="18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color w:val="1A1A2E"/>
                <w:sz w:val="20"/>
                <w:szCs w:val="20"/>
              </w:rPr>
              <w:t xml:space="preserve">address</w:t>
            </w:r>
          </w:p>
        </w:tc>
        <w:tc>
          <w:tcPr>
            <w:tcW w:type="dxa" w:w="536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color w:val="1A1A2E"/>
                <w:sz w:val="20"/>
                <w:szCs w:val="20"/>
              </w:rPr>
              <w:t xml:space="preserve">Wallet externe qui recevra les fonds USDT</w:t>
            </w:r>
          </w:p>
        </w:tc>
      </w:tr>
      <w:tr>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2E"/>
                <w:sz w:val="20"/>
                <w:szCs w:val="20"/>
              </w:rPr>
              <w:t xml:space="preserve">targetAmount</w:t>
            </w:r>
          </w:p>
        </w:tc>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2E"/>
                <w:sz w:val="20"/>
                <w:szCs w:val="20"/>
              </w:rPr>
              <w:t xml:space="preserve">uint256</w:t>
            </w:r>
          </w:p>
        </w:tc>
        <w:tc>
          <w:tcPr>
            <w:tcW w:type="dxa" w:w="5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2E"/>
                <w:sz w:val="20"/>
                <w:szCs w:val="20"/>
              </w:rPr>
              <w:t xml:space="preserve">Objectif en USDT — en unites 10^18 (BNB Chain)</w:t>
            </w:r>
          </w:p>
        </w:tc>
      </w:tr>
      <w:tr>
        <w:tc>
          <w:tcPr>
            <w:tcW w:type="dxa" w:w="22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color w:val="1A1A2E"/>
                <w:sz w:val="20"/>
                <w:szCs w:val="20"/>
              </w:rPr>
              <w:t xml:space="preserve">deadline</w:t>
            </w:r>
          </w:p>
        </w:tc>
        <w:tc>
          <w:tcPr>
            <w:tcW w:type="dxa" w:w="18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color w:val="1A1A2E"/>
                <w:sz w:val="20"/>
                <w:szCs w:val="20"/>
              </w:rPr>
              <w:t xml:space="preserve">uint256</w:t>
            </w:r>
          </w:p>
        </w:tc>
        <w:tc>
          <w:tcPr>
            <w:tcW w:type="dxa" w:w="536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color w:val="1A1A2E"/>
                <w:sz w:val="20"/>
                <w:szCs w:val="20"/>
              </w:rPr>
              <w:t xml:space="preserve">Timestamp Unix — date limite de collecte</w:t>
            </w:r>
          </w:p>
        </w:tc>
      </w:tr>
      <w:tr>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2E"/>
                <w:sz w:val="20"/>
                <w:szCs w:val="20"/>
              </w:rPr>
              <w:t xml:space="preserve">threshold</w:t>
            </w:r>
          </w:p>
        </w:tc>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2E"/>
                <w:sz w:val="20"/>
                <w:szCs w:val="20"/>
              </w:rPr>
              <w:t xml:space="preserve">uint256</w:t>
            </w:r>
          </w:p>
        </w:tc>
        <w:tc>
          <w:tcPr>
            <w:tcW w:type="dxa" w:w="5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2E"/>
                <w:sz w:val="20"/>
                <w:szCs w:val="20"/>
              </w:rPr>
              <w:t xml:space="preserve">Nombre de validations requises pour declencher l'envoi</w:t>
            </w:r>
          </w:p>
        </w:tc>
      </w:tr>
      <w:tr>
        <w:tc>
          <w:tcPr>
            <w:tcW w:type="dxa" w:w="22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color w:val="1A1A2E"/>
                <w:sz w:val="20"/>
                <w:szCs w:val="20"/>
              </w:rPr>
              <w:t xml:space="preserve">totalReceived</w:t>
            </w:r>
          </w:p>
        </w:tc>
        <w:tc>
          <w:tcPr>
            <w:tcW w:type="dxa" w:w="18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color w:val="1A1A2E"/>
                <w:sz w:val="20"/>
                <w:szCs w:val="20"/>
              </w:rPr>
              <w:t xml:space="preserve">uint256</w:t>
            </w:r>
          </w:p>
        </w:tc>
        <w:tc>
          <w:tcPr>
            <w:tcW w:type="dxa" w:w="536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color w:val="1A1A2E"/>
                <w:sz w:val="20"/>
                <w:szCs w:val="20"/>
              </w:rPr>
              <w:t xml:space="preserve">Total USDT collecte par la pool</w:t>
            </w:r>
          </w:p>
        </w:tc>
      </w:tr>
      <w:tr>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2E"/>
                <w:sz w:val="20"/>
                <w:szCs w:val="20"/>
              </w:rPr>
              <w:t xml:space="preserve">sent</w:t>
            </w:r>
          </w:p>
        </w:tc>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2E"/>
                <w:sz w:val="20"/>
                <w:szCs w:val="20"/>
              </w:rPr>
              <w:t xml:space="preserve">bool</w:t>
            </w:r>
          </w:p>
        </w:tc>
        <w:tc>
          <w:tcPr>
            <w:tcW w:type="dxa" w:w="5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2E"/>
                <w:sz w:val="20"/>
                <w:szCs w:val="20"/>
              </w:rPr>
              <w:t xml:space="preserve">Phase 1 terminee — fonds envoyes vers destination</w:t>
            </w:r>
          </w:p>
        </w:tc>
      </w:tr>
      <w:tr>
        <w:tc>
          <w:tcPr>
            <w:tcW w:type="dxa" w:w="22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color w:val="1A1A2E"/>
                <w:sz w:val="20"/>
                <w:szCs w:val="20"/>
              </w:rPr>
              <w:t xml:space="preserve">refunded</w:t>
            </w:r>
          </w:p>
        </w:tc>
        <w:tc>
          <w:tcPr>
            <w:tcW w:type="dxa" w:w="18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color w:val="1A1A2E"/>
                <w:sz w:val="20"/>
                <w:szCs w:val="20"/>
              </w:rPr>
              <w:t xml:space="preserve">bool</w:t>
            </w:r>
          </w:p>
        </w:tc>
        <w:tc>
          <w:tcPr>
            <w:tcW w:type="dxa" w:w="536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color w:val="1A1A2E"/>
                <w:sz w:val="20"/>
                <w:szCs w:val="20"/>
              </w:rPr>
              <w:t xml:space="preserve">Pool remboursee — deadline expiree sans envoi</w:t>
            </w:r>
          </w:p>
        </w:tc>
      </w:tr>
      <w:tr>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2E"/>
                <w:sz w:val="20"/>
                <w:szCs w:val="20"/>
              </w:rPr>
              <w:t xml:space="preserve">tokensDistributed</w:t>
            </w:r>
          </w:p>
        </w:tc>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2E"/>
                <w:sz w:val="20"/>
                <w:szCs w:val="20"/>
              </w:rPr>
              <w:t xml:space="preserve">bool</w:t>
            </w:r>
          </w:p>
        </w:tc>
        <w:tc>
          <w:tcPr>
            <w:tcW w:type="dxa" w:w="5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2E"/>
                <w:sz w:val="20"/>
                <w:szCs w:val="20"/>
              </w:rPr>
              <w:t xml:space="preserve">Phase 2 terminee — tokens redistribues aux membres</w:t>
            </w:r>
          </w:p>
        </w:tc>
      </w:tr>
    </w:tbl>
    <w:p>
      <w:pPr>
        <w:spacing w:after="80" w:before="80"/>
      </w:pPr>
      <w:r>
        <w:t xml:space="preserve"/>
      </w:r>
    </w:p>
    <w:p>
      <w:pPr>
        <w:pStyle w:val="Heading2"/>
        <w:spacing w:after="150" w:before="300"/>
      </w:pPr>
      <w:r>
        <w:rPr>
          <w:rFonts w:ascii="Arial" w:cs="Arial" w:eastAsia="Arial" w:hAnsi="Arial"/>
          <w:b/>
          <w:bCs/>
          <w:color w:val="1565A7"/>
          <w:sz w:val="26"/>
          <w:szCs w:val="26"/>
        </w:rPr>
        <w:t xml:space="preserve">3.2 Mappings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200"/>
        <w:gridCol w:w="5160"/>
      </w:tblGrid>
      <w:tr>
        <w:tc>
          <w:tcPr>
            <w:tcW w:type="dxa" w:w="4200"/>
            <w:tcBorders>
              <w:top w:val="single" w:color="CCCCCC" w:sz="1"/>
              <w:left w:val="single" w:color="CCCCCC" w:sz="1"/>
              <w:bottom w:val="single" w:color="CCCCCC" w:sz="1"/>
              <w:right w:val="single" w:color="CCCCCC" w:sz="1"/>
            </w:tcBorders>
            <w:shd w:fill="1565A7" w:val="clear"/>
            <w:tcMar>
              <w:top w:type="dxa" w:w="80"/>
              <w:left w:type="dxa" w:w="120"/>
              <w:bottom w:type="dxa" w:w="80"/>
              <w:right w:type="dxa" w:w="120"/>
            </w:tcMar>
          </w:tcPr>
          <w:p>
            <w:r>
              <w:rPr>
                <w:rFonts w:ascii="Arial" w:cs="Arial" w:eastAsia="Arial" w:hAnsi="Arial"/>
                <w:b/>
                <w:bCs/>
                <w:color w:val="FFFFFF"/>
                <w:sz w:val="20"/>
                <w:szCs w:val="20"/>
              </w:rPr>
              <w:t xml:space="preserve">Mapping</w:t>
            </w:r>
          </w:p>
        </w:tc>
        <w:tc>
          <w:tcPr>
            <w:tcW w:type="dxa" w:w="5160"/>
            <w:tcBorders>
              <w:top w:val="single" w:color="CCCCCC" w:sz="1"/>
              <w:left w:val="single" w:color="CCCCCC" w:sz="1"/>
              <w:bottom w:val="single" w:color="CCCCCC" w:sz="1"/>
              <w:right w:val="single" w:color="CCCCCC" w:sz="1"/>
            </w:tcBorders>
            <w:shd w:fill="1565A7" w:val="clear"/>
            <w:tcMar>
              <w:top w:type="dxa" w:w="80"/>
              <w:left w:type="dxa" w:w="120"/>
              <w:bottom w:type="dxa" w:w="80"/>
              <w:right w:type="dxa" w:w="120"/>
            </w:tcMar>
          </w:tcPr>
          <w:p>
            <w:r>
              <w:rPr>
                <w:rFonts w:ascii="Arial" w:cs="Arial" w:eastAsia="Arial" w:hAnsi="Arial"/>
                <w:b/>
                <w:bCs/>
                <w:color w:val="FFFFFF"/>
                <w:sz w:val="20"/>
                <w:szCs w:val="20"/>
              </w:rPr>
              <w:t xml:space="preserve">Description</w:t>
            </w:r>
          </w:p>
        </w:tc>
      </w:tr>
      <w:tr>
        <w:tc>
          <w:tcPr>
            <w:tcW w:type="dxa" w:w="4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2E"/>
                <w:sz w:val="20"/>
                <w:szCs w:val="20"/>
              </w:rPr>
              <w:t xml:space="preserve">contributions[id][member]</w:t>
            </w:r>
          </w:p>
        </w:tc>
        <w:tc>
          <w:tcPr>
            <w:tcW w:type="dxa" w:w="5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2E"/>
                <w:sz w:val="20"/>
                <w:szCs w:val="20"/>
              </w:rPr>
              <w:t xml:space="preserve">Montant USDT contribue par chaque membre</w:t>
            </w:r>
          </w:p>
        </w:tc>
      </w:tr>
      <w:tr>
        <w:tc>
          <w:tcPr>
            <w:tcW w:type="dxa" w:w="42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color w:val="1A1A2E"/>
                <w:sz w:val="20"/>
                <w:szCs w:val="20"/>
              </w:rPr>
              <w:t xml:space="preserve">isMember[id][address]</w:t>
            </w:r>
          </w:p>
        </w:tc>
        <w:tc>
          <w:tcPr>
            <w:tcW w:type="dxa" w:w="516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color w:val="1A1A2E"/>
                <w:sz w:val="20"/>
                <w:szCs w:val="20"/>
              </w:rPr>
              <w:t xml:space="preserve">Verification rapide d'appartenance a la pool</w:t>
            </w:r>
          </w:p>
        </w:tc>
      </w:tr>
      <w:tr>
        <w:tc>
          <w:tcPr>
            <w:tcW w:type="dxa" w:w="4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2E"/>
                <w:sz w:val="20"/>
                <w:szCs w:val="20"/>
              </w:rPr>
              <w:t xml:space="preserve">validations[id][member]</w:t>
            </w:r>
          </w:p>
        </w:tc>
        <w:tc>
          <w:tcPr>
            <w:tcW w:type="dxa" w:w="5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2E"/>
                <w:sz w:val="20"/>
                <w:szCs w:val="20"/>
              </w:rPr>
              <w:t xml:space="preserve">Ce membre a-t-il valide l'envoi phase 1 ?</w:t>
            </w:r>
          </w:p>
        </w:tc>
      </w:tr>
      <w:tr>
        <w:tc>
          <w:tcPr>
            <w:tcW w:type="dxa" w:w="42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color w:val="1A1A2E"/>
                <w:sz w:val="20"/>
                <w:szCs w:val="20"/>
              </w:rPr>
              <w:t xml:space="preserve">validationCount[id]</w:t>
            </w:r>
          </w:p>
        </w:tc>
        <w:tc>
          <w:tcPr>
            <w:tcW w:type="dxa" w:w="516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color w:val="1A1A2E"/>
                <w:sz w:val="20"/>
                <w:szCs w:val="20"/>
              </w:rPr>
              <w:t xml:space="preserve">Nombre total de validations phase 1 recues</w:t>
            </w:r>
          </w:p>
        </w:tc>
      </w:tr>
      <w:tr>
        <w:tc>
          <w:tcPr>
            <w:tcW w:type="dxa" w:w="4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2E"/>
                <w:sz w:val="20"/>
                <w:szCs w:val="20"/>
              </w:rPr>
              <w:t xml:space="preserve">distValidations[id][member]</w:t>
            </w:r>
          </w:p>
        </w:tc>
        <w:tc>
          <w:tcPr>
            <w:tcW w:type="dxa" w:w="5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2E"/>
                <w:sz w:val="20"/>
                <w:szCs w:val="20"/>
              </w:rPr>
              <w:t xml:space="preserve">Ce membre a-t-il valide la redistribution phase 2 ?</w:t>
            </w:r>
          </w:p>
        </w:tc>
      </w:tr>
      <w:tr>
        <w:tc>
          <w:tcPr>
            <w:tcW w:type="dxa" w:w="42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color w:val="1A1A2E"/>
                <w:sz w:val="20"/>
                <w:szCs w:val="20"/>
              </w:rPr>
              <w:t xml:space="preserve">distValidationCount[id]</w:t>
            </w:r>
          </w:p>
        </w:tc>
        <w:tc>
          <w:tcPr>
            <w:tcW w:type="dxa" w:w="516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color w:val="1A1A2E"/>
                <w:sz w:val="20"/>
                <w:szCs w:val="20"/>
              </w:rPr>
              <w:t xml:space="preserve">Nombre total de validations phase 2 recues</w:t>
            </w:r>
          </w:p>
        </w:tc>
      </w:tr>
    </w:tbl>
    <w:p>
      <w:pPr>
        <w:spacing w:after="80" w:before="80"/>
      </w:pPr>
      <w:r>
        <w:t xml:space="preserve"/>
      </w:r>
    </w:p>
    <w:p>
      <w:pPr>
        <w:pStyle w:val="Heading2"/>
        <w:spacing w:after="150" w:before="300"/>
      </w:pPr>
      <w:r>
        <w:rPr>
          <w:rFonts w:ascii="Arial" w:cs="Arial" w:eastAsia="Arial" w:hAnsi="Arial"/>
          <w:b/>
          <w:bCs/>
          <w:color w:val="1565A7"/>
          <w:sz w:val="26"/>
          <w:szCs w:val="26"/>
        </w:rPr>
        <w:t xml:space="preserve">3.3 Fonctions principales</w:t>
      </w:r>
    </w:p>
    <w:p>
      <w:pPr>
        <w:spacing w:after="80" w:before="80"/>
      </w:pPr>
      <w:r>
        <w:t xml:space="preserve"/>
      </w:r>
    </w:p>
    <w:p>
      <w:pPr>
        <w:pStyle w:val="Heading3"/>
        <w:spacing w:after="100" w:before="200"/>
      </w:pPr>
      <w:r>
        <w:rPr>
          <w:rFonts w:ascii="Arial" w:cs="Arial" w:eastAsia="Arial" w:hAnsi="Arial"/>
          <w:b/>
          <w:bCs/>
          <w:color w:val="1A1A2E"/>
          <w:sz w:val="22"/>
          <w:szCs w:val="22"/>
        </w:rPr>
        <w:t xml:space="preserve">createAgreement()</w:t>
      </w:r>
    </w:p>
    <w:p>
      <w:pPr>
        <w:spacing w:after="80" w:before="80"/>
      </w:pPr>
      <w:r>
        <w:rPr>
          <w:rFonts w:ascii="Arial" w:cs="Arial" w:eastAsia="Arial" w:hAnsi="Arial"/>
          <w:color w:val="1A1A2E"/>
          <w:sz w:val="22"/>
          <w:szCs w:val="22"/>
        </w:rPr>
        <w:t xml:space="preserve">Cree une nouvelle pool onchain. Tous les parametres sont fixes a la creation et immuables.</w:t>
      </w:r>
    </w:p>
    <w:p>
      <w:pPr>
        <w:spacing w:after="80" w:before="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none" w:color="FFFFFF" w:sz="0"/>
              <w:left w:val="none" w:color="FFFFFF" w:sz="0"/>
              <w:bottom w:val="none" w:color="FFFFFF" w:sz="0"/>
              <w:right w:val="none" w:color="FFFFFF" w:sz="0"/>
            </w:tcBorders>
            <w:shd w:fill="F5F5F5" w:val="clear"/>
            <w:tcMar>
              <w:top w:type="dxa" w:w="120"/>
              <w:left w:type="dxa" w:w="200"/>
              <w:bottom w:type="dxa" w:w="120"/>
              <w:right w:type="dxa" w:w="200"/>
            </w:tcMar>
          </w:tcPr>
          <w:p>
            <w:r>
              <w:rPr>
                <w:rFonts w:ascii="Arial" w:cs="Arial" w:eastAsia="Arial" w:hAnsi="Arial"/>
                <w:b/>
                <w:bCs/>
                <w:color w:val="333333"/>
                <w:sz w:val="20"/>
                <w:szCs w:val="20"/>
              </w:rPr>
              <w:t xml:space="preserve">Signature: </w:t>
            </w:r>
            <w:r>
              <w:rPr>
                <w:rFonts w:ascii="Arial" w:cs="Arial" w:eastAsia="Arial" w:hAnsi="Arial"/>
                <w:color w:val="333333"/>
                <w:sz w:val="20"/>
                <w:szCs w:val="20"/>
              </w:rPr>
              <w:t xml:space="preserve">createAgreement(string name, address[] members, address destination, uint256 targetAmount, uint256 deadline, uint256 threshold) returns (uint256 id)</w:t>
            </w:r>
          </w:p>
        </w:tc>
      </w:tr>
    </w:tbl>
    <w:p>
      <w:pPr>
        <w:spacing w:after="80" w:before="80"/>
      </w:pPr>
      <w:r>
        <w:t xml:space="preserve"/>
      </w:r>
    </w:p>
    <w:p>
      <w:pPr>
        <w:spacing w:after="80" w:before="80"/>
      </w:pPr>
      <w:r>
        <w:rPr>
          <w:rFonts w:ascii="Arial" w:cs="Arial" w:eastAsia="Arial" w:hAnsi="Arial"/>
          <w:color w:val="1A1A2E"/>
          <w:sz w:val="22"/>
          <w:szCs w:val="22"/>
        </w:rPr>
        <w:t xml:space="preserve">Validations :</w:t>
      </w:r>
    </w:p>
    <w:p>
      <w:pPr>
        <w:pStyle w:val="ListParagraph"/>
        <w:numPr>
          <w:ilvl w:val="0"/>
          <w:numId w:val="2"/>
        </w:numPr>
        <w:spacing w:after="60" w:before="60"/>
      </w:pPr>
      <w:r>
        <w:rPr>
          <w:rFonts w:ascii="Arial" w:cs="Arial" w:eastAsia="Arial" w:hAnsi="Arial"/>
          <w:color w:val="1A1A2E"/>
          <w:sz w:val="22"/>
          <w:szCs w:val="22"/>
        </w:rPr>
        <w:t xml:space="preserve">Nom non vide</w:t>
      </w:r>
    </w:p>
    <w:p>
      <w:pPr>
        <w:pStyle w:val="ListParagraph"/>
        <w:numPr>
          <w:ilvl w:val="0"/>
          <w:numId w:val="2"/>
        </w:numPr>
        <w:spacing w:after="60" w:before="60"/>
      </w:pPr>
      <w:r>
        <w:rPr>
          <w:rFonts w:ascii="Arial" w:cs="Arial" w:eastAsia="Arial" w:hAnsi="Arial"/>
          <w:color w:val="1A1A2E"/>
          <w:sz w:val="22"/>
          <w:szCs w:val="22"/>
        </w:rPr>
        <w:t xml:space="preserve">Entre 2 et 50 membres</w:t>
      </w:r>
    </w:p>
    <w:p>
      <w:pPr>
        <w:pStyle w:val="ListParagraph"/>
        <w:numPr>
          <w:ilvl w:val="0"/>
          <w:numId w:val="2"/>
        </w:numPr>
        <w:spacing w:after="60" w:before="60"/>
      </w:pPr>
      <w:r>
        <w:rPr>
          <w:rFonts w:ascii="Arial" w:cs="Arial" w:eastAsia="Arial" w:hAnsi="Arial"/>
          <w:color w:val="1A1A2E"/>
          <w:sz w:val="22"/>
          <w:szCs w:val="22"/>
        </w:rPr>
        <w:t xml:space="preserve">Aucun wallet en double dans la liste</w:t>
      </w:r>
    </w:p>
    <w:p>
      <w:pPr>
        <w:pStyle w:val="ListParagraph"/>
        <w:numPr>
          <w:ilvl w:val="0"/>
          <w:numId w:val="2"/>
        </w:numPr>
        <w:spacing w:after="60" w:before="60"/>
      </w:pPr>
      <w:r>
        <w:rPr>
          <w:rFonts w:ascii="Arial" w:cs="Arial" w:eastAsia="Arial" w:hAnsi="Arial"/>
          <w:color w:val="1A1A2E"/>
          <w:sz w:val="22"/>
          <w:szCs w:val="22"/>
        </w:rPr>
        <w:t xml:space="preserve">Aucun wallet zero address</w:t>
      </w:r>
    </w:p>
    <w:p>
      <w:pPr>
        <w:pStyle w:val="ListParagraph"/>
        <w:numPr>
          <w:ilvl w:val="0"/>
          <w:numId w:val="2"/>
        </w:numPr>
        <w:spacing w:after="60" w:before="60"/>
      </w:pPr>
      <w:r>
        <w:rPr>
          <w:rFonts w:ascii="Arial" w:cs="Arial" w:eastAsia="Arial" w:hAnsi="Arial"/>
          <w:color w:val="1A1A2E"/>
          <w:sz w:val="22"/>
          <w:szCs w:val="22"/>
        </w:rPr>
        <w:t xml:space="preserve">Destination valide — non zero address</w:t>
      </w:r>
    </w:p>
    <w:p>
      <w:pPr>
        <w:pStyle w:val="ListParagraph"/>
        <w:numPr>
          <w:ilvl w:val="0"/>
          <w:numId w:val="2"/>
        </w:numPr>
        <w:spacing w:after="60" w:before="60"/>
      </w:pPr>
      <w:r>
        <w:rPr>
          <w:rFonts w:ascii="Arial" w:cs="Arial" w:eastAsia="Arial" w:hAnsi="Arial"/>
          <w:color w:val="1A1A2E"/>
          <w:sz w:val="22"/>
          <w:szCs w:val="22"/>
        </w:rPr>
        <w:t xml:space="preserve">Objectif superieur a zero</w:t>
      </w:r>
    </w:p>
    <w:p>
      <w:pPr>
        <w:pStyle w:val="ListParagraph"/>
        <w:numPr>
          <w:ilvl w:val="0"/>
          <w:numId w:val="2"/>
        </w:numPr>
        <w:spacing w:after="60" w:before="60"/>
      </w:pPr>
      <w:r>
        <w:rPr>
          <w:rFonts w:ascii="Arial" w:cs="Arial" w:eastAsia="Arial" w:hAnsi="Arial"/>
          <w:color w:val="1A1A2E"/>
          <w:sz w:val="22"/>
          <w:szCs w:val="22"/>
        </w:rPr>
        <w:t xml:space="preserve">Deadline dans le futur</w:t>
      </w:r>
    </w:p>
    <w:p>
      <w:pPr>
        <w:pStyle w:val="ListParagraph"/>
        <w:numPr>
          <w:ilvl w:val="0"/>
          <w:numId w:val="2"/>
        </w:numPr>
        <w:spacing w:after="60" w:before="60"/>
      </w:pPr>
      <w:r>
        <w:rPr>
          <w:rFonts w:ascii="Arial" w:cs="Arial" w:eastAsia="Arial" w:hAnsi="Arial"/>
          <w:color w:val="1A1A2E"/>
          <w:sz w:val="22"/>
          <w:szCs w:val="22"/>
        </w:rPr>
        <w:t xml:space="preserve">Threshold entre 1 et le nombre de membres</w:t>
      </w:r>
    </w:p>
    <w:p>
      <w:pPr>
        <w:spacing w:after="80" w:before="80"/>
      </w:pPr>
      <w:r>
        <w:t xml:space="preserve"/>
      </w:r>
    </w:p>
    <w:p>
      <w:pPr>
        <w:pStyle w:val="Heading3"/>
        <w:spacing w:after="100" w:before="200"/>
      </w:pPr>
      <w:r>
        <w:rPr>
          <w:rFonts w:ascii="Arial" w:cs="Arial" w:eastAsia="Arial" w:hAnsi="Arial"/>
          <w:b/>
          <w:bCs/>
          <w:color w:val="1A1A2E"/>
          <w:sz w:val="22"/>
          <w:szCs w:val="22"/>
        </w:rPr>
        <w:t xml:space="preserve">contribute()</w:t>
      </w:r>
    </w:p>
    <w:p>
      <w:pPr>
        <w:spacing w:after="80" w:before="80"/>
      </w:pPr>
      <w:r>
        <w:rPr>
          <w:rFonts w:ascii="Arial" w:cs="Arial" w:eastAsia="Arial" w:hAnsi="Arial"/>
          <w:color w:val="1A1A2E"/>
          <w:sz w:val="22"/>
          <w:szCs w:val="22"/>
        </w:rPr>
        <w:t xml:space="preserve">Permet a un membre d'envoyer des USDT dans la pool. Le membre doit avoir prealablement approuve le contrat FlowShare a depenser ses USDT via approve() ERC-20.</w:t>
      </w:r>
    </w:p>
    <w:p>
      <w:pPr>
        <w:spacing w:after="80" w:before="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none" w:color="FFFFFF" w:sz="0"/>
              <w:left w:val="none" w:color="FFFFFF" w:sz="0"/>
              <w:bottom w:val="none" w:color="FFFFFF" w:sz="0"/>
              <w:right w:val="none" w:color="FFFFFF" w:sz="0"/>
            </w:tcBorders>
            <w:shd w:fill="F5F5F5" w:val="clear"/>
            <w:tcMar>
              <w:top w:type="dxa" w:w="120"/>
              <w:left w:type="dxa" w:w="200"/>
              <w:bottom w:type="dxa" w:w="120"/>
              <w:right w:type="dxa" w:w="200"/>
            </w:tcMar>
          </w:tcPr>
          <w:p>
            <w:r>
              <w:rPr>
                <w:rFonts w:ascii="Arial" w:cs="Arial" w:eastAsia="Arial" w:hAnsi="Arial"/>
                <w:b/>
                <w:bCs/>
                <w:color w:val="333333"/>
                <w:sz w:val="20"/>
                <w:szCs w:val="20"/>
              </w:rPr>
              <w:t xml:space="preserve">Signature: </w:t>
            </w:r>
            <w:r>
              <w:rPr>
                <w:rFonts w:ascii="Arial" w:cs="Arial" w:eastAsia="Arial" w:hAnsi="Arial"/>
                <w:color w:val="333333"/>
                <w:sz w:val="20"/>
                <w:szCs w:val="20"/>
              </w:rPr>
              <w:t xml:space="preserve">contribute(uint256 id, uint256 amount)</w:t>
            </w:r>
          </w:p>
        </w:tc>
      </w:tr>
    </w:tbl>
    <w:p>
      <w:pPr>
        <w:spacing w:after="80" w:before="80"/>
      </w:pPr>
      <w:r>
        <w:t xml:space="preserve"/>
      </w:r>
    </w:p>
    <w:p>
      <w:pPr>
        <w:spacing w:after="80" w:before="80"/>
      </w:pPr>
      <w:r>
        <w:rPr>
          <w:rFonts w:ascii="Arial" w:cs="Arial" w:eastAsia="Arial" w:hAnsi="Arial"/>
          <w:color w:val="1A1A2E"/>
          <w:sz w:val="22"/>
          <w:szCs w:val="22"/>
        </w:rPr>
        <w:t xml:space="preserve">Conditions :</w:t>
      </w:r>
    </w:p>
    <w:p>
      <w:pPr>
        <w:pStyle w:val="ListParagraph"/>
        <w:numPr>
          <w:ilvl w:val="0"/>
          <w:numId w:val="2"/>
        </w:numPr>
        <w:spacing w:after="60" w:before="60"/>
      </w:pPr>
      <w:r>
        <w:rPr>
          <w:rFonts w:ascii="Arial" w:cs="Arial" w:eastAsia="Arial" w:hAnsi="Arial"/>
          <w:color w:val="1A1A2E"/>
          <w:sz w:val="22"/>
          <w:szCs w:val="22"/>
        </w:rPr>
        <w:t xml:space="preserve">L'appelant est membre de la pool</w:t>
      </w:r>
    </w:p>
    <w:p>
      <w:pPr>
        <w:pStyle w:val="ListParagraph"/>
        <w:numPr>
          <w:ilvl w:val="0"/>
          <w:numId w:val="2"/>
        </w:numPr>
        <w:spacing w:after="60" w:before="60"/>
      </w:pPr>
      <w:r>
        <w:rPr>
          <w:rFonts w:ascii="Arial" w:cs="Arial" w:eastAsia="Arial" w:hAnsi="Arial"/>
          <w:color w:val="1A1A2E"/>
          <w:sz w:val="22"/>
          <w:szCs w:val="22"/>
        </w:rPr>
        <w:t xml:space="preserve">La pool n'est pas encore envoyee ni remboursee</w:t>
      </w:r>
    </w:p>
    <w:p>
      <w:pPr>
        <w:pStyle w:val="ListParagraph"/>
        <w:numPr>
          <w:ilvl w:val="0"/>
          <w:numId w:val="2"/>
        </w:numPr>
        <w:spacing w:after="60" w:before="60"/>
      </w:pPr>
      <w:r>
        <w:rPr>
          <w:rFonts w:ascii="Arial" w:cs="Arial" w:eastAsia="Arial" w:hAnsi="Arial"/>
          <w:color w:val="1A1A2E"/>
          <w:sz w:val="22"/>
          <w:szCs w:val="22"/>
        </w:rPr>
        <w:t xml:space="preserve">La deadline n'est pas passee</w:t>
      </w:r>
    </w:p>
    <w:p>
      <w:pPr>
        <w:pStyle w:val="ListParagraph"/>
        <w:numPr>
          <w:ilvl w:val="0"/>
          <w:numId w:val="2"/>
        </w:numPr>
        <w:spacing w:after="60" w:before="60"/>
      </w:pPr>
      <w:r>
        <w:rPr>
          <w:rFonts w:ascii="Arial" w:cs="Arial" w:eastAsia="Arial" w:hAnsi="Arial"/>
          <w:color w:val="1A1A2E"/>
          <w:sz w:val="22"/>
          <w:szCs w:val="22"/>
        </w:rPr>
        <w:t xml:space="preserve">Le montant est superieur a zero</w:t>
      </w:r>
    </w:p>
    <w:p>
      <w:pPr>
        <w:pStyle w:val="ListParagraph"/>
        <w:numPr>
          <w:ilvl w:val="0"/>
          <w:numId w:val="2"/>
        </w:numPr>
        <w:spacing w:after="60" w:before="60"/>
      </w:pPr>
      <w:r>
        <w:rPr>
          <w:rFonts w:ascii="Arial" w:cs="Arial" w:eastAsia="Arial" w:hAnsi="Arial"/>
          <w:color w:val="1A1A2E"/>
          <w:sz w:val="22"/>
          <w:szCs w:val="22"/>
        </w:rPr>
        <w:t xml:space="preserve">Le transferFrom USDT reussit</w:t>
      </w:r>
    </w:p>
    <w:p>
      <w:pPr>
        <w:spacing w:after="80" w:before="80"/>
      </w:pPr>
      <w:r>
        <w:t xml:space="preserve"/>
      </w:r>
    </w:p>
    <w:p>
      <w:pPr>
        <w:spacing w:after="80" w:before="80"/>
      </w:pPr>
      <w:r>
        <w:rPr>
          <w:rFonts w:ascii="Arial" w:cs="Arial" w:eastAsia="Arial" w:hAnsi="Arial"/>
          <w:color w:val="1A1A2E"/>
          <w:sz w:val="22"/>
          <w:szCs w:val="22"/>
        </w:rPr>
        <w:t xml:space="preserve">Contributions multiples autorisees — un membre peut contribuer plusieurs fois. Les montants sont cumules dans contributions[id][member].</w:t>
      </w:r>
    </w:p>
    <w:p>
      <w:pPr>
        <w:spacing w:after="80" w:before="80"/>
      </w:pPr>
      <w:r>
        <w:t xml:space="preserve"/>
      </w:r>
    </w:p>
    <w:p>
      <w:pPr>
        <w:pStyle w:val="Heading3"/>
        <w:spacing w:after="100" w:before="200"/>
      </w:pPr>
      <w:r>
        <w:rPr>
          <w:rFonts w:ascii="Arial" w:cs="Arial" w:eastAsia="Arial" w:hAnsi="Arial"/>
          <w:b/>
          <w:bCs/>
          <w:color w:val="1A1A2E"/>
          <w:sz w:val="22"/>
          <w:szCs w:val="22"/>
        </w:rPr>
        <w:t xml:space="preserve">validate()</w:t>
      </w:r>
    </w:p>
    <w:p>
      <w:pPr>
        <w:spacing w:after="80" w:before="80"/>
      </w:pPr>
      <w:r>
        <w:rPr>
          <w:rFonts w:ascii="Arial" w:cs="Arial" w:eastAsia="Arial" w:hAnsi="Arial"/>
          <w:color w:val="1A1A2E"/>
          <w:sz w:val="22"/>
          <w:szCs w:val="22"/>
        </w:rPr>
        <w:t xml:space="preserve">Permet a un membre de valider l'envoi vers la destination. Quand le threshold est atteint, l'envoi est declenche automatiquement dans la meme transaction.</w:t>
      </w:r>
    </w:p>
    <w:p>
      <w:pPr>
        <w:spacing w:after="80" w:before="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none" w:color="FFFFFF" w:sz="0"/>
              <w:left w:val="none" w:color="FFFFFF" w:sz="0"/>
              <w:bottom w:val="none" w:color="FFFFFF" w:sz="0"/>
              <w:right w:val="none" w:color="FFFFFF" w:sz="0"/>
            </w:tcBorders>
            <w:shd w:fill="F5F5F5" w:val="clear"/>
            <w:tcMar>
              <w:top w:type="dxa" w:w="120"/>
              <w:left w:type="dxa" w:w="200"/>
              <w:bottom w:type="dxa" w:w="120"/>
              <w:right w:type="dxa" w:w="200"/>
            </w:tcMar>
          </w:tcPr>
          <w:p>
            <w:r>
              <w:rPr>
                <w:rFonts w:ascii="Arial" w:cs="Arial" w:eastAsia="Arial" w:hAnsi="Arial"/>
                <w:b/>
                <w:bCs/>
                <w:color w:val="333333"/>
                <w:sz w:val="20"/>
                <w:szCs w:val="20"/>
              </w:rPr>
              <w:t xml:space="preserve">Signature: </w:t>
            </w:r>
            <w:r>
              <w:rPr>
                <w:rFonts w:ascii="Arial" w:cs="Arial" w:eastAsia="Arial" w:hAnsi="Arial"/>
                <w:color w:val="333333"/>
                <w:sz w:val="20"/>
                <w:szCs w:val="20"/>
              </w:rPr>
              <w:t xml:space="preserve">validate(uint256 id)</w:t>
            </w:r>
          </w:p>
        </w:tc>
      </w:tr>
    </w:tbl>
    <w:p>
      <w:pPr>
        <w:spacing w:after="80" w:before="80"/>
      </w:pPr>
      <w:r>
        <w:t xml:space="preserve"/>
      </w:r>
    </w:p>
    <w:p>
      <w:pPr>
        <w:spacing w:after="80" w:before="80"/>
      </w:pPr>
      <w:r>
        <w:rPr>
          <w:rFonts w:ascii="Arial" w:cs="Arial" w:eastAsia="Arial" w:hAnsi="Arial"/>
          <w:color w:val="1A1A2E"/>
          <w:sz w:val="22"/>
          <w:szCs w:val="22"/>
        </w:rPr>
        <w:t xml:space="preserve">Conditions :</w:t>
      </w:r>
    </w:p>
    <w:p>
      <w:pPr>
        <w:pStyle w:val="ListParagraph"/>
        <w:numPr>
          <w:ilvl w:val="0"/>
          <w:numId w:val="2"/>
        </w:numPr>
        <w:spacing w:after="60" w:before="60"/>
      </w:pPr>
      <w:r>
        <w:rPr>
          <w:rFonts w:ascii="Arial" w:cs="Arial" w:eastAsia="Arial" w:hAnsi="Arial"/>
          <w:color w:val="1A1A2E"/>
          <w:sz w:val="22"/>
          <w:szCs w:val="22"/>
        </w:rPr>
        <w:t xml:space="preserve">L'appelant est membre de la pool</w:t>
      </w:r>
    </w:p>
    <w:p>
      <w:pPr>
        <w:pStyle w:val="ListParagraph"/>
        <w:numPr>
          <w:ilvl w:val="0"/>
          <w:numId w:val="2"/>
        </w:numPr>
        <w:spacing w:after="60" w:before="60"/>
      </w:pPr>
      <w:r>
        <w:rPr>
          <w:rFonts w:ascii="Arial" w:cs="Arial" w:eastAsia="Arial" w:hAnsi="Arial"/>
          <w:color w:val="1A1A2E"/>
          <w:sz w:val="22"/>
          <w:szCs w:val="22"/>
        </w:rPr>
        <w:t xml:space="preserve">L'objectif est atteint — totalReceived &gt;= targetAmount</w:t>
      </w:r>
    </w:p>
    <w:p>
      <w:pPr>
        <w:pStyle w:val="ListParagraph"/>
        <w:numPr>
          <w:ilvl w:val="0"/>
          <w:numId w:val="2"/>
        </w:numPr>
        <w:spacing w:after="60" w:before="60"/>
      </w:pPr>
      <w:r>
        <w:rPr>
          <w:rFonts w:ascii="Arial" w:cs="Arial" w:eastAsia="Arial" w:hAnsi="Arial"/>
          <w:color w:val="1A1A2E"/>
          <w:sz w:val="22"/>
          <w:szCs w:val="22"/>
        </w:rPr>
        <w:t xml:space="preserve">Ce membre n'a pas deja valide</w:t>
      </w:r>
    </w:p>
    <w:p>
      <w:pPr>
        <w:pStyle w:val="ListParagraph"/>
        <w:numPr>
          <w:ilvl w:val="0"/>
          <w:numId w:val="2"/>
        </w:numPr>
        <w:spacing w:after="60" w:before="60"/>
      </w:pPr>
      <w:r>
        <w:rPr>
          <w:rFonts w:ascii="Arial" w:cs="Arial" w:eastAsia="Arial" w:hAnsi="Arial"/>
          <w:color w:val="1A1A2E"/>
          <w:sz w:val="22"/>
          <w:szCs w:val="22"/>
        </w:rPr>
        <w:t xml:space="preserve">La pool n'est pas encore envoyee ni remboursee</w:t>
      </w:r>
    </w:p>
    <w:p>
      <w:pPr>
        <w:spacing w:after="80" w:before="80"/>
      </w:pPr>
      <w:r>
        <w:t xml:space="preserve"/>
      </w:r>
    </w:p>
    <w:p>
      <w:pPr>
        <w:spacing w:after="80" w:before="80"/>
      </w:pPr>
      <w:r>
        <w:rPr>
          <w:rFonts w:ascii="Arial" w:cs="Arial" w:eastAsia="Arial" w:hAnsi="Arial"/>
          <w:color w:val="1A1A2E"/>
          <w:sz w:val="22"/>
          <w:szCs w:val="22"/>
        </w:rPr>
        <w:t xml:space="preserve">Quand validationCount[id] &gt;= threshold, la fonction _sendFunds() est appelee automatiquement.</w:t>
      </w:r>
    </w:p>
    <w:p>
      <w:pPr>
        <w:spacing w:after="80" w:before="80"/>
      </w:pPr>
      <w:r>
        <w:t xml:space="preserve"/>
      </w:r>
    </w:p>
    <w:p>
      <w:pPr>
        <w:pStyle w:val="Heading3"/>
        <w:spacing w:after="100" w:before="200"/>
      </w:pPr>
      <w:r>
        <w:rPr>
          <w:rFonts w:ascii="Arial" w:cs="Arial" w:eastAsia="Arial" w:hAnsi="Arial"/>
          <w:b/>
          <w:bCs/>
          <w:color w:val="1A1A2E"/>
          <w:sz w:val="22"/>
          <w:szCs w:val="22"/>
        </w:rPr>
        <w:t xml:space="preserve">_sendFunds() — interne</w:t>
      </w:r>
    </w:p>
    <w:p>
      <w:pPr>
        <w:spacing w:after="80" w:before="80"/>
      </w:pPr>
      <w:r>
        <w:rPr>
          <w:rFonts w:ascii="Arial" w:cs="Arial" w:eastAsia="Arial" w:hAnsi="Arial"/>
          <w:color w:val="1A1A2E"/>
          <w:sz w:val="22"/>
          <w:szCs w:val="22"/>
        </w:rPr>
        <w:t xml:space="preserve">Declenchee automatiquement par validate(). Non appelable directement de l'exterieur.</w:t>
      </w:r>
    </w:p>
    <w:p>
      <w:pPr>
        <w:spacing w:after="80" w:before="80"/>
      </w:pPr>
      <w:r>
        <w:t xml:space="preserve"/>
      </w:r>
    </w:p>
    <w:p>
      <w:pPr>
        <w:spacing w:after="80" w:before="80"/>
      </w:pPr>
      <w:r>
        <w:rPr>
          <w:rFonts w:ascii="Arial" w:cs="Arial" w:eastAsia="Arial" w:hAnsi="Arial"/>
          <w:color w:val="1A1A2E"/>
          <w:sz w:val="22"/>
          <w:szCs w:val="22"/>
        </w:rPr>
        <w:t xml:space="preserve">Actions dans une seule transaction atomique :</w:t>
      </w:r>
    </w:p>
    <w:p>
      <w:pPr>
        <w:pStyle w:val="ListParagraph"/>
        <w:numPr>
          <w:ilvl w:val="0"/>
          <w:numId w:val="2"/>
        </w:numPr>
        <w:spacing w:after="60" w:before="60"/>
      </w:pPr>
      <w:r>
        <w:rPr>
          <w:rFonts w:ascii="Arial" w:cs="Arial" w:eastAsia="Arial" w:hAnsi="Arial"/>
          <w:color w:val="1A1A2E"/>
          <w:sz w:val="22"/>
          <w:szCs w:val="22"/>
        </w:rPr>
        <w:t xml:space="preserve">sent = true</w:t>
      </w:r>
    </w:p>
    <w:p>
      <w:pPr>
        <w:pStyle w:val="ListParagraph"/>
        <w:numPr>
          <w:ilvl w:val="0"/>
          <w:numId w:val="2"/>
        </w:numPr>
        <w:spacing w:after="60" w:before="60"/>
      </w:pPr>
      <w:r>
        <w:rPr>
          <w:rFonts w:ascii="Arial" w:cs="Arial" w:eastAsia="Arial" w:hAnsi="Arial"/>
          <w:color w:val="1A1A2E"/>
          <w:sz w:val="22"/>
          <w:szCs w:val="22"/>
        </w:rPr>
        <w:t xml:space="preserve">Calcul commission : totalReceived * 100 / 10000 = 1%</w:t>
      </w:r>
    </w:p>
    <w:p>
      <w:pPr>
        <w:pStyle w:val="ListParagraph"/>
        <w:numPr>
          <w:ilvl w:val="0"/>
          <w:numId w:val="2"/>
        </w:numPr>
        <w:spacing w:after="60" w:before="60"/>
      </w:pPr>
      <w:r>
        <w:rPr>
          <w:rFonts w:ascii="Arial" w:cs="Arial" w:eastAsia="Arial" w:hAnsi="Arial"/>
          <w:color w:val="1A1A2E"/>
          <w:sz w:val="22"/>
          <w:szCs w:val="22"/>
        </w:rPr>
        <w:t xml:space="preserve">Transfer (totalReceived - commission) USDT vers destination</w:t>
      </w:r>
    </w:p>
    <w:p>
      <w:pPr>
        <w:pStyle w:val="ListParagraph"/>
        <w:numPr>
          <w:ilvl w:val="0"/>
          <w:numId w:val="2"/>
        </w:numPr>
        <w:spacing w:after="60" w:before="60"/>
      </w:pPr>
      <w:r>
        <w:rPr>
          <w:rFonts w:ascii="Arial" w:cs="Arial" w:eastAsia="Arial" w:hAnsi="Arial"/>
          <w:color w:val="1A1A2E"/>
          <w:sz w:val="22"/>
          <w:szCs w:val="22"/>
        </w:rPr>
        <w:t xml:space="preserve">Transfer commission vers wallet owner du contrat</w:t>
      </w:r>
    </w:p>
    <w:p>
      <w:pPr>
        <w:pStyle w:val="ListParagraph"/>
        <w:numPr>
          <w:ilvl w:val="0"/>
          <w:numId w:val="2"/>
        </w:numPr>
        <w:spacing w:after="60" w:before="60"/>
      </w:pPr>
      <w:r>
        <w:rPr>
          <w:rFonts w:ascii="Arial" w:cs="Arial" w:eastAsia="Arial" w:hAnsi="Arial"/>
          <w:color w:val="1A1A2E"/>
          <w:sz w:val="22"/>
          <w:szCs w:val="22"/>
        </w:rPr>
        <w:t xml:space="preserve">Emission evenement FundsSent</w:t>
      </w:r>
    </w:p>
    <w:p>
      <w:pPr>
        <w:spacing w:after="80" w:before="80"/>
      </w:pPr>
      <w:r>
        <w:t xml:space="preserve"/>
      </w:r>
    </w:p>
    <w:p>
      <w:pPr>
        <w:pStyle w:val="Heading3"/>
        <w:spacing w:after="100" w:before="200"/>
      </w:pPr>
      <w:r>
        <w:rPr>
          <w:rFonts w:ascii="Arial" w:cs="Arial" w:eastAsia="Arial" w:hAnsi="Arial"/>
          <w:b/>
          <w:bCs/>
          <w:color w:val="1A1A2E"/>
          <w:sz w:val="22"/>
          <w:szCs w:val="22"/>
        </w:rPr>
        <w:t xml:space="preserve">validateDistribution()</w:t>
      </w:r>
    </w:p>
    <w:p>
      <w:pPr>
        <w:spacing w:after="80" w:before="80"/>
      </w:pPr>
      <w:r>
        <w:rPr>
          <w:rFonts w:ascii="Arial" w:cs="Arial" w:eastAsia="Arial" w:hAnsi="Arial"/>
          <w:color w:val="1A1A2E"/>
          <w:sz w:val="22"/>
          <w:szCs w:val="22"/>
        </w:rPr>
        <w:t xml:space="preserve">Phase 2 — group buy presale. Permet a un membre de valider la redistribution des tokens BEP-20 recus par le contrat. Disponible uniquement apres que la phase 1 soit terminee (sent = true).</w:t>
      </w:r>
    </w:p>
    <w:p>
      <w:pPr>
        <w:spacing w:after="80" w:before="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none" w:color="FFFFFF" w:sz="0"/>
              <w:left w:val="none" w:color="FFFFFF" w:sz="0"/>
              <w:bottom w:val="none" w:color="FFFFFF" w:sz="0"/>
              <w:right w:val="none" w:color="FFFFFF" w:sz="0"/>
            </w:tcBorders>
            <w:shd w:fill="F5F5F5" w:val="clear"/>
            <w:tcMar>
              <w:top w:type="dxa" w:w="120"/>
              <w:left w:type="dxa" w:w="200"/>
              <w:bottom w:type="dxa" w:w="120"/>
              <w:right w:type="dxa" w:w="200"/>
            </w:tcMar>
          </w:tcPr>
          <w:p>
            <w:r>
              <w:rPr>
                <w:rFonts w:ascii="Arial" w:cs="Arial" w:eastAsia="Arial" w:hAnsi="Arial"/>
                <w:b/>
                <w:bCs/>
                <w:color w:val="333333"/>
                <w:sz w:val="20"/>
                <w:szCs w:val="20"/>
              </w:rPr>
              <w:t xml:space="preserve">Signature: </w:t>
            </w:r>
            <w:r>
              <w:rPr>
                <w:rFonts w:ascii="Arial" w:cs="Arial" w:eastAsia="Arial" w:hAnsi="Arial"/>
                <w:color w:val="333333"/>
                <w:sz w:val="20"/>
                <w:szCs w:val="20"/>
              </w:rPr>
              <w:t xml:space="preserve">validateDistribution(uint256 id, address tokenAddress)</w:t>
            </w:r>
          </w:p>
        </w:tc>
      </w:tr>
    </w:tbl>
    <w:p>
      <w:pPr>
        <w:spacing w:after="80" w:before="80"/>
      </w:pPr>
      <w:r>
        <w:t xml:space="preserve"/>
      </w:r>
    </w:p>
    <w:p>
      <w:pPr>
        <w:spacing w:after="80" w:before="80"/>
      </w:pPr>
      <w:r>
        <w:rPr>
          <w:rFonts w:ascii="Arial" w:cs="Arial" w:eastAsia="Arial" w:hAnsi="Arial"/>
          <w:color w:val="1A1A2E"/>
          <w:sz w:val="22"/>
          <w:szCs w:val="22"/>
        </w:rPr>
        <w:t xml:space="preserve">Conditions :</w:t>
      </w:r>
    </w:p>
    <w:p>
      <w:pPr>
        <w:pStyle w:val="ListParagraph"/>
        <w:numPr>
          <w:ilvl w:val="0"/>
          <w:numId w:val="2"/>
        </w:numPr>
        <w:spacing w:after="60" w:before="60"/>
      </w:pPr>
      <w:r>
        <w:rPr>
          <w:rFonts w:ascii="Arial" w:cs="Arial" w:eastAsia="Arial" w:hAnsi="Arial"/>
          <w:color w:val="1A1A2E"/>
          <w:sz w:val="22"/>
          <w:szCs w:val="22"/>
        </w:rPr>
        <w:t xml:space="preserve">Phase 1 terminee — sent = true</w:t>
      </w:r>
    </w:p>
    <w:p>
      <w:pPr>
        <w:pStyle w:val="ListParagraph"/>
        <w:numPr>
          <w:ilvl w:val="0"/>
          <w:numId w:val="2"/>
        </w:numPr>
        <w:spacing w:after="60" w:before="60"/>
      </w:pPr>
      <w:r>
        <w:rPr>
          <w:rFonts w:ascii="Arial" w:cs="Arial" w:eastAsia="Arial" w:hAnsi="Arial"/>
          <w:color w:val="1A1A2E"/>
          <w:sz w:val="22"/>
          <w:szCs w:val="22"/>
        </w:rPr>
        <w:t xml:space="preserve">Tokens pas encore distribues — tokensDistributed = false</w:t>
      </w:r>
    </w:p>
    <w:p>
      <w:pPr>
        <w:pStyle w:val="ListParagraph"/>
        <w:numPr>
          <w:ilvl w:val="0"/>
          <w:numId w:val="2"/>
        </w:numPr>
        <w:spacing w:after="60" w:before="60"/>
      </w:pPr>
      <w:r>
        <w:rPr>
          <w:rFonts w:ascii="Arial" w:cs="Arial" w:eastAsia="Arial" w:hAnsi="Arial"/>
          <w:color w:val="1A1A2E"/>
          <w:sz w:val="22"/>
          <w:szCs w:val="22"/>
        </w:rPr>
        <w:t xml:space="preserve">L'appelant est membre de la pool</w:t>
      </w:r>
    </w:p>
    <w:p>
      <w:pPr>
        <w:pStyle w:val="ListParagraph"/>
        <w:numPr>
          <w:ilvl w:val="0"/>
          <w:numId w:val="2"/>
        </w:numPr>
        <w:spacing w:after="60" w:before="60"/>
      </w:pPr>
      <w:r>
        <w:rPr>
          <w:rFonts w:ascii="Arial" w:cs="Arial" w:eastAsia="Arial" w:hAnsi="Arial"/>
          <w:color w:val="1A1A2E"/>
          <w:sz w:val="22"/>
          <w:szCs w:val="22"/>
        </w:rPr>
        <w:t xml:space="preserve">Ce membre n'a pas deja valide la distribution</w:t>
      </w:r>
    </w:p>
    <w:p>
      <w:pPr>
        <w:pStyle w:val="ListParagraph"/>
        <w:numPr>
          <w:ilvl w:val="0"/>
          <w:numId w:val="2"/>
        </w:numPr>
        <w:spacing w:after="60" w:before="60"/>
      </w:pPr>
      <w:r>
        <w:rPr>
          <w:rFonts w:ascii="Arial" w:cs="Arial" w:eastAsia="Arial" w:hAnsi="Arial"/>
          <w:color w:val="1A1A2E"/>
          <w:sz w:val="22"/>
          <w:szCs w:val="22"/>
        </w:rPr>
        <w:t xml:space="preserve">Le contrat detient bien des tokens a l'adresse tokenAddress</w:t>
      </w:r>
    </w:p>
    <w:p>
      <w:pPr>
        <w:spacing w:after="80" w:before="80"/>
      </w:pPr>
      <w:r>
        <w:t xml:space="preserve"/>
      </w:r>
    </w:p>
    <w:p>
      <w:pPr>
        <w:spacing w:after="80" w:before="80"/>
      </w:pPr>
      <w:r>
        <w:rPr>
          <w:rFonts w:ascii="Arial" w:cs="Arial" w:eastAsia="Arial" w:hAnsi="Arial"/>
          <w:color w:val="1A1A2E"/>
          <w:sz w:val="22"/>
          <w:szCs w:val="22"/>
        </w:rPr>
        <w:t xml:space="preserve">Quand distValidationCount[id] &gt;= threshold, la fonction _distributeTokens() est appelee automatiquement.</w:t>
      </w:r>
    </w:p>
    <w:p>
      <w:pPr>
        <w:spacing w:after="80" w:before="80"/>
      </w:pPr>
      <w:r>
        <w:t xml:space="preserve"/>
      </w:r>
    </w:p>
    <w:p>
      <w:pPr>
        <w:pStyle w:val="Heading3"/>
        <w:spacing w:after="100" w:before="200"/>
      </w:pPr>
      <w:r>
        <w:rPr>
          <w:rFonts w:ascii="Arial" w:cs="Arial" w:eastAsia="Arial" w:hAnsi="Arial"/>
          <w:b/>
          <w:bCs/>
          <w:color w:val="1A1A2E"/>
          <w:sz w:val="22"/>
          <w:szCs w:val="22"/>
        </w:rPr>
        <w:t xml:space="preserve">_distributeTokens() — interne</w:t>
      </w:r>
    </w:p>
    <w:p>
      <w:pPr>
        <w:spacing w:after="80" w:before="80"/>
      </w:pPr>
      <w:r>
        <w:rPr>
          <w:rFonts w:ascii="Arial" w:cs="Arial" w:eastAsia="Arial" w:hAnsi="Arial"/>
          <w:color w:val="1A1A2E"/>
          <w:sz w:val="22"/>
          <w:szCs w:val="22"/>
        </w:rPr>
        <w:t xml:space="preserve">Redistribue les tokens BEP-20 recus aux membres proportionnellement a leurs contributions USDT originales.</w:t>
      </w:r>
    </w:p>
    <w:p>
      <w:pPr>
        <w:spacing w:after="80" w:before="80"/>
      </w:pPr>
      <w:r>
        <w:t xml:space="preserve"/>
      </w:r>
    </w:p>
    <w:p>
      <w:pPr>
        <w:spacing w:after="80" w:before="80"/>
      </w:pPr>
      <w:r>
        <w:rPr>
          <w:rFonts w:ascii="Arial" w:cs="Arial" w:eastAsia="Arial" w:hAnsi="Arial"/>
          <w:color w:val="1A1A2E"/>
          <w:sz w:val="22"/>
          <w:szCs w:val="22"/>
        </w:rPr>
        <w:t xml:space="preserve">Calcul de la part de chaque membre :</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none" w:color="FFFFFF" w:sz="0"/>
              <w:left w:val="none" w:color="FFFFFF" w:sz="0"/>
              <w:bottom w:val="none" w:color="FFFFFF" w:sz="0"/>
              <w:right w:val="none" w:color="FFFFFF" w:sz="0"/>
            </w:tcBorders>
            <w:shd w:fill="F5F5F5" w:val="clear"/>
            <w:tcMar>
              <w:top w:type="dxa" w:w="120"/>
              <w:left w:type="dxa" w:w="200"/>
              <w:bottom w:type="dxa" w:w="120"/>
              <w:right w:type="dxa" w:w="200"/>
            </w:tcMar>
          </w:tcPr>
          <w:p>
            <w:r>
              <w:rPr>
                <w:rFonts w:ascii="Arial" w:cs="Arial" w:eastAsia="Arial" w:hAnsi="Arial"/>
                <w:b/>
                <w:bCs/>
                <w:color w:val="333333"/>
                <w:sz w:val="20"/>
                <w:szCs w:val="20"/>
              </w:rPr>
              <w:t xml:space="preserve">Formule: </w:t>
            </w:r>
            <w:r>
              <w:rPr>
                <w:rFonts w:ascii="Arial" w:cs="Arial" w:eastAsia="Arial" w:hAnsi="Arial"/>
                <w:color w:val="333333"/>
                <w:sz w:val="20"/>
                <w:szCs w:val="20"/>
              </w:rPr>
              <w:t xml:space="preserve">memberTokens = totalTokens * contributions[id][member] / totalReceived</w:t>
            </w:r>
          </w:p>
        </w:tc>
      </w:tr>
    </w:tbl>
    <w:p>
      <w:pPr>
        <w:spacing w:after="80" w:before="80"/>
      </w:pPr>
      <w:r>
        <w:t xml:space="preserve"/>
      </w:r>
    </w:p>
    <w:p>
      <w:pPr>
        <w:spacing w:after="80" w:before="80"/>
      </w:pPr>
      <w:r>
        <w:rPr>
          <w:rFonts w:ascii="Arial" w:cs="Arial" w:eastAsia="Arial" w:hAnsi="Arial"/>
          <w:color w:val="1A1A2E"/>
          <w:sz w:val="22"/>
          <w:szCs w:val="22"/>
        </w:rPr>
        <w:t xml:space="preserve">Exemple concret :</w:t>
      </w:r>
    </w:p>
    <w:p>
      <w:pPr>
        <w:pStyle w:val="ListParagraph"/>
        <w:numPr>
          <w:ilvl w:val="0"/>
          <w:numId w:val="2"/>
        </w:numPr>
        <w:spacing w:after="60" w:before="60"/>
      </w:pPr>
      <w:r>
        <w:rPr>
          <w:rFonts w:ascii="Arial" w:cs="Arial" w:eastAsia="Arial" w:hAnsi="Arial"/>
          <w:color w:val="1A1A2E"/>
          <w:sz w:val="22"/>
          <w:szCs w:val="22"/>
        </w:rPr>
        <w:t xml:space="preserve">Total tokens recus : 1 000 $XYZ</w:t>
      </w:r>
    </w:p>
    <w:p>
      <w:pPr>
        <w:pStyle w:val="ListParagraph"/>
        <w:numPr>
          <w:ilvl w:val="0"/>
          <w:numId w:val="2"/>
        </w:numPr>
        <w:spacing w:after="60" w:before="60"/>
      </w:pPr>
      <w:r>
        <w:rPr>
          <w:rFonts w:ascii="Arial" w:cs="Arial" w:eastAsia="Arial" w:hAnsi="Arial"/>
          <w:color w:val="1A1A2E"/>
          <w:sz w:val="22"/>
          <w:szCs w:val="22"/>
        </w:rPr>
        <w:t xml:space="preserve">Alice a contribue 400 USDT sur 1 000 total = 40%</w:t>
      </w:r>
    </w:p>
    <w:p>
      <w:pPr>
        <w:pStyle w:val="ListParagraph"/>
        <w:numPr>
          <w:ilvl w:val="0"/>
          <w:numId w:val="2"/>
        </w:numPr>
        <w:spacing w:after="60" w:before="60"/>
      </w:pPr>
      <w:r>
        <w:rPr>
          <w:rFonts w:ascii="Arial" w:cs="Arial" w:eastAsia="Arial" w:hAnsi="Arial"/>
          <w:color w:val="1A1A2E"/>
          <w:sz w:val="22"/>
          <w:szCs w:val="22"/>
        </w:rPr>
        <w:t xml:space="preserve">Alice recoit 400 $XYZ</w:t>
      </w:r>
    </w:p>
    <w:p>
      <w:pPr>
        <w:pStyle w:val="ListParagraph"/>
        <w:numPr>
          <w:ilvl w:val="0"/>
          <w:numId w:val="2"/>
        </w:numPr>
        <w:spacing w:after="60" w:before="60"/>
      </w:pPr>
      <w:r>
        <w:rPr>
          <w:rFonts w:ascii="Arial" w:cs="Arial" w:eastAsia="Arial" w:hAnsi="Arial"/>
          <w:color w:val="1A1A2E"/>
          <w:sz w:val="22"/>
          <w:szCs w:val="22"/>
        </w:rPr>
        <w:t xml:space="preserve">Bob a contribue 400 USDT = 40% → recoit 400 $XYZ</w:t>
      </w:r>
    </w:p>
    <w:p>
      <w:pPr>
        <w:pStyle w:val="ListParagraph"/>
        <w:numPr>
          <w:ilvl w:val="0"/>
          <w:numId w:val="2"/>
        </w:numPr>
        <w:spacing w:after="60" w:before="60"/>
      </w:pPr>
      <w:r>
        <w:rPr>
          <w:rFonts w:ascii="Arial" w:cs="Arial" w:eastAsia="Arial" w:hAnsi="Arial"/>
          <w:color w:val="1A1A2E"/>
          <w:sz w:val="22"/>
          <w:szCs w:val="22"/>
        </w:rPr>
        <w:t xml:space="preserve">Charles a contribue 200 USDT = 20% → recoit 200 $XYZ</w:t>
      </w:r>
    </w:p>
    <w:p>
      <w:pPr>
        <w:spacing w:after="80" w:before="80"/>
      </w:pPr>
      <w:r>
        <w:t xml:space="preserve"/>
      </w:r>
    </w:p>
    <w:p>
      <w:pPr>
        <w:pStyle w:val="Heading3"/>
        <w:spacing w:after="100" w:before="200"/>
      </w:pPr>
      <w:r>
        <w:rPr>
          <w:rFonts w:ascii="Arial" w:cs="Arial" w:eastAsia="Arial" w:hAnsi="Arial"/>
          <w:b/>
          <w:bCs/>
          <w:color w:val="1A1A2E"/>
          <w:sz w:val="22"/>
          <w:szCs w:val="22"/>
        </w:rPr>
        <w:t xml:space="preserve">refund()</w:t>
      </w:r>
    </w:p>
    <w:p>
      <w:pPr>
        <w:spacing w:after="80" w:before="80"/>
      </w:pPr>
      <w:r>
        <w:rPr>
          <w:rFonts w:ascii="Arial" w:cs="Arial" w:eastAsia="Arial" w:hAnsi="Arial"/>
          <w:color w:val="1A1A2E"/>
          <w:sz w:val="22"/>
          <w:szCs w:val="22"/>
        </w:rPr>
        <w:t xml:space="preserve">Rembourse tous les membres si la deadline est expiree sans envoi. Peut etre appelee par n'importe quelle adresse apres la deadline.</w:t>
      </w:r>
    </w:p>
    <w:p>
      <w:pPr>
        <w:spacing w:after="80" w:before="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none" w:color="FFFFFF" w:sz="0"/>
              <w:left w:val="none" w:color="FFFFFF" w:sz="0"/>
              <w:bottom w:val="none" w:color="FFFFFF" w:sz="0"/>
              <w:right w:val="none" w:color="FFFFFF" w:sz="0"/>
            </w:tcBorders>
            <w:shd w:fill="F5F5F5" w:val="clear"/>
            <w:tcMar>
              <w:top w:type="dxa" w:w="120"/>
              <w:left w:type="dxa" w:w="200"/>
              <w:bottom w:type="dxa" w:w="120"/>
              <w:right w:type="dxa" w:w="200"/>
            </w:tcMar>
          </w:tcPr>
          <w:p>
            <w:r>
              <w:rPr>
                <w:rFonts w:ascii="Arial" w:cs="Arial" w:eastAsia="Arial" w:hAnsi="Arial"/>
                <w:b/>
                <w:bCs/>
                <w:color w:val="333333"/>
                <w:sz w:val="20"/>
                <w:szCs w:val="20"/>
              </w:rPr>
              <w:t xml:space="preserve">Signature: </w:t>
            </w:r>
            <w:r>
              <w:rPr>
                <w:rFonts w:ascii="Arial" w:cs="Arial" w:eastAsia="Arial" w:hAnsi="Arial"/>
                <w:color w:val="333333"/>
                <w:sz w:val="20"/>
                <w:szCs w:val="20"/>
              </w:rPr>
              <w:t xml:space="preserve">refund(uint256 id)</w:t>
            </w:r>
          </w:p>
        </w:tc>
      </w:tr>
    </w:tbl>
    <w:p>
      <w:pPr>
        <w:spacing w:after="80" w:before="80"/>
      </w:pPr>
      <w:r>
        <w:t xml:space="preserve"/>
      </w:r>
    </w:p>
    <w:p>
      <w:pPr>
        <w:spacing w:after="80" w:before="80"/>
      </w:pPr>
      <w:r>
        <w:rPr>
          <w:rFonts w:ascii="Arial" w:cs="Arial" w:eastAsia="Arial" w:hAnsi="Arial"/>
          <w:color w:val="1A1A2E"/>
          <w:sz w:val="22"/>
          <w:szCs w:val="22"/>
        </w:rPr>
        <w:t xml:space="preserve">Chaque membre recoit exactement le montant qu'il a contribue. Aucune commission sur les remboursements. Le mapping contributions[id][member] est remis a zero avant le transfert pour eviter les reentrances.</w:t>
      </w:r>
    </w:p>
    <w:p>
      <w:r>
        <w:br w:type="page"/>
      </w:r>
    </w:p>
    <w:p>
      <w:pPr>
        <w:pStyle w:val="Heading1"/>
        <w:pBdr>
          <w:bottom w:val="single" w:color="1565A7" w:sz="4" w:space="4"/>
        </w:pBdr>
        <w:spacing w:after="200" w:before="400"/>
      </w:pPr>
      <w:r>
        <w:rPr>
          <w:rFonts w:ascii="Arial" w:cs="Arial" w:eastAsia="Arial" w:hAnsi="Arial"/>
          <w:b/>
          <w:bCs/>
          <w:color w:val="1A1A2E"/>
          <w:sz w:val="32"/>
          <w:szCs w:val="32"/>
        </w:rPr>
        <w:t xml:space="preserve">4. Fonctions de lecture</w:t>
      </w:r>
    </w:p>
    <w:p>
      <w:pPr>
        <w:spacing w:after="80" w:before="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000"/>
        <w:gridCol w:w="2800"/>
        <w:gridCol w:w="3560"/>
      </w:tblGrid>
      <w:tr>
        <w:tc>
          <w:tcPr>
            <w:tcW w:type="dxa" w:w="3000"/>
            <w:tcBorders>
              <w:top w:val="single" w:color="CCCCCC" w:sz="1"/>
              <w:left w:val="single" w:color="CCCCCC" w:sz="1"/>
              <w:bottom w:val="single" w:color="CCCCCC" w:sz="1"/>
              <w:right w:val="single" w:color="CCCCCC" w:sz="1"/>
            </w:tcBorders>
            <w:shd w:fill="1565A7" w:val="clear"/>
            <w:tcMar>
              <w:top w:type="dxa" w:w="80"/>
              <w:left w:type="dxa" w:w="120"/>
              <w:bottom w:type="dxa" w:w="80"/>
              <w:right w:type="dxa" w:w="120"/>
            </w:tcMar>
          </w:tcPr>
          <w:p>
            <w:r>
              <w:rPr>
                <w:rFonts w:ascii="Arial" w:cs="Arial" w:eastAsia="Arial" w:hAnsi="Arial"/>
                <w:b/>
                <w:bCs/>
                <w:color w:val="FFFFFF"/>
                <w:sz w:val="20"/>
                <w:szCs w:val="20"/>
              </w:rPr>
              <w:t xml:space="preserve">Fonction</w:t>
            </w:r>
          </w:p>
        </w:tc>
        <w:tc>
          <w:tcPr>
            <w:tcW w:type="dxa" w:w="2800"/>
            <w:tcBorders>
              <w:top w:val="single" w:color="CCCCCC" w:sz="1"/>
              <w:left w:val="single" w:color="CCCCCC" w:sz="1"/>
              <w:bottom w:val="single" w:color="CCCCCC" w:sz="1"/>
              <w:right w:val="single" w:color="CCCCCC" w:sz="1"/>
            </w:tcBorders>
            <w:shd w:fill="1565A7" w:val="clear"/>
            <w:tcMar>
              <w:top w:type="dxa" w:w="80"/>
              <w:left w:type="dxa" w:w="120"/>
              <w:bottom w:type="dxa" w:w="80"/>
              <w:right w:type="dxa" w:w="120"/>
            </w:tcMar>
          </w:tcPr>
          <w:p>
            <w:r>
              <w:rPr>
                <w:rFonts w:ascii="Arial" w:cs="Arial" w:eastAsia="Arial" w:hAnsi="Arial"/>
                <w:b/>
                <w:bCs/>
                <w:color w:val="FFFFFF"/>
                <w:sz w:val="20"/>
                <w:szCs w:val="20"/>
              </w:rPr>
              <w:t xml:space="preserve">Retour</w:t>
            </w:r>
          </w:p>
        </w:tc>
        <w:tc>
          <w:tcPr>
            <w:tcW w:type="dxa" w:w="3560"/>
            <w:tcBorders>
              <w:top w:val="single" w:color="CCCCCC" w:sz="1"/>
              <w:left w:val="single" w:color="CCCCCC" w:sz="1"/>
              <w:bottom w:val="single" w:color="CCCCCC" w:sz="1"/>
              <w:right w:val="single" w:color="CCCCCC" w:sz="1"/>
            </w:tcBorders>
            <w:shd w:fill="1565A7" w:val="clear"/>
            <w:tcMar>
              <w:top w:type="dxa" w:w="80"/>
              <w:left w:type="dxa" w:w="120"/>
              <w:bottom w:type="dxa" w:w="80"/>
              <w:right w:type="dxa" w:w="120"/>
            </w:tcMar>
          </w:tcPr>
          <w:p>
            <w:r>
              <w:rPr>
                <w:rFonts w:ascii="Arial" w:cs="Arial" w:eastAsia="Arial" w:hAnsi="Arial"/>
                <w:b/>
                <w:bCs/>
                <w:color w:val="FFFFFF"/>
                <w:sz w:val="20"/>
                <w:szCs w:val="20"/>
              </w:rPr>
              <w:t xml:space="preserve">Usage frontend</w:t>
            </w:r>
          </w:p>
        </w:tc>
      </w:tr>
      <w:tr>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2E"/>
                <w:sz w:val="20"/>
                <w:szCs w:val="20"/>
              </w:rPr>
              <w:t xml:space="preserve">getAgreement(id)</w:t>
            </w:r>
          </w:p>
        </w:tc>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2E"/>
                <w:sz w:val="20"/>
                <w:szCs w:val="20"/>
              </w:rPr>
              <w:t xml:space="preserve">Tous les champs de la pool</w:t>
            </w:r>
          </w:p>
        </w:tc>
        <w:tc>
          <w:tcPr>
            <w:tcW w:type="dxa" w:w="3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2E"/>
                <w:sz w:val="20"/>
                <w:szCs w:val="20"/>
              </w:rPr>
              <w:t xml:space="preserve">Dashboard principal</w:t>
            </w:r>
          </w:p>
        </w:tc>
      </w:tr>
      <w:tr>
        <w:tc>
          <w:tcPr>
            <w:tcW w:type="dxa" w:w="30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color w:val="1A1A2E"/>
                <w:sz w:val="20"/>
                <w:szCs w:val="20"/>
              </w:rPr>
              <w:t xml:space="preserve">getProgress(id)</w:t>
            </w:r>
          </w:p>
        </w:tc>
        <w:tc>
          <w:tcPr>
            <w:tcW w:type="dxa" w:w="28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color w:val="1A1A2E"/>
                <w:sz w:val="20"/>
                <w:szCs w:val="20"/>
              </w:rPr>
              <w:t xml:space="preserve">collected, target, percent, reached</w:t>
            </w:r>
          </w:p>
        </w:tc>
        <w:tc>
          <w:tcPr>
            <w:tcW w:type="dxa" w:w="356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color w:val="1A1A2E"/>
                <w:sz w:val="20"/>
                <w:szCs w:val="20"/>
              </w:rPr>
              <w:t xml:space="preserve">Barre de progression</w:t>
            </w:r>
          </w:p>
        </w:tc>
      </w:tr>
      <w:tr>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2E"/>
                <w:sz w:val="20"/>
                <w:szCs w:val="20"/>
              </w:rPr>
              <w:t xml:space="preserve">getContribution(id, member)</w:t>
            </w:r>
          </w:p>
        </w:tc>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2E"/>
                <w:sz w:val="20"/>
                <w:szCs w:val="20"/>
              </w:rPr>
              <w:t xml:space="preserve">uint256 USDT</w:t>
            </w:r>
          </w:p>
        </w:tc>
        <w:tc>
          <w:tcPr>
            <w:tcW w:type="dxa" w:w="3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2E"/>
                <w:sz w:val="20"/>
                <w:szCs w:val="20"/>
              </w:rPr>
              <w:t xml:space="preserve">Contribution individuelle</w:t>
            </w:r>
          </w:p>
        </w:tc>
      </w:tr>
      <w:tr>
        <w:tc>
          <w:tcPr>
            <w:tcW w:type="dxa" w:w="30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color w:val="1A1A2E"/>
                <w:sz w:val="20"/>
                <w:szCs w:val="20"/>
              </w:rPr>
              <w:t xml:space="preserve">hasValidated(id, member)</w:t>
            </w:r>
          </w:p>
        </w:tc>
        <w:tc>
          <w:tcPr>
            <w:tcW w:type="dxa" w:w="28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color w:val="1A1A2E"/>
                <w:sz w:val="20"/>
                <w:szCs w:val="20"/>
              </w:rPr>
              <w:t xml:space="preserve">bool</w:t>
            </w:r>
          </w:p>
        </w:tc>
        <w:tc>
          <w:tcPr>
            <w:tcW w:type="dxa" w:w="356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color w:val="1A1A2E"/>
                <w:sz w:val="20"/>
                <w:szCs w:val="20"/>
              </w:rPr>
              <w:t xml:space="preserve">Indicateur de validation phase 1</w:t>
            </w:r>
          </w:p>
        </w:tc>
      </w:tr>
      <w:tr>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2E"/>
                <w:sz w:val="20"/>
                <w:szCs w:val="20"/>
              </w:rPr>
              <w:t xml:space="preserve">hasValidatedDist(id, member)</w:t>
            </w:r>
          </w:p>
        </w:tc>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2E"/>
                <w:sz w:val="20"/>
                <w:szCs w:val="20"/>
              </w:rPr>
              <w:t xml:space="preserve">bool</w:t>
            </w:r>
          </w:p>
        </w:tc>
        <w:tc>
          <w:tcPr>
            <w:tcW w:type="dxa" w:w="3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2E"/>
                <w:sz w:val="20"/>
                <w:szCs w:val="20"/>
              </w:rPr>
              <w:t xml:space="preserve">Indicateur de validation phase 2</w:t>
            </w:r>
          </w:p>
        </w:tc>
      </w:tr>
      <w:tr>
        <w:tc>
          <w:tcPr>
            <w:tcW w:type="dxa" w:w="30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color w:val="1A1A2E"/>
                <w:sz w:val="20"/>
                <w:szCs w:val="20"/>
              </w:rPr>
              <w:t xml:space="preserve">validationCount(id)</w:t>
            </w:r>
          </w:p>
        </w:tc>
        <w:tc>
          <w:tcPr>
            <w:tcW w:type="dxa" w:w="28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color w:val="1A1A2E"/>
                <w:sz w:val="20"/>
                <w:szCs w:val="20"/>
              </w:rPr>
              <w:t xml:space="preserve">uint256</w:t>
            </w:r>
          </w:p>
        </w:tc>
        <w:tc>
          <w:tcPr>
            <w:tcW w:type="dxa" w:w="356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color w:val="1A1A2E"/>
                <w:sz w:val="20"/>
                <w:szCs w:val="20"/>
              </w:rPr>
              <w:t xml:space="preserve">Nb validations phase 1 reues</w:t>
            </w:r>
          </w:p>
        </w:tc>
      </w:tr>
      <w:tr>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2E"/>
                <w:sz w:val="20"/>
                <w:szCs w:val="20"/>
              </w:rPr>
              <w:t xml:space="preserve">distValidationCount(id)</w:t>
            </w:r>
          </w:p>
        </w:tc>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2E"/>
                <w:sz w:val="20"/>
                <w:szCs w:val="20"/>
              </w:rPr>
              <w:t xml:space="preserve">uint256</w:t>
            </w:r>
          </w:p>
        </w:tc>
        <w:tc>
          <w:tcPr>
            <w:tcW w:type="dxa" w:w="3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2E"/>
                <w:sz w:val="20"/>
                <w:szCs w:val="20"/>
              </w:rPr>
              <w:t xml:space="preserve">Nb validations phase 2 reues</w:t>
            </w:r>
          </w:p>
        </w:tc>
      </w:tr>
      <w:tr>
        <w:tc>
          <w:tcPr>
            <w:tcW w:type="dxa" w:w="30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color w:val="1A1A2E"/>
                <w:sz w:val="20"/>
                <w:szCs w:val="20"/>
              </w:rPr>
              <w:t xml:space="preserve">isMember(id, address)</w:t>
            </w:r>
          </w:p>
        </w:tc>
        <w:tc>
          <w:tcPr>
            <w:tcW w:type="dxa" w:w="28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color w:val="1A1A2E"/>
                <w:sz w:val="20"/>
                <w:szCs w:val="20"/>
              </w:rPr>
              <w:t xml:space="preserve">bool</w:t>
            </w:r>
          </w:p>
        </w:tc>
        <w:tc>
          <w:tcPr>
            <w:tcW w:type="dxa" w:w="356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color w:val="1A1A2E"/>
                <w:sz w:val="20"/>
                <w:szCs w:val="20"/>
              </w:rPr>
              <w:t xml:space="preserve">Verification d'appartenance</w:t>
            </w:r>
          </w:p>
        </w:tc>
      </w:tr>
      <w:tr>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2E"/>
                <w:sz w:val="20"/>
                <w:szCs w:val="20"/>
              </w:rPr>
              <w:t xml:space="preserve">getTokenBalance(id, token)</w:t>
            </w:r>
          </w:p>
        </w:tc>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2E"/>
                <w:sz w:val="20"/>
                <w:szCs w:val="20"/>
              </w:rPr>
              <w:t xml:space="preserve">uint256</w:t>
            </w:r>
          </w:p>
        </w:tc>
        <w:tc>
          <w:tcPr>
            <w:tcW w:type="dxa" w:w="3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2E"/>
                <w:sz w:val="20"/>
                <w:szCs w:val="20"/>
              </w:rPr>
              <w:t xml:space="preserve">Tokens BEP-20 detenus par la pool</w:t>
            </w:r>
          </w:p>
        </w:tc>
      </w:tr>
    </w:tbl>
    <w:p>
      <w:r>
        <w:br w:type="page"/>
      </w:r>
    </w:p>
    <w:p>
      <w:pPr>
        <w:pStyle w:val="Heading1"/>
        <w:pBdr>
          <w:bottom w:val="single" w:color="1565A7" w:sz="4" w:space="4"/>
        </w:pBdr>
        <w:spacing w:after="200" w:before="400"/>
      </w:pPr>
      <w:r>
        <w:rPr>
          <w:rFonts w:ascii="Arial" w:cs="Arial" w:eastAsia="Arial" w:hAnsi="Arial"/>
          <w:b/>
          <w:bCs/>
          <w:color w:val="1A1A2E"/>
          <w:sz w:val="32"/>
          <w:szCs w:val="32"/>
        </w:rPr>
        <w:t xml:space="preserve">5. Events onchain</w:t>
      </w:r>
    </w:p>
    <w:p>
      <w:pPr>
        <w:spacing w:after="80" w:before="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2800"/>
        <w:gridCol w:w="3760"/>
      </w:tblGrid>
      <w:tr>
        <w:tc>
          <w:tcPr>
            <w:tcW w:type="dxa" w:w="2800"/>
            <w:tcBorders>
              <w:top w:val="single" w:color="CCCCCC" w:sz="1"/>
              <w:left w:val="single" w:color="CCCCCC" w:sz="1"/>
              <w:bottom w:val="single" w:color="CCCCCC" w:sz="1"/>
              <w:right w:val="single" w:color="CCCCCC" w:sz="1"/>
            </w:tcBorders>
            <w:shd w:fill="1565A7" w:val="clear"/>
            <w:tcMar>
              <w:top w:type="dxa" w:w="80"/>
              <w:left w:type="dxa" w:w="120"/>
              <w:bottom w:type="dxa" w:w="80"/>
              <w:right w:type="dxa" w:w="120"/>
            </w:tcMar>
          </w:tcPr>
          <w:p>
            <w:r>
              <w:rPr>
                <w:rFonts w:ascii="Arial" w:cs="Arial" w:eastAsia="Arial" w:hAnsi="Arial"/>
                <w:b/>
                <w:bCs/>
                <w:color w:val="FFFFFF"/>
                <w:sz w:val="20"/>
                <w:szCs w:val="20"/>
              </w:rPr>
              <w:t xml:space="preserve">Event</w:t>
            </w:r>
          </w:p>
        </w:tc>
        <w:tc>
          <w:tcPr>
            <w:tcW w:type="dxa" w:w="2800"/>
            <w:tcBorders>
              <w:top w:val="single" w:color="CCCCCC" w:sz="1"/>
              <w:left w:val="single" w:color="CCCCCC" w:sz="1"/>
              <w:bottom w:val="single" w:color="CCCCCC" w:sz="1"/>
              <w:right w:val="single" w:color="CCCCCC" w:sz="1"/>
            </w:tcBorders>
            <w:shd w:fill="1565A7" w:val="clear"/>
            <w:tcMar>
              <w:top w:type="dxa" w:w="80"/>
              <w:left w:type="dxa" w:w="120"/>
              <w:bottom w:type="dxa" w:w="80"/>
              <w:right w:type="dxa" w:w="120"/>
            </w:tcMar>
          </w:tcPr>
          <w:p>
            <w:r>
              <w:rPr>
                <w:rFonts w:ascii="Arial" w:cs="Arial" w:eastAsia="Arial" w:hAnsi="Arial"/>
                <w:b/>
                <w:bCs/>
                <w:color w:val="FFFFFF"/>
                <w:sz w:val="20"/>
                <w:szCs w:val="20"/>
              </w:rPr>
              <w:t xml:space="preserve">Parametres indexes</w:t>
            </w:r>
          </w:p>
        </w:tc>
        <w:tc>
          <w:tcPr>
            <w:tcW w:type="dxa" w:w="3760"/>
            <w:tcBorders>
              <w:top w:val="single" w:color="CCCCCC" w:sz="1"/>
              <w:left w:val="single" w:color="CCCCCC" w:sz="1"/>
              <w:bottom w:val="single" w:color="CCCCCC" w:sz="1"/>
              <w:right w:val="single" w:color="CCCCCC" w:sz="1"/>
            </w:tcBorders>
            <w:shd w:fill="1565A7" w:val="clear"/>
            <w:tcMar>
              <w:top w:type="dxa" w:w="80"/>
              <w:left w:type="dxa" w:w="120"/>
              <w:bottom w:type="dxa" w:w="80"/>
              <w:right w:type="dxa" w:w="120"/>
            </w:tcMar>
          </w:tcPr>
          <w:p>
            <w:r>
              <w:rPr>
                <w:rFonts w:ascii="Arial" w:cs="Arial" w:eastAsia="Arial" w:hAnsi="Arial"/>
                <w:b/>
                <w:bCs/>
                <w:color w:val="FFFFFF"/>
                <w:sz w:val="20"/>
                <w:szCs w:val="20"/>
              </w:rPr>
              <w:t xml:space="preserve">Declenche quand</w:t>
            </w:r>
          </w:p>
        </w:tc>
      </w:tr>
      <w:tr>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2E"/>
                <w:sz w:val="20"/>
                <w:szCs w:val="20"/>
              </w:rPr>
              <w:t xml:space="preserve">AgreementCreated</w:t>
            </w:r>
          </w:p>
        </w:tc>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2E"/>
                <w:sz w:val="20"/>
                <w:szCs w:val="20"/>
              </w:rPr>
              <w:t xml:space="preserve">id, creator</w:t>
            </w:r>
          </w:p>
        </w:tc>
        <w:tc>
          <w:tcPr>
            <w:tcW w:type="dxa" w:w="37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2E"/>
                <w:sz w:val="20"/>
                <w:szCs w:val="20"/>
              </w:rPr>
              <w:t xml:space="preserve">Pool creee avec succes</w:t>
            </w:r>
          </w:p>
        </w:tc>
      </w:tr>
      <w:tr>
        <w:tc>
          <w:tcPr>
            <w:tcW w:type="dxa" w:w="28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color w:val="1A1A2E"/>
                <w:sz w:val="20"/>
                <w:szCs w:val="20"/>
              </w:rPr>
              <w:t xml:space="preserve">ContributionReceived</w:t>
            </w:r>
          </w:p>
        </w:tc>
        <w:tc>
          <w:tcPr>
            <w:tcW w:type="dxa" w:w="28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color w:val="1A1A2E"/>
                <w:sz w:val="20"/>
                <w:szCs w:val="20"/>
              </w:rPr>
              <w:t xml:space="preserve">id, member, amount</w:t>
            </w:r>
          </w:p>
        </w:tc>
        <w:tc>
          <w:tcPr>
            <w:tcW w:type="dxa" w:w="376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color w:val="1A1A2E"/>
                <w:sz w:val="20"/>
                <w:szCs w:val="20"/>
              </w:rPr>
              <w:t xml:space="preserve">Contribution USDT recue</w:t>
            </w:r>
          </w:p>
        </w:tc>
      </w:tr>
      <w:tr>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2E"/>
                <w:sz w:val="20"/>
                <w:szCs w:val="20"/>
              </w:rPr>
              <w:t xml:space="preserve">ValidationAdded</w:t>
            </w:r>
          </w:p>
        </w:tc>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2E"/>
                <w:sz w:val="20"/>
                <w:szCs w:val="20"/>
              </w:rPr>
              <w:t xml:space="preserve">id, member, count</w:t>
            </w:r>
          </w:p>
        </w:tc>
        <w:tc>
          <w:tcPr>
            <w:tcW w:type="dxa" w:w="37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2E"/>
                <w:sz w:val="20"/>
                <w:szCs w:val="20"/>
              </w:rPr>
              <w:t xml:space="preserve">Membre a valide phase 1</w:t>
            </w:r>
          </w:p>
        </w:tc>
      </w:tr>
      <w:tr>
        <w:tc>
          <w:tcPr>
            <w:tcW w:type="dxa" w:w="28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color w:val="1A1A2E"/>
                <w:sz w:val="20"/>
                <w:szCs w:val="20"/>
              </w:rPr>
              <w:t xml:space="preserve">FundsSent</w:t>
            </w:r>
          </w:p>
        </w:tc>
        <w:tc>
          <w:tcPr>
            <w:tcW w:type="dxa" w:w="28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color w:val="1A1A2E"/>
                <w:sz w:val="20"/>
                <w:szCs w:val="20"/>
              </w:rPr>
              <w:t xml:space="preserve">id, destination, amount, commission</w:t>
            </w:r>
          </w:p>
        </w:tc>
        <w:tc>
          <w:tcPr>
            <w:tcW w:type="dxa" w:w="376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color w:val="1A1A2E"/>
                <w:sz w:val="20"/>
                <w:szCs w:val="20"/>
              </w:rPr>
              <w:t xml:space="preserve">USDT envoyes vers destination</w:t>
            </w:r>
          </w:p>
        </w:tc>
      </w:tr>
      <w:tr>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2E"/>
                <w:sz w:val="20"/>
                <w:szCs w:val="20"/>
              </w:rPr>
              <w:t xml:space="preserve">FundsRefunded</w:t>
            </w:r>
          </w:p>
        </w:tc>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2E"/>
                <w:sz w:val="20"/>
                <w:szCs w:val="20"/>
              </w:rPr>
              <w:t xml:space="preserve">id, totalRefunded</w:t>
            </w:r>
          </w:p>
        </w:tc>
        <w:tc>
          <w:tcPr>
            <w:tcW w:type="dxa" w:w="37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2E"/>
                <w:sz w:val="20"/>
                <w:szCs w:val="20"/>
              </w:rPr>
              <w:t xml:space="preserve">Remboursement effectue</w:t>
            </w:r>
          </w:p>
        </w:tc>
      </w:tr>
      <w:tr>
        <w:tc>
          <w:tcPr>
            <w:tcW w:type="dxa" w:w="28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color w:val="1A1A2E"/>
                <w:sz w:val="20"/>
                <w:szCs w:val="20"/>
              </w:rPr>
              <w:t xml:space="preserve">DistValidationAdded</w:t>
            </w:r>
          </w:p>
        </w:tc>
        <w:tc>
          <w:tcPr>
            <w:tcW w:type="dxa" w:w="28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color w:val="1A1A2E"/>
                <w:sz w:val="20"/>
                <w:szCs w:val="20"/>
              </w:rPr>
              <w:t xml:space="preserve">id, member, count</w:t>
            </w:r>
          </w:p>
        </w:tc>
        <w:tc>
          <w:tcPr>
            <w:tcW w:type="dxa" w:w="376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color w:val="1A1A2E"/>
                <w:sz w:val="20"/>
                <w:szCs w:val="20"/>
              </w:rPr>
              <w:t xml:space="preserve">Membre a valide phase 2</w:t>
            </w:r>
          </w:p>
        </w:tc>
      </w:tr>
      <w:tr>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2E"/>
                <w:sz w:val="20"/>
                <w:szCs w:val="20"/>
              </w:rPr>
              <w:t xml:space="preserve">TokensDistributed</w:t>
            </w:r>
          </w:p>
        </w:tc>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2E"/>
                <w:sz w:val="20"/>
                <w:szCs w:val="20"/>
              </w:rPr>
              <w:t xml:space="preserve">id, token, totalAmount</w:t>
            </w:r>
          </w:p>
        </w:tc>
        <w:tc>
          <w:tcPr>
            <w:tcW w:type="dxa" w:w="37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2E"/>
                <w:sz w:val="20"/>
                <w:szCs w:val="20"/>
              </w:rPr>
              <w:t xml:space="preserve">Tokens redistribues aux membres</w:t>
            </w:r>
          </w:p>
        </w:tc>
      </w:tr>
    </w:tbl>
    <w:p>
      <w:r>
        <w:br w:type="page"/>
      </w:r>
    </w:p>
    <w:p>
      <w:pPr>
        <w:pStyle w:val="Heading1"/>
        <w:pBdr>
          <w:bottom w:val="single" w:color="1565A7" w:sz="4" w:space="4"/>
        </w:pBdr>
        <w:spacing w:after="200" w:before="400"/>
      </w:pPr>
      <w:r>
        <w:rPr>
          <w:rFonts w:ascii="Arial" w:cs="Arial" w:eastAsia="Arial" w:hAnsi="Arial"/>
          <w:b/>
          <w:bCs/>
          <w:color w:val="1A1A2E"/>
          <w:sz w:val="32"/>
          <w:szCs w:val="32"/>
        </w:rPr>
        <w:t xml:space="preserve">6. Regles metier</w:t>
      </w:r>
    </w:p>
    <w:p>
      <w:pPr>
        <w:spacing w:after="80" w:before="80"/>
      </w:pPr>
      <w:r>
        <w:t xml:space="preserve"/>
      </w:r>
    </w:p>
    <w:p>
      <w:pPr>
        <w:pStyle w:val="Heading2"/>
        <w:spacing w:after="150" w:before="300"/>
      </w:pPr>
      <w:r>
        <w:rPr>
          <w:rFonts w:ascii="Arial" w:cs="Arial" w:eastAsia="Arial" w:hAnsi="Arial"/>
          <w:b/>
          <w:bCs/>
          <w:color w:val="1565A7"/>
          <w:sz w:val="26"/>
          <w:szCs w:val="26"/>
        </w:rPr>
        <w:t xml:space="preserve">6.1 Membres</w:t>
      </w:r>
    </w:p>
    <w:p>
      <w:pPr>
        <w:pStyle w:val="ListParagraph"/>
        <w:numPr>
          <w:ilvl w:val="0"/>
          <w:numId w:val="2"/>
        </w:numPr>
        <w:spacing w:after="60" w:before="60"/>
      </w:pPr>
      <w:r>
        <w:rPr>
          <w:rFonts w:ascii="Arial" w:cs="Arial" w:eastAsia="Arial" w:hAnsi="Arial"/>
          <w:color w:val="1A1A2E"/>
          <w:sz w:val="22"/>
          <w:szCs w:val="22"/>
        </w:rPr>
        <w:t xml:space="preserve">Minimum 2 membres, maximum 50 par pool</w:t>
      </w:r>
    </w:p>
    <w:p>
      <w:pPr>
        <w:pStyle w:val="ListParagraph"/>
        <w:numPr>
          <w:ilvl w:val="0"/>
          <w:numId w:val="2"/>
        </w:numPr>
        <w:spacing w:after="60" w:before="60"/>
      </w:pPr>
      <w:r>
        <w:rPr>
          <w:rFonts w:ascii="Arial" w:cs="Arial" w:eastAsia="Arial" w:hAnsi="Arial"/>
          <w:color w:val="1A1A2E"/>
          <w:sz w:val="22"/>
          <w:szCs w:val="22"/>
        </w:rPr>
        <w:t xml:space="preserve">Un wallet ne peut pas apparaitre deux fois dans la meme pool</w:t>
      </w:r>
    </w:p>
    <w:p>
      <w:pPr>
        <w:pStyle w:val="ListParagraph"/>
        <w:numPr>
          <w:ilvl w:val="0"/>
          <w:numId w:val="2"/>
        </w:numPr>
        <w:spacing w:after="60" w:before="60"/>
      </w:pPr>
      <w:r>
        <w:rPr>
          <w:rFonts w:ascii="Arial" w:cs="Arial" w:eastAsia="Arial" w:hAnsi="Arial"/>
          <w:color w:val="1A1A2E"/>
          <w:sz w:val="22"/>
          <w:szCs w:val="22"/>
        </w:rPr>
        <w:t xml:space="preserve">Seuls les membres peuvent contribuer et valider</w:t>
      </w:r>
    </w:p>
    <w:p>
      <w:pPr>
        <w:pStyle w:val="ListParagraph"/>
        <w:numPr>
          <w:ilvl w:val="0"/>
          <w:numId w:val="2"/>
        </w:numPr>
        <w:spacing w:after="60" w:before="60"/>
      </w:pPr>
      <w:r>
        <w:rPr>
          <w:rFonts w:ascii="Arial" w:cs="Arial" w:eastAsia="Arial" w:hAnsi="Arial"/>
          <w:color w:val="1A1A2E"/>
          <w:sz w:val="22"/>
          <w:szCs w:val="22"/>
        </w:rPr>
        <w:t xml:space="preserve">La liste des membres est immuable apres creation</w:t>
      </w:r>
    </w:p>
    <w:p>
      <w:pPr>
        <w:spacing w:after="80" w:before="80"/>
      </w:pPr>
      <w:r>
        <w:t xml:space="preserve"/>
      </w:r>
    </w:p>
    <w:p>
      <w:pPr>
        <w:pStyle w:val="Heading2"/>
        <w:spacing w:after="150" w:before="300"/>
      </w:pPr>
      <w:r>
        <w:rPr>
          <w:rFonts w:ascii="Arial" w:cs="Arial" w:eastAsia="Arial" w:hAnsi="Arial"/>
          <w:b/>
          <w:bCs/>
          <w:color w:val="1565A7"/>
          <w:sz w:val="26"/>
          <w:szCs w:val="26"/>
        </w:rPr>
        <w:t xml:space="preserve">6.2 Contributions</w:t>
      </w:r>
    </w:p>
    <w:p>
      <w:pPr>
        <w:pStyle w:val="ListParagraph"/>
        <w:numPr>
          <w:ilvl w:val="0"/>
          <w:numId w:val="2"/>
        </w:numPr>
        <w:spacing w:after="60" w:before="60"/>
      </w:pPr>
      <w:r>
        <w:rPr>
          <w:rFonts w:ascii="Arial" w:cs="Arial" w:eastAsia="Arial" w:hAnsi="Arial"/>
          <w:color w:val="1A1A2E"/>
          <w:sz w:val="22"/>
          <w:szCs w:val="22"/>
        </w:rPr>
        <w:t xml:space="preserve">Contributions multiples autorisees — un membre peut contribuer plusieurs fois</w:t>
      </w:r>
    </w:p>
    <w:p>
      <w:pPr>
        <w:pStyle w:val="ListParagraph"/>
        <w:numPr>
          <w:ilvl w:val="0"/>
          <w:numId w:val="2"/>
        </w:numPr>
        <w:spacing w:after="60" w:before="60"/>
      </w:pPr>
      <w:r>
        <w:rPr>
          <w:rFonts w:ascii="Arial" w:cs="Arial" w:eastAsia="Arial" w:hAnsi="Arial"/>
          <w:color w:val="1A1A2E"/>
          <w:sz w:val="22"/>
          <w:szCs w:val="22"/>
        </w:rPr>
        <w:t xml:space="preserve">Pas de minimum ni de maximum par contribution en V1</w:t>
      </w:r>
    </w:p>
    <w:p>
      <w:pPr>
        <w:pStyle w:val="ListParagraph"/>
        <w:numPr>
          <w:ilvl w:val="0"/>
          <w:numId w:val="2"/>
        </w:numPr>
        <w:spacing w:after="60" w:before="60"/>
      </w:pPr>
      <w:r>
        <w:rPr>
          <w:rFonts w:ascii="Arial" w:cs="Arial" w:eastAsia="Arial" w:hAnsi="Arial"/>
          <w:color w:val="1A1A2E"/>
          <w:sz w:val="22"/>
          <w:szCs w:val="22"/>
        </w:rPr>
        <w:t xml:space="preserve">Impossible de contribuer apres la deadline</w:t>
      </w:r>
    </w:p>
    <w:p>
      <w:pPr>
        <w:pStyle w:val="ListParagraph"/>
        <w:numPr>
          <w:ilvl w:val="0"/>
          <w:numId w:val="2"/>
        </w:numPr>
        <w:spacing w:after="60" w:before="60"/>
      </w:pPr>
      <w:r>
        <w:rPr>
          <w:rFonts w:ascii="Arial" w:cs="Arial" w:eastAsia="Arial" w:hAnsi="Arial"/>
          <w:color w:val="1A1A2E"/>
          <w:sz w:val="22"/>
          <w:szCs w:val="22"/>
        </w:rPr>
        <w:t xml:space="preserve">Impossible de contribuer si pool envoyee ou remboursee</w:t>
      </w:r>
    </w:p>
    <w:p>
      <w:pPr>
        <w:pStyle w:val="ListParagraph"/>
        <w:numPr>
          <w:ilvl w:val="0"/>
          <w:numId w:val="2"/>
        </w:numPr>
        <w:spacing w:after="60" w:before="60"/>
      </w:pPr>
      <w:r>
        <w:rPr>
          <w:rFonts w:ascii="Arial" w:cs="Arial" w:eastAsia="Arial" w:hAnsi="Arial"/>
          <w:color w:val="1A1A2E"/>
          <w:sz w:val="22"/>
          <w:szCs w:val="22"/>
        </w:rPr>
        <w:t xml:space="preserve">Les contributions determinent automatiquement les parts de redistribution tokens</w:t>
      </w:r>
    </w:p>
    <w:p>
      <w:pPr>
        <w:spacing w:after="80" w:before="80"/>
      </w:pPr>
      <w:r>
        <w:t xml:space="preserve"/>
      </w:r>
    </w:p>
    <w:p>
      <w:pPr>
        <w:pStyle w:val="Heading2"/>
        <w:spacing w:after="150" w:before="300"/>
      </w:pPr>
      <w:r>
        <w:rPr>
          <w:rFonts w:ascii="Arial" w:cs="Arial" w:eastAsia="Arial" w:hAnsi="Arial"/>
          <w:b/>
          <w:bCs/>
          <w:color w:val="1565A7"/>
          <w:sz w:val="26"/>
          <w:szCs w:val="26"/>
        </w:rPr>
        <w:t xml:space="preserve">6.3 Threshold et validation</w:t>
      </w:r>
    </w:p>
    <w:p>
      <w:pPr>
        <w:pStyle w:val="ListParagraph"/>
        <w:numPr>
          <w:ilvl w:val="0"/>
          <w:numId w:val="2"/>
        </w:numPr>
        <w:spacing w:after="60" w:before="60"/>
      </w:pPr>
      <w:r>
        <w:rPr>
          <w:rFonts w:ascii="Arial" w:cs="Arial" w:eastAsia="Arial" w:hAnsi="Arial"/>
          <w:color w:val="1A1A2E"/>
          <w:sz w:val="22"/>
          <w:szCs w:val="22"/>
        </w:rPr>
        <w:t xml:space="preserve">Defini a la creation — entre 1 et le nombre total de membres</w:t>
      </w:r>
    </w:p>
    <w:p>
      <w:pPr>
        <w:pStyle w:val="ListParagraph"/>
        <w:numPr>
          <w:ilvl w:val="0"/>
          <w:numId w:val="2"/>
        </w:numPr>
        <w:spacing w:after="60" w:before="60"/>
      </w:pPr>
      <w:r>
        <w:rPr>
          <w:rFonts w:ascii="Arial" w:cs="Arial" w:eastAsia="Arial" w:hAnsi="Arial"/>
          <w:color w:val="1A1A2E"/>
          <w:sz w:val="22"/>
          <w:szCs w:val="22"/>
        </w:rPr>
        <w:t xml:space="preserve">Meme threshold utilise pour phase 1 (envoi) et phase 2 (redistribution tokens)</w:t>
      </w:r>
    </w:p>
    <w:p>
      <w:pPr>
        <w:pStyle w:val="ListParagraph"/>
        <w:numPr>
          <w:ilvl w:val="0"/>
          <w:numId w:val="2"/>
        </w:numPr>
        <w:spacing w:after="60" w:before="60"/>
      </w:pPr>
      <w:r>
        <w:rPr>
          <w:rFonts w:ascii="Arial" w:cs="Arial" w:eastAsia="Arial" w:hAnsi="Arial"/>
          <w:color w:val="1A1A2E"/>
          <w:sz w:val="22"/>
          <w:szCs w:val="22"/>
        </w:rPr>
        <w:t xml:space="preserve">Chaque membre ne peut valider qu'une seule fois par phase</w:t>
      </w:r>
    </w:p>
    <w:p>
      <w:pPr>
        <w:pStyle w:val="ListParagraph"/>
        <w:numPr>
          <w:ilvl w:val="0"/>
          <w:numId w:val="2"/>
        </w:numPr>
        <w:spacing w:after="60" w:before="60"/>
      </w:pPr>
      <w:r>
        <w:rPr>
          <w:rFonts w:ascii="Arial" w:cs="Arial" w:eastAsia="Arial" w:hAnsi="Arial"/>
          <w:color w:val="1A1A2E"/>
          <w:sz w:val="22"/>
          <w:szCs w:val="22"/>
        </w:rPr>
        <w:t xml:space="preserve">La validation n'est disponible que si l'objectif est atteint (phase 1) ou tokens recus (phase 2)</w:t>
      </w:r>
    </w:p>
    <w:p>
      <w:pPr>
        <w:pStyle w:val="ListParagraph"/>
        <w:numPr>
          <w:ilvl w:val="0"/>
          <w:numId w:val="2"/>
        </w:numPr>
        <w:spacing w:after="60" w:before="60"/>
      </w:pPr>
      <w:r>
        <w:rPr>
          <w:rFonts w:ascii="Arial" w:cs="Arial" w:eastAsia="Arial" w:hAnsi="Arial"/>
          <w:color w:val="1A1A2E"/>
          <w:sz w:val="22"/>
          <w:szCs w:val="22"/>
        </w:rPr>
        <w:t xml:space="preserve">Declenchement automatique quand threshold atteint — pas d'action supplementaire requise</w:t>
      </w:r>
    </w:p>
    <w:p>
      <w:pPr>
        <w:spacing w:after="80" w:before="80"/>
      </w:pPr>
      <w:r>
        <w:t xml:space="preserve"/>
      </w:r>
    </w:p>
    <w:p>
      <w:pPr>
        <w:pStyle w:val="Heading2"/>
        <w:spacing w:after="150" w:before="300"/>
      </w:pPr>
      <w:r>
        <w:rPr>
          <w:rFonts w:ascii="Arial" w:cs="Arial" w:eastAsia="Arial" w:hAnsi="Arial"/>
          <w:b/>
          <w:bCs/>
          <w:color w:val="1565A7"/>
          <w:sz w:val="26"/>
          <w:szCs w:val="26"/>
        </w:rPr>
        <w:t xml:space="preserve">6.4 Presale avec ICO differee</w:t>
      </w:r>
    </w:p>
    <w:p>
      <w:pPr>
        <w:spacing w:after="80" w:before="80"/>
      </w:pPr>
      <w:r>
        <w:rPr>
          <w:rFonts w:ascii="Arial" w:cs="Arial" w:eastAsia="Arial" w:hAnsi="Arial"/>
          <w:color w:val="1A1A2E"/>
          <w:sz w:val="22"/>
          <w:szCs w:val="22"/>
        </w:rPr>
        <w:t xml:space="preserve">Le contrat gere nativement les presales avec distribution differee des tokens :</w:t>
      </w:r>
    </w:p>
    <w:p>
      <w:pPr>
        <w:pStyle w:val="ListParagraph"/>
        <w:numPr>
          <w:ilvl w:val="0"/>
          <w:numId w:val="2"/>
        </w:numPr>
        <w:spacing w:after="60" w:before="60"/>
      </w:pPr>
      <w:r>
        <w:rPr>
          <w:rFonts w:ascii="Arial" w:cs="Arial" w:eastAsia="Arial" w:hAnsi="Arial"/>
          <w:color w:val="1A1A2E"/>
          <w:sz w:val="22"/>
          <w:szCs w:val="22"/>
        </w:rPr>
        <w:t xml:space="preserve">Phase 1 — pool envoie USDT vers presale aujourd'hui</w:t>
      </w:r>
    </w:p>
    <w:p>
      <w:pPr>
        <w:pStyle w:val="ListParagraph"/>
        <w:numPr>
          <w:ilvl w:val="0"/>
          <w:numId w:val="2"/>
        </w:numPr>
        <w:spacing w:after="60" w:before="60"/>
      </w:pPr>
      <w:r>
        <w:rPr>
          <w:rFonts w:ascii="Arial" w:cs="Arial" w:eastAsia="Arial" w:hAnsi="Arial"/>
          <w:color w:val="1A1A2E"/>
          <w:sz w:val="22"/>
          <w:szCs w:val="22"/>
        </w:rPr>
        <w:t xml:space="preserve">Le presale confirme la souscription — peut envoyer un token intermediaire</w:t>
      </w:r>
    </w:p>
    <w:p>
      <w:pPr>
        <w:pStyle w:val="ListParagraph"/>
        <w:numPr>
          <w:ilvl w:val="0"/>
          <w:numId w:val="2"/>
        </w:numPr>
        <w:spacing w:after="60" w:before="60"/>
      </w:pPr>
      <w:r>
        <w:rPr>
          <w:rFonts w:ascii="Arial" w:cs="Arial" w:eastAsia="Arial" w:hAnsi="Arial"/>
          <w:color w:val="1A1A2E"/>
          <w:sz w:val="22"/>
          <w:szCs w:val="22"/>
        </w:rPr>
        <w:t xml:space="preserve">Dans X semaines ou mois — le presale envoie les vrais tokens vers l'adresse du contrat FlowShare</w:t>
      </w:r>
    </w:p>
    <w:p>
      <w:pPr>
        <w:pStyle w:val="ListParagraph"/>
        <w:numPr>
          <w:ilvl w:val="0"/>
          <w:numId w:val="2"/>
        </w:numPr>
        <w:spacing w:after="60" w:before="60"/>
      </w:pPr>
      <w:r>
        <w:rPr>
          <w:rFonts w:ascii="Arial" w:cs="Arial" w:eastAsia="Arial" w:hAnsi="Arial"/>
          <w:color w:val="1A1A2E"/>
          <w:sz w:val="22"/>
          <w:szCs w:val="22"/>
        </w:rPr>
        <w:t xml:space="preserve">Phase 2 se declenche quand les tokens arrivent — peu importe le delai</w:t>
      </w:r>
    </w:p>
    <w:p>
      <w:pPr>
        <w:pStyle w:val="ListParagraph"/>
        <w:numPr>
          <w:ilvl w:val="0"/>
          <w:numId w:val="2"/>
        </w:numPr>
        <w:spacing w:after="60" w:before="60"/>
      </w:pPr>
      <w:r>
        <w:rPr>
          <w:rFonts w:ascii="Arial" w:cs="Arial" w:eastAsia="Arial" w:hAnsi="Arial"/>
          <w:color w:val="1A1A2E"/>
          <w:sz w:val="22"/>
          <w:szCs w:val="22"/>
        </w:rPr>
        <w:t xml:space="preserve">Seuls les tokens BEP-20 (ERC-20) sont geres — NFT d'allocation exclus en V1</w:t>
      </w:r>
    </w:p>
    <w:p>
      <w:pPr>
        <w:spacing w:after="80" w:before="80"/>
      </w:pPr>
      <w:r>
        <w:t xml:space="preserve"/>
      </w:r>
    </w:p>
    <w:p>
      <w:pPr>
        <w:pStyle w:val="Heading2"/>
        <w:spacing w:after="150" w:before="300"/>
      </w:pPr>
      <w:r>
        <w:rPr>
          <w:rFonts w:ascii="Arial" w:cs="Arial" w:eastAsia="Arial" w:hAnsi="Arial"/>
          <w:b/>
          <w:bCs/>
          <w:color w:val="1565A7"/>
          <w:sz w:val="26"/>
          <w:szCs w:val="26"/>
        </w:rPr>
        <w:t xml:space="preserve">6.5 Commission</w:t>
      </w:r>
    </w:p>
    <w:p>
      <w:pPr>
        <w:pStyle w:val="ListParagraph"/>
        <w:numPr>
          <w:ilvl w:val="0"/>
          <w:numId w:val="2"/>
        </w:numPr>
        <w:spacing w:after="60" w:before="60"/>
      </w:pPr>
      <w:r>
        <w:rPr>
          <w:rFonts w:ascii="Arial" w:cs="Arial" w:eastAsia="Arial" w:hAnsi="Arial"/>
          <w:color w:val="1A1A2E"/>
          <w:sz w:val="22"/>
          <w:szCs w:val="22"/>
        </w:rPr>
        <w:t xml:space="preserve">1% preleve automatiquement sur chaque envoi phase 1</w:t>
      </w:r>
    </w:p>
    <w:p>
      <w:pPr>
        <w:pStyle w:val="ListParagraph"/>
        <w:numPr>
          <w:ilvl w:val="0"/>
          <w:numId w:val="2"/>
        </w:numPr>
        <w:spacing w:after="60" w:before="60"/>
      </w:pPr>
      <w:r>
        <w:rPr>
          <w:rFonts w:ascii="Arial" w:cs="Arial" w:eastAsia="Arial" w:hAnsi="Arial"/>
          <w:color w:val="1A1A2E"/>
          <w:sz w:val="22"/>
          <w:szCs w:val="22"/>
        </w:rPr>
        <w:t xml:space="preserve">Calcule en basis points : 100 / 10 000</w:t>
      </w:r>
    </w:p>
    <w:p>
      <w:pPr>
        <w:pStyle w:val="ListParagraph"/>
        <w:numPr>
          <w:ilvl w:val="0"/>
          <w:numId w:val="2"/>
        </w:numPr>
        <w:spacing w:after="60" w:before="60"/>
      </w:pPr>
      <w:r>
        <w:rPr>
          <w:rFonts w:ascii="Arial" w:cs="Arial" w:eastAsia="Arial" w:hAnsi="Arial"/>
          <w:color w:val="1A1A2E"/>
          <w:sz w:val="22"/>
          <w:szCs w:val="22"/>
        </w:rPr>
        <w:t xml:space="preserve">Envoye vers wallet owner dans la meme transaction</w:t>
      </w:r>
    </w:p>
    <w:p>
      <w:pPr>
        <w:pStyle w:val="ListParagraph"/>
        <w:numPr>
          <w:ilvl w:val="0"/>
          <w:numId w:val="2"/>
        </w:numPr>
        <w:spacing w:after="60" w:before="60"/>
      </w:pPr>
      <w:r>
        <w:rPr>
          <w:rFonts w:ascii="Arial" w:cs="Arial" w:eastAsia="Arial" w:hAnsi="Arial"/>
          <w:color w:val="1A1A2E"/>
          <w:sz w:val="22"/>
          <w:szCs w:val="22"/>
        </w:rPr>
        <w:t xml:space="preserve">Aucune commission sur les remboursements</w:t>
      </w:r>
    </w:p>
    <w:p>
      <w:pPr>
        <w:pStyle w:val="ListParagraph"/>
        <w:numPr>
          <w:ilvl w:val="0"/>
          <w:numId w:val="2"/>
        </w:numPr>
        <w:spacing w:after="60" w:before="60"/>
      </w:pPr>
      <w:r>
        <w:rPr>
          <w:rFonts w:ascii="Arial" w:cs="Arial" w:eastAsia="Arial" w:hAnsi="Arial"/>
          <w:color w:val="1A1A2E"/>
          <w:sz w:val="22"/>
          <w:szCs w:val="22"/>
        </w:rPr>
        <w:t xml:space="preserve">Aucune commission sur la redistribution de tokens phase 2</w:t>
      </w:r>
    </w:p>
    <w:p>
      <w:pPr>
        <w:spacing w:after="80" w:before="80"/>
      </w:pPr>
      <w:r>
        <w:t xml:space="preserve"/>
      </w:r>
    </w:p>
    <w:p>
      <w:pPr>
        <w:pStyle w:val="Heading2"/>
        <w:spacing w:after="150" w:before="300"/>
      </w:pPr>
      <w:r>
        <w:rPr>
          <w:rFonts w:ascii="Arial" w:cs="Arial" w:eastAsia="Arial" w:hAnsi="Arial"/>
          <w:b/>
          <w:bCs/>
          <w:color w:val="1565A7"/>
          <w:sz w:val="26"/>
          <w:szCs w:val="26"/>
        </w:rPr>
        <w:t xml:space="preserve">6.6 Remboursement</w:t>
      </w:r>
    </w:p>
    <w:p>
      <w:pPr>
        <w:pStyle w:val="ListParagraph"/>
        <w:numPr>
          <w:ilvl w:val="0"/>
          <w:numId w:val="2"/>
        </w:numPr>
        <w:spacing w:after="60" w:before="60"/>
      </w:pPr>
      <w:r>
        <w:rPr>
          <w:rFonts w:ascii="Arial" w:cs="Arial" w:eastAsia="Arial" w:hAnsi="Arial"/>
          <w:color w:val="1A1A2E"/>
          <w:sz w:val="22"/>
          <w:szCs w:val="22"/>
        </w:rPr>
        <w:t xml:space="preserve">Disponible uniquement apres la deadline</w:t>
      </w:r>
    </w:p>
    <w:p>
      <w:pPr>
        <w:pStyle w:val="ListParagraph"/>
        <w:numPr>
          <w:ilvl w:val="0"/>
          <w:numId w:val="2"/>
        </w:numPr>
        <w:spacing w:after="60" w:before="60"/>
      </w:pPr>
      <w:r>
        <w:rPr>
          <w:rFonts w:ascii="Arial" w:cs="Arial" w:eastAsia="Arial" w:hAnsi="Arial"/>
          <w:color w:val="1A1A2E"/>
          <w:sz w:val="22"/>
          <w:szCs w:val="22"/>
        </w:rPr>
        <w:t xml:space="preserve">Chaque membre recoit exactement ce qu'il a contribue</w:t>
      </w:r>
    </w:p>
    <w:p>
      <w:pPr>
        <w:pStyle w:val="ListParagraph"/>
        <w:numPr>
          <w:ilvl w:val="0"/>
          <w:numId w:val="2"/>
        </w:numPr>
        <w:spacing w:after="60" w:before="60"/>
      </w:pPr>
      <w:r>
        <w:rPr>
          <w:rFonts w:ascii="Arial" w:cs="Arial" w:eastAsia="Arial" w:hAnsi="Arial"/>
          <w:color w:val="1A1A2E"/>
          <w:sz w:val="22"/>
          <w:szCs w:val="22"/>
        </w:rPr>
        <w:t xml:space="preserve">Peut etre declenche par n'importe quelle adresse</w:t>
      </w:r>
    </w:p>
    <w:p>
      <w:pPr>
        <w:pStyle w:val="ListParagraph"/>
        <w:numPr>
          <w:ilvl w:val="0"/>
          <w:numId w:val="2"/>
        </w:numPr>
        <w:spacing w:after="60" w:before="60"/>
      </w:pPr>
      <w:r>
        <w:rPr>
          <w:rFonts w:ascii="Arial" w:cs="Arial" w:eastAsia="Arial" w:hAnsi="Arial"/>
          <w:color w:val="1A1A2E"/>
          <w:sz w:val="22"/>
          <w:szCs w:val="22"/>
        </w:rPr>
        <w:t xml:space="preserve">Une seule execution possible</w:t>
      </w:r>
    </w:p>
    <w:p>
      <w:r>
        <w:br w:type="page"/>
      </w:r>
    </w:p>
    <w:p>
      <w:pPr>
        <w:pStyle w:val="Heading1"/>
        <w:pBdr>
          <w:bottom w:val="single" w:color="1565A7" w:sz="4" w:space="4"/>
        </w:pBdr>
        <w:spacing w:after="200" w:before="400"/>
      </w:pPr>
      <w:r>
        <w:rPr>
          <w:rFonts w:ascii="Arial" w:cs="Arial" w:eastAsia="Arial" w:hAnsi="Arial"/>
          <w:b/>
          <w:bCs/>
          <w:color w:val="1A1A2E"/>
          <w:sz w:val="32"/>
          <w:szCs w:val="32"/>
        </w:rPr>
        <w:t xml:space="preserve">7. Securite</w:t>
      </w:r>
    </w:p>
    <w:p>
      <w:pPr>
        <w:spacing w:after="80" w:before="80"/>
      </w:pPr>
      <w:r>
        <w:t xml:space="preserve"/>
      </w:r>
    </w:p>
    <w:p>
      <w:pPr>
        <w:pStyle w:val="Heading2"/>
        <w:spacing w:after="150" w:before="300"/>
      </w:pPr>
      <w:r>
        <w:rPr>
          <w:rFonts w:ascii="Arial" w:cs="Arial" w:eastAsia="Arial" w:hAnsi="Arial"/>
          <w:b/>
          <w:bCs/>
          <w:color w:val="1565A7"/>
          <w:sz w:val="26"/>
          <w:szCs w:val="26"/>
        </w:rPr>
        <w:t xml:space="preserve">7.1 Protections implementees</w:t>
      </w:r>
    </w:p>
    <w:p>
      <w:pPr>
        <w:pStyle w:val="ListParagraph"/>
        <w:numPr>
          <w:ilvl w:val="0"/>
          <w:numId w:val="2"/>
        </w:numPr>
        <w:spacing w:after="60" w:before="60"/>
      </w:pPr>
      <w:r>
        <w:rPr>
          <w:rFonts w:ascii="Arial" w:cs="Arial" w:eastAsia="Arial" w:hAnsi="Arial"/>
          <w:color w:val="1A1A2E"/>
          <w:sz w:val="22"/>
          <w:szCs w:val="22"/>
        </w:rPr>
        <w:t xml:space="preserve">ReentrancyGuard OpenZeppelin sur toutes les fonctions de transfert</w:t>
      </w:r>
    </w:p>
    <w:p>
      <w:pPr>
        <w:pStyle w:val="ListParagraph"/>
        <w:numPr>
          <w:ilvl w:val="0"/>
          <w:numId w:val="2"/>
        </w:numPr>
        <w:spacing w:after="60" w:before="60"/>
      </w:pPr>
      <w:r>
        <w:rPr>
          <w:rFonts w:ascii="Arial" w:cs="Arial" w:eastAsia="Arial" w:hAnsi="Arial"/>
          <w:color w:val="1A1A2E"/>
          <w:sz w:val="22"/>
          <w:szCs w:val="22"/>
        </w:rPr>
        <w:t xml:space="preserve">Pattern checks-effects-interactions — etat mis a jour AVANT les transferts</w:t>
      </w:r>
    </w:p>
    <w:p>
      <w:pPr>
        <w:pStyle w:val="ListParagraph"/>
        <w:numPr>
          <w:ilvl w:val="0"/>
          <w:numId w:val="2"/>
        </w:numPr>
        <w:spacing w:after="60" w:before="60"/>
      </w:pPr>
      <w:r>
        <w:rPr>
          <w:rFonts w:ascii="Arial" w:cs="Arial" w:eastAsia="Arial" w:hAnsi="Arial"/>
          <w:color w:val="1A1A2E"/>
          <w:sz w:val="22"/>
          <w:szCs w:val="22"/>
        </w:rPr>
        <w:t xml:space="preserve">sent et refunded mutuellement exclusifs — double depense impossible</w:t>
      </w:r>
    </w:p>
    <w:p>
      <w:pPr>
        <w:pStyle w:val="ListParagraph"/>
        <w:numPr>
          <w:ilvl w:val="0"/>
          <w:numId w:val="2"/>
        </w:numPr>
        <w:spacing w:after="60" w:before="60"/>
      </w:pPr>
      <w:r>
        <w:rPr>
          <w:rFonts w:ascii="Arial" w:cs="Arial" w:eastAsia="Arial" w:hAnsi="Arial"/>
          <w:color w:val="1A1A2E"/>
          <w:sz w:val="22"/>
          <w:szCs w:val="22"/>
        </w:rPr>
        <w:t xml:space="preserve">contributions[id][member] remis a zero avant remboursement</w:t>
      </w:r>
    </w:p>
    <w:p>
      <w:pPr>
        <w:pStyle w:val="ListParagraph"/>
        <w:numPr>
          <w:ilvl w:val="0"/>
          <w:numId w:val="2"/>
        </w:numPr>
        <w:spacing w:after="60" w:before="60"/>
      </w:pPr>
      <w:r>
        <w:rPr>
          <w:rFonts w:ascii="Arial" w:cs="Arial" w:eastAsia="Arial" w:hAnsi="Arial"/>
          <w:color w:val="1A1A2E"/>
          <w:sz w:val="22"/>
          <w:szCs w:val="22"/>
        </w:rPr>
        <w:t xml:space="preserve">Verification zero address sur destination et membres</w:t>
      </w:r>
    </w:p>
    <w:p>
      <w:pPr>
        <w:pStyle w:val="ListParagraph"/>
        <w:numPr>
          <w:ilvl w:val="0"/>
          <w:numId w:val="2"/>
        </w:numPr>
        <w:spacing w:after="60" w:before="60"/>
      </w:pPr>
      <w:r>
        <w:rPr>
          <w:rFonts w:ascii="Arial" w:cs="Arial" w:eastAsia="Arial" w:hAnsi="Arial"/>
          <w:color w:val="1A1A2E"/>
          <w:sz w:val="22"/>
          <w:szCs w:val="22"/>
        </w:rPr>
        <w:t xml:space="preserve">isMember verifie avant toute action membre</w:t>
      </w:r>
    </w:p>
    <w:p>
      <w:pPr>
        <w:pStyle w:val="ListParagraph"/>
        <w:numPr>
          <w:ilvl w:val="0"/>
          <w:numId w:val="2"/>
        </w:numPr>
        <w:spacing w:after="60" w:before="60"/>
      </w:pPr>
      <w:r>
        <w:rPr>
          <w:rFonts w:ascii="Arial" w:cs="Arial" w:eastAsia="Arial" w:hAnsi="Arial"/>
          <w:color w:val="1A1A2E"/>
          <w:sz w:val="22"/>
          <w:szCs w:val="22"/>
        </w:rPr>
        <w:t xml:space="preserve">Verification solde tokens avant redistribution phase 2</w:t>
      </w:r>
    </w:p>
    <w:p>
      <w:pPr>
        <w:spacing w:after="80" w:before="80"/>
      </w:pPr>
      <w:r>
        <w:t xml:space="preserve"/>
      </w:r>
    </w:p>
    <w:p>
      <w:pPr>
        <w:pStyle w:val="Heading2"/>
        <w:spacing w:after="150" w:before="300"/>
      </w:pPr>
      <w:r>
        <w:rPr>
          <w:rFonts w:ascii="Arial" w:cs="Arial" w:eastAsia="Arial" w:hAnsi="Arial"/>
          <w:b/>
          <w:bCs/>
          <w:color w:val="1565A7"/>
          <w:sz w:val="26"/>
          <w:szCs w:val="26"/>
        </w:rPr>
        <w:t xml:space="preserve">7.2 Limites connues V1</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none" w:color="FFFFFF" w:sz="0"/>
              <w:left w:val="none" w:color="FFFFFF" w:sz="0"/>
              <w:bottom w:val="none" w:color="FFFFFF" w:sz="0"/>
              <w:right w:val="none" w:color="FFFFFF" w:sz="0"/>
            </w:tcBorders>
            <w:shd w:fill="FFF0E6" w:val="clear"/>
            <w:tcMar>
              <w:top w:type="dxa" w:w="120"/>
              <w:left w:type="dxa" w:w="200"/>
              <w:bottom w:type="dxa" w:w="120"/>
              <w:right w:type="dxa" w:w="200"/>
            </w:tcMar>
          </w:tcPr>
          <w:p>
            <w:r>
              <w:rPr>
                <w:rFonts w:ascii="Arial" w:cs="Arial" w:eastAsia="Arial" w:hAnsi="Arial"/>
                <w:b/>
                <w:bCs/>
                <w:color w:val="7A2E00"/>
                <w:sz w:val="20"/>
                <w:szCs w:val="20"/>
              </w:rPr>
              <w:t xml:space="preserve">Note: </w:t>
            </w:r>
            <w:r>
              <w:rPr>
                <w:rFonts w:ascii="Arial" w:cs="Arial" w:eastAsia="Arial" w:hAnsi="Arial"/>
                <w:color w:val="7A2E00"/>
                <w:sz w:val="20"/>
                <w:szCs w:val="20"/>
              </w:rPr>
              <w:t xml:space="preserve">Ces limitations sont documentees et seront adressees en V2 apres retour utilisateurs.</w:t>
            </w:r>
          </w:p>
        </w:tc>
      </w:tr>
    </w:tbl>
    <w:p>
      <w:pPr>
        <w:spacing w:after="80" w:before="80"/>
      </w:pPr>
      <w:r>
        <w:t xml:space="preserve"/>
      </w:r>
    </w:p>
    <w:p>
      <w:pPr>
        <w:pStyle w:val="ListParagraph"/>
        <w:numPr>
          <w:ilvl w:val="0"/>
          <w:numId w:val="2"/>
        </w:numPr>
        <w:spacing w:after="60" w:before="60"/>
      </w:pPr>
      <w:r>
        <w:rPr>
          <w:rFonts w:ascii="Arial" w:cs="Arial" w:eastAsia="Arial" w:hAnsi="Arial"/>
          <w:color w:val="1A1A2E"/>
          <w:sz w:val="22"/>
          <w:szCs w:val="22"/>
        </w:rPr>
        <w:t xml:space="preserve">Pas de fonction cancel — fonds bloques jusqu'a deadline si pas d'envoi</w:t>
      </w:r>
    </w:p>
    <w:p>
      <w:pPr>
        <w:pStyle w:val="ListParagraph"/>
        <w:numPr>
          <w:ilvl w:val="0"/>
          <w:numId w:val="2"/>
        </w:numPr>
        <w:spacing w:after="60" w:before="60"/>
      </w:pPr>
      <w:r>
        <w:rPr>
          <w:rFonts w:ascii="Arial" w:cs="Arial" w:eastAsia="Arial" w:hAnsi="Arial"/>
          <w:color w:val="1A1A2E"/>
          <w:sz w:val="22"/>
          <w:szCs w:val="22"/>
        </w:rPr>
        <w:t xml:space="preserve">Parametres immuables apres creation — pas de modification possible</w:t>
      </w:r>
    </w:p>
    <w:p>
      <w:pPr>
        <w:pStyle w:val="ListParagraph"/>
        <w:numPr>
          <w:ilvl w:val="0"/>
          <w:numId w:val="2"/>
        </w:numPr>
        <w:spacing w:after="60" w:before="60"/>
      </w:pPr>
      <w:r>
        <w:rPr>
          <w:rFonts w:ascii="Arial" w:cs="Arial" w:eastAsia="Arial" w:hAnsi="Arial"/>
          <w:color w:val="1A1A2E"/>
          <w:sz w:val="22"/>
          <w:szCs w:val="22"/>
        </w:rPr>
        <w:t xml:space="preserve">Threshold fixe — ne peut pas etre modifie apres creation</w:t>
      </w:r>
    </w:p>
    <w:p>
      <w:pPr>
        <w:pStyle w:val="ListParagraph"/>
        <w:numPr>
          <w:ilvl w:val="0"/>
          <w:numId w:val="2"/>
        </w:numPr>
        <w:spacing w:after="60" w:before="60"/>
      </w:pPr>
      <w:r>
        <w:rPr>
          <w:rFonts w:ascii="Arial" w:cs="Arial" w:eastAsia="Arial" w:hAnsi="Arial"/>
          <w:color w:val="1A1A2E"/>
          <w:sz w:val="22"/>
          <w:szCs w:val="22"/>
        </w:rPr>
        <w:t xml:space="preserve">Un seul token redistribuable par appel distributeTokens — si presale envoie plusieurs tokens, appels multiples necessaires</w:t>
      </w:r>
    </w:p>
    <w:p>
      <w:pPr>
        <w:spacing w:after="80" w:before="80"/>
      </w:pPr>
      <w:r>
        <w:t xml:space="preserve"/>
      </w:r>
    </w:p>
    <w:p>
      <w:pPr>
        <w:pStyle w:val="Heading2"/>
        <w:spacing w:after="150" w:before="300"/>
      </w:pPr>
      <w:r>
        <w:rPr>
          <w:rFonts w:ascii="Arial" w:cs="Arial" w:eastAsia="Arial" w:hAnsi="Arial"/>
          <w:b/>
          <w:bCs/>
          <w:color w:val="1565A7"/>
          <w:sz w:val="26"/>
          <w:szCs w:val="26"/>
        </w:rPr>
        <w:t xml:space="preserve">7.3 Audit obligatoire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none" w:color="FFFFFF" w:sz="0"/>
              <w:left w:val="none" w:color="FFFFFF" w:sz="0"/>
              <w:bottom w:val="none" w:color="FFFFFF" w:sz="0"/>
              <w:right w:val="none" w:color="FFFFFF" w:sz="0"/>
            </w:tcBorders>
            <w:shd w:fill="FCEBEB" w:val="clear"/>
            <w:tcMar>
              <w:top w:type="dxa" w:w="120"/>
              <w:left w:type="dxa" w:w="200"/>
              <w:bottom w:type="dxa" w:w="120"/>
              <w:right w:type="dxa" w:w="200"/>
            </w:tcMar>
          </w:tcPr>
          <w:p>
            <w:r>
              <w:rPr>
                <w:rFonts w:ascii="Arial" w:cs="Arial" w:eastAsia="Arial" w:hAnsi="Arial"/>
                <w:b/>
                <w:bCs/>
                <w:color w:val="A32D2D"/>
                <w:sz w:val="20"/>
                <w:szCs w:val="20"/>
              </w:rPr>
              <w:t xml:space="preserve">Important: </w:t>
            </w:r>
            <w:r>
              <w:rPr>
                <w:rFonts w:ascii="Arial" w:cs="Arial" w:eastAsia="Arial" w:hAnsi="Arial"/>
                <w:color w:val="A32D2D"/>
                <w:sz w:val="20"/>
                <w:szCs w:val="20"/>
              </w:rPr>
              <w:t xml:space="preserve">Le contrat ne doit pas etre deploye sur le mainnet BNB sans audit valide et publie publiquement.</w:t>
            </w:r>
          </w:p>
        </w:tc>
      </w:tr>
    </w:tbl>
    <w:p>
      <w:pPr>
        <w:spacing w:after="80" w:before="80"/>
      </w:pPr>
      <w:r>
        <w:t xml:space="preserve"/>
      </w:r>
    </w:p>
    <w:p>
      <w:pPr>
        <w:pStyle w:val="ListParagraph"/>
        <w:numPr>
          <w:ilvl w:val="0"/>
          <w:numId w:val="2"/>
        </w:numPr>
        <w:spacing w:after="60" w:before="60"/>
      </w:pPr>
      <w:r>
        <w:rPr>
          <w:rFonts w:ascii="Arial" w:cs="Arial" w:eastAsia="Arial" w:hAnsi="Arial"/>
          <w:color w:val="1A1A2E"/>
          <w:sz w:val="22"/>
          <w:szCs w:val="22"/>
        </w:rPr>
        <w:t xml:space="preserve">Auditeurs recommandes BNB Chain : Certik, Hacken, PeckShield, Beosin</w:t>
      </w:r>
    </w:p>
    <w:p>
      <w:pPr>
        <w:pStyle w:val="ListParagraph"/>
        <w:numPr>
          <w:ilvl w:val="0"/>
          <w:numId w:val="2"/>
        </w:numPr>
        <w:spacing w:after="60" w:before="60"/>
      </w:pPr>
      <w:r>
        <w:rPr>
          <w:rFonts w:ascii="Arial" w:cs="Arial" w:eastAsia="Arial" w:hAnsi="Arial"/>
          <w:color w:val="1A1A2E"/>
          <w:sz w:val="22"/>
          <w:szCs w:val="22"/>
        </w:rPr>
        <w:t xml:space="preserve">Budget estime : 5 000 a 10 000 USD</w:t>
      </w:r>
    </w:p>
    <w:p>
      <w:pPr>
        <w:pStyle w:val="ListParagraph"/>
        <w:numPr>
          <w:ilvl w:val="0"/>
          <w:numId w:val="2"/>
        </w:numPr>
        <w:spacing w:after="60" w:before="60"/>
      </w:pPr>
      <w:r>
        <w:rPr>
          <w:rFonts w:ascii="Arial" w:cs="Arial" w:eastAsia="Arial" w:hAnsi="Arial"/>
          <w:color w:val="1A1A2E"/>
          <w:sz w:val="22"/>
          <w:szCs w:val="22"/>
        </w:rPr>
        <w:t xml:space="preserve">Duree estimee : 2 a 4 semaines</w:t>
      </w:r>
    </w:p>
    <w:p>
      <w:pPr>
        <w:pStyle w:val="ListParagraph"/>
        <w:numPr>
          <w:ilvl w:val="0"/>
          <w:numId w:val="2"/>
        </w:numPr>
        <w:spacing w:after="60" w:before="60"/>
      </w:pPr>
      <w:r>
        <w:rPr>
          <w:rFonts w:ascii="Arial" w:cs="Arial" w:eastAsia="Arial" w:hAnsi="Arial"/>
          <w:color w:val="1A1A2E"/>
          <w:sz w:val="22"/>
          <w:szCs w:val="22"/>
        </w:rPr>
        <w:t xml:space="preserve">Rapport publie sur BscScan et site officiel</w:t>
      </w:r>
    </w:p>
    <w:p>
      <w:r>
        <w:br w:type="page"/>
      </w:r>
    </w:p>
    <w:p>
      <w:pPr>
        <w:pStyle w:val="Heading1"/>
        <w:pBdr>
          <w:bottom w:val="single" w:color="1565A7" w:sz="4" w:space="4"/>
        </w:pBdr>
        <w:spacing w:after="200" w:before="400"/>
      </w:pPr>
      <w:r>
        <w:rPr>
          <w:rFonts w:ascii="Arial" w:cs="Arial" w:eastAsia="Arial" w:hAnsi="Arial"/>
          <w:b/>
          <w:bCs/>
          <w:color w:val="1A1A2E"/>
          <w:sz w:val="32"/>
          <w:szCs w:val="32"/>
        </w:rPr>
        <w:t xml:space="preserve">8. Interface utilisateur</w:t>
      </w:r>
    </w:p>
    <w:p>
      <w:pPr>
        <w:spacing w:after="80" w:before="80"/>
      </w:pPr>
      <w:r>
        <w:t xml:space="preserve"/>
      </w:r>
    </w:p>
    <w:p>
      <w:pPr>
        <w:pStyle w:val="Heading2"/>
        <w:spacing w:after="150" w:before="300"/>
      </w:pPr>
      <w:r>
        <w:rPr>
          <w:rFonts w:ascii="Arial" w:cs="Arial" w:eastAsia="Arial" w:hAnsi="Arial"/>
          <w:b/>
          <w:bCs/>
          <w:color w:val="1565A7"/>
          <w:sz w:val="26"/>
          <w:szCs w:val="26"/>
        </w:rPr>
        <w:t xml:space="preserve">8.1 Les 5 ecrans — parcours principal</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800"/>
        <w:gridCol w:w="1800"/>
        <w:gridCol w:w="3300"/>
        <w:gridCol w:w="3460"/>
      </w:tblGrid>
      <w:tr>
        <w:tc>
          <w:tcPr>
            <w:tcW w:type="dxa" w:w="800"/>
            <w:tcBorders>
              <w:top w:val="single" w:color="CCCCCC" w:sz="1"/>
              <w:left w:val="single" w:color="CCCCCC" w:sz="1"/>
              <w:bottom w:val="single" w:color="CCCCCC" w:sz="1"/>
              <w:right w:val="single" w:color="CCCCCC" w:sz="1"/>
            </w:tcBorders>
            <w:shd w:fill="1565A7" w:val="clear"/>
            <w:tcMar>
              <w:top w:type="dxa" w:w="80"/>
              <w:left w:type="dxa" w:w="120"/>
              <w:bottom w:type="dxa" w:w="80"/>
              <w:right w:type="dxa" w:w="120"/>
            </w:tcMar>
          </w:tcPr>
          <w:p>
            <w:r>
              <w:rPr>
                <w:rFonts w:ascii="Arial" w:cs="Arial" w:eastAsia="Arial" w:hAnsi="Arial"/>
                <w:b/>
                <w:bCs/>
                <w:color w:val="FFFFFF"/>
                <w:sz w:val="20"/>
                <w:szCs w:val="20"/>
              </w:rPr>
              <w:t xml:space="preserve">Ecran</w:t>
            </w:r>
          </w:p>
        </w:tc>
        <w:tc>
          <w:tcPr>
            <w:tcW w:type="dxa" w:w="1800"/>
            <w:tcBorders>
              <w:top w:val="single" w:color="CCCCCC" w:sz="1"/>
              <w:left w:val="single" w:color="CCCCCC" w:sz="1"/>
              <w:bottom w:val="single" w:color="CCCCCC" w:sz="1"/>
              <w:right w:val="single" w:color="CCCCCC" w:sz="1"/>
            </w:tcBorders>
            <w:shd w:fill="1565A7" w:val="clear"/>
            <w:tcMar>
              <w:top w:type="dxa" w:w="80"/>
              <w:left w:type="dxa" w:w="120"/>
              <w:bottom w:type="dxa" w:w="80"/>
              <w:right w:type="dxa" w:w="120"/>
            </w:tcMar>
          </w:tcPr>
          <w:p>
            <w:r>
              <w:rPr>
                <w:rFonts w:ascii="Arial" w:cs="Arial" w:eastAsia="Arial" w:hAnsi="Arial"/>
                <w:b/>
                <w:bCs/>
                <w:color w:val="FFFFFF"/>
                <w:sz w:val="20"/>
                <w:szCs w:val="20"/>
              </w:rPr>
              <w:t xml:space="preserve">Titre</w:t>
            </w:r>
          </w:p>
        </w:tc>
        <w:tc>
          <w:tcPr>
            <w:tcW w:type="dxa" w:w="3300"/>
            <w:tcBorders>
              <w:top w:val="single" w:color="CCCCCC" w:sz="1"/>
              <w:left w:val="single" w:color="CCCCCC" w:sz="1"/>
              <w:bottom w:val="single" w:color="CCCCCC" w:sz="1"/>
              <w:right w:val="single" w:color="CCCCCC" w:sz="1"/>
            </w:tcBorders>
            <w:shd w:fill="1565A7" w:val="clear"/>
            <w:tcMar>
              <w:top w:type="dxa" w:w="80"/>
              <w:left w:type="dxa" w:w="120"/>
              <w:bottom w:type="dxa" w:w="80"/>
              <w:right w:type="dxa" w:w="120"/>
            </w:tcMar>
          </w:tcPr>
          <w:p>
            <w:r>
              <w:rPr>
                <w:rFonts w:ascii="Arial" w:cs="Arial" w:eastAsia="Arial" w:hAnsi="Arial"/>
                <w:b/>
                <w:bCs/>
                <w:color w:val="FFFFFF"/>
                <w:sz w:val="20"/>
                <w:szCs w:val="20"/>
              </w:rPr>
              <w:t xml:space="preserve">Inputs utilisateur</w:t>
            </w:r>
          </w:p>
        </w:tc>
        <w:tc>
          <w:tcPr>
            <w:tcW w:type="dxa" w:w="3460"/>
            <w:tcBorders>
              <w:top w:val="single" w:color="CCCCCC" w:sz="1"/>
              <w:left w:val="single" w:color="CCCCCC" w:sz="1"/>
              <w:bottom w:val="single" w:color="CCCCCC" w:sz="1"/>
              <w:right w:val="single" w:color="CCCCCC" w:sz="1"/>
            </w:tcBorders>
            <w:shd w:fill="1565A7" w:val="clear"/>
            <w:tcMar>
              <w:top w:type="dxa" w:w="80"/>
              <w:left w:type="dxa" w:w="120"/>
              <w:bottom w:type="dxa" w:w="80"/>
              <w:right w:type="dxa" w:w="120"/>
            </w:tcMar>
          </w:tcPr>
          <w:p>
            <w:r>
              <w:rPr>
                <w:rFonts w:ascii="Arial" w:cs="Arial" w:eastAsia="Arial" w:hAnsi="Arial"/>
                <w:b/>
                <w:bCs/>
                <w:color w:val="FFFFFF"/>
                <w:sz w:val="20"/>
                <w:szCs w:val="20"/>
              </w:rPr>
              <w:t xml:space="preserve">Outputs affiches</w:t>
            </w:r>
          </w:p>
        </w:tc>
      </w:tr>
      <w:tr>
        <w:tc>
          <w:tcPr>
            <w:tcW w:type="dxa" w:w="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2E"/>
                <w:sz w:val="20"/>
                <w:szCs w:val="20"/>
              </w:rPr>
              <w:t xml:space="preserve">1</w:t>
            </w:r>
          </w:p>
        </w:tc>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2E"/>
                <w:sz w:val="20"/>
                <w:szCs w:val="20"/>
              </w:rPr>
              <w:t xml:space="preserve">Creer une pool</w:t>
            </w:r>
          </w:p>
        </w:tc>
        <w:tc>
          <w:tcPr>
            <w:tcW w:type="dxa" w:w="33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2E"/>
                <w:sz w:val="20"/>
                <w:szCs w:val="20"/>
              </w:rPr>
              <w:t xml:space="preserve">Nom, membres (wallet/ENS), destination, objectif USDT, deadline, threshold</w:t>
            </w:r>
          </w:p>
        </w:tc>
        <w:tc>
          <w:tcPr>
            <w:tcW w:type="dxa" w:w="34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2E"/>
                <w:sz w:val="20"/>
                <w:szCs w:val="20"/>
              </w:rPr>
              <w:t xml:space="preserve">Pool creee onchain + lien partageable unique</w:t>
            </w:r>
          </w:p>
        </w:tc>
      </w:tr>
      <w:tr>
        <w:tc>
          <w:tcPr>
            <w:tcW w:type="dxa" w:w="8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color w:val="1A1A2E"/>
                <w:sz w:val="20"/>
                <w:szCs w:val="20"/>
              </w:rPr>
              <w:t xml:space="preserve">2</w:t>
            </w:r>
          </w:p>
        </w:tc>
        <w:tc>
          <w:tcPr>
            <w:tcW w:type="dxa" w:w="18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color w:val="1A1A2E"/>
                <w:sz w:val="20"/>
                <w:szCs w:val="20"/>
              </w:rPr>
              <w:t xml:space="preserve">Contribuer</w:t>
            </w:r>
          </w:p>
        </w:tc>
        <w:tc>
          <w:tcPr>
            <w:tcW w:type="dxa" w:w="33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color w:val="1A1A2E"/>
                <w:sz w:val="20"/>
                <w:szCs w:val="20"/>
              </w:rPr>
              <w:t xml:space="preserve">Montant USDT</w:t>
            </w:r>
          </w:p>
        </w:tc>
        <w:tc>
          <w:tcPr>
            <w:tcW w:type="dxa" w:w="346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color w:val="1A1A2E"/>
                <w:sz w:val="20"/>
                <w:szCs w:val="20"/>
              </w:rPr>
              <w:t xml:space="preserve">Transaction onchain + dashboard mis a jour en temps reel</w:t>
            </w:r>
          </w:p>
        </w:tc>
      </w:tr>
      <w:tr>
        <w:tc>
          <w:tcPr>
            <w:tcW w:type="dxa" w:w="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2E"/>
                <w:sz w:val="20"/>
                <w:szCs w:val="20"/>
              </w:rPr>
              <w:t xml:space="preserve">3</w:t>
            </w:r>
          </w:p>
        </w:tc>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2E"/>
                <w:sz w:val="20"/>
                <w:szCs w:val="20"/>
              </w:rPr>
              <w:t xml:space="preserve">Dashboard</w:t>
            </w:r>
          </w:p>
        </w:tc>
        <w:tc>
          <w:tcPr>
            <w:tcW w:type="dxa" w:w="33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2E"/>
                <w:sz w:val="20"/>
                <w:szCs w:val="20"/>
              </w:rPr>
              <w:t xml:space="preserve">Aucun</w:t>
            </w:r>
          </w:p>
        </w:tc>
        <w:tc>
          <w:tcPr>
            <w:tcW w:type="dxa" w:w="34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2E"/>
                <w:sz w:val="20"/>
                <w:szCs w:val="20"/>
              </w:rPr>
              <w:t xml:space="preserve">Progression %, contributions de chacun, validations, statut, temps restant</w:t>
            </w:r>
          </w:p>
        </w:tc>
      </w:tr>
      <w:tr>
        <w:tc>
          <w:tcPr>
            <w:tcW w:type="dxa" w:w="8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color w:val="1A1A2E"/>
                <w:sz w:val="20"/>
                <w:szCs w:val="20"/>
              </w:rPr>
              <w:t xml:space="preserve">4</w:t>
            </w:r>
          </w:p>
        </w:tc>
        <w:tc>
          <w:tcPr>
            <w:tcW w:type="dxa" w:w="18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color w:val="1A1A2E"/>
                <w:sz w:val="20"/>
                <w:szCs w:val="20"/>
              </w:rPr>
              <w:t xml:space="preserve">Valider l'envoi</w:t>
            </w:r>
          </w:p>
        </w:tc>
        <w:tc>
          <w:tcPr>
            <w:tcW w:type="dxa" w:w="33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color w:val="1A1A2E"/>
                <w:sz w:val="20"/>
                <w:szCs w:val="20"/>
              </w:rPr>
              <w:t xml:space="preserve">Signature wallet</w:t>
            </w:r>
          </w:p>
        </w:tc>
        <w:tc>
          <w:tcPr>
            <w:tcW w:type="dxa" w:w="346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color w:val="1A1A2E"/>
                <w:sz w:val="20"/>
                <w:szCs w:val="20"/>
              </w:rPr>
              <w:t xml:space="preserve">Validation enregistree — envoi automatique si threshold atteint</w:t>
            </w:r>
          </w:p>
        </w:tc>
      </w:tr>
      <w:tr>
        <w:tc>
          <w:tcPr>
            <w:tcW w:type="dxa" w:w="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2E"/>
                <w:sz w:val="20"/>
                <w:szCs w:val="20"/>
              </w:rPr>
              <w:t xml:space="preserve">5</w:t>
            </w:r>
          </w:p>
        </w:tc>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2E"/>
                <w:sz w:val="20"/>
                <w:szCs w:val="20"/>
              </w:rPr>
              <w:t xml:space="preserve">Confirmation</w:t>
            </w:r>
          </w:p>
        </w:tc>
        <w:tc>
          <w:tcPr>
            <w:tcW w:type="dxa" w:w="33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2E"/>
                <w:sz w:val="20"/>
                <w:szCs w:val="20"/>
              </w:rPr>
              <w:t xml:space="preserve">Aucun</w:t>
            </w:r>
          </w:p>
        </w:tc>
        <w:tc>
          <w:tcPr>
            <w:tcW w:type="dxa" w:w="34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2E"/>
                <w:sz w:val="20"/>
                <w:szCs w:val="20"/>
              </w:rPr>
              <w:t xml:space="preserve">Hash transaction, lien BscScan, montant envoye, commission</w:t>
            </w:r>
          </w:p>
        </w:tc>
      </w:tr>
    </w:tbl>
    <w:p>
      <w:pPr>
        <w:spacing w:after="80" w:before="80"/>
      </w:pPr>
      <w:r>
        <w:t xml:space="preserve"/>
      </w:r>
    </w:p>
    <w:p>
      <w:pPr>
        <w:pStyle w:val="Heading2"/>
        <w:spacing w:after="150" w:before="300"/>
      </w:pPr>
      <w:r>
        <w:rPr>
          <w:rFonts w:ascii="Arial" w:cs="Arial" w:eastAsia="Arial" w:hAnsi="Arial"/>
          <w:b/>
          <w:bCs/>
          <w:color w:val="1565A7"/>
          <w:sz w:val="26"/>
          <w:szCs w:val="26"/>
        </w:rPr>
        <w:t xml:space="preserve">8.2 Ecrans supplementaires — phase 2 group buy</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800"/>
        <w:gridCol w:w="2000"/>
        <w:gridCol w:w="2800"/>
        <w:gridCol w:w="3760"/>
      </w:tblGrid>
      <w:tr>
        <w:tc>
          <w:tcPr>
            <w:tcW w:type="dxa" w:w="800"/>
            <w:tcBorders>
              <w:top w:val="single" w:color="CCCCCC" w:sz="1"/>
              <w:left w:val="single" w:color="CCCCCC" w:sz="1"/>
              <w:bottom w:val="single" w:color="CCCCCC" w:sz="1"/>
              <w:right w:val="single" w:color="CCCCCC" w:sz="1"/>
            </w:tcBorders>
            <w:shd w:fill="1565A7" w:val="clear"/>
            <w:tcMar>
              <w:top w:type="dxa" w:w="80"/>
              <w:left w:type="dxa" w:w="120"/>
              <w:bottom w:type="dxa" w:w="80"/>
              <w:right w:type="dxa" w:w="120"/>
            </w:tcMar>
          </w:tcPr>
          <w:p>
            <w:r>
              <w:rPr>
                <w:rFonts w:ascii="Arial" w:cs="Arial" w:eastAsia="Arial" w:hAnsi="Arial"/>
                <w:b/>
                <w:bCs/>
                <w:color w:val="FFFFFF"/>
                <w:sz w:val="20"/>
                <w:szCs w:val="20"/>
              </w:rPr>
              <w:t xml:space="preserve">Ecran</w:t>
            </w:r>
          </w:p>
        </w:tc>
        <w:tc>
          <w:tcPr>
            <w:tcW w:type="dxa" w:w="2000"/>
            <w:tcBorders>
              <w:top w:val="single" w:color="CCCCCC" w:sz="1"/>
              <w:left w:val="single" w:color="CCCCCC" w:sz="1"/>
              <w:bottom w:val="single" w:color="CCCCCC" w:sz="1"/>
              <w:right w:val="single" w:color="CCCCCC" w:sz="1"/>
            </w:tcBorders>
            <w:shd w:fill="1565A7" w:val="clear"/>
            <w:tcMar>
              <w:top w:type="dxa" w:w="80"/>
              <w:left w:type="dxa" w:w="120"/>
              <w:bottom w:type="dxa" w:w="80"/>
              <w:right w:type="dxa" w:w="120"/>
            </w:tcMar>
          </w:tcPr>
          <w:p>
            <w:r>
              <w:rPr>
                <w:rFonts w:ascii="Arial" w:cs="Arial" w:eastAsia="Arial" w:hAnsi="Arial"/>
                <w:b/>
                <w:bCs/>
                <w:color w:val="FFFFFF"/>
                <w:sz w:val="20"/>
                <w:szCs w:val="20"/>
              </w:rPr>
              <w:t xml:space="preserve">Titre</w:t>
            </w:r>
          </w:p>
        </w:tc>
        <w:tc>
          <w:tcPr>
            <w:tcW w:type="dxa" w:w="2800"/>
            <w:tcBorders>
              <w:top w:val="single" w:color="CCCCCC" w:sz="1"/>
              <w:left w:val="single" w:color="CCCCCC" w:sz="1"/>
              <w:bottom w:val="single" w:color="CCCCCC" w:sz="1"/>
              <w:right w:val="single" w:color="CCCCCC" w:sz="1"/>
            </w:tcBorders>
            <w:shd w:fill="1565A7" w:val="clear"/>
            <w:tcMar>
              <w:top w:type="dxa" w:w="80"/>
              <w:left w:type="dxa" w:w="120"/>
              <w:bottom w:type="dxa" w:w="80"/>
              <w:right w:type="dxa" w:w="120"/>
            </w:tcMar>
          </w:tcPr>
          <w:p>
            <w:r>
              <w:rPr>
                <w:rFonts w:ascii="Arial" w:cs="Arial" w:eastAsia="Arial" w:hAnsi="Arial"/>
                <w:b/>
                <w:bCs/>
                <w:color w:val="FFFFFF"/>
                <w:sz w:val="20"/>
                <w:szCs w:val="20"/>
              </w:rPr>
              <w:t xml:space="preserve">Inputs</w:t>
            </w:r>
          </w:p>
        </w:tc>
        <w:tc>
          <w:tcPr>
            <w:tcW w:type="dxa" w:w="3760"/>
            <w:tcBorders>
              <w:top w:val="single" w:color="CCCCCC" w:sz="1"/>
              <w:left w:val="single" w:color="CCCCCC" w:sz="1"/>
              <w:bottom w:val="single" w:color="CCCCCC" w:sz="1"/>
              <w:right w:val="single" w:color="CCCCCC" w:sz="1"/>
            </w:tcBorders>
            <w:shd w:fill="1565A7" w:val="clear"/>
            <w:tcMar>
              <w:top w:type="dxa" w:w="80"/>
              <w:left w:type="dxa" w:w="120"/>
              <w:bottom w:type="dxa" w:w="80"/>
              <w:right w:type="dxa" w:w="120"/>
            </w:tcMar>
          </w:tcPr>
          <w:p>
            <w:r>
              <w:rPr>
                <w:rFonts w:ascii="Arial" w:cs="Arial" w:eastAsia="Arial" w:hAnsi="Arial"/>
                <w:b/>
                <w:bCs/>
                <w:color w:val="FFFFFF"/>
                <w:sz w:val="20"/>
                <w:szCs w:val="20"/>
              </w:rPr>
              <w:t xml:space="preserve">Outputs</w:t>
            </w:r>
          </w:p>
        </w:tc>
      </w:tr>
      <w:tr>
        <w:tc>
          <w:tcPr>
            <w:tcW w:type="dxa" w:w="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2E"/>
                <w:sz w:val="20"/>
                <w:szCs w:val="20"/>
              </w:rPr>
              <w:t xml:space="preserve">6</w:t>
            </w:r>
          </w:p>
        </w:tc>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2E"/>
                <w:sz w:val="20"/>
                <w:szCs w:val="20"/>
              </w:rPr>
              <w:t xml:space="preserve">Tokens recus</w:t>
            </w:r>
          </w:p>
        </w:tc>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2E"/>
                <w:sz w:val="20"/>
                <w:szCs w:val="20"/>
              </w:rPr>
              <w:t xml:space="preserve">Adresse token BEP-20</w:t>
            </w:r>
          </w:p>
        </w:tc>
        <w:tc>
          <w:tcPr>
            <w:tcW w:type="dxa" w:w="37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2E"/>
                <w:sz w:val="20"/>
                <w:szCs w:val="20"/>
              </w:rPr>
              <w:t xml:space="preserve">Solde tokens dans le contrat, valeur estimee</w:t>
            </w:r>
          </w:p>
        </w:tc>
      </w:tr>
      <w:tr>
        <w:tc>
          <w:tcPr>
            <w:tcW w:type="dxa" w:w="8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color w:val="1A1A2E"/>
                <w:sz w:val="20"/>
                <w:szCs w:val="20"/>
              </w:rPr>
              <w:t xml:space="preserve">7</w:t>
            </w:r>
          </w:p>
        </w:tc>
        <w:tc>
          <w:tcPr>
            <w:tcW w:type="dxa" w:w="20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color w:val="1A1A2E"/>
                <w:sz w:val="20"/>
                <w:szCs w:val="20"/>
              </w:rPr>
              <w:t xml:space="preserve">Valider redistribution</w:t>
            </w:r>
          </w:p>
        </w:tc>
        <w:tc>
          <w:tcPr>
            <w:tcW w:type="dxa" w:w="28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color w:val="1A1A2E"/>
                <w:sz w:val="20"/>
                <w:szCs w:val="20"/>
              </w:rPr>
              <w:t xml:space="preserve">Signature wallet</w:t>
            </w:r>
          </w:p>
        </w:tc>
        <w:tc>
          <w:tcPr>
            <w:tcW w:type="dxa" w:w="376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color w:val="1A1A2E"/>
                <w:sz w:val="20"/>
                <w:szCs w:val="20"/>
              </w:rPr>
              <w:t xml:space="preserve">Validation enregistree — redistribution auto si threshold</w:t>
            </w:r>
          </w:p>
        </w:tc>
      </w:tr>
      <w:tr>
        <w:tc>
          <w:tcPr>
            <w:tcW w:type="dxa" w:w="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2E"/>
                <w:sz w:val="20"/>
                <w:szCs w:val="20"/>
              </w:rPr>
              <w:t xml:space="preserve">8</w:t>
            </w:r>
          </w:p>
        </w:tc>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2E"/>
                <w:sz w:val="20"/>
                <w:szCs w:val="20"/>
              </w:rPr>
              <w:t xml:space="preserve">Redistribution confirmee</w:t>
            </w:r>
          </w:p>
        </w:tc>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2E"/>
                <w:sz w:val="20"/>
                <w:szCs w:val="20"/>
              </w:rPr>
              <w:t xml:space="preserve">Aucun</w:t>
            </w:r>
          </w:p>
        </w:tc>
        <w:tc>
          <w:tcPr>
            <w:tcW w:type="dxa" w:w="37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2E"/>
                <w:sz w:val="20"/>
                <w:szCs w:val="20"/>
              </w:rPr>
              <w:t xml:space="preserve">Chaque membre — montant tokens recus — hash transaction</w:t>
            </w:r>
          </w:p>
        </w:tc>
      </w:tr>
    </w:tbl>
    <w:p>
      <w:pPr>
        <w:spacing w:after="80" w:before="80"/>
      </w:pPr>
      <w:r>
        <w:t xml:space="preserve"/>
      </w:r>
    </w:p>
    <w:p>
      <w:pPr>
        <w:pStyle w:val="Heading2"/>
        <w:spacing w:after="150" w:before="300"/>
      </w:pPr>
      <w:r>
        <w:rPr>
          <w:rFonts w:ascii="Arial" w:cs="Arial" w:eastAsia="Arial" w:hAnsi="Arial"/>
          <w:b/>
          <w:bCs/>
          <w:color w:val="1565A7"/>
          <w:sz w:val="26"/>
          <w:szCs w:val="26"/>
        </w:rPr>
        <w:t xml:space="preserve">8.3 Ce que l'utilisateur n'a pas besoin de faire</w:t>
      </w:r>
    </w:p>
    <w:p>
      <w:pPr>
        <w:pStyle w:val="ListParagraph"/>
        <w:numPr>
          <w:ilvl w:val="0"/>
          <w:numId w:val="2"/>
        </w:numPr>
        <w:spacing w:after="60" w:before="60"/>
      </w:pPr>
      <w:r>
        <w:rPr>
          <w:rFonts w:ascii="Arial" w:cs="Arial" w:eastAsia="Arial" w:hAnsi="Arial"/>
          <w:color w:val="1A1A2E"/>
          <w:sz w:val="22"/>
          <w:szCs w:val="22"/>
        </w:rPr>
        <w:t xml:space="preserve">Pas de compte a creer — le wallet EST le compte</w:t>
      </w:r>
    </w:p>
    <w:p>
      <w:pPr>
        <w:pStyle w:val="ListParagraph"/>
        <w:numPr>
          <w:ilvl w:val="0"/>
          <w:numId w:val="2"/>
        </w:numPr>
        <w:spacing w:after="60" w:before="60"/>
      </w:pPr>
      <w:r>
        <w:rPr>
          <w:rFonts w:ascii="Arial" w:cs="Arial" w:eastAsia="Arial" w:hAnsi="Arial"/>
          <w:color w:val="1A1A2E"/>
          <w:sz w:val="22"/>
          <w:szCs w:val="22"/>
        </w:rPr>
        <w:t xml:space="preserve">Pas de mot de passe — la signature IS l'authentification</w:t>
      </w:r>
    </w:p>
    <w:p>
      <w:pPr>
        <w:pStyle w:val="ListParagraph"/>
        <w:numPr>
          <w:ilvl w:val="0"/>
          <w:numId w:val="2"/>
        </w:numPr>
        <w:spacing w:after="60" w:before="60"/>
      </w:pPr>
      <w:r>
        <w:rPr>
          <w:rFonts w:ascii="Arial" w:cs="Arial" w:eastAsia="Arial" w:hAnsi="Arial"/>
          <w:color w:val="1A1A2E"/>
          <w:sz w:val="22"/>
          <w:szCs w:val="22"/>
        </w:rPr>
        <w:t xml:space="preserve">Pas d'email obligatoire — tout est onchain</w:t>
      </w:r>
    </w:p>
    <w:p>
      <w:pPr>
        <w:pStyle w:val="ListParagraph"/>
        <w:numPr>
          <w:ilvl w:val="0"/>
          <w:numId w:val="2"/>
        </w:numPr>
        <w:spacing w:after="60" w:before="60"/>
      </w:pPr>
      <w:r>
        <w:rPr>
          <w:rFonts w:ascii="Arial" w:cs="Arial" w:eastAsia="Arial" w:hAnsi="Arial"/>
          <w:color w:val="1A1A2E"/>
          <w:sz w:val="22"/>
          <w:szCs w:val="22"/>
        </w:rPr>
        <w:t xml:space="preserve">Pas d'action manuelle pour l'envoi — automatique au threshold</w:t>
      </w:r>
    </w:p>
    <w:p>
      <w:pPr>
        <w:pStyle w:val="ListParagraph"/>
        <w:numPr>
          <w:ilvl w:val="0"/>
          <w:numId w:val="2"/>
        </w:numPr>
        <w:spacing w:after="60" w:before="60"/>
      </w:pPr>
      <w:r>
        <w:rPr>
          <w:rFonts w:ascii="Arial" w:cs="Arial" w:eastAsia="Arial" w:hAnsi="Arial"/>
          <w:color w:val="1A1A2E"/>
          <w:sz w:val="22"/>
          <w:szCs w:val="22"/>
        </w:rPr>
        <w:t xml:space="preserve">Pas d'action manuelle pour le remboursement — automatique a la deadline</w:t>
      </w:r>
    </w:p>
    <w:p>
      <w:pPr>
        <w:pStyle w:val="ListParagraph"/>
        <w:numPr>
          <w:ilvl w:val="0"/>
          <w:numId w:val="2"/>
        </w:numPr>
        <w:spacing w:after="60" w:before="60"/>
      </w:pPr>
      <w:r>
        <w:rPr>
          <w:rFonts w:ascii="Arial" w:cs="Arial" w:eastAsia="Arial" w:hAnsi="Arial"/>
          <w:color w:val="1A1A2E"/>
          <w:sz w:val="22"/>
          <w:szCs w:val="22"/>
        </w:rPr>
        <w:t xml:space="preserve">Pas de calcul de parts — automatique depuis les contributions</w:t>
      </w:r>
    </w:p>
    <w:p>
      <w:pPr>
        <w:spacing w:after="80" w:before="80"/>
      </w:pPr>
      <w:r>
        <w:t xml:space="preserve"/>
      </w:r>
    </w:p>
    <w:p>
      <w:pPr>
        <w:pStyle w:val="Heading2"/>
        <w:spacing w:after="150" w:before="300"/>
      </w:pPr>
      <w:r>
        <w:rPr>
          <w:rFonts w:ascii="Arial" w:cs="Arial" w:eastAsia="Arial" w:hAnsi="Arial"/>
          <w:b/>
          <w:bCs/>
          <w:color w:val="1565A7"/>
          <w:sz w:val="26"/>
          <w:szCs w:val="26"/>
        </w:rPr>
        <w:t xml:space="preserve">8.4 Notifications Push Protocol</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200"/>
        <w:gridCol w:w="5160"/>
      </w:tblGrid>
      <w:tr>
        <w:tc>
          <w:tcPr>
            <w:tcW w:type="dxa" w:w="4200"/>
            <w:tcBorders>
              <w:top w:val="single" w:color="CCCCCC" w:sz="1"/>
              <w:left w:val="single" w:color="CCCCCC" w:sz="1"/>
              <w:bottom w:val="single" w:color="CCCCCC" w:sz="1"/>
              <w:right w:val="single" w:color="CCCCCC" w:sz="1"/>
            </w:tcBorders>
            <w:shd w:fill="1565A7" w:val="clear"/>
            <w:tcMar>
              <w:top w:type="dxa" w:w="80"/>
              <w:left w:type="dxa" w:w="120"/>
              <w:bottom w:type="dxa" w:w="80"/>
              <w:right w:type="dxa" w:w="120"/>
            </w:tcMar>
          </w:tcPr>
          <w:p>
            <w:r>
              <w:rPr>
                <w:rFonts w:ascii="Arial" w:cs="Arial" w:eastAsia="Arial" w:hAnsi="Arial"/>
                <w:b/>
                <w:bCs/>
                <w:color w:val="FFFFFF"/>
                <w:sz w:val="20"/>
                <w:szCs w:val="20"/>
              </w:rPr>
              <w:t xml:space="preserve">Evenement</w:t>
            </w:r>
          </w:p>
        </w:tc>
        <w:tc>
          <w:tcPr>
            <w:tcW w:type="dxa" w:w="5160"/>
            <w:tcBorders>
              <w:top w:val="single" w:color="CCCCCC" w:sz="1"/>
              <w:left w:val="single" w:color="CCCCCC" w:sz="1"/>
              <w:bottom w:val="single" w:color="CCCCCC" w:sz="1"/>
              <w:right w:val="single" w:color="CCCCCC" w:sz="1"/>
            </w:tcBorders>
            <w:shd w:fill="1565A7" w:val="clear"/>
            <w:tcMar>
              <w:top w:type="dxa" w:w="80"/>
              <w:left w:type="dxa" w:w="120"/>
              <w:bottom w:type="dxa" w:w="80"/>
              <w:right w:type="dxa" w:w="120"/>
            </w:tcMar>
          </w:tcPr>
          <w:p>
            <w:r>
              <w:rPr>
                <w:rFonts w:ascii="Arial" w:cs="Arial" w:eastAsia="Arial" w:hAnsi="Arial"/>
                <w:b/>
                <w:bCs/>
                <w:color w:val="FFFFFF"/>
                <w:sz w:val="20"/>
                <w:szCs w:val="20"/>
              </w:rPr>
              <w:t xml:space="preserve">Destinataires</w:t>
            </w:r>
          </w:p>
        </w:tc>
      </w:tr>
      <w:tr>
        <w:tc>
          <w:tcPr>
            <w:tcW w:type="dxa" w:w="4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2E"/>
                <w:sz w:val="20"/>
                <w:szCs w:val="20"/>
              </w:rPr>
              <w:t xml:space="preserve">Pool creee</w:t>
            </w:r>
          </w:p>
        </w:tc>
        <w:tc>
          <w:tcPr>
            <w:tcW w:type="dxa" w:w="5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2E"/>
                <w:sz w:val="20"/>
                <w:szCs w:val="20"/>
              </w:rPr>
              <w:t xml:space="preserve">Tous les membres — lien de la pool</w:t>
            </w:r>
          </w:p>
        </w:tc>
      </w:tr>
      <w:tr>
        <w:tc>
          <w:tcPr>
            <w:tcW w:type="dxa" w:w="42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color w:val="1A1A2E"/>
                <w:sz w:val="20"/>
                <w:szCs w:val="20"/>
              </w:rPr>
              <w:t xml:space="preserve">Contribution recue</w:t>
            </w:r>
          </w:p>
        </w:tc>
        <w:tc>
          <w:tcPr>
            <w:tcW w:type="dxa" w:w="516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color w:val="1A1A2E"/>
                <w:sz w:val="20"/>
                <w:szCs w:val="20"/>
              </w:rPr>
              <w:t xml:space="preserve">Tous les membres — montant + contributeur</w:t>
            </w:r>
          </w:p>
        </w:tc>
      </w:tr>
      <w:tr>
        <w:tc>
          <w:tcPr>
            <w:tcW w:type="dxa" w:w="4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2E"/>
                <w:sz w:val="20"/>
                <w:szCs w:val="20"/>
              </w:rPr>
              <w:t xml:space="preserve">Objectif atteint</w:t>
            </w:r>
          </w:p>
        </w:tc>
        <w:tc>
          <w:tcPr>
            <w:tcW w:type="dxa" w:w="5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2E"/>
                <w:sz w:val="20"/>
                <w:szCs w:val="20"/>
              </w:rPr>
              <w:t xml:space="preserve">Tous les membres — invitation a valider</w:t>
            </w:r>
          </w:p>
        </w:tc>
      </w:tr>
      <w:tr>
        <w:tc>
          <w:tcPr>
            <w:tcW w:type="dxa" w:w="42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color w:val="1A1A2E"/>
                <w:sz w:val="20"/>
                <w:szCs w:val="20"/>
              </w:rPr>
              <w:t xml:space="preserve">Validation recue</w:t>
            </w:r>
          </w:p>
        </w:tc>
        <w:tc>
          <w:tcPr>
            <w:tcW w:type="dxa" w:w="516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color w:val="1A1A2E"/>
                <w:sz w:val="20"/>
                <w:szCs w:val="20"/>
              </w:rPr>
              <w:t xml:space="preserve">Tous les membres — compteur mis a jour</w:t>
            </w:r>
          </w:p>
        </w:tc>
      </w:tr>
      <w:tr>
        <w:tc>
          <w:tcPr>
            <w:tcW w:type="dxa" w:w="4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2E"/>
                <w:sz w:val="20"/>
                <w:szCs w:val="20"/>
              </w:rPr>
              <w:t xml:space="preserve">Fonds envoyes</w:t>
            </w:r>
          </w:p>
        </w:tc>
        <w:tc>
          <w:tcPr>
            <w:tcW w:type="dxa" w:w="5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2E"/>
                <w:sz w:val="20"/>
                <w:szCs w:val="20"/>
              </w:rPr>
              <w:t xml:space="preserve">Tous les membres — hash transaction BscScan</w:t>
            </w:r>
          </w:p>
        </w:tc>
      </w:tr>
      <w:tr>
        <w:tc>
          <w:tcPr>
            <w:tcW w:type="dxa" w:w="42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color w:val="1A1A2E"/>
                <w:sz w:val="20"/>
                <w:szCs w:val="20"/>
              </w:rPr>
              <w:t xml:space="preserve">Deadline proche J-2</w:t>
            </w:r>
          </w:p>
        </w:tc>
        <w:tc>
          <w:tcPr>
            <w:tcW w:type="dxa" w:w="516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color w:val="1A1A2E"/>
                <w:sz w:val="20"/>
                <w:szCs w:val="20"/>
              </w:rPr>
              <w:t xml:space="preserve">Membres n'ayant pas encore contribue</w:t>
            </w:r>
          </w:p>
        </w:tc>
      </w:tr>
      <w:tr>
        <w:tc>
          <w:tcPr>
            <w:tcW w:type="dxa" w:w="4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2E"/>
                <w:sz w:val="20"/>
                <w:szCs w:val="20"/>
              </w:rPr>
              <w:t xml:space="preserve">Remboursement effectue</w:t>
            </w:r>
          </w:p>
        </w:tc>
        <w:tc>
          <w:tcPr>
            <w:tcW w:type="dxa" w:w="5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2E"/>
                <w:sz w:val="20"/>
                <w:szCs w:val="20"/>
              </w:rPr>
              <w:t xml:space="preserve">Tous les membres — montant recu</w:t>
            </w:r>
          </w:p>
        </w:tc>
      </w:tr>
      <w:tr>
        <w:tc>
          <w:tcPr>
            <w:tcW w:type="dxa" w:w="42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color w:val="1A1A2E"/>
                <w:sz w:val="20"/>
                <w:szCs w:val="20"/>
              </w:rPr>
              <w:t xml:space="preserve">Tokens recus phase 2</w:t>
            </w:r>
          </w:p>
        </w:tc>
        <w:tc>
          <w:tcPr>
            <w:tcW w:type="dxa" w:w="516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color w:val="1A1A2E"/>
                <w:sz w:val="20"/>
                <w:szCs w:val="20"/>
              </w:rPr>
              <w:t xml:space="preserve">Tous les membres — invitation a valider redistribution</w:t>
            </w:r>
          </w:p>
        </w:tc>
      </w:tr>
      <w:tr>
        <w:tc>
          <w:tcPr>
            <w:tcW w:type="dxa" w:w="4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2E"/>
                <w:sz w:val="20"/>
                <w:szCs w:val="20"/>
              </w:rPr>
              <w:t xml:space="preserve">Redistribution effectuee</w:t>
            </w:r>
          </w:p>
        </w:tc>
        <w:tc>
          <w:tcPr>
            <w:tcW w:type="dxa" w:w="5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2E"/>
                <w:sz w:val="20"/>
                <w:szCs w:val="20"/>
              </w:rPr>
              <w:t xml:space="preserve">Tous les membres — tokens recus dans wallet</w:t>
            </w:r>
          </w:p>
        </w:tc>
      </w:tr>
    </w:tbl>
    <w:p>
      <w:r>
        <w:br w:type="page"/>
      </w:r>
    </w:p>
    <w:p>
      <w:pPr>
        <w:pStyle w:val="Heading1"/>
        <w:pBdr>
          <w:bottom w:val="single" w:color="1565A7" w:sz="4" w:space="4"/>
        </w:pBdr>
        <w:spacing w:after="200" w:before="400"/>
      </w:pPr>
      <w:r>
        <w:rPr>
          <w:rFonts w:ascii="Arial" w:cs="Arial" w:eastAsia="Arial" w:hAnsi="Arial"/>
          <w:b/>
          <w:bCs/>
          <w:color w:val="1A1A2E"/>
          <w:sz w:val="32"/>
          <w:szCs w:val="32"/>
        </w:rPr>
        <w:t xml:space="preserve">9. Business model</w:t>
      </w:r>
    </w:p>
    <w:p>
      <w:pPr>
        <w:spacing w:after="80" w:before="80"/>
      </w:pPr>
      <w:r>
        <w:t xml:space="preserve"/>
      </w:r>
    </w:p>
    <w:p>
      <w:pPr>
        <w:pStyle w:val="Heading2"/>
        <w:spacing w:after="150" w:before="300"/>
      </w:pPr>
      <w:r>
        <w:rPr>
          <w:rFonts w:ascii="Arial" w:cs="Arial" w:eastAsia="Arial" w:hAnsi="Arial"/>
          <w:b/>
          <w:bCs/>
          <w:color w:val="1565A7"/>
          <w:sz w:val="26"/>
          <w:szCs w:val="26"/>
        </w:rPr>
        <w:t xml:space="preserve">9.1 Commission V1</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500"/>
        <w:gridCol w:w="5860"/>
      </w:tblGrid>
      <w:tr>
        <w:tc>
          <w:tcPr>
            <w:tcW w:type="dxa" w:w="3500"/>
            <w:tcBorders>
              <w:top w:val="single" w:color="CCCCCC" w:sz="1"/>
              <w:left w:val="single" w:color="CCCCCC" w:sz="1"/>
              <w:bottom w:val="single" w:color="CCCCCC" w:sz="1"/>
              <w:right w:val="single" w:color="CCCCCC" w:sz="1"/>
            </w:tcBorders>
            <w:shd w:fill="1565A7" w:val="clear"/>
            <w:tcMar>
              <w:top w:type="dxa" w:w="80"/>
              <w:left w:type="dxa" w:w="120"/>
              <w:bottom w:type="dxa" w:w="80"/>
              <w:right w:type="dxa" w:w="120"/>
            </w:tcMar>
          </w:tcPr>
          <w:p>
            <w:r>
              <w:rPr>
                <w:rFonts w:ascii="Arial" w:cs="Arial" w:eastAsia="Arial" w:hAnsi="Arial"/>
                <w:b/>
                <w:bCs/>
                <w:color w:val="FFFFFF"/>
                <w:sz w:val="20"/>
                <w:szCs w:val="20"/>
              </w:rPr>
              <w:t xml:space="preserve">Parametre</w:t>
            </w:r>
          </w:p>
        </w:tc>
        <w:tc>
          <w:tcPr>
            <w:tcW w:type="dxa" w:w="5860"/>
            <w:tcBorders>
              <w:top w:val="single" w:color="CCCCCC" w:sz="1"/>
              <w:left w:val="single" w:color="CCCCCC" w:sz="1"/>
              <w:bottom w:val="single" w:color="CCCCCC" w:sz="1"/>
              <w:right w:val="single" w:color="CCCCCC" w:sz="1"/>
            </w:tcBorders>
            <w:shd w:fill="1565A7" w:val="clear"/>
            <w:tcMar>
              <w:top w:type="dxa" w:w="80"/>
              <w:left w:type="dxa" w:w="120"/>
              <w:bottom w:type="dxa" w:w="80"/>
              <w:right w:type="dxa" w:w="120"/>
            </w:tcMar>
          </w:tcPr>
          <w:p>
            <w:r>
              <w:rPr>
                <w:rFonts w:ascii="Arial" w:cs="Arial" w:eastAsia="Arial" w:hAnsi="Arial"/>
                <w:b/>
                <w:bCs/>
                <w:color w:val="FFFFFF"/>
                <w:sz w:val="20"/>
                <w:szCs w:val="20"/>
              </w:rPr>
              <w:t xml:space="preserve">Valeur</w:t>
            </w:r>
          </w:p>
        </w:tc>
      </w:tr>
      <w:tr>
        <w:tc>
          <w:tcPr>
            <w:tcW w:type="dxa" w:w="3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2E"/>
                <w:sz w:val="20"/>
                <w:szCs w:val="20"/>
              </w:rPr>
              <w:t xml:space="preserve">Taux</w:t>
            </w:r>
          </w:p>
        </w:tc>
        <w:tc>
          <w:tcPr>
            <w:tcW w:type="dxa" w:w="58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2E"/>
                <w:sz w:val="20"/>
                <w:szCs w:val="20"/>
              </w:rPr>
              <w:t xml:space="preserve">1% sur chaque envoi phase 1 (100 bps / 10 000)</w:t>
            </w:r>
          </w:p>
        </w:tc>
      </w:tr>
      <w:tr>
        <w:tc>
          <w:tcPr>
            <w:tcW w:type="dxa" w:w="35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color w:val="1A1A2E"/>
                <w:sz w:val="20"/>
                <w:szCs w:val="20"/>
              </w:rPr>
              <w:t xml:space="preserve">Declenchement</w:t>
            </w:r>
          </w:p>
        </w:tc>
        <w:tc>
          <w:tcPr>
            <w:tcW w:type="dxa" w:w="586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color w:val="1A1A2E"/>
                <w:sz w:val="20"/>
                <w:szCs w:val="20"/>
              </w:rPr>
              <w:t xml:space="preserve">Automatique dans la transaction d'envoi</w:t>
            </w:r>
          </w:p>
        </w:tc>
      </w:tr>
      <w:tr>
        <w:tc>
          <w:tcPr>
            <w:tcW w:type="dxa" w:w="3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2E"/>
                <w:sz w:val="20"/>
                <w:szCs w:val="20"/>
              </w:rPr>
              <w:t xml:space="preserve">Beneficiaire</w:t>
            </w:r>
          </w:p>
        </w:tc>
        <w:tc>
          <w:tcPr>
            <w:tcW w:type="dxa" w:w="58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2E"/>
                <w:sz w:val="20"/>
                <w:szCs w:val="20"/>
              </w:rPr>
              <w:t xml:space="preserve">Wallet owner du contrat FlowShare</w:t>
            </w:r>
          </w:p>
        </w:tc>
      </w:tr>
      <w:tr>
        <w:tc>
          <w:tcPr>
            <w:tcW w:type="dxa" w:w="35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color w:val="1A1A2E"/>
                <w:sz w:val="20"/>
                <w:szCs w:val="20"/>
              </w:rPr>
              <w:t xml:space="preserve">Sur remboursement</w:t>
            </w:r>
          </w:p>
        </w:tc>
        <w:tc>
          <w:tcPr>
            <w:tcW w:type="dxa" w:w="586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color w:val="1A1A2E"/>
                <w:sz w:val="20"/>
                <w:szCs w:val="20"/>
              </w:rPr>
              <w:t xml:space="preserve">Aucune — remboursement integral</w:t>
            </w:r>
          </w:p>
        </w:tc>
      </w:tr>
      <w:tr>
        <w:tc>
          <w:tcPr>
            <w:tcW w:type="dxa" w:w="3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2E"/>
                <w:sz w:val="20"/>
                <w:szCs w:val="20"/>
              </w:rPr>
              <w:t xml:space="preserve">Sur redistribution tokens</w:t>
            </w:r>
          </w:p>
        </w:tc>
        <w:tc>
          <w:tcPr>
            <w:tcW w:type="dxa" w:w="58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2E"/>
                <w:sz w:val="20"/>
                <w:szCs w:val="20"/>
              </w:rPr>
              <w:t xml:space="preserve">Aucune en V1</w:t>
            </w:r>
          </w:p>
        </w:tc>
      </w:tr>
      <w:tr>
        <w:tc>
          <w:tcPr>
            <w:tcW w:type="dxa" w:w="35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color w:val="1A1A2E"/>
                <w:sz w:val="20"/>
                <w:szCs w:val="20"/>
              </w:rPr>
              <w:t xml:space="preserve">Modifiable</w:t>
            </w:r>
          </w:p>
        </w:tc>
        <w:tc>
          <w:tcPr>
            <w:tcW w:type="dxa" w:w="586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color w:val="1A1A2E"/>
                <w:sz w:val="20"/>
                <w:szCs w:val="20"/>
              </w:rPr>
              <w:t xml:space="preserve">Non en V1 — hardcode dans le contrat</w:t>
            </w:r>
          </w:p>
        </w:tc>
      </w:tr>
    </w:tbl>
    <w:p>
      <w:pPr>
        <w:spacing w:after="80" w:before="80"/>
      </w:pPr>
      <w:r>
        <w:t xml:space="preserve"/>
      </w:r>
    </w:p>
    <w:p>
      <w:pPr>
        <w:pStyle w:val="Heading2"/>
        <w:spacing w:after="150" w:before="300"/>
      </w:pPr>
      <w:r>
        <w:rPr>
          <w:rFonts w:ascii="Arial" w:cs="Arial" w:eastAsia="Arial" w:hAnsi="Arial"/>
          <w:b/>
          <w:bCs/>
          <w:color w:val="1565A7"/>
          <w:sz w:val="26"/>
          <w:szCs w:val="26"/>
        </w:rPr>
        <w:t xml:space="preserve">9.2 Projection de revenus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340"/>
        <w:gridCol w:w="2340"/>
        <w:gridCol w:w="2340"/>
        <w:gridCol w:w="2340"/>
      </w:tblGrid>
      <w:tr>
        <w:tc>
          <w:tcPr>
            <w:tcW w:type="dxa" w:w="2340"/>
            <w:tcBorders>
              <w:top w:val="single" w:color="CCCCCC" w:sz="1"/>
              <w:left w:val="single" w:color="CCCCCC" w:sz="1"/>
              <w:bottom w:val="single" w:color="CCCCCC" w:sz="1"/>
              <w:right w:val="single" w:color="CCCCCC" w:sz="1"/>
            </w:tcBorders>
            <w:shd w:fill="1565A7" w:val="clear"/>
            <w:tcMar>
              <w:top w:type="dxa" w:w="80"/>
              <w:left w:type="dxa" w:w="120"/>
              <w:bottom w:type="dxa" w:w="80"/>
              <w:right w:type="dxa" w:w="120"/>
            </w:tcMar>
          </w:tcPr>
          <w:p>
            <w:r>
              <w:rPr>
                <w:rFonts w:ascii="Arial" w:cs="Arial" w:eastAsia="Arial" w:hAnsi="Arial"/>
                <w:b/>
                <w:bCs/>
                <w:color w:val="FFFFFF"/>
                <w:sz w:val="20"/>
                <w:szCs w:val="20"/>
              </w:rPr>
              <w:t xml:space="preserve">Pools / mois</w:t>
            </w:r>
          </w:p>
        </w:tc>
        <w:tc>
          <w:tcPr>
            <w:tcW w:type="dxa" w:w="2340"/>
            <w:tcBorders>
              <w:top w:val="single" w:color="CCCCCC" w:sz="1"/>
              <w:left w:val="single" w:color="CCCCCC" w:sz="1"/>
              <w:bottom w:val="single" w:color="CCCCCC" w:sz="1"/>
              <w:right w:val="single" w:color="CCCCCC" w:sz="1"/>
            </w:tcBorders>
            <w:shd w:fill="1565A7" w:val="clear"/>
            <w:tcMar>
              <w:top w:type="dxa" w:w="80"/>
              <w:left w:type="dxa" w:w="120"/>
              <w:bottom w:type="dxa" w:w="80"/>
              <w:right w:type="dxa" w:w="120"/>
            </w:tcMar>
          </w:tcPr>
          <w:p>
            <w:r>
              <w:rPr>
                <w:rFonts w:ascii="Arial" w:cs="Arial" w:eastAsia="Arial" w:hAnsi="Arial"/>
                <w:b/>
                <w:bCs/>
                <w:color w:val="FFFFFF"/>
                <w:sz w:val="20"/>
                <w:szCs w:val="20"/>
              </w:rPr>
              <w:t xml:space="preserve">Volume moyen</w:t>
            </w:r>
          </w:p>
        </w:tc>
        <w:tc>
          <w:tcPr>
            <w:tcW w:type="dxa" w:w="2340"/>
            <w:tcBorders>
              <w:top w:val="single" w:color="CCCCCC" w:sz="1"/>
              <w:left w:val="single" w:color="CCCCCC" w:sz="1"/>
              <w:bottom w:val="single" w:color="CCCCCC" w:sz="1"/>
              <w:right w:val="single" w:color="CCCCCC" w:sz="1"/>
            </w:tcBorders>
            <w:shd w:fill="1565A7" w:val="clear"/>
            <w:tcMar>
              <w:top w:type="dxa" w:w="80"/>
              <w:left w:type="dxa" w:w="120"/>
              <w:bottom w:type="dxa" w:w="80"/>
              <w:right w:type="dxa" w:w="120"/>
            </w:tcMar>
          </w:tcPr>
          <w:p>
            <w:r>
              <w:rPr>
                <w:rFonts w:ascii="Arial" w:cs="Arial" w:eastAsia="Arial" w:hAnsi="Arial"/>
                <w:b/>
                <w:bCs/>
                <w:color w:val="FFFFFF"/>
                <w:sz w:val="20"/>
                <w:szCs w:val="20"/>
              </w:rPr>
              <w:t xml:space="preserve">Volume total</w:t>
            </w:r>
          </w:p>
        </w:tc>
        <w:tc>
          <w:tcPr>
            <w:tcW w:type="dxa" w:w="2340"/>
            <w:tcBorders>
              <w:top w:val="single" w:color="CCCCCC" w:sz="1"/>
              <w:left w:val="single" w:color="CCCCCC" w:sz="1"/>
              <w:bottom w:val="single" w:color="CCCCCC" w:sz="1"/>
              <w:right w:val="single" w:color="CCCCCC" w:sz="1"/>
            </w:tcBorders>
            <w:shd w:fill="1565A7" w:val="clear"/>
            <w:tcMar>
              <w:top w:type="dxa" w:w="80"/>
              <w:left w:type="dxa" w:w="120"/>
              <w:bottom w:type="dxa" w:w="80"/>
              <w:right w:type="dxa" w:w="120"/>
            </w:tcMar>
          </w:tcPr>
          <w:p>
            <w:r>
              <w:rPr>
                <w:rFonts w:ascii="Arial" w:cs="Arial" w:eastAsia="Arial" w:hAnsi="Arial"/>
                <w:b/>
                <w:bCs/>
                <w:color w:val="FFFFFF"/>
                <w:sz w:val="20"/>
                <w:szCs w:val="20"/>
              </w:rPr>
              <w:t xml:space="preserve">Revenus 1%</w:t>
            </w:r>
          </w:p>
        </w:tc>
      </w:tr>
      <w:tr>
        <w:tc>
          <w:tcPr>
            <w:tcW w:type="dxa" w:w="23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2E"/>
                <w:sz w:val="20"/>
                <w:szCs w:val="20"/>
              </w:rPr>
              <w:t xml:space="preserve">100</w:t>
            </w:r>
          </w:p>
        </w:tc>
        <w:tc>
          <w:tcPr>
            <w:tcW w:type="dxa" w:w="23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2E"/>
                <w:sz w:val="20"/>
                <w:szCs w:val="20"/>
              </w:rPr>
              <w:t xml:space="preserve">500 USDT</w:t>
            </w:r>
          </w:p>
        </w:tc>
        <w:tc>
          <w:tcPr>
            <w:tcW w:type="dxa" w:w="23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2E"/>
                <w:sz w:val="20"/>
                <w:szCs w:val="20"/>
              </w:rPr>
              <w:t xml:space="preserve">50 000 USDT</w:t>
            </w:r>
          </w:p>
        </w:tc>
        <w:tc>
          <w:tcPr>
            <w:tcW w:type="dxa" w:w="23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2E"/>
                <w:sz w:val="20"/>
                <w:szCs w:val="20"/>
              </w:rPr>
              <w:t xml:space="preserve">500 USDT</w:t>
            </w:r>
          </w:p>
        </w:tc>
      </w:tr>
      <w:tr>
        <w:tc>
          <w:tcPr>
            <w:tcW w:type="dxa" w:w="234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color w:val="1A1A2E"/>
                <w:sz w:val="20"/>
                <w:szCs w:val="20"/>
              </w:rPr>
              <w:t xml:space="preserve">500</w:t>
            </w:r>
          </w:p>
        </w:tc>
        <w:tc>
          <w:tcPr>
            <w:tcW w:type="dxa" w:w="234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color w:val="1A1A2E"/>
                <w:sz w:val="20"/>
                <w:szCs w:val="20"/>
              </w:rPr>
              <w:t xml:space="preserve">500 USDT</w:t>
            </w:r>
          </w:p>
        </w:tc>
        <w:tc>
          <w:tcPr>
            <w:tcW w:type="dxa" w:w="234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color w:val="1A1A2E"/>
                <w:sz w:val="20"/>
                <w:szCs w:val="20"/>
              </w:rPr>
              <w:t xml:space="preserve">250 000 USDT</w:t>
            </w:r>
          </w:p>
        </w:tc>
        <w:tc>
          <w:tcPr>
            <w:tcW w:type="dxa" w:w="234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color w:val="1A1A2E"/>
                <w:sz w:val="20"/>
                <w:szCs w:val="20"/>
              </w:rPr>
              <w:t xml:space="preserve">2 500 USDT</w:t>
            </w:r>
          </w:p>
        </w:tc>
      </w:tr>
      <w:tr>
        <w:tc>
          <w:tcPr>
            <w:tcW w:type="dxa" w:w="23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2E"/>
                <w:sz w:val="20"/>
                <w:szCs w:val="20"/>
              </w:rPr>
              <w:t xml:space="preserve">1 000</w:t>
            </w:r>
          </w:p>
        </w:tc>
        <w:tc>
          <w:tcPr>
            <w:tcW w:type="dxa" w:w="23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2E"/>
                <w:sz w:val="20"/>
                <w:szCs w:val="20"/>
              </w:rPr>
              <w:t xml:space="preserve">1 000 USDT</w:t>
            </w:r>
          </w:p>
        </w:tc>
        <w:tc>
          <w:tcPr>
            <w:tcW w:type="dxa" w:w="23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2E"/>
                <w:sz w:val="20"/>
                <w:szCs w:val="20"/>
              </w:rPr>
              <w:t xml:space="preserve">1 000 000 USDT</w:t>
            </w:r>
          </w:p>
        </w:tc>
        <w:tc>
          <w:tcPr>
            <w:tcW w:type="dxa" w:w="23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2E"/>
                <w:sz w:val="20"/>
                <w:szCs w:val="20"/>
              </w:rPr>
              <w:t xml:space="preserve">10 000 USDT</w:t>
            </w:r>
          </w:p>
        </w:tc>
      </w:tr>
      <w:tr>
        <w:tc>
          <w:tcPr>
            <w:tcW w:type="dxa" w:w="234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color w:val="1A1A2E"/>
                <w:sz w:val="20"/>
                <w:szCs w:val="20"/>
              </w:rPr>
              <w:t xml:space="preserve">5 000</w:t>
            </w:r>
          </w:p>
        </w:tc>
        <w:tc>
          <w:tcPr>
            <w:tcW w:type="dxa" w:w="234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color w:val="1A1A2E"/>
                <w:sz w:val="20"/>
                <w:szCs w:val="20"/>
              </w:rPr>
              <w:t xml:space="preserve">1 000 USDT</w:t>
            </w:r>
          </w:p>
        </w:tc>
        <w:tc>
          <w:tcPr>
            <w:tcW w:type="dxa" w:w="234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color w:val="1A1A2E"/>
                <w:sz w:val="20"/>
                <w:szCs w:val="20"/>
              </w:rPr>
              <w:t xml:space="preserve">5 000 000 USDT</w:t>
            </w:r>
          </w:p>
        </w:tc>
        <w:tc>
          <w:tcPr>
            <w:tcW w:type="dxa" w:w="234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color w:val="1A1A2E"/>
                <w:sz w:val="20"/>
                <w:szCs w:val="20"/>
              </w:rPr>
              <w:t xml:space="preserve">50 000 USDT</w:t>
            </w:r>
          </w:p>
        </w:tc>
      </w:tr>
    </w:tbl>
    <w:p>
      <w:pPr>
        <w:spacing w:after="80" w:before="80"/>
      </w:pPr>
      <w:r>
        <w:t xml:space="preserve"/>
      </w:r>
    </w:p>
    <w:p>
      <w:pPr>
        <w:pStyle w:val="Heading2"/>
        <w:spacing w:after="150" w:before="300"/>
      </w:pPr>
      <w:r>
        <w:rPr>
          <w:rFonts w:ascii="Arial" w:cs="Arial" w:eastAsia="Arial" w:hAnsi="Arial"/>
          <w:b/>
          <w:bCs/>
          <w:color w:val="1565A7"/>
          <w:sz w:val="26"/>
          <w:szCs w:val="26"/>
        </w:rPr>
        <w:t xml:space="preserve">9.3 Evolution du business model</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500"/>
        <w:gridCol w:w="2000"/>
        <w:gridCol w:w="5860"/>
      </w:tblGrid>
      <w:tr>
        <w:tc>
          <w:tcPr>
            <w:tcW w:type="dxa" w:w="1500"/>
            <w:tcBorders>
              <w:top w:val="single" w:color="CCCCCC" w:sz="1"/>
              <w:left w:val="single" w:color="CCCCCC" w:sz="1"/>
              <w:bottom w:val="single" w:color="CCCCCC" w:sz="1"/>
              <w:right w:val="single" w:color="CCCCCC" w:sz="1"/>
            </w:tcBorders>
            <w:shd w:fill="1565A7" w:val="clear"/>
            <w:tcMar>
              <w:top w:type="dxa" w:w="80"/>
              <w:left w:type="dxa" w:w="120"/>
              <w:bottom w:type="dxa" w:w="80"/>
              <w:right w:type="dxa" w:w="120"/>
            </w:tcMar>
          </w:tcPr>
          <w:p>
            <w:r>
              <w:rPr>
                <w:rFonts w:ascii="Arial" w:cs="Arial" w:eastAsia="Arial" w:hAnsi="Arial"/>
                <w:b/>
                <w:bCs/>
                <w:color w:val="FFFFFF"/>
                <w:sz w:val="20"/>
                <w:szCs w:val="20"/>
              </w:rPr>
              <w:t xml:space="preserve">Version</w:t>
            </w:r>
          </w:p>
        </w:tc>
        <w:tc>
          <w:tcPr>
            <w:tcW w:type="dxa" w:w="2000"/>
            <w:tcBorders>
              <w:top w:val="single" w:color="CCCCCC" w:sz="1"/>
              <w:left w:val="single" w:color="CCCCCC" w:sz="1"/>
              <w:bottom w:val="single" w:color="CCCCCC" w:sz="1"/>
              <w:right w:val="single" w:color="CCCCCC" w:sz="1"/>
            </w:tcBorders>
            <w:shd w:fill="1565A7" w:val="clear"/>
            <w:tcMar>
              <w:top w:type="dxa" w:w="80"/>
              <w:left w:type="dxa" w:w="120"/>
              <w:bottom w:type="dxa" w:w="80"/>
              <w:right w:type="dxa" w:w="120"/>
            </w:tcMar>
          </w:tcPr>
          <w:p>
            <w:r>
              <w:rPr>
                <w:rFonts w:ascii="Arial" w:cs="Arial" w:eastAsia="Arial" w:hAnsi="Arial"/>
                <w:b/>
                <w:bCs/>
                <w:color w:val="FFFFFF"/>
                <w:sz w:val="20"/>
                <w:szCs w:val="20"/>
              </w:rPr>
              <w:t xml:space="preserve">Periode</w:t>
            </w:r>
          </w:p>
        </w:tc>
        <w:tc>
          <w:tcPr>
            <w:tcW w:type="dxa" w:w="5860"/>
            <w:tcBorders>
              <w:top w:val="single" w:color="CCCCCC" w:sz="1"/>
              <w:left w:val="single" w:color="CCCCCC" w:sz="1"/>
              <w:bottom w:val="single" w:color="CCCCCC" w:sz="1"/>
              <w:right w:val="single" w:color="CCCCCC" w:sz="1"/>
            </w:tcBorders>
            <w:shd w:fill="1565A7" w:val="clear"/>
            <w:tcMar>
              <w:top w:type="dxa" w:w="80"/>
              <w:left w:type="dxa" w:w="120"/>
              <w:bottom w:type="dxa" w:w="80"/>
              <w:right w:type="dxa" w:w="120"/>
            </w:tcMar>
          </w:tcPr>
          <w:p>
            <w:r>
              <w:rPr>
                <w:rFonts w:ascii="Arial" w:cs="Arial" w:eastAsia="Arial" w:hAnsi="Arial"/>
                <w:b/>
                <w:bCs/>
                <w:color w:val="FFFFFF"/>
                <w:sz w:val="20"/>
                <w:szCs w:val="20"/>
              </w:rPr>
              <w:t xml:space="preserve">Modele</w:t>
            </w:r>
          </w:p>
        </w:tc>
      </w:tr>
      <w:tr>
        <w:tc>
          <w:tcPr>
            <w:tcW w:type="dxa" w:w="1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2E"/>
                <w:sz w:val="20"/>
                <w:szCs w:val="20"/>
              </w:rPr>
              <w:t xml:space="preserve">V1</w:t>
            </w:r>
          </w:p>
        </w:tc>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2E"/>
                <w:sz w:val="20"/>
                <w:szCs w:val="20"/>
              </w:rPr>
              <w:t xml:space="preserve">Lancement</w:t>
            </w:r>
          </w:p>
        </w:tc>
        <w:tc>
          <w:tcPr>
            <w:tcW w:type="dxa" w:w="58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2E"/>
                <w:sz w:val="20"/>
                <w:szCs w:val="20"/>
              </w:rPr>
              <w:t xml:space="preserve">Commission 1% uniquement sur envoi</w:t>
            </w:r>
          </w:p>
        </w:tc>
      </w:tr>
      <w:tr>
        <w:tc>
          <w:tcPr>
            <w:tcW w:type="dxa" w:w="15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color w:val="1A1A2E"/>
                <w:sz w:val="20"/>
                <w:szCs w:val="20"/>
              </w:rPr>
              <w:t xml:space="preserve">V2</w:t>
            </w:r>
          </w:p>
        </w:tc>
        <w:tc>
          <w:tcPr>
            <w:tcW w:type="dxa" w:w="20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color w:val="1A1A2E"/>
                <w:sz w:val="20"/>
                <w:szCs w:val="20"/>
              </w:rPr>
              <w:t xml:space="preserve">Mois 6-12</w:t>
            </w:r>
          </w:p>
        </w:tc>
        <w:tc>
          <w:tcPr>
            <w:tcW w:type="dxa" w:w="586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color w:val="1A1A2E"/>
                <w:sz w:val="20"/>
                <w:szCs w:val="20"/>
              </w:rPr>
              <w:t xml:space="preserve">Freemium — Free 2% / Pro 20 USDT/mois a 0.5%</w:t>
            </w:r>
          </w:p>
        </w:tc>
      </w:tr>
      <w:tr>
        <w:tc>
          <w:tcPr>
            <w:tcW w:type="dxa" w:w="1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2E"/>
                <w:sz w:val="20"/>
                <w:szCs w:val="20"/>
              </w:rPr>
              <w:t xml:space="preserve">V3</w:t>
            </w:r>
          </w:p>
        </w:tc>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2E"/>
                <w:sz w:val="20"/>
                <w:szCs w:val="20"/>
              </w:rPr>
              <w:t xml:space="preserve">Annee 2</w:t>
            </w:r>
          </w:p>
        </w:tc>
        <w:tc>
          <w:tcPr>
            <w:tcW w:type="dxa" w:w="58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2E"/>
                <w:sz w:val="20"/>
                <w:szCs w:val="20"/>
              </w:rPr>
              <w:t xml:space="preserve">API B2B pour plateformes partenaires + token $FLOW utility</w:t>
            </w:r>
          </w:p>
        </w:tc>
      </w:tr>
    </w:tbl>
    <w:p>
      <w:r>
        <w:br w:type="page"/>
      </w:r>
    </w:p>
    <w:p>
      <w:pPr>
        <w:pStyle w:val="Heading1"/>
        <w:pBdr>
          <w:bottom w:val="single" w:color="1565A7" w:sz="4" w:space="4"/>
        </w:pBdr>
        <w:spacing w:after="200" w:before="400"/>
      </w:pPr>
      <w:r>
        <w:rPr>
          <w:rFonts w:ascii="Arial" w:cs="Arial" w:eastAsia="Arial" w:hAnsi="Arial"/>
          <w:b/>
          <w:bCs/>
          <w:color w:val="1A1A2E"/>
          <w:sz w:val="32"/>
          <w:szCs w:val="32"/>
        </w:rPr>
        <w:t xml:space="preserve">10. Strategie presale</w:t>
      </w:r>
    </w:p>
    <w:p>
      <w:pPr>
        <w:spacing w:after="80" w:before="80"/>
      </w:pPr>
      <w:r>
        <w:t xml:space="preserve"/>
      </w:r>
    </w:p>
    <w:p>
      <w:pPr>
        <w:pStyle w:val="Heading2"/>
        <w:spacing w:after="150" w:before="300"/>
      </w:pPr>
      <w:r>
        <w:rPr>
          <w:rFonts w:ascii="Arial" w:cs="Arial" w:eastAsia="Arial" w:hAnsi="Arial"/>
          <w:b/>
          <w:bCs/>
          <w:color w:val="1565A7"/>
          <w:sz w:val="26"/>
          <w:szCs w:val="26"/>
        </w:rPr>
        <w:t xml:space="preserve">10.1 Principe</w:t>
      </w:r>
    </w:p>
    <w:p>
      <w:pPr>
        <w:spacing w:after="80" w:before="80"/>
      </w:pPr>
      <w:r>
        <w:rPr>
          <w:rFonts w:ascii="Arial" w:cs="Arial" w:eastAsia="Arial" w:hAnsi="Arial"/>
          <w:color w:val="1A1A2E"/>
          <w:sz w:val="22"/>
          <w:szCs w:val="22"/>
        </w:rPr>
        <w:t xml:space="preserve">Le presale se fait APRES la livraison d'une version demo fonctionnelle sur BNB Testnet. On ne vend pas un PDF — on montre un produit qui tourne.</w:t>
      </w:r>
    </w:p>
    <w:p>
      <w:pPr>
        <w:spacing w:after="80" w:before="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none" w:color="FFFFFF" w:sz="0"/>
              <w:left w:val="none" w:color="FFFFFF" w:sz="0"/>
              <w:bottom w:val="none" w:color="FFFFFF" w:sz="0"/>
              <w:right w:val="none" w:color="FFFFFF" w:sz="0"/>
            </w:tcBorders>
            <w:shd w:fill="E1F5EE" w:val="clear"/>
            <w:tcMar>
              <w:top w:type="dxa" w:w="120"/>
              <w:left w:type="dxa" w:w="200"/>
              <w:bottom w:type="dxa" w:w="120"/>
              <w:right w:type="dxa" w:w="200"/>
            </w:tcMar>
          </w:tcPr>
          <w:p>
            <w:r>
              <w:rPr>
                <w:rFonts w:ascii="Arial" w:cs="Arial" w:eastAsia="Arial" w:hAnsi="Arial"/>
                <w:b/>
                <w:bCs/>
                <w:color w:val="085041"/>
                <w:sz w:val="20"/>
                <w:szCs w:val="20"/>
              </w:rPr>
              <w:t xml:space="preserve">Regle absolue: </w:t>
            </w:r>
            <w:r>
              <w:rPr>
                <w:rFonts w:ascii="Arial" w:cs="Arial" w:eastAsia="Arial" w:hAnsi="Arial"/>
                <w:color w:val="085041"/>
                <w:sz w:val="20"/>
                <w:szCs w:val="20"/>
              </w:rPr>
              <w:t xml:space="preserve">Aucun presale avant une demo live fonctionnelle. Les investisseurs voient la pool creee, la contribution, la validation et l'envoi en temps reel.</w:t>
            </w:r>
          </w:p>
        </w:tc>
      </w:tr>
    </w:tbl>
    <w:p>
      <w:pPr>
        <w:spacing w:after="80" w:before="80"/>
      </w:pPr>
      <w:r>
        <w:t xml:space="preserve"/>
      </w:r>
    </w:p>
    <w:p>
      <w:pPr>
        <w:pStyle w:val="Heading2"/>
        <w:spacing w:after="150" w:before="300"/>
      </w:pPr>
      <w:r>
        <w:rPr>
          <w:rFonts w:ascii="Arial" w:cs="Arial" w:eastAsia="Arial" w:hAnsi="Arial"/>
          <w:b/>
          <w:bCs/>
          <w:color w:val="1565A7"/>
          <w:sz w:val="26"/>
          <w:szCs w:val="26"/>
        </w:rPr>
        <w:t xml:space="preserve">10.2 Ce qu'on vend</w:t>
      </w:r>
    </w:p>
    <w:p>
      <w:pPr>
        <w:pStyle w:val="ListParagraph"/>
        <w:numPr>
          <w:ilvl w:val="0"/>
          <w:numId w:val="2"/>
        </w:numPr>
        <w:spacing w:after="60" w:before="60"/>
      </w:pPr>
      <w:r>
        <w:rPr>
          <w:rFonts w:ascii="Arial" w:cs="Arial" w:eastAsia="Arial" w:hAnsi="Arial"/>
          <w:color w:val="1A1A2E"/>
          <w:sz w:val="22"/>
          <w:szCs w:val="22"/>
        </w:rPr>
        <w:t xml:space="preserve">Token $FLOW utility — acces aux features de la plateforme</w:t>
      </w:r>
    </w:p>
    <w:p>
      <w:pPr>
        <w:pStyle w:val="ListParagraph"/>
        <w:numPr>
          <w:ilvl w:val="0"/>
          <w:numId w:val="2"/>
        </w:numPr>
        <w:spacing w:after="60" w:before="60"/>
      </w:pPr>
      <w:r>
        <w:rPr>
          <w:rFonts w:ascii="Arial" w:cs="Arial" w:eastAsia="Arial" w:hAnsi="Arial"/>
          <w:color w:val="1A1A2E"/>
          <w:sz w:val="22"/>
          <w:szCs w:val="22"/>
        </w:rPr>
        <w:t xml:space="preserve">Pas de revenue share explicite — trop proche d'un security</w:t>
      </w:r>
    </w:p>
    <w:p>
      <w:pPr>
        <w:pStyle w:val="ListParagraph"/>
        <w:numPr>
          <w:ilvl w:val="0"/>
          <w:numId w:val="2"/>
        </w:numPr>
        <w:spacing w:after="60" w:before="60"/>
      </w:pPr>
      <w:r>
        <w:rPr>
          <w:rFonts w:ascii="Arial" w:cs="Arial" w:eastAsia="Arial" w:hAnsi="Arial"/>
          <w:color w:val="1A1A2E"/>
          <w:sz w:val="22"/>
          <w:szCs w:val="22"/>
        </w:rPr>
        <w:t xml:space="preserve">Pas de promesse de rendement — aucune dans aucune communication</w:t>
      </w:r>
    </w:p>
    <w:p>
      <w:pPr>
        <w:pStyle w:val="ListParagraph"/>
        <w:numPr>
          <w:ilvl w:val="0"/>
          <w:numId w:val="2"/>
        </w:numPr>
        <w:spacing w:after="60" w:before="60"/>
      </w:pPr>
      <w:r>
        <w:rPr>
          <w:rFonts w:ascii="Arial" w:cs="Arial" w:eastAsia="Arial" w:hAnsi="Arial"/>
          <w:color w:val="1A1A2E"/>
          <w:sz w:val="22"/>
          <w:szCs w:val="22"/>
        </w:rPr>
        <w:t xml:space="preserve">Early access + reduction de fees + governance</w:t>
      </w:r>
    </w:p>
    <w:p>
      <w:pPr>
        <w:spacing w:after="80" w:before="80"/>
      </w:pPr>
      <w:r>
        <w:t xml:space="preserve"/>
      </w:r>
    </w:p>
    <w:p>
      <w:pPr>
        <w:pStyle w:val="Heading2"/>
        <w:spacing w:after="150" w:before="300"/>
      </w:pPr>
      <w:r>
        <w:rPr>
          <w:rFonts w:ascii="Arial" w:cs="Arial" w:eastAsia="Arial" w:hAnsi="Arial"/>
          <w:b/>
          <w:bCs/>
          <w:color w:val="1565A7"/>
          <w:sz w:val="26"/>
          <w:szCs w:val="26"/>
        </w:rPr>
        <w:t xml:space="preserve">10.3 Structure du presale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800"/>
        <w:gridCol w:w="1800"/>
        <w:gridCol w:w="1800"/>
        <w:gridCol w:w="1960"/>
        <w:gridCol w:w="2000"/>
      </w:tblGrid>
      <w:tr>
        <w:tc>
          <w:tcPr>
            <w:tcW w:type="dxa" w:w="1800"/>
            <w:tcBorders>
              <w:top w:val="single" w:color="CCCCCC" w:sz="1"/>
              <w:left w:val="single" w:color="CCCCCC" w:sz="1"/>
              <w:bottom w:val="single" w:color="CCCCCC" w:sz="1"/>
              <w:right w:val="single" w:color="CCCCCC" w:sz="1"/>
            </w:tcBorders>
            <w:shd w:fill="1565A7" w:val="clear"/>
            <w:tcMar>
              <w:top w:type="dxa" w:w="80"/>
              <w:left w:type="dxa" w:w="120"/>
              <w:bottom w:type="dxa" w:w="80"/>
              <w:right w:type="dxa" w:w="120"/>
            </w:tcMar>
          </w:tcPr>
          <w:p>
            <w:r>
              <w:rPr>
                <w:rFonts w:ascii="Arial" w:cs="Arial" w:eastAsia="Arial" w:hAnsi="Arial"/>
                <w:b/>
                <w:bCs/>
                <w:color w:val="FFFFFF"/>
                <w:sz w:val="20"/>
                <w:szCs w:val="20"/>
              </w:rPr>
              <w:t xml:space="preserve">Round</w:t>
            </w:r>
          </w:p>
        </w:tc>
        <w:tc>
          <w:tcPr>
            <w:tcW w:type="dxa" w:w="1800"/>
            <w:tcBorders>
              <w:top w:val="single" w:color="CCCCCC" w:sz="1"/>
              <w:left w:val="single" w:color="CCCCCC" w:sz="1"/>
              <w:bottom w:val="single" w:color="CCCCCC" w:sz="1"/>
              <w:right w:val="single" w:color="CCCCCC" w:sz="1"/>
            </w:tcBorders>
            <w:shd w:fill="1565A7" w:val="clear"/>
            <w:tcMar>
              <w:top w:type="dxa" w:w="80"/>
              <w:left w:type="dxa" w:w="120"/>
              <w:bottom w:type="dxa" w:w="80"/>
              <w:right w:type="dxa" w:w="120"/>
            </w:tcMar>
          </w:tcPr>
          <w:p>
            <w:r>
              <w:rPr>
                <w:rFonts w:ascii="Arial" w:cs="Arial" w:eastAsia="Arial" w:hAnsi="Arial"/>
                <w:b/>
                <w:bCs/>
                <w:color w:val="FFFFFF"/>
                <w:sz w:val="20"/>
                <w:szCs w:val="20"/>
              </w:rPr>
              <w:t xml:space="preserve">Prix token</w:t>
            </w:r>
          </w:p>
        </w:tc>
        <w:tc>
          <w:tcPr>
            <w:tcW w:type="dxa" w:w="1800"/>
            <w:tcBorders>
              <w:top w:val="single" w:color="CCCCCC" w:sz="1"/>
              <w:left w:val="single" w:color="CCCCCC" w:sz="1"/>
              <w:bottom w:val="single" w:color="CCCCCC" w:sz="1"/>
              <w:right w:val="single" w:color="CCCCCC" w:sz="1"/>
            </w:tcBorders>
            <w:shd w:fill="1565A7" w:val="clear"/>
            <w:tcMar>
              <w:top w:type="dxa" w:w="80"/>
              <w:left w:type="dxa" w:w="120"/>
              <w:bottom w:type="dxa" w:w="80"/>
              <w:right w:type="dxa" w:w="120"/>
            </w:tcMar>
          </w:tcPr>
          <w:p>
            <w:r>
              <w:rPr>
                <w:rFonts w:ascii="Arial" w:cs="Arial" w:eastAsia="Arial" w:hAnsi="Arial"/>
                <w:b/>
                <w:bCs/>
                <w:color w:val="FFFFFF"/>
                <w:sz w:val="20"/>
                <w:szCs w:val="20"/>
              </w:rPr>
              <w:t xml:space="preserve">Tokens</w:t>
            </w:r>
          </w:p>
        </w:tc>
        <w:tc>
          <w:tcPr>
            <w:tcW w:type="dxa" w:w="1960"/>
            <w:tcBorders>
              <w:top w:val="single" w:color="CCCCCC" w:sz="1"/>
              <w:left w:val="single" w:color="CCCCCC" w:sz="1"/>
              <w:bottom w:val="single" w:color="CCCCCC" w:sz="1"/>
              <w:right w:val="single" w:color="CCCCCC" w:sz="1"/>
            </w:tcBorders>
            <w:shd w:fill="1565A7" w:val="clear"/>
            <w:tcMar>
              <w:top w:type="dxa" w:w="80"/>
              <w:left w:type="dxa" w:w="120"/>
              <w:bottom w:type="dxa" w:w="80"/>
              <w:right w:type="dxa" w:w="120"/>
            </w:tcMar>
          </w:tcPr>
          <w:p>
            <w:r>
              <w:rPr>
                <w:rFonts w:ascii="Arial" w:cs="Arial" w:eastAsia="Arial" w:hAnsi="Arial"/>
                <w:b/>
                <w:bCs/>
                <w:color w:val="FFFFFF"/>
                <w:sz w:val="20"/>
                <w:szCs w:val="20"/>
              </w:rPr>
              <w:t xml:space="preserve">Total leve</w:t>
            </w:r>
          </w:p>
        </w:tc>
        <w:tc>
          <w:tcPr>
            <w:tcW w:type="dxa" w:w="2000"/>
            <w:tcBorders>
              <w:top w:val="single" w:color="CCCCCC" w:sz="1"/>
              <w:left w:val="single" w:color="CCCCCC" w:sz="1"/>
              <w:bottom w:val="single" w:color="CCCCCC" w:sz="1"/>
              <w:right w:val="single" w:color="CCCCCC" w:sz="1"/>
            </w:tcBorders>
            <w:shd w:fill="1565A7" w:val="clear"/>
            <w:tcMar>
              <w:top w:type="dxa" w:w="80"/>
              <w:left w:type="dxa" w:w="120"/>
              <w:bottom w:type="dxa" w:w="80"/>
              <w:right w:type="dxa" w:w="120"/>
            </w:tcMar>
          </w:tcPr>
          <w:p>
            <w:r>
              <w:rPr>
                <w:rFonts w:ascii="Arial" w:cs="Arial" w:eastAsia="Arial" w:hAnsi="Arial"/>
                <w:b/>
                <w:bCs/>
                <w:color w:val="FFFFFF"/>
                <w:sz w:val="20"/>
                <w:szCs w:val="20"/>
              </w:rPr>
              <w:t xml:space="preserve">Vesting</w:t>
            </w:r>
          </w:p>
        </w:tc>
      </w:tr>
      <w:tr>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2E"/>
                <w:sz w:val="20"/>
                <w:szCs w:val="20"/>
              </w:rPr>
              <w:t xml:space="preserve">Seed prive</w:t>
            </w:r>
          </w:p>
        </w:tc>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2E"/>
                <w:sz w:val="20"/>
                <w:szCs w:val="20"/>
              </w:rPr>
              <w:t xml:space="preserve">0.01 USDT</w:t>
            </w:r>
          </w:p>
        </w:tc>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2E"/>
                <w:sz w:val="20"/>
                <w:szCs w:val="20"/>
              </w:rPr>
              <w:t xml:space="preserve">5 000 000</w:t>
            </w:r>
          </w:p>
        </w:tc>
        <w:tc>
          <w:tcPr>
            <w:tcW w:type="dxa" w:w="19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2E"/>
                <w:sz w:val="20"/>
                <w:szCs w:val="20"/>
              </w:rPr>
              <w:t xml:space="preserve">50 000 USDT</w:t>
            </w:r>
          </w:p>
        </w:tc>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2E"/>
                <w:sz w:val="20"/>
                <w:szCs w:val="20"/>
              </w:rPr>
              <w:t xml:space="preserve">6 mois lock + 12 mois lineaire</w:t>
            </w:r>
          </w:p>
        </w:tc>
      </w:tr>
      <w:tr>
        <w:tc>
          <w:tcPr>
            <w:tcW w:type="dxa" w:w="18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color w:val="1A1A2E"/>
                <w:sz w:val="20"/>
                <w:szCs w:val="20"/>
              </w:rPr>
              <w:t xml:space="preserve">Presale public</w:t>
            </w:r>
          </w:p>
        </w:tc>
        <w:tc>
          <w:tcPr>
            <w:tcW w:type="dxa" w:w="18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color w:val="1A1A2E"/>
                <w:sz w:val="20"/>
                <w:szCs w:val="20"/>
              </w:rPr>
              <w:t xml:space="preserve">0.02 USDT</w:t>
            </w:r>
          </w:p>
        </w:tc>
        <w:tc>
          <w:tcPr>
            <w:tcW w:type="dxa" w:w="18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color w:val="1A1A2E"/>
                <w:sz w:val="20"/>
                <w:szCs w:val="20"/>
              </w:rPr>
              <w:t xml:space="preserve">10 000 000</w:t>
            </w:r>
          </w:p>
        </w:tc>
        <w:tc>
          <w:tcPr>
            <w:tcW w:type="dxa" w:w="196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color w:val="1A1A2E"/>
                <w:sz w:val="20"/>
                <w:szCs w:val="20"/>
              </w:rPr>
              <w:t xml:space="preserve">200 000 USDT</w:t>
            </w:r>
          </w:p>
        </w:tc>
        <w:tc>
          <w:tcPr>
            <w:tcW w:type="dxa" w:w="20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color w:val="1A1A2E"/>
                <w:sz w:val="20"/>
                <w:szCs w:val="20"/>
              </w:rPr>
              <w:t xml:space="preserve">3 mois lock + 9 mois lineaire</w:t>
            </w:r>
          </w:p>
        </w:tc>
      </w:tr>
      <w:tr>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2E"/>
                <w:sz w:val="20"/>
                <w:szCs w:val="20"/>
              </w:rPr>
              <w:t xml:space="preserve">Listing DEX</w:t>
            </w:r>
          </w:p>
        </w:tc>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2E"/>
                <w:sz w:val="20"/>
                <w:szCs w:val="20"/>
              </w:rPr>
              <w:t xml:space="preserve">0.05 USDT</w:t>
            </w:r>
          </w:p>
        </w:tc>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2E"/>
                <w:sz w:val="20"/>
                <w:szCs w:val="20"/>
              </w:rPr>
              <w:t xml:space="preserve">—</w:t>
            </w:r>
          </w:p>
        </w:tc>
        <w:tc>
          <w:tcPr>
            <w:tcW w:type="dxa" w:w="19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2E"/>
                <w:sz w:val="20"/>
                <w:szCs w:val="20"/>
              </w:rPr>
              <w:t xml:space="preserve">—</w:t>
            </w:r>
          </w:p>
        </w:tc>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2E"/>
                <w:sz w:val="20"/>
                <w:szCs w:val="20"/>
              </w:rPr>
              <w:t xml:space="preserve">Listing PancakeSwap</w:t>
            </w:r>
          </w:p>
        </w:tc>
      </w:tr>
    </w:tbl>
    <w:p>
      <w:pPr>
        <w:spacing w:after="80" w:before="80"/>
      </w:pPr>
      <w:r>
        <w:t xml:space="preserve"/>
      </w:r>
    </w:p>
    <w:p>
      <w:pPr>
        <w:pStyle w:val="Heading2"/>
        <w:spacing w:after="150" w:before="300"/>
      </w:pPr>
      <w:r>
        <w:rPr>
          <w:rFonts w:ascii="Arial" w:cs="Arial" w:eastAsia="Arial" w:hAnsi="Arial"/>
          <w:b/>
          <w:bCs/>
          <w:color w:val="1565A7"/>
          <w:sz w:val="26"/>
          <w:szCs w:val="26"/>
        </w:rPr>
        <w:t xml:space="preserve">10.4 Le hook meta</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none" w:color="FFFFFF" w:sz="0"/>
              <w:left w:val="none" w:color="FFFFFF" w:sz="0"/>
              <w:bottom w:val="none" w:color="FFFFFF" w:sz="0"/>
              <w:right w:val="none" w:color="FFFFFF" w:sz="0"/>
            </w:tcBorders>
            <w:shd w:fill="D6E8F5" w:val="clear"/>
            <w:tcMar>
              <w:top w:type="dxa" w:w="120"/>
              <w:left w:type="dxa" w:w="200"/>
              <w:bottom w:type="dxa" w:w="120"/>
              <w:right w:type="dxa" w:w="200"/>
            </w:tcMar>
          </w:tcPr>
          <w:p>
            <w:r>
              <w:rPr>
                <w:rFonts w:ascii="Arial" w:cs="Arial" w:eastAsia="Arial" w:hAnsi="Arial"/>
                <w:b/>
                <w:bCs/>
                <w:color w:val="0C447C"/>
                <w:sz w:val="20"/>
                <w:szCs w:val="20"/>
              </w:rPr>
              <w:t xml:space="preserve">Argument marketing: </w:t>
            </w:r>
            <w:r>
              <w:rPr>
                <w:rFonts w:ascii="Arial" w:cs="Arial" w:eastAsia="Arial" w:hAnsi="Arial"/>
                <w:color w:val="0C447C"/>
                <w:sz w:val="20"/>
                <w:szCs w:val="20"/>
              </w:rPr>
              <w:t xml:space="preserve">FlowShare permet de souscrire en groupe a des presales chers. Notre propre presale utilise FlowShare pour les souscriptions collectives. Le produit se finance lui-meme avec lui-meme.</w:t>
            </w:r>
          </w:p>
        </w:tc>
      </w:tr>
    </w:tbl>
    <w:p>
      <w:r>
        <w:br w:type="page"/>
      </w:r>
    </w:p>
    <w:p>
      <w:pPr>
        <w:pStyle w:val="Heading1"/>
        <w:pBdr>
          <w:bottom w:val="single" w:color="1565A7" w:sz="4" w:space="4"/>
        </w:pBdr>
        <w:spacing w:after="200" w:before="400"/>
      </w:pPr>
      <w:r>
        <w:rPr>
          <w:rFonts w:ascii="Arial" w:cs="Arial" w:eastAsia="Arial" w:hAnsi="Arial"/>
          <w:b/>
          <w:bCs/>
          <w:color w:val="1A1A2E"/>
          <w:sz w:val="32"/>
          <w:szCs w:val="32"/>
        </w:rPr>
        <w:t xml:space="preserve">11. Structure juridique</w:t>
      </w:r>
    </w:p>
    <w:p>
      <w:pPr>
        <w:spacing w:after="80" w:before="80"/>
      </w:pPr>
      <w:r>
        <w:t xml:space="preserve"/>
      </w:r>
    </w:p>
    <w:p>
      <w:pPr>
        <w:pStyle w:val="Heading2"/>
        <w:spacing w:after="150" w:before="300"/>
      </w:pPr>
      <w:r>
        <w:rPr>
          <w:rFonts w:ascii="Arial" w:cs="Arial" w:eastAsia="Arial" w:hAnsi="Arial"/>
          <w:b/>
          <w:bCs/>
          <w:color w:val="1565A7"/>
          <w:sz w:val="26"/>
          <w:szCs w:val="26"/>
        </w:rPr>
        <w:t xml:space="preserve">11.1 Juridiction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3680"/>
        <w:gridCol w:w="3680"/>
      </w:tblGrid>
      <w:tr>
        <w:tc>
          <w:tcPr>
            <w:tcW w:type="dxa" w:w="2000"/>
            <w:tcBorders>
              <w:top w:val="single" w:color="CCCCCC" w:sz="1"/>
              <w:left w:val="single" w:color="CCCCCC" w:sz="1"/>
              <w:bottom w:val="single" w:color="CCCCCC" w:sz="1"/>
              <w:right w:val="single" w:color="CCCCCC" w:sz="1"/>
            </w:tcBorders>
            <w:shd w:fill="1565A7" w:val="clear"/>
            <w:tcMar>
              <w:top w:type="dxa" w:w="80"/>
              <w:left w:type="dxa" w:w="120"/>
              <w:bottom w:type="dxa" w:w="80"/>
              <w:right w:type="dxa" w:w="120"/>
            </w:tcMar>
          </w:tcPr>
          <w:p>
            <w:r>
              <w:rPr>
                <w:rFonts w:ascii="Arial" w:cs="Arial" w:eastAsia="Arial" w:hAnsi="Arial"/>
                <w:b/>
                <w:bCs/>
                <w:color w:val="FFFFFF"/>
                <w:sz w:val="20"/>
                <w:szCs w:val="20"/>
              </w:rPr>
              <w:t xml:space="preserve">Option</w:t>
            </w:r>
          </w:p>
        </w:tc>
        <w:tc>
          <w:tcPr>
            <w:tcW w:type="dxa" w:w="3680"/>
            <w:tcBorders>
              <w:top w:val="single" w:color="CCCCCC" w:sz="1"/>
              <w:left w:val="single" w:color="CCCCCC" w:sz="1"/>
              <w:bottom w:val="single" w:color="CCCCCC" w:sz="1"/>
              <w:right w:val="single" w:color="CCCCCC" w:sz="1"/>
            </w:tcBorders>
            <w:shd w:fill="1565A7" w:val="clear"/>
            <w:tcMar>
              <w:top w:type="dxa" w:w="80"/>
              <w:left w:type="dxa" w:w="120"/>
              <w:bottom w:type="dxa" w:w="80"/>
              <w:right w:type="dxa" w:w="120"/>
            </w:tcMar>
          </w:tcPr>
          <w:p>
            <w:r>
              <w:rPr>
                <w:rFonts w:ascii="Arial" w:cs="Arial" w:eastAsia="Arial" w:hAnsi="Arial"/>
                <w:b/>
                <w:bCs/>
                <w:color w:val="FFFFFF"/>
                <w:sz w:val="20"/>
                <w:szCs w:val="20"/>
              </w:rPr>
              <w:t xml:space="preserve">Avantages</w:t>
            </w:r>
          </w:p>
        </w:tc>
        <w:tc>
          <w:tcPr>
            <w:tcW w:type="dxa" w:w="3680"/>
            <w:tcBorders>
              <w:top w:val="single" w:color="CCCCCC" w:sz="1"/>
              <w:left w:val="single" w:color="CCCCCC" w:sz="1"/>
              <w:bottom w:val="single" w:color="CCCCCC" w:sz="1"/>
              <w:right w:val="single" w:color="CCCCCC" w:sz="1"/>
            </w:tcBorders>
            <w:shd w:fill="1565A7" w:val="clear"/>
            <w:tcMar>
              <w:top w:type="dxa" w:w="80"/>
              <w:left w:type="dxa" w:w="120"/>
              <w:bottom w:type="dxa" w:w="80"/>
              <w:right w:type="dxa" w:w="120"/>
            </w:tcMar>
          </w:tcPr>
          <w:p>
            <w:r>
              <w:rPr>
                <w:rFonts w:ascii="Arial" w:cs="Arial" w:eastAsia="Arial" w:hAnsi="Arial"/>
                <w:b/>
                <w:bCs/>
                <w:color w:val="FFFFFF"/>
                <w:sz w:val="20"/>
                <w:szCs w:val="20"/>
              </w:rPr>
              <w:t xml:space="preserve">Inconvenients</w:t>
            </w:r>
          </w:p>
        </w:tc>
      </w:tr>
      <w:tr>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2E"/>
                <w:sz w:val="20"/>
                <w:szCs w:val="20"/>
              </w:rPr>
              <w:t xml:space="preserve">Suisse — Zoug</w:t>
            </w:r>
          </w:p>
        </w:tc>
        <w:tc>
          <w:tcPr>
            <w:tcW w:type="dxa" w:w="36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2E"/>
                <w:sz w:val="20"/>
                <w:szCs w:val="20"/>
              </w:rPr>
              <w:t xml:space="preserve">Hors UE, FINMA etabli, Crypto Valley, Ethereum Foundation y est</w:t>
            </w:r>
          </w:p>
        </w:tc>
        <w:tc>
          <w:tcPr>
            <w:tcW w:type="dxa" w:w="36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2E"/>
                <w:sz w:val="20"/>
                <w:szCs w:val="20"/>
              </w:rPr>
              <w:t xml:space="preserve">Cout de creation plus eleve</w:t>
            </w:r>
          </w:p>
        </w:tc>
      </w:tr>
      <w:tr>
        <w:tc>
          <w:tcPr>
            <w:tcW w:type="dxa" w:w="20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color w:val="1A1A2E"/>
                <w:sz w:val="20"/>
                <w:szCs w:val="20"/>
              </w:rPr>
              <w:t xml:space="preserve">France — PSAN</w:t>
            </w:r>
          </w:p>
        </w:tc>
        <w:tc>
          <w:tcPr>
            <w:tcW w:type="dxa" w:w="368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color w:val="1A1A2E"/>
                <w:sz w:val="20"/>
                <w:szCs w:val="20"/>
              </w:rPr>
              <w:t xml:space="preserve">Tu es chez toi, cadre MiCA clair, AMF de plus en plus ouverte</w:t>
            </w:r>
          </w:p>
        </w:tc>
        <w:tc>
          <w:tcPr>
            <w:tcW w:type="dxa" w:w="368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color w:val="1A1A2E"/>
                <w:sz w:val="20"/>
                <w:szCs w:val="20"/>
              </w:rPr>
              <w:t xml:space="preserve">Enregistrement AMF obligatoire, plus de contraintes</w:t>
            </w:r>
          </w:p>
        </w:tc>
      </w:tr>
    </w:tbl>
    <w:p>
      <w:pPr>
        <w:spacing w:after="80" w:before="80"/>
      </w:pPr>
      <w:r>
        <w:t xml:space="preserve"/>
      </w:r>
    </w:p>
    <w:p>
      <w:pPr>
        <w:pStyle w:val="Heading2"/>
        <w:spacing w:after="150" w:before="300"/>
      </w:pPr>
      <w:r>
        <w:rPr>
          <w:rFonts w:ascii="Arial" w:cs="Arial" w:eastAsia="Arial" w:hAnsi="Arial"/>
          <w:b/>
          <w:bCs/>
          <w:color w:val="1565A7"/>
          <w:sz w:val="26"/>
          <w:szCs w:val="26"/>
        </w:rPr>
        <w:t xml:space="preserve">11.2 Actions avant le presale</w:t>
      </w:r>
    </w:p>
    <w:p>
      <w:pPr>
        <w:pStyle w:val="ListParagraph"/>
        <w:numPr>
          <w:ilvl w:val="0"/>
          <w:numId w:val="2"/>
        </w:numPr>
        <w:spacing w:after="60" w:before="60"/>
      </w:pPr>
      <w:r>
        <w:rPr>
          <w:rFonts w:ascii="Arial" w:cs="Arial" w:eastAsia="Arial" w:hAnsi="Arial"/>
          <w:color w:val="1A1A2E"/>
          <w:sz w:val="22"/>
          <w:szCs w:val="22"/>
        </w:rPr>
        <w:t xml:space="preserve">Avocat crypto specialise — budget 3 000 a 8 000 EUR</w:t>
      </w:r>
    </w:p>
    <w:p>
      <w:pPr>
        <w:pStyle w:val="ListParagraph"/>
        <w:numPr>
          <w:ilvl w:val="0"/>
          <w:numId w:val="2"/>
        </w:numPr>
        <w:spacing w:after="60" w:before="60"/>
      </w:pPr>
      <w:r>
        <w:rPr>
          <w:rFonts w:ascii="Arial" w:cs="Arial" w:eastAsia="Arial" w:hAnsi="Arial"/>
          <w:color w:val="1A1A2E"/>
          <w:sz w:val="22"/>
          <w:szCs w:val="22"/>
        </w:rPr>
        <w:t xml:space="preserve">Legal opinion letter — confirmation utility token par juridiction choisie</w:t>
      </w:r>
    </w:p>
    <w:p>
      <w:pPr>
        <w:pStyle w:val="ListParagraph"/>
        <w:numPr>
          <w:ilvl w:val="0"/>
          <w:numId w:val="2"/>
        </w:numPr>
        <w:spacing w:after="60" w:before="60"/>
      </w:pPr>
      <w:r>
        <w:rPr>
          <w:rFonts w:ascii="Arial" w:cs="Arial" w:eastAsia="Arial" w:hAnsi="Arial"/>
          <w:color w:val="1A1A2E"/>
          <w:sz w:val="22"/>
          <w:szCs w:val="22"/>
        </w:rPr>
        <w:t xml:space="preserve">KYC basique des investisseurs presale</w:t>
      </w:r>
    </w:p>
    <w:p>
      <w:pPr>
        <w:pStyle w:val="ListParagraph"/>
        <w:numPr>
          <w:ilvl w:val="0"/>
          <w:numId w:val="2"/>
        </w:numPr>
        <w:spacing w:after="60" w:before="60"/>
      </w:pPr>
      <w:r>
        <w:rPr>
          <w:rFonts w:ascii="Arial" w:cs="Arial" w:eastAsia="Arial" w:hAnsi="Arial"/>
          <w:color w:val="1A1A2E"/>
          <w:sz w:val="22"/>
          <w:szCs w:val="22"/>
        </w:rPr>
        <w:t xml:space="preserve">Exclusion explicite des residents US sur tous les supports</w:t>
      </w:r>
    </w:p>
    <w:p>
      <w:pPr>
        <w:pStyle w:val="ListParagraph"/>
        <w:numPr>
          <w:ilvl w:val="0"/>
          <w:numId w:val="2"/>
        </w:numPr>
        <w:spacing w:after="60" w:before="60"/>
      </w:pPr>
      <w:r>
        <w:rPr>
          <w:rFonts w:ascii="Arial" w:cs="Arial" w:eastAsia="Arial" w:hAnsi="Arial"/>
          <w:color w:val="1A1A2E"/>
          <w:sz w:val="22"/>
          <w:szCs w:val="22"/>
        </w:rPr>
        <w:t xml:space="preserve">Disclaimers clairs sur le site, le whitepaper et le deck</w:t>
      </w:r>
    </w:p>
    <w:p>
      <w:pPr>
        <w:pStyle w:val="ListParagraph"/>
        <w:numPr>
          <w:ilvl w:val="0"/>
          <w:numId w:val="2"/>
        </w:numPr>
        <w:spacing w:after="60" w:before="60"/>
      </w:pPr>
      <w:r>
        <w:rPr>
          <w:rFonts w:ascii="Arial" w:cs="Arial" w:eastAsia="Arial" w:hAnsi="Arial"/>
          <w:color w:val="1A1A2E"/>
          <w:sz w:val="22"/>
          <w:szCs w:val="22"/>
        </w:rPr>
        <w:t xml:space="preserve">Audit smart contract publie publiquement avant presale</w:t>
      </w:r>
    </w:p>
    <w:p>
      <w:pPr>
        <w:spacing w:after="80" w:before="80"/>
      </w:pPr>
      <w:r>
        <w:t xml:space="preserve"/>
      </w:r>
    </w:p>
    <w:p>
      <w:pPr>
        <w:pStyle w:val="Heading2"/>
        <w:spacing w:after="150" w:before="300"/>
      </w:pPr>
      <w:r>
        <w:rPr>
          <w:rFonts w:ascii="Arial" w:cs="Arial" w:eastAsia="Arial" w:hAnsi="Arial"/>
          <w:b/>
          <w:bCs/>
          <w:color w:val="1565A7"/>
          <w:sz w:val="26"/>
          <w:szCs w:val="26"/>
        </w:rPr>
        <w:t xml:space="preserve">11.3 Ce qu'on ne dit jamais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none" w:color="FFFFFF" w:sz="0"/>
              <w:left w:val="none" w:color="FFFFFF" w:sz="0"/>
              <w:bottom w:val="none" w:color="FFFFFF" w:sz="0"/>
              <w:right w:val="none" w:color="FFFFFF" w:sz="0"/>
            </w:tcBorders>
            <w:shd w:fill="FCEBEB" w:val="clear"/>
            <w:tcMar>
              <w:top w:type="dxa" w:w="120"/>
              <w:left w:type="dxa" w:w="200"/>
              <w:bottom w:type="dxa" w:w="120"/>
              <w:right w:type="dxa" w:w="200"/>
            </w:tcMar>
          </w:tcPr>
          <w:p>
            <w:r>
              <w:rPr>
                <w:rFonts w:ascii="Arial" w:cs="Arial" w:eastAsia="Arial" w:hAnsi="Arial"/>
                <w:b/>
                <w:bCs/>
                <w:color w:val="A32D2D"/>
                <w:sz w:val="20"/>
                <w:szCs w:val="20"/>
              </w:rPr>
              <w:t xml:space="preserve">Interdit absolument: </w:t>
            </w:r>
            <w:r>
              <w:rPr>
                <w:rFonts w:ascii="Arial" w:cs="Arial" w:eastAsia="Arial" w:hAnsi="Arial"/>
                <w:color w:val="A32D2D"/>
                <w:sz w:val="20"/>
                <w:szCs w:val="20"/>
              </w:rPr>
              <w:t xml:space="preserve">Les phrases suivantes requalifient automatiquement le token en security selon la plupart des juridictions.</w:t>
            </w:r>
          </w:p>
        </w:tc>
      </w:tr>
    </w:tbl>
    <w:p>
      <w:pPr>
        <w:spacing w:after="80" w:before="80"/>
      </w:pPr>
      <w:r>
        <w:t xml:space="preserve"/>
      </w:r>
    </w:p>
    <w:p>
      <w:pPr>
        <w:pStyle w:val="ListParagraph"/>
        <w:numPr>
          <w:ilvl w:val="0"/>
          <w:numId w:val="2"/>
        </w:numPr>
        <w:spacing w:after="60" w:before="60"/>
      </w:pPr>
      <w:r>
        <w:rPr>
          <w:rFonts w:ascii="Arial" w:cs="Arial" w:eastAsia="Arial" w:hAnsi="Arial"/>
          <w:color w:val="1A1A2E"/>
          <w:sz w:val="22"/>
          <w:szCs w:val="22"/>
        </w:rPr>
        <w:t xml:space="preserve">Le token va multiplier par X</w:t>
      </w:r>
    </w:p>
    <w:p>
      <w:pPr>
        <w:pStyle w:val="ListParagraph"/>
        <w:numPr>
          <w:ilvl w:val="0"/>
          <w:numId w:val="2"/>
        </w:numPr>
        <w:spacing w:after="60" w:before="60"/>
      </w:pPr>
      <w:r>
        <w:rPr>
          <w:rFonts w:ascii="Arial" w:cs="Arial" w:eastAsia="Arial" w:hAnsi="Arial"/>
          <w:color w:val="1A1A2E"/>
          <w:sz w:val="22"/>
          <w:szCs w:val="22"/>
        </w:rPr>
        <w:t xml:space="preserve">C'est un investissement</w:t>
      </w:r>
    </w:p>
    <w:p>
      <w:pPr>
        <w:pStyle w:val="ListParagraph"/>
        <w:numPr>
          <w:ilvl w:val="0"/>
          <w:numId w:val="2"/>
        </w:numPr>
        <w:spacing w:after="60" w:before="60"/>
      </w:pPr>
      <w:r>
        <w:rPr>
          <w:rFonts w:ascii="Arial" w:cs="Arial" w:eastAsia="Arial" w:hAnsi="Arial"/>
          <w:color w:val="1A1A2E"/>
          <w:sz w:val="22"/>
          <w:szCs w:val="22"/>
        </w:rPr>
        <w:t xml:space="preserve">Vous allez gagner de l'argent</w:t>
      </w:r>
    </w:p>
    <w:p>
      <w:pPr>
        <w:pStyle w:val="ListParagraph"/>
        <w:numPr>
          <w:ilvl w:val="0"/>
          <w:numId w:val="2"/>
        </w:numPr>
        <w:spacing w:after="60" w:before="60"/>
      </w:pPr>
      <w:r>
        <w:rPr>
          <w:rFonts w:ascii="Arial" w:cs="Arial" w:eastAsia="Arial" w:hAnsi="Arial"/>
          <w:color w:val="1A1A2E"/>
          <w:sz w:val="22"/>
          <w:szCs w:val="22"/>
        </w:rPr>
        <w:t xml:space="preserve">La valeur va monter</w:t>
      </w:r>
    </w:p>
    <w:p>
      <w:pPr>
        <w:pStyle w:val="ListParagraph"/>
        <w:numPr>
          <w:ilvl w:val="0"/>
          <w:numId w:val="2"/>
        </w:numPr>
        <w:spacing w:after="60" w:before="60"/>
      </w:pPr>
      <w:r>
        <w:rPr>
          <w:rFonts w:ascii="Arial" w:cs="Arial" w:eastAsia="Arial" w:hAnsi="Arial"/>
          <w:color w:val="1A1A2E"/>
          <w:sz w:val="22"/>
          <w:szCs w:val="22"/>
        </w:rPr>
        <w:t xml:space="preserve">Rendement garanti ou estime</w:t>
      </w:r>
    </w:p>
    <w:p>
      <w:r>
        <w:br w:type="page"/>
      </w:r>
    </w:p>
    <w:p>
      <w:pPr>
        <w:pStyle w:val="Heading1"/>
        <w:pBdr>
          <w:bottom w:val="single" w:color="1565A7" w:sz="4" w:space="4"/>
        </w:pBdr>
        <w:spacing w:after="200" w:before="400"/>
      </w:pPr>
      <w:r>
        <w:rPr>
          <w:rFonts w:ascii="Arial" w:cs="Arial" w:eastAsia="Arial" w:hAnsi="Arial"/>
          <w:b/>
          <w:bCs/>
          <w:color w:val="1A1A2E"/>
          <w:sz w:val="32"/>
          <w:szCs w:val="32"/>
        </w:rPr>
        <w:t xml:space="preserve">12. Roadmap</w:t>
      </w:r>
    </w:p>
    <w:p>
      <w:pPr>
        <w:spacing w:after="80" w:before="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1800"/>
        <w:gridCol w:w="4760"/>
      </w:tblGrid>
      <w:tr>
        <w:tc>
          <w:tcPr>
            <w:tcW w:type="dxa" w:w="2800"/>
            <w:tcBorders>
              <w:top w:val="single" w:color="CCCCCC" w:sz="1"/>
              <w:left w:val="single" w:color="CCCCCC" w:sz="1"/>
              <w:bottom w:val="single" w:color="CCCCCC" w:sz="1"/>
              <w:right w:val="single" w:color="CCCCCC" w:sz="1"/>
            </w:tcBorders>
            <w:shd w:fill="1565A7" w:val="clear"/>
            <w:tcMar>
              <w:top w:type="dxa" w:w="80"/>
              <w:left w:type="dxa" w:w="120"/>
              <w:bottom w:type="dxa" w:w="80"/>
              <w:right w:type="dxa" w:w="120"/>
            </w:tcMar>
          </w:tcPr>
          <w:p>
            <w:r>
              <w:rPr>
                <w:rFonts w:ascii="Arial" w:cs="Arial" w:eastAsia="Arial" w:hAnsi="Arial"/>
                <w:b/>
                <w:bCs/>
                <w:color w:val="FFFFFF"/>
                <w:sz w:val="20"/>
                <w:szCs w:val="20"/>
              </w:rPr>
              <w:t xml:space="preserve">Phase</w:t>
            </w:r>
          </w:p>
        </w:tc>
        <w:tc>
          <w:tcPr>
            <w:tcW w:type="dxa" w:w="1800"/>
            <w:tcBorders>
              <w:top w:val="single" w:color="CCCCCC" w:sz="1"/>
              <w:left w:val="single" w:color="CCCCCC" w:sz="1"/>
              <w:bottom w:val="single" w:color="CCCCCC" w:sz="1"/>
              <w:right w:val="single" w:color="CCCCCC" w:sz="1"/>
            </w:tcBorders>
            <w:shd w:fill="1565A7" w:val="clear"/>
            <w:tcMar>
              <w:top w:type="dxa" w:w="80"/>
              <w:left w:type="dxa" w:w="120"/>
              <w:bottom w:type="dxa" w:w="80"/>
              <w:right w:type="dxa" w:w="120"/>
            </w:tcMar>
          </w:tcPr>
          <w:p>
            <w:r>
              <w:rPr>
                <w:rFonts w:ascii="Arial" w:cs="Arial" w:eastAsia="Arial" w:hAnsi="Arial"/>
                <w:b/>
                <w:bCs/>
                <w:color w:val="FFFFFF"/>
                <w:sz w:val="20"/>
                <w:szCs w:val="20"/>
              </w:rPr>
              <w:t xml:space="preserve">Periode</w:t>
            </w:r>
          </w:p>
        </w:tc>
        <w:tc>
          <w:tcPr>
            <w:tcW w:type="dxa" w:w="4760"/>
            <w:tcBorders>
              <w:top w:val="single" w:color="CCCCCC" w:sz="1"/>
              <w:left w:val="single" w:color="CCCCCC" w:sz="1"/>
              <w:bottom w:val="single" w:color="CCCCCC" w:sz="1"/>
              <w:right w:val="single" w:color="CCCCCC" w:sz="1"/>
            </w:tcBorders>
            <w:shd w:fill="1565A7" w:val="clear"/>
            <w:tcMar>
              <w:top w:type="dxa" w:w="80"/>
              <w:left w:type="dxa" w:w="120"/>
              <w:bottom w:type="dxa" w:w="80"/>
              <w:right w:type="dxa" w:w="120"/>
            </w:tcMar>
          </w:tcPr>
          <w:p>
            <w:r>
              <w:rPr>
                <w:rFonts w:ascii="Arial" w:cs="Arial" w:eastAsia="Arial" w:hAnsi="Arial"/>
                <w:b/>
                <w:bCs/>
                <w:color w:val="FFFFFF"/>
                <w:sz w:val="20"/>
                <w:szCs w:val="20"/>
              </w:rPr>
              <w:t xml:space="preserve">Livrables</w:t>
            </w:r>
          </w:p>
        </w:tc>
      </w:tr>
      <w:tr>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2E"/>
                <w:sz w:val="20"/>
                <w:szCs w:val="20"/>
              </w:rPr>
              <w:t xml:space="preserve">Phase 0 — Maintenant</w:t>
            </w:r>
          </w:p>
        </w:tc>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2E"/>
                <w:sz w:val="20"/>
                <w:szCs w:val="20"/>
              </w:rPr>
              <w:t xml:space="preserve">Semaine 1</w:t>
            </w:r>
          </w:p>
        </w:tc>
        <w:tc>
          <w:tcPr>
            <w:tcW w:type="dxa" w:w="47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2E"/>
                <w:sz w:val="20"/>
                <w:szCs w:val="20"/>
              </w:rPr>
              <w:t xml:space="preserve">Specs finalisees — nom definitif — branding — landing page</w:t>
            </w:r>
          </w:p>
        </w:tc>
      </w:tr>
      <w:tr>
        <w:tc>
          <w:tcPr>
            <w:tcW w:type="dxa" w:w="28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color w:val="1A1A2E"/>
                <w:sz w:val="20"/>
                <w:szCs w:val="20"/>
              </w:rPr>
              <w:t xml:space="preserve">Phase 1 — Dev</w:t>
            </w:r>
          </w:p>
        </w:tc>
        <w:tc>
          <w:tcPr>
            <w:tcW w:type="dxa" w:w="18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color w:val="1A1A2E"/>
                <w:sz w:val="20"/>
                <w:szCs w:val="20"/>
              </w:rPr>
              <w:t xml:space="preserve">Semaines 1-2</w:t>
            </w:r>
          </w:p>
        </w:tc>
        <w:tc>
          <w:tcPr>
            <w:tcW w:type="dxa" w:w="476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color w:val="1A1A2E"/>
                <w:sz w:val="20"/>
                <w:szCs w:val="20"/>
              </w:rPr>
              <w:t xml:space="preserve">Deploiement contrat sur BNB Testnet — tests unitaires complets</w:t>
            </w:r>
          </w:p>
        </w:tc>
      </w:tr>
      <w:tr>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2E"/>
                <w:sz w:val="20"/>
                <w:szCs w:val="20"/>
              </w:rPr>
              <w:t xml:space="preserve">Phase 2 — Interface</w:t>
            </w:r>
          </w:p>
        </w:tc>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2E"/>
                <w:sz w:val="20"/>
                <w:szCs w:val="20"/>
              </w:rPr>
              <w:t xml:space="preserve">Semaines 3-4</w:t>
            </w:r>
          </w:p>
        </w:tc>
        <w:tc>
          <w:tcPr>
            <w:tcW w:type="dxa" w:w="47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2E"/>
                <w:sz w:val="20"/>
                <w:szCs w:val="20"/>
              </w:rPr>
              <w:t xml:space="preserve">Frontend Next.js — 8 ecrans — integration RainbowKit</w:t>
            </w:r>
          </w:p>
        </w:tc>
      </w:tr>
      <w:tr>
        <w:tc>
          <w:tcPr>
            <w:tcW w:type="dxa" w:w="28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color w:val="1A1A2E"/>
                <w:sz w:val="20"/>
                <w:szCs w:val="20"/>
              </w:rPr>
              <w:t xml:space="preserve">Phase 3 — Demo</w:t>
            </w:r>
          </w:p>
        </w:tc>
        <w:tc>
          <w:tcPr>
            <w:tcW w:type="dxa" w:w="18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color w:val="1A1A2E"/>
                <w:sz w:val="20"/>
                <w:szCs w:val="20"/>
              </w:rPr>
              <w:t xml:space="preserve">Semaine 5</w:t>
            </w:r>
          </w:p>
        </w:tc>
        <w:tc>
          <w:tcPr>
            <w:tcW w:type="dxa" w:w="476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color w:val="1A1A2E"/>
                <w:sz w:val="20"/>
                <w:szCs w:val="20"/>
              </w:rPr>
              <w:t xml:space="preserve">Demo fonctionnelle complete — corrections bugs</w:t>
            </w:r>
          </w:p>
        </w:tc>
      </w:tr>
      <w:tr>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2E"/>
                <w:sz w:val="20"/>
                <w:szCs w:val="20"/>
              </w:rPr>
              <w:t xml:space="preserve">Phase 4 — Legal</w:t>
            </w:r>
          </w:p>
        </w:tc>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2E"/>
                <w:sz w:val="20"/>
                <w:szCs w:val="20"/>
              </w:rPr>
              <w:t xml:space="preserve">Semaine 6</w:t>
            </w:r>
          </w:p>
        </w:tc>
        <w:tc>
          <w:tcPr>
            <w:tcW w:type="dxa" w:w="47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2E"/>
                <w:sz w:val="20"/>
                <w:szCs w:val="20"/>
              </w:rPr>
              <w:t xml:space="preserve">Whitepaper — deck investisseur — avocat crypto</w:t>
            </w:r>
          </w:p>
        </w:tc>
      </w:tr>
      <w:tr>
        <w:tc>
          <w:tcPr>
            <w:tcW w:type="dxa" w:w="28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color w:val="1A1A2E"/>
                <w:sz w:val="20"/>
                <w:szCs w:val="20"/>
              </w:rPr>
              <w:t xml:space="preserve">Phase 5 — Audit</w:t>
            </w:r>
          </w:p>
        </w:tc>
        <w:tc>
          <w:tcPr>
            <w:tcW w:type="dxa" w:w="18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color w:val="1A1A2E"/>
                <w:sz w:val="20"/>
                <w:szCs w:val="20"/>
              </w:rPr>
              <w:t xml:space="preserve">Mois 2-3</w:t>
            </w:r>
          </w:p>
        </w:tc>
        <w:tc>
          <w:tcPr>
            <w:tcW w:type="dxa" w:w="476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color w:val="1A1A2E"/>
                <w:sz w:val="20"/>
                <w:szCs w:val="20"/>
              </w:rPr>
              <w:t xml:space="preserve">Audit securite BNB Chain — corrections — publication rapport</w:t>
            </w:r>
          </w:p>
        </w:tc>
      </w:tr>
      <w:tr>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2E"/>
                <w:sz w:val="20"/>
                <w:szCs w:val="20"/>
              </w:rPr>
              <w:t xml:space="preserve">Phase 6 — Presale</w:t>
            </w:r>
          </w:p>
        </w:tc>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2E"/>
                <w:sz w:val="20"/>
                <w:szCs w:val="20"/>
              </w:rPr>
              <w:t xml:space="preserve">Mois 3</w:t>
            </w:r>
          </w:p>
        </w:tc>
        <w:tc>
          <w:tcPr>
            <w:tcW w:type="dxa" w:w="47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2E"/>
                <w:sz w:val="20"/>
                <w:szCs w:val="20"/>
              </w:rPr>
              <w:t xml:space="preserve">Presale Round 1 avec demo live — seed prive 50 000 USDT</w:t>
            </w:r>
          </w:p>
        </w:tc>
      </w:tr>
      <w:tr>
        <w:tc>
          <w:tcPr>
            <w:tcW w:type="dxa" w:w="28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color w:val="1A1A2E"/>
                <w:sz w:val="20"/>
                <w:szCs w:val="20"/>
              </w:rPr>
              <w:t xml:space="preserve">Phase 7 — Beta</w:t>
            </w:r>
          </w:p>
        </w:tc>
        <w:tc>
          <w:tcPr>
            <w:tcW w:type="dxa" w:w="18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color w:val="1A1A2E"/>
                <w:sz w:val="20"/>
                <w:szCs w:val="20"/>
              </w:rPr>
              <w:t xml:space="preserve">Mois 4-5</w:t>
            </w:r>
          </w:p>
        </w:tc>
        <w:tc>
          <w:tcPr>
            <w:tcW w:type="dxa" w:w="476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color w:val="1A1A2E"/>
                <w:sz w:val="20"/>
                <w:szCs w:val="20"/>
              </w:rPr>
              <w:t xml:space="preserve">Beta privee — feedback — corrections — Presale Round 2</w:t>
            </w:r>
          </w:p>
        </w:tc>
      </w:tr>
      <w:tr>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2E"/>
                <w:sz w:val="20"/>
                <w:szCs w:val="20"/>
              </w:rPr>
              <w:t xml:space="preserve">Phase 8 — Mainnet</w:t>
            </w:r>
          </w:p>
        </w:tc>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2E"/>
                <w:sz w:val="20"/>
                <w:szCs w:val="20"/>
              </w:rPr>
              <w:t xml:space="preserve">Mois 6</w:t>
            </w:r>
          </w:p>
        </w:tc>
        <w:tc>
          <w:tcPr>
            <w:tcW w:type="dxa" w:w="47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2E"/>
                <w:sz w:val="20"/>
                <w:szCs w:val="20"/>
              </w:rPr>
              <w:t xml:space="preserve">Deploiement BNB Mainnet — lancement public</w:t>
            </w:r>
          </w:p>
        </w:tc>
      </w:tr>
      <w:tr>
        <w:tc>
          <w:tcPr>
            <w:tcW w:type="dxa" w:w="28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color w:val="1A1A2E"/>
                <w:sz w:val="20"/>
                <w:szCs w:val="20"/>
              </w:rPr>
              <w:t xml:space="preserve">V2</w:t>
            </w:r>
          </w:p>
        </w:tc>
        <w:tc>
          <w:tcPr>
            <w:tcW w:type="dxa" w:w="18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color w:val="1A1A2E"/>
                <w:sz w:val="20"/>
                <w:szCs w:val="20"/>
              </w:rPr>
              <w:t xml:space="preserve">Mois 9-12</w:t>
            </w:r>
          </w:p>
        </w:tc>
        <w:tc>
          <w:tcPr>
            <w:tcW w:type="dxa" w:w="476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color w:val="1A1A2E"/>
                <w:sz w:val="20"/>
                <w:szCs w:val="20"/>
              </w:rPr>
              <w:t xml:space="preserve">Cancel/pause — distribution USDT interne — freemium</w:t>
            </w:r>
          </w:p>
        </w:tc>
      </w:tr>
      <w:tr>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2E"/>
                <w:sz w:val="20"/>
                <w:szCs w:val="20"/>
              </w:rPr>
              <w:t xml:space="preserve">V3</w:t>
            </w:r>
          </w:p>
        </w:tc>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2E"/>
                <w:sz w:val="20"/>
                <w:szCs w:val="20"/>
              </w:rPr>
              <w:t xml:space="preserve">Annee 2</w:t>
            </w:r>
          </w:p>
        </w:tc>
        <w:tc>
          <w:tcPr>
            <w:tcW w:type="dxa" w:w="47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2E"/>
                <w:sz w:val="20"/>
                <w:szCs w:val="20"/>
              </w:rPr>
              <w:t xml:space="preserve">Token $FLOW — API B2B — multichain EVM optionnel</w:t>
            </w:r>
          </w:p>
        </w:tc>
      </w:tr>
    </w:tbl>
    <w:p>
      <w:r>
        <w:br w:type="page"/>
      </w:r>
    </w:p>
    <w:p>
      <w:pPr>
        <w:pStyle w:val="Heading1"/>
        <w:pBdr>
          <w:bottom w:val="single" w:color="1565A7" w:sz="4" w:space="4"/>
        </w:pBdr>
        <w:spacing w:after="200" w:before="400"/>
      </w:pPr>
      <w:r>
        <w:rPr>
          <w:rFonts w:ascii="Arial" w:cs="Arial" w:eastAsia="Arial" w:hAnsi="Arial"/>
          <w:b/>
          <w:bCs/>
          <w:color w:val="1A1A2E"/>
          <w:sz w:val="32"/>
          <w:szCs w:val="32"/>
        </w:rPr>
        <w:t xml:space="preserve">13. Glossaire</w:t>
      </w:r>
    </w:p>
    <w:p>
      <w:pPr>
        <w:spacing w:after="80" w:before="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6560"/>
      </w:tblGrid>
      <w:tr>
        <w:tc>
          <w:tcPr>
            <w:tcW w:type="dxa" w:w="2800"/>
            <w:tcBorders>
              <w:top w:val="single" w:color="CCCCCC" w:sz="1"/>
              <w:left w:val="single" w:color="CCCCCC" w:sz="1"/>
              <w:bottom w:val="single" w:color="CCCCCC" w:sz="1"/>
              <w:right w:val="single" w:color="CCCCCC" w:sz="1"/>
            </w:tcBorders>
            <w:shd w:fill="1565A7" w:val="clear"/>
            <w:tcMar>
              <w:top w:type="dxa" w:w="80"/>
              <w:left w:type="dxa" w:w="120"/>
              <w:bottom w:type="dxa" w:w="80"/>
              <w:right w:type="dxa" w:w="120"/>
            </w:tcMar>
          </w:tcPr>
          <w:p>
            <w:r>
              <w:rPr>
                <w:rFonts w:ascii="Arial" w:cs="Arial" w:eastAsia="Arial" w:hAnsi="Arial"/>
                <w:b/>
                <w:bCs/>
                <w:color w:val="FFFFFF"/>
                <w:sz w:val="20"/>
                <w:szCs w:val="20"/>
              </w:rPr>
              <w:t xml:space="preserve">Terme</w:t>
            </w:r>
          </w:p>
        </w:tc>
        <w:tc>
          <w:tcPr>
            <w:tcW w:type="dxa" w:w="6560"/>
            <w:tcBorders>
              <w:top w:val="single" w:color="CCCCCC" w:sz="1"/>
              <w:left w:val="single" w:color="CCCCCC" w:sz="1"/>
              <w:bottom w:val="single" w:color="CCCCCC" w:sz="1"/>
              <w:right w:val="single" w:color="CCCCCC" w:sz="1"/>
            </w:tcBorders>
            <w:shd w:fill="1565A7" w:val="clear"/>
            <w:tcMar>
              <w:top w:type="dxa" w:w="80"/>
              <w:left w:type="dxa" w:w="120"/>
              <w:bottom w:type="dxa" w:w="80"/>
              <w:right w:type="dxa" w:w="120"/>
            </w:tcMar>
          </w:tcPr>
          <w:p>
            <w:r>
              <w:rPr>
                <w:rFonts w:ascii="Arial" w:cs="Arial" w:eastAsia="Arial" w:hAnsi="Arial"/>
                <w:b/>
                <w:bCs/>
                <w:color w:val="FFFFFF"/>
                <w:sz w:val="20"/>
                <w:szCs w:val="20"/>
              </w:rPr>
              <w:t xml:space="preserve">Definition</w:t>
            </w:r>
          </w:p>
        </w:tc>
      </w:tr>
      <w:tr>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2E"/>
                <w:sz w:val="20"/>
                <w:szCs w:val="20"/>
              </w:rPr>
              <w:t xml:space="preserve">Pool</w:t>
            </w:r>
          </w:p>
        </w:tc>
        <w:tc>
          <w:tcPr>
            <w:tcW w:type="dxa" w:w="6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2E"/>
                <w:sz w:val="20"/>
                <w:szCs w:val="20"/>
              </w:rPr>
              <w:t xml:space="preserve">Accord collectif onchain entre plusieurs wallets pour collecter et envoyer des USDT</w:t>
            </w:r>
          </w:p>
        </w:tc>
      </w:tr>
      <w:tr>
        <w:tc>
          <w:tcPr>
            <w:tcW w:type="dxa" w:w="28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color w:val="1A1A2E"/>
                <w:sz w:val="20"/>
                <w:szCs w:val="20"/>
              </w:rPr>
              <w:t xml:space="preserve">Agreement</w:t>
            </w:r>
          </w:p>
        </w:tc>
        <w:tc>
          <w:tcPr>
            <w:tcW w:type="dxa" w:w="656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color w:val="1A1A2E"/>
                <w:sz w:val="20"/>
                <w:szCs w:val="20"/>
              </w:rPr>
              <w:t xml:space="preserve">Structure de donnees Solidity representant une pool dans le contrat</w:t>
            </w:r>
          </w:p>
        </w:tc>
      </w:tr>
      <w:tr>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2E"/>
                <w:sz w:val="20"/>
                <w:szCs w:val="20"/>
              </w:rPr>
              <w:t xml:space="preserve">Threshold</w:t>
            </w:r>
          </w:p>
        </w:tc>
        <w:tc>
          <w:tcPr>
            <w:tcW w:type="dxa" w:w="6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2E"/>
                <w:sz w:val="20"/>
                <w:szCs w:val="20"/>
              </w:rPr>
              <w:t xml:space="preserve">Nombre minimum de validations requises pour declencher l'envoi ou la redistribution</w:t>
            </w:r>
          </w:p>
        </w:tc>
      </w:tr>
      <w:tr>
        <w:tc>
          <w:tcPr>
            <w:tcW w:type="dxa" w:w="28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color w:val="1A1A2E"/>
                <w:sz w:val="20"/>
                <w:szCs w:val="20"/>
              </w:rPr>
              <w:t xml:space="preserve">Deadline</w:t>
            </w:r>
          </w:p>
        </w:tc>
        <w:tc>
          <w:tcPr>
            <w:tcW w:type="dxa" w:w="656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color w:val="1A1A2E"/>
                <w:sz w:val="20"/>
                <w:szCs w:val="20"/>
              </w:rPr>
              <w:t xml:space="preserve">Date limite de collecte — apres laquelle remboursement automatique si pas d'envoi</w:t>
            </w:r>
          </w:p>
        </w:tc>
      </w:tr>
      <w:tr>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2E"/>
                <w:sz w:val="20"/>
                <w:szCs w:val="20"/>
              </w:rPr>
              <w:t xml:space="preserve">Destination</w:t>
            </w:r>
          </w:p>
        </w:tc>
        <w:tc>
          <w:tcPr>
            <w:tcW w:type="dxa" w:w="6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2E"/>
                <w:sz w:val="20"/>
                <w:szCs w:val="20"/>
              </w:rPr>
              <w:t xml:space="preserve">Adresse wallet externe qui recevra les fonds USDT collectes</w:t>
            </w:r>
          </w:p>
        </w:tc>
      </w:tr>
      <w:tr>
        <w:tc>
          <w:tcPr>
            <w:tcW w:type="dxa" w:w="28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color w:val="1A1A2E"/>
                <w:sz w:val="20"/>
                <w:szCs w:val="20"/>
              </w:rPr>
              <w:t xml:space="preserve">Phase 1</w:t>
            </w:r>
          </w:p>
        </w:tc>
        <w:tc>
          <w:tcPr>
            <w:tcW w:type="dxa" w:w="656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color w:val="1A1A2E"/>
                <w:sz w:val="20"/>
                <w:szCs w:val="20"/>
              </w:rPr>
              <w:t xml:space="preserve">Collecte USDT + validation + envoi vers destination externe</w:t>
            </w:r>
          </w:p>
        </w:tc>
      </w:tr>
      <w:tr>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2E"/>
                <w:sz w:val="20"/>
                <w:szCs w:val="20"/>
              </w:rPr>
              <w:t xml:space="preserve">Phase 2</w:t>
            </w:r>
          </w:p>
        </w:tc>
        <w:tc>
          <w:tcPr>
            <w:tcW w:type="dxa" w:w="6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2E"/>
                <w:sz w:val="20"/>
                <w:szCs w:val="20"/>
              </w:rPr>
              <w:t xml:space="preserve">Reception tokens BEP-20 du presale + validation + redistribution aux membres</w:t>
            </w:r>
          </w:p>
        </w:tc>
      </w:tr>
      <w:tr>
        <w:tc>
          <w:tcPr>
            <w:tcW w:type="dxa" w:w="28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color w:val="1A1A2E"/>
                <w:sz w:val="20"/>
                <w:szCs w:val="20"/>
              </w:rPr>
              <w:t xml:space="preserve">BEP-20</w:t>
            </w:r>
          </w:p>
        </w:tc>
        <w:tc>
          <w:tcPr>
            <w:tcW w:type="dxa" w:w="656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color w:val="1A1A2E"/>
                <w:sz w:val="20"/>
                <w:szCs w:val="20"/>
              </w:rPr>
              <w:t xml:space="preserve">Standard de token sur BNB Chain — techniquement identique a ERC-20 Ethereum</w:t>
            </w:r>
          </w:p>
        </w:tc>
      </w:tr>
      <w:tr>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2E"/>
                <w:sz w:val="20"/>
                <w:szCs w:val="20"/>
              </w:rPr>
              <w:t xml:space="preserve">USDT</w:t>
            </w:r>
          </w:p>
        </w:tc>
        <w:tc>
          <w:tcPr>
            <w:tcW w:type="dxa" w:w="6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2E"/>
                <w:sz w:val="20"/>
                <w:szCs w:val="20"/>
              </w:rPr>
              <w:t xml:space="preserve">Tether — stablecoin indexe sur le dollar — token principal de FlowShare sur BSC</w:t>
            </w:r>
          </w:p>
        </w:tc>
      </w:tr>
      <w:tr>
        <w:tc>
          <w:tcPr>
            <w:tcW w:type="dxa" w:w="28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color w:val="1A1A2E"/>
                <w:sz w:val="20"/>
                <w:szCs w:val="20"/>
              </w:rPr>
              <w:t xml:space="preserve">BSC / BNB Chain</w:t>
            </w:r>
          </w:p>
        </w:tc>
        <w:tc>
          <w:tcPr>
            <w:tcW w:type="dxa" w:w="656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color w:val="1A1A2E"/>
                <w:sz w:val="20"/>
                <w:szCs w:val="20"/>
              </w:rPr>
              <w:t xml:space="preserve">Blockchain de Binance — fees micro, ecosysteme presale tres actif</w:t>
            </w:r>
          </w:p>
        </w:tc>
      </w:tr>
      <w:tr>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2E"/>
                <w:sz w:val="20"/>
                <w:szCs w:val="20"/>
              </w:rPr>
              <w:t xml:space="preserve">Basis Points</w:t>
            </w:r>
          </w:p>
        </w:tc>
        <w:tc>
          <w:tcPr>
            <w:tcW w:type="dxa" w:w="6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2E"/>
                <w:sz w:val="20"/>
                <w:szCs w:val="20"/>
              </w:rPr>
              <w:t xml:space="preserve">Unite de mesure : 100 bps = 1% — utilise pour la commission</w:t>
            </w:r>
          </w:p>
        </w:tc>
      </w:tr>
      <w:tr>
        <w:tc>
          <w:tcPr>
            <w:tcW w:type="dxa" w:w="28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color w:val="1A1A2E"/>
                <w:sz w:val="20"/>
                <w:szCs w:val="20"/>
              </w:rPr>
              <w:t xml:space="preserve">ReentrancyGuard</w:t>
            </w:r>
          </w:p>
        </w:tc>
        <w:tc>
          <w:tcPr>
            <w:tcW w:type="dxa" w:w="656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color w:val="1A1A2E"/>
                <w:sz w:val="20"/>
                <w:szCs w:val="20"/>
              </w:rPr>
              <w:t xml:space="preserve">Protection OpenZeppelin contre les attaques de reentrance</w:t>
            </w:r>
          </w:p>
        </w:tc>
      </w:tr>
      <w:tr>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2E"/>
                <w:sz w:val="20"/>
                <w:szCs w:val="20"/>
              </w:rPr>
              <w:t xml:space="preserve">BscScan</w:t>
            </w:r>
          </w:p>
        </w:tc>
        <w:tc>
          <w:tcPr>
            <w:tcW w:type="dxa" w:w="6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2E"/>
                <w:sz w:val="20"/>
                <w:szCs w:val="20"/>
              </w:rPr>
              <w:t xml:space="preserve">Explorateur de blocs BNB Chain — verification publique des transactions</w:t>
            </w:r>
          </w:p>
        </w:tc>
      </w:tr>
      <w:tr>
        <w:tc>
          <w:tcPr>
            <w:tcW w:type="dxa" w:w="28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color w:val="1A1A2E"/>
                <w:sz w:val="20"/>
                <w:szCs w:val="20"/>
              </w:rPr>
              <w:t xml:space="preserve">PinkSale / DxSale</w:t>
            </w:r>
          </w:p>
        </w:tc>
        <w:tc>
          <w:tcPr>
            <w:tcW w:type="dxa" w:w="656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color w:val="1A1A2E"/>
                <w:sz w:val="20"/>
                <w:szCs w:val="20"/>
              </w:rPr>
              <w:t xml:space="preserve">Plateformes de presale natives BNB Chain — destinations frequentes des pools</w:t>
            </w:r>
          </w:p>
        </w:tc>
      </w:tr>
      <w:tr>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2E"/>
                <w:sz w:val="20"/>
                <w:szCs w:val="20"/>
              </w:rPr>
              <w:t xml:space="preserve">ICO differee</w:t>
            </w:r>
          </w:p>
        </w:tc>
        <w:tc>
          <w:tcPr>
            <w:tcW w:type="dxa" w:w="6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2E"/>
                <w:sz w:val="20"/>
                <w:szCs w:val="20"/>
              </w:rPr>
              <w:t xml:space="preserve">Presale ou les tokens sont distribues semaines ou mois apres la souscription</w:t>
            </w:r>
          </w:p>
        </w:tc>
      </w:tr>
      <w:tr>
        <w:tc>
          <w:tcPr>
            <w:tcW w:type="dxa" w:w="28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color w:val="1A1A2E"/>
                <w:sz w:val="20"/>
                <w:szCs w:val="20"/>
              </w:rPr>
              <w:t xml:space="preserve">ENS</w:t>
            </w:r>
          </w:p>
        </w:tc>
        <w:tc>
          <w:tcPr>
            <w:tcW w:type="dxa" w:w="656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color w:val="1A1A2E"/>
                <w:sz w:val="20"/>
                <w:szCs w:val="20"/>
              </w:rPr>
              <w:t xml:space="preserve">Ethereum Name Service — nom lisible pour un wallet — ex: alice.eth</w:t>
            </w:r>
          </w:p>
        </w:tc>
      </w:tr>
      <w:tr>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2E"/>
                <w:sz w:val="20"/>
                <w:szCs w:val="20"/>
              </w:rPr>
              <w:t xml:space="preserve">IPFS</w:t>
            </w:r>
          </w:p>
        </w:tc>
        <w:tc>
          <w:tcPr>
            <w:tcW w:type="dxa" w:w="6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2E"/>
                <w:sz w:val="20"/>
                <w:szCs w:val="20"/>
              </w:rPr>
              <w:t xml:space="preserve">Systeme de stockage decentralise — utilise pour les metadonnees des pools</w:t>
            </w:r>
          </w:p>
        </w:tc>
      </w:tr>
    </w:tbl>
    <w:p>
      <w:pPr>
        <w:spacing w:after="80" w:before="80"/>
      </w:pPr>
      <w:r>
        <w:t xml:space="preserve"/>
      </w:r>
    </w:p>
    <w:p>
      <w:pPr>
        <w:spacing w:before="400"/>
        <w:jc w:val="center"/>
      </w:pPr>
      <w:r>
        <w:rPr>
          <w:rFonts w:ascii="Arial" w:cs="Arial" w:eastAsia="Arial" w:hAnsi="Arial"/>
          <w:i/>
          <w:iCs/>
          <w:color w:val="888888"/>
          <w:sz w:val="20"/>
          <w:szCs w:val="20"/>
        </w:rPr>
        <w:t xml:space="preserve">— Fin du document —</w:t>
      </w:r>
    </w:p>
    <w:sectPr>
      <w:pgSz w:w="11906" w:h="16838"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abstractNum w:abstractNumId="3" w15:restartNumberingAfterBreak="0">
    <w:multiLevelType w:val="hybridMultilevel"/>
    <w:lvl w:ilvl="0" w15:tentative="1">
      <w:start w:val="1"/>
      <w:numFmt w:val="decimal"/>
      <w:lvlText w:val="%1."/>
      <w:lvlJc w:val="left"/>
      <w:pPr>
        <w:ind w:left="720" w:hanging="360"/>
      </w:pPr>
    </w:lvl>
  </w:abstractNum>
  <w:num w:numId="1">
    <w:abstractNumId w:val="1"/>
    <w:lvlOverride w:ilvl="0">
      <w:startOverride w:val="1"/>
    </w:lvlOverride>
  </w:num>
  <w:num w:numId="2">
    <w:abstractNumId w:val="2"/>
    <w:lvlOverride w:ilvl="0">
      <w:startOverride w:val="1"/>
    </w:lvlOverride>
  </w:num>
  <w:num w:numId="3">
    <w:abstractNumId w:val="3"/>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pPr>
      <w:spacing w:after="200" w:before="400"/>
      <w:outlineLvl w:val="0"/>
    </w:pPr>
    <w:rPr>
      <w:rFonts w:ascii="Arial" w:cs="Arial" w:eastAsia="Arial" w:hAnsi="Arial"/>
      <w:b/>
      <w:bCs/>
      <w:color w:val="1A1A2E"/>
      <w:sz w:val="32"/>
      <w:szCs w:val="32"/>
    </w:rPr>
  </w:style>
  <w:style w:type="paragraph" w:styleId="Heading2">
    <w:name w:val="Heading 2"/>
    <w:basedOn w:val="Normal"/>
    <w:next w:val="Normal"/>
    <w:pPr>
      <w:spacing w:after="150" w:before="300"/>
      <w:outlineLvl w:val="1"/>
    </w:pPr>
    <w:rPr>
      <w:rFonts w:ascii="Arial" w:cs="Arial" w:eastAsia="Arial" w:hAnsi="Arial"/>
      <w:b/>
      <w:bCs/>
      <w:color w:val="1565A7"/>
      <w:sz w:val="26"/>
      <w:szCs w:val="26"/>
    </w:rPr>
  </w:style>
  <w:style w:type="paragraph" w:styleId="Heading3">
    <w:name w:val="Heading 3"/>
    <w:basedOn w:val="Normal"/>
    <w:next w:val="Normal"/>
    <w:pPr>
      <w:spacing w:after="100" w:before="200"/>
      <w:outlineLvl w:val="2"/>
    </w:pPr>
    <w:rPr>
      <w:rFonts w:ascii="Arial" w:cs="Arial" w:eastAsia="Arial" w:hAnsi="Arial"/>
      <w:b/>
      <w:bCs/>
      <w:color w:val="1A1A2E"/>
      <w:sz w:val="22"/>
      <w:szCs w:val="22"/>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2026-06-18T11:29:54.593Z</dcterms:created>
  <dcterms:modified xsi:type="dcterms:W3CDTF">2026-06-18T11:29:54.607Z</dcterms:modified>
</cp:coreProperties>
</file>

<file path=docProps/custom.xml><?xml version="1.0" encoding="utf-8"?>
<Properties xmlns="http://schemas.openxmlformats.org/officeDocument/2006/custom-properties" xmlns:vt="http://schemas.openxmlformats.org/officeDocument/2006/docPropsVTypes"/>
</file>