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Arial" w:cs="Arial" w:eastAsia="Arial" w:hAnsi="Arial"/>
          <w:b/>
          <w:bCs/>
          <w:color w:val="7C3AED"/>
          <w:sz w:val="80"/>
          <w:szCs w:val="80"/>
        </w:rPr>
        <w:t xml:space="preserve">PerShare</w:t>
      </w:r>
    </w:p>
    <w:p>
      <w:pPr>
        <w:spacing w:after="120" w:before="0"/>
        <w:jc w:val="center"/>
      </w:pPr>
      <w:r>
        <w:rPr>
          <w:rFonts w:ascii="Arial" w:cs="Arial" w:eastAsia="Arial" w:hAnsi="Arial"/>
          <w:b/>
          <w:bCs/>
          <w:color w:val="AAAAAA"/>
          <w:spacing w:val="300"/>
          <w:sz w:val="28"/>
          <w:szCs w:val="28"/>
        </w:rPr>
        <w:t xml:space="preserve">SHARE</w:t>
      </w:r>
    </w:p>
    <w:p>
      <w:pPr>
        <w:spacing w:after="480" w:before="0"/>
        <w:jc w:val="center"/>
      </w:pPr>
      <w:r>
        <w:rPr>
          <w:rFonts w:ascii="Arial" w:cs="Arial" w:eastAsia="Arial" w:hAnsi="Arial"/>
          <w:i/>
          <w:iCs/>
          <w:color w:val="666666"/>
          <w:sz w:val="26"/>
          <w:szCs w:val="26"/>
        </w:rPr>
        <w:t xml:space="preserve">Chaque membre recoit sa part.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3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Version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1.0</w:t>
            </w:r>
          </w:p>
        </w:tc>
      </w:tr>
      <w:tr>
        <w:tc>
          <w:tcPr>
            <w:tcW w:type="dxa" w:w="3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Date</w:t>
            </w:r>
          </w:p>
        </w:tc>
        <w:tc>
          <w:tcPr>
            <w:tcW w:type="dxa" w:w="6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Juin 2025</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Chain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BNB Chain (BSC)</w:t>
            </w:r>
          </w:p>
        </w:tc>
      </w:tr>
      <w:tr>
        <w:tc>
          <w:tcPr>
            <w:tcW w:type="dxa" w:w="3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Stablecoin</w:t>
            </w:r>
          </w:p>
        </w:tc>
        <w:tc>
          <w:tcPr>
            <w:tcW w:type="dxa" w:w="6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USDT / USDC (BEP-20)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Smart contract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PerShare.sol — Solidity 0.8.20</w:t>
            </w:r>
          </w:p>
        </w:tc>
      </w:tr>
      <w:tr>
        <w:tc>
          <w:tcPr>
            <w:tcW w:type="dxa" w:w="3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Statut</w:t>
            </w:r>
          </w:p>
        </w:tc>
        <w:tc>
          <w:tcPr>
            <w:tcW w:type="dxa" w:w="6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Pre-audit — Testnet en cours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Site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pershare.io</w:t>
            </w:r>
          </w:p>
        </w:tc>
      </w:tr>
    </w:tbl>
    <w:p>
      <w:pPr>
        <w:spacing w:after="100" w:before="100"/>
      </w:pPr>
      <w:r>
        <w:t xml:space="preserve"/>
      </w:r>
    </w:p>
    <w:p>
      <w:pPr>
        <w:spacing w:after="0" w:before="480"/>
        <w:jc w:val="center"/>
      </w:pPr>
      <w:r>
        <w:rPr>
          <w:rFonts w:ascii="Arial" w:cs="Arial" w:eastAsia="Arial" w:hAnsi="Arial"/>
          <w:i/>
          <w:iCs/>
          <w:color w:val="999999"/>
          <w:sz w:val="18"/>
          <w:szCs w:val="18"/>
        </w:rPr>
        <w:t xml:space="preserve">Ce document est un whitepaper technique et fonctionnel. Il ne constitue pas une offre d'investissement.</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Abstract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320"/>
              <w:bottom w:type="dxa" w:w="160"/>
              <w:right w:type="dxa" w:w="320"/>
            </w:tcMar>
          </w:tcPr>
          <w:p>
            <w:r>
              <w:rPr>
                <w:rFonts w:ascii="Arial" w:cs="Arial" w:eastAsia="Arial" w:hAnsi="Arial"/>
                <w:b/>
                <w:bCs/>
                <w:i/>
                <w:iCs/>
                <w:color w:val="7C3AED"/>
                <w:sz w:val="24"/>
                <w:szCs w:val="24"/>
              </w:rPr>
              <w:t xml:space="preserve">PerShare est une infrastructure de pool et paiement collectif onchain sur BNB Chain. Un seul contrat intelligent permet a n'importe quel groupe de creer une pool en 30 secondes, contribuer en USDT, et executer une action collective validee par tous — sans intermediaire, sans avocat, sans custody.</w:t>
            </w:r>
          </w:p>
        </w:tc>
      </w:tr>
    </w:tbl>
    <w:p>
      <w:pPr>
        <w:spacing w:after="100" w:before="100"/>
      </w:pPr>
      <w:r>
        <w:t xml:space="preserve"/>
      </w:r>
    </w:p>
    <w:p>
      <w:pPr>
        <w:spacing w:after="80" w:before="80"/>
      </w:pPr>
      <w:r>
        <w:rPr>
          <w:rFonts w:ascii="Arial" w:cs="Arial" w:eastAsia="Arial" w:hAnsi="Arial"/>
          <w:color w:val="0F0F1A"/>
          <w:sz w:val="22"/>
          <w:szCs w:val="22"/>
        </w:rPr>
        <w:t xml:space="preserve">PerShare resout trois problemes distincts avec un seul contrat :</w:t>
      </w:r>
    </w:p>
    <w:p>
      <w:pPr>
        <w:spacing w:after="100" w:before="100"/>
      </w:pPr>
      <w:r>
        <w:t xml:space="preserve"/>
      </w:r>
    </w:p>
    <w:p>
      <w:pPr>
        <w:pStyle w:val="ListParagraph"/>
        <w:numPr>
          <w:ilvl w:val="0"/>
          <w:numId w:val="2"/>
        </w:numPr>
        <w:spacing w:after="60" w:before="60"/>
      </w:pPr>
      <w:r>
        <w:rPr>
          <w:rFonts w:ascii="Arial" w:cs="Arial" w:eastAsia="Arial" w:hAnsi="Arial"/>
          <w:color w:val="0F0F1A"/>
          <w:sz w:val="22"/>
          <w:szCs w:val="22"/>
        </w:rPr>
        <w:t xml:space="preserve">Le transfert conditionnel — envoyer de l'argent a quelqu'un avec validation mutuelle et remboursement automatique si pas d'accord</w:t>
      </w:r>
    </w:p>
    <w:p>
      <w:pPr>
        <w:pStyle w:val="ListParagraph"/>
        <w:numPr>
          <w:ilvl w:val="0"/>
          <w:numId w:val="2"/>
        </w:numPr>
        <w:spacing w:after="60" w:before="60"/>
      </w:pPr>
      <w:r>
        <w:rPr>
          <w:rFonts w:ascii="Arial" w:cs="Arial" w:eastAsia="Arial" w:hAnsi="Arial"/>
          <w:color w:val="0F0F1A"/>
          <w:sz w:val="22"/>
          <w:szCs w:val="22"/>
        </w:rPr>
        <w:t xml:space="preserve">La pool collective — financer ensemble un voyage, un cadeau, un achat groupe ou un paiement fournisseur</w:t>
      </w:r>
    </w:p>
    <w:p>
      <w:pPr>
        <w:pStyle w:val="ListParagraph"/>
        <w:numPr>
          <w:ilvl w:val="0"/>
          <w:numId w:val="2"/>
        </w:numPr>
        <w:spacing w:after="60" w:before="60"/>
      </w:pPr>
      <w:r>
        <w:rPr>
          <w:rFonts w:ascii="Arial" w:cs="Arial" w:eastAsia="Arial" w:hAnsi="Arial"/>
          <w:color w:val="0F0F1A"/>
          <w:sz w:val="22"/>
          <w:szCs w:val="22"/>
        </w:rPr>
        <w:t xml:space="preserve">Le group buy de presale — souscrire collectivement a un presale et recevoir automatiquement sa part de tokens selon sa contribution</w:t>
      </w:r>
    </w:p>
    <w:p>
      <w:pPr>
        <w:spacing w:after="100" w:before="100"/>
      </w:pPr>
      <w:r>
        <w:t xml:space="preserve"/>
      </w:r>
    </w:p>
    <w:p>
      <w:pPr>
        <w:spacing w:after="80" w:before="80"/>
      </w:pPr>
      <w:r>
        <w:rPr>
          <w:rFonts w:ascii="Arial" w:cs="Arial" w:eastAsia="Arial" w:hAnsi="Arial"/>
          <w:color w:val="0F0F1A"/>
          <w:sz w:val="22"/>
          <w:szCs w:val="22"/>
        </w:rPr>
        <w:t xml:space="preserve">Le contrat prend 1% de commission sur chaque envoi. Aucune commission sur les remboursements. Aucun token intermediaire requis. Aucune licence financiere necessaire car PerShare ne custodise jamais les fonds — c'est le smart contract qui le fait.</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1. Le probleme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1.1 L'actionnariat collectif est inaccessible</w:t>
      </w:r>
    </w:p>
    <w:p>
      <w:pPr>
        <w:spacing w:after="80" w:before="80"/>
      </w:pPr>
      <w:r>
        <w:rPr>
          <w:rFonts w:ascii="Arial" w:cs="Arial" w:eastAsia="Arial" w:hAnsi="Arial"/>
          <w:color w:val="0F0F1A"/>
          <w:sz w:val="22"/>
          <w:szCs w:val="22"/>
        </w:rPr>
        <w:t xml:space="preserve">Constituer une structure d'actionnariat ou de partage entre plusieurs personnes necessite aujourd'hui des semaines de demarches, des milliers d'euros en frais juridiques, et une confiance aveugle dans un tiers. Les solutions existantes sont soit trop complexes pour le grand public (Gnosis Safe, Juicebox), soit trop limitees (Splitwise, Lydia) car sans interaction onchain.</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1.2 Les presales excluent les petits porteurs</w:t>
      </w:r>
    </w:p>
    <w:p>
      <w:pPr>
        <w:spacing w:after="80" w:before="80"/>
      </w:pPr>
      <w:r>
        <w:rPr>
          <w:rFonts w:ascii="Arial" w:cs="Arial" w:eastAsia="Arial" w:hAnsi="Arial"/>
          <w:color w:val="0F0F1A"/>
          <w:sz w:val="22"/>
          <w:szCs w:val="22"/>
        </w:rPr>
        <w:t xml:space="preserve">Les presales Web3 de qualite ont des tickets minimum eleves — souvent 500 a 5 000 USDT. La majorite des participants interesses ne peuvent pas souscrire seuls. Aucun outil simple ne permet de se regrouper pour souscrire ensemble et recevoir automatiquement sa part de tokens sans risque de confiance.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1.3 Le transfert international reste fragile</w:t>
      </w:r>
    </w:p>
    <w:p>
      <w:pPr>
        <w:spacing w:after="80" w:before="80"/>
      </w:pPr>
      <w:r>
        <w:rPr>
          <w:rFonts w:ascii="Arial" w:cs="Arial" w:eastAsia="Arial" w:hAnsi="Arial"/>
          <w:color w:val="0F0F1A"/>
          <w:sz w:val="22"/>
          <w:szCs w:val="22"/>
        </w:rPr>
        <w:t xml:space="preserve">Envoyer de l'argent a quelqu'un avec des conditions — 'je te paie quand tu livres', 'on partage quand on est tous d'accord' — necessite soit une confiance totale soit un avocat. Il n'existe pas de solution simple et trustless pour le paiement conditionnel entre particuliers.</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1.4 L'Afrique et l'Asie sont laissees de cote</w:t>
      </w:r>
    </w:p>
    <w:p>
      <w:pPr>
        <w:spacing w:after="80" w:before="80"/>
      </w:pPr>
      <w:r>
        <w:rPr>
          <w:rFonts w:ascii="Arial" w:cs="Arial" w:eastAsia="Arial" w:hAnsi="Arial"/>
          <w:color w:val="0F0F1A"/>
          <w:sz w:val="22"/>
          <w:szCs w:val="22"/>
        </w:rPr>
        <w:t xml:space="preserve">Des centaines de millions de personnes pratiquent deja des formes de pool collective — la tontine africaine, le arisan indonesien, le hui chinois, le chit fund indien. Ces systemes ancestraux fonctionnent mais sont vulnerables : risque de confiance envers l'organisateur, pas de transparence, pas de preuve onchain. Aucun outil Web3 ne les adresse directement via Mobile Money.</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2. La solution — PerShare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320"/>
              <w:bottom w:type="dxa" w:w="160"/>
              <w:right w:type="dxa" w:w="320"/>
            </w:tcMar>
          </w:tcPr>
          <w:p>
            <w:r>
              <w:rPr>
                <w:rFonts w:ascii="Arial" w:cs="Arial" w:eastAsia="Arial" w:hAnsi="Arial"/>
                <w:b/>
                <w:bCs/>
                <w:i/>
                <w:iCs/>
                <w:color w:val="7C3AED"/>
                <w:sz w:val="24"/>
                <w:szCs w:val="24"/>
              </w:rPr>
              <w:t xml:space="preserve">Un contrat. Trois produits. Zero intermediaire.</w:t>
            </w:r>
          </w:p>
        </w:tc>
      </w:tr>
    </w:tbl>
    <w:p>
      <w:pPr>
        <w:spacing w:after="100" w:before="100"/>
      </w:pPr>
      <w:r>
        <w:t xml:space="preserve"/>
      </w:r>
    </w:p>
    <w:p>
      <w:pPr>
        <w:pStyle w:val="Heading2"/>
        <w:spacing w:after="160" w:before="320"/>
      </w:pPr>
      <w:r>
        <w:rPr>
          <w:rFonts w:ascii="Arial" w:cs="Arial" w:eastAsia="Arial" w:hAnsi="Arial"/>
          <w:b/>
          <w:bCs/>
          <w:color w:val="7C3AED"/>
          <w:sz w:val="28"/>
          <w:szCs w:val="28"/>
        </w:rPr>
        <w:t xml:space="preserve">2.1 Le principe fondamental</w:t>
      </w:r>
    </w:p>
    <w:p>
      <w:pPr>
        <w:spacing w:after="80" w:before="80"/>
      </w:pPr>
      <w:r>
        <w:rPr>
          <w:rFonts w:ascii="Arial" w:cs="Arial" w:eastAsia="Arial" w:hAnsi="Arial"/>
          <w:color w:val="0F0F1A"/>
          <w:sz w:val="22"/>
          <w:szCs w:val="22"/>
        </w:rPr>
        <w:t xml:space="preserve">PerShare est un smart contract non-custodial deploye sur BNB Chain. Il permet a un groupe de personnes de creer un SHARE — un accord collectif onchain — de contribuer en USDT, et de declencher une action collective apres validation par les membres.</w:t>
      </w:r>
    </w:p>
    <w:p>
      <w:pPr>
        <w:spacing w:after="100" w:before="100"/>
      </w:pPr>
      <w:r>
        <w:t xml:space="preserve"/>
      </w:r>
    </w:p>
    <w:p>
      <w:pPr>
        <w:spacing w:after="80" w:before="80"/>
      </w:pPr>
      <w:r>
        <w:rPr>
          <w:rFonts w:ascii="Arial" w:cs="Arial" w:eastAsia="Arial" w:hAnsi="Arial"/>
          <w:color w:val="0F0F1A"/>
          <w:sz w:val="22"/>
          <w:szCs w:val="22"/>
        </w:rPr>
        <w:t xml:space="preserve">Le contrat ne custodise jamais les fonds au sens traditionnel — les fonds sont dans le contrat, gouvernes par son code, et ne peuvent partir que selon des regles predefinies et validees collectivement. PerShare est l'auteur du code, pas l'operateur financier.</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2.2 Les trois usages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8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Cas concrets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Transfert conditionnel</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2 membres / threshold 1 ou 2</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Paiement freelance, achat entre particuliers, remboursement conditionnel</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Pool collective</w:t>
            </w:r>
          </w:p>
        </w:tc>
        <w:tc>
          <w:tcPr>
            <w:tcW w:type="dxa" w:w="28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2 a 50 membres / threshold X</w:t>
            </w:r>
          </w:p>
        </w:tc>
        <w:tc>
          <w:tcPr>
            <w:tcW w:type="dxa" w:w="4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Voyage en groupe, cadeau collectif, charges de colocation, financement communautaire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Group buy presale</w:t>
            </w:r>
          </w:p>
        </w:tc>
        <w:tc>
          <w:tcPr>
            <w:tcW w:type="dxa" w:w="2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 membres / destination presale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Souscription collective — tokens redistribues automatiquement selon les parts de contribution</w:t>
            </w:r>
          </w:p>
        </w:tc>
      </w:tr>
    </w:tbl>
    <w:p>
      <w:pPr>
        <w:spacing w:after="100" w:before="100"/>
      </w:pPr>
      <w:r>
        <w:t xml:space="preserve"/>
      </w:r>
    </w:p>
    <w:p>
      <w:pPr>
        <w:pStyle w:val="Heading2"/>
        <w:spacing w:after="160" w:before="320"/>
      </w:pPr>
      <w:r>
        <w:rPr>
          <w:rFonts w:ascii="Arial" w:cs="Arial" w:eastAsia="Arial" w:hAnsi="Arial"/>
          <w:b/>
          <w:bCs/>
          <w:color w:val="7C3AED"/>
          <w:sz w:val="28"/>
          <w:szCs w:val="28"/>
        </w:rPr>
        <w:t xml:space="preserve">2.3 La tontine numerique</w:t>
      </w:r>
    </w:p>
    <w:p>
      <w:pPr>
        <w:spacing w:after="80" w:before="80"/>
      </w:pPr>
      <w:r>
        <w:rPr>
          <w:rFonts w:ascii="Arial" w:cs="Arial" w:eastAsia="Arial" w:hAnsi="Arial"/>
          <w:color w:val="0F0F1A"/>
          <w:sz w:val="22"/>
          <w:szCs w:val="22"/>
        </w:rPr>
        <w:t xml:space="preserve">En Afrique et en Asie, des centaines de millions de personnes organisent des pools collectives informelles depuis des siecles. PerShare est la version onchain de ces pratiques — transparente, automatique, et accessible via Mobile Money grace aux passerelles P2P (Binance P2P, Yellow Card, Kotani Pay). Les fonds ne dependent plus de la bonne foi d'un organisateur — ils dependent du code.</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3. Architecture technique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3.1 Le contrat PerShare</w:t>
      </w:r>
    </w:p>
    <w:p>
      <w:pPr>
        <w:spacing w:after="80" w:before="80"/>
      </w:pPr>
      <w:r>
        <w:rPr>
          <w:rFonts w:ascii="Arial" w:cs="Arial" w:eastAsia="Arial" w:hAnsi="Arial"/>
          <w:color w:val="0F0F1A"/>
          <w:sz w:val="22"/>
          <w:szCs w:val="22"/>
        </w:rPr>
        <w:t xml:space="preserve">Le contrat est ecrit en Solidity 0.8.20 et deploye sur BNB Chain. Il herite de ReentrancyGuard d'OpenZeppelin pour la protection contre les attaques de reentrance. Il est non-upgradeable — une fois deploye, son comportement est immuable et previsible.</w:t>
      </w:r>
    </w:p>
    <w:p>
      <w:pPr>
        <w:spacing w:after="100" w:before="100"/>
      </w:pPr>
      <w:r>
        <w:t xml:space="preserve"/>
      </w:r>
    </w:p>
    <w:p>
      <w:pPr>
        <w:pStyle w:val="Heading3"/>
        <w:spacing w:after="100" w:before="200"/>
      </w:pPr>
      <w:r>
        <w:rPr>
          <w:rFonts w:ascii="Arial" w:cs="Arial" w:eastAsia="Arial" w:hAnsi="Arial"/>
          <w:b/>
          <w:bCs/>
          <w:color w:val="0F0F1A"/>
          <w:sz w:val="24"/>
          <w:szCs w:val="24"/>
        </w:rPr>
        <w:t xml:space="preserve">Structure de donnees — un SHARE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16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Nom lisible du SHARE</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creator</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address</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Wallet createur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members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address[]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Liste des membres (2 a 50)</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stablecoin</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address</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USDT ou USDC — adresse BEP-20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destination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address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Wallet externe recepteur des fonds</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targetAmount</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uint256</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Objectif en stablecoin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deadline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uint256</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Timestamp Unix de fin de collecte</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threshold</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uint256</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Nb validations pour declencher l'envoi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totalReceived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uint256</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Total stablecoin collecte</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sent</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bool</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Phase 1 terminee — fonds envoyes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refunded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bool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Pool remboursee — deadline expiree</w:t>
            </w:r>
          </w:p>
        </w:tc>
      </w:tr>
      <w:tr>
        <w:tc>
          <w:tcPr>
            <w:tcW w:type="dxa" w:w="2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tokensDistributed</w:t>
            </w:r>
          </w:p>
        </w:tc>
        <w:tc>
          <w:tcPr>
            <w:tcW w:type="dxa" w:w="16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bool</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Phase 2 terminee — tokens redistribues</w:t>
            </w:r>
          </w:p>
        </w:tc>
      </w:tr>
    </w:tbl>
    <w:p>
      <w:pPr>
        <w:spacing w:after="100" w:before="100"/>
      </w:pPr>
      <w:r>
        <w:t xml:space="preserve"/>
      </w:r>
    </w:p>
    <w:p>
      <w:pPr>
        <w:pStyle w:val="Heading3"/>
        <w:spacing w:after="100" w:before="200"/>
      </w:pPr>
      <w:r>
        <w:rPr>
          <w:rFonts w:ascii="Arial" w:cs="Arial" w:eastAsia="Arial" w:hAnsi="Arial"/>
          <w:b/>
          <w:bCs/>
          <w:color w:val="0F0F1A"/>
          <w:sz w:val="24"/>
          <w:szCs w:val="24"/>
        </w:rPr>
        <w:t xml:space="preserve">Les deux phases du group buy presale</w:t>
      </w:r>
    </w:p>
    <w:p>
      <w:pPr>
        <w:spacing w:after="100" w:before="100"/>
      </w:pPr>
      <w:r>
        <w:t xml:space="preserve"/>
      </w:r>
    </w:p>
    <w:p>
      <w:pPr>
        <w:spacing w:after="80" w:before="80"/>
      </w:pPr>
      <w:r>
        <w:rPr>
          <w:rFonts w:ascii="Arial" w:cs="Arial" w:eastAsia="Arial" w:hAnsi="Arial"/>
          <w:color w:val="0F0F1A"/>
          <w:sz w:val="22"/>
          <w:szCs w:val="22"/>
        </w:rPr>
        <w:t xml:space="preserve">Phase 1 — Collecte et envoi</w:t>
      </w:r>
    </w:p>
    <w:p>
      <w:pPr>
        <w:pStyle w:val="ListParagraph"/>
        <w:numPr>
          <w:ilvl w:val="0"/>
          <w:numId w:val="3"/>
        </w:numPr>
        <w:spacing w:after="80" w:before="80"/>
      </w:pPr>
      <w:r>
        <w:rPr>
          <w:rFonts w:ascii="Arial" w:cs="Arial" w:eastAsia="Arial" w:hAnsi="Arial"/>
          <w:color w:val="0F0F1A"/>
          <w:sz w:val="22"/>
          <w:szCs w:val="22"/>
        </w:rPr>
        <w:t xml:space="preserve">Les membres contribuent en USDT dans le contrat</w:t>
      </w:r>
    </w:p>
    <w:p>
      <w:pPr>
        <w:pStyle w:val="ListParagraph"/>
        <w:numPr>
          <w:ilvl w:val="0"/>
          <w:numId w:val="3"/>
        </w:numPr>
        <w:spacing w:after="80" w:before="80"/>
      </w:pPr>
      <w:r>
        <w:rPr>
          <w:rFonts w:ascii="Arial" w:cs="Arial" w:eastAsia="Arial" w:hAnsi="Arial"/>
          <w:color w:val="0F0F1A"/>
          <w:sz w:val="22"/>
          <w:szCs w:val="22"/>
        </w:rPr>
        <w:t xml:space="preserve">L'objectif est atteint — les membres valident collectivement</w:t>
      </w:r>
    </w:p>
    <w:p>
      <w:pPr>
        <w:pStyle w:val="ListParagraph"/>
        <w:numPr>
          <w:ilvl w:val="0"/>
          <w:numId w:val="3"/>
        </w:numPr>
        <w:spacing w:after="80" w:before="80"/>
      </w:pPr>
      <w:r>
        <w:rPr>
          <w:rFonts w:ascii="Arial" w:cs="Arial" w:eastAsia="Arial" w:hAnsi="Arial"/>
          <w:color w:val="0F0F1A"/>
          <w:sz w:val="22"/>
          <w:szCs w:val="22"/>
        </w:rPr>
        <w:t xml:space="preserve">Quand le threshold est atteint — le contrat envoie automatiquement vers le presale</w:t>
      </w:r>
    </w:p>
    <w:p>
      <w:pPr>
        <w:pStyle w:val="ListParagraph"/>
        <w:numPr>
          <w:ilvl w:val="0"/>
          <w:numId w:val="3"/>
        </w:numPr>
        <w:spacing w:after="80" w:before="80"/>
      </w:pPr>
      <w:r>
        <w:rPr>
          <w:rFonts w:ascii="Arial" w:cs="Arial" w:eastAsia="Arial" w:hAnsi="Arial"/>
          <w:color w:val="0F0F1A"/>
          <w:sz w:val="22"/>
          <w:szCs w:val="22"/>
        </w:rPr>
        <w:t xml:space="preserve">1% de commission preleve automatiquement vers le wallet owner</w:t>
      </w:r>
    </w:p>
    <w:p>
      <w:pPr>
        <w:spacing w:after="100" w:before="100"/>
      </w:pPr>
      <w:r>
        <w:t xml:space="preserve"/>
      </w:r>
    </w:p>
    <w:p>
      <w:pPr>
        <w:spacing w:after="80" w:before="80"/>
      </w:pPr>
      <w:r>
        <w:rPr>
          <w:rFonts w:ascii="Arial" w:cs="Arial" w:eastAsia="Arial" w:hAnsi="Arial"/>
          <w:color w:val="0F0F1A"/>
          <w:sz w:val="22"/>
          <w:szCs w:val="22"/>
        </w:rPr>
        <w:t xml:space="preserve">Phase 2 — Reception et redistribution des tokens</w:t>
      </w:r>
    </w:p>
    <w:p>
      <w:pPr>
        <w:pStyle w:val="ListParagraph"/>
        <w:numPr>
          <w:ilvl w:val="0"/>
          <w:numId w:val="3"/>
        </w:numPr>
        <w:spacing w:after="80" w:before="80"/>
      </w:pPr>
      <w:r>
        <w:rPr>
          <w:rFonts w:ascii="Arial" w:cs="Arial" w:eastAsia="Arial" w:hAnsi="Arial"/>
          <w:color w:val="0F0F1A"/>
          <w:sz w:val="22"/>
          <w:szCs w:val="22"/>
        </w:rPr>
        <w:t xml:space="preserve">Le presale envoie les tokens BEP-20 vers l'adresse du contrat PerShare</w:t>
      </w:r>
    </w:p>
    <w:p>
      <w:pPr>
        <w:pStyle w:val="ListParagraph"/>
        <w:numPr>
          <w:ilvl w:val="0"/>
          <w:numId w:val="3"/>
        </w:numPr>
        <w:spacing w:after="80" w:before="80"/>
      </w:pPr>
      <w:r>
        <w:rPr>
          <w:rFonts w:ascii="Arial" w:cs="Arial" w:eastAsia="Arial" w:hAnsi="Arial"/>
          <w:color w:val="0F0F1A"/>
          <w:sz w:val="22"/>
          <w:szCs w:val="22"/>
        </w:rPr>
        <w:t xml:space="preserve">Les membres valident la redistribution — meme threshold que Phase 1</w:t>
      </w:r>
    </w:p>
    <w:p>
      <w:pPr>
        <w:pStyle w:val="ListParagraph"/>
        <w:numPr>
          <w:ilvl w:val="0"/>
          <w:numId w:val="3"/>
        </w:numPr>
        <w:spacing w:after="80" w:before="80"/>
      </w:pPr>
      <w:r>
        <w:rPr>
          <w:rFonts w:ascii="Arial" w:cs="Arial" w:eastAsia="Arial" w:hAnsi="Arial"/>
          <w:color w:val="0F0F1A"/>
          <w:sz w:val="22"/>
          <w:szCs w:val="22"/>
        </w:rPr>
        <w:t xml:space="preserve">Le contrat redistribue chaque token proportionnellement aux contributions USDT</w:t>
      </w:r>
    </w:p>
    <w:p>
      <w:pPr>
        <w:pStyle w:val="ListParagraph"/>
        <w:numPr>
          <w:ilvl w:val="0"/>
          <w:numId w:val="3"/>
        </w:numPr>
        <w:spacing w:after="80" w:before="80"/>
      </w:pPr>
      <w:r>
        <w:rPr>
          <w:rFonts w:ascii="Arial" w:cs="Arial" w:eastAsia="Arial" w:hAnsi="Arial"/>
          <w:color w:val="0F0F1A"/>
          <w:sz w:val="22"/>
          <w:szCs w:val="22"/>
        </w:rPr>
        <w:t xml:space="preserve">Alice a contribue 40% → elle recoit 40% des tokens — automatiquement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2"/>
              <w:bottom w:val="none" w:color="FFFFFF" w:sz="0"/>
              <w:right w:val="none" w:color="FFFFFF" w:sz="0"/>
            </w:tcBorders>
            <w:shd w:fill="EDE9FE" w:val="clear"/>
            <w:tcMar>
              <w:top w:type="dxa" w:w="120"/>
              <w:left w:type="dxa" w:w="200"/>
              <w:bottom w:type="dxa" w:w="120"/>
              <w:right w:type="dxa" w:w="200"/>
            </w:tcMar>
          </w:tcPr>
          <w:p>
            <w:r>
              <w:rPr>
                <w:rFonts w:ascii="Arial" w:cs="Arial" w:eastAsia="Arial" w:hAnsi="Arial"/>
                <w:b/>
                <w:bCs/>
                <w:color w:val="7C3AED"/>
                <w:sz w:val="20"/>
                <w:szCs w:val="20"/>
              </w:rPr>
              <w:t xml:space="preserve">Principe cle: </w:t>
            </w:r>
            <w:r>
              <w:rPr>
                <w:rFonts w:ascii="Arial" w:cs="Arial" w:eastAsia="Arial" w:hAnsi="Arial"/>
                <w:color w:val="7C3AED"/>
                <w:sz w:val="20"/>
                <w:szCs w:val="20"/>
              </w:rPr>
              <w:t xml:space="preserve">Le contrat PerShare est une adresse wallet intelligente. Le presale envoie les tokens vers cette adresse sans savoir que c'est un groupe. Toute la logique de redistribution est dans le contrat.</w:t>
            </w:r>
          </w:p>
        </w:tc>
      </w:tr>
    </w:tbl>
    <w:p>
      <w:pPr>
        <w:spacing w:after="100" w:before="100"/>
      </w:pPr>
      <w:r>
        <w:t xml:space="preserve"/>
      </w:r>
    </w:p>
    <w:p>
      <w:pPr>
        <w:pStyle w:val="Heading2"/>
        <w:spacing w:after="160" w:before="320"/>
      </w:pPr>
      <w:r>
        <w:rPr>
          <w:rFonts w:ascii="Arial" w:cs="Arial" w:eastAsia="Arial" w:hAnsi="Arial"/>
          <w:b/>
          <w:bCs/>
          <w:color w:val="7C3AED"/>
          <w:sz w:val="28"/>
          <w:szCs w:val="28"/>
        </w:rPr>
        <w:t xml:space="preserve">3.2 Securite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Protection</w:t>
            </w:r>
          </w:p>
        </w:tc>
        <w:tc>
          <w:tcPr>
            <w:tcW w:type="dxa" w:w="35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3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Risque adresse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ReentrancyGuard</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OpenZeppelin — nonReentrant sur tous les transferts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Attaque de reentrance</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Checks-Effects-Interactions</w:t>
            </w:r>
          </w:p>
        </w:tc>
        <w:tc>
          <w:tcPr>
            <w:tcW w:type="dxa" w:w="3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Etat mis a jour AVANT les transferts</w:t>
            </w:r>
          </w:p>
        </w:tc>
        <w:tc>
          <w:tcPr>
            <w:tcW w:type="dxa" w:w="3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Double depense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sent / refunded exclusifs</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Impossible d'etre les deux a la fois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Double execution</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Zero address checks</w:t>
            </w:r>
          </w:p>
        </w:tc>
        <w:tc>
          <w:tcPr>
            <w:tcW w:type="dxa" w:w="3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Validation sur membres et destination</w:t>
            </w:r>
          </w:p>
        </w:tc>
        <w:tc>
          <w:tcPr>
            <w:tcW w:type="dxa" w:w="3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Perte de fonds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Contributions remises a zero</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Avant le remboursement — pas apres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Reentrancy sur refund</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isMember mapping</w:t>
            </w:r>
          </w:p>
        </w:tc>
        <w:tc>
          <w:tcPr>
            <w:tcW w:type="dxa" w:w="3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Verification rapide sans boucle</w:t>
            </w:r>
          </w:p>
        </w:tc>
        <w:tc>
          <w:tcPr>
            <w:tcW w:type="dxa" w:w="3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Acces non autorise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Audit obligatoire: </w:t>
            </w:r>
            <w:r>
              <w:rPr>
                <w:rFonts w:ascii="Arial" w:cs="Arial" w:eastAsia="Arial" w:hAnsi="Arial"/>
                <w:color w:val="D97706"/>
                <w:sz w:val="20"/>
                <w:szCs w:val="20"/>
              </w:rPr>
              <w:t xml:space="preserve">Le contrat ne sera pas deploye sur le mainnet BNB sans audit de securite valide et publie publiquement. Auditeurs cibles : Certik, Hacken, PeckShield, Beosin.</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4. Flux utilisateur</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4.1 Creer un SHARE — 30 secondes</w:t>
      </w:r>
    </w:p>
    <w:p>
      <w:pPr>
        <w:pStyle w:val="ListParagraph"/>
        <w:numPr>
          <w:ilvl w:val="0"/>
          <w:numId w:val="3"/>
        </w:numPr>
        <w:spacing w:after="80" w:before="80"/>
      </w:pPr>
      <w:r>
        <w:rPr>
          <w:rFonts w:ascii="Arial" w:cs="Arial" w:eastAsia="Arial" w:hAnsi="Arial"/>
          <w:color w:val="0F0F1A"/>
          <w:sz w:val="22"/>
          <w:szCs w:val="22"/>
        </w:rPr>
        <w:t xml:space="preserve">L'utilisateur connecte son wallet — MetaMask, Trust Wallet, Binance Wallet</w:t>
      </w:r>
    </w:p>
    <w:p>
      <w:pPr>
        <w:pStyle w:val="ListParagraph"/>
        <w:numPr>
          <w:ilvl w:val="0"/>
          <w:numId w:val="3"/>
        </w:numPr>
        <w:spacing w:after="80" w:before="80"/>
      </w:pPr>
      <w:r>
        <w:rPr>
          <w:rFonts w:ascii="Arial" w:cs="Arial" w:eastAsia="Arial" w:hAnsi="Arial"/>
          <w:color w:val="0F0F1A"/>
          <w:sz w:val="22"/>
          <w:szCs w:val="22"/>
        </w:rPr>
        <w:t xml:space="preserve">Il choisit le type de SHARE — transfert, pool, ou group buy presale</w:t>
      </w:r>
    </w:p>
    <w:p>
      <w:pPr>
        <w:pStyle w:val="ListParagraph"/>
        <w:numPr>
          <w:ilvl w:val="0"/>
          <w:numId w:val="3"/>
        </w:numPr>
        <w:spacing w:after="80" w:before="80"/>
      </w:pPr>
      <w:r>
        <w:rPr>
          <w:rFonts w:ascii="Arial" w:cs="Arial" w:eastAsia="Arial" w:hAnsi="Arial"/>
          <w:color w:val="0F0F1A"/>
          <w:sz w:val="22"/>
          <w:szCs w:val="22"/>
        </w:rPr>
        <w:t xml:space="preserve">Il saisit le nom, les membres (wallet ou ENS), la destination, l'objectif, la deadline et le threshold</w:t>
      </w:r>
    </w:p>
    <w:p>
      <w:pPr>
        <w:pStyle w:val="ListParagraph"/>
        <w:numPr>
          <w:ilvl w:val="0"/>
          <w:numId w:val="3"/>
        </w:numPr>
        <w:spacing w:after="80" w:before="80"/>
      </w:pPr>
      <w:r>
        <w:rPr>
          <w:rFonts w:ascii="Arial" w:cs="Arial" w:eastAsia="Arial" w:hAnsi="Arial"/>
          <w:color w:val="0F0F1A"/>
          <w:sz w:val="22"/>
          <w:szCs w:val="22"/>
        </w:rPr>
        <w:t xml:space="preserve">Il signe la transaction — le SHARE est cree onchain</w:t>
      </w:r>
    </w:p>
    <w:p>
      <w:pPr>
        <w:pStyle w:val="ListParagraph"/>
        <w:numPr>
          <w:ilvl w:val="0"/>
          <w:numId w:val="3"/>
        </w:numPr>
        <w:spacing w:after="80" w:before="80"/>
      </w:pPr>
      <w:r>
        <w:rPr>
          <w:rFonts w:ascii="Arial" w:cs="Arial" w:eastAsia="Arial" w:hAnsi="Arial"/>
          <w:color w:val="0F0F1A"/>
          <w:sz w:val="22"/>
          <w:szCs w:val="22"/>
        </w:rPr>
        <w:t xml:space="preserve">Un lien partageable est genere — il l'envoie aux membres</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4.2 Contribuer</w:t>
      </w:r>
    </w:p>
    <w:p>
      <w:pPr>
        <w:pStyle w:val="ListParagraph"/>
        <w:numPr>
          <w:ilvl w:val="0"/>
          <w:numId w:val="3"/>
        </w:numPr>
        <w:spacing w:after="80" w:before="80"/>
      </w:pPr>
      <w:r>
        <w:rPr>
          <w:rFonts w:ascii="Arial" w:cs="Arial" w:eastAsia="Arial" w:hAnsi="Arial"/>
          <w:color w:val="0F0F1A"/>
          <w:sz w:val="22"/>
          <w:szCs w:val="22"/>
        </w:rPr>
        <w:t xml:space="preserve">Le membre ouvre le lien du SHARE</w:t>
      </w:r>
    </w:p>
    <w:p>
      <w:pPr>
        <w:pStyle w:val="ListParagraph"/>
        <w:numPr>
          <w:ilvl w:val="0"/>
          <w:numId w:val="3"/>
        </w:numPr>
        <w:spacing w:after="80" w:before="80"/>
      </w:pPr>
      <w:r>
        <w:rPr>
          <w:rFonts w:ascii="Arial" w:cs="Arial" w:eastAsia="Arial" w:hAnsi="Arial"/>
          <w:color w:val="0F0F1A"/>
          <w:sz w:val="22"/>
          <w:szCs w:val="22"/>
        </w:rPr>
        <w:t xml:space="preserve">Il voit la pool, les contributions existantes, la progression</w:t>
      </w:r>
    </w:p>
    <w:p>
      <w:pPr>
        <w:pStyle w:val="ListParagraph"/>
        <w:numPr>
          <w:ilvl w:val="0"/>
          <w:numId w:val="3"/>
        </w:numPr>
        <w:spacing w:after="80" w:before="80"/>
      </w:pPr>
      <w:r>
        <w:rPr>
          <w:rFonts w:ascii="Arial" w:cs="Arial" w:eastAsia="Arial" w:hAnsi="Arial"/>
          <w:color w:val="0F0F1A"/>
          <w:sz w:val="22"/>
          <w:szCs w:val="22"/>
        </w:rPr>
        <w:t xml:space="preserve">Il approuve PerShare a depenser ses USDT — approve() ERC-20</w:t>
      </w:r>
    </w:p>
    <w:p>
      <w:pPr>
        <w:pStyle w:val="ListParagraph"/>
        <w:numPr>
          <w:ilvl w:val="0"/>
          <w:numId w:val="3"/>
        </w:numPr>
        <w:spacing w:after="80" w:before="80"/>
      </w:pPr>
      <w:r>
        <w:rPr>
          <w:rFonts w:ascii="Arial" w:cs="Arial" w:eastAsia="Arial" w:hAnsi="Arial"/>
          <w:color w:val="0F0F1A"/>
          <w:sz w:val="22"/>
          <w:szCs w:val="22"/>
        </w:rPr>
        <w:t xml:space="preserve">Il contribue — les USDT sont transferes dans le contrat</w:t>
      </w:r>
    </w:p>
    <w:p>
      <w:pPr>
        <w:pStyle w:val="ListParagraph"/>
        <w:numPr>
          <w:ilvl w:val="0"/>
          <w:numId w:val="3"/>
        </w:numPr>
        <w:spacing w:after="80" w:before="80"/>
      </w:pPr>
      <w:r>
        <w:rPr>
          <w:rFonts w:ascii="Arial" w:cs="Arial" w:eastAsia="Arial" w:hAnsi="Arial"/>
          <w:color w:val="0F0F1A"/>
          <w:sz w:val="22"/>
          <w:szCs w:val="22"/>
        </w:rPr>
        <w:t xml:space="preserve">Tous les membres recoivent une notification Push Protocol</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4.3 Valider et envoyer</w:t>
      </w:r>
    </w:p>
    <w:p>
      <w:pPr>
        <w:pStyle w:val="ListParagraph"/>
        <w:numPr>
          <w:ilvl w:val="0"/>
          <w:numId w:val="3"/>
        </w:numPr>
        <w:spacing w:after="80" w:before="80"/>
      </w:pPr>
      <w:r>
        <w:rPr>
          <w:rFonts w:ascii="Arial" w:cs="Arial" w:eastAsia="Arial" w:hAnsi="Arial"/>
          <w:color w:val="0F0F1A"/>
          <w:sz w:val="22"/>
          <w:szCs w:val="22"/>
        </w:rPr>
        <w:t xml:space="preserve">L'objectif est atteint — les membres sont notifies</w:t>
      </w:r>
    </w:p>
    <w:p>
      <w:pPr>
        <w:pStyle w:val="ListParagraph"/>
        <w:numPr>
          <w:ilvl w:val="0"/>
          <w:numId w:val="3"/>
        </w:numPr>
        <w:spacing w:after="80" w:before="80"/>
      </w:pPr>
      <w:r>
        <w:rPr>
          <w:rFonts w:ascii="Arial" w:cs="Arial" w:eastAsia="Arial" w:hAnsi="Arial"/>
          <w:color w:val="0F0F1A"/>
          <w:sz w:val="22"/>
          <w:szCs w:val="22"/>
        </w:rPr>
        <w:t xml:space="preserve">Chaque membre valide depuis l'interface — une signature wallet</w:t>
      </w:r>
    </w:p>
    <w:p>
      <w:pPr>
        <w:pStyle w:val="ListParagraph"/>
        <w:numPr>
          <w:ilvl w:val="0"/>
          <w:numId w:val="3"/>
        </w:numPr>
        <w:spacing w:after="80" w:before="80"/>
      </w:pPr>
      <w:r>
        <w:rPr>
          <w:rFonts w:ascii="Arial" w:cs="Arial" w:eastAsia="Arial" w:hAnsi="Arial"/>
          <w:color w:val="0F0F1A"/>
          <w:sz w:val="22"/>
          <w:szCs w:val="22"/>
        </w:rPr>
        <w:t xml:space="preserve">Quand le threshold est atteint — envoi automatique dans la meme transaction</w:t>
      </w:r>
    </w:p>
    <w:p>
      <w:pPr>
        <w:pStyle w:val="ListParagraph"/>
        <w:numPr>
          <w:ilvl w:val="0"/>
          <w:numId w:val="3"/>
        </w:numPr>
        <w:spacing w:after="80" w:before="80"/>
      </w:pPr>
      <w:r>
        <w:rPr>
          <w:rFonts w:ascii="Arial" w:cs="Arial" w:eastAsia="Arial" w:hAnsi="Arial"/>
          <w:color w:val="0F0F1A"/>
          <w:sz w:val="22"/>
          <w:szCs w:val="22"/>
        </w:rPr>
        <w:t xml:space="preserve">1% preleve vers PerShare — le reste part vers la destination</w:t>
      </w:r>
    </w:p>
    <w:p>
      <w:pPr>
        <w:pStyle w:val="ListParagraph"/>
        <w:numPr>
          <w:ilvl w:val="0"/>
          <w:numId w:val="3"/>
        </w:numPr>
        <w:spacing w:after="80" w:before="80"/>
      </w:pPr>
      <w:r>
        <w:rPr>
          <w:rFonts w:ascii="Arial" w:cs="Arial" w:eastAsia="Arial" w:hAnsi="Arial"/>
          <w:color w:val="0F0F1A"/>
          <w:sz w:val="22"/>
          <w:szCs w:val="22"/>
        </w:rPr>
        <w:t xml:space="preserve">Hash de transaction disponible sur BscScan</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4.4 Remboursement automatique</w:t>
      </w:r>
    </w:p>
    <w:p>
      <w:pPr>
        <w:spacing w:after="80" w:before="80"/>
      </w:pPr>
      <w:r>
        <w:rPr>
          <w:rFonts w:ascii="Arial" w:cs="Arial" w:eastAsia="Arial" w:hAnsi="Arial"/>
          <w:color w:val="0F0F1A"/>
          <w:sz w:val="22"/>
          <w:szCs w:val="22"/>
        </w:rPr>
        <w:t xml:space="preserve">Si la deadline expire sans que l'objectif soit atteint ou sans que les validations suffisantes soient recueillies — n'importe qui peut appeler la fonction refund(). Chaque membre recoit exactement ce qu'il a contribue. Aucune commission.</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4.5 Acces sans crypto — on-ramp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28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45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Methode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Europe / USA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Transak ou MoonPay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Carte Visa / Mastercard / Apple Pay</w:t>
            </w:r>
          </w:p>
        </w:tc>
      </w:tr>
      <w:tr>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Afrique</w:t>
            </w:r>
          </w:p>
        </w:tc>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Binance P2P</w:t>
            </w:r>
          </w:p>
        </w:tc>
        <w:tc>
          <w:tcPr>
            <w:tcW w:type="dxa" w:w="4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M-Pesa, Orange Money, MTN, Wave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Afrique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Yellow Card / Kotani Pay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Mobile Money — API directe</w:t>
            </w:r>
          </w:p>
        </w:tc>
      </w:tr>
      <w:tr>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Asie</w:t>
            </w:r>
          </w:p>
        </w:tc>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Binance P2P</w:t>
            </w:r>
          </w:p>
        </w:tc>
        <w:tc>
          <w:tcPr>
            <w:tcW w:type="dxa" w:w="4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GCash, bKash, TrueMoney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Tous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Safe Card Visa</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Depenser les USDT directement — off-ramp natif</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5. Business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320"/>
              <w:bottom w:type="dxa" w:w="160"/>
              <w:right w:type="dxa" w:w="320"/>
            </w:tcMar>
          </w:tcPr>
          <w:p>
            <w:r>
              <w:rPr>
                <w:rFonts w:ascii="Arial" w:cs="Arial" w:eastAsia="Arial" w:hAnsi="Arial"/>
                <w:b/>
                <w:bCs/>
                <w:i/>
                <w:iCs/>
                <w:color w:val="7C3AED"/>
                <w:sz w:val="24"/>
                <w:szCs w:val="24"/>
              </w:rPr>
              <w:t xml:space="preserve">PerShare gagne de l'argent quand ses utilisateurs font des transactions. Pas avant.</w:t>
            </w:r>
          </w:p>
        </w:tc>
      </w:tr>
    </w:tbl>
    <w:p>
      <w:pPr>
        <w:spacing w:after="100" w:before="100"/>
      </w:pPr>
      <w:r>
        <w:t xml:space="preserve"/>
      </w:r>
    </w:p>
    <w:p>
      <w:pPr>
        <w:pStyle w:val="Heading2"/>
        <w:spacing w:after="160" w:before="320"/>
      </w:pPr>
      <w:r>
        <w:rPr>
          <w:rFonts w:ascii="Arial" w:cs="Arial" w:eastAsia="Arial" w:hAnsi="Arial"/>
          <w:b/>
          <w:bCs/>
          <w:color w:val="7C3AED"/>
          <w:sz w:val="28"/>
          <w:szCs w:val="28"/>
        </w:rPr>
        <w:t xml:space="preserve">5.1 Commission — V1</w:t>
      </w:r>
    </w:p>
    <w:p>
      <w:pPr>
        <w:spacing w:after="80" w:before="80"/>
      </w:pPr>
      <w:r>
        <w:rPr>
          <w:rFonts w:ascii="Arial" w:cs="Arial" w:eastAsia="Arial" w:hAnsi="Arial"/>
          <w:color w:val="0F0F1A"/>
          <w:sz w:val="22"/>
          <w:szCs w:val="22"/>
        </w:rPr>
        <w:t xml:space="preserve">1% preleve automatiquement sur chaque envoi de Phase 1. Calcule en basis points dans le smart contract : 100 / 10 000. Envoye vers le wallet owner dans la meme transaction atomique. Aucune commission sur les remboursements ni sur la redistribution de tokens en Phase 2.</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5.2 Projection de revenus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Pools / mois</w:t>
            </w:r>
          </w:p>
        </w:tc>
        <w:tc>
          <w:tcPr>
            <w:tcW w:type="dxa" w:w="1872"/>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Volume moyen</w:t>
            </w:r>
          </w:p>
        </w:tc>
        <w:tc>
          <w:tcPr>
            <w:tcW w:type="dxa" w:w="2808"/>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Volume total</w:t>
            </w:r>
          </w:p>
        </w:tc>
        <w:tc>
          <w:tcPr>
            <w:tcW w:type="dxa" w:w="2808"/>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Revenus PerShare (1%)</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500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50 000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500 USDT</w:t>
            </w:r>
          </w:p>
        </w:tc>
      </w:tr>
      <w:tr>
        <w:tc>
          <w:tcPr>
            <w:tcW w:type="dxa" w:w="1872"/>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500</w:t>
            </w:r>
          </w:p>
        </w:tc>
        <w:tc>
          <w:tcPr>
            <w:tcW w:type="dxa" w:w="1872"/>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500 USDT</w:t>
            </w:r>
          </w:p>
        </w:tc>
        <w:tc>
          <w:tcPr>
            <w:tcW w:type="dxa" w:w="2808"/>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250 000 USDT</w:t>
            </w:r>
          </w:p>
        </w:tc>
        <w:tc>
          <w:tcPr>
            <w:tcW w:type="dxa" w:w="2808"/>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2 500 USDT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1 000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1 000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1 000 000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10 000 USDT</w:t>
            </w:r>
          </w:p>
        </w:tc>
      </w:tr>
      <w:tr>
        <w:tc>
          <w:tcPr>
            <w:tcW w:type="dxa" w:w="1872"/>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5 000</w:t>
            </w:r>
          </w:p>
        </w:tc>
        <w:tc>
          <w:tcPr>
            <w:tcW w:type="dxa" w:w="1872"/>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1 000 USDT</w:t>
            </w:r>
          </w:p>
        </w:tc>
        <w:tc>
          <w:tcPr>
            <w:tcW w:type="dxa" w:w="2808"/>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5 000 000 USDT</w:t>
            </w:r>
          </w:p>
        </w:tc>
        <w:tc>
          <w:tcPr>
            <w:tcW w:type="dxa" w:w="2808"/>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50 000 USDT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10 000</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2 000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20 000 000 USDT</w:t>
            </w:r>
          </w:p>
        </w:tc>
        <w:tc>
          <w:tcPr>
            <w:tcW w:type="dxa" w:w="280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200 000 USDT</w:t>
            </w:r>
          </w:p>
        </w:tc>
      </w:tr>
    </w:tbl>
    <w:p>
      <w:pPr>
        <w:spacing w:after="100" w:before="100"/>
      </w:pPr>
      <w:r>
        <w:t xml:space="preserve"/>
      </w:r>
    </w:p>
    <w:p>
      <w:pPr>
        <w:pStyle w:val="Heading2"/>
        <w:spacing w:after="160" w:before="320"/>
      </w:pPr>
      <w:r>
        <w:rPr>
          <w:rFonts w:ascii="Arial" w:cs="Arial" w:eastAsia="Arial" w:hAnsi="Arial"/>
          <w:b/>
          <w:bCs/>
          <w:color w:val="7C3AED"/>
          <w:sz w:val="28"/>
          <w:szCs w:val="28"/>
        </w:rPr>
        <w:t xml:space="preserve">5.3 Evolution du business model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61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Modele de revenus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Lancement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 commission sur chaque envoi</w:t>
            </w:r>
          </w:p>
        </w:tc>
      </w:tr>
      <w:tr>
        <w:tc>
          <w:tcPr>
            <w:tcW w:type="dxa" w:w="1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V2</w:t>
            </w:r>
          </w:p>
        </w:tc>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Mois 6-12</w:t>
            </w:r>
          </w:p>
        </w:tc>
        <w:tc>
          <w:tcPr>
            <w:tcW w:type="dxa" w:w="61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Freemium — Free 2% / Pro 20 USDT/mois + 0.5%</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Mois 6-12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On-ramp partenaire — partage de commission Transak / MoonPay</w:t>
            </w:r>
          </w:p>
        </w:tc>
      </w:tr>
      <w:tr>
        <w:tc>
          <w:tcPr>
            <w:tcW w:type="dxa" w:w="12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V3</w:t>
            </w:r>
          </w:p>
        </w:tc>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Annee 2</w:t>
            </w:r>
          </w:p>
        </w:tc>
        <w:tc>
          <w:tcPr>
            <w:tcW w:type="dxa" w:w="61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API B2B pour plateformes partenaires — volume pricing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Annee 2</w:t>
            </w:r>
          </w:p>
        </w:tc>
        <w:tc>
          <w:tcPr>
            <w:tcW w:type="dxa" w:w="6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Token $SHARE si utilite prouvee par l'usage — governance + acces</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6. Marche addressable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6.1 Marche primaire — Crypto / BNB Chain</w:t>
      </w:r>
    </w:p>
    <w:p>
      <w:pPr>
        <w:spacing w:after="80" w:before="80"/>
      </w:pPr>
      <w:r>
        <w:rPr>
          <w:rFonts w:ascii="Arial" w:cs="Arial" w:eastAsia="Arial" w:hAnsi="Arial"/>
          <w:color w:val="0F0F1A"/>
          <w:sz w:val="22"/>
          <w:szCs w:val="22"/>
        </w:rPr>
        <w:t xml:space="preserve">BNB Chain est la blockchain avec le plus de presales actifs au monde. Des plateformes comme PinkSale, DxSale et Gempad traitent des dizaines de presales par jour. Chaque presale a en moyenne des centaines de souscripteurs potentiels qui ne peuvent pas atteindre le ticket minimum seuls. PerShare capture directement ce marche en s'inserant entre le souscripteur et le presale.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6.2 Marche secondaire — Pool collective grand public</w:t>
      </w:r>
    </w:p>
    <w:p>
      <w:pPr>
        <w:spacing w:after="80" w:before="80"/>
      </w:pPr>
      <w:r>
        <w:rPr>
          <w:rFonts w:ascii="Arial" w:cs="Arial" w:eastAsia="Arial" w:hAnsi="Arial"/>
          <w:color w:val="0F0F1A"/>
          <w:sz w:val="22"/>
          <w:szCs w:val="22"/>
        </w:rPr>
        <w:t xml:space="preserve">La gestion de depenses collectives — voyages, cadeaux, locations, charges — represente un marche massif. Splitwise compte plus de 50 millions d'utilisateurs. Lydia a traite plus de 3 milliards d'euros de transactions. Ces plateformes sont 100% Web2. PerShare apporte la couche onchain — verification, transparence, automatisation — a un besoin qui existe deja.</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6.3 Marche tertiaire — Tontines et pools informelles</w:t>
      </w:r>
    </w:p>
    <w:p>
      <w:pPr>
        <w:spacing w:after="80" w:before="80"/>
      </w:pPr>
      <w:r>
        <w:rPr>
          <w:rFonts w:ascii="Arial" w:cs="Arial" w:eastAsia="Arial" w:hAnsi="Arial"/>
          <w:color w:val="0F0F1A"/>
          <w:sz w:val="22"/>
          <w:szCs w:val="22"/>
        </w:rPr>
        <w:t xml:space="preserve">La tontine est pratiquee par plus de 600 millions de personnes dans le monde — principalement en Afrique subsaharienne, en Asie du Sud-Est, et dans les diasporas. Le marche informel des tontines est estime a plusieurs centaines de milliards de dollars par an. PerShare est la premiere solution onchain accessible via Mobile Money qui adresse directement ce marche.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Taille estimee</w:t>
            </w:r>
          </w:p>
        </w:tc>
        <w:tc>
          <w:tcPr>
            <w:tcW w:type="dxa" w:w="33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Penetration cible Y1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Group buy presale BNB Chain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10 000+ presales/an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 des souscripteurs</w:t>
            </w:r>
          </w:p>
        </w:tc>
      </w:tr>
      <w:tr>
        <w:tc>
          <w:tcPr>
            <w:tcW w:type="dxa" w:w="3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Pool collective grand public</w:t>
            </w:r>
          </w:p>
        </w:tc>
        <w:tc>
          <w:tcPr>
            <w:tcW w:type="dxa" w:w="3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50M+ utilisateurs Splitwise</w:t>
            </w:r>
          </w:p>
        </w:tc>
        <w:tc>
          <w:tcPr>
            <w:tcW w:type="dxa" w:w="3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0.1% convertion crypto</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Tontines Afrique / Asie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600M+ pratiquants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Via Mobile Money P2P</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7. Positionnement concurrentiel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680"/>
      </w:tblGrid>
      <w:tr>
        <w:tc>
          <w:tcPr>
            <w:tcW w:type="dxa" w:w="24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2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PerShare</w:t>
            </w:r>
          </w:p>
        </w:tc>
        <w:tc>
          <w:tcPr>
            <w:tcW w:type="dxa" w:w="132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Gnosis Safe</w:t>
            </w:r>
          </w:p>
        </w:tc>
        <w:tc>
          <w:tcPr>
            <w:tcW w:type="dxa" w:w="132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Zealy</w:t>
            </w:r>
          </w:p>
        </w:tc>
        <w:tc>
          <w:tcPr>
            <w:tcW w:type="dxa" w:w="132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Splitwise</w:t>
            </w:r>
          </w:p>
        </w:tc>
        <w:tc>
          <w:tcPr>
            <w:tcW w:type="dxa" w:w="168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Juicebox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Group buy presale</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 — natif</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r>
      <w:tr>
        <w:tc>
          <w:tcPr>
            <w:tcW w:type="dxa" w:w="24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Redistribution tokens auto</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Manuel</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68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Pool collective</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 — fiat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r>
      <w:tr>
        <w:tc>
          <w:tcPr>
            <w:tcW w:type="dxa" w:w="24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Mobile Money</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Via P2P guide</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68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Commission</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1%</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Gratuit</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Abonnement</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Gratuit</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Abonnement</w:t>
            </w:r>
          </w:p>
        </w:tc>
      </w:tr>
      <w:tr>
        <w:tc>
          <w:tcPr>
            <w:tcW w:type="dxa" w:w="24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Complexite technique</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Faible</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Elevee</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Moyenne</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Nulle</w:t>
            </w:r>
          </w:p>
        </w:tc>
        <w:tc>
          <w:tcPr>
            <w:tcW w:type="dxa" w:w="168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Moyenne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Non-custodial</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Oui</w:t>
            </w:r>
          </w:p>
        </w:tc>
      </w:tr>
      <w:tr>
        <w:tc>
          <w:tcPr>
            <w:tcW w:type="dxa" w:w="24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BNB Chain natif</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Oui</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32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c>
          <w:tcPr>
            <w:tcW w:type="dxa" w:w="168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Non</w:t>
            </w:r>
          </w:p>
        </w:tc>
      </w:tr>
    </w:tbl>
    <w:p>
      <w:pPr>
        <w:spacing w:after="100" w:before="100"/>
      </w:pPr>
      <w:r>
        <w:t xml:space="preserve"/>
      </w:r>
    </w:p>
    <w:p>
      <w:pPr>
        <w:spacing w:after="80" w:before="80"/>
      </w:pPr>
      <w:r>
        <w:rPr>
          <w:rFonts w:ascii="Arial" w:cs="Arial" w:eastAsia="Arial" w:hAnsi="Arial"/>
          <w:color w:val="0F0F1A"/>
          <w:sz w:val="22"/>
          <w:szCs w:val="22"/>
        </w:rPr>
        <w:t xml:space="preserve">PerShare est le seul produit qui combine pool collective, redistribution automatique de tokens BEP-20, et accessibilite Mobile Money dans un seul contrat non-custodial sur BNB Chain.</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8. Roadmap</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Periode</w:t>
            </w:r>
          </w:p>
        </w:tc>
        <w:tc>
          <w:tcPr>
            <w:tcW w:type="dxa" w:w="55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Objectifs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Phase 1 — Dev</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Semaines 1-2</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Contrat finalise — tests unitaires complets — deploiement BNB Testnet</w:t>
            </w:r>
          </w:p>
        </w:tc>
      </w:tr>
      <w:tr>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Phase 2 — Interface</w:t>
            </w:r>
          </w:p>
        </w:tc>
        <w:tc>
          <w:tcPr>
            <w:tcW w:type="dxa" w:w="1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Semaines 3-4</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Frontend mobile-first — 9 ecrans — integration RainbowKit / wagmi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Phase 3 — Demo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Semaine 5</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Demo live fonctionnelle — corrections bugs — beta privee</w:t>
            </w:r>
          </w:p>
        </w:tc>
      </w:tr>
      <w:tr>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Phase 4 — Audit</w:t>
            </w:r>
          </w:p>
        </w:tc>
        <w:tc>
          <w:tcPr>
            <w:tcW w:type="dxa" w:w="1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Mois 2-3</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Audit securite — rapport publie — corrections post-audit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Phase 5 — Mainnet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Mois 3-4</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Deploiement BNB Mainnet — lancement public — premiers SHAREs reels</w:t>
            </w:r>
          </w:p>
        </w:tc>
      </w:tr>
      <w:tr>
        <w:tc>
          <w:tcPr>
            <w:tcW w:type="dxa" w:w="20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V2</w:t>
            </w:r>
          </w:p>
        </w:tc>
        <w:tc>
          <w:tcPr>
            <w:tcW w:type="dxa" w:w="1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Mois 6-12</w:t>
            </w:r>
          </w:p>
        </w:tc>
        <w:tc>
          <w:tcPr>
            <w:tcW w:type="dxa" w:w="5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On-ramp Transak integre — freemium — cancel/pause — distribution USDT interne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Annee 2</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API B2B — partenariats Mobile Money Afrique — multichain EVM optionnel</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9. Cadre juridique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9.1 Protocole non-custodial</w:t>
      </w:r>
    </w:p>
    <w:p>
      <w:pPr>
        <w:spacing w:after="80" w:before="80"/>
      </w:pPr>
      <w:r>
        <w:rPr>
          <w:rFonts w:ascii="Arial" w:cs="Arial" w:eastAsia="Arial" w:hAnsi="Arial"/>
          <w:color w:val="0F0F1A"/>
          <w:sz w:val="22"/>
          <w:szCs w:val="22"/>
        </w:rPr>
        <w:t xml:space="preserve">PerShare n'est pas un etablissement de paiement. Il ne custodise pas les fonds des utilisateurs. Les fonds sont dans le smart contract, gouvernes par un code open-source et audite. PerShare est l'auteur du code — pas l'operateur financier. Ce modele est identique a celui d'Uniswap, PancakeSwap, et Aave.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9.2 Commission et fiscalite</w:t>
      </w:r>
    </w:p>
    <w:p>
      <w:pPr>
        <w:spacing w:after="80" w:before="80"/>
      </w:pPr>
      <w:r>
        <w:rPr>
          <w:rFonts w:ascii="Arial" w:cs="Arial" w:eastAsia="Arial" w:hAnsi="Arial"/>
          <w:color w:val="0F0F1A"/>
          <w:sz w:val="22"/>
          <w:szCs w:val="22"/>
        </w:rPr>
        <w:t xml:space="preserve">La commission de 1% est un revenu de service — pas un revenu financier. Elle sera declaree selon la juridiction de domiciliation choisie. PerShare sera domicilie en Suisse (Zoug) ou en France sous statut PSAN selon les conditions definitives — avec l'accompagnement d'un conseil juridique specialise crypto.</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9.3 Pas de token au lancement</w:t>
      </w:r>
    </w:p>
    <w:p>
      <w:pPr>
        <w:spacing w:after="80" w:before="80"/>
      </w:pPr>
      <w:r>
        <w:rPr>
          <w:rFonts w:ascii="Arial" w:cs="Arial" w:eastAsia="Arial" w:hAnsi="Arial"/>
          <w:color w:val="0F0F1A"/>
          <w:sz w:val="22"/>
          <w:szCs w:val="22"/>
        </w:rPr>
        <w:t xml:space="preserve">PerShare ne lance pas de token au lancement. Il n'y a pas de presale de token, pas de promesse de rendement, pas de revenue share explicite. Le modele de revenus est une commission de service onchain. Un token $SHARE pourra etre envisage en V3 uniquement si une utilite reelle est identifiee par l'usage — avec conseil juridique complet.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Avertissement: </w:t>
            </w:r>
            <w:r>
              <w:rPr>
                <w:rFonts w:ascii="Arial" w:cs="Arial" w:eastAsia="Arial" w:hAnsi="Arial"/>
                <w:color w:val="D97706"/>
                <w:sz w:val="20"/>
                <w:szCs w:val="20"/>
              </w:rPr>
              <w:t xml:space="preserve">Ce whitepaper est un document informatif. Il ne constitue pas une offre de valeurs mobilieres, une invitation a investir, ni un conseil financier. PerShare ne fait aucune promesse de rendement.</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10. Equipe et vision</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10.1 Mode solo — bootstrapped</w:t>
      </w:r>
    </w:p>
    <w:p>
      <w:pPr>
        <w:spacing w:after="80" w:before="80"/>
      </w:pPr>
      <w:r>
        <w:rPr>
          <w:rFonts w:ascii="Arial" w:cs="Arial" w:eastAsia="Arial" w:hAnsi="Arial"/>
          <w:color w:val="0F0F1A"/>
          <w:sz w:val="22"/>
          <w:szCs w:val="22"/>
        </w:rPr>
        <w:t xml:space="preserve">PerShare est developpe en mode solo bootstrapped. Pas d'investisseurs, pas de pression externe, pas de token a vendre. Le produit est construit d'abord — les revenus prouvent le concept — le capital s'ouvre ensuite si necessaire depuis une position de force.</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10.2 Vision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DE9FE" w:val="clear"/>
            <w:tcMar>
              <w:top w:type="dxa" w:w="160"/>
              <w:left w:type="dxa" w:w="320"/>
              <w:bottom w:type="dxa" w:w="160"/>
              <w:right w:type="dxa" w:w="320"/>
            </w:tcMar>
          </w:tcPr>
          <w:p>
            <w:r>
              <w:rPr>
                <w:rFonts w:ascii="Arial" w:cs="Arial" w:eastAsia="Arial" w:hAnsi="Arial"/>
                <w:b/>
                <w:bCs/>
                <w:i/>
                <w:iCs/>
                <w:color w:val="7C3AED"/>
                <w:sz w:val="24"/>
                <w:szCs w:val="24"/>
              </w:rPr>
              <w:t xml:space="preserve">Dans 5 ans, quand quelqu'un veut faire quelque chose avec un groupe — financer, payer, investir — la premiere question sera : tu as cree le SHARE ?</w:t>
            </w:r>
          </w:p>
        </w:tc>
      </w:tr>
    </w:tbl>
    <w:p>
      <w:pPr>
        <w:spacing w:after="100" w:before="100"/>
      </w:pPr>
      <w:r>
        <w:t xml:space="preserve"/>
      </w:r>
    </w:p>
    <w:p>
      <w:pPr>
        <w:spacing w:after="80" w:before="80"/>
      </w:pPr>
      <w:r>
        <w:rPr>
          <w:rFonts w:ascii="Arial" w:cs="Arial" w:eastAsia="Arial" w:hAnsi="Arial"/>
          <w:color w:val="0F0F1A"/>
          <w:sz w:val="22"/>
          <w:szCs w:val="22"/>
        </w:rPr>
        <w:t xml:space="preserve">PerShare veut devenir la primitive financiere collective de reference sur BNB Chain — aussi naturelle que le virement bancaire pour les individus, aussi universelle que la tontine pour les communautes.</w:t>
      </w:r>
    </w:p>
    <w:p>
      <w:pPr>
        <w:spacing w:after="100" w:before="100"/>
      </w:pPr>
      <w:r>
        <w:t xml:space="preserve"/>
      </w:r>
    </w:p>
    <w:p>
      <w:pPr>
        <w:pStyle w:val="Heading2"/>
        <w:spacing w:after="160" w:before="320"/>
      </w:pPr>
      <w:r>
        <w:rPr>
          <w:rFonts w:ascii="Arial" w:cs="Arial" w:eastAsia="Arial" w:hAnsi="Arial"/>
          <w:b/>
          <w:bCs/>
          <w:color w:val="7C3AED"/>
          <w:sz w:val="28"/>
          <w:szCs w:val="28"/>
        </w:rPr>
        <w:t xml:space="preserve">10.3 Principes fondateurs</w:t>
      </w:r>
    </w:p>
    <w:p>
      <w:pPr>
        <w:pStyle w:val="ListParagraph"/>
        <w:numPr>
          <w:ilvl w:val="0"/>
          <w:numId w:val="2"/>
        </w:numPr>
        <w:spacing w:after="60" w:before="60"/>
      </w:pPr>
      <w:r>
        <w:rPr>
          <w:rFonts w:ascii="Arial" w:cs="Arial" w:eastAsia="Arial" w:hAnsi="Arial"/>
          <w:color w:val="0F0F1A"/>
          <w:sz w:val="22"/>
          <w:szCs w:val="22"/>
        </w:rPr>
        <w:t xml:space="preserve">Non-custodial d'abord — les fonds appartiennent toujours a leurs proprietaires</w:t>
      </w:r>
    </w:p>
    <w:p>
      <w:pPr>
        <w:pStyle w:val="ListParagraph"/>
        <w:numPr>
          <w:ilvl w:val="0"/>
          <w:numId w:val="2"/>
        </w:numPr>
        <w:spacing w:after="60" w:before="60"/>
      </w:pPr>
      <w:r>
        <w:rPr>
          <w:rFonts w:ascii="Arial" w:cs="Arial" w:eastAsia="Arial" w:hAnsi="Arial"/>
          <w:color w:val="0F0F1A"/>
          <w:sz w:val="22"/>
          <w:szCs w:val="22"/>
        </w:rPr>
        <w:t xml:space="preserve">Simple avant puissant — une seule fonction bien faite vaut mieux que dix mal faites</w:t>
      </w:r>
    </w:p>
    <w:p>
      <w:pPr>
        <w:pStyle w:val="ListParagraph"/>
        <w:numPr>
          <w:ilvl w:val="0"/>
          <w:numId w:val="2"/>
        </w:numPr>
        <w:spacing w:after="60" w:before="60"/>
      </w:pPr>
      <w:r>
        <w:rPr>
          <w:rFonts w:ascii="Arial" w:cs="Arial" w:eastAsia="Arial" w:hAnsi="Arial"/>
          <w:color w:val="0F0F1A"/>
          <w:sz w:val="22"/>
          <w:szCs w:val="22"/>
        </w:rPr>
        <w:t xml:space="preserve">Revenue d'abord — pas de token speculatif avant un revenu prouve</w:t>
      </w:r>
    </w:p>
    <w:p>
      <w:pPr>
        <w:pStyle w:val="ListParagraph"/>
        <w:numPr>
          <w:ilvl w:val="0"/>
          <w:numId w:val="2"/>
        </w:numPr>
        <w:spacing w:after="60" w:before="60"/>
      </w:pPr>
      <w:r>
        <w:rPr>
          <w:rFonts w:ascii="Arial" w:cs="Arial" w:eastAsia="Arial" w:hAnsi="Arial"/>
          <w:color w:val="0F0F1A"/>
          <w:sz w:val="22"/>
          <w:szCs w:val="22"/>
        </w:rPr>
        <w:t xml:space="preserve">Mobile Money natif — l'Afrique et l'Asie ne sont pas des marches secondaires</w:t>
      </w:r>
    </w:p>
    <w:p>
      <w:pPr>
        <w:pStyle w:val="ListParagraph"/>
        <w:numPr>
          <w:ilvl w:val="0"/>
          <w:numId w:val="2"/>
        </w:numPr>
        <w:spacing w:after="60" w:before="60"/>
      </w:pPr>
      <w:r>
        <w:rPr>
          <w:rFonts w:ascii="Arial" w:cs="Arial" w:eastAsia="Arial" w:hAnsi="Arial"/>
          <w:color w:val="0F0F1A"/>
          <w:sz w:val="22"/>
          <w:szCs w:val="22"/>
        </w:rPr>
        <w:t xml:space="preserve">Code ouvert — le contrat est verifiable par tous sur BscScan</w:t>
      </w:r>
    </w:p>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11. Facteurs de risque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97706" w:sz="12"/>
              <w:bottom w:val="none" w:color="FFFFFF" w:sz="0"/>
              <w:right w:val="none" w:color="FFFFFF" w:sz="0"/>
            </w:tcBorders>
            <w:shd w:fill="FEF3C7" w:val="clear"/>
            <w:tcMar>
              <w:top w:type="dxa" w:w="120"/>
              <w:left w:type="dxa" w:w="200"/>
              <w:bottom w:type="dxa" w:w="120"/>
              <w:right w:type="dxa" w:w="200"/>
            </w:tcMar>
          </w:tcPr>
          <w:p>
            <w:r>
              <w:rPr>
                <w:rFonts w:ascii="Arial" w:cs="Arial" w:eastAsia="Arial" w:hAnsi="Arial"/>
                <w:b/>
                <w:bCs/>
                <w:color w:val="D97706"/>
                <w:sz w:val="20"/>
                <w:szCs w:val="20"/>
              </w:rPr>
              <w:t xml:space="preserve">Important: </w:t>
            </w:r>
            <w:r>
              <w:rPr>
                <w:rFonts w:ascii="Arial" w:cs="Arial" w:eastAsia="Arial" w:hAnsi="Arial"/>
                <w:color w:val="D97706"/>
                <w:sz w:val="20"/>
                <w:szCs w:val="20"/>
              </w:rPr>
              <w:t xml:space="preserve">Tout investissement ou utilisation d'un protocole DeFi comporte des risques. Cette section les presente honnêtement.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5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Nature</w:t>
            </w:r>
          </w:p>
        </w:tc>
        <w:tc>
          <w:tcPr>
            <w:tcW w:type="dxa" w:w="53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Bug dans le smart contract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Technique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Audit obligatoire avant mainnet — tests unitaires complets</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Hack du contrat</w:t>
            </w:r>
          </w:p>
        </w:tc>
        <w:tc>
          <w:tcPr>
            <w:tcW w:type="dxa" w:w="1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Technique</w:t>
            </w:r>
          </w:p>
        </w:tc>
        <w:tc>
          <w:tcPr>
            <w:tcW w:type="dxa" w:w="5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ReentrancyGuard — pattern CEI — non-upgradeable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Volatilite USDT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Marche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USDT est un stablecoin — risque minimal</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Adoption lente</w:t>
            </w:r>
          </w:p>
        </w:tc>
        <w:tc>
          <w:tcPr>
            <w:tcW w:type="dxa" w:w="1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Business</w:t>
            </w:r>
          </w:p>
        </w:tc>
        <w:tc>
          <w:tcPr>
            <w:tcW w:type="dxa" w:w="5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Cas d'usage presale tres concret et immediat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Regulation hostile crypto</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Juridique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Modele non-custodial — pas d'operation financiere</w:t>
            </w:r>
          </w:p>
        </w:tc>
      </w:tr>
      <w:tr>
        <w:tc>
          <w:tcPr>
            <w:tcW w:type="dxa" w:w="2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Concurrence</w:t>
            </w:r>
          </w:p>
        </w:tc>
        <w:tc>
          <w:tcPr>
            <w:tcW w:type="dxa" w:w="15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Business</w:t>
            </w:r>
          </w:p>
        </w:tc>
        <w:tc>
          <w:tcPr>
            <w:tcW w:type="dxa" w:w="53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Aucun concurrent direct sur le group buy presale BNB Chain</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BNB Chain downtime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Infrastructure</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BNB Chain uptime &gt; 99.9% historiquement</w:t>
            </w:r>
          </w:p>
        </w:tc>
      </w:tr>
    </w:tbl>
    <w:p>
      <w:r>
        <w:br w:type="page"/>
      </w:r>
    </w:p>
    <w:p>
      <w:pPr>
        <w:pStyle w:val="Heading1"/>
        <w:pBdr>
          <w:bottom w:val="single" w:color="7C3AED" w:sz="6" w:space="6"/>
        </w:pBdr>
        <w:spacing w:after="240" w:before="480"/>
      </w:pPr>
      <w:r>
        <w:rPr>
          <w:rFonts w:ascii="Arial" w:cs="Arial" w:eastAsia="Arial" w:hAnsi="Arial"/>
          <w:b/>
          <w:bCs/>
          <w:color w:val="0F0F1A"/>
          <w:sz w:val="36"/>
          <w:szCs w:val="36"/>
        </w:rPr>
        <w:t xml:space="preserve">12. Glossaire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560"/>
            <w:tcBorders>
              <w:top w:val="single" w:color="DDDDDD" w:sz="1"/>
              <w:left w:val="single" w:color="DDDDDD" w:sz="1"/>
              <w:bottom w:val="single" w:color="DDDDDD" w:sz="1"/>
              <w:right w:val="single" w:color="DDDDDD" w:sz="1"/>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SHARE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Un accord collectif cree sur PerShare — pool, transfert ou group buy</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BEP-20</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Standard de token sur BNB Chain — techniquement identique a ERC-20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Non-custodial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Le protocole ne detient pas les fonds — le smart contract le fait</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Threshold</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Nombre minimum de validations pour declencher l'envoi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Phase 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Collecte USDT + validation + envoi vers destination presale</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Phase 2</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Reception tokens BEP-20 + validation + redistribution aux membres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Group buy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Souscription collective a un presale ou achat groupe</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Tontine</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Systeme de pool collective informelle pratique en Afrique et Asie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On-ramp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Service qui convertit des devises fiat en crypto</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Off-ramp</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Service qui convertit des crypto en devises fiat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Mobile Money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Service de paiement via telephone mobile — M-Pesa, Orange Money, MTN</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Basis Points</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Unite de mesure : 100 bps = 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ReentrancyGuard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Protection contre les attaques de reentrance sur les smart contracts</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BscScan</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Explorateur de blocs BNB Chain — verification publique des transactions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ICO differee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F0F1A"/>
                <w:sz w:val="20"/>
                <w:szCs w:val="20"/>
              </w:rPr>
              <w:t xml:space="preserve">Presale ou les tokens sont distribues semaines ou mois apres la souscription</w:t>
            </w:r>
          </w:p>
        </w:tc>
      </w:tr>
      <w:tr>
        <w:tc>
          <w:tcPr>
            <w:tcW w:type="dxa" w:w="280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CEI</w:t>
            </w:r>
          </w:p>
        </w:tc>
        <w:tc>
          <w:tcPr>
            <w:tcW w:type="dxa" w:w="6560"/>
            <w:tcBorders>
              <w:top w:val="single" w:color="DDDDDD" w:sz="1"/>
              <w:left w:val="single" w:color="DDDDDD" w:sz="1"/>
              <w:bottom w:val="single" w:color="DDDDDD" w:sz="1"/>
              <w:right w:val="single" w:color="DDDDDD" w:sz="1"/>
            </w:tcBorders>
            <w:shd w:fill="F8F7FF" w:val="clear"/>
            <w:tcMar>
              <w:top w:type="dxa" w:w="80"/>
              <w:left w:type="dxa" w:w="120"/>
              <w:bottom w:type="dxa" w:w="80"/>
              <w:right w:type="dxa" w:w="120"/>
            </w:tcMar>
          </w:tcPr>
          <w:p>
            <w:r>
              <w:rPr>
                <w:rFonts w:ascii="Arial" w:cs="Arial" w:eastAsia="Arial" w:hAnsi="Arial"/>
                <w:color w:val="0F0F1A"/>
                <w:sz w:val="20"/>
                <w:szCs w:val="20"/>
              </w:rPr>
              <w:t xml:space="preserve">Checks-Effects-Interactions — pattern de securite Solidity</w:t>
            </w:r>
          </w:p>
        </w:tc>
      </w:tr>
    </w:tbl>
    <w:p>
      <w:pPr>
        <w:spacing w:after="100" w:before="100"/>
      </w:pPr>
      <w:r>
        <w:t xml:space="preserve"/>
      </w:r>
    </w:p>
    <w:p>
      <w:pPr>
        <w:spacing w:before="480"/>
        <w:jc w:val="center"/>
      </w:pPr>
      <w:r>
        <w:rPr>
          <w:rFonts w:ascii="Arial" w:cs="Arial" w:eastAsia="Arial" w:hAnsi="Arial"/>
          <w:i/>
          <w:iCs/>
          <w:color w:val="999999"/>
          <w:sz w:val="20"/>
          <w:szCs w:val="20"/>
        </w:rPr>
        <w:t xml:space="preserve">pershare.io — SHARE</w:t>
      </w:r>
    </w:p>
    <w:p>
      <w:pPr>
        <w:jc w:val="center"/>
      </w:pPr>
      <w:r>
        <w:rPr>
          <w:rFonts w:ascii="Arial" w:cs="Arial" w:eastAsia="Arial" w:hAnsi="Arial"/>
          <w:b/>
          <w:bCs/>
          <w:color w:val="7C3AED"/>
          <w:sz w:val="20"/>
          <w:szCs w:val="20"/>
        </w:rPr>
        <w:t xml:space="preserve">Chaque membre recoit sa part. Automatiquement.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Arial" w:cs="Arial" w:eastAsia="Arial" w:hAnsi="Arial"/>
      <w:b/>
      <w:bCs/>
      <w:color w:val="0F0F1A"/>
      <w:sz w:val="36"/>
      <w:szCs w:val="36"/>
    </w:rPr>
  </w:style>
  <w:style w:type="paragraph" w:styleId="Heading2">
    <w:name w:val="Heading 2"/>
    <w:basedOn w:val="Normal"/>
    <w:next w:val="Normal"/>
    <w:pPr>
      <w:spacing w:after="160" w:before="320"/>
      <w:outlineLvl w:val="1"/>
    </w:pPr>
    <w:rPr>
      <w:rFonts w:ascii="Arial" w:cs="Arial" w:eastAsia="Arial" w:hAnsi="Arial"/>
      <w:b/>
      <w:bCs/>
      <w:color w:val="7C3AED"/>
      <w:sz w:val="28"/>
      <w:szCs w:val="28"/>
    </w:rPr>
  </w:style>
  <w:style w:type="paragraph" w:styleId="Heading3">
    <w:name w:val="Heading 3"/>
    <w:basedOn w:val="Normal"/>
    <w:next w:val="Normal"/>
    <w:pPr>
      <w:spacing w:after="100" w:before="200"/>
      <w:outlineLvl w:val="2"/>
    </w:pPr>
    <w:rPr>
      <w:rFonts w:ascii="Arial" w:cs="Arial" w:eastAsia="Arial" w:hAnsi="Arial"/>
      <w:b/>
      <w:bCs/>
      <w:color w:val="0F0F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2026-06-18T13:54:52.337Z</dcterms:created>
  <dcterms:modified xsi:type="dcterms:W3CDTF">2026-06-18T13:54:52.350Z</dcterms:modified>
</cp:coreProperties>
</file>

<file path=docProps/custom.xml><?xml version="1.0" encoding="utf-8"?>
<Properties xmlns="http://schemas.openxmlformats.org/officeDocument/2006/custom-properties" xmlns:vt="http://schemas.openxmlformats.org/officeDocument/2006/docPropsVTypes"/>
</file>