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0.2 (Draft for sponsor review — adds imaging subsystem, §6.1)</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August 26, 2026</w:t>
            </w:r>
          </w:p>
        </w:tc>
      </w:tr>
      <w:tr>
        <w:tc>
          <w:tcPr>
            <w:tcW w:type="dxa" w:w="1050"/>
            <w:tcMar>
              <w:top w:type="dxa" w:w="55"/>
              <w:left w:type="dxa" w:w="90"/>
              <w:bottom w:type="dxa" w:w="55"/>
              <w:right w:type="dxa" w:w="90"/>
            </w:tcMar>
          </w:tcPr>
          <w:p>
            <w:pPr>
              <w:spacing w:after="0" w:line="240"/>
            </w:pPr>
            <w:r>
              <w:rPr>
                <w:b/>
                <w:bCs/>
                <w:i w:val="false"/>
                <w:iCs w:val="false"/>
              </w:rPr>
              <w:t xml:space="preserve">Authors</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(sponsor) with Claude</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630"/>
        <w:gridCol w:w="1050"/>
        <w:gridCol w:w="4422"/>
        <w:gridCol w:w="120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630"/>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422"/>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208"/>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422"/>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422"/>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422"/>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422"/>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422"/>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422"/>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422"/>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val="false"/>
                <w:bCs w:val="false"/>
                <w:i w:val="false"/>
                <w:iCs w:val="false"/>
              </w:rPr>
              <w:t xml:space="preserve">Unused ("free RAM") — the intended, but undocumented, code-injection landing zone</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(SIM tier, §6)</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0x2002_0FFF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64×64 8-bit grayscale (§6.1)</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The table ships with </w:t>
      </w:r>
      <w:r>
        <w:rPr>
          <w:b/>
          <w:bCs/>
          <w:i w:val="false"/>
          <w:iCs w:val="false"/>
        </w:rPr>
        <w:t xml:space="preserve">two empty slots</w:t>
      </w:r>
      <w:r>
        <w:rPr>
          <w:b w:val="false"/>
          <w:bCs w:val="false"/>
          <w:i w:val="false"/>
          <w:iCs w:val="false"/>
        </w:rPr>
        <w:t xml:space="preserve">.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small </w:t>
      </w:r>
      <w:r>
        <w:rPr>
          <w:b/>
          <w:bCs/>
          <w:i w:val="false"/>
          <w:iCs w:val="false"/>
        </w:rPr>
        <w:t xml:space="preserve">config block</w:t>
      </w:r>
      <w:r>
        <w:rPr>
          <w:b w:val="false"/>
          <w:bCs w:val="false"/>
          <w:i w:val="false"/>
          <w:iCs w:val="false"/>
        </w:rPr>
        <w:t xml:space="preserve"> in app data holds tunables: telemetry period, safe-mode thresholds, comms parameters. It is the target surface for "change mission parameters" objectives.</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2006"/>
        <w:gridCol w:w="3964"/>
        <w:gridCol w:w="234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2006"/>
            <w:shd w:fill="D9E2F3" w:val="clear"/>
            <w:tcMar>
              <w:top w:type="dxa" w:w="55"/>
              <w:left w:type="dxa" w:w="90"/>
              <w:bottom w:type="dxa" w:w="55"/>
              <w:right w:type="dxa" w:w="90"/>
            </w:tcMar>
          </w:tcPr>
          <w:p>
            <w:pPr>
              <w:spacing w:after="0" w:line="240"/>
            </w:pPr>
            <w:r>
              <w:rPr>
                <w:b/>
                <w:bCs/>
                <w:sz w:val="19"/>
                <w:szCs w:val="19"/>
              </w:rPr>
              <w:t xml:space="preserve">Args</w:t>
            </w:r>
          </w:p>
        </w:tc>
        <w:tc>
          <w:tcPr>
            <w:tcW w:type="dxa" w:w="3964"/>
            <w:shd w:fill="D9E2F3" w:val="clear"/>
            <w:tcMar>
              <w:top w:type="dxa" w:w="55"/>
              <w:left w:type="dxa" w:w="90"/>
              <w:bottom w:type="dxa" w:w="55"/>
              <w:right w:type="dxa" w:w="90"/>
            </w:tcMar>
          </w:tcPr>
          <w:p>
            <w:pPr>
              <w:spacing w:after="0" w:line="240"/>
            </w:pPr>
            <w:r>
              <w:rPr>
                <w:b/>
                <w:bCs/>
                <w:sz w:val="19"/>
                <w:szCs w:val="19"/>
              </w:rPr>
              <w:t xml:space="preserve">Action</w:t>
            </w:r>
          </w:p>
        </w:tc>
        <w:tc>
          <w:tcPr>
            <w:tcW w:type="dxa" w:w="2340"/>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2006"/>
            <w:tcMar>
              <w:top w:type="dxa" w:w="55"/>
              <w:left w:type="dxa" w:w="90"/>
              <w:bottom w:type="dxa" w:w="55"/>
              <w:right w:type="dxa" w:w="90"/>
            </w:tcMar>
          </w:tcPr>
          <w:p>
            <w:pPr>
              <w:spacing w:after="0" w:line="240"/>
            </w:pPr>
            <w:r>
              <w:rPr>
                <w:b w:val="false"/>
                <w:bCs w:val="false"/>
                <w:i w:val="false"/>
                <w:iCs w:val="false"/>
              </w:rPr>
              <w:t xml:space="preserve">—</w:t>
            </w:r>
          </w:p>
        </w:tc>
        <w:tc>
          <w:tcPr>
            <w:tcW w:type="dxa" w:w="3964"/>
            <w:tcMar>
              <w:top w:type="dxa" w:w="55"/>
              <w:left w:type="dxa" w:w="90"/>
              <w:bottom w:type="dxa" w:w="55"/>
              <w:right w:type="dxa" w:w="90"/>
            </w:tcMar>
          </w:tcPr>
          <w:p>
            <w:pPr>
              <w:spacing w:after="0" w:line="240"/>
            </w:pPr>
            <w:r>
              <w:rPr>
                <w:b w:val="false"/>
                <w:bCs w:val="false"/>
                <w:i w:val="false"/>
                <w:iCs w:val="false"/>
              </w:rPr>
              <w:t xml:space="preserve">Liveness</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2006"/>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3964"/>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2006"/>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3964"/>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2006"/>
            <w:tcMar>
              <w:top w:type="dxa" w:w="55"/>
              <w:left w:type="dxa" w:w="90"/>
              <w:bottom w:type="dxa" w:w="55"/>
              <w:right w:type="dxa" w:w="90"/>
            </w:tcMar>
          </w:tcPr>
          <w:p>
            <w:pPr>
              <w:spacing w:after="0" w:line="240"/>
            </w:pPr>
            <w:r>
              <w:rPr>
                <w:b w:val="false"/>
                <w:bCs w:val="false"/>
                <w:i w:val="false"/>
                <w:iCs w:val="false"/>
              </w:rPr>
              <w:t xml:space="preserve">—</w:t>
            </w:r>
          </w:p>
        </w:tc>
        <w:tc>
          <w:tcPr>
            <w:tcW w:type="dxa" w:w="3964"/>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2006"/>
            <w:tcMar>
              <w:top w:type="dxa" w:w="55"/>
              <w:left w:type="dxa" w:w="90"/>
              <w:bottom w:type="dxa" w:w="55"/>
              <w:right w:type="dxa" w:w="90"/>
            </w:tcMar>
          </w:tcPr>
          <w:p>
            <w:pPr>
              <w:spacing w:after="0" w:line="240"/>
            </w:pPr>
            <w:r>
              <w:rPr>
                <w:b w:val="false"/>
                <w:bCs w:val="false"/>
                <w:i w:val="false"/>
                <w:iCs w:val="false"/>
              </w:rPr>
              <w:t xml:space="preserve">—</w:t>
            </w:r>
          </w:p>
        </w:tc>
        <w:tc>
          <w:tcPr>
            <w:tcW w:type="dxa" w:w="3964"/>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2006"/>
            <w:tcMar>
              <w:top w:type="dxa" w:w="55"/>
              <w:left w:type="dxa" w:w="90"/>
              <w:bottom w:type="dxa" w:w="55"/>
              <w:right w:type="dxa" w:w="90"/>
            </w:tcMar>
          </w:tcPr>
          <w:p>
            <w:pPr>
              <w:spacing w:after="0" w:line="240"/>
            </w:pPr>
            <w:r>
              <w:rPr>
                <w:b w:val="false"/>
                <w:bCs w:val="false"/>
                <w:i w:val="false"/>
                <w:iCs w:val="false"/>
              </w:rPr>
              <w:t xml:space="preserve">—</w:t>
            </w:r>
          </w:p>
        </w:tc>
        <w:tc>
          <w:tcPr>
            <w:tcW w:type="dxa" w:w="3964"/>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bl>
    <w:p>
      <w:pPr>
        <w:spacing w:after="120"/>
      </w:pP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3"/>
        <w:gridCol w:w="7407"/>
      </w:tblGrid>
      <w:tr>
        <w:trPr>
          <w:tblHeader/>
        </w:trPr>
        <w:tc>
          <w:tcPr>
            <w:tcW w:type="dxa" w:w="1953"/>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7407"/>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953"/>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7407"/>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953"/>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7407"/>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953"/>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74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953"/>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7407"/>
            <w:tcMar>
              <w:top w:type="dxa" w:w="55"/>
              <w:left w:type="dxa" w:w="90"/>
              <w:bottom w:type="dxa" w:w="55"/>
              <w:right w:type="dxa" w:w="90"/>
            </w:tcMar>
          </w:tcPr>
          <w:p>
            <w:pPr>
              <w:spacing w:after="0" w:line="240"/>
            </w:pPr>
            <w:r>
              <w:rPr>
                <w:b w:val="false"/>
                <w:bCs w:val="false"/>
                <w:i w:val="false"/>
                <w:iCs w:val="false"/>
              </w:rPr>
              <w:t xml:space="preserve">Routine into 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or patch a call</w:t>
            </w:r>
          </w:p>
        </w:tc>
      </w:tr>
      <w:tr>
        <w:tc>
          <w:tcPr>
            <w:tcW w:type="dxa" w:w="1953"/>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7407"/>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command protocol (§8), the telemetry format minus AUX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catalog's</w:t>
      </w:r>
      <w:r>
        <w:rPr>
          <w:b w:val="false"/>
          <w:bCs w:val="false"/>
          <w:i w:val="false"/>
          <w:iCs w:val="false"/>
        </w:rPr>
        <w:t xml:space="preserve"> location and entry format — finding it </w:t>
      </w:r>
      <w:r>
        <w:rPr>
          <w:b w:val="false"/>
          <w:bCs w:val="false"/>
          <w:i/>
          <w:iCs/>
        </w:rPr>
        <w:t xml:space="preserve">is</w:t>
      </w:r>
      <w:r>
        <w:rPr>
          <w:b w:val="false"/>
          <w:bCs w:val="false"/>
          <w:i w:val="false"/>
          <w:iCs w:val="false"/>
        </w:rPr>
        <w:t xml:space="preserve"> the retargeting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physics/synthesis module, AUX channel, or any symbol file. Everything withheld is discoverable in the binary — that's the game.</w:t>
      </w:r>
    </w:p>
    <w:p>
      <w:pPr>
        <w:pStyle w:val="Heading1"/>
        <w:spacing w:after="140" w:before="300"/>
      </w:pPr>
      <w:r>
        <w:rPr>
          <w:b w:val="false"/>
          <w:bCs w:val="false"/>
          <w:i w:val="false"/>
          <w:iCs w:val="false"/>
        </w:rPr>
        <w:t xml:space="preserve">15. Open Questions for Sponsor Review</w:t>
      </w:r>
    </w:p>
    <w:p>
      <w:pPr>
        <w:pStyle w:val="ListParagraph"/>
        <w:numPr>
          <w:ilvl w:val="0"/>
          <w:numId w:val="3"/>
        </w:numPr>
        <w:spacing w:after="70" w:line="260"/>
      </w:pPr>
      <w:r>
        <w:rPr>
          <w:b/>
          <w:bCs/>
          <w:i w:val="false"/>
          <w:iCs w:val="false"/>
        </w:rPr>
        <w:t xml:space="preserve">Sensor suite &amp; fiction</w:t>
      </w:r>
      <w:r>
        <w:rPr>
          <w:b w:val="false"/>
          <w:bCs w:val="false"/>
          <w:i w:val="false"/>
          <w:iCs w:val="false"/>
        </w:rPr>
        <w:t xml:space="preserve">: is the lineup (§6) — six sensors plus the imaging subsystem — right, and do the names fit the mission fiction you want?</w:t>
      </w:r>
    </w:p>
    <w:p>
      <w:pPr>
        <w:pStyle w:val="ListParagraph"/>
        <w:numPr>
          <w:ilvl w:val="0"/>
          <w:numId w:val="3"/>
        </w:numPr>
        <w:spacing w:after="70" w:line="260"/>
      </w:pPr>
      <w:r>
        <w:rPr>
          <w:b/>
          <w:bCs/>
          <w:i w:val="false"/>
          <w:iCs w:val="false"/>
        </w:rPr>
        <w:t xml:space="preserve">`CALL` verb</w:t>
      </w:r>
      <w:r>
        <w:rPr>
          <w:b w:val="false"/>
          <w:bCs w:val="false"/>
          <w:i w:val="false"/>
          <w:iCs w:val="false"/>
        </w:rPr>
        <w:t xml:space="preserve">: agreed to omit (§8), or do you want it present but protection-gated as an easier on-ramp for a future intro course?</w:t>
      </w:r>
    </w:p>
    <w:p>
      <w:pPr>
        <w:pStyle w:val="ListParagraph"/>
        <w:numPr>
          <w:ilvl w:val="0"/>
          <w:numId w:val="3"/>
        </w:numPr>
        <w:spacing w:after="70" w:line="260"/>
      </w:pPr>
      <w:r>
        <w:rPr>
          <w:b/>
          <w:bCs/>
          <w:i w:val="false"/>
          <w:iCs w:val="false"/>
        </w:rPr>
        <w:t xml:space="preserve">AUX channel content</w:t>
      </w:r>
      <w:r>
        <w:rPr>
          <w:b w:val="false"/>
          <w:bCs w:val="false"/>
          <w:i w:val="false"/>
          <w:iCs w:val="false"/>
        </w:rPr>
        <w:t xml:space="preserve"> (§9): command-CRC echo, or something more scenario-specific?</w:t>
      </w:r>
    </w:p>
    <w:p>
      <w:pPr>
        <w:pStyle w:val="ListParagraph"/>
        <w:numPr>
          <w:ilvl w:val="0"/>
          <w:numId w:val="3"/>
        </w:numPr>
        <w:spacing w:after="70" w:line="260"/>
      </w:pPr>
      <w:r>
        <w:rPr>
          <w:b/>
          <w:bCs/>
          <w:i w:val="false"/>
          <w:iCs w:val="false"/>
        </w:rPr>
        <w:t xml:space="preserve">Cortex-M4 vs M3</w:t>
      </w:r>
      <w:r>
        <w:rPr>
          <w:b w:val="false"/>
          <w:bCs w:val="false"/>
          <w:i w:val="false"/>
          <w:iCs w:val="false"/>
        </w:rPr>
        <w:t xml:space="preserve">: M4 on MPS2 is primary; any institutional reason to prefer the LM3S/M3 fallback as primary?</w:t>
      </w:r>
    </w:p>
    <w:p>
      <w:pPr>
        <w:pStyle w:val="ListParagraph"/>
        <w:numPr>
          <w:ilvl w:val="0"/>
          <w:numId w:val="3"/>
        </w:numPr>
        <w:spacing w:after="70" w:line="260"/>
      </w:pPr>
      <w:r>
        <w:rPr>
          <w:b/>
          <w:bCs/>
          <w:i w:val="false"/>
          <w:iCs w:val="false"/>
        </w:rPr>
        <w:t xml:space="preserve">Reproducibility</w:t>
      </w:r>
      <w:r>
        <w:rPr>
          <w:b w:val="false"/>
          <w:bCs w:val="false"/>
          <w:i w:val="false"/>
          <w:iCs w:val="false"/>
        </w:rPr>
        <w:t xml:space="preserve">: fixed PRNG seed (reproducible runs, easier grading/debugging) vs per-boot seed (livelier feel) — current spec says fixed.</w:t>
      </w:r>
    </w:p>
    <w:p>
      <w:pPr>
        <w:pStyle w:val="ListParagraph"/>
        <w:numPr>
          <w:ilvl w:val="0"/>
          <w:numId w:val="3"/>
        </w:numPr>
        <w:spacing w:after="70" w:line="260"/>
      </w:pPr>
      <w:r>
        <w:rPr>
          <w:b/>
          <w:bCs/>
          <w:i w:val="false"/>
          <w:iCs w:val="false"/>
        </w:rPr>
        <w:t xml:space="preserve">Telemetry cadence</w:t>
      </w:r>
      <w:r>
        <w:rPr>
          <w:b w:val="false"/>
          <w:bCs w:val="false"/>
          <w:i w:val="false"/>
          <w:iCs w:val="false"/>
        </w:rPr>
        <w:t xml:space="preserve">: 5 s default is tuned for classroom pacing; confirm.</w:t>
      </w:r>
    </w:p>
    <w:p>
      <w:pPr>
        <w:pStyle w:val="ListParagraph"/>
        <w:numPr>
          <w:ilvl w:val="0"/>
          <w:numId w:val="3"/>
        </w:numPr>
        <w:spacing w:after="70" w:line="260"/>
      </w:pPr>
      <w:r>
        <w:rPr>
          <w:b/>
          <w:bCs/>
          <w:i w:val="false"/>
          <w:iCs w:val="false"/>
        </w:rPr>
        <w:t xml:space="preserve">Image downlink ergonomics</w:t>
      </w:r>
      <w:r>
        <w:rPr>
          <w:b w:val="false"/>
          <w:bCs w:val="false"/>
          <w:i w:val="false"/>
          <w:iCs w:val="false"/>
        </w:rPr>
        <w:t xml:space="preserve">: keep the pure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(≈64 commands per frame — deliberate, authentic pain) or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for lower-friction image missions? Could also be scenario-gated: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exists but is disabled until a player patches it back on.</w:t>
      </w:r>
    </w:p>
    <w:p>
      <w:pPr>
        <w:spacing w:after="120" w:before="200"/>
      </w:pPr>
      <w:r>
        <w:rPr>
          <w:i/>
          <w:iCs/>
          <w:color w:val="595959"/>
          <w:sz w:val="19"/>
          <w:szCs w:val="19"/>
        </w:rPr>
        <w:t xml:space="preserve">Version 0.1 — on approval, next steps are bring-up of the bootloader + UART + telemetry skeleton under QEMU, then the sensor SIM tier, then the command interpreter — at which point the golden-image demo in §12 is live.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2026-08-26T19:13:39.371Z</dcterms:created>
  <dcterms:modified xsi:type="dcterms:W3CDTF">2026-08-26T19:13:39.371Z</dcterms:modified>
</cp:coreProperties>
</file>

<file path=docProps/custom.xml><?xml version="1.0" encoding="utf-8"?>
<Properties xmlns="http://schemas.openxmlformats.org/officeDocument/2006/custom-properties" xmlns:vt="http://schemas.openxmlformats.org/officeDocument/2006/docPropsVTypes"/>
</file>