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Sojourn Requirements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5"/>
        <w:gridCol w:w="6945"/>
      </w:tblGrid>
      <w:tr>
        <w:tc>
          <w:tcPr>
            <w:tcW w:type="dxa" w:w="2415"/>
            <w:tcMar>
              <w:top w:type="dxa" w:w="55"/>
              <w:left w:type="dxa" w:w="90"/>
              <w:bottom w:type="dxa" w:w="55"/>
              <w:right w:type="dxa" w:w="90"/>
            </w:tcMar>
          </w:tcPr>
          <w:p>
            <w:pPr>
              <w:spacing w:after="0" w:line="240"/>
            </w:pPr>
            <w:r>
              <w:rPr>
                <w:b/>
                <w:bCs/>
                <w:i w:val="false"/>
                <w:iCs w:val="false"/>
              </w:rPr>
              <w:t xml:space="preserve">Document</w:t>
            </w:r>
          </w:p>
        </w:tc>
        <w:tc>
          <w:tcPr>
            <w:tcW w:type="dxa" w:w="6945"/>
            <w:tcMar>
              <w:top w:type="dxa" w:w="55"/>
              <w:left w:type="dxa" w:w="90"/>
              <w:bottom w:type="dxa" w:w="55"/>
              <w:right w:type="dxa" w:w="90"/>
            </w:tcMar>
          </w:tcPr>
          <w:p>
            <w:pPr>
              <w:spacing w:after="0" w:line="240"/>
            </w:pPr>
            <w:r>
              <w:rPr>
                <w:b w:val="false"/>
                <w:bCs w:val="false"/>
                <w:i w:val="false"/>
                <w:iCs w:val="false"/>
              </w:rPr>
              <w:t xml:space="preserve">Requirements Register — generated, do not edit</w:t>
            </w:r>
          </w:p>
        </w:tc>
      </w:tr>
      <w:tr>
        <w:tc>
          <w:tcPr>
            <w:tcW w:type="dxa" w:w="2415"/>
            <w:tcMar>
              <w:top w:type="dxa" w:w="55"/>
              <w:left w:type="dxa" w:w="90"/>
              <w:bottom w:type="dxa" w:w="55"/>
              <w:right w:type="dxa" w:w="90"/>
            </w:tcMar>
          </w:tcPr>
          <w:p>
            <w:pPr>
              <w:spacing w:after="0" w:line="240"/>
            </w:pPr>
            <w:r>
              <w:rPr>
                <w:b/>
                <w:bCs/>
                <w:i w:val="false"/>
                <w:iCs w:val="false"/>
              </w:rPr>
              <w:t xml:space="preserve">Project</w:t>
            </w:r>
          </w:p>
        </w:tc>
        <w:tc>
          <w:tcPr>
            <w:tcW w:type="dxa" w:w="6945"/>
            <w:tcMar>
              <w:top w:type="dxa" w:w="55"/>
              <w:left w:type="dxa" w:w="90"/>
              <w:bottom w:type="dxa" w:w="55"/>
              <w:right w:type="dxa" w:w="90"/>
            </w:tcMar>
          </w:tcPr>
          <w:p>
            <w:pPr>
              <w:spacing w:after="0" w:line="240"/>
            </w:pPr>
            <w:r>
              <w:rPr>
                <w:b w:val="false"/>
                <w:bCs w:val="false"/>
                <w:i w:val="false"/>
                <w:iCs w:val="false"/>
              </w:rPr>
              <w:t xml:space="preserve">"Sojourn" Reverse Engineering Game Platform</w:t>
            </w:r>
          </w:p>
        </w:tc>
      </w:tr>
      <w:tr>
        <w:tc>
          <w:tcPr>
            <w:tcW w:type="dxa" w:w="2415"/>
            <w:tcMar>
              <w:top w:type="dxa" w:w="55"/>
              <w:left w:type="dxa" w:w="90"/>
              <w:bottom w:type="dxa" w:w="55"/>
              <w:right w:type="dxa" w:w="90"/>
            </w:tcMar>
          </w:tcPr>
          <w:p>
            <w:pPr>
              <w:spacing w:after="0" w:line="240"/>
            </w:pPr>
            <w:r>
              <w:rPr>
                <w:b/>
                <w:bCs/>
                <w:i w:val="false"/>
                <w:iCs w:val="false"/>
              </w:rPr>
              <w:t xml:space="preserve">Source</w:t>
            </w:r>
          </w:p>
        </w:tc>
        <w:tc>
          <w:tcPr>
            <w:tcW w:type="dxa" w:w="69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CHARTER.md</w:t>
            </w:r>
          </w:p>
        </w:tc>
      </w:tr>
      <w:tr>
        <w:tc>
          <w:tcPr>
            <w:tcW w:type="dxa" w:w="2415"/>
            <w:tcMar>
              <w:top w:type="dxa" w:w="55"/>
              <w:left w:type="dxa" w:w="90"/>
              <w:bottom w:type="dxa" w:w="55"/>
              <w:right w:type="dxa" w:w="90"/>
            </w:tcMar>
          </w:tcPr>
          <w:p>
            <w:pPr>
              <w:spacing w:after="0" w:line="240"/>
            </w:pPr>
            <w:r>
              <w:rPr>
                <w:b/>
                <w:bCs/>
                <w:i w:val="false"/>
                <w:iCs w:val="false"/>
              </w:rPr>
              <w:t xml:space="preserve">Generated by</w:t>
            </w:r>
          </w:p>
        </w:tc>
        <w:tc>
          <w:tcPr>
            <w:tcW w:type="dxa" w:w="69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firmware/tools/requirements.py --write</w:t>
            </w:r>
          </w:p>
        </w:tc>
      </w:tr>
    </w:tbl>
    <w:p>
      <w:pPr>
        <w:spacing w:after="120"/>
      </w:pPr>
    </w:p>
    <w:p>
      <w:pPr>
        <w:pStyle w:val="Heading1"/>
        <w:spacing w:after="140" w:before="300"/>
      </w:pPr>
      <w:r>
        <w:rPr>
          <w:b w:val="false"/>
          <w:bCs w:val="false"/>
          <w:i w:val="false"/>
          <w:iCs w:val="false"/>
        </w:rPr>
        <w:t xml:space="preserve">How to read this</w:t>
      </w:r>
    </w:p>
    <w:p>
      <w:pPr>
        <w:spacing w:after="130" w:line="270"/>
      </w:pPr>
      <w:r>
        <w:rPr>
          <w:b/>
          <w:bCs/>
          <w:i w:val="false"/>
          <w:iCs w:val="false"/>
        </w:rPr>
        <w:t xml:space="preserve">The charter is the register.</w:t>
      </w:r>
      <w:r>
        <w:rPr>
          <w:b w:val="false"/>
          <w:bCs w:val="false"/>
          <w:i w:val="false"/>
          <w:iCs w:val="false"/>
        </w:rPr>
        <w:t xml:space="preserve"> Every requirement has exactly one identifier, defined in </w:t>
      </w:r>
      <w:r>
        <w:rPr>
          <w:rFonts w:ascii="Consolas" w:cs="Consolas" w:eastAsia="Consolas" w:hAnsi="Consolas"/>
          <w:b w:val="false"/>
          <w:bCs w:val="false"/>
          <w:i w:val="false"/>
          <w:iCs w:val="false"/>
          <w:sz w:val="19"/>
          <w:szCs w:val="19"/>
          <w:shd w:fill="F2F2F2" w:val="clear"/>
        </w:rPr>
        <w:t xml:space="preserve">CHARTER.md</w:t>
      </w:r>
      <w:r>
        <w:rPr>
          <w:b w:val="false"/>
          <w:bCs w:val="false"/>
          <w:i w:val="false"/>
          <w:iCs w:val="false"/>
        </w:rPr>
        <w:t xml:space="preserve">. The specifications explain, measure and justify those requirements; none of them defines identifiers of its own. This file is generated from the charter so the two cannot drift, and </w:t>
      </w:r>
      <w:r>
        <w:rPr>
          <w:rFonts w:ascii="Consolas" w:cs="Consolas" w:eastAsia="Consolas" w:hAnsi="Consolas"/>
          <w:b w:val="false"/>
          <w:bCs w:val="false"/>
          <w:i w:val="false"/>
          <w:iCs w:val="false"/>
          <w:sz w:val="19"/>
          <w:szCs w:val="19"/>
          <w:shd w:fill="F2F2F2" w:val="clear"/>
        </w:rPr>
        <w:t xml:space="preserve">requirements.py --check</w:t>
      </w:r>
      <w:r>
        <w:rPr>
          <w:b w:val="false"/>
          <w:bCs w:val="false"/>
          <w:i w:val="false"/>
          <w:iCs w:val="false"/>
        </w:rPr>
        <w:t xml:space="preserve"> fails the build if a specification cites an identifier the charter does not define.</w:t>
      </w:r>
    </w:p>
    <w:p>
      <w:pPr>
        <w:spacing w:after="130" w:line="270"/>
      </w:pPr>
      <w:r>
        <w:rPr>
          <w:b/>
          <w:bCs/>
          <w:i w:val="false"/>
          <w:iCs w:val="false"/>
        </w:rPr>
        <w:t xml:space="preserve">92 requirements</w:t>
      </w:r>
      <w:r>
        <w:rPr>
          <w:b w:val="false"/>
          <w:bCs w:val="false"/>
          <w:i w:val="false"/>
          <w:iCs w:val="false"/>
        </w:rPr>
        <w:t xml:space="preserve">, of which 83 are threshold — the project fails acceptance without them.</w:t>
      </w:r>
    </w:p>
    <w:p>
      <w:pPr>
        <w:spacing w:after="130" w:line="270"/>
      </w:pPr>
      <w:r>
        <w:rPr>
          <w:b/>
          <w:bCs/>
          <w:i w:val="false"/>
          <w:iCs w:val="false"/>
        </w:rPr>
        <w:t xml:space="preserve">Priority:</w:t>
      </w:r>
      <w:r>
        <w:rPr>
          <w:b w:val="false"/>
          <w:bCs w:val="false"/>
          <w:i w:val="false"/>
          <w:iCs w:val="false"/>
        </w:rPr>
        <w:t xml:space="preserve"> T threshold · O objective · S stretch. </w:t>
      </w:r>
      <w:r>
        <w:rPr>
          <w:b/>
          <w:bCs/>
          <w:i w:val="false"/>
          <w:iCs w:val="false"/>
        </w:rPr>
        <w:t xml:space="preserve">Verify:</w:t>
      </w:r>
      <w:r>
        <w:rPr>
          <w:b w:val="false"/>
          <w:bCs w:val="false"/>
          <w:i w:val="false"/>
          <w:iCs w:val="false"/>
        </w:rPr>
        <w:t xml:space="preserve"> I inspection · A analysis · D demonstration · T test.</w:t>
      </w:r>
    </w:p>
    <w:p>
      <w:pPr>
        <w:pStyle w:val="Heading1"/>
        <w:spacing w:after="140" w:before="300"/>
      </w:pPr>
      <w:r>
        <w:rPr>
          <w:b w:val="false"/>
          <w:bCs w:val="false"/>
          <w:i w:val="false"/>
          <w:iCs w:val="false"/>
        </w:rPr>
        <w:t xml:space="preserv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1"/>
        <w:gridCol w:w="2042"/>
        <w:gridCol w:w="6127"/>
      </w:tblGrid>
      <w:tr>
        <w:trPr>
          <w:tblHeader/>
        </w:trPr>
        <w:tc>
          <w:tcPr>
            <w:tcW w:type="dxa" w:w="1191"/>
            <w:shd w:fill="D9E2F3" w:val="clear"/>
            <w:tcMar>
              <w:top w:type="dxa" w:w="55"/>
              <w:left w:type="dxa" w:w="90"/>
              <w:bottom w:type="dxa" w:w="55"/>
              <w:right w:type="dxa" w:w="90"/>
            </w:tcMar>
          </w:tcPr>
          <w:p>
            <w:pPr>
              <w:spacing w:after="0" w:line="240"/>
            </w:pPr>
            <w:r>
              <w:rPr>
                <w:b/>
                <w:bCs/>
                <w:sz w:val="19"/>
                <w:szCs w:val="19"/>
              </w:rPr>
              <w:t xml:space="preserve">Section</w:t>
            </w:r>
          </w:p>
        </w:tc>
        <w:tc>
          <w:tcPr>
            <w:tcW w:type="dxa" w:w="2042"/>
            <w:shd w:fill="D9E2F3" w:val="clear"/>
            <w:tcMar>
              <w:top w:type="dxa" w:w="55"/>
              <w:left w:type="dxa" w:w="90"/>
              <w:bottom w:type="dxa" w:w="55"/>
              <w:right w:type="dxa" w:w="90"/>
            </w:tcMar>
          </w:tcPr>
          <w:p>
            <w:pPr>
              <w:spacing w:after="0" w:line="240"/>
            </w:pPr>
            <w:r>
              <w:rPr>
                <w:b/>
                <w:bCs/>
                <w:sz w:val="19"/>
                <w:szCs w:val="19"/>
              </w:rPr>
              <w:t xml:space="preserve">Requirements</w:t>
            </w:r>
          </w:p>
        </w:tc>
        <w:tc>
          <w:tcPr>
            <w:tcW w:type="dxa" w:w="6127"/>
            <w:shd w:fill="D9E2F3" w:val="clear"/>
            <w:tcMar>
              <w:top w:type="dxa" w:w="55"/>
              <w:left w:type="dxa" w:w="90"/>
              <w:bottom w:type="dxa" w:w="55"/>
              <w:right w:type="dxa" w:w="90"/>
            </w:tcMar>
          </w:tcPr>
          <w:p>
            <w:pPr>
              <w:spacing w:after="0" w:line="240"/>
            </w:pPr>
            <w:r>
              <w:rPr>
                <w:b/>
                <w:bCs/>
                <w:sz w:val="19"/>
                <w:szCs w:val="19"/>
              </w:rPr>
              <w:t xml:space="preserve">Covers</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§6.1</w:t>
            </w:r>
          </w:p>
        </w:tc>
        <w:tc>
          <w:tcPr>
            <w:tcW w:type="dxa" w:w="2042"/>
            <w:tcMar>
              <w:top w:type="dxa" w:w="55"/>
              <w:left w:type="dxa" w:w="90"/>
              <w:bottom w:type="dxa" w:w="55"/>
              <w:right w:type="dxa" w:w="90"/>
            </w:tcMar>
          </w:tcPr>
          <w:p>
            <w:pPr>
              <w:spacing w:after="0" w:line="240"/>
            </w:pPr>
            <w:r>
              <w:rPr>
                <w:b w:val="false"/>
                <w:bCs w:val="false"/>
                <w:i w:val="false"/>
                <w:iCs w:val="false"/>
              </w:rPr>
              <w:t xml:space="preserve">R1.1–R7</w:t>
            </w:r>
          </w:p>
        </w:tc>
        <w:tc>
          <w:tcPr>
            <w:tcW w:type="dxa" w:w="6127"/>
            <w:tcMar>
              <w:top w:type="dxa" w:w="55"/>
              <w:left w:type="dxa" w:w="90"/>
              <w:bottom w:type="dxa" w:w="55"/>
              <w:right w:type="dxa" w:w="90"/>
            </w:tcMar>
          </w:tcPr>
          <w:p>
            <w:pPr>
              <w:spacing w:after="0" w:line="240"/>
            </w:pPr>
            <w:r>
              <w:rPr>
                <w:b w:val="false"/>
                <w:bCs w:val="false"/>
                <w:i w:val="false"/>
                <w:iCs w:val="false"/>
              </w:rPr>
              <w:t xml:space="preserve">Gameplay &amp; Feedback</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§6.2</w:t>
            </w:r>
          </w:p>
        </w:tc>
        <w:tc>
          <w:tcPr>
            <w:tcW w:type="dxa" w:w="2042"/>
            <w:tcMar>
              <w:top w:type="dxa" w:w="55"/>
              <w:left w:type="dxa" w:w="90"/>
              <w:bottom w:type="dxa" w:w="55"/>
              <w:right w:type="dxa" w:w="90"/>
            </w:tcMar>
          </w:tcPr>
          <w:p>
            <w:pPr>
              <w:spacing w:after="0" w:line="240"/>
            </w:pPr>
            <w:r>
              <w:rPr>
                <w:b w:val="false"/>
                <w:bCs w:val="false"/>
                <w:i w:val="false"/>
                <w:iCs w:val="false"/>
              </w:rPr>
              <w:t xml:space="preserve">R8.1–R10.2</w:t>
            </w:r>
          </w:p>
        </w:tc>
        <w:tc>
          <w:tcPr>
            <w:tcW w:type="dxa" w:w="6127"/>
            <w:tcMar>
              <w:top w:type="dxa" w:w="55"/>
              <w:left w:type="dxa" w:w="90"/>
              <w:bottom w:type="dxa" w:w="55"/>
              <w:right w:type="dxa" w:w="90"/>
            </w:tcMar>
          </w:tcPr>
          <w:p>
            <w:pPr>
              <w:spacing w:after="0" w:line="240"/>
            </w:pPr>
            <w:r>
              <w:rPr>
                <w:b w:val="false"/>
                <w:bCs w:val="false"/>
                <w:i w:val="false"/>
                <w:iCs w:val="false"/>
              </w:rPr>
              <w:t xml:space="preserve">Reverse Engineering Surface</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§6.3</w:t>
            </w:r>
          </w:p>
        </w:tc>
        <w:tc>
          <w:tcPr>
            <w:tcW w:type="dxa" w:w="2042"/>
            <w:tcMar>
              <w:top w:type="dxa" w:w="55"/>
              <w:left w:type="dxa" w:w="90"/>
              <w:bottom w:type="dxa" w:w="55"/>
              <w:right w:type="dxa" w:w="90"/>
            </w:tcMar>
          </w:tcPr>
          <w:p>
            <w:pPr>
              <w:spacing w:after="0" w:line="240"/>
            </w:pPr>
            <w:r>
              <w:rPr>
                <w:b w:val="false"/>
                <w:bCs w:val="false"/>
                <w:i w:val="false"/>
                <w:iCs w:val="false"/>
              </w:rPr>
              <w:t xml:space="preserve">R11.1–R13</w:t>
            </w:r>
          </w:p>
        </w:tc>
        <w:tc>
          <w:tcPr>
            <w:tcW w:type="dxa" w:w="6127"/>
            <w:tcMar>
              <w:top w:type="dxa" w:w="55"/>
              <w:left w:type="dxa" w:w="90"/>
              <w:bottom w:type="dxa" w:w="55"/>
              <w:right w:type="dxa" w:w="90"/>
            </w:tcMar>
          </w:tcPr>
          <w:p>
            <w:pPr>
              <w:spacing w:after="0" w:line="240"/>
            </w:pPr>
            <w:r>
              <w:rPr>
                <w:b w:val="false"/>
                <w:bCs w:val="false"/>
                <w:i w:val="false"/>
                <w:iCs w:val="false"/>
              </w:rPr>
              <w:t xml:space="preserve">Extensibility</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§6.4</w:t>
            </w:r>
          </w:p>
        </w:tc>
        <w:tc>
          <w:tcPr>
            <w:tcW w:type="dxa" w:w="2042"/>
            <w:tcMar>
              <w:top w:type="dxa" w:w="55"/>
              <w:left w:type="dxa" w:w="90"/>
              <w:bottom w:type="dxa" w:w="55"/>
              <w:right w:type="dxa" w:w="90"/>
            </w:tcMar>
          </w:tcPr>
          <w:p>
            <w:pPr>
              <w:spacing w:after="0" w:line="240"/>
            </w:pPr>
            <w:r>
              <w:rPr>
                <w:b w:val="false"/>
                <w:bCs w:val="false"/>
                <w:i w:val="false"/>
                <w:iCs w:val="false"/>
              </w:rPr>
              <w:t xml:space="preserve">R14.1–R16</w:t>
            </w:r>
          </w:p>
        </w:tc>
        <w:tc>
          <w:tcPr>
            <w:tcW w:type="dxa" w:w="6127"/>
            <w:tcMar>
              <w:top w:type="dxa" w:w="55"/>
              <w:left w:type="dxa" w:w="90"/>
              <w:bottom w:type="dxa" w:w="55"/>
              <w:right w:type="dxa" w:w="90"/>
            </w:tcMar>
          </w:tcPr>
          <w:p>
            <w:pPr>
              <w:spacing w:after="0" w:line="240"/>
            </w:pPr>
            <w:r>
              <w:rPr>
                <w:b w:val="false"/>
                <w:bCs w:val="false"/>
                <w:i w:val="false"/>
                <w:iCs w:val="false"/>
              </w:rPr>
              <w:t xml:space="preserve">Persistence &amp; Identity</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§6.5</w:t>
            </w:r>
          </w:p>
        </w:tc>
        <w:tc>
          <w:tcPr>
            <w:tcW w:type="dxa" w:w="2042"/>
            <w:tcMar>
              <w:top w:type="dxa" w:w="55"/>
              <w:left w:type="dxa" w:w="90"/>
              <w:bottom w:type="dxa" w:w="55"/>
              <w:right w:type="dxa" w:w="90"/>
            </w:tcMar>
          </w:tcPr>
          <w:p>
            <w:pPr>
              <w:spacing w:after="0" w:line="240"/>
            </w:pPr>
            <w:r>
              <w:rPr>
                <w:b w:val="false"/>
                <w:bCs w:val="false"/>
                <w:i w:val="false"/>
                <w:iCs w:val="false"/>
              </w:rPr>
              <w:t xml:space="preserve">R17.1–R19</w:t>
            </w:r>
          </w:p>
        </w:tc>
        <w:tc>
          <w:tcPr>
            <w:tcW w:type="dxa" w:w="6127"/>
            <w:tcMar>
              <w:top w:type="dxa" w:w="55"/>
              <w:left w:type="dxa" w:w="90"/>
              <w:bottom w:type="dxa" w:w="55"/>
              <w:right w:type="dxa" w:w="90"/>
            </w:tcMar>
          </w:tcPr>
          <w:p>
            <w:pPr>
              <w:spacing w:after="0" w:line="240"/>
            </w:pPr>
            <w:r>
              <w:rPr>
                <w:b w:val="false"/>
                <w:bCs w:val="false"/>
                <w:i w:val="false"/>
                <w:iCs w:val="false"/>
              </w:rPr>
              <w:t xml:space="preserve">Deployment</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§6.6</w:t>
            </w:r>
          </w:p>
        </w:tc>
        <w:tc>
          <w:tcPr>
            <w:tcW w:type="dxa" w:w="2042"/>
            <w:tcMar>
              <w:top w:type="dxa" w:w="55"/>
              <w:left w:type="dxa" w:w="90"/>
              <w:bottom w:type="dxa" w:w="55"/>
              <w:right w:type="dxa" w:w="90"/>
            </w:tcMar>
          </w:tcPr>
          <w:p>
            <w:pPr>
              <w:spacing w:after="0" w:line="240"/>
            </w:pPr>
            <w:r>
              <w:rPr>
                <w:b w:val="false"/>
                <w:bCs w:val="false"/>
                <w:i w:val="false"/>
                <w:iCs w:val="false"/>
              </w:rPr>
              <w:t xml:space="preserve">R20.1–R21</w:t>
            </w:r>
          </w:p>
        </w:tc>
        <w:tc>
          <w:tcPr>
            <w:tcW w:type="dxa" w:w="6127"/>
            <w:tcMar>
              <w:top w:type="dxa" w:w="55"/>
              <w:left w:type="dxa" w:w="90"/>
              <w:bottom w:type="dxa" w:w="55"/>
              <w:right w:type="dxa" w:w="90"/>
            </w:tcMar>
          </w:tcPr>
          <w:p>
            <w:pPr>
              <w:spacing w:after="0" w:line="240"/>
            </w:pPr>
            <w:r>
              <w:rPr>
                <w:b w:val="false"/>
                <w:bCs w:val="false"/>
                <w:i w:val="false"/>
                <w:iCs w:val="false"/>
              </w:rPr>
              <w:t xml:space="preserve">Quality &amp; Documentation</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§6.7</w:t>
            </w:r>
          </w:p>
        </w:tc>
        <w:tc>
          <w:tcPr>
            <w:tcW w:type="dxa" w:w="2042"/>
            <w:tcMar>
              <w:top w:type="dxa" w:w="55"/>
              <w:left w:type="dxa" w:w="90"/>
              <w:bottom w:type="dxa" w:w="55"/>
              <w:right w:type="dxa" w:w="90"/>
            </w:tcMar>
          </w:tcPr>
          <w:p>
            <w:pPr>
              <w:spacing w:after="0" w:line="240"/>
            </w:pPr>
            <w:r>
              <w:rPr>
                <w:b w:val="false"/>
                <w:bCs w:val="false"/>
                <w:i w:val="false"/>
                <w:iCs w:val="false"/>
              </w:rPr>
              <w:t xml:space="preserve">R22.1–R22.2</w:t>
            </w:r>
          </w:p>
        </w:tc>
        <w:tc>
          <w:tcPr>
            <w:tcW w:type="dxa" w:w="6127"/>
            <w:tcMar>
              <w:top w:type="dxa" w:w="55"/>
              <w:left w:type="dxa" w:w="90"/>
              <w:bottom w:type="dxa" w:w="55"/>
              <w:right w:type="dxa" w:w="90"/>
            </w:tcMar>
          </w:tcPr>
          <w:p>
            <w:pPr>
              <w:spacing w:after="0" w:line="240"/>
            </w:pPr>
            <w:r>
              <w:rPr>
                <w:b w:val="false"/>
                <w:bCs w:val="false"/>
                <w:i w:val="false"/>
                <w:iCs w:val="false"/>
              </w:rPr>
              <w:t xml:space="preserve">Future-Proofing</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§6.8</w:t>
            </w:r>
          </w:p>
        </w:tc>
        <w:tc>
          <w:tcPr>
            <w:tcW w:type="dxa" w:w="2042"/>
            <w:tcMar>
              <w:top w:type="dxa" w:w="55"/>
              <w:left w:type="dxa" w:w="90"/>
              <w:bottom w:type="dxa" w:w="55"/>
              <w:right w:type="dxa" w:w="90"/>
            </w:tcMar>
          </w:tcPr>
          <w:p>
            <w:pPr>
              <w:spacing w:after="0" w:line="240"/>
            </w:pPr>
            <w:r>
              <w:rPr>
                <w:b w:val="false"/>
                <w:bCs w:val="false"/>
                <w:i w:val="false"/>
                <w:iCs w:val="false"/>
              </w:rPr>
              <w:t xml:space="preserve">R23.1–R23.10</w:t>
            </w:r>
          </w:p>
        </w:tc>
        <w:tc>
          <w:tcPr>
            <w:tcW w:type="dxa" w:w="6127"/>
            <w:tcMar>
              <w:top w:type="dxa" w:w="55"/>
              <w:left w:type="dxa" w:w="90"/>
              <w:bottom w:type="dxa" w:w="55"/>
              <w:right w:type="dxa" w:w="90"/>
            </w:tcMar>
          </w:tcPr>
          <w:p>
            <w:pPr>
              <w:spacing w:after="0" w:line="240"/>
            </w:pPr>
            <w:r>
              <w:rPr>
                <w:b w:val="false"/>
                <w:bCs w:val="false"/>
                <w:i w:val="false"/>
                <w:iCs w:val="false"/>
              </w:rPr>
              <w:t xml:space="preserve">Scenario Package &amp; Content Seam</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§6.9</w:t>
            </w:r>
          </w:p>
        </w:tc>
        <w:tc>
          <w:tcPr>
            <w:tcW w:type="dxa" w:w="2042"/>
            <w:tcMar>
              <w:top w:type="dxa" w:w="55"/>
              <w:left w:type="dxa" w:w="90"/>
              <w:bottom w:type="dxa" w:w="55"/>
              <w:right w:type="dxa" w:w="90"/>
            </w:tcMar>
          </w:tcPr>
          <w:p>
            <w:pPr>
              <w:spacing w:after="0" w:line="240"/>
            </w:pPr>
            <w:r>
              <w:rPr>
                <w:b w:val="false"/>
                <w:bCs w:val="false"/>
                <w:i w:val="false"/>
                <w:iCs w:val="false"/>
              </w:rPr>
              <w:t xml:space="preserve">R24.1–R24.21</w:t>
            </w:r>
          </w:p>
        </w:tc>
        <w:tc>
          <w:tcPr>
            <w:tcW w:type="dxa" w:w="6127"/>
            <w:tcMar>
              <w:top w:type="dxa" w:w="55"/>
              <w:left w:type="dxa" w:w="90"/>
              <w:bottom w:type="dxa" w:w="55"/>
              <w:right w:type="dxa" w:w="90"/>
            </w:tcMar>
          </w:tcPr>
          <w:p>
            <w:pPr>
              <w:spacing w:after="0" w:line="240"/>
            </w:pPr>
            <w:r>
              <w:rPr>
                <w:b w:val="false"/>
                <w:bCs w:val="false"/>
                <w:i w:val="false"/>
                <w:iCs w:val="false"/>
              </w:rPr>
              <w:t xml:space="preserve">Evaluation Integrity &amp; Introspection</w:t>
            </w:r>
          </w:p>
        </w:tc>
      </w:tr>
      <w:tr>
        <w:tc>
          <w:tcPr>
            <w:tcW w:type="dxa" w:w="1191"/>
            <w:tcMar>
              <w:top w:type="dxa" w:w="55"/>
              <w:left w:type="dxa" w:w="90"/>
              <w:bottom w:type="dxa" w:w="55"/>
              <w:right w:type="dxa" w:w="90"/>
            </w:tcMar>
          </w:tcPr>
          <w:p>
            <w:pPr>
              <w:spacing w:after="0" w:line="240"/>
            </w:pPr>
            <w:r>
              <w:rPr>
                <w:b w:val="false"/>
                <w:bCs w:val="false"/>
                <w:i w:val="false"/>
                <w:iCs w:val="false"/>
              </w:rPr>
              <w:t xml:space="preserve">§6.11</w:t>
            </w:r>
          </w:p>
        </w:tc>
        <w:tc>
          <w:tcPr>
            <w:tcW w:type="dxa" w:w="2042"/>
            <w:tcMar>
              <w:top w:type="dxa" w:w="55"/>
              <w:left w:type="dxa" w:w="90"/>
              <w:bottom w:type="dxa" w:w="55"/>
              <w:right w:type="dxa" w:w="90"/>
            </w:tcMar>
          </w:tcPr>
          <w:p>
            <w:pPr>
              <w:spacing w:after="0" w:line="240"/>
            </w:pPr>
            <w:r>
              <w:rPr>
                <w:b w:val="false"/>
                <w:bCs w:val="false"/>
                <w:i w:val="false"/>
                <w:iCs w:val="false"/>
              </w:rPr>
              <w:t xml:space="preserve">R25.1–R26.7</w:t>
            </w:r>
          </w:p>
        </w:tc>
        <w:tc>
          <w:tcPr>
            <w:tcW w:type="dxa" w:w="6127"/>
            <w:tcMar>
              <w:top w:type="dxa" w:w="55"/>
              <w:left w:type="dxa" w:w="90"/>
              <w:bottom w:type="dxa" w:w="55"/>
              <w:right w:type="dxa" w:w="90"/>
            </w:tcMar>
          </w:tcPr>
          <w:p>
            <w:pPr>
              <w:spacing w:after="0" w:line="240"/>
            </w:pPr>
            <w:r>
              <w:rPr>
                <w:b w:val="false"/>
                <w:bCs w:val="false"/>
                <w:i w:val="false"/>
                <w:iCs w:val="false"/>
              </w:rPr>
              <w:t xml:space="preserve">Ground-Station Console</w:t>
            </w:r>
          </w:p>
        </w:tc>
      </w:tr>
    </w:tbl>
    <w:p>
      <w:pPr>
        <w:spacing w:after="120"/>
      </w:pPr>
    </w:p>
    <w:p>
      <w:pPr>
        <w:pStyle w:val="Heading1"/>
        <w:spacing w:after="140" w:before="300"/>
      </w:pPr>
      <w:r>
        <w:rPr>
          <w:b w:val="false"/>
          <w:bCs w:val="false"/>
          <w:i w:val="false"/>
          <w:iCs w:val="false"/>
        </w:rPr>
        <w:t xml:space="preserve">Register</w:t>
      </w:r>
    </w:p>
    <w:p>
      <w:pPr>
        <w:pStyle w:val="Heading2"/>
        <w:spacing w:after="110" w:before="220"/>
      </w:pPr>
      <w:r>
        <w:rPr>
          <w:b w:val="false"/>
          <w:bCs w:val="false"/>
          <w:i w:val="false"/>
          <w:iCs w:val="false"/>
        </w:rPr>
        <w:t xml:space="preserve">§6.1 Gameplay &amp;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4458"/>
        <w:gridCol w:w="1050"/>
        <w:gridCol w:w="1752"/>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4458"/>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752"/>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R1.1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The probe SHALL reply to every uplink frame delivered to its UART with </w:t>
            </w:r>
            <w:r>
              <w:rPr>
                <w:rFonts w:ascii="Consolas" w:cs="Consolas" w:eastAsia="Consolas" w:hAnsi="Consolas"/>
                <w:b w:val="false"/>
                <w:bCs w:val="false"/>
                <w:i w:val="false"/>
                <w:iCs w:val="false"/>
                <w:sz w:val="19"/>
                <w:szCs w:val="19"/>
                <w:shd w:fill="F2F2F2" w:val="clear"/>
              </w:rPr>
              <w:t xml:space="preserve">ACK</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NAK &lt;code&gt;</w:t>
            </w:r>
            <w:r>
              <w:rPr>
                <w:b w:val="false"/>
                <w:bCs w:val="false"/>
                <w:i w:val="false"/>
                <w:iCs w:val="false"/>
              </w:rPr>
              <w:t xml:space="preserve"> within 2 s of delivery (simulated transmission delay excluded).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ACK/NAK replies SHALL encode command receipt and execution status only; no probe reply SHALL encode objective state.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The daemon SHALL re-evaluate every active objective assertion within one telemetry period of receiving each downlink frame.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Objective state SHALL be derived solely from introspected probe memory, decoded downlink telemetry, and the command log; the platform SHALL expose no player-accessible input that sets objective state directly.</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R3.1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Every objective SHALL be in exactly one of four states at all times: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failed</w:t>
            </w:r>
            <w:r>
              <w:rPr>
                <w:b w:val="false"/>
                <w:bCs w:val="false"/>
                <w:i w:val="false"/>
                <w:iCs w:val="false"/>
              </w:rPr>
              <w:t xml:space="preserve">. Diagnostic "partial" text is a property of an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objective and SHALL NOT be represented as a state.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R3.2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Within 2 s of a partial condition first holding for an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objective, the console SHALL display that condition's scenario-authored diagnostic text, and SHALL clear it within 2 s of no partial condition holding.</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R3.3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An objective that reaches complete SHALL remain complete for the rest of the scenario run, and the completion SHALL be persisted to the save volume within 5 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R3.4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The console SHALL reveal each authored hint once its objective has been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for the authored frame count, SHALL reveal hints cumulatively, and SHALL reveal no hint or brief for a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objective.</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R4.1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The daemon SHALL delay each uplink by the scenario-configured one-way transmission delay, configurable from 0 to 3600 s in 1 s increments.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R4.2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The daemon SHALL meter </w:t>
            </w:r>
            <w:r>
              <w:rPr>
                <w:b/>
                <w:bCs/>
                <w:i w:val="false"/>
                <w:iCs w:val="false"/>
              </w:rPr>
              <w:t xml:space="preserve">only state-changing uplinks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CALL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SAFE</w:t>
            </w:r>
            <w:r>
              <w:rPr>
                <w:b w:val="false"/>
                <w:bCs w:val="false"/>
                <w:i w:val="false"/>
                <w:iCs w:val="false"/>
              </w:rPr>
              <w:t xml:space="preserve">) against the scenario-configured command budget (1–1000 commands per window; window length 10–86 400 s), and SHALL reject each over-budget command with a distinct console error without forwarding it to the probe.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52"/>
            <w:tcMar>
              <w:top w:type="dxa" w:w="55"/>
              <w:left w:type="dxa" w:w="90"/>
              <w:bottom w:type="dxa" w:w="55"/>
              <w:right w:type="dxa" w:w="90"/>
            </w:tcMar>
          </w:tcPr>
          <w:p>
            <w:pPr>
              <w:spacing w:after="0" w:line="240"/>
            </w:pPr>
            <w:r>
              <w:rPr>
                <w:b w:val="false"/>
                <w:bCs w:val="false"/>
                <w:i w:val="false"/>
                <w:iCs w:val="false"/>
              </w:rPr>
              <w:t xml:space="preserve">Firmware Design Specification, Scenario Package Format, Introspection API</w:t>
            </w:r>
          </w:p>
        </w:tc>
      </w:tr>
      <w:tr>
        <w:tc>
          <w:tcPr>
            <w:tcW w:type="dxa" w:w="1050"/>
            <w:tcMar>
              <w:top w:type="dxa" w:w="55"/>
              <w:left w:type="dxa" w:w="90"/>
              <w:bottom w:type="dxa" w:w="55"/>
              <w:right w:type="dxa" w:w="90"/>
            </w:tcMar>
          </w:tcPr>
          <w:p>
            <w:pPr>
              <w:spacing w:after="0" w:line="240"/>
            </w:pPr>
            <w:r>
              <w:rPr>
                <w:b/>
                <w:bCs/>
                <w:i w:val="false"/>
                <w:iCs w:val="false"/>
              </w:rPr>
              <w:t xml:space="preserve">R4.3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Read-only uplinks (</w:t>
            </w:r>
            <w:r>
              <w:rPr>
                <w:rFonts w:ascii="Consolas" w:cs="Consolas" w:eastAsia="Consolas" w:hAnsi="Consolas"/>
                <w:b w:val="false"/>
                <w:bCs w:val="false"/>
                <w:i w:val="false"/>
                <w:iCs w:val="false"/>
                <w:sz w:val="19"/>
                <w:szCs w:val="19"/>
                <w:shd w:fill="F2F2F2" w:val="clear"/>
              </w:rPr>
              <w:t xml:space="preserve">PING</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STAT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 SHALL NOT consume the command budget. Where a scenario limits observation it SHALL do so through a separate read allowance, configurable 1–10 000 commands per window.</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52"/>
            <w:tcMar>
              <w:top w:type="dxa" w:w="55"/>
              <w:left w:type="dxa" w:w="90"/>
              <w:bottom w:type="dxa" w:w="55"/>
              <w:right w:type="dxa" w:w="90"/>
            </w:tcMar>
          </w:tcPr>
          <w:p>
            <w:pPr>
              <w:spacing w:after="0" w:line="240"/>
            </w:pPr>
            <w:r>
              <w:rPr>
                <w:b w:val="false"/>
                <w:bCs w:val="false"/>
                <w:i w:val="false"/>
                <w:iCs w:val="false"/>
              </w:rPr>
              <w:t xml:space="preserve">Firmware Design Specification, Scenario Package Format, Introspection API</w:t>
            </w:r>
          </w:p>
        </w:tc>
      </w:tr>
      <w:tr>
        <w:tc>
          <w:tcPr>
            <w:tcW w:type="dxa" w:w="1050"/>
            <w:tcMar>
              <w:top w:type="dxa" w:w="55"/>
              <w:left w:type="dxa" w:w="90"/>
              <w:bottom w:type="dxa" w:w="55"/>
              <w:right w:type="dxa" w:w="90"/>
            </w:tcMar>
          </w:tcPr>
          <w:p>
            <w:pPr>
              <w:spacing w:after="0" w:line="240"/>
            </w:pPr>
            <w:r>
              <w:rPr>
                <w:b/>
                <w:bCs/>
                <w:i w:val="false"/>
                <w:iCs w:val="false"/>
              </w:rPr>
              <w:t xml:space="preserve">R5.1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If the application fails to reload the watchdog for 3 s (±1 tick at 100 Hz), the firmware SHALL reset and restore the golden image.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R5.2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Within 10 s of a watchdog reset, downlink telemetry SHALL resume with the reboot counter incremented by exactly 1 and reported uptime under 10 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R5.3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58"/>
            <w:tcMar>
              <w:top w:type="dxa" w:w="55"/>
              <w:left w:type="dxa" w:w="90"/>
              <w:bottom w:type="dxa" w:w="55"/>
              <w:right w:type="dxa" w:w="90"/>
            </w:tcMar>
          </w:tcPr>
          <w:p>
            <w:pPr>
              <w:spacing w:after="0" w:line="240"/>
            </w:pPr>
            <w:r>
              <w:rPr>
                <w:b w:val="false"/>
                <w:bCs w:val="false"/>
                <w:i w:val="false"/>
                <w:iCs w:val="false"/>
              </w:rPr>
              <w:t xml:space="preserve">A POKE addressed to any protected region SHALL return </w:t>
            </w:r>
            <w:r>
              <w:rPr>
                <w:rFonts w:ascii="Consolas" w:cs="Consolas" w:eastAsia="Consolas" w:hAnsi="Consolas"/>
                <w:b w:val="false"/>
                <w:bCs w:val="false"/>
                <w:i w:val="false"/>
                <w:iCs w:val="false"/>
                <w:sz w:val="19"/>
                <w:szCs w:val="19"/>
                <w:shd w:fill="F2F2F2" w:val="clear"/>
              </w:rPr>
              <w:t xml:space="preserve">NAK E04</w:t>
            </w:r>
            <w:r>
              <w:rPr>
                <w:b w:val="false"/>
                <w:bCs w:val="false"/>
                <w:i w:val="false"/>
                <w:iCs w:val="false"/>
              </w:rPr>
              <w:t xml:space="preserve"> and SHALL leave all probe memory unmodified.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R6.1</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4458"/>
            <w:tcMar>
              <w:top w:type="dxa" w:w="55"/>
              <w:left w:type="dxa" w:w="90"/>
              <w:bottom w:type="dxa" w:w="55"/>
              <w:right w:type="dxa" w:w="90"/>
            </w:tcMar>
          </w:tcPr>
          <w:p>
            <w:pPr>
              <w:spacing w:after="0" w:line="240"/>
            </w:pPr>
            <w:r>
              <w:rPr>
                <w:b w:val="false"/>
                <w:bCs w:val="false"/>
                <w:i w:val="false"/>
                <w:iCs w:val="false"/>
              </w:rPr>
              <w:t xml:space="preserve">The console SHALL retain and recall at least the most recent 500 uplink commands per player across sessions.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R6.2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4458"/>
            <w:tcMar>
              <w:top w:type="dxa" w:w="55"/>
              <w:left w:type="dxa" w:w="90"/>
              <w:bottom w:type="dxa" w:w="55"/>
              <w:right w:type="dxa" w:w="90"/>
            </w:tcMar>
          </w:tcPr>
          <w:p>
            <w:pPr>
              <w:spacing w:after="0" w:line="240"/>
            </w:pPr>
            <w:r>
              <w:rPr>
                <w:b w:val="false"/>
                <w:bCs w:val="false"/>
                <w:i w:val="false"/>
                <w:iCs w:val="false"/>
              </w:rPr>
              <w:t xml:space="preserve">The console SHALL transmit a player-supplied batch file of up to 100 commands in file order, subject to the same delay and budget enforcement as typed commands.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R7</w:t>
            </w:r>
          </w:p>
        </w:tc>
        <w:tc>
          <w:tcPr>
            <w:tcW w:type="dxa" w:w="1050"/>
            <w:tcMar>
              <w:top w:type="dxa" w:w="55"/>
              <w:left w:type="dxa" w:w="90"/>
              <w:bottom w:type="dxa" w:w="55"/>
              <w:right w:type="dxa" w:w="90"/>
            </w:tcMar>
          </w:tcPr>
          <w:p>
            <w:pPr>
              <w:spacing w:after="0" w:line="240"/>
            </w:pPr>
            <w:r>
              <w:rPr>
                <w:b w:val="false"/>
                <w:bCs w:val="false"/>
                <w:i w:val="false"/>
                <w:iCs w:val="false"/>
              </w:rPr>
              <w:t xml:space="preserve">S</w:t>
            </w:r>
          </w:p>
        </w:tc>
        <w:tc>
          <w:tcPr>
            <w:tcW w:type="dxa" w:w="4458"/>
            <w:tcMar>
              <w:top w:type="dxa" w:w="55"/>
              <w:left w:type="dxa" w:w="90"/>
              <w:bottom w:type="dxa" w:w="55"/>
              <w:right w:type="dxa" w:w="90"/>
            </w:tcMar>
          </w:tcPr>
          <w:p>
            <w:pPr>
              <w:spacing w:after="0" w:line="240"/>
            </w:pPr>
            <w:r>
              <w:rPr>
                <w:b w:val="false"/>
                <w:bCs w:val="false"/>
                <w:i w:val="false"/>
                <w:iCs w:val="false"/>
              </w:rPr>
              <w:t xml:space="preserve">A player-triggered scenario reset, if provided, SHALL preserve the command log and no other player state.</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752"/>
            <w:tcMar>
              <w:top w:type="dxa" w:w="55"/>
              <w:left w:type="dxa" w:w="90"/>
              <w:bottom w:type="dxa" w:w="55"/>
              <w:right w:type="dxa" w:w="90"/>
            </w:tcMar>
          </w:tcPr>
          <w:p>
            <w:pPr>
              <w:spacing w:after="0" w:line="240"/>
            </w:pPr>
            <w:r>
              <w:rPr>
                <w:b w:val="false"/>
                <w:bCs w:val="false"/>
                <w:i w:val="false"/>
                <w:iCs w:val="false"/>
              </w:rPr>
              <w:t xml:space="preserve">—</w:t>
            </w:r>
          </w:p>
        </w:tc>
      </w:tr>
    </w:tbl>
    <w:p>
      <w:pPr>
        <w:spacing w:after="120"/>
      </w:pPr>
    </w:p>
    <w:p>
      <w:pPr>
        <w:pStyle w:val="Heading2"/>
        <w:spacing w:after="110" w:before="220"/>
      </w:pPr>
      <w:r>
        <w:rPr>
          <w:b w:val="false"/>
          <w:bCs w:val="false"/>
          <w:i w:val="false"/>
          <w:iCs w:val="false"/>
        </w:rPr>
        <w:t xml:space="preserve">§6.2 Reverse Engineering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4678"/>
        <w:gridCol w:w="1050"/>
        <w:gridCol w:w="1532"/>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4678"/>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532"/>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R8.1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678"/>
            <w:tcMar>
              <w:top w:type="dxa" w:w="55"/>
              <w:left w:type="dxa" w:w="90"/>
              <w:bottom w:type="dxa" w:w="55"/>
              <w:right w:type="dxa" w:w="90"/>
            </w:tcMar>
          </w:tcPr>
          <w:p>
            <w:pPr>
              <w:spacing w:after="0" w:line="240"/>
            </w:pPr>
            <w:r>
              <w:rPr>
                <w:b w:val="false"/>
                <w:bCs w:val="false"/>
                <w:i w:val="false"/>
                <w:iCs w:val="false"/>
              </w:rPr>
              <w:t xml:space="preserve">The player-facing firmware SHALL be bare-metal ARM Thumb-2 targeting Cortex-M4, with no OS or runtime beyond the shipped image.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53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R8.2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678"/>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probe.bin</w:t>
            </w:r>
            <w:r>
              <w:rPr>
                <w:b w:val="false"/>
                <w:bCs w:val="false"/>
                <w:i w:val="false"/>
                <w:iCs w:val="false"/>
              </w:rPr>
              <w:t xml:space="preserve"> plus the published memory map SHALL load into stock Ghidra (v11.0 or later) such that auto-analysis completes with no manual processor configuration and identifies ≥ 90 % of application functions, measured against the instructor-side symbol map.</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532"/>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R9.1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678"/>
            <w:tcMar>
              <w:top w:type="dxa" w:w="55"/>
              <w:left w:type="dxa" w:w="90"/>
              <w:bottom w:type="dxa" w:w="55"/>
              <w:right w:type="dxa" w:w="90"/>
            </w:tcMar>
          </w:tcPr>
          <w:p>
            <w:pPr>
              <w:spacing w:after="0" w:line="240"/>
            </w:pPr>
            <w:r>
              <w:rPr>
                <w:b w:val="false"/>
                <w:bCs w:val="false"/>
                <w:i w:val="false"/>
                <w:iCs w:val="false"/>
              </w:rPr>
              <w:t xml:space="preserve">The reference scenario SHALL contain at least 4 graded objectives, including at least one each of: data patch, configuration patch, code patch, and code injection.</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532"/>
            <w:tcMar>
              <w:top w:type="dxa" w:w="55"/>
              <w:left w:type="dxa" w:w="90"/>
              <w:bottom w:type="dxa" w:w="55"/>
              <w:right w:type="dxa" w:w="90"/>
            </w:tcMar>
          </w:tcPr>
          <w:p>
            <w:pPr>
              <w:spacing w:after="0" w:line="240"/>
            </w:pPr>
            <w:r>
              <w:rPr>
                <w:b w:val="false"/>
                <w:bCs w:val="false"/>
                <w:i w:val="false"/>
                <w:iCs w:val="false"/>
              </w:rPr>
              <w:t xml:space="preserve">Scenario Author's Guide</w:t>
            </w:r>
          </w:p>
        </w:tc>
      </w:tr>
      <w:tr>
        <w:tc>
          <w:tcPr>
            <w:tcW w:type="dxa" w:w="1050"/>
            <w:tcMar>
              <w:top w:type="dxa" w:w="55"/>
              <w:left w:type="dxa" w:w="90"/>
              <w:bottom w:type="dxa" w:w="55"/>
              <w:right w:type="dxa" w:w="90"/>
            </w:tcMar>
          </w:tcPr>
          <w:p>
            <w:pPr>
              <w:spacing w:after="0" w:line="240"/>
            </w:pPr>
            <w:r>
              <w:rPr>
                <w:b/>
                <w:bCs/>
                <w:i w:val="false"/>
                <w:iCs w:val="false"/>
              </w:rPr>
              <w:t xml:space="preserve">R9.2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4678"/>
            <w:tcMar>
              <w:top w:type="dxa" w:w="55"/>
              <w:left w:type="dxa" w:w="90"/>
              <w:bottom w:type="dxa" w:w="55"/>
              <w:right w:type="dxa" w:w="90"/>
            </w:tcMar>
          </w:tcPr>
          <w:p>
            <w:pPr>
              <w:spacing w:after="0" w:line="240"/>
            </w:pPr>
            <w:r>
              <w:rPr>
                <w:b w:val="false"/>
                <w:bCs w:val="false"/>
                <w:i w:val="false"/>
                <w:iCs w:val="false"/>
              </w:rPr>
              <w:t xml:space="preserve">Each graded objective SHALL be solvable by at least 2 distinct patch strategies, both documented instructor-side.</w:t>
            </w:r>
          </w:p>
        </w:tc>
        <w:tc>
          <w:tcPr>
            <w:tcW w:type="dxa" w:w="1050"/>
            <w:tcMar>
              <w:top w:type="dxa" w:w="55"/>
              <w:left w:type="dxa" w:w="90"/>
              <w:bottom w:type="dxa" w:w="55"/>
              <w:right w:type="dxa" w:w="90"/>
            </w:tcMar>
          </w:tcPr>
          <w:p>
            <w:pPr>
              <w:spacing w:after="0" w:line="240"/>
            </w:pPr>
            <w:r>
              <w:rPr>
                <w:b w:val="false"/>
                <w:bCs w:val="false"/>
                <w:i w:val="false"/>
                <w:iCs w:val="false"/>
              </w:rPr>
              <w:t xml:space="preserve">A</w:t>
            </w:r>
          </w:p>
        </w:tc>
        <w:tc>
          <w:tcPr>
            <w:tcW w:type="dxa" w:w="1532"/>
            <w:tcMar>
              <w:top w:type="dxa" w:w="55"/>
              <w:left w:type="dxa" w:w="90"/>
              <w:bottom w:type="dxa" w:w="55"/>
              <w:right w:type="dxa" w:w="90"/>
            </w:tcMar>
          </w:tcPr>
          <w:p>
            <w:pPr>
              <w:spacing w:after="0" w:line="240"/>
            </w:pPr>
            <w:r>
              <w:rPr>
                <w:b w:val="false"/>
                <w:bCs w:val="false"/>
                <w:i w:val="false"/>
                <w:iCs w:val="false"/>
              </w:rPr>
              <w:t xml:space="preserve">Scenario Author's Guide</w:t>
            </w:r>
          </w:p>
        </w:tc>
      </w:tr>
      <w:tr>
        <w:tc>
          <w:tcPr>
            <w:tcW w:type="dxa" w:w="1050"/>
            <w:tcMar>
              <w:top w:type="dxa" w:w="55"/>
              <w:left w:type="dxa" w:w="90"/>
              <w:bottom w:type="dxa" w:w="55"/>
              <w:right w:type="dxa" w:w="90"/>
            </w:tcMar>
          </w:tcPr>
          <w:p>
            <w:pPr>
              <w:spacing w:after="0" w:line="240"/>
            </w:pPr>
            <w:r>
              <w:rPr>
                <w:b/>
                <w:bCs/>
                <w:i w:val="false"/>
                <w:iCs w:val="false"/>
              </w:rPr>
              <w:t xml:space="preserve">R10.1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678"/>
            <w:tcMar>
              <w:top w:type="dxa" w:w="55"/>
              <w:left w:type="dxa" w:w="90"/>
              <w:bottom w:type="dxa" w:w="55"/>
              <w:right w:type="dxa" w:w="90"/>
            </w:tcMar>
          </w:tcPr>
          <w:p>
            <w:pPr>
              <w:spacing w:after="0" w:line="240"/>
            </w:pPr>
            <w:r>
              <w:rPr>
                <w:b w:val="false"/>
                <w:bCs w:val="false"/>
                <w:i w:val="false"/>
                <w:iCs w:val="false"/>
              </w:rPr>
              <w:t xml:space="preserve">Every telemetry field documented in the recovered manual SHALL be decodable by a tester using only the manual and captured downlink frames.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532"/>
            <w:tcMar>
              <w:top w:type="dxa" w:w="55"/>
              <w:left w:type="dxa" w:w="90"/>
              <w:bottom w:type="dxa" w:w="55"/>
              <w:right w:type="dxa" w:w="90"/>
            </w:tcMar>
          </w:tcPr>
          <w:p>
            <w:pPr>
              <w:spacing w:after="0" w:line="240"/>
            </w:pPr>
            <w:r>
              <w:rPr>
                <w:b w:val="false"/>
                <w:bCs w:val="false"/>
                <w:i w:val="false"/>
                <w:iCs w:val="false"/>
              </w:rPr>
              <w:t xml:space="preserve">Scenario Package Format</w:t>
            </w:r>
          </w:p>
        </w:tc>
      </w:tr>
      <w:tr>
        <w:tc>
          <w:tcPr>
            <w:tcW w:type="dxa" w:w="1050"/>
            <w:tcMar>
              <w:top w:type="dxa" w:w="55"/>
              <w:left w:type="dxa" w:w="90"/>
              <w:bottom w:type="dxa" w:w="55"/>
              <w:right w:type="dxa" w:w="90"/>
            </w:tcMar>
          </w:tcPr>
          <w:p>
            <w:pPr>
              <w:spacing w:after="0" w:line="240"/>
            </w:pPr>
            <w:r>
              <w:rPr>
                <w:b/>
                <w:bCs/>
                <w:i w:val="false"/>
                <w:iCs w:val="false"/>
              </w:rPr>
              <w:t xml:space="preserve">R10.2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678"/>
            <w:tcMar>
              <w:top w:type="dxa" w:w="55"/>
              <w:left w:type="dxa" w:w="90"/>
              <w:bottom w:type="dxa" w:w="55"/>
              <w:right w:type="dxa" w:w="90"/>
            </w:tcMar>
          </w:tcPr>
          <w:p>
            <w:pPr>
              <w:spacing w:after="0" w:line="240"/>
            </w:pPr>
            <w:r>
              <w:rPr>
                <w:b w:val="false"/>
                <w:bCs w:val="false"/>
                <w:i w:val="false"/>
                <w:iCs w:val="false"/>
              </w:rPr>
              <w:t xml:space="preserve">At least 1 telemetry channel SHALL be present in downlink frames and absent from the recovered manual.</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532"/>
            <w:tcMar>
              <w:top w:type="dxa" w:w="55"/>
              <w:left w:type="dxa" w:w="90"/>
              <w:bottom w:type="dxa" w:w="55"/>
              <w:right w:type="dxa" w:w="90"/>
            </w:tcMar>
          </w:tcPr>
          <w:p>
            <w:pPr>
              <w:spacing w:after="0" w:line="240"/>
            </w:pPr>
            <w:r>
              <w:rPr>
                <w:b w:val="false"/>
                <w:bCs w:val="false"/>
                <w:i w:val="false"/>
                <w:iCs w:val="false"/>
              </w:rPr>
              <w:t xml:space="preserve">Firmware Design Specification, Scenario Package Format</w:t>
            </w:r>
          </w:p>
        </w:tc>
      </w:tr>
    </w:tbl>
    <w:p>
      <w:pPr>
        <w:spacing w:after="120"/>
      </w:pPr>
    </w:p>
    <w:p>
      <w:pPr>
        <w:pStyle w:val="Heading2"/>
        <w:spacing w:after="110" w:before="220"/>
      </w:pPr>
      <w:r>
        <w:rPr>
          <w:b w:val="false"/>
          <w:bCs w:val="false"/>
          <w:i w:val="false"/>
          <w:iCs w:val="false"/>
        </w:rPr>
        <w:t xml:space="preserve">§6.3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4474"/>
        <w:gridCol w:w="1050"/>
        <w:gridCol w:w="1736"/>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4474"/>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736"/>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R11.1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74"/>
            <w:tcMar>
              <w:top w:type="dxa" w:w="55"/>
              <w:left w:type="dxa" w:w="90"/>
              <w:bottom w:type="dxa" w:w="55"/>
              <w:right w:type="dxa" w:w="90"/>
            </w:tcMar>
          </w:tcPr>
          <w:p>
            <w:pPr>
              <w:spacing w:after="0" w:line="240"/>
            </w:pPr>
            <w:r>
              <w:rPr>
                <w:b w:val="false"/>
                <w:bCs w:val="false"/>
                <w:i w:val="false"/>
                <w:iCs w:val="false"/>
              </w:rPr>
              <w:t xml:space="preserve">The daemon SHALL discover and load every conforming scenario package present under the content directory at startup, with no platform code change, rebuild, or configuration edit.</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36"/>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R11.2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74"/>
            <w:tcMar>
              <w:top w:type="dxa" w:w="55"/>
              <w:left w:type="dxa" w:w="90"/>
              <w:bottom w:type="dxa" w:w="55"/>
              <w:right w:type="dxa" w:w="90"/>
            </w:tcMar>
          </w:tcPr>
          <w:p>
            <w:pPr>
              <w:spacing w:after="0" w:line="240"/>
            </w:pPr>
            <w:r>
              <w:rPr>
                <w:b w:val="false"/>
                <w:bCs w:val="false"/>
                <w:i w:val="false"/>
                <w:iCs w:val="false"/>
              </w:rPr>
              <w:t xml:space="preserve">Installing a second scenario SHALL require only copying one directory into the content directory, verified by an empty diff across all platform repositories.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736"/>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R11.3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74"/>
            <w:tcMar>
              <w:top w:type="dxa" w:w="55"/>
              <w:left w:type="dxa" w:w="90"/>
              <w:bottom w:type="dxa" w:w="55"/>
              <w:right w:type="dxa" w:w="90"/>
            </w:tcMar>
          </w:tcPr>
          <w:p>
            <w:pPr>
              <w:spacing w:after="0" w:line="240"/>
            </w:pPr>
            <w:r>
              <w:rPr>
                <w:b w:val="false"/>
                <w:bCs w:val="false"/>
                <w:i w:val="false"/>
                <w:iCs w:val="false"/>
              </w:rPr>
              <w:t xml:space="preserve">All firmware-specific knowledge (addresses, telemetry formats, objective assertions) SHALL reside in scenario packages; platform source SHALL contain no scenario-specific constants.</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736"/>
            <w:tcMar>
              <w:top w:type="dxa" w:w="55"/>
              <w:left w:type="dxa" w:w="90"/>
              <w:bottom w:type="dxa" w:w="55"/>
              <w:right w:type="dxa" w:w="90"/>
            </w:tcMar>
          </w:tcPr>
          <w:p>
            <w:pPr>
              <w:spacing w:after="0" w:line="240"/>
            </w:pPr>
            <w:r>
              <w:rPr>
                <w:b w:val="false"/>
                <w:bCs w:val="false"/>
                <w:i w:val="false"/>
                <w:iCs w:val="false"/>
              </w:rPr>
              <w:t xml:space="preserve">Scenario Package Format, 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4474"/>
            <w:tcMar>
              <w:top w:type="dxa" w:w="55"/>
              <w:left w:type="dxa" w:w="90"/>
              <w:bottom w:type="dxa" w:w="55"/>
              <w:right w:type="dxa" w:w="90"/>
            </w:tcMar>
          </w:tcPr>
          <w:p>
            <w:pPr>
              <w:spacing w:after="0" w:line="240"/>
            </w:pPr>
            <w:r>
              <w:rPr>
                <w:b w:val="false"/>
                <w:bCs w:val="false"/>
                <w:i w:val="false"/>
                <w:iCs w:val="false"/>
              </w:rPr>
              <w:t xml:space="preserve">The scenario-author's guide SHALL enable the sponsor, working unaided, to author and successfully run a new one-objective scenario in at most 4 hours.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736"/>
            <w:tcMar>
              <w:top w:type="dxa" w:w="55"/>
              <w:left w:type="dxa" w:w="90"/>
              <w:bottom w:type="dxa" w:w="55"/>
              <w:right w:type="dxa" w:w="90"/>
            </w:tcMar>
          </w:tcPr>
          <w:p>
            <w:pPr>
              <w:spacing w:after="0" w:line="240"/>
            </w:pPr>
            <w:r>
              <w:rPr>
                <w:b w:val="false"/>
                <w:bCs w:val="false"/>
                <w:i w:val="false"/>
                <w:iCs w:val="false"/>
              </w:rPr>
              <w:t xml:space="preserve">Scenario Author's Guide</w:t>
            </w:r>
          </w:p>
        </w:tc>
      </w:tr>
      <w:tr>
        <w:tc>
          <w:tcPr>
            <w:tcW w:type="dxa" w:w="1050"/>
            <w:tcMar>
              <w:top w:type="dxa" w:w="55"/>
              <w:left w:type="dxa" w:w="90"/>
              <w:bottom w:type="dxa" w:w="55"/>
              <w:right w:type="dxa" w:w="90"/>
            </w:tcMar>
          </w:tcPr>
          <w:p>
            <w:pPr>
              <w:spacing w:after="0" w:line="240"/>
            </w:pPr>
            <w:r>
              <w:rPr>
                <w:b/>
                <w:bCs/>
                <w:i w:val="false"/>
                <w:iCs w:val="false"/>
              </w:rPr>
              <w:t xml:space="preserve">R13</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4474"/>
            <w:tcMar>
              <w:top w:type="dxa" w:w="55"/>
              <w:left w:type="dxa" w:w="90"/>
              <w:bottom w:type="dxa" w:w="55"/>
              <w:right w:type="dxa" w:w="90"/>
            </w:tcMar>
          </w:tcPr>
          <w:p>
            <w:pPr>
              <w:spacing w:after="0" w:line="240"/>
            </w:pPr>
            <w:r>
              <w:rPr>
                <w:b w:val="false"/>
                <w:bCs w:val="false"/>
                <w:i w:val="false"/>
                <w:iCs w:val="false"/>
              </w:rPr>
              <w:t xml:space="preserve">The scenario validation tool SHALL flag 100 % of seeded defects in a test corpus containing at least 3 cases each of: malformed manifest, unparsable assertion, and assertion address outside the memory map.</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736"/>
            <w:tcMar>
              <w:top w:type="dxa" w:w="55"/>
              <w:left w:type="dxa" w:w="90"/>
              <w:bottom w:type="dxa" w:w="55"/>
              <w:right w:type="dxa" w:w="90"/>
            </w:tcMar>
          </w:tcPr>
          <w:p>
            <w:pPr>
              <w:spacing w:after="0" w:line="240"/>
            </w:pPr>
            <w:r>
              <w:rPr>
                <w:b w:val="false"/>
                <w:bCs w:val="false"/>
                <w:i w:val="false"/>
                <w:iCs w:val="false"/>
              </w:rPr>
              <w:t xml:space="preserve">Scenario Package Format</w:t>
            </w:r>
          </w:p>
        </w:tc>
      </w:tr>
    </w:tbl>
    <w:p>
      <w:pPr>
        <w:spacing w:after="120"/>
      </w:pPr>
    </w:p>
    <w:p>
      <w:pPr>
        <w:pStyle w:val="Heading2"/>
        <w:spacing w:after="110" w:before="220"/>
      </w:pPr>
      <w:r>
        <w:rPr>
          <w:b w:val="false"/>
          <w:bCs w:val="false"/>
          <w:i w:val="false"/>
          <w:iCs w:val="false"/>
        </w:rPr>
        <w:t xml:space="preserve">§6.4 Persistence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3409"/>
        <w:gridCol w:w="1050"/>
        <w:gridCol w:w="2801"/>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3409"/>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2801"/>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R14.1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409"/>
            <w:tcMar>
              <w:top w:type="dxa" w:w="55"/>
              <w:left w:type="dxa" w:w="90"/>
              <w:bottom w:type="dxa" w:w="55"/>
              <w:right w:type="dxa" w:w="90"/>
            </w:tcMar>
          </w:tcPr>
          <w:p>
            <w:pPr>
              <w:spacing w:after="0" w:line="240"/>
            </w:pPr>
            <w:r>
              <w:rPr>
                <w:b w:val="false"/>
                <w:bCs w:val="false"/>
                <w:i w:val="false"/>
                <w:iCs w:val="false"/>
              </w:rPr>
              <w:t xml:space="preserve">100 % of player state (profile, per-scenario objective states, command log) SHALL reside on the mounted volume; no player state SHALL be written to the container filesystem.</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2801"/>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R14.2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409"/>
            <w:tcMar>
              <w:top w:type="dxa" w:w="55"/>
              <w:left w:type="dxa" w:w="90"/>
              <w:bottom w:type="dxa" w:w="55"/>
              <w:right w:type="dxa" w:w="90"/>
            </w:tcMar>
          </w:tcPr>
          <w:p>
            <w:pPr>
              <w:spacing w:after="0" w:line="240"/>
            </w:pPr>
            <w:r>
              <w:rPr>
                <w:b w:val="false"/>
                <w:bCs w:val="false"/>
                <w:i w:val="false"/>
                <w:iCs w:val="false"/>
              </w:rPr>
              <w:t xml:space="preserve">The player profile SHALL consist of a locally chosen display name of 1–32 characters; the platform SHALL require no authentication.</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2801"/>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R15.1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409"/>
            <w:tcMar>
              <w:top w:type="dxa" w:w="55"/>
              <w:left w:type="dxa" w:w="90"/>
              <w:bottom w:type="dxa" w:w="55"/>
              <w:right w:type="dxa" w:w="90"/>
            </w:tcMar>
          </w:tcPr>
          <w:p>
            <w:pPr>
              <w:spacing w:after="0" w:line="240"/>
            </w:pPr>
            <w:r>
              <w:rPr>
                <w:b w:val="false"/>
                <w:bCs w:val="false"/>
                <w:i w:val="false"/>
                <w:iCs w:val="false"/>
              </w:rPr>
              <w:t xml:space="preserve">After a container restart, command-log replay SHALL restore all objective states to their pre-restart values within 60 s for logs of up to 500 commands.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2801"/>
            <w:tcMar>
              <w:top w:type="dxa" w:w="55"/>
              <w:left w:type="dxa" w:w="90"/>
              <w:bottom w:type="dxa" w:w="55"/>
              <w:right w:type="dxa" w:w="90"/>
            </w:tcMar>
          </w:tcPr>
          <w:p>
            <w:pPr>
              <w:spacing w:after="0" w:line="240"/>
            </w:pPr>
            <w:r>
              <w:rPr>
                <w:b w:val="false"/>
                <w:bCs w:val="false"/>
                <w:i w:val="false"/>
                <w:iCs w:val="false"/>
              </w:rPr>
              <w:t xml:space="preserve">Firmware Design Specification, Scenario Package Format, 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R15.2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409"/>
            <w:tcMar>
              <w:top w:type="dxa" w:w="55"/>
              <w:left w:type="dxa" w:w="90"/>
              <w:bottom w:type="dxa" w:w="55"/>
              <w:right w:type="dxa" w:w="90"/>
            </w:tcMar>
          </w:tcPr>
          <w:p>
            <w:pPr>
              <w:spacing w:after="0" w:line="240"/>
            </w:pPr>
            <w:r>
              <w:rPr>
                <w:b w:val="false"/>
                <w:bCs w:val="false"/>
                <w:i w:val="false"/>
                <w:iCs w:val="false"/>
              </w:rPr>
              <w:t xml:space="preserve">A save volume written by platform version N SHALL load without loss in every later version released during the semester.</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2801"/>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R16</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3409"/>
            <w:tcMar>
              <w:top w:type="dxa" w:w="55"/>
              <w:left w:type="dxa" w:w="90"/>
              <w:bottom w:type="dxa" w:w="55"/>
              <w:right w:type="dxa" w:w="90"/>
            </w:tcMar>
          </w:tcPr>
          <w:p>
            <w:pPr>
              <w:spacing w:after="0" w:line="240"/>
            </w:pPr>
            <w:r>
              <w:rPr>
                <w:b w:val="false"/>
                <w:bCs w:val="false"/>
                <w:i w:val="false"/>
                <w:iCs w:val="false"/>
              </w:rPr>
              <w:t xml:space="preserve">For each completed objective, the platform SHALL record the completion timestamp and the cumulative uplink count at completion, and SHALL display both on a profile screen.</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2801"/>
            <w:tcMar>
              <w:top w:type="dxa" w:w="55"/>
              <w:left w:type="dxa" w:w="90"/>
              <w:bottom w:type="dxa" w:w="55"/>
              <w:right w:type="dxa" w:w="90"/>
            </w:tcMar>
          </w:tcPr>
          <w:p>
            <w:pPr>
              <w:spacing w:after="0" w:line="240"/>
            </w:pPr>
            <w:r>
              <w:rPr>
                <w:b w:val="false"/>
                <w:bCs w:val="false"/>
                <w:i w:val="false"/>
                <w:iCs w:val="false"/>
              </w:rPr>
              <w:t xml:space="preserve">Platform Design (advisory)</w:t>
            </w:r>
          </w:p>
        </w:tc>
      </w:tr>
    </w:tbl>
    <w:p>
      <w:pPr>
        <w:spacing w:after="120"/>
      </w:pPr>
    </w:p>
    <w:p>
      <w:pPr>
        <w:pStyle w:val="Heading2"/>
        <w:spacing w:after="110" w:before="220"/>
      </w:pPr>
      <w:r>
        <w:rPr>
          <w:b w:val="false"/>
          <w:bCs w:val="false"/>
          <w:i w:val="false"/>
          <w:iCs w:val="false"/>
        </w:rPr>
        <w:t xml:space="preserve">§6.5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3946"/>
        <w:gridCol w:w="1050"/>
        <w:gridCol w:w="2264"/>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3946"/>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2264"/>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R17.1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946"/>
            <w:tcMar>
              <w:top w:type="dxa" w:w="55"/>
              <w:left w:type="dxa" w:w="90"/>
              <w:bottom w:type="dxa" w:w="55"/>
              <w:right w:type="dxa" w:w="90"/>
            </w:tcMar>
          </w:tcPr>
          <w:p>
            <w:pPr>
              <w:spacing w:after="0" w:line="240"/>
            </w:pPr>
            <w:r>
              <w:rPr>
                <w:b w:val="false"/>
                <w:bCs w:val="false"/>
                <w:i w:val="false"/>
                <w:iCs w:val="false"/>
              </w:rPr>
              <w:t xml:space="preserve">One documented command SHALL take a reference machine (4 CPU cores, 8 GB RAM, Docker Engine ≥ 24; Linux, macOS, or Windows with WSL2) from pulled image to a playable console in at most 120 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2264"/>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R17.2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3946"/>
            <w:tcMar>
              <w:top w:type="dxa" w:w="55"/>
              <w:left w:type="dxa" w:w="90"/>
              <w:bottom w:type="dxa" w:w="55"/>
              <w:right w:type="dxa" w:w="90"/>
            </w:tcMar>
          </w:tcPr>
          <w:p>
            <w:pPr>
              <w:spacing w:after="0" w:line="240"/>
            </w:pPr>
            <w:r>
              <w:rPr>
                <w:b w:val="false"/>
                <w:bCs w:val="false"/>
                <w:i w:val="false"/>
                <w:iCs w:val="false"/>
              </w:rPr>
              <w:t xml:space="preserve">The container image SHALL be at most 4 GB.</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2264"/>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R18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946"/>
            <w:tcMar>
              <w:top w:type="dxa" w:w="55"/>
              <w:left w:type="dxa" w:w="90"/>
              <w:bottom w:type="dxa" w:w="55"/>
              <w:right w:type="dxa" w:w="90"/>
            </w:tcMar>
          </w:tcPr>
          <w:p>
            <w:pPr>
              <w:spacing w:after="0" w:line="240"/>
            </w:pPr>
            <w:r>
              <w:rPr>
                <w:b w:val="false"/>
                <w:bCs w:val="false"/>
                <w:i w:val="false"/>
                <w:iCs w:val="false"/>
              </w:rPr>
              <w:t xml:space="preserve">During play, the container SHALL initiate zero outbound network connections, verified by packet capture over one complete scenario run.</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2264"/>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R19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3946"/>
            <w:tcMar>
              <w:top w:type="dxa" w:w="55"/>
              <w:left w:type="dxa" w:w="90"/>
              <w:bottom w:type="dxa" w:w="55"/>
              <w:right w:type="dxa" w:w="90"/>
            </w:tcMar>
          </w:tcPr>
          <w:p>
            <w:pPr>
              <w:spacing w:after="0" w:line="240"/>
            </w:pPr>
            <w:r>
              <w:rPr>
                <w:b w:val="false"/>
                <w:bCs w:val="false"/>
                <w:i w:val="false"/>
                <w:iCs w:val="false"/>
              </w:rPr>
              <w:t xml:space="preserve">The container image SHALL contain no instructor-only data (solution states, grading keys, symbol maps), verified by review of the image manifest and layers.</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2264"/>
            <w:tcMar>
              <w:top w:type="dxa" w:w="55"/>
              <w:left w:type="dxa" w:w="90"/>
              <w:bottom w:type="dxa" w:w="55"/>
              <w:right w:type="dxa" w:w="90"/>
            </w:tcMar>
          </w:tcPr>
          <w:p>
            <w:pPr>
              <w:spacing w:after="0" w:line="240"/>
            </w:pPr>
            <w:r>
              <w:rPr>
                <w:b w:val="false"/>
                <w:bCs w:val="false"/>
                <w:i w:val="false"/>
                <w:iCs w:val="false"/>
              </w:rPr>
              <w:t xml:space="preserve">Scenario Package Format, Introspection API, Scenario Author's Guide</w:t>
            </w:r>
          </w:p>
        </w:tc>
      </w:tr>
    </w:tbl>
    <w:p>
      <w:pPr>
        <w:spacing w:after="120"/>
      </w:pPr>
    </w:p>
    <w:p>
      <w:pPr>
        <w:pStyle w:val="Heading2"/>
        <w:spacing w:after="110" w:before="220"/>
      </w:pPr>
      <w:r>
        <w:rPr>
          <w:b w:val="false"/>
          <w:bCs w:val="false"/>
          <w:i w:val="false"/>
          <w:iCs w:val="false"/>
        </w:rPr>
        <w:t xml:space="preserve">§6.6 Quality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5160"/>
        <w:gridCol w:w="105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516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050"/>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R20.1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assertion evaluator and scenario loader SHALL each have automated tests achieving at least 70 % line coverage.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R20.2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An automated end-to-end test SHALL play the reference scenario to completion through the daemon API in at most 10 minutes, and SHALL run in CI on every merge to the default branch.</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R20.3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scenario conformance suite SHALL pass in full on every merge to the default branch, with zero failures across its validation and replay cases.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Delivery SHALL include exactly these documents: (a) the player quickstart; (b) the reference scenario's recovered manual; (c) the platform architecture &amp; maintenance guide, produced by the team; and (d) the four sponsor-furnished specifications — Firmware Design, Scenario Package Format, Introspection API, and Scenario Author's Guide — carried forward at the revision delivered.</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bl>
    <w:p>
      <w:pPr>
        <w:spacing w:after="120"/>
      </w:pPr>
    </w:p>
    <w:p>
      <w:pPr>
        <w:pStyle w:val="Heading2"/>
        <w:spacing w:after="110" w:before="220"/>
      </w:pPr>
      <w:r>
        <w:rPr>
          <w:b w:val="false"/>
          <w:bCs w:val="false"/>
          <w:i w:val="false"/>
          <w:iCs w:val="false"/>
        </w:rPr>
        <w:t xml:space="preserve">§6.7 Future-Proofing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5160"/>
        <w:gridCol w:w="105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516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050"/>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R22.1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Each command-log entry SHALL contain: a monotonically increasing sequence number with no gaps; the </w:t>
            </w:r>
            <w:r>
              <w:rPr>
                <w:b/>
                <w:bCs/>
                <w:i w:val="false"/>
                <w:iCs w:val="false"/>
              </w:rPr>
              <w:t xml:space="preserve">probe uptime in milliseconds at which the command was applied</w:t>
            </w:r>
            <w:r>
              <w:rPr>
                <w:b w:val="false"/>
                <w:bCs w:val="false"/>
                <w:i w:val="false"/>
                <w:iCs w:val="false"/>
              </w:rPr>
              <w:t xml:space="preserve">, which is authoritative for replay; the raw uplink text verbatim; the budget resource charged, or null; and the probe's reply verbatim. A wall-clock timestamp MAY additionally be recorded for human reading and SHALL NOT be used to schedule replay.</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R22.2</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5160"/>
            <w:tcMar>
              <w:top w:type="dxa" w:w="55"/>
              <w:left w:type="dxa" w:w="90"/>
              <w:bottom w:type="dxa" w:w="55"/>
              <w:right w:type="dxa" w:w="90"/>
            </w:tcMar>
          </w:tcPr>
          <w:p>
            <w:pPr>
              <w:spacing w:after="0" w:line="240"/>
            </w:pPr>
            <w:r>
              <w:rPr>
                <w:b w:val="false"/>
                <w:bCs w:val="false"/>
                <w:i w:val="false"/>
                <w:iCs w:val="false"/>
              </w:rPr>
              <w:t xml:space="preserve">The command-log format SHALL be versioned and documented such that an instructor-side replay verifier can be built with no platform changes, confirmed by analysis at the design review.</w:t>
            </w:r>
          </w:p>
        </w:tc>
        <w:tc>
          <w:tcPr>
            <w:tcW w:type="dxa" w:w="1050"/>
            <w:tcMar>
              <w:top w:type="dxa" w:w="55"/>
              <w:left w:type="dxa" w:w="90"/>
              <w:bottom w:type="dxa" w:w="55"/>
              <w:right w:type="dxa" w:w="90"/>
            </w:tcMar>
          </w:tcPr>
          <w:p>
            <w:pPr>
              <w:spacing w:after="0" w:line="240"/>
            </w:pPr>
            <w:r>
              <w:rPr>
                <w:b w:val="false"/>
                <w:bCs w:val="false"/>
                <w:i w:val="false"/>
                <w:iCs w:val="false"/>
              </w:rPr>
              <w:t xml:space="preserve">A</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bl>
    <w:p>
      <w:pPr>
        <w:spacing w:after="120"/>
      </w:pPr>
    </w:p>
    <w:p>
      <w:pPr>
        <w:pStyle w:val="Heading2"/>
        <w:spacing w:after="110" w:before="220"/>
      </w:pPr>
      <w:r>
        <w:rPr>
          <w:b w:val="false"/>
          <w:bCs w:val="false"/>
          <w:i w:val="false"/>
          <w:iCs w:val="false"/>
        </w:rPr>
        <w:t xml:space="preserve">§6.8 Scenario Package &amp; Content Seam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5160"/>
        <w:gridCol w:w="105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516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050"/>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R23.1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load only packages conforming to the Scenario Package Format at the format revision it implements, and SHALL refuse any package declaring a higher </w:t>
            </w:r>
            <w:r>
              <w:rPr>
                <w:rFonts w:ascii="Consolas" w:cs="Consolas" w:eastAsia="Consolas" w:hAnsi="Consolas"/>
                <w:b w:val="false"/>
                <w:bCs w:val="false"/>
                <w:i w:val="false"/>
                <w:iCs w:val="false"/>
                <w:sz w:val="19"/>
                <w:szCs w:val="19"/>
                <w:shd w:fill="F2F2F2" w:val="clear"/>
              </w:rPr>
              <w:t xml:space="preserve">format</w:t>
            </w:r>
            <w:r>
              <w:rPr>
                <w:b w:val="false"/>
                <w:bCs w:val="false"/>
                <w:i w:val="false"/>
                <w:iCs w:val="false"/>
              </w:rPr>
              <w:t xml:space="preserve"> value, reporting the package path and the unsupported value.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ignore unrecognized keys at every level of a package rather than refusing it, so that a package authored against a later revision of the format loads without platform change.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Within 10 s of session start the daemon SHALL compare the application-image CRC32 reported by the probe at boot against the package's declared </w:t>
            </w:r>
            <w:r>
              <w:rPr>
                <w:rFonts w:ascii="Consolas" w:cs="Consolas" w:eastAsia="Consolas" w:hAnsi="Consolas"/>
                <w:b w:val="false"/>
                <w:bCs w:val="false"/>
                <w:i w:val="false"/>
                <w:iCs w:val="false"/>
                <w:sz w:val="19"/>
                <w:szCs w:val="19"/>
                <w:shd w:fill="F2F2F2" w:val="clear"/>
              </w:rPr>
              <w:t xml:space="preserve">app_crc32</w:t>
            </w:r>
            <w:r>
              <w:rPr>
                <w:b w:val="false"/>
                <w:bCs w:val="false"/>
                <w:i w:val="false"/>
                <w:iCs w:val="false"/>
              </w:rPr>
              <w:t xml:space="preserve">, and on mismatch SHALL refuse to start the scenario and report both values.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Scenario assertions SHALL address probe memory by symbol name resolved through the package's symbol map, or by absolute address only for peripheral register blocks; every resolved address and range SHALL fall inside a region declared in the package's memory map.</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 package containing executable predicate code SHALL declare itself impure; the daemon SHALL provide a mode that refuses impure packages, and that mode SHALL be the default for any packaged distribution.</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Every scenario package delivered with the platform SHALL be pure content, containing no executable predicate code.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expose a non-interactive entry point that accepts a scenario directory and a command log, replays the log, and emits final objective states as JSON, per the format specification's conformance interface.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Package setup writes SHALL be applied before the first evaluated frame, SHALL NOT be charged to any command budget, and SHALL NOT appear in the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Objectives SHALL be evaluated in the order declared by the package, and within each objective in the order: failure condition, partial conditions, success condition.</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R23.10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 predicate over absent telemetry — an absent channel, an undefined field path, or a frame failing CRC — SHALL evaluate false and SHALL NOT abort the evaluation pass.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bl>
    <w:p>
      <w:pPr>
        <w:spacing w:after="120"/>
      </w:pPr>
    </w:p>
    <w:p>
      <w:pPr>
        <w:pStyle w:val="Heading2"/>
        <w:spacing w:after="110" w:before="220"/>
      </w:pPr>
      <w:r>
        <w:rPr>
          <w:b w:val="false"/>
          <w:bCs w:val="false"/>
          <w:i w:val="false"/>
          <w:iCs w:val="false"/>
        </w:rPr>
        <w:t xml:space="preserve">§6.9 Evaluation Integrity &amp; Introspection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5160"/>
        <w:gridCol w:w="105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516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050"/>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R24.1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platform SHALL maintain exactly two connections to the probe: a command channel carrying only player-originated uplinks, and a read-only introspection channel used only for objective evaluation.</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originate no uplink command of its own. Every command delivered to the probe SHALL correspond to exactly one player action recorded in the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NOT write probe memory or registers over the introspection channel.</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Introspection activity SHALL NOT be charged to any command budget, SHALL NOT be appended to the command log, and SHALL NOT alter any value observable in downlink telemetry.</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use only these GDB remote serial protocol packets: query halt reason, read memory, negotiate supported features, continue, detach, and the raw interrupt byte.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NOT send write-memory, write-register, breakpoint, watchpoint, single-step or kill packets. Each either mutates the probe or alters its timing, and a breakpoint left set changes execution timing for the remainder of the session while being invisible in the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decode run-length encoding in received packet data, in which an asterisk is followed by one character whose value less 29 is the count of additional repeats of the preceding character.</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treat a reply beginning with the error prefix as a failed read and SHALL NOT interpret its characters as data.</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honor the maximum packet size the stub advertises, SHALL split any longer read into chunks of at most 1024 bytes, and SHALL reassemble them in order.</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For each downlink frame the daemon SHALL, in this order: decode the frame; compute its event list; apply any uplink whose delay has expired; halt the guest; perform every memory read the pass requires; resume the guest; then evaluate objectives.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All memory reads within one evaluation pass SHALL observe probe state at a single instant.</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R24.12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cache reads within one evaluation pass so that a repeated address and length is fetched once, and SHALL NOT cache reads across passes.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snapshot window SHALL NOT exceed 250 ms, and exceeding it SHALL be treated as an error rather than leaving the probe halted.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 predicate over absent telemetry — an absent channel, an undefined field path, or a frame failing CRC — SHALL evaluate false and SHALL NOT abort the evaluation pass.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 failed introspection read — connection refused, timeout, error reply, or short read — SHALL abort the evaluation pass and leave every objective state unchanged; it SHALL NOT be evaluated as a false predicate.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On loss of the introspection channel the daemon SHALL attempt reconnection before the next evaluation pass, and SHALL report degraded grading to the console within one telemetry period if reconnection fails.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daemon SHALL contain no emulator-specific introspection code; substituting the harness-tier emulator SHALL require configuration change only, verified by an empty diff across daemon source.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emulator SHALL bind the introspection port to the loopback interface only.</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R24.19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introspection channel SHALL NOT be documented in any player-facing material and SHALL NOT be reachable from the console.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R24.20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No instructor-only data, the symbol map above all, SHALL be reachable through the introspection channel or present in the player image.</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r>
        <w:tc>
          <w:tcPr>
            <w:tcW w:type="dxa" w:w="1050"/>
            <w:tcMar>
              <w:top w:type="dxa" w:w="55"/>
              <w:left w:type="dxa" w:w="90"/>
              <w:bottom w:type="dxa" w:w="55"/>
              <w:right w:type="dxa" w:w="90"/>
            </w:tcMar>
          </w:tcPr>
          <w:p>
            <w:pPr>
              <w:spacing w:after="0" w:line="240"/>
            </w:pPr>
            <w:r>
              <w:rPr>
                <w:b/>
                <w:bCs/>
                <w:i w:val="false"/>
                <w:iCs w:val="false"/>
              </w:rPr>
              <w:t xml:space="preserve">R24.21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Objective evaluation SHALL be a pure function of setup state, the command log, and probe behavior. No objective state SHALL depend on wall-clock time, host performance, or a random source. Verified by replaying one command log of at least 20 commands twice and obtaining identical objective states and identical first-completion frame numbers.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Introspection API</w:t>
            </w:r>
          </w:p>
        </w:tc>
      </w:tr>
    </w:tbl>
    <w:p>
      <w:pPr>
        <w:spacing w:after="120"/>
      </w:pPr>
    </w:p>
    <w:p>
      <w:pPr>
        <w:pStyle w:val="Heading2"/>
        <w:spacing w:after="110" w:before="220"/>
      </w:pPr>
      <w:r>
        <w:rPr>
          <w:b w:val="false"/>
          <w:bCs w:val="false"/>
          <w:i w:val="false"/>
          <w:iCs w:val="false"/>
        </w:rPr>
        <w:t xml:space="preserve">§6.11 Ground-Station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5160"/>
        <w:gridCol w:w="1050"/>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050"/>
            <w:shd w:fill="D9E2F3" w:val="clear"/>
            <w:tcMar>
              <w:top w:type="dxa" w:w="55"/>
              <w:left w:type="dxa" w:w="90"/>
              <w:bottom w:type="dxa" w:w="55"/>
              <w:right w:type="dxa" w:w="90"/>
            </w:tcMar>
          </w:tcPr>
          <w:p>
            <w:pPr>
              <w:spacing w:after="0" w:line="240"/>
            </w:pPr>
            <w:r>
              <w:rPr>
                <w:b/>
                <w:bCs/>
                <w:sz w:val="19"/>
                <w:szCs w:val="19"/>
              </w:rPr>
              <w:t xml:space="preserve">Pri</w:t>
            </w:r>
          </w:p>
        </w:tc>
        <w:tc>
          <w:tcPr>
            <w:tcW w:type="dxa" w:w="5160"/>
            <w:shd w:fill="D9E2F3" w:val="clear"/>
            <w:tcMar>
              <w:top w:type="dxa" w:w="55"/>
              <w:left w:type="dxa" w:w="90"/>
              <w:bottom w:type="dxa" w:w="55"/>
              <w:right w:type="dxa" w:w="90"/>
            </w:tcMar>
          </w:tcPr>
          <w:p>
            <w:pPr>
              <w:spacing w:after="0" w:line="240"/>
            </w:pPr>
            <w:r>
              <w:rPr>
                <w:b/>
                <w:bCs/>
                <w:sz w:val="19"/>
                <w:szCs w:val="19"/>
              </w:rPr>
              <w:t xml:space="preserve">Requirement</w:t>
            </w:r>
          </w:p>
        </w:tc>
        <w:tc>
          <w:tcPr>
            <w:tcW w:type="dxa" w:w="1050"/>
            <w:shd w:fill="D9E2F3" w:val="clear"/>
            <w:tcMar>
              <w:top w:type="dxa" w:w="55"/>
              <w:left w:type="dxa" w:w="90"/>
              <w:bottom w:type="dxa" w:w="55"/>
              <w:right w:type="dxa" w:w="90"/>
            </w:tcMar>
          </w:tcPr>
          <w:p>
            <w:pPr>
              <w:spacing w:after="0" w:line="240"/>
            </w:pPr>
            <w:r>
              <w:rPr>
                <w:b/>
                <w:bCs/>
                <w:sz w:val="19"/>
                <w:szCs w:val="19"/>
              </w:rPr>
              <w:t xml:space="preserve">Verify</w:t>
            </w:r>
          </w:p>
        </w:tc>
        <w:tc>
          <w:tcPr>
            <w:tcW w:type="dxa" w:w="1050"/>
            <w:shd w:fill="D9E2F3" w:val="clear"/>
            <w:tcMar>
              <w:top w:type="dxa" w:w="55"/>
              <w:left w:type="dxa" w:w="90"/>
              <w:bottom w:type="dxa" w:w="55"/>
              <w:right w:type="dxa" w:w="90"/>
            </w:tcMar>
          </w:tcPr>
          <w:p>
            <w:pPr>
              <w:spacing w:after="0" w:line="240"/>
            </w:pPr>
            <w:r>
              <w:rPr>
                <w:b/>
                <w:bCs/>
                <w:sz w:val="19"/>
                <w:szCs w:val="19"/>
              </w:rPr>
              <w:t xml:space="preserve">Detail in</w:t>
            </w:r>
          </w:p>
        </w:tc>
      </w:tr>
      <w:tr>
        <w:tc>
          <w:tcPr>
            <w:tcW w:type="dxa" w:w="1050"/>
            <w:tcMar>
              <w:top w:type="dxa" w:w="55"/>
              <w:left w:type="dxa" w:w="90"/>
              <w:bottom w:type="dxa" w:w="55"/>
              <w:right w:type="dxa" w:w="90"/>
            </w:tcMar>
          </w:tcPr>
          <w:p>
            <w:pPr>
              <w:spacing w:after="0" w:line="240"/>
            </w:pPr>
            <w:r>
              <w:rPr>
                <w:b/>
                <w:bCs/>
                <w:i w:val="false"/>
                <w:iCs w:val="false"/>
              </w:rPr>
              <w:t xml:space="preserve">R25.1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console SHALL present five regions simultaneously and without navigation: spacecraft read-out, downlink frame feed, uplink terminal, mission status, and ground-station link status.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downlink feed SHALL display every received frame as transmitted, in hexadecimal, in arrival order, retaining at least the most recent 200 frames, and SHALL mark any frame failing CRC as corrupt without discarding it.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spacecraft read-out SHALL present decoded values </w:t>
            </w:r>
            <w:r>
              <w:rPr>
                <w:b/>
                <w:bCs/>
                <w:i w:val="false"/>
                <w:iCs w:val="false"/>
              </w:rPr>
              <w:t xml:space="preserve">only</w:t>
            </w:r>
            <w:r>
              <w:rPr>
                <w:b w:val="false"/>
                <w:bCs w:val="false"/>
                <w:i w:val="false"/>
                <w:iCs w:val="false"/>
              </w:rPr>
              <w:t xml:space="preserve"> for channels the active scenario package lists in </w:t>
            </w:r>
            <w:r>
              <w:rPr>
                <w:rFonts w:ascii="Consolas" w:cs="Consolas" w:eastAsia="Consolas" w:hAnsi="Consolas"/>
                <w:b w:val="false"/>
                <w:bCs w:val="false"/>
                <w:i w:val="false"/>
                <w:iCs w:val="false"/>
                <w:sz w:val="19"/>
                <w:szCs w:val="19"/>
                <w:shd w:fill="F2F2F2" w:val="clear"/>
              </w:rPr>
              <w:t xml:space="preserve">console.decode</w:t>
            </w:r>
            <w:r>
              <w:rPr>
                <w:b w:val="false"/>
                <w:bCs w:val="false"/>
                <w:i w:val="false"/>
                <w:iCs w:val="false"/>
              </w:rPr>
              <w:t xml:space="preserve">; every other channel SHALL appear in the downlink feed as raw hexadecimal only.</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When a decoded channel leaves the downlink, the read-out SHALL mark it absent within one telemetry period and SHALL NOT continue to display its last value.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uplink terminal SHALL accept typed commands, maintain a recallable history of at least the most recent 500 commands per player across sessions, and display for each command in flight its remaining transmission delay to a resolution of 1 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console SHALL display remaining write and read allowance whenever the active scenario declares a budget, and SHALL indicate a command refused for budget distinctly from a command the probe rejected.</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mission status panel SHALL render objectives in the order declared by the package, showing state, brief text for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objectives, current partial diagnostic text, and revealed hints — and SHALL reveal neither brief nor hints for a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objective.</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R25.8</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link panel SHALL identify the Deep Space Network complex currently holding the link, name the specific antenna carrying it, and animate signal activity distinctly for downlink reception and for an uplink in flight.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R25.9</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complex in contact SHALL be derived from probe uptime unless the scenario pins one, so that a replayed session displays the same station sequence as the original.</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R25.10</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link panel SHALL display the one-way transmission delay in force and the spacecraft antenna in use, and SHALL indicate loss of link within one telemetry period of the probe ceasing to transmit.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R25.11</w:t>
            </w:r>
          </w:p>
        </w:tc>
        <w:tc>
          <w:tcPr>
            <w:tcW w:type="dxa" w:w="1050"/>
            <w:tcMar>
              <w:top w:type="dxa" w:w="55"/>
              <w:left w:type="dxa" w:w="90"/>
              <w:bottom w:type="dxa" w:w="55"/>
              <w:right w:type="dxa" w:w="90"/>
            </w:tcMar>
          </w:tcPr>
          <w:p>
            <w:pPr>
              <w:spacing w:after="0" w:line="240"/>
            </w:pPr>
            <w:r>
              <w:rPr>
                <w:b w:val="false"/>
                <w:bCs w:val="false"/>
                <w:i w:val="false"/>
                <w:iCs w:val="false"/>
              </w:rPr>
              <w:t xml:space="preserve">O</w:t>
            </w:r>
          </w:p>
        </w:tc>
        <w:tc>
          <w:tcPr>
            <w:tcW w:type="dxa" w:w="5160"/>
            <w:tcMar>
              <w:top w:type="dxa" w:w="55"/>
              <w:left w:type="dxa" w:w="90"/>
              <w:bottom w:type="dxa" w:w="55"/>
              <w:right w:type="dxa" w:w="90"/>
            </w:tcMar>
          </w:tcPr>
          <w:p>
            <w:pPr>
              <w:spacing w:after="0" w:line="240"/>
            </w:pPr>
            <w:r>
              <w:rPr>
                <w:b w:val="false"/>
                <w:bCs w:val="false"/>
                <w:i w:val="false"/>
                <w:iCs w:val="false"/>
              </w:rPr>
              <w:t xml:space="preserve">Antenna selection within a complex SHALL reflect the spacecraft antenna in use, a larger aperture being shown for the high-gain link than for the low-gain link.</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R26.1</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The console SHALL provide a menu offering, at minimum: start a scenario, abort the running scenario, save the session, load a saved session, and exit.</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R26.2</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Starting a scenario while one is running SHALL require an explicit confirmation, and SHALL abort the running session before the new one begins.</w:t>
            </w:r>
          </w:p>
        </w:tc>
        <w:tc>
          <w:tcPr>
            <w:tcW w:type="dxa" w:w="1050"/>
            <w:tcMar>
              <w:top w:type="dxa" w:w="55"/>
              <w:left w:type="dxa" w:w="90"/>
              <w:bottom w:type="dxa" w:w="55"/>
              <w:right w:type="dxa" w:w="90"/>
            </w:tcMar>
          </w:tcPr>
          <w:p>
            <w:pPr>
              <w:spacing w:after="0" w:line="240"/>
            </w:pPr>
            <w:r>
              <w:rPr>
                <w:b w:val="false"/>
                <w:bCs w:val="false"/>
                <w:i w:val="false"/>
                <w:iCs w:val="false"/>
              </w:rPr>
              <w:t xml:space="preserve">D</w:t>
            </w:r>
          </w:p>
        </w:tc>
        <w:tc>
          <w:tcPr>
            <w:tcW w:type="dxa" w:w="1050"/>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R26.3</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Aborting a running scenario SHALL terminate the probe process and release its ports within 10 s, SHALL preserve the command log in full, and SHALL leave the session resumable.</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R26.4</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Save SHALL write a portable session archive containing the command log, the scenario identifier and revision, and the player profile, and SHALL NOT require the scenario to be stopped.</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R26.5</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Load SHALL restore a session from such an archive by replay (R15.1), SHALL refuse an archive whose scenario identifier is not installed, and SHALL warn when the installed revision is higher than the archive's.</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bCs/>
                <w:i w:val="false"/>
                <w:iCs w:val="false"/>
              </w:rPr>
              <w:t xml:space="preserve">R26.6</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Exit SHALL terminate the probe process, flush the command log, and leave no orphaned emulator process, verified by process inspection after exit.</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1050"/>
            <w:tcMar>
              <w:top w:type="dxa" w:w="55"/>
              <w:left w:type="dxa" w:w="90"/>
              <w:bottom w:type="dxa" w:w="55"/>
              <w:right w:type="dxa" w:w="90"/>
            </w:tcMar>
          </w:tcPr>
          <w:p>
            <w:pPr>
              <w:spacing w:after="0" w:line="240"/>
            </w:pPr>
            <w:r>
              <w:rPr>
                <w:b w:val="false"/>
                <w:bCs w:val="false"/>
                <w:i w:val="false"/>
                <w:iCs w:val="false"/>
              </w:rPr>
              <w:t xml:space="preserve">Platform Design (advisory)</w:t>
            </w:r>
          </w:p>
        </w:tc>
      </w:tr>
      <w:tr>
        <w:tc>
          <w:tcPr>
            <w:tcW w:type="dxa" w:w="1050"/>
            <w:tcMar>
              <w:top w:type="dxa" w:w="55"/>
              <w:left w:type="dxa" w:w="90"/>
              <w:bottom w:type="dxa" w:w="55"/>
              <w:right w:type="dxa" w:w="90"/>
            </w:tcMar>
          </w:tcPr>
          <w:p>
            <w:pPr>
              <w:spacing w:after="0" w:line="240"/>
            </w:pPr>
            <w:r>
              <w:rPr>
                <w:b/>
                <w:bCs/>
                <w:i w:val="false"/>
                <w:iCs w:val="false"/>
              </w:rPr>
              <w:t xml:space="preserve">R26.7</w:t>
            </w:r>
          </w:p>
        </w:tc>
        <w:tc>
          <w:tcPr>
            <w:tcW w:type="dxa" w:w="1050"/>
            <w:tcMar>
              <w:top w:type="dxa" w:w="55"/>
              <w:left w:type="dxa" w:w="90"/>
              <w:bottom w:type="dxa" w:w="55"/>
              <w:right w:type="dxa" w:w="90"/>
            </w:tcMar>
          </w:tcPr>
          <w:p>
            <w:pPr>
              <w:spacing w:after="0" w:line="240"/>
            </w:pPr>
            <w:r>
              <w:rPr>
                <w:b w:val="false"/>
                <w:bCs w:val="false"/>
                <w:i w:val="false"/>
                <w:iCs w:val="false"/>
              </w:rPr>
              <w:t xml:space="preserve">T</w:t>
            </w:r>
          </w:p>
        </w:tc>
        <w:tc>
          <w:tcPr>
            <w:tcW w:type="dxa" w:w="5160"/>
            <w:tcMar>
              <w:top w:type="dxa" w:w="55"/>
              <w:left w:type="dxa" w:w="90"/>
              <w:bottom w:type="dxa" w:w="55"/>
              <w:right w:type="dxa" w:w="90"/>
            </w:tcMar>
          </w:tcPr>
          <w:p>
            <w:pPr>
              <w:spacing w:after="0" w:line="240"/>
            </w:pPr>
            <w:r>
              <w:rPr>
                <w:b w:val="false"/>
                <w:bCs w:val="false"/>
                <w:i w:val="false"/>
                <w:iCs w:val="false"/>
              </w:rPr>
              <w:t xml:space="preserve">No menu action SHALL be able to alter objective state other than by replaying a command log.</w:t>
            </w:r>
          </w:p>
        </w:tc>
        <w:tc>
          <w:tcPr>
            <w:tcW w:type="dxa" w:w="1050"/>
            <w:tcMar>
              <w:top w:type="dxa" w:w="55"/>
              <w:left w:type="dxa" w:w="90"/>
              <w:bottom w:type="dxa" w:w="55"/>
              <w:right w:type="dxa" w:w="90"/>
            </w:tcMar>
          </w:tcPr>
          <w:p>
            <w:pPr>
              <w:spacing w:after="0" w:line="240"/>
            </w:pPr>
            <w:r>
              <w:rPr>
                <w:b w:val="false"/>
                <w:bCs w:val="false"/>
                <w:i w:val="false"/>
                <w:iCs w:val="false"/>
              </w:rPr>
              <w:t xml:space="preserve">I</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r>
    </w:tbl>
    <w:p>
      <w:pPr>
        <w:spacing w:after="120"/>
      </w:pP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2026-09-04T00:48:00.644Z</dcterms:created>
  <dcterms:modified xsi:type="dcterms:W3CDTF">2026-09-04T00:48:00.644Z</dcterms:modified>
</cp:coreProperties>
</file>

<file path=docProps/custom.xml><?xml version="1.0" encoding="utf-8"?>
<Properties xmlns="http://schemas.openxmlformats.org/officeDocument/2006/custom-properties" xmlns:vt="http://schemas.openxmlformats.org/officeDocument/2006/docPropsVTypes"/>
</file>