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120"/>
        <w:jc w:val="center"/>
      </w:pPr>
      <w:r>
        <w:rPr>
          <w:b/>
          <w:bCs/>
          <w:color w:val="1F3864"/>
          <w:sz w:val="56"/>
          <w:szCs w:val="56"/>
        </w:rPr>
        <w:t xml:space="preserve">Project Charter &amp; Requirements</w:t>
      </w:r>
    </w:p>
    <w:p>
      <w:pPr>
        <w:spacing w:after="80"/>
        <w:jc w:val="center"/>
      </w:pPr>
      <w:r>
        <w:rPr>
          <w:color w:val="595959"/>
          <w:sz w:val="30"/>
          <w:szCs w:val="30"/>
        </w:rPr>
        <w:t xml:space="preserve">“Sojourn” — A Reverse Engineering Game Platform</w:t>
      </w:r>
    </w:p>
    <w:p>
      <w:pPr>
        <w:spacing w:after="480"/>
        <w:jc w:val="center"/>
      </w:pPr>
      <w:r>
        <w:rPr>
          <w:color w:val="595959"/>
          <w:sz w:val="24"/>
          <w:szCs w:val="24"/>
        </w:rPr>
        <w:t xml:space="preserve">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E2F3" w:val="clear"/>
            <w:tcMar>
              <w:top w:type="dxa" w:w="60"/>
              <w:left w:type="dxa" w:w="100"/>
              <w:bottom w:type="dxa" w:w="60"/>
              <w:right w:type="dxa" w:w="100"/>
            </w:tcMar>
          </w:tcPr>
          <w:p>
            <w:pPr>
              <w:spacing w:after="0" w:line="252"/>
            </w:pPr>
            <w:r>
              <w:rPr>
                <w:b/>
                <w:bCs/>
              </w:rPr>
              <w:t xml:space="preserve">Field</w:t>
            </w:r>
          </w:p>
        </w:tc>
        <w:tc>
          <w:tcPr>
            <w:tcW w:type="dxa" w:w="7160"/>
            <w:shd w:fill="D9E2F3" w:val="clear"/>
            <w:tcMar>
              <w:top w:type="dxa" w:w="60"/>
              <w:left w:type="dxa" w:w="100"/>
              <w:bottom w:type="dxa" w:w="60"/>
              <w:right w:type="dxa" w:w="100"/>
            </w:tcMar>
          </w:tcPr>
          <w:p>
            <w:pPr>
              <w:spacing w:after="0" w:line="252"/>
            </w:pPr>
            <w:r>
              <w:rPr>
                <w:b/>
                <w:bCs/>
              </w:rPr>
              <w:t xml:space="preserve">Value</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Document</w:t>
            </w:r>
          </w:p>
        </w:tc>
        <w:tc>
          <w:tcPr>
            <w:tcW w:type="dxa" w:w="7160"/>
            <w:tcMar>
              <w:top w:type="dxa" w:w="60"/>
              <w:left w:type="dxa" w:w="100"/>
              <w:bottom w:type="dxa" w:w="60"/>
              <w:right w:type="dxa" w:w="100"/>
            </w:tcMar>
          </w:tcPr>
          <w:p>
            <w:pPr>
              <w:spacing w:after="0" w:line="252"/>
            </w:pPr>
            <w:r>
              <w:rPr>
                <w:b w:val="false"/>
                <w:bCs w:val="false"/>
                <w:i w:val="false"/>
                <w:iCs w:val="false"/>
              </w:rPr>
              <w:t xml:space="preserve">Project Charter and Requirements Specification</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Version</w:t>
            </w:r>
          </w:p>
        </w:tc>
        <w:tc>
          <w:tcPr>
            <w:tcW w:type="dxa" w:w="7160"/>
            <w:tcMar>
              <w:top w:type="dxa" w:w="60"/>
              <w:left w:type="dxa" w:w="100"/>
              <w:bottom w:type="dxa" w:w="60"/>
              <w:right w:type="dxa" w:w="100"/>
            </w:tcMar>
          </w:tcPr>
          <w:p>
            <w:pPr>
              <w:spacing w:after="0" w:line="252"/>
            </w:pPr>
            <w:r>
              <w:rPr>
                <w:b w:val="false"/>
                <w:bCs w:val="false"/>
                <w:i w:val="false"/>
                <w:iCs w:val="false"/>
              </w:rPr>
              <w:t xml:space="preserve">0.2 (Draft — SHALL-form requirements)</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Date</w:t>
            </w:r>
          </w:p>
        </w:tc>
        <w:tc>
          <w:tcPr>
            <w:tcW w:type="dxa" w:w="7160"/>
            <w:tcMar>
              <w:top w:type="dxa" w:w="60"/>
              <w:left w:type="dxa" w:w="100"/>
              <w:bottom w:type="dxa" w:w="60"/>
              <w:right w:type="dxa" w:w="100"/>
            </w:tcMar>
          </w:tcPr>
          <w:p>
            <w:pPr>
              <w:spacing w:after="0" w:line="252"/>
            </w:pPr>
            <w:r>
              <w:rPr>
                <w:b w:val="false"/>
                <w:bCs w:val="false"/>
                <w:i w:val="false"/>
                <w:iCs w:val="false"/>
              </w:rPr>
              <w:t xml:space="preserve">August 26, 2026</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Sponsor</w:t>
            </w:r>
          </w:p>
        </w:tc>
        <w:tc>
          <w:tcPr>
            <w:tcW w:type="dxa" w:w="7160"/>
            <w:tcMar>
              <w:top w:type="dxa" w:w="60"/>
              <w:left w:type="dxa" w:w="100"/>
              <w:bottom w:type="dxa" w:w="60"/>
              <w:right w:type="dxa" w:w="100"/>
            </w:tcMar>
          </w:tcPr>
          <w:p>
            <w:pPr>
              <w:spacing w:after="0" w:line="252"/>
            </w:pPr>
            <w:r>
              <w:rPr>
                <w:b w:val="false"/>
                <w:bCs w:val="false"/>
                <w:i w:val="false"/>
                <w:iCs w:val="false"/>
              </w:rPr>
              <w:t xml:space="preserve">Trevor Bakker (Instructor)</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Team</w:t>
            </w:r>
          </w:p>
        </w:tc>
        <w:tc>
          <w:tcPr>
            <w:tcW w:type="dxa" w:w="7160"/>
            <w:tcMar>
              <w:top w:type="dxa" w:w="60"/>
              <w:left w:type="dxa" w:w="100"/>
              <w:bottom w:type="dxa" w:w="60"/>
              <w:right w:type="dxa" w:w="100"/>
            </w:tcMar>
          </w:tcPr>
          <w:p>
            <w:pPr>
              <w:spacing w:after="0" w:line="252"/>
            </w:pPr>
            <w:r>
              <w:rPr>
                <w:b w:val="false"/>
                <w:bCs w:val="false"/>
                <w:i w:val="false"/>
                <w:iCs w:val="false"/>
              </w:rPr>
              <w:t xml:space="preserve">5–6 Computer Science students, one semester</w:t>
            </w:r>
          </w:p>
        </w:tc>
      </w:tr>
      <w:tr>
        <w:tc>
          <w:tcPr>
            <w:tcW w:type="dxa" w:w="2200"/>
            <w:tcMar>
              <w:top w:type="dxa" w:w="60"/>
              <w:left w:type="dxa" w:w="100"/>
              <w:bottom w:type="dxa" w:w="60"/>
              <w:right w:type="dxa" w:w="100"/>
            </w:tcMar>
          </w:tcPr>
          <w:p>
            <w:pPr>
              <w:spacing w:after="0" w:line="252"/>
            </w:pPr>
            <w:r>
              <w:rPr>
                <w:b w:val="false"/>
                <w:bCs w:val="false"/>
                <w:i w:val="false"/>
                <w:iCs w:val="false"/>
              </w:rPr>
              <w:t xml:space="preserve">Status</w:t>
            </w:r>
          </w:p>
        </w:tc>
        <w:tc>
          <w:tcPr>
            <w:tcW w:type="dxa" w:w="7160"/>
            <w:tcMar>
              <w:top w:type="dxa" w:w="60"/>
              <w:left w:type="dxa" w:w="100"/>
              <w:bottom w:type="dxa" w:w="60"/>
              <w:right w:type="dxa" w:w="100"/>
            </w:tcMar>
          </w:tcPr>
          <w:p>
            <w:pPr>
              <w:spacing w:after="0" w:line="252"/>
            </w:pPr>
            <w:r>
              <w:rPr>
                <w:b w:val="false"/>
                <w:bCs w:val="false"/>
                <w:i w:val="false"/>
                <w:iCs w:val="false"/>
              </w:rPr>
              <w:t xml:space="preserve">Draft for team review</w:t>
            </w:r>
          </w:p>
        </w:tc>
      </w:tr>
    </w:tbl>
    <w:p>
      <w:r>
        <w:br w:type="page"/>
      </w:r>
    </w:p>
    <w:p>
      <w:pPr>
        <w:pStyle w:val="Heading1"/>
        <w:spacing w:after="160" w:before="320"/>
      </w:pPr>
      <w:r>
        <w:t xml:space="preserve">1. Project Summary</w:t>
      </w:r>
    </w:p>
    <w:p>
      <w:pPr>
        <w:spacing w:after="140" w:line="276"/>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40" w:line="276"/>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40" w:line="276"/>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60" w:before="320"/>
      </w:pPr>
      <w:r>
        <w:t xml:space="preserve">2. Objectives &amp; Success Criteria</w:t>
      </w:r>
    </w:p>
    <w:p>
      <w:pPr>
        <w:spacing w:after="140" w:line="276"/>
      </w:pPr>
      <w:r>
        <w:rPr>
          <w:b w:val="false"/>
          <w:bCs w:val="false"/>
          <w:i w:val="false"/>
          <w:iCs w:val="false"/>
        </w:rPr>
        <w:t xml:space="preserve">The project succeeds if, at the end of the semester:</w:t>
      </w:r>
    </w:p>
    <w:p>
      <w:pPr>
        <w:pStyle w:val="ListParagraph"/>
        <w:numPr>
          <w:ilvl w:val="0"/>
          <w:numId w:val="2"/>
        </w:numPr>
        <w:spacing w:after="80" w:line="264"/>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80" w:line="264"/>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80" w:line="264"/>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80" w:line="264"/>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80" w:line="264"/>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80" w:line="264"/>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40" w:line="276"/>
      </w:pPr>
      <w:r>
        <w:rPr>
          <w:b/>
          <w:bCs/>
          <w:i w:val="false"/>
          <w:iCs w:val="false"/>
        </w:rPr>
        <w:t xml:space="preserve">Explicit non-goals (out of scope for the semester):</w:t>
      </w:r>
      <w:r>
        <w:rPr>
          <w:b w:val="false"/>
          <w:bCs w:val="false"/>
          <w:i w:val="false"/>
          <w:iCs w:val="false"/>
        </w:rPr>
        <w:t xml:space="preserve"> multi-tenant hosting, accounts or 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40" w:line="276"/>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60" w:before="320"/>
      </w:pPr>
      <w:r>
        <w:t xml:space="preserve">3. Background &amp; Motivating Example</w:t>
      </w:r>
    </w:p>
    <w:p>
      <w:pPr>
        <w:spacing w:after="140" w:line="276"/>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40" w:line="276"/>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60" w:before="320"/>
      </w:pPr>
      <w:r>
        <w:t xml:space="preserve">4. Player Experience (Definitive Description)</w:t>
      </w:r>
    </w:p>
    <w:p>
      <w:pPr>
        <w:spacing w:after="140" w:line="276"/>
      </w:pPr>
      <w:r>
        <w:rPr>
          <w:b w:val="false"/>
          <w:bCs w:val="false"/>
          <w:i w:val="false"/>
          <w:iCs w:val="false"/>
        </w:rPr>
        <w:t xml:space="preserve">The following narrative is normative — the platform must support every beat of it.</w:t>
      </w:r>
    </w:p>
    <w:p>
      <w:pPr>
        <w:pBdr>
          <w:left w:val="single" w:color="1F3864" w:sz="12" w:space="8"/>
        </w:pBdr>
        <w:spacing w:after="140" w:line="276"/>
        <w:ind w:left="400"/>
      </w:pPr>
      <w:r>
        <w:rPr>
          <w:b w:val="false"/>
          <w:bCs w:val="false"/>
          <w:i w:val="false"/>
          <w:iCs w:val="false"/>
        </w:rPr>
        <w:t xml:space="preserve">The player unpacks the mission archive: a container image, </w:t>
      </w: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w:t>
      </w:r>
    </w:p>
    <w:p>
      <w:pPr>
        <w:pBdr>
          <w:left w:val="single" w:color="1F3864" w:sz="12" w:space="8"/>
        </w:pBdr>
        <w:spacing w:after="140" w:line="276"/>
        <w:ind w:left="400"/>
      </w:pPr>
      <w:r>
        <w:rPr>
          <w:b w:val="false"/>
          <w:bCs w:val="false"/>
          <w:i w:val="false"/>
          <w:iCs w:val="false"/>
        </w:rPr>
        <w:t xml:space="preserve">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into Ghidra alongside the memory map, find the sensor polling table, and identify the byte that enables the magnetometer channel.</w:t>
      </w:r>
    </w:p>
    <w:p>
      <w:pPr>
        <w:pBdr>
          <w:left w:val="single" w:color="1F3864" w:sz="12" w:space="8"/>
        </w:pBdr>
        <w:spacing w:after="140" w:line="276"/>
        <w:ind w:left="400"/>
      </w:pPr>
      <w:r>
        <w:rPr>
          <w:b w:val="false"/>
          <w:bCs w:val="false"/>
          <w:i w:val="false"/>
          <w:iCs w:val="false"/>
        </w:rPr>
        <w:t xml:space="preserve">They compose an uplink: </w:t>
      </w:r>
      <w:r>
        <w:rPr>
          <w:rFonts w:ascii="Consolas" w:cs="Consolas" w:eastAsia="Consolas" w:hAnsi="Consolas"/>
          <w:b w:val="false"/>
          <w:bCs w:val="false"/>
          <w:i w:val="false"/>
          <w:iCs w:val="false"/>
          <w:sz w:val="20"/>
          <w:szCs w:val="20"/>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w:t>
      </w:r>
      <w:r>
        <w:rPr>
          <w:b w:val="false"/>
          <w:bCs w:val="false"/>
          <w:i w:val="false"/>
          <w:iCs w:val="false"/>
        </w:rPr>
        <w:t xml:space="preserve"> — persisted to the save file.</w:t>
      </w:r>
    </w:p>
    <w:p>
      <w:pPr>
        <w:pBdr>
          <w:left w:val="single" w:color="1F3864" w:sz="12" w:space="8"/>
        </w:pBdr>
        <w:spacing w:after="140" w:line="276"/>
        <w:ind w:left="400"/>
      </w:pPr>
      <w:r>
        <w:rPr>
          <w:b w:val="false"/>
          <w:bCs w:val="false"/>
          <w:i w:val="false"/>
          <w:iCs w:val="false"/>
        </w:rPr>
        <w:t xml:space="preserve">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60" w:before="320"/>
      </w:pPr>
      <w:r>
        <w:t xml:space="preserve">5. System Architecture</w:t>
      </w:r>
    </w:p>
    <w:p>
      <w:pPr>
        <w:spacing w:after="140" w:line="276"/>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shd w:fill="D9E2F3" w:val="clear"/>
            <w:tcMar>
              <w:top w:type="dxa" w:w="90"/>
              <w:left w:type="dxa" w:w="120"/>
              <w:bottom w:type="dxa" w:w="90"/>
              <w:right w:type="dxa" w:w="120"/>
            </w:tcMar>
          </w:tcPr>
          <w:p>
            <w:pPr>
              <w:spacing w:after="30"/>
              <w:jc w:val="center"/>
            </w:pPr>
            <w:r>
              <w:rPr>
                <w:b/>
                <w:bCs/>
                <w:color w:val="1F3864"/>
              </w:rPr>
              <w:t xml:space="preserve">Ground-Station Console</w:t>
            </w:r>
          </w:p>
          <w:p>
            <w:pPr>
              <w:spacing w:after="0"/>
              <w:jc w:val="center"/>
            </w:pPr>
            <w:r>
              <w:rPr>
                <w:color w:val="595959"/>
                <w:sz w:val="18"/>
                <w:szCs w:val="18"/>
              </w:rPr>
              <w:t xml:space="preserve">browser · xterm.js · telemetry feed · uplink line · mission status panel</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WebSocket / HTTP</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Game Daemon</w:t>
            </w:r>
          </w:p>
          <w:p>
            <w:pPr>
              <w:spacing w:after="0"/>
              <w:jc w:val="center"/>
            </w:pPr>
            <w:r>
              <w:rPr>
                <w:color w:val="595959"/>
                <w:sz w:val="18"/>
                <w:szCs w:val="18"/>
              </w:rPr>
              <w:t xml:space="preserve">scenario engine · objective evaluator · uplink/downlink relay · delay &amp; bandwidth sim · command log &amp; saves</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virtual UART (command protocol)  +  introspection (GDB stub / monitor API)</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Emulated Probe</w:t>
            </w:r>
          </w:p>
          <w:p>
            <w:pPr>
              <w:spacing w:after="0"/>
              <w:jc w:val="center"/>
            </w:pPr>
            <w:r>
              <w:rPr>
                <w:color w:val="595959"/>
                <w:sz w:val="18"/>
                <w:szCs w:val="18"/>
              </w:rPr>
              <w:t xml:space="preserve">ARM Cortex-M firmware running on Renode / QEMU · watchdog &amp; golden image</w:t>
            </w:r>
          </w:p>
        </w:tc>
      </w:tr>
      <w:tr>
        <w:tc>
          <w:tcPr>
            <w:tcW w:type="dxa" w:w="7000"/>
            <w:tcBorders>
              <w:top w:val="none"/>
              <w:left w:val="none"/>
              <w:bottom w:val="none"/>
              <w:right w:val="none"/>
            </w:tcBorders>
            <w:tcMar>
              <w:top w:type="dxa" w:w="40"/>
              <w:left w:type="dxa" w:w="120"/>
              <w:bottom w:type="dxa" w:w="40"/>
              <w:right w:type="dxa" w:w="120"/>
            </w:tcMar>
          </w:tcPr>
          <w:p>
            <w:pPr>
              <w:spacing w:after="0"/>
              <w:jc w:val="center"/>
            </w:pPr>
            <w:r>
              <w:rPr>
                <w:i/>
                <w:iCs/>
                <w:color w:val="595959"/>
                <w:sz w:val="18"/>
                <w:szCs w:val="18"/>
              </w:rPr>
              <w:t xml:space="preserve">⇅   </w:t>
            </w:r>
          </w:p>
        </w:tc>
      </w:tr>
      <w:tr>
        <w:tc>
          <w:tcPr>
            <w:tcW w:type="dxa" w:w="7000"/>
            <w:shd w:fill="D9E2F3" w:val="clear"/>
            <w:tcMar>
              <w:top w:type="dxa" w:w="90"/>
              <w:left w:type="dxa" w:w="120"/>
              <w:bottom w:type="dxa" w:w="90"/>
              <w:right w:type="dxa" w:w="120"/>
            </w:tcMar>
          </w:tcPr>
          <w:p>
            <w:pPr>
              <w:spacing w:after="30"/>
              <w:jc w:val="center"/>
            </w:pPr>
            <w:r>
              <w:rPr>
                <w:b/>
                <w:bCs/>
                <w:color w:val="1F3864"/>
              </w:rPr>
              <w:t xml:space="preserve">Container boundary</w:t>
            </w:r>
          </w:p>
          <w:p>
            <w:pPr>
              <w:spacing w:after="0"/>
              <w:jc w:val="center"/>
            </w:pPr>
            <w:r>
              <w:rPr>
                <w:color w:val="595959"/>
                <w:sz w:val="18"/>
                <w:szCs w:val="18"/>
              </w:rPr>
              <w:t xml:space="preserve">content: /scenarios/* (drop-in packages)  ·  mounted volume: /savedata (profile, progress, command log)</w:t>
            </w:r>
          </w:p>
        </w:tc>
      </w:tr>
    </w:tbl>
    <w:p>
      <w:pPr>
        <w:spacing w:after="140"/>
      </w:pPr>
    </w:p>
    <w:p>
      <w:pPr>
        <w:pStyle w:val="Heading2"/>
        <w:spacing w:after="120" w:before="240"/>
      </w:pPr>
      <w:r>
        <w:t xml:space="preserve">5.1 Probe Firmware (content + one reference implementation)</w:t>
      </w:r>
    </w:p>
    <w:p>
      <w:pPr>
        <w:spacing w:after="140" w:line="276"/>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20" w:before="240"/>
      </w:pPr>
      <w:r>
        <w:t xml:space="preserve">5.2 Emulation Harness (platform)</w:t>
      </w:r>
    </w:p>
    <w:p>
      <w:pPr>
        <w:spacing w:after="140" w:line="276"/>
      </w:pPr>
      <w:r>
        <w:rPr>
          <w:b w:val="false"/>
          <w:bCs w:val="false"/>
          <w:i w:val="false"/>
          <w:iCs w:val="false"/>
        </w:rPr>
        <w:t xml:space="preserve">Runs the firmware under </w:t>
      </w:r>
      <w:r>
        <w:rPr>
          <w:b/>
          <w:bCs/>
          <w:i w:val="false"/>
          <w:iCs w:val="false"/>
        </w:rPr>
        <w:t xml:space="preserve">Renode (preferred) or QEMU</w:t>
      </w:r>
      <w:r>
        <w:rPr>
          <w:b w:val="false"/>
          <w:bCs w:val="false"/>
          <w:i w:val="false"/>
          <w:iCs w:val="false"/>
        </w:rPr>
        <w:t xml:space="preserve"> with: a virtual UART carrying the command protocol, a machine-readable introspection interface (memory reads, register state, execution state) consumed by the game daemon, and watchdog/reset modeling. One probe instance per container — solo play is the design point. </w:t>
      </w:r>
      <w:r>
        <w:rPr>
          <w:b/>
          <w:bCs/>
          <w:i w:val="false"/>
          <w:iCs w:val="false"/>
        </w:rPr>
        <w:t xml:space="preserve">This is the highest-risk component: a “hello probe” (firmware answering a ping over emulated UART, memory readable via introspection) is due by Week 3 (M1).</w:t>
      </w:r>
    </w:p>
    <w:p>
      <w:pPr>
        <w:pStyle w:val="Heading2"/>
        <w:spacing w:after="120" w:before="240"/>
      </w:pPr>
      <w:r>
        <w:t xml:space="preserve">5.3 Game Daemon (platform)</w:t>
      </w:r>
    </w:p>
    <w:p>
      <w:pPr>
        <w:spacing w:after="140" w:line="276"/>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w:t>
      </w:r>
    </w:p>
    <w:p>
      <w:pPr>
        <w:spacing w:after="140" w:line="276"/>
      </w:pP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20" w:before="240"/>
      </w:pPr>
      <w:r>
        <w:t xml:space="preserve">5.4 Ground-Station Console (platform)</w:t>
      </w:r>
    </w:p>
    <w:p>
      <w:pPr>
        <w:spacing w:after="140" w:line="276"/>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20" w:before="240"/>
      </w:pPr>
      <w:r>
        <w:t xml:space="preserve">5.5 Scenario Package Format (platform’s most important deliverable)</w:t>
      </w:r>
    </w:p>
    <w:p>
      <w:pPr>
        <w:spacing w:after="140" w:line="276"/>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firmware.bin</w:t>
      </w:r>
      <w:r>
        <w:rPr>
          <w:b w:val="false"/>
          <w:bCs w:val="false"/>
          <w:i w:val="false"/>
          <w:iCs w:val="false"/>
        </w:rPr>
        <w:t xml:space="preserve"> + memory map — the probe image and its layout;</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docs/</w:t>
      </w:r>
      <w:r>
        <w:rPr>
          <w:b w:val="false"/>
          <w:bCs w:val="false"/>
          <w:i w:val="false"/>
          <w:iCs w:val="false"/>
        </w:rPr>
        <w:t xml:space="preserve"> — the player-facing recovered manual (shipped verbatim);</w:t>
      </w:r>
    </w:p>
    <w:p>
      <w:pPr>
        <w:pStyle w:val="ListParagraph"/>
        <w:numPr>
          <w:ilvl w:val="0"/>
          <w:numId w:val="3"/>
        </w:numPr>
        <w:spacing w:after="80" w:line="264"/>
      </w:pPr>
      <w:r>
        <w:rPr>
          <w:rFonts w:ascii="Consolas" w:cs="Consolas" w:eastAsia="Consolas" w:hAnsi="Consolas"/>
          <w:b w:val="false"/>
          <w:bCs w:val="false"/>
          <w:i w:val="false"/>
          <w:iCs w:val="false"/>
          <w:sz w:val="20"/>
          <w:szCs w:val="20"/>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40" w:line="276"/>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pStyle w:val="Heading1"/>
        <w:spacing w:after="160" w:before="320"/>
      </w:pPr>
      <w:r>
        <w:t xml:space="preserve">6. Requirements</w:t>
      </w:r>
    </w:p>
    <w:p>
      <w:pPr>
        <w:spacing w:after="140" w:line="276"/>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40" w:line="276"/>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20" w:before="240"/>
      </w:pPr>
      <w: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20"/>
                <w:szCs w:val="20"/>
              </w:rPr>
              <w:t xml:space="preserve">ACK</w:t>
            </w:r>
            <w:r>
              <w:rPr>
                <w:b w:val="false"/>
                <w:bCs w:val="false"/>
                <w:i w:val="false"/>
                <w:iCs w:val="false"/>
              </w:rPr>
              <w:t xml:space="preserve"> or </w:t>
            </w:r>
            <w:r>
              <w:rPr>
                <w:rFonts w:ascii="Consolas" w:cs="Consolas" w:eastAsia="Consolas" w:hAnsi="Consolas"/>
                <w:b w:val="false"/>
                <w:bCs w:val="false"/>
                <w:i w:val="false"/>
                <w:iCs w:val="false"/>
                <w:sz w:val="20"/>
                <w:szCs w:val="20"/>
              </w:rPr>
              <w:t xml:space="preserve">NAK &lt;code&gt;</w:t>
            </w:r>
            <w:r>
              <w:rPr>
                <w:b w:val="false"/>
                <w:bCs w:val="false"/>
                <w:i w:val="false"/>
                <w:iCs w:val="false"/>
              </w:rPr>
              <w:t xml:space="preserve"> within 2 s of delivery (simulated transmission delay excluded).</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ACK/NAK replies SHALL encode command receipt and execution status only; no probe reply SHALL encode objective state.</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re-evaluate every active objective assertion within one telemetry period of receiving each downlink frame.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Objective state SHALL be derived solely from introspected probe memory and decoded telemetry; the platform SHALL expose no player-accessible input that sets objective state directly.</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Every objective SHALL be in exactly one of three states at all times: pending, partial, or complete.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Within 2 s of an objective entering a partial state, the console SHALL display that state's scenario-authored hint text.</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R3.3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R4.1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delay each uplink by the scenario-configured one-way transmission delay, configurable from 0 to 3600 s in 1 s increments.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R4.2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enforce the scenario-configured uplink budget (1–1000 commands per window; window length 10–86 400 s) and SHALL reject each over-budget uplink with a distinct console error without forwarding it to the probe.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If the application fails to reload the watchdog for 3 s (±1 tick at 100 Hz), the firmware SHALL reset and restore the golden image.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Within 10 s of a watchdog reset, downlink telemetry SHALL resume with the reboot counter incremented by exactly 1 and reported uptime under 10 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R5.3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20"/>
                <w:szCs w:val="20"/>
              </w:rPr>
              <w:t xml:space="preserve">NAK E04</w:t>
            </w:r>
            <w:r>
              <w:rPr>
                <w:b w:val="false"/>
                <w:bCs w:val="false"/>
                <w:i w:val="false"/>
                <w:iCs w:val="false"/>
              </w:rPr>
              <w:t xml:space="preserve"> and SHALL leave all probe memory unmodified.</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R6.1</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console SHALL retain and recall at least the most recent 500 uplink commands per player across sessions.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R6.2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R7</w:t>
            </w:r>
          </w:p>
        </w:tc>
        <w:tc>
          <w:tcPr>
            <w:tcW w:type="dxa" w:w="550"/>
            <w:tcMar>
              <w:top w:type="dxa" w:w="60"/>
              <w:left w:type="dxa" w:w="100"/>
              <w:bottom w:type="dxa" w:w="60"/>
              <w:right w:type="dxa" w:w="100"/>
            </w:tcMar>
          </w:tcPr>
          <w:p>
            <w:pPr>
              <w:spacing w:after="0" w:line="252"/>
            </w:pPr>
            <w:r>
              <w:rPr>
                <w:b w:val="false"/>
                <w:bCs w:val="false"/>
                <w:i w:val="false"/>
                <w:iCs w:val="false"/>
              </w:rPr>
              <w:t xml:space="preserve">S</w:t>
            </w:r>
          </w:p>
        </w:tc>
        <w:tc>
          <w:tcPr>
            <w:tcW w:type="dxa" w:w="7260"/>
            <w:tcMar>
              <w:top w:type="dxa" w:w="60"/>
              <w:left w:type="dxa" w:w="100"/>
              <w:bottom w:type="dxa" w:w="60"/>
              <w:right w:type="dxa" w:w="100"/>
            </w:tcMar>
          </w:tcPr>
          <w:p>
            <w:pPr>
              <w:spacing w:after="0" w:line="252"/>
            </w:pPr>
            <w:r>
              <w:rPr>
                <w:b w:val="false"/>
                <w:bCs w:val="false"/>
                <w:i w:val="false"/>
                <w:iCs w:val="false"/>
              </w:rPr>
              <w:t xml:space="preserve">A player-triggered scenario reset, if provided, SHALL preserve the command log and no other player state.</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bl>
    <w:p>
      <w:pPr>
        <w:pStyle w:val="Heading2"/>
        <w:spacing w:after="120" w:before="240"/>
      </w:pPr>
      <w: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R8.1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player-facing firmware SHALL be bare-metal ARM Thumb-2 targeting Cortex-M4, with no OS or runtime beyond the shipped image.</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R8.2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rFonts w:ascii="Consolas" w:cs="Consolas" w:eastAsia="Consolas" w:hAnsi="Consolas"/>
                <w:b w:val="false"/>
                <w:bCs w:val="false"/>
                <w:i w:val="false"/>
                <w:iCs w:val="false"/>
                <w:sz w:val="20"/>
                <w:szCs w:val="20"/>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R9.1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R9.2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Each graded objective SHALL be solvable by at least 2 distinct patch strategies, both documented instructor-side.</w:t>
            </w:r>
          </w:p>
        </w:tc>
        <w:tc>
          <w:tcPr>
            <w:tcW w:type="dxa" w:w="750"/>
            <w:tcMar>
              <w:top w:type="dxa" w:w="60"/>
              <w:left w:type="dxa" w:w="100"/>
              <w:bottom w:type="dxa" w:w="60"/>
              <w:right w:type="dxa" w:w="100"/>
            </w:tcMar>
          </w:tcPr>
          <w:p>
            <w:pPr>
              <w:spacing w:after="0" w:line="252"/>
            </w:pPr>
            <w:r>
              <w:rPr>
                <w:b w:val="false"/>
                <w:bCs w:val="false"/>
                <w:i w:val="false"/>
                <w:iCs w:val="false"/>
              </w:rPr>
              <w:t xml:space="preserve">A</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R10.1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Every telemetry field documented in the recovered manual SHALL be decodable by a tester using only the manual and captured downlink frames.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R10.2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At least 1 telemetry channel SHALL be present in downlink frames and absent from the recovered manual.</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R11.3</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scenario-author's guide SHALL enable the sponsor, working unaided, to author and successfully run a new one-objective scenario in at most 4 hours.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R13</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bl>
    <w:p>
      <w:pPr>
        <w:pStyle w:val="Heading2"/>
        <w:spacing w:after="120" w:before="240"/>
      </w:pPr>
      <w: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R14.1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R14.2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player profile SHALL consist of a locally chosen display name of 1–32 characters; the platform SHALL require no authentication.</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R15.1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R15.2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 save volume written by platform version N SHALL load without loss in every later version released during the semester.</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R16</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bl>
    <w:p>
      <w:pPr>
        <w:pStyle w:val="Heading2"/>
        <w:spacing w:after="120" w:before="240"/>
      </w:pPr>
      <w: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R17.1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750"/>
            <w:tcMar>
              <w:top w:type="dxa" w:w="60"/>
              <w:left w:type="dxa" w:w="100"/>
              <w:bottom w:type="dxa" w:w="60"/>
              <w:right w:type="dxa" w:w="100"/>
            </w:tcMar>
          </w:tcPr>
          <w:p>
            <w:pPr>
              <w:spacing w:after="0" w:line="252"/>
            </w:pPr>
            <w:r>
              <w:rPr>
                <w:b w:val="false"/>
                <w:bCs w:val="false"/>
                <w:i w:val="false"/>
                <w:iCs w:val="false"/>
              </w:rPr>
              <w:t xml:space="preserve">D</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R17.2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container image SHALL be at most 4 GB.</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R18</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During play, the container SHALL initiate zero outbound network connections, verified by packet capture over one complete scenario run.</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R19</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R20.1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The assertion evaluator and scenario loader SHALL each have automated tests achieving at least 70 % line coverage.</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R20.2</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Delivery SHALL include exactly these documents: player quickstart, scenario-author's guide, platform architecture &amp; maintenance guide, and the reference scenario's recovered manual.</w:t>
            </w:r>
          </w:p>
        </w:tc>
        <w:tc>
          <w:tcPr>
            <w:tcW w:type="dxa" w:w="750"/>
            <w:tcMar>
              <w:top w:type="dxa" w:w="60"/>
              <w:left w:type="dxa" w:w="100"/>
              <w:bottom w:type="dxa" w:w="60"/>
              <w:right w:type="dxa" w:w="100"/>
            </w:tcMar>
          </w:tcPr>
          <w:p>
            <w:pPr>
              <w:spacing w:after="0" w:line="252"/>
            </w:pPr>
            <w:r>
              <w:rPr>
                <w:b w:val="false"/>
                <w:bCs w:val="false"/>
                <w:i w:val="false"/>
                <w:iCs w:val="false"/>
              </w:rPr>
              <w:t xml:space="preserve">I</w:t>
            </w:r>
          </w:p>
        </w:tc>
      </w:tr>
    </w:tbl>
    <w:p>
      <w:pPr>
        <w:pStyle w:val="Heading2"/>
        <w:spacing w:after="120" w:before="240"/>
      </w:pPr>
      <w: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0"/>
        <w:gridCol w:w="7260"/>
        <w:gridCol w:w="750"/>
      </w:tblGrid>
      <w:tr>
        <w:trPr>
          <w:tblHeader/>
        </w:trPr>
        <w:tc>
          <w:tcPr>
            <w:tcW w:type="dxa" w:w="800"/>
            <w:shd w:fill="D9E2F3" w:val="clear"/>
            <w:tcMar>
              <w:top w:type="dxa" w:w="60"/>
              <w:left w:type="dxa" w:w="100"/>
              <w:bottom w:type="dxa" w:w="60"/>
              <w:right w:type="dxa" w:w="100"/>
            </w:tcMar>
          </w:tcPr>
          <w:p>
            <w:pPr>
              <w:spacing w:after="0" w:line="252"/>
            </w:pPr>
            <w:r>
              <w:rPr>
                <w:b/>
                <w:bCs/>
              </w:rPr>
              <w:t xml:space="preserve">ID</w:t>
            </w:r>
          </w:p>
        </w:tc>
        <w:tc>
          <w:tcPr>
            <w:tcW w:type="dxa" w:w="550"/>
            <w:shd w:fill="D9E2F3" w:val="clear"/>
            <w:tcMar>
              <w:top w:type="dxa" w:w="60"/>
              <w:left w:type="dxa" w:w="100"/>
              <w:bottom w:type="dxa" w:w="60"/>
              <w:right w:type="dxa" w:w="100"/>
            </w:tcMar>
          </w:tcPr>
          <w:p>
            <w:pPr>
              <w:spacing w:after="0" w:line="252"/>
            </w:pPr>
            <w:r>
              <w:rPr>
                <w:b/>
                <w:bCs/>
              </w:rPr>
              <w:t xml:space="preserve">Pri</w:t>
            </w:r>
          </w:p>
        </w:tc>
        <w:tc>
          <w:tcPr>
            <w:tcW w:type="dxa" w:w="7260"/>
            <w:shd w:fill="D9E2F3" w:val="clear"/>
            <w:tcMar>
              <w:top w:type="dxa" w:w="60"/>
              <w:left w:type="dxa" w:w="100"/>
              <w:bottom w:type="dxa" w:w="60"/>
              <w:right w:type="dxa" w:w="100"/>
            </w:tcMar>
          </w:tcPr>
          <w:p>
            <w:pPr>
              <w:spacing w:after="0" w:line="252"/>
            </w:pPr>
            <w:r>
              <w:rPr>
                <w:b/>
                <w:bCs/>
              </w:rPr>
              <w:t xml:space="preserve">Requirement</w:t>
            </w:r>
          </w:p>
        </w:tc>
        <w:tc>
          <w:tcPr>
            <w:tcW w:type="dxa" w:w="750"/>
            <w:shd w:fill="D9E2F3" w:val="clear"/>
            <w:tcMar>
              <w:top w:type="dxa" w:w="60"/>
              <w:left w:type="dxa" w:w="100"/>
              <w:bottom w:type="dxa" w:w="60"/>
              <w:right w:type="dxa" w:w="100"/>
            </w:tcMar>
          </w:tcPr>
          <w:p>
            <w:pPr>
              <w:spacing w:after="0" w:line="252"/>
            </w:pPr>
            <w:r>
              <w:rPr>
                <w:b/>
                <w:bCs/>
              </w:rPr>
              <w:t xml:space="preserve">Verify</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R22.1</w:t>
            </w:r>
          </w:p>
        </w:tc>
        <w:tc>
          <w:tcPr>
            <w:tcW w:type="dxa" w:w="550"/>
            <w:tcMar>
              <w:top w:type="dxa" w:w="60"/>
              <w:left w:type="dxa" w:w="100"/>
              <w:bottom w:type="dxa" w:w="60"/>
              <w:right w:type="dxa" w:w="100"/>
            </w:tcMar>
          </w:tcPr>
          <w:p>
            <w:pPr>
              <w:spacing w:after="0" w:line="252"/>
            </w:pPr>
            <w:r>
              <w:rPr>
                <w:b w:val="false"/>
                <w:bCs w:val="false"/>
                <w:i w:val="false"/>
                <w:iCs w:val="false"/>
              </w:rPr>
              <w:t xml:space="preserve">T</w:t>
            </w:r>
          </w:p>
        </w:tc>
        <w:tc>
          <w:tcPr>
            <w:tcW w:type="dxa" w:w="7260"/>
            <w:tcMar>
              <w:top w:type="dxa" w:w="60"/>
              <w:left w:type="dxa" w:w="100"/>
              <w:bottom w:type="dxa" w:w="60"/>
              <w:right w:type="dxa" w:w="100"/>
            </w:tcMar>
          </w:tcPr>
          <w:p>
            <w:pPr>
              <w:spacing w:after="0" w:line="252"/>
            </w:pPr>
            <w:r>
              <w:rPr>
                <w:b w:val="false"/>
                <w:bCs w:val="false"/>
                <w:i w:val="false"/>
                <w:iCs w:val="false"/>
              </w:rPr>
              <w:t xml:space="preserve">Each command-log entry SHALL contain: a monotonically increasing sequence number, a UTC timestamp, the raw uplink text, the probe's reply, and the delivery status.</w:t>
            </w:r>
          </w:p>
        </w:tc>
        <w:tc>
          <w:tcPr>
            <w:tcW w:type="dxa" w:w="750"/>
            <w:tcMar>
              <w:top w:type="dxa" w:w="60"/>
              <w:left w:type="dxa" w:w="100"/>
              <w:bottom w:type="dxa" w:w="60"/>
              <w:right w:type="dxa" w:w="100"/>
            </w:tcMar>
          </w:tcPr>
          <w:p>
            <w:pPr>
              <w:spacing w:after="0" w:line="252"/>
            </w:pPr>
            <w:r>
              <w:rPr>
                <w:b w:val="false"/>
                <w:bCs w:val="false"/>
                <w:i w:val="false"/>
                <w:iCs w:val="false"/>
              </w:rPr>
              <w:t xml:space="preserve">T</w:t>
            </w:r>
          </w:p>
        </w:tc>
      </w:tr>
      <w:tr>
        <w:tc>
          <w:tcPr>
            <w:tcW w:type="dxa" w:w="800"/>
            <w:tcMar>
              <w:top w:type="dxa" w:w="60"/>
              <w:left w:type="dxa" w:w="100"/>
              <w:bottom w:type="dxa" w:w="60"/>
              <w:right w:type="dxa" w:w="100"/>
            </w:tcMar>
          </w:tcPr>
          <w:p>
            <w:pPr>
              <w:spacing w:after="0" w:line="252"/>
            </w:pPr>
            <w:r>
              <w:rPr>
                <w:b w:val="false"/>
                <w:bCs w:val="false"/>
                <w:i w:val="false"/>
                <w:iCs w:val="false"/>
              </w:rPr>
              <w:t xml:space="preserve">R22.2</w:t>
            </w:r>
          </w:p>
        </w:tc>
        <w:tc>
          <w:tcPr>
            <w:tcW w:type="dxa" w:w="550"/>
            <w:tcMar>
              <w:top w:type="dxa" w:w="60"/>
              <w:left w:type="dxa" w:w="100"/>
              <w:bottom w:type="dxa" w:w="60"/>
              <w:right w:type="dxa" w:w="100"/>
            </w:tcMar>
          </w:tcPr>
          <w:p>
            <w:pPr>
              <w:spacing w:after="0" w:line="252"/>
            </w:pPr>
            <w:r>
              <w:rPr>
                <w:b w:val="false"/>
                <w:bCs w:val="false"/>
                <w:i w:val="false"/>
                <w:iCs w:val="false"/>
              </w:rPr>
              <w:t xml:space="preserve">O</w:t>
            </w:r>
          </w:p>
        </w:tc>
        <w:tc>
          <w:tcPr>
            <w:tcW w:type="dxa" w:w="7260"/>
            <w:tcMar>
              <w:top w:type="dxa" w:w="60"/>
              <w:left w:type="dxa" w:w="100"/>
              <w:bottom w:type="dxa" w:w="60"/>
              <w:right w:type="dxa" w:w="100"/>
            </w:tcMar>
          </w:tcPr>
          <w:p>
            <w:pPr>
              <w:spacing w:after="0" w:line="252"/>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750"/>
            <w:tcMar>
              <w:top w:type="dxa" w:w="60"/>
              <w:left w:type="dxa" w:w="100"/>
              <w:bottom w:type="dxa" w:w="60"/>
              <w:right w:type="dxa" w:w="100"/>
            </w:tcMar>
          </w:tcPr>
          <w:p>
            <w:pPr>
              <w:spacing w:after="0" w:line="252"/>
            </w:pPr>
            <w:r>
              <w:rPr>
                <w:b w:val="false"/>
                <w:bCs w:val="false"/>
                <w:i w:val="false"/>
                <w:iCs w:val="false"/>
              </w:rPr>
              <w:t xml:space="preserve">A</w:t>
            </w:r>
          </w:p>
        </w:tc>
      </w:tr>
    </w:tbl>
    <w:p>
      <w:pPr>
        <w:pStyle w:val="Heading1"/>
        <w:spacing w:after="160" w:before="320"/>
      </w:pPr>
      <w:r>
        <w:t xml:space="preserve">7. Team Organization</w:t>
      </w:r>
    </w:p>
    <w:p>
      <w:pPr>
        <w:spacing w:after="140" w:line="276"/>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shd w:fill="D9E2F3" w:val="clear"/>
            <w:tcMar>
              <w:top w:type="dxa" w:w="60"/>
              <w:left w:type="dxa" w:w="100"/>
              <w:bottom w:type="dxa" w:w="60"/>
              <w:right w:type="dxa" w:w="100"/>
            </w:tcMar>
          </w:tcPr>
          <w:p>
            <w:pPr>
              <w:spacing w:after="0" w:line="252"/>
            </w:pPr>
            <w:r>
              <w:rPr>
                <w:b/>
                <w:bCs/>
              </w:rPr>
              <w:t xml:space="preserve">Role</w:t>
            </w:r>
          </w:p>
        </w:tc>
        <w:tc>
          <w:tcPr>
            <w:tcW w:type="dxa" w:w="1400"/>
            <w:shd w:fill="D9E2F3" w:val="clear"/>
            <w:tcMar>
              <w:top w:type="dxa" w:w="60"/>
              <w:left w:type="dxa" w:w="100"/>
              <w:bottom w:type="dxa" w:w="60"/>
              <w:right w:type="dxa" w:w="100"/>
            </w:tcMar>
          </w:tcPr>
          <w:p>
            <w:pPr>
              <w:spacing w:after="0" w:line="252"/>
            </w:pPr>
            <w:r>
              <w:rPr>
                <w:b/>
                <w:bCs/>
              </w:rPr>
              <w:t xml:space="preserve">Owns</w:t>
            </w:r>
          </w:p>
        </w:tc>
        <w:tc>
          <w:tcPr>
            <w:tcW w:type="dxa" w:w="5360"/>
            <w:shd w:fill="D9E2F3" w:val="clear"/>
            <w:tcMar>
              <w:top w:type="dxa" w:w="60"/>
              <w:left w:type="dxa" w:w="100"/>
              <w:bottom w:type="dxa" w:w="60"/>
              <w:right w:type="dxa" w:w="100"/>
            </w:tcMar>
          </w:tcPr>
          <w:p>
            <w:pPr>
              <w:spacing w:after="0" w:line="252"/>
            </w:pPr>
            <w:r>
              <w:rPr>
                <w:b/>
                <w:bCs/>
              </w:rPr>
              <w:t xml:space="preserve">Key deliverables</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Firmware / Scenario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§5.1</w:t>
            </w:r>
          </w:p>
        </w:tc>
        <w:tc>
          <w:tcPr>
            <w:tcW w:type="dxa" w:w="5360"/>
            <w:tcMar>
              <w:top w:type="dxa" w:w="60"/>
              <w:left w:type="dxa" w:w="100"/>
              <w:bottom w:type="dxa" w:w="60"/>
              <w:right w:type="dxa" w:w="100"/>
            </w:tcMar>
          </w:tcPr>
          <w:p>
            <w:pPr>
              <w:spacing w:after="0" w:line="252"/>
            </w:pPr>
            <w:r>
              <w:rPr>
                <w:b w:val="false"/>
                <w:bCs w:val="false"/>
                <w:i w:val="false"/>
                <w:iCs w:val="false"/>
              </w:rPr>
              <w:t xml:space="preserve">Reference firmware, memory map, golden image, difficulty-ramp objectives, recovered manual (with instructor)</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Emulation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§5.2</w:t>
            </w:r>
          </w:p>
        </w:tc>
        <w:tc>
          <w:tcPr>
            <w:tcW w:type="dxa" w:w="5360"/>
            <w:tcMar>
              <w:top w:type="dxa" w:w="60"/>
              <w:left w:type="dxa" w:w="100"/>
              <w:bottom w:type="dxa" w:w="60"/>
              <w:right w:type="dxa" w:w="100"/>
            </w:tcMar>
          </w:tcPr>
          <w:p>
            <w:pPr>
              <w:spacing w:after="0" w:line="252"/>
            </w:pPr>
            <w:r>
              <w:rPr>
                <w:b w:val="false"/>
                <w:bCs w:val="false"/>
                <w:i w:val="false"/>
                <w:iCs w:val="false"/>
              </w:rPr>
              <w:t xml:space="preserve">Renode/QEMU harness, introspection API, watchdog/reset modeling, M1 “hello probe”</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Platform Engineer(s) (1–2)</w:t>
            </w:r>
          </w:p>
        </w:tc>
        <w:tc>
          <w:tcPr>
            <w:tcW w:type="dxa" w:w="1400"/>
            <w:tcMar>
              <w:top w:type="dxa" w:w="60"/>
              <w:left w:type="dxa" w:w="100"/>
              <w:bottom w:type="dxa" w:w="60"/>
              <w:right w:type="dxa" w:w="100"/>
            </w:tcMar>
          </w:tcPr>
          <w:p>
            <w:pPr>
              <w:spacing w:after="0" w:line="252"/>
            </w:pPr>
            <w:r>
              <w:rPr>
                <w:b w:val="false"/>
                <w:bCs w:val="false"/>
                <w:i w:val="false"/>
                <w:iCs w:val="false"/>
              </w:rPr>
              <w:t xml:space="preserve">§5.3, §5.5</w:t>
            </w:r>
          </w:p>
        </w:tc>
        <w:tc>
          <w:tcPr>
            <w:tcW w:type="dxa" w:w="5360"/>
            <w:tcMar>
              <w:top w:type="dxa" w:w="60"/>
              <w:left w:type="dxa" w:w="100"/>
              <w:bottom w:type="dxa" w:w="60"/>
              <w:right w:type="dxa" w:w="100"/>
            </w:tcMar>
          </w:tcPr>
          <w:p>
            <w:pPr>
              <w:spacing w:after="0" w:line="252"/>
            </w:pPr>
            <w:r>
              <w:rPr>
                <w:b w:val="false"/>
                <w:bCs w:val="false"/>
                <w:i w:val="false"/>
                <w:iCs w:val="false"/>
              </w:rPr>
              <w:t xml:space="preserve">Game daemon, scenario loader, assertion evaluator, delay/budget enforcement, persistence &amp; replay</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Frontend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§5.4</w:t>
            </w:r>
          </w:p>
        </w:tc>
        <w:tc>
          <w:tcPr>
            <w:tcW w:type="dxa" w:w="5360"/>
            <w:tcMar>
              <w:top w:type="dxa" w:w="60"/>
              <w:left w:type="dxa" w:w="100"/>
              <w:bottom w:type="dxa" w:w="60"/>
              <w:right w:type="dxa" w:w="100"/>
            </w:tcMar>
          </w:tcPr>
          <w:p>
            <w:pPr>
              <w:spacing w:after="0" w:line="252"/>
            </w:pPr>
            <w:r>
              <w:rPr>
                <w:b w:val="false"/>
                <w:bCs w:val="false"/>
                <w:i w:val="false"/>
                <w:iCs w:val="false"/>
              </w:rPr>
              <w:t xml:space="preserve">Ground-station console, telemetry feed, mission status panel, diegetic presentation</w:t>
            </w:r>
          </w:p>
        </w:tc>
      </w:tr>
      <w:tr>
        <w:tc>
          <w:tcPr>
            <w:tcW w:type="dxa" w:w="2600"/>
            <w:tcMar>
              <w:top w:type="dxa" w:w="60"/>
              <w:left w:type="dxa" w:w="100"/>
              <w:bottom w:type="dxa" w:w="60"/>
              <w:right w:type="dxa" w:w="100"/>
            </w:tcMar>
          </w:tcPr>
          <w:p>
            <w:pPr>
              <w:spacing w:after="0" w:line="252"/>
            </w:pPr>
            <w:r>
              <w:rPr>
                <w:b w:val="false"/>
                <w:bCs w:val="false"/>
                <w:i w:val="false"/>
                <w:iCs w:val="false"/>
              </w:rPr>
              <w:t xml:space="preserve">Protocol &amp; Integration Engineer</w:t>
            </w:r>
          </w:p>
        </w:tc>
        <w:tc>
          <w:tcPr>
            <w:tcW w:type="dxa" w:w="1400"/>
            <w:tcMar>
              <w:top w:type="dxa" w:w="60"/>
              <w:left w:type="dxa" w:w="100"/>
              <w:bottom w:type="dxa" w:w="60"/>
              <w:right w:type="dxa" w:w="100"/>
            </w:tcMar>
          </w:tcPr>
          <w:p>
            <w:pPr>
              <w:spacing w:after="0" w:line="252"/>
            </w:pPr>
            <w:r>
              <w:rPr>
                <w:b w:val="false"/>
                <w:bCs w:val="false"/>
                <w:i w:val="false"/>
                <w:iCs w:val="false"/>
              </w:rPr>
              <w:t xml:space="preserve">seams</w:t>
            </w:r>
          </w:p>
        </w:tc>
        <w:tc>
          <w:tcPr>
            <w:tcW w:type="dxa" w:w="5360"/>
            <w:tcMar>
              <w:top w:type="dxa" w:w="60"/>
              <w:left w:type="dxa" w:w="100"/>
              <w:bottom w:type="dxa" w:w="60"/>
              <w:right w:type="dxa" w:w="100"/>
            </w:tcMar>
          </w:tcPr>
          <w:p>
            <w:pPr>
              <w:spacing w:after="0" w:line="252"/>
            </w:pPr>
            <w:r>
              <w:rPr>
                <w:b w:val="false"/>
                <w:bCs w:val="false"/>
                <w:i w:val="false"/>
                <w:iCs w:val="false"/>
              </w:rPr>
              <w:t xml:space="preserve">Uplink/downlink protocol spec, scenario package schema + validation tool (R13), CI, end-to-end test (R20), release engineering</w:t>
            </w:r>
          </w:p>
        </w:tc>
      </w:tr>
    </w:tbl>
    <w:p>
      <w:pPr>
        <w:spacing w:after="140" w:line="276"/>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60" w:before="320"/>
      </w:pPr>
      <w: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5760"/>
      </w:tblGrid>
      <w:tr>
        <w:trPr>
          <w:tblHeader/>
        </w:trPr>
        <w:tc>
          <w:tcPr>
            <w:tcW w:type="dxa" w:w="2700"/>
            <w:shd w:fill="D9E2F3" w:val="clear"/>
            <w:tcMar>
              <w:top w:type="dxa" w:w="60"/>
              <w:left w:type="dxa" w:w="100"/>
              <w:bottom w:type="dxa" w:w="60"/>
              <w:right w:type="dxa" w:w="100"/>
            </w:tcMar>
          </w:tcPr>
          <w:p>
            <w:pPr>
              <w:spacing w:after="0" w:line="252"/>
            </w:pPr>
            <w:r>
              <w:rPr>
                <w:b/>
                <w:bCs/>
              </w:rPr>
              <w:t xml:space="preserve">Milestone</w:t>
            </w:r>
          </w:p>
        </w:tc>
        <w:tc>
          <w:tcPr>
            <w:tcW w:type="dxa" w:w="900"/>
            <w:shd w:fill="D9E2F3" w:val="clear"/>
            <w:tcMar>
              <w:top w:type="dxa" w:w="60"/>
              <w:left w:type="dxa" w:w="100"/>
              <w:bottom w:type="dxa" w:w="60"/>
              <w:right w:type="dxa" w:w="100"/>
            </w:tcMar>
          </w:tcPr>
          <w:p>
            <w:pPr>
              <w:spacing w:after="0" w:line="252"/>
            </w:pPr>
            <w:r>
              <w:rPr>
                <w:b/>
                <w:bCs/>
              </w:rPr>
              <w:t xml:space="preserve">Week</w:t>
            </w:r>
          </w:p>
        </w:tc>
        <w:tc>
          <w:tcPr>
            <w:tcW w:type="dxa" w:w="5760"/>
            <w:shd w:fill="D9E2F3" w:val="clear"/>
            <w:tcMar>
              <w:top w:type="dxa" w:w="60"/>
              <w:left w:type="dxa" w:w="100"/>
              <w:bottom w:type="dxa" w:w="60"/>
              <w:right w:type="dxa" w:w="100"/>
            </w:tcMar>
          </w:tcPr>
          <w:p>
            <w:pPr>
              <w:spacing w:after="0" w:line="252"/>
            </w:pPr>
            <w:r>
              <w:rPr>
                <w:b/>
                <w:bCs/>
              </w:rPr>
              <w:t xml:space="preserve">Exit criteria</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M0 — Design freeze</w:t>
            </w:r>
          </w:p>
        </w:tc>
        <w:tc>
          <w:tcPr>
            <w:tcW w:type="dxa" w:w="900"/>
            <w:tcMar>
              <w:top w:type="dxa" w:w="60"/>
              <w:left w:type="dxa" w:w="100"/>
              <w:bottom w:type="dxa" w:w="60"/>
              <w:right w:type="dxa" w:w="100"/>
            </w:tcMar>
          </w:tcPr>
          <w:p>
            <w:pPr>
              <w:spacing w:after="0" w:line="252"/>
            </w:pPr>
            <w:r>
              <w:rPr>
                <w:b w:val="false"/>
                <w:bCs w:val="false"/>
                <w:i w:val="false"/>
                <w:iCs w:val="false"/>
              </w:rPr>
              <w:t xml:space="preserve">2</w:t>
            </w:r>
          </w:p>
        </w:tc>
        <w:tc>
          <w:tcPr>
            <w:tcW w:type="dxa" w:w="5760"/>
            <w:tcMar>
              <w:top w:type="dxa" w:w="60"/>
              <w:left w:type="dxa" w:w="100"/>
              <w:bottom w:type="dxa" w:w="60"/>
              <w:right w:type="dxa" w:w="100"/>
            </w:tcMar>
          </w:tcPr>
          <w:p>
            <w:pPr>
              <w:spacing w:after="0" w:line="252"/>
            </w:pPr>
            <w:r>
              <w:rPr>
                <w:b w:val="false"/>
                <w:bCs w:val="false"/>
                <w:i w:val="false"/>
                <w:iCs w:val="false"/>
              </w:rPr>
              <w:t xml:space="preserve">Protocol spec, scenario package schema, and introspection API drafted and reviewed; repos and CI up.</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M1 — Hello probe</w:t>
            </w:r>
          </w:p>
        </w:tc>
        <w:tc>
          <w:tcPr>
            <w:tcW w:type="dxa" w:w="900"/>
            <w:tcMar>
              <w:top w:type="dxa" w:w="60"/>
              <w:left w:type="dxa" w:w="100"/>
              <w:bottom w:type="dxa" w:w="60"/>
              <w:right w:type="dxa" w:w="100"/>
            </w:tcMar>
          </w:tcPr>
          <w:p>
            <w:pPr>
              <w:spacing w:after="0" w:line="252"/>
            </w:pPr>
            <w:r>
              <w:rPr>
                <w:b w:val="false"/>
                <w:bCs w:val="false"/>
                <w:i w:val="false"/>
                <w:iCs w:val="false"/>
              </w:rPr>
              <w:t xml:space="preserve">3</w:t>
            </w:r>
          </w:p>
        </w:tc>
        <w:tc>
          <w:tcPr>
            <w:tcW w:type="dxa" w:w="5760"/>
            <w:tcMar>
              <w:top w:type="dxa" w:w="60"/>
              <w:left w:type="dxa" w:w="100"/>
              <w:bottom w:type="dxa" w:w="60"/>
              <w:right w:type="dxa" w:w="100"/>
            </w:tcMar>
          </w:tcPr>
          <w:p>
            <w:pPr>
              <w:spacing w:after="0" w:line="252"/>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M2 — Vertical slice</w:t>
            </w:r>
          </w:p>
        </w:tc>
        <w:tc>
          <w:tcPr>
            <w:tcW w:type="dxa" w:w="900"/>
            <w:tcMar>
              <w:top w:type="dxa" w:w="60"/>
              <w:left w:type="dxa" w:w="100"/>
              <w:bottom w:type="dxa" w:w="60"/>
              <w:right w:type="dxa" w:w="100"/>
            </w:tcMar>
          </w:tcPr>
          <w:p>
            <w:pPr>
              <w:spacing w:after="0" w:line="252"/>
            </w:pPr>
            <w:r>
              <w:rPr>
                <w:b w:val="false"/>
                <w:bCs w:val="false"/>
                <w:i w:val="false"/>
                <w:iCs w:val="false"/>
              </w:rPr>
              <w:t xml:space="preserve">6</w:t>
            </w:r>
          </w:p>
        </w:tc>
        <w:tc>
          <w:tcPr>
            <w:tcW w:type="dxa" w:w="5760"/>
            <w:tcMar>
              <w:top w:type="dxa" w:w="60"/>
              <w:left w:type="dxa" w:w="100"/>
              <w:bottom w:type="dxa" w:w="60"/>
              <w:right w:type="dxa" w:w="100"/>
            </w:tcMar>
          </w:tcPr>
          <w:p>
            <w:pPr>
              <w:spacing w:after="0" w:line="252"/>
            </w:pPr>
            <w:r>
              <w:rPr>
                <w:b w:val="false"/>
                <w:bCs w:val="false"/>
                <w:i w:val="false"/>
                <w:iCs w:val="false"/>
              </w:rPr>
              <w:t xml:space="preserve">One hard-coded objective playable end to end in the browser: uplink → delay → ACK → telemetry change → objective completes.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M3 — Platform feature-complete</w:t>
            </w:r>
          </w:p>
        </w:tc>
        <w:tc>
          <w:tcPr>
            <w:tcW w:type="dxa" w:w="900"/>
            <w:tcMar>
              <w:top w:type="dxa" w:w="60"/>
              <w:left w:type="dxa" w:w="100"/>
              <w:bottom w:type="dxa" w:w="60"/>
              <w:right w:type="dxa" w:w="100"/>
            </w:tcMar>
          </w:tcPr>
          <w:p>
            <w:pPr>
              <w:spacing w:after="0" w:line="252"/>
            </w:pPr>
            <w:r>
              <w:rPr>
                <w:b w:val="false"/>
                <w:bCs w:val="false"/>
                <w:i w:val="false"/>
                <w:iCs w:val="false"/>
              </w:rPr>
              <w:t xml:space="preserve">9</w:t>
            </w:r>
          </w:p>
        </w:tc>
        <w:tc>
          <w:tcPr>
            <w:tcW w:type="dxa" w:w="5760"/>
            <w:tcMar>
              <w:top w:type="dxa" w:w="60"/>
              <w:left w:type="dxa" w:w="100"/>
              <w:bottom w:type="dxa" w:w="60"/>
              <w:right w:type="dxa" w:w="100"/>
            </w:tcMar>
          </w:tcPr>
          <w:p>
            <w:pPr>
              <w:spacing w:after="0" w:line="252"/>
            </w:pPr>
            <w:r>
              <w:rPr>
                <w:b w:val="false"/>
                <w:bCs w:val="false"/>
                <w:i w:val="false"/>
                <w:iCs w:val="false"/>
              </w:rPr>
              <w:t xml:space="preserve">Scenario packages load from content dir; assertions drive objectives incl. partial states; persistence/replay works; watchdog/golden image works.</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M4 — Reference scenario complete</w:t>
            </w:r>
          </w:p>
        </w:tc>
        <w:tc>
          <w:tcPr>
            <w:tcW w:type="dxa" w:w="900"/>
            <w:tcMar>
              <w:top w:type="dxa" w:w="60"/>
              <w:left w:type="dxa" w:w="100"/>
              <w:bottom w:type="dxa" w:w="60"/>
              <w:right w:type="dxa" w:w="100"/>
            </w:tcMar>
          </w:tcPr>
          <w:p>
            <w:pPr>
              <w:spacing w:after="0" w:line="252"/>
            </w:pPr>
            <w:r>
              <w:rPr>
                <w:b w:val="false"/>
                <w:bCs w:val="false"/>
                <w:i w:val="false"/>
                <w:iCs w:val="false"/>
              </w:rPr>
              <w:t xml:space="preserve">12</w:t>
            </w:r>
          </w:p>
        </w:tc>
        <w:tc>
          <w:tcPr>
            <w:tcW w:type="dxa" w:w="5760"/>
            <w:tcMar>
              <w:top w:type="dxa" w:w="60"/>
              <w:left w:type="dxa" w:w="100"/>
              <w:bottom w:type="dxa" w:w="60"/>
              <w:right w:type="dxa" w:w="100"/>
            </w:tcMar>
          </w:tcPr>
          <w:p>
            <w:pPr>
              <w:spacing w:after="0" w:line="252"/>
            </w:pPr>
            <w:r>
              <w:rPr>
                <w:b w:val="false"/>
                <w:bCs w:val="false"/>
                <w:i w:val="false"/>
                <w:iCs w:val="false"/>
              </w:rPr>
              <w:t xml:space="preserve">Full difficulty ramp playable; recovered manual written; end-to-end test passes; second mini-scenario added with zero code changes (proves R11).</w:t>
            </w:r>
          </w:p>
        </w:tc>
      </w:tr>
      <w:tr>
        <w:tc>
          <w:tcPr>
            <w:tcW w:type="dxa" w:w="2700"/>
            <w:tcMar>
              <w:top w:type="dxa" w:w="60"/>
              <w:left w:type="dxa" w:w="100"/>
              <w:bottom w:type="dxa" w:w="60"/>
              <w:right w:type="dxa" w:w="100"/>
            </w:tcMar>
          </w:tcPr>
          <w:p>
            <w:pPr>
              <w:spacing w:after="0" w:line="252"/>
            </w:pPr>
            <w:r>
              <w:rPr>
                <w:b w:val="false"/>
                <w:bCs w:val="false"/>
                <w:i w:val="false"/>
                <w:iCs w:val="false"/>
              </w:rPr>
              <w:t xml:space="preserve">M5 — Release</w:t>
            </w:r>
          </w:p>
        </w:tc>
        <w:tc>
          <w:tcPr>
            <w:tcW w:type="dxa" w:w="900"/>
            <w:tcMar>
              <w:top w:type="dxa" w:w="60"/>
              <w:left w:type="dxa" w:w="100"/>
              <w:bottom w:type="dxa" w:w="60"/>
              <w:right w:type="dxa" w:w="100"/>
            </w:tcMar>
          </w:tcPr>
          <w:p>
            <w:pPr>
              <w:spacing w:after="0" w:line="252"/>
            </w:pPr>
            <w:r>
              <w:rPr>
                <w:b w:val="false"/>
                <w:bCs w:val="false"/>
                <w:i w:val="false"/>
                <w:iCs w:val="false"/>
              </w:rPr>
              <w:t xml:space="preserve">14–15</w:t>
            </w:r>
          </w:p>
        </w:tc>
        <w:tc>
          <w:tcPr>
            <w:tcW w:type="dxa" w:w="5760"/>
            <w:tcMar>
              <w:top w:type="dxa" w:w="60"/>
              <w:left w:type="dxa" w:w="100"/>
              <w:bottom w:type="dxa" w:w="60"/>
              <w:right w:type="dxa" w:w="100"/>
            </w:tcMar>
          </w:tcPr>
          <w:p>
            <w:pPr>
              <w:spacing w:after="0" w:line="252"/>
            </w:pPr>
            <w:r>
              <w:rPr>
                <w:b w:val="false"/>
                <w:bCs w:val="false"/>
                <w:i w:val="false"/>
                <w:iCs w:val="false"/>
              </w:rPr>
              <w:t xml:space="preserve">Playtested with naive users; docs complete; container published; final presentation.</w:t>
            </w:r>
          </w:p>
        </w:tc>
      </w:tr>
    </w:tbl>
    <w:p>
      <w:pPr>
        <w:pStyle w:val="Heading1"/>
        <w:spacing w:after="160" w:before="320"/>
      </w:pPr>
      <w: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900"/>
        <w:gridCol w:w="4660"/>
      </w:tblGrid>
      <w:tr>
        <w:trPr>
          <w:tblHeader/>
        </w:trPr>
        <w:tc>
          <w:tcPr>
            <w:tcW w:type="dxa" w:w="2500"/>
            <w:shd w:fill="D9E2F3" w:val="clear"/>
            <w:tcMar>
              <w:top w:type="dxa" w:w="60"/>
              <w:left w:type="dxa" w:w="100"/>
              <w:bottom w:type="dxa" w:w="60"/>
              <w:right w:type="dxa" w:w="100"/>
            </w:tcMar>
          </w:tcPr>
          <w:p>
            <w:pPr>
              <w:spacing w:after="0" w:line="252"/>
            </w:pPr>
            <w:r>
              <w:rPr>
                <w:b/>
                <w:bCs/>
              </w:rPr>
              <w:t xml:space="preserve">Risk</w:t>
            </w:r>
          </w:p>
        </w:tc>
        <w:tc>
          <w:tcPr>
            <w:tcW w:type="dxa" w:w="1300"/>
            <w:shd w:fill="D9E2F3" w:val="clear"/>
            <w:tcMar>
              <w:top w:type="dxa" w:w="60"/>
              <w:left w:type="dxa" w:w="100"/>
              <w:bottom w:type="dxa" w:w="60"/>
              <w:right w:type="dxa" w:w="100"/>
            </w:tcMar>
          </w:tcPr>
          <w:p>
            <w:pPr>
              <w:spacing w:after="0" w:line="252"/>
            </w:pPr>
            <w:r>
              <w:rPr>
                <w:b/>
                <w:bCs/>
              </w:rPr>
              <w:t xml:space="preserve">Likelihood</w:t>
            </w:r>
          </w:p>
        </w:tc>
        <w:tc>
          <w:tcPr>
            <w:tcW w:type="dxa" w:w="900"/>
            <w:shd w:fill="D9E2F3" w:val="clear"/>
            <w:tcMar>
              <w:top w:type="dxa" w:w="60"/>
              <w:left w:type="dxa" w:w="100"/>
              <w:bottom w:type="dxa" w:w="60"/>
              <w:right w:type="dxa" w:w="100"/>
            </w:tcMar>
          </w:tcPr>
          <w:p>
            <w:pPr>
              <w:spacing w:after="0" w:line="252"/>
            </w:pPr>
            <w:r>
              <w:rPr>
                <w:b/>
                <w:bCs/>
              </w:rPr>
              <w:t xml:space="preserve">Impact</w:t>
            </w:r>
          </w:p>
        </w:tc>
        <w:tc>
          <w:tcPr>
            <w:tcW w:type="dxa" w:w="4660"/>
            <w:shd w:fill="D9E2F3" w:val="clear"/>
            <w:tcMar>
              <w:top w:type="dxa" w:w="60"/>
              <w:left w:type="dxa" w:w="100"/>
              <w:bottom w:type="dxa" w:w="60"/>
              <w:right w:type="dxa" w:w="100"/>
            </w:tcMar>
          </w:tcPr>
          <w:p>
            <w:pPr>
              <w:spacing w:after="0" w:line="252"/>
            </w:pPr>
            <w:r>
              <w:rPr>
                <w:b/>
                <w:bCs/>
              </w:rPr>
              <w:t xml:space="preserve">Mitigation</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Emulation harness harder than expected</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High</w:t>
            </w:r>
          </w:p>
        </w:tc>
        <w:tc>
          <w:tcPr>
            <w:tcW w:type="dxa" w:w="4660"/>
            <w:tcMar>
              <w:top w:type="dxa" w:w="60"/>
              <w:left w:type="dxa" w:w="100"/>
              <w:bottom w:type="dxa" w:w="60"/>
              <w:right w:type="dxa" w:w="100"/>
            </w:tcMar>
          </w:tcPr>
          <w:p>
            <w:pPr>
              <w:spacing w:after="0" w:line="252"/>
            </w:pPr>
            <w:r>
              <w:rPr>
                <w:b w:val="false"/>
                <w:bCs w:val="false"/>
                <w:i w:val="false"/>
                <w:iCs w:val="false"/>
              </w:rPr>
              <w:t xml:space="preserve">M1 gate at week 3; fallback from Renode to plain QEMU + GDB stub; last-resort fallback to an instrumented interpreter for a subset of the firmware.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Assertion language over-engineered</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Design it from the reference scenario’s real objectives, not speculatively; R12’s worked example is the scope fence.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Reference scenario content squeezed by platform work</w:t>
            </w:r>
          </w:p>
        </w:tc>
        <w:tc>
          <w:tcPr>
            <w:tcW w:type="dxa" w:w="1300"/>
            <w:tcMar>
              <w:top w:type="dxa" w:w="60"/>
              <w:left w:type="dxa" w:w="100"/>
              <w:bottom w:type="dxa" w:w="60"/>
              <w:right w:type="dxa" w:w="100"/>
            </w:tcMar>
          </w:tcPr>
          <w:p>
            <w:pPr>
              <w:spacing w:after="0" w:line="252"/>
            </w:pPr>
            <w:r>
              <w:rPr>
                <w:b w:val="false"/>
                <w:bCs w:val="false"/>
                <w:i w:val="false"/>
                <w:iCs w:val="false"/>
              </w:rPr>
              <w:t xml:space="preserve">High</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Instructor co-authors fiction/docs in parallel from week 1; objectives 1–2 authored against the M2 vertical slice.</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Team integration late-semester crunch</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High</w:t>
            </w:r>
          </w:p>
        </w:tc>
        <w:tc>
          <w:tcPr>
            <w:tcW w:type="dxa" w:w="4660"/>
            <w:tcMar>
              <w:top w:type="dxa" w:w="60"/>
              <w:left w:type="dxa" w:w="100"/>
              <w:bottom w:type="dxa" w:w="60"/>
              <w:right w:type="dxa" w:w="100"/>
            </w:tcMar>
          </w:tcPr>
          <w:p>
            <w:pPr>
              <w:spacing w:after="0" w:line="252"/>
            </w:pPr>
            <w:r>
              <w:rPr>
                <w:b w:val="false"/>
                <w:bCs w:val="false"/>
                <w:i w:val="false"/>
                <w:iCs w:val="false"/>
              </w:rPr>
              <w:t xml:space="preserve">Vertical slice at M2 forces early integration; end-to-end test in CI from M3.</w:t>
            </w:r>
          </w:p>
        </w:tc>
      </w:tr>
      <w:tr>
        <w:tc>
          <w:tcPr>
            <w:tcW w:type="dxa" w:w="2500"/>
            <w:tcMar>
              <w:top w:type="dxa" w:w="60"/>
              <w:left w:type="dxa" w:w="100"/>
              <w:bottom w:type="dxa" w:w="60"/>
              <w:right w:type="dxa" w:w="100"/>
            </w:tcMar>
          </w:tcPr>
          <w:p>
            <w:pPr>
              <w:spacing w:after="0" w:line="252"/>
            </w:pPr>
            <w:r>
              <w:rPr>
                <w:b w:val="false"/>
                <w:bCs w:val="false"/>
                <w:i w:val="false"/>
                <w:iCs w:val="false"/>
              </w:rPr>
              <w:t xml:space="preserve">Scope creep (multiplayer, accounts, anti-cheat)</w:t>
            </w:r>
          </w:p>
        </w:tc>
        <w:tc>
          <w:tcPr>
            <w:tcW w:type="dxa" w:w="1300"/>
            <w:tcMar>
              <w:top w:type="dxa" w:w="60"/>
              <w:left w:type="dxa" w:w="100"/>
              <w:bottom w:type="dxa" w:w="60"/>
              <w:right w:type="dxa" w:w="100"/>
            </w:tcMar>
          </w:tcPr>
          <w:p>
            <w:pPr>
              <w:spacing w:after="0" w:line="252"/>
            </w:pPr>
            <w:r>
              <w:rPr>
                <w:b w:val="false"/>
                <w:bCs w:val="false"/>
                <w:i w:val="false"/>
                <w:iCs w:val="false"/>
              </w:rPr>
              <w:t xml:space="preserve">Med</w:t>
            </w:r>
          </w:p>
        </w:tc>
        <w:tc>
          <w:tcPr>
            <w:tcW w:type="dxa" w:w="900"/>
            <w:tcMar>
              <w:top w:type="dxa" w:w="60"/>
              <w:left w:type="dxa" w:w="100"/>
              <w:bottom w:type="dxa" w:w="60"/>
              <w:right w:type="dxa" w:w="100"/>
            </w:tcMar>
          </w:tcPr>
          <w:p>
            <w:pPr>
              <w:spacing w:after="0" w:line="252"/>
            </w:pPr>
            <w:r>
              <w:rPr>
                <w:b w:val="false"/>
                <w:bCs w:val="false"/>
                <w:i w:val="false"/>
                <w:iCs w:val="false"/>
              </w:rPr>
              <w:t xml:space="preserve">Med</w:t>
            </w:r>
          </w:p>
        </w:tc>
        <w:tc>
          <w:tcPr>
            <w:tcW w:type="dxa" w:w="4660"/>
            <w:tcMar>
              <w:top w:type="dxa" w:w="60"/>
              <w:left w:type="dxa" w:w="100"/>
              <w:bottom w:type="dxa" w:w="60"/>
              <w:right w:type="dxa" w:w="100"/>
            </w:tcMar>
          </w:tcPr>
          <w:p>
            <w:pPr>
              <w:spacing w:after="0" w:line="252"/>
            </w:pPr>
            <w:r>
              <w:rPr>
                <w:b w:val="false"/>
                <w:bCs w:val="false"/>
                <w:i w:val="false"/>
                <w:iCs w:val="false"/>
              </w:rPr>
              <w:t xml:space="preserve">Non-goals in §2 are contractual; changes require sponsor sign-off.</w:t>
            </w:r>
          </w:p>
        </w:tc>
      </w:tr>
    </w:tbl>
    <w:p>
      <w:pPr>
        <w:spacing w:after="140" w:line="276"/>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60" w:before="320"/>
      </w:pPr>
      <w:r>
        <w:t xml:space="preserve">10. Acceptance &amp; Handoff</w:t>
      </w:r>
    </w:p>
    <w:p>
      <w:pPr>
        <w:spacing w:after="140" w:line="276"/>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before="300"/>
      </w:pPr>
      <w:r>
        <w:rPr>
          <w:i/>
          <w:iCs/>
          <w:color w:val="595959"/>
          <w:sz w:val="20"/>
          <w:szCs w:val="20"/>
        </w:rPr>
        <w:t xml:space="preserve">Prepared for the capstone team by the project sponsor. The mission — and the probe — is named Sojourn: a long stay, far from home.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2026-09-03T17:58:16.853Z</dcterms:created>
  <dcterms:modified xsi:type="dcterms:W3CDTF">2026-09-03T17:58:16.868Z</dcterms:modified>
</cp:coreProperties>
</file>

<file path=docProps/custom.xml><?xml version="1.0" encoding="utf-8"?>
<Properties xmlns="http://schemas.openxmlformats.org/officeDocument/2006/custom-properties" xmlns:vt="http://schemas.openxmlformats.org/officeDocument/2006/docPropsVTypes"/>
</file>