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Requirements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6945"/>
      </w:tblGrid>
      <w:tr>
        <w:tc>
          <w:tcPr>
            <w:tcW w:type="dxa" w:w="2415"/>
            <w:tcMar>
              <w:top w:type="dxa" w:w="55"/>
              <w:left w:type="dxa" w:w="90"/>
              <w:bottom w:type="dxa" w:w="55"/>
              <w:right w:type="dxa" w:w="90"/>
            </w:tcMar>
          </w:tcPr>
          <w:p>
            <w:pPr>
              <w:spacing w:after="0" w:line="240"/>
            </w:pPr>
            <w:r>
              <w:rPr>
                <w:b/>
                <w:bCs/>
                <w:i w:val="false"/>
                <w:iCs w:val="false"/>
              </w:rPr>
              <w:t xml:space="preserve">Document</w:t>
            </w:r>
          </w:p>
        </w:tc>
        <w:tc>
          <w:tcPr>
            <w:tcW w:type="dxa" w:w="6945"/>
            <w:tcMar>
              <w:top w:type="dxa" w:w="55"/>
              <w:left w:type="dxa" w:w="90"/>
              <w:bottom w:type="dxa" w:w="55"/>
              <w:right w:type="dxa" w:w="90"/>
            </w:tcMar>
          </w:tcPr>
          <w:p>
            <w:pPr>
              <w:spacing w:after="0" w:line="240"/>
            </w:pPr>
            <w:r>
              <w:rPr>
                <w:b w:val="false"/>
                <w:bCs w:val="false"/>
                <w:i w:val="false"/>
                <w:iCs w:val="false"/>
              </w:rPr>
              <w:t xml:space="preserve">Requirements Register (generated, do not edit)</w:t>
            </w:r>
          </w:p>
        </w:tc>
      </w:tr>
      <w:tr>
        <w:tc>
          <w:tcPr>
            <w:tcW w:type="dxa" w:w="2415"/>
            <w:tcMar>
              <w:top w:type="dxa" w:w="55"/>
              <w:left w:type="dxa" w:w="90"/>
              <w:bottom w:type="dxa" w:w="55"/>
              <w:right w:type="dxa" w:w="90"/>
            </w:tcMar>
          </w:tcPr>
          <w:p>
            <w:pPr>
              <w:spacing w:after="0" w:line="240"/>
            </w:pPr>
            <w:r>
              <w:rPr>
                <w:b/>
                <w:bCs/>
                <w:i w:val="false"/>
                <w:iCs w:val="false"/>
              </w:rPr>
              <w:t xml:space="preserve">Project</w:t>
            </w:r>
          </w:p>
        </w:tc>
        <w:tc>
          <w:tcPr>
            <w:tcW w:type="dxa" w:w="6945"/>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2415"/>
            <w:tcMar>
              <w:top w:type="dxa" w:w="55"/>
              <w:left w:type="dxa" w:w="90"/>
              <w:bottom w:type="dxa" w:w="55"/>
              <w:right w:type="dxa" w:w="90"/>
            </w:tcMar>
          </w:tcPr>
          <w:p>
            <w:pPr>
              <w:spacing w:after="0" w:line="240"/>
            </w:pPr>
            <w:r>
              <w:rPr>
                <w:b/>
                <w:bCs/>
                <w:i w:val="false"/>
                <w:iCs w:val="false"/>
              </w:rPr>
              <w:t xml:space="preserve">Source</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charter.md</w:t>
            </w:r>
          </w:p>
        </w:tc>
      </w:tr>
      <w:tr>
        <w:tc>
          <w:tcPr>
            <w:tcW w:type="dxa" w:w="2415"/>
            <w:tcMar>
              <w:top w:type="dxa" w:w="55"/>
              <w:left w:type="dxa" w:w="90"/>
              <w:bottom w:type="dxa" w:w="55"/>
              <w:right w:type="dxa" w:w="90"/>
            </w:tcMar>
          </w:tcPr>
          <w:p>
            <w:pPr>
              <w:spacing w:after="0" w:line="240"/>
            </w:pPr>
            <w:r>
              <w:rPr>
                <w:b/>
                <w:bCs/>
                <w:i w:val="false"/>
                <w:iCs w:val="false"/>
              </w:rPr>
              <w:t xml:space="preserve">Generated by</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firmware/tools/requirements.py --write</w:t>
            </w:r>
          </w:p>
        </w:tc>
      </w:tr>
    </w:tbl>
    <w:p>
      <w:pPr>
        <w:spacing w:after="120"/>
      </w:pPr>
    </w:p>
    <w:p>
      <w:pPr>
        <w:pStyle w:val="Heading1"/>
        <w:spacing w:after="140" w:before="300"/>
      </w:pPr>
      <w:r>
        <w:rPr>
          <w:b w:val="false"/>
          <w:bCs w:val="false"/>
          <w:i w:val="false"/>
          <w:iCs w:val="false"/>
        </w:rPr>
        <w:t xml:space="preserve">How to read this</w:t>
      </w:r>
    </w:p>
    <w:p>
      <w:pPr>
        <w:spacing w:after="130" w:line="270"/>
      </w:pPr>
      <w:r>
        <w:rPr>
          <w:b/>
          <w:bCs/>
          <w:i w:val="false"/>
          <w:iCs w:val="false"/>
        </w:rPr>
        <w:t xml:space="preserve">The charter is the register.</w:t>
      </w:r>
      <w:r>
        <w:rPr>
          <w:b w:val="false"/>
          <w:bCs w:val="false"/>
          <w:i w:val="false"/>
          <w:iCs w:val="false"/>
        </w:rPr>
        <w:t xml:space="preserve"> Every requirement has exactly one identifier, defined in </w:t>
      </w:r>
      <w:r>
        <w:rPr>
          <w:rFonts w:ascii="Consolas" w:cs="Consolas" w:eastAsia="Consolas" w:hAnsi="Consolas"/>
          <w:b w:val="false"/>
          <w:bCs w:val="false"/>
          <w:i w:val="false"/>
          <w:iCs w:val="false"/>
          <w:sz w:val="19"/>
          <w:szCs w:val="19"/>
          <w:shd w:fill="F2F2F2" w:val="clear"/>
        </w:rPr>
        <w:t xml:space="preserve">charter.md</w:t>
      </w:r>
      <w:r>
        <w:rPr>
          <w:b w:val="false"/>
          <w:bCs w:val="false"/>
          <w:i w:val="false"/>
          <w:iCs w:val="false"/>
        </w:rPr>
        <w:t xml:space="preserve">. The specifications explain, measure and justify those requirements; none of them defines identifiers of its own. This file is generated from the charter so the two cannot drift, and </w:t>
      </w:r>
      <w:r>
        <w:rPr>
          <w:rFonts w:ascii="Consolas" w:cs="Consolas" w:eastAsia="Consolas" w:hAnsi="Consolas"/>
          <w:b w:val="false"/>
          <w:bCs w:val="false"/>
          <w:i w:val="false"/>
          <w:iCs w:val="false"/>
          <w:sz w:val="19"/>
          <w:szCs w:val="19"/>
          <w:shd w:fill="F2F2F2" w:val="clear"/>
        </w:rPr>
        <w:t xml:space="preserve">requirements.py --check</w:t>
      </w:r>
      <w:r>
        <w:rPr>
          <w:b w:val="false"/>
          <w:bCs w:val="false"/>
          <w:i w:val="false"/>
          <w:iCs w:val="false"/>
        </w:rPr>
        <w:t xml:space="preserve"> fails the build if a specification cites an identifier the charter does not define.</w:t>
      </w:r>
    </w:p>
    <w:p>
      <w:pPr>
        <w:spacing w:after="130" w:line="270"/>
      </w:pPr>
      <w:r>
        <w:rPr>
          <w:b/>
          <w:bCs/>
          <w:i w:val="false"/>
          <w:iCs w:val="false"/>
        </w:rPr>
        <w:t xml:space="preserve">92 requirements</w:t>
      </w:r>
      <w:r>
        <w:rPr>
          <w:b w:val="false"/>
          <w:bCs w:val="false"/>
          <w:i w:val="false"/>
          <w:iCs w:val="false"/>
        </w:rPr>
        <w:t xml:space="preserve">, of which 83 are threshold: the project fails acceptance without them.</w:t>
      </w:r>
    </w:p>
    <w:p>
      <w:pPr>
        <w:spacing w:after="130" w:line="270"/>
      </w:pPr>
      <w:r>
        <w:rPr>
          <w:b/>
          <w:bCs/>
          <w:i w:val="false"/>
          <w:iCs w:val="false"/>
        </w:rPr>
        <w:t xml:space="preserve">Priority:</w:t>
      </w:r>
      <w:r>
        <w:rPr>
          <w:b w:val="false"/>
          <w:bCs w:val="false"/>
          <w:i w:val="false"/>
          <w:iCs w:val="false"/>
        </w:rPr>
        <w:t xml:space="preserve"> T threshold · O objective · S stretch. </w:t>
      </w:r>
      <w:r>
        <w:rPr>
          <w:b/>
          <w:bCs/>
          <w:i w:val="false"/>
          <w:iCs w:val="false"/>
        </w:rPr>
        <w:t xml:space="preserve">Verify:</w:t>
      </w:r>
      <w:r>
        <w:rPr>
          <w:b w:val="false"/>
          <w:bCs w:val="false"/>
          <w:i w:val="false"/>
          <w:iCs w:val="false"/>
        </w:rPr>
        <w:t xml:space="preserve"> I inspection · A analysis · D demonstration · T test.</w:t>
      </w:r>
    </w:p>
    <w:p>
      <w:pPr>
        <w:pStyle w:val="Heading1"/>
        <w:spacing w:after="140" w:before="300"/>
      </w:pPr>
      <w:r>
        <w:rPr>
          <w:b w:val="false"/>
          <w:bCs w:val="false"/>
          <w:i w:val="false"/>
          <w:iCs w:val="false"/>
        </w:rPr>
        <w:t xml:space="preserv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1"/>
        <w:gridCol w:w="2042"/>
        <w:gridCol w:w="6127"/>
      </w:tblGrid>
      <w:tr>
        <w:trPr>
          <w:tblHeader/>
        </w:trPr>
        <w:tc>
          <w:tcPr>
            <w:tcW w:type="dxa" w:w="1191"/>
            <w:shd w:fill="D9E2F3" w:val="clear"/>
            <w:tcMar>
              <w:top w:type="dxa" w:w="55"/>
              <w:left w:type="dxa" w:w="90"/>
              <w:bottom w:type="dxa" w:w="55"/>
              <w:right w:type="dxa" w:w="90"/>
            </w:tcMar>
          </w:tcPr>
          <w:p>
            <w:pPr>
              <w:spacing w:after="0" w:line="240"/>
            </w:pPr>
            <w:r>
              <w:rPr>
                <w:b/>
                <w:bCs/>
                <w:sz w:val="19"/>
                <w:szCs w:val="19"/>
              </w:rPr>
              <w:t xml:space="preserve">Section</w:t>
            </w:r>
          </w:p>
        </w:tc>
        <w:tc>
          <w:tcPr>
            <w:tcW w:type="dxa" w:w="2042"/>
            <w:shd w:fill="D9E2F3" w:val="clear"/>
            <w:tcMar>
              <w:top w:type="dxa" w:w="55"/>
              <w:left w:type="dxa" w:w="90"/>
              <w:bottom w:type="dxa" w:w="55"/>
              <w:right w:type="dxa" w:w="90"/>
            </w:tcMar>
          </w:tcPr>
          <w:p>
            <w:pPr>
              <w:spacing w:after="0" w:line="240"/>
            </w:pPr>
            <w:r>
              <w:rPr>
                <w:b/>
                <w:bCs/>
                <w:sz w:val="19"/>
                <w:szCs w:val="19"/>
              </w:rPr>
              <w:t xml:space="preserve">Requirements</w:t>
            </w:r>
          </w:p>
        </w:tc>
        <w:tc>
          <w:tcPr>
            <w:tcW w:type="dxa" w:w="6127"/>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w:t>
            </w:r>
          </w:p>
        </w:tc>
        <w:tc>
          <w:tcPr>
            <w:tcW w:type="dxa" w:w="2042"/>
            <w:tcMar>
              <w:top w:type="dxa" w:w="55"/>
              <w:left w:type="dxa" w:w="90"/>
              <w:bottom w:type="dxa" w:w="55"/>
              <w:right w:type="dxa" w:w="90"/>
            </w:tcMar>
          </w:tcPr>
          <w:p>
            <w:pPr>
              <w:spacing w:after="0" w:line="240"/>
            </w:pPr>
            <w:r>
              <w:rPr>
                <w:b w:val="false"/>
                <w:bCs w:val="false"/>
                <w:i w:val="false"/>
                <w:iCs w:val="false"/>
              </w:rPr>
              <w:t xml:space="preserve">R1.1–R7</w:t>
            </w:r>
          </w:p>
        </w:tc>
        <w:tc>
          <w:tcPr>
            <w:tcW w:type="dxa" w:w="6127"/>
            <w:tcMar>
              <w:top w:type="dxa" w:w="55"/>
              <w:left w:type="dxa" w:w="90"/>
              <w:bottom w:type="dxa" w:w="55"/>
              <w:right w:type="dxa" w:w="90"/>
            </w:tcMar>
          </w:tcPr>
          <w:p>
            <w:pPr>
              <w:spacing w:after="0" w:line="240"/>
            </w:pPr>
            <w:r>
              <w:rPr>
                <w:b w:val="false"/>
                <w:bCs w:val="false"/>
                <w:i w:val="false"/>
                <w:iCs w:val="false"/>
              </w:rPr>
              <w:t xml:space="preserve">Gameplay &amp; Feedback</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§6.2</w:t>
            </w:r>
          </w:p>
        </w:tc>
        <w:tc>
          <w:tcPr>
            <w:tcW w:type="dxa" w:w="2042"/>
            <w:tcMar>
              <w:top w:type="dxa" w:w="55"/>
              <w:left w:type="dxa" w:w="90"/>
              <w:bottom w:type="dxa" w:w="55"/>
              <w:right w:type="dxa" w:w="90"/>
            </w:tcMar>
          </w:tcPr>
          <w:p>
            <w:pPr>
              <w:spacing w:after="0" w:line="240"/>
            </w:pPr>
            <w:r>
              <w:rPr>
                <w:b w:val="false"/>
                <w:bCs w:val="false"/>
                <w:i w:val="false"/>
                <w:iCs w:val="false"/>
              </w:rPr>
              <w:t xml:space="preserve">R8.1–R10.2</w:t>
            </w:r>
          </w:p>
        </w:tc>
        <w:tc>
          <w:tcPr>
            <w:tcW w:type="dxa" w:w="6127"/>
            <w:tcMar>
              <w:top w:type="dxa" w:w="55"/>
              <w:left w:type="dxa" w:w="90"/>
              <w:bottom w:type="dxa" w:w="55"/>
              <w:right w:type="dxa" w:w="90"/>
            </w:tcMar>
          </w:tcPr>
          <w:p>
            <w:pPr>
              <w:spacing w:after="0" w:line="240"/>
            </w:pPr>
            <w:r>
              <w:rPr>
                <w:b w:val="false"/>
                <w:bCs w:val="false"/>
                <w:i w:val="false"/>
                <w:iCs w:val="false"/>
              </w:rPr>
              <w:t xml:space="preserve">Reverse Engineering Surface</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§6.3</w:t>
            </w:r>
          </w:p>
        </w:tc>
        <w:tc>
          <w:tcPr>
            <w:tcW w:type="dxa" w:w="2042"/>
            <w:tcMar>
              <w:top w:type="dxa" w:w="55"/>
              <w:left w:type="dxa" w:w="90"/>
              <w:bottom w:type="dxa" w:w="55"/>
              <w:right w:type="dxa" w:w="90"/>
            </w:tcMar>
          </w:tcPr>
          <w:p>
            <w:pPr>
              <w:spacing w:after="0" w:line="240"/>
            </w:pPr>
            <w:r>
              <w:rPr>
                <w:b w:val="false"/>
                <w:bCs w:val="false"/>
                <w:i w:val="false"/>
                <w:iCs w:val="false"/>
              </w:rPr>
              <w:t xml:space="preserve">R11.1–R13</w:t>
            </w:r>
          </w:p>
        </w:tc>
        <w:tc>
          <w:tcPr>
            <w:tcW w:type="dxa" w:w="6127"/>
            <w:tcMar>
              <w:top w:type="dxa" w:w="55"/>
              <w:left w:type="dxa" w:w="90"/>
              <w:bottom w:type="dxa" w:w="55"/>
              <w:right w:type="dxa" w:w="90"/>
            </w:tcMar>
          </w:tcPr>
          <w:p>
            <w:pPr>
              <w:spacing w:after="0" w:line="240"/>
            </w:pPr>
            <w:r>
              <w:rPr>
                <w:b w:val="false"/>
                <w:bCs w:val="false"/>
                <w:i w:val="false"/>
                <w:iCs w:val="false"/>
              </w:rPr>
              <w:t xml:space="preserve">Extensibility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§6.4</w:t>
            </w:r>
          </w:p>
        </w:tc>
        <w:tc>
          <w:tcPr>
            <w:tcW w:type="dxa" w:w="2042"/>
            <w:tcMar>
              <w:top w:type="dxa" w:w="55"/>
              <w:left w:type="dxa" w:w="90"/>
              <w:bottom w:type="dxa" w:w="55"/>
              <w:right w:type="dxa" w:w="90"/>
            </w:tcMar>
          </w:tcPr>
          <w:p>
            <w:pPr>
              <w:spacing w:after="0" w:line="240"/>
            </w:pPr>
            <w:r>
              <w:rPr>
                <w:b w:val="false"/>
                <w:bCs w:val="false"/>
                <w:i w:val="false"/>
                <w:iCs w:val="false"/>
              </w:rPr>
              <w:t xml:space="preserve">R14.1–R16</w:t>
            </w:r>
          </w:p>
        </w:tc>
        <w:tc>
          <w:tcPr>
            <w:tcW w:type="dxa" w:w="6127"/>
            <w:tcMar>
              <w:top w:type="dxa" w:w="55"/>
              <w:left w:type="dxa" w:w="90"/>
              <w:bottom w:type="dxa" w:w="55"/>
              <w:right w:type="dxa" w:w="90"/>
            </w:tcMar>
          </w:tcPr>
          <w:p>
            <w:pPr>
              <w:spacing w:after="0" w:line="240"/>
            </w:pPr>
            <w:r>
              <w:rPr>
                <w:b w:val="false"/>
                <w:bCs w:val="false"/>
                <w:i w:val="false"/>
                <w:iCs w:val="false"/>
              </w:rPr>
              <w:t xml:space="preserve">Persistence &amp; Identity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§6.5</w:t>
            </w:r>
          </w:p>
        </w:tc>
        <w:tc>
          <w:tcPr>
            <w:tcW w:type="dxa" w:w="2042"/>
            <w:tcMar>
              <w:top w:type="dxa" w:w="55"/>
              <w:left w:type="dxa" w:w="90"/>
              <w:bottom w:type="dxa" w:w="55"/>
              <w:right w:type="dxa" w:w="90"/>
            </w:tcMar>
          </w:tcPr>
          <w:p>
            <w:pPr>
              <w:spacing w:after="0" w:line="240"/>
            </w:pPr>
            <w:r>
              <w:rPr>
                <w:b w:val="false"/>
                <w:bCs w:val="false"/>
                <w:i w:val="false"/>
                <w:iCs w:val="false"/>
              </w:rPr>
              <w:t xml:space="preserve">R17.1–R19</w:t>
            </w:r>
          </w:p>
        </w:tc>
        <w:tc>
          <w:tcPr>
            <w:tcW w:type="dxa" w:w="6127"/>
            <w:tcMar>
              <w:top w:type="dxa" w:w="55"/>
              <w:left w:type="dxa" w:w="90"/>
              <w:bottom w:type="dxa" w:w="55"/>
              <w:right w:type="dxa" w:w="90"/>
            </w:tcMar>
          </w:tcPr>
          <w:p>
            <w:pPr>
              <w:spacing w:after="0" w:line="240"/>
            </w:pPr>
            <w:r>
              <w:rPr>
                <w:b w:val="false"/>
                <w:bCs w:val="false"/>
                <w:i w:val="false"/>
                <w:iCs w:val="false"/>
              </w:rPr>
              <w:t xml:space="preserve">Deployment</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§6.6</w:t>
            </w:r>
          </w:p>
        </w:tc>
        <w:tc>
          <w:tcPr>
            <w:tcW w:type="dxa" w:w="2042"/>
            <w:tcMar>
              <w:top w:type="dxa" w:w="55"/>
              <w:left w:type="dxa" w:w="90"/>
              <w:bottom w:type="dxa" w:w="55"/>
              <w:right w:type="dxa" w:w="90"/>
            </w:tcMar>
          </w:tcPr>
          <w:p>
            <w:pPr>
              <w:spacing w:after="0" w:line="240"/>
            </w:pPr>
            <w:r>
              <w:rPr>
                <w:b w:val="false"/>
                <w:bCs w:val="false"/>
                <w:i w:val="false"/>
                <w:iCs w:val="false"/>
              </w:rPr>
              <w:t xml:space="preserve">R20.1–R21</w:t>
            </w:r>
          </w:p>
        </w:tc>
        <w:tc>
          <w:tcPr>
            <w:tcW w:type="dxa" w:w="6127"/>
            <w:tcMar>
              <w:top w:type="dxa" w:w="55"/>
              <w:left w:type="dxa" w:w="90"/>
              <w:bottom w:type="dxa" w:w="55"/>
              <w:right w:type="dxa" w:w="90"/>
            </w:tcMar>
          </w:tcPr>
          <w:p>
            <w:pPr>
              <w:spacing w:after="0" w:line="240"/>
            </w:pPr>
            <w:r>
              <w:rPr>
                <w:b w:val="false"/>
                <w:bCs w:val="false"/>
                <w:i w:val="false"/>
                <w:iCs w:val="false"/>
              </w:rPr>
              <w:t xml:space="preserve">Quality &amp; Documentation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§6.7</w:t>
            </w:r>
          </w:p>
        </w:tc>
        <w:tc>
          <w:tcPr>
            <w:tcW w:type="dxa" w:w="2042"/>
            <w:tcMar>
              <w:top w:type="dxa" w:w="55"/>
              <w:left w:type="dxa" w:w="90"/>
              <w:bottom w:type="dxa" w:w="55"/>
              <w:right w:type="dxa" w:w="90"/>
            </w:tcMar>
          </w:tcPr>
          <w:p>
            <w:pPr>
              <w:spacing w:after="0" w:line="240"/>
            </w:pPr>
            <w:r>
              <w:rPr>
                <w:b w:val="false"/>
                <w:bCs w:val="false"/>
                <w:i w:val="false"/>
                <w:iCs w:val="false"/>
              </w:rPr>
              <w:t xml:space="preserve">R22.1–R22.2</w:t>
            </w:r>
          </w:p>
        </w:tc>
        <w:tc>
          <w:tcPr>
            <w:tcW w:type="dxa" w:w="6127"/>
            <w:tcMar>
              <w:top w:type="dxa" w:w="55"/>
              <w:left w:type="dxa" w:w="90"/>
              <w:bottom w:type="dxa" w:w="55"/>
              <w:right w:type="dxa" w:w="90"/>
            </w:tcMar>
          </w:tcPr>
          <w:p>
            <w:pPr>
              <w:spacing w:after="0" w:line="240"/>
            </w:pPr>
            <w:r>
              <w:rPr>
                <w:b w:val="false"/>
                <w:bCs w:val="false"/>
                <w:i w:val="false"/>
                <w:iCs w:val="false"/>
              </w:rPr>
              <w:t xml:space="preserve">Future-Proofing</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§6.8</w:t>
            </w:r>
          </w:p>
        </w:tc>
        <w:tc>
          <w:tcPr>
            <w:tcW w:type="dxa" w:w="2042"/>
            <w:tcMar>
              <w:top w:type="dxa" w:w="55"/>
              <w:left w:type="dxa" w:w="90"/>
              <w:bottom w:type="dxa" w:w="55"/>
              <w:right w:type="dxa" w:w="90"/>
            </w:tcMar>
          </w:tcPr>
          <w:p>
            <w:pPr>
              <w:spacing w:after="0" w:line="240"/>
            </w:pPr>
            <w:r>
              <w:rPr>
                <w:b w:val="false"/>
                <w:bCs w:val="false"/>
                <w:i w:val="false"/>
                <w:iCs w:val="false"/>
              </w:rPr>
              <w:t xml:space="preserve">R23.1–R23.10</w:t>
            </w:r>
          </w:p>
        </w:tc>
        <w:tc>
          <w:tcPr>
            <w:tcW w:type="dxa" w:w="6127"/>
            <w:tcMar>
              <w:top w:type="dxa" w:w="55"/>
              <w:left w:type="dxa" w:w="90"/>
              <w:bottom w:type="dxa" w:w="55"/>
              <w:right w:type="dxa" w:w="90"/>
            </w:tcMar>
          </w:tcPr>
          <w:p>
            <w:pPr>
              <w:spacing w:after="0" w:line="240"/>
            </w:pPr>
            <w:r>
              <w:rPr>
                <w:b w:val="false"/>
                <w:bCs w:val="false"/>
                <w:i w:val="false"/>
                <w:iCs w:val="false"/>
              </w:rPr>
              <w:t xml:space="preserve">Scenario Package &amp; Content Seam</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§6.9</w:t>
            </w:r>
          </w:p>
        </w:tc>
        <w:tc>
          <w:tcPr>
            <w:tcW w:type="dxa" w:w="2042"/>
            <w:tcMar>
              <w:top w:type="dxa" w:w="55"/>
              <w:left w:type="dxa" w:w="90"/>
              <w:bottom w:type="dxa" w:w="55"/>
              <w:right w:type="dxa" w:w="90"/>
            </w:tcMar>
          </w:tcPr>
          <w:p>
            <w:pPr>
              <w:spacing w:after="0" w:line="240"/>
            </w:pPr>
            <w:r>
              <w:rPr>
                <w:b w:val="false"/>
                <w:bCs w:val="false"/>
                <w:i w:val="false"/>
                <w:iCs w:val="false"/>
              </w:rPr>
              <w:t xml:space="preserve">R24.1–R24.21</w:t>
            </w:r>
          </w:p>
        </w:tc>
        <w:tc>
          <w:tcPr>
            <w:tcW w:type="dxa" w:w="6127"/>
            <w:tcMar>
              <w:top w:type="dxa" w:w="55"/>
              <w:left w:type="dxa" w:w="90"/>
              <w:bottom w:type="dxa" w:w="55"/>
              <w:right w:type="dxa" w:w="90"/>
            </w:tcMar>
          </w:tcPr>
          <w:p>
            <w:pPr>
              <w:spacing w:after="0" w:line="240"/>
            </w:pPr>
            <w:r>
              <w:rPr>
                <w:b w:val="false"/>
                <w:bCs w:val="false"/>
                <w:i w:val="false"/>
                <w:iCs w:val="false"/>
              </w:rPr>
              <w:t xml:space="preserve">Evaluation Integrity &amp; Introspection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§6.11</w:t>
            </w:r>
          </w:p>
        </w:tc>
        <w:tc>
          <w:tcPr>
            <w:tcW w:type="dxa" w:w="2042"/>
            <w:tcMar>
              <w:top w:type="dxa" w:w="55"/>
              <w:left w:type="dxa" w:w="90"/>
              <w:bottom w:type="dxa" w:w="55"/>
              <w:right w:type="dxa" w:w="90"/>
            </w:tcMar>
          </w:tcPr>
          <w:p>
            <w:pPr>
              <w:spacing w:after="0" w:line="240"/>
            </w:pPr>
            <w:r>
              <w:rPr>
                <w:b w:val="false"/>
                <w:bCs w:val="false"/>
                <w:i w:val="false"/>
                <w:iCs w:val="false"/>
              </w:rPr>
              <w:t xml:space="preserve">R25.1–R26.7</w:t>
            </w:r>
          </w:p>
        </w:tc>
        <w:tc>
          <w:tcPr>
            <w:tcW w:type="dxa" w:w="6127"/>
            <w:tcMar>
              <w:top w:type="dxa" w:w="55"/>
              <w:left w:type="dxa" w:w="90"/>
              <w:bottom w:type="dxa" w:w="55"/>
              <w:right w:type="dxa" w:w="90"/>
            </w:tcMar>
          </w:tcPr>
          <w:p>
            <w:pPr>
              <w:spacing w:after="0" w:line="240"/>
            </w:pPr>
            <w:r>
              <w:rPr>
                <w:b w:val="false"/>
                <w:bCs w:val="false"/>
                <w:i w:val="false"/>
                <w:iCs w:val="false"/>
              </w:rPr>
              <w:t xml:space="preserve">Ground-Station Console</w:t>
            </w:r>
          </w:p>
        </w:tc>
      </w:tr>
    </w:tbl>
    <w:p>
      <w:pPr>
        <w:spacing w:after="120"/>
      </w:pPr>
    </w:p>
    <w:p>
      <w:pPr>
        <w:pStyle w:val="Heading1"/>
        <w:spacing w:after="140" w:before="300"/>
      </w:pPr>
      <w:r>
        <w:rPr>
          <w:b w:val="false"/>
          <w:bCs w:val="false"/>
          <w:i w:val="false"/>
          <w:iCs w:val="false"/>
        </w:rPr>
        <w:t xml:space="preserve">Register</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15"/>
        <w:gridCol w:w="1050"/>
        <w:gridCol w:w="109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15"/>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95"/>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5115"/>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Package Format</w:t>
            </w:r>
          </w:p>
        </w:tc>
      </w:tr>
      <w:tr>
        <w:tc>
          <w:tcPr>
            <w:tcW w:type="dxa" w:w="1050"/>
            <w:tcMar>
              <w:top w:type="dxa" w:w="55"/>
              <w:left w:type="dxa" w:w="90"/>
              <w:bottom w:type="dxa" w:w="55"/>
              <w:right w:type="dxa" w:w="90"/>
            </w:tcMar>
          </w:tcPr>
          <w:p>
            <w:pPr>
              <w:spacing w:after="0" w:line="240"/>
            </w:pPr>
            <w:r>
              <w:rPr>
                <w:b/>
                <w:bCs/>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Package Format</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4474"/>
        <w:gridCol w:w="1050"/>
        <w:gridCol w:w="1736"/>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4474"/>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736"/>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409"/>
        <w:gridCol w:w="1050"/>
        <w:gridCol w:w="280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409"/>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801"/>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409"/>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946"/>
        <w:gridCol w:w="1050"/>
        <w:gridCol w:w="2264"/>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946"/>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264"/>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264"/>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Scenario Package Format, Introspection API, Scenario Author's Guide</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(Firmware Design, Scenario Package Format, Introspection API, and Scenario Author's Guide),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§6.8 Scenario Package &amp; Content Seam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§6.9 Evaluation Integrity &amp; Introspection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use only these GDB remote serial protocol packets: query halt reason, read memory, negotiate supported features, continue, detach, and the raw interrupt byte.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send write-memory, write-register, breakpoint, watchpoint, single-step or kill packets. Each either mutates the probe or alters its timing, and a breakpoint left set changes execution timing for the remainder of the session while being invisible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decode run-length encoding in received packet data, in which an asterisk is followed by one character whose value less 29 is the count of additional repeats of the preceding character.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treat a reply beginning with the error prefix as a failed read and SHALL NOT interpret its characters as data.</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honor the maximum packet size the stub advertises, SHALL split any longer read into chunks of at most 1024 bytes, and SHALL reassemble them in order.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For each downlink frame the daemon SHALL, in this order: decode the frame; compute its event list; apply any uplink whose delay has expired; halt the guest; perform every memory read the pass requires; resume the guest; then evaluate objectives.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R24.12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cache reads within one evaluation pass so that a repeated address and length is fetched once, and SHALL NOT cache reads across passes.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snapshot window SHALL NOT exceed 250 ms, and exceeding it SHALL be treated as an error rather than leaving the probe halted.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failed introspection read (connection refused, timeout, error reply, or short read)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emulator SHALL bind the introspection port to the loopback interface only.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introspection channel SHALL NOT be documented in any player-facing material and SHALL NOT be reachable from the console.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instructor-only data, the symbol map above all, SHALL be reachable through the introspection channel or present in the player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bl>
    <w:p>
      <w:pPr>
        <w:spacing w:after="120"/>
      </w:pPr>
    </w:p>
    <w:p>
      <w:pPr>
        <w:pStyle w:val="Heading2"/>
        <w:spacing w:after="110" w:before="220"/>
      </w:pPr>
      <w:r>
        <w:rPr>
          <w:b w:val="false"/>
          <w:bCs w:val="false"/>
          <w:i w:val="false"/>
          <w:iCs w:val="false"/>
        </w:rPr>
        <w:t xml:space="preserve">§6.11 Ground-Station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present five regions simultaneously and without navigation: spacecraft read-out, downlink frame feed, uplink terminal, mission status, and ground-station link status.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downlink feed SHALL display every received frame as transmitted, in hexadecimal, in arrival order, retaining at least the most recent 200 frames, and SHALL mark any frame failing CRC as corrupt without discarding 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spacecraft read-out SHALL present decoded values </w:t>
            </w:r>
            <w:r>
              <w:rPr>
                <w:b/>
                <w:bCs/>
                <w:i w:val="false"/>
                <w:iCs w:val="false"/>
              </w:rPr>
              <w:t xml:space="preserve">only</w:t>
            </w:r>
            <w:r>
              <w:rPr>
                <w:b w:val="false"/>
                <w:bCs w:val="false"/>
                <w:i w:val="false"/>
                <w:iCs w:val="false"/>
              </w:rPr>
              <w:t xml:space="preserve"> for channels the active scenario package lists in </w:t>
            </w:r>
            <w:r>
              <w:rPr>
                <w:rFonts w:ascii="Consolas" w:cs="Consolas" w:eastAsia="Consolas" w:hAnsi="Consolas"/>
                <w:b w:val="false"/>
                <w:bCs w:val="false"/>
                <w:i w:val="false"/>
                <w:iCs w:val="false"/>
                <w:sz w:val="19"/>
                <w:szCs w:val="19"/>
                <w:shd w:fill="F2F2F2" w:val="clear"/>
              </w:rPr>
              <w:t xml:space="preserve">console.decode</w:t>
            </w:r>
            <w:r>
              <w:rPr>
                <w:b w:val="false"/>
                <w:bCs w:val="false"/>
                <w:i w:val="false"/>
                <w:iCs w:val="false"/>
              </w:rPr>
              <w:t xml:space="preserve">; every other channel SHALL appear in the downlink feed as raw hexadecimal only.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When a decoded channel leaves the downlink, the read-out SHALL mark it absent within one telemetry period and SHALL NOT continue to display its last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uplink terminal SHALL accept typed commands, maintain a recallable history of at least the most recent 500 commands per player across sessions, and display for each command in flight its remaining transmission delay to a resolution of 1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display remaining write and read allowance whenever the active scenario declares a budget, and SHALL indicate a command refused for budget distinctly from a command the probe rejected.</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mission status panel SHALL render objectives in the order declared by the package, showing state, brief text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objectives, current partial diagnostic text, and revealed hints, and SHALL reveal neither brief nor hints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identify the Deep Space Network complex currently holding the link, name the specific antenna carrying it, and animate signal activity distinctly for downlink reception and for an uplink in flight.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complex in contact SHALL be derived from probe uptime unless the scenario pins one, so that a replayed session displays the same station sequence as the original.</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R25.10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display the one-way transmission delay in force and the spacecraft antenna in use, and SHALL indicate loss of link within one telemetry period of the probe ceasing to transmit.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R25.11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Antenna selection within a complex SHALL reflect the spacecraft antenna in use, a larger aperture being shown for the high-gain link than for the low-gain link.</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provide a menu offering, at minimum: start a scenario, abort the running scenario, save the session, load a saved session, and exit.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Starting a scenario while one is running SHALL require an explicit confirmation, and SHALL abort the running session before the new one begins.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Aborting a running scenario SHALL terminate the probe process and release its ports within 10 s, SHALL preserve the command log in full, and SHALL leave the session resumable.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Save SHALL write a portable session archive containing the command log, the scenario identifier and revision, and the player profile, and SHALL NOT require the scenario to be stopped.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Load SHALL restore a session from such an archive by replay (R15.1), SHALL refuse an archive whose scenario identifier is not installed, and SHALL warn when the installed revision is higher than the archive's.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Exit SHALL terminate the probe process, flush the command log, and leave no orphaned emulator process, verified by process inspection after exit.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menu action SHALL be able to alter objective state other than by replaying a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