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CF7A4">
      <w:pPr>
        <w:pStyle w:val="3"/>
        <w:jc w:val="center"/>
        <w:rPr>
          <w:rFonts w:hint="default" w:ascii="Times New Roman Regular" w:hAnsi="Times New Roman Regular" w:cs="Times New Roman Regular"/>
          <w:sz w:val="32"/>
          <w:szCs w:val="32"/>
        </w:rPr>
      </w:pPr>
      <w:r>
        <w:rPr>
          <w:rFonts w:hint="default" w:ascii="Times New Roman Regular" w:hAnsi="Times New Roman Regular" w:cs="Times New Roman Regular"/>
          <w:color w:val="000000"/>
          <w:sz w:val="32"/>
          <w:szCs w:val="32"/>
        </w:rPr>
        <w:t>Collaborative for Assignment 02 - Modules (01-05)</w:t>
      </w:r>
    </w:p>
    <w:p w14:paraId="4712D80C">
      <w:pPr>
        <w:pStyle w:val="4"/>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color w:val="000000"/>
          <w:sz w:val="24"/>
          <w:szCs w:val="24"/>
        </w:rPr>
        <w:t>Members: Tang I Choi (MC631517) &amp; Tan Min Fai</w:t>
      </w:r>
      <w:r>
        <w:rPr>
          <w:rFonts w:hint="eastAsia" w:ascii="Times New Roman Regular" w:hAnsi="Times New Roman Regular" w:eastAsia="新細明體" w:cs="Times New Roman Regular"/>
          <w:color w:val="000000"/>
          <w:sz w:val="24"/>
          <w:szCs w:val="24"/>
          <w:lang w:val="en-US" w:eastAsia="zh-TW"/>
        </w:rPr>
        <w:t xml:space="preserve"> Micky</w:t>
      </w:r>
      <w:r>
        <w:rPr>
          <w:rFonts w:hint="default" w:ascii="Times New Roman Regular" w:hAnsi="Times New Roman Regular" w:cs="Times New Roman Regular"/>
          <w:color w:val="000000"/>
          <w:sz w:val="24"/>
          <w:szCs w:val="24"/>
        </w:rPr>
        <w:t xml:space="preserve"> (MC637132)</w:t>
      </w:r>
    </w:p>
    <w:p w14:paraId="27D3DE2B">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1. Overview</w:t>
      </w:r>
    </w:p>
    <w:p w14:paraId="2B424FBE">
      <w:pPr>
        <w:rPr>
          <w:rFonts w:hint="default" w:ascii="Times New Roman Regular" w:hAnsi="Times New Roman Regular" w:cs="Times New Roman Regular"/>
        </w:rPr>
      </w:pPr>
      <w:r>
        <w:rPr>
          <w:rFonts w:hint="default" w:ascii="Times New Roman Regular" w:hAnsi="Times New Roman Regular" w:cs="Times New Roman Regular"/>
          <w:color w:val="000000"/>
        </w:rPr>
        <w:t>This document describes how the two of us collaborated on Assignment 02, which covers Modules 01-05 of the data visualization course (IBM Skills Network DV0101EN). Instead of splitting the work into isolated parts, we assigned a "lead" for each module and worked as each other's reviewer and tester. Every module went through a joint workflow: planning together, the lead implementing, the partner reviewing and testing, and a wrap-up session where we exchanged what we had learned. This kept the workload balanced and made sure both of us understood every module, not just the ones we personally coded.</w:t>
      </w:r>
    </w:p>
    <w:p w14:paraId="0761C3AB">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2. Module 1 - Pandas Data Processing and Matplotlib Introduction (Lead: Tang I Choi)</w:t>
      </w:r>
    </w:p>
    <w:p w14:paraId="333C7F00">
      <w:pPr>
        <w:rPr>
          <w:rFonts w:hint="default" w:ascii="Times New Roman Regular" w:hAnsi="Times New Roman Regular" w:cs="Times New Roman Regular"/>
        </w:rPr>
      </w:pPr>
      <w:r>
        <w:rPr>
          <w:rFonts w:hint="default" w:ascii="Times New Roman Regular" w:hAnsi="Times New Roman Regular" w:cs="Times New Roman Regular"/>
          <w:color w:val="000000"/>
        </w:rPr>
        <w:t>In Lab 01 we explored and pre-processed the Immigration to Canada dataset using Pandas; in Lab 02 we introduced line plots with Matplotlib. Tang led the implementation: she wrote the DataFrame exploration, indexing and cleaning steps, and produced the trend line charts. Tan acted as the reviewer: he ran the notebooks independently, double-checked the cleaning logic, and suggested more idiomatic Pandas operations (such as using melt and set_index for longer-format tables). Through the review sessions Tan picked up efficient Pandas idioms he had not used before, while Tang sharpened her own understanding by explaining each step to her partner.</w:t>
      </w:r>
    </w:p>
    <w:p w14:paraId="25D38DDA">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3. Module 2 - Matplotlib Chart Family (</w:t>
      </w:r>
      <w:bookmarkStart w:id="0" w:name="_GoBack"/>
      <w:bookmarkEnd w:id="0"/>
      <w:r>
        <w:rPr>
          <w:rFonts w:hint="default" w:ascii="Times New Roman Regular" w:hAnsi="Times New Roman Regular" w:cs="Times New Roman Regular"/>
          <w:color w:val="000000"/>
        </w:rPr>
        <w:t>Lead: Tan Min Fai)</w:t>
      </w:r>
    </w:p>
    <w:p w14:paraId="622DCE9C">
      <w:pPr>
        <w:rPr>
          <w:rFonts w:hint="default" w:ascii="Times New Roman Regular" w:hAnsi="Times New Roman Regular" w:cs="Times New Roman Regular"/>
        </w:rPr>
      </w:pPr>
      <w:r>
        <w:rPr>
          <w:rFonts w:hint="default" w:ascii="Times New Roman Regular" w:hAnsi="Times New Roman Regular" w:cs="Times New Roman Regular"/>
          <w:color w:val="000000"/>
        </w:rPr>
        <w:t>This module covered area plots, histograms, bar charts, pie charts, box plots, scatter plots and bubble plots in three labs. Tan led the implementation and built the full set of charts on the same immigration dataset. Tang took the role of quality checker: she verified that every chart matched the underlying data, tuned colors, labels and figure sizing, and helped reorganize the subplot layouts. Tan gained solid confidence in choosing the right chart type for each question; Tang refreshed her knowledge of Matplotlib styling APIs and learned cleaner ways to compose subplots.</w:t>
      </w:r>
    </w:p>
    <w:p w14:paraId="24851A81">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4. Module 3 - Advanced and Geospatial Visualization (Lead: Tang I Choi)</w:t>
      </w:r>
    </w:p>
    <w:p w14:paraId="5F6F0C2F">
      <w:pPr>
        <w:rPr>
          <w:rFonts w:hint="default" w:ascii="Times New Roman Regular" w:hAnsi="Times New Roman Regular" w:cs="Times New Roman Regular"/>
        </w:rPr>
      </w:pPr>
      <w:r>
        <w:rPr>
          <w:rFonts w:hint="default" w:ascii="Times New Roman Regular" w:hAnsi="Times New Roman Regular" w:cs="Times New Roman Regular"/>
          <w:color w:val="000000"/>
        </w:rPr>
        <w:t>Lab 01 covered waffle charts, word clouds and Seaborn regression plots; Lab 02 introduced interactive Folium maps and choropleth maps. Tang led this module, drawing on her stronger background in geospatial visualization: she implemented the waffle chart from scratch, built the word cloud with a mask, and created the Folium marker and choropleth maps. Tan supported the work by preparing and validating the GeoJSON data (world_countries.json), testing markers across different regions, and reviewing the regression plot formatting. This module was a clear case of mutual learning: Tan learned the complete Folium and choropleth workflow for the first time, while Tang learned Seaborn styling and regression-plot conventions from the code review feedback.</w:t>
      </w:r>
    </w:p>
    <w:p w14:paraId="7EE2B913">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5. Module 4 - Plotly and Dash Interactive Dashboards (Lead: Tan Min Fai)</w:t>
      </w:r>
    </w:p>
    <w:p w14:paraId="7ED70DA9">
      <w:pPr>
        <w:rPr>
          <w:rFonts w:hint="default" w:ascii="Times New Roman Regular" w:hAnsi="Times New Roman Regular" w:cs="Times New Roman Regular"/>
        </w:rPr>
      </w:pPr>
      <w:r>
        <w:rPr>
          <w:rFonts w:hint="default" w:ascii="Times New Roman Regular" w:hAnsi="Times New Roman Regular" w:cs="Times New Roman Regular"/>
          <w:color w:val="000000"/>
        </w:rPr>
        <w:t>This module moved from static charts to interactive dashboards: basic Plotly charts, Dash basics, Dash interactivity with callbacks, and a multi-chart flight delay dashboard. Tan led the development because he is more comfortable with web-based interactivity: he wrote the Plotly figures, the Dash app layouts, and the callback functions for year and destination filtering. Tang acted as the tester and co-designer: she ran each dashboard, reproduced the reported callback bugs, and suggested improvements to the layout and to the data aggregation used by the charts. Tan improved his code modularity by refactoring the dashboards into smaller reusable functions; Tang learned how Dash callbacks connect widgets to figures and how to debug them step by step.</w:t>
      </w:r>
    </w:p>
    <w:p w14:paraId="44655097">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6. Module 5 - Final Project: Practice and Final Assignments (Co-led by both members)</w:t>
      </w:r>
    </w:p>
    <w:p w14:paraId="37C93F44">
      <w:pPr>
        <w:rPr>
          <w:rFonts w:hint="default" w:ascii="Times New Roman Regular" w:hAnsi="Times New Roman Regular" w:cs="Times New Roman Regular"/>
        </w:rPr>
      </w:pPr>
      <w:r>
        <w:rPr>
          <w:rFonts w:hint="default" w:ascii="Times New Roman Regular" w:hAnsi="Times New Roman Regular" w:cs="Times New Roman Regular"/>
          <w:color w:val="000000"/>
        </w:rPr>
        <w:t>Module 5 was the climax of the assignment and we deliberately co-led it. It contains two tracks: the Practice Project (analyzing Australian wildfire activities) and the Final Project (analyzing automobile sales during recession periods), each consisting of Part 1 static visualizations (Matplotlib, Seaborn, Folium) and Part 2 Dash applications. Tang led Part 1: she implemented the visualization tasks with Matplotlib and Seaborn (line charts, bar charts, scatter plots, pie charts, histograms) and the Folium maps for both the wildfire and automobile datasets. Tan led Part 2: he built the Wildfire Dashboard and the Automobile Sales Statistics Dashboard, implementing the region/year/month dropdowns, report-type selection and all required callbacks. During this module we worked side by side in joint debugging sessions: we checked every task requirement (1.1-1.10 and 2.1-2.6) against our outputs, ran each other's code on our own machines, and cross-tested the dashboards. The final deliverable only passed once both of us had verified every chart and every interactive feature. This was where we learned the most from each other: Tan deepened his Folium map skills under Tang's guidance, while Tang mastered the complete Dash callback and layout workflow under Tan's guidance.</w:t>
      </w:r>
    </w:p>
    <w:p w14:paraId="3ECB5467">
      <w:pPr>
        <w:pStyle w:val="4"/>
        <w:rPr>
          <w:rFonts w:hint="default" w:ascii="Times New Roman Regular" w:hAnsi="Times New Roman Regular" w:cs="Times New Roman Regular"/>
        </w:rPr>
      </w:pPr>
      <w:r>
        <w:rPr>
          <w:rFonts w:hint="default" w:ascii="Times New Roman Regular" w:hAnsi="Times New Roman Regular" w:cs="Times New Roman Regular"/>
          <w:color w:val="000000"/>
        </w:rPr>
        <w:t>7. Conclusion</w:t>
      </w:r>
    </w:p>
    <w:p w14:paraId="0F2B7C3E">
      <w:pPr>
        <w:rPr>
          <w:rFonts w:hint="default" w:ascii="Times New Roman Regular" w:hAnsi="Times New Roman Regular" w:cs="Times New Roman Regular"/>
        </w:rPr>
      </w:pPr>
      <w:r>
        <w:rPr>
          <w:rFonts w:hint="default" w:ascii="Times New Roman Regular" w:hAnsi="Times New Roman Regular" w:cs="Times New Roman Regular"/>
          <w:color w:val="000000"/>
        </w:rPr>
        <w:t>Across Modules 01-05 our collaboration followed the same principle: a clear lead for every module, a thorough reviewer for every deliverable, and a learning exchange at the end of every milestone. The workload was balanced (Tang led Modules 1, 3 and Part 1 of Module 5; Tan led Modules 2, 4 and Part 2 of Module 5), every module was understood by both of us, and each member finished the course with new skills learned from the other: Tang gained Dash and interactive dashboard expertise, and Tan gained Pandas and geospatial visualization expertise. We believe this is how a collaborative forum should work - not dividing the work, but sharing the learning.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DE0A51"/>
    <w:rsid w:val="75FF0421"/>
    <w:rsid w:val="FFFF07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エミリー</cp:lastModifiedBy>
  <dcterms:modified xsi:type="dcterms:W3CDTF">2026-10-22T18:21:58Z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a00e5df06e93a5902bdea1ae35e297b8_0921ec2dce0211f1a475525400248c00","ReservedCode1":"6vTOzFcoT0WFlEeeyH/y386ijvZWcNvAce5K5rv7AEEAnUg52DitjQSPh9FvTNFn351LrNeVEhA68z6Kf9D2FbWRioitm7LQXQlXNarCfLAxfmPj0mMm8lPHiqwUoluAOzoUXb8auwRHAkZ2fxRaWtJzYY9nVYmz3AKUWxECccbw5L/4PNoBbp4/XVA=","ContentPropagator":"001191440300708461136T1XGW3","PropagateID":"a00e5df06e93a5902bdea1ae35e297b8_0921ec2dce0211f1a475525400248c00","ReservedCode2":"6vTOzFcoT0WFlEeeyH/y386ijvZWcNvAce5K5rv7AEEAnUg52DitjQSPh9FvTNFn351LrNeVEhA68z6Kf9D2FbWRioitm7LQXQlXNarCfLAxfmPj0mMm8lPHiqwUoluAOzoUXb8auwRHAkZ2fxRaWtJzYY9nVYmz3AKUWxECccbw5L/4PNoBbp4/XVA="}</vt:lpwstr>
  </property>
  <property fmtid="{D5CDD505-2E9C-101B-9397-08002B2CF9AE}" pid="3" name="KSOProductBuildVer">
    <vt:lpwstr>2052-12.1.26055.26055</vt:lpwstr>
  </property>
  <property fmtid="{D5CDD505-2E9C-101B-9397-08002B2CF9AE}" pid="4" name="ICV">
    <vt:lpwstr>F50A76BFA6B907C9C6E3D96ABE7E545A_43</vt:lpwstr>
  </property>
</Properties>
</file>