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Tanachat S. ([leader institution])  &lt;- fill in</w:t>
      </w:r>
    </w:p>
    <w:p>
      <w:pPr>
        <w:spacing w:after="40"/>
        <w:jc w:val="center"/>
      </w:pPr>
      <w:r>
        <w:rPr>
          <w:b w:val="0"/>
          <w:i w:val="0"/>
        </w:rPr>
        <w:t>Members: Puttitada Pruetchayakul (Bodindecha (Sing Singhaseni) School); Pimnara Roongsetthavitr (International Community School)</w:t>
      </w:r>
    </w:p>
    <w:p>
      <w:pPr>
        <w:spacing w:after="40"/>
        <w:jc w:val="center"/>
      </w:pPr>
      <w:r>
        <w:rPr>
          <w:b w:val="0"/>
          <w:i w:val="0"/>
        </w:rPr>
        <w:t>Institution: Bodindecha (Sing Singhaseni) School; International Community School; [leader institution]</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https://tanachat007.github.io/diy-spirometer/</w:t>
      </w:r>
    </w:p>
    <w:p>
      <w:pPr>
        <w:jc w:val="both"/>
      </w:pPr>
      <w:r>
        <w:rPr>
          <w:b w:val="0"/>
          <w:i w:val="0"/>
        </w:rPr>
        <w:t>B. Clinic and patient web application (sign-in): https://tanachat007.github.io/diy-spirometer/login.html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