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Puttitada Pruetchayakul (Bodindecha (Sing Singhaseni) School)</w:t>
      </w:r>
    </w:p>
    <w:p>
      <w:pPr>
        <w:spacing w:after="40"/>
        <w:jc w:val="center"/>
      </w:pPr>
      <w:r>
        <w:rPr>
          <w:b w:val="0"/>
          <w:i w:val="0"/>
        </w:rPr>
        <w:t>Members: Pimnara Roongsetthavitr (International Community School); Suchanan Kittikraisak (The Newton Sixth Form); Natnicha Taepucharoen (Samsenwittayalai School); Nabhat Sethaudom (International Community School)</w:t>
      </w:r>
    </w:p>
    <w:p>
      <w:pPr>
        <w:spacing w:after="40"/>
        <w:jc w:val="center"/>
      </w:pPr>
      <w:r>
        <w:rPr>
          <w:b w:val="0"/>
          <w:i w:val="0"/>
        </w:rPr>
        <w:t>Institutions: Bodindecha (Sing Singhaseni) School; International Community School; The Newton Sixth Form; Samsenwittayalai School</w:t>
      </w:r>
    </w:p>
    <w:p>
      <w:pPr>
        <w:spacing w:after="40"/>
        <w:jc w:val="center"/>
      </w:pPr>
      <w:r>
        <w:rPr>
          <w:b w:val="0"/>
          <w:i w:val="0"/>
        </w:rPr>
        <w:t>Advisor: Tanachat S. (teacher / project advisor, not a competitor)</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Where Spiro comes from: our earlier prototypes</w:t>
      </w:r>
    </w:p>
    <w:p>
      <w:pPr>
        <w:jc w:val="both"/>
      </w:pPr>
      <w:r>
        <w:rPr>
          <w:b w:val="0"/>
          <w:i w:val="0"/>
        </w:rPr>
        <w:t>Spiro builds on a platform our team had already made work. Our earlier device, SmartLung, is a respiratory-muscle training device with a built-in display and sensor that sends its results to a web dashboard so that caregivers and clinicians can monitor elderly users remotely. It was developed through two prototype versions and won the Gold Award at WICO 2026 (World Invention Creativity Olympic, 15th edition, Seoul, 16-18 July 2026), a Silver Medal at iCAN 2026 (international invention competition, online, August 2026) and the OFEED Special Award at iCAN 2026. These awards were given for SmartLung, a training device, not for a spirometer; we cite them only as evidence that the team can build and demonstrate a working sensor, display and remote-monitoring system. Spiro version 3 carries that experience into a new purpose, lung-function screening, and concentrates its new work on the part that creates the most waste: the single-use mouthpiece, made from agricultural waste, while the measuring unit is reused. The rest of this section describes the version 3 design.</w:t>
      </w:r>
    </w:p>
    <w:p>
      <w:pPr>
        <w:pStyle w:val="Heading2"/>
      </w:pPr>
      <w:r>
        <w:t>2.3 How version 3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2.4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2.5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runs on GitHub Pages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2.6 What is not proven yet</w:t>
      </w:r>
    </w:p>
    <w:p>
      <w:pPr>
        <w:jc w:val="both"/>
      </w:pPr>
      <w:r>
        <w:rPr>
          <w:b w:val="0"/>
          <w:i w:val="0"/>
        </w:rPr>
        <w:t>The SmartLung prototypes were built and demonstrated by our team; the Spiro version 3 spirometer design and the straw-pulp mouthpiece have not yet been. The following limits are therefore important to state clearly:</w:t>
      </w:r>
    </w:p>
    <w:p>
      <w:pPr>
        <w:pStyle w:val="ListBullet"/>
        <w:jc w:val="both"/>
      </w:pPr>
      <w:r>
        <w:t>The version 3 housing, electronics layout and web service have been designed and the firmware compiled, but this version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(This came from our own model calculation for version 3 settings.)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2"/>
      </w:pPr>
      <w:r>
        <w:t>2.7 Novelty, impact and plan</w:t>
      </w:r>
    </w:p>
    <w:p>
      <w:pPr>
        <w:jc w:val="both"/>
      </w:pPr>
      <w:r>
        <w:rPr>
          <w:b w:val="0"/>
          <w:i w:val="0"/>
        </w:rPr>
        <w:t>What is new is the combination, not any single part. Printed venturi spirometers, spirometer mouthpieces made of paper, and straw-pulp packaging each exist separately; we found no design that links a washable measuring unit, a single-use mouthpiece made from field-burned residue, and a patient-doctor web service in one low-cost system. The impact is intended on three levels, and each can be checked:</w:t>
      </w:r>
    </w:p>
    <w:tbl>
      <w:tblPr>
        <w:tblStyle w:val="TableGrid"/>
        <w:tblW w:type="auto" w:w="0"/>
        <w:tblLook w:firstColumn="1" w:firstRow="1" w:lastColumn="0" w:lastRow="0" w:noHBand="0" w:noVBand="1" w:val="04A0"/>
      </w:tblPr>
      <w:tblGrid>
        <w:gridCol w:w="3009"/>
        <w:gridCol w:w="3009"/>
        <w:gridCol w:w="3009"/>
      </w:tblGrid>
      <w:tr>
        <w:tc>
          <w:tcPr>
            <w:tcW w:type="dxa" w:w="2041"/>
          </w:tcPr>
          <w:p>
            <w:pPr>
              <w:spacing w:after="0"/>
            </w:pPr>
            <w:r/>
            <w:r>
              <w:rPr>
                <w:b/>
                <w:sz w:val="21"/>
              </w:rPr>
              <w:t>Level</w:t>
            </w:r>
          </w:p>
        </w:tc>
        <w:tc>
          <w:tcPr>
            <w:tcW w:type="dxa" w:w="3628"/>
          </w:tcPr>
          <w:p>
            <w:pPr>
              <w:spacing w:after="0"/>
            </w:pPr>
            <w:r/>
            <w:r>
              <w:rPr>
                <w:b/>
                <w:sz w:val="21"/>
              </w:rPr>
              <w:t>Intended effect</w:t>
            </w:r>
          </w:p>
        </w:tc>
        <w:tc>
          <w:tcPr>
            <w:tcW w:type="dxa" w:w="3402"/>
          </w:tcPr>
          <w:p>
            <w:pPr>
              <w:spacing w:after="0"/>
            </w:pPr>
            <w:r/>
            <w:r>
              <w:rPr>
                <w:b/>
                <w:sz w:val="21"/>
              </w:rPr>
              <w:t>How we will check it</w:t>
            </w:r>
          </w:p>
        </w:tc>
      </w:tr>
      <w:tr>
        <w:tc>
          <w:tcPr>
            <w:tcW w:type="dxa" w:w="2041"/>
          </w:tcPr>
          <w:p>
            <w:pPr>
              <w:spacing w:after="0"/>
            </w:pPr>
            <w:r/>
            <w:r>
              <w:rPr>
                <w:b w:val="0"/>
                <w:sz w:val="21"/>
              </w:rPr>
              <w:t>Health (SDG 3)</w:t>
            </w:r>
          </w:p>
        </w:tc>
        <w:tc>
          <w:tcPr>
            <w:tcW w:type="dxa" w:w="3628"/>
          </w:tcPr>
          <w:p>
            <w:pPr>
              <w:spacing w:after="0"/>
            </w:pPr>
            <w:r/>
            <w:r>
              <w:rPr>
                <w:b w:val="0"/>
                <w:sz w:val="21"/>
              </w:rPr>
              <w:t>Early screening of lung function where a clinic spirometer is not available</w:t>
            </w:r>
          </w:p>
        </w:tc>
        <w:tc>
          <w:tcPr>
            <w:tcW w:type="dxa" w:w="3402"/>
          </w:tcPr>
          <w:p>
            <w:pPr>
              <w:spacing w:after="0"/>
            </w:pPr>
            <w:r/>
            <w:r>
              <w:rPr>
                <w:b w:val="0"/>
                <w:sz w:val="21"/>
              </w:rPr>
              <w:t>Agreement with a reference spirometer in a supervised comparison</w:t>
            </w:r>
          </w:p>
        </w:tc>
      </w:tr>
      <w:tr>
        <w:tc>
          <w:tcPr>
            <w:tcW w:type="dxa" w:w="2041"/>
          </w:tcPr>
          <w:p>
            <w:pPr>
              <w:spacing w:after="0"/>
            </w:pPr>
            <w:r/>
            <w:r>
              <w:rPr>
                <w:b w:val="0"/>
                <w:sz w:val="21"/>
              </w:rPr>
              <w:t>Waste and climate (SDG 12, 13)</w:t>
            </w:r>
          </w:p>
        </w:tc>
        <w:tc>
          <w:tcPr>
            <w:tcW w:type="dxa" w:w="3628"/>
          </w:tcPr>
          <w:p>
            <w:pPr>
              <w:spacing w:after="0"/>
            </w:pPr>
            <w:r/>
            <w:r>
              <w:rPr>
                <w:b w:val="0"/>
                <w:sz w:val="21"/>
              </w:rPr>
              <w:t>Each mouthpiece is made from residue that would otherwise be burned and can be composted</w:t>
            </w:r>
          </w:p>
        </w:tc>
        <w:tc>
          <w:tcPr>
            <w:tcW w:type="dxa" w:w="3402"/>
          </w:tcPr>
          <w:p>
            <w:pPr>
              <w:spacing w:after="0"/>
            </w:pPr>
            <w:r/>
            <w:r>
              <w:rPr>
                <w:b w:val="0"/>
                <w:sz w:val="21"/>
              </w:rPr>
              <w:t>Mass of residue per mouthpiece; compost test of the moulded part</w:t>
            </w:r>
          </w:p>
        </w:tc>
      </w:tr>
      <w:tr>
        <w:tc>
          <w:tcPr>
            <w:tcW w:type="dxa" w:w="2041"/>
          </w:tcPr>
          <w:p>
            <w:pPr>
              <w:spacing w:after="0"/>
            </w:pPr>
            <w:r/>
            <w:r>
              <w:rPr>
                <w:b w:val="0"/>
                <w:sz w:val="21"/>
              </w:rPr>
              <w:t>Community (SDG 11, 17)</w:t>
            </w:r>
          </w:p>
        </w:tc>
        <w:tc>
          <w:tcPr>
            <w:tcW w:type="dxa" w:w="3628"/>
          </w:tcPr>
          <w:p>
            <w:pPr>
              <w:spacing w:after="0"/>
            </w:pPr>
            <w:r/>
            <w:r>
              <w:rPr>
                <w:b w:val="0"/>
                <w:sz w:val="21"/>
              </w:rPr>
              <w:t>Farmers and schools share one loop: straw collection, moulding, screening</w:t>
            </w:r>
          </w:p>
        </w:tc>
        <w:tc>
          <w:tcPr>
            <w:tcW w:type="dxa" w:w="3402"/>
          </w:tcPr>
          <w:p>
            <w:pPr>
              <w:spacing w:after="0"/>
            </w:pPr>
            <w:r/>
            <w:r>
              <w:rPr>
                <w:b w:val="0"/>
                <w:sz w:val="21"/>
              </w:rPr>
              <w:t>Pilot with one school and one village health post</w:t>
            </w:r>
          </w:p>
        </w:tc>
      </w:tr>
    </w:tbl>
    <w:p>
      <w:pPr>
        <w:spacing w:after="40"/>
      </w:pPr>
    </w:p>
    <w:p>
      <w:pPr>
        <w:jc w:val="both"/>
      </w:pPr>
      <w:r>
        <w:rPr>
          <w:b w:val="0"/>
          <w:i w:val="0"/>
        </w:rPr>
        <w:t>Timeline after the summit: weeks 1-4 print, assemble and calibrate version 3 with the 3 L syringe; weeks 5-8 prepare straw-pulp mouthpiece samples and measure their airflow resistance; weeks 9-12 run a supervised comparison with a reference spirometer and publish all results, including failures, in the open repository.</w:t>
      </w:r>
    </w:p>
    <w:p>
      <w:pPr>
        <w:pStyle w:val="Heading1"/>
      </w:pPr>
      <w:r>
        <w:t>3. Conclusion</w:t>
      </w:r>
    </w:p>
    <w:p>
      <w:pPr>
        <w:jc w:val="both"/>
      </w:pPr>
      <w:r>
        <w:rPr>
          <w:b w:val="0"/>
          <w:i w:val="0"/>
        </w:rPr>
        <w:t>Spiro version 3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pStyle w:val="Heading1"/>
      </w:pPr>
      <w:r>
        <w:t>Attachments</w:t>
      </w:r>
    </w:p>
    <w:p>
      <w:pPr>
        <w:jc w:val="both"/>
      </w:pPr>
      <w:r>
        <w:rPr>
          <w:b w:val="0"/>
          <w:i w:val="0"/>
        </w:rPr>
        <w:t>A. Product page and 3D viewer: https://spiro-medthai.web.app/</w:t>
      </w:r>
    </w:p>
    <w:p>
      <w:pPr>
        <w:jc w:val="both"/>
      </w:pPr>
      <w:r>
        <w:rPr>
          <w:b w:val="0"/>
          <w:i w:val="0"/>
        </w:rPr>
        <w:t>B. Clinic and patient web application (sign-in): https://spiro-medthai.web.app/login.html</w:t>
      </w:r>
    </w:p>
    <w:p>
      <w:pPr>
        <w:jc w:val="both"/>
      </w:pPr>
      <w:r>
        <w:rPr>
          <w:b w:val="0"/>
          <w:i w:val="0"/>
        </w:rPr>
        <w:t>C.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