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Tanachat S. ([leader institution])  &lt;- fill in</w:t>
      </w:r>
    </w:p>
    <w:p>
      <w:pPr>
        <w:spacing w:after="40"/>
        <w:jc w:val="center"/>
      </w:pPr>
      <w:r>
        <w:rPr>
          <w:b w:val="0"/>
          <w:i w:val="0"/>
        </w:rPr>
        <w:t>Members: Puttitada Pruetchayakul (Bodindecha (Sing Singhaseni) School); Pimnara Roongsetthavitr (International Community School); Suchanan Kittikraisak (The Newton Sixth Form)</w:t>
      </w:r>
    </w:p>
    <w:p>
      <w:pPr>
        <w:spacing w:after="40"/>
        <w:jc w:val="center"/>
      </w:pPr>
      <w:r>
        <w:rPr>
          <w:b w:val="0"/>
          <w:i w:val="0"/>
        </w:rPr>
        <w:t>Institution: Bodindecha (Sing Singhaseni) School; International Community School; The Newton Sixth Form; [leader institution]</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